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FA3EE" w14:textId="77777777" w:rsidR="00837B97" w:rsidRDefault="00837B97" w:rsidP="00670C8D">
      <w:pPr>
        <w:pStyle w:val="Heading1"/>
        <w:spacing w:before="0" w:after="0" w:line="240" w:lineRule="auto"/>
        <w:jc w:val="center"/>
        <w:rPr>
          <w:rFonts w:ascii="Times New Roman" w:eastAsiaTheme="minorHAnsi" w:hAnsi="Times New Roman"/>
          <w:bCs w:val="0"/>
          <w:caps w:val="0"/>
          <w:color w:val="FF0000"/>
          <w:kern w:val="0"/>
          <w:sz w:val="22"/>
          <w:szCs w:val="22"/>
        </w:rPr>
      </w:pPr>
    </w:p>
    <w:p w14:paraId="4D0F0DCC" w14:textId="77777777" w:rsidR="005D6954" w:rsidRDefault="005D6954" w:rsidP="005D6954"/>
    <w:p w14:paraId="559124F3" w14:textId="77777777" w:rsidR="005D6954" w:rsidRDefault="005D6954" w:rsidP="005D6954"/>
    <w:p w14:paraId="3C434FF3" w14:textId="77777777" w:rsidR="005D6954" w:rsidRDefault="005D6954" w:rsidP="005D6954"/>
    <w:p w14:paraId="7D5EF6AA" w14:textId="77777777" w:rsidR="005D6954" w:rsidRDefault="005D6954" w:rsidP="005D6954"/>
    <w:p w14:paraId="41913E16" w14:textId="77777777" w:rsidR="005D6954" w:rsidRPr="005D6954" w:rsidRDefault="005D6954" w:rsidP="005D6954"/>
    <w:p w14:paraId="6680B83A" w14:textId="77777777" w:rsidR="00837B97" w:rsidRPr="009A0CCD" w:rsidRDefault="00837B97" w:rsidP="00670C8D">
      <w:pPr>
        <w:pStyle w:val="Heading1"/>
        <w:spacing w:before="0" w:after="0" w:line="240" w:lineRule="auto"/>
        <w:jc w:val="center"/>
        <w:rPr>
          <w:rStyle w:val="IntenseEmphasis"/>
          <w:rFonts w:eastAsiaTheme="minorHAnsi"/>
        </w:rPr>
      </w:pPr>
    </w:p>
    <w:p w14:paraId="73286FF2" w14:textId="77777777" w:rsidR="00837B97" w:rsidRDefault="00837B97" w:rsidP="00670C8D">
      <w:pPr>
        <w:pStyle w:val="Heading1"/>
        <w:spacing w:before="0" w:after="0" w:line="240" w:lineRule="auto"/>
        <w:jc w:val="center"/>
        <w:rPr>
          <w:rFonts w:ascii="Times New Roman" w:eastAsiaTheme="minorHAnsi" w:hAnsi="Times New Roman"/>
          <w:bCs w:val="0"/>
          <w:caps w:val="0"/>
          <w:color w:val="FF0000"/>
          <w:kern w:val="0"/>
          <w:sz w:val="22"/>
          <w:szCs w:val="22"/>
        </w:rPr>
      </w:pPr>
    </w:p>
    <w:p w14:paraId="715B7FD0" w14:textId="77777777" w:rsidR="00837B97" w:rsidRDefault="00837B97" w:rsidP="00670C8D">
      <w:pPr>
        <w:pStyle w:val="Heading1"/>
        <w:spacing w:before="0" w:after="0" w:line="240" w:lineRule="auto"/>
        <w:jc w:val="center"/>
        <w:rPr>
          <w:rFonts w:ascii="Times New Roman" w:eastAsiaTheme="minorHAnsi" w:hAnsi="Times New Roman"/>
          <w:bCs w:val="0"/>
          <w:caps w:val="0"/>
          <w:color w:val="FF0000"/>
          <w:kern w:val="0"/>
          <w:sz w:val="22"/>
          <w:szCs w:val="22"/>
        </w:rPr>
      </w:pPr>
    </w:p>
    <w:p w14:paraId="09BFDCC9" w14:textId="6B6A1D66" w:rsidR="00670C8D" w:rsidRPr="00521029" w:rsidRDefault="00837B97"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PUBLIC INTEREST DISCLOSURE RULES 2019</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09BFDCCE" w14:textId="32793BA7" w:rsidR="002B361E" w:rsidRPr="009A0CCD" w:rsidRDefault="009A0CCD" w:rsidP="00CF14E3">
      <w:pPr>
        <w:spacing w:line="360" w:lineRule="auto"/>
        <w:jc w:val="center"/>
        <w:rPr>
          <w:rFonts w:ascii="Times New Roman" w:hAnsi="Times New Roman" w:cs="Times New Roman"/>
          <w:b/>
          <w:sz w:val="24"/>
        </w:rPr>
      </w:pPr>
      <w:r>
        <w:rPr>
          <w:rFonts w:ascii="Times New Roman" w:hAnsi="Times New Roman" w:cs="Times New Roman"/>
          <w:b/>
          <w:sz w:val="24"/>
        </w:rPr>
        <w:t xml:space="preserve">EXPLANATORY STATEMENT </w:t>
      </w:r>
    </w:p>
    <w:p w14:paraId="7595EC13" w14:textId="77777777" w:rsidR="00837B97" w:rsidRPr="001D3031" w:rsidRDefault="00837B97" w:rsidP="00CF14E3">
      <w:pPr>
        <w:spacing w:line="360" w:lineRule="auto"/>
        <w:jc w:val="center"/>
        <w:rPr>
          <w:rFonts w:ascii="Times New Roman" w:hAnsi="Times New Roman" w:cs="Times New Roman"/>
          <w:b/>
          <w:sz w:val="24"/>
          <w:u w:val="single"/>
        </w:rPr>
      </w:pPr>
      <w:bookmarkStart w:id="0" w:name="_GoBack"/>
      <w:bookmarkEnd w:id="0"/>
    </w:p>
    <w:p w14:paraId="09BFDCCF"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9BFDCD2" w14:textId="21E6C5DA" w:rsidR="00AF0C63" w:rsidRPr="005D6954" w:rsidRDefault="005D6954" w:rsidP="00CF14E3">
      <w:pPr>
        <w:spacing w:line="360" w:lineRule="auto"/>
        <w:jc w:val="center"/>
        <w:rPr>
          <w:rFonts w:ascii="Times New Roman" w:hAnsi="Times New Roman" w:cs="Times New Roman"/>
          <w:i/>
        </w:rPr>
      </w:pPr>
      <w:proofErr w:type="gramStart"/>
      <w:r>
        <w:rPr>
          <w:rFonts w:ascii="Times New Roman" w:hAnsi="Times New Roman" w:cs="Times New Roman"/>
        </w:rPr>
        <w:t>in</w:t>
      </w:r>
      <w:proofErr w:type="gramEnd"/>
      <w:r>
        <w:rPr>
          <w:rFonts w:ascii="Times New Roman" w:hAnsi="Times New Roman" w:cs="Times New Roman"/>
        </w:rPr>
        <w:t xml:space="preserve"> compliance with section 15J of the </w:t>
      </w:r>
      <w:r w:rsidRPr="005D6954">
        <w:rPr>
          <w:rFonts w:ascii="Times New Roman" w:hAnsi="Times New Roman" w:cs="Times New Roman"/>
          <w:i/>
        </w:rPr>
        <w:t>Legislation Act</w:t>
      </w:r>
      <w:r w:rsidR="00942DCD">
        <w:rPr>
          <w:rFonts w:ascii="Times New Roman" w:hAnsi="Times New Roman" w:cs="Times New Roman"/>
          <w:i/>
        </w:rPr>
        <w:t xml:space="preserve"> 2003</w:t>
      </w:r>
    </w:p>
    <w:p w14:paraId="09BFDCD4" w14:textId="77777777" w:rsidR="00AF0C63" w:rsidRPr="00521029" w:rsidRDefault="00AF0C63" w:rsidP="00CF14E3">
      <w:pPr>
        <w:spacing w:line="360" w:lineRule="auto"/>
        <w:jc w:val="center"/>
        <w:rPr>
          <w:rFonts w:ascii="Times New Roman" w:hAnsi="Times New Roman" w:cs="Times New Roman"/>
          <w:color w:val="FF0000"/>
        </w:rPr>
      </w:pPr>
    </w:p>
    <w:p w14:paraId="4B4413FA" w14:textId="77777777" w:rsidR="005D6954" w:rsidRDefault="005D6954">
      <w:pPr>
        <w:rPr>
          <w:rFonts w:ascii="Times New Roman" w:hAnsi="Times New Roman" w:cs="Times New Roman"/>
          <w:b/>
          <w:caps/>
          <w:sz w:val="24"/>
          <w:szCs w:val="24"/>
        </w:rPr>
      </w:pPr>
      <w:r>
        <w:rPr>
          <w:rFonts w:ascii="Times New Roman" w:hAnsi="Times New Roman" w:cs="Times New Roman"/>
          <w:b/>
          <w:caps/>
          <w:sz w:val="24"/>
          <w:szCs w:val="24"/>
        </w:rPr>
        <w:br w:type="page"/>
      </w:r>
    </w:p>
    <w:p w14:paraId="09BFDCD5" w14:textId="7C079DF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lastRenderedPageBreak/>
        <w:t>Purpose and operation of the Instrument</w:t>
      </w:r>
    </w:p>
    <w:p w14:paraId="46FEAF59" w14:textId="621BD7D8" w:rsidR="006E48AF" w:rsidRPr="00FF65C2" w:rsidRDefault="006E48AF" w:rsidP="005D6954">
      <w:pPr>
        <w:pStyle w:val="Basetext"/>
        <w:rPr>
          <w:u w:val="single"/>
        </w:rPr>
      </w:pPr>
      <w:r>
        <w:rPr>
          <w:u w:val="single"/>
        </w:rPr>
        <w:t xml:space="preserve">Authority </w:t>
      </w:r>
    </w:p>
    <w:p w14:paraId="57B59BD5" w14:textId="67C01C4C" w:rsidR="006E48AF" w:rsidRPr="005D6954" w:rsidRDefault="00837B97" w:rsidP="006E48AF">
      <w:pPr>
        <w:pStyle w:val="Basetext"/>
      </w:pPr>
      <w:r w:rsidRPr="00955578">
        <w:t xml:space="preserve">The </w:t>
      </w:r>
      <w:r w:rsidRPr="005D6954">
        <w:t xml:space="preserve">Public Interest Disclosure Rules 2019 </w:t>
      </w:r>
      <w:r w:rsidRPr="00955578">
        <w:t xml:space="preserve">(the PID Rules) are made under the </w:t>
      </w:r>
      <w:r w:rsidRPr="005D6954">
        <w:rPr>
          <w:i/>
        </w:rPr>
        <w:t>Public Interest Disclosure Act 2013</w:t>
      </w:r>
      <w:r w:rsidRPr="005D6954">
        <w:t xml:space="preserve"> </w:t>
      </w:r>
      <w:r w:rsidRPr="00955578">
        <w:t>(the PID Act)</w:t>
      </w:r>
      <w:r w:rsidR="005D6954">
        <w:t xml:space="preserve">. </w:t>
      </w:r>
      <w:r w:rsidR="006E48AF">
        <w:t>Section 83 of the PID Act enables the rule-maker, the Attorney</w:t>
      </w:r>
      <w:r w:rsidR="006E48AF">
        <w:noBreakHyphen/>
        <w:t>General, to make rules prescribing matters required or permitted by that Act to be prescribed, or necessary or convenient to be prescribed for carrying out or giving effect to that Act.</w:t>
      </w:r>
    </w:p>
    <w:p w14:paraId="0FE802D2" w14:textId="640C377A" w:rsidR="00837B97" w:rsidRDefault="006E48AF" w:rsidP="005D6954">
      <w:pPr>
        <w:pStyle w:val="Basetext"/>
      </w:pPr>
      <w:r>
        <w:t xml:space="preserve">The PID Rules are </w:t>
      </w:r>
      <w:r w:rsidR="00837B97" w:rsidRPr="00955578">
        <w:t xml:space="preserve">a legislative instrument for the purposes of the </w:t>
      </w:r>
      <w:r w:rsidR="00837B97" w:rsidRPr="007E2AA4">
        <w:rPr>
          <w:i/>
        </w:rPr>
        <w:t xml:space="preserve">Legislation Act </w:t>
      </w:r>
      <w:r w:rsidR="007E2AA4" w:rsidRPr="007E2AA4">
        <w:rPr>
          <w:i/>
        </w:rPr>
        <w:t>2003</w:t>
      </w:r>
      <w:r w:rsidR="007E2AA4">
        <w:t xml:space="preserve"> (the Legislation Act)</w:t>
      </w:r>
      <w:r w:rsidR="00764E26">
        <w:t>, and a</w:t>
      </w:r>
      <w:r>
        <w:t xml:space="preserve">ccordingly, </w:t>
      </w:r>
      <w:r w:rsidR="00837B97" w:rsidRPr="00955578">
        <w:t>are subject to</w:t>
      </w:r>
      <w:r w:rsidR="00764E26">
        <w:t xml:space="preserve"> its</w:t>
      </w:r>
      <w:r w:rsidR="00837B97" w:rsidRPr="00955578">
        <w:t xml:space="preserve"> disallowance</w:t>
      </w:r>
      <w:r>
        <w:t xml:space="preserve"> and </w:t>
      </w:r>
      <w:proofErr w:type="spellStart"/>
      <w:r>
        <w:t>sunsetting</w:t>
      </w:r>
      <w:proofErr w:type="spellEnd"/>
      <w:r>
        <w:t xml:space="preserve"> </w:t>
      </w:r>
      <w:r w:rsidR="00837B97" w:rsidRPr="00955578">
        <w:t>provisions.</w:t>
      </w:r>
    </w:p>
    <w:p w14:paraId="5D89BB1C" w14:textId="702F062C" w:rsidR="00837B97" w:rsidRPr="00FF65C2" w:rsidRDefault="006E48AF" w:rsidP="00837B97">
      <w:pPr>
        <w:pStyle w:val="Basetext"/>
        <w:rPr>
          <w:u w:val="single"/>
        </w:rPr>
      </w:pPr>
      <w:r>
        <w:rPr>
          <w:u w:val="single"/>
        </w:rPr>
        <w:t>Overview of the PID Act</w:t>
      </w:r>
    </w:p>
    <w:p w14:paraId="07DC1697" w14:textId="65D23F8E" w:rsidR="00837B97" w:rsidRDefault="00837B97" w:rsidP="00837B97">
      <w:pPr>
        <w:pStyle w:val="Basetext"/>
      </w:pPr>
      <w:r w:rsidRPr="00955578">
        <w:t>The PID Act</w:t>
      </w:r>
      <w:r w:rsidR="007E2AA4">
        <w:t xml:space="preserve">, which </w:t>
      </w:r>
      <w:r w:rsidRPr="00832502">
        <w:t>commenced in January 2014</w:t>
      </w:r>
      <w:r w:rsidR="007E2AA4">
        <w:t>, e</w:t>
      </w:r>
      <w:r w:rsidRPr="00C9458E">
        <w:t>stablishe</w:t>
      </w:r>
      <w:r w:rsidR="001B5D90">
        <w:t>d</w:t>
      </w:r>
      <w:r w:rsidRPr="00C9458E">
        <w:t xml:space="preserve"> a framework for agencies in the </w:t>
      </w:r>
      <w:r w:rsidR="007E4E88">
        <w:t xml:space="preserve">Commonwealth </w:t>
      </w:r>
      <w:r w:rsidRPr="00C9458E">
        <w:t>public sector</w:t>
      </w:r>
      <w:r>
        <w:t xml:space="preserve"> to</w:t>
      </w:r>
      <w:r w:rsidR="008E00E8">
        <w:t xml:space="preserve"> disclose </w:t>
      </w:r>
      <w:r>
        <w:t>allegations of misconduct</w:t>
      </w:r>
      <w:r w:rsidRPr="00C9458E">
        <w:t xml:space="preserve">. It has application across a broad range of agencies, including </w:t>
      </w:r>
      <w:r w:rsidR="00D50F23">
        <w:t>Commonwealth de</w:t>
      </w:r>
      <w:r w:rsidRPr="00C9458E">
        <w:t xml:space="preserve">partments, parliamentary departments, the Australian Defence Force, corporate Commonwealth entities and intelligence agencies. </w:t>
      </w:r>
      <w:r w:rsidR="005D6954">
        <w:t xml:space="preserve">Its objectives </w:t>
      </w:r>
      <w:r w:rsidR="00D50F23">
        <w:t>include</w:t>
      </w:r>
      <w:r w:rsidR="005D6954">
        <w:t xml:space="preserve"> </w:t>
      </w:r>
      <w:r w:rsidR="00D50F23">
        <w:t>en</w:t>
      </w:r>
      <w:r w:rsidR="00D50F23">
        <w:rPr>
          <w:color w:val="000000"/>
          <w:shd w:val="clear" w:color="auto" w:fill="FFFFFF"/>
        </w:rPr>
        <w:t>couraging and facilitating the making of public interest disc</w:t>
      </w:r>
      <w:r w:rsidR="007E2AA4">
        <w:rPr>
          <w:color w:val="000000"/>
          <w:shd w:val="clear" w:color="auto" w:fill="FFFFFF"/>
        </w:rPr>
        <w:t>losures by public officials,</w:t>
      </w:r>
      <w:r w:rsidR="00D50F23">
        <w:rPr>
          <w:color w:val="000000"/>
          <w:shd w:val="clear" w:color="auto" w:fill="FFFFFF"/>
        </w:rPr>
        <w:t xml:space="preserve"> protecting public officials who make disclosures from liability, and ensuring the proper investigation of al</w:t>
      </w:r>
      <w:r w:rsidR="007E2AA4">
        <w:rPr>
          <w:color w:val="000000"/>
          <w:shd w:val="clear" w:color="auto" w:fill="FFFFFF"/>
        </w:rPr>
        <w:t>leged</w:t>
      </w:r>
      <w:r w:rsidR="00D50F23">
        <w:rPr>
          <w:color w:val="000000"/>
          <w:shd w:val="clear" w:color="auto" w:fill="FFFFFF"/>
        </w:rPr>
        <w:t xml:space="preserve"> misconduct in the Commonwealth public sector.</w:t>
      </w:r>
    </w:p>
    <w:p w14:paraId="3F39D65C" w14:textId="378BC6E5" w:rsidR="005D1727" w:rsidRDefault="00837B97" w:rsidP="00837B97">
      <w:pPr>
        <w:pStyle w:val="Basetext"/>
      </w:pPr>
      <w:r w:rsidRPr="00C9458E">
        <w:t>The PID Act enables current and former public officials</w:t>
      </w:r>
      <w:r w:rsidR="007E4E88">
        <w:t xml:space="preserve"> </w:t>
      </w:r>
      <w:r w:rsidRPr="00C9458E">
        <w:t xml:space="preserve">to make disclosures about </w:t>
      </w:r>
      <w:r w:rsidR="00761639">
        <w:t xml:space="preserve">‘disclosable conduct’ </w:t>
      </w:r>
      <w:r>
        <w:t xml:space="preserve">engaged in by an </w:t>
      </w:r>
      <w:r w:rsidRPr="00C9458E">
        <w:t>agency</w:t>
      </w:r>
      <w:r w:rsidR="007E4E88">
        <w:t>,</w:t>
      </w:r>
      <w:r w:rsidRPr="00C9458E">
        <w:t xml:space="preserve"> </w:t>
      </w:r>
      <w:r w:rsidR="007E4E88">
        <w:t xml:space="preserve">by </w:t>
      </w:r>
      <w:r w:rsidRPr="00C9458E">
        <w:t>a public official in connection with their position as a public official</w:t>
      </w:r>
      <w:r w:rsidR="007E4E88">
        <w:t>, or by a contracted service provider for a Commonwealth contract, in connection with entering into, or giving effect to, that contract</w:t>
      </w:r>
      <w:r w:rsidRPr="00C9458E">
        <w:t xml:space="preserve">. </w:t>
      </w:r>
      <w:r w:rsidR="00311323">
        <w:t xml:space="preserve">A disclosure can be made anonymously and does not need to be in writing. </w:t>
      </w:r>
      <w:r w:rsidR="007E2AA4">
        <w:t>‘D</w:t>
      </w:r>
      <w:r w:rsidR="00761639">
        <w:t>isclosable conduct</w:t>
      </w:r>
      <w:r w:rsidR="007E2AA4">
        <w:t>’</w:t>
      </w:r>
      <w:r w:rsidR="00761639">
        <w:t xml:space="preserve"> </w:t>
      </w:r>
      <w:r w:rsidRPr="00832502">
        <w:t>is defined broadly</w:t>
      </w:r>
      <w:r w:rsidR="004860F1">
        <w:t xml:space="preserve"> in section 29 of the PID Act</w:t>
      </w:r>
      <w:r w:rsidRPr="00832502">
        <w:t xml:space="preserve"> and includes fraud, serious misconduct and corrupt conduc</w:t>
      </w:r>
      <w:r>
        <w:t>t</w:t>
      </w:r>
      <w:r w:rsidR="00761639">
        <w:t>, contraventions of a law,</w:t>
      </w:r>
      <w:r w:rsidR="005D1727">
        <w:t xml:space="preserve"> as well as minor wrongdoing.</w:t>
      </w:r>
    </w:p>
    <w:p w14:paraId="2263B85B" w14:textId="152D5FE8" w:rsidR="00837B97" w:rsidRPr="007E2AA4" w:rsidRDefault="00837B97" w:rsidP="007E2AA4">
      <w:pPr>
        <w:pStyle w:val="Basetext"/>
        <w:rPr>
          <w:szCs w:val="24"/>
        </w:rPr>
      </w:pPr>
      <w:r>
        <w:t xml:space="preserve">The </w:t>
      </w:r>
      <w:r w:rsidR="005D1727">
        <w:t xml:space="preserve">PID </w:t>
      </w:r>
      <w:r w:rsidRPr="00832502">
        <w:t xml:space="preserve">Act provides </w:t>
      </w:r>
      <w:r>
        <w:t xml:space="preserve">a range of </w:t>
      </w:r>
      <w:r w:rsidRPr="00832502">
        <w:t>protections and immunities to persons who hav</w:t>
      </w:r>
      <w:r>
        <w:t xml:space="preserve">e made </w:t>
      </w:r>
      <w:r w:rsidR="007E2AA4">
        <w:t xml:space="preserve">disclosures, including </w:t>
      </w:r>
      <w:r w:rsidRPr="007E2AA4">
        <w:rPr>
          <w:szCs w:val="24"/>
        </w:rPr>
        <w:t>immunity from civil, criminal</w:t>
      </w:r>
      <w:r w:rsidR="007E4E88">
        <w:rPr>
          <w:szCs w:val="24"/>
        </w:rPr>
        <w:t xml:space="preserve"> or</w:t>
      </w:r>
      <w:r w:rsidRPr="007E2AA4">
        <w:rPr>
          <w:szCs w:val="24"/>
        </w:rPr>
        <w:t xml:space="preserve"> administrative </w:t>
      </w:r>
      <w:r w:rsidR="007E4E88">
        <w:rPr>
          <w:szCs w:val="24"/>
        </w:rPr>
        <w:t xml:space="preserve">liability </w:t>
      </w:r>
      <w:r w:rsidRPr="007E2AA4">
        <w:rPr>
          <w:szCs w:val="24"/>
        </w:rPr>
        <w:t>or contractual action for making a disclosure (with some exceptions)</w:t>
      </w:r>
      <w:r w:rsidR="007E2AA4">
        <w:rPr>
          <w:szCs w:val="24"/>
        </w:rPr>
        <w:t xml:space="preserve">, and </w:t>
      </w:r>
      <w:r w:rsidRPr="007E2AA4">
        <w:rPr>
          <w:szCs w:val="24"/>
        </w:rPr>
        <w:t>a right to apply to a federal court for compensation, injunction, reinstatement and other orders if a discloser suffers ‘reprisal’ action (or in the alternative</w:t>
      </w:r>
      <w:r w:rsidR="007E4E88">
        <w:rPr>
          <w:szCs w:val="24"/>
        </w:rPr>
        <w:t>,</w:t>
      </w:r>
      <w:r w:rsidRPr="007E2AA4">
        <w:rPr>
          <w:szCs w:val="24"/>
        </w:rPr>
        <w:t xml:space="preserve"> a right to any remedy under the </w:t>
      </w:r>
      <w:r w:rsidRPr="007E2AA4">
        <w:rPr>
          <w:i/>
          <w:szCs w:val="24"/>
        </w:rPr>
        <w:t>Fair Work Act 2009</w:t>
      </w:r>
      <w:r w:rsidRPr="007E2AA4">
        <w:rPr>
          <w:szCs w:val="24"/>
        </w:rPr>
        <w:t>)</w:t>
      </w:r>
      <w:r w:rsidR="007E2AA4">
        <w:rPr>
          <w:szCs w:val="24"/>
        </w:rPr>
        <w:t xml:space="preserve">. </w:t>
      </w:r>
      <w:r w:rsidR="00311323">
        <w:rPr>
          <w:szCs w:val="24"/>
        </w:rPr>
        <w:t>The PID</w:t>
      </w:r>
      <w:r w:rsidR="007E2AA4">
        <w:rPr>
          <w:szCs w:val="24"/>
        </w:rPr>
        <w:t xml:space="preserve"> Act</w:t>
      </w:r>
      <w:r w:rsidR="00311323">
        <w:rPr>
          <w:szCs w:val="24"/>
        </w:rPr>
        <w:t xml:space="preserve"> also</w:t>
      </w:r>
      <w:r w:rsidR="007E2AA4">
        <w:rPr>
          <w:szCs w:val="24"/>
        </w:rPr>
        <w:t xml:space="preserve"> includes </w:t>
      </w:r>
      <w:r w:rsidRPr="007E2AA4">
        <w:rPr>
          <w:szCs w:val="24"/>
        </w:rPr>
        <w:t>provision</w:t>
      </w:r>
      <w:r w:rsidR="007E2AA4" w:rsidRPr="007E2AA4">
        <w:rPr>
          <w:szCs w:val="24"/>
        </w:rPr>
        <w:t>s</w:t>
      </w:r>
      <w:r w:rsidRPr="007E2AA4">
        <w:rPr>
          <w:szCs w:val="24"/>
        </w:rPr>
        <w:t xml:space="preserve"> making it an offence for a person to take or threaten to take reprisal action (</w:t>
      </w:r>
      <w:r w:rsidR="00311323">
        <w:rPr>
          <w:szCs w:val="24"/>
        </w:rPr>
        <w:t xml:space="preserve">with a penalty of </w:t>
      </w:r>
      <w:r w:rsidRPr="007E2AA4">
        <w:rPr>
          <w:szCs w:val="24"/>
        </w:rPr>
        <w:t xml:space="preserve">imprisonment for </w:t>
      </w:r>
      <w:r w:rsidR="006E48AF">
        <w:rPr>
          <w:szCs w:val="24"/>
        </w:rPr>
        <w:t xml:space="preserve">up to </w:t>
      </w:r>
      <w:r w:rsidR="00BA204A">
        <w:rPr>
          <w:szCs w:val="24"/>
        </w:rPr>
        <w:t>two</w:t>
      </w:r>
      <w:r w:rsidRPr="007E2AA4">
        <w:rPr>
          <w:szCs w:val="24"/>
        </w:rPr>
        <w:t xml:space="preserve"> years or 120 penalty units</w:t>
      </w:r>
      <w:r w:rsidR="008906CF" w:rsidRPr="007E2AA4">
        <w:rPr>
          <w:szCs w:val="24"/>
        </w:rPr>
        <w:t>, or both</w:t>
      </w:r>
      <w:r w:rsidRPr="007E2AA4">
        <w:rPr>
          <w:szCs w:val="24"/>
        </w:rPr>
        <w:t>)</w:t>
      </w:r>
      <w:r w:rsidR="008906CF" w:rsidRPr="007E2AA4">
        <w:rPr>
          <w:szCs w:val="24"/>
        </w:rPr>
        <w:t xml:space="preserve">, and </w:t>
      </w:r>
      <w:r w:rsidRPr="007E2AA4">
        <w:rPr>
          <w:szCs w:val="24"/>
        </w:rPr>
        <w:t>to use or disclose the identity of a discloser</w:t>
      </w:r>
      <w:r w:rsidR="000C209B">
        <w:rPr>
          <w:szCs w:val="24"/>
        </w:rPr>
        <w:t>,</w:t>
      </w:r>
      <w:r w:rsidRPr="007E2AA4">
        <w:rPr>
          <w:szCs w:val="24"/>
        </w:rPr>
        <w:t xml:space="preserve"> subject to</w:t>
      </w:r>
      <w:r w:rsidR="000C209B">
        <w:rPr>
          <w:szCs w:val="24"/>
        </w:rPr>
        <w:t xml:space="preserve"> limited</w:t>
      </w:r>
      <w:r w:rsidRPr="007E2AA4">
        <w:rPr>
          <w:szCs w:val="24"/>
        </w:rPr>
        <w:t xml:space="preserve"> exceptions </w:t>
      </w:r>
      <w:r w:rsidR="008906CF" w:rsidRPr="007E2AA4">
        <w:rPr>
          <w:szCs w:val="24"/>
        </w:rPr>
        <w:t>(</w:t>
      </w:r>
      <w:r w:rsidR="00311323">
        <w:rPr>
          <w:szCs w:val="24"/>
        </w:rPr>
        <w:t xml:space="preserve">with a penalty of </w:t>
      </w:r>
      <w:r w:rsidR="008906CF" w:rsidRPr="007E2AA4">
        <w:rPr>
          <w:szCs w:val="24"/>
        </w:rPr>
        <w:t>imprisonment for</w:t>
      </w:r>
      <w:r w:rsidR="006E48AF">
        <w:rPr>
          <w:szCs w:val="24"/>
        </w:rPr>
        <w:t xml:space="preserve"> up to</w:t>
      </w:r>
      <w:r w:rsidR="008906CF" w:rsidRPr="007E2AA4">
        <w:rPr>
          <w:szCs w:val="24"/>
        </w:rPr>
        <w:t xml:space="preserve"> </w:t>
      </w:r>
      <w:r w:rsidR="00BA204A">
        <w:rPr>
          <w:szCs w:val="24"/>
        </w:rPr>
        <w:t>six</w:t>
      </w:r>
      <w:r w:rsidR="008906CF" w:rsidRPr="007E2AA4">
        <w:rPr>
          <w:szCs w:val="24"/>
        </w:rPr>
        <w:t xml:space="preserve"> months or 30</w:t>
      </w:r>
      <w:r w:rsidR="00311323">
        <w:rPr>
          <w:szCs w:val="24"/>
        </w:rPr>
        <w:t> </w:t>
      </w:r>
      <w:r w:rsidR="008906CF" w:rsidRPr="007E2AA4">
        <w:rPr>
          <w:szCs w:val="24"/>
        </w:rPr>
        <w:t>penalty units, or both).</w:t>
      </w:r>
    </w:p>
    <w:p w14:paraId="37061F4B" w14:textId="0A27BB62" w:rsidR="00761639" w:rsidRPr="00C452FF" w:rsidRDefault="00837B97" w:rsidP="00761639">
      <w:pPr>
        <w:pStyle w:val="Basetext"/>
        <w:rPr>
          <w:szCs w:val="24"/>
        </w:rPr>
      </w:pPr>
      <w:r>
        <w:t xml:space="preserve">The Act </w:t>
      </w:r>
      <w:r w:rsidR="00761639">
        <w:t xml:space="preserve">provides for ‘internal’, ‘external’, ‘emergency’ and ‘legal practitioner’ disclosures, </w:t>
      </w:r>
      <w:r>
        <w:t>according to the nature of the information and the agency with which the di</w:t>
      </w:r>
      <w:r w:rsidR="00761639">
        <w:t>sclosable conduct is connected.</w:t>
      </w:r>
      <w:r w:rsidR="00761639" w:rsidRPr="00761639">
        <w:t xml:space="preserve"> </w:t>
      </w:r>
      <w:r w:rsidR="00761639">
        <w:t xml:space="preserve">To make an ‘internal disclosure’ a public official needs to disclose information to an </w:t>
      </w:r>
      <w:r w:rsidR="004860F1">
        <w:t>a</w:t>
      </w:r>
      <w:r w:rsidR="00761639">
        <w:t xml:space="preserve">uthorised </w:t>
      </w:r>
      <w:r w:rsidR="004860F1">
        <w:t>o</w:t>
      </w:r>
      <w:r w:rsidR="00761639">
        <w:t>fficer or their supervisor that tends to show, or the discloser believes on reasonable grounds tends to show, ‘disclosable conduct’.</w:t>
      </w:r>
      <w:r w:rsidR="00686331">
        <w:t xml:space="preserve"> In certain circumstances, disclosures can also be made to Commonwealth Ombudsman and the Inspector-General of Intelligence and Security (IGIS).</w:t>
      </w:r>
    </w:p>
    <w:p w14:paraId="547DEB37" w14:textId="3D1C3DA3" w:rsidR="00CB683E" w:rsidRDefault="00761639" w:rsidP="00761639">
      <w:pPr>
        <w:pStyle w:val="Basetext"/>
      </w:pPr>
      <w:r>
        <w:t xml:space="preserve">An </w:t>
      </w:r>
      <w:r w:rsidR="00D50F23">
        <w:t>‘</w:t>
      </w:r>
      <w:r>
        <w:t>external disclosure</w:t>
      </w:r>
      <w:r w:rsidR="00D50F23">
        <w:t>’</w:t>
      </w:r>
      <w:r>
        <w:t xml:space="preserve"> can be made to any person other than a foreign public official where certain criteria are met, including that an internal disclosure has been made but the investigation is not completed in the prescribed time or the discloser believes on reasonable grounds the investigation is inadequate</w:t>
      </w:r>
      <w:r w:rsidR="00D50F23">
        <w:t>,</w:t>
      </w:r>
      <w:r>
        <w:t xml:space="preserve"> and external disclosure is </w:t>
      </w:r>
      <w:r w:rsidR="00D50F23">
        <w:t xml:space="preserve">on balance </w:t>
      </w:r>
      <w:r>
        <w:t>not contrary to the public interest. D</w:t>
      </w:r>
      <w:r w:rsidR="00837B97">
        <w:t>isclosures that involve intelligence information, including sensitive l</w:t>
      </w:r>
      <w:r>
        <w:t>aw enforcement information, cannot be made externally,</w:t>
      </w:r>
      <w:r w:rsidR="009E7F76">
        <w:t xml:space="preserve"> and can </w:t>
      </w:r>
      <w:r w:rsidR="00837B97">
        <w:t xml:space="preserve">only be made to an intelligence agency to which the disclosure relates or the IGIS. </w:t>
      </w:r>
      <w:r>
        <w:t xml:space="preserve"> </w:t>
      </w:r>
    </w:p>
    <w:p w14:paraId="447A455B" w14:textId="606AAC3D" w:rsidR="00837B97" w:rsidRDefault="00CB683E" w:rsidP="00761639">
      <w:pPr>
        <w:pStyle w:val="Basetext"/>
      </w:pPr>
      <w:r>
        <w:rPr>
          <w:szCs w:val="24"/>
        </w:rPr>
        <w:lastRenderedPageBreak/>
        <w:t>An</w:t>
      </w:r>
      <w:r w:rsidR="00761639">
        <w:rPr>
          <w:szCs w:val="24"/>
        </w:rPr>
        <w:t xml:space="preserve"> ‘emergency disclosure’ can be made without first going through an internal disclosure </w:t>
      </w:r>
      <w:r w:rsidR="00761639" w:rsidRPr="006D082C">
        <w:rPr>
          <w:szCs w:val="24"/>
        </w:rPr>
        <w:t xml:space="preserve">if the public official considers that the information concerns a </w:t>
      </w:r>
      <w:r w:rsidR="00761639" w:rsidRPr="00CB19FB">
        <w:rPr>
          <w:szCs w:val="24"/>
        </w:rPr>
        <w:t>substantial and imminent danger to the health or safety of one or more persons, or the environment</w:t>
      </w:r>
      <w:r w:rsidR="00761639">
        <w:rPr>
          <w:szCs w:val="24"/>
        </w:rPr>
        <w:t>.</w:t>
      </w:r>
      <w:r>
        <w:t xml:space="preserve"> </w:t>
      </w:r>
      <w:r w:rsidR="00311323">
        <w:t xml:space="preserve">A ‘legal practitioner disclosure’ can be made by </w:t>
      </w:r>
      <w:r w:rsidR="00311323">
        <w:rPr>
          <w:szCs w:val="24"/>
        </w:rPr>
        <w:t>a</w:t>
      </w:r>
      <w:r w:rsidR="00761639">
        <w:rPr>
          <w:szCs w:val="24"/>
        </w:rPr>
        <w:t xml:space="preserve"> public official</w:t>
      </w:r>
      <w:r w:rsidR="00311323">
        <w:rPr>
          <w:szCs w:val="24"/>
        </w:rPr>
        <w:t xml:space="preserve"> to a legal practitioner</w:t>
      </w:r>
      <w:r w:rsidR="00761639">
        <w:rPr>
          <w:szCs w:val="24"/>
        </w:rPr>
        <w:t xml:space="preserve"> for the purpose of obtaining legal advice in relation to a </w:t>
      </w:r>
      <w:r w:rsidR="00311323">
        <w:rPr>
          <w:szCs w:val="24"/>
        </w:rPr>
        <w:t>public interest disclosure</w:t>
      </w:r>
      <w:r w:rsidR="00761639">
        <w:rPr>
          <w:szCs w:val="24"/>
        </w:rPr>
        <w:t xml:space="preserve"> they have</w:t>
      </w:r>
      <w:r>
        <w:rPr>
          <w:szCs w:val="24"/>
        </w:rPr>
        <w:t xml:space="preserve"> made, or are proposing to make.</w:t>
      </w:r>
    </w:p>
    <w:p w14:paraId="21C37EEA" w14:textId="216FBAF1" w:rsidR="00837B97" w:rsidRDefault="00837B97" w:rsidP="00837B97">
      <w:pPr>
        <w:pStyle w:val="Basetext"/>
      </w:pPr>
      <w:r>
        <w:t xml:space="preserve">The </w:t>
      </w:r>
      <w:r w:rsidR="00311323">
        <w:t xml:space="preserve">PID </w:t>
      </w:r>
      <w:r>
        <w:t>Act</w:t>
      </w:r>
      <w:r w:rsidR="00311323">
        <w:t xml:space="preserve"> also</w:t>
      </w:r>
      <w:r>
        <w:t xml:space="preserve"> imposes obligations on various public officials to receive, allocate, investigate and make findings in respect of </w:t>
      </w:r>
      <w:r w:rsidR="00116D0F">
        <w:t>allegations of disclosable conduct</w:t>
      </w:r>
      <w:r>
        <w:t xml:space="preserve">. </w:t>
      </w:r>
      <w:r w:rsidR="00686331">
        <w:t xml:space="preserve">Authorised officers are responsible for </w:t>
      </w:r>
      <w:r w:rsidR="00311323">
        <w:t xml:space="preserve">receiving and </w:t>
      </w:r>
      <w:r w:rsidR="00686331">
        <w:t xml:space="preserve">allocating a disclosure for investigation. Generally, a disclosure will be allocated to the agency to whom the disclosure relates. </w:t>
      </w:r>
      <w:r>
        <w:t xml:space="preserve">Principal </w:t>
      </w:r>
      <w:proofErr w:type="gramStart"/>
      <w:r w:rsidR="004860F1">
        <w:t>o</w:t>
      </w:r>
      <w:r>
        <w:t>fficers</w:t>
      </w:r>
      <w:proofErr w:type="gramEnd"/>
      <w:r>
        <w:t xml:space="preserve"> (</w:t>
      </w:r>
      <w:r w:rsidR="00A306D2">
        <w:t>defined under the PID Act to include</w:t>
      </w:r>
      <w:r>
        <w:t xml:space="preserve"> heads of </w:t>
      </w:r>
      <w:r w:rsidR="00B422CF">
        <w:t xml:space="preserve">Commonwealth public sector </w:t>
      </w:r>
      <w:r>
        <w:t>agencies</w:t>
      </w:r>
      <w:r w:rsidR="00A306D2">
        <w:t>)</w:t>
      </w:r>
      <w:r>
        <w:t xml:space="preserve"> are</w:t>
      </w:r>
      <w:r w:rsidR="005D6954">
        <w:t xml:space="preserve"> responsible for investigating disclosures </w:t>
      </w:r>
      <w:r w:rsidR="00686331">
        <w:t>once they have been allocated</w:t>
      </w:r>
      <w:r w:rsidR="00311323">
        <w:t>,</w:t>
      </w:r>
      <w:r w:rsidR="00686331">
        <w:t xml:space="preserve"> </w:t>
      </w:r>
      <w:r w:rsidR="005D6954">
        <w:t>and preparing a report of the investigation. This investigative function can be</w:t>
      </w:r>
      <w:r w:rsidR="000C209B">
        <w:t xml:space="preserve"> </w:t>
      </w:r>
      <w:r w:rsidR="005D6954">
        <w:t xml:space="preserve">delegated to appointed investigators. </w:t>
      </w:r>
      <w:r w:rsidR="00761639">
        <w:t xml:space="preserve">The PID Act </w:t>
      </w:r>
      <w:r w:rsidR="00BE4AFC">
        <w:t xml:space="preserve">also </w:t>
      </w:r>
      <w:r w:rsidR="00761639">
        <w:t>makes provision for discloser</w:t>
      </w:r>
      <w:r w:rsidR="00BE4AFC">
        <w:t>s</w:t>
      </w:r>
      <w:r w:rsidR="00761639">
        <w:t xml:space="preserve"> to be notified of certain key steps </w:t>
      </w:r>
      <w:r w:rsidR="000C209B">
        <w:t>in the</w:t>
      </w:r>
      <w:r w:rsidR="00311323">
        <w:t xml:space="preserve"> public interest disclosure</w:t>
      </w:r>
      <w:r w:rsidR="000C209B">
        <w:t xml:space="preserve"> process, including the allocation </w:t>
      </w:r>
      <w:r w:rsidR="004860F1">
        <w:t xml:space="preserve">and investigation of </w:t>
      </w:r>
      <w:r w:rsidR="000C209B">
        <w:t xml:space="preserve">a </w:t>
      </w:r>
      <w:r w:rsidR="00311323">
        <w:t>public interest disclosure. A discloser</w:t>
      </w:r>
      <w:r w:rsidR="00BE4AFC">
        <w:t xml:space="preserve"> must also </w:t>
      </w:r>
      <w:r w:rsidR="000C209B">
        <w:t xml:space="preserve">be provided a </w:t>
      </w:r>
      <w:r w:rsidR="00761639">
        <w:t xml:space="preserve">copy of the </w:t>
      </w:r>
      <w:r w:rsidR="000C209B">
        <w:t xml:space="preserve">investigation </w:t>
      </w:r>
      <w:r w:rsidR="00761639">
        <w:t>report</w:t>
      </w:r>
      <w:r w:rsidR="00BE4AFC">
        <w:t xml:space="preserve">. These notification requirements do not apply to the extent that contacting the discloser is not reasonably practicable.   </w:t>
      </w:r>
    </w:p>
    <w:p w14:paraId="63E89C17" w14:textId="430519BA" w:rsidR="00837B97" w:rsidRDefault="00837B97" w:rsidP="00837B97">
      <w:pPr>
        <w:pStyle w:val="Basetext"/>
      </w:pPr>
      <w:r w:rsidRPr="00832502">
        <w:t>The Commonwealth Ombudsman has oversight functions</w:t>
      </w:r>
      <w:r w:rsidR="000C209B">
        <w:t xml:space="preserve"> in relation to the PID Act</w:t>
      </w:r>
      <w:r w:rsidRPr="00832502">
        <w:t xml:space="preserve">, which includes publishing guidance </w:t>
      </w:r>
      <w:r w:rsidR="00BA204A">
        <w:t xml:space="preserve">material </w:t>
      </w:r>
      <w:r w:rsidRPr="00832502">
        <w:t>and annual rep</w:t>
      </w:r>
      <w:r>
        <w:t>orts on the operation of the Act</w:t>
      </w:r>
      <w:r w:rsidR="00686331">
        <w:t>. The</w:t>
      </w:r>
      <w:r>
        <w:t xml:space="preserve"> IGIS</w:t>
      </w:r>
      <w:r w:rsidRPr="00832502">
        <w:t xml:space="preserve"> </w:t>
      </w:r>
      <w:r w:rsidR="00686331">
        <w:t xml:space="preserve">also </w:t>
      </w:r>
      <w:r w:rsidRPr="00832502">
        <w:t xml:space="preserve">has oversight functions </w:t>
      </w:r>
      <w:r w:rsidR="002A387D">
        <w:t xml:space="preserve">under the PID Act </w:t>
      </w:r>
      <w:r w:rsidR="00686331">
        <w:t xml:space="preserve">in respect of </w:t>
      </w:r>
      <w:r w:rsidRPr="00832502">
        <w:t>intelligence agencies</w:t>
      </w:r>
      <w:r w:rsidR="00686331">
        <w:t xml:space="preserve">, including assisting intelligence agencies in relation to the operation of the </w:t>
      </w:r>
      <w:r w:rsidR="00FD66B0">
        <w:t>A</w:t>
      </w:r>
      <w:r w:rsidR="00686331">
        <w:t>ct</w:t>
      </w:r>
      <w:r w:rsidR="00FD66B0">
        <w:t xml:space="preserve"> and conducting educational and awareness programs</w:t>
      </w:r>
      <w:r w:rsidRPr="00832502">
        <w:t>.</w:t>
      </w:r>
      <w:r w:rsidR="008C0F2A">
        <w:t xml:space="preserve"> </w:t>
      </w:r>
    </w:p>
    <w:p w14:paraId="6ECE0889" w14:textId="6AE4BB1A" w:rsidR="00837B97" w:rsidRPr="00FF65C2" w:rsidRDefault="006E48AF" w:rsidP="00837B97">
      <w:pPr>
        <w:pStyle w:val="Basetext"/>
        <w:rPr>
          <w:u w:val="single"/>
        </w:rPr>
      </w:pPr>
      <w:r>
        <w:rPr>
          <w:u w:val="single"/>
        </w:rPr>
        <w:t>The purpose of the PID Rules</w:t>
      </w:r>
    </w:p>
    <w:p w14:paraId="5D6C66A0" w14:textId="0BE9AAFC" w:rsidR="006E48AF" w:rsidRDefault="006E48AF" w:rsidP="005D6954">
      <w:pPr>
        <w:pStyle w:val="Basetext"/>
      </w:pPr>
      <w:r>
        <w:t>The purpose of the PID Rules is to bring the Australian Securities and Investments Commission (ASIC) back within the framework of the PID Act. The Rules will ensure that ASIC staff can make disclosures relating to Commonwealth public sector misconduct, and in doing so, obtain the PID</w:t>
      </w:r>
      <w:r w:rsidR="003E024F">
        <w:t> </w:t>
      </w:r>
      <w:r>
        <w:t>Act’s protections</w:t>
      </w:r>
      <w:r w:rsidR="003E024F">
        <w:t xml:space="preserve">, including protections </w:t>
      </w:r>
      <w:r w:rsidRPr="006F56E4">
        <w:rPr>
          <w:snapToGrid/>
        </w:rPr>
        <w:t xml:space="preserve">from </w:t>
      </w:r>
      <w:r w:rsidR="00E81553">
        <w:rPr>
          <w:snapToGrid/>
        </w:rPr>
        <w:t xml:space="preserve">civil, </w:t>
      </w:r>
      <w:r w:rsidRPr="006F56E4">
        <w:rPr>
          <w:snapToGrid/>
        </w:rPr>
        <w:t>criminal, and administrative liability and acts of reprisal.</w:t>
      </w:r>
      <w:r>
        <w:rPr>
          <w:snapToGrid/>
        </w:rPr>
        <w:t xml:space="preserve"> </w:t>
      </w:r>
    </w:p>
    <w:p w14:paraId="74D9F98B" w14:textId="1D9AF795" w:rsidR="006E48AF" w:rsidRPr="00FF65C2" w:rsidRDefault="006E48AF" w:rsidP="005D6954">
      <w:pPr>
        <w:pStyle w:val="Basetext"/>
      </w:pPr>
      <w:r>
        <w:t xml:space="preserve">ASIC was previously a ‘prescribed authority’ for the purpose of the PID Act because it was a ‘statutory agency’ (as defined in the </w:t>
      </w:r>
      <w:r>
        <w:rPr>
          <w:i/>
        </w:rPr>
        <w:t xml:space="preserve">Public Service </w:t>
      </w:r>
      <w:r w:rsidRPr="00FF65C2">
        <w:rPr>
          <w:i/>
        </w:rPr>
        <w:t>Act 1999</w:t>
      </w:r>
      <w:r>
        <w:rPr>
          <w:i/>
        </w:rPr>
        <w:t xml:space="preserve"> </w:t>
      </w:r>
      <w:r>
        <w:t>(Public Service Act)) under paragraph</w:t>
      </w:r>
      <w:r w:rsidR="00E81553">
        <w:t> </w:t>
      </w:r>
      <w:r>
        <w:t>72(1</w:t>
      </w:r>
      <w:proofErr w:type="gramStart"/>
      <w:r>
        <w:t>)(</w:t>
      </w:r>
      <w:proofErr w:type="gramEnd"/>
      <w:r>
        <w:t xml:space="preserve">a). This meant that ASIC staff fell within the scope of the PID Act, obtaining the protections available under the PID Act, and being subject to the obligations imposed under the Act in respect of the receipt, allocation and investigation of a disclosure. The </w:t>
      </w:r>
      <w:r w:rsidRPr="00B422CF">
        <w:rPr>
          <w:i/>
        </w:rPr>
        <w:t>Treasury Laws Amendment (Enhancing ASIC’s Capabilities) Act 2018</w:t>
      </w:r>
      <w:r>
        <w:rPr>
          <w:i/>
        </w:rPr>
        <w:t xml:space="preserve"> </w:t>
      </w:r>
      <w:r>
        <w:t xml:space="preserve">(Treasury Laws Amendment Act) made a range of amendments to the </w:t>
      </w:r>
      <w:r>
        <w:rPr>
          <w:i/>
        </w:rPr>
        <w:t>Australian Securities and Investments Commission Act 2001</w:t>
      </w:r>
      <w:r>
        <w:t xml:space="preserve">, including removing ASIC as a statutory agency for the purposes of the Public Service Act. An unintended consequence of this amendment is that ASIC staff are no longer covered by the PID Act. The Treasury Laws Amendment Act commenced on 1 July 2019. </w:t>
      </w:r>
    </w:p>
    <w:p w14:paraId="67FC0472" w14:textId="066E66A5" w:rsidR="00EC6E9A" w:rsidRDefault="006E48AF" w:rsidP="006C1D23">
      <w:pPr>
        <w:pStyle w:val="Basetext"/>
        <w:rPr>
          <w:snapToGrid/>
        </w:rPr>
      </w:pPr>
      <w:r>
        <w:t xml:space="preserve">To ensure that ASIC staff are provided the </w:t>
      </w:r>
      <w:r w:rsidR="00E7484B">
        <w:t xml:space="preserve">PID Act’s protections for making disclosures relating to public sector misconduct, and are subject to the PID Act obligations for receiving, allocating and </w:t>
      </w:r>
      <w:r w:rsidR="0029189B">
        <w:t>investigating</w:t>
      </w:r>
      <w:r w:rsidR="00E7484B">
        <w:t xml:space="preserve"> disclosures, the PID Rules will reinstate ASIC as a ‘prescribed authority’ </w:t>
      </w:r>
      <w:r w:rsidR="00675D87">
        <w:t>under</w:t>
      </w:r>
      <w:r w:rsidR="00E7484B">
        <w:t xml:space="preserve"> section</w:t>
      </w:r>
      <w:r w:rsidR="0029189B">
        <w:t> </w:t>
      </w:r>
      <w:r w:rsidR="00E7484B">
        <w:t xml:space="preserve">72 of the PID Act. </w:t>
      </w:r>
      <w:r w:rsidR="0029189B">
        <w:t>Paragraph 72(1</w:t>
      </w:r>
      <w:proofErr w:type="gramStart"/>
      <w:r w:rsidR="0029189B">
        <w:t>)(</w:t>
      </w:r>
      <w:proofErr w:type="gramEnd"/>
      <w:r w:rsidR="0029189B">
        <w:t xml:space="preserve">p) of the PID Act provides that a body can be a ‘prescribed authority’ where two criteria are satisfied. Firstly, the body must be established by a law of the Commonwealth. Secondly, the body must be prescribed by the PID Rules. </w:t>
      </w:r>
      <w:r w:rsidR="00EC6E9A">
        <w:rPr>
          <w:snapToGrid/>
        </w:rPr>
        <w:t>ASIC is</w:t>
      </w:r>
      <w:r w:rsidR="0029189B">
        <w:rPr>
          <w:snapToGrid/>
        </w:rPr>
        <w:t xml:space="preserve"> already</w:t>
      </w:r>
      <w:r w:rsidR="00EC6E9A">
        <w:rPr>
          <w:snapToGrid/>
        </w:rPr>
        <w:t xml:space="preserve"> established by a law of the Commonwealth</w:t>
      </w:r>
      <w:r w:rsidR="0029189B">
        <w:rPr>
          <w:snapToGrid/>
        </w:rPr>
        <w:t xml:space="preserve"> under the ASIC Act</w:t>
      </w:r>
      <w:r w:rsidR="00EC6E9A">
        <w:rPr>
          <w:snapToGrid/>
        </w:rPr>
        <w:t xml:space="preserve">. </w:t>
      </w:r>
      <w:r w:rsidR="00D26F2E">
        <w:rPr>
          <w:snapToGrid/>
        </w:rPr>
        <w:t xml:space="preserve">Accordingly, the further </w:t>
      </w:r>
      <w:r w:rsidR="00EC6E9A">
        <w:rPr>
          <w:snapToGrid/>
        </w:rPr>
        <w:t xml:space="preserve">prescription </w:t>
      </w:r>
      <w:r w:rsidR="00EC6E9A">
        <w:rPr>
          <w:snapToGrid/>
        </w:rPr>
        <w:lastRenderedPageBreak/>
        <w:t>of ASIC unde</w:t>
      </w:r>
      <w:r w:rsidR="0029189B">
        <w:rPr>
          <w:snapToGrid/>
        </w:rPr>
        <w:t>r the PID Rules by the Attorney</w:t>
      </w:r>
      <w:r w:rsidR="0029189B">
        <w:rPr>
          <w:snapToGrid/>
        </w:rPr>
        <w:noBreakHyphen/>
      </w:r>
      <w:r w:rsidR="00EC6E9A">
        <w:rPr>
          <w:snapToGrid/>
        </w:rPr>
        <w:t xml:space="preserve">General </w:t>
      </w:r>
      <w:r w:rsidR="00D26F2E">
        <w:rPr>
          <w:snapToGrid/>
        </w:rPr>
        <w:t>(</w:t>
      </w:r>
      <w:r w:rsidR="00EC6E9A">
        <w:rPr>
          <w:snapToGrid/>
        </w:rPr>
        <w:t>as rule-maker</w:t>
      </w:r>
      <w:r w:rsidR="00D26F2E">
        <w:rPr>
          <w:snapToGrid/>
        </w:rPr>
        <w:t>)</w:t>
      </w:r>
      <w:r w:rsidR="00EC6E9A">
        <w:rPr>
          <w:snapToGrid/>
        </w:rPr>
        <w:t xml:space="preserve"> </w:t>
      </w:r>
      <w:r w:rsidR="00D26F2E">
        <w:rPr>
          <w:snapToGrid/>
        </w:rPr>
        <w:t xml:space="preserve">will have the effect of </w:t>
      </w:r>
      <w:r w:rsidR="0029189B">
        <w:rPr>
          <w:snapToGrid/>
        </w:rPr>
        <w:t>satisfying the requirements of paragraph 72(1</w:t>
      </w:r>
      <w:proofErr w:type="gramStart"/>
      <w:r w:rsidR="0029189B">
        <w:rPr>
          <w:snapToGrid/>
        </w:rPr>
        <w:t>)(</w:t>
      </w:r>
      <w:proofErr w:type="gramEnd"/>
      <w:r w:rsidR="0029189B">
        <w:rPr>
          <w:snapToGrid/>
        </w:rPr>
        <w:t xml:space="preserve">p). </w:t>
      </w:r>
      <w:r w:rsidR="00D26F2E">
        <w:rPr>
          <w:snapToGrid/>
        </w:rPr>
        <w:t xml:space="preserve">The prescription of ASIC as a ‘prescribed authority’ will </w:t>
      </w:r>
      <w:r w:rsidR="00D26F2E" w:rsidRPr="00402A04">
        <w:rPr>
          <w:snapToGrid/>
        </w:rPr>
        <w:t>restore the operation of the PID Act</w:t>
      </w:r>
      <w:r w:rsidR="00D26F2E">
        <w:rPr>
          <w:snapToGrid/>
        </w:rPr>
        <w:t>, including its protections and obligations,</w:t>
      </w:r>
      <w:r w:rsidR="00D26F2E" w:rsidRPr="00402A04">
        <w:rPr>
          <w:snapToGrid/>
        </w:rPr>
        <w:t xml:space="preserve"> </w:t>
      </w:r>
      <w:r w:rsidR="00D26F2E">
        <w:rPr>
          <w:snapToGrid/>
        </w:rPr>
        <w:t>in respect of</w:t>
      </w:r>
      <w:r w:rsidR="00D26F2E" w:rsidRPr="00402A04">
        <w:rPr>
          <w:snapToGrid/>
        </w:rPr>
        <w:t xml:space="preserve"> ASIC</w:t>
      </w:r>
      <w:r w:rsidR="00D26F2E">
        <w:rPr>
          <w:snapToGrid/>
        </w:rPr>
        <w:t xml:space="preserve"> staff</w:t>
      </w:r>
      <w:r w:rsidR="00EC6E9A">
        <w:rPr>
          <w:snapToGrid/>
        </w:rPr>
        <w:t xml:space="preserve">. </w:t>
      </w:r>
    </w:p>
    <w:p w14:paraId="09BFDCE0" w14:textId="77777777" w:rsidR="0026109C" w:rsidRPr="00521029" w:rsidRDefault="004F430F" w:rsidP="006E22EF">
      <w:pPr>
        <w:spacing w:before="240"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2D964A24" w14:textId="1B462535" w:rsidR="00785C8D" w:rsidRDefault="00837B97" w:rsidP="00A269CD">
      <w:pPr>
        <w:rPr>
          <w:rFonts w:ascii="Times New Roman" w:hAnsi="Times New Roman" w:cs="Times New Roman"/>
        </w:rPr>
      </w:pPr>
      <w:r w:rsidRPr="00837B97">
        <w:rPr>
          <w:rFonts w:ascii="Times New Roman" w:hAnsi="Times New Roman" w:cs="Times New Roman"/>
        </w:rPr>
        <w:t xml:space="preserve">Before the </w:t>
      </w:r>
      <w:r>
        <w:rPr>
          <w:rFonts w:ascii="Times New Roman" w:hAnsi="Times New Roman" w:cs="Times New Roman"/>
        </w:rPr>
        <w:t>Rules were issued, the Attorney-</w:t>
      </w:r>
      <w:r w:rsidRPr="00837B97">
        <w:rPr>
          <w:rFonts w:ascii="Times New Roman" w:hAnsi="Times New Roman" w:cs="Times New Roman"/>
        </w:rPr>
        <w:t xml:space="preserve">General considered the general obligation to consult imposed by section 17 of the </w:t>
      </w:r>
      <w:r w:rsidRPr="00384B8F">
        <w:rPr>
          <w:rFonts w:ascii="Times New Roman" w:hAnsi="Times New Roman" w:cs="Times New Roman"/>
        </w:rPr>
        <w:t>Legislation Act</w:t>
      </w:r>
      <w:r w:rsidRPr="00837B97">
        <w:rPr>
          <w:rFonts w:ascii="Times New Roman" w:hAnsi="Times New Roman" w:cs="Times New Roman"/>
        </w:rPr>
        <w:t>.</w:t>
      </w:r>
    </w:p>
    <w:p w14:paraId="38C4B8FF" w14:textId="504D79A4" w:rsidR="003B4C91" w:rsidRPr="003B4C91" w:rsidRDefault="00785C8D" w:rsidP="00A269CD">
      <w:pPr>
        <w:rPr>
          <w:rFonts w:ascii="Times New Roman" w:hAnsi="Times New Roman" w:cs="Times New Roman"/>
          <w:highlight w:val="yellow"/>
        </w:rPr>
      </w:pPr>
      <w:r>
        <w:rPr>
          <w:rFonts w:ascii="Times New Roman" w:hAnsi="Times New Roman" w:cs="Times New Roman"/>
        </w:rPr>
        <w:t>The Attorney</w:t>
      </w:r>
      <w:r w:rsidRPr="003B4C91">
        <w:rPr>
          <w:rFonts w:ascii="Times New Roman" w:hAnsi="Times New Roman" w:cs="Times New Roman"/>
        </w:rPr>
        <w:t xml:space="preserve">-General’s Department </w:t>
      </w:r>
      <w:r w:rsidR="003B4C91" w:rsidRPr="003B4C91">
        <w:rPr>
          <w:rFonts w:ascii="Times New Roman" w:hAnsi="Times New Roman" w:cs="Times New Roman"/>
        </w:rPr>
        <w:t xml:space="preserve">(the department) </w:t>
      </w:r>
      <w:r w:rsidRPr="003B4C91">
        <w:rPr>
          <w:rFonts w:ascii="Times New Roman" w:hAnsi="Times New Roman" w:cs="Times New Roman"/>
        </w:rPr>
        <w:t xml:space="preserve">consulted </w:t>
      </w:r>
      <w:r w:rsidR="006E22EF" w:rsidRPr="003B4C91">
        <w:rPr>
          <w:rFonts w:ascii="Times New Roman" w:hAnsi="Times New Roman" w:cs="Times New Roman"/>
        </w:rPr>
        <w:t>t</w:t>
      </w:r>
      <w:r w:rsidRPr="003B4C91">
        <w:rPr>
          <w:rFonts w:ascii="Times New Roman" w:hAnsi="Times New Roman" w:cs="Times New Roman"/>
        </w:rPr>
        <w:t xml:space="preserve">he </w:t>
      </w:r>
      <w:r w:rsidR="003B4C91" w:rsidRPr="003B4C91">
        <w:rPr>
          <w:rFonts w:ascii="Times New Roman" w:hAnsi="Times New Roman" w:cs="Times New Roman"/>
        </w:rPr>
        <w:t xml:space="preserve">Treasury and </w:t>
      </w:r>
      <w:r w:rsidRPr="003B4C91">
        <w:rPr>
          <w:rFonts w:ascii="Times New Roman" w:hAnsi="Times New Roman" w:cs="Times New Roman"/>
        </w:rPr>
        <w:t>ASIC</w:t>
      </w:r>
      <w:r w:rsidR="003B4C91" w:rsidRPr="003B4C91">
        <w:rPr>
          <w:rFonts w:ascii="Times New Roman" w:hAnsi="Times New Roman" w:cs="Times New Roman"/>
        </w:rPr>
        <w:t>, as affected agencies, on the policy objective of the PID Rules and a draft of the Rules in September 2019. The department also consulted the Office of the Commonwealth Ombudsman, which has an oversight role under the PID Act and may receive disclosures from ASIC staff</w:t>
      </w:r>
      <w:r w:rsidR="004227B7">
        <w:rPr>
          <w:rFonts w:ascii="Times New Roman" w:hAnsi="Times New Roman" w:cs="Times New Roman"/>
        </w:rPr>
        <w:t>, and the IGIS.</w:t>
      </w:r>
      <w:r w:rsidR="003B4C91" w:rsidRPr="003B4C91">
        <w:rPr>
          <w:rFonts w:ascii="Times New Roman" w:hAnsi="Times New Roman" w:cs="Times New Roman"/>
        </w:rPr>
        <w:t xml:space="preserve"> </w:t>
      </w:r>
      <w:r w:rsidR="005B185A" w:rsidRPr="003B4C91">
        <w:rPr>
          <w:rFonts w:ascii="Times New Roman" w:hAnsi="Times New Roman" w:cs="Times New Roman"/>
        </w:rPr>
        <w:t>No objections were</w:t>
      </w:r>
      <w:r w:rsidR="005B185A">
        <w:rPr>
          <w:rFonts w:ascii="Times New Roman" w:hAnsi="Times New Roman" w:cs="Times New Roman"/>
        </w:rPr>
        <w:t xml:space="preserve"> raised in respect of the Rules.</w:t>
      </w:r>
      <w:r w:rsidR="006E22EF">
        <w:rPr>
          <w:rFonts w:ascii="Times New Roman" w:hAnsi="Times New Roman" w:cs="Times New Roman"/>
        </w:rPr>
        <w:t xml:space="preserve"> </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39516B63" w14:textId="25CD82A6" w:rsidR="00D52C80" w:rsidRPr="001A4C6E" w:rsidRDefault="0043501F">
      <w:pPr>
        <w:spacing w:before="180"/>
      </w:pPr>
      <w:r>
        <w:rPr>
          <w:rFonts w:ascii="Times New Roman" w:eastAsia="Times New Roman" w:hAnsi="Times New Roman" w:cs="Times New Roman"/>
        </w:rPr>
        <w:t xml:space="preserve">The Office of Best Practice Regulation (OBPR) advised that because the PID Rules contain measures that are minor or machinery in nature, a Regulation Impact Statement is not required. </w:t>
      </w:r>
      <w:r w:rsidR="00D52C80" w:rsidRPr="001A4C6E">
        <w:rPr>
          <w:rFonts w:ascii="Times New Roman" w:eastAsia="Times New Roman" w:hAnsi="Times New Roman" w:cs="Times New Roman"/>
        </w:rPr>
        <w:t>The O</w:t>
      </w:r>
      <w:r w:rsidR="001A4C6E" w:rsidRPr="001A4C6E">
        <w:rPr>
          <w:rFonts w:ascii="Times New Roman" w:eastAsia="Times New Roman" w:hAnsi="Times New Roman" w:cs="Times New Roman"/>
        </w:rPr>
        <w:t xml:space="preserve">BPR </w:t>
      </w:r>
      <w:r>
        <w:rPr>
          <w:rFonts w:ascii="Times New Roman" w:eastAsia="Times New Roman" w:hAnsi="Times New Roman" w:cs="Times New Roman"/>
        </w:rPr>
        <w:t>identification number is</w:t>
      </w:r>
      <w:r w:rsidR="00D52C80" w:rsidRPr="001A4C6E">
        <w:rPr>
          <w:rFonts w:ascii="Times New Roman" w:eastAsia="Times New Roman" w:hAnsi="Times New Roman" w:cs="Times New Roman"/>
        </w:rPr>
        <w:t xml:space="preserve"> </w:t>
      </w:r>
      <w:r w:rsidR="001A4C6E" w:rsidRPr="001A4C6E">
        <w:rPr>
          <w:rFonts w:ascii="Times New Roman" w:eastAsia="Times New Roman" w:hAnsi="Times New Roman" w:cs="Times New Roman"/>
        </w:rPr>
        <w:t>25623</w:t>
      </w:r>
      <w:r w:rsidR="00D52C80" w:rsidRPr="001A4C6E">
        <w:rPr>
          <w:rFonts w:ascii="Times New Roman" w:eastAsia="Times New Roman" w:hAnsi="Times New Roman" w:cs="Times New Roman"/>
        </w:rPr>
        <w:t xml:space="preserve">. </w:t>
      </w:r>
    </w:p>
    <w:p w14:paraId="4EA1D6B3" w14:textId="77777777" w:rsidR="00C91B56" w:rsidRDefault="00C91B56">
      <w:pPr>
        <w:rPr>
          <w:rFonts w:ascii="Times New Roman" w:hAnsi="Times New Roman" w:cs="Times New Roman"/>
          <w:b/>
          <w:caps/>
          <w:sz w:val="24"/>
          <w:szCs w:val="24"/>
        </w:rPr>
      </w:pPr>
      <w:r>
        <w:rPr>
          <w:rFonts w:ascii="Times New Roman" w:hAnsi="Times New Roman" w:cs="Times New Roman"/>
          <w:b/>
          <w:caps/>
          <w:sz w:val="24"/>
          <w:szCs w:val="24"/>
        </w:rPr>
        <w:br w:type="page"/>
      </w:r>
    </w:p>
    <w:p w14:paraId="09BFDCE7" w14:textId="796FBC90"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2DB9905D" w14:textId="515EA1C5" w:rsidR="00837B97" w:rsidRPr="00837B97" w:rsidRDefault="001D3031" w:rsidP="00942DCD">
      <w:pPr>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381A1645" w14:textId="5BD52311" w:rsidR="005B185A" w:rsidRDefault="00837B97" w:rsidP="00942DCD">
      <w:pPr>
        <w:rPr>
          <w:rFonts w:ascii="Times New Roman" w:hAnsi="Times New Roman" w:cs="Times New Roman"/>
        </w:rPr>
      </w:pPr>
      <w:r w:rsidRPr="002356DC">
        <w:rPr>
          <w:rFonts w:ascii="Times New Roman" w:eastAsia="Times New Roman" w:hAnsi="Times New Roman" w:cs="Times New Roman"/>
        </w:rPr>
        <w:t>The Public Interest Disclosure Rules 2019 (the Rules) are compatible with human rights and freedoms recognised or declared in</w:t>
      </w:r>
      <w:r w:rsidRPr="00837B97">
        <w:rPr>
          <w:rFonts w:ascii="Times New Roman" w:hAnsi="Times New Roman" w:cs="Times New Roman"/>
        </w:rPr>
        <w:t xml:space="preserve"> the international instruments listed in section 3 of the </w:t>
      </w:r>
      <w:r w:rsidRPr="002356DC">
        <w:rPr>
          <w:rFonts w:ascii="Times New Roman" w:hAnsi="Times New Roman" w:cs="Times New Roman"/>
          <w:i/>
        </w:rPr>
        <w:t>Human Rights (Parliamentary Scrutiny) Act 2011</w:t>
      </w:r>
      <w:r w:rsidR="00761639">
        <w:rPr>
          <w:rFonts w:ascii="Times New Roman" w:hAnsi="Times New Roman" w:cs="Times New Roman"/>
        </w:rPr>
        <w:t xml:space="preserve"> (the Human Rights Act). </w:t>
      </w:r>
    </w:p>
    <w:p w14:paraId="769BA579" w14:textId="206AB7BE" w:rsidR="005D6954" w:rsidRPr="005D6954" w:rsidRDefault="005D6954" w:rsidP="00942DCD">
      <w:pPr>
        <w:spacing w:after="0"/>
        <w:rPr>
          <w:rFonts w:ascii="Times New Roman" w:hAnsi="Times New Roman" w:cs="Times New Roman"/>
        </w:rPr>
      </w:pPr>
      <w:r w:rsidRPr="005D6954">
        <w:rPr>
          <w:rFonts w:ascii="Times New Roman" w:hAnsi="Times New Roman" w:cs="Times New Roman"/>
        </w:rPr>
        <w:t xml:space="preserve">The Parliamentary Joint Committee on Human Rights considered the compatibility with human rights of the </w:t>
      </w:r>
      <w:r w:rsidR="00CF65D0">
        <w:rPr>
          <w:rFonts w:ascii="Times New Roman" w:hAnsi="Times New Roman" w:cs="Times New Roman"/>
          <w:i/>
        </w:rPr>
        <w:t xml:space="preserve">Public Interest Disclosure Act 2013 </w:t>
      </w:r>
      <w:r w:rsidR="00CF65D0">
        <w:rPr>
          <w:rFonts w:ascii="Times New Roman" w:hAnsi="Times New Roman" w:cs="Times New Roman"/>
        </w:rPr>
        <w:t xml:space="preserve">(PID Act) </w:t>
      </w:r>
      <w:r w:rsidRPr="005D6954">
        <w:rPr>
          <w:rFonts w:ascii="Times New Roman" w:hAnsi="Times New Roman" w:cs="Times New Roman"/>
        </w:rPr>
        <w:t>when</w:t>
      </w:r>
      <w:r w:rsidR="00761639">
        <w:rPr>
          <w:rFonts w:ascii="Times New Roman" w:hAnsi="Times New Roman" w:cs="Times New Roman"/>
        </w:rPr>
        <w:t xml:space="preserve"> it reviewed </w:t>
      </w:r>
      <w:r w:rsidRPr="005D6954">
        <w:rPr>
          <w:rFonts w:ascii="Times New Roman" w:hAnsi="Times New Roman" w:cs="Times New Roman"/>
        </w:rPr>
        <w:t>the Public Int</w:t>
      </w:r>
      <w:r w:rsidR="002356DC">
        <w:rPr>
          <w:rFonts w:ascii="Times New Roman" w:hAnsi="Times New Roman" w:cs="Times New Roman"/>
        </w:rPr>
        <w:t>erest Disclosure Bill 2013 (</w:t>
      </w:r>
      <w:r w:rsidRPr="005D6954">
        <w:rPr>
          <w:rFonts w:ascii="Times New Roman" w:hAnsi="Times New Roman" w:cs="Times New Roman"/>
        </w:rPr>
        <w:t>Sixth Report of 2013). In the context of that Bill, the following human rights were identified as being engaged:</w:t>
      </w:r>
    </w:p>
    <w:p w14:paraId="4C280226" w14:textId="33DC44AC" w:rsidR="005D6954" w:rsidRPr="00761639" w:rsidRDefault="005D6954" w:rsidP="00942DCD">
      <w:pPr>
        <w:pStyle w:val="ListParagraph"/>
        <w:numPr>
          <w:ilvl w:val="0"/>
          <w:numId w:val="14"/>
        </w:numPr>
        <w:tabs>
          <w:tab w:val="left" w:pos="0"/>
        </w:tabs>
        <w:autoSpaceDN w:val="0"/>
        <w:spacing w:after="120"/>
        <w:ind w:left="567"/>
        <w:rPr>
          <w:rFonts w:ascii="Times New Roman" w:hAnsi="Times New Roman"/>
          <w:szCs w:val="24"/>
        </w:rPr>
      </w:pPr>
      <w:r w:rsidRPr="00761639">
        <w:rPr>
          <w:rFonts w:ascii="Times New Roman" w:hAnsi="Times New Roman"/>
          <w:szCs w:val="24"/>
        </w:rPr>
        <w:t>the right to freedom of expression (Article 19 of the International Covenant on Civil and Political Rights (ICCPR))</w:t>
      </w:r>
    </w:p>
    <w:p w14:paraId="39D7F902" w14:textId="77777777" w:rsidR="00CF65D0" w:rsidRPr="00761639" w:rsidRDefault="00CF65D0" w:rsidP="00CF65D0">
      <w:pPr>
        <w:pStyle w:val="ListParagraph"/>
        <w:numPr>
          <w:ilvl w:val="0"/>
          <w:numId w:val="14"/>
        </w:numPr>
        <w:tabs>
          <w:tab w:val="left" w:pos="0"/>
        </w:tabs>
        <w:autoSpaceDN w:val="0"/>
        <w:spacing w:after="120"/>
        <w:ind w:left="567"/>
        <w:rPr>
          <w:rFonts w:ascii="Times New Roman" w:hAnsi="Times New Roman"/>
          <w:szCs w:val="24"/>
        </w:rPr>
      </w:pPr>
      <w:r w:rsidRPr="00761639">
        <w:rPr>
          <w:rFonts w:ascii="Times New Roman" w:hAnsi="Times New Roman"/>
          <w:szCs w:val="24"/>
        </w:rPr>
        <w:t>the right to privacy</w:t>
      </w:r>
      <w:r>
        <w:rPr>
          <w:rFonts w:ascii="Times New Roman" w:hAnsi="Times New Roman"/>
          <w:szCs w:val="24"/>
        </w:rPr>
        <w:t xml:space="preserve"> (Article 17 of the ICCPR)</w:t>
      </w:r>
    </w:p>
    <w:p w14:paraId="45E51A29" w14:textId="2BC00606" w:rsidR="007668EA" w:rsidRDefault="007668EA" w:rsidP="007668EA">
      <w:pPr>
        <w:pStyle w:val="ListParagraph"/>
        <w:numPr>
          <w:ilvl w:val="0"/>
          <w:numId w:val="14"/>
        </w:numPr>
        <w:tabs>
          <w:tab w:val="left" w:pos="0"/>
        </w:tabs>
        <w:autoSpaceDN w:val="0"/>
        <w:spacing w:after="120"/>
        <w:ind w:left="567"/>
        <w:rPr>
          <w:rFonts w:ascii="Times New Roman" w:hAnsi="Times New Roman"/>
          <w:szCs w:val="24"/>
        </w:rPr>
      </w:pPr>
      <w:r w:rsidRPr="00761639">
        <w:rPr>
          <w:rFonts w:ascii="Times New Roman" w:hAnsi="Times New Roman"/>
          <w:szCs w:val="24"/>
        </w:rPr>
        <w:t>the right to be presumed innoce</w:t>
      </w:r>
      <w:r>
        <w:rPr>
          <w:rFonts w:ascii="Times New Roman" w:hAnsi="Times New Roman"/>
          <w:szCs w:val="24"/>
        </w:rPr>
        <w:t>nt (Article 14(2) of the ICCPR), and</w:t>
      </w:r>
    </w:p>
    <w:p w14:paraId="2A8587DD" w14:textId="0B31FE60" w:rsidR="00CF65D0" w:rsidRPr="00761639" w:rsidRDefault="00CF65D0" w:rsidP="00CF65D0">
      <w:pPr>
        <w:pStyle w:val="ListParagraph"/>
        <w:numPr>
          <w:ilvl w:val="0"/>
          <w:numId w:val="14"/>
        </w:numPr>
        <w:tabs>
          <w:tab w:val="left" w:pos="0"/>
        </w:tabs>
        <w:autoSpaceDN w:val="0"/>
        <w:spacing w:after="120"/>
        <w:ind w:left="567"/>
        <w:rPr>
          <w:rFonts w:ascii="Times New Roman" w:hAnsi="Times New Roman"/>
          <w:szCs w:val="24"/>
        </w:rPr>
      </w:pPr>
      <w:proofErr w:type="gramStart"/>
      <w:r w:rsidRPr="00761639">
        <w:rPr>
          <w:rFonts w:ascii="Times New Roman" w:hAnsi="Times New Roman"/>
          <w:szCs w:val="24"/>
        </w:rPr>
        <w:t>the</w:t>
      </w:r>
      <w:proofErr w:type="gramEnd"/>
      <w:r w:rsidRPr="00761639">
        <w:rPr>
          <w:rFonts w:ascii="Times New Roman" w:hAnsi="Times New Roman"/>
          <w:szCs w:val="24"/>
        </w:rPr>
        <w:t xml:space="preserve"> right to work and to just and favourable conditions of work</w:t>
      </w:r>
      <w:r>
        <w:rPr>
          <w:rFonts w:ascii="Times New Roman" w:hAnsi="Times New Roman"/>
          <w:szCs w:val="24"/>
        </w:rPr>
        <w:t xml:space="preserve"> (Articles 6</w:t>
      </w:r>
      <w:r w:rsidR="006B0083">
        <w:rPr>
          <w:rFonts w:ascii="Times New Roman" w:hAnsi="Times New Roman"/>
          <w:szCs w:val="24"/>
        </w:rPr>
        <w:t xml:space="preserve"> and </w:t>
      </w:r>
      <w:r>
        <w:rPr>
          <w:rFonts w:ascii="Times New Roman" w:hAnsi="Times New Roman"/>
          <w:szCs w:val="24"/>
        </w:rPr>
        <w:t>7 of the International Covenant on Economic, Social and Cultural Rights (ICESCR))</w:t>
      </w:r>
      <w:r w:rsidR="007668EA">
        <w:rPr>
          <w:rFonts w:ascii="Times New Roman" w:hAnsi="Times New Roman"/>
          <w:szCs w:val="24"/>
        </w:rPr>
        <w:t>.</w:t>
      </w:r>
    </w:p>
    <w:p w14:paraId="300E494D" w14:textId="3BA6F73A" w:rsidR="00CF65D0" w:rsidRPr="00FF65C2" w:rsidRDefault="005D6954" w:rsidP="00C91B56">
      <w:pPr>
        <w:spacing w:before="240" w:after="0"/>
        <w:rPr>
          <w:rFonts w:ascii="Times New Roman" w:hAnsi="Times New Roman" w:cs="Times New Roman"/>
        </w:rPr>
      </w:pPr>
      <w:r w:rsidRPr="00761639">
        <w:rPr>
          <w:rFonts w:ascii="Times New Roman" w:hAnsi="Times New Roman" w:cs="Times New Roman"/>
        </w:rPr>
        <w:t>The</w:t>
      </w:r>
      <w:r w:rsidR="00C31245">
        <w:rPr>
          <w:rFonts w:ascii="Times New Roman" w:hAnsi="Times New Roman" w:cs="Times New Roman"/>
        </w:rPr>
        <w:t xml:space="preserve"> </w:t>
      </w:r>
      <w:r w:rsidR="00CF65D0" w:rsidRPr="00A202D2">
        <w:rPr>
          <w:rFonts w:ascii="Times New Roman" w:hAnsi="Times New Roman" w:cs="Times New Roman"/>
        </w:rPr>
        <w:t>Public Interest Disclosure Rules 2019</w:t>
      </w:r>
      <w:r w:rsidR="00CF65D0">
        <w:rPr>
          <w:rFonts w:ascii="Times New Roman" w:hAnsi="Times New Roman" w:cs="Times New Roman"/>
          <w:i/>
        </w:rPr>
        <w:t xml:space="preserve"> </w:t>
      </w:r>
      <w:r w:rsidR="00CF65D0">
        <w:rPr>
          <w:rFonts w:ascii="Times New Roman" w:hAnsi="Times New Roman" w:cs="Times New Roman"/>
        </w:rPr>
        <w:t>(PID Rules)</w:t>
      </w:r>
      <w:r w:rsidR="00761639">
        <w:rPr>
          <w:rFonts w:ascii="Times New Roman" w:hAnsi="Times New Roman" w:cs="Times New Roman"/>
        </w:rPr>
        <w:t xml:space="preserve"> </w:t>
      </w:r>
      <w:r w:rsidR="005B3675">
        <w:rPr>
          <w:rFonts w:ascii="Times New Roman" w:hAnsi="Times New Roman" w:cs="Times New Roman"/>
        </w:rPr>
        <w:t xml:space="preserve">broadly </w:t>
      </w:r>
      <w:r w:rsidR="00C31245">
        <w:rPr>
          <w:rFonts w:ascii="Times New Roman" w:hAnsi="Times New Roman" w:cs="Times New Roman"/>
        </w:rPr>
        <w:t>reengage</w:t>
      </w:r>
      <w:r w:rsidRPr="00761639">
        <w:rPr>
          <w:rFonts w:ascii="Times New Roman" w:hAnsi="Times New Roman" w:cs="Times New Roman"/>
        </w:rPr>
        <w:t xml:space="preserve"> th</w:t>
      </w:r>
      <w:r w:rsidR="00CF65D0">
        <w:rPr>
          <w:rFonts w:ascii="Times New Roman" w:hAnsi="Times New Roman" w:cs="Times New Roman"/>
        </w:rPr>
        <w:t>ese</w:t>
      </w:r>
      <w:r w:rsidR="00C31245">
        <w:rPr>
          <w:rFonts w:ascii="Times New Roman" w:hAnsi="Times New Roman" w:cs="Times New Roman"/>
        </w:rPr>
        <w:t xml:space="preserve"> rights to the e</w:t>
      </w:r>
      <w:r w:rsidR="005B185A">
        <w:rPr>
          <w:rFonts w:ascii="Times New Roman" w:hAnsi="Times New Roman" w:cs="Times New Roman"/>
        </w:rPr>
        <w:t xml:space="preserve">xtent that they </w:t>
      </w:r>
      <w:r w:rsidR="00CF65D0">
        <w:rPr>
          <w:rFonts w:ascii="Times New Roman" w:hAnsi="Times New Roman" w:cs="Times New Roman"/>
        </w:rPr>
        <w:t xml:space="preserve">bring the Australian Securities and Investments Commission (ASIC) back within the scope of the PID Act. The PID Rules </w:t>
      </w:r>
      <w:r w:rsidR="00995EA3">
        <w:rPr>
          <w:rFonts w:ascii="Times New Roman" w:hAnsi="Times New Roman" w:cs="Times New Roman"/>
        </w:rPr>
        <w:t xml:space="preserve">will </w:t>
      </w:r>
      <w:r w:rsidR="00CF65D0">
        <w:rPr>
          <w:rFonts w:ascii="Times New Roman" w:hAnsi="Times New Roman" w:cs="Times New Roman"/>
        </w:rPr>
        <w:t>promote the rights</w:t>
      </w:r>
      <w:r w:rsidR="00995EA3">
        <w:rPr>
          <w:rFonts w:ascii="Times New Roman" w:hAnsi="Times New Roman" w:cs="Times New Roman"/>
        </w:rPr>
        <w:t xml:space="preserve"> identified above</w:t>
      </w:r>
      <w:r w:rsidR="00CF65D0">
        <w:rPr>
          <w:rFonts w:ascii="Times New Roman" w:hAnsi="Times New Roman" w:cs="Times New Roman"/>
        </w:rPr>
        <w:t>. Providing protections under the PID</w:t>
      </w:r>
      <w:r w:rsidR="00995EA3">
        <w:rPr>
          <w:rFonts w:ascii="Times New Roman" w:hAnsi="Times New Roman" w:cs="Times New Roman"/>
        </w:rPr>
        <w:t> </w:t>
      </w:r>
      <w:r w:rsidR="00CF65D0">
        <w:rPr>
          <w:rFonts w:ascii="Times New Roman" w:hAnsi="Times New Roman" w:cs="Times New Roman"/>
        </w:rPr>
        <w:t>Act to ASIC staff who disclose allegations of misconduct, and the imposition of obligations under the PID Act in respect of the receipt, allocation and investigation of allegations of misconduct promotes public sector integrity and accountability. To the extent these rights are subject to restriction</w:t>
      </w:r>
      <w:r w:rsidR="00995EA3">
        <w:rPr>
          <w:rFonts w:ascii="Times New Roman" w:hAnsi="Times New Roman" w:cs="Times New Roman"/>
        </w:rPr>
        <w:t xml:space="preserve">s, these restrictions achieve </w:t>
      </w:r>
      <w:r w:rsidR="00CF65D0">
        <w:rPr>
          <w:rFonts w:ascii="Times New Roman" w:hAnsi="Times New Roman" w:cs="Times New Roman"/>
        </w:rPr>
        <w:t>legitimate objective</w:t>
      </w:r>
      <w:r w:rsidR="00995EA3">
        <w:rPr>
          <w:rFonts w:ascii="Times New Roman" w:hAnsi="Times New Roman" w:cs="Times New Roman"/>
        </w:rPr>
        <w:t>s</w:t>
      </w:r>
      <w:r w:rsidR="00CF65D0">
        <w:rPr>
          <w:rFonts w:ascii="Times New Roman" w:hAnsi="Times New Roman" w:cs="Times New Roman"/>
        </w:rPr>
        <w:t xml:space="preserve"> and do so in a reasonable and proportionate manner. </w:t>
      </w:r>
    </w:p>
    <w:p w14:paraId="55AA5201" w14:textId="77777777" w:rsidR="008169E0" w:rsidRDefault="008169E0" w:rsidP="00C91B56">
      <w:pPr>
        <w:spacing w:before="240"/>
        <w:rPr>
          <w:rFonts w:ascii="Times New Roman" w:hAnsi="Times New Roman" w:cs="Times New Roman"/>
          <w:i/>
          <w:iCs/>
          <w:color w:val="000000"/>
        </w:rPr>
      </w:pPr>
      <w:r w:rsidRPr="008169E0">
        <w:rPr>
          <w:rFonts w:ascii="Times New Roman" w:hAnsi="Times New Roman" w:cs="Times New Roman"/>
          <w:i/>
          <w:iCs/>
          <w:color w:val="000000"/>
        </w:rPr>
        <w:t>Right to freedom of expression</w:t>
      </w:r>
    </w:p>
    <w:p w14:paraId="3890796B" w14:textId="17F86233" w:rsidR="000F45C1" w:rsidRPr="00FF65C2" w:rsidRDefault="008169E0" w:rsidP="00FF65C2">
      <w:pPr>
        <w:spacing w:before="240"/>
        <w:rPr>
          <w:rFonts w:ascii="Times New Roman" w:hAnsi="Times New Roman" w:cs="Times New Roman"/>
          <w:iCs/>
          <w:color w:val="000000"/>
        </w:rPr>
      </w:pPr>
      <w:r w:rsidRPr="00FF65C2">
        <w:rPr>
          <w:rFonts w:ascii="Times New Roman" w:hAnsi="Times New Roman" w:cs="Times New Roman"/>
          <w:iCs/>
          <w:color w:val="000000"/>
        </w:rPr>
        <w:t xml:space="preserve">The right to freedom of expression is contained in </w:t>
      </w:r>
      <w:r w:rsidR="00CF65D0" w:rsidRPr="00FF65C2">
        <w:rPr>
          <w:rFonts w:ascii="Times New Roman" w:hAnsi="Times New Roman" w:cs="Times New Roman"/>
          <w:iCs/>
          <w:color w:val="000000"/>
        </w:rPr>
        <w:t>A</w:t>
      </w:r>
      <w:r w:rsidRPr="00FF65C2">
        <w:rPr>
          <w:rFonts w:ascii="Times New Roman" w:hAnsi="Times New Roman" w:cs="Times New Roman"/>
          <w:iCs/>
          <w:color w:val="000000"/>
        </w:rPr>
        <w:t xml:space="preserve">rticle 19 of the ICCPR. Article 19(2) of the ICCPR provides that everyone shall have the right to freedom of expression and that this right includes the freedom to seek, receive and impart information and ideas of all kinds, regardless of frontiers, either orally, in writing or in print, in the form of art, or through any other media of their choice. </w:t>
      </w:r>
      <w:r w:rsidR="000F45C1" w:rsidRPr="00FF65C2">
        <w:rPr>
          <w:rFonts w:ascii="Times New Roman" w:hAnsi="Times New Roman" w:cs="Times New Roman"/>
          <w:iCs/>
          <w:color w:val="000000"/>
        </w:rPr>
        <w:t>This right may be subject to certain restrictions, but these should be provided by law and necessary. Paragraphs 19(3</w:t>
      </w:r>
      <w:proofErr w:type="gramStart"/>
      <w:r w:rsidR="000F45C1" w:rsidRPr="00FF65C2">
        <w:rPr>
          <w:rFonts w:ascii="Times New Roman" w:hAnsi="Times New Roman" w:cs="Times New Roman"/>
          <w:iCs/>
          <w:color w:val="000000"/>
        </w:rPr>
        <w:t>)(</w:t>
      </w:r>
      <w:proofErr w:type="gramEnd"/>
      <w:r w:rsidR="000F45C1" w:rsidRPr="00FF65C2">
        <w:rPr>
          <w:rFonts w:ascii="Times New Roman" w:hAnsi="Times New Roman" w:cs="Times New Roman"/>
          <w:iCs/>
          <w:color w:val="000000"/>
        </w:rPr>
        <w:t xml:space="preserve">a) and (b) provide that restrictions on the freedom of expression may be </w:t>
      </w:r>
      <w:r w:rsidR="00325D78">
        <w:rPr>
          <w:rFonts w:ascii="Times New Roman" w:hAnsi="Times New Roman" w:cs="Times New Roman"/>
          <w:iCs/>
          <w:color w:val="000000"/>
        </w:rPr>
        <w:t>imposed</w:t>
      </w:r>
      <w:r w:rsidR="00325D78" w:rsidRPr="00FF65C2">
        <w:rPr>
          <w:rFonts w:ascii="Times New Roman" w:hAnsi="Times New Roman" w:cs="Times New Roman"/>
          <w:iCs/>
          <w:color w:val="000000"/>
        </w:rPr>
        <w:t xml:space="preserve"> </w:t>
      </w:r>
      <w:r w:rsidR="000F45C1" w:rsidRPr="00FF65C2">
        <w:rPr>
          <w:rFonts w:ascii="Times New Roman" w:hAnsi="Times New Roman" w:cs="Times New Roman"/>
          <w:iCs/>
          <w:color w:val="000000"/>
        </w:rPr>
        <w:t>for the purpose of respecting the rights and reputation of others, and for the protection of national security, public order, public health and morals.</w:t>
      </w:r>
    </w:p>
    <w:p w14:paraId="6B20B123" w14:textId="206FEF08" w:rsidR="000F45C1" w:rsidRDefault="000F45C1" w:rsidP="000F45C1">
      <w:pPr>
        <w:rPr>
          <w:rFonts w:ascii="Times New Roman" w:eastAsia="Times New Roman" w:hAnsi="Times New Roman" w:cs="Times New Roman"/>
        </w:rPr>
      </w:pPr>
      <w:r w:rsidRPr="00FF65C2">
        <w:rPr>
          <w:rFonts w:ascii="Times New Roman" w:eastAsia="Times New Roman" w:hAnsi="Times New Roman" w:cs="Times New Roman"/>
        </w:rPr>
        <w:t xml:space="preserve">The PID Act provides for ‘internal’, ‘external,’ </w:t>
      </w:r>
      <w:r w:rsidR="00325D78">
        <w:rPr>
          <w:rFonts w:ascii="Times New Roman" w:eastAsia="Times New Roman" w:hAnsi="Times New Roman" w:cs="Times New Roman"/>
        </w:rPr>
        <w:t>‘</w:t>
      </w:r>
      <w:r w:rsidRPr="00FF65C2">
        <w:rPr>
          <w:rFonts w:ascii="Times New Roman" w:eastAsia="Times New Roman" w:hAnsi="Times New Roman" w:cs="Times New Roman"/>
        </w:rPr>
        <w:t xml:space="preserve">emergency’ and ‘legal practitioner’ disclosures. The PID Act is broadly premised on the approach that disclosures relating to public sector misconduct should first be reported internally within Government. </w:t>
      </w:r>
      <w:r w:rsidR="00B57F9F">
        <w:rPr>
          <w:rFonts w:ascii="Times New Roman" w:eastAsia="Times New Roman" w:hAnsi="Times New Roman" w:cs="Times New Roman"/>
        </w:rPr>
        <w:t>For example, a</w:t>
      </w:r>
      <w:r w:rsidRPr="00FF65C2">
        <w:rPr>
          <w:rFonts w:ascii="Times New Roman" w:eastAsia="Times New Roman" w:hAnsi="Times New Roman" w:cs="Times New Roman"/>
        </w:rPr>
        <w:t xml:space="preserve">n ‘external disclosure’ can </w:t>
      </w:r>
      <w:r w:rsidR="00B57F9F">
        <w:rPr>
          <w:rFonts w:ascii="Times New Roman" w:eastAsia="Times New Roman" w:hAnsi="Times New Roman" w:cs="Times New Roman"/>
        </w:rPr>
        <w:t xml:space="preserve">only </w:t>
      </w:r>
      <w:r w:rsidRPr="00FF65C2">
        <w:rPr>
          <w:rFonts w:ascii="Times New Roman" w:eastAsia="Times New Roman" w:hAnsi="Times New Roman" w:cs="Times New Roman"/>
        </w:rPr>
        <w:t xml:space="preserve">be made where certain criteria are satisfied, including that an internal disclosure has been made but the investigation is not completed in the prescribed time or the discloser believes on reasonable grounds that the investigation is inadequate, and external disclosure is on balance, not contrary to the public interest. </w:t>
      </w:r>
      <w:r w:rsidR="00B57F9F">
        <w:rPr>
          <w:rFonts w:ascii="Times New Roman" w:eastAsia="Times New Roman" w:hAnsi="Times New Roman" w:cs="Times New Roman"/>
        </w:rPr>
        <w:t xml:space="preserve">While ‘emergency’ and ‘legal practitioner’ disclosures can be made without an internal disclosure first being made, such disclosures may only be made in limited circumstances – in the case of a ‘emergency disclosure’ there must be a substantial and imminent danger to the health or </w:t>
      </w:r>
      <w:r w:rsidR="00B57F9F">
        <w:rPr>
          <w:rFonts w:ascii="Times New Roman" w:eastAsia="Times New Roman" w:hAnsi="Times New Roman" w:cs="Times New Roman"/>
        </w:rPr>
        <w:lastRenderedPageBreak/>
        <w:t xml:space="preserve">safety of one or more persons or the environment, and in the case of ‘legal practitioner’ disclosure, these may only be made to a lawyer. </w:t>
      </w:r>
    </w:p>
    <w:p w14:paraId="7072F2F7" w14:textId="7CC0CD41" w:rsidR="000F45C1" w:rsidRPr="00FF65C2" w:rsidRDefault="000F45C1" w:rsidP="000F45C1">
      <w:pPr>
        <w:rPr>
          <w:rFonts w:ascii="Times New Roman" w:eastAsia="Times New Roman" w:hAnsi="Times New Roman" w:cs="Times New Roman"/>
        </w:rPr>
      </w:pPr>
      <w:r w:rsidRPr="00FF65C2">
        <w:rPr>
          <w:rFonts w:ascii="Times New Roman" w:eastAsia="Times New Roman" w:hAnsi="Times New Roman" w:cs="Times New Roman"/>
        </w:rPr>
        <w:t>While the freedom of expression may be considered to be limited through the PID Act’s preference for internal disclosure</w:t>
      </w:r>
      <w:r w:rsidR="00082598">
        <w:rPr>
          <w:rFonts w:ascii="Times New Roman" w:eastAsia="Times New Roman" w:hAnsi="Times New Roman" w:cs="Times New Roman"/>
        </w:rPr>
        <w:t>s</w:t>
      </w:r>
      <w:r w:rsidRPr="00FF65C2">
        <w:rPr>
          <w:rFonts w:ascii="Times New Roman" w:eastAsia="Times New Roman" w:hAnsi="Times New Roman" w:cs="Times New Roman"/>
        </w:rPr>
        <w:t xml:space="preserve"> in the first instance, the rationale for this approach is that Government agencies are best placed to investigate allegations of misconduct, having awareness of the legislative frameworks that apply to their conduct and being able to more readily access the information required to conduct a </w:t>
      </w:r>
      <w:r w:rsidR="00325D78">
        <w:rPr>
          <w:rFonts w:ascii="Times New Roman" w:eastAsia="Times New Roman" w:hAnsi="Times New Roman" w:cs="Times New Roman"/>
        </w:rPr>
        <w:t>public interest disclosure</w:t>
      </w:r>
      <w:r w:rsidRPr="00FF65C2">
        <w:rPr>
          <w:rFonts w:ascii="Times New Roman" w:eastAsia="Times New Roman" w:hAnsi="Times New Roman" w:cs="Times New Roman"/>
        </w:rPr>
        <w:t xml:space="preserve"> investigation efficiently. </w:t>
      </w:r>
      <w:r w:rsidR="00B57F9F">
        <w:rPr>
          <w:rFonts w:ascii="Times New Roman" w:eastAsia="Times New Roman" w:hAnsi="Times New Roman" w:cs="Times New Roman"/>
        </w:rPr>
        <w:t>Furthermore</w:t>
      </w:r>
      <w:r w:rsidRPr="00FF65C2">
        <w:rPr>
          <w:rFonts w:ascii="Times New Roman" w:eastAsia="Times New Roman" w:hAnsi="Times New Roman" w:cs="Times New Roman"/>
        </w:rPr>
        <w:t xml:space="preserve">, the internal investigation of allegations of misconduct achieves the legitimate objective </w:t>
      </w:r>
      <w:r w:rsidR="004D5445">
        <w:rPr>
          <w:rFonts w:ascii="Times New Roman" w:eastAsia="Times New Roman" w:hAnsi="Times New Roman" w:cs="Times New Roman"/>
        </w:rPr>
        <w:t>under paragraph 19(3</w:t>
      </w:r>
      <w:proofErr w:type="gramStart"/>
      <w:r w:rsidR="004D5445">
        <w:rPr>
          <w:rFonts w:ascii="Times New Roman" w:eastAsia="Times New Roman" w:hAnsi="Times New Roman" w:cs="Times New Roman"/>
        </w:rPr>
        <w:t>)(</w:t>
      </w:r>
      <w:proofErr w:type="gramEnd"/>
      <w:r w:rsidR="004D5445">
        <w:rPr>
          <w:rFonts w:ascii="Times New Roman" w:eastAsia="Times New Roman" w:hAnsi="Times New Roman" w:cs="Times New Roman"/>
        </w:rPr>
        <w:t xml:space="preserve">a) of the ICCPR </w:t>
      </w:r>
      <w:r w:rsidRPr="00FF65C2">
        <w:rPr>
          <w:rFonts w:ascii="Times New Roman" w:eastAsia="Times New Roman" w:hAnsi="Times New Roman" w:cs="Times New Roman"/>
        </w:rPr>
        <w:t>of preserving the rights and reputation of individuals who may be the subject of misconduct allegations</w:t>
      </w:r>
      <w:r w:rsidR="00325D78">
        <w:rPr>
          <w:rFonts w:ascii="Times New Roman" w:eastAsia="Times New Roman" w:hAnsi="Times New Roman" w:cs="Times New Roman"/>
        </w:rPr>
        <w:t xml:space="preserve"> that are later proven to be unfounded or false</w:t>
      </w:r>
      <w:r w:rsidRPr="00FF65C2">
        <w:rPr>
          <w:rFonts w:ascii="Times New Roman" w:eastAsia="Times New Roman" w:hAnsi="Times New Roman" w:cs="Times New Roman"/>
        </w:rPr>
        <w:t>.</w:t>
      </w:r>
    </w:p>
    <w:p w14:paraId="604C711C" w14:textId="73034EAE" w:rsidR="008169E0" w:rsidRPr="00BF6BA8" w:rsidRDefault="00AD27C4" w:rsidP="008169E0">
      <w:pPr>
        <w:spacing w:before="240" w:after="0"/>
        <w:rPr>
          <w:rFonts w:ascii="Times New Roman" w:hAnsi="Times New Roman" w:cs="Times New Roman"/>
        </w:rPr>
      </w:pPr>
      <w:r w:rsidRPr="00BF6BA8">
        <w:rPr>
          <w:rFonts w:ascii="Times New Roman" w:hAnsi="Times New Roman" w:cs="Times New Roman"/>
        </w:rPr>
        <w:t>T</w:t>
      </w:r>
      <w:r w:rsidR="008169E0" w:rsidRPr="00BF6BA8">
        <w:rPr>
          <w:rFonts w:ascii="Times New Roman" w:hAnsi="Times New Roman" w:cs="Times New Roman"/>
        </w:rPr>
        <w:t xml:space="preserve">he PID Act </w:t>
      </w:r>
      <w:r w:rsidR="00082598" w:rsidRPr="00BF6BA8">
        <w:rPr>
          <w:rFonts w:ascii="Times New Roman" w:hAnsi="Times New Roman" w:cs="Times New Roman"/>
        </w:rPr>
        <w:t xml:space="preserve">also </w:t>
      </w:r>
      <w:r w:rsidR="008169E0" w:rsidRPr="00BF6BA8">
        <w:rPr>
          <w:rFonts w:ascii="Times New Roman" w:hAnsi="Times New Roman" w:cs="Times New Roman"/>
        </w:rPr>
        <w:t>promotes th</w:t>
      </w:r>
      <w:r w:rsidR="00951665" w:rsidRPr="00BF6BA8">
        <w:rPr>
          <w:rFonts w:ascii="Times New Roman" w:hAnsi="Times New Roman" w:cs="Times New Roman"/>
        </w:rPr>
        <w:t xml:space="preserve">e right to </w:t>
      </w:r>
      <w:r w:rsidR="00BF6BA8" w:rsidRPr="00384B8F">
        <w:rPr>
          <w:rFonts w:ascii="Times New Roman" w:hAnsi="Times New Roman" w:cs="Times New Roman"/>
        </w:rPr>
        <w:t>freedom of expression</w:t>
      </w:r>
      <w:r w:rsidR="00BF6BA8" w:rsidRPr="00BF6BA8">
        <w:rPr>
          <w:rFonts w:ascii="Times New Roman" w:hAnsi="Times New Roman" w:cs="Times New Roman"/>
        </w:rPr>
        <w:t xml:space="preserve"> </w:t>
      </w:r>
      <w:r w:rsidR="008169E0" w:rsidRPr="00BF6BA8">
        <w:rPr>
          <w:rFonts w:ascii="Times New Roman" w:hAnsi="Times New Roman" w:cs="Times New Roman"/>
        </w:rPr>
        <w:t>by providing a broad range of protections to persons who make disclosures</w:t>
      </w:r>
      <w:r w:rsidR="00BF6BA8" w:rsidRPr="00384B8F">
        <w:rPr>
          <w:rFonts w:ascii="Times New Roman" w:hAnsi="Times New Roman" w:cs="Times New Roman"/>
        </w:rPr>
        <w:t xml:space="preserve"> consistent with the PID Act</w:t>
      </w:r>
      <w:r w:rsidR="008169E0" w:rsidRPr="00BF6BA8">
        <w:rPr>
          <w:rFonts w:ascii="Times New Roman" w:hAnsi="Times New Roman" w:cs="Times New Roman"/>
        </w:rPr>
        <w:t>, including:</w:t>
      </w:r>
    </w:p>
    <w:p w14:paraId="6F9C21B3" w14:textId="77777777" w:rsidR="008169E0" w:rsidRPr="00BF6BA8" w:rsidRDefault="008169E0" w:rsidP="00AD27C4">
      <w:pPr>
        <w:pStyle w:val="ListParagraph"/>
        <w:numPr>
          <w:ilvl w:val="0"/>
          <w:numId w:val="14"/>
        </w:numPr>
        <w:tabs>
          <w:tab w:val="left" w:pos="0"/>
        </w:tabs>
        <w:autoSpaceDN w:val="0"/>
        <w:spacing w:after="120"/>
        <w:ind w:left="567"/>
        <w:rPr>
          <w:rFonts w:ascii="Times New Roman" w:hAnsi="Times New Roman"/>
          <w:szCs w:val="24"/>
        </w:rPr>
      </w:pPr>
      <w:r w:rsidRPr="00BF6BA8">
        <w:rPr>
          <w:rFonts w:ascii="Times New Roman" w:hAnsi="Times New Roman"/>
          <w:szCs w:val="24"/>
        </w:rPr>
        <w:t>immunity from civil, criminal, administrative action or contractual action for making a disclosure (with some exceptions)</w:t>
      </w:r>
    </w:p>
    <w:p w14:paraId="53C5CAC2" w14:textId="77777777" w:rsidR="008169E0" w:rsidRPr="00BF6BA8" w:rsidRDefault="008169E0" w:rsidP="00AD27C4">
      <w:pPr>
        <w:pStyle w:val="ListParagraph"/>
        <w:numPr>
          <w:ilvl w:val="0"/>
          <w:numId w:val="14"/>
        </w:numPr>
        <w:tabs>
          <w:tab w:val="left" w:pos="0"/>
        </w:tabs>
        <w:autoSpaceDN w:val="0"/>
        <w:spacing w:after="120"/>
        <w:ind w:left="567"/>
        <w:rPr>
          <w:rFonts w:ascii="Times New Roman" w:hAnsi="Times New Roman"/>
          <w:szCs w:val="24"/>
        </w:rPr>
      </w:pPr>
      <w:r w:rsidRPr="00BF6BA8">
        <w:rPr>
          <w:rFonts w:ascii="Times New Roman" w:hAnsi="Times New Roman"/>
          <w:szCs w:val="24"/>
        </w:rPr>
        <w:t>a right to apply to a federal court for compensation, injunction, reinstatement and other orders if a discloser suffers ‘reprisal’ action, and</w:t>
      </w:r>
    </w:p>
    <w:p w14:paraId="65F41813" w14:textId="3F221427" w:rsidR="008169E0" w:rsidRPr="00BF6BA8" w:rsidRDefault="008169E0" w:rsidP="00AD27C4">
      <w:pPr>
        <w:pStyle w:val="ListParagraph"/>
        <w:numPr>
          <w:ilvl w:val="0"/>
          <w:numId w:val="14"/>
        </w:numPr>
        <w:tabs>
          <w:tab w:val="left" w:pos="0"/>
        </w:tabs>
        <w:autoSpaceDN w:val="0"/>
        <w:spacing w:after="120"/>
        <w:ind w:left="567"/>
        <w:rPr>
          <w:rFonts w:ascii="Times New Roman" w:hAnsi="Times New Roman" w:cs="Times New Roman"/>
        </w:rPr>
      </w:pPr>
      <w:proofErr w:type="gramStart"/>
      <w:r w:rsidRPr="00BF6BA8">
        <w:rPr>
          <w:rFonts w:ascii="Times New Roman" w:hAnsi="Times New Roman"/>
          <w:szCs w:val="24"/>
        </w:rPr>
        <w:t>provisions</w:t>
      </w:r>
      <w:proofErr w:type="gramEnd"/>
      <w:r w:rsidRPr="00BF6BA8">
        <w:rPr>
          <w:rFonts w:ascii="Times New Roman" w:hAnsi="Times New Roman"/>
          <w:szCs w:val="24"/>
        </w:rPr>
        <w:t xml:space="preserve"> making it an offence for a person to take or threaten to take reprisal action, or to use or disclose the identity of a discloser subject to</w:t>
      </w:r>
      <w:r w:rsidR="00FC5416" w:rsidRPr="00BF6BA8">
        <w:rPr>
          <w:rFonts w:ascii="Times New Roman" w:hAnsi="Times New Roman"/>
          <w:szCs w:val="24"/>
        </w:rPr>
        <w:t xml:space="preserve"> limited</w:t>
      </w:r>
      <w:r w:rsidRPr="00BF6BA8">
        <w:rPr>
          <w:rFonts w:ascii="Times New Roman" w:hAnsi="Times New Roman"/>
          <w:szCs w:val="24"/>
        </w:rPr>
        <w:t xml:space="preserve"> exceptions.</w:t>
      </w:r>
    </w:p>
    <w:p w14:paraId="5AF21C3A" w14:textId="18C2FB85" w:rsidR="00951665" w:rsidRPr="00FF65C2" w:rsidRDefault="001F79D5" w:rsidP="00951665">
      <w:pPr>
        <w:rPr>
          <w:rFonts w:ascii="Times New Roman" w:eastAsia="Times New Roman" w:hAnsi="Times New Roman" w:cs="Times New Roman"/>
        </w:rPr>
      </w:pPr>
      <w:r>
        <w:rPr>
          <w:rFonts w:ascii="Times New Roman" w:eastAsia="Times New Roman" w:hAnsi="Times New Roman" w:cs="Times New Roman"/>
        </w:rPr>
        <w:t>The</w:t>
      </w:r>
      <w:r w:rsidR="00951665">
        <w:rPr>
          <w:rFonts w:ascii="Times New Roman" w:eastAsia="Times New Roman" w:hAnsi="Times New Roman" w:cs="Times New Roman"/>
        </w:rPr>
        <w:t xml:space="preserve"> application of the PID Act to ASIC staff promotes the freedom of expression. </w:t>
      </w:r>
      <w:r w:rsidR="00951665" w:rsidRPr="00FF65C2">
        <w:rPr>
          <w:rFonts w:ascii="Times New Roman" w:eastAsia="Times New Roman" w:hAnsi="Times New Roman" w:cs="Times New Roman"/>
        </w:rPr>
        <w:t>To the extent that the PID Act contains restrictions on the freedom of expression</w:t>
      </w:r>
      <w:r w:rsidR="00A56EBB">
        <w:rPr>
          <w:rFonts w:ascii="Times New Roman" w:eastAsia="Times New Roman" w:hAnsi="Times New Roman" w:cs="Times New Roman"/>
        </w:rPr>
        <w:t>,</w:t>
      </w:r>
      <w:r w:rsidR="00951665" w:rsidRPr="00FF65C2">
        <w:rPr>
          <w:rFonts w:ascii="Times New Roman" w:eastAsia="Times New Roman" w:hAnsi="Times New Roman" w:cs="Times New Roman"/>
        </w:rPr>
        <w:t xml:space="preserve"> these restrictions achieve the legitimate objective of protecting the rights and reputation of others</w:t>
      </w:r>
      <w:r w:rsidR="0061304F">
        <w:rPr>
          <w:rFonts w:ascii="Times New Roman" w:eastAsia="Times New Roman" w:hAnsi="Times New Roman" w:cs="Times New Roman"/>
        </w:rPr>
        <w:t>. The PID Act</w:t>
      </w:r>
      <w:r w:rsidR="00A56EBB">
        <w:rPr>
          <w:rFonts w:ascii="Times New Roman" w:eastAsia="Times New Roman" w:hAnsi="Times New Roman" w:cs="Times New Roman"/>
        </w:rPr>
        <w:t xml:space="preserve"> achieves th</w:t>
      </w:r>
      <w:r w:rsidR="00384B8F">
        <w:rPr>
          <w:rFonts w:ascii="Times New Roman" w:eastAsia="Times New Roman" w:hAnsi="Times New Roman" w:cs="Times New Roman"/>
        </w:rPr>
        <w:t>is</w:t>
      </w:r>
      <w:r w:rsidR="00A56EBB">
        <w:rPr>
          <w:rFonts w:ascii="Times New Roman" w:eastAsia="Times New Roman" w:hAnsi="Times New Roman" w:cs="Times New Roman"/>
        </w:rPr>
        <w:t xml:space="preserve"> legitimate objective</w:t>
      </w:r>
      <w:r w:rsidR="00951665" w:rsidRPr="00FF65C2">
        <w:rPr>
          <w:rFonts w:ascii="Times New Roman" w:eastAsia="Times New Roman" w:hAnsi="Times New Roman" w:cs="Times New Roman"/>
        </w:rPr>
        <w:t xml:space="preserve"> in a manner that is reasonable and proportionate.</w:t>
      </w:r>
    </w:p>
    <w:p w14:paraId="5E4A4FB5" w14:textId="77777777" w:rsidR="005F5E3A" w:rsidRPr="005F5E3A" w:rsidRDefault="005F5E3A" w:rsidP="005F5E3A">
      <w:pPr>
        <w:rPr>
          <w:rFonts w:ascii="Times New Roman" w:eastAsia="Times New Roman" w:hAnsi="Times New Roman" w:cs="Times New Roman"/>
          <w:i/>
        </w:rPr>
      </w:pPr>
      <w:r w:rsidRPr="005F5E3A">
        <w:rPr>
          <w:rFonts w:ascii="Times New Roman" w:eastAsia="Times New Roman" w:hAnsi="Times New Roman" w:cs="Times New Roman"/>
          <w:i/>
        </w:rPr>
        <w:t>Right to privacy</w:t>
      </w:r>
    </w:p>
    <w:p w14:paraId="2F554AEA" w14:textId="12EEC9F0" w:rsidR="005F5E3A" w:rsidRDefault="005F5E3A" w:rsidP="005F5E3A">
      <w:pPr>
        <w:rPr>
          <w:rFonts w:ascii="Times New Roman" w:eastAsia="Times New Roman" w:hAnsi="Times New Roman" w:cs="Times New Roman"/>
        </w:rPr>
      </w:pPr>
      <w:r w:rsidRPr="005F5E3A">
        <w:rPr>
          <w:rFonts w:ascii="Times New Roman" w:eastAsia="Times New Roman" w:hAnsi="Times New Roman" w:cs="Times New Roman"/>
        </w:rPr>
        <w:t xml:space="preserve">Article 17 of the </w:t>
      </w:r>
      <w:r>
        <w:rPr>
          <w:rFonts w:ascii="Times New Roman" w:eastAsia="Times New Roman" w:hAnsi="Times New Roman" w:cs="Times New Roman"/>
        </w:rPr>
        <w:t xml:space="preserve">ICCPR </w:t>
      </w:r>
      <w:r w:rsidRPr="005F5E3A">
        <w:rPr>
          <w:rFonts w:ascii="Times New Roman" w:eastAsia="Times New Roman" w:hAnsi="Times New Roman" w:cs="Times New Roman"/>
        </w:rPr>
        <w:t xml:space="preserve">provides that no one shall be subjected to arbitrary or unlawful interference with their privacy. </w:t>
      </w:r>
      <w:r w:rsidR="004C3675">
        <w:rPr>
          <w:rFonts w:ascii="Times New Roman" w:eastAsia="Times New Roman" w:hAnsi="Times New Roman" w:cs="Times New Roman"/>
        </w:rPr>
        <w:t xml:space="preserve">The right to privacy may be engaged through the prescription of ASIC as a ‘prescribed authority’ for the purposes of the PID Act. </w:t>
      </w:r>
    </w:p>
    <w:p w14:paraId="139E5EAC" w14:textId="48C789B6" w:rsidR="00F61351" w:rsidRPr="00FF65C2" w:rsidRDefault="00F61351" w:rsidP="00F61351">
      <w:pPr>
        <w:rPr>
          <w:rFonts w:ascii="Times New Roman" w:eastAsia="Times New Roman" w:hAnsi="Times New Roman" w:cs="Times New Roman"/>
        </w:rPr>
      </w:pPr>
      <w:r w:rsidRPr="00FF65C2">
        <w:rPr>
          <w:rFonts w:ascii="Times New Roman" w:eastAsia="Times New Roman" w:hAnsi="Times New Roman" w:cs="Times New Roman"/>
        </w:rPr>
        <w:t>The PID Rules interact with and promote the right to privacy insofar as they ensure that there are restrictions on the use of ‘identifying information’. Identifying information is defined in paragraph</w:t>
      </w:r>
      <w:r>
        <w:rPr>
          <w:rFonts w:ascii="Times New Roman" w:eastAsia="Times New Roman" w:hAnsi="Times New Roman" w:cs="Times New Roman"/>
        </w:rPr>
        <w:t> </w:t>
      </w:r>
      <w:r w:rsidRPr="00FF65C2">
        <w:rPr>
          <w:rFonts w:ascii="Times New Roman" w:eastAsia="Times New Roman" w:hAnsi="Times New Roman" w:cs="Times New Roman"/>
        </w:rPr>
        <w:t>20(1</w:t>
      </w:r>
      <w:proofErr w:type="gramStart"/>
      <w:r w:rsidRPr="00FF65C2">
        <w:rPr>
          <w:rFonts w:ascii="Times New Roman" w:eastAsia="Times New Roman" w:hAnsi="Times New Roman" w:cs="Times New Roman"/>
        </w:rPr>
        <w:t>)(</w:t>
      </w:r>
      <w:proofErr w:type="gramEnd"/>
      <w:r w:rsidRPr="00FF65C2">
        <w:rPr>
          <w:rFonts w:ascii="Times New Roman" w:eastAsia="Times New Roman" w:hAnsi="Times New Roman" w:cs="Times New Roman"/>
        </w:rPr>
        <w:t xml:space="preserve">b) of the PID Act as information that is obtained by an individual in that person’s capacity as a public official and is likely to enable the identification of the individual who made </w:t>
      </w:r>
      <w:r w:rsidR="003B5521">
        <w:rPr>
          <w:rFonts w:ascii="Times New Roman" w:eastAsia="Times New Roman" w:hAnsi="Times New Roman" w:cs="Times New Roman"/>
        </w:rPr>
        <w:t>a</w:t>
      </w:r>
      <w:r w:rsidRPr="00FF65C2">
        <w:rPr>
          <w:rFonts w:ascii="Times New Roman" w:eastAsia="Times New Roman" w:hAnsi="Times New Roman" w:cs="Times New Roman"/>
        </w:rPr>
        <w:t xml:space="preserve"> public interest disclosure. Section 20 of the PID Act creates offences for the disclosure and use of identifying information. These offences carry a maximum penalty of up to </w:t>
      </w:r>
      <w:r w:rsidR="003B5521">
        <w:rPr>
          <w:rFonts w:ascii="Times New Roman" w:eastAsia="Times New Roman" w:hAnsi="Times New Roman" w:cs="Times New Roman"/>
        </w:rPr>
        <w:t>six</w:t>
      </w:r>
      <w:r w:rsidRPr="00FF65C2">
        <w:rPr>
          <w:rFonts w:ascii="Times New Roman" w:eastAsia="Times New Roman" w:hAnsi="Times New Roman" w:cs="Times New Roman"/>
        </w:rPr>
        <w:t xml:space="preserve"> months imprisonment, or 30 penalty units, or both. Subsection 20(3) provides limited exception</w:t>
      </w:r>
      <w:r w:rsidR="003B5521">
        <w:rPr>
          <w:rFonts w:ascii="Times New Roman" w:eastAsia="Times New Roman" w:hAnsi="Times New Roman" w:cs="Times New Roman"/>
        </w:rPr>
        <w:t>s</w:t>
      </w:r>
      <w:r w:rsidRPr="00FF65C2">
        <w:rPr>
          <w:rFonts w:ascii="Times New Roman" w:eastAsia="Times New Roman" w:hAnsi="Times New Roman" w:cs="Times New Roman"/>
        </w:rPr>
        <w:t xml:space="preserve"> to this offence, including disclosure or use of identifying information for the purpose of the PID Act. These offences ensure that the personal information of ASIC </w:t>
      </w:r>
      <w:r w:rsidR="003B5521">
        <w:rPr>
          <w:rFonts w:ascii="Times New Roman" w:eastAsia="Times New Roman" w:hAnsi="Times New Roman" w:cs="Times New Roman"/>
        </w:rPr>
        <w:t>staff</w:t>
      </w:r>
      <w:r w:rsidRPr="00FF65C2">
        <w:rPr>
          <w:rFonts w:ascii="Times New Roman" w:eastAsia="Times New Roman" w:hAnsi="Times New Roman" w:cs="Times New Roman"/>
        </w:rPr>
        <w:t xml:space="preserve"> who make public interest </w:t>
      </w:r>
      <w:r w:rsidR="00FA1FA5" w:rsidRPr="00FF65C2">
        <w:rPr>
          <w:rFonts w:ascii="Times New Roman" w:eastAsia="Times New Roman" w:hAnsi="Times New Roman" w:cs="Times New Roman"/>
        </w:rPr>
        <w:t>disclosures</w:t>
      </w:r>
      <w:r w:rsidRPr="00FF65C2">
        <w:rPr>
          <w:rFonts w:ascii="Times New Roman" w:eastAsia="Times New Roman" w:hAnsi="Times New Roman" w:cs="Times New Roman"/>
        </w:rPr>
        <w:t xml:space="preserve"> are protected, and that such information is only revealed under limited circumstances circumscribed </w:t>
      </w:r>
      <w:r>
        <w:rPr>
          <w:rFonts w:ascii="Times New Roman" w:eastAsia="Times New Roman" w:hAnsi="Times New Roman" w:cs="Times New Roman"/>
        </w:rPr>
        <w:t>by the</w:t>
      </w:r>
      <w:r w:rsidRPr="00FF65C2">
        <w:rPr>
          <w:rFonts w:ascii="Times New Roman" w:eastAsia="Times New Roman" w:hAnsi="Times New Roman" w:cs="Times New Roman"/>
        </w:rPr>
        <w:t xml:space="preserve"> Act. </w:t>
      </w:r>
    </w:p>
    <w:p w14:paraId="3DA2AA4D" w14:textId="18690F47" w:rsidR="00F61351" w:rsidRPr="00FF65C2" w:rsidRDefault="00F61351" w:rsidP="00F61351">
      <w:pPr>
        <w:rPr>
          <w:rFonts w:ascii="Times New Roman" w:eastAsia="Times New Roman" w:hAnsi="Times New Roman" w:cs="Times New Roman"/>
        </w:rPr>
      </w:pPr>
      <w:r w:rsidRPr="00FF65C2">
        <w:rPr>
          <w:rFonts w:ascii="Times New Roman" w:eastAsia="Times New Roman" w:hAnsi="Times New Roman" w:cs="Times New Roman"/>
        </w:rPr>
        <w:t>Section 65 of the PID Act</w:t>
      </w:r>
      <w:r w:rsidR="003F58FF">
        <w:rPr>
          <w:rFonts w:ascii="Times New Roman" w:eastAsia="Times New Roman" w:hAnsi="Times New Roman" w:cs="Times New Roman"/>
        </w:rPr>
        <w:t xml:space="preserve"> </w:t>
      </w:r>
      <w:r w:rsidRPr="00FF65C2">
        <w:rPr>
          <w:rFonts w:ascii="Times New Roman" w:eastAsia="Times New Roman" w:hAnsi="Times New Roman" w:cs="Times New Roman"/>
        </w:rPr>
        <w:t xml:space="preserve">provides that it is an offence for an individual who has obtained information in the course of conducting a </w:t>
      </w:r>
      <w:r w:rsidR="006677DA">
        <w:rPr>
          <w:rFonts w:ascii="Times New Roman" w:eastAsia="Times New Roman" w:hAnsi="Times New Roman" w:cs="Times New Roman"/>
        </w:rPr>
        <w:t>public interest disclosure</w:t>
      </w:r>
      <w:r w:rsidRPr="00FF65C2">
        <w:rPr>
          <w:rFonts w:ascii="Times New Roman" w:eastAsia="Times New Roman" w:hAnsi="Times New Roman" w:cs="Times New Roman"/>
        </w:rPr>
        <w:t xml:space="preserve"> investigation or in connection with their performance of functions under the PID Act (protected information) to provide that information to another person or to use that information. Th</w:t>
      </w:r>
      <w:r w:rsidR="00495081">
        <w:rPr>
          <w:rFonts w:ascii="Times New Roman" w:eastAsia="Times New Roman" w:hAnsi="Times New Roman" w:cs="Times New Roman"/>
        </w:rPr>
        <w:t>is</w:t>
      </w:r>
      <w:r w:rsidRPr="00FF65C2">
        <w:rPr>
          <w:rFonts w:ascii="Times New Roman" w:eastAsia="Times New Roman" w:hAnsi="Times New Roman" w:cs="Times New Roman"/>
        </w:rPr>
        <w:t xml:space="preserve"> offence carries a maximum penalty of up to two years imprisonment, 120 penalty units, or both. Subsection 65(2) provides limited exception</w:t>
      </w:r>
      <w:r w:rsidR="00495081">
        <w:rPr>
          <w:rFonts w:ascii="Times New Roman" w:eastAsia="Times New Roman" w:hAnsi="Times New Roman" w:cs="Times New Roman"/>
        </w:rPr>
        <w:t>s</w:t>
      </w:r>
      <w:r w:rsidRPr="00FF65C2">
        <w:rPr>
          <w:rFonts w:ascii="Times New Roman" w:eastAsia="Times New Roman" w:hAnsi="Times New Roman" w:cs="Times New Roman"/>
        </w:rPr>
        <w:t xml:space="preserve"> to this offence, including where the disclosure or use of that information is for the purposes of the PID Act or where it is used in connection with an individual’s performance of their functions under the Act. This </w:t>
      </w:r>
      <w:r w:rsidRPr="00FF65C2">
        <w:rPr>
          <w:rFonts w:ascii="Times New Roman" w:eastAsia="Times New Roman" w:hAnsi="Times New Roman" w:cs="Times New Roman"/>
        </w:rPr>
        <w:lastRenderedPageBreak/>
        <w:t xml:space="preserve">offence also protects </w:t>
      </w:r>
      <w:r w:rsidR="006677DA">
        <w:rPr>
          <w:rFonts w:ascii="Times New Roman" w:eastAsia="Times New Roman" w:hAnsi="Times New Roman" w:cs="Times New Roman"/>
        </w:rPr>
        <w:t xml:space="preserve">an </w:t>
      </w:r>
      <w:r w:rsidRPr="00FF65C2">
        <w:rPr>
          <w:rFonts w:ascii="Times New Roman" w:eastAsia="Times New Roman" w:hAnsi="Times New Roman" w:cs="Times New Roman"/>
        </w:rPr>
        <w:t xml:space="preserve">individual’s right to privacy by protecting information that has been obtained in </w:t>
      </w:r>
      <w:r w:rsidR="006677DA">
        <w:rPr>
          <w:rFonts w:ascii="Times New Roman" w:eastAsia="Times New Roman" w:hAnsi="Times New Roman" w:cs="Times New Roman"/>
        </w:rPr>
        <w:t>the course of considering a public interest disclosure</w:t>
      </w:r>
      <w:r w:rsidRPr="00FF65C2">
        <w:rPr>
          <w:rFonts w:ascii="Times New Roman" w:eastAsia="Times New Roman" w:hAnsi="Times New Roman" w:cs="Times New Roman"/>
        </w:rPr>
        <w:t xml:space="preserve"> made by a public official. </w:t>
      </w:r>
    </w:p>
    <w:p w14:paraId="246C2032" w14:textId="59587935" w:rsidR="00F61351" w:rsidRPr="00FF65C2" w:rsidRDefault="006677DA" w:rsidP="00F61351">
      <w:pPr>
        <w:rPr>
          <w:rFonts w:ascii="Times New Roman" w:eastAsia="Times New Roman" w:hAnsi="Times New Roman" w:cs="Times New Roman"/>
        </w:rPr>
      </w:pPr>
      <w:r>
        <w:rPr>
          <w:rFonts w:ascii="Times New Roman" w:eastAsia="Times New Roman" w:hAnsi="Times New Roman" w:cs="Times New Roman"/>
        </w:rPr>
        <w:t>To the extent that the</w:t>
      </w:r>
      <w:r w:rsidR="00F61351" w:rsidRPr="00FF65C2">
        <w:rPr>
          <w:rFonts w:ascii="Times New Roman" w:eastAsia="Times New Roman" w:hAnsi="Times New Roman" w:cs="Times New Roman"/>
        </w:rPr>
        <w:t xml:space="preserve"> offences in section</w:t>
      </w:r>
      <w:r w:rsidR="00F61351">
        <w:rPr>
          <w:rFonts w:ascii="Times New Roman" w:eastAsia="Times New Roman" w:hAnsi="Times New Roman" w:cs="Times New Roman"/>
        </w:rPr>
        <w:t>s</w:t>
      </w:r>
      <w:r w:rsidR="00F61351" w:rsidRPr="00FF65C2">
        <w:rPr>
          <w:rFonts w:ascii="Times New Roman" w:eastAsia="Times New Roman" w:hAnsi="Times New Roman" w:cs="Times New Roman"/>
        </w:rPr>
        <w:t xml:space="preserve"> 20 and 65 of the PID Act contain exceptions that permit the disclosure or use of identifying or p</w:t>
      </w:r>
      <w:r w:rsidR="00F61351">
        <w:rPr>
          <w:rFonts w:ascii="Times New Roman" w:eastAsia="Times New Roman" w:hAnsi="Times New Roman" w:cs="Times New Roman"/>
        </w:rPr>
        <w:t>rotected</w:t>
      </w:r>
      <w:r w:rsidR="00F61351" w:rsidRPr="00FF65C2">
        <w:rPr>
          <w:rFonts w:ascii="Times New Roman" w:eastAsia="Times New Roman" w:hAnsi="Times New Roman" w:cs="Times New Roman"/>
        </w:rPr>
        <w:t xml:space="preserve"> information, these limitations on the right to privacy are not arbitrary. These exceptions are narrowly confined and clearly established by law. The exceptions also achieve the legitimate objective of ensuring that relevant information can be shared to </w:t>
      </w:r>
      <w:r w:rsidR="00306DC6">
        <w:rPr>
          <w:rFonts w:ascii="Times New Roman" w:eastAsia="Times New Roman" w:hAnsi="Times New Roman" w:cs="Times New Roman"/>
        </w:rPr>
        <w:t>promote</w:t>
      </w:r>
      <w:r w:rsidR="00306DC6" w:rsidRPr="00FF65C2">
        <w:rPr>
          <w:rFonts w:ascii="Times New Roman" w:eastAsia="Times New Roman" w:hAnsi="Times New Roman" w:cs="Times New Roman"/>
        </w:rPr>
        <w:t xml:space="preserve"> </w:t>
      </w:r>
      <w:r w:rsidR="00F61351" w:rsidRPr="00FF65C2">
        <w:rPr>
          <w:rFonts w:ascii="Times New Roman" w:eastAsia="Times New Roman" w:hAnsi="Times New Roman" w:cs="Times New Roman"/>
        </w:rPr>
        <w:t>the purposes of the PID Act and enabl</w:t>
      </w:r>
      <w:r w:rsidR="00306DC6">
        <w:rPr>
          <w:rFonts w:ascii="Times New Roman" w:eastAsia="Times New Roman" w:hAnsi="Times New Roman" w:cs="Times New Roman"/>
        </w:rPr>
        <w:t>e</w:t>
      </w:r>
      <w:r w:rsidR="00F61351" w:rsidRPr="00FF65C2">
        <w:rPr>
          <w:rFonts w:ascii="Times New Roman" w:eastAsia="Times New Roman" w:hAnsi="Times New Roman" w:cs="Times New Roman"/>
        </w:rPr>
        <w:t xml:space="preserve"> staff to perform functions under the PID Act. </w:t>
      </w:r>
    </w:p>
    <w:p w14:paraId="3E37C763" w14:textId="2B265425" w:rsidR="00F61351" w:rsidRDefault="00F61351" w:rsidP="00F61351">
      <w:pPr>
        <w:rPr>
          <w:rFonts w:ascii="Times New Roman" w:eastAsia="Times New Roman" w:hAnsi="Times New Roman" w:cs="Times New Roman"/>
        </w:rPr>
      </w:pPr>
      <w:r w:rsidRPr="00FF65C2">
        <w:rPr>
          <w:rFonts w:ascii="Times New Roman" w:eastAsia="Times New Roman" w:hAnsi="Times New Roman" w:cs="Times New Roman"/>
        </w:rPr>
        <w:t xml:space="preserve">Accordingly, </w:t>
      </w:r>
      <w:r w:rsidR="007C78A8">
        <w:rPr>
          <w:rFonts w:ascii="Times New Roman" w:eastAsia="Times New Roman" w:hAnsi="Times New Roman" w:cs="Times New Roman"/>
        </w:rPr>
        <w:t>the application of the PID Act to ASIC</w:t>
      </w:r>
      <w:r w:rsidR="001D20C5">
        <w:rPr>
          <w:rFonts w:ascii="Times New Roman" w:eastAsia="Times New Roman" w:hAnsi="Times New Roman" w:cs="Times New Roman"/>
        </w:rPr>
        <w:t xml:space="preserve"> </w:t>
      </w:r>
      <w:r w:rsidR="00EA1B15">
        <w:rPr>
          <w:rFonts w:ascii="Times New Roman" w:eastAsia="Times New Roman" w:hAnsi="Times New Roman" w:cs="Times New Roman"/>
        </w:rPr>
        <w:t xml:space="preserve">staff </w:t>
      </w:r>
      <w:r w:rsidR="001D20C5">
        <w:rPr>
          <w:rFonts w:ascii="Times New Roman" w:eastAsia="Times New Roman" w:hAnsi="Times New Roman" w:cs="Times New Roman"/>
        </w:rPr>
        <w:t>through the PID Rules</w:t>
      </w:r>
      <w:r w:rsidR="007C78A8">
        <w:rPr>
          <w:rFonts w:ascii="Times New Roman" w:eastAsia="Times New Roman" w:hAnsi="Times New Roman" w:cs="Times New Roman"/>
        </w:rPr>
        <w:t xml:space="preserve"> staff</w:t>
      </w:r>
      <w:r w:rsidRPr="00FF65C2">
        <w:rPr>
          <w:rFonts w:ascii="Times New Roman" w:eastAsia="Times New Roman" w:hAnsi="Times New Roman" w:cs="Times New Roman"/>
        </w:rPr>
        <w:t xml:space="preserve"> promote</w:t>
      </w:r>
      <w:r w:rsidR="007C78A8">
        <w:rPr>
          <w:rFonts w:ascii="Times New Roman" w:eastAsia="Times New Roman" w:hAnsi="Times New Roman" w:cs="Times New Roman"/>
        </w:rPr>
        <w:t>s</w:t>
      </w:r>
      <w:r w:rsidRPr="00FF65C2">
        <w:rPr>
          <w:rFonts w:ascii="Times New Roman" w:eastAsia="Times New Roman" w:hAnsi="Times New Roman" w:cs="Times New Roman"/>
        </w:rPr>
        <w:t xml:space="preserve"> the right to privacy. </w:t>
      </w:r>
      <w:r>
        <w:rPr>
          <w:rFonts w:ascii="Times New Roman" w:eastAsia="Times New Roman" w:hAnsi="Times New Roman" w:cs="Times New Roman"/>
        </w:rPr>
        <w:t>Where the PID Act imposes restrictions</w:t>
      </w:r>
      <w:r w:rsidRPr="00FF65C2">
        <w:rPr>
          <w:rFonts w:ascii="Times New Roman" w:eastAsia="Times New Roman" w:hAnsi="Times New Roman" w:cs="Times New Roman"/>
        </w:rPr>
        <w:t xml:space="preserve"> on the right to privacy, these limitations are prescribed by law, and represent a reasonable and proportionate means of achieving the legitimate objectives of the PID Act. </w:t>
      </w:r>
    </w:p>
    <w:p w14:paraId="6F22E3A8" w14:textId="77777777" w:rsidR="00CD5682" w:rsidRDefault="00CD5682" w:rsidP="00CD5682">
      <w:pPr>
        <w:rPr>
          <w:rFonts w:ascii="Times New Roman" w:eastAsia="Times New Roman" w:hAnsi="Times New Roman" w:cs="Times New Roman"/>
          <w:i/>
        </w:rPr>
      </w:pPr>
      <w:r>
        <w:rPr>
          <w:rFonts w:ascii="Times New Roman" w:eastAsia="Times New Roman" w:hAnsi="Times New Roman" w:cs="Times New Roman"/>
          <w:i/>
        </w:rPr>
        <w:t>Presumption of innocence</w:t>
      </w:r>
    </w:p>
    <w:p w14:paraId="733ADA3D" w14:textId="3D057A7E" w:rsidR="008B5B42" w:rsidRDefault="008B5B42" w:rsidP="00CD5682">
      <w:pPr>
        <w:rPr>
          <w:rFonts w:ascii="Times New Roman" w:eastAsia="Times New Roman" w:hAnsi="Times New Roman" w:cs="Times New Roman"/>
        </w:rPr>
      </w:pPr>
      <w:r>
        <w:rPr>
          <w:rFonts w:ascii="Times New Roman" w:eastAsia="Times New Roman" w:hAnsi="Times New Roman" w:cs="Times New Roman"/>
        </w:rPr>
        <w:t xml:space="preserve">Article 14(2) provides that everyone charged with a criminal offence shall have the right to be presumed innocent until proved guilty according to law. It imposes on the prosecution the burden of proving a criminal charge and guarantees that no guilt can be presumed until the charge has been proven beyond a reasonable doubt. </w:t>
      </w:r>
    </w:p>
    <w:p w14:paraId="7E7DF41D" w14:textId="7CA629BF" w:rsidR="008B5B42" w:rsidRDefault="008B5B42" w:rsidP="008B5B42">
      <w:pPr>
        <w:rPr>
          <w:rFonts w:ascii="Times New Roman" w:eastAsia="Times New Roman" w:hAnsi="Times New Roman" w:cs="Times New Roman"/>
        </w:rPr>
      </w:pPr>
      <w:r>
        <w:rPr>
          <w:rFonts w:ascii="Times New Roman" w:eastAsia="Times New Roman" w:hAnsi="Times New Roman" w:cs="Times New Roman"/>
        </w:rPr>
        <w:t>The offences contained in the PID Act do not reverse the onus of proof as guilt is not presumed. However, the offences</w:t>
      </w:r>
      <w:r w:rsidR="00CC432D">
        <w:rPr>
          <w:rFonts w:ascii="Times New Roman" w:eastAsia="Times New Roman" w:hAnsi="Times New Roman" w:cs="Times New Roman"/>
        </w:rPr>
        <w:t xml:space="preserve"> and immunities under the PID Act </w:t>
      </w:r>
      <w:r>
        <w:rPr>
          <w:rFonts w:ascii="Times New Roman" w:eastAsia="Times New Roman" w:hAnsi="Times New Roman" w:cs="Times New Roman"/>
        </w:rPr>
        <w:t xml:space="preserve">may reverse the evidential burden. For instance, in cases where a person is seeking to claim an immunity in respect of a public interest disclosure due to the operation of the protections in section 10, the person claiming the immunity </w:t>
      </w:r>
      <w:r w:rsidRPr="003614AF">
        <w:rPr>
          <w:rFonts w:ascii="Times New Roman" w:eastAsia="Times New Roman" w:hAnsi="Times New Roman" w:cs="Times New Roman"/>
        </w:rPr>
        <w:t>bears the onus of adducing or pointing to evidence that suggests a reasonable possibilit</w:t>
      </w:r>
      <w:r>
        <w:rPr>
          <w:rFonts w:ascii="Times New Roman" w:eastAsia="Times New Roman" w:hAnsi="Times New Roman" w:cs="Times New Roman"/>
        </w:rPr>
        <w:t>y that the claim is made out (paragraph 23(1)(a)).</w:t>
      </w:r>
      <w:r w:rsidR="007E0CD8">
        <w:rPr>
          <w:rFonts w:ascii="Times New Roman" w:eastAsia="Times New Roman" w:hAnsi="Times New Roman" w:cs="Times New Roman"/>
        </w:rPr>
        <w:t xml:space="preserve"> Similarly, the offences in section 20 of the PID Act relating to the use or disclosure of identifying information requires the defendant to adduce evidence that suggests a reasonable possibility that the defences </w:t>
      </w:r>
      <w:r w:rsidR="00A308CE">
        <w:rPr>
          <w:rFonts w:ascii="Times New Roman" w:eastAsia="Times New Roman" w:hAnsi="Times New Roman" w:cs="Times New Roman"/>
        </w:rPr>
        <w:t>for such conduct contained in</w:t>
      </w:r>
      <w:r w:rsidR="007E0CD8">
        <w:rPr>
          <w:rFonts w:ascii="Times New Roman" w:eastAsia="Times New Roman" w:hAnsi="Times New Roman" w:cs="Times New Roman"/>
        </w:rPr>
        <w:t xml:space="preserve"> subsection 20(3) are applicable. </w:t>
      </w:r>
    </w:p>
    <w:p w14:paraId="7F6A53E8" w14:textId="305B7B83" w:rsidR="00CD5682" w:rsidRDefault="00EB1656" w:rsidP="00CD5682">
      <w:pPr>
        <w:rPr>
          <w:rFonts w:ascii="Times New Roman" w:eastAsia="Times New Roman" w:hAnsi="Times New Roman" w:cs="Times New Roman"/>
        </w:rPr>
      </w:pPr>
      <w:r>
        <w:rPr>
          <w:rFonts w:ascii="Times New Roman" w:eastAsia="Times New Roman" w:hAnsi="Times New Roman" w:cs="Times New Roman"/>
        </w:rPr>
        <w:t>The reversal of the evidential burden is appropriate because t</w:t>
      </w:r>
      <w:r w:rsidR="00CD5682">
        <w:rPr>
          <w:rFonts w:ascii="Times New Roman" w:eastAsia="Times New Roman" w:hAnsi="Times New Roman" w:cs="Times New Roman"/>
        </w:rPr>
        <w:t>he evidence supporting the claim that the person made a qualifying public interest disclosure</w:t>
      </w:r>
      <w:r w:rsidR="00335F4F">
        <w:rPr>
          <w:rFonts w:ascii="Times New Roman" w:eastAsia="Times New Roman" w:hAnsi="Times New Roman" w:cs="Times New Roman"/>
        </w:rPr>
        <w:t>, or that their conduct was within an exception to an offence,</w:t>
      </w:r>
      <w:r w:rsidR="00CD5682">
        <w:rPr>
          <w:rFonts w:ascii="Times New Roman" w:eastAsia="Times New Roman" w:hAnsi="Times New Roman" w:cs="Times New Roman"/>
        </w:rPr>
        <w:t xml:space="preserve"> would be </w:t>
      </w:r>
      <w:r w:rsidR="00CD5682" w:rsidRPr="0088398A">
        <w:rPr>
          <w:rFonts w:ascii="Times New Roman" w:eastAsia="Times New Roman" w:hAnsi="Times New Roman" w:cs="Times New Roman"/>
        </w:rPr>
        <w:t xml:space="preserve">peculiarly within the knowledge of </w:t>
      </w:r>
      <w:r w:rsidR="00CD5682">
        <w:rPr>
          <w:rFonts w:ascii="Times New Roman" w:eastAsia="Times New Roman" w:hAnsi="Times New Roman" w:cs="Times New Roman"/>
        </w:rPr>
        <w:t xml:space="preserve">that person, and as such </w:t>
      </w:r>
      <w:r w:rsidR="00CD5682" w:rsidRPr="0088398A">
        <w:rPr>
          <w:rFonts w:ascii="Times New Roman" w:eastAsia="Times New Roman" w:hAnsi="Times New Roman" w:cs="Times New Roman"/>
        </w:rPr>
        <w:t xml:space="preserve">it would be significantly more difficult and costly </w:t>
      </w:r>
      <w:r w:rsidR="00CD5682">
        <w:rPr>
          <w:rFonts w:ascii="Times New Roman" w:eastAsia="Times New Roman" w:hAnsi="Times New Roman" w:cs="Times New Roman"/>
        </w:rPr>
        <w:t xml:space="preserve">for the prosecution to disprove </w:t>
      </w:r>
      <w:r w:rsidR="00CD5682" w:rsidRPr="0088398A">
        <w:rPr>
          <w:rFonts w:ascii="Times New Roman" w:eastAsia="Times New Roman" w:hAnsi="Times New Roman" w:cs="Times New Roman"/>
        </w:rPr>
        <w:t xml:space="preserve">than for the </w:t>
      </w:r>
      <w:r w:rsidR="00335F4F">
        <w:rPr>
          <w:rFonts w:ascii="Times New Roman" w:eastAsia="Times New Roman" w:hAnsi="Times New Roman" w:cs="Times New Roman"/>
        </w:rPr>
        <w:t>person</w:t>
      </w:r>
      <w:r w:rsidR="00335F4F" w:rsidRPr="0088398A">
        <w:rPr>
          <w:rFonts w:ascii="Times New Roman" w:eastAsia="Times New Roman" w:hAnsi="Times New Roman" w:cs="Times New Roman"/>
        </w:rPr>
        <w:t xml:space="preserve"> </w:t>
      </w:r>
      <w:r w:rsidR="00CD5682" w:rsidRPr="0088398A">
        <w:rPr>
          <w:rFonts w:ascii="Times New Roman" w:eastAsia="Times New Roman" w:hAnsi="Times New Roman" w:cs="Times New Roman"/>
        </w:rPr>
        <w:t>to establish th</w:t>
      </w:r>
      <w:r w:rsidR="00335F4F">
        <w:rPr>
          <w:rFonts w:ascii="Times New Roman" w:eastAsia="Times New Roman" w:hAnsi="Times New Roman" w:cs="Times New Roman"/>
        </w:rPr>
        <w:t>at</w:t>
      </w:r>
      <w:r w:rsidR="00CD5682" w:rsidRPr="0088398A">
        <w:rPr>
          <w:rFonts w:ascii="Times New Roman" w:eastAsia="Times New Roman" w:hAnsi="Times New Roman" w:cs="Times New Roman"/>
        </w:rPr>
        <w:t xml:space="preserve"> matter.</w:t>
      </w:r>
      <w:r w:rsidR="00CD5682">
        <w:rPr>
          <w:rFonts w:ascii="Times New Roman" w:eastAsia="Times New Roman" w:hAnsi="Times New Roman" w:cs="Times New Roman"/>
        </w:rPr>
        <w:t xml:space="preserve"> For instance, the </w:t>
      </w:r>
      <w:r w:rsidR="00D71375">
        <w:rPr>
          <w:rFonts w:ascii="Times New Roman" w:eastAsia="Times New Roman" w:hAnsi="Times New Roman" w:cs="Times New Roman"/>
        </w:rPr>
        <w:t>person</w:t>
      </w:r>
      <w:r w:rsidR="00CD5682">
        <w:rPr>
          <w:rFonts w:ascii="Times New Roman" w:eastAsia="Times New Roman" w:hAnsi="Times New Roman" w:cs="Times New Roman"/>
        </w:rPr>
        <w:t xml:space="preserve"> may be able to avail themselves of the immunity in section 10 through providing email correspondence of the steps taken </w:t>
      </w:r>
      <w:r w:rsidR="00D71375">
        <w:rPr>
          <w:rFonts w:ascii="Times New Roman" w:eastAsia="Times New Roman" w:hAnsi="Times New Roman" w:cs="Times New Roman"/>
        </w:rPr>
        <w:t xml:space="preserve">by them </w:t>
      </w:r>
      <w:r w:rsidR="00CD5682">
        <w:rPr>
          <w:rFonts w:ascii="Times New Roman" w:eastAsia="Times New Roman" w:hAnsi="Times New Roman" w:cs="Times New Roman"/>
        </w:rPr>
        <w:t xml:space="preserve">to disclose </w:t>
      </w:r>
      <w:r w:rsidR="00D71375">
        <w:rPr>
          <w:rFonts w:ascii="Times New Roman" w:eastAsia="Times New Roman" w:hAnsi="Times New Roman" w:cs="Times New Roman"/>
        </w:rPr>
        <w:t>a matter consistently with the processes under the PID Act</w:t>
      </w:r>
      <w:r w:rsidR="00CD5682">
        <w:rPr>
          <w:rFonts w:ascii="Times New Roman" w:eastAsia="Times New Roman" w:hAnsi="Times New Roman" w:cs="Times New Roman"/>
        </w:rPr>
        <w:t xml:space="preserve">. Once the </w:t>
      </w:r>
      <w:r w:rsidR="00D71375">
        <w:rPr>
          <w:rFonts w:ascii="Times New Roman" w:eastAsia="Times New Roman" w:hAnsi="Times New Roman" w:cs="Times New Roman"/>
        </w:rPr>
        <w:t>person</w:t>
      </w:r>
      <w:r w:rsidR="00CD5682">
        <w:rPr>
          <w:rFonts w:ascii="Times New Roman" w:eastAsia="Times New Roman" w:hAnsi="Times New Roman" w:cs="Times New Roman"/>
        </w:rPr>
        <w:t xml:space="preserve"> has adduced this information, it is for the prosecution to disprove the applicability of the immunity </w:t>
      </w:r>
      <w:r w:rsidR="00335F4F">
        <w:rPr>
          <w:rFonts w:ascii="Times New Roman" w:eastAsia="Times New Roman" w:hAnsi="Times New Roman" w:cs="Times New Roman"/>
        </w:rPr>
        <w:t xml:space="preserve">in section 10 </w:t>
      </w:r>
      <w:r w:rsidR="00CD5682">
        <w:rPr>
          <w:rFonts w:ascii="Times New Roman" w:eastAsia="Times New Roman" w:hAnsi="Times New Roman" w:cs="Times New Roman"/>
        </w:rPr>
        <w:t xml:space="preserve">beyond </w:t>
      </w:r>
      <w:r w:rsidR="00500AEB">
        <w:rPr>
          <w:rFonts w:ascii="Times New Roman" w:eastAsia="Times New Roman" w:hAnsi="Times New Roman" w:cs="Times New Roman"/>
        </w:rPr>
        <w:t xml:space="preserve">a </w:t>
      </w:r>
      <w:r w:rsidR="00CD5682">
        <w:rPr>
          <w:rFonts w:ascii="Times New Roman" w:eastAsia="Times New Roman" w:hAnsi="Times New Roman" w:cs="Times New Roman"/>
        </w:rPr>
        <w:t xml:space="preserve">reasonable doubt. </w:t>
      </w:r>
    </w:p>
    <w:p w14:paraId="12E36CC6" w14:textId="4057B5DD" w:rsidR="005D5349" w:rsidRDefault="00CD5682" w:rsidP="00CD5682">
      <w:pPr>
        <w:rPr>
          <w:rFonts w:ascii="Times New Roman" w:eastAsia="Times New Roman" w:hAnsi="Times New Roman" w:cs="Times New Roman"/>
        </w:rPr>
      </w:pPr>
      <w:r>
        <w:rPr>
          <w:rFonts w:ascii="Times New Roman" w:eastAsia="Times New Roman" w:hAnsi="Times New Roman" w:cs="Times New Roman"/>
        </w:rPr>
        <w:t xml:space="preserve">Accordingly, </w:t>
      </w:r>
      <w:r w:rsidR="005D5349">
        <w:rPr>
          <w:rFonts w:ascii="Times New Roman" w:eastAsia="Times New Roman" w:hAnsi="Times New Roman" w:cs="Times New Roman"/>
        </w:rPr>
        <w:t xml:space="preserve">the PID Act, and its application to ASIC staff, does not </w:t>
      </w:r>
      <w:r w:rsidR="00CC14E3">
        <w:rPr>
          <w:rFonts w:ascii="Times New Roman" w:eastAsia="Times New Roman" w:hAnsi="Times New Roman" w:cs="Times New Roman"/>
        </w:rPr>
        <w:t>reverse the</w:t>
      </w:r>
      <w:r w:rsidR="005D5349">
        <w:rPr>
          <w:rFonts w:ascii="Times New Roman" w:eastAsia="Times New Roman" w:hAnsi="Times New Roman" w:cs="Times New Roman"/>
        </w:rPr>
        <w:t xml:space="preserve"> presumption of innocence. Where</w:t>
      </w:r>
      <w:r w:rsidR="00DE74B5">
        <w:rPr>
          <w:rFonts w:ascii="Times New Roman" w:eastAsia="Times New Roman" w:hAnsi="Times New Roman" w:cs="Times New Roman"/>
        </w:rPr>
        <w:t xml:space="preserve"> the PID Act contains a</w:t>
      </w:r>
      <w:r w:rsidR="005D5349">
        <w:rPr>
          <w:rFonts w:ascii="Times New Roman" w:eastAsia="Times New Roman" w:hAnsi="Times New Roman" w:cs="Times New Roman"/>
        </w:rPr>
        <w:t xml:space="preserve"> reversal of the evidential burden, this reversal is </w:t>
      </w:r>
      <w:r w:rsidR="007F6503">
        <w:rPr>
          <w:rFonts w:ascii="Times New Roman" w:eastAsia="Times New Roman" w:hAnsi="Times New Roman" w:cs="Times New Roman"/>
        </w:rPr>
        <w:t xml:space="preserve">appropriate in the context of the PID Act. </w:t>
      </w:r>
      <w:r w:rsidR="005E5ADF">
        <w:rPr>
          <w:rFonts w:ascii="Times New Roman" w:eastAsia="Times New Roman" w:hAnsi="Times New Roman" w:cs="Times New Roman"/>
        </w:rPr>
        <w:t xml:space="preserve">  </w:t>
      </w:r>
      <w:r w:rsidR="005D5349">
        <w:rPr>
          <w:rFonts w:ascii="Times New Roman" w:eastAsia="Times New Roman" w:hAnsi="Times New Roman" w:cs="Times New Roman"/>
        </w:rPr>
        <w:t xml:space="preserve"> </w:t>
      </w:r>
    </w:p>
    <w:p w14:paraId="206E1494" w14:textId="77777777" w:rsidR="005F5E3A" w:rsidRPr="00FF1545" w:rsidRDefault="005F5E3A" w:rsidP="00FF1545">
      <w:pPr>
        <w:rPr>
          <w:rFonts w:ascii="Times New Roman" w:eastAsia="Times New Roman" w:hAnsi="Times New Roman" w:cs="Times New Roman"/>
          <w:i/>
        </w:rPr>
      </w:pPr>
      <w:r w:rsidRPr="00FF1545">
        <w:rPr>
          <w:rFonts w:ascii="Times New Roman" w:eastAsia="Times New Roman" w:hAnsi="Times New Roman" w:cs="Times New Roman"/>
          <w:i/>
        </w:rPr>
        <w:t>Right to work and rights in work</w:t>
      </w:r>
    </w:p>
    <w:p w14:paraId="160D861D" w14:textId="4A5514C8" w:rsidR="00DD3C05" w:rsidRDefault="005F5E3A" w:rsidP="005F5E3A">
      <w:pPr>
        <w:rPr>
          <w:rFonts w:ascii="Times New Roman" w:eastAsia="Times New Roman" w:hAnsi="Times New Roman" w:cs="Times New Roman"/>
        </w:rPr>
      </w:pPr>
      <w:r w:rsidRPr="00FF1545">
        <w:rPr>
          <w:rFonts w:ascii="Times New Roman" w:eastAsia="Times New Roman" w:hAnsi="Times New Roman" w:cs="Times New Roman"/>
        </w:rPr>
        <w:t>The rig</w:t>
      </w:r>
      <w:r w:rsidR="00150687">
        <w:rPr>
          <w:rFonts w:ascii="Times New Roman" w:eastAsia="Times New Roman" w:hAnsi="Times New Roman" w:cs="Times New Roman"/>
        </w:rPr>
        <w:t>ht to work</w:t>
      </w:r>
      <w:r w:rsidR="006B0083">
        <w:rPr>
          <w:rFonts w:ascii="Times New Roman" w:eastAsia="Times New Roman" w:hAnsi="Times New Roman" w:cs="Times New Roman"/>
        </w:rPr>
        <w:t>,</w:t>
      </w:r>
      <w:r w:rsidR="00150687">
        <w:rPr>
          <w:rFonts w:ascii="Times New Roman" w:eastAsia="Times New Roman" w:hAnsi="Times New Roman" w:cs="Times New Roman"/>
        </w:rPr>
        <w:t xml:space="preserve"> </w:t>
      </w:r>
      <w:r w:rsidR="006B0083">
        <w:rPr>
          <w:rFonts w:ascii="Times New Roman" w:eastAsia="Times New Roman" w:hAnsi="Times New Roman" w:cs="Times New Roman"/>
        </w:rPr>
        <w:t xml:space="preserve">the </w:t>
      </w:r>
      <w:r w:rsidR="00150687">
        <w:rPr>
          <w:rFonts w:ascii="Times New Roman" w:eastAsia="Times New Roman" w:hAnsi="Times New Roman" w:cs="Times New Roman"/>
        </w:rPr>
        <w:t xml:space="preserve">rights in work </w:t>
      </w:r>
      <w:r w:rsidR="006B0083">
        <w:rPr>
          <w:rFonts w:ascii="Times New Roman" w:eastAsia="Times New Roman" w:hAnsi="Times New Roman" w:cs="Times New Roman"/>
        </w:rPr>
        <w:t xml:space="preserve">and the right to enjoy safe and healthy working conditions </w:t>
      </w:r>
      <w:r w:rsidR="00150687">
        <w:rPr>
          <w:rFonts w:ascii="Times New Roman" w:eastAsia="Times New Roman" w:hAnsi="Times New Roman" w:cs="Times New Roman"/>
        </w:rPr>
        <w:t>are</w:t>
      </w:r>
      <w:r w:rsidRPr="00FF1545">
        <w:rPr>
          <w:rFonts w:ascii="Times New Roman" w:eastAsia="Times New Roman" w:hAnsi="Times New Roman" w:cs="Times New Roman"/>
        </w:rPr>
        <w:t xml:space="preserve"> contained in </w:t>
      </w:r>
      <w:r w:rsidR="004C3675">
        <w:rPr>
          <w:rFonts w:ascii="Times New Roman" w:eastAsia="Times New Roman" w:hAnsi="Times New Roman" w:cs="Times New Roman"/>
        </w:rPr>
        <w:t>A</w:t>
      </w:r>
      <w:r w:rsidRPr="00FF1545">
        <w:rPr>
          <w:rFonts w:ascii="Times New Roman" w:eastAsia="Times New Roman" w:hAnsi="Times New Roman" w:cs="Times New Roman"/>
        </w:rPr>
        <w:t>rticles 6(1)</w:t>
      </w:r>
      <w:r w:rsidR="006B0083">
        <w:rPr>
          <w:rFonts w:ascii="Times New Roman" w:eastAsia="Times New Roman" w:hAnsi="Times New Roman" w:cs="Times New Roman"/>
        </w:rPr>
        <w:t xml:space="preserve"> and</w:t>
      </w:r>
      <w:r w:rsidRPr="00FF1545">
        <w:rPr>
          <w:rFonts w:ascii="Times New Roman" w:eastAsia="Times New Roman" w:hAnsi="Times New Roman" w:cs="Times New Roman"/>
        </w:rPr>
        <w:t xml:space="preserve"> 7 of the ICESCR. The</w:t>
      </w:r>
      <w:r w:rsidR="006B0083">
        <w:rPr>
          <w:rFonts w:ascii="Times New Roman" w:eastAsia="Times New Roman" w:hAnsi="Times New Roman" w:cs="Times New Roman"/>
        </w:rPr>
        <w:t>se</w:t>
      </w:r>
      <w:r w:rsidRPr="00FF1545">
        <w:rPr>
          <w:rFonts w:ascii="Times New Roman" w:eastAsia="Times New Roman" w:hAnsi="Times New Roman" w:cs="Times New Roman"/>
        </w:rPr>
        <w:t xml:space="preserve"> right</w:t>
      </w:r>
      <w:r w:rsidR="006B0083">
        <w:rPr>
          <w:rFonts w:ascii="Times New Roman" w:eastAsia="Times New Roman" w:hAnsi="Times New Roman" w:cs="Times New Roman"/>
        </w:rPr>
        <w:t>s</w:t>
      </w:r>
      <w:r w:rsidRPr="00FF1545">
        <w:rPr>
          <w:rFonts w:ascii="Times New Roman" w:eastAsia="Times New Roman" w:hAnsi="Times New Roman" w:cs="Times New Roman"/>
        </w:rPr>
        <w:t xml:space="preserve"> encompass the right not to be unjustly deprived of work, or be subject to unfair dismissal.</w:t>
      </w:r>
      <w:r w:rsidR="00DD3C05">
        <w:rPr>
          <w:rFonts w:ascii="Times New Roman" w:eastAsia="Times New Roman" w:hAnsi="Times New Roman" w:cs="Times New Roman"/>
        </w:rPr>
        <w:t xml:space="preserve"> The PID Act contains provisions that protect individuals who make public interest disclosures from reprisals, including workplace reprisals. The PID Act prohibits the dismissal of an employee, alteration of an employee’s position to his or her </w:t>
      </w:r>
      <w:r w:rsidR="00DD3C05">
        <w:rPr>
          <w:rFonts w:ascii="Times New Roman" w:eastAsia="Times New Roman" w:hAnsi="Times New Roman" w:cs="Times New Roman"/>
        </w:rPr>
        <w:lastRenderedPageBreak/>
        <w:t>detriment</w:t>
      </w:r>
      <w:r w:rsidR="00EA1B15">
        <w:rPr>
          <w:rFonts w:ascii="Times New Roman" w:eastAsia="Times New Roman" w:hAnsi="Times New Roman" w:cs="Times New Roman"/>
        </w:rPr>
        <w:t>,</w:t>
      </w:r>
      <w:r w:rsidR="00DD3C05">
        <w:rPr>
          <w:rFonts w:ascii="Times New Roman" w:eastAsia="Times New Roman" w:hAnsi="Times New Roman" w:cs="Times New Roman"/>
        </w:rPr>
        <w:t xml:space="preserve"> or discrimination between an employee and other employees, in relation to the making of a public interest disclosure. The PID Act also provides remedies if any of these reprisals occur, including reinstatement of a terminated employee. </w:t>
      </w:r>
    </w:p>
    <w:p w14:paraId="11A0258B" w14:textId="3D0B0783" w:rsidR="00DD3C05" w:rsidRDefault="00DD3C05" w:rsidP="005F5E3A">
      <w:pPr>
        <w:rPr>
          <w:rFonts w:ascii="Times New Roman" w:eastAsia="Times New Roman" w:hAnsi="Times New Roman" w:cs="Times New Roman"/>
        </w:rPr>
      </w:pPr>
      <w:r>
        <w:rPr>
          <w:rFonts w:ascii="Times New Roman" w:eastAsia="Times New Roman" w:hAnsi="Times New Roman" w:cs="Times New Roman"/>
        </w:rPr>
        <w:t xml:space="preserve">Accordingly, the </w:t>
      </w:r>
      <w:r w:rsidR="00EA1B15">
        <w:rPr>
          <w:rFonts w:ascii="Times New Roman" w:eastAsia="Times New Roman" w:hAnsi="Times New Roman" w:cs="Times New Roman"/>
        </w:rPr>
        <w:t>PID Rules,</w:t>
      </w:r>
      <w:r>
        <w:rPr>
          <w:rFonts w:ascii="Times New Roman" w:eastAsia="Times New Roman" w:hAnsi="Times New Roman" w:cs="Times New Roman"/>
        </w:rPr>
        <w:t xml:space="preserve"> </w:t>
      </w:r>
      <w:r w:rsidR="007E1C3A">
        <w:rPr>
          <w:rFonts w:ascii="Times New Roman" w:eastAsia="Times New Roman" w:hAnsi="Times New Roman" w:cs="Times New Roman"/>
        </w:rPr>
        <w:t>through its</w:t>
      </w:r>
      <w:r>
        <w:rPr>
          <w:rFonts w:ascii="Times New Roman" w:eastAsia="Times New Roman" w:hAnsi="Times New Roman" w:cs="Times New Roman"/>
        </w:rPr>
        <w:t xml:space="preserve"> application</w:t>
      </w:r>
      <w:r w:rsidR="00EA1B15">
        <w:rPr>
          <w:rFonts w:ascii="Times New Roman" w:eastAsia="Times New Roman" w:hAnsi="Times New Roman" w:cs="Times New Roman"/>
        </w:rPr>
        <w:t xml:space="preserve"> of the PID Act to ASIC staff</w:t>
      </w:r>
      <w:r>
        <w:rPr>
          <w:rFonts w:ascii="Times New Roman" w:eastAsia="Times New Roman" w:hAnsi="Times New Roman" w:cs="Times New Roman"/>
        </w:rPr>
        <w:t xml:space="preserve">, promote rights to work, the rights in work and promote a safe and healthy working environment. </w:t>
      </w:r>
    </w:p>
    <w:p w14:paraId="0F4AFBEE" w14:textId="77777777" w:rsidR="00837B97" w:rsidRPr="005F5E3A" w:rsidRDefault="00837B97" w:rsidP="00942DCD">
      <w:pPr>
        <w:rPr>
          <w:rFonts w:ascii="Times New Roman" w:hAnsi="Times New Roman" w:cs="Times New Roman"/>
        </w:rPr>
      </w:pPr>
      <w:r w:rsidRPr="005B185A">
        <w:rPr>
          <w:rFonts w:ascii="Times New Roman" w:hAnsi="Times New Roman" w:cs="Times New Roman"/>
          <w:i/>
          <w:iCs/>
          <w:color w:val="000000"/>
        </w:rPr>
        <w:t>Conclusion</w:t>
      </w:r>
    </w:p>
    <w:p w14:paraId="09BFDCEB" w14:textId="38BF4B86" w:rsidR="005F5E3A" w:rsidRPr="005F5E3A" w:rsidRDefault="00837B97" w:rsidP="00942DCD">
      <w:pPr>
        <w:rPr>
          <w:rFonts w:ascii="Times New Roman" w:hAnsi="Times New Roman" w:cs="Times New Roman"/>
        </w:rPr>
      </w:pPr>
      <w:r w:rsidRPr="00C31245">
        <w:rPr>
          <w:rFonts w:ascii="Times New Roman" w:hAnsi="Times New Roman" w:cs="Times New Roman"/>
        </w:rPr>
        <w:t>The</w:t>
      </w:r>
      <w:r w:rsidR="00C31245">
        <w:rPr>
          <w:rFonts w:ascii="Times New Roman" w:hAnsi="Times New Roman" w:cs="Times New Roman"/>
        </w:rPr>
        <w:t xml:space="preserve"> PID</w:t>
      </w:r>
      <w:r w:rsidRPr="00C31245">
        <w:rPr>
          <w:rFonts w:ascii="Times New Roman" w:hAnsi="Times New Roman" w:cs="Times New Roman"/>
        </w:rPr>
        <w:t xml:space="preserve"> Rules are compatible with the human rights and freedoms recognised or declared in the international instruments listed in section 3 of the </w:t>
      </w:r>
      <w:r w:rsidR="00C56475">
        <w:rPr>
          <w:rFonts w:ascii="Times New Roman" w:hAnsi="Times New Roman" w:cs="Times New Roman"/>
        </w:rPr>
        <w:t>Human Rights Act</w:t>
      </w:r>
      <w:r w:rsidR="005F5E3A" w:rsidRPr="005F5E3A">
        <w:rPr>
          <w:rFonts w:ascii="Times New Roman" w:hAnsi="Times New Roman" w:cs="Times New Roman"/>
        </w:rPr>
        <w:t>.</w:t>
      </w:r>
      <w:r w:rsidR="006E4A4C">
        <w:rPr>
          <w:rFonts w:ascii="Times New Roman" w:hAnsi="Times New Roman" w:cs="Times New Roman"/>
        </w:rPr>
        <w:t xml:space="preserve"> To the extent there are any limitations on the rights and freedoms identified</w:t>
      </w:r>
      <w:r w:rsidR="00F4570D">
        <w:rPr>
          <w:rFonts w:ascii="Times New Roman" w:hAnsi="Times New Roman" w:cs="Times New Roman"/>
        </w:rPr>
        <w:t xml:space="preserve"> above</w:t>
      </w:r>
      <w:r w:rsidR="006E4A4C">
        <w:rPr>
          <w:rFonts w:ascii="Times New Roman" w:hAnsi="Times New Roman" w:cs="Times New Roman"/>
        </w:rPr>
        <w:t xml:space="preserve">, these restrictions achieve a legitimate objective and do so in a manner that is reasonable and proportionate. </w:t>
      </w:r>
    </w:p>
    <w:p w14:paraId="69CDA165" w14:textId="222B8CB8" w:rsidR="005F5E3A" w:rsidRPr="005F5E3A" w:rsidRDefault="005F5E3A">
      <w:pPr>
        <w:rPr>
          <w:rFonts w:eastAsia="Times New Roman"/>
          <w:lang w:eastAsia="en-AU"/>
        </w:rPr>
      </w:pPr>
      <w:r>
        <w:rPr>
          <w:rFonts w:eastAsia="Times New Roman"/>
          <w:lang w:eastAsia="en-AU"/>
        </w:rPr>
        <w:br w:type="page"/>
      </w:r>
    </w:p>
    <w:p w14:paraId="121F2E18" w14:textId="3DA12322"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0032D546" w14:textId="16EF8987" w:rsidR="00043840" w:rsidRPr="005B185A" w:rsidRDefault="00C16B35" w:rsidP="00AD27C4">
      <w:pPr>
        <w:rPr>
          <w:rFonts w:ascii="Times New Roman" w:hAnsi="Times New Roman" w:cs="Times New Roman"/>
          <w:b/>
        </w:rPr>
      </w:pPr>
      <w:r w:rsidRPr="005B185A">
        <w:rPr>
          <w:rFonts w:ascii="Times New Roman" w:hAnsi="Times New Roman" w:cs="Times New Roman"/>
          <w:b/>
        </w:rPr>
        <w:t>Section 1 – Name</w:t>
      </w:r>
    </w:p>
    <w:p w14:paraId="4AB22170" w14:textId="5C1D6627" w:rsidR="00043840" w:rsidRPr="005B185A" w:rsidRDefault="00942DCD" w:rsidP="00AD27C4">
      <w:pPr>
        <w:rPr>
          <w:rFonts w:ascii="Times New Roman" w:hAnsi="Times New Roman" w:cs="Times New Roman"/>
        </w:rPr>
      </w:pPr>
      <w:r>
        <w:rPr>
          <w:rFonts w:ascii="Times New Roman" w:hAnsi="Times New Roman" w:cs="Times New Roman"/>
        </w:rPr>
        <w:t>This section</w:t>
      </w:r>
      <w:r w:rsidR="00C16B35" w:rsidRPr="005B185A">
        <w:rPr>
          <w:rFonts w:ascii="Times New Roman" w:hAnsi="Times New Roman" w:cs="Times New Roman"/>
        </w:rPr>
        <w:t xml:space="preserve"> provides that the title of the instrument is the </w:t>
      </w:r>
      <w:r w:rsidR="005B185A" w:rsidRPr="005B185A">
        <w:rPr>
          <w:rFonts w:ascii="Times New Roman" w:hAnsi="Times New Roman" w:cs="Times New Roman"/>
          <w:i/>
        </w:rPr>
        <w:t>Public Interest Disclosure Rules 2019</w:t>
      </w:r>
      <w:r w:rsidR="0043501F">
        <w:rPr>
          <w:rFonts w:ascii="Times New Roman" w:hAnsi="Times New Roman" w:cs="Times New Roman"/>
          <w:i/>
        </w:rPr>
        <w:t xml:space="preserve"> </w:t>
      </w:r>
      <w:r w:rsidR="0043501F">
        <w:rPr>
          <w:rFonts w:ascii="Times New Roman" w:hAnsi="Times New Roman" w:cs="Times New Roman"/>
        </w:rPr>
        <w:t>(PID Rules)</w:t>
      </w:r>
      <w:r w:rsidR="005B185A" w:rsidRPr="005B185A">
        <w:rPr>
          <w:rFonts w:ascii="Times New Roman" w:hAnsi="Times New Roman" w:cs="Times New Roman"/>
        </w:rPr>
        <w:t>.</w:t>
      </w:r>
    </w:p>
    <w:p w14:paraId="0CF8DC30" w14:textId="04E9BB7E" w:rsidR="00043840" w:rsidRPr="005B185A" w:rsidRDefault="00C16B35" w:rsidP="00AD27C4">
      <w:pPr>
        <w:rPr>
          <w:rFonts w:ascii="Times New Roman" w:hAnsi="Times New Roman" w:cs="Times New Roman"/>
          <w:b/>
        </w:rPr>
      </w:pPr>
      <w:r w:rsidRPr="005B185A">
        <w:rPr>
          <w:rFonts w:ascii="Times New Roman" w:hAnsi="Times New Roman" w:cs="Times New Roman"/>
          <w:b/>
        </w:rPr>
        <w:t>Section 2 – Commencement</w:t>
      </w:r>
    </w:p>
    <w:p w14:paraId="09BFDCFC" w14:textId="12EFAF51" w:rsidR="00C16B35" w:rsidRPr="005B185A" w:rsidRDefault="00942DCD" w:rsidP="00AD27C4">
      <w:pPr>
        <w:rPr>
          <w:rFonts w:ascii="Times New Roman" w:hAnsi="Times New Roman" w:cs="Times New Roman"/>
        </w:rPr>
      </w:pPr>
      <w:r>
        <w:rPr>
          <w:rFonts w:ascii="Times New Roman" w:hAnsi="Times New Roman" w:cs="Times New Roman"/>
        </w:rPr>
        <w:t>This section</w:t>
      </w:r>
      <w:r w:rsidR="005B185A">
        <w:rPr>
          <w:rFonts w:ascii="Times New Roman" w:hAnsi="Times New Roman" w:cs="Times New Roman"/>
        </w:rPr>
        <w:t xml:space="preserve"> provides that the </w:t>
      </w:r>
      <w:r w:rsidR="0043501F">
        <w:rPr>
          <w:rFonts w:ascii="Times New Roman" w:hAnsi="Times New Roman" w:cs="Times New Roman"/>
        </w:rPr>
        <w:t xml:space="preserve">PID Rules </w:t>
      </w:r>
      <w:r w:rsidR="005B185A">
        <w:rPr>
          <w:rFonts w:ascii="Times New Roman" w:hAnsi="Times New Roman" w:cs="Times New Roman"/>
        </w:rPr>
        <w:t xml:space="preserve">commence </w:t>
      </w:r>
      <w:r w:rsidR="00C16B35" w:rsidRPr="005B185A">
        <w:rPr>
          <w:rFonts w:ascii="Times New Roman" w:hAnsi="Times New Roman" w:cs="Times New Roman"/>
        </w:rPr>
        <w:t>on the day after the instrument is registered</w:t>
      </w:r>
      <w:r w:rsidR="005B185A" w:rsidRPr="005B185A">
        <w:rPr>
          <w:rFonts w:ascii="Times New Roman" w:hAnsi="Times New Roman" w:cs="Times New Roman"/>
        </w:rPr>
        <w:t>.</w:t>
      </w:r>
    </w:p>
    <w:p w14:paraId="09BFDCFF" w14:textId="53D0FBD0" w:rsidR="00F33269" w:rsidRDefault="005B185A" w:rsidP="00AD27C4">
      <w:pPr>
        <w:rPr>
          <w:rFonts w:ascii="Times New Roman" w:hAnsi="Times New Roman" w:cs="Times New Roman"/>
          <w:b/>
        </w:rPr>
      </w:pPr>
      <w:r w:rsidRPr="005B185A">
        <w:rPr>
          <w:rFonts w:ascii="Times New Roman" w:hAnsi="Times New Roman" w:cs="Times New Roman"/>
          <w:b/>
        </w:rPr>
        <w:t>Section</w:t>
      </w:r>
      <w:r>
        <w:rPr>
          <w:rFonts w:ascii="Times New Roman" w:hAnsi="Times New Roman" w:cs="Times New Roman"/>
          <w:b/>
        </w:rPr>
        <w:t xml:space="preserve"> 3</w:t>
      </w:r>
      <w:r w:rsidRPr="005B185A">
        <w:rPr>
          <w:rFonts w:ascii="Times New Roman" w:hAnsi="Times New Roman" w:cs="Times New Roman"/>
          <w:b/>
        </w:rPr>
        <w:t xml:space="preserve"> –</w:t>
      </w:r>
      <w:r>
        <w:rPr>
          <w:rFonts w:ascii="Times New Roman" w:hAnsi="Times New Roman" w:cs="Times New Roman"/>
          <w:b/>
        </w:rPr>
        <w:t>Authority</w:t>
      </w:r>
    </w:p>
    <w:p w14:paraId="6662FAC1" w14:textId="43118D0C" w:rsidR="005B185A" w:rsidRPr="00FF65C2" w:rsidRDefault="00942DCD" w:rsidP="00AD27C4">
      <w:pPr>
        <w:rPr>
          <w:rFonts w:ascii="Times New Roman" w:hAnsi="Times New Roman" w:cs="Times New Roman"/>
        </w:rPr>
      </w:pPr>
      <w:r>
        <w:rPr>
          <w:rFonts w:ascii="Times New Roman" w:hAnsi="Times New Roman" w:cs="Times New Roman"/>
        </w:rPr>
        <w:t>This section provides that the</w:t>
      </w:r>
      <w:r w:rsidR="005B185A">
        <w:rPr>
          <w:rFonts w:ascii="Times New Roman" w:hAnsi="Times New Roman" w:cs="Times New Roman"/>
        </w:rPr>
        <w:t xml:space="preserve"> authority for making the instrument is </w:t>
      </w:r>
      <w:r w:rsidR="00815469">
        <w:rPr>
          <w:rFonts w:ascii="Times New Roman" w:hAnsi="Times New Roman" w:cs="Times New Roman"/>
        </w:rPr>
        <w:t xml:space="preserve">the </w:t>
      </w:r>
      <w:r w:rsidR="00815469">
        <w:rPr>
          <w:rFonts w:ascii="Times New Roman" w:hAnsi="Times New Roman" w:cs="Times New Roman"/>
          <w:i/>
        </w:rPr>
        <w:t xml:space="preserve">Public Interest Disclosure Act 2013 </w:t>
      </w:r>
      <w:r w:rsidR="00815469">
        <w:rPr>
          <w:rFonts w:ascii="Times New Roman" w:hAnsi="Times New Roman" w:cs="Times New Roman"/>
        </w:rPr>
        <w:t>(</w:t>
      </w:r>
      <w:r w:rsidR="0043501F">
        <w:rPr>
          <w:rFonts w:ascii="Times New Roman" w:hAnsi="Times New Roman" w:cs="Times New Roman"/>
        </w:rPr>
        <w:t>PID Act</w:t>
      </w:r>
      <w:r w:rsidR="00815469">
        <w:rPr>
          <w:rFonts w:ascii="Times New Roman" w:hAnsi="Times New Roman" w:cs="Times New Roman"/>
        </w:rPr>
        <w:t>)</w:t>
      </w:r>
      <w:r w:rsidR="0043501F">
        <w:rPr>
          <w:rFonts w:ascii="Times New Roman" w:hAnsi="Times New Roman" w:cs="Times New Roman"/>
        </w:rPr>
        <w:t>.</w:t>
      </w:r>
    </w:p>
    <w:p w14:paraId="62EDB1F5" w14:textId="701E3872" w:rsidR="005B185A" w:rsidRDefault="005B185A" w:rsidP="00AD27C4">
      <w:pPr>
        <w:rPr>
          <w:rFonts w:ascii="Times New Roman" w:hAnsi="Times New Roman" w:cs="Times New Roman"/>
          <w:b/>
        </w:rPr>
      </w:pPr>
      <w:r w:rsidRPr="005B185A">
        <w:rPr>
          <w:rFonts w:ascii="Times New Roman" w:hAnsi="Times New Roman" w:cs="Times New Roman"/>
          <w:b/>
        </w:rPr>
        <w:t>Section</w:t>
      </w:r>
      <w:r>
        <w:rPr>
          <w:rFonts w:ascii="Times New Roman" w:hAnsi="Times New Roman" w:cs="Times New Roman"/>
          <w:b/>
        </w:rPr>
        <w:t xml:space="preserve"> 4 – Definitions </w:t>
      </w:r>
    </w:p>
    <w:p w14:paraId="2CCC36E6" w14:textId="6E027837" w:rsidR="0037148D" w:rsidRPr="00FF65C2" w:rsidRDefault="00942DCD" w:rsidP="00AD27C4">
      <w:pPr>
        <w:rPr>
          <w:rFonts w:ascii="Times New Roman" w:hAnsi="Times New Roman" w:cs="Times New Roman"/>
        </w:rPr>
      </w:pPr>
      <w:r>
        <w:rPr>
          <w:rFonts w:ascii="Times New Roman" w:hAnsi="Times New Roman" w:cs="Times New Roman"/>
        </w:rPr>
        <w:t>This section</w:t>
      </w:r>
      <w:r w:rsidR="0037148D">
        <w:rPr>
          <w:rFonts w:ascii="Times New Roman" w:hAnsi="Times New Roman" w:cs="Times New Roman"/>
        </w:rPr>
        <w:t xml:space="preserve"> provides that any reference to </w:t>
      </w:r>
      <w:r w:rsidR="0037148D">
        <w:rPr>
          <w:rFonts w:ascii="Times New Roman" w:hAnsi="Times New Roman" w:cs="Times New Roman"/>
          <w:b/>
          <w:i/>
        </w:rPr>
        <w:t>Act</w:t>
      </w:r>
      <w:r w:rsidR="0037148D">
        <w:rPr>
          <w:rFonts w:ascii="Times New Roman" w:hAnsi="Times New Roman" w:cs="Times New Roman"/>
          <w:b/>
        </w:rPr>
        <w:t xml:space="preserve"> </w:t>
      </w:r>
      <w:r w:rsidR="0037148D">
        <w:rPr>
          <w:rFonts w:ascii="Times New Roman" w:hAnsi="Times New Roman" w:cs="Times New Roman"/>
        </w:rPr>
        <w:t xml:space="preserve">in the instrument are a reference to the </w:t>
      </w:r>
      <w:r w:rsidR="00613AC2">
        <w:rPr>
          <w:rFonts w:ascii="Times New Roman" w:hAnsi="Times New Roman" w:cs="Times New Roman"/>
        </w:rPr>
        <w:t xml:space="preserve">PID Act. </w:t>
      </w:r>
    </w:p>
    <w:p w14:paraId="7E7BAEB8" w14:textId="0F6DA83A" w:rsidR="0037148D" w:rsidRDefault="0037148D" w:rsidP="00AD27C4">
      <w:pPr>
        <w:rPr>
          <w:rFonts w:ascii="Times New Roman" w:hAnsi="Times New Roman" w:cs="Times New Roman"/>
          <w:b/>
        </w:rPr>
      </w:pPr>
      <w:r>
        <w:rPr>
          <w:rFonts w:ascii="Times New Roman" w:hAnsi="Times New Roman" w:cs="Times New Roman"/>
          <w:b/>
        </w:rPr>
        <w:t xml:space="preserve">Section </w:t>
      </w:r>
      <w:r w:rsidR="00985498">
        <w:rPr>
          <w:rFonts w:ascii="Times New Roman" w:hAnsi="Times New Roman" w:cs="Times New Roman"/>
          <w:b/>
        </w:rPr>
        <w:t xml:space="preserve">5 </w:t>
      </w:r>
      <w:r>
        <w:rPr>
          <w:rFonts w:ascii="Times New Roman" w:hAnsi="Times New Roman" w:cs="Times New Roman"/>
          <w:b/>
        </w:rPr>
        <w:t xml:space="preserve">– Prescribed authorities </w:t>
      </w:r>
    </w:p>
    <w:p w14:paraId="3FBC4367" w14:textId="521A8B2B" w:rsidR="0037148D" w:rsidRPr="00FF65C2" w:rsidRDefault="00942DCD" w:rsidP="00AD27C4">
      <w:pPr>
        <w:rPr>
          <w:rFonts w:ascii="Times New Roman" w:hAnsi="Times New Roman" w:cs="Times New Roman"/>
        </w:rPr>
      </w:pPr>
      <w:r>
        <w:rPr>
          <w:rFonts w:ascii="Times New Roman" w:hAnsi="Times New Roman" w:cs="Times New Roman"/>
        </w:rPr>
        <w:t>This section</w:t>
      </w:r>
      <w:r w:rsidR="0037148D" w:rsidRPr="0037148D">
        <w:rPr>
          <w:rFonts w:ascii="Times New Roman" w:hAnsi="Times New Roman" w:cs="Times New Roman"/>
        </w:rPr>
        <w:t xml:space="preserve"> provides that </w:t>
      </w:r>
      <w:r>
        <w:rPr>
          <w:rFonts w:ascii="Times New Roman" w:hAnsi="Times New Roman" w:cs="Times New Roman"/>
        </w:rPr>
        <w:t xml:space="preserve">the </w:t>
      </w:r>
      <w:r w:rsidRPr="00942DCD">
        <w:rPr>
          <w:rFonts w:ascii="Times New Roman" w:hAnsi="Times New Roman" w:cs="Times New Roman"/>
        </w:rPr>
        <w:t>Australian Securities and Investments Commission (ASIC</w:t>
      </w:r>
      <w:r>
        <w:rPr>
          <w:rFonts w:ascii="Times New Roman" w:hAnsi="Times New Roman" w:cs="Times New Roman"/>
        </w:rPr>
        <w:t>)</w:t>
      </w:r>
      <w:r w:rsidR="00B4222B">
        <w:rPr>
          <w:rFonts w:ascii="Times New Roman" w:hAnsi="Times New Roman" w:cs="Times New Roman"/>
        </w:rPr>
        <w:t xml:space="preserve"> is a ‘prescribed authority’ for the purposes of </w:t>
      </w:r>
      <w:r w:rsidR="00F42F27" w:rsidRPr="00F42F27">
        <w:rPr>
          <w:rFonts w:ascii="Times New Roman" w:hAnsi="Times New Roman" w:cs="Times New Roman"/>
        </w:rPr>
        <w:t>subparagraph 72(1</w:t>
      </w:r>
      <w:proofErr w:type="gramStart"/>
      <w:r w:rsidR="00F42F27" w:rsidRPr="00F42F27">
        <w:rPr>
          <w:rFonts w:ascii="Times New Roman" w:hAnsi="Times New Roman" w:cs="Times New Roman"/>
        </w:rPr>
        <w:t>)(</w:t>
      </w:r>
      <w:proofErr w:type="gramEnd"/>
      <w:r w:rsidR="00F42F27" w:rsidRPr="00F42F27">
        <w:rPr>
          <w:rFonts w:ascii="Times New Roman" w:hAnsi="Times New Roman" w:cs="Times New Roman"/>
        </w:rPr>
        <w:t xml:space="preserve">p)(ii) of </w:t>
      </w:r>
      <w:r w:rsidR="00F42F27">
        <w:rPr>
          <w:rFonts w:ascii="Times New Roman" w:hAnsi="Times New Roman" w:cs="Times New Roman"/>
        </w:rPr>
        <w:t xml:space="preserve">the </w:t>
      </w:r>
      <w:r w:rsidR="00613AC2">
        <w:rPr>
          <w:rFonts w:ascii="Times New Roman" w:hAnsi="Times New Roman" w:cs="Times New Roman"/>
        </w:rPr>
        <w:t>PID Act.</w:t>
      </w:r>
    </w:p>
    <w:p w14:paraId="3182FDD2" w14:textId="4517821A" w:rsidR="00613AC2" w:rsidRDefault="00613AC2" w:rsidP="00AD27C4">
      <w:pPr>
        <w:rPr>
          <w:rFonts w:ascii="Times New Roman" w:hAnsi="Times New Roman" w:cs="Times New Roman"/>
        </w:rPr>
      </w:pPr>
      <w:r>
        <w:rPr>
          <w:rFonts w:ascii="Times New Roman" w:hAnsi="Times New Roman" w:cs="Times New Roman"/>
        </w:rPr>
        <w:t>The effect of this section is to bring ASIC within the scope of the PID Act. This will ensure that from the commencement of the PID Rules, ASIC staff will be able to make disclosures relating to Commonwealth public sector misconduct (known as ‘disclosable conduct’ under the PID Act) and obtain the PID Act’s protections for making such disclosures. These protections include:</w:t>
      </w:r>
    </w:p>
    <w:p w14:paraId="4772CF7A" w14:textId="77777777" w:rsidR="00613AC2" w:rsidRPr="00832502" w:rsidRDefault="00613AC2" w:rsidP="00613AC2">
      <w:pPr>
        <w:pStyle w:val="ListParagraph"/>
        <w:numPr>
          <w:ilvl w:val="0"/>
          <w:numId w:val="14"/>
        </w:numPr>
        <w:tabs>
          <w:tab w:val="left" w:pos="0"/>
        </w:tabs>
        <w:autoSpaceDN w:val="0"/>
        <w:spacing w:after="120"/>
        <w:ind w:left="567"/>
        <w:rPr>
          <w:rFonts w:ascii="Times New Roman" w:hAnsi="Times New Roman"/>
          <w:szCs w:val="24"/>
        </w:rPr>
      </w:pPr>
      <w:r w:rsidRPr="00832502">
        <w:rPr>
          <w:rFonts w:ascii="Times New Roman" w:hAnsi="Times New Roman"/>
          <w:szCs w:val="24"/>
        </w:rPr>
        <w:t>immunity from civil, criminal, administrative action or contractual action for making a disclosure (with some exceptions)</w:t>
      </w:r>
    </w:p>
    <w:p w14:paraId="1A8E5623" w14:textId="77777777" w:rsidR="00613AC2" w:rsidRDefault="00613AC2" w:rsidP="00613AC2">
      <w:pPr>
        <w:pStyle w:val="ListParagraph"/>
        <w:numPr>
          <w:ilvl w:val="0"/>
          <w:numId w:val="14"/>
        </w:numPr>
        <w:tabs>
          <w:tab w:val="left" w:pos="0"/>
        </w:tabs>
        <w:autoSpaceDN w:val="0"/>
        <w:spacing w:after="120"/>
        <w:ind w:left="567"/>
        <w:rPr>
          <w:rFonts w:ascii="Times New Roman" w:hAnsi="Times New Roman"/>
          <w:szCs w:val="24"/>
        </w:rPr>
      </w:pPr>
      <w:r w:rsidRPr="00832502">
        <w:rPr>
          <w:rFonts w:ascii="Times New Roman" w:hAnsi="Times New Roman"/>
          <w:szCs w:val="24"/>
        </w:rPr>
        <w:t>a right to apply to a federal court for compensation, injunction, reinstatement and other orders if a disc</w:t>
      </w:r>
      <w:r>
        <w:rPr>
          <w:rFonts w:ascii="Times New Roman" w:hAnsi="Times New Roman"/>
          <w:szCs w:val="24"/>
        </w:rPr>
        <w:t>loser suffers ‘reprisal’ action, and</w:t>
      </w:r>
    </w:p>
    <w:p w14:paraId="618B4CE3" w14:textId="77777777" w:rsidR="00613AC2" w:rsidRPr="008169E0" w:rsidRDefault="00613AC2" w:rsidP="00613AC2">
      <w:pPr>
        <w:pStyle w:val="ListParagraph"/>
        <w:numPr>
          <w:ilvl w:val="0"/>
          <w:numId w:val="14"/>
        </w:numPr>
        <w:tabs>
          <w:tab w:val="left" w:pos="0"/>
        </w:tabs>
        <w:autoSpaceDN w:val="0"/>
        <w:spacing w:after="120"/>
        <w:ind w:left="567"/>
        <w:rPr>
          <w:rFonts w:ascii="Times New Roman" w:hAnsi="Times New Roman" w:cs="Times New Roman"/>
        </w:rPr>
      </w:pPr>
      <w:proofErr w:type="gramStart"/>
      <w:r w:rsidRPr="008169E0">
        <w:rPr>
          <w:rFonts w:ascii="Times New Roman" w:hAnsi="Times New Roman"/>
          <w:szCs w:val="24"/>
        </w:rPr>
        <w:t>provisions</w:t>
      </w:r>
      <w:proofErr w:type="gramEnd"/>
      <w:r w:rsidRPr="008169E0">
        <w:rPr>
          <w:rFonts w:ascii="Times New Roman" w:hAnsi="Times New Roman"/>
          <w:szCs w:val="24"/>
        </w:rPr>
        <w:t xml:space="preserve"> making it an offence for a person to take or threaten to take reprisal action, or to use or disclose the identity of a discloser subject to</w:t>
      </w:r>
      <w:r>
        <w:rPr>
          <w:rFonts w:ascii="Times New Roman" w:hAnsi="Times New Roman"/>
          <w:szCs w:val="24"/>
        </w:rPr>
        <w:t xml:space="preserve"> limited</w:t>
      </w:r>
      <w:r w:rsidRPr="008169E0">
        <w:rPr>
          <w:rFonts w:ascii="Times New Roman" w:hAnsi="Times New Roman"/>
          <w:szCs w:val="24"/>
        </w:rPr>
        <w:t xml:space="preserve"> exceptions</w:t>
      </w:r>
      <w:r>
        <w:rPr>
          <w:rFonts w:ascii="Times New Roman" w:hAnsi="Times New Roman"/>
          <w:szCs w:val="24"/>
        </w:rPr>
        <w:t>.</w:t>
      </w:r>
    </w:p>
    <w:p w14:paraId="2BCBD0D7" w14:textId="7CDB7635" w:rsidR="00613AC2" w:rsidRDefault="00424649" w:rsidP="00AD27C4">
      <w:pPr>
        <w:rPr>
          <w:rFonts w:ascii="Times New Roman" w:hAnsi="Times New Roman" w:cs="Times New Roman"/>
        </w:rPr>
      </w:pPr>
      <w:r>
        <w:rPr>
          <w:rFonts w:ascii="Times New Roman" w:hAnsi="Times New Roman" w:cs="Times New Roman"/>
        </w:rPr>
        <w:t>Relevantly, subsection 29(3) of the PID Act provides that it is immaterial whether the ‘disclosable conduct’ that is the subject of a public interest disclosure occurred before or after the commencement of the PID Act (the Act commenced in January 2014). Accordingly, ASIC staff will be able to make public interest disclosures relating to disclosable conduct that occurred at any time, including before the commencement of the PID Act,</w:t>
      </w:r>
      <w:r w:rsidR="008A0CC9">
        <w:rPr>
          <w:rFonts w:ascii="Times New Roman" w:hAnsi="Times New Roman" w:cs="Times New Roman"/>
        </w:rPr>
        <w:t xml:space="preserve"> and the period</w:t>
      </w:r>
      <w:r>
        <w:rPr>
          <w:rFonts w:ascii="Times New Roman" w:hAnsi="Times New Roman" w:cs="Times New Roman"/>
        </w:rPr>
        <w:t xml:space="preserve"> that ASIC was temporarily outside the scope of the</w:t>
      </w:r>
      <w:r w:rsidR="00FC091A">
        <w:rPr>
          <w:rFonts w:ascii="Times New Roman" w:hAnsi="Times New Roman" w:cs="Times New Roman"/>
        </w:rPr>
        <w:t> </w:t>
      </w:r>
      <w:r w:rsidR="003437C3">
        <w:rPr>
          <w:rFonts w:ascii="Times New Roman" w:hAnsi="Times New Roman" w:cs="Times New Roman"/>
        </w:rPr>
        <w:t>Act</w:t>
      </w:r>
      <w:r>
        <w:rPr>
          <w:rFonts w:ascii="Times New Roman" w:hAnsi="Times New Roman" w:cs="Times New Roman"/>
        </w:rPr>
        <w:t xml:space="preserve">. </w:t>
      </w:r>
    </w:p>
    <w:p w14:paraId="3ADED3FF" w14:textId="77777777" w:rsidR="00424649" w:rsidRDefault="00424649" w:rsidP="00AD27C4">
      <w:pPr>
        <w:rPr>
          <w:rFonts w:ascii="Times New Roman" w:hAnsi="Times New Roman" w:cs="Times New Roman"/>
        </w:rPr>
      </w:pPr>
    </w:p>
    <w:p w14:paraId="381187F1" w14:textId="77777777" w:rsidR="00613AC2" w:rsidRPr="0037148D" w:rsidRDefault="00613AC2" w:rsidP="00AD27C4">
      <w:pPr>
        <w:rPr>
          <w:rFonts w:ascii="Times New Roman" w:hAnsi="Times New Roman" w:cs="Times New Roman"/>
        </w:rPr>
      </w:pPr>
    </w:p>
    <w:sectPr w:rsidR="00613AC2" w:rsidRPr="003714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CE68" w14:textId="77777777" w:rsidR="001B2326" w:rsidRDefault="001B2326" w:rsidP="0002636A">
      <w:pPr>
        <w:spacing w:after="0" w:line="240" w:lineRule="auto"/>
      </w:pPr>
      <w:r>
        <w:separator/>
      </w:r>
    </w:p>
  </w:endnote>
  <w:endnote w:type="continuationSeparator" w:id="0">
    <w:p w14:paraId="0D262EBC" w14:textId="77777777" w:rsidR="001B2326" w:rsidRDefault="001B2326"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9A0CCD">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41FEF" w14:textId="77777777" w:rsidR="001B2326" w:rsidRDefault="001B2326" w:rsidP="0002636A">
      <w:pPr>
        <w:spacing w:after="0" w:line="240" w:lineRule="auto"/>
      </w:pPr>
      <w:r>
        <w:separator/>
      </w:r>
    </w:p>
  </w:footnote>
  <w:footnote w:type="continuationSeparator" w:id="0">
    <w:p w14:paraId="6B86A4A8" w14:textId="77777777" w:rsidR="001B2326" w:rsidRDefault="001B2326"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70F"/>
    <w:multiLevelType w:val="hybridMultilevel"/>
    <w:tmpl w:val="37307B00"/>
    <w:lvl w:ilvl="0" w:tplc="6D5E0EC2">
      <w:numFmt w:val="bullet"/>
      <w:lvlText w:val=""/>
      <w:lvlJc w:val="left"/>
      <w:pPr>
        <w:ind w:left="720" w:hanging="360"/>
      </w:pPr>
      <w:rPr>
        <w:rFonts w:ascii="Symbol" w:eastAsia="Times New Roman" w:hAnsi="Symbol" w:cs="Times New Roman" w:hint="default"/>
      </w:rPr>
    </w:lvl>
    <w:lvl w:ilvl="1" w:tplc="657CE530" w:tentative="1">
      <w:start w:val="1"/>
      <w:numFmt w:val="bullet"/>
      <w:lvlText w:val="o"/>
      <w:lvlJc w:val="left"/>
      <w:pPr>
        <w:ind w:left="1440" w:hanging="360"/>
      </w:pPr>
      <w:rPr>
        <w:rFonts w:ascii="Courier New" w:hAnsi="Courier New" w:cs="Courier New" w:hint="default"/>
      </w:rPr>
    </w:lvl>
    <w:lvl w:ilvl="2" w:tplc="1C7E6B30" w:tentative="1">
      <w:start w:val="1"/>
      <w:numFmt w:val="bullet"/>
      <w:lvlText w:val=""/>
      <w:lvlJc w:val="left"/>
      <w:pPr>
        <w:ind w:left="2160" w:hanging="360"/>
      </w:pPr>
      <w:rPr>
        <w:rFonts w:ascii="Wingdings" w:hAnsi="Wingdings" w:hint="default"/>
      </w:rPr>
    </w:lvl>
    <w:lvl w:ilvl="3" w:tplc="79C610B6" w:tentative="1">
      <w:start w:val="1"/>
      <w:numFmt w:val="bullet"/>
      <w:lvlText w:val=""/>
      <w:lvlJc w:val="left"/>
      <w:pPr>
        <w:ind w:left="2880" w:hanging="360"/>
      </w:pPr>
      <w:rPr>
        <w:rFonts w:ascii="Symbol" w:hAnsi="Symbol" w:hint="default"/>
      </w:rPr>
    </w:lvl>
    <w:lvl w:ilvl="4" w:tplc="6810C0F8" w:tentative="1">
      <w:start w:val="1"/>
      <w:numFmt w:val="bullet"/>
      <w:lvlText w:val="o"/>
      <w:lvlJc w:val="left"/>
      <w:pPr>
        <w:ind w:left="3600" w:hanging="360"/>
      </w:pPr>
      <w:rPr>
        <w:rFonts w:ascii="Courier New" w:hAnsi="Courier New" w:cs="Courier New" w:hint="default"/>
      </w:rPr>
    </w:lvl>
    <w:lvl w:ilvl="5" w:tplc="68DC27BC" w:tentative="1">
      <w:start w:val="1"/>
      <w:numFmt w:val="bullet"/>
      <w:lvlText w:val=""/>
      <w:lvlJc w:val="left"/>
      <w:pPr>
        <w:ind w:left="4320" w:hanging="360"/>
      </w:pPr>
      <w:rPr>
        <w:rFonts w:ascii="Wingdings" w:hAnsi="Wingdings" w:hint="default"/>
      </w:rPr>
    </w:lvl>
    <w:lvl w:ilvl="6" w:tplc="BE46F374" w:tentative="1">
      <w:start w:val="1"/>
      <w:numFmt w:val="bullet"/>
      <w:lvlText w:val=""/>
      <w:lvlJc w:val="left"/>
      <w:pPr>
        <w:ind w:left="5040" w:hanging="360"/>
      </w:pPr>
      <w:rPr>
        <w:rFonts w:ascii="Symbol" w:hAnsi="Symbol" w:hint="default"/>
      </w:rPr>
    </w:lvl>
    <w:lvl w:ilvl="7" w:tplc="6DC83166" w:tentative="1">
      <w:start w:val="1"/>
      <w:numFmt w:val="bullet"/>
      <w:lvlText w:val="o"/>
      <w:lvlJc w:val="left"/>
      <w:pPr>
        <w:ind w:left="5760" w:hanging="360"/>
      </w:pPr>
      <w:rPr>
        <w:rFonts w:ascii="Courier New" w:hAnsi="Courier New" w:cs="Courier New" w:hint="default"/>
      </w:rPr>
    </w:lvl>
    <w:lvl w:ilvl="8" w:tplc="78746688"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490C16"/>
    <w:multiLevelType w:val="hybridMultilevel"/>
    <w:tmpl w:val="4C0CFB6C"/>
    <w:lvl w:ilvl="0" w:tplc="0D84C210">
      <w:start w:val="1"/>
      <w:numFmt w:val="decimal"/>
      <w:lvlText w:val="%1."/>
      <w:lvlJc w:val="left"/>
      <w:pPr>
        <w:ind w:left="1778" w:hanging="360"/>
      </w:pPr>
      <w:rPr>
        <w:rFonts w:ascii="Times New Roman" w:hAnsi="Times New Roman" w:cs="Times New Roman" w:hint="default"/>
        <w:b w:val="0"/>
        <w:i w:val="0"/>
        <w:color w:val="auto"/>
        <w:sz w:val="24"/>
        <w:szCs w:val="24"/>
      </w:rPr>
    </w:lvl>
    <w:lvl w:ilvl="1" w:tplc="0C090001">
      <w:start w:val="1"/>
      <w:numFmt w:val="bullet"/>
      <w:lvlText w:val=""/>
      <w:lvlJc w:val="left"/>
      <w:pPr>
        <w:ind w:left="730" w:hanging="360"/>
      </w:pPr>
      <w:rPr>
        <w:rFonts w:ascii="Symbol" w:hAnsi="Symbol" w:hint="default"/>
      </w:rPr>
    </w:lvl>
    <w:lvl w:ilvl="2" w:tplc="0C09001B" w:tentative="1">
      <w:start w:val="1"/>
      <w:numFmt w:val="lowerRoman"/>
      <w:lvlText w:val="%3."/>
      <w:lvlJc w:val="right"/>
      <w:pPr>
        <w:ind w:left="1450" w:hanging="180"/>
      </w:p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67303A"/>
    <w:multiLevelType w:val="hybridMultilevel"/>
    <w:tmpl w:val="D3E0C65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4"/>
  </w:num>
  <w:num w:numId="5">
    <w:abstractNumId w:val="4"/>
  </w:num>
  <w:num w:numId="6">
    <w:abstractNumId w:val="15"/>
  </w:num>
  <w:num w:numId="7">
    <w:abstractNumId w:val="1"/>
  </w:num>
  <w:num w:numId="8">
    <w:abstractNumId w:val="8"/>
  </w:num>
  <w:num w:numId="9">
    <w:abstractNumId w:val="5"/>
  </w:num>
  <w:num w:numId="10">
    <w:abstractNumId w:val="13"/>
  </w:num>
  <w:num w:numId="11">
    <w:abstractNumId w:val="12"/>
  </w:num>
  <w:num w:numId="12">
    <w:abstractNumId w:val="10"/>
  </w:num>
  <w:num w:numId="13">
    <w:abstractNumId w:val="6"/>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04315"/>
    <w:rsid w:val="00012AD6"/>
    <w:rsid w:val="0002636A"/>
    <w:rsid w:val="000323EF"/>
    <w:rsid w:val="000415BA"/>
    <w:rsid w:val="00043840"/>
    <w:rsid w:val="00082598"/>
    <w:rsid w:val="0008452E"/>
    <w:rsid w:val="00092565"/>
    <w:rsid w:val="000A66BD"/>
    <w:rsid w:val="000B41F9"/>
    <w:rsid w:val="000B46DA"/>
    <w:rsid w:val="000C209B"/>
    <w:rsid w:val="000E1EA1"/>
    <w:rsid w:val="000E2C80"/>
    <w:rsid w:val="000F0FB1"/>
    <w:rsid w:val="000F45C1"/>
    <w:rsid w:val="0010364C"/>
    <w:rsid w:val="00106CBA"/>
    <w:rsid w:val="00116D0F"/>
    <w:rsid w:val="00132863"/>
    <w:rsid w:val="001469C7"/>
    <w:rsid w:val="00150687"/>
    <w:rsid w:val="00156404"/>
    <w:rsid w:val="001663D8"/>
    <w:rsid w:val="0017632E"/>
    <w:rsid w:val="00180C89"/>
    <w:rsid w:val="00186EFA"/>
    <w:rsid w:val="00195A18"/>
    <w:rsid w:val="001A4C6E"/>
    <w:rsid w:val="001A640B"/>
    <w:rsid w:val="001B2326"/>
    <w:rsid w:val="001B52CE"/>
    <w:rsid w:val="001B5D90"/>
    <w:rsid w:val="001C4696"/>
    <w:rsid w:val="001D20C5"/>
    <w:rsid w:val="001D3031"/>
    <w:rsid w:val="001E21D5"/>
    <w:rsid w:val="001F490F"/>
    <w:rsid w:val="001F79D5"/>
    <w:rsid w:val="002348B3"/>
    <w:rsid w:val="002356DC"/>
    <w:rsid w:val="0026109C"/>
    <w:rsid w:val="00262B9E"/>
    <w:rsid w:val="002654E9"/>
    <w:rsid w:val="00274081"/>
    <w:rsid w:val="00281587"/>
    <w:rsid w:val="0029189B"/>
    <w:rsid w:val="002A387D"/>
    <w:rsid w:val="002B361E"/>
    <w:rsid w:val="002C4BA5"/>
    <w:rsid w:val="002C5B76"/>
    <w:rsid w:val="002D5033"/>
    <w:rsid w:val="002E2783"/>
    <w:rsid w:val="002F1B45"/>
    <w:rsid w:val="00306DC6"/>
    <w:rsid w:val="00311323"/>
    <w:rsid w:val="00325D78"/>
    <w:rsid w:val="00335F4F"/>
    <w:rsid w:val="003437C3"/>
    <w:rsid w:val="003516FD"/>
    <w:rsid w:val="0037148D"/>
    <w:rsid w:val="00381AEC"/>
    <w:rsid w:val="00384B8F"/>
    <w:rsid w:val="003B4C91"/>
    <w:rsid w:val="003B5521"/>
    <w:rsid w:val="003B6050"/>
    <w:rsid w:val="003C6789"/>
    <w:rsid w:val="003D079D"/>
    <w:rsid w:val="003E024F"/>
    <w:rsid w:val="003F331C"/>
    <w:rsid w:val="003F58FF"/>
    <w:rsid w:val="00402A04"/>
    <w:rsid w:val="004227B7"/>
    <w:rsid w:val="00424649"/>
    <w:rsid w:val="0043501F"/>
    <w:rsid w:val="004518A4"/>
    <w:rsid w:val="004531AD"/>
    <w:rsid w:val="00455BAA"/>
    <w:rsid w:val="004709FE"/>
    <w:rsid w:val="004734D5"/>
    <w:rsid w:val="004860F1"/>
    <w:rsid w:val="0049094A"/>
    <w:rsid w:val="00495081"/>
    <w:rsid w:val="004A0438"/>
    <w:rsid w:val="004A4086"/>
    <w:rsid w:val="004A746C"/>
    <w:rsid w:val="004B3C03"/>
    <w:rsid w:val="004C3675"/>
    <w:rsid w:val="004D5445"/>
    <w:rsid w:val="004F1D6A"/>
    <w:rsid w:val="004F430F"/>
    <w:rsid w:val="004F5AF9"/>
    <w:rsid w:val="00500AEB"/>
    <w:rsid w:val="0050398F"/>
    <w:rsid w:val="00510C3B"/>
    <w:rsid w:val="00521029"/>
    <w:rsid w:val="00535220"/>
    <w:rsid w:val="005603EB"/>
    <w:rsid w:val="00566C9B"/>
    <w:rsid w:val="005923C7"/>
    <w:rsid w:val="005B185A"/>
    <w:rsid w:val="005B3675"/>
    <w:rsid w:val="005D1727"/>
    <w:rsid w:val="005D194A"/>
    <w:rsid w:val="005D5349"/>
    <w:rsid w:val="005D6954"/>
    <w:rsid w:val="005E5ADF"/>
    <w:rsid w:val="005F0184"/>
    <w:rsid w:val="005F5E3A"/>
    <w:rsid w:val="0061304F"/>
    <w:rsid w:val="00613AC2"/>
    <w:rsid w:val="006216D2"/>
    <w:rsid w:val="006222BC"/>
    <w:rsid w:val="0063239B"/>
    <w:rsid w:val="00634AE9"/>
    <w:rsid w:val="00635C6A"/>
    <w:rsid w:val="006440B6"/>
    <w:rsid w:val="006677DA"/>
    <w:rsid w:val="00670C8D"/>
    <w:rsid w:val="00674543"/>
    <w:rsid w:val="00675D87"/>
    <w:rsid w:val="00686331"/>
    <w:rsid w:val="006B0083"/>
    <w:rsid w:val="006C1D23"/>
    <w:rsid w:val="006D2818"/>
    <w:rsid w:val="006E22EF"/>
    <w:rsid w:val="006E48AF"/>
    <w:rsid w:val="006E4A4C"/>
    <w:rsid w:val="006F56E4"/>
    <w:rsid w:val="00703CA6"/>
    <w:rsid w:val="00705FA0"/>
    <w:rsid w:val="0073477A"/>
    <w:rsid w:val="00750DF9"/>
    <w:rsid w:val="00761639"/>
    <w:rsid w:val="00764E26"/>
    <w:rsid w:val="007668EA"/>
    <w:rsid w:val="00785C8D"/>
    <w:rsid w:val="0079151C"/>
    <w:rsid w:val="007B7195"/>
    <w:rsid w:val="007C5117"/>
    <w:rsid w:val="007C78A8"/>
    <w:rsid w:val="007E0CD8"/>
    <w:rsid w:val="007E1C3A"/>
    <w:rsid w:val="007E2AA4"/>
    <w:rsid w:val="007E4E88"/>
    <w:rsid w:val="007F1D53"/>
    <w:rsid w:val="007F6503"/>
    <w:rsid w:val="00805904"/>
    <w:rsid w:val="00815469"/>
    <w:rsid w:val="008169E0"/>
    <w:rsid w:val="00837B97"/>
    <w:rsid w:val="00853872"/>
    <w:rsid w:val="00872B27"/>
    <w:rsid w:val="008906CF"/>
    <w:rsid w:val="00894D9D"/>
    <w:rsid w:val="0089695F"/>
    <w:rsid w:val="008A0CC9"/>
    <w:rsid w:val="008B2955"/>
    <w:rsid w:val="008B5B42"/>
    <w:rsid w:val="008C0F2A"/>
    <w:rsid w:val="008E00E8"/>
    <w:rsid w:val="008E7129"/>
    <w:rsid w:val="008F5E61"/>
    <w:rsid w:val="00902F3D"/>
    <w:rsid w:val="00911332"/>
    <w:rsid w:val="009227B6"/>
    <w:rsid w:val="00942DCD"/>
    <w:rsid w:val="00951665"/>
    <w:rsid w:val="00957401"/>
    <w:rsid w:val="009601BB"/>
    <w:rsid w:val="00963F29"/>
    <w:rsid w:val="00985498"/>
    <w:rsid w:val="00995EA3"/>
    <w:rsid w:val="009A0CCD"/>
    <w:rsid w:val="009A341B"/>
    <w:rsid w:val="009B1F88"/>
    <w:rsid w:val="009B6322"/>
    <w:rsid w:val="009C0199"/>
    <w:rsid w:val="009C0BE2"/>
    <w:rsid w:val="009D2B82"/>
    <w:rsid w:val="009D7EFC"/>
    <w:rsid w:val="009E7F76"/>
    <w:rsid w:val="00A06EA2"/>
    <w:rsid w:val="00A202D2"/>
    <w:rsid w:val="00A269CD"/>
    <w:rsid w:val="00A306D2"/>
    <w:rsid w:val="00A308CE"/>
    <w:rsid w:val="00A363CF"/>
    <w:rsid w:val="00A47A3A"/>
    <w:rsid w:val="00A56EBB"/>
    <w:rsid w:val="00A71ADF"/>
    <w:rsid w:val="00AA77B8"/>
    <w:rsid w:val="00AB3F89"/>
    <w:rsid w:val="00AC39E5"/>
    <w:rsid w:val="00AD27C4"/>
    <w:rsid w:val="00AF0C63"/>
    <w:rsid w:val="00AF56DD"/>
    <w:rsid w:val="00AF673F"/>
    <w:rsid w:val="00B273E1"/>
    <w:rsid w:val="00B4222B"/>
    <w:rsid w:val="00B422CF"/>
    <w:rsid w:val="00B427D5"/>
    <w:rsid w:val="00B57503"/>
    <w:rsid w:val="00B57F9F"/>
    <w:rsid w:val="00B756A0"/>
    <w:rsid w:val="00B828BC"/>
    <w:rsid w:val="00B94549"/>
    <w:rsid w:val="00BA204A"/>
    <w:rsid w:val="00BA3F3C"/>
    <w:rsid w:val="00BE4AFC"/>
    <w:rsid w:val="00BF6BA8"/>
    <w:rsid w:val="00C16B35"/>
    <w:rsid w:val="00C31245"/>
    <w:rsid w:val="00C452FF"/>
    <w:rsid w:val="00C56475"/>
    <w:rsid w:val="00C76B40"/>
    <w:rsid w:val="00C8585A"/>
    <w:rsid w:val="00C858F4"/>
    <w:rsid w:val="00C91B56"/>
    <w:rsid w:val="00CB683E"/>
    <w:rsid w:val="00CC14E3"/>
    <w:rsid w:val="00CC432D"/>
    <w:rsid w:val="00CC5410"/>
    <w:rsid w:val="00CD5682"/>
    <w:rsid w:val="00CE6485"/>
    <w:rsid w:val="00CF0104"/>
    <w:rsid w:val="00CF14E3"/>
    <w:rsid w:val="00CF65D0"/>
    <w:rsid w:val="00D16BEF"/>
    <w:rsid w:val="00D26F2E"/>
    <w:rsid w:val="00D36258"/>
    <w:rsid w:val="00D50F23"/>
    <w:rsid w:val="00D51A2A"/>
    <w:rsid w:val="00D52C80"/>
    <w:rsid w:val="00D66F0B"/>
    <w:rsid w:val="00D71375"/>
    <w:rsid w:val="00D812D7"/>
    <w:rsid w:val="00DB2DA6"/>
    <w:rsid w:val="00DB54AF"/>
    <w:rsid w:val="00DD3C05"/>
    <w:rsid w:val="00DE74B5"/>
    <w:rsid w:val="00E23B2F"/>
    <w:rsid w:val="00E35AC1"/>
    <w:rsid w:val="00E366D9"/>
    <w:rsid w:val="00E44073"/>
    <w:rsid w:val="00E7467A"/>
    <w:rsid w:val="00E7484B"/>
    <w:rsid w:val="00E774F1"/>
    <w:rsid w:val="00E81349"/>
    <w:rsid w:val="00E81553"/>
    <w:rsid w:val="00EA1B15"/>
    <w:rsid w:val="00EB1656"/>
    <w:rsid w:val="00EC18E2"/>
    <w:rsid w:val="00EC6E9A"/>
    <w:rsid w:val="00ED357E"/>
    <w:rsid w:val="00ED6B88"/>
    <w:rsid w:val="00EF1046"/>
    <w:rsid w:val="00F10A91"/>
    <w:rsid w:val="00F11561"/>
    <w:rsid w:val="00F26896"/>
    <w:rsid w:val="00F33269"/>
    <w:rsid w:val="00F42F27"/>
    <w:rsid w:val="00F4570D"/>
    <w:rsid w:val="00F51D01"/>
    <w:rsid w:val="00F61351"/>
    <w:rsid w:val="00F621CC"/>
    <w:rsid w:val="00F66E3C"/>
    <w:rsid w:val="00F769DC"/>
    <w:rsid w:val="00F863B6"/>
    <w:rsid w:val="00FA1FA5"/>
    <w:rsid w:val="00FC091A"/>
    <w:rsid w:val="00FC5416"/>
    <w:rsid w:val="00FD66B0"/>
    <w:rsid w:val="00FF1545"/>
    <w:rsid w:val="00FF6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Basetext">
    <w:name w:val="Base text"/>
    <w:basedOn w:val="Normal"/>
    <w:link w:val="BasetextChar"/>
    <w:qFormat/>
    <w:rsid w:val="00837B97"/>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837B97"/>
    <w:rPr>
      <w:rFonts w:ascii="Times New Roman" w:eastAsia="Times New Roman" w:hAnsi="Times New Roman" w:cs="Times New Roman"/>
      <w:snapToGrid w:val="0"/>
    </w:rPr>
  </w:style>
  <w:style w:type="paragraph" w:customStyle="1" w:styleId="Celltext">
    <w:name w:val="Cell text"/>
    <w:basedOn w:val="Normal"/>
    <w:rsid w:val="00761639"/>
    <w:pPr>
      <w:spacing w:before="120"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8169E0"/>
  </w:style>
  <w:style w:type="paragraph" w:styleId="Revision">
    <w:name w:val="Revision"/>
    <w:hidden/>
    <w:uiPriority w:val="99"/>
    <w:semiHidden/>
    <w:rsid w:val="00A56EBB"/>
    <w:pPr>
      <w:spacing w:after="0" w:line="240" w:lineRule="auto"/>
    </w:pPr>
  </w:style>
  <w:style w:type="character" w:styleId="IntenseEmphasis">
    <w:name w:val="Intense Emphasis"/>
    <w:basedOn w:val="DefaultParagraphFont"/>
    <w:uiPriority w:val="21"/>
    <w:qFormat/>
    <w:rsid w:val="009A0CC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B0EE206-CDC3-4E6F-A24D-31DD0E3E41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CEF2EBFCAFB84ABC5CFA786CBE40BC" ma:contentTypeVersion="" ma:contentTypeDescription="PDMS Document Site Content Type" ma:contentTypeScope="" ma:versionID="7f8b630305eb257ca644d29b71b947fa">
  <xsd:schema xmlns:xsd="http://www.w3.org/2001/XMLSchema" xmlns:xs="http://www.w3.org/2001/XMLSchema" xmlns:p="http://schemas.microsoft.com/office/2006/metadata/properties" xmlns:ns2="FB0EE206-CDC3-4E6F-A24D-31DD0E3E4196" targetNamespace="http://schemas.microsoft.com/office/2006/metadata/properties" ma:root="true" ma:fieldsID="19c22565ef3e04adfa24700509abad02" ns2:_="">
    <xsd:import namespace="FB0EE206-CDC3-4E6F-A24D-31DD0E3E419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EE206-CDC3-4E6F-A24D-31DD0E3E419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FB0EE206-CDC3-4E6F-A24D-31DD0E3E4196"/>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2DEB12CD-B0D8-4688-87DA-75FB41BD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EE206-CDC3-4E6F-A24D-31DD0E3E4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E2421-6F60-45BE-BCD4-DA968CB5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3372</Words>
  <Characters>19728</Characters>
  <Application>Microsoft Office Word</Application>
  <DocSecurity>0</DocSecurity>
  <Lines>358</Lines>
  <Paragraphs>194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Aravindan, Sanjeevan</cp:lastModifiedBy>
  <cp:revision>3</cp:revision>
  <dcterms:created xsi:type="dcterms:W3CDTF">2019-10-09T22:06:00Z</dcterms:created>
  <dcterms:modified xsi:type="dcterms:W3CDTF">2019-10-10T04:40:00Z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0x010100266966F133664895A6EE3632470D45F500E5CEF2EBFCAFB84ABC5CFA786CBE40BC</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