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49FF" w14:textId="77777777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14:paraId="5C0D7A20" w14:textId="1ABD3302"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9571F0" w:rsidRPr="009571F0">
        <w:t xml:space="preserve">Assistant </w:t>
      </w:r>
      <w:r w:rsidR="00D22385">
        <w:t>Treasurer</w:t>
      </w:r>
    </w:p>
    <w:p w14:paraId="0C130A33" w14:textId="26FBA63C" w:rsidR="00F109D4" w:rsidRPr="00503E44" w:rsidRDefault="009571F0" w:rsidP="00AA1689">
      <w:pPr>
        <w:spacing w:before="0" w:after="240"/>
        <w:jc w:val="center"/>
        <w:rPr>
          <w:i/>
        </w:rPr>
      </w:pPr>
      <w:r w:rsidRPr="009571F0">
        <w:rPr>
          <w:i/>
        </w:rPr>
        <w:t>Currency Act 1965</w:t>
      </w:r>
    </w:p>
    <w:p w14:paraId="517B0192" w14:textId="1CEB4323" w:rsidR="00F109D4" w:rsidRPr="00503E44" w:rsidRDefault="009571F0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9571F0">
        <w:rPr>
          <w:i/>
        </w:rPr>
        <w:t xml:space="preserve">Currency </w:t>
      </w:r>
      <w:r w:rsidR="0090576A">
        <w:rPr>
          <w:i/>
        </w:rPr>
        <w:t xml:space="preserve">Amendment </w:t>
      </w:r>
      <w:r w:rsidRPr="009571F0">
        <w:rPr>
          <w:i/>
        </w:rPr>
        <w:t>(</w:t>
      </w:r>
      <w:r w:rsidR="0090576A">
        <w:rPr>
          <w:i/>
        </w:rPr>
        <w:t xml:space="preserve">Consequential </w:t>
      </w:r>
      <w:r w:rsidR="00486563">
        <w:rPr>
          <w:i/>
        </w:rPr>
        <w:t>Amendments</w:t>
      </w:r>
      <w:r w:rsidRPr="009571F0">
        <w:rPr>
          <w:i/>
        </w:rPr>
        <w:t>) Determination 201</w:t>
      </w:r>
      <w:r w:rsidR="00162FDE">
        <w:rPr>
          <w:i/>
        </w:rPr>
        <w:t>9</w:t>
      </w:r>
    </w:p>
    <w:p w14:paraId="351F1BEC" w14:textId="7FC6676F" w:rsidR="009571F0" w:rsidRDefault="009571F0" w:rsidP="009571F0">
      <w:pPr>
        <w:spacing w:before="240"/>
      </w:pPr>
      <w:r w:rsidRPr="00503E44">
        <w:t>S</w:t>
      </w:r>
      <w:r>
        <w:t>ubs</w:t>
      </w:r>
      <w:r w:rsidRPr="00503E44">
        <w:t xml:space="preserve">ection </w:t>
      </w:r>
      <w:r>
        <w:t xml:space="preserve">13(2) and section 13A </w:t>
      </w:r>
      <w:r w:rsidRPr="00503E44">
        <w:t xml:space="preserve">of the </w:t>
      </w:r>
      <w:r w:rsidRPr="005A48DB">
        <w:rPr>
          <w:i/>
        </w:rPr>
        <w:t>Currency Act 1965</w:t>
      </w:r>
      <w:r w:rsidRPr="00503E44">
        <w:t xml:space="preserve"> (the Act) provide that the </w:t>
      </w:r>
      <w:r>
        <w:t>Treasurer may, by legislative instrument, determine</w:t>
      </w:r>
      <w:r w:rsidRPr="00503E44">
        <w:t xml:space="preserve"> </w:t>
      </w:r>
      <w:r w:rsidRPr="005127F8">
        <w:rPr>
          <w:szCs w:val="24"/>
        </w:rPr>
        <w:t xml:space="preserve">details of </w:t>
      </w:r>
      <w:r>
        <w:rPr>
          <w:szCs w:val="24"/>
        </w:rPr>
        <w:t xml:space="preserve">Australian </w:t>
      </w:r>
      <w:r w:rsidRPr="005127F8">
        <w:rPr>
          <w:szCs w:val="24"/>
        </w:rPr>
        <w:t>coin characteristics including</w:t>
      </w:r>
      <w:r>
        <w:rPr>
          <w:szCs w:val="24"/>
        </w:rPr>
        <w:t xml:space="preserve"> denomination, </w:t>
      </w:r>
      <w:r w:rsidRPr="005127F8">
        <w:rPr>
          <w:szCs w:val="24"/>
        </w:rPr>
        <w:t>standard composition, standard weight, allowable variation from standard weight, design and dimensions.</w:t>
      </w:r>
    </w:p>
    <w:p w14:paraId="057EF053" w14:textId="650EDE2B" w:rsidR="009571F0" w:rsidRPr="008A0EBD" w:rsidRDefault="009571F0" w:rsidP="009571F0">
      <w:pPr>
        <w:spacing w:before="240"/>
      </w:pPr>
      <w:r>
        <w:t xml:space="preserve">The purpose of this legislative instrument is </w:t>
      </w:r>
      <w:r w:rsidR="00B85219">
        <w:t xml:space="preserve">to </w:t>
      </w:r>
      <w:r w:rsidR="0090576A">
        <w:t xml:space="preserve">repeal the </w:t>
      </w:r>
      <w:r w:rsidR="0090576A" w:rsidRPr="00857C32">
        <w:rPr>
          <w:i/>
        </w:rPr>
        <w:t>Currency (Perth Mint) Determination (No. 1) 2019</w:t>
      </w:r>
      <w:r w:rsidR="0090576A">
        <w:t xml:space="preserve">, </w:t>
      </w:r>
      <w:r w:rsidR="0090576A" w:rsidRPr="00857C32">
        <w:rPr>
          <w:i/>
        </w:rPr>
        <w:t>Currency (Perth Mint) Determination (No. 3) 2019</w:t>
      </w:r>
      <w:r w:rsidR="0090576A">
        <w:t xml:space="preserve">, </w:t>
      </w:r>
      <w:r w:rsidR="002E1394" w:rsidRPr="00857C32">
        <w:rPr>
          <w:i/>
        </w:rPr>
        <w:t>Currency (Perth Mint) Determination (No. </w:t>
      </w:r>
      <w:r w:rsidR="002E1394">
        <w:rPr>
          <w:i/>
        </w:rPr>
        <w:t>4</w:t>
      </w:r>
      <w:r w:rsidR="002E1394" w:rsidRPr="00857C32">
        <w:rPr>
          <w:i/>
        </w:rPr>
        <w:t xml:space="preserve">) </w:t>
      </w:r>
      <w:r w:rsidR="002E1394" w:rsidRPr="002E1394">
        <w:t>2019</w:t>
      </w:r>
      <w:r w:rsidR="002E1394">
        <w:t xml:space="preserve">, </w:t>
      </w:r>
      <w:r w:rsidR="0090576A" w:rsidRPr="002E1394">
        <w:rPr>
          <w:i/>
        </w:rPr>
        <w:t>Currency</w:t>
      </w:r>
      <w:r w:rsidR="0090576A" w:rsidRPr="00857C32">
        <w:rPr>
          <w:i/>
        </w:rPr>
        <w:t xml:space="preserve"> (Royal Australian Mint) Determination (No. 1) 2019</w:t>
      </w:r>
      <w:r w:rsidR="002E1394">
        <w:t xml:space="preserve">, </w:t>
      </w:r>
      <w:r w:rsidR="002E1394" w:rsidRPr="00857C32">
        <w:rPr>
          <w:i/>
        </w:rPr>
        <w:t xml:space="preserve">Currency (Royal Australian Mint) Determination (No. </w:t>
      </w:r>
      <w:r w:rsidR="002E1394">
        <w:rPr>
          <w:i/>
        </w:rPr>
        <w:t>3</w:t>
      </w:r>
      <w:r w:rsidR="002E1394" w:rsidRPr="00857C32">
        <w:rPr>
          <w:i/>
        </w:rPr>
        <w:t>) 2019</w:t>
      </w:r>
      <w:r w:rsidR="002E1394">
        <w:t xml:space="preserve">, </w:t>
      </w:r>
      <w:r w:rsidR="002E1394" w:rsidRPr="00857C32">
        <w:rPr>
          <w:i/>
        </w:rPr>
        <w:t xml:space="preserve">Currency (Royal Australian Mint) Determination (No. </w:t>
      </w:r>
      <w:r w:rsidR="002E1394">
        <w:rPr>
          <w:i/>
        </w:rPr>
        <w:t>4</w:t>
      </w:r>
      <w:r w:rsidR="002E1394" w:rsidRPr="00857C32">
        <w:rPr>
          <w:i/>
        </w:rPr>
        <w:t>) 2019</w:t>
      </w:r>
      <w:r w:rsidR="0090576A">
        <w:t xml:space="preserve"> and </w:t>
      </w:r>
      <w:r w:rsidR="0090576A" w:rsidRPr="00857C32">
        <w:rPr>
          <w:i/>
        </w:rPr>
        <w:t>Currency (Royal Australian Mint) Determ</w:t>
      </w:r>
      <w:bookmarkStart w:id="0" w:name="_GoBack"/>
      <w:bookmarkEnd w:id="0"/>
      <w:r w:rsidR="0090576A" w:rsidRPr="00857C32">
        <w:rPr>
          <w:i/>
        </w:rPr>
        <w:t xml:space="preserve">ination (No. </w:t>
      </w:r>
      <w:r w:rsidR="002E1394">
        <w:rPr>
          <w:i/>
        </w:rPr>
        <w:t>5</w:t>
      </w:r>
      <w:r w:rsidR="0090576A" w:rsidRPr="00857C32">
        <w:rPr>
          <w:i/>
        </w:rPr>
        <w:t>) 2019</w:t>
      </w:r>
      <w:r w:rsidR="002E1394">
        <w:t xml:space="preserve">, </w:t>
      </w:r>
      <w:r w:rsidR="0090576A">
        <w:rPr>
          <w:szCs w:val="24"/>
        </w:rPr>
        <w:t xml:space="preserve">as the content of those instruments </w:t>
      </w:r>
      <w:r w:rsidR="009549B2">
        <w:rPr>
          <w:szCs w:val="24"/>
        </w:rPr>
        <w:t>is now</w:t>
      </w:r>
      <w:r w:rsidR="0090576A">
        <w:rPr>
          <w:szCs w:val="24"/>
        </w:rPr>
        <w:t xml:space="preserve"> incorporated into the </w:t>
      </w:r>
      <w:r w:rsidR="0090576A" w:rsidRPr="0090576A">
        <w:rPr>
          <w:i/>
          <w:szCs w:val="24"/>
        </w:rPr>
        <w:t>Currency (Australian Coins) Determination</w:t>
      </w:r>
      <w:r w:rsidR="002E1394">
        <w:rPr>
          <w:i/>
          <w:szCs w:val="24"/>
        </w:rPr>
        <w:t> </w:t>
      </w:r>
      <w:r w:rsidR="0090576A" w:rsidRPr="0090576A">
        <w:rPr>
          <w:i/>
          <w:szCs w:val="24"/>
        </w:rPr>
        <w:t>2019</w:t>
      </w:r>
      <w:r w:rsidR="0090576A">
        <w:rPr>
          <w:szCs w:val="24"/>
        </w:rPr>
        <w:t>.</w:t>
      </w:r>
      <w:r w:rsidR="002E1394">
        <w:rPr>
          <w:szCs w:val="24"/>
        </w:rPr>
        <w:t xml:space="preserve">  The instrument also makes some minor modifications to determinations made in 2018.</w:t>
      </w:r>
    </w:p>
    <w:p w14:paraId="71D64D7B" w14:textId="769E164E" w:rsidR="009571F0" w:rsidRDefault="009571F0" w:rsidP="009571F0">
      <w:pPr>
        <w:spacing w:before="240"/>
        <w:rPr>
          <w:szCs w:val="24"/>
        </w:rPr>
      </w:pPr>
      <w:r w:rsidRPr="008A0EBD">
        <w:rPr>
          <w:szCs w:val="24"/>
        </w:rPr>
        <w:t>The Treasurer may authorise the making and issuing of coins specified, or taken to be</w:t>
      </w:r>
      <w:r w:rsidRPr="00E67B8F">
        <w:rPr>
          <w:szCs w:val="24"/>
        </w:rPr>
        <w:t xml:space="preserve"> specified, in the Schedule to the </w:t>
      </w:r>
      <w:r w:rsidRPr="00E67B8F">
        <w:rPr>
          <w:i/>
          <w:szCs w:val="24"/>
        </w:rPr>
        <w:t>Currency Act 1965</w:t>
      </w:r>
      <w:r w:rsidR="009C7CEE">
        <w:rPr>
          <w:szCs w:val="24"/>
        </w:rPr>
        <w:t xml:space="preserve">.  </w:t>
      </w:r>
      <w:r w:rsidRPr="00E67B8F">
        <w:rPr>
          <w:szCs w:val="24"/>
        </w:rPr>
        <w:t xml:space="preserve">A </w:t>
      </w:r>
      <w:r w:rsidRPr="00E67B8F">
        <w:rPr>
          <w:color w:val="000000"/>
          <w:szCs w:val="24"/>
          <w:shd w:val="clear" w:color="auto" w:fill="FFFFFF"/>
        </w:rPr>
        <w:t xml:space="preserve">payment of money is legal tender if it is made in coins that are made and issued under the </w:t>
      </w:r>
      <w:r w:rsidRPr="00E67B8F">
        <w:rPr>
          <w:i/>
          <w:color w:val="000000"/>
          <w:szCs w:val="24"/>
          <w:shd w:val="clear" w:color="auto" w:fill="FFFFFF"/>
        </w:rPr>
        <w:t>Currency Act</w:t>
      </w:r>
      <w:r>
        <w:rPr>
          <w:i/>
          <w:color w:val="000000"/>
          <w:szCs w:val="24"/>
          <w:shd w:val="clear" w:color="auto" w:fill="FFFFFF"/>
        </w:rPr>
        <w:t> </w:t>
      </w:r>
      <w:r w:rsidRPr="00E67B8F">
        <w:rPr>
          <w:i/>
          <w:color w:val="000000"/>
          <w:szCs w:val="24"/>
          <w:shd w:val="clear" w:color="auto" w:fill="FFFFFF"/>
        </w:rPr>
        <w:t>1965</w:t>
      </w:r>
      <w:r w:rsidR="009C7CEE">
        <w:rPr>
          <w:color w:val="000000"/>
          <w:szCs w:val="24"/>
          <w:shd w:val="clear" w:color="auto" w:fill="FFFFFF"/>
        </w:rPr>
        <w:t xml:space="preserve">.  </w:t>
      </w:r>
      <w:r>
        <w:rPr>
          <w:color w:val="000000"/>
          <w:szCs w:val="24"/>
          <w:shd w:val="clear" w:color="auto" w:fill="FFFFFF"/>
        </w:rPr>
        <w:t xml:space="preserve">Through the issue of a currency determination, the Treasurer can add, remove and alter the coin characteristics </w:t>
      </w:r>
      <w:r w:rsidRPr="00E67B8F">
        <w:rPr>
          <w:szCs w:val="24"/>
        </w:rPr>
        <w:t xml:space="preserve">specified, or taken to be specified, in the Schedule to the </w:t>
      </w:r>
      <w:r w:rsidRPr="00E67B8F">
        <w:rPr>
          <w:i/>
          <w:szCs w:val="24"/>
        </w:rPr>
        <w:t>Currency Act</w:t>
      </w:r>
      <w:r>
        <w:rPr>
          <w:i/>
          <w:szCs w:val="24"/>
        </w:rPr>
        <w:t> </w:t>
      </w:r>
      <w:r w:rsidRPr="00E67B8F">
        <w:rPr>
          <w:i/>
          <w:szCs w:val="24"/>
        </w:rPr>
        <w:t>1965</w:t>
      </w:r>
      <w:r>
        <w:rPr>
          <w:szCs w:val="24"/>
        </w:rPr>
        <w:t>.</w:t>
      </w:r>
    </w:p>
    <w:p w14:paraId="720D8A9F" w14:textId="63344D16" w:rsidR="00A54187" w:rsidRDefault="0090576A" w:rsidP="009571F0">
      <w:pPr>
        <w:spacing w:before="240"/>
        <w:rPr>
          <w:szCs w:val="24"/>
        </w:rPr>
      </w:pPr>
      <w:r w:rsidRPr="0090576A">
        <w:rPr>
          <w:szCs w:val="24"/>
        </w:rPr>
        <w:t xml:space="preserve">The </w:t>
      </w:r>
      <w:r w:rsidRPr="0090576A">
        <w:rPr>
          <w:i/>
          <w:szCs w:val="24"/>
        </w:rPr>
        <w:t>Currency (Australian Coins) Determination 2019</w:t>
      </w:r>
      <w:r>
        <w:t xml:space="preserve"> </w:t>
      </w:r>
      <w:r w:rsidR="00A54187">
        <w:t>consolidate</w:t>
      </w:r>
      <w:r>
        <w:t>d</w:t>
      </w:r>
      <w:r w:rsidR="00A54187">
        <w:t xml:space="preserve"> into a single instrument all previous coin determinations made in 2019 </w:t>
      </w:r>
      <w:r w:rsidR="009549B2">
        <w:t>as part of a process to</w:t>
      </w:r>
      <w:r w:rsidR="00A54187">
        <w:t xml:space="preserve"> simplify and improve the Australian coin determination process going forward.</w:t>
      </w:r>
    </w:p>
    <w:p w14:paraId="456763C4" w14:textId="77777777" w:rsidR="009571F0" w:rsidRDefault="009571F0" w:rsidP="009571F0">
      <w:pPr>
        <w:spacing w:before="240"/>
      </w:pPr>
      <w:r w:rsidRPr="00666FBF">
        <w:t xml:space="preserve">In accordance with section 19 of the </w:t>
      </w:r>
      <w:r w:rsidRPr="00666FBF">
        <w:rPr>
          <w:i/>
        </w:rPr>
        <w:t>Acts Interpretations Act 1901</w:t>
      </w:r>
      <w:r w:rsidRPr="00666FBF">
        <w:t>, any Minister in the Treasury portfolio may, by legislative instrument, determine details of Australian coin characteristics.</w:t>
      </w:r>
    </w:p>
    <w:p w14:paraId="2A6B2840" w14:textId="77777777" w:rsidR="009571F0" w:rsidRPr="00ED7137" w:rsidRDefault="009571F0" w:rsidP="009571F0">
      <w:pPr>
        <w:spacing w:before="240"/>
        <w:rPr>
          <w:u w:val="single"/>
        </w:rPr>
      </w:pPr>
      <w:r w:rsidRPr="00ED7137">
        <w:t xml:space="preserve">Details of the </w:t>
      </w:r>
      <w:r>
        <w:t>legislative instrument</w:t>
      </w:r>
      <w:r w:rsidRPr="00ED7137">
        <w:t xml:space="preserve"> are set out in the </w:t>
      </w:r>
      <w:r w:rsidRPr="00ED7137">
        <w:rPr>
          <w:u w:val="single"/>
        </w:rPr>
        <w:t>Attachment</w:t>
      </w:r>
      <w:r w:rsidRPr="006C4C9B">
        <w:t>.</w:t>
      </w:r>
    </w:p>
    <w:p w14:paraId="6BF3F51E" w14:textId="0E44AA23" w:rsidR="009571F0" w:rsidRDefault="009571F0" w:rsidP="009571F0">
      <w:pPr>
        <w:spacing w:before="240"/>
      </w:pPr>
      <w:r w:rsidRPr="00503E44">
        <w:t xml:space="preserve">The </w:t>
      </w:r>
      <w:r>
        <w:t xml:space="preserve">legislative instrument </w:t>
      </w:r>
      <w:r w:rsidRPr="00503E44">
        <w:t xml:space="preserve">commenced on </w:t>
      </w:r>
      <w:r w:rsidR="006C4C9B">
        <w:t xml:space="preserve">the </w:t>
      </w:r>
      <w:r>
        <w:t>day after it was registered on the Federal Register of Legislation.</w:t>
      </w:r>
    </w:p>
    <w:p w14:paraId="090F5FE3" w14:textId="77777777" w:rsidR="009571F0" w:rsidRPr="004E2CCE" w:rsidRDefault="009571F0" w:rsidP="009571F0">
      <w:pPr>
        <w:spacing w:before="240"/>
      </w:pPr>
      <w:r>
        <w:t xml:space="preserve">The legislative instrument is subject to disallowance </w:t>
      </w:r>
      <w:r>
        <w:rPr>
          <w:szCs w:val="24"/>
        </w:rPr>
        <w:t xml:space="preserve">under </w:t>
      </w:r>
      <w:r w:rsidRPr="005127F8">
        <w:rPr>
          <w:szCs w:val="24"/>
        </w:rPr>
        <w:t xml:space="preserve">section 42 of the </w:t>
      </w:r>
      <w:bookmarkStart w:id="1" w:name="OLE_LINK8"/>
      <w:r w:rsidRPr="005127F8">
        <w:rPr>
          <w:i/>
          <w:szCs w:val="24"/>
        </w:rPr>
        <w:t>Legislation Act 2003</w:t>
      </w:r>
      <w:bookmarkEnd w:id="1"/>
      <w:r>
        <w:rPr>
          <w:szCs w:val="24"/>
        </w:rPr>
        <w:t>.</w:t>
      </w:r>
    </w:p>
    <w:p w14:paraId="2DDE2ECE" w14:textId="77777777" w:rsidR="009571F0" w:rsidRPr="004E2CCE" w:rsidRDefault="009571F0" w:rsidP="009571F0">
      <w:pPr>
        <w:spacing w:before="240"/>
        <w:rPr>
          <w:b/>
          <w:i/>
        </w:rPr>
      </w:pPr>
      <w:r w:rsidRPr="004E2CCE">
        <w:rPr>
          <w:b/>
        </w:rPr>
        <w:t>Consultation</w:t>
      </w:r>
    </w:p>
    <w:p w14:paraId="23E8E976" w14:textId="53B29D51" w:rsidR="009571F0" w:rsidRPr="005127F8" w:rsidRDefault="0090576A" w:rsidP="009571F0">
      <w:pPr>
        <w:tabs>
          <w:tab w:val="left" w:pos="3828"/>
          <w:tab w:val="left" w:pos="5670"/>
        </w:tabs>
        <w:jc w:val="both"/>
        <w:rPr>
          <w:szCs w:val="24"/>
        </w:rPr>
      </w:pPr>
      <w:r>
        <w:rPr>
          <w:szCs w:val="24"/>
        </w:rPr>
        <w:t>No consultation has been undertaken on this instrument as the instrument is minor and machinery in nature.</w:t>
      </w:r>
    </w:p>
    <w:p w14:paraId="39511AAD" w14:textId="565A08C5" w:rsidR="009571F0" w:rsidRPr="00462095" w:rsidRDefault="009571F0" w:rsidP="009549B2">
      <w:pPr>
        <w:pStyle w:val="Heading3"/>
      </w:pPr>
      <w:r w:rsidRPr="00462095">
        <w:lastRenderedPageBreak/>
        <w:t>Statement of Compatibility with Human Rights</w:t>
      </w:r>
    </w:p>
    <w:p w14:paraId="77792B45" w14:textId="77777777" w:rsidR="009571F0" w:rsidRPr="00647BB7" w:rsidRDefault="009571F0" w:rsidP="009549B2">
      <w:pPr>
        <w:keepNext/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7E7E00C1" w14:textId="05D043BA" w:rsidR="009571F0" w:rsidRPr="00647BB7" w:rsidRDefault="0090576A" w:rsidP="009549B2">
      <w:pPr>
        <w:pStyle w:val="Heading3"/>
        <w:jc w:val="center"/>
      </w:pPr>
      <w:r w:rsidRPr="0090576A">
        <w:rPr>
          <w:i/>
        </w:rPr>
        <w:t xml:space="preserve">Currency Amendment (Consequential </w:t>
      </w:r>
      <w:r w:rsidR="00486563">
        <w:rPr>
          <w:i/>
        </w:rPr>
        <w:t>Amendments</w:t>
      </w:r>
      <w:r w:rsidRPr="0090576A">
        <w:rPr>
          <w:i/>
        </w:rPr>
        <w:t>) Determination 2019</w:t>
      </w:r>
    </w:p>
    <w:p w14:paraId="42EFF4B5" w14:textId="77777777" w:rsidR="009571F0" w:rsidRPr="00647BB7" w:rsidRDefault="009571F0" w:rsidP="009549B2">
      <w:pPr>
        <w:keepNext/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0A8BA2B1" w14:textId="77777777" w:rsidR="009571F0" w:rsidRPr="00647BB7" w:rsidRDefault="009571F0" w:rsidP="009571F0">
      <w:pPr>
        <w:pStyle w:val="Heading3"/>
      </w:pPr>
      <w:r w:rsidRPr="00647BB7">
        <w:t>Overview of the Legislative Instrument</w:t>
      </w:r>
    </w:p>
    <w:p w14:paraId="4A7FDCFB" w14:textId="77777777" w:rsidR="002E1394" w:rsidRPr="008A0EBD" w:rsidRDefault="002E1394" w:rsidP="002E1394">
      <w:pPr>
        <w:spacing w:before="240"/>
      </w:pPr>
      <w:r>
        <w:t xml:space="preserve">The purpose of this legislative instrument is to repeal the </w:t>
      </w:r>
      <w:r w:rsidRPr="00857C32">
        <w:rPr>
          <w:i/>
        </w:rPr>
        <w:t>Currency (Perth Mint) Determination (No. 1) 2019</w:t>
      </w:r>
      <w:r>
        <w:t xml:space="preserve">, </w:t>
      </w:r>
      <w:r w:rsidRPr="00857C32">
        <w:rPr>
          <w:i/>
        </w:rPr>
        <w:t>Currency (Perth Mint) Determination (No. 3) 2019</w:t>
      </w:r>
      <w:r>
        <w:t xml:space="preserve">, </w:t>
      </w:r>
      <w:r w:rsidRPr="00857C32">
        <w:rPr>
          <w:i/>
        </w:rPr>
        <w:t>Currency (Perth Mint) Determination (No. </w:t>
      </w:r>
      <w:r>
        <w:rPr>
          <w:i/>
        </w:rPr>
        <w:t>4</w:t>
      </w:r>
      <w:r w:rsidRPr="00857C32">
        <w:rPr>
          <w:i/>
        </w:rPr>
        <w:t xml:space="preserve">) </w:t>
      </w:r>
      <w:r w:rsidRPr="002E1394">
        <w:t>2019</w:t>
      </w:r>
      <w:r>
        <w:t xml:space="preserve">, </w:t>
      </w:r>
      <w:r w:rsidRPr="002E1394">
        <w:rPr>
          <w:i/>
        </w:rPr>
        <w:t>Currency</w:t>
      </w:r>
      <w:r w:rsidRPr="00857C32">
        <w:rPr>
          <w:i/>
        </w:rPr>
        <w:t xml:space="preserve"> (Royal Australian Mint) Determination (No. 1) 2019</w:t>
      </w:r>
      <w:r>
        <w:t xml:space="preserve">, </w:t>
      </w:r>
      <w:r w:rsidRPr="00857C32">
        <w:rPr>
          <w:i/>
        </w:rPr>
        <w:t xml:space="preserve">Currency (Royal Australian Mint) Determination (No. </w:t>
      </w:r>
      <w:r>
        <w:rPr>
          <w:i/>
        </w:rPr>
        <w:t>3</w:t>
      </w:r>
      <w:r w:rsidRPr="00857C32">
        <w:rPr>
          <w:i/>
        </w:rPr>
        <w:t>) 2019</w:t>
      </w:r>
      <w:r>
        <w:t xml:space="preserve">, </w:t>
      </w:r>
      <w:r w:rsidRPr="00857C32">
        <w:rPr>
          <w:i/>
        </w:rPr>
        <w:t xml:space="preserve">Currency (Royal Australian Mint) Determination (No. </w:t>
      </w:r>
      <w:r>
        <w:rPr>
          <w:i/>
        </w:rPr>
        <w:t>4</w:t>
      </w:r>
      <w:r w:rsidRPr="00857C32">
        <w:rPr>
          <w:i/>
        </w:rPr>
        <w:t>) 2019</w:t>
      </w:r>
      <w:r>
        <w:t xml:space="preserve"> and </w:t>
      </w:r>
      <w:r w:rsidRPr="00857C32">
        <w:rPr>
          <w:i/>
        </w:rPr>
        <w:t xml:space="preserve">Currency (Royal Australian Mint) Determination (No. </w:t>
      </w:r>
      <w:r>
        <w:rPr>
          <w:i/>
        </w:rPr>
        <w:t>5</w:t>
      </w:r>
      <w:r w:rsidRPr="00857C32">
        <w:rPr>
          <w:i/>
        </w:rPr>
        <w:t>) 2019</w:t>
      </w:r>
      <w:r>
        <w:t xml:space="preserve">, </w:t>
      </w:r>
      <w:r>
        <w:rPr>
          <w:szCs w:val="24"/>
        </w:rPr>
        <w:t xml:space="preserve">as the content of those instruments is now incorporated into the </w:t>
      </w:r>
      <w:r w:rsidRPr="0090576A">
        <w:rPr>
          <w:i/>
          <w:szCs w:val="24"/>
        </w:rPr>
        <w:t>Currency (Australian Coins) Determination</w:t>
      </w:r>
      <w:r>
        <w:rPr>
          <w:i/>
          <w:szCs w:val="24"/>
        </w:rPr>
        <w:t> </w:t>
      </w:r>
      <w:r w:rsidRPr="0090576A">
        <w:rPr>
          <w:i/>
          <w:szCs w:val="24"/>
        </w:rPr>
        <w:t>2019</w:t>
      </w:r>
      <w:r>
        <w:rPr>
          <w:szCs w:val="24"/>
        </w:rPr>
        <w:t>.  The instrument also makes some minor modifications to determinations made in 2018.</w:t>
      </w:r>
    </w:p>
    <w:p w14:paraId="07E8A1C9" w14:textId="264D5ADB" w:rsidR="009571F0" w:rsidRPr="00647BB7" w:rsidRDefault="002E1394" w:rsidP="002E1394">
      <w:pPr>
        <w:pStyle w:val="Heading3"/>
      </w:pPr>
      <w:r w:rsidRPr="00647BB7">
        <w:t xml:space="preserve"> </w:t>
      </w:r>
      <w:r w:rsidR="009571F0" w:rsidRPr="00647BB7">
        <w:t>Human rights implications</w:t>
      </w:r>
    </w:p>
    <w:p w14:paraId="02935D5C" w14:textId="77777777" w:rsidR="009571F0" w:rsidRPr="00647BB7" w:rsidRDefault="009571F0" w:rsidP="009571F0">
      <w:pPr>
        <w:spacing w:before="240"/>
      </w:pPr>
      <w:r w:rsidRPr="00647BB7">
        <w:t>This Legislative Instrument does not engage any of the applicable rights or freedoms.</w:t>
      </w:r>
    </w:p>
    <w:p w14:paraId="6A7154E2" w14:textId="77777777" w:rsidR="009571F0" w:rsidRPr="00647BB7" w:rsidRDefault="009571F0" w:rsidP="009571F0">
      <w:pPr>
        <w:pStyle w:val="Heading3"/>
      </w:pPr>
      <w:r w:rsidRPr="00647BB7">
        <w:t>Conclusion</w:t>
      </w:r>
    </w:p>
    <w:p w14:paraId="18D2405E" w14:textId="77777777" w:rsidR="009571F0" w:rsidRDefault="009571F0" w:rsidP="009571F0">
      <w:pPr>
        <w:spacing w:before="240"/>
      </w:pPr>
      <w:r w:rsidRPr="00647BB7">
        <w:t>This Legislative Instrument is compatible with human rights as it does not raise any human rights issues.</w:t>
      </w:r>
    </w:p>
    <w:p w14:paraId="54FC0D98" w14:textId="77777777" w:rsidR="009571F0" w:rsidRDefault="009571F0" w:rsidP="009571F0">
      <w:pPr>
        <w:spacing w:before="0" w:after="0"/>
      </w:pPr>
      <w:r>
        <w:br w:type="page"/>
      </w:r>
    </w:p>
    <w:p w14:paraId="64A269F1" w14:textId="77777777" w:rsidR="009571F0" w:rsidRPr="00ED7137" w:rsidRDefault="009571F0" w:rsidP="009571F0">
      <w:pPr>
        <w:spacing w:before="0" w:after="0"/>
        <w:jc w:val="right"/>
        <w:rPr>
          <w:b/>
          <w:u w:val="single"/>
        </w:rPr>
      </w:pPr>
      <w:r w:rsidRPr="00ED7137">
        <w:rPr>
          <w:b/>
          <w:u w:val="single"/>
        </w:rPr>
        <w:lastRenderedPageBreak/>
        <w:t>ATTACHMENT</w:t>
      </w:r>
    </w:p>
    <w:p w14:paraId="45C727B4" w14:textId="78AAE3C8" w:rsidR="009571F0" w:rsidRPr="00ED7137" w:rsidRDefault="009571F0" w:rsidP="009571F0">
      <w:pPr>
        <w:spacing w:before="240"/>
        <w:rPr>
          <w:b/>
          <w:u w:val="single"/>
        </w:rPr>
      </w:pPr>
      <w:r w:rsidRPr="00ED7137">
        <w:rPr>
          <w:b/>
          <w:u w:val="single"/>
        </w:rPr>
        <w:t xml:space="preserve">Details of the </w:t>
      </w:r>
      <w:r w:rsidR="0090576A" w:rsidRPr="0090576A">
        <w:rPr>
          <w:b/>
          <w:i/>
          <w:u w:val="single"/>
        </w:rPr>
        <w:t xml:space="preserve">Currency Amendment (Consequential </w:t>
      </w:r>
      <w:r w:rsidR="00486563">
        <w:rPr>
          <w:b/>
          <w:i/>
          <w:u w:val="single"/>
        </w:rPr>
        <w:t>Amendments</w:t>
      </w:r>
      <w:r w:rsidR="0090576A" w:rsidRPr="0090576A">
        <w:rPr>
          <w:b/>
          <w:i/>
          <w:u w:val="single"/>
        </w:rPr>
        <w:t>) Determination 2019</w:t>
      </w:r>
    </w:p>
    <w:p w14:paraId="044B067A" w14:textId="2DBD944C" w:rsidR="009571F0" w:rsidRPr="00ED7137" w:rsidRDefault="009571F0" w:rsidP="009571F0">
      <w:pPr>
        <w:spacing w:before="240"/>
      </w:pPr>
      <w:r w:rsidRPr="00ED7137">
        <w:t xml:space="preserve">This Attachment sets out further details of the </w:t>
      </w:r>
      <w:r w:rsidR="0090576A" w:rsidRPr="0090576A">
        <w:rPr>
          <w:i/>
        </w:rPr>
        <w:t xml:space="preserve">Currency Amendment (Consequential </w:t>
      </w:r>
      <w:r w:rsidR="00486563">
        <w:rPr>
          <w:i/>
        </w:rPr>
        <w:t>Amendments</w:t>
      </w:r>
      <w:r w:rsidR="0090576A" w:rsidRPr="0090576A">
        <w:rPr>
          <w:i/>
        </w:rPr>
        <w:t>) Determination 2019</w:t>
      </w:r>
      <w:r w:rsidRPr="00ED7137">
        <w:t xml:space="preserve"> (the </w:t>
      </w:r>
      <w:r>
        <w:t>Determination</w:t>
      </w:r>
      <w:r w:rsidRPr="00ED7137">
        <w:t>)</w:t>
      </w:r>
      <w:r w:rsidR="00F04C44">
        <w:t>.</w:t>
      </w:r>
    </w:p>
    <w:p w14:paraId="4D4420E1" w14:textId="77777777" w:rsidR="009571F0" w:rsidRPr="00ED7137" w:rsidRDefault="009571F0" w:rsidP="009571F0">
      <w:pPr>
        <w:spacing w:before="240"/>
        <w:rPr>
          <w:u w:val="single"/>
        </w:rPr>
      </w:pPr>
      <w:r w:rsidRPr="00ED7137">
        <w:rPr>
          <w:u w:val="single"/>
        </w:rPr>
        <w:t xml:space="preserve">Section 1 – Name </w:t>
      </w:r>
    </w:p>
    <w:p w14:paraId="49AE382C" w14:textId="592846B9" w:rsidR="009571F0" w:rsidRPr="00ED7137" w:rsidRDefault="009571F0" w:rsidP="009571F0">
      <w:pPr>
        <w:spacing w:before="240"/>
      </w:pPr>
      <w:r w:rsidRPr="00ED7137">
        <w:t xml:space="preserve">This section specifies the name of the </w:t>
      </w:r>
      <w:r>
        <w:t>Determination</w:t>
      </w:r>
      <w:r w:rsidRPr="00ED7137">
        <w:t xml:space="preserve"> is the </w:t>
      </w:r>
      <w:r w:rsidR="008C1951" w:rsidRPr="008C1951">
        <w:rPr>
          <w:i/>
        </w:rPr>
        <w:t xml:space="preserve">Currency Amendment (Consequential </w:t>
      </w:r>
      <w:r w:rsidR="00486563">
        <w:rPr>
          <w:i/>
        </w:rPr>
        <w:t>Amendments</w:t>
      </w:r>
      <w:r w:rsidR="008C1951" w:rsidRPr="008C1951">
        <w:rPr>
          <w:i/>
        </w:rPr>
        <w:t>) Determination 2019</w:t>
      </w:r>
      <w:r w:rsidRPr="00ED7137">
        <w:t>.</w:t>
      </w:r>
    </w:p>
    <w:p w14:paraId="3BADC10F" w14:textId="77777777" w:rsidR="009571F0" w:rsidRPr="00ED7137" w:rsidRDefault="009571F0" w:rsidP="009571F0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13D42475" w14:textId="257C2FA5" w:rsidR="009571F0" w:rsidRPr="00ED7137" w:rsidRDefault="009571F0" w:rsidP="009571F0">
      <w:pPr>
        <w:spacing w:before="240"/>
      </w:pPr>
      <w:r w:rsidRPr="00ED7137">
        <w:t xml:space="preserve">This section prescribes that the </w:t>
      </w:r>
      <w:r>
        <w:t xml:space="preserve">Determination </w:t>
      </w:r>
      <w:r w:rsidRPr="00ED7137">
        <w:t>commence</w:t>
      </w:r>
      <w:r>
        <w:t>s</w:t>
      </w:r>
      <w:r w:rsidRPr="00ED7137">
        <w:t xml:space="preserve"> the day after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registered.</w:t>
      </w:r>
      <w:r w:rsidR="008C1951">
        <w:t xml:space="preserve">  The Schedule to the Determination commence</w:t>
      </w:r>
      <w:r w:rsidR="009549B2">
        <w:t>d</w:t>
      </w:r>
      <w:r w:rsidR="008C1951">
        <w:t xml:space="preserve"> immediately after the commencement of the </w:t>
      </w:r>
      <w:r w:rsidR="008C1951" w:rsidRPr="0090576A">
        <w:rPr>
          <w:i/>
          <w:szCs w:val="24"/>
        </w:rPr>
        <w:t>Currency (Australian Coins) Determination 2019</w:t>
      </w:r>
      <w:r w:rsidR="008C1951">
        <w:rPr>
          <w:szCs w:val="24"/>
        </w:rPr>
        <w:t>.</w:t>
      </w:r>
    </w:p>
    <w:p w14:paraId="4C876555" w14:textId="77777777" w:rsidR="009571F0" w:rsidRPr="00ED7137" w:rsidRDefault="009571F0" w:rsidP="009571F0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01475D00" w14:textId="77777777" w:rsidR="009571F0" w:rsidRPr="00ED7137" w:rsidRDefault="009571F0" w:rsidP="009571F0">
      <w:pPr>
        <w:spacing w:before="240"/>
      </w:pPr>
      <w:r w:rsidRPr="00ED7137">
        <w:t xml:space="preserve">This section provides that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Currency Act 1965</w:t>
      </w:r>
      <w:r w:rsidRPr="00ED7137">
        <w:t>.</w:t>
      </w:r>
    </w:p>
    <w:p w14:paraId="29C78ACA" w14:textId="49B0D91C" w:rsidR="009571F0" w:rsidRPr="00ED7137" w:rsidRDefault="009571F0" w:rsidP="009571F0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>
        <w:rPr>
          <w:u w:val="single"/>
        </w:rPr>
        <w:t>4</w:t>
      </w:r>
      <w:r w:rsidRPr="00ED7137">
        <w:rPr>
          <w:u w:val="single"/>
        </w:rPr>
        <w:t xml:space="preserve"> – </w:t>
      </w:r>
      <w:r w:rsidR="008C1951">
        <w:rPr>
          <w:u w:val="single"/>
        </w:rPr>
        <w:t>Schedules</w:t>
      </w:r>
    </w:p>
    <w:p w14:paraId="67242D4A" w14:textId="0D906890" w:rsidR="009571F0" w:rsidRPr="00ED7137" w:rsidRDefault="009571F0" w:rsidP="009571F0">
      <w:pPr>
        <w:spacing w:before="240"/>
      </w:pPr>
      <w:r w:rsidRPr="00ED7137">
        <w:t xml:space="preserve">This section provides </w:t>
      </w:r>
      <w:r w:rsidR="008C1951">
        <w:t>that each instrument specified in a Schedule to the instrument is amended or repealed as set out in the Schedule</w:t>
      </w:r>
      <w:r w:rsidRPr="00ED7137">
        <w:t>.</w:t>
      </w:r>
    </w:p>
    <w:p w14:paraId="4CC0A201" w14:textId="0A45022C" w:rsidR="009571F0" w:rsidRPr="00ED7137" w:rsidRDefault="009571F0" w:rsidP="009571F0">
      <w:pPr>
        <w:spacing w:before="240"/>
        <w:rPr>
          <w:u w:val="single"/>
        </w:rPr>
      </w:pPr>
      <w:r w:rsidRPr="00ED7137">
        <w:rPr>
          <w:u w:val="single"/>
        </w:rPr>
        <w:t xml:space="preserve">Schedule </w:t>
      </w:r>
      <w:r w:rsidR="008C1951">
        <w:rPr>
          <w:u w:val="single"/>
        </w:rPr>
        <w:t>1</w:t>
      </w:r>
      <w:r w:rsidRPr="00ED7137">
        <w:rPr>
          <w:u w:val="single"/>
        </w:rPr>
        <w:t xml:space="preserve"> – </w:t>
      </w:r>
      <w:r w:rsidR="002E1394">
        <w:rPr>
          <w:u w:val="single"/>
        </w:rPr>
        <w:t>Repeals</w:t>
      </w:r>
    </w:p>
    <w:p w14:paraId="7C30AAEA" w14:textId="06C459A5" w:rsidR="00D22385" w:rsidRDefault="00857C32" w:rsidP="009571F0">
      <w:pPr>
        <w:spacing w:before="240"/>
      </w:pPr>
      <w:r>
        <w:t xml:space="preserve">Schedule </w:t>
      </w:r>
      <w:r w:rsidR="008C1951">
        <w:t>1</w:t>
      </w:r>
      <w:r>
        <w:t xml:space="preserve"> </w:t>
      </w:r>
      <w:r w:rsidR="008C1951">
        <w:t>repeals the</w:t>
      </w:r>
      <w:r>
        <w:t xml:space="preserve"> </w:t>
      </w:r>
      <w:r w:rsidR="002E1394" w:rsidRPr="00857C32">
        <w:rPr>
          <w:i/>
        </w:rPr>
        <w:t>Currency (Perth Mint) Determination (No. 1) 2019</w:t>
      </w:r>
      <w:r w:rsidR="002E1394">
        <w:t xml:space="preserve">, </w:t>
      </w:r>
      <w:r w:rsidR="002E1394" w:rsidRPr="00857C32">
        <w:rPr>
          <w:i/>
        </w:rPr>
        <w:t>Currency (Perth Mint) Determination (No. 3) 2019</w:t>
      </w:r>
      <w:r w:rsidR="002E1394">
        <w:t xml:space="preserve">, </w:t>
      </w:r>
      <w:r w:rsidR="002E1394" w:rsidRPr="00857C32">
        <w:rPr>
          <w:i/>
        </w:rPr>
        <w:t>Currency (Perth Mint) Determination (No. </w:t>
      </w:r>
      <w:r w:rsidR="002E1394">
        <w:rPr>
          <w:i/>
        </w:rPr>
        <w:t>4</w:t>
      </w:r>
      <w:r w:rsidR="002E1394" w:rsidRPr="00857C32">
        <w:rPr>
          <w:i/>
        </w:rPr>
        <w:t xml:space="preserve">) </w:t>
      </w:r>
      <w:r w:rsidR="002E1394" w:rsidRPr="002E1394">
        <w:t>2019</w:t>
      </w:r>
      <w:r w:rsidR="002E1394">
        <w:t xml:space="preserve">, </w:t>
      </w:r>
      <w:r w:rsidR="002E1394" w:rsidRPr="002E1394">
        <w:rPr>
          <w:i/>
        </w:rPr>
        <w:t>Currency</w:t>
      </w:r>
      <w:r w:rsidR="002E1394" w:rsidRPr="00857C32">
        <w:rPr>
          <w:i/>
        </w:rPr>
        <w:t xml:space="preserve"> (Royal Australian Mint) Determination (No. 1) 2019</w:t>
      </w:r>
      <w:r w:rsidR="002E1394">
        <w:t xml:space="preserve">, </w:t>
      </w:r>
      <w:r w:rsidR="002E1394" w:rsidRPr="00857C32">
        <w:rPr>
          <w:i/>
        </w:rPr>
        <w:t xml:space="preserve">Currency (Royal Australian Mint) Determination (No. </w:t>
      </w:r>
      <w:r w:rsidR="002E1394">
        <w:rPr>
          <w:i/>
        </w:rPr>
        <w:t>3</w:t>
      </w:r>
      <w:r w:rsidR="002E1394" w:rsidRPr="00857C32">
        <w:rPr>
          <w:i/>
        </w:rPr>
        <w:t>) 2019</w:t>
      </w:r>
      <w:r w:rsidR="002E1394">
        <w:t xml:space="preserve">, </w:t>
      </w:r>
      <w:r w:rsidR="002E1394" w:rsidRPr="00857C32">
        <w:rPr>
          <w:i/>
        </w:rPr>
        <w:t xml:space="preserve">Currency (Royal Australian Mint) Determination (No. </w:t>
      </w:r>
      <w:r w:rsidR="002E1394">
        <w:rPr>
          <w:i/>
        </w:rPr>
        <w:t>4</w:t>
      </w:r>
      <w:r w:rsidR="002E1394" w:rsidRPr="00857C32">
        <w:rPr>
          <w:i/>
        </w:rPr>
        <w:t>) 2019</w:t>
      </w:r>
      <w:r w:rsidR="002E1394">
        <w:t xml:space="preserve"> and </w:t>
      </w:r>
      <w:r w:rsidR="002E1394" w:rsidRPr="00857C32">
        <w:rPr>
          <w:i/>
        </w:rPr>
        <w:t xml:space="preserve">Currency (Royal Australian Mint) Determination (No. </w:t>
      </w:r>
      <w:r w:rsidR="002E1394">
        <w:rPr>
          <w:i/>
        </w:rPr>
        <w:t>5</w:t>
      </w:r>
      <w:r w:rsidR="002E1394" w:rsidRPr="00857C32">
        <w:rPr>
          <w:i/>
        </w:rPr>
        <w:t>) 2019</w:t>
      </w:r>
      <w:r w:rsidR="002E1394">
        <w:t>.</w:t>
      </w:r>
    </w:p>
    <w:p w14:paraId="4D5D6BC5" w14:textId="3C5D7F3D" w:rsidR="008C1951" w:rsidRDefault="008C1951" w:rsidP="009571F0">
      <w:pPr>
        <w:spacing w:before="240"/>
        <w:rPr>
          <w:szCs w:val="24"/>
        </w:rPr>
      </w:pPr>
      <w:r>
        <w:t xml:space="preserve">The content of those instruments </w:t>
      </w:r>
      <w:r w:rsidR="009549B2">
        <w:t>is now</w:t>
      </w:r>
      <w:r>
        <w:t xml:space="preserve"> consolidated into the </w:t>
      </w:r>
      <w:r w:rsidRPr="0090576A">
        <w:rPr>
          <w:i/>
          <w:szCs w:val="24"/>
        </w:rPr>
        <w:t>Currency (Australian Coins) Determination 2019</w:t>
      </w:r>
      <w:r>
        <w:rPr>
          <w:szCs w:val="24"/>
        </w:rPr>
        <w:t>.</w:t>
      </w:r>
    </w:p>
    <w:p w14:paraId="4B517A10" w14:textId="0569769A" w:rsidR="002E1394" w:rsidRPr="00ED7137" w:rsidRDefault="002E1394" w:rsidP="002E1394">
      <w:pPr>
        <w:spacing w:before="240"/>
        <w:rPr>
          <w:u w:val="single"/>
        </w:rPr>
      </w:pPr>
      <w:r w:rsidRPr="00ED7137">
        <w:rPr>
          <w:u w:val="single"/>
        </w:rPr>
        <w:t xml:space="preserve">Schedule </w:t>
      </w:r>
      <w:r>
        <w:rPr>
          <w:u w:val="single"/>
        </w:rPr>
        <w:t>2</w:t>
      </w:r>
      <w:r w:rsidRPr="00ED7137">
        <w:rPr>
          <w:u w:val="single"/>
        </w:rPr>
        <w:t xml:space="preserve"> – </w:t>
      </w:r>
      <w:r>
        <w:rPr>
          <w:u w:val="single"/>
        </w:rPr>
        <w:t>Amendments</w:t>
      </w:r>
    </w:p>
    <w:p w14:paraId="69E71156" w14:textId="42A54C45" w:rsidR="002E1394" w:rsidRDefault="002E1394" w:rsidP="009571F0">
      <w:pPr>
        <w:spacing w:before="240"/>
      </w:pPr>
      <w:r>
        <w:t>Schedule 2 makes some very minor modifications to two determinations made in 2018 to ensure the final determinations reflect the coins as manufactured by the Royal Australian Mint.</w:t>
      </w:r>
    </w:p>
    <w:sectPr w:rsidR="002E1394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1405B" w14:textId="77777777" w:rsidR="004D6C04" w:rsidRDefault="004D6C04" w:rsidP="00954679">
      <w:pPr>
        <w:spacing w:before="0" w:after="0"/>
      </w:pPr>
      <w:r>
        <w:separator/>
      </w:r>
    </w:p>
  </w:endnote>
  <w:endnote w:type="continuationSeparator" w:id="0">
    <w:p w14:paraId="48E485A7" w14:textId="77777777" w:rsidR="004D6C04" w:rsidRDefault="004D6C04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C698E" w14:textId="3FFAB002" w:rsidR="009571F0" w:rsidRPr="00F50EFD" w:rsidRDefault="009571F0" w:rsidP="00F50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A0D257" w14:textId="7E776792" w:rsidR="00954679" w:rsidRDefault="00954679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DB02D5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DB02D5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97F8" w14:textId="3AB9F2E4" w:rsidR="009571F0" w:rsidRPr="00F50EFD" w:rsidRDefault="009571F0" w:rsidP="00F50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C95B" w14:textId="77777777" w:rsidR="004D6C04" w:rsidRDefault="004D6C04" w:rsidP="00954679">
      <w:pPr>
        <w:spacing w:before="0" w:after="0"/>
      </w:pPr>
      <w:r>
        <w:separator/>
      </w:r>
    </w:p>
  </w:footnote>
  <w:footnote w:type="continuationSeparator" w:id="0">
    <w:p w14:paraId="4BD7B211" w14:textId="77777777" w:rsidR="004D6C04" w:rsidRDefault="004D6C04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C18F" w14:textId="616A242D" w:rsidR="009571F0" w:rsidRPr="00F50EFD" w:rsidRDefault="009571F0" w:rsidP="00F50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500C" w14:textId="0AA7F544" w:rsidR="009571F0" w:rsidRPr="00F50EFD" w:rsidRDefault="009571F0" w:rsidP="00F50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DCC5" w14:textId="09FC9A59" w:rsidR="009571F0" w:rsidRPr="00F50EFD" w:rsidRDefault="009571F0" w:rsidP="00F5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False"/>
  </w:docVars>
  <w:rsids>
    <w:rsidRoot w:val="004D6C04"/>
    <w:rsid w:val="00002B16"/>
    <w:rsid w:val="00016EA2"/>
    <w:rsid w:val="00095211"/>
    <w:rsid w:val="000C10DF"/>
    <w:rsid w:val="00113B45"/>
    <w:rsid w:val="001529FA"/>
    <w:rsid w:val="00162FDE"/>
    <w:rsid w:val="0016472A"/>
    <w:rsid w:val="00177896"/>
    <w:rsid w:val="001E6A74"/>
    <w:rsid w:val="001F41D0"/>
    <w:rsid w:val="00220F16"/>
    <w:rsid w:val="00254C5B"/>
    <w:rsid w:val="002A45F2"/>
    <w:rsid w:val="002E1394"/>
    <w:rsid w:val="003342CD"/>
    <w:rsid w:val="00335042"/>
    <w:rsid w:val="00362B70"/>
    <w:rsid w:val="00392BBA"/>
    <w:rsid w:val="003954FD"/>
    <w:rsid w:val="003E1CE3"/>
    <w:rsid w:val="004439BC"/>
    <w:rsid w:val="00462095"/>
    <w:rsid w:val="00486563"/>
    <w:rsid w:val="004B3C0F"/>
    <w:rsid w:val="004C05E4"/>
    <w:rsid w:val="004D6C04"/>
    <w:rsid w:val="004E39E1"/>
    <w:rsid w:val="00503E44"/>
    <w:rsid w:val="00515283"/>
    <w:rsid w:val="00533926"/>
    <w:rsid w:val="0055675D"/>
    <w:rsid w:val="00566E8F"/>
    <w:rsid w:val="005833BE"/>
    <w:rsid w:val="005D7D5A"/>
    <w:rsid w:val="005E4BAC"/>
    <w:rsid w:val="0060130D"/>
    <w:rsid w:val="0064129F"/>
    <w:rsid w:val="00647BB7"/>
    <w:rsid w:val="00670952"/>
    <w:rsid w:val="00680297"/>
    <w:rsid w:val="006A0786"/>
    <w:rsid w:val="006C4C9B"/>
    <w:rsid w:val="00736F61"/>
    <w:rsid w:val="007662C7"/>
    <w:rsid w:val="00776306"/>
    <w:rsid w:val="007A00FB"/>
    <w:rsid w:val="007B1F10"/>
    <w:rsid w:val="007B760E"/>
    <w:rsid w:val="007C3A44"/>
    <w:rsid w:val="007E018D"/>
    <w:rsid w:val="007F1B71"/>
    <w:rsid w:val="00807E7D"/>
    <w:rsid w:val="00831675"/>
    <w:rsid w:val="00857C32"/>
    <w:rsid w:val="00876A6F"/>
    <w:rsid w:val="0088467C"/>
    <w:rsid w:val="00894579"/>
    <w:rsid w:val="008A0EBD"/>
    <w:rsid w:val="008A5B67"/>
    <w:rsid w:val="008C1951"/>
    <w:rsid w:val="008C340C"/>
    <w:rsid w:val="008C3452"/>
    <w:rsid w:val="008D16F7"/>
    <w:rsid w:val="008E1427"/>
    <w:rsid w:val="008F6D4C"/>
    <w:rsid w:val="0090576A"/>
    <w:rsid w:val="009143A0"/>
    <w:rsid w:val="00954679"/>
    <w:rsid w:val="009549B2"/>
    <w:rsid w:val="009571F0"/>
    <w:rsid w:val="009C7CEE"/>
    <w:rsid w:val="009E2F86"/>
    <w:rsid w:val="00A12209"/>
    <w:rsid w:val="00A36DF3"/>
    <w:rsid w:val="00A532DD"/>
    <w:rsid w:val="00A54187"/>
    <w:rsid w:val="00A80BCF"/>
    <w:rsid w:val="00A8369C"/>
    <w:rsid w:val="00A85D97"/>
    <w:rsid w:val="00AA1689"/>
    <w:rsid w:val="00AC1D15"/>
    <w:rsid w:val="00B07B0C"/>
    <w:rsid w:val="00B25563"/>
    <w:rsid w:val="00B26D48"/>
    <w:rsid w:val="00B42EE1"/>
    <w:rsid w:val="00B85219"/>
    <w:rsid w:val="00B92478"/>
    <w:rsid w:val="00BD61A2"/>
    <w:rsid w:val="00BE484D"/>
    <w:rsid w:val="00C37E05"/>
    <w:rsid w:val="00C55D29"/>
    <w:rsid w:val="00CA0BE9"/>
    <w:rsid w:val="00CA138D"/>
    <w:rsid w:val="00CC7641"/>
    <w:rsid w:val="00D13794"/>
    <w:rsid w:val="00D22385"/>
    <w:rsid w:val="00D24052"/>
    <w:rsid w:val="00D24386"/>
    <w:rsid w:val="00D31575"/>
    <w:rsid w:val="00D34626"/>
    <w:rsid w:val="00D4257A"/>
    <w:rsid w:val="00D62665"/>
    <w:rsid w:val="00D91BB3"/>
    <w:rsid w:val="00DB02D5"/>
    <w:rsid w:val="00DC0CDE"/>
    <w:rsid w:val="00DC4D72"/>
    <w:rsid w:val="00E0624D"/>
    <w:rsid w:val="00E4438C"/>
    <w:rsid w:val="00E457F3"/>
    <w:rsid w:val="00E65DD7"/>
    <w:rsid w:val="00EB7E71"/>
    <w:rsid w:val="00F00BC6"/>
    <w:rsid w:val="00F04C44"/>
    <w:rsid w:val="00F109D4"/>
    <w:rsid w:val="00F47585"/>
    <w:rsid w:val="00F50EFD"/>
    <w:rsid w:val="00F85E6F"/>
    <w:rsid w:val="00FE04E4"/>
    <w:rsid w:val="00FE73F9"/>
    <w:rsid w:val="00FF1057"/>
    <w:rsid w:val="00FF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CEFF"/>
  <w15:docId w15:val="{9895B107-E228-4C71-AE58-5DCDC954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customStyle="1" w:styleId="SecurityClassificationHeader">
    <w:name w:val="Security Classification Header"/>
    <w:link w:val="SecurityClassificationHeaderChar"/>
    <w:rsid w:val="009571F0"/>
    <w:pPr>
      <w:spacing w:before="240" w:after="60"/>
      <w:jc w:val="center"/>
    </w:pPr>
    <w:rPr>
      <w:rFonts w:ascii="Calibri" w:hAnsi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9571F0"/>
    <w:rPr>
      <w:rFonts w:ascii="Calibri" w:hAnsi="Calibri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9571F0"/>
    <w:pPr>
      <w:spacing w:before="60" w:after="240"/>
      <w:jc w:val="center"/>
    </w:pPr>
    <w:rPr>
      <w:rFonts w:ascii="Calibri" w:hAnsi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9571F0"/>
    <w:rPr>
      <w:rFonts w:ascii="Calibri" w:hAnsi="Calibri"/>
      <w:b/>
      <w:caps/>
      <w:sz w:val="24"/>
    </w:rPr>
  </w:style>
  <w:style w:type="paragraph" w:customStyle="1" w:styleId="DLMSecurityHeader">
    <w:name w:val="DLM Security Header"/>
    <w:link w:val="DLMSecurityHeaderChar"/>
    <w:rsid w:val="009571F0"/>
    <w:pPr>
      <w:spacing w:before="60" w:after="240"/>
      <w:jc w:val="center"/>
    </w:pPr>
    <w:rPr>
      <w:rFonts w:ascii="Calibri" w:hAnsi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9571F0"/>
    <w:rPr>
      <w:rFonts w:ascii="Calibri" w:hAnsi="Calibri"/>
      <w:b/>
      <w:caps/>
      <w:sz w:val="24"/>
    </w:rPr>
  </w:style>
  <w:style w:type="paragraph" w:customStyle="1" w:styleId="DLMSecurityFooter">
    <w:name w:val="DLM Security Footer"/>
    <w:link w:val="DLMSecurityFooterChar"/>
    <w:rsid w:val="009571F0"/>
    <w:pPr>
      <w:spacing w:before="240" w:after="60"/>
      <w:jc w:val="center"/>
    </w:pPr>
    <w:rPr>
      <w:rFonts w:ascii="Calibri" w:hAnsi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9571F0"/>
    <w:rPr>
      <w:rFonts w:ascii="Calibri" w:hAnsi="Calibri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2019RG-136-46152</_dlc_DocId>
    <_dlc_DocIdUrl xmlns="0f563589-9cf9-4143-b1eb-fb0534803d38">
      <Url>http://tweb/sites/rg/ldp/_layouts/15/DocIdRedir.aspx?ID=2019RG-136-46152</Url>
      <Description>2019RG-136-46152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>
      <Value>45th</Value>
    </Parliamentary_x0020_session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3449" ma:contentTypeDescription="" ma:contentTypeScope="" ma:versionID="6798be68dccad2eb04ecb8f66b4b590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sharepoint/v3"/>
    <ds:schemaRef ds:uri="http://schemas.microsoft.com/sharepoint/v4"/>
    <ds:schemaRef ds:uri="http://purl.org/dc/elements/1.1/"/>
    <ds:schemaRef ds:uri="http://schemas.microsoft.com/office/2006/documentManagement/types"/>
    <ds:schemaRef ds:uri="0f563589-9cf9-4143-b1eb-fb0534803d38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687b78b0-2ddd-4441-8a8b-c9638c2a1939"/>
    <ds:schemaRef ds:uri="9f7bc583-7cbe-45b9-a2bd-8bbb6543b3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003A0-DF75-42E9-9D6F-738FE501ED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E6EF5D-7866-4C99-8983-69DA90EA3FA1}"/>
</file>

<file path=customXml/itemProps6.xml><?xml version="1.0" encoding="utf-8"?>
<ds:datastoreItem xmlns:ds="http://schemas.openxmlformats.org/officeDocument/2006/customXml" ds:itemID="{E9448356-536B-468C-994F-836FD8B8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94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Leggett, Chris</cp:lastModifiedBy>
  <cp:revision>31</cp:revision>
  <cp:lastPrinted>2019-10-03T06:06:00Z</cp:lastPrinted>
  <dcterms:created xsi:type="dcterms:W3CDTF">2018-11-12T04:39:00Z</dcterms:created>
  <dcterms:modified xsi:type="dcterms:W3CDTF">2019-10-03T06:07:00Z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0x01010036BB8DE7EC542E42A8B2E98CC20CB69700AD614E3FF758BD46BB6A91BF499E7E08</vt:lpwstr>
  </property>
  <property fmtid="{D5CDD505-2E9C-101B-9397-08002B2CF9AE}" pid="8" name="TSYRecordClass">
    <vt:lpwstr>7;#TSY RA-9236 - Retain as national archives|c6a225b4-6b93-473e-bcbb-6bc6ab25b623</vt:lpwstr>
  </property>
  <property fmtid="{D5CDD505-2E9C-101B-9397-08002B2CF9AE}" pid="9" name="_dlc_DocIdItemGuid">
    <vt:lpwstr>c6b53f83-0365-46a2-97af-8dab5a2ff546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SecurityClassification">
    <vt:lpwstr>Sensitive:  Legal</vt:lpwstr>
  </property>
  <property fmtid="{D5CDD505-2E9C-101B-9397-08002B2CF9AE}" pid="13" name="DLMSecurityClassification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{c6b53f83-0365-46a2-97af-8dab5a2ff546}</vt:lpwstr>
  </property>
  <property fmtid="{D5CDD505-2E9C-101B-9397-08002B2CF9AE}" pid="16" name="RecordPoint_ActiveItemWebId">
    <vt:lpwstr>{09392e0d-4618-463d-b4d2-50a90b9447cf}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{687b78b0-2ddd-4441-8a8b-c9638c2a1939}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