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9703A4" w14:textId="77777777" w:rsidR="005833BE" w:rsidRPr="00941C0D" w:rsidRDefault="00F109D4" w:rsidP="0039795F">
      <w:pPr>
        <w:pStyle w:val="Heading1"/>
        <w:spacing w:after="240"/>
      </w:pPr>
      <w:bookmarkStart w:id="0" w:name="_GoBack"/>
      <w:bookmarkEnd w:id="0"/>
      <w:r w:rsidRPr="00503E44">
        <w:t>EXPLANATORY STATEMENT</w:t>
      </w:r>
    </w:p>
    <w:p w14:paraId="3D73ABD4" w14:textId="77777777" w:rsidR="00941C0D" w:rsidRPr="0039795F" w:rsidRDefault="00941C0D" w:rsidP="0039795F">
      <w:pPr>
        <w:pStyle w:val="Heading2"/>
        <w:spacing w:after="240"/>
        <w:jc w:val="center"/>
        <w:rPr>
          <w:b w:val="0"/>
          <w:sz w:val="24"/>
          <w:szCs w:val="24"/>
        </w:rPr>
      </w:pPr>
      <w:r w:rsidRPr="0039795F">
        <w:rPr>
          <w:b w:val="0"/>
          <w:sz w:val="24"/>
          <w:szCs w:val="24"/>
        </w:rPr>
        <w:t xml:space="preserve">Issued by authority of the </w:t>
      </w:r>
      <w:r w:rsidR="0039795F" w:rsidRPr="0039795F">
        <w:rPr>
          <w:b w:val="0"/>
          <w:sz w:val="24"/>
          <w:szCs w:val="24"/>
        </w:rPr>
        <w:t xml:space="preserve">Minister for </w:t>
      </w:r>
      <w:r w:rsidR="00137EF6">
        <w:rPr>
          <w:b w:val="0"/>
          <w:sz w:val="24"/>
          <w:szCs w:val="24"/>
        </w:rPr>
        <w:t>Energy and Emissions Reduction</w:t>
      </w:r>
    </w:p>
    <w:p w14:paraId="1993CA98" w14:textId="77777777" w:rsidR="00B460E9" w:rsidRPr="00B460E9" w:rsidRDefault="004A4D33" w:rsidP="0039795F">
      <w:pPr>
        <w:spacing w:before="240" w:after="240"/>
        <w:jc w:val="center"/>
        <w:rPr>
          <w:i/>
        </w:rPr>
      </w:pPr>
      <w:r>
        <w:rPr>
          <w:i/>
          <w:iCs/>
        </w:rPr>
        <w:t>National Greenhouse and Energy Reporting Act 2007</w:t>
      </w:r>
    </w:p>
    <w:p w14:paraId="55CFF63E" w14:textId="77777777" w:rsidR="0023138A" w:rsidRDefault="0023138A" w:rsidP="00D520DF">
      <w:pPr>
        <w:spacing w:before="0" w:after="240"/>
        <w:jc w:val="center"/>
        <w:rPr>
          <w:i/>
        </w:rPr>
      </w:pPr>
      <w:r w:rsidRPr="0023138A">
        <w:rPr>
          <w:i/>
        </w:rPr>
        <w:t>National Greenhouse and Energy Reporting Amendment (</w:t>
      </w:r>
      <w:r w:rsidR="001202E0">
        <w:rPr>
          <w:i/>
        </w:rPr>
        <w:t>2019 Measures No.1</w:t>
      </w:r>
      <w:r w:rsidRPr="0023138A">
        <w:rPr>
          <w:i/>
        </w:rPr>
        <w:t>) Regulations 201</w:t>
      </w:r>
      <w:r w:rsidR="00B12350">
        <w:rPr>
          <w:i/>
        </w:rPr>
        <w:t>9</w:t>
      </w:r>
    </w:p>
    <w:p w14:paraId="533FD55A" w14:textId="32482974" w:rsidR="00A04056" w:rsidRPr="008F1C35" w:rsidRDefault="00A04056" w:rsidP="00D520DF">
      <w:pPr>
        <w:spacing w:before="0" w:after="240"/>
        <w:rPr>
          <w:b/>
          <w:iCs/>
        </w:rPr>
      </w:pPr>
      <w:r w:rsidRPr="008F1C35">
        <w:rPr>
          <w:b/>
          <w:iCs/>
        </w:rPr>
        <w:t>Background</w:t>
      </w:r>
    </w:p>
    <w:p w14:paraId="26269E3D" w14:textId="4CA9385B" w:rsidR="00947409" w:rsidRPr="00947409" w:rsidRDefault="00D520DF" w:rsidP="00D520DF">
      <w:pPr>
        <w:spacing w:before="0" w:after="240"/>
      </w:pPr>
      <w:r>
        <w:rPr>
          <w:iCs/>
        </w:rPr>
        <w:t xml:space="preserve">The </w:t>
      </w:r>
      <w:r w:rsidRPr="00E2720D">
        <w:rPr>
          <w:i/>
          <w:iCs/>
        </w:rPr>
        <w:t>National Greenhouse and Energy Reporting Act 2007</w:t>
      </w:r>
      <w:r w:rsidRPr="00863FF2">
        <w:rPr>
          <w:iCs/>
        </w:rPr>
        <w:t xml:space="preserve"> (</w:t>
      </w:r>
      <w:r w:rsidRPr="006579E0">
        <w:rPr>
          <w:b/>
          <w:iCs/>
        </w:rPr>
        <w:t>the Act</w:t>
      </w:r>
      <w:r w:rsidRPr="00863FF2">
        <w:rPr>
          <w:iCs/>
        </w:rPr>
        <w:t>)</w:t>
      </w:r>
      <w:r>
        <w:rPr>
          <w:iCs/>
        </w:rPr>
        <w:t xml:space="preserve"> provides a framework for the reporting of </w:t>
      </w:r>
      <w:r w:rsidR="00947409">
        <w:rPr>
          <w:iCs/>
        </w:rPr>
        <w:t xml:space="preserve">greenhouse gas </w:t>
      </w:r>
      <w:r>
        <w:rPr>
          <w:iCs/>
        </w:rPr>
        <w:t>emissions, energy production and consumption</w:t>
      </w:r>
      <w:r w:rsidR="00947409">
        <w:rPr>
          <w:iCs/>
        </w:rPr>
        <w:t xml:space="preserve"> and other information</w:t>
      </w:r>
      <w:r>
        <w:rPr>
          <w:iCs/>
        </w:rPr>
        <w:t xml:space="preserve"> in Australia. </w:t>
      </w:r>
      <w:r w:rsidR="00947409">
        <w:t xml:space="preserve">Section 77 of the </w:t>
      </w:r>
      <w:r w:rsidR="00947409" w:rsidRPr="00863FF2">
        <w:rPr>
          <w:iCs/>
        </w:rPr>
        <w:t xml:space="preserve">Act </w:t>
      </w:r>
      <w:r w:rsidR="00947409" w:rsidRPr="003E1CCD">
        <w:rPr>
          <w:iCs/>
        </w:rPr>
        <w:t xml:space="preserve">provides that </w:t>
      </w:r>
      <w:r w:rsidR="00947409">
        <w:t>the Governor-</w:t>
      </w:r>
      <w:r w:rsidR="00947409" w:rsidRPr="002E63F8">
        <w:t xml:space="preserve">General may make regulations prescribing matters required or permitted by the Act to be prescribed, or necessary or convenient to be prescribed for carrying out or giving effect to the </w:t>
      </w:r>
      <w:r w:rsidR="00947409">
        <w:t>Act</w:t>
      </w:r>
      <w:r w:rsidR="00947409" w:rsidRPr="002E63F8">
        <w:t>.</w:t>
      </w:r>
      <w:r w:rsidR="00947409">
        <w:t xml:space="preserve"> The </w:t>
      </w:r>
      <w:r w:rsidR="00947409" w:rsidRPr="00E2720D">
        <w:rPr>
          <w:i/>
          <w:iCs/>
        </w:rPr>
        <w:t>National Greenhouse and Energy Reporting Regulations 2008</w:t>
      </w:r>
      <w:r w:rsidR="00947409" w:rsidRPr="00E2720D">
        <w:t xml:space="preserve"> (</w:t>
      </w:r>
      <w:r w:rsidR="00947409" w:rsidRPr="006579E0">
        <w:rPr>
          <w:b/>
        </w:rPr>
        <w:t>the Regulations</w:t>
      </w:r>
      <w:r w:rsidR="00947409" w:rsidRPr="00E2720D">
        <w:t>)</w:t>
      </w:r>
      <w:r w:rsidR="00947409">
        <w:t xml:space="preserve"> have previously been made under this section.</w:t>
      </w:r>
    </w:p>
    <w:p w14:paraId="2E6949DC" w14:textId="55B5E092" w:rsidR="005A1655" w:rsidRPr="004E1F6E" w:rsidRDefault="005A1655" w:rsidP="005A1655">
      <w:pPr>
        <w:rPr>
          <w:szCs w:val="24"/>
        </w:rPr>
      </w:pPr>
      <w:r w:rsidRPr="004E1F6E">
        <w:rPr>
          <w:szCs w:val="24"/>
        </w:rPr>
        <w:t xml:space="preserve">Section 22XS of the Act empowers the Minister to make legislative rules to implement the Safeguard Mechanism. The Safeguard Mechanism was established through the </w:t>
      </w:r>
      <w:r w:rsidRPr="004E1F6E">
        <w:rPr>
          <w:i/>
          <w:szCs w:val="24"/>
        </w:rPr>
        <w:t>National Greenhouse and Energy Reporting (Safeguard Mechanism) Rule 2015</w:t>
      </w:r>
      <w:r w:rsidRPr="004E1F6E">
        <w:rPr>
          <w:szCs w:val="24"/>
        </w:rPr>
        <w:t xml:space="preserve"> (</w:t>
      </w:r>
      <w:r w:rsidRPr="007D74D0">
        <w:rPr>
          <w:b/>
          <w:szCs w:val="24"/>
        </w:rPr>
        <w:t xml:space="preserve">the </w:t>
      </w:r>
      <w:r w:rsidR="005D71B1">
        <w:rPr>
          <w:b/>
          <w:szCs w:val="24"/>
        </w:rPr>
        <w:t>Safeguard</w:t>
      </w:r>
      <w:r w:rsidRPr="007D74D0">
        <w:rPr>
          <w:b/>
          <w:szCs w:val="24"/>
        </w:rPr>
        <w:t xml:space="preserve"> Rule</w:t>
      </w:r>
      <w:r w:rsidRPr="004E1F6E">
        <w:rPr>
          <w:szCs w:val="24"/>
        </w:rPr>
        <w:t xml:space="preserve">). The </w:t>
      </w:r>
      <w:r w:rsidR="005D71B1">
        <w:rPr>
          <w:szCs w:val="24"/>
        </w:rPr>
        <w:t xml:space="preserve">Safeguard </w:t>
      </w:r>
      <w:r w:rsidRPr="004E1F6E">
        <w:rPr>
          <w:szCs w:val="24"/>
        </w:rPr>
        <w:t xml:space="preserve">Rule </w:t>
      </w:r>
      <w:r w:rsidRPr="00404721">
        <w:rPr>
          <w:szCs w:val="24"/>
        </w:rPr>
        <w:t xml:space="preserve">specifies </w:t>
      </w:r>
      <w:r w:rsidRPr="004E1F6E">
        <w:rPr>
          <w:szCs w:val="24"/>
        </w:rPr>
        <w:t xml:space="preserve">the administrative detail of how </w:t>
      </w:r>
      <w:r>
        <w:rPr>
          <w:szCs w:val="24"/>
        </w:rPr>
        <w:t>S</w:t>
      </w:r>
      <w:r w:rsidRPr="004E1F6E">
        <w:rPr>
          <w:szCs w:val="24"/>
        </w:rPr>
        <w:t xml:space="preserve">afeguard provisions are implemented and the administrative processes for demonstrating compliance with </w:t>
      </w:r>
      <w:r>
        <w:rPr>
          <w:szCs w:val="24"/>
        </w:rPr>
        <w:t>S</w:t>
      </w:r>
      <w:r w:rsidRPr="004E1F6E">
        <w:rPr>
          <w:szCs w:val="24"/>
        </w:rPr>
        <w:t>afeguard obligations.</w:t>
      </w:r>
    </w:p>
    <w:p w14:paraId="0B047039" w14:textId="1D207B8C" w:rsidR="00DF6FC6" w:rsidRDefault="007D74D0" w:rsidP="00E56D94">
      <w:pPr>
        <w:spacing w:before="240" w:after="240"/>
      </w:pPr>
      <w:r>
        <w:t xml:space="preserve">Subdivision G of Division 4 of Part 6 of the Act provides a framework for audits of compliance with obligations under the Act or Regulations. </w:t>
      </w:r>
      <w:r w:rsidR="00DF6FC6">
        <w:t>Paragraph 75A(2)(b)</w:t>
      </w:r>
      <w:r w:rsidR="00ED1DD0">
        <w:t xml:space="preserve"> of the Act provides that the regulations may set out requirements as to qualifications, knowledge, expertise, competence, independence and other matters </w:t>
      </w:r>
      <w:r>
        <w:t>that must be satisfied before auditors can be placed on the register of greenhouse and energy auditors (</w:t>
      </w:r>
      <w:r w:rsidRPr="008F1C35">
        <w:rPr>
          <w:b/>
        </w:rPr>
        <w:t>the Register</w:t>
      </w:r>
      <w:r>
        <w:t>)</w:t>
      </w:r>
      <w:r w:rsidR="00ED1DD0">
        <w:t xml:space="preserve">. Subsection 75A(5) of the Act also provides </w:t>
      </w:r>
      <w:r w:rsidR="00803581">
        <w:t>that r</w:t>
      </w:r>
      <w:r w:rsidR="00ED1DD0">
        <w:t xml:space="preserve">egulations may set out the form and content of the register of greenhouse and energy auditors; publication of the register; the form and content of applications for registration and the manner in which applications are to be made; fees to be paid in connection with registration; requirements to be met in order to maintain registration; review of registration; suspension of registration in prescribed circumstances; deregistration in prescribed circumstances; inspection of the performance of registered greenhouse and energy auditors in carrying out </w:t>
      </w:r>
      <w:r w:rsidR="00F5520A">
        <w:t>Part 6</w:t>
      </w:r>
      <w:r w:rsidR="00ED1DD0">
        <w:t xml:space="preserve"> audits; and other matters in connection with registration. </w:t>
      </w:r>
    </w:p>
    <w:p w14:paraId="156B1A2A" w14:textId="39C9760D" w:rsidR="00A04056" w:rsidRPr="008F1C35" w:rsidRDefault="00A04056" w:rsidP="00E56D94">
      <w:pPr>
        <w:spacing w:before="240" w:after="240"/>
        <w:rPr>
          <w:b/>
        </w:rPr>
      </w:pPr>
      <w:r w:rsidRPr="008F1C35">
        <w:rPr>
          <w:b/>
        </w:rPr>
        <w:t>Purpose and Operation</w:t>
      </w:r>
    </w:p>
    <w:p w14:paraId="4451FAD9" w14:textId="79B30C04" w:rsidR="0011475B" w:rsidRDefault="00D520DF" w:rsidP="00D520DF">
      <w:pPr>
        <w:pStyle w:val="Bullet"/>
        <w:numPr>
          <w:ilvl w:val="0"/>
          <w:numId w:val="0"/>
        </w:numPr>
        <w:spacing w:before="0" w:after="240"/>
      </w:pPr>
      <w:r>
        <w:t xml:space="preserve">The purpose of the </w:t>
      </w:r>
      <w:r w:rsidRPr="00E420BF">
        <w:rPr>
          <w:i/>
        </w:rPr>
        <w:t>National Greenhouse and Energy Reporting Amendment (</w:t>
      </w:r>
      <w:r w:rsidR="00061DF4">
        <w:rPr>
          <w:i/>
        </w:rPr>
        <w:t>2019 Measures No. 1</w:t>
      </w:r>
      <w:r w:rsidRPr="00E420BF">
        <w:rPr>
          <w:i/>
        </w:rPr>
        <w:t>) Regulations 201</w:t>
      </w:r>
      <w:r w:rsidR="00061DF4">
        <w:rPr>
          <w:i/>
        </w:rPr>
        <w:t>9</w:t>
      </w:r>
      <w:r>
        <w:rPr>
          <w:i/>
        </w:rPr>
        <w:t xml:space="preserve"> </w:t>
      </w:r>
      <w:r w:rsidR="00D47F98">
        <w:t>(</w:t>
      </w:r>
      <w:r w:rsidR="00D47F98" w:rsidRPr="006579E0">
        <w:rPr>
          <w:b/>
        </w:rPr>
        <w:t xml:space="preserve">the </w:t>
      </w:r>
      <w:r w:rsidR="009C6BC9" w:rsidRPr="006579E0">
        <w:rPr>
          <w:b/>
        </w:rPr>
        <w:t xml:space="preserve">amending </w:t>
      </w:r>
      <w:r w:rsidR="009C6BC9">
        <w:rPr>
          <w:b/>
        </w:rPr>
        <w:t>R</w:t>
      </w:r>
      <w:r w:rsidR="009C6BC9" w:rsidRPr="006579E0">
        <w:rPr>
          <w:b/>
        </w:rPr>
        <w:t>egulation</w:t>
      </w:r>
      <w:r w:rsidR="009C6BC9">
        <w:rPr>
          <w:b/>
        </w:rPr>
        <w:t>s</w:t>
      </w:r>
      <w:r w:rsidR="00D47F98">
        <w:t xml:space="preserve">) </w:t>
      </w:r>
      <w:r>
        <w:t>is</w:t>
      </w:r>
      <w:r w:rsidR="00947409">
        <w:t xml:space="preserve"> to</w:t>
      </w:r>
      <w:r w:rsidR="0011475B">
        <w:t>:</w:t>
      </w:r>
    </w:p>
    <w:p w14:paraId="18111CE5" w14:textId="382C6CB8" w:rsidR="000243BF" w:rsidRDefault="00947409" w:rsidP="0011475B">
      <w:pPr>
        <w:pStyle w:val="Bullet"/>
        <w:numPr>
          <w:ilvl w:val="0"/>
          <w:numId w:val="25"/>
        </w:numPr>
        <w:spacing w:before="0" w:after="240"/>
      </w:pPr>
      <w:r>
        <w:t>Make consequential amendments to the Regulation</w:t>
      </w:r>
      <w:r w:rsidR="00A368C3">
        <w:t>s</w:t>
      </w:r>
      <w:r>
        <w:t xml:space="preserve"> to clarify reporting requirements for certain facilities, to </w:t>
      </w:r>
      <w:r w:rsidR="00BE597E">
        <w:t>formalise</w:t>
      </w:r>
      <w:r>
        <w:t xml:space="preserve"> changes made on 4 March 2019 to the </w:t>
      </w:r>
      <w:r w:rsidRPr="00C81775">
        <w:t>Safeguard Rule</w:t>
      </w:r>
      <w:r w:rsidR="00913807">
        <w:t>;</w:t>
      </w:r>
    </w:p>
    <w:p w14:paraId="638E2A4C" w14:textId="77777777" w:rsidR="006269B0" w:rsidRDefault="00947409" w:rsidP="0011475B">
      <w:pPr>
        <w:pStyle w:val="Bullet"/>
        <w:numPr>
          <w:ilvl w:val="0"/>
          <w:numId w:val="25"/>
        </w:numPr>
        <w:spacing w:before="0" w:after="240"/>
      </w:pPr>
      <w:r>
        <w:t xml:space="preserve">Amend provisions </w:t>
      </w:r>
      <w:r w:rsidR="00AA1C03">
        <w:t>relating to greenhouse and energy audits, including</w:t>
      </w:r>
      <w:r w:rsidR="0074190C">
        <w:t>:</w:t>
      </w:r>
    </w:p>
    <w:p w14:paraId="5FF98CC9" w14:textId="1B53AC95" w:rsidR="000243BF" w:rsidRDefault="0074190C" w:rsidP="0069198F">
      <w:pPr>
        <w:pStyle w:val="Bullet"/>
        <w:numPr>
          <w:ilvl w:val="1"/>
          <w:numId w:val="25"/>
        </w:numPr>
        <w:spacing w:before="0" w:after="240"/>
      </w:pPr>
      <w:r>
        <w:lastRenderedPageBreak/>
        <w:t xml:space="preserve">Requiring </w:t>
      </w:r>
      <w:r w:rsidR="00B67ED1">
        <w:t>the</w:t>
      </w:r>
      <w:r>
        <w:t xml:space="preserve"> R</w:t>
      </w:r>
      <w:r w:rsidR="00B67ED1">
        <w:t xml:space="preserve">egister to contain </w:t>
      </w:r>
      <w:r>
        <w:t xml:space="preserve">information about conditions of </w:t>
      </w:r>
      <w:r w:rsidR="00B67ED1">
        <w:t xml:space="preserve">registration </w:t>
      </w:r>
      <w:r w:rsidR="00AA1C03">
        <w:t xml:space="preserve">of </w:t>
      </w:r>
      <w:r w:rsidR="00B67ED1">
        <w:t>auditors</w:t>
      </w:r>
      <w:r>
        <w:t>, as well as details on the suspension and deregistration of auditors</w:t>
      </w:r>
      <w:r w:rsidR="00B67ED1">
        <w:t xml:space="preserve">; </w:t>
      </w:r>
    </w:p>
    <w:p w14:paraId="039AD96F" w14:textId="1100D57C" w:rsidR="0074190C" w:rsidRDefault="00205AB9" w:rsidP="0069198F">
      <w:pPr>
        <w:pStyle w:val="Bullet"/>
        <w:numPr>
          <w:ilvl w:val="1"/>
          <w:numId w:val="25"/>
        </w:numPr>
        <w:spacing w:before="0" w:after="240"/>
      </w:pPr>
      <w:r>
        <w:t>Removing the ability for</w:t>
      </w:r>
      <w:r w:rsidR="0074190C">
        <w:t xml:space="preserve"> persons </w:t>
      </w:r>
      <w:r>
        <w:t xml:space="preserve">to apply </w:t>
      </w:r>
      <w:r w:rsidR="0074190C">
        <w:t xml:space="preserve">to be Category 1 auditors from the date of commencement of the </w:t>
      </w:r>
      <w:r w:rsidR="003F414F">
        <w:t xml:space="preserve">amending </w:t>
      </w:r>
      <w:r w:rsidR="0074190C">
        <w:t>Regulation</w:t>
      </w:r>
      <w:r w:rsidR="003F414F">
        <w:t>s</w:t>
      </w:r>
      <w:r w:rsidR="0074190C">
        <w:t>;</w:t>
      </w:r>
    </w:p>
    <w:p w14:paraId="07D077B7" w14:textId="168AA92E" w:rsidR="00C94771" w:rsidRDefault="00C94771" w:rsidP="00C94771">
      <w:pPr>
        <w:pStyle w:val="Bullet"/>
        <w:numPr>
          <w:ilvl w:val="1"/>
          <w:numId w:val="25"/>
        </w:numPr>
        <w:spacing w:before="0" w:after="240"/>
      </w:pPr>
      <w:r>
        <w:t xml:space="preserve">Allowing the </w:t>
      </w:r>
      <w:r w:rsidR="00AB039A">
        <w:t xml:space="preserve">Clean Energy </w:t>
      </w:r>
      <w:r>
        <w:t xml:space="preserve">Regulator </w:t>
      </w:r>
      <w:r w:rsidR="00AB039A">
        <w:t>(</w:t>
      </w:r>
      <w:r w:rsidR="00AB039A" w:rsidRPr="008F1C35">
        <w:rPr>
          <w:b/>
        </w:rPr>
        <w:t>the Regulator</w:t>
      </w:r>
      <w:r w:rsidR="00AB039A">
        <w:t xml:space="preserve">) </w:t>
      </w:r>
      <w:r>
        <w:t>to take into account various matters when determining whether an auditor is a fit and proper person;</w:t>
      </w:r>
    </w:p>
    <w:p w14:paraId="638D62BF" w14:textId="77777777" w:rsidR="00C94771" w:rsidRDefault="00C94771" w:rsidP="00C94771">
      <w:pPr>
        <w:pStyle w:val="Bullet"/>
        <w:numPr>
          <w:ilvl w:val="1"/>
          <w:numId w:val="25"/>
        </w:numPr>
        <w:spacing w:before="0" w:after="240"/>
      </w:pPr>
      <w:r>
        <w:t xml:space="preserve">Amending existing legislation knowledge provisions to only require knowledge of the </w:t>
      </w:r>
      <w:r w:rsidRPr="00050BE5">
        <w:rPr>
          <w:i/>
        </w:rPr>
        <w:t>Carbon Credits (Carbon Farming Initiative) Act 2011</w:t>
      </w:r>
      <w:r>
        <w:t xml:space="preserve"> and subordinate instruments (</w:t>
      </w:r>
      <w:r w:rsidRPr="00050BE5">
        <w:rPr>
          <w:b/>
        </w:rPr>
        <w:t>CFI legislation</w:t>
      </w:r>
      <w:r>
        <w:t xml:space="preserve">), where relevant to auditors’ work; </w:t>
      </w:r>
    </w:p>
    <w:p w14:paraId="42122D3A" w14:textId="77777777" w:rsidR="00C94771" w:rsidRDefault="00C94771" w:rsidP="00C94771">
      <w:pPr>
        <w:pStyle w:val="Bullet"/>
        <w:numPr>
          <w:ilvl w:val="1"/>
          <w:numId w:val="25"/>
        </w:numPr>
        <w:spacing w:before="0" w:after="240"/>
      </w:pPr>
      <w:r>
        <w:t xml:space="preserve">Introducing a requirement for auditors, where relevant to their work, to have knowledge of the </w:t>
      </w:r>
      <w:r w:rsidRPr="00523CDE">
        <w:rPr>
          <w:i/>
        </w:rPr>
        <w:t>Renewable Energy (Electricity) Act 2000</w:t>
      </w:r>
      <w:r>
        <w:t xml:space="preserve"> and subordinate legislation (</w:t>
      </w:r>
      <w:r w:rsidRPr="00050BE5">
        <w:rPr>
          <w:b/>
        </w:rPr>
        <w:t>renewable energy legislation</w:t>
      </w:r>
      <w:r>
        <w:t>),</w:t>
      </w:r>
    </w:p>
    <w:p w14:paraId="69026043" w14:textId="7CB0EB34" w:rsidR="003025BA" w:rsidRDefault="00C94771" w:rsidP="0069198F">
      <w:pPr>
        <w:pStyle w:val="Bullet"/>
        <w:numPr>
          <w:ilvl w:val="1"/>
          <w:numId w:val="25"/>
        </w:numPr>
        <w:spacing w:before="0" w:after="240"/>
      </w:pPr>
      <w:r w:rsidDel="00C94771">
        <w:t xml:space="preserve"> </w:t>
      </w:r>
      <w:r w:rsidR="00350833">
        <w:t xml:space="preserve">Clarifying </w:t>
      </w:r>
      <w:r w:rsidR="003025BA">
        <w:t xml:space="preserve">and increasing </w:t>
      </w:r>
      <w:r w:rsidR="00350833">
        <w:t xml:space="preserve">the </w:t>
      </w:r>
      <w:r w:rsidR="003025BA">
        <w:t xml:space="preserve">requirements for auditors to maintain registration in relation to insurance requirements and participation requirements; and </w:t>
      </w:r>
    </w:p>
    <w:p w14:paraId="1B33EBD2" w14:textId="77777777" w:rsidR="00EF4682" w:rsidRDefault="003025BA" w:rsidP="00EF4682">
      <w:pPr>
        <w:pStyle w:val="Bullet"/>
        <w:numPr>
          <w:ilvl w:val="1"/>
          <w:numId w:val="25"/>
        </w:numPr>
        <w:spacing w:before="0" w:after="240"/>
      </w:pPr>
      <w:r>
        <w:t xml:space="preserve">Reducing red tape </w:t>
      </w:r>
      <w:r w:rsidR="00637DC8">
        <w:t xml:space="preserve">by </w:t>
      </w:r>
      <w:r>
        <w:t>removing unnecessary reporting requirements for auditors</w:t>
      </w:r>
      <w:r w:rsidR="00913807">
        <w:t>;</w:t>
      </w:r>
    </w:p>
    <w:p w14:paraId="31EA85F8" w14:textId="674E7136" w:rsidR="00EF4682" w:rsidRDefault="00913807" w:rsidP="008359B5">
      <w:pPr>
        <w:pStyle w:val="Bullet"/>
        <w:numPr>
          <w:ilvl w:val="0"/>
          <w:numId w:val="25"/>
        </w:numPr>
        <w:spacing w:before="0" w:after="240"/>
      </w:pPr>
      <w:r>
        <w:t>M</w:t>
      </w:r>
      <w:r w:rsidR="00EF4682">
        <w:t xml:space="preserve">ake minor updates to </w:t>
      </w:r>
      <w:r w:rsidR="003B409B">
        <w:t>m</w:t>
      </w:r>
      <w:r w:rsidR="00EF4682">
        <w:t xml:space="preserve">atters to be identified </w:t>
      </w:r>
      <w:r w:rsidR="00D676B6">
        <w:t xml:space="preserve">in reports of emissions from decommissioned underground coal mines and natural gas distribution networks. </w:t>
      </w:r>
    </w:p>
    <w:p w14:paraId="0D225B28" w14:textId="4A202A80" w:rsidR="00221988" w:rsidRPr="00CD6FE4" w:rsidRDefault="00D47F98" w:rsidP="000243BF">
      <w:pPr>
        <w:pStyle w:val="Bullet"/>
        <w:numPr>
          <w:ilvl w:val="0"/>
          <w:numId w:val="0"/>
        </w:numPr>
      </w:pPr>
      <w:r>
        <w:t>D</w:t>
      </w:r>
      <w:r w:rsidR="002D2E26" w:rsidRPr="004109D3">
        <w:t>etails of the</w:t>
      </w:r>
      <w:r w:rsidR="003F414F">
        <w:t xml:space="preserve"> amending</w:t>
      </w:r>
      <w:r w:rsidR="002D2E26" w:rsidRPr="004109D3">
        <w:t xml:space="preserve"> Regulation</w:t>
      </w:r>
      <w:r w:rsidR="003F414F">
        <w:t>s</w:t>
      </w:r>
      <w:r w:rsidR="002D2E26" w:rsidRPr="004109D3">
        <w:t xml:space="preserve"> are </w:t>
      </w:r>
      <w:r w:rsidR="002D2E26">
        <w:t>outlined</w:t>
      </w:r>
      <w:r w:rsidR="002D2E26" w:rsidRPr="004109D3">
        <w:t xml:space="preserve"> in </w:t>
      </w:r>
      <w:r w:rsidR="002D2E26">
        <w:rPr>
          <w:u w:val="single"/>
        </w:rPr>
        <w:t>Attachment A</w:t>
      </w:r>
      <w:r w:rsidR="002D2E26">
        <w:t>.</w:t>
      </w:r>
    </w:p>
    <w:p w14:paraId="7A0FBBC2" w14:textId="475A0D84" w:rsidR="00913807" w:rsidRDefault="00221988" w:rsidP="00523CDE">
      <w:pPr>
        <w:spacing w:before="200" w:after="200"/>
      </w:pPr>
      <w:r w:rsidRPr="0038144C">
        <w:t xml:space="preserve">A statement of the </w:t>
      </w:r>
      <w:r w:rsidR="003F414F">
        <w:t>amending</w:t>
      </w:r>
      <w:r w:rsidR="003F414F" w:rsidRPr="0038144C">
        <w:t xml:space="preserve"> </w:t>
      </w:r>
      <w:r w:rsidRPr="0038144C">
        <w:t>Regulation</w:t>
      </w:r>
      <w:r w:rsidR="007F2DF4">
        <w:t>s</w:t>
      </w:r>
      <w:r w:rsidR="003F414F">
        <w:t>’</w:t>
      </w:r>
      <w:r w:rsidRPr="0038144C">
        <w:t xml:space="preserve"> compatibility with human </w:t>
      </w:r>
      <w:r>
        <w:t xml:space="preserve">rights is set out in </w:t>
      </w:r>
      <w:r w:rsidRPr="0047361F">
        <w:rPr>
          <w:u w:val="single"/>
        </w:rPr>
        <w:t>Attachment</w:t>
      </w:r>
      <w:r w:rsidR="001B0EC8">
        <w:rPr>
          <w:u w:val="single"/>
        </w:rPr>
        <w:t xml:space="preserve"> B</w:t>
      </w:r>
      <w:r w:rsidRPr="0038144C">
        <w:t>.</w:t>
      </w:r>
    </w:p>
    <w:p w14:paraId="00C2AA0B" w14:textId="2CD4EA75" w:rsidR="00A04056" w:rsidRPr="008F1C35" w:rsidRDefault="00A04056" w:rsidP="00523CDE">
      <w:pPr>
        <w:spacing w:before="200" w:after="200"/>
        <w:rPr>
          <w:b/>
        </w:rPr>
      </w:pPr>
      <w:r w:rsidRPr="008F1C35">
        <w:rPr>
          <w:b/>
        </w:rPr>
        <w:t>Consultation</w:t>
      </w:r>
    </w:p>
    <w:p w14:paraId="48A30473" w14:textId="225589A4" w:rsidR="00295958" w:rsidRDefault="00913807" w:rsidP="002B6A65">
      <w:pPr>
        <w:tabs>
          <w:tab w:val="left" w:pos="1701"/>
          <w:tab w:val="right" w:pos="9072"/>
        </w:tabs>
        <w:spacing w:before="200" w:after="200"/>
        <w:ind w:right="91"/>
      </w:pPr>
      <w:r>
        <w:t xml:space="preserve">An exposure draft of the </w:t>
      </w:r>
      <w:r w:rsidR="003F414F">
        <w:t>amending</w:t>
      </w:r>
      <w:r w:rsidR="003F414F" w:rsidRPr="004109D3">
        <w:t xml:space="preserve"> Regulation</w:t>
      </w:r>
      <w:r w:rsidR="003F414F">
        <w:t>s</w:t>
      </w:r>
      <w:r w:rsidR="003F414F" w:rsidDel="003F414F">
        <w:t xml:space="preserve"> </w:t>
      </w:r>
      <w:r>
        <w:t>was released for public consultation</w:t>
      </w:r>
      <w:r w:rsidR="008369A7">
        <w:t xml:space="preserve"> </w:t>
      </w:r>
      <w:r>
        <w:t xml:space="preserve">from 2 to </w:t>
      </w:r>
      <w:r w:rsidR="00B47C17">
        <w:t>28</w:t>
      </w:r>
      <w:r>
        <w:t xml:space="preserve"> August 2019, together with an exposure draft of associated changes to the </w:t>
      </w:r>
      <w:r w:rsidRPr="00523CDE">
        <w:rPr>
          <w:i/>
        </w:rPr>
        <w:t>National Greenhouse and Energy Reporting (Auditor Registration) Instrument 2018</w:t>
      </w:r>
      <w:r w:rsidR="00047613">
        <w:t>; r</w:t>
      </w:r>
      <w:r w:rsidR="002B2608">
        <w:t xml:space="preserve">egistered auditors were also consulted informally in May 2018 regarding a number of changes to the audit framework. </w:t>
      </w:r>
      <w:r w:rsidR="00047613">
        <w:t xml:space="preserve">Submissions to the August 2019 consultation </w:t>
      </w:r>
      <w:r w:rsidR="001927FF">
        <w:t xml:space="preserve">expressed concern that proposed supplementary auditor rotation requirements for </w:t>
      </w:r>
      <w:r w:rsidR="00A52FA1">
        <w:t xml:space="preserve">Emissions Reduction Fund </w:t>
      </w:r>
      <w:r w:rsidR="001927FF">
        <w:t>audits could increase the cost of audits</w:t>
      </w:r>
      <w:r w:rsidR="00117891">
        <w:t xml:space="preserve"> and would be difficult to implement</w:t>
      </w:r>
      <w:r w:rsidR="001927FF">
        <w:t xml:space="preserve">. </w:t>
      </w:r>
      <w:r w:rsidR="003F414F">
        <w:t xml:space="preserve">The amending Regulations therefore leave </w:t>
      </w:r>
      <w:r w:rsidR="001927FF">
        <w:t xml:space="preserve">auditor rotation requirements unchanged; the </w:t>
      </w:r>
      <w:r w:rsidR="00554A15">
        <w:t>G</w:t>
      </w:r>
      <w:r w:rsidR="001927FF">
        <w:t xml:space="preserve">overnment will continue to monitor whether general auditor rotation requirements are fit for purpose. No submissions made comments on Schedule 1 (Safeguard Mechanism amendments) or </w:t>
      </w:r>
      <w:r w:rsidR="00047613">
        <w:t xml:space="preserve">Schedule </w:t>
      </w:r>
      <w:r w:rsidR="001927FF">
        <w:t xml:space="preserve">3 (Other amendments- decommissioned underground mines and natural gas distribution) of </w:t>
      </w:r>
      <w:r w:rsidR="008369A7">
        <w:t>the amending Regulations</w:t>
      </w:r>
      <w:r w:rsidR="001927FF">
        <w:t>.</w:t>
      </w:r>
    </w:p>
    <w:p w14:paraId="0240AFA5" w14:textId="1E017D45" w:rsidR="005E3235" w:rsidRPr="00C74148" w:rsidRDefault="005E3235" w:rsidP="002B6A65">
      <w:pPr>
        <w:tabs>
          <w:tab w:val="left" w:pos="1701"/>
          <w:tab w:val="right" w:pos="9072"/>
        </w:tabs>
        <w:spacing w:before="200" w:after="200"/>
        <w:ind w:right="91"/>
        <w:rPr>
          <w:b/>
        </w:rPr>
      </w:pPr>
      <w:r w:rsidRPr="00C74148">
        <w:rPr>
          <w:b/>
        </w:rPr>
        <w:t>Regulatory Impact</w:t>
      </w:r>
    </w:p>
    <w:p w14:paraId="3A2F94D0" w14:textId="6F4F6277" w:rsidR="005E3235" w:rsidRDefault="005E3235" w:rsidP="002B6A65">
      <w:pPr>
        <w:tabs>
          <w:tab w:val="left" w:pos="1701"/>
          <w:tab w:val="right" w:pos="9072"/>
        </w:tabs>
        <w:spacing w:before="200" w:after="200"/>
        <w:ind w:right="91"/>
      </w:pPr>
      <w:r>
        <w:rPr>
          <w:lang w:val="en-GB"/>
        </w:rPr>
        <w:t xml:space="preserve">The amendments in Schedule 1 of the amending Regulations are consequential to the amendments to the Safeguard Rule made by the </w:t>
      </w:r>
      <w:r>
        <w:rPr>
          <w:i/>
          <w:iCs/>
          <w:lang w:val="en-GB"/>
        </w:rPr>
        <w:t xml:space="preserve">National Greenhouse and Energy Reporting </w:t>
      </w:r>
      <w:r>
        <w:rPr>
          <w:i/>
          <w:iCs/>
          <w:lang w:val="en-GB"/>
        </w:rPr>
        <w:lastRenderedPageBreak/>
        <w:t xml:space="preserve">(Safeguard Mechanism) Amendment Rule (No. 1) 2019, </w:t>
      </w:r>
      <w:r>
        <w:t xml:space="preserve">for which a regulation impact statement was prepared and assessed as compliant and consistent with best practice by the Office of Best Practice Regulation (OBPR </w:t>
      </w:r>
      <w:r w:rsidR="009379A7">
        <w:t xml:space="preserve">ID </w:t>
      </w:r>
      <w:r>
        <w:t xml:space="preserve">22431). The </w:t>
      </w:r>
      <w:r w:rsidR="00F44AF6">
        <w:t xml:space="preserve">amendments in </w:t>
      </w:r>
      <w:r>
        <w:t xml:space="preserve">Schedule 1 </w:t>
      </w:r>
      <w:r w:rsidR="00F44AF6">
        <w:t xml:space="preserve">of the amending Regulations </w:t>
      </w:r>
      <w:r>
        <w:t xml:space="preserve">impose no additional regulatory impact from that imposed and assessed in amending the Safeguard Rule. The measures implemented in Schedules 2 and 3 of the amending regulations were assessed to have nil or minor regulatory impacts (OBPR </w:t>
      </w:r>
      <w:r w:rsidR="009379A7">
        <w:t xml:space="preserve">ID </w:t>
      </w:r>
      <w:r w:rsidRPr="00C74148">
        <w:t>25366 and 25174).</w:t>
      </w:r>
    </w:p>
    <w:p w14:paraId="30EE9D19" w14:textId="77777777" w:rsidR="00295958" w:rsidRDefault="00295958">
      <w:pPr>
        <w:spacing w:before="0" w:after="0"/>
      </w:pPr>
      <w:r>
        <w:br w:type="page"/>
      </w:r>
    </w:p>
    <w:p w14:paraId="4D0DA272" w14:textId="77777777" w:rsidR="002D0C0C" w:rsidRPr="001550FB" w:rsidRDefault="002D0C0C" w:rsidP="00545293">
      <w:pPr>
        <w:tabs>
          <w:tab w:val="left" w:pos="1701"/>
          <w:tab w:val="right" w:pos="9072"/>
        </w:tabs>
        <w:spacing w:before="200" w:after="200"/>
        <w:ind w:right="91"/>
        <w:rPr>
          <w:b/>
          <w:u w:val="single"/>
        </w:rPr>
      </w:pPr>
      <w:r w:rsidRPr="001550FB">
        <w:rPr>
          <w:b/>
          <w:u w:val="single"/>
        </w:rPr>
        <w:lastRenderedPageBreak/>
        <w:t>ATTACHMENT</w:t>
      </w:r>
      <w:r w:rsidR="00534C53">
        <w:rPr>
          <w:b/>
          <w:u w:val="single"/>
        </w:rPr>
        <w:t xml:space="preserve"> A</w:t>
      </w:r>
    </w:p>
    <w:p w14:paraId="1F1DCB81" w14:textId="451772E0" w:rsidR="002D0C0C" w:rsidRPr="008D6A23" w:rsidRDefault="00723C9D" w:rsidP="00723C9D">
      <w:pPr>
        <w:keepNext/>
        <w:spacing w:after="240"/>
        <w:jc w:val="center"/>
        <w:outlineLvl w:val="1"/>
        <w:rPr>
          <w:b/>
          <w:i/>
          <w:szCs w:val="24"/>
          <w:u w:val="single"/>
        </w:rPr>
      </w:pPr>
      <w:r w:rsidRPr="008D6A23">
        <w:rPr>
          <w:b/>
        </w:rPr>
        <w:t xml:space="preserve">Details of the </w:t>
      </w:r>
      <w:r w:rsidR="004A051E" w:rsidRPr="004A051E">
        <w:rPr>
          <w:b/>
          <w:i/>
        </w:rPr>
        <w:t>National Greenhouse and Energy Reporting Amendment (</w:t>
      </w:r>
      <w:r w:rsidR="00A236C9">
        <w:rPr>
          <w:b/>
          <w:i/>
        </w:rPr>
        <w:t>2019 Measures No. 1</w:t>
      </w:r>
      <w:r w:rsidR="004A051E" w:rsidRPr="004A051E">
        <w:rPr>
          <w:b/>
          <w:i/>
        </w:rPr>
        <w:t>) Regulations 201</w:t>
      </w:r>
      <w:r w:rsidR="00A236C9">
        <w:rPr>
          <w:b/>
          <w:i/>
        </w:rPr>
        <w:t>9</w:t>
      </w:r>
      <w:r w:rsidR="004A051E" w:rsidRPr="004A051E">
        <w:rPr>
          <w:b/>
          <w:i/>
        </w:rPr>
        <w:t xml:space="preserve"> </w:t>
      </w:r>
    </w:p>
    <w:p w14:paraId="5514D068" w14:textId="77777777" w:rsidR="001F5A3D" w:rsidRPr="00B9380B" w:rsidRDefault="008019CF" w:rsidP="00DE0467">
      <w:pPr>
        <w:spacing w:before="0" w:after="240"/>
        <w:ind w:right="91"/>
        <w:rPr>
          <w:szCs w:val="24"/>
        </w:rPr>
      </w:pPr>
      <w:r>
        <w:rPr>
          <w:szCs w:val="24"/>
          <w:u w:val="single"/>
        </w:rPr>
        <w:t xml:space="preserve">Section </w:t>
      </w:r>
      <w:r w:rsidR="006D11C1" w:rsidRPr="006D11C1">
        <w:rPr>
          <w:szCs w:val="24"/>
          <w:u w:val="single"/>
        </w:rPr>
        <w:fldChar w:fldCharType="begin"/>
      </w:r>
      <w:r w:rsidR="006D11C1" w:rsidRPr="006D11C1">
        <w:rPr>
          <w:szCs w:val="24"/>
          <w:u w:val="single"/>
        </w:rPr>
        <w:instrText xml:space="preserve"> SEQ numlist \r1 </w:instrText>
      </w:r>
      <w:r w:rsidR="006D11C1" w:rsidRPr="006D11C1">
        <w:rPr>
          <w:szCs w:val="24"/>
          <w:u w:val="single"/>
        </w:rPr>
        <w:fldChar w:fldCharType="separate"/>
      </w:r>
      <w:r w:rsidR="006D11C1">
        <w:rPr>
          <w:noProof/>
          <w:szCs w:val="24"/>
          <w:u w:val="single"/>
        </w:rPr>
        <w:t>1</w:t>
      </w:r>
      <w:r w:rsidR="006D11C1" w:rsidRPr="006D11C1">
        <w:rPr>
          <w:szCs w:val="24"/>
          <w:u w:val="single"/>
        </w:rPr>
        <w:fldChar w:fldCharType="end"/>
      </w:r>
      <w:r w:rsidR="006D11C1">
        <w:rPr>
          <w:szCs w:val="24"/>
          <w:u w:val="single"/>
        </w:rPr>
        <w:t>—</w:t>
      </w:r>
      <w:r>
        <w:rPr>
          <w:szCs w:val="24"/>
          <w:u w:val="single"/>
        </w:rPr>
        <w:t>Name of r</w:t>
      </w:r>
      <w:r w:rsidR="001F5A3D" w:rsidRPr="00B9380B">
        <w:rPr>
          <w:szCs w:val="24"/>
          <w:u w:val="single"/>
        </w:rPr>
        <w:t>egulation</w:t>
      </w:r>
    </w:p>
    <w:p w14:paraId="1A8BF6A2" w14:textId="04EB2855" w:rsidR="001F5A3D" w:rsidRPr="00F90D84" w:rsidRDefault="00F90D84" w:rsidP="001F5A3D">
      <w:pPr>
        <w:spacing w:before="0" w:after="240"/>
        <w:ind w:right="91"/>
        <w:rPr>
          <w:szCs w:val="24"/>
        </w:rPr>
      </w:pPr>
      <w:r>
        <w:rPr>
          <w:szCs w:val="24"/>
        </w:rPr>
        <w:t>Section 1</w:t>
      </w:r>
      <w:r w:rsidR="001F5A3D" w:rsidRPr="00F90D84">
        <w:rPr>
          <w:szCs w:val="24"/>
        </w:rPr>
        <w:t xml:space="preserve"> provide</w:t>
      </w:r>
      <w:r w:rsidR="003A2330" w:rsidRPr="00F90D84">
        <w:rPr>
          <w:szCs w:val="24"/>
        </w:rPr>
        <w:t>s</w:t>
      </w:r>
      <w:r w:rsidR="001F5A3D" w:rsidRPr="00F90D84">
        <w:rPr>
          <w:szCs w:val="24"/>
        </w:rPr>
        <w:t xml:space="preserve"> that the title of the </w:t>
      </w:r>
      <w:r w:rsidR="00576F9B">
        <w:rPr>
          <w:szCs w:val="24"/>
        </w:rPr>
        <w:t xml:space="preserve">amending </w:t>
      </w:r>
      <w:r w:rsidR="001F5A3D" w:rsidRPr="00F90D84">
        <w:rPr>
          <w:szCs w:val="24"/>
        </w:rPr>
        <w:t>Regulation</w:t>
      </w:r>
      <w:r w:rsidR="00576F9B">
        <w:rPr>
          <w:szCs w:val="24"/>
        </w:rPr>
        <w:t>s</w:t>
      </w:r>
      <w:r w:rsidR="001F5A3D" w:rsidRPr="00F90D84">
        <w:rPr>
          <w:szCs w:val="24"/>
        </w:rPr>
        <w:t xml:space="preserve"> is the </w:t>
      </w:r>
      <w:r w:rsidR="0023138A" w:rsidRPr="0023138A">
        <w:rPr>
          <w:i/>
        </w:rPr>
        <w:t>National Greenhouse and Energy Reporting Amendment (</w:t>
      </w:r>
      <w:r w:rsidR="00A236C9">
        <w:rPr>
          <w:i/>
        </w:rPr>
        <w:t>2019 Measures No. 1)</w:t>
      </w:r>
      <w:r w:rsidR="0023138A" w:rsidRPr="0023138A">
        <w:rPr>
          <w:i/>
        </w:rPr>
        <w:t xml:space="preserve"> Regulations 201</w:t>
      </w:r>
      <w:r w:rsidR="00A236C9">
        <w:rPr>
          <w:i/>
        </w:rPr>
        <w:t>9</w:t>
      </w:r>
      <w:r w:rsidR="001F5A3D" w:rsidRPr="00F90D84">
        <w:rPr>
          <w:szCs w:val="24"/>
        </w:rPr>
        <w:t>.</w:t>
      </w:r>
    </w:p>
    <w:p w14:paraId="068157F5" w14:textId="77777777" w:rsidR="001F5A3D" w:rsidRPr="00637DC8" w:rsidRDefault="001F5A3D" w:rsidP="001F5A3D">
      <w:pPr>
        <w:spacing w:before="0" w:after="240"/>
        <w:ind w:right="91"/>
        <w:rPr>
          <w:szCs w:val="24"/>
          <w:u w:val="single"/>
        </w:rPr>
      </w:pPr>
      <w:r w:rsidRPr="00BE2CAB">
        <w:rPr>
          <w:szCs w:val="24"/>
          <w:u w:val="single"/>
        </w:rPr>
        <w:t>Section 2</w:t>
      </w:r>
      <w:r w:rsidR="006D11C1" w:rsidRPr="00BE2CAB">
        <w:rPr>
          <w:szCs w:val="24"/>
          <w:u w:val="single"/>
        </w:rPr>
        <w:t>—</w:t>
      </w:r>
      <w:r w:rsidRPr="00637DC8">
        <w:rPr>
          <w:szCs w:val="24"/>
          <w:u w:val="single"/>
        </w:rPr>
        <w:t>Commencement</w:t>
      </w:r>
    </w:p>
    <w:p w14:paraId="2B1800D6" w14:textId="0AF9C8D7" w:rsidR="001F5A3D" w:rsidRPr="003A612B" w:rsidRDefault="00F90D84" w:rsidP="001F5A3D">
      <w:pPr>
        <w:spacing w:before="0" w:after="240"/>
        <w:ind w:right="91"/>
        <w:rPr>
          <w:szCs w:val="24"/>
        </w:rPr>
      </w:pPr>
      <w:r w:rsidRPr="00637DC8">
        <w:rPr>
          <w:szCs w:val="24"/>
        </w:rPr>
        <w:t>Section 2</w:t>
      </w:r>
      <w:r w:rsidR="001F5A3D" w:rsidRPr="00637DC8">
        <w:rPr>
          <w:szCs w:val="24"/>
        </w:rPr>
        <w:t xml:space="preserve"> provide</w:t>
      </w:r>
      <w:r w:rsidR="004E7915" w:rsidRPr="00637DC8">
        <w:rPr>
          <w:szCs w:val="24"/>
        </w:rPr>
        <w:t>s</w:t>
      </w:r>
      <w:r w:rsidR="001F5A3D" w:rsidRPr="00637DC8">
        <w:rPr>
          <w:szCs w:val="24"/>
        </w:rPr>
        <w:t xml:space="preserve"> that the </w:t>
      </w:r>
      <w:r w:rsidR="00576F9B">
        <w:rPr>
          <w:szCs w:val="24"/>
        </w:rPr>
        <w:t xml:space="preserve">amending </w:t>
      </w:r>
      <w:r w:rsidR="001F5A3D" w:rsidRPr="00637DC8">
        <w:rPr>
          <w:szCs w:val="24"/>
        </w:rPr>
        <w:t>Regulation</w:t>
      </w:r>
      <w:r w:rsidR="00086E9A" w:rsidRPr="00637DC8">
        <w:rPr>
          <w:szCs w:val="24"/>
        </w:rPr>
        <w:t>s</w:t>
      </w:r>
      <w:r w:rsidR="001F5A3D" w:rsidRPr="00637DC8">
        <w:rPr>
          <w:szCs w:val="24"/>
        </w:rPr>
        <w:t xml:space="preserve"> commence</w:t>
      </w:r>
      <w:r w:rsidRPr="00637DC8">
        <w:rPr>
          <w:szCs w:val="24"/>
        </w:rPr>
        <w:t xml:space="preserve"> </w:t>
      </w:r>
      <w:r w:rsidR="00637DC8">
        <w:rPr>
          <w:szCs w:val="24"/>
        </w:rPr>
        <w:t>on the day after their registration</w:t>
      </w:r>
      <w:r w:rsidR="00B719D4" w:rsidRPr="00637DC8">
        <w:rPr>
          <w:szCs w:val="24"/>
        </w:rPr>
        <w:t>.</w:t>
      </w:r>
    </w:p>
    <w:p w14:paraId="52E4D95F" w14:textId="77777777" w:rsidR="001F5A3D" w:rsidRPr="001C68D5" w:rsidRDefault="001F5A3D" w:rsidP="001F5A3D">
      <w:pPr>
        <w:spacing w:before="0" w:after="240"/>
        <w:ind w:right="91"/>
        <w:rPr>
          <w:szCs w:val="24"/>
        </w:rPr>
      </w:pPr>
      <w:r w:rsidRPr="00286CC0">
        <w:rPr>
          <w:szCs w:val="24"/>
          <w:u w:val="single"/>
        </w:rPr>
        <w:t>Section 3</w:t>
      </w:r>
      <w:r w:rsidR="006D11C1">
        <w:rPr>
          <w:szCs w:val="24"/>
          <w:u w:val="single"/>
        </w:rPr>
        <w:t>—</w:t>
      </w:r>
      <w:r w:rsidRPr="00286CC0">
        <w:rPr>
          <w:szCs w:val="24"/>
          <w:u w:val="single"/>
        </w:rPr>
        <w:t>Authority</w:t>
      </w:r>
    </w:p>
    <w:p w14:paraId="3074043A" w14:textId="72243D98" w:rsidR="001F5A3D" w:rsidRPr="001C68D5" w:rsidRDefault="003A612B" w:rsidP="001F5A3D">
      <w:pPr>
        <w:spacing w:before="0" w:after="240"/>
        <w:ind w:right="91"/>
        <w:rPr>
          <w:i/>
          <w:szCs w:val="24"/>
        </w:rPr>
      </w:pPr>
      <w:r>
        <w:rPr>
          <w:szCs w:val="24"/>
        </w:rPr>
        <w:t>Section 3</w:t>
      </w:r>
      <w:r w:rsidR="001F5A3D">
        <w:rPr>
          <w:szCs w:val="24"/>
        </w:rPr>
        <w:t xml:space="preserve"> provide</w:t>
      </w:r>
      <w:r w:rsidR="00B55843">
        <w:rPr>
          <w:szCs w:val="24"/>
        </w:rPr>
        <w:t>s</w:t>
      </w:r>
      <w:r w:rsidR="001F5A3D" w:rsidRPr="00D33F05">
        <w:rPr>
          <w:szCs w:val="24"/>
        </w:rPr>
        <w:t xml:space="preserve"> that the </w:t>
      </w:r>
      <w:r w:rsidR="00576F9B">
        <w:rPr>
          <w:szCs w:val="24"/>
        </w:rPr>
        <w:t xml:space="preserve">amending </w:t>
      </w:r>
      <w:r w:rsidR="001F5A3D" w:rsidRPr="00FC52C4">
        <w:rPr>
          <w:szCs w:val="24"/>
        </w:rPr>
        <w:t>Regulation</w:t>
      </w:r>
      <w:r w:rsidR="00576F9B">
        <w:rPr>
          <w:szCs w:val="24"/>
        </w:rPr>
        <w:t>s</w:t>
      </w:r>
      <w:r w:rsidR="001F5A3D" w:rsidRPr="00FC52C4">
        <w:rPr>
          <w:szCs w:val="24"/>
        </w:rPr>
        <w:t xml:space="preserve"> </w:t>
      </w:r>
      <w:r w:rsidR="00576F9B">
        <w:rPr>
          <w:szCs w:val="24"/>
        </w:rPr>
        <w:t xml:space="preserve">are </w:t>
      </w:r>
      <w:r w:rsidR="001F5A3D" w:rsidRPr="00FC52C4">
        <w:rPr>
          <w:szCs w:val="24"/>
        </w:rPr>
        <w:t xml:space="preserve">made under </w:t>
      </w:r>
      <w:r w:rsidR="00B719D4" w:rsidRPr="003E1CCD">
        <w:t xml:space="preserve">the </w:t>
      </w:r>
      <w:r w:rsidR="00B719D4">
        <w:rPr>
          <w:i/>
          <w:iCs/>
        </w:rPr>
        <w:t>National Greenhouse and Energy Reporting Act 2007</w:t>
      </w:r>
      <w:r w:rsidR="005C0D0D">
        <w:rPr>
          <w:iCs/>
        </w:rPr>
        <w:t>.</w:t>
      </w:r>
      <w:r w:rsidR="00E87240">
        <w:rPr>
          <w:iCs/>
        </w:rPr>
        <w:t xml:space="preserve"> </w:t>
      </w:r>
      <w:r w:rsidR="00E87240" w:rsidRPr="00247D75">
        <w:rPr>
          <w:lang w:bidi="en-US"/>
        </w:rPr>
        <w:t xml:space="preserve">The power to make </w:t>
      </w:r>
      <w:r w:rsidR="00E87240">
        <w:rPr>
          <w:lang w:bidi="en-US"/>
        </w:rPr>
        <w:t>regulations</w:t>
      </w:r>
      <w:r w:rsidR="00E87240" w:rsidRPr="00247D75">
        <w:rPr>
          <w:lang w:bidi="en-US"/>
        </w:rPr>
        <w:t xml:space="preserve"> under </w:t>
      </w:r>
      <w:r w:rsidR="00E87240">
        <w:rPr>
          <w:lang w:bidi="en-US"/>
        </w:rPr>
        <w:t>section 77 of the NGER Act</w:t>
      </w:r>
      <w:r w:rsidR="00E87240" w:rsidRPr="00247D75">
        <w:rPr>
          <w:lang w:bidi="en-US"/>
        </w:rPr>
        <w:t xml:space="preserve"> includes th</w:t>
      </w:r>
      <w:r w:rsidR="00E87240">
        <w:rPr>
          <w:lang w:bidi="en-US"/>
        </w:rPr>
        <w:t>e power to amend or revoke regulations</w:t>
      </w:r>
      <w:r w:rsidR="00E87240" w:rsidRPr="00247D75">
        <w:rPr>
          <w:lang w:bidi="en-US"/>
        </w:rPr>
        <w:t xml:space="preserve"> that have already been made, with any doubt about this resolved by subsection 33(3) of the </w:t>
      </w:r>
      <w:r w:rsidR="00E87240" w:rsidRPr="00247D75">
        <w:rPr>
          <w:i/>
          <w:lang w:bidi="en-US"/>
        </w:rPr>
        <w:t>Acts Interpretation Act 190</w:t>
      </w:r>
      <w:r w:rsidR="00047613">
        <w:rPr>
          <w:i/>
          <w:lang w:bidi="en-US"/>
        </w:rPr>
        <w:t>1.</w:t>
      </w:r>
    </w:p>
    <w:p w14:paraId="6DD3026E" w14:textId="77777777" w:rsidR="001F5A3D" w:rsidRPr="00FC52C4" w:rsidRDefault="001F5A3D" w:rsidP="008019CF">
      <w:pPr>
        <w:spacing w:before="0" w:after="240"/>
        <w:ind w:right="91"/>
        <w:rPr>
          <w:szCs w:val="24"/>
          <w:u w:val="single"/>
        </w:rPr>
      </w:pPr>
      <w:r w:rsidRPr="00D33F05">
        <w:rPr>
          <w:szCs w:val="24"/>
          <w:u w:val="single"/>
        </w:rPr>
        <w:t>Section 4</w:t>
      </w:r>
      <w:r w:rsidR="006D11C1">
        <w:rPr>
          <w:szCs w:val="24"/>
          <w:u w:val="single"/>
        </w:rPr>
        <w:t>—</w:t>
      </w:r>
      <w:r w:rsidRPr="00D33F05">
        <w:rPr>
          <w:szCs w:val="24"/>
          <w:u w:val="single"/>
        </w:rPr>
        <w:t>Schedules</w:t>
      </w:r>
    </w:p>
    <w:p w14:paraId="53111C3D" w14:textId="5A74246D" w:rsidR="001F5A3D" w:rsidRPr="00FC52C4" w:rsidRDefault="008019CF" w:rsidP="001F5A3D">
      <w:pPr>
        <w:spacing w:before="0" w:after="240"/>
        <w:rPr>
          <w:szCs w:val="24"/>
        </w:rPr>
      </w:pPr>
      <w:r>
        <w:rPr>
          <w:szCs w:val="24"/>
        </w:rPr>
        <w:t>Section 4</w:t>
      </w:r>
      <w:r w:rsidR="001F5A3D" w:rsidRPr="00FC52C4">
        <w:rPr>
          <w:szCs w:val="24"/>
        </w:rPr>
        <w:t xml:space="preserve"> </w:t>
      </w:r>
      <w:r w:rsidR="001F5A3D">
        <w:rPr>
          <w:szCs w:val="24"/>
        </w:rPr>
        <w:t>provide</w:t>
      </w:r>
      <w:r w:rsidR="005C7C06">
        <w:rPr>
          <w:szCs w:val="24"/>
        </w:rPr>
        <w:t>s</w:t>
      </w:r>
      <w:r w:rsidR="001F5A3D" w:rsidRPr="00FC52C4">
        <w:rPr>
          <w:szCs w:val="24"/>
        </w:rPr>
        <w:t xml:space="preserve"> that each instrument that is specified in a Schedule to the </w:t>
      </w:r>
      <w:r w:rsidR="00975D63">
        <w:rPr>
          <w:szCs w:val="24"/>
        </w:rPr>
        <w:t xml:space="preserve">amending </w:t>
      </w:r>
      <w:r w:rsidR="001F5A3D" w:rsidRPr="00FC52C4">
        <w:rPr>
          <w:szCs w:val="24"/>
        </w:rPr>
        <w:t>Regulation</w:t>
      </w:r>
      <w:r w:rsidR="00975D63">
        <w:rPr>
          <w:szCs w:val="24"/>
        </w:rPr>
        <w:t>s</w:t>
      </w:r>
      <w:r w:rsidR="001F5A3D" w:rsidRPr="00FC52C4">
        <w:rPr>
          <w:szCs w:val="24"/>
        </w:rPr>
        <w:t xml:space="preserve"> is amended or repealed as set out in the applicable items in the Schedule concerned, and any other item in a Schedule to </w:t>
      </w:r>
      <w:r>
        <w:rPr>
          <w:szCs w:val="24"/>
        </w:rPr>
        <w:t xml:space="preserve">the </w:t>
      </w:r>
      <w:r w:rsidR="00975D63">
        <w:rPr>
          <w:szCs w:val="24"/>
        </w:rPr>
        <w:t xml:space="preserve">amending </w:t>
      </w:r>
      <w:r>
        <w:rPr>
          <w:szCs w:val="24"/>
        </w:rPr>
        <w:t>Regulation</w:t>
      </w:r>
      <w:r w:rsidR="00975D63">
        <w:rPr>
          <w:szCs w:val="24"/>
        </w:rPr>
        <w:t>s</w:t>
      </w:r>
      <w:r w:rsidR="001F5A3D" w:rsidRPr="00FC52C4">
        <w:rPr>
          <w:szCs w:val="24"/>
        </w:rPr>
        <w:t xml:space="preserve"> has effect according to its terms.</w:t>
      </w:r>
    </w:p>
    <w:p w14:paraId="527527C0" w14:textId="77777777" w:rsidR="001F5A3D" w:rsidRPr="008019CF" w:rsidRDefault="001F5A3D" w:rsidP="008019CF">
      <w:pPr>
        <w:spacing w:before="0" w:after="240"/>
        <w:ind w:right="91"/>
        <w:rPr>
          <w:b/>
          <w:szCs w:val="24"/>
        </w:rPr>
      </w:pPr>
      <w:r w:rsidRPr="008019CF">
        <w:rPr>
          <w:b/>
          <w:szCs w:val="24"/>
        </w:rPr>
        <w:t>Amendments</w:t>
      </w:r>
    </w:p>
    <w:p w14:paraId="7382D78C" w14:textId="77777777" w:rsidR="001F5A3D" w:rsidRPr="00FC52C4" w:rsidRDefault="001F5A3D" w:rsidP="001F5A3D">
      <w:pPr>
        <w:pStyle w:val="Bullet"/>
        <w:numPr>
          <w:ilvl w:val="0"/>
          <w:numId w:val="0"/>
        </w:numPr>
        <w:spacing w:before="0" w:after="240"/>
        <w:rPr>
          <w:u w:val="single"/>
        </w:rPr>
      </w:pPr>
      <w:r w:rsidRPr="00FC52C4">
        <w:rPr>
          <w:u w:val="single"/>
        </w:rPr>
        <w:t xml:space="preserve">Schedule </w:t>
      </w:r>
      <w:r w:rsidR="006D11C1" w:rsidRPr="006D11C1">
        <w:rPr>
          <w:u w:val="single"/>
        </w:rPr>
        <w:fldChar w:fldCharType="begin"/>
      </w:r>
      <w:r w:rsidR="006D11C1" w:rsidRPr="006D11C1">
        <w:rPr>
          <w:u w:val="single"/>
        </w:rPr>
        <w:instrText xml:space="preserve"> SEQ numlist \r1 </w:instrText>
      </w:r>
      <w:r w:rsidR="006D11C1" w:rsidRPr="006D11C1">
        <w:rPr>
          <w:u w:val="single"/>
        </w:rPr>
        <w:fldChar w:fldCharType="separate"/>
      </w:r>
      <w:r w:rsidR="006D11C1">
        <w:rPr>
          <w:noProof/>
          <w:u w:val="single"/>
        </w:rPr>
        <w:t>1</w:t>
      </w:r>
      <w:r w:rsidR="006D11C1" w:rsidRPr="006D11C1">
        <w:rPr>
          <w:u w:val="single"/>
        </w:rPr>
        <w:fldChar w:fldCharType="end"/>
      </w:r>
      <w:r w:rsidR="006D11C1">
        <w:rPr>
          <w:u w:val="single"/>
        </w:rPr>
        <w:t>—</w:t>
      </w:r>
      <w:r w:rsidR="00A236C9">
        <w:rPr>
          <w:u w:val="single"/>
        </w:rPr>
        <w:t xml:space="preserve">Safeguard </w:t>
      </w:r>
      <w:r w:rsidR="00F5520A">
        <w:rPr>
          <w:u w:val="single"/>
        </w:rPr>
        <w:t>M</w:t>
      </w:r>
      <w:r w:rsidR="00A236C9">
        <w:rPr>
          <w:u w:val="single"/>
        </w:rPr>
        <w:t>echanism a</w:t>
      </w:r>
      <w:r w:rsidR="00343673">
        <w:rPr>
          <w:u w:val="single"/>
        </w:rPr>
        <w:t>mendments</w:t>
      </w:r>
    </w:p>
    <w:p w14:paraId="7D941E27" w14:textId="77777777" w:rsidR="00E87240" w:rsidRDefault="00252815" w:rsidP="00295958">
      <w:pPr>
        <w:spacing w:after="240"/>
        <w:rPr>
          <w:u w:val="single"/>
        </w:rPr>
      </w:pPr>
      <w:r>
        <w:rPr>
          <w:u w:val="single"/>
        </w:rPr>
        <w:t xml:space="preserve">Items 1, 2, 3 and 4 </w:t>
      </w:r>
    </w:p>
    <w:p w14:paraId="3655A798" w14:textId="77777777" w:rsidR="00295958" w:rsidRPr="00523CDE" w:rsidRDefault="00E87240" w:rsidP="00295958">
      <w:pPr>
        <w:spacing w:after="240"/>
      </w:pPr>
      <w:r w:rsidRPr="00523CDE">
        <w:t xml:space="preserve">These </w:t>
      </w:r>
      <w:r w:rsidR="00252815" w:rsidRPr="00523CDE">
        <w:t xml:space="preserve">are consequential and editorial changes to facilitate changes made to the </w:t>
      </w:r>
      <w:r w:rsidR="00252815" w:rsidRPr="00C81775">
        <w:t>Safeguard Rule</w:t>
      </w:r>
      <w:r w:rsidR="00252815" w:rsidRPr="00523CDE">
        <w:t>.</w:t>
      </w:r>
      <w:r>
        <w:t xml:space="preserve"> They incorporate relevant defined terms from the Safeguard Rule.</w:t>
      </w:r>
    </w:p>
    <w:p w14:paraId="0F0B3B94" w14:textId="77777777" w:rsidR="00E87240" w:rsidRPr="00523CDE" w:rsidRDefault="00E87240" w:rsidP="00295958">
      <w:pPr>
        <w:spacing w:after="240"/>
        <w:rPr>
          <w:u w:val="single"/>
        </w:rPr>
      </w:pPr>
      <w:r w:rsidRPr="00523CDE">
        <w:rPr>
          <w:u w:val="single"/>
        </w:rPr>
        <w:t>Item 5</w:t>
      </w:r>
    </w:p>
    <w:p w14:paraId="3CF94993" w14:textId="735BF73D" w:rsidR="00295958" w:rsidRDefault="00295958" w:rsidP="00295958">
      <w:pPr>
        <w:spacing w:after="240"/>
      </w:pPr>
      <w:r w:rsidRPr="00295958">
        <w:t xml:space="preserve">Item </w:t>
      </w:r>
      <w:r>
        <w:t xml:space="preserve">5 inserts new reporting requirement for facilities with a production-adjusted baseline determination or </w:t>
      </w:r>
      <w:r w:rsidR="00E87240">
        <w:t>certain</w:t>
      </w:r>
      <w:r>
        <w:t xml:space="preserve"> benchmark-emissions baseline determination</w:t>
      </w:r>
      <w:r w:rsidR="00E87240">
        <w:t>s</w:t>
      </w:r>
      <w:r>
        <w:t>.</w:t>
      </w:r>
      <w:r w:rsidRPr="00295958">
        <w:t xml:space="preserve"> The new production reporting requirements will facilitate</w:t>
      </w:r>
      <w:r w:rsidR="00BE597E">
        <w:t xml:space="preserve"> </w:t>
      </w:r>
      <w:r w:rsidR="00BE597E" w:rsidRPr="00295958">
        <w:t>annually adjusted baselines</w:t>
      </w:r>
      <w:r w:rsidRPr="00295958">
        <w:t xml:space="preserve"> by enabling the Regulator to automatically update</w:t>
      </w:r>
      <w:r w:rsidR="00BE597E">
        <w:t xml:space="preserve"> such</w:t>
      </w:r>
      <w:r w:rsidRPr="00295958">
        <w:t xml:space="preserve"> baselines each year, to reflect the latest production data. Facilities with annually adjusted baselines will report production data through the National Greenhouse and Energy Reporting Scheme (</w:t>
      </w:r>
      <w:r w:rsidRPr="008F1C35">
        <w:rPr>
          <w:b/>
        </w:rPr>
        <w:t>NGER Scheme</w:t>
      </w:r>
      <w:r w:rsidRPr="00295958">
        <w:t>) in the same way they currently report greenhouse gas emissions and energy information</w:t>
      </w:r>
      <w:r w:rsidR="00331F89">
        <w:t>.</w:t>
      </w:r>
      <w:r w:rsidR="00913807">
        <w:t xml:space="preserve"> </w:t>
      </w:r>
      <w:r w:rsidR="00331F89">
        <w:t>F</w:t>
      </w:r>
      <w:r w:rsidRPr="00295958">
        <w:t>acilities on fixed baselines would not be covered by the new requirements.</w:t>
      </w:r>
    </w:p>
    <w:p w14:paraId="428857B5" w14:textId="77777777" w:rsidR="00295958" w:rsidRPr="009B2595" w:rsidRDefault="00295958" w:rsidP="00295958">
      <w:r>
        <w:t>Reporters will not need to report production information for baseline determinations that do not use ‘prescribed (annually adjusted) production variables’, including instances where a facility produces an output that is listed in Schedule 2, but uses a different production variable for its baseline setting through provisions in Section 5 of the Safeguard Rule. Additionally, reporters will not need to report production information during a report</w:t>
      </w:r>
      <w:r w:rsidR="00866FF5">
        <w:t>ed</w:t>
      </w:r>
      <w:r>
        <w:t xml:space="preserve">-emissions, calculated-emissions or </w:t>
      </w:r>
      <w:r w:rsidR="00E87240">
        <w:t xml:space="preserve">fixed </w:t>
      </w:r>
      <w:r>
        <w:t>benchmark-emissions baseline determination period. This is because the baseline remains fixed for the duration of the baseline determination period.</w:t>
      </w:r>
    </w:p>
    <w:p w14:paraId="0399834A" w14:textId="2A28C54A" w:rsidR="00295958" w:rsidRDefault="00295958" w:rsidP="00295958">
      <w:r>
        <w:t>Item 5 also inserts new provisions to allow for facilities to elect to report production quantities.</w:t>
      </w:r>
      <w:r w:rsidRPr="00295958">
        <w:t xml:space="preserve"> </w:t>
      </w:r>
      <w:r>
        <w:t xml:space="preserve">If a facility produces one </w:t>
      </w:r>
      <w:r w:rsidR="00331F89">
        <w:t xml:space="preserve">or more </w:t>
      </w:r>
      <w:r>
        <w:t>prescribed (annually adjusted) production variable</w:t>
      </w:r>
      <w:r w:rsidR="002C1916">
        <w:t>s</w:t>
      </w:r>
      <w:r>
        <w:t xml:space="preserve">, the facility may voluntarily report the quantities of each prescribed (annually adjusted) production variable produced in the financial year. </w:t>
      </w:r>
      <w:r w:rsidR="0067634A">
        <w:t xml:space="preserve">Any reported </w:t>
      </w:r>
      <w:r>
        <w:t xml:space="preserve">quantities </w:t>
      </w:r>
      <w:r w:rsidR="00402605">
        <w:t>must</w:t>
      </w:r>
      <w:r>
        <w:t xml:space="preserve"> be measured using any units specified in Schedule 2 of the Safeguard </w:t>
      </w:r>
      <w:r w:rsidR="00BE597E">
        <w:t>R</w:t>
      </w:r>
      <w:r>
        <w:t xml:space="preserve">ule and meet any measurement requirements or procedures specified in Schedule 2 of the Safeguard </w:t>
      </w:r>
      <w:r w:rsidR="002C1916">
        <w:t>R</w:t>
      </w:r>
      <w:r>
        <w:t xml:space="preserve">ule. This may include instances when none are relevant to the baseline emissions numbers, or one is relevant to baseline emissions numbers. </w:t>
      </w:r>
    </w:p>
    <w:p w14:paraId="334E5AC4" w14:textId="77777777" w:rsidR="00E87240" w:rsidRPr="00523CDE" w:rsidRDefault="00E87240" w:rsidP="00295958">
      <w:pPr>
        <w:rPr>
          <w:u w:val="single"/>
        </w:rPr>
      </w:pPr>
      <w:r w:rsidRPr="00523CDE">
        <w:rPr>
          <w:u w:val="single"/>
        </w:rPr>
        <w:t>Item 6</w:t>
      </w:r>
    </w:p>
    <w:p w14:paraId="5FFCE379" w14:textId="7FAAA3E4" w:rsidR="00E54021" w:rsidRDefault="002C1916" w:rsidP="00295958">
      <w:r>
        <w:t>Item 6 i</w:t>
      </w:r>
      <w:r w:rsidR="00E54021">
        <w:t xml:space="preserve">nserts transitional provisions to clarify that the amendments apply </w:t>
      </w:r>
      <w:r w:rsidR="00D75AA0">
        <w:t xml:space="preserve">to a report provided under the Act </w:t>
      </w:r>
      <w:r w:rsidR="00E54021">
        <w:t>on or after the commencement day</w:t>
      </w:r>
      <w:r w:rsidR="00A66AAC">
        <w:t xml:space="preserve"> as a new Division 7.4</w:t>
      </w:r>
      <w:r w:rsidR="00E54021">
        <w:t>.</w:t>
      </w:r>
      <w:r w:rsidR="00A66AAC">
        <w:t xml:space="preserve"> As no prescribed (annually adjusted) production variables have yet been included in the Safeguard </w:t>
      </w:r>
      <w:r w:rsidR="00402605">
        <w:t>R</w:t>
      </w:r>
      <w:r w:rsidR="00A66AAC">
        <w:t xml:space="preserve">ule, no existing facilities are impacted by these changes. When prescribed (annually adjusted) production variables are made, it is possible a facility </w:t>
      </w:r>
      <w:r w:rsidR="00402605">
        <w:t>can</w:t>
      </w:r>
      <w:r w:rsidR="00A66AAC">
        <w:t xml:space="preserve"> move straight to a production-adjusted baseline determination using </w:t>
      </w:r>
      <w:r w:rsidR="00402605">
        <w:t>a prescribed (annually adjusted)</w:t>
      </w:r>
      <w:r w:rsidR="00A66AAC">
        <w:t xml:space="preserve"> production variable </w:t>
      </w:r>
      <w:r w:rsidR="00402605">
        <w:t xml:space="preserve">and associated default emissions intensity level </w:t>
      </w:r>
      <w:r w:rsidR="00A66AAC">
        <w:t xml:space="preserve">for the 2018-19 financial year. If </w:t>
      </w:r>
      <w:r w:rsidR="00554A15">
        <w:t xml:space="preserve">facilities </w:t>
      </w:r>
      <w:r w:rsidR="00A66AAC">
        <w:t>decide to take this option, for the baseline to be calculated for 2018-19 they will need to include their production for the 20</w:t>
      </w:r>
      <w:r w:rsidR="00402605">
        <w:t>1</w:t>
      </w:r>
      <w:r w:rsidR="00A66AAC">
        <w:t xml:space="preserve">8-19 financial year in their report or, if their report has already been submitted, resubmit their report so that it includes this information.  </w:t>
      </w:r>
      <w:r w:rsidR="00F375AC">
        <w:t>Accordingly, these amendments do not have any relevant retrospective effect on reporters.</w:t>
      </w:r>
    </w:p>
    <w:p w14:paraId="03AF83BC" w14:textId="77777777" w:rsidR="00E10CD5" w:rsidRPr="00295958" w:rsidRDefault="00E10CD5" w:rsidP="00295958"/>
    <w:p w14:paraId="7F5D708D" w14:textId="77777777" w:rsidR="00A236C9" w:rsidRPr="00FC52C4" w:rsidRDefault="00A236C9" w:rsidP="00A236C9">
      <w:pPr>
        <w:pStyle w:val="Bullet"/>
        <w:numPr>
          <w:ilvl w:val="0"/>
          <w:numId w:val="0"/>
        </w:numPr>
        <w:spacing w:before="0" w:after="240"/>
        <w:rPr>
          <w:u w:val="single"/>
        </w:rPr>
      </w:pPr>
      <w:r w:rsidRPr="00FC52C4">
        <w:rPr>
          <w:u w:val="single"/>
        </w:rPr>
        <w:t xml:space="preserve">Schedule </w:t>
      </w:r>
      <w:r>
        <w:rPr>
          <w:u w:val="single"/>
        </w:rPr>
        <w:t>2</w:t>
      </w:r>
      <w:r w:rsidR="006D11C1">
        <w:rPr>
          <w:u w:val="single"/>
        </w:rPr>
        <w:t>—</w:t>
      </w:r>
      <w:r>
        <w:rPr>
          <w:u w:val="single"/>
        </w:rPr>
        <w:t>Audit framework amendments</w:t>
      </w:r>
    </w:p>
    <w:p w14:paraId="3EB3C656" w14:textId="505E6028" w:rsidR="002C1916" w:rsidRDefault="002C1916" w:rsidP="00A236C9">
      <w:pPr>
        <w:pStyle w:val="Default"/>
      </w:pPr>
      <w:r w:rsidRPr="00BE2CAB">
        <w:t>Item</w:t>
      </w:r>
      <w:r w:rsidR="00B1111F">
        <w:t xml:space="preserve"> 1 makes a minor clarification to the definition of </w:t>
      </w:r>
      <w:r w:rsidR="00B1111F" w:rsidRPr="00523CDE">
        <w:rPr>
          <w:i/>
        </w:rPr>
        <w:t>alternative audit</w:t>
      </w:r>
      <w:r w:rsidR="00B1111F">
        <w:t xml:space="preserve">, reflecting the fact that ERF audits are carried out under the </w:t>
      </w:r>
      <w:r w:rsidR="00B1111F" w:rsidRPr="00523CDE">
        <w:rPr>
          <w:i/>
        </w:rPr>
        <w:t>Carbon Credits (Carbon Farming Initiative) Act 2011</w:t>
      </w:r>
      <w:r w:rsidR="00B1111F">
        <w:rPr>
          <w:sz w:val="22"/>
          <w:szCs w:val="22"/>
        </w:rPr>
        <w:t xml:space="preserve"> </w:t>
      </w:r>
      <w:r w:rsidR="00B1111F" w:rsidRPr="00523CDE">
        <w:t>rather than the Act.</w:t>
      </w:r>
    </w:p>
    <w:p w14:paraId="11CCA77D" w14:textId="77777777" w:rsidR="00BE2CAB" w:rsidRDefault="00BE2CAB" w:rsidP="00A236C9">
      <w:pPr>
        <w:pStyle w:val="Default"/>
      </w:pPr>
    </w:p>
    <w:p w14:paraId="73421C81" w14:textId="77777777" w:rsidR="00BE2CAB" w:rsidRDefault="00BE2CAB" w:rsidP="00A236C9">
      <w:pPr>
        <w:pStyle w:val="Default"/>
      </w:pPr>
      <w:r>
        <w:t xml:space="preserve">Item </w:t>
      </w:r>
      <w:r w:rsidR="00523CDE">
        <w:t>2</w:t>
      </w:r>
      <w:r w:rsidR="009D2998">
        <w:t xml:space="preserve"> amends the definition of </w:t>
      </w:r>
      <w:r w:rsidR="009D2998" w:rsidRPr="00523CDE">
        <w:rPr>
          <w:i/>
        </w:rPr>
        <w:t>NGER legislation</w:t>
      </w:r>
      <w:r w:rsidR="009D2998">
        <w:t xml:space="preserve"> (of which auditors must demonstrate knowledge under Regulation 6.14) at Regulation 1.03 to include the Safeguard Rule.</w:t>
      </w:r>
    </w:p>
    <w:p w14:paraId="4A4C869C" w14:textId="77777777" w:rsidR="00A72617" w:rsidRDefault="00A72617" w:rsidP="00A236C9">
      <w:pPr>
        <w:pStyle w:val="Default"/>
      </w:pPr>
    </w:p>
    <w:p w14:paraId="74D4F159" w14:textId="77777777" w:rsidR="00A72617" w:rsidRPr="00523CDE" w:rsidRDefault="00A72617" w:rsidP="00A236C9">
      <w:pPr>
        <w:pStyle w:val="Default"/>
        <w:rPr>
          <w:strike/>
        </w:rPr>
      </w:pPr>
      <w:r>
        <w:t xml:space="preserve">Item </w:t>
      </w:r>
      <w:r w:rsidR="00523CDE">
        <w:t>3</w:t>
      </w:r>
      <w:r w:rsidR="001D7CEE">
        <w:t xml:space="preserve"> </w:t>
      </w:r>
      <w:r w:rsidR="00871221">
        <w:t>inserts a new definition</w:t>
      </w:r>
      <w:r w:rsidR="00AD6FE8" w:rsidRPr="00AD6FE8">
        <w:t xml:space="preserve"> </w:t>
      </w:r>
      <w:r w:rsidR="00AD6FE8">
        <w:t>at Regulation 1.03</w:t>
      </w:r>
      <w:r w:rsidR="003E1888">
        <w:t xml:space="preserve"> of</w:t>
      </w:r>
      <w:r w:rsidR="00AD6FE8">
        <w:t xml:space="preserve"> </w:t>
      </w:r>
      <w:r w:rsidR="00871221" w:rsidRPr="00871221">
        <w:rPr>
          <w:i/>
        </w:rPr>
        <w:t>renewable energy legislation</w:t>
      </w:r>
      <w:r w:rsidR="003E1888">
        <w:rPr>
          <w:i/>
        </w:rPr>
        <w:t xml:space="preserve"> </w:t>
      </w:r>
      <w:r w:rsidR="003E1888">
        <w:t>for the purposes of the new Regulation 6.14 (see item 1</w:t>
      </w:r>
      <w:r w:rsidR="00523CDE">
        <w:t>1</w:t>
      </w:r>
      <w:r w:rsidR="003E1888">
        <w:t xml:space="preserve"> below), meaning </w:t>
      </w:r>
      <w:r w:rsidR="007D67A7">
        <w:t xml:space="preserve">the </w:t>
      </w:r>
      <w:r w:rsidR="007D67A7">
        <w:rPr>
          <w:i/>
        </w:rPr>
        <w:t xml:space="preserve">Renewable Energy (Electricity) Act </w:t>
      </w:r>
      <w:r w:rsidR="007D67A7" w:rsidRPr="007D67A7">
        <w:rPr>
          <w:i/>
        </w:rPr>
        <w:t>2000</w:t>
      </w:r>
      <w:r w:rsidR="007D67A7">
        <w:t xml:space="preserve"> or </w:t>
      </w:r>
      <w:r w:rsidR="007D67A7">
        <w:rPr>
          <w:i/>
        </w:rPr>
        <w:t xml:space="preserve">Renewable Energy (Electricity) Regulations </w:t>
      </w:r>
      <w:r w:rsidR="007D67A7" w:rsidRPr="007D67A7">
        <w:rPr>
          <w:i/>
        </w:rPr>
        <w:t>2001</w:t>
      </w:r>
      <w:r w:rsidR="00D41327" w:rsidRPr="00523CDE">
        <w:rPr>
          <w:strike/>
        </w:rPr>
        <w:t xml:space="preserve">  </w:t>
      </w:r>
    </w:p>
    <w:p w14:paraId="283BEC01" w14:textId="77777777" w:rsidR="001E4E0B" w:rsidRDefault="001E4E0B" w:rsidP="00A236C9">
      <w:pPr>
        <w:pStyle w:val="Default"/>
      </w:pPr>
    </w:p>
    <w:p w14:paraId="1DD9A1D4" w14:textId="5B4C6478" w:rsidR="0062255C" w:rsidRDefault="00A93440" w:rsidP="00A236C9">
      <w:pPr>
        <w:pStyle w:val="Default"/>
      </w:pPr>
      <w:r>
        <w:t>Item</w:t>
      </w:r>
      <w:r w:rsidR="00262ECB">
        <w:t>s</w:t>
      </w:r>
      <w:r>
        <w:t xml:space="preserve"> </w:t>
      </w:r>
      <w:r w:rsidR="00523CDE">
        <w:t>4</w:t>
      </w:r>
      <w:r w:rsidR="002A2063">
        <w:t xml:space="preserve">, </w:t>
      </w:r>
      <w:r w:rsidR="00523CDE">
        <w:t>5</w:t>
      </w:r>
      <w:r w:rsidR="001D7CEE">
        <w:t xml:space="preserve"> </w:t>
      </w:r>
      <w:r w:rsidR="00042357">
        <w:t xml:space="preserve">and </w:t>
      </w:r>
      <w:r w:rsidR="00523CDE">
        <w:t>6</w:t>
      </w:r>
      <w:r w:rsidR="001D7CEE">
        <w:t xml:space="preserve"> </w:t>
      </w:r>
      <w:r w:rsidR="00262ECB">
        <w:t>insert</w:t>
      </w:r>
      <w:r>
        <w:t xml:space="preserve"> </w:t>
      </w:r>
      <w:r w:rsidR="00B35ACA">
        <w:t xml:space="preserve">a </w:t>
      </w:r>
      <w:r w:rsidR="0062255C">
        <w:t xml:space="preserve">new </w:t>
      </w:r>
      <w:r w:rsidR="00B35ACA">
        <w:t xml:space="preserve">requirement under </w:t>
      </w:r>
      <w:r>
        <w:t>Regulation</w:t>
      </w:r>
      <w:r w:rsidR="00B35ACA">
        <w:t> </w:t>
      </w:r>
      <w:r>
        <w:t>6.06</w:t>
      </w:r>
      <w:r w:rsidR="0062255C">
        <w:t xml:space="preserve"> that the </w:t>
      </w:r>
      <w:r w:rsidR="00E4242F">
        <w:t>R</w:t>
      </w:r>
      <w:r w:rsidR="0062255C">
        <w:t xml:space="preserve">egister must contain information </w:t>
      </w:r>
      <w:r w:rsidR="00774399">
        <w:t>about</w:t>
      </w:r>
      <w:r w:rsidR="0062255C">
        <w:t xml:space="preserve"> any conditions that have been imposed on the </w:t>
      </w:r>
      <w:r w:rsidR="00B9720E">
        <w:t>auditor’s</w:t>
      </w:r>
      <w:r w:rsidR="0062255C">
        <w:t xml:space="preserve"> registration.</w:t>
      </w:r>
      <w:r w:rsidR="00E90735">
        <w:t xml:space="preserve"> </w:t>
      </w:r>
      <w:r w:rsidR="00B35ACA">
        <w:t>New subregulation 6.06(2) will also require</w:t>
      </w:r>
      <w:r w:rsidR="000C464A">
        <w:t xml:space="preserve"> the </w:t>
      </w:r>
      <w:r w:rsidR="00E4242F">
        <w:t>R</w:t>
      </w:r>
      <w:r w:rsidR="000C464A">
        <w:t xml:space="preserve">egister </w:t>
      </w:r>
      <w:r w:rsidR="00B35ACA">
        <w:t xml:space="preserve">to </w:t>
      </w:r>
      <w:r w:rsidR="000C464A">
        <w:t xml:space="preserve">contain information </w:t>
      </w:r>
      <w:r w:rsidR="000A34B4">
        <w:t>about</w:t>
      </w:r>
      <w:r w:rsidR="000C464A">
        <w:t xml:space="preserve"> </w:t>
      </w:r>
      <w:r w:rsidR="00B9720E">
        <w:t>an auditor</w:t>
      </w:r>
      <w:r w:rsidR="000C464A">
        <w:t xml:space="preserve"> </w:t>
      </w:r>
      <w:r w:rsidR="00B9720E">
        <w:t>who has ceased to be registered through either suspension or deregistration.</w:t>
      </w:r>
    </w:p>
    <w:p w14:paraId="41221616" w14:textId="77777777" w:rsidR="0062255C" w:rsidRDefault="0062255C" w:rsidP="00A236C9">
      <w:pPr>
        <w:pStyle w:val="Default"/>
      </w:pPr>
    </w:p>
    <w:p w14:paraId="53B61C30" w14:textId="77777777" w:rsidR="00805685" w:rsidRDefault="00C503BD" w:rsidP="00C503BD">
      <w:pPr>
        <w:pStyle w:val="Default"/>
      </w:pPr>
      <w:r>
        <w:t xml:space="preserve">Item </w:t>
      </w:r>
      <w:r w:rsidR="00523CDE">
        <w:t>7</w:t>
      </w:r>
      <w:r w:rsidR="001D7CEE">
        <w:t xml:space="preserve"> </w:t>
      </w:r>
      <w:r w:rsidR="00E4143D">
        <w:t>insert</w:t>
      </w:r>
      <w:r w:rsidR="00B35ACA">
        <w:t>s</w:t>
      </w:r>
      <w:r>
        <w:t xml:space="preserve"> </w:t>
      </w:r>
      <w:r w:rsidR="008A4F3B">
        <w:t xml:space="preserve">a </w:t>
      </w:r>
      <w:r>
        <w:t xml:space="preserve">new </w:t>
      </w:r>
      <w:r w:rsidR="00B35ACA">
        <w:t xml:space="preserve">requirement under </w:t>
      </w:r>
      <w:r w:rsidR="00103F1E">
        <w:t>s</w:t>
      </w:r>
      <w:r w:rsidR="002E7BE7">
        <w:t>ubregulation</w:t>
      </w:r>
      <w:r>
        <w:t xml:space="preserve"> 6.07</w:t>
      </w:r>
      <w:r w:rsidR="002E7BE7">
        <w:t>(1)</w:t>
      </w:r>
      <w:r>
        <w:t xml:space="preserve"> that the Regulator </w:t>
      </w:r>
      <w:r w:rsidR="002E7BE7">
        <w:t>must</w:t>
      </w:r>
      <w:r>
        <w:t xml:space="preserve"> publish conditions that have been imposed on </w:t>
      </w:r>
      <w:r w:rsidR="00013E3A">
        <w:t>an</w:t>
      </w:r>
      <w:r>
        <w:t xml:space="preserve"> </w:t>
      </w:r>
      <w:r w:rsidR="00013E3A">
        <w:t>auditor’s</w:t>
      </w:r>
      <w:r>
        <w:t xml:space="preserve"> registration.</w:t>
      </w:r>
      <w:r w:rsidR="002E7BE7">
        <w:t xml:space="preserve"> </w:t>
      </w:r>
      <w:r w:rsidR="00805685">
        <w:t xml:space="preserve">This will allow </w:t>
      </w:r>
      <w:r w:rsidR="008A4F3B">
        <w:t xml:space="preserve">regulated entities </w:t>
      </w:r>
      <w:r w:rsidR="00805685">
        <w:t xml:space="preserve">to </w:t>
      </w:r>
      <w:r w:rsidR="008A4F3B">
        <w:t xml:space="preserve">know the legislation schemes for which a given auditor is able to conduct audits. </w:t>
      </w:r>
    </w:p>
    <w:p w14:paraId="0C64413F" w14:textId="77777777" w:rsidR="00067443" w:rsidRDefault="00067443" w:rsidP="00C503BD">
      <w:pPr>
        <w:pStyle w:val="Default"/>
      </w:pPr>
    </w:p>
    <w:p w14:paraId="7D27BF43" w14:textId="77777777" w:rsidR="00067443" w:rsidRDefault="00067443" w:rsidP="00C503BD">
      <w:pPr>
        <w:pStyle w:val="Default"/>
      </w:pPr>
      <w:r>
        <w:t xml:space="preserve">Item </w:t>
      </w:r>
      <w:r w:rsidR="00523CDE">
        <w:t>8</w:t>
      </w:r>
      <w:r>
        <w:t xml:space="preserve"> </w:t>
      </w:r>
      <w:r w:rsidR="00CA59B4">
        <w:t xml:space="preserve">makes a minor amendment to </w:t>
      </w:r>
      <w:r>
        <w:t>subregulation 6.07(2) to clarify that an auditor whose registration is suspended is taken not to be registered for the purposes of Subdivision 6.3.2.</w:t>
      </w:r>
    </w:p>
    <w:p w14:paraId="78E16213" w14:textId="77777777" w:rsidR="002E7BE7" w:rsidRDefault="002E7BE7" w:rsidP="00C503BD">
      <w:pPr>
        <w:pStyle w:val="Default"/>
      </w:pPr>
    </w:p>
    <w:p w14:paraId="797C731A" w14:textId="77777777" w:rsidR="002E7BE7" w:rsidRDefault="00103F1E" w:rsidP="00103F1E">
      <w:pPr>
        <w:pStyle w:val="Default"/>
      </w:pPr>
      <w:r>
        <w:t>Item</w:t>
      </w:r>
      <w:r w:rsidR="0019416B">
        <w:t>s</w:t>
      </w:r>
      <w:r>
        <w:t xml:space="preserve"> </w:t>
      </w:r>
      <w:r w:rsidR="00523CDE">
        <w:t>9</w:t>
      </w:r>
      <w:r w:rsidR="00493990">
        <w:t xml:space="preserve"> and </w:t>
      </w:r>
      <w:r w:rsidR="005E2A44">
        <w:t>1</w:t>
      </w:r>
      <w:r w:rsidR="00523CDE">
        <w:t>2</w:t>
      </w:r>
      <w:r w:rsidR="00A718EC">
        <w:t xml:space="preserve"> </w:t>
      </w:r>
      <w:r w:rsidR="00F05745">
        <w:t xml:space="preserve">will prevent applicants from applying for </w:t>
      </w:r>
      <w:r>
        <w:t xml:space="preserve">registration </w:t>
      </w:r>
      <w:r w:rsidR="00F05745">
        <w:t>as</w:t>
      </w:r>
      <w:r>
        <w:t xml:space="preserve"> Category 1 auditors </w:t>
      </w:r>
      <w:r w:rsidR="00F05745">
        <w:t xml:space="preserve">from </w:t>
      </w:r>
      <w:r w:rsidR="00E56D94">
        <w:t>the date these amendments are made</w:t>
      </w:r>
      <w:r>
        <w:t xml:space="preserve">. </w:t>
      </w:r>
      <w:r w:rsidR="00F05745">
        <w:t xml:space="preserve">This will not affect currently registered Category 1 auditors. </w:t>
      </w:r>
      <w:r w:rsidR="002912FC">
        <w:t xml:space="preserve">This is the first step in the proposed phase-out of Category 1 auditors. </w:t>
      </w:r>
      <w:r>
        <w:t xml:space="preserve">Category 1 auditors do not have a legislated role in conducting audits under schemes administered by the Regulator. </w:t>
      </w:r>
      <w:r w:rsidR="008B1B87">
        <w:t>Clean Energy Regulator</w:t>
      </w:r>
      <w:r>
        <w:t xml:space="preserve"> schemes require Category 2 auditors to perform assurance engagements. </w:t>
      </w:r>
      <w:r w:rsidR="00F05745">
        <w:t xml:space="preserve">While </w:t>
      </w:r>
      <w:r>
        <w:t xml:space="preserve">Category 1 auditors can be team members, </w:t>
      </w:r>
      <w:r w:rsidR="00F05745">
        <w:t xml:space="preserve">there is no requirement for </w:t>
      </w:r>
      <w:r>
        <w:t>team members to be registered.</w:t>
      </w:r>
      <w:r w:rsidR="006B6F5A">
        <w:t xml:space="preserve"> </w:t>
      </w:r>
    </w:p>
    <w:p w14:paraId="3658A48E" w14:textId="77777777" w:rsidR="00103F1E" w:rsidRDefault="00103F1E" w:rsidP="00103F1E">
      <w:pPr>
        <w:pStyle w:val="Default"/>
      </w:pPr>
    </w:p>
    <w:p w14:paraId="01ADBC06" w14:textId="0E9EDCFB" w:rsidR="00103F1E" w:rsidRDefault="00103F1E" w:rsidP="00B70711">
      <w:pPr>
        <w:pStyle w:val="Default"/>
      </w:pPr>
      <w:r>
        <w:t xml:space="preserve">Item </w:t>
      </w:r>
      <w:r w:rsidR="005E2A44">
        <w:t>1</w:t>
      </w:r>
      <w:r w:rsidR="00523CDE">
        <w:t>0</w:t>
      </w:r>
      <w:r w:rsidR="00514A60">
        <w:t xml:space="preserve"> </w:t>
      </w:r>
      <w:r w:rsidR="00B70711">
        <w:t>insert</w:t>
      </w:r>
      <w:r w:rsidR="00514A60">
        <w:t>s</w:t>
      </w:r>
      <w:r w:rsidR="00B70711">
        <w:t xml:space="preserve"> new provisions at subregulation 6.12(2)</w:t>
      </w:r>
      <w:r w:rsidR="0019788A">
        <w:t xml:space="preserve"> </w:t>
      </w:r>
      <w:r w:rsidR="00B70711">
        <w:t xml:space="preserve">to allow the Regulator to have regard to </w:t>
      </w:r>
      <w:r w:rsidR="003E3936">
        <w:t>any</w:t>
      </w:r>
      <w:r w:rsidR="00B70711">
        <w:t xml:space="preserve"> disciplinary action by a relevant professional body</w:t>
      </w:r>
      <w:r w:rsidR="003E3936">
        <w:t>;</w:t>
      </w:r>
      <w:r w:rsidR="00B70711">
        <w:t xml:space="preserve"> or</w:t>
      </w:r>
      <w:r w:rsidR="003E3936">
        <w:t>,</w:t>
      </w:r>
      <w:r w:rsidR="00B70711">
        <w:t xml:space="preserve"> in relation to </w:t>
      </w:r>
      <w:r w:rsidR="003E3936">
        <w:t xml:space="preserve">auditor registration of </w:t>
      </w:r>
      <w:r w:rsidR="00B70711">
        <w:t xml:space="preserve">any other Commonwealth or a law of a State or </w:t>
      </w:r>
      <w:r w:rsidR="003E3936">
        <w:t>Territory, to which the auditor has been subject</w:t>
      </w:r>
      <w:r w:rsidR="002F175E">
        <w:t>; or to any other relevant matter</w:t>
      </w:r>
      <w:r w:rsidR="003E3936">
        <w:t>. This will assist with assessing an auditor’s status</w:t>
      </w:r>
      <w:r w:rsidR="00C45F3C">
        <w:t xml:space="preserve"> as a fit and proper person to ensure that auditors meet the high standards expected of persons charged with the responsibility for ensuring other persons' compliance with legislated requirements</w:t>
      </w:r>
      <w:r w:rsidR="003E3936">
        <w:t>.</w:t>
      </w:r>
      <w:r w:rsidR="00AA2564">
        <w:t xml:space="preserve"> The decision whether to de-register an auditor under Regulation 6.35 on the Regulator's initiative due to the auditor ceasing to be a fit and proper person is a reviewable decision under paragraph 6.73(c) of the Regulations. </w:t>
      </w:r>
    </w:p>
    <w:p w14:paraId="0112DCE5" w14:textId="77777777" w:rsidR="00525AB0" w:rsidRDefault="00525AB0" w:rsidP="00B70711">
      <w:pPr>
        <w:pStyle w:val="Default"/>
      </w:pPr>
    </w:p>
    <w:p w14:paraId="4BB0DED6" w14:textId="5DF2145B" w:rsidR="000D37F3" w:rsidRDefault="00B9720E" w:rsidP="00B70711">
      <w:pPr>
        <w:pStyle w:val="Default"/>
      </w:pPr>
      <w:r>
        <w:t xml:space="preserve">Item </w:t>
      </w:r>
      <w:r w:rsidR="005E2A44">
        <w:t>1</w:t>
      </w:r>
      <w:r w:rsidR="00523CDE">
        <w:t>1</w:t>
      </w:r>
      <w:r>
        <w:t xml:space="preserve"> inserts a new Regulation 6.14 to </w:t>
      </w:r>
      <w:r w:rsidR="002C695A">
        <w:t xml:space="preserve">require auditors to have </w:t>
      </w:r>
      <w:r w:rsidR="002A44E0">
        <w:t xml:space="preserve">the requisite </w:t>
      </w:r>
      <w:r>
        <w:t xml:space="preserve">knowledge </w:t>
      </w:r>
      <w:r w:rsidR="00BF0D09">
        <w:t xml:space="preserve">of </w:t>
      </w:r>
      <w:r w:rsidR="003E1888">
        <w:t xml:space="preserve">the </w:t>
      </w:r>
      <w:r w:rsidR="00BF0D09">
        <w:t>renewable energy legislation</w:t>
      </w:r>
      <w:r w:rsidR="002C695A">
        <w:t xml:space="preserve"> (as defined by item </w:t>
      </w:r>
      <w:r w:rsidR="00D65E68">
        <w:t>3</w:t>
      </w:r>
      <w:r w:rsidR="002C695A">
        <w:t xml:space="preserve"> above)</w:t>
      </w:r>
      <w:r w:rsidR="00BF0D09">
        <w:t>. This will ensure that auditors will have the required knowledge to conduct audits under the renewable energy scheme</w:t>
      </w:r>
      <w:r w:rsidR="00E16213">
        <w:t xml:space="preserve"> (see regulation</w:t>
      </w:r>
      <w:r w:rsidR="00726CE7">
        <w:t>s</w:t>
      </w:r>
      <w:r w:rsidR="00E16213">
        <w:t xml:space="preserve"> 22UB</w:t>
      </w:r>
      <w:r w:rsidR="00726CE7">
        <w:t xml:space="preserve"> and 22UH</w:t>
      </w:r>
      <w:r w:rsidR="00E16213">
        <w:t xml:space="preserve"> of the </w:t>
      </w:r>
      <w:r w:rsidR="00E16213">
        <w:rPr>
          <w:rFonts w:cstheme="minorHAnsi"/>
          <w:i/>
        </w:rPr>
        <w:t>Renewable Energy (Electricity) Regulations 2001</w:t>
      </w:r>
      <w:r w:rsidR="00E16213" w:rsidRPr="00523CDE">
        <w:rPr>
          <w:rFonts w:cstheme="minorHAnsi"/>
        </w:rPr>
        <w:t>)</w:t>
      </w:r>
      <w:r w:rsidR="00BF0D09">
        <w:t xml:space="preserve">. </w:t>
      </w:r>
      <w:r w:rsidR="002C695A">
        <w:t>R</w:t>
      </w:r>
      <w:r w:rsidR="00BF0D09">
        <w:t>ather than requiring an applicant to have knowledge of all legislation</w:t>
      </w:r>
      <w:r w:rsidR="002C695A">
        <w:t xml:space="preserve"> schemes listed in subsection (1)</w:t>
      </w:r>
      <w:r w:rsidR="00AA2564">
        <w:t xml:space="preserve">, </w:t>
      </w:r>
      <w:r w:rsidR="002C695A">
        <w:t xml:space="preserve">the new </w:t>
      </w:r>
      <w:r w:rsidR="006361DF">
        <w:t xml:space="preserve">Regulation </w:t>
      </w:r>
      <w:r w:rsidR="002C695A">
        <w:t xml:space="preserve">6.14 requires auditors to have knowledge of the CFI legislation </w:t>
      </w:r>
      <w:r w:rsidR="003E1888">
        <w:t xml:space="preserve">(as defined by Regulation 1.03) </w:t>
      </w:r>
      <w:r w:rsidR="002C695A">
        <w:t>and</w:t>
      </w:r>
      <w:r w:rsidR="003E1888">
        <w:t xml:space="preserve"> the</w:t>
      </w:r>
      <w:r w:rsidR="002C695A">
        <w:t xml:space="preserve"> renewable energy legislation only if they intend to carry out audits under those pieces of legislation. </w:t>
      </w:r>
      <w:r w:rsidR="00291E75">
        <w:t>It is intended that where an</w:t>
      </w:r>
      <w:r w:rsidR="00BF0D09">
        <w:t xml:space="preserve"> </w:t>
      </w:r>
      <w:r w:rsidR="00AE7090">
        <w:t>auditor</w:t>
      </w:r>
      <w:r w:rsidR="00BF0D09">
        <w:t xml:space="preserve"> does</w:t>
      </w:r>
      <w:r w:rsidR="004E19AC">
        <w:t xml:space="preserve"> not</w:t>
      </w:r>
      <w:r w:rsidR="00BF0D09">
        <w:t xml:space="preserve"> have knowledge of a particular scheme</w:t>
      </w:r>
      <w:r w:rsidR="00291E75">
        <w:t>, this will be reflected through the Regulator imposing</w:t>
      </w:r>
      <w:r w:rsidR="00BF0D09">
        <w:t xml:space="preserve"> a condition under </w:t>
      </w:r>
      <w:r w:rsidR="00291E75">
        <w:t>subparagraph</w:t>
      </w:r>
      <w:r w:rsidR="00AA2564">
        <w:t> </w:t>
      </w:r>
      <w:r w:rsidR="00BF0D09">
        <w:t>6.61</w:t>
      </w:r>
      <w:r w:rsidR="00291E75">
        <w:t>(</w:t>
      </w:r>
      <w:r w:rsidR="00BF0D09">
        <w:t>4</w:t>
      </w:r>
      <w:r w:rsidR="00291E75">
        <w:t>)</w:t>
      </w:r>
      <w:r w:rsidR="00BF0D09">
        <w:t xml:space="preserve">(c)(i). </w:t>
      </w:r>
      <w:r w:rsidR="00C90AF9">
        <w:t xml:space="preserve">The decision to impose conditions on an auditor's registration is a reviewable decision (see paragraph 6.73(e) of the Regulations). </w:t>
      </w:r>
      <w:r w:rsidR="00291E75">
        <w:t xml:space="preserve">It is expected that all auditors will have knowledge of the </w:t>
      </w:r>
      <w:r w:rsidR="00BF0D09">
        <w:t>NGER legislation as the audit framework resides within this legislation.</w:t>
      </w:r>
      <w:r w:rsidR="00AA2564">
        <w:t xml:space="preserve"> </w:t>
      </w:r>
      <w:r w:rsidR="000D37F3">
        <w:t>Item 1</w:t>
      </w:r>
      <w:r w:rsidR="00523CDE">
        <w:t>3</w:t>
      </w:r>
      <w:r w:rsidR="000D37F3">
        <w:t xml:space="preserve"> supports item 1</w:t>
      </w:r>
      <w:r w:rsidR="00523CDE">
        <w:t>1</w:t>
      </w:r>
      <w:r w:rsidR="000D37F3">
        <w:t xml:space="preserve"> above by requiring applications for auditor registration to state </w:t>
      </w:r>
      <w:r w:rsidR="006361DF">
        <w:t xml:space="preserve">the </w:t>
      </w:r>
      <w:r w:rsidR="000D37F3">
        <w:t xml:space="preserve">schemes </w:t>
      </w:r>
      <w:r w:rsidR="006361DF">
        <w:t xml:space="preserve">for which </w:t>
      </w:r>
      <w:r w:rsidR="000D37F3">
        <w:t>the auditor intends to carry out audits. Item 1</w:t>
      </w:r>
      <w:r w:rsidR="00523CDE">
        <w:t>4</w:t>
      </w:r>
      <w:r w:rsidR="000D37F3">
        <w:t xml:space="preserve"> inserts a note at the end of subregulation 6.23(2) referring to the changes above.</w:t>
      </w:r>
    </w:p>
    <w:p w14:paraId="5B619791" w14:textId="77777777" w:rsidR="00BF0D09" w:rsidRDefault="00BF0D09" w:rsidP="00B70711">
      <w:pPr>
        <w:pStyle w:val="Default"/>
      </w:pPr>
    </w:p>
    <w:p w14:paraId="4A008EFC" w14:textId="50954333" w:rsidR="00BF0D09" w:rsidRDefault="00493990" w:rsidP="00B70711">
      <w:pPr>
        <w:pStyle w:val="Default"/>
      </w:pPr>
      <w:r>
        <w:t>Item</w:t>
      </w:r>
      <w:r w:rsidR="000965CB">
        <w:t>s</w:t>
      </w:r>
      <w:r>
        <w:t xml:space="preserve"> </w:t>
      </w:r>
      <w:r w:rsidR="0062178F">
        <w:t>1</w:t>
      </w:r>
      <w:r w:rsidR="00523CDE">
        <w:t>5</w:t>
      </w:r>
      <w:r w:rsidR="006E4520">
        <w:t xml:space="preserve"> and </w:t>
      </w:r>
      <w:r w:rsidR="0062178F">
        <w:t>1</w:t>
      </w:r>
      <w:r w:rsidR="00523CDE">
        <w:t>6</w:t>
      </w:r>
      <w:r>
        <w:t xml:space="preserve"> </w:t>
      </w:r>
      <w:r w:rsidR="000F6ACE">
        <w:t xml:space="preserve">make amendments to Regulation </w:t>
      </w:r>
      <w:r>
        <w:t xml:space="preserve">6.37 </w:t>
      </w:r>
      <w:r w:rsidR="00811AAF">
        <w:t xml:space="preserve">allowing </w:t>
      </w:r>
      <w:r w:rsidR="000F6ACE">
        <w:t xml:space="preserve">auditors registered as both Category 1 and Category 2 auditors to apply </w:t>
      </w:r>
      <w:r w:rsidR="00BA4EB2">
        <w:t xml:space="preserve">for deregistration relating to </w:t>
      </w:r>
      <w:r w:rsidR="000F6ACE">
        <w:t xml:space="preserve">their </w:t>
      </w:r>
      <w:r w:rsidR="00BA4EB2">
        <w:t xml:space="preserve">registration as a Category 1 or Category 2 auditor only. This will </w:t>
      </w:r>
      <w:r w:rsidR="006E4520">
        <w:t xml:space="preserve">allow </w:t>
      </w:r>
      <w:r w:rsidR="00DA5432">
        <w:t xml:space="preserve">auditors flexibility in managing their registration, particularly where an auditor does not have the necessary skills, knowledge or experience relevant for a Category 2 auditor. </w:t>
      </w:r>
      <w:r w:rsidR="008308A4">
        <w:t>This will be reflected in the conditions</w:t>
      </w:r>
      <w:r w:rsidR="00AA2564">
        <w:t xml:space="preserve"> imposed on the auditor's registration. The decision to impose conditions on an auditor's registration is a reviewable decision (see paragraph 6.73(e) of the Regulations).</w:t>
      </w:r>
    </w:p>
    <w:p w14:paraId="127A3650" w14:textId="77777777" w:rsidR="00C503BD" w:rsidRDefault="00C503BD" w:rsidP="00C503BD">
      <w:pPr>
        <w:pStyle w:val="Default"/>
      </w:pPr>
    </w:p>
    <w:p w14:paraId="75824997" w14:textId="77777777" w:rsidR="00C90AF9" w:rsidRDefault="00C90AF9" w:rsidP="00A236C9">
      <w:pPr>
        <w:pStyle w:val="Default"/>
      </w:pPr>
      <w:r>
        <w:t xml:space="preserve">Items </w:t>
      </w:r>
      <w:r w:rsidR="00523CDE">
        <w:t>17</w:t>
      </w:r>
      <w:r w:rsidR="007A33D5">
        <w:t xml:space="preserve"> to 22</w:t>
      </w:r>
      <w:r>
        <w:t xml:space="preserve"> amend the requirements to be met to maintain registration. Failure to meet these requirements may result in suspension of the auditor's registration or deregistration. Decisions to suspend or deregister an auditor are reviewable decisions (see Regulations 6.73(a) and (b)).</w:t>
      </w:r>
    </w:p>
    <w:p w14:paraId="224E1E58" w14:textId="77777777" w:rsidR="0062255C" w:rsidRDefault="0062255C" w:rsidP="00A236C9">
      <w:pPr>
        <w:pStyle w:val="Default"/>
      </w:pPr>
    </w:p>
    <w:p w14:paraId="29EECC71" w14:textId="093FC9D5" w:rsidR="0062255C" w:rsidRDefault="00016FC3" w:rsidP="00A236C9">
      <w:pPr>
        <w:pStyle w:val="Default"/>
      </w:pPr>
      <w:r>
        <w:t>Item 1</w:t>
      </w:r>
      <w:r w:rsidR="001C1E11">
        <w:t>7</w:t>
      </w:r>
      <w:r>
        <w:t xml:space="preserve"> </w:t>
      </w:r>
      <w:r w:rsidR="00446544">
        <w:t xml:space="preserve">substitutes </w:t>
      </w:r>
      <w:r>
        <w:t xml:space="preserve">new </w:t>
      </w:r>
      <w:r w:rsidR="00446544">
        <w:t xml:space="preserve">requirements in </w:t>
      </w:r>
      <w:r w:rsidR="00350833">
        <w:t>s</w:t>
      </w:r>
      <w:r w:rsidR="00446544">
        <w:t xml:space="preserve">ubregulations </w:t>
      </w:r>
      <w:r>
        <w:t xml:space="preserve">6.60 </w:t>
      </w:r>
      <w:r w:rsidR="00446544">
        <w:t xml:space="preserve">(1) and (2) </w:t>
      </w:r>
      <w:r>
        <w:t xml:space="preserve">to ensure that audit team leaders have adequate and appropriate professional indemnity insurance while preparing for, undertaking and preparing </w:t>
      </w:r>
      <w:r w:rsidR="00F66A1C">
        <w:t xml:space="preserve">a </w:t>
      </w:r>
      <w:r>
        <w:t xml:space="preserve">report in relation to Part 6 audits. </w:t>
      </w:r>
      <w:r w:rsidR="00810E43">
        <w:t xml:space="preserve">This aligns with </w:t>
      </w:r>
      <w:r w:rsidR="00446544">
        <w:t xml:space="preserve">insurance requirements </w:t>
      </w:r>
      <w:r w:rsidR="00E8687C">
        <w:t>for company auditors administered by the Australian Security and Investments Commission (ASIC)</w:t>
      </w:r>
      <w:r w:rsidR="00FD2B24">
        <w:t>.</w:t>
      </w:r>
      <w:r w:rsidR="00E8687C">
        <w:t xml:space="preserve"> </w:t>
      </w:r>
      <w:r w:rsidR="00406895">
        <w:t xml:space="preserve">Inadequate insurance exposes the Regulator, the auditor and those participating in schemes to unnecessary risk. </w:t>
      </w:r>
      <w:r w:rsidR="00C05DA9">
        <w:t>P</w:t>
      </w:r>
      <w:r>
        <w:t xml:space="preserve">revious </w:t>
      </w:r>
      <w:r w:rsidR="00F7422C">
        <w:t>insurance</w:t>
      </w:r>
      <w:r>
        <w:t xml:space="preserve"> amounts were low and have not increased since the audit framework was established. </w:t>
      </w:r>
      <w:r w:rsidR="0097622A">
        <w:t xml:space="preserve">The minimum </w:t>
      </w:r>
      <w:r w:rsidR="00735731">
        <w:t>insurance</w:t>
      </w:r>
      <w:r w:rsidR="0097622A">
        <w:t xml:space="preserve"> amounts now increase with the value of the audit. </w:t>
      </w:r>
    </w:p>
    <w:p w14:paraId="4925E6EA" w14:textId="77777777" w:rsidR="00696828" w:rsidRDefault="00696828" w:rsidP="00A236C9">
      <w:pPr>
        <w:pStyle w:val="Default"/>
      </w:pPr>
    </w:p>
    <w:p w14:paraId="4E186D02" w14:textId="77777777" w:rsidR="00696828" w:rsidRDefault="00696828">
      <w:pPr>
        <w:pStyle w:val="Default"/>
      </w:pPr>
      <w:r>
        <w:t>Item</w:t>
      </w:r>
      <w:r w:rsidR="00F833B7">
        <w:t>s</w:t>
      </w:r>
      <w:r>
        <w:t xml:space="preserve"> </w:t>
      </w:r>
      <w:r w:rsidR="001C1E11">
        <w:t>18</w:t>
      </w:r>
      <w:r w:rsidR="00A476F7">
        <w:t xml:space="preserve">, </w:t>
      </w:r>
      <w:r w:rsidR="001C1E11">
        <w:t>19</w:t>
      </w:r>
      <w:r w:rsidR="00A476F7">
        <w:t xml:space="preserve"> and 2</w:t>
      </w:r>
      <w:r w:rsidR="001C1E11">
        <w:t>0</w:t>
      </w:r>
      <w:r w:rsidR="00C13315">
        <w:t xml:space="preserve"> support changes to auditor knowledge requirements </w:t>
      </w:r>
      <w:r w:rsidR="00266811">
        <w:t>above by allowing the Regulator to impose conditions restricting the types of audits which may be carried out by an auditor.</w:t>
      </w:r>
    </w:p>
    <w:p w14:paraId="1A1AC2F1" w14:textId="77777777" w:rsidR="007B01DA" w:rsidRDefault="007B01DA">
      <w:pPr>
        <w:pStyle w:val="Default"/>
      </w:pPr>
    </w:p>
    <w:p w14:paraId="0FB54988" w14:textId="77777777" w:rsidR="007B01DA" w:rsidRDefault="007B01DA">
      <w:pPr>
        <w:pStyle w:val="Default"/>
      </w:pPr>
      <w:r>
        <w:t>Item 2</w:t>
      </w:r>
      <w:r w:rsidR="001C1E11">
        <w:t>1</w:t>
      </w:r>
      <w:r w:rsidR="00514A60">
        <w:t xml:space="preserve"> makes a change to Regulation 6.64 (</w:t>
      </w:r>
      <w:r w:rsidR="00514A60" w:rsidRPr="00514A60">
        <w:t>Registered auditor must continue to be fit and proper person</w:t>
      </w:r>
      <w:r w:rsidR="00514A60">
        <w:t xml:space="preserve">) </w:t>
      </w:r>
      <w:r w:rsidR="007A33D5">
        <w:t xml:space="preserve">corresponding </w:t>
      </w:r>
      <w:r w:rsidR="007A0FF3">
        <w:t xml:space="preserve">to that made by </w:t>
      </w:r>
      <w:r>
        <w:t>item 1</w:t>
      </w:r>
      <w:r w:rsidR="001C1E11">
        <w:t>0</w:t>
      </w:r>
      <w:r>
        <w:t xml:space="preserve"> above</w:t>
      </w:r>
      <w:r w:rsidR="007A0FF3">
        <w:t xml:space="preserve"> to Regulation 6.12 (Applicant must be a fit and proper person)</w:t>
      </w:r>
      <w:r>
        <w:t>.</w:t>
      </w:r>
    </w:p>
    <w:p w14:paraId="38D29FCD" w14:textId="77777777" w:rsidR="00C05DA9" w:rsidRDefault="00C05DA9" w:rsidP="00A236C9">
      <w:pPr>
        <w:pStyle w:val="Default"/>
      </w:pPr>
    </w:p>
    <w:p w14:paraId="03495A90" w14:textId="2B11F6D8" w:rsidR="00877E41" w:rsidRDefault="00877E41" w:rsidP="00A236C9">
      <w:pPr>
        <w:pStyle w:val="Default"/>
      </w:pPr>
      <w:r>
        <w:t xml:space="preserve">Item </w:t>
      </w:r>
      <w:r w:rsidR="007E3BD0">
        <w:t>2</w:t>
      </w:r>
      <w:r w:rsidR="001C1E11">
        <w:t>2</w:t>
      </w:r>
      <w:r w:rsidR="00FA052B">
        <w:t xml:space="preserve"> </w:t>
      </w:r>
      <w:r w:rsidR="00354478">
        <w:t xml:space="preserve">replaces </w:t>
      </w:r>
      <w:r>
        <w:t>subregulation 6.66(1) to increase an auditor</w:t>
      </w:r>
      <w:r w:rsidR="00765803">
        <w:t>’</w:t>
      </w:r>
      <w:r>
        <w:t xml:space="preserve">s </w:t>
      </w:r>
      <w:r w:rsidR="002E6570">
        <w:t xml:space="preserve">required </w:t>
      </w:r>
      <w:r>
        <w:t xml:space="preserve">participation </w:t>
      </w:r>
      <w:r w:rsidR="00FD2B24">
        <w:t xml:space="preserve">in </w:t>
      </w:r>
      <w:r w:rsidR="00446544">
        <w:t>P</w:t>
      </w:r>
      <w:r>
        <w:t>art 6 or alternative audit</w:t>
      </w:r>
      <w:r w:rsidR="00FD2B24">
        <w:t xml:space="preserve">s from </w:t>
      </w:r>
      <w:r w:rsidR="002E6570">
        <w:t xml:space="preserve">at least </w:t>
      </w:r>
      <w:r w:rsidR="00FD2B24">
        <w:t>on</w:t>
      </w:r>
      <w:r w:rsidR="00C16778">
        <w:t>e audit</w:t>
      </w:r>
      <w:r w:rsidR="00FD2B24">
        <w:t xml:space="preserve"> </w:t>
      </w:r>
      <w:r>
        <w:t>in every three</w:t>
      </w:r>
      <w:r w:rsidR="002E6570">
        <w:t xml:space="preserve"> </w:t>
      </w:r>
      <w:r>
        <w:t>year period following registration</w:t>
      </w:r>
      <w:r w:rsidR="00FD2B24">
        <w:t xml:space="preserve"> to </w:t>
      </w:r>
      <w:r w:rsidR="002E6570">
        <w:t xml:space="preserve">at least </w:t>
      </w:r>
      <w:r w:rsidR="00FD2B24">
        <w:t xml:space="preserve">three </w:t>
      </w:r>
      <w:r w:rsidR="00C16778">
        <w:t xml:space="preserve">audits </w:t>
      </w:r>
      <w:r w:rsidR="002E6570">
        <w:t xml:space="preserve">in </w:t>
      </w:r>
      <w:r w:rsidR="00FD2B24">
        <w:t>every three year</w:t>
      </w:r>
      <w:r w:rsidR="002E6570">
        <w:t xml:space="preserve"> period</w:t>
      </w:r>
      <w:r>
        <w:t xml:space="preserve">. </w:t>
      </w:r>
      <w:r w:rsidR="00F66A1C">
        <w:t>The minimum requirements for audit participation have been increased t</w:t>
      </w:r>
      <w:r>
        <w:t xml:space="preserve">o safeguard the </w:t>
      </w:r>
      <w:r w:rsidR="00F3319C">
        <w:t>R</w:t>
      </w:r>
      <w:r>
        <w:t xml:space="preserve">egister and provide </w:t>
      </w:r>
      <w:r w:rsidR="009B7E56">
        <w:t>skilled</w:t>
      </w:r>
      <w:r>
        <w:t xml:space="preserve"> and active auditors</w:t>
      </w:r>
      <w:r w:rsidR="00F66A1C">
        <w:t>.</w:t>
      </w:r>
      <w:r w:rsidR="00FD2B24">
        <w:t xml:space="preserve"> </w:t>
      </w:r>
      <w:r w:rsidR="00354478" w:rsidRPr="00A95F00">
        <w:t>Item 2</w:t>
      </w:r>
      <w:r w:rsidR="00AD4DD9">
        <w:t>6</w:t>
      </w:r>
      <w:r w:rsidR="00354478" w:rsidRPr="00A95F00">
        <w:t xml:space="preserve"> </w:t>
      </w:r>
      <w:r w:rsidR="00685D2F" w:rsidRPr="00A95F00">
        <w:t>inserts new Regulation 7.14 clarify</w:t>
      </w:r>
      <w:r w:rsidR="00354478" w:rsidRPr="00A95F00">
        <w:t xml:space="preserve"> the transitional application of this provision.</w:t>
      </w:r>
      <w:r w:rsidR="00354478">
        <w:t xml:space="preserve"> </w:t>
      </w:r>
    </w:p>
    <w:p w14:paraId="3023E6AF" w14:textId="77777777" w:rsidR="00E97B90" w:rsidRDefault="00E97B90" w:rsidP="00A236C9">
      <w:pPr>
        <w:pStyle w:val="Default"/>
      </w:pPr>
    </w:p>
    <w:p w14:paraId="6C558D08" w14:textId="77777777" w:rsidR="00E97B90" w:rsidRDefault="00E97B90" w:rsidP="00A236C9">
      <w:pPr>
        <w:pStyle w:val="Default"/>
      </w:pPr>
      <w:r>
        <w:t>Item 2</w:t>
      </w:r>
      <w:r w:rsidR="001C1E11">
        <w:t>3</w:t>
      </w:r>
      <w:r>
        <w:t xml:space="preserve"> is an editorial revision to accommodate item 2</w:t>
      </w:r>
      <w:r w:rsidR="001C1E11">
        <w:t>1</w:t>
      </w:r>
      <w:r>
        <w:t xml:space="preserve"> above.</w:t>
      </w:r>
    </w:p>
    <w:p w14:paraId="29106B5C" w14:textId="77777777" w:rsidR="00C05DA9" w:rsidRDefault="00C05DA9" w:rsidP="00A236C9">
      <w:pPr>
        <w:pStyle w:val="Default"/>
      </w:pPr>
    </w:p>
    <w:p w14:paraId="75F38135" w14:textId="7C3112A7" w:rsidR="0097622A" w:rsidRDefault="009B7E56" w:rsidP="00A236C9">
      <w:pPr>
        <w:pStyle w:val="Default"/>
      </w:pPr>
      <w:r>
        <w:t>Item 2</w:t>
      </w:r>
      <w:r w:rsidR="001C1E11">
        <w:t>4</w:t>
      </w:r>
      <w:r>
        <w:t xml:space="preserve"> repeals Regulation 6.68</w:t>
      </w:r>
      <w:r w:rsidR="00BD1754">
        <w:t xml:space="preserve">, which required auditors to </w:t>
      </w:r>
      <w:r>
        <w:t xml:space="preserve">notify the Regulator if </w:t>
      </w:r>
      <w:r w:rsidR="00BD1754">
        <w:t xml:space="preserve">they accepted </w:t>
      </w:r>
      <w:r>
        <w:t xml:space="preserve">the position of audit team leader from a person other than the Regulator. </w:t>
      </w:r>
      <w:r w:rsidR="00137EF6">
        <w:t xml:space="preserve">This reduces unnecessary reporting requirements for auditors and reduces the regulatory burden for the Regulator.  </w:t>
      </w:r>
    </w:p>
    <w:p w14:paraId="19B0D7D3" w14:textId="77777777" w:rsidR="00E97B90" w:rsidRDefault="00E97B90" w:rsidP="00A236C9">
      <w:pPr>
        <w:pStyle w:val="Default"/>
      </w:pPr>
    </w:p>
    <w:p w14:paraId="30548003" w14:textId="77777777" w:rsidR="00E97B90" w:rsidRDefault="00E97B90" w:rsidP="00A236C9">
      <w:pPr>
        <w:pStyle w:val="Default"/>
      </w:pPr>
      <w:r>
        <w:t>Item 2</w:t>
      </w:r>
      <w:r w:rsidR="001C1E11">
        <w:t>5</w:t>
      </w:r>
      <w:r>
        <w:t xml:space="preserve"> is an editorial revision for consistency.</w:t>
      </w:r>
    </w:p>
    <w:p w14:paraId="34BFBC12" w14:textId="77777777" w:rsidR="00E97B90" w:rsidRDefault="00E97B90" w:rsidP="00A236C9">
      <w:pPr>
        <w:pStyle w:val="Default"/>
      </w:pPr>
    </w:p>
    <w:p w14:paraId="3A9ED53B" w14:textId="77777777" w:rsidR="00E97B90" w:rsidRDefault="00E97B90" w:rsidP="00A236C9">
      <w:pPr>
        <w:pStyle w:val="Default"/>
      </w:pPr>
      <w:r>
        <w:t>Item 2</w:t>
      </w:r>
      <w:r w:rsidR="001C1E11">
        <w:t>6</w:t>
      </w:r>
      <w:r>
        <w:t xml:space="preserve"> inserts provisions to clarify the application of amendments relating to items </w:t>
      </w:r>
      <w:r w:rsidR="001C1E11">
        <w:t>above</w:t>
      </w:r>
      <w:r>
        <w:t>.</w:t>
      </w:r>
      <w:r w:rsidR="00F375AC">
        <w:t xml:space="preserve"> In particular:</w:t>
      </w:r>
    </w:p>
    <w:p w14:paraId="7A671857" w14:textId="47FB6973" w:rsidR="00F375AC" w:rsidRDefault="00F375AC" w:rsidP="00523CDE">
      <w:pPr>
        <w:pStyle w:val="Default"/>
        <w:numPr>
          <w:ilvl w:val="0"/>
          <w:numId w:val="27"/>
        </w:numPr>
      </w:pPr>
      <w:r>
        <w:t xml:space="preserve">Amendments to the legislation knowledge required of auditors only apply to applications </w:t>
      </w:r>
      <w:r w:rsidR="00EB3C30">
        <w:t xml:space="preserve">made on or after the day the amending Regulations commence </w:t>
      </w:r>
      <w:r>
        <w:t xml:space="preserve">(with old requirements applying to applications </w:t>
      </w:r>
      <w:r w:rsidR="00EB3C30">
        <w:t xml:space="preserve">made </w:t>
      </w:r>
      <w:r>
        <w:t>before commencement).</w:t>
      </w:r>
    </w:p>
    <w:p w14:paraId="601DAEA0" w14:textId="65D8287D" w:rsidR="00F375AC" w:rsidRDefault="00F375AC" w:rsidP="00523CDE">
      <w:pPr>
        <w:pStyle w:val="Default"/>
        <w:numPr>
          <w:ilvl w:val="0"/>
          <w:numId w:val="27"/>
        </w:numPr>
      </w:pPr>
      <w:r>
        <w:t>The fit and proper person requirements apply to application</w:t>
      </w:r>
      <w:r w:rsidR="001C1E11">
        <w:t>s</w:t>
      </w:r>
      <w:r>
        <w:t xml:space="preserve"> </w:t>
      </w:r>
      <w:r w:rsidR="001C1E11">
        <w:t>made</w:t>
      </w:r>
      <w:r w:rsidR="00211259">
        <w:t xml:space="preserve"> on or</w:t>
      </w:r>
      <w:r w:rsidR="001C1E11">
        <w:t xml:space="preserve"> </w:t>
      </w:r>
      <w:r>
        <w:t xml:space="preserve">after </w:t>
      </w:r>
      <w:r w:rsidR="00211259">
        <w:t xml:space="preserve">the day the amending Regulations commence, </w:t>
      </w:r>
      <w:r>
        <w:t xml:space="preserve">and </w:t>
      </w:r>
      <w:r w:rsidR="00211259">
        <w:t xml:space="preserve">to </w:t>
      </w:r>
      <w:r>
        <w:t>application</w:t>
      </w:r>
      <w:r w:rsidR="001C1E11">
        <w:t>s</w:t>
      </w:r>
      <w:r>
        <w:t xml:space="preserve"> </w:t>
      </w:r>
      <w:r w:rsidR="00211259">
        <w:t xml:space="preserve">made but </w:t>
      </w:r>
      <w:r>
        <w:t xml:space="preserve">not decided upon </w:t>
      </w:r>
      <w:r w:rsidR="00211259">
        <w:t xml:space="preserve">before </w:t>
      </w:r>
      <w:r>
        <w:t>commencement</w:t>
      </w:r>
      <w:r w:rsidR="00211259">
        <w:t xml:space="preserve"> of the amending Regulations</w:t>
      </w:r>
      <w:r>
        <w:t xml:space="preserve">. This is because these requirements will apply to all auditors, including those already registered. </w:t>
      </w:r>
    </w:p>
    <w:p w14:paraId="6DC1150D" w14:textId="30962232" w:rsidR="00F375AC" w:rsidRDefault="00F375AC" w:rsidP="00523CDE">
      <w:pPr>
        <w:pStyle w:val="Default"/>
        <w:numPr>
          <w:ilvl w:val="0"/>
          <w:numId w:val="27"/>
        </w:numPr>
      </w:pPr>
      <w:r>
        <w:t>The participation requirements for audits within a 3 year period are specified for existing auditors</w:t>
      </w:r>
      <w:r w:rsidR="00606251">
        <w:t>,</w:t>
      </w:r>
      <w:r>
        <w:t xml:space="preserve"> </w:t>
      </w:r>
      <w:r w:rsidR="00606251">
        <w:t xml:space="preserve">but </w:t>
      </w:r>
      <w:r>
        <w:t xml:space="preserve">periods that end within 12 months of commencement are not included. </w:t>
      </w:r>
    </w:p>
    <w:p w14:paraId="23518744" w14:textId="77777777" w:rsidR="009B7E56" w:rsidRDefault="009B7E56" w:rsidP="00A236C9">
      <w:pPr>
        <w:pStyle w:val="Default"/>
      </w:pPr>
    </w:p>
    <w:p w14:paraId="09BEF2C7" w14:textId="77777777" w:rsidR="00252815" w:rsidRPr="00FC52C4" w:rsidRDefault="00252815" w:rsidP="00D00514">
      <w:pPr>
        <w:pStyle w:val="Bullet"/>
        <w:keepNext/>
        <w:numPr>
          <w:ilvl w:val="0"/>
          <w:numId w:val="0"/>
        </w:numPr>
        <w:spacing w:before="0" w:after="240"/>
        <w:rPr>
          <w:u w:val="single"/>
        </w:rPr>
      </w:pPr>
      <w:r w:rsidRPr="00FC52C4">
        <w:rPr>
          <w:u w:val="single"/>
        </w:rPr>
        <w:t xml:space="preserve">Schedule </w:t>
      </w:r>
      <w:r>
        <w:rPr>
          <w:u w:val="single"/>
        </w:rPr>
        <w:t>3—Other amendments</w:t>
      </w:r>
    </w:p>
    <w:p w14:paraId="1A1EAEDB" w14:textId="77777777" w:rsidR="0094501D" w:rsidRDefault="0094501D" w:rsidP="0094501D">
      <w:pPr>
        <w:spacing w:before="0" w:after="0"/>
        <w:rPr>
          <w:szCs w:val="24"/>
        </w:rPr>
      </w:pPr>
      <w:r>
        <w:rPr>
          <w:szCs w:val="24"/>
        </w:rPr>
        <w:t xml:space="preserve">Part 1 makes minor updates to matters to be identified for Method 1 for emissions from decommissioned underground coal mines to align with changes which were made to the Measurement Determination on 21 June 2018 by the </w:t>
      </w:r>
      <w:r w:rsidRPr="00523CDE">
        <w:rPr>
          <w:i/>
          <w:szCs w:val="24"/>
        </w:rPr>
        <w:t>National Greenhouse and Energy Reporting (Measurement) Amendment (2018 Update) Determination 2018</w:t>
      </w:r>
      <w:r>
        <w:rPr>
          <w:szCs w:val="24"/>
        </w:rPr>
        <w:t xml:space="preserve">. </w:t>
      </w:r>
    </w:p>
    <w:p w14:paraId="2626C560" w14:textId="77777777" w:rsidR="0094501D" w:rsidRDefault="0094501D" w:rsidP="0094501D">
      <w:pPr>
        <w:spacing w:before="0" w:after="0"/>
        <w:rPr>
          <w:szCs w:val="24"/>
        </w:rPr>
      </w:pPr>
    </w:p>
    <w:p w14:paraId="386EC818" w14:textId="0AAAA964" w:rsidR="0094501D" w:rsidRDefault="0094501D" w:rsidP="0094501D">
      <w:pPr>
        <w:spacing w:before="0" w:after="0"/>
        <w:rPr>
          <w:szCs w:val="24"/>
        </w:rPr>
      </w:pPr>
      <w:r>
        <w:rPr>
          <w:szCs w:val="24"/>
        </w:rPr>
        <w:t xml:space="preserve">Part 2 inserts </w:t>
      </w:r>
      <w:r w:rsidR="00991B86">
        <w:rPr>
          <w:szCs w:val="24"/>
        </w:rPr>
        <w:t>m</w:t>
      </w:r>
      <w:r>
        <w:rPr>
          <w:szCs w:val="24"/>
        </w:rPr>
        <w:t>atters to be identified for reporting using the new facility-specific Method 3 for emissions from natu</w:t>
      </w:r>
      <w:r w:rsidRPr="0042499A">
        <w:rPr>
          <w:szCs w:val="24"/>
        </w:rPr>
        <w:t xml:space="preserve">ral gas distribution </w:t>
      </w:r>
      <w:r>
        <w:rPr>
          <w:szCs w:val="24"/>
        </w:rPr>
        <w:t>that</w:t>
      </w:r>
      <w:r w:rsidRPr="0042499A">
        <w:rPr>
          <w:szCs w:val="24"/>
        </w:rPr>
        <w:t xml:space="preserve"> was introduced on 28 June 2019 by the </w:t>
      </w:r>
      <w:r w:rsidRPr="00523CDE">
        <w:rPr>
          <w:i/>
          <w:szCs w:val="24"/>
        </w:rPr>
        <w:t>National Greenhouse and Energy Reporting (Measurement) Amendment (2019 Update) Determination 2019</w:t>
      </w:r>
      <w:r w:rsidRPr="00523CDE">
        <w:rPr>
          <w:szCs w:val="24"/>
        </w:rPr>
        <w:t>.</w:t>
      </w:r>
    </w:p>
    <w:p w14:paraId="0CFF20DB" w14:textId="77777777" w:rsidR="0094501D" w:rsidRDefault="0094501D" w:rsidP="0094501D">
      <w:pPr>
        <w:spacing w:before="0" w:after="0"/>
        <w:rPr>
          <w:szCs w:val="24"/>
        </w:rPr>
      </w:pPr>
    </w:p>
    <w:p w14:paraId="329C26C2" w14:textId="77777777" w:rsidR="0094501D" w:rsidRDefault="0094501D" w:rsidP="0094501D">
      <w:pPr>
        <w:spacing w:before="0" w:after="0"/>
        <w:rPr>
          <w:szCs w:val="24"/>
        </w:rPr>
      </w:pPr>
      <w:r>
        <w:rPr>
          <w:szCs w:val="24"/>
        </w:rPr>
        <w:t xml:space="preserve">Part 3 inserts a provision to provide that Schedule 3 amendments apply in relation to reports to be submitted for the 2019-20 reporting year (due 31 October 2020). This application will not disadvantage any person for the following reasons: </w:t>
      </w:r>
    </w:p>
    <w:p w14:paraId="2B87B8F8" w14:textId="77777777" w:rsidR="0094501D" w:rsidRDefault="0094501D" w:rsidP="0094501D">
      <w:pPr>
        <w:spacing w:before="0" w:after="0"/>
        <w:rPr>
          <w:szCs w:val="24"/>
        </w:rPr>
      </w:pPr>
    </w:p>
    <w:p w14:paraId="10CFC96E" w14:textId="77777777" w:rsidR="0094501D" w:rsidRPr="009D775A" w:rsidRDefault="0094501D" w:rsidP="0094501D">
      <w:pPr>
        <w:pStyle w:val="ListParagraph"/>
        <w:numPr>
          <w:ilvl w:val="0"/>
          <w:numId w:val="28"/>
        </w:numPr>
        <w:spacing w:before="0" w:after="0"/>
        <w:rPr>
          <w:szCs w:val="24"/>
        </w:rPr>
      </w:pPr>
      <w:r w:rsidRPr="009D775A">
        <w:rPr>
          <w:szCs w:val="24"/>
        </w:rPr>
        <w:t>The amendments in Part 1 of this Schedule (</w:t>
      </w:r>
      <w:r>
        <w:rPr>
          <w:szCs w:val="24"/>
        </w:rPr>
        <w:t>D</w:t>
      </w:r>
      <w:r w:rsidRPr="009D775A">
        <w:rPr>
          <w:szCs w:val="24"/>
        </w:rPr>
        <w:t xml:space="preserve">ecommissioned mines) are minor in nature, bringing terminology used in Source 3 of Part 1 of Schedule 3 to the Regulations into alignment with changes made to the Measurement Determination by the </w:t>
      </w:r>
      <w:r w:rsidRPr="009D775A">
        <w:rPr>
          <w:i/>
          <w:szCs w:val="24"/>
        </w:rPr>
        <w:t xml:space="preserve">National Greenhouse and Energy Reporting (Measurement) Amendment (2018 Update) Determination 2018. </w:t>
      </w:r>
    </w:p>
    <w:p w14:paraId="425E30ED" w14:textId="68298A47" w:rsidR="005B17D1" w:rsidRPr="009D775A" w:rsidRDefault="0094501D" w:rsidP="009D775A">
      <w:pPr>
        <w:pStyle w:val="ListParagraph"/>
        <w:numPr>
          <w:ilvl w:val="0"/>
          <w:numId w:val="28"/>
        </w:numPr>
        <w:spacing w:before="0" w:after="0"/>
        <w:rPr>
          <w:szCs w:val="24"/>
        </w:rPr>
      </w:pPr>
      <w:r w:rsidRPr="009D775A">
        <w:rPr>
          <w:szCs w:val="24"/>
        </w:rPr>
        <w:t xml:space="preserve">The amendments </w:t>
      </w:r>
      <w:r>
        <w:rPr>
          <w:szCs w:val="24"/>
        </w:rPr>
        <w:t xml:space="preserve">in Part 2 of this Schedule (Unaccounted for gas) formalise matters to be identified in reports using the facility-specific Method 3 for natural gas distribution that was introduced on 28 June 2019 by </w:t>
      </w:r>
      <w:r w:rsidRPr="0042499A">
        <w:rPr>
          <w:szCs w:val="24"/>
        </w:rPr>
        <w:t xml:space="preserve">the </w:t>
      </w:r>
      <w:r w:rsidRPr="00523CDE">
        <w:rPr>
          <w:i/>
          <w:szCs w:val="24"/>
        </w:rPr>
        <w:t>National Greenhouse and Energy Reporting (Measurement) Amendment (2019 Update) Determination 201</w:t>
      </w:r>
      <w:r>
        <w:rPr>
          <w:i/>
          <w:szCs w:val="24"/>
        </w:rPr>
        <w:t xml:space="preserve">9. </w:t>
      </w:r>
      <w:r>
        <w:rPr>
          <w:szCs w:val="24"/>
        </w:rPr>
        <w:t xml:space="preserve">These matters were developed in consultation with </w:t>
      </w:r>
      <w:r w:rsidRPr="002457E5">
        <w:rPr>
          <w:szCs w:val="24"/>
        </w:rPr>
        <w:t xml:space="preserve">affected reporting entities, including the entity which first raised the issue addressed by the amendments, via the industry body representing Australian gas distribution businesses (Energy Networks Australia). </w:t>
      </w:r>
      <w:r w:rsidR="005B17D1" w:rsidRPr="009D775A">
        <w:rPr>
          <w:szCs w:val="24"/>
        </w:rPr>
        <w:br w:type="page"/>
      </w:r>
    </w:p>
    <w:p w14:paraId="3287C805" w14:textId="77777777" w:rsidR="005B17D1" w:rsidRDefault="00723C9D" w:rsidP="005B17D1">
      <w:pPr>
        <w:tabs>
          <w:tab w:val="right" w:pos="9072"/>
        </w:tabs>
        <w:spacing w:after="240"/>
        <w:ind w:right="91"/>
        <w:jc w:val="right"/>
        <w:rPr>
          <w:b/>
          <w:szCs w:val="24"/>
          <w:u w:val="single"/>
        </w:rPr>
      </w:pPr>
      <w:r>
        <w:rPr>
          <w:b/>
          <w:szCs w:val="24"/>
          <w:u w:val="single"/>
        </w:rPr>
        <w:t>ATTACHMENT B</w:t>
      </w:r>
    </w:p>
    <w:p w14:paraId="1E112C14" w14:textId="77777777" w:rsidR="005B17D1" w:rsidRPr="00342B03" w:rsidRDefault="005B17D1" w:rsidP="005B17D1">
      <w:pPr>
        <w:pStyle w:val="Heading3"/>
        <w:spacing w:before="0" w:after="240"/>
        <w:jc w:val="center"/>
        <w:rPr>
          <w:rFonts w:ascii="Times New Roman" w:hAnsi="Times New Roman"/>
          <w:sz w:val="28"/>
          <w:szCs w:val="24"/>
        </w:rPr>
      </w:pPr>
      <w:r w:rsidRPr="00342B03">
        <w:rPr>
          <w:rFonts w:ascii="Times New Roman" w:hAnsi="Times New Roman"/>
          <w:sz w:val="28"/>
          <w:szCs w:val="24"/>
        </w:rPr>
        <w:t>Statement of Compatibility with Human Rights</w:t>
      </w:r>
    </w:p>
    <w:p w14:paraId="13D4C0F4" w14:textId="77777777" w:rsidR="00342B03" w:rsidRPr="00342B03" w:rsidRDefault="005B17D1" w:rsidP="00342B03">
      <w:pPr>
        <w:spacing w:after="240"/>
        <w:jc w:val="center"/>
        <w:rPr>
          <w:i/>
          <w:szCs w:val="24"/>
        </w:rPr>
      </w:pPr>
      <w:r>
        <w:rPr>
          <w:i/>
          <w:szCs w:val="24"/>
        </w:rPr>
        <w:t>Prep</w:t>
      </w:r>
      <w:r w:rsidR="00342B03">
        <w:rPr>
          <w:i/>
          <w:szCs w:val="24"/>
        </w:rPr>
        <w:t>ared in accordance with Part 3 o</w:t>
      </w:r>
      <w:r>
        <w:rPr>
          <w:i/>
          <w:szCs w:val="24"/>
        </w:rPr>
        <w:t>f the Human Rights (Parliamentary Scrutiny) Act 2011</w:t>
      </w:r>
    </w:p>
    <w:p w14:paraId="63FB0144" w14:textId="77777777" w:rsidR="00342B03" w:rsidRPr="00342B03" w:rsidRDefault="00DA2149" w:rsidP="00342B03">
      <w:pPr>
        <w:spacing w:after="240"/>
        <w:jc w:val="center"/>
        <w:rPr>
          <w:b/>
        </w:rPr>
      </w:pPr>
      <w:r w:rsidRPr="00342B03">
        <w:rPr>
          <w:b/>
        </w:rPr>
        <w:t>National Greenhouse and Energy Reporting Amendment (2019 Measures No. 1) Regulations 2019</w:t>
      </w:r>
    </w:p>
    <w:p w14:paraId="2F6C897C" w14:textId="77777777" w:rsidR="005B17D1" w:rsidRDefault="005B17D1" w:rsidP="00342B03">
      <w:pPr>
        <w:spacing w:after="240"/>
        <w:rPr>
          <w:szCs w:val="24"/>
        </w:rPr>
      </w:pPr>
      <w:r>
        <w:rPr>
          <w:szCs w:val="24"/>
        </w:rPr>
        <w:t xml:space="preserve">This Legislative Instrument is compatible with the human rights and freedoms recognised or declared in the international instruments listed in section 3 of the </w:t>
      </w:r>
      <w:r>
        <w:rPr>
          <w:i/>
          <w:szCs w:val="24"/>
        </w:rPr>
        <w:t>Human Rights (Parliamentary Scrutiny) Act 2011</w:t>
      </w:r>
      <w:r>
        <w:rPr>
          <w:szCs w:val="24"/>
        </w:rPr>
        <w:t>.</w:t>
      </w:r>
    </w:p>
    <w:p w14:paraId="71E33695" w14:textId="77777777" w:rsidR="005B17D1" w:rsidRDefault="005B17D1" w:rsidP="005B17D1">
      <w:pPr>
        <w:pStyle w:val="Heading4"/>
        <w:spacing w:after="240"/>
        <w:rPr>
          <w:szCs w:val="24"/>
        </w:rPr>
      </w:pPr>
      <w:r>
        <w:rPr>
          <w:szCs w:val="24"/>
        </w:rPr>
        <w:t xml:space="preserve">Overview of the </w:t>
      </w:r>
      <w:r w:rsidR="00342B03">
        <w:rPr>
          <w:szCs w:val="24"/>
        </w:rPr>
        <w:t xml:space="preserve">Disallowable </w:t>
      </w:r>
      <w:r>
        <w:rPr>
          <w:szCs w:val="24"/>
        </w:rPr>
        <w:t>Legislative Instrument</w:t>
      </w:r>
    </w:p>
    <w:p w14:paraId="34B1D87B" w14:textId="71121D9C" w:rsidR="00342B03" w:rsidRDefault="000F0BED" w:rsidP="00342B03">
      <w:r>
        <w:rPr>
          <w:szCs w:val="24"/>
        </w:rPr>
        <w:t>T</w:t>
      </w:r>
      <w:r w:rsidR="005B17D1" w:rsidRPr="00FE795E">
        <w:rPr>
          <w:szCs w:val="24"/>
        </w:rPr>
        <w:t xml:space="preserve">he </w:t>
      </w:r>
      <w:r w:rsidR="0023138A" w:rsidRPr="0023138A">
        <w:rPr>
          <w:i/>
        </w:rPr>
        <w:t>National Greenhouse and Energy Reporting Amendment (</w:t>
      </w:r>
      <w:r w:rsidR="00137EF6">
        <w:rPr>
          <w:i/>
        </w:rPr>
        <w:t>2019 Measures No. 1)</w:t>
      </w:r>
      <w:r w:rsidR="0023138A" w:rsidRPr="0023138A">
        <w:rPr>
          <w:i/>
        </w:rPr>
        <w:t xml:space="preserve"> Regulations </w:t>
      </w:r>
      <w:r w:rsidR="00137EF6">
        <w:rPr>
          <w:i/>
        </w:rPr>
        <w:t xml:space="preserve">2019 </w:t>
      </w:r>
      <w:r w:rsidR="00342B03">
        <w:t>(</w:t>
      </w:r>
      <w:r w:rsidR="00342B03" w:rsidRPr="008F1C35">
        <w:t xml:space="preserve">the </w:t>
      </w:r>
      <w:r w:rsidR="008901A0" w:rsidRPr="008F1C35">
        <w:t xml:space="preserve">amending </w:t>
      </w:r>
      <w:r w:rsidR="00342B03" w:rsidRPr="008F1C35">
        <w:t>Regulations</w:t>
      </w:r>
      <w:r w:rsidR="00342B03">
        <w:t xml:space="preserve">) </w:t>
      </w:r>
      <w:r w:rsidR="003515C5">
        <w:t>amend</w:t>
      </w:r>
      <w:r>
        <w:t>s</w:t>
      </w:r>
      <w:r w:rsidR="003515C5" w:rsidRPr="005E2DA6">
        <w:t xml:space="preserve"> the </w:t>
      </w:r>
      <w:r w:rsidR="00343673">
        <w:rPr>
          <w:i/>
        </w:rPr>
        <w:t>National Greenhouse and Energy Reporting Regulations 2008</w:t>
      </w:r>
      <w:r w:rsidR="003515C5">
        <w:t xml:space="preserve"> </w:t>
      </w:r>
      <w:r w:rsidR="008901A0">
        <w:t>(</w:t>
      </w:r>
      <w:r w:rsidR="008901A0" w:rsidRPr="008F1C35">
        <w:t>the Regulations</w:t>
      </w:r>
      <w:r w:rsidR="008901A0">
        <w:t xml:space="preserve">) </w:t>
      </w:r>
      <w:r w:rsidR="008E240D">
        <w:t>to</w:t>
      </w:r>
      <w:r w:rsidR="00342B03">
        <w:t>:</w:t>
      </w:r>
    </w:p>
    <w:p w14:paraId="3D3AC9F0" w14:textId="2FCCBE20" w:rsidR="005A1655" w:rsidRDefault="005A1655" w:rsidP="005A1655">
      <w:pPr>
        <w:pStyle w:val="Bullet"/>
        <w:numPr>
          <w:ilvl w:val="0"/>
          <w:numId w:val="26"/>
        </w:numPr>
        <w:spacing w:before="0" w:after="240"/>
      </w:pPr>
      <w:r>
        <w:t xml:space="preserve">make consequential amendments to the Regulations to clarify reporting requirements for certain facilities, to formalise changes made on 4 March 2019 to the </w:t>
      </w:r>
      <w:r>
        <w:rPr>
          <w:i/>
        </w:rPr>
        <w:t xml:space="preserve">National Greenhouse and Energy Reporting (Safeguard Mechanism) Rule 2015 </w:t>
      </w:r>
      <w:r>
        <w:t>(the Safeguard Rule);</w:t>
      </w:r>
    </w:p>
    <w:p w14:paraId="6F009E12" w14:textId="0D425B72" w:rsidR="00342B03" w:rsidRDefault="00342B03" w:rsidP="00D676B6">
      <w:pPr>
        <w:pStyle w:val="ListParagraph"/>
        <w:numPr>
          <w:ilvl w:val="0"/>
          <w:numId w:val="26"/>
        </w:numPr>
        <w:ind w:left="357" w:hanging="357"/>
        <w:contextualSpacing w:val="0"/>
      </w:pPr>
      <w:r>
        <w:t xml:space="preserve">amend provisions relating </w:t>
      </w:r>
      <w:r w:rsidR="00D676B6">
        <w:t xml:space="preserve">to greenhouse and energy audits (Schedule 2 of the </w:t>
      </w:r>
      <w:r w:rsidR="008901A0">
        <w:t xml:space="preserve">amending </w:t>
      </w:r>
      <w:r w:rsidR="00D676B6">
        <w:t>Regulations)</w:t>
      </w:r>
    </w:p>
    <w:p w14:paraId="05BD1D17" w14:textId="36023570" w:rsidR="00342B03" w:rsidRDefault="00702664" w:rsidP="0082028E">
      <w:pPr>
        <w:pStyle w:val="ListParagraph"/>
        <w:numPr>
          <w:ilvl w:val="0"/>
          <w:numId w:val="26"/>
        </w:numPr>
        <w:spacing w:after="240"/>
        <w:ind w:left="357" w:hanging="357"/>
        <w:contextualSpacing w:val="0"/>
      </w:pPr>
      <w:r>
        <w:t xml:space="preserve">make </w:t>
      </w:r>
      <w:r w:rsidR="005E55DD">
        <w:t>minor</w:t>
      </w:r>
      <w:r>
        <w:t xml:space="preserve"> amendments to </w:t>
      </w:r>
      <w:r w:rsidR="003B409B">
        <w:t>m</w:t>
      </w:r>
      <w:r w:rsidR="005E55DD">
        <w:t xml:space="preserve">atters to be identified </w:t>
      </w:r>
      <w:r w:rsidR="00D676B6">
        <w:t xml:space="preserve">in reports of emissions from decommissioned underground coal mines and natural gas distribution networks (Schedule 3 of the </w:t>
      </w:r>
      <w:r w:rsidR="008901A0">
        <w:t xml:space="preserve">amending </w:t>
      </w:r>
      <w:r w:rsidR="00D676B6">
        <w:t>Regulations).</w:t>
      </w:r>
      <w:r w:rsidR="005E55DD">
        <w:t xml:space="preserve"> </w:t>
      </w:r>
      <w:r>
        <w:t xml:space="preserve"> </w:t>
      </w:r>
    </w:p>
    <w:p w14:paraId="4311BB45" w14:textId="77777777" w:rsidR="005B17D1" w:rsidRDefault="005B17D1" w:rsidP="005B17D1">
      <w:pPr>
        <w:pStyle w:val="Heading4"/>
        <w:spacing w:after="240"/>
        <w:rPr>
          <w:szCs w:val="24"/>
        </w:rPr>
      </w:pPr>
      <w:r>
        <w:rPr>
          <w:szCs w:val="24"/>
        </w:rPr>
        <w:t>Human rights implications</w:t>
      </w:r>
    </w:p>
    <w:p w14:paraId="1A4A1D96" w14:textId="77777777" w:rsidR="004D176A" w:rsidRDefault="004D176A" w:rsidP="004D176A">
      <w:pPr>
        <w:spacing w:after="240"/>
        <w:rPr>
          <w:szCs w:val="24"/>
        </w:rPr>
      </w:pPr>
      <w:r>
        <w:rPr>
          <w:szCs w:val="24"/>
        </w:rPr>
        <w:t>This Legislative Instrument engages the privacy principle enshrined within Article 17 of the International Covenant on Civil and Political Rights (ICCPR) which stipulates that no individual should be subject to</w:t>
      </w:r>
      <w:r w:rsidRPr="00E932D1">
        <w:rPr>
          <w:szCs w:val="24"/>
        </w:rPr>
        <w:t xml:space="preserve"> </w:t>
      </w:r>
      <w:r>
        <w:rPr>
          <w:szCs w:val="24"/>
        </w:rPr>
        <w:t>arbitrary and unlawful interference with their privacy.</w:t>
      </w:r>
    </w:p>
    <w:p w14:paraId="285DBCF7" w14:textId="77777777" w:rsidR="00342B03" w:rsidRDefault="00342B03" w:rsidP="00342B03">
      <w:r>
        <w:rPr>
          <w:szCs w:val="24"/>
        </w:rPr>
        <w:t xml:space="preserve">The Schedule 1 amendments relating to reporting requirements are reasonable because they are based on self-reporting under existing legislation (the </w:t>
      </w:r>
      <w:r>
        <w:rPr>
          <w:i/>
          <w:szCs w:val="24"/>
        </w:rPr>
        <w:t>National Greenhouse and Energy Reporting Act 2007</w:t>
      </w:r>
      <w:r>
        <w:rPr>
          <w:szCs w:val="24"/>
        </w:rPr>
        <w:t>) and the information is aggregated to de-identify individual information.</w:t>
      </w:r>
      <w:r>
        <w:t xml:space="preserve"> The additional production data collected will also be subject to the secrecy provisions of the </w:t>
      </w:r>
      <w:r>
        <w:rPr>
          <w:i/>
        </w:rPr>
        <w:t xml:space="preserve">Clean Energy Regulator Act 2011 </w:t>
      </w:r>
      <w:r>
        <w:t xml:space="preserve">and the </w:t>
      </w:r>
      <w:r>
        <w:rPr>
          <w:i/>
        </w:rPr>
        <w:t>Privacy Act 1988</w:t>
      </w:r>
      <w:r>
        <w:t>.</w:t>
      </w:r>
      <w:r>
        <w:rPr>
          <w:i/>
        </w:rPr>
        <w:t xml:space="preserve"> </w:t>
      </w:r>
      <w:r w:rsidR="008869CF">
        <w:t>This data will enable baselines to be automatically adjusted on an annual basis, according to changes in production in the relevant baseline determination</w:t>
      </w:r>
      <w:r w:rsidR="008869CF" w:rsidRPr="00AF4300">
        <w:t xml:space="preserve"> </w:t>
      </w:r>
      <w:r w:rsidR="008869CF">
        <w:t>formula.</w:t>
      </w:r>
    </w:p>
    <w:p w14:paraId="2F270F6C" w14:textId="0C6A21B9" w:rsidR="00702664" w:rsidRDefault="00342B03" w:rsidP="00702664">
      <w:pPr>
        <w:rPr>
          <w:szCs w:val="24"/>
        </w:rPr>
      </w:pPr>
      <w:r>
        <w:rPr>
          <w:szCs w:val="24"/>
        </w:rPr>
        <w:t>The legislative instrument engages the right to privacy because i</w:t>
      </w:r>
      <w:r w:rsidRPr="00745932">
        <w:rPr>
          <w:szCs w:val="24"/>
        </w:rPr>
        <w:t>nformation</w:t>
      </w:r>
      <w:r w:rsidRPr="00182C66">
        <w:rPr>
          <w:szCs w:val="24"/>
        </w:rPr>
        <w:t xml:space="preserve"> relating to the conditions of registration of auditors will be published</w:t>
      </w:r>
      <w:r w:rsidR="00D676B6">
        <w:rPr>
          <w:szCs w:val="24"/>
        </w:rPr>
        <w:t xml:space="preserve"> (Schedule 2 amendments)</w:t>
      </w:r>
      <w:r>
        <w:rPr>
          <w:szCs w:val="24"/>
        </w:rPr>
        <w:t>.</w:t>
      </w:r>
      <w:r w:rsidR="00702664">
        <w:t xml:space="preserve"> </w:t>
      </w:r>
      <w:r w:rsidR="004D176A">
        <w:t>T</w:t>
      </w:r>
      <w:r w:rsidR="004D176A" w:rsidRPr="00F2776F">
        <w:t xml:space="preserve">he limitation proposed in the instrument has a direct connection with the </w:t>
      </w:r>
      <w:r w:rsidR="00075C2D">
        <w:t xml:space="preserve">amending </w:t>
      </w:r>
      <w:r w:rsidR="004D176A" w:rsidRPr="00F2776F">
        <w:t>Regulations’ objective</w:t>
      </w:r>
      <w:r w:rsidR="00157B19">
        <w:t xml:space="preserve"> as </w:t>
      </w:r>
      <w:r w:rsidR="00A45238">
        <w:t xml:space="preserve">the </w:t>
      </w:r>
      <w:r w:rsidR="00075C2D">
        <w:t xml:space="preserve">amending </w:t>
      </w:r>
      <w:r w:rsidR="00A45238" w:rsidRPr="006579E0">
        <w:t>Regulations</w:t>
      </w:r>
      <w:r w:rsidR="00A45238">
        <w:t xml:space="preserve"> make a series of </w:t>
      </w:r>
      <w:r w:rsidR="00DF777F">
        <w:t>amendments</w:t>
      </w:r>
      <w:r w:rsidR="00A45238">
        <w:t xml:space="preserve"> relating to the registration of auditors under the </w:t>
      </w:r>
      <w:r w:rsidR="00A45238">
        <w:rPr>
          <w:i/>
        </w:rPr>
        <w:t>National Greenhouse and Energy (Reporting) Act 2007</w:t>
      </w:r>
      <w:r w:rsidR="00A45238">
        <w:t>.</w:t>
      </w:r>
      <w:r w:rsidR="00702664">
        <w:t xml:space="preserve"> </w:t>
      </w:r>
      <w:r w:rsidR="004D176A" w:rsidRPr="00F2776F">
        <w:t>Giving public access to information about the conditions placed upon certain auditors is reasonable, necessary and proportionate in helping potential clients determine which auditors are most applicable for their particular circumstances.</w:t>
      </w:r>
      <w:r w:rsidR="004D176A">
        <w:t xml:space="preserve"> </w:t>
      </w:r>
      <w:r w:rsidR="00A45238">
        <w:rPr>
          <w:szCs w:val="24"/>
        </w:rPr>
        <w:t>This requirement will assist auditors by ensuring that they are only approached by potential clients for audit work that the auditor's registration permits them</w:t>
      </w:r>
      <w:r w:rsidR="00702664">
        <w:rPr>
          <w:szCs w:val="24"/>
        </w:rPr>
        <w:t xml:space="preserve"> to perform. </w:t>
      </w:r>
    </w:p>
    <w:p w14:paraId="088764D9" w14:textId="56BCAD8A" w:rsidR="00D676B6" w:rsidRPr="00702664" w:rsidRDefault="00D676B6" w:rsidP="00D676B6">
      <w:pPr>
        <w:spacing w:after="240"/>
        <w:rPr>
          <w:szCs w:val="24"/>
        </w:rPr>
      </w:pPr>
      <w:r>
        <w:rPr>
          <w:szCs w:val="24"/>
        </w:rPr>
        <w:t xml:space="preserve">Similar to Schedule 1, the Schedule 3 amendments relating to </w:t>
      </w:r>
      <w:r w:rsidR="006168C3">
        <w:rPr>
          <w:szCs w:val="24"/>
        </w:rPr>
        <w:t>m</w:t>
      </w:r>
      <w:r>
        <w:rPr>
          <w:szCs w:val="24"/>
        </w:rPr>
        <w:t>atters to be identified are reasonable because they are based on self-reporting under existing legislation and t</w:t>
      </w:r>
      <w:r>
        <w:t xml:space="preserve">he information collected will be subject to the secrecy provisions of the </w:t>
      </w:r>
      <w:r>
        <w:rPr>
          <w:i/>
        </w:rPr>
        <w:t xml:space="preserve">Clean Energy Regulator Act 2011 </w:t>
      </w:r>
      <w:r>
        <w:t xml:space="preserve">and the </w:t>
      </w:r>
      <w:r>
        <w:rPr>
          <w:i/>
        </w:rPr>
        <w:t>Privacy Act 1988</w:t>
      </w:r>
      <w:r>
        <w:t>.</w:t>
      </w:r>
    </w:p>
    <w:p w14:paraId="4D349EAA" w14:textId="77777777" w:rsidR="004D176A" w:rsidRDefault="004D176A" w:rsidP="004D176A">
      <w:pPr>
        <w:pStyle w:val="Heading4"/>
        <w:spacing w:after="240"/>
        <w:rPr>
          <w:szCs w:val="24"/>
        </w:rPr>
      </w:pPr>
      <w:r>
        <w:rPr>
          <w:szCs w:val="24"/>
        </w:rPr>
        <w:t>Conclusion</w:t>
      </w:r>
    </w:p>
    <w:p w14:paraId="76B7C4AF" w14:textId="77777777" w:rsidR="00AC5531" w:rsidRDefault="004D176A">
      <w:pPr>
        <w:spacing w:before="0" w:after="0"/>
        <w:rPr>
          <w:szCs w:val="24"/>
        </w:rPr>
      </w:pPr>
      <w:r>
        <w:rPr>
          <w:szCs w:val="24"/>
        </w:rPr>
        <w:t xml:space="preserve">This </w:t>
      </w:r>
      <w:r w:rsidR="00F26B84">
        <w:rPr>
          <w:szCs w:val="24"/>
        </w:rPr>
        <w:t xml:space="preserve">Disallowable </w:t>
      </w:r>
      <w:r>
        <w:rPr>
          <w:szCs w:val="24"/>
        </w:rPr>
        <w:t>Legislative Instrument is compatible with human rights as the limitation on protection of privacy is reasonable, necessary and proportionate, and is compatibl</w:t>
      </w:r>
      <w:r w:rsidR="00702664">
        <w:rPr>
          <w:szCs w:val="24"/>
        </w:rPr>
        <w:t>e with human rights principles.</w:t>
      </w:r>
    </w:p>
    <w:sectPr w:rsidR="00AC5531" w:rsidSect="00342B03">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D9EC93" w14:textId="77777777" w:rsidR="00C9130D" w:rsidRDefault="00C9130D" w:rsidP="00CF785C">
      <w:pPr>
        <w:spacing w:before="0" w:after="0"/>
      </w:pPr>
      <w:r>
        <w:separator/>
      </w:r>
    </w:p>
  </w:endnote>
  <w:endnote w:type="continuationSeparator" w:id="0">
    <w:p w14:paraId="01A917D3" w14:textId="77777777" w:rsidR="00C9130D" w:rsidRDefault="00C9130D" w:rsidP="00CF785C">
      <w:pPr>
        <w:spacing w:before="0" w:after="0"/>
      </w:pPr>
      <w:r>
        <w:continuationSeparator/>
      </w:r>
    </w:p>
  </w:endnote>
  <w:endnote w:type="continuationNotice" w:id="1">
    <w:p w14:paraId="5B12BCCA" w14:textId="77777777" w:rsidR="00C9130D" w:rsidRDefault="00C9130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8CF626" w14:textId="77777777" w:rsidR="00BC15C5" w:rsidRDefault="00BC15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928613"/>
      <w:docPartObj>
        <w:docPartGallery w:val="Page Numbers (Bottom of Page)"/>
        <w:docPartUnique/>
      </w:docPartObj>
    </w:sdtPr>
    <w:sdtEndPr>
      <w:rPr>
        <w:noProof/>
      </w:rPr>
    </w:sdtEndPr>
    <w:sdtContent>
      <w:p w14:paraId="67A8F40D" w14:textId="4DD83302" w:rsidR="003706F5" w:rsidRDefault="003706F5">
        <w:pPr>
          <w:pStyle w:val="Footer"/>
          <w:jc w:val="right"/>
        </w:pPr>
        <w:r>
          <w:fldChar w:fldCharType="begin"/>
        </w:r>
        <w:r>
          <w:instrText xml:space="preserve"> PAGE   \* MERGEFORMAT </w:instrText>
        </w:r>
        <w:r>
          <w:fldChar w:fldCharType="separate"/>
        </w:r>
        <w:r w:rsidR="00BC15C5">
          <w:rPr>
            <w:noProof/>
          </w:rPr>
          <w:t>2</w:t>
        </w:r>
        <w:r>
          <w:rPr>
            <w:noProof/>
          </w:rPr>
          <w:fldChar w:fldCharType="end"/>
        </w:r>
      </w:p>
    </w:sdtContent>
  </w:sdt>
  <w:p w14:paraId="1CC76613" w14:textId="77777777" w:rsidR="003706F5" w:rsidRDefault="003706F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3ED349" w14:textId="77777777" w:rsidR="00BC15C5" w:rsidRDefault="00BC15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B3AD15" w14:textId="77777777" w:rsidR="00C9130D" w:rsidRDefault="00C9130D" w:rsidP="00CF785C">
      <w:pPr>
        <w:spacing w:before="0" w:after="0"/>
      </w:pPr>
      <w:r>
        <w:separator/>
      </w:r>
    </w:p>
  </w:footnote>
  <w:footnote w:type="continuationSeparator" w:id="0">
    <w:p w14:paraId="54B8F58B" w14:textId="77777777" w:rsidR="00C9130D" w:rsidRDefault="00C9130D" w:rsidP="00CF785C">
      <w:pPr>
        <w:spacing w:before="0" w:after="0"/>
      </w:pPr>
      <w:r>
        <w:continuationSeparator/>
      </w:r>
    </w:p>
  </w:footnote>
  <w:footnote w:type="continuationNotice" w:id="1">
    <w:p w14:paraId="5545D0C4" w14:textId="77777777" w:rsidR="00C9130D" w:rsidRDefault="00C9130D">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710A57" w14:textId="77777777" w:rsidR="00BC15C5" w:rsidRDefault="00BC15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54157" w14:textId="77777777" w:rsidR="00BC15C5" w:rsidRDefault="00BC15C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3D864" w14:textId="77777777" w:rsidR="00BC15C5" w:rsidRDefault="00BC15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02AD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34560BF"/>
    <w:multiLevelType w:val="hybridMultilevel"/>
    <w:tmpl w:val="8624AC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024B39"/>
    <w:multiLevelType w:val="hybridMultilevel"/>
    <w:tmpl w:val="2520AEB8"/>
    <w:lvl w:ilvl="0" w:tplc="0E5C53A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4" w15:restartNumberingAfterBreak="0">
    <w:nsid w:val="2C7E09AD"/>
    <w:multiLevelType w:val="hybridMultilevel"/>
    <w:tmpl w:val="A6F6DD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DDE493D"/>
    <w:multiLevelType w:val="multilevel"/>
    <w:tmpl w:val="F10C0AE8"/>
    <w:lvl w:ilvl="0">
      <w:start w:val="1"/>
      <w:numFmt w:val="bullet"/>
      <w:lvlText w:val="•"/>
      <w:lvlJc w:val="left"/>
      <w:pPr>
        <w:tabs>
          <w:tab w:val="num" w:pos="1134"/>
        </w:tabs>
        <w:ind w:left="1134" w:hanging="567"/>
      </w:pPr>
      <w:rPr>
        <w:rFonts w:ascii="Times New Roman" w:hAnsi="Times New Roman" w:cs="Times New Roman"/>
      </w:rPr>
    </w:lvl>
    <w:lvl w:ilvl="1">
      <w:start w:val="1"/>
      <w:numFmt w:val="bullet"/>
      <w:lvlText w:val="–"/>
      <w:lvlJc w:val="left"/>
      <w:pPr>
        <w:tabs>
          <w:tab w:val="num" w:pos="1701"/>
        </w:tabs>
        <w:ind w:left="1701" w:hanging="567"/>
      </w:pPr>
      <w:rPr>
        <w:rFonts w:ascii="Times New Roman" w:hAnsi="Times New Roman" w:cs="Times New Roman"/>
      </w:rPr>
    </w:lvl>
    <w:lvl w:ilvl="2">
      <w:start w:val="1"/>
      <w:numFmt w:val="bullet"/>
      <w:lvlText w:val=":"/>
      <w:lvlJc w:val="left"/>
      <w:pPr>
        <w:tabs>
          <w:tab w:val="num" w:pos="2268"/>
        </w:tabs>
        <w:ind w:left="2268" w:hanging="567"/>
      </w:pPr>
      <w:rPr>
        <w:rFonts w:ascii="Times New Roman" w:hAnsi="Times New Roman" w:cs="Times New Roman"/>
      </w:rPr>
    </w:lvl>
    <w:lvl w:ilvl="3">
      <w:start w:val="1"/>
      <w:numFmt w:val="decimal"/>
      <w:lvlText w:val="(%4)"/>
      <w:lvlJc w:val="left"/>
      <w:pPr>
        <w:ind w:left="2727" w:hanging="360"/>
      </w:pPr>
    </w:lvl>
    <w:lvl w:ilvl="4">
      <w:start w:val="1"/>
      <w:numFmt w:val="lowerLetter"/>
      <w:lvlText w:val="(%5)"/>
      <w:lvlJc w:val="left"/>
      <w:pPr>
        <w:ind w:left="3087" w:hanging="360"/>
      </w:pPr>
    </w:lvl>
    <w:lvl w:ilvl="5">
      <w:start w:val="1"/>
      <w:numFmt w:val="lowerRoman"/>
      <w:lvlText w:val="(%6)"/>
      <w:lvlJc w:val="left"/>
      <w:pPr>
        <w:ind w:left="3447" w:hanging="360"/>
      </w:pPr>
    </w:lvl>
    <w:lvl w:ilvl="6">
      <w:start w:val="1"/>
      <w:numFmt w:val="decimal"/>
      <w:lvlText w:val="%7."/>
      <w:lvlJc w:val="left"/>
      <w:pPr>
        <w:ind w:left="3807" w:hanging="360"/>
      </w:pPr>
    </w:lvl>
    <w:lvl w:ilvl="7">
      <w:start w:val="1"/>
      <w:numFmt w:val="lowerLetter"/>
      <w:lvlText w:val="%8."/>
      <w:lvlJc w:val="left"/>
      <w:pPr>
        <w:ind w:left="4167" w:hanging="360"/>
      </w:pPr>
    </w:lvl>
    <w:lvl w:ilvl="8">
      <w:start w:val="1"/>
      <w:numFmt w:val="lowerRoman"/>
      <w:lvlText w:val="%9."/>
      <w:lvlJc w:val="left"/>
      <w:pPr>
        <w:ind w:left="4527" w:hanging="360"/>
      </w:pPr>
    </w:lvl>
  </w:abstractNum>
  <w:abstractNum w:abstractNumId="6" w15:restartNumberingAfterBreak="0">
    <w:nsid w:val="3201176A"/>
    <w:multiLevelType w:val="hybridMultilevel"/>
    <w:tmpl w:val="028854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14D5EDB"/>
    <w:multiLevelType w:val="multilevel"/>
    <w:tmpl w:val="96F81664"/>
    <w:lvl w:ilvl="0">
      <w:start w:val="1"/>
      <w:numFmt w:val="bullet"/>
      <w:lvlText w:val=""/>
      <w:lvlJc w:val="left"/>
      <w:pPr>
        <w:tabs>
          <w:tab w:val="num" w:pos="1040"/>
        </w:tabs>
        <w:ind w:left="1040" w:hanging="520"/>
      </w:pPr>
      <w:rPr>
        <w:rFonts w:ascii="Symbol" w:hAnsi="Symbol" w:hint="default"/>
      </w:rPr>
    </w:lvl>
    <w:lvl w:ilvl="1">
      <w:start w:val="1"/>
      <w:numFmt w:val="bullet"/>
      <w:lvlText w:val="–"/>
      <w:lvlJc w:val="left"/>
      <w:pPr>
        <w:tabs>
          <w:tab w:val="num" w:pos="1560"/>
        </w:tabs>
        <w:ind w:left="1560" w:hanging="520"/>
      </w:pPr>
      <w:rPr>
        <w:rFonts w:ascii="Times New Roman" w:hAnsi="Times New Roman" w:cs="Times New Roman"/>
      </w:rPr>
    </w:lvl>
    <w:lvl w:ilvl="2">
      <w:start w:val="1"/>
      <w:numFmt w:val="bullet"/>
      <w:lvlText w:val=":"/>
      <w:lvlJc w:val="left"/>
      <w:pPr>
        <w:tabs>
          <w:tab w:val="num" w:pos="2080"/>
        </w:tabs>
        <w:ind w:left="2080" w:hanging="520"/>
      </w:pPr>
      <w:rPr>
        <w:rFonts w:ascii="Times New Roman" w:hAnsi="Times New Roman" w:cs="Times New Roman"/>
      </w:rPr>
    </w:lvl>
    <w:lvl w:ilvl="3">
      <w:start w:val="1"/>
      <w:numFmt w:val="decimal"/>
      <w:lvlText w:val="(%4)"/>
      <w:lvlJc w:val="left"/>
      <w:pPr>
        <w:ind w:left="1960" w:hanging="360"/>
      </w:pPr>
    </w:lvl>
    <w:lvl w:ilvl="4">
      <w:start w:val="1"/>
      <w:numFmt w:val="lowerLetter"/>
      <w:lvlText w:val="(%5)"/>
      <w:lvlJc w:val="left"/>
      <w:pPr>
        <w:ind w:left="2320" w:hanging="360"/>
      </w:pPr>
    </w:lvl>
    <w:lvl w:ilvl="5">
      <w:start w:val="1"/>
      <w:numFmt w:val="lowerRoman"/>
      <w:lvlText w:val="(%6)"/>
      <w:lvlJc w:val="left"/>
      <w:pPr>
        <w:ind w:left="2680" w:hanging="360"/>
      </w:pPr>
    </w:lvl>
    <w:lvl w:ilvl="6">
      <w:start w:val="1"/>
      <w:numFmt w:val="decimal"/>
      <w:lvlText w:val="%7."/>
      <w:lvlJc w:val="left"/>
      <w:pPr>
        <w:ind w:left="3040" w:hanging="360"/>
      </w:pPr>
    </w:lvl>
    <w:lvl w:ilvl="7">
      <w:start w:val="1"/>
      <w:numFmt w:val="lowerLetter"/>
      <w:lvlText w:val="%8."/>
      <w:lvlJc w:val="left"/>
      <w:pPr>
        <w:ind w:left="3400" w:hanging="360"/>
      </w:pPr>
    </w:lvl>
    <w:lvl w:ilvl="8">
      <w:start w:val="1"/>
      <w:numFmt w:val="lowerRoman"/>
      <w:lvlText w:val="%9."/>
      <w:lvlJc w:val="left"/>
      <w:pPr>
        <w:ind w:left="3760" w:hanging="360"/>
      </w:pPr>
    </w:lvl>
  </w:abstractNum>
  <w:abstractNum w:abstractNumId="8" w15:restartNumberingAfterBreak="0">
    <w:nsid w:val="67A43C0B"/>
    <w:multiLevelType w:val="multilevel"/>
    <w:tmpl w:val="A8C03F7C"/>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FB83A06"/>
    <w:multiLevelType w:val="multilevel"/>
    <w:tmpl w:val="2026ADE8"/>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77B81102"/>
    <w:multiLevelType w:val="multilevel"/>
    <w:tmpl w:val="ECB21298"/>
    <w:lvl w:ilvl="0">
      <w:start w:val="1"/>
      <w:numFmt w:val="bullet"/>
      <w:lvlText w:val="•"/>
      <w:lvlJc w:val="left"/>
      <w:pPr>
        <w:tabs>
          <w:tab w:val="num" w:pos="1086"/>
        </w:tabs>
        <w:ind w:left="1086" w:hanging="543"/>
      </w:pPr>
      <w:rPr>
        <w:rFonts w:ascii="Times New Roman" w:hAnsi="Times New Roman" w:cs="Times New Roman"/>
        <w:sz w:val="24"/>
        <w:szCs w:val="24"/>
      </w:rPr>
    </w:lvl>
    <w:lvl w:ilvl="1">
      <w:start w:val="1"/>
      <w:numFmt w:val="bullet"/>
      <w:lvlText w:val="–"/>
      <w:lvlJc w:val="left"/>
      <w:pPr>
        <w:tabs>
          <w:tab w:val="num" w:pos="1558"/>
        </w:tabs>
        <w:ind w:left="1558" w:hanging="472"/>
      </w:pPr>
      <w:rPr>
        <w:rFonts w:ascii="Times New Roman" w:hAnsi="Times New Roman" w:cs="Times New Roman"/>
      </w:rPr>
    </w:lvl>
    <w:lvl w:ilvl="2">
      <w:start w:val="1"/>
      <w:numFmt w:val="bullet"/>
      <w:lvlText w:val=":"/>
      <w:lvlJc w:val="left"/>
      <w:pPr>
        <w:tabs>
          <w:tab w:val="num" w:pos="2030"/>
        </w:tabs>
        <w:ind w:left="2030" w:hanging="472"/>
      </w:pPr>
      <w:rPr>
        <w:rFonts w:ascii="Times New Roman" w:hAnsi="Times New Roman" w:cs="Times New Roman"/>
      </w:rPr>
    </w:lvl>
    <w:lvl w:ilvl="3">
      <w:start w:val="1"/>
      <w:numFmt w:val="decimal"/>
      <w:lvlText w:val="(%4)"/>
      <w:lvlJc w:val="left"/>
      <w:pPr>
        <w:ind w:left="4332" w:hanging="360"/>
      </w:pPr>
    </w:lvl>
    <w:lvl w:ilvl="4">
      <w:start w:val="1"/>
      <w:numFmt w:val="lowerLetter"/>
      <w:lvlText w:val="(%5)"/>
      <w:lvlJc w:val="left"/>
      <w:pPr>
        <w:ind w:left="4692" w:hanging="360"/>
      </w:pPr>
    </w:lvl>
    <w:lvl w:ilvl="5">
      <w:start w:val="1"/>
      <w:numFmt w:val="lowerRoman"/>
      <w:lvlText w:val="(%6)"/>
      <w:lvlJc w:val="left"/>
      <w:pPr>
        <w:ind w:left="5052" w:hanging="360"/>
      </w:pPr>
    </w:lvl>
    <w:lvl w:ilvl="6">
      <w:start w:val="1"/>
      <w:numFmt w:val="decimal"/>
      <w:lvlText w:val="%7."/>
      <w:lvlJc w:val="left"/>
      <w:pPr>
        <w:ind w:left="5412" w:hanging="360"/>
      </w:pPr>
    </w:lvl>
    <w:lvl w:ilvl="7">
      <w:start w:val="1"/>
      <w:numFmt w:val="lowerLetter"/>
      <w:lvlText w:val="%8."/>
      <w:lvlJc w:val="left"/>
      <w:pPr>
        <w:ind w:left="5772" w:hanging="360"/>
      </w:pPr>
    </w:lvl>
    <w:lvl w:ilvl="8">
      <w:start w:val="1"/>
      <w:numFmt w:val="lowerRoman"/>
      <w:lvlText w:val="%9."/>
      <w:lvlJc w:val="left"/>
      <w:pPr>
        <w:ind w:left="6132" w:hanging="360"/>
      </w:pPr>
    </w:lvl>
  </w:abstractNum>
  <w:abstractNum w:abstractNumId="11" w15:restartNumberingAfterBreak="0">
    <w:nsid w:val="7EFB30C0"/>
    <w:multiLevelType w:val="hybridMultilevel"/>
    <w:tmpl w:val="BC9C64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8"/>
  </w:num>
  <w:num w:numId="3">
    <w:abstractNumId w:val="9"/>
  </w:num>
  <w:num w:numId="4">
    <w:abstractNumId w:val="10"/>
  </w:num>
  <w:num w:numId="5">
    <w:abstractNumId w:val="7"/>
  </w:num>
  <w:num w:numId="6">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
  </w:num>
  <w:num w:numId="10">
    <w:abstractNumId w:val="0"/>
  </w:num>
  <w:num w:numId="11">
    <w:abstractNumId w:val="0"/>
  </w:num>
  <w:num w:numId="12">
    <w:abstractNumId w:val="8"/>
  </w:num>
  <w:num w:numId="13">
    <w:abstractNumId w:val="8"/>
  </w:num>
  <w:num w:numId="14">
    <w:abstractNumId w:val="8"/>
  </w:num>
  <w:num w:numId="15">
    <w:abstractNumId w:val="8"/>
  </w:num>
  <w:num w:numId="16">
    <w:abstractNumId w:val="8"/>
  </w:num>
  <w:num w:numId="17">
    <w:abstractNumId w:val="8"/>
  </w:num>
  <w:num w:numId="18">
    <w:abstractNumId w:val="8"/>
  </w:num>
  <w:num w:numId="19">
    <w:abstractNumId w:val="0"/>
  </w:num>
  <w:num w:numId="20">
    <w:abstractNumId w:val="8"/>
  </w:num>
  <w:num w:numId="21">
    <w:abstractNumId w:val="8"/>
  </w:num>
  <w:num w:numId="22">
    <w:abstractNumId w:val="8"/>
  </w:num>
  <w:num w:numId="23">
    <w:abstractNumId w:val="8"/>
  </w:num>
  <w:num w:numId="24">
    <w:abstractNumId w:val="8"/>
  </w:num>
  <w:num w:numId="25">
    <w:abstractNumId w:val="1"/>
  </w:num>
  <w:num w:numId="26">
    <w:abstractNumId w:val="11"/>
  </w:num>
  <w:num w:numId="27">
    <w:abstractNumId w:val="6"/>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embedSystemFonts/>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3E9"/>
    <w:rsid w:val="00001661"/>
    <w:rsid w:val="00005F55"/>
    <w:rsid w:val="00010ED3"/>
    <w:rsid w:val="00011BE2"/>
    <w:rsid w:val="00012FFD"/>
    <w:rsid w:val="00013E3A"/>
    <w:rsid w:val="000154D0"/>
    <w:rsid w:val="00016AB4"/>
    <w:rsid w:val="00016EA2"/>
    <w:rsid w:val="00016FC3"/>
    <w:rsid w:val="000212FB"/>
    <w:rsid w:val="00022A12"/>
    <w:rsid w:val="000243BF"/>
    <w:rsid w:val="000250CB"/>
    <w:rsid w:val="000263D6"/>
    <w:rsid w:val="00026576"/>
    <w:rsid w:val="00026BD0"/>
    <w:rsid w:val="00027420"/>
    <w:rsid w:val="00027846"/>
    <w:rsid w:val="000302B9"/>
    <w:rsid w:val="0003038D"/>
    <w:rsid w:val="00030CCB"/>
    <w:rsid w:val="0003196C"/>
    <w:rsid w:val="000321BA"/>
    <w:rsid w:val="00035B94"/>
    <w:rsid w:val="000372F4"/>
    <w:rsid w:val="00040CEC"/>
    <w:rsid w:val="00042357"/>
    <w:rsid w:val="0004434C"/>
    <w:rsid w:val="00046C9F"/>
    <w:rsid w:val="00047613"/>
    <w:rsid w:val="00052038"/>
    <w:rsid w:val="00055A6B"/>
    <w:rsid w:val="000562DA"/>
    <w:rsid w:val="00056C8F"/>
    <w:rsid w:val="00057627"/>
    <w:rsid w:val="00061DF4"/>
    <w:rsid w:val="00062FFE"/>
    <w:rsid w:val="00064084"/>
    <w:rsid w:val="000665DB"/>
    <w:rsid w:val="000667CB"/>
    <w:rsid w:val="00067443"/>
    <w:rsid w:val="00070C06"/>
    <w:rsid w:val="00070C3D"/>
    <w:rsid w:val="00074927"/>
    <w:rsid w:val="00075C2D"/>
    <w:rsid w:val="00082011"/>
    <w:rsid w:val="0008224C"/>
    <w:rsid w:val="000832D0"/>
    <w:rsid w:val="000858FA"/>
    <w:rsid w:val="00086ADC"/>
    <w:rsid w:val="00086E9A"/>
    <w:rsid w:val="000879AF"/>
    <w:rsid w:val="00087A55"/>
    <w:rsid w:val="00095211"/>
    <w:rsid w:val="000965CB"/>
    <w:rsid w:val="00096DF9"/>
    <w:rsid w:val="00097F6B"/>
    <w:rsid w:val="000A2491"/>
    <w:rsid w:val="000A2BAF"/>
    <w:rsid w:val="000A2C46"/>
    <w:rsid w:val="000A34B4"/>
    <w:rsid w:val="000A5077"/>
    <w:rsid w:val="000A5473"/>
    <w:rsid w:val="000A7375"/>
    <w:rsid w:val="000B0950"/>
    <w:rsid w:val="000B0B40"/>
    <w:rsid w:val="000B0E9E"/>
    <w:rsid w:val="000B1F03"/>
    <w:rsid w:val="000B2694"/>
    <w:rsid w:val="000B6310"/>
    <w:rsid w:val="000B6571"/>
    <w:rsid w:val="000B696B"/>
    <w:rsid w:val="000B791F"/>
    <w:rsid w:val="000C10DF"/>
    <w:rsid w:val="000C2667"/>
    <w:rsid w:val="000C349C"/>
    <w:rsid w:val="000C464A"/>
    <w:rsid w:val="000C6F1A"/>
    <w:rsid w:val="000D1E68"/>
    <w:rsid w:val="000D27C0"/>
    <w:rsid w:val="000D37F3"/>
    <w:rsid w:val="000D45D5"/>
    <w:rsid w:val="000D640B"/>
    <w:rsid w:val="000F0BED"/>
    <w:rsid w:val="000F0ECC"/>
    <w:rsid w:val="000F26C9"/>
    <w:rsid w:val="000F2873"/>
    <w:rsid w:val="000F2D8C"/>
    <w:rsid w:val="000F47F6"/>
    <w:rsid w:val="000F618F"/>
    <w:rsid w:val="000F636A"/>
    <w:rsid w:val="000F6ACE"/>
    <w:rsid w:val="0010030C"/>
    <w:rsid w:val="00101812"/>
    <w:rsid w:val="001037D5"/>
    <w:rsid w:val="00103F1E"/>
    <w:rsid w:val="00104230"/>
    <w:rsid w:val="0010738D"/>
    <w:rsid w:val="00111F32"/>
    <w:rsid w:val="00112387"/>
    <w:rsid w:val="00112888"/>
    <w:rsid w:val="00113B45"/>
    <w:rsid w:val="0011475B"/>
    <w:rsid w:val="001149E0"/>
    <w:rsid w:val="00114F70"/>
    <w:rsid w:val="001154C7"/>
    <w:rsid w:val="00117066"/>
    <w:rsid w:val="00117213"/>
    <w:rsid w:val="00117891"/>
    <w:rsid w:val="00117DBA"/>
    <w:rsid w:val="001202E0"/>
    <w:rsid w:val="00120B5C"/>
    <w:rsid w:val="001218DE"/>
    <w:rsid w:val="0012235E"/>
    <w:rsid w:val="00123D51"/>
    <w:rsid w:val="001268C6"/>
    <w:rsid w:val="00130C93"/>
    <w:rsid w:val="00131714"/>
    <w:rsid w:val="001318AC"/>
    <w:rsid w:val="0013786F"/>
    <w:rsid w:val="00137EF6"/>
    <w:rsid w:val="00140A21"/>
    <w:rsid w:val="00143287"/>
    <w:rsid w:val="0014344B"/>
    <w:rsid w:val="0014688B"/>
    <w:rsid w:val="00147F5F"/>
    <w:rsid w:val="001500D9"/>
    <w:rsid w:val="00154215"/>
    <w:rsid w:val="00157B19"/>
    <w:rsid w:val="00160725"/>
    <w:rsid w:val="001623AD"/>
    <w:rsid w:val="001716D8"/>
    <w:rsid w:val="001735A1"/>
    <w:rsid w:val="00175EF5"/>
    <w:rsid w:val="00176A1C"/>
    <w:rsid w:val="001807C7"/>
    <w:rsid w:val="001807E5"/>
    <w:rsid w:val="001826FD"/>
    <w:rsid w:val="00184B1C"/>
    <w:rsid w:val="00185207"/>
    <w:rsid w:val="001855A0"/>
    <w:rsid w:val="00185DAB"/>
    <w:rsid w:val="001866AE"/>
    <w:rsid w:val="00187130"/>
    <w:rsid w:val="00191E55"/>
    <w:rsid w:val="001927FF"/>
    <w:rsid w:val="00193F22"/>
    <w:rsid w:val="0019416B"/>
    <w:rsid w:val="001955F8"/>
    <w:rsid w:val="0019583B"/>
    <w:rsid w:val="00196ABF"/>
    <w:rsid w:val="0019788A"/>
    <w:rsid w:val="001A0106"/>
    <w:rsid w:val="001A0EF2"/>
    <w:rsid w:val="001A1C60"/>
    <w:rsid w:val="001A2194"/>
    <w:rsid w:val="001A31C5"/>
    <w:rsid w:val="001A3A58"/>
    <w:rsid w:val="001A64D9"/>
    <w:rsid w:val="001A6C0C"/>
    <w:rsid w:val="001B0EC8"/>
    <w:rsid w:val="001B1332"/>
    <w:rsid w:val="001B64F7"/>
    <w:rsid w:val="001B65D8"/>
    <w:rsid w:val="001C1E11"/>
    <w:rsid w:val="001C2159"/>
    <w:rsid w:val="001C32DA"/>
    <w:rsid w:val="001C399E"/>
    <w:rsid w:val="001C54F0"/>
    <w:rsid w:val="001C6A81"/>
    <w:rsid w:val="001D2A02"/>
    <w:rsid w:val="001D6ED0"/>
    <w:rsid w:val="001D7CEE"/>
    <w:rsid w:val="001E4E0B"/>
    <w:rsid w:val="001E510E"/>
    <w:rsid w:val="001E5B50"/>
    <w:rsid w:val="001E6A74"/>
    <w:rsid w:val="001E765C"/>
    <w:rsid w:val="001E772E"/>
    <w:rsid w:val="001F0026"/>
    <w:rsid w:val="001F1215"/>
    <w:rsid w:val="001F1C48"/>
    <w:rsid w:val="001F41D0"/>
    <w:rsid w:val="001F5A3D"/>
    <w:rsid w:val="001F6752"/>
    <w:rsid w:val="00201FFF"/>
    <w:rsid w:val="00205AB9"/>
    <w:rsid w:val="002069C7"/>
    <w:rsid w:val="00210F96"/>
    <w:rsid w:val="00211259"/>
    <w:rsid w:val="00211DB4"/>
    <w:rsid w:val="00212CEF"/>
    <w:rsid w:val="0021388D"/>
    <w:rsid w:val="002143AB"/>
    <w:rsid w:val="002154D3"/>
    <w:rsid w:val="0021614B"/>
    <w:rsid w:val="002177CD"/>
    <w:rsid w:val="00217897"/>
    <w:rsid w:val="00220F16"/>
    <w:rsid w:val="00221281"/>
    <w:rsid w:val="00221988"/>
    <w:rsid w:val="00223642"/>
    <w:rsid w:val="00224554"/>
    <w:rsid w:val="002250CC"/>
    <w:rsid w:val="00226D26"/>
    <w:rsid w:val="0023138A"/>
    <w:rsid w:val="00232591"/>
    <w:rsid w:val="0023283C"/>
    <w:rsid w:val="00236E66"/>
    <w:rsid w:val="00236F04"/>
    <w:rsid w:val="00237DBC"/>
    <w:rsid w:val="002403F3"/>
    <w:rsid w:val="00241264"/>
    <w:rsid w:val="002415FC"/>
    <w:rsid w:val="0024239E"/>
    <w:rsid w:val="002457E5"/>
    <w:rsid w:val="0024774F"/>
    <w:rsid w:val="0025112C"/>
    <w:rsid w:val="00252815"/>
    <w:rsid w:val="00254C5B"/>
    <w:rsid w:val="00257FE6"/>
    <w:rsid w:val="00260C11"/>
    <w:rsid w:val="00262EB1"/>
    <w:rsid w:val="00262ECB"/>
    <w:rsid w:val="0026628B"/>
    <w:rsid w:val="00266811"/>
    <w:rsid w:val="002668FC"/>
    <w:rsid w:val="00271380"/>
    <w:rsid w:val="00273465"/>
    <w:rsid w:val="00273892"/>
    <w:rsid w:val="002805A4"/>
    <w:rsid w:val="00281840"/>
    <w:rsid w:val="00284867"/>
    <w:rsid w:val="002868CE"/>
    <w:rsid w:val="00286C5B"/>
    <w:rsid w:val="00286D32"/>
    <w:rsid w:val="002912FC"/>
    <w:rsid w:val="00291E75"/>
    <w:rsid w:val="00291ECB"/>
    <w:rsid w:val="0029209D"/>
    <w:rsid w:val="00292712"/>
    <w:rsid w:val="002950B6"/>
    <w:rsid w:val="00295270"/>
    <w:rsid w:val="00295958"/>
    <w:rsid w:val="00295B17"/>
    <w:rsid w:val="002967CB"/>
    <w:rsid w:val="002A2063"/>
    <w:rsid w:val="002A309E"/>
    <w:rsid w:val="002A3988"/>
    <w:rsid w:val="002A3B00"/>
    <w:rsid w:val="002A44E0"/>
    <w:rsid w:val="002A562F"/>
    <w:rsid w:val="002A58C7"/>
    <w:rsid w:val="002B1A4C"/>
    <w:rsid w:val="002B2608"/>
    <w:rsid w:val="002B2DD7"/>
    <w:rsid w:val="002B42DD"/>
    <w:rsid w:val="002B6A65"/>
    <w:rsid w:val="002B764F"/>
    <w:rsid w:val="002C12DE"/>
    <w:rsid w:val="002C1916"/>
    <w:rsid w:val="002C3183"/>
    <w:rsid w:val="002C695A"/>
    <w:rsid w:val="002D0C0C"/>
    <w:rsid w:val="002D2E26"/>
    <w:rsid w:val="002E0BB9"/>
    <w:rsid w:val="002E18B4"/>
    <w:rsid w:val="002E335E"/>
    <w:rsid w:val="002E53A7"/>
    <w:rsid w:val="002E58F3"/>
    <w:rsid w:val="002E63F8"/>
    <w:rsid w:val="002E6570"/>
    <w:rsid w:val="002E7BE7"/>
    <w:rsid w:val="002F175E"/>
    <w:rsid w:val="002F24FC"/>
    <w:rsid w:val="002F25C9"/>
    <w:rsid w:val="002F2816"/>
    <w:rsid w:val="002F58BF"/>
    <w:rsid w:val="002F7DEB"/>
    <w:rsid w:val="00300396"/>
    <w:rsid w:val="00301E34"/>
    <w:rsid w:val="003025BA"/>
    <w:rsid w:val="0031132E"/>
    <w:rsid w:val="00312D98"/>
    <w:rsid w:val="00325864"/>
    <w:rsid w:val="00326FD4"/>
    <w:rsid w:val="00331DB4"/>
    <w:rsid w:val="00331F89"/>
    <w:rsid w:val="003342CD"/>
    <w:rsid w:val="00335042"/>
    <w:rsid w:val="00337C3A"/>
    <w:rsid w:val="0034011A"/>
    <w:rsid w:val="00342492"/>
    <w:rsid w:val="00342B03"/>
    <w:rsid w:val="00343673"/>
    <w:rsid w:val="00343B96"/>
    <w:rsid w:val="003440EB"/>
    <w:rsid w:val="00346F24"/>
    <w:rsid w:val="00350833"/>
    <w:rsid w:val="003515C5"/>
    <w:rsid w:val="00352DFD"/>
    <w:rsid w:val="003534EF"/>
    <w:rsid w:val="00353530"/>
    <w:rsid w:val="0035409D"/>
    <w:rsid w:val="00354478"/>
    <w:rsid w:val="0035469B"/>
    <w:rsid w:val="0035681A"/>
    <w:rsid w:val="00356B48"/>
    <w:rsid w:val="00356E31"/>
    <w:rsid w:val="003579FD"/>
    <w:rsid w:val="0036170D"/>
    <w:rsid w:val="00361912"/>
    <w:rsid w:val="0036570A"/>
    <w:rsid w:val="003670B8"/>
    <w:rsid w:val="003676D5"/>
    <w:rsid w:val="003678A8"/>
    <w:rsid w:val="0036799A"/>
    <w:rsid w:val="003706F5"/>
    <w:rsid w:val="00370929"/>
    <w:rsid w:val="00372800"/>
    <w:rsid w:val="00375618"/>
    <w:rsid w:val="00377BEE"/>
    <w:rsid w:val="003805B6"/>
    <w:rsid w:val="003833E9"/>
    <w:rsid w:val="00385170"/>
    <w:rsid w:val="003855E0"/>
    <w:rsid w:val="00386E5D"/>
    <w:rsid w:val="00386F76"/>
    <w:rsid w:val="003919A0"/>
    <w:rsid w:val="00392BBA"/>
    <w:rsid w:val="00393EEB"/>
    <w:rsid w:val="00394700"/>
    <w:rsid w:val="00397036"/>
    <w:rsid w:val="0039795F"/>
    <w:rsid w:val="00397B8E"/>
    <w:rsid w:val="003A2330"/>
    <w:rsid w:val="003A5DE0"/>
    <w:rsid w:val="003A612B"/>
    <w:rsid w:val="003A6329"/>
    <w:rsid w:val="003B409B"/>
    <w:rsid w:val="003B5B37"/>
    <w:rsid w:val="003B6048"/>
    <w:rsid w:val="003B7A0A"/>
    <w:rsid w:val="003C3846"/>
    <w:rsid w:val="003C3D01"/>
    <w:rsid w:val="003C456B"/>
    <w:rsid w:val="003C5C6B"/>
    <w:rsid w:val="003C70C7"/>
    <w:rsid w:val="003D039F"/>
    <w:rsid w:val="003D0A33"/>
    <w:rsid w:val="003D1F05"/>
    <w:rsid w:val="003E090D"/>
    <w:rsid w:val="003E1888"/>
    <w:rsid w:val="003E1CCD"/>
    <w:rsid w:val="003E26B2"/>
    <w:rsid w:val="003E285E"/>
    <w:rsid w:val="003E3936"/>
    <w:rsid w:val="003E460C"/>
    <w:rsid w:val="003E527B"/>
    <w:rsid w:val="003E5E25"/>
    <w:rsid w:val="003E6A52"/>
    <w:rsid w:val="003E7563"/>
    <w:rsid w:val="003F414F"/>
    <w:rsid w:val="003F6649"/>
    <w:rsid w:val="004001DD"/>
    <w:rsid w:val="00401D67"/>
    <w:rsid w:val="00402605"/>
    <w:rsid w:val="004026D9"/>
    <w:rsid w:val="004028A4"/>
    <w:rsid w:val="00406042"/>
    <w:rsid w:val="00406895"/>
    <w:rsid w:val="0041437A"/>
    <w:rsid w:val="0041495E"/>
    <w:rsid w:val="004153C7"/>
    <w:rsid w:val="00415A00"/>
    <w:rsid w:val="00416A0F"/>
    <w:rsid w:val="00420244"/>
    <w:rsid w:val="00420346"/>
    <w:rsid w:val="0042499A"/>
    <w:rsid w:val="00431010"/>
    <w:rsid w:val="00432EF8"/>
    <w:rsid w:val="00434CF8"/>
    <w:rsid w:val="0043650C"/>
    <w:rsid w:val="004369A8"/>
    <w:rsid w:val="00443C1E"/>
    <w:rsid w:val="00446544"/>
    <w:rsid w:val="00447D0B"/>
    <w:rsid w:val="00450549"/>
    <w:rsid w:val="004554E9"/>
    <w:rsid w:val="004562A6"/>
    <w:rsid w:val="00460A9B"/>
    <w:rsid w:val="00460D26"/>
    <w:rsid w:val="004629E6"/>
    <w:rsid w:val="00466C47"/>
    <w:rsid w:val="00471D19"/>
    <w:rsid w:val="00471DAF"/>
    <w:rsid w:val="004727FF"/>
    <w:rsid w:val="00472EAB"/>
    <w:rsid w:val="004747AC"/>
    <w:rsid w:val="00475B2B"/>
    <w:rsid w:val="00476549"/>
    <w:rsid w:val="00476DF8"/>
    <w:rsid w:val="004845BF"/>
    <w:rsid w:val="00484D65"/>
    <w:rsid w:val="004876B0"/>
    <w:rsid w:val="00487B5B"/>
    <w:rsid w:val="00491AEA"/>
    <w:rsid w:val="0049209C"/>
    <w:rsid w:val="004926E5"/>
    <w:rsid w:val="00493374"/>
    <w:rsid w:val="00493990"/>
    <w:rsid w:val="00493B9D"/>
    <w:rsid w:val="0049430B"/>
    <w:rsid w:val="00496334"/>
    <w:rsid w:val="004A0370"/>
    <w:rsid w:val="004A051E"/>
    <w:rsid w:val="004A2617"/>
    <w:rsid w:val="004A2624"/>
    <w:rsid w:val="004A49EE"/>
    <w:rsid w:val="004A4D33"/>
    <w:rsid w:val="004B2249"/>
    <w:rsid w:val="004B3171"/>
    <w:rsid w:val="004B3FF5"/>
    <w:rsid w:val="004B5194"/>
    <w:rsid w:val="004B7388"/>
    <w:rsid w:val="004C3186"/>
    <w:rsid w:val="004C3DE6"/>
    <w:rsid w:val="004C3F85"/>
    <w:rsid w:val="004C6BED"/>
    <w:rsid w:val="004C78AD"/>
    <w:rsid w:val="004D176A"/>
    <w:rsid w:val="004D38C9"/>
    <w:rsid w:val="004D41FC"/>
    <w:rsid w:val="004D4467"/>
    <w:rsid w:val="004D5858"/>
    <w:rsid w:val="004D5CA8"/>
    <w:rsid w:val="004D6CE5"/>
    <w:rsid w:val="004D7AFE"/>
    <w:rsid w:val="004E0423"/>
    <w:rsid w:val="004E09E7"/>
    <w:rsid w:val="004E1833"/>
    <w:rsid w:val="004E19AC"/>
    <w:rsid w:val="004E2255"/>
    <w:rsid w:val="004E36B7"/>
    <w:rsid w:val="004E39E1"/>
    <w:rsid w:val="004E4FD3"/>
    <w:rsid w:val="004E65A0"/>
    <w:rsid w:val="004E6A9C"/>
    <w:rsid w:val="004E7915"/>
    <w:rsid w:val="004E7EDA"/>
    <w:rsid w:val="004F0195"/>
    <w:rsid w:val="004F7D72"/>
    <w:rsid w:val="00503E44"/>
    <w:rsid w:val="0050647C"/>
    <w:rsid w:val="00514A60"/>
    <w:rsid w:val="00515283"/>
    <w:rsid w:val="005221AB"/>
    <w:rsid w:val="00523768"/>
    <w:rsid w:val="00523CDE"/>
    <w:rsid w:val="00524916"/>
    <w:rsid w:val="00525756"/>
    <w:rsid w:val="00525AB0"/>
    <w:rsid w:val="005326EC"/>
    <w:rsid w:val="00534C53"/>
    <w:rsid w:val="005372EE"/>
    <w:rsid w:val="00540ACA"/>
    <w:rsid w:val="00543697"/>
    <w:rsid w:val="005443FB"/>
    <w:rsid w:val="00544811"/>
    <w:rsid w:val="00545293"/>
    <w:rsid w:val="005500D0"/>
    <w:rsid w:val="00554100"/>
    <w:rsid w:val="00554A15"/>
    <w:rsid w:val="0055675D"/>
    <w:rsid w:val="00562D29"/>
    <w:rsid w:val="00565C6D"/>
    <w:rsid w:val="005669F8"/>
    <w:rsid w:val="00566E17"/>
    <w:rsid w:val="00570080"/>
    <w:rsid w:val="00571A35"/>
    <w:rsid w:val="0057280E"/>
    <w:rsid w:val="0057281A"/>
    <w:rsid w:val="00575F59"/>
    <w:rsid w:val="005769F4"/>
    <w:rsid w:val="00576F9B"/>
    <w:rsid w:val="00582298"/>
    <w:rsid w:val="00582CB6"/>
    <w:rsid w:val="005833BE"/>
    <w:rsid w:val="005843E1"/>
    <w:rsid w:val="00584DAC"/>
    <w:rsid w:val="005908BD"/>
    <w:rsid w:val="00590EC7"/>
    <w:rsid w:val="00590EE5"/>
    <w:rsid w:val="00592403"/>
    <w:rsid w:val="00597552"/>
    <w:rsid w:val="00597CDB"/>
    <w:rsid w:val="005A05A8"/>
    <w:rsid w:val="005A09FB"/>
    <w:rsid w:val="005A1655"/>
    <w:rsid w:val="005A349F"/>
    <w:rsid w:val="005B17D1"/>
    <w:rsid w:val="005B18EF"/>
    <w:rsid w:val="005B3CA2"/>
    <w:rsid w:val="005B4365"/>
    <w:rsid w:val="005B5BF3"/>
    <w:rsid w:val="005C0D0D"/>
    <w:rsid w:val="005C10B9"/>
    <w:rsid w:val="005C1F2C"/>
    <w:rsid w:val="005C407C"/>
    <w:rsid w:val="005C62E5"/>
    <w:rsid w:val="005C7417"/>
    <w:rsid w:val="005C7779"/>
    <w:rsid w:val="005C7C06"/>
    <w:rsid w:val="005D2703"/>
    <w:rsid w:val="005D3032"/>
    <w:rsid w:val="005D3B39"/>
    <w:rsid w:val="005D71B1"/>
    <w:rsid w:val="005D7D5A"/>
    <w:rsid w:val="005E2A44"/>
    <w:rsid w:val="005E3235"/>
    <w:rsid w:val="005E55DD"/>
    <w:rsid w:val="005E5EC7"/>
    <w:rsid w:val="005F2439"/>
    <w:rsid w:val="005F34B6"/>
    <w:rsid w:val="005F521D"/>
    <w:rsid w:val="005F6666"/>
    <w:rsid w:val="005F76E3"/>
    <w:rsid w:val="0060130D"/>
    <w:rsid w:val="00601B43"/>
    <w:rsid w:val="00606251"/>
    <w:rsid w:val="00606ED8"/>
    <w:rsid w:val="00607362"/>
    <w:rsid w:val="00607FC8"/>
    <w:rsid w:val="006102B4"/>
    <w:rsid w:val="00610426"/>
    <w:rsid w:val="00611E56"/>
    <w:rsid w:val="00613A28"/>
    <w:rsid w:val="006148E4"/>
    <w:rsid w:val="006154E7"/>
    <w:rsid w:val="006157CC"/>
    <w:rsid w:val="006168C3"/>
    <w:rsid w:val="00620CE3"/>
    <w:rsid w:val="00620DA1"/>
    <w:rsid w:val="0062178F"/>
    <w:rsid w:val="0062255C"/>
    <w:rsid w:val="00622EF5"/>
    <w:rsid w:val="00625CFC"/>
    <w:rsid w:val="006269B0"/>
    <w:rsid w:val="00627B34"/>
    <w:rsid w:val="00633F3D"/>
    <w:rsid w:val="00634B56"/>
    <w:rsid w:val="00634F7B"/>
    <w:rsid w:val="006351EA"/>
    <w:rsid w:val="006354FA"/>
    <w:rsid w:val="00635FE0"/>
    <w:rsid w:val="006361DF"/>
    <w:rsid w:val="00637DC8"/>
    <w:rsid w:val="0064100E"/>
    <w:rsid w:val="0064129F"/>
    <w:rsid w:val="006438B5"/>
    <w:rsid w:val="006454EC"/>
    <w:rsid w:val="00650FE5"/>
    <w:rsid w:val="006579E0"/>
    <w:rsid w:val="00662B8C"/>
    <w:rsid w:val="00666424"/>
    <w:rsid w:val="00667045"/>
    <w:rsid w:val="00672936"/>
    <w:rsid w:val="0067378E"/>
    <w:rsid w:val="0067514C"/>
    <w:rsid w:val="0067615F"/>
    <w:rsid w:val="0067634A"/>
    <w:rsid w:val="00676F4F"/>
    <w:rsid w:val="00677877"/>
    <w:rsid w:val="00681E5A"/>
    <w:rsid w:val="00685D2F"/>
    <w:rsid w:val="0069198F"/>
    <w:rsid w:val="0069426A"/>
    <w:rsid w:val="00696828"/>
    <w:rsid w:val="006A2753"/>
    <w:rsid w:val="006A2997"/>
    <w:rsid w:val="006A39D2"/>
    <w:rsid w:val="006A50D2"/>
    <w:rsid w:val="006A5160"/>
    <w:rsid w:val="006A51A2"/>
    <w:rsid w:val="006A5B46"/>
    <w:rsid w:val="006A6A8A"/>
    <w:rsid w:val="006A7670"/>
    <w:rsid w:val="006A7C7F"/>
    <w:rsid w:val="006B3AB0"/>
    <w:rsid w:val="006B3CDA"/>
    <w:rsid w:val="006B6F5A"/>
    <w:rsid w:val="006C0B35"/>
    <w:rsid w:val="006C332F"/>
    <w:rsid w:val="006C368B"/>
    <w:rsid w:val="006C4FD1"/>
    <w:rsid w:val="006C636C"/>
    <w:rsid w:val="006C679D"/>
    <w:rsid w:val="006C7CC5"/>
    <w:rsid w:val="006D11C1"/>
    <w:rsid w:val="006D2BF5"/>
    <w:rsid w:val="006D3653"/>
    <w:rsid w:val="006D4DEB"/>
    <w:rsid w:val="006D5F6C"/>
    <w:rsid w:val="006D7303"/>
    <w:rsid w:val="006E1335"/>
    <w:rsid w:val="006E3589"/>
    <w:rsid w:val="006E4520"/>
    <w:rsid w:val="006F1005"/>
    <w:rsid w:val="006F2591"/>
    <w:rsid w:val="006F317D"/>
    <w:rsid w:val="00700222"/>
    <w:rsid w:val="007025D4"/>
    <w:rsid w:val="00702664"/>
    <w:rsid w:val="00705D34"/>
    <w:rsid w:val="00710233"/>
    <w:rsid w:val="00714B37"/>
    <w:rsid w:val="00714C8F"/>
    <w:rsid w:val="00714D6A"/>
    <w:rsid w:val="00715C57"/>
    <w:rsid w:val="007165EF"/>
    <w:rsid w:val="00717609"/>
    <w:rsid w:val="007200E3"/>
    <w:rsid w:val="00722A48"/>
    <w:rsid w:val="00723720"/>
    <w:rsid w:val="00723C9D"/>
    <w:rsid w:val="00724DB6"/>
    <w:rsid w:val="00726CE7"/>
    <w:rsid w:val="00727596"/>
    <w:rsid w:val="0073175F"/>
    <w:rsid w:val="00735731"/>
    <w:rsid w:val="00735A47"/>
    <w:rsid w:val="0074190C"/>
    <w:rsid w:val="007429BD"/>
    <w:rsid w:val="00742F0C"/>
    <w:rsid w:val="00744B63"/>
    <w:rsid w:val="00744C1D"/>
    <w:rsid w:val="0074614E"/>
    <w:rsid w:val="0074648C"/>
    <w:rsid w:val="00750312"/>
    <w:rsid w:val="00750FA6"/>
    <w:rsid w:val="00751ED7"/>
    <w:rsid w:val="00755C46"/>
    <w:rsid w:val="00757797"/>
    <w:rsid w:val="00760A76"/>
    <w:rsid w:val="007621EE"/>
    <w:rsid w:val="0076331D"/>
    <w:rsid w:val="00765803"/>
    <w:rsid w:val="00765E69"/>
    <w:rsid w:val="00771BCF"/>
    <w:rsid w:val="00773527"/>
    <w:rsid w:val="00773782"/>
    <w:rsid w:val="0077436D"/>
    <w:rsid w:val="0077437F"/>
    <w:rsid w:val="00774399"/>
    <w:rsid w:val="0077528A"/>
    <w:rsid w:val="00775624"/>
    <w:rsid w:val="007758E3"/>
    <w:rsid w:val="00776B98"/>
    <w:rsid w:val="00777094"/>
    <w:rsid w:val="007807C7"/>
    <w:rsid w:val="00780B9C"/>
    <w:rsid w:val="00780FF9"/>
    <w:rsid w:val="00783A16"/>
    <w:rsid w:val="00784198"/>
    <w:rsid w:val="007876D2"/>
    <w:rsid w:val="007901D3"/>
    <w:rsid w:val="00793941"/>
    <w:rsid w:val="00795925"/>
    <w:rsid w:val="00796B53"/>
    <w:rsid w:val="0079757D"/>
    <w:rsid w:val="007A0FF3"/>
    <w:rsid w:val="007A2AC8"/>
    <w:rsid w:val="007A33D5"/>
    <w:rsid w:val="007A4336"/>
    <w:rsid w:val="007A4725"/>
    <w:rsid w:val="007B01DA"/>
    <w:rsid w:val="007B161D"/>
    <w:rsid w:val="007B2E69"/>
    <w:rsid w:val="007C23BF"/>
    <w:rsid w:val="007C2839"/>
    <w:rsid w:val="007C4F4B"/>
    <w:rsid w:val="007D0AD0"/>
    <w:rsid w:val="007D0CC1"/>
    <w:rsid w:val="007D233B"/>
    <w:rsid w:val="007D31A9"/>
    <w:rsid w:val="007D32D9"/>
    <w:rsid w:val="007D4F2C"/>
    <w:rsid w:val="007D67A7"/>
    <w:rsid w:val="007D74D0"/>
    <w:rsid w:val="007D776C"/>
    <w:rsid w:val="007D7F72"/>
    <w:rsid w:val="007E018D"/>
    <w:rsid w:val="007E15D6"/>
    <w:rsid w:val="007E1D41"/>
    <w:rsid w:val="007E1E38"/>
    <w:rsid w:val="007E3B31"/>
    <w:rsid w:val="007E3BD0"/>
    <w:rsid w:val="007E4966"/>
    <w:rsid w:val="007E75E1"/>
    <w:rsid w:val="007F239B"/>
    <w:rsid w:val="007F2DF4"/>
    <w:rsid w:val="007F3852"/>
    <w:rsid w:val="007F3DF7"/>
    <w:rsid w:val="007F51F3"/>
    <w:rsid w:val="007F541E"/>
    <w:rsid w:val="008019CF"/>
    <w:rsid w:val="00802575"/>
    <w:rsid w:val="008026D6"/>
    <w:rsid w:val="0080321D"/>
    <w:rsid w:val="00803581"/>
    <w:rsid w:val="0080419E"/>
    <w:rsid w:val="00805685"/>
    <w:rsid w:val="0080714C"/>
    <w:rsid w:val="00807DB4"/>
    <w:rsid w:val="00807E7D"/>
    <w:rsid w:val="00810E43"/>
    <w:rsid w:val="00811AAF"/>
    <w:rsid w:val="00812B83"/>
    <w:rsid w:val="00813CEA"/>
    <w:rsid w:val="00814D0E"/>
    <w:rsid w:val="00815F14"/>
    <w:rsid w:val="00817C9B"/>
    <w:rsid w:val="0082028E"/>
    <w:rsid w:val="00822144"/>
    <w:rsid w:val="008221BA"/>
    <w:rsid w:val="00822CCA"/>
    <w:rsid w:val="00823128"/>
    <w:rsid w:val="008272A9"/>
    <w:rsid w:val="008273EC"/>
    <w:rsid w:val="008308A4"/>
    <w:rsid w:val="00831675"/>
    <w:rsid w:val="00834029"/>
    <w:rsid w:val="00834677"/>
    <w:rsid w:val="00834A07"/>
    <w:rsid w:val="008359B5"/>
    <w:rsid w:val="00836176"/>
    <w:rsid w:val="0083693E"/>
    <w:rsid w:val="008369A7"/>
    <w:rsid w:val="0083772D"/>
    <w:rsid w:val="00845AF1"/>
    <w:rsid w:val="00845B2E"/>
    <w:rsid w:val="00852C36"/>
    <w:rsid w:val="00852D1C"/>
    <w:rsid w:val="00853CF5"/>
    <w:rsid w:val="0085448E"/>
    <w:rsid w:val="00854645"/>
    <w:rsid w:val="00856C94"/>
    <w:rsid w:val="00857FD7"/>
    <w:rsid w:val="00857FFE"/>
    <w:rsid w:val="00860977"/>
    <w:rsid w:val="00861DC8"/>
    <w:rsid w:val="00862122"/>
    <w:rsid w:val="00865F8E"/>
    <w:rsid w:val="00866FF5"/>
    <w:rsid w:val="008700B0"/>
    <w:rsid w:val="00871221"/>
    <w:rsid w:val="00872AE6"/>
    <w:rsid w:val="00872B1B"/>
    <w:rsid w:val="00874D48"/>
    <w:rsid w:val="0087606C"/>
    <w:rsid w:val="0087687D"/>
    <w:rsid w:val="00877E41"/>
    <w:rsid w:val="008828EB"/>
    <w:rsid w:val="0088337D"/>
    <w:rsid w:val="008837E0"/>
    <w:rsid w:val="0088467C"/>
    <w:rsid w:val="00885BF8"/>
    <w:rsid w:val="0088615C"/>
    <w:rsid w:val="008867FC"/>
    <w:rsid w:val="008869CF"/>
    <w:rsid w:val="008901A0"/>
    <w:rsid w:val="008967C8"/>
    <w:rsid w:val="0089776D"/>
    <w:rsid w:val="008A0BE8"/>
    <w:rsid w:val="008A1684"/>
    <w:rsid w:val="008A1964"/>
    <w:rsid w:val="008A251E"/>
    <w:rsid w:val="008A4BF1"/>
    <w:rsid w:val="008A4C4F"/>
    <w:rsid w:val="008A4F3B"/>
    <w:rsid w:val="008A566C"/>
    <w:rsid w:val="008B1B87"/>
    <w:rsid w:val="008B323D"/>
    <w:rsid w:val="008B3A82"/>
    <w:rsid w:val="008B43B3"/>
    <w:rsid w:val="008B549A"/>
    <w:rsid w:val="008C00ED"/>
    <w:rsid w:val="008C3260"/>
    <w:rsid w:val="008C6508"/>
    <w:rsid w:val="008C65D6"/>
    <w:rsid w:val="008C6DFB"/>
    <w:rsid w:val="008C79C6"/>
    <w:rsid w:val="008D03F8"/>
    <w:rsid w:val="008D10F6"/>
    <w:rsid w:val="008D1336"/>
    <w:rsid w:val="008D16F7"/>
    <w:rsid w:val="008D32B0"/>
    <w:rsid w:val="008D40DE"/>
    <w:rsid w:val="008D66F3"/>
    <w:rsid w:val="008D67AB"/>
    <w:rsid w:val="008D6A23"/>
    <w:rsid w:val="008D6E72"/>
    <w:rsid w:val="008D7AFF"/>
    <w:rsid w:val="008E1E28"/>
    <w:rsid w:val="008E240D"/>
    <w:rsid w:val="008E5397"/>
    <w:rsid w:val="008F1C35"/>
    <w:rsid w:val="008F3969"/>
    <w:rsid w:val="008F4188"/>
    <w:rsid w:val="008F4574"/>
    <w:rsid w:val="008F652D"/>
    <w:rsid w:val="0090036B"/>
    <w:rsid w:val="009004B3"/>
    <w:rsid w:val="00903325"/>
    <w:rsid w:val="0090726C"/>
    <w:rsid w:val="009113FD"/>
    <w:rsid w:val="00911DA8"/>
    <w:rsid w:val="00913807"/>
    <w:rsid w:val="0091528F"/>
    <w:rsid w:val="0092039C"/>
    <w:rsid w:val="00921466"/>
    <w:rsid w:val="009225B3"/>
    <w:rsid w:val="00922F8D"/>
    <w:rsid w:val="009231C7"/>
    <w:rsid w:val="00926F2E"/>
    <w:rsid w:val="009309A8"/>
    <w:rsid w:val="0093364A"/>
    <w:rsid w:val="00933748"/>
    <w:rsid w:val="00935BAA"/>
    <w:rsid w:val="009379A7"/>
    <w:rsid w:val="00937D90"/>
    <w:rsid w:val="00941218"/>
    <w:rsid w:val="00941C0D"/>
    <w:rsid w:val="009422BE"/>
    <w:rsid w:val="00943A67"/>
    <w:rsid w:val="0094501D"/>
    <w:rsid w:val="009461AD"/>
    <w:rsid w:val="00947409"/>
    <w:rsid w:val="00951EE3"/>
    <w:rsid w:val="00955D92"/>
    <w:rsid w:val="00956C03"/>
    <w:rsid w:val="009579A5"/>
    <w:rsid w:val="00963006"/>
    <w:rsid w:val="00970A74"/>
    <w:rsid w:val="00971062"/>
    <w:rsid w:val="00975D63"/>
    <w:rsid w:val="0097622A"/>
    <w:rsid w:val="00977146"/>
    <w:rsid w:val="00980D13"/>
    <w:rsid w:val="00985056"/>
    <w:rsid w:val="00985FB9"/>
    <w:rsid w:val="00987D29"/>
    <w:rsid w:val="009914C8"/>
    <w:rsid w:val="00991834"/>
    <w:rsid w:val="00991B86"/>
    <w:rsid w:val="00991D3F"/>
    <w:rsid w:val="00992DE0"/>
    <w:rsid w:val="009938ED"/>
    <w:rsid w:val="009970D7"/>
    <w:rsid w:val="00997A53"/>
    <w:rsid w:val="009A54F8"/>
    <w:rsid w:val="009A5B6C"/>
    <w:rsid w:val="009A5F2E"/>
    <w:rsid w:val="009B198F"/>
    <w:rsid w:val="009B2647"/>
    <w:rsid w:val="009B4157"/>
    <w:rsid w:val="009B6788"/>
    <w:rsid w:val="009B7A83"/>
    <w:rsid w:val="009B7E56"/>
    <w:rsid w:val="009C355B"/>
    <w:rsid w:val="009C3801"/>
    <w:rsid w:val="009C3F66"/>
    <w:rsid w:val="009C52A6"/>
    <w:rsid w:val="009C5A5B"/>
    <w:rsid w:val="009C5EF7"/>
    <w:rsid w:val="009C664C"/>
    <w:rsid w:val="009C6BC9"/>
    <w:rsid w:val="009D1951"/>
    <w:rsid w:val="009D20AB"/>
    <w:rsid w:val="009D2998"/>
    <w:rsid w:val="009D74C8"/>
    <w:rsid w:val="009D775A"/>
    <w:rsid w:val="009E0CD7"/>
    <w:rsid w:val="009E1599"/>
    <w:rsid w:val="009E1677"/>
    <w:rsid w:val="009E1D9C"/>
    <w:rsid w:val="009E2F86"/>
    <w:rsid w:val="009F3B7D"/>
    <w:rsid w:val="009F60A3"/>
    <w:rsid w:val="009F6F76"/>
    <w:rsid w:val="00A02A3E"/>
    <w:rsid w:val="00A03285"/>
    <w:rsid w:val="00A03936"/>
    <w:rsid w:val="00A04056"/>
    <w:rsid w:val="00A06664"/>
    <w:rsid w:val="00A10F57"/>
    <w:rsid w:val="00A1147B"/>
    <w:rsid w:val="00A12209"/>
    <w:rsid w:val="00A129EC"/>
    <w:rsid w:val="00A133E9"/>
    <w:rsid w:val="00A136ED"/>
    <w:rsid w:val="00A14E73"/>
    <w:rsid w:val="00A154FE"/>
    <w:rsid w:val="00A1685B"/>
    <w:rsid w:val="00A176B0"/>
    <w:rsid w:val="00A22994"/>
    <w:rsid w:val="00A22BE0"/>
    <w:rsid w:val="00A236C9"/>
    <w:rsid w:val="00A23C48"/>
    <w:rsid w:val="00A24A78"/>
    <w:rsid w:val="00A27115"/>
    <w:rsid w:val="00A271B4"/>
    <w:rsid w:val="00A27CEA"/>
    <w:rsid w:val="00A33A04"/>
    <w:rsid w:val="00A34805"/>
    <w:rsid w:val="00A368B1"/>
    <w:rsid w:val="00A368C3"/>
    <w:rsid w:val="00A36DF3"/>
    <w:rsid w:val="00A41742"/>
    <w:rsid w:val="00A43A2F"/>
    <w:rsid w:val="00A43C5C"/>
    <w:rsid w:val="00A43C76"/>
    <w:rsid w:val="00A45238"/>
    <w:rsid w:val="00A476F7"/>
    <w:rsid w:val="00A507AA"/>
    <w:rsid w:val="00A52FA1"/>
    <w:rsid w:val="00A532DD"/>
    <w:rsid w:val="00A545C4"/>
    <w:rsid w:val="00A55BF5"/>
    <w:rsid w:val="00A571C6"/>
    <w:rsid w:val="00A61AA2"/>
    <w:rsid w:val="00A6237B"/>
    <w:rsid w:val="00A66944"/>
    <w:rsid w:val="00A66AAC"/>
    <w:rsid w:val="00A707AF"/>
    <w:rsid w:val="00A718EC"/>
    <w:rsid w:val="00A71C6E"/>
    <w:rsid w:val="00A72617"/>
    <w:rsid w:val="00A72A8A"/>
    <w:rsid w:val="00A80AF5"/>
    <w:rsid w:val="00A80BCF"/>
    <w:rsid w:val="00A81DEF"/>
    <w:rsid w:val="00A8304D"/>
    <w:rsid w:val="00A83762"/>
    <w:rsid w:val="00A84BA3"/>
    <w:rsid w:val="00A856E6"/>
    <w:rsid w:val="00A86EAB"/>
    <w:rsid w:val="00A86F60"/>
    <w:rsid w:val="00A87B86"/>
    <w:rsid w:val="00A90292"/>
    <w:rsid w:val="00A91D55"/>
    <w:rsid w:val="00A93440"/>
    <w:rsid w:val="00A95F00"/>
    <w:rsid w:val="00AA1C03"/>
    <w:rsid w:val="00AA2002"/>
    <w:rsid w:val="00AA2564"/>
    <w:rsid w:val="00AA43D6"/>
    <w:rsid w:val="00AA4492"/>
    <w:rsid w:val="00AA46FA"/>
    <w:rsid w:val="00AA4710"/>
    <w:rsid w:val="00AA494B"/>
    <w:rsid w:val="00AB039A"/>
    <w:rsid w:val="00AB3BAF"/>
    <w:rsid w:val="00AB64FF"/>
    <w:rsid w:val="00AB6B64"/>
    <w:rsid w:val="00AB7EAD"/>
    <w:rsid w:val="00AC0B74"/>
    <w:rsid w:val="00AC214A"/>
    <w:rsid w:val="00AC5531"/>
    <w:rsid w:val="00AD0392"/>
    <w:rsid w:val="00AD044E"/>
    <w:rsid w:val="00AD30C3"/>
    <w:rsid w:val="00AD3352"/>
    <w:rsid w:val="00AD46F0"/>
    <w:rsid w:val="00AD4D9F"/>
    <w:rsid w:val="00AD4DD9"/>
    <w:rsid w:val="00AD6FE8"/>
    <w:rsid w:val="00AE0BA5"/>
    <w:rsid w:val="00AE2FD3"/>
    <w:rsid w:val="00AE3D7F"/>
    <w:rsid w:val="00AE65E9"/>
    <w:rsid w:val="00AE7090"/>
    <w:rsid w:val="00AF351C"/>
    <w:rsid w:val="00AF380D"/>
    <w:rsid w:val="00AF3F53"/>
    <w:rsid w:val="00AF58D1"/>
    <w:rsid w:val="00AF7576"/>
    <w:rsid w:val="00B011D5"/>
    <w:rsid w:val="00B02848"/>
    <w:rsid w:val="00B03BDD"/>
    <w:rsid w:val="00B05A08"/>
    <w:rsid w:val="00B062D0"/>
    <w:rsid w:val="00B06597"/>
    <w:rsid w:val="00B06B51"/>
    <w:rsid w:val="00B07B0C"/>
    <w:rsid w:val="00B10746"/>
    <w:rsid w:val="00B10FE5"/>
    <w:rsid w:val="00B1111F"/>
    <w:rsid w:val="00B1126D"/>
    <w:rsid w:val="00B12350"/>
    <w:rsid w:val="00B14D9E"/>
    <w:rsid w:val="00B15AAF"/>
    <w:rsid w:val="00B16AE4"/>
    <w:rsid w:val="00B210A1"/>
    <w:rsid w:val="00B2584A"/>
    <w:rsid w:val="00B26020"/>
    <w:rsid w:val="00B26F7D"/>
    <w:rsid w:val="00B27F1D"/>
    <w:rsid w:val="00B30E77"/>
    <w:rsid w:val="00B32362"/>
    <w:rsid w:val="00B353EC"/>
    <w:rsid w:val="00B35ACA"/>
    <w:rsid w:val="00B35DC6"/>
    <w:rsid w:val="00B36237"/>
    <w:rsid w:val="00B363DC"/>
    <w:rsid w:val="00B36843"/>
    <w:rsid w:val="00B372D1"/>
    <w:rsid w:val="00B37D0F"/>
    <w:rsid w:val="00B42EE4"/>
    <w:rsid w:val="00B4337C"/>
    <w:rsid w:val="00B459A6"/>
    <w:rsid w:val="00B460E9"/>
    <w:rsid w:val="00B47C17"/>
    <w:rsid w:val="00B50D14"/>
    <w:rsid w:val="00B553D6"/>
    <w:rsid w:val="00B55843"/>
    <w:rsid w:val="00B576A5"/>
    <w:rsid w:val="00B649FC"/>
    <w:rsid w:val="00B672D8"/>
    <w:rsid w:val="00B67ED1"/>
    <w:rsid w:val="00B70711"/>
    <w:rsid w:val="00B719D4"/>
    <w:rsid w:val="00B72423"/>
    <w:rsid w:val="00B83D07"/>
    <w:rsid w:val="00B85B7B"/>
    <w:rsid w:val="00B9106D"/>
    <w:rsid w:val="00B9129B"/>
    <w:rsid w:val="00B934FD"/>
    <w:rsid w:val="00B949F2"/>
    <w:rsid w:val="00B9720E"/>
    <w:rsid w:val="00BA4001"/>
    <w:rsid w:val="00BA4EB2"/>
    <w:rsid w:val="00BA5B86"/>
    <w:rsid w:val="00BA65CB"/>
    <w:rsid w:val="00BB43C8"/>
    <w:rsid w:val="00BC15C5"/>
    <w:rsid w:val="00BC43CD"/>
    <w:rsid w:val="00BC54E9"/>
    <w:rsid w:val="00BD1754"/>
    <w:rsid w:val="00BD45F2"/>
    <w:rsid w:val="00BD4638"/>
    <w:rsid w:val="00BD53F3"/>
    <w:rsid w:val="00BD5578"/>
    <w:rsid w:val="00BD5625"/>
    <w:rsid w:val="00BD61A2"/>
    <w:rsid w:val="00BD6806"/>
    <w:rsid w:val="00BD6E26"/>
    <w:rsid w:val="00BD6FFD"/>
    <w:rsid w:val="00BE0210"/>
    <w:rsid w:val="00BE06F5"/>
    <w:rsid w:val="00BE27CB"/>
    <w:rsid w:val="00BE2CAB"/>
    <w:rsid w:val="00BE484D"/>
    <w:rsid w:val="00BE4996"/>
    <w:rsid w:val="00BE4AC2"/>
    <w:rsid w:val="00BE597E"/>
    <w:rsid w:val="00BE5EFB"/>
    <w:rsid w:val="00BF05EB"/>
    <w:rsid w:val="00BF0D09"/>
    <w:rsid w:val="00BF1150"/>
    <w:rsid w:val="00BF3F51"/>
    <w:rsid w:val="00BF4201"/>
    <w:rsid w:val="00C00520"/>
    <w:rsid w:val="00C01CF7"/>
    <w:rsid w:val="00C05DA9"/>
    <w:rsid w:val="00C108C5"/>
    <w:rsid w:val="00C129C1"/>
    <w:rsid w:val="00C12AF7"/>
    <w:rsid w:val="00C13315"/>
    <w:rsid w:val="00C15441"/>
    <w:rsid w:val="00C16778"/>
    <w:rsid w:val="00C222A2"/>
    <w:rsid w:val="00C2489F"/>
    <w:rsid w:val="00C26194"/>
    <w:rsid w:val="00C36C94"/>
    <w:rsid w:val="00C37E05"/>
    <w:rsid w:val="00C43395"/>
    <w:rsid w:val="00C45F3C"/>
    <w:rsid w:val="00C4676D"/>
    <w:rsid w:val="00C47CBA"/>
    <w:rsid w:val="00C503BD"/>
    <w:rsid w:val="00C507FD"/>
    <w:rsid w:val="00C51008"/>
    <w:rsid w:val="00C51084"/>
    <w:rsid w:val="00C51152"/>
    <w:rsid w:val="00C51DC3"/>
    <w:rsid w:val="00C55D29"/>
    <w:rsid w:val="00C563FB"/>
    <w:rsid w:val="00C56A03"/>
    <w:rsid w:val="00C56D78"/>
    <w:rsid w:val="00C6365A"/>
    <w:rsid w:val="00C639C9"/>
    <w:rsid w:val="00C640CA"/>
    <w:rsid w:val="00C7171B"/>
    <w:rsid w:val="00C74148"/>
    <w:rsid w:val="00C7432A"/>
    <w:rsid w:val="00C7709E"/>
    <w:rsid w:val="00C81775"/>
    <w:rsid w:val="00C875AC"/>
    <w:rsid w:val="00C9046E"/>
    <w:rsid w:val="00C90AF9"/>
    <w:rsid w:val="00C9130D"/>
    <w:rsid w:val="00C921BA"/>
    <w:rsid w:val="00C94771"/>
    <w:rsid w:val="00C96958"/>
    <w:rsid w:val="00CA0A94"/>
    <w:rsid w:val="00CA4EBD"/>
    <w:rsid w:val="00CA59B4"/>
    <w:rsid w:val="00CA659A"/>
    <w:rsid w:val="00CA788B"/>
    <w:rsid w:val="00CB17B5"/>
    <w:rsid w:val="00CB31F3"/>
    <w:rsid w:val="00CB33BD"/>
    <w:rsid w:val="00CB3F99"/>
    <w:rsid w:val="00CB4A57"/>
    <w:rsid w:val="00CC032A"/>
    <w:rsid w:val="00CC336A"/>
    <w:rsid w:val="00CC3E25"/>
    <w:rsid w:val="00CC5E0C"/>
    <w:rsid w:val="00CC6AE7"/>
    <w:rsid w:val="00CC70A3"/>
    <w:rsid w:val="00CC7A5A"/>
    <w:rsid w:val="00CD496A"/>
    <w:rsid w:val="00CD6FE4"/>
    <w:rsid w:val="00CD79DE"/>
    <w:rsid w:val="00CD7B95"/>
    <w:rsid w:val="00CE0B53"/>
    <w:rsid w:val="00CE48BC"/>
    <w:rsid w:val="00CF0D0E"/>
    <w:rsid w:val="00CF1B9D"/>
    <w:rsid w:val="00CF5548"/>
    <w:rsid w:val="00CF5BAC"/>
    <w:rsid w:val="00CF785C"/>
    <w:rsid w:val="00D00514"/>
    <w:rsid w:val="00D00C39"/>
    <w:rsid w:val="00D01464"/>
    <w:rsid w:val="00D01D31"/>
    <w:rsid w:val="00D036C0"/>
    <w:rsid w:val="00D05F80"/>
    <w:rsid w:val="00D12321"/>
    <w:rsid w:val="00D1332D"/>
    <w:rsid w:val="00D14CC0"/>
    <w:rsid w:val="00D205B8"/>
    <w:rsid w:val="00D20AAB"/>
    <w:rsid w:val="00D2364C"/>
    <w:rsid w:val="00D25A55"/>
    <w:rsid w:val="00D27609"/>
    <w:rsid w:val="00D3122D"/>
    <w:rsid w:val="00D31B88"/>
    <w:rsid w:val="00D32B2B"/>
    <w:rsid w:val="00D33FA4"/>
    <w:rsid w:val="00D34626"/>
    <w:rsid w:val="00D35618"/>
    <w:rsid w:val="00D40B87"/>
    <w:rsid w:val="00D41327"/>
    <w:rsid w:val="00D4257A"/>
    <w:rsid w:val="00D43ABB"/>
    <w:rsid w:val="00D45C94"/>
    <w:rsid w:val="00D47F98"/>
    <w:rsid w:val="00D520DF"/>
    <w:rsid w:val="00D53B6A"/>
    <w:rsid w:val="00D5553F"/>
    <w:rsid w:val="00D55CBC"/>
    <w:rsid w:val="00D633FF"/>
    <w:rsid w:val="00D64080"/>
    <w:rsid w:val="00D648B0"/>
    <w:rsid w:val="00D65E68"/>
    <w:rsid w:val="00D676B6"/>
    <w:rsid w:val="00D67A41"/>
    <w:rsid w:val="00D727C4"/>
    <w:rsid w:val="00D75AA0"/>
    <w:rsid w:val="00D7606D"/>
    <w:rsid w:val="00D760C5"/>
    <w:rsid w:val="00D763EB"/>
    <w:rsid w:val="00D77861"/>
    <w:rsid w:val="00D81868"/>
    <w:rsid w:val="00D81C8B"/>
    <w:rsid w:val="00D82106"/>
    <w:rsid w:val="00D84BBC"/>
    <w:rsid w:val="00D8745F"/>
    <w:rsid w:val="00D91573"/>
    <w:rsid w:val="00D94E98"/>
    <w:rsid w:val="00D968AB"/>
    <w:rsid w:val="00D96919"/>
    <w:rsid w:val="00D9789E"/>
    <w:rsid w:val="00DA0573"/>
    <w:rsid w:val="00DA142F"/>
    <w:rsid w:val="00DA2149"/>
    <w:rsid w:val="00DA4605"/>
    <w:rsid w:val="00DA5432"/>
    <w:rsid w:val="00DA5710"/>
    <w:rsid w:val="00DB2F69"/>
    <w:rsid w:val="00DB59CB"/>
    <w:rsid w:val="00DC0CDE"/>
    <w:rsid w:val="00DC0EF8"/>
    <w:rsid w:val="00DC1400"/>
    <w:rsid w:val="00DC1A5F"/>
    <w:rsid w:val="00DC55C9"/>
    <w:rsid w:val="00DD01C7"/>
    <w:rsid w:val="00DD1D7F"/>
    <w:rsid w:val="00DD2A03"/>
    <w:rsid w:val="00DD2BBF"/>
    <w:rsid w:val="00DD322D"/>
    <w:rsid w:val="00DD4ED3"/>
    <w:rsid w:val="00DD5CFD"/>
    <w:rsid w:val="00DE0467"/>
    <w:rsid w:val="00DE3246"/>
    <w:rsid w:val="00DE5807"/>
    <w:rsid w:val="00DE67B0"/>
    <w:rsid w:val="00DF07F0"/>
    <w:rsid w:val="00DF0D0A"/>
    <w:rsid w:val="00DF1188"/>
    <w:rsid w:val="00DF1E25"/>
    <w:rsid w:val="00DF2389"/>
    <w:rsid w:val="00DF29F5"/>
    <w:rsid w:val="00DF3CD3"/>
    <w:rsid w:val="00DF49BA"/>
    <w:rsid w:val="00DF619D"/>
    <w:rsid w:val="00DF6909"/>
    <w:rsid w:val="00DF6FC6"/>
    <w:rsid w:val="00DF736B"/>
    <w:rsid w:val="00DF777F"/>
    <w:rsid w:val="00E0152D"/>
    <w:rsid w:val="00E02D37"/>
    <w:rsid w:val="00E043AE"/>
    <w:rsid w:val="00E0624D"/>
    <w:rsid w:val="00E10CD5"/>
    <w:rsid w:val="00E136C1"/>
    <w:rsid w:val="00E13E23"/>
    <w:rsid w:val="00E15D62"/>
    <w:rsid w:val="00E16213"/>
    <w:rsid w:val="00E17010"/>
    <w:rsid w:val="00E2649A"/>
    <w:rsid w:val="00E302E6"/>
    <w:rsid w:val="00E31F90"/>
    <w:rsid w:val="00E335FF"/>
    <w:rsid w:val="00E4143D"/>
    <w:rsid w:val="00E4242F"/>
    <w:rsid w:val="00E436F5"/>
    <w:rsid w:val="00E4438C"/>
    <w:rsid w:val="00E448E0"/>
    <w:rsid w:val="00E457F3"/>
    <w:rsid w:val="00E46855"/>
    <w:rsid w:val="00E47533"/>
    <w:rsid w:val="00E52180"/>
    <w:rsid w:val="00E528AA"/>
    <w:rsid w:val="00E52AAF"/>
    <w:rsid w:val="00E54021"/>
    <w:rsid w:val="00E55886"/>
    <w:rsid w:val="00E56D94"/>
    <w:rsid w:val="00E60CB6"/>
    <w:rsid w:val="00E63F53"/>
    <w:rsid w:val="00E64823"/>
    <w:rsid w:val="00E70245"/>
    <w:rsid w:val="00E71716"/>
    <w:rsid w:val="00E74F1F"/>
    <w:rsid w:val="00E75BFA"/>
    <w:rsid w:val="00E779E1"/>
    <w:rsid w:val="00E77C58"/>
    <w:rsid w:val="00E81140"/>
    <w:rsid w:val="00E8184D"/>
    <w:rsid w:val="00E849ED"/>
    <w:rsid w:val="00E860F1"/>
    <w:rsid w:val="00E8687C"/>
    <w:rsid w:val="00E86D21"/>
    <w:rsid w:val="00E87240"/>
    <w:rsid w:val="00E9059F"/>
    <w:rsid w:val="00E90735"/>
    <w:rsid w:val="00E9352E"/>
    <w:rsid w:val="00E9430A"/>
    <w:rsid w:val="00E943F8"/>
    <w:rsid w:val="00E95609"/>
    <w:rsid w:val="00E97B90"/>
    <w:rsid w:val="00EA287B"/>
    <w:rsid w:val="00EA3AA1"/>
    <w:rsid w:val="00EA5660"/>
    <w:rsid w:val="00EA5EF0"/>
    <w:rsid w:val="00EA68FC"/>
    <w:rsid w:val="00EA767C"/>
    <w:rsid w:val="00EB07F9"/>
    <w:rsid w:val="00EB2D4F"/>
    <w:rsid w:val="00EB372A"/>
    <w:rsid w:val="00EB3B72"/>
    <w:rsid w:val="00EB3C30"/>
    <w:rsid w:val="00EB3F46"/>
    <w:rsid w:val="00EB62ED"/>
    <w:rsid w:val="00EB791E"/>
    <w:rsid w:val="00EB7E71"/>
    <w:rsid w:val="00EC037D"/>
    <w:rsid w:val="00EC14FA"/>
    <w:rsid w:val="00EC6045"/>
    <w:rsid w:val="00ED1DD0"/>
    <w:rsid w:val="00ED26A6"/>
    <w:rsid w:val="00ED33A1"/>
    <w:rsid w:val="00ED72AF"/>
    <w:rsid w:val="00ED7FC7"/>
    <w:rsid w:val="00EE0965"/>
    <w:rsid w:val="00EE0ABE"/>
    <w:rsid w:val="00EE1D2C"/>
    <w:rsid w:val="00EE2BCD"/>
    <w:rsid w:val="00EE2F0A"/>
    <w:rsid w:val="00EE2FAF"/>
    <w:rsid w:val="00EE3B65"/>
    <w:rsid w:val="00EE45C6"/>
    <w:rsid w:val="00EE7032"/>
    <w:rsid w:val="00EE76B8"/>
    <w:rsid w:val="00EE78A6"/>
    <w:rsid w:val="00EE7F5B"/>
    <w:rsid w:val="00EF3347"/>
    <w:rsid w:val="00EF3C79"/>
    <w:rsid w:val="00EF40AC"/>
    <w:rsid w:val="00EF4682"/>
    <w:rsid w:val="00EF476A"/>
    <w:rsid w:val="00EF4BB3"/>
    <w:rsid w:val="00EF77E3"/>
    <w:rsid w:val="00F00AA3"/>
    <w:rsid w:val="00F05745"/>
    <w:rsid w:val="00F06E1E"/>
    <w:rsid w:val="00F07AAA"/>
    <w:rsid w:val="00F109D4"/>
    <w:rsid w:val="00F120FC"/>
    <w:rsid w:val="00F127A0"/>
    <w:rsid w:val="00F146A6"/>
    <w:rsid w:val="00F15975"/>
    <w:rsid w:val="00F2134D"/>
    <w:rsid w:val="00F21CB0"/>
    <w:rsid w:val="00F23459"/>
    <w:rsid w:val="00F23CC0"/>
    <w:rsid w:val="00F24791"/>
    <w:rsid w:val="00F251D1"/>
    <w:rsid w:val="00F2572B"/>
    <w:rsid w:val="00F26B84"/>
    <w:rsid w:val="00F272AB"/>
    <w:rsid w:val="00F30E57"/>
    <w:rsid w:val="00F30E9A"/>
    <w:rsid w:val="00F3319C"/>
    <w:rsid w:val="00F35972"/>
    <w:rsid w:val="00F35F02"/>
    <w:rsid w:val="00F36655"/>
    <w:rsid w:val="00F375AC"/>
    <w:rsid w:val="00F417B5"/>
    <w:rsid w:val="00F41E25"/>
    <w:rsid w:val="00F42688"/>
    <w:rsid w:val="00F42803"/>
    <w:rsid w:val="00F44835"/>
    <w:rsid w:val="00F44AF6"/>
    <w:rsid w:val="00F471B9"/>
    <w:rsid w:val="00F47564"/>
    <w:rsid w:val="00F5520A"/>
    <w:rsid w:val="00F55A7A"/>
    <w:rsid w:val="00F618B8"/>
    <w:rsid w:val="00F6625F"/>
    <w:rsid w:val="00F66832"/>
    <w:rsid w:val="00F66A1C"/>
    <w:rsid w:val="00F706B7"/>
    <w:rsid w:val="00F70C08"/>
    <w:rsid w:val="00F70DB1"/>
    <w:rsid w:val="00F71364"/>
    <w:rsid w:val="00F71F27"/>
    <w:rsid w:val="00F7300E"/>
    <w:rsid w:val="00F73ECA"/>
    <w:rsid w:val="00F7422C"/>
    <w:rsid w:val="00F7681C"/>
    <w:rsid w:val="00F77C79"/>
    <w:rsid w:val="00F83332"/>
    <w:rsid w:val="00F833B7"/>
    <w:rsid w:val="00F84803"/>
    <w:rsid w:val="00F85F1F"/>
    <w:rsid w:val="00F85FD2"/>
    <w:rsid w:val="00F86FC4"/>
    <w:rsid w:val="00F87C1E"/>
    <w:rsid w:val="00F90469"/>
    <w:rsid w:val="00F90D84"/>
    <w:rsid w:val="00F9136F"/>
    <w:rsid w:val="00F921B4"/>
    <w:rsid w:val="00F927C2"/>
    <w:rsid w:val="00F92DE2"/>
    <w:rsid w:val="00F93706"/>
    <w:rsid w:val="00FA052B"/>
    <w:rsid w:val="00FA19C4"/>
    <w:rsid w:val="00FA25AC"/>
    <w:rsid w:val="00FA4366"/>
    <w:rsid w:val="00FA4FCA"/>
    <w:rsid w:val="00FA54EC"/>
    <w:rsid w:val="00FB1A48"/>
    <w:rsid w:val="00FB58D0"/>
    <w:rsid w:val="00FB7494"/>
    <w:rsid w:val="00FC08FD"/>
    <w:rsid w:val="00FC0DF2"/>
    <w:rsid w:val="00FC122D"/>
    <w:rsid w:val="00FC20DF"/>
    <w:rsid w:val="00FC21B2"/>
    <w:rsid w:val="00FC36B4"/>
    <w:rsid w:val="00FC45F5"/>
    <w:rsid w:val="00FC6BB9"/>
    <w:rsid w:val="00FC6CFA"/>
    <w:rsid w:val="00FC723E"/>
    <w:rsid w:val="00FD1DA2"/>
    <w:rsid w:val="00FD2B24"/>
    <w:rsid w:val="00FD51AF"/>
    <w:rsid w:val="00FD5A2D"/>
    <w:rsid w:val="00FD6FDF"/>
    <w:rsid w:val="00FE46C1"/>
    <w:rsid w:val="00FE6F03"/>
    <w:rsid w:val="00FE795E"/>
    <w:rsid w:val="00FF1057"/>
    <w:rsid w:val="00FF133C"/>
    <w:rsid w:val="00FF1B6F"/>
    <w:rsid w:val="00FF3705"/>
    <w:rsid w:val="00FF47A0"/>
    <w:rsid w:val="00FF7E1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748B2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5F2E"/>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92BBA"/>
    <w:pPr>
      <w:tabs>
        <w:tab w:val="left" w:pos="1987"/>
      </w:tabs>
      <w:spacing w:after="120"/>
      <w:outlineLvl w:val="2"/>
    </w:pPr>
    <w:rPr>
      <w:rFonts w:ascii="Helvetica" w:hAnsi="Helvetica"/>
      <w:kern w:val="28"/>
      <w:sz w:val="24"/>
      <w:u w:val="none"/>
    </w:rPr>
  </w:style>
  <w:style w:type="paragraph" w:styleId="Heading4">
    <w:name w:val="heading 4"/>
    <w:basedOn w:val="Heading3"/>
    <w:next w:val="base-text-paragraph"/>
    <w:qFormat/>
    <w:rsid w:val="00E4438C"/>
    <w:pPr>
      <w:spacing w:before="120"/>
      <w:outlineLvl w:val="3"/>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E457F3"/>
    <w:rPr>
      <w:rFonts w:ascii="Helvetica" w:hAnsi="Helvetica"/>
      <w:b/>
      <w:kern w:val="28"/>
      <w:sz w:val="24"/>
    </w:rPr>
  </w:style>
  <w:style w:type="paragraph" w:customStyle="1" w:styleId="EMparagraph">
    <w:name w:val="EM paragraph"/>
    <w:basedOn w:val="Normal"/>
    <w:rsid w:val="00221988"/>
    <w:pPr>
      <w:widowControl w:val="0"/>
      <w:adjustRightInd w:val="0"/>
      <w:spacing w:before="0" w:after="240"/>
      <w:ind w:right="85"/>
    </w:pPr>
  </w:style>
  <w:style w:type="paragraph" w:styleId="ListParagraph">
    <w:name w:val="List Paragraph"/>
    <w:basedOn w:val="Normal"/>
    <w:uiPriority w:val="34"/>
    <w:qFormat/>
    <w:rsid w:val="00221988"/>
    <w:pPr>
      <w:ind w:left="720"/>
      <w:contextualSpacing/>
    </w:pPr>
  </w:style>
  <w:style w:type="character" w:styleId="CommentReference">
    <w:name w:val="annotation reference"/>
    <w:basedOn w:val="DefaultParagraphFont"/>
    <w:uiPriority w:val="99"/>
    <w:unhideWhenUsed/>
    <w:rsid w:val="005F76E3"/>
    <w:rPr>
      <w:sz w:val="16"/>
      <w:szCs w:val="16"/>
    </w:rPr>
  </w:style>
  <w:style w:type="paragraph" w:styleId="CommentText">
    <w:name w:val="annotation text"/>
    <w:basedOn w:val="Normal"/>
    <w:link w:val="CommentTextChar"/>
    <w:uiPriority w:val="99"/>
    <w:semiHidden/>
    <w:unhideWhenUsed/>
    <w:rsid w:val="005F76E3"/>
    <w:rPr>
      <w:sz w:val="20"/>
    </w:rPr>
  </w:style>
  <w:style w:type="character" w:customStyle="1" w:styleId="CommentTextChar">
    <w:name w:val="Comment Text Char"/>
    <w:basedOn w:val="DefaultParagraphFont"/>
    <w:link w:val="CommentText"/>
    <w:uiPriority w:val="99"/>
    <w:semiHidden/>
    <w:rsid w:val="005F76E3"/>
  </w:style>
  <w:style w:type="paragraph" w:styleId="CommentSubject">
    <w:name w:val="annotation subject"/>
    <w:basedOn w:val="CommentText"/>
    <w:next w:val="CommentText"/>
    <w:link w:val="CommentSubjectChar"/>
    <w:uiPriority w:val="99"/>
    <w:semiHidden/>
    <w:unhideWhenUsed/>
    <w:rsid w:val="005F76E3"/>
    <w:rPr>
      <w:b/>
      <w:bCs/>
    </w:rPr>
  </w:style>
  <w:style w:type="character" w:customStyle="1" w:styleId="CommentSubjectChar">
    <w:name w:val="Comment Subject Char"/>
    <w:basedOn w:val="CommentTextChar"/>
    <w:link w:val="CommentSubject"/>
    <w:uiPriority w:val="99"/>
    <w:semiHidden/>
    <w:rsid w:val="005F76E3"/>
    <w:rPr>
      <w:b/>
      <w:bCs/>
    </w:rPr>
  </w:style>
  <w:style w:type="character" w:customStyle="1" w:styleId="TitleChar">
    <w:name w:val="Title Char"/>
    <w:basedOn w:val="DefaultParagraphFont"/>
    <w:link w:val="Title"/>
    <w:rsid w:val="00B30E77"/>
    <w:rPr>
      <w:b/>
      <w:sz w:val="24"/>
    </w:rPr>
  </w:style>
  <w:style w:type="paragraph" w:styleId="ListBullet">
    <w:name w:val="List Bullet"/>
    <w:basedOn w:val="Normal"/>
    <w:uiPriority w:val="99"/>
    <w:unhideWhenUsed/>
    <w:rsid w:val="007025D4"/>
    <w:pPr>
      <w:numPr>
        <w:numId w:val="10"/>
      </w:numPr>
      <w:contextualSpacing/>
    </w:pPr>
  </w:style>
  <w:style w:type="paragraph" w:styleId="FootnoteText">
    <w:name w:val="footnote text"/>
    <w:basedOn w:val="Normal"/>
    <w:link w:val="FootnoteTextChar"/>
    <w:uiPriority w:val="99"/>
    <w:semiHidden/>
    <w:unhideWhenUsed/>
    <w:rsid w:val="00CF785C"/>
    <w:pPr>
      <w:spacing w:before="0" w:after="0"/>
    </w:pPr>
    <w:rPr>
      <w:sz w:val="20"/>
    </w:rPr>
  </w:style>
  <w:style w:type="character" w:customStyle="1" w:styleId="FootnoteTextChar">
    <w:name w:val="Footnote Text Char"/>
    <w:basedOn w:val="DefaultParagraphFont"/>
    <w:link w:val="FootnoteText"/>
    <w:uiPriority w:val="99"/>
    <w:semiHidden/>
    <w:rsid w:val="00CF785C"/>
  </w:style>
  <w:style w:type="character" w:styleId="FootnoteReference">
    <w:name w:val="footnote reference"/>
    <w:basedOn w:val="DefaultParagraphFont"/>
    <w:uiPriority w:val="99"/>
    <w:semiHidden/>
    <w:unhideWhenUsed/>
    <w:rsid w:val="00CF785C"/>
    <w:rPr>
      <w:vertAlign w:val="superscript"/>
    </w:rPr>
  </w:style>
  <w:style w:type="table" w:styleId="TableGrid">
    <w:name w:val="Table Grid"/>
    <w:basedOn w:val="TableNormal"/>
    <w:uiPriority w:val="59"/>
    <w:rsid w:val="00AC55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E0210"/>
    <w:pPr>
      <w:tabs>
        <w:tab w:val="center" w:pos="4680"/>
        <w:tab w:val="right" w:pos="9360"/>
      </w:tabs>
      <w:spacing w:before="0" w:after="0"/>
    </w:pPr>
  </w:style>
  <w:style w:type="character" w:customStyle="1" w:styleId="HeaderChar">
    <w:name w:val="Header Char"/>
    <w:basedOn w:val="DefaultParagraphFont"/>
    <w:link w:val="Header"/>
    <w:uiPriority w:val="99"/>
    <w:rsid w:val="00BE0210"/>
    <w:rPr>
      <w:sz w:val="24"/>
    </w:rPr>
  </w:style>
  <w:style w:type="paragraph" w:styleId="Footer">
    <w:name w:val="footer"/>
    <w:basedOn w:val="Normal"/>
    <w:link w:val="FooterChar"/>
    <w:uiPriority w:val="99"/>
    <w:unhideWhenUsed/>
    <w:rsid w:val="00BE0210"/>
    <w:pPr>
      <w:tabs>
        <w:tab w:val="center" w:pos="4680"/>
        <w:tab w:val="right" w:pos="9360"/>
      </w:tabs>
      <w:spacing w:before="0" w:after="0"/>
    </w:pPr>
  </w:style>
  <w:style w:type="character" w:customStyle="1" w:styleId="FooterChar">
    <w:name w:val="Footer Char"/>
    <w:basedOn w:val="DefaultParagraphFont"/>
    <w:link w:val="Footer"/>
    <w:uiPriority w:val="99"/>
    <w:rsid w:val="00BE021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484220">
      <w:bodyDiv w:val="1"/>
      <w:marLeft w:val="0"/>
      <w:marRight w:val="0"/>
      <w:marTop w:val="0"/>
      <w:marBottom w:val="0"/>
      <w:divBdr>
        <w:top w:val="none" w:sz="0" w:space="0" w:color="auto"/>
        <w:left w:val="none" w:sz="0" w:space="0" w:color="auto"/>
        <w:bottom w:val="none" w:sz="0" w:space="0" w:color="auto"/>
        <w:right w:val="none" w:sz="0" w:space="0" w:color="auto"/>
      </w:divBdr>
    </w:div>
    <w:div w:id="615214112">
      <w:bodyDiv w:val="1"/>
      <w:marLeft w:val="0"/>
      <w:marRight w:val="0"/>
      <w:marTop w:val="0"/>
      <w:marBottom w:val="0"/>
      <w:divBdr>
        <w:top w:val="none" w:sz="0" w:space="0" w:color="auto"/>
        <w:left w:val="none" w:sz="0" w:space="0" w:color="auto"/>
        <w:bottom w:val="none" w:sz="0" w:space="0" w:color="auto"/>
        <w:right w:val="none" w:sz="0" w:space="0" w:color="auto"/>
      </w:divBdr>
    </w:div>
    <w:div w:id="1218394704">
      <w:bodyDiv w:val="1"/>
      <w:marLeft w:val="0"/>
      <w:marRight w:val="0"/>
      <w:marTop w:val="0"/>
      <w:marBottom w:val="0"/>
      <w:divBdr>
        <w:top w:val="none" w:sz="0" w:space="0" w:color="auto"/>
        <w:left w:val="none" w:sz="0" w:space="0" w:color="auto"/>
        <w:bottom w:val="none" w:sz="0" w:space="0" w:color="auto"/>
        <w:right w:val="none" w:sz="0" w:space="0" w:color="auto"/>
      </w:divBdr>
    </w:div>
    <w:div w:id="134952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A3B8F241.dotm</Template>
  <TotalTime>0</TotalTime>
  <Pages>10</Pages>
  <Words>3481</Words>
  <Characters>20092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2019-10-16T03:13:00Z</dcterms:created>
  <dcterms:modified xsi:type="dcterms:W3CDTF">2019-10-16T03:13:00Z</dcterms:modified>
</cp:coreProperties>
</file>