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782B2" w14:textId="61DAAE11" w:rsidR="001B71D5" w:rsidRPr="00BD69A8" w:rsidRDefault="001B71D5" w:rsidP="001B71D5">
      <w:pPr>
        <w:pStyle w:val="h30"/>
        <w:shd w:val="clear" w:color="auto" w:fill="FFFFFF"/>
        <w:jc w:val="center"/>
        <w:rPr>
          <w:rFonts w:ascii="Helvetica Neue" w:hAnsi="Helvetica Neue"/>
          <w:b/>
          <w:sz w:val="28"/>
          <w:szCs w:val="28"/>
          <w:lang w:val="en-US"/>
        </w:rPr>
      </w:pPr>
      <w:r w:rsidRPr="00BD69A8">
        <w:rPr>
          <w:rFonts w:ascii="Helvetica Neue" w:hAnsi="Helvetica Neue"/>
          <w:b/>
          <w:sz w:val="28"/>
          <w:szCs w:val="28"/>
        </w:rPr>
        <w:t>EXPLANATORY STATEMENT</w:t>
      </w:r>
    </w:p>
    <w:p w14:paraId="6AF097BC" w14:textId="22322665" w:rsidR="001B71D5" w:rsidRPr="00BD69A8" w:rsidRDefault="001B71D5" w:rsidP="001B71D5">
      <w:pPr>
        <w:shd w:val="clear" w:color="auto" w:fill="FFFFFF"/>
        <w:spacing w:before="100" w:beforeAutospacing="1" w:after="100" w:afterAutospacing="1"/>
        <w:jc w:val="center"/>
        <w:rPr>
          <w:rFonts w:ascii="Helvetica Neue" w:hAnsi="Helvetica Neue"/>
          <w:szCs w:val="24"/>
          <w:lang w:val="en-US"/>
        </w:rPr>
      </w:pPr>
      <w:r w:rsidRPr="00BD69A8">
        <w:rPr>
          <w:rFonts w:ascii="Helvetica Neue" w:hAnsi="Helvetica Neue"/>
          <w:szCs w:val="24"/>
        </w:rPr>
        <w:t> Issued by the Authority of the Minister for Health</w:t>
      </w:r>
    </w:p>
    <w:p w14:paraId="50D41B27" w14:textId="765BA6D7" w:rsidR="001B71D5" w:rsidRPr="00BD69A8" w:rsidRDefault="001B71D5" w:rsidP="001B71D5">
      <w:pPr>
        <w:shd w:val="clear" w:color="auto" w:fill="FFFFFF"/>
        <w:spacing w:before="100" w:beforeAutospacing="1" w:after="100" w:afterAutospacing="1"/>
        <w:jc w:val="center"/>
        <w:rPr>
          <w:rFonts w:ascii="Helvetica Neue" w:hAnsi="Helvetica Neue"/>
          <w:szCs w:val="24"/>
          <w:lang w:val="en-US"/>
        </w:rPr>
      </w:pPr>
      <w:r w:rsidRPr="00BD69A8">
        <w:rPr>
          <w:rFonts w:ascii="Helvetica Neue" w:hAnsi="Helvetica Neue"/>
          <w:i/>
          <w:iCs/>
          <w:szCs w:val="24"/>
        </w:rPr>
        <w:t> Health Insurance Act 1973</w:t>
      </w:r>
    </w:p>
    <w:p w14:paraId="120FDC99" w14:textId="31BA8A74" w:rsidR="00BD69A8" w:rsidRDefault="001B71D5" w:rsidP="00BD69A8">
      <w:pPr>
        <w:shd w:val="clear" w:color="auto" w:fill="FFFFFF"/>
        <w:jc w:val="center"/>
        <w:rPr>
          <w:rFonts w:ascii="Helvetica Neue" w:hAnsi="Helvetica Neue"/>
          <w:i/>
          <w:iCs/>
          <w:szCs w:val="24"/>
        </w:rPr>
      </w:pPr>
      <w:r w:rsidRPr="00BD69A8">
        <w:rPr>
          <w:rFonts w:ascii="Helvetica Neue" w:hAnsi="Helvetica Neue"/>
          <w:i/>
          <w:iCs/>
          <w:szCs w:val="24"/>
        </w:rPr>
        <w:t xml:space="preserve">Health Insurance (Section 3C </w:t>
      </w:r>
      <w:r w:rsidR="008B736D">
        <w:rPr>
          <w:rFonts w:ascii="Helvetica Neue" w:hAnsi="Helvetica Neue"/>
          <w:i/>
          <w:iCs/>
          <w:szCs w:val="24"/>
        </w:rPr>
        <w:t>– Other Medical Practitioner</w:t>
      </w:r>
      <w:r w:rsidR="00B21458">
        <w:rPr>
          <w:rFonts w:ascii="Helvetica Neue" w:hAnsi="Helvetica Neue"/>
          <w:i/>
          <w:iCs/>
          <w:szCs w:val="24"/>
        </w:rPr>
        <w:t xml:space="preserve"> and Telehealth</w:t>
      </w:r>
      <w:r w:rsidRPr="00BD69A8">
        <w:rPr>
          <w:rFonts w:ascii="Helvetica Neue" w:hAnsi="Helvetica Neue"/>
          <w:i/>
          <w:iCs/>
          <w:szCs w:val="24"/>
        </w:rPr>
        <w:t>) Amendment</w:t>
      </w:r>
    </w:p>
    <w:p w14:paraId="69D325DF" w14:textId="303C3D7E" w:rsidR="001B71D5" w:rsidRPr="00BD69A8" w:rsidRDefault="00BD69A8" w:rsidP="00BD69A8">
      <w:pPr>
        <w:shd w:val="clear" w:color="auto" w:fill="FFFFFF"/>
        <w:jc w:val="center"/>
        <w:rPr>
          <w:rFonts w:ascii="Helvetica Neue" w:hAnsi="Helvetica Neue"/>
          <w:i/>
          <w:iCs/>
          <w:szCs w:val="24"/>
        </w:rPr>
      </w:pPr>
      <w:r>
        <w:rPr>
          <w:rFonts w:ascii="Helvetica Neue" w:hAnsi="Helvetica Neue"/>
          <w:i/>
          <w:iCs/>
          <w:szCs w:val="24"/>
        </w:rPr>
        <w:t xml:space="preserve">(Australian Statistical Geography Standard) </w:t>
      </w:r>
      <w:r w:rsidR="001B71D5" w:rsidRPr="00BD69A8">
        <w:rPr>
          <w:rFonts w:ascii="Helvetica Neue" w:hAnsi="Helvetica Neue"/>
          <w:i/>
          <w:iCs/>
          <w:szCs w:val="24"/>
        </w:rPr>
        <w:t>Determination 2019</w:t>
      </w:r>
    </w:p>
    <w:p w14:paraId="242A56EB" w14:textId="2E7B486B" w:rsidR="00AC7AF0" w:rsidRDefault="00AC7AF0" w:rsidP="008B736D">
      <w:pPr>
        <w:shd w:val="clear" w:color="auto" w:fill="FFFFFF"/>
        <w:rPr>
          <w:rFonts w:ascii="Helvetica Neue" w:hAnsi="Helvetica Neue"/>
          <w:szCs w:val="24"/>
        </w:rPr>
      </w:pPr>
    </w:p>
    <w:p w14:paraId="350BF1EB" w14:textId="77777777" w:rsidR="00FD40A5" w:rsidRPr="00960EC4" w:rsidRDefault="00FD40A5" w:rsidP="00FD40A5">
      <w:pPr>
        <w:shd w:val="clear" w:color="auto" w:fill="FFFFFF"/>
        <w:spacing w:line="279" w:lineRule="atLeast"/>
        <w:rPr>
          <w:szCs w:val="24"/>
        </w:rPr>
      </w:pPr>
      <w:r w:rsidRPr="00960EC4">
        <w:rPr>
          <w:szCs w:val="24"/>
        </w:rPr>
        <w:t>Subsection 3C(1) of the </w:t>
      </w:r>
      <w:r w:rsidRPr="00960EC4">
        <w:rPr>
          <w:i/>
          <w:iCs/>
          <w:szCs w:val="24"/>
        </w:rPr>
        <w:t>Health Insurance Act 1973</w:t>
      </w:r>
      <w:r w:rsidRPr="00960EC4">
        <w:rPr>
          <w:szCs w:val="24"/>
        </w:rPr>
        <w:t> (the Act) provides that the Minister may, by legislative instrument, determine that a health service not specified in an item in the general medical services table</w:t>
      </w:r>
      <w:r>
        <w:rPr>
          <w:szCs w:val="24"/>
        </w:rPr>
        <w:t xml:space="preserve"> (the Table)</w:t>
      </w:r>
      <w:r w:rsidRPr="00960EC4">
        <w:rPr>
          <w:szCs w:val="24"/>
        </w:rPr>
        <w:t xml:space="preserve"> shall, in specified circumstances and for specified statutory provisions, be treated as if it were specified in the </w:t>
      </w:r>
      <w:r>
        <w:rPr>
          <w:szCs w:val="24"/>
        </w:rPr>
        <w:t>Table</w:t>
      </w:r>
      <w:r w:rsidRPr="00960EC4">
        <w:rPr>
          <w:szCs w:val="24"/>
        </w:rPr>
        <w:t xml:space="preserve">. The </w:t>
      </w:r>
      <w:r>
        <w:rPr>
          <w:szCs w:val="24"/>
        </w:rPr>
        <w:t>T</w:t>
      </w:r>
      <w:r w:rsidRPr="00960EC4">
        <w:rPr>
          <w:szCs w:val="24"/>
        </w:rPr>
        <w:t>able is set out in the regulations made under subsection 4(1) of the Act.</w:t>
      </w:r>
    </w:p>
    <w:p w14:paraId="264C9200" w14:textId="77777777" w:rsidR="00FD40A5" w:rsidRPr="00960EC4" w:rsidRDefault="00FD40A5" w:rsidP="00FD40A5">
      <w:pPr>
        <w:shd w:val="clear" w:color="auto" w:fill="FFFFFF"/>
        <w:spacing w:line="279" w:lineRule="atLeast"/>
        <w:rPr>
          <w:szCs w:val="24"/>
        </w:rPr>
      </w:pPr>
      <w:r w:rsidRPr="00960EC4">
        <w:rPr>
          <w:szCs w:val="24"/>
        </w:rPr>
        <w:t> </w:t>
      </w:r>
    </w:p>
    <w:p w14:paraId="6289C45E" w14:textId="77777777" w:rsidR="00FD40A5" w:rsidRPr="00960EC4" w:rsidRDefault="00FD40A5" w:rsidP="00FD40A5">
      <w:pPr>
        <w:shd w:val="clear" w:color="auto" w:fill="FFFFFF"/>
        <w:spacing w:line="279" w:lineRule="atLeast"/>
        <w:rPr>
          <w:szCs w:val="24"/>
        </w:rPr>
      </w:pPr>
      <w:r w:rsidRPr="00960EC4">
        <w:rPr>
          <w:szCs w:val="24"/>
        </w:rPr>
        <w:t>Subsection 33(3) of the </w:t>
      </w:r>
      <w:r w:rsidRPr="00960EC4">
        <w:rPr>
          <w:i/>
          <w:iCs/>
          <w:szCs w:val="24"/>
        </w:rPr>
        <w:t>Acts Interpretation Act 1901 </w:t>
      </w:r>
      <w:r w:rsidRPr="00960EC4">
        <w:rPr>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C9D6FD5" w14:textId="77777777" w:rsidR="00FD40A5" w:rsidRDefault="00FD40A5" w:rsidP="008B736D">
      <w:pPr>
        <w:shd w:val="clear" w:color="auto" w:fill="FFFFFF"/>
        <w:rPr>
          <w:rFonts w:ascii="Helvetica Neue" w:hAnsi="Helvetica Neue"/>
          <w:szCs w:val="24"/>
        </w:rPr>
      </w:pPr>
    </w:p>
    <w:p w14:paraId="53A4CDC6" w14:textId="19D39796" w:rsidR="00551F28" w:rsidRPr="00551F28" w:rsidRDefault="004D7CBD" w:rsidP="008B736D">
      <w:pPr>
        <w:shd w:val="clear" w:color="auto" w:fill="FFFFFF"/>
        <w:rPr>
          <w:rFonts w:ascii="Helvetica Neue" w:hAnsi="Helvetica Neue"/>
          <w:b/>
          <w:szCs w:val="24"/>
        </w:rPr>
      </w:pPr>
      <w:r>
        <w:rPr>
          <w:rFonts w:ascii="Helvetica Neue" w:hAnsi="Helvetica Neue"/>
          <w:b/>
          <w:szCs w:val="24"/>
        </w:rPr>
        <w:t>Purpose</w:t>
      </w:r>
    </w:p>
    <w:p w14:paraId="046999DD" w14:textId="72EADCCA" w:rsidR="004D7CBD" w:rsidRDefault="004D7CBD" w:rsidP="004D7CBD">
      <w:pPr>
        <w:shd w:val="clear" w:color="auto" w:fill="FFFFFF"/>
        <w:rPr>
          <w:rFonts w:ascii="Helvetica Neue" w:hAnsi="Helvetica Neue"/>
          <w:iCs/>
          <w:szCs w:val="24"/>
          <w:lang w:val="en"/>
        </w:rPr>
      </w:pPr>
      <w:r>
        <w:rPr>
          <w:rFonts w:ascii="Helvetica Neue" w:hAnsi="Helvetica Neue"/>
          <w:iCs/>
          <w:szCs w:val="24"/>
        </w:rPr>
        <w:t>Under the Australian Statistical Geography Standard (ASGS), published by the Australian Bureau of Statistics (the ABS), Australia is divided into various categories of Remoteness Area</w:t>
      </w:r>
      <w:r w:rsidR="00BC743B">
        <w:rPr>
          <w:rFonts w:ascii="Helvetica Neue" w:hAnsi="Helvetica Neue"/>
          <w:iCs/>
          <w:szCs w:val="24"/>
        </w:rPr>
        <w:t xml:space="preserve"> (RA)</w:t>
      </w:r>
      <w:r>
        <w:rPr>
          <w:rFonts w:ascii="Helvetica Neue" w:hAnsi="Helvetica Neue"/>
          <w:iCs/>
          <w:szCs w:val="24"/>
        </w:rPr>
        <w:t xml:space="preserve">.  The Department of Health uses the ASGS-RA structure </w:t>
      </w:r>
      <w:r w:rsidR="005025DD">
        <w:rPr>
          <w:rFonts w:ascii="Helvetica Neue" w:hAnsi="Helvetica Neue"/>
          <w:iCs/>
          <w:szCs w:val="24"/>
        </w:rPr>
        <w:t>as the basis of its own</w:t>
      </w:r>
      <w:r>
        <w:rPr>
          <w:rFonts w:ascii="Helvetica Neue" w:hAnsi="Helvetica Neue"/>
          <w:iCs/>
          <w:szCs w:val="24"/>
        </w:rPr>
        <w:t xml:space="preserve"> Modified Monash </w:t>
      </w:r>
      <w:r w:rsidR="00BC743B">
        <w:rPr>
          <w:rFonts w:ascii="Helvetica Neue" w:hAnsi="Helvetica Neue"/>
          <w:iCs/>
          <w:szCs w:val="24"/>
        </w:rPr>
        <w:t>Model</w:t>
      </w:r>
      <w:r w:rsidR="005025DD">
        <w:rPr>
          <w:rFonts w:ascii="Helvetica Neue" w:hAnsi="Helvetica Neue"/>
          <w:iCs/>
          <w:szCs w:val="24"/>
        </w:rPr>
        <w:t xml:space="preserve"> (MMM)</w:t>
      </w:r>
      <w:r>
        <w:rPr>
          <w:rFonts w:ascii="Helvetica Neue" w:hAnsi="Helvetica Neue"/>
          <w:iCs/>
          <w:szCs w:val="24"/>
        </w:rPr>
        <w:t xml:space="preserve">, which </w:t>
      </w:r>
      <w:r w:rsidR="00BC743B">
        <w:rPr>
          <w:rFonts w:ascii="Helvetica Neue" w:hAnsi="Helvetica Neue"/>
          <w:iCs/>
          <w:szCs w:val="24"/>
        </w:rPr>
        <w:t>further classifies areas according to population size, RA and proximity to other population centres</w:t>
      </w:r>
      <w:r>
        <w:rPr>
          <w:rFonts w:ascii="Helvetica Neue" w:hAnsi="Helvetica Neue"/>
          <w:iCs/>
          <w:szCs w:val="24"/>
          <w:lang w:val="en"/>
        </w:rPr>
        <w:t>.</w:t>
      </w:r>
    </w:p>
    <w:p w14:paraId="5EC93B8A" w14:textId="3458675D" w:rsidR="007E63BE" w:rsidRDefault="007E63BE" w:rsidP="004D7CBD">
      <w:pPr>
        <w:shd w:val="clear" w:color="auto" w:fill="FFFFFF"/>
        <w:rPr>
          <w:rFonts w:ascii="Helvetica Neue" w:hAnsi="Helvetica Neue"/>
          <w:iCs/>
          <w:szCs w:val="24"/>
          <w:lang w:val="en"/>
        </w:rPr>
      </w:pPr>
    </w:p>
    <w:p w14:paraId="237650FA" w14:textId="5B28F7E9" w:rsidR="004D7CBD" w:rsidRDefault="007E63BE" w:rsidP="004D7CBD">
      <w:pPr>
        <w:shd w:val="clear" w:color="auto" w:fill="FFFFFF"/>
        <w:rPr>
          <w:rFonts w:ascii="Helvetica Neue" w:hAnsi="Helvetica Neue"/>
          <w:iCs/>
          <w:szCs w:val="24"/>
          <w:lang w:val="en"/>
        </w:rPr>
      </w:pPr>
      <w:r w:rsidRPr="007E63BE">
        <w:rPr>
          <w:rFonts w:ascii="Helvetica Neue" w:hAnsi="Helvetica Neue"/>
          <w:iCs/>
          <w:szCs w:val="24"/>
        </w:rPr>
        <w:t xml:space="preserve">The </w:t>
      </w:r>
      <w:r w:rsidR="0056298A">
        <w:rPr>
          <w:rFonts w:ascii="Helvetica Neue" w:hAnsi="Helvetica Neue"/>
          <w:iCs/>
          <w:szCs w:val="24"/>
        </w:rPr>
        <w:t>M</w:t>
      </w:r>
      <w:r w:rsidR="005025DD">
        <w:rPr>
          <w:rFonts w:ascii="Helvetica Neue" w:hAnsi="Helvetica Neue"/>
          <w:iCs/>
          <w:szCs w:val="24"/>
        </w:rPr>
        <w:t>MM</w:t>
      </w:r>
      <w:r w:rsidR="00BC743B" w:rsidRPr="007E63BE">
        <w:rPr>
          <w:rFonts w:ascii="Helvetica Neue" w:hAnsi="Helvetica Neue"/>
          <w:iCs/>
          <w:szCs w:val="24"/>
        </w:rPr>
        <w:t xml:space="preserve"> </w:t>
      </w:r>
      <w:r w:rsidRPr="007E63BE">
        <w:rPr>
          <w:rFonts w:ascii="Helvetica Neue" w:hAnsi="Helvetica Neue"/>
          <w:iCs/>
          <w:szCs w:val="24"/>
        </w:rPr>
        <w:t xml:space="preserve">categorises </w:t>
      </w:r>
      <w:r w:rsidR="00BC743B">
        <w:rPr>
          <w:rFonts w:ascii="Helvetica Neue" w:hAnsi="Helvetica Neue"/>
          <w:iCs/>
          <w:szCs w:val="24"/>
        </w:rPr>
        <w:t>these</w:t>
      </w:r>
      <w:r w:rsidR="00BC743B" w:rsidRPr="007E63BE">
        <w:rPr>
          <w:rFonts w:ascii="Helvetica Neue" w:hAnsi="Helvetica Neue"/>
          <w:iCs/>
          <w:szCs w:val="24"/>
        </w:rPr>
        <w:t xml:space="preserve"> </w:t>
      </w:r>
      <w:r w:rsidRPr="007E63BE">
        <w:rPr>
          <w:rFonts w:ascii="Helvetica Neue" w:hAnsi="Helvetica Neue"/>
          <w:iCs/>
          <w:szCs w:val="24"/>
        </w:rPr>
        <w:t xml:space="preserve">areas in Australia into seven remoteness categories. It was developed to </w:t>
      </w:r>
      <w:r w:rsidR="0056298A">
        <w:rPr>
          <w:rFonts w:ascii="Helvetica Neue" w:hAnsi="Helvetica Neue"/>
          <w:iCs/>
          <w:szCs w:val="24"/>
        </w:rPr>
        <w:t xml:space="preserve">identify health access issues in remote and smaller communities, allowing </w:t>
      </w:r>
      <w:r w:rsidR="0056298A" w:rsidRPr="007E63BE">
        <w:rPr>
          <w:rFonts w:ascii="Helvetica Neue" w:hAnsi="Helvetica Neue"/>
          <w:iCs/>
          <w:szCs w:val="24"/>
        </w:rPr>
        <w:t>health workforce programs</w:t>
      </w:r>
      <w:r w:rsidR="0056298A">
        <w:rPr>
          <w:rFonts w:ascii="Helvetica Neue" w:hAnsi="Helvetica Neue"/>
          <w:iCs/>
          <w:szCs w:val="24"/>
        </w:rPr>
        <w:t xml:space="preserve"> and Medicare benefits to be </w:t>
      </w:r>
      <w:r w:rsidR="0056298A" w:rsidRPr="007E63BE">
        <w:rPr>
          <w:rFonts w:ascii="Helvetica Neue" w:hAnsi="Helvetica Neue"/>
          <w:iCs/>
          <w:szCs w:val="24"/>
        </w:rPr>
        <w:t xml:space="preserve">better </w:t>
      </w:r>
      <w:r w:rsidR="0056298A">
        <w:rPr>
          <w:rFonts w:ascii="Helvetica Neue" w:hAnsi="Helvetica Neue"/>
          <w:iCs/>
          <w:szCs w:val="24"/>
        </w:rPr>
        <w:t xml:space="preserve">targeted. </w:t>
      </w:r>
      <w:r w:rsidR="0056298A">
        <w:rPr>
          <w:rFonts w:ascii="Helvetica Neue" w:hAnsi="Helvetica Neue"/>
          <w:iCs/>
          <w:szCs w:val="24"/>
        </w:rPr>
        <w:br/>
      </w:r>
    </w:p>
    <w:p w14:paraId="3058AD0A" w14:textId="48D0C5D6" w:rsidR="000C2FD6" w:rsidRDefault="004D7CBD" w:rsidP="00AD05A1">
      <w:pPr>
        <w:shd w:val="clear" w:color="auto" w:fill="FFFFFF"/>
        <w:rPr>
          <w:rFonts w:ascii="Helvetica Neue" w:hAnsi="Helvetica Neue"/>
          <w:iCs/>
          <w:szCs w:val="24"/>
        </w:rPr>
      </w:pPr>
      <w:r>
        <w:rPr>
          <w:rFonts w:ascii="Helvetica Neue" w:hAnsi="Helvetica Neue"/>
          <w:iCs/>
          <w:szCs w:val="24"/>
        </w:rPr>
        <w:t xml:space="preserve">The purpose of the </w:t>
      </w:r>
      <w:r w:rsidR="00AD05A1" w:rsidRPr="00AD05A1">
        <w:rPr>
          <w:rFonts w:ascii="Helvetica Neue" w:hAnsi="Helvetica Neue"/>
          <w:i/>
          <w:iCs/>
          <w:szCs w:val="24"/>
        </w:rPr>
        <w:t>Health Insurance (Section 3C – Other Medical Practitioner and Telehealth) Amendment</w:t>
      </w:r>
      <w:r w:rsidR="00AD05A1">
        <w:rPr>
          <w:rFonts w:ascii="Helvetica Neue" w:hAnsi="Helvetica Neue"/>
          <w:iCs/>
          <w:szCs w:val="24"/>
        </w:rPr>
        <w:t xml:space="preserve"> </w:t>
      </w:r>
      <w:r w:rsidR="00AD05A1" w:rsidRPr="00AD05A1">
        <w:rPr>
          <w:rFonts w:ascii="Helvetica Neue" w:hAnsi="Helvetica Neue"/>
          <w:i/>
          <w:iCs/>
          <w:szCs w:val="24"/>
        </w:rPr>
        <w:t>(Australian Statistical Geography Standard) Determination 2019</w:t>
      </w:r>
      <w:r w:rsidR="00AD05A1">
        <w:rPr>
          <w:rFonts w:ascii="Helvetica Neue" w:hAnsi="Helvetica Neue"/>
          <w:i/>
          <w:iCs/>
          <w:szCs w:val="24"/>
        </w:rPr>
        <w:t xml:space="preserve"> </w:t>
      </w:r>
      <w:r w:rsidR="00AD05A1">
        <w:rPr>
          <w:rFonts w:ascii="Helvetica Neue" w:hAnsi="Helvetica Neue"/>
          <w:iCs/>
          <w:szCs w:val="24"/>
        </w:rPr>
        <w:t xml:space="preserve">(the Amending Determination) is to update the ASGS to reference the </w:t>
      </w:r>
      <w:r w:rsidR="00AD05A1" w:rsidRPr="004D7CBD">
        <w:rPr>
          <w:rFonts w:ascii="Helvetica Neue" w:hAnsi="Helvetica Neue"/>
          <w:iCs/>
          <w:szCs w:val="24"/>
        </w:rPr>
        <w:t>July 2016 edition</w:t>
      </w:r>
      <w:r w:rsidR="007E63BE">
        <w:rPr>
          <w:rFonts w:ascii="Helvetica Neue" w:hAnsi="Helvetica Neue"/>
          <w:iCs/>
          <w:szCs w:val="24"/>
        </w:rPr>
        <w:t>, which uses the latest available Census data,</w:t>
      </w:r>
      <w:r w:rsidR="000C2FD6">
        <w:rPr>
          <w:rFonts w:ascii="Helvetica Neue" w:hAnsi="Helvetica Neue"/>
          <w:iCs/>
          <w:szCs w:val="24"/>
        </w:rPr>
        <w:t xml:space="preserve"> from 1 January 2020</w:t>
      </w:r>
      <w:r w:rsidR="007E63BE">
        <w:rPr>
          <w:rFonts w:ascii="Helvetica Neue" w:hAnsi="Helvetica Neue"/>
          <w:iCs/>
          <w:szCs w:val="24"/>
        </w:rPr>
        <w:t xml:space="preserve">. </w:t>
      </w:r>
      <w:r w:rsidR="000C2FD6">
        <w:rPr>
          <w:rFonts w:ascii="Helvetica Neue" w:hAnsi="Helvetica Neue"/>
          <w:iCs/>
          <w:szCs w:val="24"/>
        </w:rPr>
        <w:t>Th</w:t>
      </w:r>
      <w:r w:rsidR="005025DD">
        <w:rPr>
          <w:rFonts w:ascii="Helvetica Neue" w:hAnsi="Helvetica Neue"/>
          <w:iCs/>
          <w:szCs w:val="24"/>
        </w:rPr>
        <w:t>e new MMM is based upon this most recent ASGS.</w:t>
      </w:r>
    </w:p>
    <w:p w14:paraId="6F14F361" w14:textId="77777777" w:rsidR="009712CF" w:rsidRDefault="009712CF" w:rsidP="009712CF">
      <w:pPr>
        <w:shd w:val="clear" w:color="auto" w:fill="FFFFFF"/>
        <w:rPr>
          <w:rFonts w:ascii="Helvetica Neue" w:hAnsi="Helvetica Neue"/>
          <w:iCs/>
          <w:szCs w:val="24"/>
        </w:rPr>
      </w:pPr>
    </w:p>
    <w:p w14:paraId="1389C7C5" w14:textId="3B38C0A1" w:rsidR="00AD05A1" w:rsidRPr="009712CF" w:rsidRDefault="009712CF" w:rsidP="009712CF">
      <w:pPr>
        <w:shd w:val="clear" w:color="auto" w:fill="FFFFFF"/>
        <w:rPr>
          <w:rFonts w:ascii="Helvetica Neue" w:hAnsi="Helvetica Neue"/>
          <w:iCs/>
          <w:szCs w:val="24"/>
        </w:rPr>
      </w:pPr>
      <w:r>
        <w:rPr>
          <w:rFonts w:ascii="Helvetica Neue" w:hAnsi="Helvetica Neue"/>
          <w:iCs/>
          <w:szCs w:val="24"/>
        </w:rPr>
        <w:t xml:space="preserve">The Amending Determination will also make consequential changes to the instruments in Schedules 1 and </w:t>
      </w:r>
      <w:r w:rsidR="001F3E33">
        <w:rPr>
          <w:rFonts w:ascii="Helvetica Neue" w:hAnsi="Helvetica Neue"/>
          <w:iCs/>
          <w:szCs w:val="24"/>
        </w:rPr>
        <w:t>2 to fix drafting errors</w:t>
      </w:r>
      <w:r w:rsidR="00CA7369">
        <w:rPr>
          <w:rFonts w:ascii="Helvetica Neue" w:hAnsi="Helvetica Neue"/>
          <w:iCs/>
          <w:szCs w:val="24"/>
        </w:rPr>
        <w:t xml:space="preserve"> and omissions</w:t>
      </w:r>
      <w:r>
        <w:rPr>
          <w:rFonts w:ascii="Helvetica Neue" w:hAnsi="Helvetica Neue"/>
          <w:iCs/>
          <w:szCs w:val="24"/>
        </w:rPr>
        <w:t>. The consequential amendments will have effect immediately following commencement of the principal instruments.</w:t>
      </w:r>
      <w:r w:rsidR="000C2FD6" w:rsidRPr="009712CF">
        <w:rPr>
          <w:rFonts w:ascii="Helvetica Neue" w:hAnsi="Helvetica Neue"/>
          <w:iCs/>
          <w:szCs w:val="24"/>
        </w:rPr>
        <w:br/>
      </w:r>
    </w:p>
    <w:p w14:paraId="1EE5CC5A" w14:textId="198297A3" w:rsidR="001B71D5" w:rsidRPr="00BD69A8" w:rsidRDefault="001B71D5" w:rsidP="00142440">
      <w:pPr>
        <w:shd w:val="clear" w:color="auto" w:fill="FFFFFF"/>
        <w:rPr>
          <w:rFonts w:ascii="Helvetica Neue" w:hAnsi="Helvetica Neue"/>
          <w:szCs w:val="24"/>
          <w:lang w:val="en-US"/>
        </w:rPr>
      </w:pPr>
      <w:r w:rsidRPr="00BD69A8">
        <w:rPr>
          <w:rFonts w:ascii="Helvetica Neue" w:hAnsi="Helvetica Neue"/>
          <w:b/>
          <w:bCs/>
          <w:szCs w:val="24"/>
        </w:rPr>
        <w:t>Consultation</w:t>
      </w:r>
    </w:p>
    <w:p w14:paraId="035A4964" w14:textId="2D20E1AE" w:rsidR="00BC743B" w:rsidRPr="00BC743B" w:rsidRDefault="00C52FE6" w:rsidP="00BC743B">
      <w:pPr>
        <w:shd w:val="clear" w:color="auto" w:fill="FFFFFF"/>
        <w:rPr>
          <w:rFonts w:ascii="Helvetica Neue" w:hAnsi="Helvetica Neue"/>
          <w:szCs w:val="24"/>
        </w:rPr>
      </w:pPr>
      <w:r w:rsidRPr="00D11E86">
        <w:rPr>
          <w:rFonts w:ascii="Helvetica Neue" w:hAnsi="Helvetica Neue"/>
          <w:szCs w:val="24"/>
        </w:rPr>
        <w:t xml:space="preserve">The Government established the Distribution Working Group (DWG) </w:t>
      </w:r>
      <w:r w:rsidR="00BC743B">
        <w:rPr>
          <w:rFonts w:ascii="Helvetica Neue" w:hAnsi="Helvetica Neue"/>
          <w:szCs w:val="24"/>
        </w:rPr>
        <w:t xml:space="preserve">in 2017 </w:t>
      </w:r>
      <w:r w:rsidRPr="00D11E86">
        <w:rPr>
          <w:rFonts w:ascii="Helvetica Neue" w:hAnsi="Helvetica Neue"/>
          <w:szCs w:val="24"/>
        </w:rPr>
        <w:t xml:space="preserve">to </w:t>
      </w:r>
      <w:r w:rsidR="00BC743B" w:rsidRPr="00BC743B">
        <w:rPr>
          <w:rFonts w:ascii="Helvetica Neue" w:hAnsi="Helvetica Neue"/>
          <w:szCs w:val="24"/>
        </w:rPr>
        <w:t xml:space="preserve">address </w:t>
      </w:r>
      <w:r w:rsidR="005025DD">
        <w:rPr>
          <w:rFonts w:ascii="Helvetica Neue" w:hAnsi="Helvetica Neue"/>
          <w:szCs w:val="24"/>
        </w:rPr>
        <w:t>challenge</w:t>
      </w:r>
      <w:r w:rsidR="00BC743B" w:rsidRPr="00BC743B">
        <w:rPr>
          <w:rFonts w:ascii="Helvetica Neue" w:hAnsi="Helvetica Neue"/>
          <w:szCs w:val="24"/>
        </w:rPr>
        <w:t xml:space="preserve">s relating to the distribution of the health workforce </w:t>
      </w:r>
      <w:r w:rsidR="005025DD">
        <w:rPr>
          <w:rFonts w:ascii="Helvetica Neue" w:hAnsi="Helvetica Neue"/>
          <w:szCs w:val="24"/>
        </w:rPr>
        <w:t>in rural and remote communities</w:t>
      </w:r>
      <w:r w:rsidRPr="00D11E86">
        <w:rPr>
          <w:rFonts w:ascii="Helvetica Neue" w:hAnsi="Helvetica Neue"/>
          <w:szCs w:val="24"/>
        </w:rPr>
        <w:t xml:space="preserve">. The DWG </w:t>
      </w:r>
      <w:r w:rsidR="00BC743B" w:rsidRPr="00BC743B">
        <w:rPr>
          <w:rFonts w:ascii="Helvetica Neue" w:hAnsi="Helvetica Neue"/>
          <w:szCs w:val="24"/>
        </w:rPr>
        <w:t>membership included:</w:t>
      </w:r>
    </w:p>
    <w:p w14:paraId="39BE2BD0" w14:textId="77777777" w:rsidR="00BC743B" w:rsidRPr="00BC743B" w:rsidRDefault="00BC743B" w:rsidP="00BC743B">
      <w:pPr>
        <w:numPr>
          <w:ilvl w:val="0"/>
          <w:numId w:val="48"/>
        </w:numPr>
        <w:shd w:val="clear" w:color="auto" w:fill="FFFFFF"/>
        <w:rPr>
          <w:rFonts w:ascii="Helvetica Neue" w:hAnsi="Helvetica Neue"/>
          <w:szCs w:val="24"/>
          <w:lang w:val="en-US"/>
        </w:rPr>
      </w:pPr>
      <w:r w:rsidRPr="00BC743B">
        <w:rPr>
          <w:rFonts w:ascii="Helvetica Neue" w:hAnsi="Helvetica Neue"/>
          <w:szCs w:val="24"/>
        </w:rPr>
        <w:t>Australian Antarctic Division</w:t>
      </w:r>
      <w:r w:rsidRPr="00BC743B">
        <w:rPr>
          <w:rFonts w:ascii="Helvetica Neue" w:hAnsi="Helvetica Neue"/>
          <w:szCs w:val="24"/>
          <w:lang w:val="en-US"/>
        </w:rPr>
        <w:t>;</w:t>
      </w:r>
    </w:p>
    <w:p w14:paraId="4FA3A407" w14:textId="77777777" w:rsidR="00BC743B" w:rsidRPr="00BC743B" w:rsidRDefault="00BC743B" w:rsidP="00BC743B">
      <w:pPr>
        <w:numPr>
          <w:ilvl w:val="0"/>
          <w:numId w:val="48"/>
        </w:numPr>
        <w:shd w:val="clear" w:color="auto" w:fill="FFFFFF"/>
        <w:rPr>
          <w:rFonts w:ascii="Helvetica Neue" w:hAnsi="Helvetica Neue"/>
          <w:szCs w:val="24"/>
          <w:lang w:val="en-US"/>
        </w:rPr>
      </w:pPr>
      <w:r w:rsidRPr="00BC743B">
        <w:rPr>
          <w:rFonts w:ascii="Helvetica Neue" w:hAnsi="Helvetica Neue"/>
          <w:szCs w:val="24"/>
        </w:rPr>
        <w:t>Australian College of Rural and Remote Medicine</w:t>
      </w:r>
      <w:r w:rsidRPr="00BC743B">
        <w:rPr>
          <w:rFonts w:ascii="Helvetica Neue" w:hAnsi="Helvetica Neue"/>
          <w:szCs w:val="24"/>
          <w:lang w:val="en-US"/>
        </w:rPr>
        <w:t>;</w:t>
      </w:r>
    </w:p>
    <w:p w14:paraId="53D875BC" w14:textId="77777777" w:rsidR="00BC743B" w:rsidRPr="00BC743B" w:rsidRDefault="00BC743B" w:rsidP="00BC743B">
      <w:pPr>
        <w:numPr>
          <w:ilvl w:val="0"/>
          <w:numId w:val="48"/>
        </w:numPr>
        <w:shd w:val="clear" w:color="auto" w:fill="FFFFFF"/>
        <w:rPr>
          <w:rFonts w:ascii="Helvetica Neue" w:hAnsi="Helvetica Neue"/>
          <w:szCs w:val="24"/>
          <w:lang w:val="en-US"/>
        </w:rPr>
      </w:pPr>
      <w:r w:rsidRPr="00BC743B">
        <w:rPr>
          <w:rFonts w:ascii="Helvetica Neue" w:hAnsi="Helvetica Neue"/>
          <w:szCs w:val="24"/>
          <w:lang w:val="en-US"/>
        </w:rPr>
        <w:t>Australian Indigenous Doctors Association;</w:t>
      </w:r>
    </w:p>
    <w:p w14:paraId="32299B4B" w14:textId="77777777" w:rsidR="00BC743B" w:rsidRPr="00BC743B" w:rsidRDefault="00BC743B" w:rsidP="00BC743B">
      <w:pPr>
        <w:numPr>
          <w:ilvl w:val="0"/>
          <w:numId w:val="49"/>
        </w:numPr>
        <w:shd w:val="clear" w:color="auto" w:fill="FFFFFF"/>
        <w:rPr>
          <w:rFonts w:ascii="Helvetica Neue" w:hAnsi="Helvetica Neue"/>
          <w:szCs w:val="24"/>
          <w:lang w:val="en-US"/>
        </w:rPr>
      </w:pPr>
      <w:r w:rsidRPr="00BC743B">
        <w:rPr>
          <w:rFonts w:ascii="Helvetica Neue" w:hAnsi="Helvetica Neue"/>
          <w:szCs w:val="24"/>
        </w:rPr>
        <w:t>Australian Medical Association</w:t>
      </w:r>
      <w:r w:rsidRPr="00BC743B">
        <w:rPr>
          <w:rFonts w:ascii="Helvetica Neue" w:hAnsi="Helvetica Neue"/>
          <w:szCs w:val="24"/>
          <w:lang w:val="en-US"/>
        </w:rPr>
        <w:t>;</w:t>
      </w:r>
    </w:p>
    <w:p w14:paraId="0137589A" w14:textId="77777777" w:rsidR="00BC743B" w:rsidRPr="00BC743B" w:rsidRDefault="00BC743B" w:rsidP="00BC743B">
      <w:pPr>
        <w:numPr>
          <w:ilvl w:val="0"/>
          <w:numId w:val="49"/>
        </w:numPr>
        <w:shd w:val="clear" w:color="auto" w:fill="FFFFFF"/>
        <w:rPr>
          <w:rFonts w:ascii="Helvetica Neue" w:hAnsi="Helvetica Neue"/>
          <w:szCs w:val="24"/>
          <w:lang w:val="en-US"/>
        </w:rPr>
      </w:pPr>
      <w:r w:rsidRPr="00BC743B">
        <w:rPr>
          <w:rFonts w:ascii="Helvetica Neue" w:hAnsi="Helvetica Neue"/>
          <w:szCs w:val="24"/>
        </w:rPr>
        <w:lastRenderedPageBreak/>
        <w:t>Monash University, School of Rural Health</w:t>
      </w:r>
      <w:r w:rsidRPr="00BC743B">
        <w:rPr>
          <w:rFonts w:ascii="Helvetica Neue" w:hAnsi="Helvetica Neue"/>
          <w:szCs w:val="24"/>
          <w:lang w:val="en-US"/>
        </w:rPr>
        <w:t>;</w:t>
      </w:r>
    </w:p>
    <w:p w14:paraId="434EC2F1" w14:textId="77777777" w:rsidR="00BC743B" w:rsidRPr="00BC743B" w:rsidRDefault="00BC743B" w:rsidP="00BC743B">
      <w:pPr>
        <w:numPr>
          <w:ilvl w:val="0"/>
          <w:numId w:val="49"/>
        </w:numPr>
        <w:shd w:val="clear" w:color="auto" w:fill="FFFFFF"/>
        <w:rPr>
          <w:rFonts w:ascii="Helvetica Neue" w:hAnsi="Helvetica Neue"/>
          <w:szCs w:val="24"/>
          <w:lang w:val="en-US"/>
        </w:rPr>
      </w:pPr>
      <w:r w:rsidRPr="00BC743B">
        <w:rPr>
          <w:rFonts w:ascii="Helvetica Neue" w:hAnsi="Helvetica Neue"/>
          <w:szCs w:val="24"/>
        </w:rPr>
        <w:t>National Rural Health Alliance</w:t>
      </w:r>
      <w:r w:rsidRPr="00BC743B">
        <w:rPr>
          <w:rFonts w:ascii="Helvetica Neue" w:hAnsi="Helvetica Neue"/>
          <w:szCs w:val="24"/>
          <w:lang w:val="en-US"/>
        </w:rPr>
        <w:t>;</w:t>
      </w:r>
    </w:p>
    <w:p w14:paraId="3F997DD4" w14:textId="77777777" w:rsidR="00BC743B" w:rsidRPr="00BC743B" w:rsidRDefault="00BC743B" w:rsidP="00BC743B">
      <w:pPr>
        <w:numPr>
          <w:ilvl w:val="0"/>
          <w:numId w:val="49"/>
        </w:numPr>
        <w:shd w:val="clear" w:color="auto" w:fill="FFFFFF"/>
        <w:rPr>
          <w:rFonts w:ascii="Helvetica Neue" w:hAnsi="Helvetica Neue"/>
          <w:szCs w:val="24"/>
          <w:lang w:val="en-US"/>
        </w:rPr>
      </w:pPr>
      <w:r w:rsidRPr="00BC743B">
        <w:rPr>
          <w:rFonts w:ascii="Helvetica Neue" w:hAnsi="Helvetica Neue"/>
          <w:szCs w:val="24"/>
        </w:rPr>
        <w:t>National Rural Health Commissioner;</w:t>
      </w:r>
      <w:r w:rsidRPr="00BC743B">
        <w:rPr>
          <w:rFonts w:ascii="Helvetica Neue" w:hAnsi="Helvetica Neue"/>
          <w:szCs w:val="24"/>
          <w:lang w:val="en-US"/>
        </w:rPr>
        <w:t> </w:t>
      </w:r>
    </w:p>
    <w:p w14:paraId="7E7D10FE" w14:textId="77777777" w:rsidR="00BC743B" w:rsidRPr="00BC743B" w:rsidRDefault="00BC743B" w:rsidP="00BC743B">
      <w:pPr>
        <w:numPr>
          <w:ilvl w:val="0"/>
          <w:numId w:val="49"/>
        </w:numPr>
        <w:shd w:val="clear" w:color="auto" w:fill="FFFFFF"/>
        <w:rPr>
          <w:rFonts w:ascii="Helvetica Neue" w:hAnsi="Helvetica Neue"/>
          <w:szCs w:val="24"/>
          <w:lang w:val="en-US"/>
        </w:rPr>
      </w:pPr>
      <w:r w:rsidRPr="00BC743B">
        <w:rPr>
          <w:rFonts w:ascii="Helvetica Neue" w:hAnsi="Helvetica Neue"/>
          <w:szCs w:val="24"/>
        </w:rPr>
        <w:t>Royal Australian College of General Practitioners</w:t>
      </w:r>
      <w:r w:rsidRPr="00BC743B">
        <w:rPr>
          <w:rFonts w:ascii="Helvetica Neue" w:hAnsi="Helvetica Neue"/>
          <w:szCs w:val="24"/>
          <w:lang w:val="en-US"/>
        </w:rPr>
        <w:t>;</w:t>
      </w:r>
    </w:p>
    <w:p w14:paraId="1F01DE74" w14:textId="77777777" w:rsidR="00BC743B" w:rsidRPr="00BC743B" w:rsidRDefault="00BC743B" w:rsidP="00BC743B">
      <w:pPr>
        <w:numPr>
          <w:ilvl w:val="0"/>
          <w:numId w:val="50"/>
        </w:numPr>
        <w:shd w:val="clear" w:color="auto" w:fill="FFFFFF"/>
        <w:rPr>
          <w:rFonts w:ascii="Helvetica Neue" w:hAnsi="Helvetica Neue"/>
          <w:szCs w:val="24"/>
          <w:lang w:val="en-US"/>
        </w:rPr>
      </w:pPr>
      <w:r w:rsidRPr="00BC743B">
        <w:rPr>
          <w:rFonts w:ascii="Helvetica Neue" w:hAnsi="Helvetica Neue"/>
          <w:szCs w:val="24"/>
        </w:rPr>
        <w:t>Rural Doctors Association of Australia</w:t>
      </w:r>
      <w:r w:rsidRPr="00BC743B">
        <w:rPr>
          <w:rFonts w:ascii="Helvetica Neue" w:hAnsi="Helvetica Neue"/>
          <w:szCs w:val="24"/>
          <w:lang w:val="en-US"/>
        </w:rPr>
        <w:t>;</w:t>
      </w:r>
    </w:p>
    <w:p w14:paraId="25BFDD7C" w14:textId="77777777" w:rsidR="00BC743B" w:rsidRPr="00BC743B" w:rsidRDefault="00BC743B" w:rsidP="00BC743B">
      <w:pPr>
        <w:numPr>
          <w:ilvl w:val="0"/>
          <w:numId w:val="50"/>
        </w:numPr>
        <w:shd w:val="clear" w:color="auto" w:fill="FFFFFF"/>
        <w:rPr>
          <w:rFonts w:ascii="Helvetica Neue" w:hAnsi="Helvetica Neue"/>
          <w:szCs w:val="24"/>
          <w:lang w:val="en-US"/>
        </w:rPr>
      </w:pPr>
      <w:r w:rsidRPr="00BC743B">
        <w:rPr>
          <w:rFonts w:ascii="Helvetica Neue" w:hAnsi="Helvetica Neue"/>
          <w:szCs w:val="24"/>
        </w:rPr>
        <w:t>Rural Health Workforce Australia</w:t>
      </w:r>
      <w:r w:rsidRPr="00BC743B">
        <w:rPr>
          <w:rFonts w:ascii="Helvetica Neue" w:hAnsi="Helvetica Neue"/>
          <w:szCs w:val="24"/>
          <w:lang w:val="en-US"/>
        </w:rPr>
        <w:t>;</w:t>
      </w:r>
    </w:p>
    <w:p w14:paraId="4CA0B39D" w14:textId="77777777" w:rsidR="00BC743B" w:rsidRPr="00BC743B" w:rsidRDefault="00BC743B" w:rsidP="00BC743B">
      <w:pPr>
        <w:numPr>
          <w:ilvl w:val="0"/>
          <w:numId w:val="50"/>
        </w:numPr>
        <w:shd w:val="clear" w:color="auto" w:fill="FFFFFF"/>
        <w:rPr>
          <w:rFonts w:ascii="Helvetica Neue" w:hAnsi="Helvetica Neue"/>
          <w:szCs w:val="24"/>
          <w:lang w:val="en-US"/>
        </w:rPr>
      </w:pPr>
      <w:r w:rsidRPr="00BC743B">
        <w:rPr>
          <w:rFonts w:ascii="Helvetica Neue" w:hAnsi="Helvetica Neue"/>
          <w:szCs w:val="24"/>
          <w:lang w:val="en-US"/>
        </w:rPr>
        <w:t>Rural Workforce Agency Victoria;</w:t>
      </w:r>
    </w:p>
    <w:p w14:paraId="4C177882" w14:textId="77777777" w:rsidR="00BC743B" w:rsidRPr="00BC743B" w:rsidRDefault="00BC743B" w:rsidP="00BC743B">
      <w:pPr>
        <w:numPr>
          <w:ilvl w:val="0"/>
          <w:numId w:val="50"/>
        </w:numPr>
        <w:shd w:val="clear" w:color="auto" w:fill="FFFFFF"/>
        <w:rPr>
          <w:rFonts w:ascii="Helvetica Neue" w:hAnsi="Helvetica Neue"/>
          <w:szCs w:val="24"/>
          <w:lang w:val="en-US"/>
        </w:rPr>
      </w:pPr>
      <w:r w:rsidRPr="00BC743B">
        <w:rPr>
          <w:rFonts w:ascii="Helvetica Neue" w:hAnsi="Helvetica Neue"/>
          <w:szCs w:val="24"/>
        </w:rPr>
        <w:t>University of Newcastle, Department of Rural Health</w:t>
      </w:r>
      <w:r w:rsidRPr="00BC743B">
        <w:rPr>
          <w:rFonts w:ascii="Helvetica Neue" w:hAnsi="Helvetica Neue"/>
          <w:szCs w:val="24"/>
          <w:lang w:val="en-US"/>
        </w:rPr>
        <w:t>;</w:t>
      </w:r>
    </w:p>
    <w:p w14:paraId="3B76F156" w14:textId="77777777" w:rsidR="00BC743B" w:rsidRPr="00BC743B" w:rsidRDefault="00BC743B" w:rsidP="00BC743B">
      <w:pPr>
        <w:numPr>
          <w:ilvl w:val="0"/>
          <w:numId w:val="50"/>
        </w:numPr>
        <w:shd w:val="clear" w:color="auto" w:fill="FFFFFF"/>
        <w:rPr>
          <w:rFonts w:ascii="Helvetica Neue" w:hAnsi="Helvetica Neue"/>
          <w:szCs w:val="24"/>
          <w:lang w:val="en-US"/>
        </w:rPr>
      </w:pPr>
      <w:r w:rsidRPr="00BC743B">
        <w:rPr>
          <w:rFonts w:ascii="Helvetica Neue" w:hAnsi="Helvetica Neue"/>
          <w:szCs w:val="24"/>
        </w:rPr>
        <w:t>University of Melbourne, Melbourne Institute of Applied Economic and Social Research</w:t>
      </w:r>
      <w:r w:rsidRPr="00BC743B">
        <w:rPr>
          <w:rFonts w:ascii="Helvetica Neue" w:hAnsi="Helvetica Neue"/>
          <w:szCs w:val="24"/>
          <w:lang w:val="en-US"/>
        </w:rPr>
        <w:t>; and</w:t>
      </w:r>
    </w:p>
    <w:p w14:paraId="5D154F79" w14:textId="77777777" w:rsidR="00BC743B" w:rsidRPr="00BC743B" w:rsidRDefault="00BC743B" w:rsidP="00BC743B">
      <w:pPr>
        <w:numPr>
          <w:ilvl w:val="0"/>
          <w:numId w:val="50"/>
        </w:numPr>
        <w:shd w:val="clear" w:color="auto" w:fill="FFFFFF"/>
        <w:rPr>
          <w:rFonts w:ascii="Helvetica Neue" w:hAnsi="Helvetica Neue"/>
          <w:szCs w:val="24"/>
          <w:lang w:val="en-US"/>
        </w:rPr>
      </w:pPr>
      <w:r w:rsidRPr="00BC743B">
        <w:rPr>
          <w:rFonts w:ascii="Helvetica Neue" w:hAnsi="Helvetica Neue"/>
          <w:szCs w:val="24"/>
        </w:rPr>
        <w:t>University of Queensland, Rural Clinical School</w:t>
      </w:r>
      <w:r w:rsidRPr="00BC743B">
        <w:rPr>
          <w:rFonts w:ascii="Helvetica Neue" w:hAnsi="Helvetica Neue"/>
          <w:szCs w:val="24"/>
          <w:lang w:val="en-US"/>
        </w:rPr>
        <w:t>.</w:t>
      </w:r>
    </w:p>
    <w:p w14:paraId="178C4F0B" w14:textId="77777777" w:rsidR="00BC743B" w:rsidRDefault="00BC743B" w:rsidP="00C52FE6">
      <w:pPr>
        <w:shd w:val="clear" w:color="auto" w:fill="FFFFFF"/>
        <w:rPr>
          <w:rFonts w:ascii="Helvetica Neue" w:hAnsi="Helvetica Neue"/>
          <w:szCs w:val="24"/>
        </w:rPr>
      </w:pPr>
    </w:p>
    <w:p w14:paraId="717128AD" w14:textId="22A71529" w:rsidR="00C52FE6" w:rsidRPr="00222680" w:rsidRDefault="00BC743B" w:rsidP="00C52FE6">
      <w:pPr>
        <w:shd w:val="clear" w:color="auto" w:fill="FFFFFF"/>
        <w:rPr>
          <w:rFonts w:ascii="Helvetica Neue" w:hAnsi="Helvetica Neue"/>
          <w:szCs w:val="24"/>
        </w:rPr>
      </w:pPr>
      <w:r w:rsidRPr="00BC743B">
        <w:rPr>
          <w:rFonts w:ascii="Helvetica Neue" w:hAnsi="Helvetica Neue"/>
          <w:szCs w:val="24"/>
        </w:rPr>
        <w:t>The DWG met six times and subsequently made a number of recommendations to Government including that the MMM should be updated</w:t>
      </w:r>
      <w:r w:rsidR="005025DD">
        <w:rPr>
          <w:rFonts w:ascii="Helvetica Neue" w:hAnsi="Helvetica Neue"/>
          <w:szCs w:val="24"/>
        </w:rPr>
        <w:t xml:space="preserve">.  The MMM was endorsed as part of a strategy </w:t>
      </w:r>
      <w:r w:rsidR="00222680">
        <w:rPr>
          <w:rFonts w:ascii="Helvetica Neue" w:hAnsi="Helvetica Neue"/>
          <w:szCs w:val="24"/>
        </w:rPr>
        <w:t>to</w:t>
      </w:r>
      <w:r w:rsidR="00C52FE6" w:rsidRPr="00222680">
        <w:rPr>
          <w:rFonts w:ascii="Helvetica Neue" w:hAnsi="Helvetica Neue"/>
          <w:szCs w:val="24"/>
        </w:rPr>
        <w:t xml:space="preserve"> better target financial incentives to attract and retain medical staff in rural and remote areas.</w:t>
      </w:r>
    </w:p>
    <w:p w14:paraId="7882FA54" w14:textId="4D0D954F" w:rsidR="001B71D5" w:rsidRPr="00BD69A8" w:rsidRDefault="001B71D5" w:rsidP="001A0856">
      <w:pPr>
        <w:shd w:val="clear" w:color="auto" w:fill="FFFFFF"/>
        <w:rPr>
          <w:rFonts w:ascii="Helvetica Neue" w:hAnsi="Helvetica Neue"/>
          <w:szCs w:val="24"/>
          <w:lang w:val="en-US"/>
        </w:rPr>
      </w:pPr>
      <w:r w:rsidRPr="00BD69A8">
        <w:rPr>
          <w:rFonts w:ascii="Helvetica Neue" w:hAnsi="Helvetica Neue"/>
          <w:szCs w:val="24"/>
        </w:rPr>
        <w:t xml:space="preserve"> </w:t>
      </w:r>
      <w:r w:rsidRPr="00BD69A8">
        <w:rPr>
          <w:rFonts w:ascii="Helvetica Neue" w:hAnsi="Helvetica Neue"/>
          <w:color w:val="000000"/>
          <w:szCs w:val="24"/>
        </w:rPr>
        <w:t> </w:t>
      </w:r>
    </w:p>
    <w:p w14:paraId="53CA68DE" w14:textId="52B99E7E" w:rsidR="001B71D5" w:rsidRDefault="001B71D5" w:rsidP="001A0856">
      <w:pPr>
        <w:shd w:val="clear" w:color="auto" w:fill="FFFFFF"/>
        <w:rPr>
          <w:rFonts w:ascii="Helvetica Neue" w:hAnsi="Helvetica Neue"/>
          <w:szCs w:val="24"/>
        </w:rPr>
      </w:pPr>
      <w:r w:rsidRPr="00BD69A8">
        <w:rPr>
          <w:rFonts w:ascii="Helvetica Neue" w:hAnsi="Helvetica Neue"/>
          <w:szCs w:val="24"/>
        </w:rPr>
        <w:t xml:space="preserve">Details of the </w:t>
      </w:r>
      <w:r w:rsidR="001F3E33">
        <w:rPr>
          <w:rFonts w:ascii="Helvetica Neue" w:hAnsi="Helvetica Neue"/>
          <w:iCs/>
          <w:szCs w:val="24"/>
        </w:rPr>
        <w:t xml:space="preserve">Amending </w:t>
      </w:r>
      <w:r w:rsidRPr="00BD69A8">
        <w:rPr>
          <w:rFonts w:ascii="Helvetica Neue" w:hAnsi="Helvetica Neue"/>
          <w:szCs w:val="24"/>
        </w:rPr>
        <w:t xml:space="preserve">Determination are set out in the </w:t>
      </w:r>
      <w:r w:rsidRPr="00BD69A8">
        <w:rPr>
          <w:rFonts w:ascii="Helvetica Neue" w:hAnsi="Helvetica Neue"/>
          <w:szCs w:val="24"/>
          <w:u w:val="single"/>
        </w:rPr>
        <w:t>Attachment</w:t>
      </w:r>
      <w:r w:rsidRPr="00BD69A8">
        <w:rPr>
          <w:rFonts w:ascii="Helvetica Neue" w:hAnsi="Helvetica Neue"/>
          <w:szCs w:val="24"/>
        </w:rPr>
        <w:t>.</w:t>
      </w:r>
    </w:p>
    <w:p w14:paraId="360235B2" w14:textId="12C58203" w:rsidR="00E46D4A" w:rsidRDefault="00E46D4A" w:rsidP="001A0856">
      <w:pPr>
        <w:shd w:val="clear" w:color="auto" w:fill="FFFFFF"/>
        <w:rPr>
          <w:rFonts w:ascii="Helvetica Neue" w:hAnsi="Helvetica Neue"/>
          <w:szCs w:val="24"/>
        </w:rPr>
      </w:pPr>
    </w:p>
    <w:p w14:paraId="587C6446" w14:textId="77777777" w:rsidR="00E46D4A" w:rsidRDefault="00E46D4A" w:rsidP="00E46D4A">
      <w:pPr>
        <w:ind w:right="-483"/>
        <w:rPr>
          <w:szCs w:val="24"/>
        </w:rPr>
      </w:pPr>
      <w:r w:rsidRPr="00E46D4A">
        <w:rPr>
          <w:szCs w:val="24"/>
        </w:rPr>
        <w:t xml:space="preserve">Sections 1 to 4 of the Amending Determination commence the day after registration on the Federal Register of Legislation. </w:t>
      </w:r>
    </w:p>
    <w:p w14:paraId="2A30A48A" w14:textId="77777777" w:rsidR="00E46D4A" w:rsidRDefault="00E46D4A" w:rsidP="00E46D4A">
      <w:pPr>
        <w:ind w:right="-483"/>
        <w:rPr>
          <w:szCs w:val="24"/>
        </w:rPr>
      </w:pPr>
    </w:p>
    <w:p w14:paraId="3BCF0985" w14:textId="57170BE8" w:rsidR="00E46D4A" w:rsidRDefault="00E46D4A" w:rsidP="00E46D4A">
      <w:pPr>
        <w:ind w:right="-483"/>
        <w:rPr>
          <w:szCs w:val="24"/>
        </w:rPr>
      </w:pPr>
      <w:r w:rsidRPr="00E46D4A">
        <w:rPr>
          <w:szCs w:val="24"/>
        </w:rPr>
        <w:t xml:space="preserve">Schedule 1 of the Amending Determination commences </w:t>
      </w:r>
      <w:r>
        <w:rPr>
          <w:szCs w:val="24"/>
        </w:rPr>
        <w:t xml:space="preserve">immediately after commencement of the </w:t>
      </w:r>
      <w:r w:rsidRPr="00E46D4A">
        <w:rPr>
          <w:i/>
          <w:szCs w:val="24"/>
        </w:rPr>
        <w:t>Health Insurance (Section 3C General Medical Services – Eating Disorders Treatment Plan and P</w:t>
      </w:r>
      <w:r w:rsidRPr="00E46D4A">
        <w:rPr>
          <w:i/>
          <w:iCs/>
          <w:szCs w:val="24"/>
        </w:rPr>
        <w:t>sychological Treatment Services</w:t>
      </w:r>
      <w:r w:rsidRPr="00E46D4A">
        <w:rPr>
          <w:i/>
          <w:szCs w:val="24"/>
        </w:rPr>
        <w:t>) Determination 2019</w:t>
      </w:r>
      <w:r>
        <w:rPr>
          <w:szCs w:val="24"/>
        </w:rPr>
        <w:t xml:space="preserve">, which will commence on 1 November 2019. </w:t>
      </w:r>
    </w:p>
    <w:p w14:paraId="05897AC8" w14:textId="77777777" w:rsidR="00E46D4A" w:rsidRDefault="00E46D4A" w:rsidP="00E46D4A">
      <w:pPr>
        <w:ind w:right="-483"/>
        <w:rPr>
          <w:szCs w:val="24"/>
        </w:rPr>
      </w:pPr>
    </w:p>
    <w:p w14:paraId="24874A09" w14:textId="2186BC72" w:rsidR="00E46D4A" w:rsidRDefault="00E46D4A" w:rsidP="00E46D4A">
      <w:pPr>
        <w:ind w:right="-483"/>
        <w:rPr>
          <w:bCs/>
          <w:szCs w:val="24"/>
        </w:rPr>
      </w:pPr>
      <w:r>
        <w:rPr>
          <w:szCs w:val="24"/>
        </w:rPr>
        <w:t xml:space="preserve">Schedule 2 of the </w:t>
      </w:r>
      <w:r w:rsidRPr="00E46D4A">
        <w:rPr>
          <w:szCs w:val="24"/>
        </w:rPr>
        <w:t xml:space="preserve">Amending Determination commences </w:t>
      </w:r>
      <w:r>
        <w:rPr>
          <w:szCs w:val="24"/>
        </w:rPr>
        <w:t xml:space="preserve">immediately after commencement of the </w:t>
      </w:r>
      <w:r w:rsidRPr="00E46D4A">
        <w:rPr>
          <w:bCs/>
          <w:i/>
          <w:szCs w:val="24"/>
        </w:rPr>
        <w:t>Health Insurance (Section 3C General Medical Services – General Practice Telehealth Services) Amendment Determination (No. 2) 2019</w:t>
      </w:r>
      <w:r>
        <w:rPr>
          <w:bCs/>
          <w:szCs w:val="24"/>
        </w:rPr>
        <w:t xml:space="preserve">. That instrument will commence </w:t>
      </w:r>
      <w:r w:rsidR="00E80DC1">
        <w:rPr>
          <w:bCs/>
          <w:szCs w:val="24"/>
        </w:rPr>
        <w:t xml:space="preserve">immediately </w:t>
      </w:r>
      <w:r w:rsidR="00E80DC1" w:rsidRPr="00E80DC1">
        <w:rPr>
          <w:bCs/>
          <w:szCs w:val="24"/>
        </w:rPr>
        <w:t xml:space="preserve">after </w:t>
      </w:r>
      <w:r w:rsidR="00E80DC1">
        <w:rPr>
          <w:bCs/>
          <w:szCs w:val="24"/>
        </w:rPr>
        <w:t xml:space="preserve">commencement of </w:t>
      </w:r>
      <w:r w:rsidR="00E80DC1" w:rsidRPr="00E80DC1">
        <w:rPr>
          <w:bCs/>
          <w:szCs w:val="24"/>
        </w:rPr>
        <w:t>Schedule 1 of the </w:t>
      </w:r>
      <w:r w:rsidR="00E80DC1" w:rsidRPr="00E80DC1">
        <w:rPr>
          <w:bCs/>
          <w:i/>
          <w:iCs/>
          <w:szCs w:val="24"/>
        </w:rPr>
        <w:t>Health Insurance Legislation Amendment (2019 Measures No. 1) Regulations 2019</w:t>
      </w:r>
      <w:r w:rsidR="00E80DC1">
        <w:rPr>
          <w:bCs/>
          <w:iCs/>
          <w:szCs w:val="24"/>
        </w:rPr>
        <w:t>, which will have effect</w:t>
      </w:r>
      <w:r w:rsidR="00E80DC1" w:rsidRPr="00E80DC1">
        <w:rPr>
          <w:bCs/>
          <w:szCs w:val="24"/>
        </w:rPr>
        <w:t xml:space="preserve"> </w:t>
      </w:r>
      <w:r>
        <w:rPr>
          <w:bCs/>
          <w:szCs w:val="24"/>
        </w:rPr>
        <w:t>on 1 November 2019</w:t>
      </w:r>
      <w:r w:rsidR="00540087">
        <w:rPr>
          <w:bCs/>
          <w:szCs w:val="24"/>
        </w:rPr>
        <w:t>.</w:t>
      </w:r>
    </w:p>
    <w:p w14:paraId="47CEDF97" w14:textId="6FD2A667" w:rsidR="00540087" w:rsidRDefault="00540087" w:rsidP="00E46D4A">
      <w:pPr>
        <w:ind w:right="-483"/>
        <w:rPr>
          <w:bCs/>
          <w:szCs w:val="24"/>
        </w:rPr>
      </w:pPr>
    </w:p>
    <w:p w14:paraId="7F46C290" w14:textId="3D7D20AE" w:rsidR="00540087" w:rsidRPr="00E46D4A" w:rsidRDefault="00540087" w:rsidP="00540087">
      <w:pPr>
        <w:ind w:right="-483"/>
        <w:rPr>
          <w:b/>
          <w:szCs w:val="24"/>
        </w:rPr>
      </w:pPr>
      <w:r>
        <w:rPr>
          <w:bCs/>
          <w:szCs w:val="24"/>
        </w:rPr>
        <w:t xml:space="preserve">Schedule 3 </w:t>
      </w:r>
      <w:r>
        <w:rPr>
          <w:szCs w:val="24"/>
        </w:rPr>
        <w:t xml:space="preserve">of the </w:t>
      </w:r>
      <w:r w:rsidRPr="00E46D4A">
        <w:rPr>
          <w:szCs w:val="24"/>
        </w:rPr>
        <w:t>Amending Determination</w:t>
      </w:r>
      <w:r>
        <w:rPr>
          <w:szCs w:val="24"/>
        </w:rPr>
        <w:t xml:space="preserve"> commence</w:t>
      </w:r>
      <w:r w:rsidR="0056298A">
        <w:rPr>
          <w:szCs w:val="24"/>
        </w:rPr>
        <w:t>s</w:t>
      </w:r>
      <w:r>
        <w:rPr>
          <w:szCs w:val="24"/>
        </w:rPr>
        <w:t xml:space="preserve"> on 1 January 2020.</w:t>
      </w:r>
    </w:p>
    <w:p w14:paraId="1725EC56" w14:textId="64C922CA" w:rsidR="001B71D5" w:rsidRPr="00BD69A8" w:rsidRDefault="001B71D5" w:rsidP="00540087">
      <w:pPr>
        <w:ind w:right="-483"/>
        <w:rPr>
          <w:rFonts w:ascii="Helvetica Neue" w:hAnsi="Helvetica Neue"/>
          <w:szCs w:val="24"/>
          <w:lang w:val="en-US"/>
        </w:rPr>
      </w:pPr>
    </w:p>
    <w:p w14:paraId="3C43D3DC" w14:textId="6E2A6768" w:rsidR="001B71D5" w:rsidRPr="00BD69A8" w:rsidRDefault="001B71D5" w:rsidP="001A0856">
      <w:pPr>
        <w:shd w:val="clear" w:color="auto" w:fill="FFFFFF"/>
        <w:rPr>
          <w:rFonts w:ascii="Helvetica Neue" w:hAnsi="Helvetica Neue"/>
          <w:szCs w:val="24"/>
          <w:lang w:val="en-US"/>
        </w:rPr>
      </w:pPr>
      <w:r w:rsidRPr="00BD69A8">
        <w:rPr>
          <w:rFonts w:ascii="Helvetica Neue" w:hAnsi="Helvetica Neue"/>
          <w:color w:val="000000"/>
          <w:szCs w:val="24"/>
        </w:rPr>
        <w:t>The</w:t>
      </w:r>
      <w:r w:rsidRPr="00BD69A8">
        <w:rPr>
          <w:rFonts w:ascii="Helvetica Neue" w:hAnsi="Helvetica Neue"/>
          <w:szCs w:val="24"/>
        </w:rPr>
        <w:t xml:space="preserve"> </w:t>
      </w:r>
      <w:r w:rsidR="001F3E33">
        <w:rPr>
          <w:rFonts w:ascii="Helvetica Neue" w:hAnsi="Helvetica Neue"/>
          <w:iCs/>
          <w:szCs w:val="24"/>
        </w:rPr>
        <w:t xml:space="preserve">Amending </w:t>
      </w:r>
      <w:r w:rsidRPr="00BD69A8">
        <w:rPr>
          <w:rFonts w:ascii="Helvetica Neue" w:hAnsi="Helvetica Neue"/>
          <w:szCs w:val="24"/>
        </w:rPr>
        <w:t xml:space="preserve">Determination is a legislative instrument for the purposes of the </w:t>
      </w:r>
      <w:r w:rsidRPr="00BD69A8">
        <w:rPr>
          <w:rFonts w:ascii="Helvetica Neue" w:hAnsi="Helvetica Neue"/>
          <w:i/>
          <w:iCs/>
          <w:szCs w:val="24"/>
        </w:rPr>
        <w:t>Legislation Act 2003</w:t>
      </w:r>
      <w:r w:rsidRPr="00BD69A8">
        <w:rPr>
          <w:rFonts w:ascii="Helvetica Neue" w:hAnsi="Helvetica Neue"/>
          <w:szCs w:val="24"/>
        </w:rPr>
        <w:t>.</w:t>
      </w:r>
    </w:p>
    <w:p w14:paraId="112364AF" w14:textId="77777777" w:rsidR="001B71D5" w:rsidRPr="00BD69A8" w:rsidRDefault="001B71D5" w:rsidP="001A0856">
      <w:pPr>
        <w:shd w:val="clear" w:color="auto" w:fill="FFFFFF"/>
        <w:ind w:left="6663" w:hanging="3119"/>
        <w:rPr>
          <w:rFonts w:ascii="Helvetica Neue" w:hAnsi="Helvetica Neue"/>
          <w:szCs w:val="24"/>
          <w:lang w:val="en-US"/>
        </w:rPr>
      </w:pPr>
      <w:r w:rsidRPr="00BD69A8">
        <w:rPr>
          <w:rFonts w:ascii="Helvetica Neue" w:hAnsi="Helvetica Neue"/>
          <w:szCs w:val="24"/>
        </w:rPr>
        <w:t xml:space="preserve">           </w:t>
      </w:r>
    </w:p>
    <w:p w14:paraId="15DA452D" w14:textId="77777777" w:rsidR="001B71D5" w:rsidRPr="00BD69A8" w:rsidRDefault="001B71D5" w:rsidP="001A0856">
      <w:pPr>
        <w:shd w:val="clear" w:color="auto" w:fill="FFFFFF"/>
        <w:ind w:left="6663" w:hanging="3119"/>
        <w:rPr>
          <w:rFonts w:ascii="Helvetica Neue" w:hAnsi="Helvetica Neue"/>
          <w:szCs w:val="24"/>
          <w:lang w:val="en-US"/>
        </w:rPr>
      </w:pPr>
      <w:r w:rsidRPr="00BD69A8">
        <w:rPr>
          <w:rFonts w:ascii="Helvetica Neue" w:hAnsi="Helvetica Neue"/>
          <w:szCs w:val="24"/>
          <w:u w:val="single"/>
        </w:rPr>
        <w:t>Authority</w:t>
      </w:r>
      <w:r w:rsidRPr="00BD69A8">
        <w:rPr>
          <w:rFonts w:ascii="Helvetica Neue" w:hAnsi="Helvetica Neue"/>
          <w:szCs w:val="24"/>
        </w:rPr>
        <w:t xml:space="preserve">:     Subsection 3C(1) of the </w:t>
      </w:r>
    </w:p>
    <w:p w14:paraId="719C7A47" w14:textId="77777777" w:rsidR="001B71D5" w:rsidRPr="00BD69A8" w:rsidRDefault="001B71D5" w:rsidP="001A0856">
      <w:pPr>
        <w:shd w:val="clear" w:color="auto" w:fill="FFFFFF"/>
        <w:rPr>
          <w:rFonts w:ascii="Helvetica Neue" w:hAnsi="Helvetica Neue"/>
          <w:szCs w:val="24"/>
          <w:lang w:val="en-US"/>
        </w:rPr>
      </w:pPr>
      <w:r w:rsidRPr="00BD69A8">
        <w:rPr>
          <w:rFonts w:ascii="Helvetica Neue" w:hAnsi="Helvetica Neue"/>
          <w:i/>
          <w:iCs/>
          <w:szCs w:val="24"/>
        </w:rPr>
        <w:t>                                                                                Health Insurance Act 1973</w:t>
      </w:r>
    </w:p>
    <w:p w14:paraId="1B0BF912" w14:textId="77777777" w:rsidR="001B71D5" w:rsidRPr="00BD69A8" w:rsidRDefault="001B71D5" w:rsidP="001B71D5">
      <w:pPr>
        <w:shd w:val="clear" w:color="auto" w:fill="FFFFFF"/>
        <w:spacing w:before="100" w:beforeAutospacing="1" w:after="100" w:afterAutospacing="1"/>
        <w:rPr>
          <w:rFonts w:ascii="Helvetica Neue" w:hAnsi="Helvetica Neue"/>
          <w:szCs w:val="24"/>
          <w:lang w:val="en-US"/>
        </w:rPr>
      </w:pPr>
      <w:r w:rsidRPr="00BD69A8">
        <w:rPr>
          <w:i/>
          <w:iCs/>
          <w:szCs w:val="24"/>
        </w:rPr>
        <w:br w:type="page"/>
      </w:r>
      <w:r w:rsidRPr="00BD69A8">
        <w:rPr>
          <w:rFonts w:ascii="Helvetica Neue" w:hAnsi="Helvetica Neue"/>
          <w:i/>
          <w:iCs/>
          <w:szCs w:val="24"/>
        </w:rPr>
        <w:lastRenderedPageBreak/>
        <w:t> </w:t>
      </w:r>
    </w:p>
    <w:p w14:paraId="355EE402" w14:textId="77777777" w:rsidR="001B71D5" w:rsidRPr="00BD69A8" w:rsidRDefault="001B71D5" w:rsidP="001B71D5">
      <w:pPr>
        <w:shd w:val="clear" w:color="auto" w:fill="FFFFFF"/>
        <w:spacing w:before="100" w:beforeAutospacing="1" w:after="200" w:line="276" w:lineRule="auto"/>
        <w:jc w:val="right"/>
        <w:rPr>
          <w:rFonts w:ascii="Helvetica Neue" w:hAnsi="Helvetica Neue"/>
          <w:szCs w:val="24"/>
          <w:lang w:val="en-US"/>
        </w:rPr>
      </w:pPr>
      <w:r w:rsidRPr="00BD69A8">
        <w:rPr>
          <w:rFonts w:ascii="Helvetica Neue" w:hAnsi="Helvetica Neue"/>
          <w:b/>
          <w:bCs/>
          <w:szCs w:val="24"/>
        </w:rPr>
        <w:t>ATTACHMENT</w:t>
      </w:r>
    </w:p>
    <w:p w14:paraId="145DEA9C" w14:textId="3D6F4E0E" w:rsidR="001B71D5" w:rsidRPr="00B91671" w:rsidRDefault="001B71D5" w:rsidP="00B91671">
      <w:pPr>
        <w:shd w:val="clear" w:color="auto" w:fill="FFFFFF"/>
        <w:rPr>
          <w:rFonts w:ascii="Helvetica Neue" w:hAnsi="Helvetica Neue"/>
          <w:b/>
          <w:szCs w:val="24"/>
          <w:lang w:val="en-US"/>
        </w:rPr>
      </w:pPr>
      <w:r w:rsidRPr="00B91671">
        <w:rPr>
          <w:rFonts w:ascii="Helvetica Neue" w:hAnsi="Helvetica Neue"/>
          <w:b/>
          <w:szCs w:val="24"/>
        </w:rPr>
        <w:t xml:space="preserve">Details of the </w:t>
      </w:r>
      <w:r w:rsidRPr="00B91671">
        <w:rPr>
          <w:rFonts w:ascii="Helvetica Neue" w:hAnsi="Helvetica Neue"/>
          <w:b/>
          <w:i/>
          <w:iCs/>
          <w:szCs w:val="24"/>
        </w:rPr>
        <w:t xml:space="preserve">Health Insurance (Section 3C – </w:t>
      </w:r>
      <w:r w:rsidR="00F8018A">
        <w:rPr>
          <w:rFonts w:ascii="Helvetica Neue" w:hAnsi="Helvetica Neue"/>
          <w:b/>
          <w:i/>
          <w:iCs/>
          <w:szCs w:val="24"/>
        </w:rPr>
        <w:t>Other Medical Practitioner</w:t>
      </w:r>
      <w:r w:rsidR="00E7503F">
        <w:rPr>
          <w:rFonts w:ascii="Helvetica Neue" w:hAnsi="Helvetica Neue"/>
          <w:b/>
          <w:i/>
          <w:iCs/>
          <w:szCs w:val="24"/>
        </w:rPr>
        <w:t xml:space="preserve"> and Telehealth</w:t>
      </w:r>
      <w:r w:rsidR="00B91671" w:rsidRPr="00B91671">
        <w:rPr>
          <w:rFonts w:ascii="Helvetica Neue" w:hAnsi="Helvetica Neue"/>
          <w:b/>
          <w:i/>
          <w:iCs/>
          <w:szCs w:val="24"/>
        </w:rPr>
        <w:t>)</w:t>
      </w:r>
      <w:r w:rsidRPr="00B91671">
        <w:rPr>
          <w:rFonts w:ascii="Helvetica Neue" w:hAnsi="Helvetica Neue"/>
          <w:b/>
          <w:i/>
          <w:iCs/>
          <w:szCs w:val="24"/>
        </w:rPr>
        <w:t xml:space="preserve"> Amendment</w:t>
      </w:r>
      <w:r w:rsidR="00B91671" w:rsidRPr="00B91671">
        <w:rPr>
          <w:rFonts w:ascii="Helvetica Neue" w:hAnsi="Helvetica Neue"/>
          <w:b/>
          <w:i/>
          <w:iCs/>
          <w:szCs w:val="24"/>
        </w:rPr>
        <w:t xml:space="preserve"> (Australian Statistical Geography Standard)</w:t>
      </w:r>
      <w:r w:rsidRPr="00B91671">
        <w:rPr>
          <w:rFonts w:ascii="Helvetica Neue" w:hAnsi="Helvetica Neue"/>
          <w:b/>
          <w:i/>
          <w:iCs/>
          <w:szCs w:val="24"/>
        </w:rPr>
        <w:t xml:space="preserve"> Determination 2019</w:t>
      </w:r>
    </w:p>
    <w:p w14:paraId="71FE19E4" w14:textId="77777777" w:rsidR="001B71D5" w:rsidRPr="00B91671" w:rsidRDefault="001B71D5" w:rsidP="00B91671">
      <w:pPr>
        <w:pStyle w:val="BodyText"/>
        <w:shd w:val="clear" w:color="auto" w:fill="FFFFFF"/>
        <w:rPr>
          <w:rFonts w:ascii="Helvetica Neue" w:hAnsi="Helvetica Neue"/>
          <w:szCs w:val="24"/>
          <w:lang w:val="en-US"/>
        </w:rPr>
      </w:pPr>
      <w:r w:rsidRPr="00B91671">
        <w:rPr>
          <w:rFonts w:ascii="Helvetica Neue" w:hAnsi="Helvetica Neue"/>
          <w:i/>
          <w:iCs/>
          <w:szCs w:val="24"/>
        </w:rPr>
        <w:t> </w:t>
      </w:r>
    </w:p>
    <w:p w14:paraId="3C343B03" w14:textId="77777777" w:rsidR="001B71D5" w:rsidRPr="00B91671" w:rsidRDefault="001B71D5" w:rsidP="001B71D5">
      <w:pPr>
        <w:pStyle w:val="BodyText"/>
        <w:shd w:val="clear" w:color="auto" w:fill="FFFFFF"/>
        <w:rPr>
          <w:rFonts w:ascii="Helvetica Neue" w:hAnsi="Helvetica Neue"/>
          <w:b w:val="0"/>
          <w:szCs w:val="24"/>
          <w:lang w:val="en-US"/>
        </w:rPr>
      </w:pPr>
      <w:r w:rsidRPr="00B91671">
        <w:rPr>
          <w:rFonts w:ascii="Helvetica Neue" w:hAnsi="Helvetica Neue"/>
          <w:b w:val="0"/>
          <w:szCs w:val="24"/>
          <w:u w:val="single"/>
        </w:rPr>
        <w:t>Section 1 – Name</w:t>
      </w:r>
    </w:p>
    <w:p w14:paraId="3AC8AD3E" w14:textId="77777777" w:rsidR="001B71D5" w:rsidRPr="00BD69A8" w:rsidRDefault="001B71D5" w:rsidP="001B71D5">
      <w:pPr>
        <w:pStyle w:val="NoSpacing"/>
        <w:shd w:val="clear" w:color="auto" w:fill="FFFFFF"/>
        <w:rPr>
          <w:rFonts w:ascii="Helvetica Neue" w:hAnsi="Helvetica Neue"/>
          <w:lang w:val="en-US"/>
        </w:rPr>
      </w:pPr>
      <w:r w:rsidRPr="00BD69A8">
        <w:rPr>
          <w:rFonts w:ascii="Helvetica Neue" w:hAnsi="Helvetica Neue"/>
        </w:rPr>
        <w:t> </w:t>
      </w:r>
    </w:p>
    <w:p w14:paraId="3FAB047B" w14:textId="1D66D429" w:rsidR="001B71D5" w:rsidRPr="00B91671" w:rsidRDefault="001B71D5" w:rsidP="001B71D5">
      <w:pPr>
        <w:pStyle w:val="NoSpacing"/>
        <w:shd w:val="clear" w:color="auto" w:fill="FFFFFF"/>
        <w:rPr>
          <w:rFonts w:ascii="Helvetica Neue" w:hAnsi="Helvetica Neue"/>
          <w:lang w:val="en-US"/>
        </w:rPr>
      </w:pPr>
      <w:r w:rsidRPr="00B91671">
        <w:rPr>
          <w:rFonts w:ascii="Helvetica Neue" w:hAnsi="Helvetica Neue"/>
        </w:rPr>
        <w:t xml:space="preserve">Section 1 provides </w:t>
      </w:r>
      <w:r w:rsidR="00B91671">
        <w:rPr>
          <w:rFonts w:ascii="Helvetica Neue" w:hAnsi="Helvetica Neue"/>
        </w:rPr>
        <w:t xml:space="preserve">that </w:t>
      </w:r>
      <w:r w:rsidRPr="00B91671">
        <w:rPr>
          <w:rFonts w:ascii="Helvetica Neue" w:hAnsi="Helvetica Neue"/>
        </w:rPr>
        <w:t xml:space="preserve">the </w:t>
      </w:r>
      <w:r w:rsidR="00861CD9">
        <w:rPr>
          <w:rFonts w:ascii="Helvetica Neue" w:hAnsi="Helvetica Neue"/>
        </w:rPr>
        <w:t xml:space="preserve">Amending </w:t>
      </w:r>
      <w:r w:rsidRPr="00B91671">
        <w:rPr>
          <w:rFonts w:ascii="Helvetica Neue" w:hAnsi="Helvetica Neue"/>
        </w:rPr>
        <w:t xml:space="preserve">Determination </w:t>
      </w:r>
      <w:r w:rsidR="00B91671">
        <w:rPr>
          <w:rFonts w:ascii="Helvetica Neue" w:hAnsi="Helvetica Neue"/>
        </w:rPr>
        <w:t xml:space="preserve">is the </w:t>
      </w:r>
      <w:r w:rsidRPr="00B91671">
        <w:rPr>
          <w:rFonts w:ascii="Helvetica Neue" w:hAnsi="Helvetica Neue"/>
          <w:i/>
          <w:iCs/>
        </w:rPr>
        <w:t xml:space="preserve">Health Insurance (Section 3C – </w:t>
      </w:r>
      <w:r w:rsidR="00F8018A">
        <w:rPr>
          <w:rFonts w:ascii="Helvetica Neue" w:hAnsi="Helvetica Neue"/>
          <w:i/>
          <w:iCs/>
        </w:rPr>
        <w:t>Other Medical Practitioner</w:t>
      </w:r>
      <w:r w:rsidR="00E7503F">
        <w:rPr>
          <w:rFonts w:ascii="Helvetica Neue" w:hAnsi="Helvetica Neue"/>
          <w:i/>
          <w:iCs/>
        </w:rPr>
        <w:t xml:space="preserve"> and Telehealth</w:t>
      </w:r>
      <w:r w:rsidRPr="00B91671">
        <w:rPr>
          <w:rFonts w:ascii="Helvetica Neue" w:hAnsi="Helvetica Neue"/>
          <w:i/>
          <w:iCs/>
        </w:rPr>
        <w:t xml:space="preserve">) Amendment </w:t>
      </w:r>
      <w:r w:rsidR="00B91671" w:rsidRPr="00B91671">
        <w:rPr>
          <w:rFonts w:ascii="Helvetica Neue" w:hAnsi="Helvetica Neue"/>
          <w:i/>
          <w:iCs/>
        </w:rPr>
        <w:t xml:space="preserve">(Australian Statistical Geography Standard) </w:t>
      </w:r>
      <w:r w:rsidRPr="00B91671">
        <w:rPr>
          <w:rFonts w:ascii="Helvetica Neue" w:hAnsi="Helvetica Neue"/>
          <w:i/>
          <w:iCs/>
        </w:rPr>
        <w:t>Determination 2019</w:t>
      </w:r>
      <w:r w:rsidRPr="00B91671">
        <w:rPr>
          <w:rFonts w:ascii="Helvetica Neue" w:hAnsi="Helvetica Neue"/>
        </w:rPr>
        <w:t>.</w:t>
      </w:r>
    </w:p>
    <w:p w14:paraId="55A76F81" w14:textId="08A18880" w:rsidR="001B71D5" w:rsidRPr="00B91671" w:rsidRDefault="001B71D5" w:rsidP="00B91671">
      <w:pPr>
        <w:shd w:val="clear" w:color="auto" w:fill="FFFFFF"/>
        <w:spacing w:before="100" w:beforeAutospacing="1" w:after="100" w:afterAutospacing="1"/>
        <w:rPr>
          <w:rFonts w:ascii="Helvetica Neue" w:hAnsi="Helvetica Neue"/>
          <w:szCs w:val="24"/>
          <w:lang w:val="en-US"/>
        </w:rPr>
      </w:pPr>
      <w:r w:rsidRPr="00B91671">
        <w:rPr>
          <w:rFonts w:ascii="Helvetica Neue" w:hAnsi="Helvetica Neue"/>
          <w:szCs w:val="24"/>
        </w:rPr>
        <w:t> </w:t>
      </w:r>
      <w:r w:rsidRPr="00B91671">
        <w:rPr>
          <w:rFonts w:ascii="Helvetica Neue" w:hAnsi="Helvetica Neue"/>
          <w:szCs w:val="24"/>
          <w:u w:val="single"/>
        </w:rPr>
        <w:t xml:space="preserve">Section 2 – Commencement </w:t>
      </w:r>
    </w:p>
    <w:p w14:paraId="4E7106E3" w14:textId="77777777" w:rsidR="00861CD9" w:rsidRDefault="00861CD9" w:rsidP="00861CD9">
      <w:pPr>
        <w:ind w:right="-483"/>
        <w:rPr>
          <w:szCs w:val="24"/>
        </w:rPr>
      </w:pPr>
      <w:r w:rsidRPr="00E46D4A">
        <w:rPr>
          <w:szCs w:val="24"/>
        </w:rPr>
        <w:t xml:space="preserve">Sections 1 to 4 of the Amending Determination commence the day after registration on the Federal Register of Legislation. </w:t>
      </w:r>
    </w:p>
    <w:p w14:paraId="61221332" w14:textId="77777777" w:rsidR="00861CD9" w:rsidRDefault="00861CD9" w:rsidP="00861CD9">
      <w:pPr>
        <w:ind w:right="-483"/>
        <w:rPr>
          <w:szCs w:val="24"/>
        </w:rPr>
      </w:pPr>
    </w:p>
    <w:p w14:paraId="7347521B" w14:textId="77777777" w:rsidR="00861CD9" w:rsidRDefault="00861CD9" w:rsidP="00861CD9">
      <w:pPr>
        <w:ind w:right="-483"/>
        <w:rPr>
          <w:szCs w:val="24"/>
        </w:rPr>
      </w:pPr>
      <w:r w:rsidRPr="00E46D4A">
        <w:rPr>
          <w:szCs w:val="24"/>
        </w:rPr>
        <w:t xml:space="preserve">Schedule 1 of the Amending Determination commences </w:t>
      </w:r>
      <w:r>
        <w:rPr>
          <w:szCs w:val="24"/>
        </w:rPr>
        <w:t xml:space="preserve">immediately after commencement of the </w:t>
      </w:r>
      <w:r w:rsidRPr="00E46D4A">
        <w:rPr>
          <w:i/>
          <w:szCs w:val="24"/>
        </w:rPr>
        <w:t>Health Insurance (Section 3C General Medical Services – Eating Disorders Treatment Plan and P</w:t>
      </w:r>
      <w:r w:rsidRPr="00E46D4A">
        <w:rPr>
          <w:i/>
          <w:iCs/>
          <w:szCs w:val="24"/>
        </w:rPr>
        <w:t>sychological Treatment Services</w:t>
      </w:r>
      <w:r w:rsidRPr="00E46D4A">
        <w:rPr>
          <w:i/>
          <w:szCs w:val="24"/>
        </w:rPr>
        <w:t>) Determination 2019</w:t>
      </w:r>
      <w:r>
        <w:rPr>
          <w:szCs w:val="24"/>
        </w:rPr>
        <w:t xml:space="preserve">, which will commence on 1 November 2019. </w:t>
      </w:r>
    </w:p>
    <w:p w14:paraId="1225DA0F" w14:textId="77777777" w:rsidR="00861CD9" w:rsidRDefault="00861CD9" w:rsidP="00861CD9">
      <w:pPr>
        <w:ind w:right="-483"/>
        <w:rPr>
          <w:szCs w:val="24"/>
        </w:rPr>
      </w:pPr>
    </w:p>
    <w:p w14:paraId="512B3BDA" w14:textId="77777777" w:rsidR="00861CD9" w:rsidRDefault="00861CD9" w:rsidP="00861CD9">
      <w:pPr>
        <w:ind w:right="-483"/>
        <w:rPr>
          <w:bCs/>
          <w:szCs w:val="24"/>
        </w:rPr>
      </w:pPr>
      <w:r>
        <w:rPr>
          <w:szCs w:val="24"/>
        </w:rPr>
        <w:t xml:space="preserve">Schedule 2 of the </w:t>
      </w:r>
      <w:r w:rsidRPr="00E46D4A">
        <w:rPr>
          <w:szCs w:val="24"/>
        </w:rPr>
        <w:t xml:space="preserve">Amending Determination commences </w:t>
      </w:r>
      <w:r>
        <w:rPr>
          <w:szCs w:val="24"/>
        </w:rPr>
        <w:t xml:space="preserve">immediately after commencement of the </w:t>
      </w:r>
      <w:r w:rsidRPr="00E46D4A">
        <w:rPr>
          <w:bCs/>
          <w:i/>
          <w:szCs w:val="24"/>
        </w:rPr>
        <w:t>Health Insurance (Section 3C General Medical Services – General Practice Telehealth Services) Amendment Determination (No. 2) 2019</w:t>
      </w:r>
      <w:r>
        <w:rPr>
          <w:bCs/>
          <w:szCs w:val="24"/>
        </w:rPr>
        <w:t xml:space="preserve">. That instrument will commence immediately </w:t>
      </w:r>
      <w:r w:rsidRPr="00E80DC1">
        <w:rPr>
          <w:bCs/>
          <w:szCs w:val="24"/>
        </w:rPr>
        <w:t xml:space="preserve">after </w:t>
      </w:r>
      <w:r>
        <w:rPr>
          <w:bCs/>
          <w:szCs w:val="24"/>
        </w:rPr>
        <w:t xml:space="preserve">commencement of </w:t>
      </w:r>
      <w:r w:rsidRPr="00E80DC1">
        <w:rPr>
          <w:bCs/>
          <w:szCs w:val="24"/>
        </w:rPr>
        <w:t>Schedule 1 of the </w:t>
      </w:r>
      <w:r w:rsidRPr="00E80DC1">
        <w:rPr>
          <w:bCs/>
          <w:i/>
          <w:iCs/>
          <w:szCs w:val="24"/>
        </w:rPr>
        <w:t>Health Insurance Legislation Amendment (2019 Measures No. 1) Regulations 2019</w:t>
      </w:r>
      <w:r>
        <w:rPr>
          <w:bCs/>
          <w:iCs/>
          <w:szCs w:val="24"/>
        </w:rPr>
        <w:t>, which will have effect</w:t>
      </w:r>
      <w:r w:rsidRPr="00E80DC1">
        <w:rPr>
          <w:bCs/>
          <w:szCs w:val="24"/>
        </w:rPr>
        <w:t xml:space="preserve"> </w:t>
      </w:r>
      <w:r>
        <w:rPr>
          <w:bCs/>
          <w:szCs w:val="24"/>
        </w:rPr>
        <w:t>on 1 November 2019.</w:t>
      </w:r>
    </w:p>
    <w:p w14:paraId="02A40233" w14:textId="77777777" w:rsidR="00861CD9" w:rsidRDefault="00861CD9" w:rsidP="00861CD9">
      <w:pPr>
        <w:ind w:right="-483"/>
        <w:rPr>
          <w:bCs/>
          <w:szCs w:val="24"/>
        </w:rPr>
      </w:pPr>
    </w:p>
    <w:p w14:paraId="259BCD98" w14:textId="66F7367E" w:rsidR="00861CD9" w:rsidRPr="00861CD9" w:rsidRDefault="00861CD9" w:rsidP="00861CD9">
      <w:pPr>
        <w:pStyle w:val="BodyText"/>
        <w:shd w:val="clear" w:color="auto" w:fill="FFFFFF"/>
        <w:rPr>
          <w:b w:val="0"/>
          <w:szCs w:val="24"/>
        </w:rPr>
      </w:pPr>
      <w:r w:rsidRPr="00861CD9">
        <w:rPr>
          <w:b w:val="0"/>
          <w:bCs/>
          <w:szCs w:val="24"/>
        </w:rPr>
        <w:t xml:space="preserve">Schedule 3 </w:t>
      </w:r>
      <w:r w:rsidRPr="00861CD9">
        <w:rPr>
          <w:b w:val="0"/>
          <w:szCs w:val="24"/>
        </w:rPr>
        <w:t>of the Amending Determination commence</w:t>
      </w:r>
      <w:r w:rsidR="0056298A">
        <w:rPr>
          <w:b w:val="0"/>
          <w:szCs w:val="24"/>
        </w:rPr>
        <w:t>s</w:t>
      </w:r>
      <w:r w:rsidRPr="00861CD9">
        <w:rPr>
          <w:b w:val="0"/>
          <w:szCs w:val="24"/>
        </w:rPr>
        <w:t xml:space="preserve"> on 1 January 2020.</w:t>
      </w:r>
    </w:p>
    <w:p w14:paraId="10E1A438" w14:textId="3B46C90D" w:rsidR="001B71D5" w:rsidRPr="00B91671" w:rsidRDefault="001B71D5" w:rsidP="00861CD9">
      <w:pPr>
        <w:pStyle w:val="BodyText"/>
        <w:shd w:val="clear" w:color="auto" w:fill="FFFFFF"/>
        <w:rPr>
          <w:rFonts w:ascii="Helvetica Neue" w:hAnsi="Helvetica Neue"/>
          <w:b w:val="0"/>
          <w:szCs w:val="24"/>
          <w:lang w:val="en-US"/>
        </w:rPr>
      </w:pPr>
      <w:r w:rsidRPr="00B91671">
        <w:rPr>
          <w:rFonts w:ascii="Helvetica Neue" w:hAnsi="Helvetica Neue"/>
          <w:b w:val="0"/>
          <w:szCs w:val="24"/>
        </w:rPr>
        <w:t> </w:t>
      </w:r>
    </w:p>
    <w:p w14:paraId="3B65A514" w14:textId="77777777" w:rsidR="001B71D5" w:rsidRPr="00B91671" w:rsidRDefault="001B71D5" w:rsidP="001B71D5">
      <w:pPr>
        <w:pStyle w:val="BodyText"/>
        <w:shd w:val="clear" w:color="auto" w:fill="FFFFFF"/>
        <w:rPr>
          <w:rFonts w:ascii="Helvetica Neue" w:hAnsi="Helvetica Neue"/>
          <w:b w:val="0"/>
          <w:szCs w:val="24"/>
          <w:lang w:val="en-US"/>
        </w:rPr>
      </w:pPr>
      <w:r w:rsidRPr="00B91671">
        <w:rPr>
          <w:rFonts w:ascii="Helvetica Neue" w:hAnsi="Helvetica Neue"/>
          <w:b w:val="0"/>
          <w:szCs w:val="24"/>
          <w:u w:val="single"/>
        </w:rPr>
        <w:t>Section 3 – Authority</w:t>
      </w:r>
    </w:p>
    <w:p w14:paraId="457AB49A" w14:textId="77777777" w:rsidR="001B71D5" w:rsidRPr="00B91671" w:rsidRDefault="001B71D5" w:rsidP="001B71D5">
      <w:pPr>
        <w:pStyle w:val="BodyText"/>
        <w:shd w:val="clear" w:color="auto" w:fill="FFFFFF"/>
        <w:rPr>
          <w:rFonts w:ascii="Helvetica Neue" w:hAnsi="Helvetica Neue"/>
          <w:b w:val="0"/>
          <w:szCs w:val="24"/>
          <w:lang w:val="en-US"/>
        </w:rPr>
      </w:pPr>
      <w:r w:rsidRPr="00B91671">
        <w:rPr>
          <w:rFonts w:ascii="Helvetica Neue" w:hAnsi="Helvetica Neue"/>
          <w:b w:val="0"/>
          <w:szCs w:val="24"/>
        </w:rPr>
        <w:t> </w:t>
      </w:r>
    </w:p>
    <w:p w14:paraId="0F6F449A" w14:textId="7F3BE66B" w:rsidR="001B71D5" w:rsidRPr="00B91671" w:rsidRDefault="001B71D5" w:rsidP="001B71D5">
      <w:pPr>
        <w:pStyle w:val="BodyText"/>
        <w:shd w:val="clear" w:color="auto" w:fill="FFFFFF"/>
        <w:rPr>
          <w:rFonts w:ascii="Helvetica Neue" w:hAnsi="Helvetica Neue"/>
          <w:b w:val="0"/>
          <w:szCs w:val="24"/>
          <w:lang w:val="en-US"/>
        </w:rPr>
      </w:pPr>
      <w:r w:rsidRPr="00B91671">
        <w:rPr>
          <w:rFonts w:ascii="Helvetica Neue" w:hAnsi="Helvetica Neue"/>
          <w:b w:val="0"/>
          <w:szCs w:val="24"/>
        </w:rPr>
        <w:t xml:space="preserve">Section 3 provides that the </w:t>
      </w:r>
      <w:r w:rsidR="00121841" w:rsidRPr="00861CD9">
        <w:rPr>
          <w:b w:val="0"/>
          <w:szCs w:val="24"/>
        </w:rPr>
        <w:t xml:space="preserve">Amending </w:t>
      </w:r>
      <w:r w:rsidRPr="00B91671">
        <w:rPr>
          <w:rFonts w:ascii="Helvetica Neue" w:hAnsi="Helvetica Neue"/>
          <w:b w:val="0"/>
          <w:szCs w:val="24"/>
        </w:rPr>
        <w:t xml:space="preserve">Determination is made under subsection 3C(1) of the </w:t>
      </w:r>
      <w:r w:rsidRPr="00B91671">
        <w:rPr>
          <w:rFonts w:ascii="Helvetica Neue" w:hAnsi="Helvetica Neue"/>
          <w:b w:val="0"/>
          <w:i/>
          <w:iCs/>
          <w:szCs w:val="24"/>
        </w:rPr>
        <w:t>Health Insurance Act 1973</w:t>
      </w:r>
      <w:r w:rsidRPr="00B91671">
        <w:rPr>
          <w:rFonts w:ascii="Helvetica Neue" w:hAnsi="Helvetica Neue"/>
          <w:b w:val="0"/>
          <w:szCs w:val="24"/>
        </w:rPr>
        <w:t>.</w:t>
      </w:r>
    </w:p>
    <w:p w14:paraId="3AA77474" w14:textId="77777777" w:rsidR="001B71D5" w:rsidRPr="00B91671" w:rsidRDefault="001B71D5" w:rsidP="001B71D5">
      <w:pPr>
        <w:pStyle w:val="BodyText"/>
        <w:shd w:val="clear" w:color="auto" w:fill="FFFFFF"/>
        <w:rPr>
          <w:rFonts w:ascii="Helvetica Neue" w:hAnsi="Helvetica Neue"/>
          <w:b w:val="0"/>
          <w:szCs w:val="24"/>
          <w:lang w:val="en-US"/>
        </w:rPr>
      </w:pPr>
      <w:r w:rsidRPr="00B91671">
        <w:rPr>
          <w:rFonts w:ascii="Helvetica Neue" w:hAnsi="Helvetica Neue"/>
          <w:b w:val="0"/>
          <w:szCs w:val="24"/>
        </w:rPr>
        <w:t> </w:t>
      </w:r>
    </w:p>
    <w:p w14:paraId="452B5BEF" w14:textId="00AF835C" w:rsidR="001B71D5" w:rsidRPr="00B91671" w:rsidRDefault="001B71D5" w:rsidP="001B71D5">
      <w:pPr>
        <w:pStyle w:val="BodyText"/>
        <w:shd w:val="clear" w:color="auto" w:fill="FFFFFF"/>
        <w:rPr>
          <w:rFonts w:ascii="Helvetica Neue" w:hAnsi="Helvetica Neue"/>
          <w:b w:val="0"/>
          <w:szCs w:val="24"/>
          <w:lang w:val="en-US"/>
        </w:rPr>
      </w:pPr>
      <w:r w:rsidRPr="00B91671">
        <w:rPr>
          <w:rFonts w:ascii="Helvetica Neue" w:hAnsi="Helvetica Neue"/>
          <w:b w:val="0"/>
          <w:szCs w:val="24"/>
          <w:u w:val="single"/>
        </w:rPr>
        <w:t>Section 4 – Schedule</w:t>
      </w:r>
    </w:p>
    <w:p w14:paraId="2B72B8D7" w14:textId="77777777" w:rsidR="001B71D5" w:rsidRPr="00B91671" w:rsidRDefault="001B71D5" w:rsidP="001B71D5">
      <w:pPr>
        <w:pStyle w:val="BodyText"/>
        <w:shd w:val="clear" w:color="auto" w:fill="FFFFFF"/>
        <w:rPr>
          <w:rFonts w:ascii="Helvetica Neue" w:hAnsi="Helvetica Neue"/>
          <w:b w:val="0"/>
          <w:szCs w:val="24"/>
          <w:lang w:val="en-US"/>
        </w:rPr>
      </w:pPr>
      <w:r w:rsidRPr="00B91671">
        <w:rPr>
          <w:rFonts w:ascii="Helvetica Neue" w:hAnsi="Helvetica Neue"/>
          <w:b w:val="0"/>
          <w:szCs w:val="24"/>
        </w:rPr>
        <w:t> </w:t>
      </w:r>
    </w:p>
    <w:p w14:paraId="6B29E1DA" w14:textId="740FD891" w:rsidR="001B71D5" w:rsidRPr="00121841" w:rsidRDefault="001B71D5" w:rsidP="00121841">
      <w:pPr>
        <w:pStyle w:val="BodyText"/>
        <w:rPr>
          <w:b w:val="0"/>
          <w:szCs w:val="24"/>
        </w:rPr>
      </w:pPr>
      <w:r w:rsidRPr="00B91671">
        <w:rPr>
          <w:rFonts w:ascii="Helvetica Neue" w:hAnsi="Helvetica Neue"/>
          <w:b w:val="0"/>
          <w:szCs w:val="24"/>
        </w:rPr>
        <w:t xml:space="preserve">Section 4 provides that </w:t>
      </w:r>
      <w:r w:rsidR="00121841">
        <w:rPr>
          <w:b w:val="0"/>
          <w:szCs w:val="24"/>
        </w:rPr>
        <w:t>e</w:t>
      </w:r>
      <w:r w:rsidR="00121841" w:rsidRPr="0048206D">
        <w:rPr>
          <w:b w:val="0"/>
        </w:rPr>
        <w:t xml:space="preserve">ach instrument </w:t>
      </w:r>
      <w:r w:rsidRPr="00B91671">
        <w:rPr>
          <w:rFonts w:ascii="Helvetica Neue" w:hAnsi="Helvetica Neue"/>
          <w:b w:val="0"/>
          <w:szCs w:val="24"/>
        </w:rPr>
        <w:t xml:space="preserve">specified in </w:t>
      </w:r>
      <w:r w:rsidR="00121841">
        <w:rPr>
          <w:rFonts w:ascii="Helvetica Neue" w:hAnsi="Helvetica Neue"/>
          <w:b w:val="0"/>
          <w:szCs w:val="24"/>
        </w:rPr>
        <w:t>a</w:t>
      </w:r>
      <w:r w:rsidRPr="00B91671">
        <w:rPr>
          <w:rFonts w:ascii="Helvetica Neue" w:hAnsi="Helvetica Neue"/>
          <w:b w:val="0"/>
          <w:szCs w:val="24"/>
        </w:rPr>
        <w:t xml:space="preserve"> Schedule to th</w:t>
      </w:r>
      <w:r w:rsidR="00B91671">
        <w:rPr>
          <w:rFonts w:ascii="Helvetica Neue" w:hAnsi="Helvetica Neue"/>
          <w:b w:val="0"/>
          <w:szCs w:val="24"/>
        </w:rPr>
        <w:t>e</w:t>
      </w:r>
      <w:r w:rsidRPr="00B91671">
        <w:rPr>
          <w:rFonts w:ascii="Helvetica Neue" w:hAnsi="Helvetica Neue"/>
          <w:b w:val="0"/>
          <w:szCs w:val="24"/>
        </w:rPr>
        <w:t xml:space="preserve"> </w:t>
      </w:r>
      <w:r w:rsidR="0056298A">
        <w:rPr>
          <w:rFonts w:ascii="Helvetica Neue" w:hAnsi="Helvetica Neue"/>
          <w:b w:val="0"/>
          <w:szCs w:val="24"/>
        </w:rPr>
        <w:t xml:space="preserve">Amending </w:t>
      </w:r>
      <w:r w:rsidRPr="00B91671">
        <w:rPr>
          <w:rFonts w:ascii="Helvetica Neue" w:hAnsi="Helvetica Neue"/>
          <w:b w:val="0"/>
          <w:szCs w:val="24"/>
        </w:rPr>
        <w:t xml:space="preserve">Determination is amended </w:t>
      </w:r>
      <w:r w:rsidR="00121841">
        <w:rPr>
          <w:b w:val="0"/>
        </w:rPr>
        <w:t>as provided for in that</w:t>
      </w:r>
      <w:r w:rsidR="00121841" w:rsidRPr="0048206D">
        <w:rPr>
          <w:b w:val="0"/>
        </w:rPr>
        <w:t xml:space="preserve"> Schedule</w:t>
      </w:r>
      <w:r w:rsidR="00121841">
        <w:rPr>
          <w:b w:val="0"/>
        </w:rPr>
        <w:t>.</w:t>
      </w:r>
    </w:p>
    <w:p w14:paraId="32F94949" w14:textId="77777777" w:rsidR="00937D75" w:rsidRDefault="00937D75" w:rsidP="00937D75">
      <w:pPr>
        <w:shd w:val="clear" w:color="auto" w:fill="FFFFFF"/>
        <w:rPr>
          <w:rFonts w:ascii="Helvetica Neue" w:hAnsi="Helvetica Neue"/>
          <w:szCs w:val="24"/>
          <w:u w:val="single"/>
        </w:rPr>
      </w:pPr>
    </w:p>
    <w:p w14:paraId="0EB2CE8F" w14:textId="77777777" w:rsidR="00121841" w:rsidRDefault="001B71D5" w:rsidP="00937D75">
      <w:pPr>
        <w:shd w:val="clear" w:color="auto" w:fill="FFFFFF"/>
        <w:rPr>
          <w:rFonts w:ascii="Helvetica Neue" w:hAnsi="Helvetica Neue"/>
          <w:i/>
          <w:iCs/>
          <w:szCs w:val="24"/>
          <w:highlight w:val="yellow"/>
          <w:u w:val="single"/>
        </w:rPr>
      </w:pPr>
      <w:r w:rsidRPr="00121841">
        <w:rPr>
          <w:rFonts w:ascii="Helvetica Neue" w:hAnsi="Helvetica Neue"/>
          <w:szCs w:val="24"/>
          <w:u w:val="single"/>
        </w:rPr>
        <w:t>Schedule</w:t>
      </w:r>
      <w:r w:rsidR="00937D75" w:rsidRPr="00121841">
        <w:rPr>
          <w:rFonts w:ascii="Helvetica Neue" w:hAnsi="Helvetica Neue"/>
          <w:szCs w:val="24"/>
          <w:u w:val="single"/>
        </w:rPr>
        <w:t xml:space="preserve"> 1</w:t>
      </w:r>
      <w:r w:rsidRPr="00121841">
        <w:rPr>
          <w:rFonts w:ascii="Helvetica Neue" w:hAnsi="Helvetica Neue"/>
          <w:i/>
          <w:iCs/>
          <w:szCs w:val="24"/>
          <w:highlight w:val="yellow"/>
          <w:u w:val="single"/>
        </w:rPr>
        <w:br/>
      </w:r>
    </w:p>
    <w:p w14:paraId="3F0D9BD9" w14:textId="0AC60D25" w:rsidR="00121841" w:rsidRPr="00121841" w:rsidRDefault="00121841" w:rsidP="00121841">
      <w:pPr>
        <w:shd w:val="clear" w:color="auto" w:fill="FFFFFF"/>
        <w:rPr>
          <w:rFonts w:ascii="Helvetica Neue" w:hAnsi="Helvetica Neue"/>
          <w:iCs/>
          <w:szCs w:val="24"/>
        </w:rPr>
      </w:pPr>
      <w:r w:rsidRPr="00121841">
        <w:t xml:space="preserve">The </w:t>
      </w:r>
      <w:r w:rsidRPr="00121841">
        <w:rPr>
          <w:i/>
          <w:iCs/>
        </w:rPr>
        <w:t xml:space="preserve">Health Insurance (Section 3C General Medical Services – </w:t>
      </w:r>
      <w:r w:rsidRPr="00121841">
        <w:rPr>
          <w:i/>
        </w:rPr>
        <w:t>Eating Disorders Treatment Plan and P</w:t>
      </w:r>
      <w:r w:rsidRPr="00121841">
        <w:rPr>
          <w:i/>
          <w:iCs/>
        </w:rPr>
        <w:t>sychological Treatment Services</w:t>
      </w:r>
      <w:r w:rsidRPr="00121841">
        <w:rPr>
          <w:i/>
        </w:rPr>
        <w:t xml:space="preserve">) Determination 2019 </w:t>
      </w:r>
      <w:r w:rsidRPr="00121841">
        <w:t xml:space="preserve">(the Eating Disorders Determination) sets out details of various medical practitioner services to be made available for the management and treatment of eating disorders, </w:t>
      </w:r>
      <w:r w:rsidRPr="00121841">
        <w:rPr>
          <w:rFonts w:ascii="Helvetica Neue" w:hAnsi="Helvetica Neue"/>
          <w:iCs/>
          <w:szCs w:val="24"/>
        </w:rPr>
        <w:t xml:space="preserve">providing item numbers, descriptions and fees.  </w:t>
      </w:r>
      <w:r w:rsidRPr="00121841">
        <w:t xml:space="preserve"> </w:t>
      </w:r>
    </w:p>
    <w:p w14:paraId="0820AB6D" w14:textId="77777777" w:rsidR="00121841" w:rsidRPr="009712CF" w:rsidRDefault="00121841" w:rsidP="00121841">
      <w:pPr>
        <w:shd w:val="clear" w:color="auto" w:fill="FFFFFF"/>
        <w:rPr>
          <w:rFonts w:ascii="Helvetica Neue" w:hAnsi="Helvetica Neue"/>
          <w:iCs/>
          <w:szCs w:val="24"/>
          <w:highlight w:val="yellow"/>
        </w:rPr>
      </w:pPr>
    </w:p>
    <w:p w14:paraId="1323CE71" w14:textId="141F4DA0" w:rsidR="00737834" w:rsidRDefault="005025DD" w:rsidP="00630ABD">
      <w:pPr>
        <w:rPr>
          <w:color w:val="000000"/>
          <w:szCs w:val="24"/>
        </w:rPr>
      </w:pPr>
      <w:r>
        <w:t>In subsection 4(1) of the Eating Disorders Determination,</w:t>
      </w:r>
      <w:r w:rsidR="00630ABD">
        <w:t xml:space="preserve"> ‘</w:t>
      </w:r>
      <w:r w:rsidR="00630ABD" w:rsidRPr="00630ABD">
        <w:rPr>
          <w:color w:val="000000"/>
          <w:szCs w:val="24"/>
        </w:rPr>
        <w:t xml:space="preserve">eating disorder </w:t>
      </w:r>
      <w:r w:rsidR="00630ABD" w:rsidRPr="00630ABD">
        <w:rPr>
          <w:bCs/>
          <w:iCs/>
          <w:color w:val="000000"/>
          <w:szCs w:val="24"/>
        </w:rPr>
        <w:t xml:space="preserve">psychological </w:t>
      </w:r>
      <w:r w:rsidR="00630ABD" w:rsidRPr="00630ABD">
        <w:rPr>
          <w:color w:val="000000"/>
          <w:szCs w:val="24"/>
        </w:rPr>
        <w:t>treatment service</w:t>
      </w:r>
      <w:r w:rsidR="00630ABD">
        <w:rPr>
          <w:color w:val="000000"/>
          <w:szCs w:val="24"/>
        </w:rPr>
        <w:t xml:space="preserve">’ is defined as comprising various items listed in the Medicare Benefits Schedule. Paragraph (d) of the definition currently refers to items contained in Groups M7 and </w:t>
      </w:r>
      <w:r w:rsidR="00630ABD">
        <w:rPr>
          <w:color w:val="000000"/>
          <w:szCs w:val="24"/>
        </w:rPr>
        <w:lastRenderedPageBreak/>
        <w:t xml:space="preserve">M16 of the </w:t>
      </w:r>
      <w:r w:rsidR="00630ABD" w:rsidRPr="005A3045">
        <w:rPr>
          <w:color w:val="000000"/>
          <w:szCs w:val="24"/>
        </w:rPr>
        <w:t xml:space="preserve">of the </w:t>
      </w:r>
      <w:r w:rsidR="00630ABD" w:rsidRPr="005A3045">
        <w:rPr>
          <w:i/>
          <w:color w:val="000000"/>
          <w:szCs w:val="24"/>
        </w:rPr>
        <w:t>Health Insurance (Allied Health Services) Determination 2014</w:t>
      </w:r>
      <w:r w:rsidR="00630ABD">
        <w:rPr>
          <w:color w:val="000000"/>
          <w:szCs w:val="24"/>
        </w:rPr>
        <w:t xml:space="preserve"> (the Allied Health Determination), with the exception of items 82350 and 82351.  The Amending Determination seeks to expand the scope of paragraph (d) by adding a reference to Group M6 of the Allied Health Determination. </w:t>
      </w:r>
      <w:r w:rsidR="003F1A5C">
        <w:rPr>
          <w:color w:val="000000"/>
          <w:szCs w:val="24"/>
        </w:rPr>
        <w:t xml:space="preserve"> </w:t>
      </w:r>
      <w:r w:rsidR="00630ABD">
        <w:rPr>
          <w:color w:val="000000"/>
          <w:szCs w:val="24"/>
        </w:rPr>
        <w:t>Group M6 comprises eight items covering psychological therapy service</w:t>
      </w:r>
      <w:r w:rsidR="00737834">
        <w:rPr>
          <w:color w:val="000000"/>
          <w:szCs w:val="24"/>
        </w:rPr>
        <w:t>s performed by e</w:t>
      </w:r>
      <w:r w:rsidR="00737834" w:rsidRPr="00737834">
        <w:rPr>
          <w:color w:val="000000"/>
          <w:szCs w:val="24"/>
        </w:rPr>
        <w:t>ligible clinical psychologist</w:t>
      </w:r>
      <w:r w:rsidR="00737834">
        <w:rPr>
          <w:color w:val="000000"/>
          <w:szCs w:val="24"/>
        </w:rPr>
        <w:t>s</w:t>
      </w:r>
      <w:r w:rsidR="00737834" w:rsidRPr="00737834">
        <w:rPr>
          <w:bCs/>
          <w:iCs/>
          <w:color w:val="000000"/>
          <w:szCs w:val="24"/>
        </w:rPr>
        <w:t xml:space="preserve"> under the Better Access initiative</w:t>
      </w:r>
      <w:r w:rsidR="00737834">
        <w:rPr>
          <w:color w:val="000000"/>
          <w:szCs w:val="24"/>
        </w:rPr>
        <w:t xml:space="preserve">. </w:t>
      </w:r>
      <w:r w:rsidR="00737834">
        <w:rPr>
          <w:color w:val="000000"/>
          <w:szCs w:val="24"/>
        </w:rPr>
        <w:br/>
      </w:r>
    </w:p>
    <w:p w14:paraId="39E6D406" w14:textId="644003D2" w:rsidR="00630ABD" w:rsidRPr="00FC3FD3" w:rsidRDefault="00630ABD" w:rsidP="00630ABD">
      <w:pPr>
        <w:rPr>
          <w:szCs w:val="24"/>
          <w:highlight w:val="yellow"/>
          <w:u w:val="single"/>
        </w:rPr>
      </w:pPr>
      <w:r>
        <w:t xml:space="preserve">This amendment resolves an omission </w:t>
      </w:r>
      <w:r w:rsidR="00737834">
        <w:t xml:space="preserve">in </w:t>
      </w:r>
      <w:r>
        <w:t xml:space="preserve">the drafting of the </w:t>
      </w:r>
      <w:r w:rsidRPr="00CA7369">
        <w:t xml:space="preserve">Eating Disorders </w:t>
      </w:r>
      <w:r w:rsidRPr="00FC3FD3">
        <w:t>Determination</w:t>
      </w:r>
      <w:r w:rsidR="00737834">
        <w:t>. There is no change to the policy intent that a</w:t>
      </w:r>
      <w:r w:rsidR="00737834" w:rsidRPr="00737834">
        <w:rPr>
          <w:iCs/>
        </w:rPr>
        <w:t xml:space="preserve"> patient cannot </w:t>
      </w:r>
      <w:r w:rsidR="00737834">
        <w:rPr>
          <w:iCs/>
        </w:rPr>
        <w:t>access</w:t>
      </w:r>
      <w:r w:rsidR="00737834" w:rsidRPr="00737834">
        <w:rPr>
          <w:iCs/>
        </w:rPr>
        <w:t xml:space="preserve"> more than 40 ‘eating disorder psychological treatment services’ in a 12 month period. </w:t>
      </w:r>
      <w:r w:rsidR="00737834" w:rsidRPr="00737834">
        <w:rPr>
          <w:bCs/>
          <w:iCs/>
        </w:rPr>
        <w:t>These treatment services include Medicare mental health treatment services currently provided to patients under the Better Access initiative, and from 1 November 2019, will include mental health services provided to patients with an eligible eating disorder</w:t>
      </w:r>
      <w:r w:rsidR="00C77AA5">
        <w:rPr>
          <w:bCs/>
          <w:iCs/>
        </w:rPr>
        <w:t>.</w:t>
      </w:r>
    </w:p>
    <w:p w14:paraId="7ABA72A8" w14:textId="76BF9478" w:rsidR="00630ABD" w:rsidRPr="00630ABD" w:rsidRDefault="00630ABD" w:rsidP="00121841">
      <w:r>
        <w:rPr>
          <w:color w:val="000000"/>
          <w:szCs w:val="24"/>
        </w:rPr>
        <w:t xml:space="preserve">   </w:t>
      </w:r>
      <w:r w:rsidR="005025DD" w:rsidRPr="00630ABD">
        <w:t xml:space="preserve"> </w:t>
      </w:r>
    </w:p>
    <w:p w14:paraId="1FD8E89C" w14:textId="7D2F563B" w:rsidR="00121841" w:rsidRDefault="00630ABD" w:rsidP="00121841">
      <w:r>
        <w:t>S</w:t>
      </w:r>
      <w:r w:rsidR="00121841" w:rsidRPr="00CA7369">
        <w:t>ubsection 7(2) of the Eating Disorders Determination provides that items for the development and review of an eating disorder management plan</w:t>
      </w:r>
      <w:r w:rsidR="00CA7369" w:rsidRPr="00CA7369">
        <w:t xml:space="preserve"> (items in Subgroups 1 and 3 of Schedule 1 of that instrument)</w:t>
      </w:r>
      <w:r w:rsidR="00121841" w:rsidRPr="00CA7369">
        <w:t>, performed by a medical practitioner working in general practice, cannot be performed in association with a GP mental health consultation service</w:t>
      </w:r>
      <w:r w:rsidR="00CA7369">
        <w:t xml:space="preserve"> (item 2713 of the Table).</w:t>
      </w:r>
    </w:p>
    <w:p w14:paraId="40EA101D" w14:textId="7AF09B6B" w:rsidR="00CA7369" w:rsidRDefault="00CA7369" w:rsidP="00121841"/>
    <w:p w14:paraId="7CFCC72C" w14:textId="711AAA19" w:rsidR="00937D75" w:rsidRPr="00FC3FD3" w:rsidRDefault="00CA7369" w:rsidP="00CA7369">
      <w:pPr>
        <w:rPr>
          <w:szCs w:val="24"/>
          <w:highlight w:val="yellow"/>
          <w:u w:val="single"/>
        </w:rPr>
      </w:pPr>
      <w:r w:rsidRPr="00CA7369">
        <w:t>The Amending Determination omits “2713” and substitutes with “279 or 2713” to include the mental health consultation service which can be performed by medical practitioners in general practice without vocational training (known as ‘other medical practitioners’</w:t>
      </w:r>
      <w:r>
        <w:t>)</w:t>
      </w:r>
      <w:r w:rsidRPr="00CA7369">
        <w:t>.</w:t>
      </w:r>
      <w:r>
        <w:t xml:space="preserve"> This amendment resolves an omission with the drafting of the </w:t>
      </w:r>
      <w:r w:rsidRPr="00CA7369">
        <w:t xml:space="preserve">Eating Disorders </w:t>
      </w:r>
      <w:r w:rsidRPr="00FC3FD3">
        <w:t>Determination, and there has been no change to the intended policy.</w:t>
      </w:r>
    </w:p>
    <w:p w14:paraId="1AD79AF0" w14:textId="77777777" w:rsidR="00CA7369" w:rsidRPr="00FC3FD3" w:rsidRDefault="00CA7369" w:rsidP="00121841">
      <w:pPr>
        <w:shd w:val="clear" w:color="auto" w:fill="FFFFFF"/>
        <w:rPr>
          <w:szCs w:val="24"/>
          <w:highlight w:val="yellow"/>
          <w:u w:val="single"/>
        </w:rPr>
      </w:pPr>
    </w:p>
    <w:p w14:paraId="29ECE74C" w14:textId="70394859" w:rsidR="00121841" w:rsidRPr="00F05085" w:rsidRDefault="00121841" w:rsidP="00121841">
      <w:pPr>
        <w:shd w:val="clear" w:color="auto" w:fill="FFFFFF"/>
        <w:rPr>
          <w:szCs w:val="24"/>
        </w:rPr>
      </w:pPr>
      <w:r w:rsidRPr="00F05085">
        <w:rPr>
          <w:szCs w:val="24"/>
          <w:u w:val="single"/>
        </w:rPr>
        <w:t>Schedule</w:t>
      </w:r>
      <w:r w:rsidR="00CA7369" w:rsidRPr="00F05085">
        <w:rPr>
          <w:szCs w:val="24"/>
          <w:u w:val="single"/>
        </w:rPr>
        <w:t xml:space="preserve"> 2</w:t>
      </w:r>
      <w:r w:rsidRPr="00F05085">
        <w:rPr>
          <w:i/>
          <w:iCs/>
          <w:szCs w:val="24"/>
          <w:u w:val="single"/>
        </w:rPr>
        <w:br/>
      </w:r>
    </w:p>
    <w:p w14:paraId="47ECD16A" w14:textId="57E7D30C" w:rsidR="00F05085" w:rsidRDefault="00FC3FD3" w:rsidP="00F05085">
      <w:pPr>
        <w:shd w:val="clear" w:color="auto" w:fill="FFFFFF"/>
        <w:rPr>
          <w:rFonts w:ascii="Helvetica Neue" w:hAnsi="Helvetica Neue"/>
          <w:iCs/>
          <w:szCs w:val="24"/>
        </w:rPr>
      </w:pPr>
      <w:r w:rsidRPr="00F05085">
        <w:rPr>
          <w:rFonts w:ascii="Helvetica Neue" w:hAnsi="Helvetica Neue"/>
          <w:iCs/>
          <w:szCs w:val="24"/>
        </w:rPr>
        <w:t xml:space="preserve">The </w:t>
      </w:r>
      <w:r w:rsidRPr="00F05085">
        <w:rPr>
          <w:rFonts w:ascii="Helvetica Neue" w:hAnsi="Helvetica Neue"/>
          <w:i/>
          <w:iCs/>
          <w:szCs w:val="24"/>
        </w:rPr>
        <w:t>Health Insurance (Section 3C General Medical Services – Other Medical Practitioner) Determination 2018</w:t>
      </w:r>
      <w:r w:rsidR="00F05085">
        <w:rPr>
          <w:rFonts w:ascii="Helvetica Neue" w:hAnsi="Helvetica Neue"/>
          <w:i/>
          <w:iCs/>
          <w:szCs w:val="24"/>
        </w:rPr>
        <w:t xml:space="preserve"> </w:t>
      </w:r>
      <w:r w:rsidR="00F05085">
        <w:rPr>
          <w:rFonts w:ascii="Helvetica Neue" w:hAnsi="Helvetica Neue"/>
          <w:iCs/>
          <w:szCs w:val="24"/>
        </w:rPr>
        <w:t>(OMP Determination)</w:t>
      </w:r>
      <w:r w:rsidRPr="00F05085">
        <w:rPr>
          <w:rFonts w:ascii="Helvetica Neue" w:hAnsi="Helvetica Neue"/>
          <w:i/>
          <w:iCs/>
          <w:szCs w:val="24"/>
        </w:rPr>
        <w:t xml:space="preserve"> </w:t>
      </w:r>
      <w:r w:rsidRPr="00F05085">
        <w:t xml:space="preserve">sets out details of </w:t>
      </w:r>
      <w:r w:rsidR="00F05085" w:rsidRPr="00F05085">
        <w:rPr>
          <w:rFonts w:ascii="Helvetica Neue" w:hAnsi="Helvetica Neue"/>
          <w:iCs/>
          <w:szCs w:val="24"/>
        </w:rPr>
        <w:t>OMP consultation services providing item numbers, descriptions and fees. The fees for the consultation items are set at 80% of the equivalent general practitioner item.</w:t>
      </w:r>
    </w:p>
    <w:p w14:paraId="4785E61D" w14:textId="2B6713FE" w:rsidR="00F05085" w:rsidRDefault="00F05085" w:rsidP="00F05085">
      <w:pPr>
        <w:shd w:val="clear" w:color="auto" w:fill="FFFFFF"/>
        <w:rPr>
          <w:rFonts w:ascii="Helvetica Neue" w:hAnsi="Helvetica Neue"/>
          <w:iCs/>
          <w:szCs w:val="24"/>
        </w:rPr>
      </w:pPr>
    </w:p>
    <w:p w14:paraId="2C76B2FE" w14:textId="453EC588" w:rsidR="00F05085" w:rsidRPr="00F05085" w:rsidRDefault="00F05085" w:rsidP="00F05085">
      <w:pPr>
        <w:shd w:val="clear" w:color="auto" w:fill="FFFFFF"/>
      </w:pPr>
      <w:r>
        <w:rPr>
          <w:rFonts w:ascii="Helvetica Neue" w:hAnsi="Helvetica Neue"/>
          <w:iCs/>
          <w:szCs w:val="24"/>
        </w:rPr>
        <w:t xml:space="preserve">The </w:t>
      </w:r>
      <w:r w:rsidRPr="00F05085">
        <w:rPr>
          <w:rFonts w:ascii="Helvetica Neue" w:hAnsi="Helvetica Neue"/>
          <w:i/>
          <w:iCs/>
          <w:szCs w:val="24"/>
        </w:rPr>
        <w:t>Health Insurance (Section 3C General Medical Services – General Practice Telehealth Services) Amendment Determination (No. 2) 2019</w:t>
      </w:r>
      <w:r>
        <w:rPr>
          <w:rFonts w:ascii="Helvetica Neue" w:hAnsi="Helvetica Neue"/>
          <w:i/>
          <w:iCs/>
          <w:szCs w:val="24"/>
        </w:rPr>
        <w:t xml:space="preserve"> </w:t>
      </w:r>
      <w:r>
        <w:rPr>
          <w:rFonts w:ascii="Helvetica Neue" w:hAnsi="Helvetica Neue"/>
          <w:iCs/>
          <w:szCs w:val="24"/>
        </w:rPr>
        <w:t xml:space="preserve">amends the OMP Determination from 1 November 2019 to </w:t>
      </w:r>
      <w:r w:rsidRPr="00F05085">
        <w:rPr>
          <w:rFonts w:ascii="Helvetica Neue" w:hAnsi="Helvetica Neue"/>
          <w:iCs/>
          <w:szCs w:val="24"/>
        </w:rPr>
        <w:t xml:space="preserve">list four new telehealth services provided by </w:t>
      </w:r>
      <w:r>
        <w:rPr>
          <w:rFonts w:ascii="Helvetica Neue" w:hAnsi="Helvetica Neue"/>
          <w:iCs/>
          <w:szCs w:val="24"/>
        </w:rPr>
        <w:t>OMPs</w:t>
      </w:r>
      <w:r w:rsidRPr="00F05085">
        <w:rPr>
          <w:rFonts w:ascii="Helvetica Neue" w:hAnsi="Helvetica Neue"/>
          <w:iCs/>
          <w:szCs w:val="24"/>
        </w:rPr>
        <w:t xml:space="preserve"> for patients in rural and remote areas (Modified Monash 6 or 7)</w:t>
      </w:r>
      <w:r>
        <w:rPr>
          <w:rFonts w:ascii="Helvetica Neue" w:hAnsi="Helvetica Neue"/>
          <w:iCs/>
          <w:szCs w:val="24"/>
        </w:rPr>
        <w:t xml:space="preserve">, including item </w:t>
      </w:r>
      <w:r w:rsidRPr="00F05085">
        <w:rPr>
          <w:rFonts w:ascii="Helvetica Neue" w:hAnsi="Helvetica Neue"/>
          <w:iCs/>
          <w:szCs w:val="24"/>
        </w:rPr>
        <w:t>2483.</w:t>
      </w:r>
      <w:r>
        <w:rPr>
          <w:rFonts w:ascii="Helvetica Neue" w:hAnsi="Helvetica Neue"/>
          <w:iCs/>
          <w:szCs w:val="24"/>
        </w:rPr>
        <w:t xml:space="preserve"> </w:t>
      </w:r>
    </w:p>
    <w:p w14:paraId="2D41B08B" w14:textId="55D340CF" w:rsidR="00FC3FD3" w:rsidRDefault="00FC3FD3" w:rsidP="00FC3FD3">
      <w:pPr>
        <w:shd w:val="clear" w:color="auto" w:fill="FFFFFF"/>
      </w:pPr>
    </w:p>
    <w:p w14:paraId="1F2605BE" w14:textId="4987DF3A" w:rsidR="00F05085" w:rsidRPr="009712CF" w:rsidRDefault="00F05085" w:rsidP="00F05085">
      <w:pPr>
        <w:shd w:val="clear" w:color="auto" w:fill="FFFFFF"/>
        <w:rPr>
          <w:highlight w:val="yellow"/>
        </w:rPr>
      </w:pPr>
      <w:r w:rsidRPr="00F05085">
        <w:t xml:space="preserve">The Amending Determination repeals and substitutes item </w:t>
      </w:r>
      <w:r w:rsidRPr="00F05085">
        <w:rPr>
          <w:rFonts w:ascii="Helvetica Neue" w:hAnsi="Helvetica Neue"/>
          <w:iCs/>
          <w:szCs w:val="24"/>
        </w:rPr>
        <w:t xml:space="preserve">2483 to resolve a </w:t>
      </w:r>
      <w:r>
        <w:rPr>
          <w:rFonts w:ascii="Helvetica Neue" w:hAnsi="Helvetica Neue"/>
          <w:iCs/>
          <w:szCs w:val="24"/>
        </w:rPr>
        <w:t xml:space="preserve">minor </w:t>
      </w:r>
      <w:r w:rsidRPr="00F05085">
        <w:rPr>
          <w:rFonts w:ascii="Helvetica Neue" w:hAnsi="Helvetica Neue"/>
          <w:iCs/>
          <w:szCs w:val="24"/>
        </w:rPr>
        <w:t>drafting error</w:t>
      </w:r>
      <w:r>
        <w:rPr>
          <w:rFonts w:ascii="Helvetica Neue" w:hAnsi="Helvetica Neue"/>
          <w:iCs/>
          <w:szCs w:val="24"/>
        </w:rPr>
        <w:t xml:space="preserve"> by clarifying the service is to be rendered by a medical practitioner. </w:t>
      </w:r>
    </w:p>
    <w:p w14:paraId="5FBFD26D" w14:textId="77777777" w:rsidR="00121841" w:rsidRPr="00FC3FD3" w:rsidRDefault="00121841" w:rsidP="00937D75">
      <w:pPr>
        <w:shd w:val="clear" w:color="auto" w:fill="FFFFFF"/>
        <w:rPr>
          <w:szCs w:val="24"/>
          <w:highlight w:val="yellow"/>
          <w:u w:val="single"/>
        </w:rPr>
      </w:pPr>
    </w:p>
    <w:p w14:paraId="7CECAD88" w14:textId="7D87D9EA" w:rsidR="00937D75" w:rsidRPr="004F47FB" w:rsidRDefault="00937D75" w:rsidP="00937D75">
      <w:pPr>
        <w:shd w:val="clear" w:color="auto" w:fill="FFFFFF"/>
        <w:rPr>
          <w:szCs w:val="24"/>
        </w:rPr>
      </w:pPr>
      <w:r w:rsidRPr="004F47FB">
        <w:rPr>
          <w:szCs w:val="24"/>
          <w:u w:val="single"/>
        </w:rPr>
        <w:t>Schedule</w:t>
      </w:r>
      <w:r w:rsidR="00121841" w:rsidRPr="004F47FB">
        <w:rPr>
          <w:szCs w:val="24"/>
          <w:u w:val="single"/>
        </w:rPr>
        <w:t xml:space="preserve"> 3</w:t>
      </w:r>
      <w:r w:rsidRPr="004F47FB">
        <w:rPr>
          <w:i/>
          <w:iCs/>
          <w:szCs w:val="24"/>
          <w:u w:val="single"/>
        </w:rPr>
        <w:br/>
      </w:r>
    </w:p>
    <w:p w14:paraId="475C543A" w14:textId="59BF6A77" w:rsidR="004F47FB" w:rsidRDefault="004F47FB" w:rsidP="00FB772F">
      <w:pPr>
        <w:shd w:val="clear" w:color="auto" w:fill="FFFFFF"/>
        <w:rPr>
          <w:szCs w:val="24"/>
        </w:rPr>
      </w:pPr>
      <w:r w:rsidRPr="004F47FB">
        <w:rPr>
          <w:szCs w:val="24"/>
        </w:rPr>
        <w:t xml:space="preserve">The amendments in this Schedule update the definition of the Australian Statistical Geography Standard to </w:t>
      </w:r>
      <w:r>
        <w:rPr>
          <w:szCs w:val="24"/>
        </w:rPr>
        <w:t>incorporate</w:t>
      </w:r>
      <w:r w:rsidRPr="004F47FB">
        <w:rPr>
          <w:szCs w:val="24"/>
        </w:rPr>
        <w:t xml:space="preserve"> the latest July 2016 edition. This edition will exist as at 1 January 2020 and is published on the Australian Bureau of Statistics’ website</w:t>
      </w:r>
      <w:r>
        <w:rPr>
          <w:szCs w:val="24"/>
        </w:rPr>
        <w:t xml:space="preserve"> </w:t>
      </w:r>
      <w:hyperlink r:id="rId11" w:history="1">
        <w:r w:rsidRPr="004C0C63">
          <w:rPr>
            <w:rStyle w:val="Hyperlink"/>
            <w:szCs w:val="24"/>
          </w:rPr>
          <w:t>www.abs.gov.au</w:t>
        </w:r>
      </w:hyperlink>
      <w:r>
        <w:rPr>
          <w:szCs w:val="24"/>
        </w:rPr>
        <w:t xml:space="preserve"> </w:t>
      </w:r>
      <w:r w:rsidRPr="004F47FB">
        <w:rPr>
          <w:szCs w:val="24"/>
        </w:rPr>
        <w:t>.</w:t>
      </w:r>
    </w:p>
    <w:p w14:paraId="1F643CE9" w14:textId="1C85A5A1" w:rsidR="004F47FB" w:rsidRDefault="004F47FB" w:rsidP="00FB772F">
      <w:pPr>
        <w:shd w:val="clear" w:color="auto" w:fill="FFFFFF"/>
        <w:rPr>
          <w:szCs w:val="24"/>
        </w:rPr>
      </w:pPr>
    </w:p>
    <w:p w14:paraId="4F145C6A" w14:textId="298E822A" w:rsidR="00013E7F" w:rsidRDefault="00FB772F" w:rsidP="00C114CA">
      <w:pPr>
        <w:shd w:val="clear" w:color="auto" w:fill="FFFFFF"/>
        <w:rPr>
          <w:rFonts w:ascii="Helvetica Neue" w:hAnsi="Helvetica Neue"/>
          <w:szCs w:val="24"/>
        </w:rPr>
      </w:pPr>
      <w:r>
        <w:rPr>
          <w:rFonts w:ascii="Helvetica Neue" w:hAnsi="Helvetica Neue"/>
          <w:szCs w:val="24"/>
        </w:rPr>
        <w:br w:type="page"/>
      </w:r>
    </w:p>
    <w:p w14:paraId="2B4E39D7" w14:textId="44558A5E" w:rsidR="001B71D5" w:rsidRDefault="001B71D5" w:rsidP="00013E7F">
      <w:pPr>
        <w:shd w:val="clear" w:color="auto" w:fill="FFFFFF"/>
        <w:jc w:val="center"/>
        <w:rPr>
          <w:rFonts w:ascii="Helvetica Neue" w:hAnsi="Helvetica Neue"/>
          <w:b/>
          <w:bCs/>
          <w:szCs w:val="24"/>
        </w:rPr>
      </w:pPr>
      <w:r w:rsidRPr="00BD69A8">
        <w:rPr>
          <w:rFonts w:ascii="Helvetica Neue" w:hAnsi="Helvetica Neue"/>
          <w:b/>
          <w:bCs/>
          <w:szCs w:val="24"/>
        </w:rPr>
        <w:lastRenderedPageBreak/>
        <w:t>Statement of Compatibility with Human Rights</w:t>
      </w:r>
    </w:p>
    <w:p w14:paraId="730DC72B" w14:textId="0976CF6C" w:rsidR="001B71D5" w:rsidRPr="00BD69A8" w:rsidRDefault="001B71D5" w:rsidP="001B71D5">
      <w:pPr>
        <w:shd w:val="clear" w:color="auto" w:fill="FFFFFF"/>
        <w:spacing w:before="120" w:after="120"/>
        <w:jc w:val="center"/>
        <w:rPr>
          <w:rFonts w:ascii="Helvetica Neue" w:hAnsi="Helvetica Neue"/>
          <w:szCs w:val="24"/>
          <w:lang w:val="en-US"/>
        </w:rPr>
      </w:pPr>
      <w:r w:rsidRPr="00BD69A8">
        <w:rPr>
          <w:rFonts w:ascii="Helvetica Neue" w:hAnsi="Helvetica Neue"/>
          <w:i/>
          <w:iCs/>
          <w:szCs w:val="24"/>
        </w:rPr>
        <w:t>Prepared in accordance with Part 3 of the Human Rights (Parliamentary Scrutiny) Act 2011</w:t>
      </w:r>
    </w:p>
    <w:p w14:paraId="02501E5D" w14:textId="77777777" w:rsidR="00E7503F" w:rsidRDefault="00E7503F" w:rsidP="001A0856">
      <w:pPr>
        <w:shd w:val="clear" w:color="auto" w:fill="FFFFFF"/>
        <w:jc w:val="center"/>
        <w:rPr>
          <w:rFonts w:ascii="Helvetica Neue" w:hAnsi="Helvetica Neue"/>
          <w:b/>
          <w:bCs/>
          <w:i/>
          <w:iCs/>
          <w:szCs w:val="24"/>
        </w:rPr>
      </w:pPr>
    </w:p>
    <w:p w14:paraId="155EC4D0" w14:textId="08175622" w:rsidR="00E7503F" w:rsidRDefault="001B71D5" w:rsidP="001A0856">
      <w:pPr>
        <w:shd w:val="clear" w:color="auto" w:fill="FFFFFF"/>
        <w:jc w:val="center"/>
        <w:rPr>
          <w:rFonts w:ascii="Helvetica Neue" w:hAnsi="Helvetica Neue"/>
          <w:b/>
          <w:bCs/>
          <w:i/>
          <w:iCs/>
          <w:szCs w:val="24"/>
        </w:rPr>
      </w:pPr>
      <w:r w:rsidRPr="001A0856">
        <w:rPr>
          <w:rFonts w:ascii="Helvetica Neue" w:hAnsi="Helvetica Neue"/>
          <w:b/>
          <w:bCs/>
          <w:i/>
          <w:iCs/>
          <w:szCs w:val="24"/>
        </w:rPr>
        <w:t xml:space="preserve">Health Insurance (Section 3C – </w:t>
      </w:r>
      <w:r w:rsidR="006E344E">
        <w:rPr>
          <w:rFonts w:ascii="Helvetica Neue" w:hAnsi="Helvetica Neue"/>
          <w:b/>
          <w:bCs/>
          <w:i/>
          <w:iCs/>
          <w:szCs w:val="24"/>
        </w:rPr>
        <w:t>Other Medical Practitioner</w:t>
      </w:r>
      <w:r w:rsidR="00E7503F">
        <w:rPr>
          <w:rFonts w:ascii="Helvetica Neue" w:hAnsi="Helvetica Neue"/>
          <w:b/>
          <w:bCs/>
          <w:i/>
          <w:iCs/>
          <w:szCs w:val="24"/>
        </w:rPr>
        <w:t xml:space="preserve"> and Telehealth</w:t>
      </w:r>
      <w:r w:rsidRPr="001A0856">
        <w:rPr>
          <w:rFonts w:ascii="Helvetica Neue" w:hAnsi="Helvetica Neue"/>
          <w:b/>
          <w:bCs/>
          <w:i/>
          <w:iCs/>
          <w:szCs w:val="24"/>
        </w:rPr>
        <w:t xml:space="preserve">) </w:t>
      </w:r>
    </w:p>
    <w:p w14:paraId="4AE7A8A1" w14:textId="04E6198C" w:rsidR="001B71D5" w:rsidRDefault="001B71D5" w:rsidP="001A0856">
      <w:pPr>
        <w:shd w:val="clear" w:color="auto" w:fill="FFFFFF"/>
        <w:jc w:val="center"/>
        <w:rPr>
          <w:rFonts w:ascii="Helvetica Neue" w:hAnsi="Helvetica Neue"/>
          <w:b/>
          <w:bCs/>
          <w:i/>
          <w:iCs/>
          <w:szCs w:val="24"/>
        </w:rPr>
      </w:pPr>
      <w:r w:rsidRPr="001A0856">
        <w:rPr>
          <w:rFonts w:ascii="Helvetica Neue" w:hAnsi="Helvetica Neue"/>
          <w:b/>
          <w:bCs/>
          <w:i/>
          <w:iCs/>
          <w:szCs w:val="24"/>
        </w:rPr>
        <w:t xml:space="preserve">Amendment </w:t>
      </w:r>
      <w:r w:rsidR="001A0856" w:rsidRPr="001A0856">
        <w:rPr>
          <w:rFonts w:ascii="Helvetica Neue" w:hAnsi="Helvetica Neue"/>
          <w:b/>
          <w:i/>
          <w:iCs/>
          <w:szCs w:val="24"/>
        </w:rPr>
        <w:t xml:space="preserve">(Australian Statistical Geography Standard) </w:t>
      </w:r>
      <w:r w:rsidRPr="001A0856">
        <w:rPr>
          <w:rFonts w:ascii="Helvetica Neue" w:hAnsi="Helvetica Neue"/>
          <w:b/>
          <w:bCs/>
          <w:i/>
          <w:iCs/>
          <w:szCs w:val="24"/>
        </w:rPr>
        <w:t>Determination 2019</w:t>
      </w:r>
    </w:p>
    <w:p w14:paraId="41669A16" w14:textId="77777777" w:rsidR="00FD38A9" w:rsidRDefault="00FD38A9" w:rsidP="00FD38A9">
      <w:pPr>
        <w:shd w:val="clear" w:color="auto" w:fill="FFFFFF"/>
        <w:rPr>
          <w:rFonts w:ascii="Helvetica Neue" w:hAnsi="Helvetica Neue"/>
          <w:szCs w:val="24"/>
        </w:rPr>
      </w:pPr>
    </w:p>
    <w:p w14:paraId="343CFEE2" w14:textId="5F4050BF" w:rsidR="001B71D5" w:rsidRPr="00BD69A8" w:rsidRDefault="001B71D5" w:rsidP="00FD38A9">
      <w:pPr>
        <w:shd w:val="clear" w:color="auto" w:fill="FFFFFF"/>
        <w:rPr>
          <w:rFonts w:ascii="Helvetica Neue" w:hAnsi="Helvetica Neue"/>
          <w:szCs w:val="24"/>
          <w:lang w:val="en-US"/>
        </w:rPr>
      </w:pPr>
      <w:r w:rsidRPr="00BD69A8">
        <w:rPr>
          <w:rFonts w:ascii="Helvetica Neue" w:hAnsi="Helvetica Neue"/>
          <w:szCs w:val="24"/>
        </w:rPr>
        <w:t xml:space="preserve">This instrument is compatible with the human rights and freedoms recognised or declared in the international instruments listed in section 3 of the </w:t>
      </w:r>
      <w:r w:rsidRPr="00BD69A8">
        <w:rPr>
          <w:rFonts w:ascii="Helvetica Neue" w:hAnsi="Helvetica Neue"/>
          <w:i/>
          <w:iCs/>
          <w:szCs w:val="24"/>
        </w:rPr>
        <w:t>Human Rights (Parliamentary Scrutiny) Act 2011</w:t>
      </w:r>
      <w:r w:rsidRPr="00BD69A8">
        <w:rPr>
          <w:rFonts w:ascii="Helvetica Neue" w:hAnsi="Helvetica Neue"/>
          <w:szCs w:val="24"/>
        </w:rPr>
        <w:t>.</w:t>
      </w:r>
    </w:p>
    <w:p w14:paraId="230AE823" w14:textId="6121536B" w:rsidR="001B71D5" w:rsidRPr="00BD69A8" w:rsidRDefault="001B71D5" w:rsidP="00C114CA">
      <w:pPr>
        <w:shd w:val="clear" w:color="auto" w:fill="FFFFFF"/>
        <w:spacing w:before="120" w:after="120"/>
        <w:rPr>
          <w:rFonts w:ascii="Helvetica Neue" w:hAnsi="Helvetica Neue"/>
          <w:szCs w:val="24"/>
          <w:lang w:val="en-US"/>
        </w:rPr>
      </w:pPr>
      <w:r w:rsidRPr="00BD69A8">
        <w:rPr>
          <w:rFonts w:ascii="Helvetica Neue" w:hAnsi="Helvetica Neue"/>
          <w:b/>
          <w:bCs/>
          <w:szCs w:val="24"/>
        </w:rPr>
        <w:t>Overview of the Determination</w:t>
      </w:r>
    </w:p>
    <w:p w14:paraId="5C496AAC" w14:textId="75089241" w:rsidR="007F44DC" w:rsidRPr="007F44DC" w:rsidRDefault="007F44DC" w:rsidP="007F44DC">
      <w:pPr>
        <w:shd w:val="clear" w:color="auto" w:fill="FFFFFF"/>
        <w:spacing w:before="120" w:after="120"/>
        <w:rPr>
          <w:rFonts w:ascii="Helvetica Neue" w:hAnsi="Helvetica Neue"/>
          <w:iCs/>
          <w:szCs w:val="24"/>
          <w:lang w:val="en"/>
        </w:rPr>
      </w:pPr>
      <w:r w:rsidRPr="007F44DC">
        <w:rPr>
          <w:rFonts w:ascii="Helvetica Neue" w:hAnsi="Helvetica Neue"/>
          <w:iCs/>
          <w:szCs w:val="24"/>
        </w:rPr>
        <w:t>Under the Australian Statistical Geography Standard (ASGS), published by the Australian Bureau of Statistics (the ABS), Australia is divided into various categories of Remoteness Area (RA).  The Department of Health uses the ASGS-RA structure as the basis of its own Modified Monash Model (MMM), which further classifies areas according to population size, RA and proximity to other population centres</w:t>
      </w:r>
      <w:r w:rsidRPr="007F44DC">
        <w:rPr>
          <w:rFonts w:ascii="Helvetica Neue" w:hAnsi="Helvetica Neue"/>
          <w:iCs/>
          <w:szCs w:val="24"/>
          <w:lang w:val="en"/>
        </w:rPr>
        <w:t>.</w:t>
      </w:r>
    </w:p>
    <w:p w14:paraId="078E2207" w14:textId="73FECD83" w:rsidR="007F44DC" w:rsidRPr="007F44DC" w:rsidRDefault="007F44DC" w:rsidP="007F44DC">
      <w:pPr>
        <w:shd w:val="clear" w:color="auto" w:fill="FFFFFF"/>
        <w:spacing w:before="120" w:after="120"/>
        <w:rPr>
          <w:rFonts w:ascii="Helvetica Neue" w:hAnsi="Helvetica Neue"/>
          <w:iCs/>
          <w:szCs w:val="24"/>
          <w:lang w:val="en"/>
        </w:rPr>
      </w:pPr>
      <w:r w:rsidRPr="007F44DC">
        <w:rPr>
          <w:rFonts w:ascii="Helvetica Neue" w:hAnsi="Helvetica Neue"/>
          <w:iCs/>
          <w:szCs w:val="24"/>
        </w:rPr>
        <w:t xml:space="preserve">The MMM categorises these areas in Australia into seven remoteness categories. It was developed to identify health access issues in remote and smaller communities, allowing health workforce programs and Medicare benefits to be better </w:t>
      </w:r>
      <w:r>
        <w:rPr>
          <w:rFonts w:ascii="Helvetica Neue" w:hAnsi="Helvetica Neue"/>
          <w:iCs/>
          <w:szCs w:val="24"/>
        </w:rPr>
        <w:t xml:space="preserve">targeted. </w:t>
      </w:r>
    </w:p>
    <w:p w14:paraId="35981F7B" w14:textId="7DFF7BBD" w:rsidR="007F44DC" w:rsidRPr="007F44DC" w:rsidRDefault="007F44DC" w:rsidP="007F44DC">
      <w:pPr>
        <w:shd w:val="clear" w:color="auto" w:fill="FFFFFF"/>
        <w:spacing w:before="120" w:after="120"/>
        <w:rPr>
          <w:rFonts w:ascii="Helvetica Neue" w:hAnsi="Helvetica Neue"/>
          <w:iCs/>
          <w:szCs w:val="24"/>
        </w:rPr>
      </w:pPr>
      <w:r w:rsidRPr="007F44DC">
        <w:rPr>
          <w:rFonts w:ascii="Helvetica Neue" w:hAnsi="Helvetica Neue"/>
          <w:iCs/>
          <w:szCs w:val="24"/>
        </w:rPr>
        <w:t xml:space="preserve">The purpose of the </w:t>
      </w:r>
      <w:r w:rsidRPr="007F44DC">
        <w:rPr>
          <w:rFonts w:ascii="Helvetica Neue" w:hAnsi="Helvetica Neue"/>
          <w:i/>
          <w:iCs/>
          <w:szCs w:val="24"/>
        </w:rPr>
        <w:t>Health Insurance (Section 3C – Other Medical Practitioner and Telehealth) Amendment</w:t>
      </w:r>
      <w:r w:rsidRPr="007F44DC">
        <w:rPr>
          <w:rFonts w:ascii="Helvetica Neue" w:hAnsi="Helvetica Neue"/>
          <w:iCs/>
          <w:szCs w:val="24"/>
        </w:rPr>
        <w:t xml:space="preserve"> </w:t>
      </w:r>
      <w:r w:rsidRPr="007F44DC">
        <w:rPr>
          <w:rFonts w:ascii="Helvetica Neue" w:hAnsi="Helvetica Neue"/>
          <w:i/>
          <w:iCs/>
          <w:szCs w:val="24"/>
        </w:rPr>
        <w:t xml:space="preserve">(Australian Statistical Geography Standard) Determination 2019 </w:t>
      </w:r>
      <w:r w:rsidRPr="007F44DC">
        <w:rPr>
          <w:rFonts w:ascii="Helvetica Neue" w:hAnsi="Helvetica Neue"/>
          <w:iCs/>
          <w:szCs w:val="24"/>
        </w:rPr>
        <w:t>(the Amending Determination) is to update the ASGS to reference the July 2016 edition, which uses the latest available Census data, from 1 January 2020. The new MMM is based upon this most recent ASGS.</w:t>
      </w:r>
    </w:p>
    <w:p w14:paraId="015C9D46" w14:textId="637B0AFD" w:rsidR="007F44DC" w:rsidRDefault="007F44DC">
      <w:pPr>
        <w:shd w:val="clear" w:color="auto" w:fill="FFFFFF"/>
        <w:spacing w:before="120" w:after="120"/>
        <w:rPr>
          <w:rFonts w:ascii="Helvetica Neue" w:hAnsi="Helvetica Neue"/>
          <w:iCs/>
          <w:szCs w:val="24"/>
        </w:rPr>
      </w:pPr>
      <w:r w:rsidRPr="007F44DC">
        <w:rPr>
          <w:rFonts w:ascii="Helvetica Neue" w:hAnsi="Helvetica Neue"/>
          <w:iCs/>
          <w:szCs w:val="24"/>
        </w:rPr>
        <w:t>The Amending Determination will also make consequential changes to the instruments in Schedules 1 and 2 to fix drafting errors and omissions. The consequential amendments will have effect immediately following commencement of the principal instruments.</w:t>
      </w:r>
    </w:p>
    <w:p w14:paraId="6E4A86D0" w14:textId="5101E9DB" w:rsidR="001B71D5" w:rsidRPr="00BD69A8" w:rsidRDefault="001B71D5">
      <w:pPr>
        <w:shd w:val="clear" w:color="auto" w:fill="FFFFFF"/>
        <w:spacing w:before="120" w:after="120"/>
        <w:rPr>
          <w:rFonts w:ascii="Helvetica Neue" w:hAnsi="Helvetica Neue"/>
          <w:szCs w:val="24"/>
          <w:lang w:val="en-US"/>
        </w:rPr>
      </w:pPr>
      <w:r w:rsidRPr="00BD69A8">
        <w:rPr>
          <w:rFonts w:ascii="Helvetica Neue" w:hAnsi="Helvetica Neue"/>
          <w:b/>
          <w:bCs/>
          <w:szCs w:val="24"/>
        </w:rPr>
        <w:t>Human rights implications</w:t>
      </w:r>
    </w:p>
    <w:p w14:paraId="3C22CF47" w14:textId="72A346C6" w:rsidR="001B71D5" w:rsidRPr="00BD69A8" w:rsidRDefault="001B71D5" w:rsidP="002A06A3">
      <w:pPr>
        <w:shd w:val="clear" w:color="auto" w:fill="FFFFFF"/>
        <w:spacing w:before="120" w:after="120"/>
        <w:rPr>
          <w:rFonts w:ascii="Helvetica Neue" w:hAnsi="Helvetica Neue"/>
          <w:szCs w:val="24"/>
          <w:lang w:val="en-US"/>
        </w:rPr>
      </w:pPr>
      <w:r w:rsidRPr="00BD69A8">
        <w:rPr>
          <w:rFonts w:ascii="Helvetica Neue" w:hAnsi="Helvetica Neue"/>
          <w:szCs w:val="24"/>
        </w:rPr>
        <w:t>Th</w:t>
      </w:r>
      <w:r w:rsidR="00256A39">
        <w:rPr>
          <w:rFonts w:ascii="Helvetica Neue" w:hAnsi="Helvetica Neue"/>
          <w:szCs w:val="24"/>
        </w:rPr>
        <w:t>is instrument</w:t>
      </w:r>
      <w:r w:rsidRPr="00BD69A8">
        <w:rPr>
          <w:rFonts w:ascii="Helvetica Neue" w:hAnsi="Helvetica Neue"/>
          <w:szCs w:val="24"/>
        </w:rPr>
        <w:t xml:space="preserve"> engages Articles 9 and 12 of the International Covenant on Economic Social and Cultural Rights (ICESCR), specifically the rights to health and social security. </w:t>
      </w:r>
    </w:p>
    <w:p w14:paraId="1E76980F" w14:textId="31CFC8F5" w:rsidR="001B71D5" w:rsidRPr="00BD69A8" w:rsidRDefault="001B71D5" w:rsidP="002A06A3">
      <w:pPr>
        <w:shd w:val="clear" w:color="auto" w:fill="FFFFFF"/>
        <w:spacing w:before="120" w:after="120"/>
        <w:rPr>
          <w:rFonts w:ascii="Helvetica Neue" w:hAnsi="Helvetica Neue"/>
          <w:szCs w:val="24"/>
          <w:lang w:val="en-US"/>
        </w:rPr>
      </w:pPr>
      <w:r w:rsidRPr="00BD69A8">
        <w:rPr>
          <w:rFonts w:ascii="Helvetica Neue" w:hAnsi="Helvetica Neue"/>
          <w:i/>
          <w:iCs/>
          <w:szCs w:val="24"/>
        </w:rPr>
        <w:t>The Right to Health</w:t>
      </w:r>
      <w:bookmarkStart w:id="0" w:name="_GoBack"/>
      <w:bookmarkEnd w:id="0"/>
    </w:p>
    <w:p w14:paraId="46B432F1" w14:textId="54DA4B27" w:rsidR="001B71D5" w:rsidRPr="00BD69A8" w:rsidRDefault="001B71D5" w:rsidP="002A06A3">
      <w:pPr>
        <w:shd w:val="clear" w:color="auto" w:fill="FFFFFF"/>
        <w:spacing w:before="120" w:after="120"/>
        <w:rPr>
          <w:rFonts w:ascii="Helvetica Neue" w:hAnsi="Helvetica Neue"/>
          <w:szCs w:val="24"/>
          <w:lang w:val="en-US"/>
        </w:rPr>
      </w:pPr>
      <w:r w:rsidRPr="00BD69A8">
        <w:rPr>
          <w:rFonts w:ascii="Helvetica Neue" w:hAnsi="Helvetica Neue"/>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A1329EF" w14:textId="53C04A30" w:rsidR="001B71D5" w:rsidRPr="00BD69A8" w:rsidRDefault="001B71D5" w:rsidP="002A06A3">
      <w:pPr>
        <w:shd w:val="clear" w:color="auto" w:fill="FFFFFF"/>
        <w:spacing w:before="120" w:after="120"/>
        <w:rPr>
          <w:rFonts w:ascii="Helvetica Neue" w:hAnsi="Helvetica Neue"/>
          <w:szCs w:val="24"/>
          <w:lang w:val="en-US"/>
        </w:rPr>
      </w:pPr>
      <w:r w:rsidRPr="00BD69A8">
        <w:rPr>
          <w:rFonts w:ascii="Helvetica Neue" w:hAnsi="Helvetica Neue"/>
          <w:szCs w:val="24"/>
        </w:rPr>
        <w:t xml:space="preserve">The Committee reports that the </w:t>
      </w:r>
      <w:r w:rsidRPr="00BD69A8">
        <w:rPr>
          <w:rFonts w:ascii="Helvetica Neue" w:hAnsi="Helvetica Neue"/>
          <w:i/>
          <w:iCs/>
          <w:szCs w:val="24"/>
        </w:rPr>
        <w:t>‘highest attainable standard of health’</w:t>
      </w:r>
      <w:r w:rsidRPr="00BD69A8">
        <w:rPr>
          <w:rFonts w:ascii="Helvetica Neue" w:hAnsi="Helvetica Neue"/>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1C3C7C42" w14:textId="758B7FE5" w:rsidR="001B71D5" w:rsidRPr="00BD69A8" w:rsidRDefault="001B71D5" w:rsidP="002A06A3">
      <w:pPr>
        <w:shd w:val="clear" w:color="auto" w:fill="FFFFFF"/>
        <w:spacing w:before="120" w:after="120"/>
        <w:rPr>
          <w:rFonts w:ascii="Helvetica Neue" w:hAnsi="Helvetica Neue"/>
          <w:szCs w:val="24"/>
          <w:lang w:val="en-US"/>
        </w:rPr>
      </w:pPr>
      <w:r w:rsidRPr="00BD69A8">
        <w:rPr>
          <w:rFonts w:ascii="Helvetica Neue" w:hAnsi="Helvetica Neue"/>
          <w:i/>
          <w:iCs/>
          <w:szCs w:val="24"/>
        </w:rPr>
        <w:t xml:space="preserve">The Right to Social Security </w:t>
      </w:r>
    </w:p>
    <w:p w14:paraId="5777BFED" w14:textId="450B55D6" w:rsidR="001B71D5" w:rsidRPr="00BD69A8" w:rsidRDefault="001B71D5" w:rsidP="002A06A3">
      <w:pPr>
        <w:shd w:val="clear" w:color="auto" w:fill="FFFFFF"/>
        <w:spacing w:before="120" w:after="120"/>
        <w:rPr>
          <w:rFonts w:ascii="Helvetica Neue" w:hAnsi="Helvetica Neue"/>
          <w:szCs w:val="24"/>
          <w:lang w:val="en-US"/>
        </w:rPr>
      </w:pPr>
      <w:r w:rsidRPr="00BD69A8">
        <w:rPr>
          <w:rFonts w:ascii="Helvetica Neue" w:hAnsi="Helvetica Neue"/>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w:t>
      </w:r>
      <w:r w:rsidRPr="00BD69A8">
        <w:rPr>
          <w:rFonts w:ascii="Helvetica Neue" w:hAnsi="Helvetica Neue"/>
          <w:szCs w:val="24"/>
        </w:rPr>
        <w:lastRenderedPageBreak/>
        <w:t>effort has been made to use all resources that are at their disposal in an effort to satisfy, as a matter of priority, this minimum obligation.</w:t>
      </w:r>
    </w:p>
    <w:p w14:paraId="280AB9AC" w14:textId="181145EA" w:rsidR="001B71D5" w:rsidRPr="00BD69A8" w:rsidRDefault="001B71D5" w:rsidP="002A06A3">
      <w:pPr>
        <w:shd w:val="clear" w:color="auto" w:fill="FFFFFF"/>
        <w:spacing w:before="120" w:after="120"/>
        <w:rPr>
          <w:rFonts w:ascii="Helvetica Neue" w:hAnsi="Helvetica Neue"/>
          <w:szCs w:val="24"/>
          <w:lang w:val="en-US"/>
        </w:rPr>
      </w:pPr>
      <w:r w:rsidRPr="00BD69A8">
        <w:rPr>
          <w:rFonts w:ascii="Helvetica Neue" w:hAnsi="Helvetica Neue"/>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E81B568" w14:textId="4659909E" w:rsidR="001B71D5" w:rsidRPr="00BD69A8" w:rsidRDefault="001B71D5" w:rsidP="002A06A3">
      <w:pPr>
        <w:shd w:val="clear" w:color="auto" w:fill="FFFFFF"/>
        <w:spacing w:before="120" w:after="120"/>
        <w:rPr>
          <w:rFonts w:ascii="Helvetica Neue" w:hAnsi="Helvetica Neue"/>
          <w:szCs w:val="24"/>
          <w:lang w:val="en-US"/>
        </w:rPr>
      </w:pPr>
      <w:r w:rsidRPr="00BD69A8">
        <w:rPr>
          <w:rFonts w:ascii="Helvetica Neue" w:hAnsi="Helvetica Neue"/>
          <w:szCs w:val="24"/>
          <w:u w:val="single"/>
        </w:rPr>
        <w:t xml:space="preserve">Analysis </w:t>
      </w:r>
    </w:p>
    <w:p w14:paraId="2D1C66A9" w14:textId="18DCE28B" w:rsidR="00256A39" w:rsidRDefault="001B71D5" w:rsidP="002A06A3">
      <w:pPr>
        <w:shd w:val="clear" w:color="auto" w:fill="FFFFFF"/>
        <w:spacing w:before="120" w:after="120"/>
        <w:rPr>
          <w:rFonts w:ascii="Helvetica Neue" w:hAnsi="Helvetica Neue"/>
          <w:szCs w:val="24"/>
        </w:rPr>
      </w:pPr>
      <w:r w:rsidRPr="00BD69A8">
        <w:rPr>
          <w:rFonts w:ascii="Helvetica Neue" w:hAnsi="Helvetica Neue"/>
          <w:szCs w:val="24"/>
        </w:rPr>
        <w:t>Th</w:t>
      </w:r>
      <w:r w:rsidR="00256A39">
        <w:rPr>
          <w:rFonts w:ascii="Helvetica Neue" w:hAnsi="Helvetica Neue"/>
          <w:szCs w:val="24"/>
        </w:rPr>
        <w:t>e change effected by the i</w:t>
      </w:r>
      <w:r w:rsidRPr="00BD69A8">
        <w:rPr>
          <w:rFonts w:ascii="Helvetica Neue" w:hAnsi="Helvetica Neue"/>
          <w:szCs w:val="24"/>
        </w:rPr>
        <w:t xml:space="preserve">nstrument will </w:t>
      </w:r>
      <w:r w:rsidR="00FB772F">
        <w:rPr>
          <w:rFonts w:ascii="Helvetica Neue" w:hAnsi="Helvetica Neue"/>
          <w:szCs w:val="24"/>
        </w:rPr>
        <w:t xml:space="preserve">correct minor </w:t>
      </w:r>
      <w:r w:rsidR="00DB045A" w:rsidRPr="00DB045A">
        <w:rPr>
          <w:rFonts w:ascii="Helvetica Neue" w:hAnsi="Helvetica Neue"/>
          <w:iCs/>
          <w:szCs w:val="24"/>
        </w:rPr>
        <w:t xml:space="preserve">fix drafting errors and omissions </w:t>
      </w:r>
      <w:r w:rsidR="00FB772F">
        <w:rPr>
          <w:rFonts w:ascii="Helvetica Neue" w:hAnsi="Helvetica Neue"/>
          <w:szCs w:val="24"/>
        </w:rPr>
        <w:t xml:space="preserve">and will also </w:t>
      </w:r>
      <w:r w:rsidR="00256A39">
        <w:rPr>
          <w:rFonts w:ascii="Helvetica Neue" w:hAnsi="Helvetica Neue"/>
          <w:szCs w:val="24"/>
        </w:rPr>
        <w:t xml:space="preserve">ensure that incentives directed at rural and remote areas </w:t>
      </w:r>
      <w:r w:rsidR="00DB045A">
        <w:rPr>
          <w:rFonts w:ascii="Helvetica Neue" w:hAnsi="Helvetica Neue"/>
          <w:szCs w:val="24"/>
        </w:rPr>
        <w:t xml:space="preserve">are contemporary and based on latest Census data. </w:t>
      </w:r>
    </w:p>
    <w:p w14:paraId="0B041C9F" w14:textId="5E333C78" w:rsidR="001B71D5" w:rsidRPr="00BD69A8" w:rsidRDefault="001B71D5" w:rsidP="002A06A3">
      <w:pPr>
        <w:shd w:val="clear" w:color="auto" w:fill="FFFFFF"/>
        <w:spacing w:before="120" w:after="120" w:line="276" w:lineRule="auto"/>
        <w:rPr>
          <w:rFonts w:ascii="Helvetica Neue" w:hAnsi="Helvetica Neue"/>
          <w:szCs w:val="24"/>
          <w:lang w:val="en-US"/>
        </w:rPr>
      </w:pPr>
      <w:r w:rsidRPr="00BD69A8">
        <w:rPr>
          <w:rFonts w:ascii="Helvetica Neue" w:hAnsi="Helvetica Neue"/>
          <w:b/>
          <w:bCs/>
          <w:szCs w:val="24"/>
        </w:rPr>
        <w:t xml:space="preserve">Conclusion </w:t>
      </w:r>
    </w:p>
    <w:p w14:paraId="79617944" w14:textId="519C35D1" w:rsidR="001B71D5" w:rsidRDefault="001B71D5" w:rsidP="002A06A3">
      <w:pPr>
        <w:shd w:val="clear" w:color="auto" w:fill="FFFFFF"/>
        <w:spacing w:before="120" w:after="120"/>
        <w:rPr>
          <w:rFonts w:ascii="Helvetica Neue" w:hAnsi="Helvetica Neue"/>
          <w:szCs w:val="24"/>
        </w:rPr>
      </w:pPr>
      <w:r w:rsidRPr="00BD69A8">
        <w:rPr>
          <w:rFonts w:ascii="Helvetica Neue" w:hAnsi="Helvetica Neue"/>
          <w:szCs w:val="24"/>
        </w:rPr>
        <w:t xml:space="preserve">This instrument is compatible with human rights as it </w:t>
      </w:r>
      <w:r w:rsidR="00153A9B">
        <w:rPr>
          <w:rFonts w:ascii="Helvetica Neue" w:hAnsi="Helvetica Neue"/>
          <w:szCs w:val="24"/>
        </w:rPr>
        <w:t xml:space="preserve">does not change the existing </w:t>
      </w:r>
      <w:r w:rsidRPr="00BD69A8">
        <w:rPr>
          <w:rFonts w:ascii="Helvetica Neue" w:hAnsi="Helvetica Neue"/>
          <w:szCs w:val="24"/>
        </w:rPr>
        <w:t xml:space="preserve">right to health and the right to social security. </w:t>
      </w:r>
      <w:r w:rsidR="00153A9B">
        <w:rPr>
          <w:rFonts w:ascii="Helvetica Neue" w:hAnsi="Helvetica Neue"/>
          <w:szCs w:val="24"/>
        </w:rPr>
        <w:t>There is no change to the existing entitlements for patients on the Medicare Benefits Schedule.</w:t>
      </w:r>
    </w:p>
    <w:p w14:paraId="69FE45DD" w14:textId="5A80D611" w:rsidR="00FB772F" w:rsidRDefault="00FB772F" w:rsidP="001A0856">
      <w:pPr>
        <w:shd w:val="clear" w:color="auto" w:fill="FFFFFF"/>
        <w:rPr>
          <w:rFonts w:ascii="Helvetica Neue" w:hAnsi="Helvetica Neue"/>
          <w:szCs w:val="24"/>
        </w:rPr>
      </w:pPr>
    </w:p>
    <w:p w14:paraId="1BA13D6B" w14:textId="1A20D6CB" w:rsidR="00FB772F" w:rsidRDefault="00FB772F" w:rsidP="001A0856">
      <w:pPr>
        <w:shd w:val="clear" w:color="auto" w:fill="FFFFFF"/>
        <w:rPr>
          <w:rFonts w:ascii="Helvetica Neue" w:hAnsi="Helvetica Neue"/>
          <w:szCs w:val="24"/>
        </w:rPr>
      </w:pPr>
    </w:p>
    <w:p w14:paraId="2B7610B4" w14:textId="581C6009" w:rsidR="001B71D5" w:rsidRPr="00BD69A8" w:rsidRDefault="001A0856" w:rsidP="00C114CA">
      <w:pPr>
        <w:shd w:val="clear" w:color="auto" w:fill="FFFFFF"/>
        <w:jc w:val="center"/>
        <w:rPr>
          <w:rFonts w:ascii="Helvetica Neue" w:hAnsi="Helvetica Neue"/>
          <w:szCs w:val="24"/>
          <w:lang w:val="en-US"/>
        </w:rPr>
      </w:pPr>
      <w:r>
        <w:rPr>
          <w:rFonts w:ascii="Helvetica Neue" w:hAnsi="Helvetica Neue"/>
          <w:b/>
          <w:bCs/>
          <w:szCs w:val="24"/>
        </w:rPr>
        <w:t>Andrew Simpson</w:t>
      </w:r>
    </w:p>
    <w:p w14:paraId="6B6B8B8D" w14:textId="77777777" w:rsidR="001B71D5" w:rsidRPr="00BD69A8" w:rsidRDefault="001B71D5" w:rsidP="00C114CA">
      <w:pPr>
        <w:shd w:val="clear" w:color="auto" w:fill="FFFFFF"/>
        <w:jc w:val="center"/>
        <w:rPr>
          <w:rFonts w:ascii="Helvetica Neue" w:hAnsi="Helvetica Neue"/>
          <w:szCs w:val="24"/>
          <w:lang w:val="en-US"/>
        </w:rPr>
      </w:pPr>
      <w:r w:rsidRPr="00BD69A8">
        <w:rPr>
          <w:rFonts w:ascii="Helvetica Neue" w:hAnsi="Helvetica Neue"/>
          <w:b/>
          <w:bCs/>
          <w:szCs w:val="24"/>
        </w:rPr>
        <w:t>Assistant Secretary</w:t>
      </w:r>
    </w:p>
    <w:p w14:paraId="17D588FA" w14:textId="247AA10C" w:rsidR="001B71D5" w:rsidRPr="00BD69A8" w:rsidRDefault="001B71D5" w:rsidP="00C114CA">
      <w:pPr>
        <w:shd w:val="clear" w:color="auto" w:fill="FFFFFF"/>
        <w:jc w:val="center"/>
        <w:rPr>
          <w:rFonts w:ascii="Helvetica Neue" w:hAnsi="Helvetica Neue"/>
          <w:szCs w:val="24"/>
          <w:lang w:val="en-US"/>
        </w:rPr>
      </w:pPr>
      <w:r w:rsidRPr="00BD69A8">
        <w:rPr>
          <w:rFonts w:ascii="Helvetica Neue" w:hAnsi="Helvetica Neue"/>
          <w:b/>
          <w:bCs/>
          <w:szCs w:val="24"/>
        </w:rPr>
        <w:t xml:space="preserve">MBS </w:t>
      </w:r>
      <w:r w:rsidR="001A0856">
        <w:rPr>
          <w:rFonts w:ascii="Helvetica Neue" w:hAnsi="Helvetica Neue"/>
          <w:b/>
          <w:bCs/>
          <w:szCs w:val="24"/>
        </w:rPr>
        <w:t>Reviews Unit</w:t>
      </w:r>
    </w:p>
    <w:p w14:paraId="75F48FE5" w14:textId="77777777" w:rsidR="001B71D5" w:rsidRPr="00BD69A8" w:rsidRDefault="001B71D5" w:rsidP="00C114CA">
      <w:pPr>
        <w:shd w:val="clear" w:color="auto" w:fill="FFFFFF"/>
        <w:spacing w:line="240" w:lineRule="atLeast"/>
        <w:ind w:right="-23"/>
        <w:jc w:val="center"/>
        <w:rPr>
          <w:rFonts w:ascii="Helvetica Neue" w:hAnsi="Helvetica Neue"/>
          <w:szCs w:val="24"/>
          <w:lang w:val="en-US"/>
        </w:rPr>
      </w:pPr>
      <w:r w:rsidRPr="00BD69A8">
        <w:rPr>
          <w:rFonts w:ascii="Helvetica Neue" w:hAnsi="Helvetica Neue"/>
          <w:b/>
          <w:bCs/>
          <w:szCs w:val="24"/>
        </w:rPr>
        <w:t>Medical Benefits Division</w:t>
      </w:r>
    </w:p>
    <w:p w14:paraId="4241436B" w14:textId="77777777" w:rsidR="001B71D5" w:rsidRPr="00BD69A8" w:rsidRDefault="001B71D5" w:rsidP="00C114CA">
      <w:pPr>
        <w:shd w:val="clear" w:color="auto" w:fill="FFFFFF"/>
        <w:spacing w:line="240" w:lineRule="atLeast"/>
        <w:ind w:right="-23"/>
        <w:jc w:val="center"/>
        <w:rPr>
          <w:rFonts w:ascii="Helvetica Neue" w:hAnsi="Helvetica Neue"/>
          <w:szCs w:val="24"/>
          <w:lang w:val="en-US"/>
        </w:rPr>
      </w:pPr>
      <w:r w:rsidRPr="00BD69A8">
        <w:rPr>
          <w:rFonts w:ascii="Helvetica Neue" w:hAnsi="Helvetica Neue"/>
          <w:b/>
          <w:bCs/>
          <w:szCs w:val="24"/>
        </w:rPr>
        <w:t>Health Financing Group</w:t>
      </w:r>
    </w:p>
    <w:p w14:paraId="2B2FD6DA" w14:textId="4DEB68C4" w:rsidR="009712CF" w:rsidRDefault="001B71D5" w:rsidP="00C114CA">
      <w:pPr>
        <w:shd w:val="clear" w:color="auto" w:fill="FFFFFF"/>
        <w:spacing w:line="240" w:lineRule="atLeast"/>
        <w:ind w:right="-23"/>
        <w:jc w:val="center"/>
        <w:rPr>
          <w:rFonts w:ascii="Helvetica Neue" w:hAnsi="Helvetica Neue"/>
          <w:b/>
          <w:bCs/>
          <w:szCs w:val="24"/>
        </w:rPr>
      </w:pPr>
      <w:r w:rsidRPr="00BD69A8">
        <w:rPr>
          <w:rFonts w:ascii="Helvetica Neue" w:hAnsi="Helvetica Neue"/>
          <w:b/>
          <w:bCs/>
          <w:szCs w:val="24"/>
        </w:rPr>
        <w:t>Department of Health</w:t>
      </w:r>
    </w:p>
    <w:p w14:paraId="1892AC5F" w14:textId="29149080" w:rsidR="001B71D5" w:rsidRPr="004F47FB" w:rsidRDefault="001B71D5" w:rsidP="004F47FB">
      <w:pPr>
        <w:spacing w:after="200" w:line="276" w:lineRule="auto"/>
        <w:rPr>
          <w:rFonts w:ascii="Helvetica Neue" w:hAnsi="Helvetica Neue"/>
          <w:b/>
          <w:bCs/>
          <w:szCs w:val="24"/>
        </w:rPr>
      </w:pPr>
    </w:p>
    <w:sectPr w:rsidR="001B71D5" w:rsidRPr="004F47FB" w:rsidSect="005C2A0E">
      <w:headerReference w:type="even" r:id="rId12"/>
      <w:headerReference w:type="default" r:id="rId13"/>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3ACDE" w14:textId="77777777" w:rsidR="008327D2" w:rsidRDefault="008327D2">
      <w:r>
        <w:separator/>
      </w:r>
    </w:p>
  </w:endnote>
  <w:endnote w:type="continuationSeparator" w:id="0">
    <w:p w14:paraId="1BAD3BB9" w14:textId="77777777" w:rsidR="008327D2" w:rsidRDefault="0083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F1BB" w14:textId="77777777" w:rsidR="008327D2" w:rsidRDefault="008327D2">
      <w:r>
        <w:separator/>
      </w:r>
    </w:p>
  </w:footnote>
  <w:footnote w:type="continuationSeparator" w:id="0">
    <w:p w14:paraId="56234BA6" w14:textId="77777777" w:rsidR="008327D2" w:rsidRDefault="0083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8327D2" w:rsidRDefault="008327D2"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8327D2" w:rsidRDefault="00832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5FE9364E" w:rsidR="008327D2" w:rsidRDefault="008327D2">
        <w:pPr>
          <w:pStyle w:val="Header"/>
          <w:jc w:val="center"/>
        </w:pPr>
        <w:r>
          <w:fldChar w:fldCharType="begin"/>
        </w:r>
        <w:r>
          <w:instrText xml:space="preserve"> PAGE   \* MERGEFORMAT </w:instrText>
        </w:r>
        <w:r>
          <w:fldChar w:fldCharType="separate"/>
        </w:r>
        <w:r w:rsidR="002D4A04">
          <w:rPr>
            <w:noProof/>
          </w:rPr>
          <w:t>4</w:t>
        </w:r>
        <w:r>
          <w:rPr>
            <w:noProof/>
          </w:rPr>
          <w:fldChar w:fldCharType="end"/>
        </w:r>
      </w:p>
    </w:sdtContent>
  </w:sdt>
  <w:p w14:paraId="2412D17B" w14:textId="77777777" w:rsidR="008327D2" w:rsidRDefault="008327D2" w:rsidP="00E23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7F030B"/>
    <w:multiLevelType w:val="multilevel"/>
    <w:tmpl w:val="F73E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C84615D"/>
    <w:multiLevelType w:val="hybridMultilevel"/>
    <w:tmpl w:val="F2AC6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672A36"/>
    <w:multiLevelType w:val="multilevel"/>
    <w:tmpl w:val="B5F4DB1C"/>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360" w:hanging="360"/>
      </w:pPr>
      <w:rPr>
        <w:rFonts w:hint="default"/>
      </w:rPr>
    </w:lvl>
  </w:abstractNum>
  <w:abstractNum w:abstractNumId="10"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B0F77"/>
    <w:multiLevelType w:val="hybridMultilevel"/>
    <w:tmpl w:val="F13413E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811557"/>
    <w:multiLevelType w:val="hybridMultilevel"/>
    <w:tmpl w:val="C9405A0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EE48BD"/>
    <w:multiLevelType w:val="hybridMultilevel"/>
    <w:tmpl w:val="6972B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7452D2"/>
    <w:multiLevelType w:val="multilevel"/>
    <w:tmpl w:val="4CD0321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4"/>
      <w:numFmt w:val="lowerLetter"/>
      <w:lvlText w:val="(%9)"/>
      <w:lvlJc w:val="left"/>
      <w:pPr>
        <w:ind w:left="360" w:hanging="360"/>
      </w:pPr>
      <w:rPr>
        <w:rFonts w:hint="default"/>
      </w:rPr>
    </w:lvl>
  </w:abstractNum>
  <w:abstractNum w:abstractNumId="2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80049E"/>
    <w:multiLevelType w:val="hybridMultilevel"/>
    <w:tmpl w:val="AC105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B957D8"/>
    <w:multiLevelType w:val="multilevel"/>
    <w:tmpl w:val="8408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B7752A"/>
    <w:multiLevelType w:val="hybridMultilevel"/>
    <w:tmpl w:val="3DCE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30" w15:restartNumberingAfterBreak="0">
    <w:nsid w:val="50BB655A"/>
    <w:multiLevelType w:val="hybridMultilevel"/>
    <w:tmpl w:val="10DA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5C56FE"/>
    <w:multiLevelType w:val="hybridMultilevel"/>
    <w:tmpl w:val="2AF8B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7"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3644BFB"/>
    <w:multiLevelType w:val="hybridMultilevel"/>
    <w:tmpl w:val="1D6866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42"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A7585E"/>
    <w:multiLevelType w:val="hybridMultilevel"/>
    <w:tmpl w:val="8D5EE972"/>
    <w:lvl w:ilvl="0" w:tplc="3B742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47"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CD42A9"/>
    <w:multiLevelType w:val="multilevel"/>
    <w:tmpl w:val="148E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3"/>
  </w:num>
  <w:num w:numId="3">
    <w:abstractNumId w:val="5"/>
  </w:num>
  <w:num w:numId="4">
    <w:abstractNumId w:val="22"/>
  </w:num>
  <w:num w:numId="5">
    <w:abstractNumId w:val="28"/>
  </w:num>
  <w:num w:numId="6">
    <w:abstractNumId w:val="20"/>
  </w:num>
  <w:num w:numId="7">
    <w:abstractNumId w:val="45"/>
  </w:num>
  <w:num w:numId="8">
    <w:abstractNumId w:val="14"/>
  </w:num>
  <w:num w:numId="9">
    <w:abstractNumId w:val="10"/>
  </w:num>
  <w:num w:numId="10">
    <w:abstractNumId w:val="47"/>
  </w:num>
  <w:num w:numId="11">
    <w:abstractNumId w:val="44"/>
  </w:num>
  <w:num w:numId="12">
    <w:abstractNumId w:val="25"/>
  </w:num>
  <w:num w:numId="13">
    <w:abstractNumId w:val="27"/>
  </w:num>
  <w:num w:numId="14">
    <w:abstractNumId w:val="41"/>
  </w:num>
  <w:num w:numId="15">
    <w:abstractNumId w:val="15"/>
  </w:num>
  <w:num w:numId="16">
    <w:abstractNumId w:val="31"/>
  </w:num>
  <w:num w:numId="17">
    <w:abstractNumId w:val="34"/>
  </w:num>
  <w:num w:numId="18">
    <w:abstractNumId w:val="32"/>
  </w:num>
  <w:num w:numId="19">
    <w:abstractNumId w:val="8"/>
  </w:num>
  <w:num w:numId="20">
    <w:abstractNumId w:val="2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3"/>
  </w:num>
  <w:num w:numId="25">
    <w:abstractNumId w:val="17"/>
  </w:num>
  <w:num w:numId="26">
    <w:abstractNumId w:val="2"/>
  </w:num>
  <w:num w:numId="27">
    <w:abstractNumId w:val="7"/>
  </w:num>
  <w:num w:numId="28">
    <w:abstractNumId w:val="12"/>
  </w:num>
  <w:num w:numId="29">
    <w:abstractNumId w:val="42"/>
  </w:num>
  <w:num w:numId="30">
    <w:abstractNumId w:val="4"/>
  </w:num>
  <w:num w:numId="31">
    <w:abstractNumId w:val="38"/>
  </w:num>
  <w:num w:numId="32">
    <w:abstractNumId w:val="36"/>
  </w:num>
  <w:num w:numId="33">
    <w:abstractNumId w:val="46"/>
  </w:num>
  <w:num w:numId="34">
    <w:abstractNumId w:val="11"/>
  </w:num>
  <w:num w:numId="35">
    <w:abstractNumId w:val="37"/>
  </w:num>
  <w:num w:numId="36">
    <w:abstractNumId w:val="13"/>
  </w:num>
  <w:num w:numId="37">
    <w:abstractNumId w:val="19"/>
  </w:num>
  <w:num w:numId="38">
    <w:abstractNumId w:val="35"/>
  </w:num>
  <w:num w:numId="39">
    <w:abstractNumId w:val="23"/>
  </w:num>
  <w:num w:numId="40">
    <w:abstractNumId w:val="43"/>
  </w:num>
  <w:num w:numId="41">
    <w:abstractNumId w:val="30"/>
  </w:num>
  <w:num w:numId="42">
    <w:abstractNumId w:val="16"/>
  </w:num>
  <w:num w:numId="43">
    <w:abstractNumId w:val="9"/>
  </w:num>
  <w:num w:numId="44">
    <w:abstractNumId w:val="40"/>
  </w:num>
  <w:num w:numId="45">
    <w:abstractNumId w:val="6"/>
  </w:num>
  <w:num w:numId="46">
    <w:abstractNumId w:val="18"/>
  </w:num>
  <w:num w:numId="47">
    <w:abstractNumId w:val="26"/>
  </w:num>
  <w:num w:numId="48">
    <w:abstractNumId w:val="1"/>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00A"/>
    <w:rsid w:val="00001CCE"/>
    <w:rsid w:val="000034B7"/>
    <w:rsid w:val="00003B66"/>
    <w:rsid w:val="00003D66"/>
    <w:rsid w:val="0000441D"/>
    <w:rsid w:val="00004E17"/>
    <w:rsid w:val="00005243"/>
    <w:rsid w:val="00005906"/>
    <w:rsid w:val="00007B65"/>
    <w:rsid w:val="00013E7F"/>
    <w:rsid w:val="00014639"/>
    <w:rsid w:val="00014B38"/>
    <w:rsid w:val="00014E40"/>
    <w:rsid w:val="0001557D"/>
    <w:rsid w:val="00016774"/>
    <w:rsid w:val="000203B4"/>
    <w:rsid w:val="0002158F"/>
    <w:rsid w:val="00021EFA"/>
    <w:rsid w:val="00022156"/>
    <w:rsid w:val="00024158"/>
    <w:rsid w:val="00025169"/>
    <w:rsid w:val="00025F64"/>
    <w:rsid w:val="0002704E"/>
    <w:rsid w:val="0002728B"/>
    <w:rsid w:val="00027830"/>
    <w:rsid w:val="000319EF"/>
    <w:rsid w:val="00033034"/>
    <w:rsid w:val="000337CB"/>
    <w:rsid w:val="00034E86"/>
    <w:rsid w:val="0003591F"/>
    <w:rsid w:val="00035C69"/>
    <w:rsid w:val="00041849"/>
    <w:rsid w:val="000441D2"/>
    <w:rsid w:val="0004426E"/>
    <w:rsid w:val="00044A2A"/>
    <w:rsid w:val="00047EF2"/>
    <w:rsid w:val="000509BA"/>
    <w:rsid w:val="000520A8"/>
    <w:rsid w:val="00052178"/>
    <w:rsid w:val="0005224B"/>
    <w:rsid w:val="0005533C"/>
    <w:rsid w:val="00055D2A"/>
    <w:rsid w:val="00061BFF"/>
    <w:rsid w:val="00063242"/>
    <w:rsid w:val="00063ED6"/>
    <w:rsid w:val="000640CF"/>
    <w:rsid w:val="00064BA4"/>
    <w:rsid w:val="00067F59"/>
    <w:rsid w:val="00070C2C"/>
    <w:rsid w:val="000710DD"/>
    <w:rsid w:val="0007187A"/>
    <w:rsid w:val="000727E0"/>
    <w:rsid w:val="00073983"/>
    <w:rsid w:val="00073BC9"/>
    <w:rsid w:val="00073DF1"/>
    <w:rsid w:val="00076C34"/>
    <w:rsid w:val="00076FE3"/>
    <w:rsid w:val="00080116"/>
    <w:rsid w:val="00081188"/>
    <w:rsid w:val="00081C37"/>
    <w:rsid w:val="000912AA"/>
    <w:rsid w:val="0009514A"/>
    <w:rsid w:val="000969EF"/>
    <w:rsid w:val="000A199B"/>
    <w:rsid w:val="000A31F2"/>
    <w:rsid w:val="000A424E"/>
    <w:rsid w:val="000A45BE"/>
    <w:rsid w:val="000A467F"/>
    <w:rsid w:val="000A6692"/>
    <w:rsid w:val="000A6D18"/>
    <w:rsid w:val="000A6FB3"/>
    <w:rsid w:val="000A7B9B"/>
    <w:rsid w:val="000B0C6E"/>
    <w:rsid w:val="000B25E0"/>
    <w:rsid w:val="000B3452"/>
    <w:rsid w:val="000B36DF"/>
    <w:rsid w:val="000B500D"/>
    <w:rsid w:val="000B5FAC"/>
    <w:rsid w:val="000C04B2"/>
    <w:rsid w:val="000C1226"/>
    <w:rsid w:val="000C12EE"/>
    <w:rsid w:val="000C2FD6"/>
    <w:rsid w:val="000C3CEA"/>
    <w:rsid w:val="000C3D8A"/>
    <w:rsid w:val="000C46E6"/>
    <w:rsid w:val="000C4B3D"/>
    <w:rsid w:val="000C5BA2"/>
    <w:rsid w:val="000C6797"/>
    <w:rsid w:val="000C6FF8"/>
    <w:rsid w:val="000C7FE1"/>
    <w:rsid w:val="000D1325"/>
    <w:rsid w:val="000D1A87"/>
    <w:rsid w:val="000D2300"/>
    <w:rsid w:val="000D3B79"/>
    <w:rsid w:val="000D5F23"/>
    <w:rsid w:val="000D7803"/>
    <w:rsid w:val="000E0C87"/>
    <w:rsid w:val="000E0F43"/>
    <w:rsid w:val="000E1ACD"/>
    <w:rsid w:val="000E1EB3"/>
    <w:rsid w:val="000E3444"/>
    <w:rsid w:val="000E4AFA"/>
    <w:rsid w:val="000E534F"/>
    <w:rsid w:val="000E66FA"/>
    <w:rsid w:val="000E7163"/>
    <w:rsid w:val="000F14A0"/>
    <w:rsid w:val="000F1575"/>
    <w:rsid w:val="000F1714"/>
    <w:rsid w:val="000F2367"/>
    <w:rsid w:val="000F249E"/>
    <w:rsid w:val="000F2AFC"/>
    <w:rsid w:val="000F37A0"/>
    <w:rsid w:val="000F5E76"/>
    <w:rsid w:val="000F6853"/>
    <w:rsid w:val="001000CE"/>
    <w:rsid w:val="00103E74"/>
    <w:rsid w:val="00104751"/>
    <w:rsid w:val="0010617D"/>
    <w:rsid w:val="00106763"/>
    <w:rsid w:val="001068B6"/>
    <w:rsid w:val="00107F36"/>
    <w:rsid w:val="0011066E"/>
    <w:rsid w:val="00113B2E"/>
    <w:rsid w:val="00120766"/>
    <w:rsid w:val="00121189"/>
    <w:rsid w:val="00121841"/>
    <w:rsid w:val="00121A66"/>
    <w:rsid w:val="00130BF2"/>
    <w:rsid w:val="001310D8"/>
    <w:rsid w:val="00132087"/>
    <w:rsid w:val="00134B27"/>
    <w:rsid w:val="00135D0D"/>
    <w:rsid w:val="001400C4"/>
    <w:rsid w:val="001401AA"/>
    <w:rsid w:val="001408AF"/>
    <w:rsid w:val="00141323"/>
    <w:rsid w:val="00141E8C"/>
    <w:rsid w:val="00142440"/>
    <w:rsid w:val="00143943"/>
    <w:rsid w:val="00145918"/>
    <w:rsid w:val="00145D25"/>
    <w:rsid w:val="00145DED"/>
    <w:rsid w:val="001519E4"/>
    <w:rsid w:val="00152304"/>
    <w:rsid w:val="00153A9B"/>
    <w:rsid w:val="00153D99"/>
    <w:rsid w:val="00154FC4"/>
    <w:rsid w:val="0015521F"/>
    <w:rsid w:val="00161063"/>
    <w:rsid w:val="001641C0"/>
    <w:rsid w:val="0016646C"/>
    <w:rsid w:val="001665F1"/>
    <w:rsid w:val="00167DA1"/>
    <w:rsid w:val="00167EC6"/>
    <w:rsid w:val="0017187F"/>
    <w:rsid w:val="001719A1"/>
    <w:rsid w:val="001734C9"/>
    <w:rsid w:val="00174E96"/>
    <w:rsid w:val="001770D9"/>
    <w:rsid w:val="0017759F"/>
    <w:rsid w:val="0018012F"/>
    <w:rsid w:val="00180742"/>
    <w:rsid w:val="00181B3E"/>
    <w:rsid w:val="00181F74"/>
    <w:rsid w:val="00182F72"/>
    <w:rsid w:val="00183C10"/>
    <w:rsid w:val="0018422D"/>
    <w:rsid w:val="0018451D"/>
    <w:rsid w:val="001865F8"/>
    <w:rsid w:val="001867EA"/>
    <w:rsid w:val="00187EE5"/>
    <w:rsid w:val="00190FC9"/>
    <w:rsid w:val="0019289B"/>
    <w:rsid w:val="001929C3"/>
    <w:rsid w:val="0019464A"/>
    <w:rsid w:val="00195A6A"/>
    <w:rsid w:val="001964FE"/>
    <w:rsid w:val="001965DA"/>
    <w:rsid w:val="0019711F"/>
    <w:rsid w:val="001978CE"/>
    <w:rsid w:val="00197A50"/>
    <w:rsid w:val="001A0856"/>
    <w:rsid w:val="001A4BE2"/>
    <w:rsid w:val="001A5BC0"/>
    <w:rsid w:val="001A7249"/>
    <w:rsid w:val="001A7EF8"/>
    <w:rsid w:val="001B0111"/>
    <w:rsid w:val="001B3714"/>
    <w:rsid w:val="001B5ED9"/>
    <w:rsid w:val="001B602D"/>
    <w:rsid w:val="001B66AF"/>
    <w:rsid w:val="001B7092"/>
    <w:rsid w:val="001B71D5"/>
    <w:rsid w:val="001B7F67"/>
    <w:rsid w:val="001C1237"/>
    <w:rsid w:val="001C1B86"/>
    <w:rsid w:val="001C261D"/>
    <w:rsid w:val="001C35BC"/>
    <w:rsid w:val="001C5FC1"/>
    <w:rsid w:val="001C6713"/>
    <w:rsid w:val="001D3865"/>
    <w:rsid w:val="001D3CA5"/>
    <w:rsid w:val="001D6B46"/>
    <w:rsid w:val="001D778A"/>
    <w:rsid w:val="001D7D62"/>
    <w:rsid w:val="001E014D"/>
    <w:rsid w:val="001E10DC"/>
    <w:rsid w:val="001E2D6D"/>
    <w:rsid w:val="001E3B02"/>
    <w:rsid w:val="001E4F29"/>
    <w:rsid w:val="001E5391"/>
    <w:rsid w:val="001E5787"/>
    <w:rsid w:val="001E579F"/>
    <w:rsid w:val="001E57BC"/>
    <w:rsid w:val="001E5DE7"/>
    <w:rsid w:val="001E63F3"/>
    <w:rsid w:val="001E793E"/>
    <w:rsid w:val="001E7C25"/>
    <w:rsid w:val="001F0923"/>
    <w:rsid w:val="001F108B"/>
    <w:rsid w:val="001F1F27"/>
    <w:rsid w:val="001F3E33"/>
    <w:rsid w:val="001F75F3"/>
    <w:rsid w:val="00200145"/>
    <w:rsid w:val="002003CA"/>
    <w:rsid w:val="002003F7"/>
    <w:rsid w:val="00200971"/>
    <w:rsid w:val="0020245D"/>
    <w:rsid w:val="00203952"/>
    <w:rsid w:val="00203F23"/>
    <w:rsid w:val="00204413"/>
    <w:rsid w:val="00210EE7"/>
    <w:rsid w:val="002111BB"/>
    <w:rsid w:val="00213177"/>
    <w:rsid w:val="00215191"/>
    <w:rsid w:val="00216C44"/>
    <w:rsid w:val="00217EBF"/>
    <w:rsid w:val="00220EE3"/>
    <w:rsid w:val="002218BE"/>
    <w:rsid w:val="00221C4B"/>
    <w:rsid w:val="00222680"/>
    <w:rsid w:val="002227DF"/>
    <w:rsid w:val="0022342C"/>
    <w:rsid w:val="0022384B"/>
    <w:rsid w:val="00225B50"/>
    <w:rsid w:val="00225D8E"/>
    <w:rsid w:val="002264F4"/>
    <w:rsid w:val="0022699A"/>
    <w:rsid w:val="002322A8"/>
    <w:rsid w:val="0023247E"/>
    <w:rsid w:val="0023311C"/>
    <w:rsid w:val="00233348"/>
    <w:rsid w:val="00233BEB"/>
    <w:rsid w:val="00236DF2"/>
    <w:rsid w:val="0024152E"/>
    <w:rsid w:val="00242974"/>
    <w:rsid w:val="00244D84"/>
    <w:rsid w:val="00247818"/>
    <w:rsid w:val="00250061"/>
    <w:rsid w:val="00250414"/>
    <w:rsid w:val="00250642"/>
    <w:rsid w:val="00251E4A"/>
    <w:rsid w:val="00251F50"/>
    <w:rsid w:val="0025373B"/>
    <w:rsid w:val="00253E30"/>
    <w:rsid w:val="0025493F"/>
    <w:rsid w:val="00254E5D"/>
    <w:rsid w:val="00256A39"/>
    <w:rsid w:val="00257E3B"/>
    <w:rsid w:val="00257E4D"/>
    <w:rsid w:val="00257F20"/>
    <w:rsid w:val="00262865"/>
    <w:rsid w:val="00263279"/>
    <w:rsid w:val="002643FC"/>
    <w:rsid w:val="00265E88"/>
    <w:rsid w:val="002671DA"/>
    <w:rsid w:val="00270055"/>
    <w:rsid w:val="00273BB7"/>
    <w:rsid w:val="00273E1F"/>
    <w:rsid w:val="00274073"/>
    <w:rsid w:val="0027545F"/>
    <w:rsid w:val="0027610D"/>
    <w:rsid w:val="00281918"/>
    <w:rsid w:val="00282B79"/>
    <w:rsid w:val="00282C2A"/>
    <w:rsid w:val="00284483"/>
    <w:rsid w:val="00285256"/>
    <w:rsid w:val="00285D43"/>
    <w:rsid w:val="00287AEF"/>
    <w:rsid w:val="00287B08"/>
    <w:rsid w:val="00290B98"/>
    <w:rsid w:val="00292423"/>
    <w:rsid w:val="002944D4"/>
    <w:rsid w:val="002949C7"/>
    <w:rsid w:val="00296763"/>
    <w:rsid w:val="00296E1C"/>
    <w:rsid w:val="0029737E"/>
    <w:rsid w:val="00297AD0"/>
    <w:rsid w:val="002A06A3"/>
    <w:rsid w:val="002A0CC8"/>
    <w:rsid w:val="002A3243"/>
    <w:rsid w:val="002A5CDF"/>
    <w:rsid w:val="002A68B3"/>
    <w:rsid w:val="002A6B78"/>
    <w:rsid w:val="002A7215"/>
    <w:rsid w:val="002B2AC5"/>
    <w:rsid w:val="002B2E78"/>
    <w:rsid w:val="002B47A7"/>
    <w:rsid w:val="002B49DE"/>
    <w:rsid w:val="002B4E4D"/>
    <w:rsid w:val="002B5085"/>
    <w:rsid w:val="002B53D3"/>
    <w:rsid w:val="002B6D15"/>
    <w:rsid w:val="002B7177"/>
    <w:rsid w:val="002C4163"/>
    <w:rsid w:val="002C4F5B"/>
    <w:rsid w:val="002C54A1"/>
    <w:rsid w:val="002C59F8"/>
    <w:rsid w:val="002C5DCD"/>
    <w:rsid w:val="002D03AB"/>
    <w:rsid w:val="002D2A4E"/>
    <w:rsid w:val="002D4A04"/>
    <w:rsid w:val="002D5294"/>
    <w:rsid w:val="002D5DFC"/>
    <w:rsid w:val="002D5E92"/>
    <w:rsid w:val="002D6269"/>
    <w:rsid w:val="002D629A"/>
    <w:rsid w:val="002E0751"/>
    <w:rsid w:val="002E12C3"/>
    <w:rsid w:val="002E13E2"/>
    <w:rsid w:val="002E3493"/>
    <w:rsid w:val="002E35BF"/>
    <w:rsid w:val="002E5F5C"/>
    <w:rsid w:val="002E6FD5"/>
    <w:rsid w:val="002E7D88"/>
    <w:rsid w:val="002F0434"/>
    <w:rsid w:val="002F0677"/>
    <w:rsid w:val="002F1707"/>
    <w:rsid w:val="002F2F33"/>
    <w:rsid w:val="002F3A26"/>
    <w:rsid w:val="002F3C7E"/>
    <w:rsid w:val="002F449C"/>
    <w:rsid w:val="002F4CD2"/>
    <w:rsid w:val="002F6069"/>
    <w:rsid w:val="002F7549"/>
    <w:rsid w:val="00300212"/>
    <w:rsid w:val="00300EFB"/>
    <w:rsid w:val="00301D49"/>
    <w:rsid w:val="00302114"/>
    <w:rsid w:val="003024CB"/>
    <w:rsid w:val="003025C7"/>
    <w:rsid w:val="00302F5C"/>
    <w:rsid w:val="00304080"/>
    <w:rsid w:val="0031124D"/>
    <w:rsid w:val="00312ED1"/>
    <w:rsid w:val="00313554"/>
    <w:rsid w:val="003173B1"/>
    <w:rsid w:val="00317B55"/>
    <w:rsid w:val="0032155B"/>
    <w:rsid w:val="00322641"/>
    <w:rsid w:val="003239D0"/>
    <w:rsid w:val="00324908"/>
    <w:rsid w:val="0033493D"/>
    <w:rsid w:val="00335AE6"/>
    <w:rsid w:val="0033794E"/>
    <w:rsid w:val="00337DE1"/>
    <w:rsid w:val="00340BDB"/>
    <w:rsid w:val="00340E39"/>
    <w:rsid w:val="00341145"/>
    <w:rsid w:val="003412CB"/>
    <w:rsid w:val="00347DA8"/>
    <w:rsid w:val="0035214B"/>
    <w:rsid w:val="003527D6"/>
    <w:rsid w:val="00352BEB"/>
    <w:rsid w:val="00353351"/>
    <w:rsid w:val="00353622"/>
    <w:rsid w:val="00356345"/>
    <w:rsid w:val="00357CD8"/>
    <w:rsid w:val="0036105C"/>
    <w:rsid w:val="00361ADE"/>
    <w:rsid w:val="00363306"/>
    <w:rsid w:val="0036495A"/>
    <w:rsid w:val="00365E41"/>
    <w:rsid w:val="00366C2C"/>
    <w:rsid w:val="00367440"/>
    <w:rsid w:val="003705AC"/>
    <w:rsid w:val="00370BE6"/>
    <w:rsid w:val="00371F67"/>
    <w:rsid w:val="00375E39"/>
    <w:rsid w:val="003760ED"/>
    <w:rsid w:val="003775D7"/>
    <w:rsid w:val="00380CBA"/>
    <w:rsid w:val="00381278"/>
    <w:rsid w:val="0038127E"/>
    <w:rsid w:val="00384080"/>
    <w:rsid w:val="003840C0"/>
    <w:rsid w:val="00386C22"/>
    <w:rsid w:val="003876E6"/>
    <w:rsid w:val="00391AFA"/>
    <w:rsid w:val="003937EF"/>
    <w:rsid w:val="00393E9B"/>
    <w:rsid w:val="00395942"/>
    <w:rsid w:val="00397A97"/>
    <w:rsid w:val="00397DFA"/>
    <w:rsid w:val="003A071B"/>
    <w:rsid w:val="003A280D"/>
    <w:rsid w:val="003A5A70"/>
    <w:rsid w:val="003A6230"/>
    <w:rsid w:val="003A6299"/>
    <w:rsid w:val="003A7836"/>
    <w:rsid w:val="003B1976"/>
    <w:rsid w:val="003B27BA"/>
    <w:rsid w:val="003B366C"/>
    <w:rsid w:val="003B38C1"/>
    <w:rsid w:val="003B3968"/>
    <w:rsid w:val="003B59A9"/>
    <w:rsid w:val="003B6B63"/>
    <w:rsid w:val="003B6D69"/>
    <w:rsid w:val="003B7C31"/>
    <w:rsid w:val="003C02D4"/>
    <w:rsid w:val="003C25D6"/>
    <w:rsid w:val="003C37E3"/>
    <w:rsid w:val="003C4CBD"/>
    <w:rsid w:val="003C546B"/>
    <w:rsid w:val="003C7719"/>
    <w:rsid w:val="003D08EF"/>
    <w:rsid w:val="003D0FBD"/>
    <w:rsid w:val="003D1A18"/>
    <w:rsid w:val="003D2A6D"/>
    <w:rsid w:val="003E005B"/>
    <w:rsid w:val="003E04DA"/>
    <w:rsid w:val="003E1249"/>
    <w:rsid w:val="003E1D75"/>
    <w:rsid w:val="003E3544"/>
    <w:rsid w:val="003E35A8"/>
    <w:rsid w:val="003E4467"/>
    <w:rsid w:val="003E77CB"/>
    <w:rsid w:val="003F1A5C"/>
    <w:rsid w:val="003F47FD"/>
    <w:rsid w:val="003F4B52"/>
    <w:rsid w:val="003F718C"/>
    <w:rsid w:val="003F73BA"/>
    <w:rsid w:val="003F73F0"/>
    <w:rsid w:val="00401423"/>
    <w:rsid w:val="00403105"/>
    <w:rsid w:val="00404F11"/>
    <w:rsid w:val="004051F1"/>
    <w:rsid w:val="004052E8"/>
    <w:rsid w:val="00405890"/>
    <w:rsid w:val="00405EF4"/>
    <w:rsid w:val="0041028C"/>
    <w:rsid w:val="00411365"/>
    <w:rsid w:val="0041237F"/>
    <w:rsid w:val="00412B6C"/>
    <w:rsid w:val="0041439E"/>
    <w:rsid w:val="00414613"/>
    <w:rsid w:val="00415B19"/>
    <w:rsid w:val="0041767B"/>
    <w:rsid w:val="00420205"/>
    <w:rsid w:val="00420E8D"/>
    <w:rsid w:val="00421D5F"/>
    <w:rsid w:val="00422831"/>
    <w:rsid w:val="00424197"/>
    <w:rsid w:val="00425F40"/>
    <w:rsid w:val="004265AA"/>
    <w:rsid w:val="00426A7C"/>
    <w:rsid w:val="00426A8D"/>
    <w:rsid w:val="00430861"/>
    <w:rsid w:val="00431016"/>
    <w:rsid w:val="00432D4D"/>
    <w:rsid w:val="00433DCE"/>
    <w:rsid w:val="0043405A"/>
    <w:rsid w:val="00437B1B"/>
    <w:rsid w:val="004405B8"/>
    <w:rsid w:val="00441339"/>
    <w:rsid w:val="004417A2"/>
    <w:rsid w:val="00442F9D"/>
    <w:rsid w:val="00444EDF"/>
    <w:rsid w:val="004456A4"/>
    <w:rsid w:val="00445A6D"/>
    <w:rsid w:val="00446A6B"/>
    <w:rsid w:val="00447DF8"/>
    <w:rsid w:val="0045189C"/>
    <w:rsid w:val="004636B4"/>
    <w:rsid w:val="00464099"/>
    <w:rsid w:val="004641DC"/>
    <w:rsid w:val="00464AC7"/>
    <w:rsid w:val="004669A4"/>
    <w:rsid w:val="00466A5B"/>
    <w:rsid w:val="0046799A"/>
    <w:rsid w:val="00467A6B"/>
    <w:rsid w:val="004701C6"/>
    <w:rsid w:val="00471475"/>
    <w:rsid w:val="004723D2"/>
    <w:rsid w:val="00472841"/>
    <w:rsid w:val="00472E62"/>
    <w:rsid w:val="0047494B"/>
    <w:rsid w:val="00475A85"/>
    <w:rsid w:val="00476F13"/>
    <w:rsid w:val="00480561"/>
    <w:rsid w:val="004806B3"/>
    <w:rsid w:val="00481E5E"/>
    <w:rsid w:val="0048206D"/>
    <w:rsid w:val="004828A9"/>
    <w:rsid w:val="004849DE"/>
    <w:rsid w:val="00484A65"/>
    <w:rsid w:val="00484E4F"/>
    <w:rsid w:val="0048629E"/>
    <w:rsid w:val="0048759F"/>
    <w:rsid w:val="004876DF"/>
    <w:rsid w:val="00492341"/>
    <w:rsid w:val="004926F0"/>
    <w:rsid w:val="00492DBE"/>
    <w:rsid w:val="004940C7"/>
    <w:rsid w:val="004962CC"/>
    <w:rsid w:val="00497023"/>
    <w:rsid w:val="00497EC1"/>
    <w:rsid w:val="004A0313"/>
    <w:rsid w:val="004A0A89"/>
    <w:rsid w:val="004A0BE6"/>
    <w:rsid w:val="004A1CFF"/>
    <w:rsid w:val="004A2249"/>
    <w:rsid w:val="004A26E0"/>
    <w:rsid w:val="004A4A2C"/>
    <w:rsid w:val="004A524A"/>
    <w:rsid w:val="004A56D3"/>
    <w:rsid w:val="004A6B0F"/>
    <w:rsid w:val="004B1ECE"/>
    <w:rsid w:val="004B27F3"/>
    <w:rsid w:val="004B3295"/>
    <w:rsid w:val="004B38C8"/>
    <w:rsid w:val="004B3C12"/>
    <w:rsid w:val="004B5C2E"/>
    <w:rsid w:val="004B7CB9"/>
    <w:rsid w:val="004C10BA"/>
    <w:rsid w:val="004C1122"/>
    <w:rsid w:val="004C27EB"/>
    <w:rsid w:val="004C357A"/>
    <w:rsid w:val="004C37D3"/>
    <w:rsid w:val="004C405B"/>
    <w:rsid w:val="004C5B35"/>
    <w:rsid w:val="004C68D1"/>
    <w:rsid w:val="004C6AE7"/>
    <w:rsid w:val="004C72E8"/>
    <w:rsid w:val="004C75DE"/>
    <w:rsid w:val="004D03E3"/>
    <w:rsid w:val="004D04DF"/>
    <w:rsid w:val="004D1BF4"/>
    <w:rsid w:val="004D2ECB"/>
    <w:rsid w:val="004D480B"/>
    <w:rsid w:val="004D583B"/>
    <w:rsid w:val="004D6074"/>
    <w:rsid w:val="004D7821"/>
    <w:rsid w:val="004D7CBD"/>
    <w:rsid w:val="004E10C5"/>
    <w:rsid w:val="004E22A7"/>
    <w:rsid w:val="004E39E6"/>
    <w:rsid w:val="004E71DC"/>
    <w:rsid w:val="004E7F97"/>
    <w:rsid w:val="004F1563"/>
    <w:rsid w:val="004F20B0"/>
    <w:rsid w:val="004F47FB"/>
    <w:rsid w:val="004F567F"/>
    <w:rsid w:val="004F60F0"/>
    <w:rsid w:val="004F7682"/>
    <w:rsid w:val="00500682"/>
    <w:rsid w:val="005012BC"/>
    <w:rsid w:val="00502156"/>
    <w:rsid w:val="00502277"/>
    <w:rsid w:val="005025DD"/>
    <w:rsid w:val="005042B5"/>
    <w:rsid w:val="00505496"/>
    <w:rsid w:val="00505C67"/>
    <w:rsid w:val="00510A4F"/>
    <w:rsid w:val="005119E9"/>
    <w:rsid w:val="00512A65"/>
    <w:rsid w:val="005130BE"/>
    <w:rsid w:val="005140F2"/>
    <w:rsid w:val="00516787"/>
    <w:rsid w:val="0051709B"/>
    <w:rsid w:val="0052165A"/>
    <w:rsid w:val="00521802"/>
    <w:rsid w:val="0052430B"/>
    <w:rsid w:val="00525D51"/>
    <w:rsid w:val="00530B47"/>
    <w:rsid w:val="00532CD3"/>
    <w:rsid w:val="005345A9"/>
    <w:rsid w:val="00534D8A"/>
    <w:rsid w:val="00535742"/>
    <w:rsid w:val="00536AC6"/>
    <w:rsid w:val="00537502"/>
    <w:rsid w:val="0054004F"/>
    <w:rsid w:val="00540087"/>
    <w:rsid w:val="00542913"/>
    <w:rsid w:val="00542ABE"/>
    <w:rsid w:val="005430C2"/>
    <w:rsid w:val="005440E4"/>
    <w:rsid w:val="005444FD"/>
    <w:rsid w:val="005452CD"/>
    <w:rsid w:val="00545434"/>
    <w:rsid w:val="00546DB4"/>
    <w:rsid w:val="005474A5"/>
    <w:rsid w:val="00547D82"/>
    <w:rsid w:val="005504B4"/>
    <w:rsid w:val="00550DAB"/>
    <w:rsid w:val="00551F28"/>
    <w:rsid w:val="00552105"/>
    <w:rsid w:val="0055354D"/>
    <w:rsid w:val="00554543"/>
    <w:rsid w:val="005555B8"/>
    <w:rsid w:val="005624D0"/>
    <w:rsid w:val="0056298A"/>
    <w:rsid w:val="005642D9"/>
    <w:rsid w:val="00564C2B"/>
    <w:rsid w:val="00564C37"/>
    <w:rsid w:val="00564D84"/>
    <w:rsid w:val="005677D8"/>
    <w:rsid w:val="00570F2B"/>
    <w:rsid w:val="0057258C"/>
    <w:rsid w:val="00573651"/>
    <w:rsid w:val="00573C5B"/>
    <w:rsid w:val="00573D94"/>
    <w:rsid w:val="00574E71"/>
    <w:rsid w:val="005776E5"/>
    <w:rsid w:val="00580AA6"/>
    <w:rsid w:val="005811D8"/>
    <w:rsid w:val="00581904"/>
    <w:rsid w:val="00581BD9"/>
    <w:rsid w:val="00582B3F"/>
    <w:rsid w:val="00583643"/>
    <w:rsid w:val="00585309"/>
    <w:rsid w:val="005857E8"/>
    <w:rsid w:val="005858CB"/>
    <w:rsid w:val="00585B1F"/>
    <w:rsid w:val="0058699E"/>
    <w:rsid w:val="00586CE9"/>
    <w:rsid w:val="00590B04"/>
    <w:rsid w:val="00592F78"/>
    <w:rsid w:val="00594EB6"/>
    <w:rsid w:val="005960D0"/>
    <w:rsid w:val="00597395"/>
    <w:rsid w:val="0059798F"/>
    <w:rsid w:val="00597EC9"/>
    <w:rsid w:val="005A0300"/>
    <w:rsid w:val="005A163F"/>
    <w:rsid w:val="005A3D73"/>
    <w:rsid w:val="005A3D8D"/>
    <w:rsid w:val="005A3FC6"/>
    <w:rsid w:val="005A445D"/>
    <w:rsid w:val="005A61E1"/>
    <w:rsid w:val="005B00DC"/>
    <w:rsid w:val="005B0EA3"/>
    <w:rsid w:val="005B1B0A"/>
    <w:rsid w:val="005B453E"/>
    <w:rsid w:val="005B5062"/>
    <w:rsid w:val="005B5F95"/>
    <w:rsid w:val="005B6234"/>
    <w:rsid w:val="005B7596"/>
    <w:rsid w:val="005C21EA"/>
    <w:rsid w:val="005C228C"/>
    <w:rsid w:val="005C2A0E"/>
    <w:rsid w:val="005C4A91"/>
    <w:rsid w:val="005C5824"/>
    <w:rsid w:val="005C6118"/>
    <w:rsid w:val="005C61AA"/>
    <w:rsid w:val="005D3575"/>
    <w:rsid w:val="005D3CED"/>
    <w:rsid w:val="005D538F"/>
    <w:rsid w:val="005D63D9"/>
    <w:rsid w:val="005D68D1"/>
    <w:rsid w:val="005E293A"/>
    <w:rsid w:val="005E49E7"/>
    <w:rsid w:val="005E56FE"/>
    <w:rsid w:val="005E62D6"/>
    <w:rsid w:val="005E6A82"/>
    <w:rsid w:val="005E7398"/>
    <w:rsid w:val="005E75D9"/>
    <w:rsid w:val="005F04DC"/>
    <w:rsid w:val="005F0F6C"/>
    <w:rsid w:val="005F1A04"/>
    <w:rsid w:val="005F1A7F"/>
    <w:rsid w:val="005F1F44"/>
    <w:rsid w:val="005F455C"/>
    <w:rsid w:val="005F5A81"/>
    <w:rsid w:val="00601165"/>
    <w:rsid w:val="0060745F"/>
    <w:rsid w:val="00607971"/>
    <w:rsid w:val="00611A4E"/>
    <w:rsid w:val="006122C0"/>
    <w:rsid w:val="0061281D"/>
    <w:rsid w:val="00613C46"/>
    <w:rsid w:val="00616889"/>
    <w:rsid w:val="00617F77"/>
    <w:rsid w:val="0062186B"/>
    <w:rsid w:val="00622FC8"/>
    <w:rsid w:val="00623004"/>
    <w:rsid w:val="0062542F"/>
    <w:rsid w:val="00627C91"/>
    <w:rsid w:val="00630ABD"/>
    <w:rsid w:val="00635031"/>
    <w:rsid w:val="006369D4"/>
    <w:rsid w:val="00636C51"/>
    <w:rsid w:val="0064027D"/>
    <w:rsid w:val="006407FA"/>
    <w:rsid w:val="006427B2"/>
    <w:rsid w:val="00642BEB"/>
    <w:rsid w:val="00647426"/>
    <w:rsid w:val="00647590"/>
    <w:rsid w:val="00650A1E"/>
    <w:rsid w:val="006526F5"/>
    <w:rsid w:val="0065701A"/>
    <w:rsid w:val="00657702"/>
    <w:rsid w:val="00657ADE"/>
    <w:rsid w:val="006619F5"/>
    <w:rsid w:val="00661A76"/>
    <w:rsid w:val="006629F9"/>
    <w:rsid w:val="006639F0"/>
    <w:rsid w:val="00664B37"/>
    <w:rsid w:val="0066562D"/>
    <w:rsid w:val="00670998"/>
    <w:rsid w:val="00672050"/>
    <w:rsid w:val="0067372C"/>
    <w:rsid w:val="00673872"/>
    <w:rsid w:val="00674A34"/>
    <w:rsid w:val="006756EF"/>
    <w:rsid w:val="006765AF"/>
    <w:rsid w:val="00677737"/>
    <w:rsid w:val="00685515"/>
    <w:rsid w:val="0068642A"/>
    <w:rsid w:val="00692799"/>
    <w:rsid w:val="00694C76"/>
    <w:rsid w:val="00694F4A"/>
    <w:rsid w:val="00695DBD"/>
    <w:rsid w:val="006A029B"/>
    <w:rsid w:val="006A17A1"/>
    <w:rsid w:val="006A61C5"/>
    <w:rsid w:val="006A642A"/>
    <w:rsid w:val="006B0F31"/>
    <w:rsid w:val="006B13BC"/>
    <w:rsid w:val="006B26FC"/>
    <w:rsid w:val="006B32FE"/>
    <w:rsid w:val="006B3959"/>
    <w:rsid w:val="006B4B58"/>
    <w:rsid w:val="006B5E7C"/>
    <w:rsid w:val="006B6925"/>
    <w:rsid w:val="006C026A"/>
    <w:rsid w:val="006C138D"/>
    <w:rsid w:val="006C3807"/>
    <w:rsid w:val="006C3EEE"/>
    <w:rsid w:val="006C7491"/>
    <w:rsid w:val="006C761B"/>
    <w:rsid w:val="006C76B5"/>
    <w:rsid w:val="006D03ED"/>
    <w:rsid w:val="006D2B37"/>
    <w:rsid w:val="006D3D81"/>
    <w:rsid w:val="006D46A1"/>
    <w:rsid w:val="006D4AA4"/>
    <w:rsid w:val="006D54FB"/>
    <w:rsid w:val="006D5816"/>
    <w:rsid w:val="006D627E"/>
    <w:rsid w:val="006D62D4"/>
    <w:rsid w:val="006E0441"/>
    <w:rsid w:val="006E1A62"/>
    <w:rsid w:val="006E320C"/>
    <w:rsid w:val="006E344E"/>
    <w:rsid w:val="006E3D84"/>
    <w:rsid w:val="006E527B"/>
    <w:rsid w:val="006E5C6B"/>
    <w:rsid w:val="006E6121"/>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5C2E"/>
    <w:rsid w:val="00717B45"/>
    <w:rsid w:val="007202C4"/>
    <w:rsid w:val="00721DED"/>
    <w:rsid w:val="00722047"/>
    <w:rsid w:val="0072331C"/>
    <w:rsid w:val="00725F6C"/>
    <w:rsid w:val="00726CFA"/>
    <w:rsid w:val="0072758A"/>
    <w:rsid w:val="007304D5"/>
    <w:rsid w:val="0073095B"/>
    <w:rsid w:val="00730965"/>
    <w:rsid w:val="00731FE9"/>
    <w:rsid w:val="00733599"/>
    <w:rsid w:val="00735753"/>
    <w:rsid w:val="00735CCC"/>
    <w:rsid w:val="007368DC"/>
    <w:rsid w:val="00736AC9"/>
    <w:rsid w:val="00737834"/>
    <w:rsid w:val="00741643"/>
    <w:rsid w:val="00741948"/>
    <w:rsid w:val="00741A4E"/>
    <w:rsid w:val="00742E97"/>
    <w:rsid w:val="007452E0"/>
    <w:rsid w:val="007453ED"/>
    <w:rsid w:val="00745BD4"/>
    <w:rsid w:val="00746970"/>
    <w:rsid w:val="0075027B"/>
    <w:rsid w:val="00750378"/>
    <w:rsid w:val="007505FB"/>
    <w:rsid w:val="00751990"/>
    <w:rsid w:val="007524B0"/>
    <w:rsid w:val="00752997"/>
    <w:rsid w:val="007533EC"/>
    <w:rsid w:val="0075625A"/>
    <w:rsid w:val="00757618"/>
    <w:rsid w:val="00762606"/>
    <w:rsid w:val="00762B45"/>
    <w:rsid w:val="0076544A"/>
    <w:rsid w:val="00767402"/>
    <w:rsid w:val="0077044D"/>
    <w:rsid w:val="0077194F"/>
    <w:rsid w:val="00774454"/>
    <w:rsid w:val="00774ABF"/>
    <w:rsid w:val="00775D8D"/>
    <w:rsid w:val="00776E17"/>
    <w:rsid w:val="00780DD4"/>
    <w:rsid w:val="00782D07"/>
    <w:rsid w:val="0078356C"/>
    <w:rsid w:val="007859F8"/>
    <w:rsid w:val="00791384"/>
    <w:rsid w:val="0079191B"/>
    <w:rsid w:val="00791C27"/>
    <w:rsid w:val="0079239C"/>
    <w:rsid w:val="007934F3"/>
    <w:rsid w:val="00795A80"/>
    <w:rsid w:val="00796464"/>
    <w:rsid w:val="00796F15"/>
    <w:rsid w:val="007A0403"/>
    <w:rsid w:val="007A12F5"/>
    <w:rsid w:val="007A4089"/>
    <w:rsid w:val="007A4CE4"/>
    <w:rsid w:val="007A525F"/>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767F"/>
    <w:rsid w:val="007C79FB"/>
    <w:rsid w:val="007D3891"/>
    <w:rsid w:val="007D3BA7"/>
    <w:rsid w:val="007D4584"/>
    <w:rsid w:val="007D4A14"/>
    <w:rsid w:val="007D5365"/>
    <w:rsid w:val="007E0017"/>
    <w:rsid w:val="007E0D9D"/>
    <w:rsid w:val="007E1F01"/>
    <w:rsid w:val="007E4B14"/>
    <w:rsid w:val="007E4B4C"/>
    <w:rsid w:val="007E63BE"/>
    <w:rsid w:val="007E7685"/>
    <w:rsid w:val="007E7ABF"/>
    <w:rsid w:val="007F0907"/>
    <w:rsid w:val="007F0D24"/>
    <w:rsid w:val="007F10B5"/>
    <w:rsid w:val="007F1C81"/>
    <w:rsid w:val="007F21C2"/>
    <w:rsid w:val="007F44DC"/>
    <w:rsid w:val="007F6ABA"/>
    <w:rsid w:val="0080144C"/>
    <w:rsid w:val="008018C7"/>
    <w:rsid w:val="00802CF9"/>
    <w:rsid w:val="00804A98"/>
    <w:rsid w:val="00805995"/>
    <w:rsid w:val="00805C3A"/>
    <w:rsid w:val="008061B8"/>
    <w:rsid w:val="008129B1"/>
    <w:rsid w:val="00815596"/>
    <w:rsid w:val="00817A12"/>
    <w:rsid w:val="00822092"/>
    <w:rsid w:val="0082437E"/>
    <w:rsid w:val="008259FD"/>
    <w:rsid w:val="00825B2C"/>
    <w:rsid w:val="00825D67"/>
    <w:rsid w:val="00826C1C"/>
    <w:rsid w:val="00827CE9"/>
    <w:rsid w:val="0083200D"/>
    <w:rsid w:val="008327D2"/>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604B1"/>
    <w:rsid w:val="008609B1"/>
    <w:rsid w:val="00861CD9"/>
    <w:rsid w:val="008638BF"/>
    <w:rsid w:val="008645C4"/>
    <w:rsid w:val="00867884"/>
    <w:rsid w:val="00867AC8"/>
    <w:rsid w:val="008734F5"/>
    <w:rsid w:val="00875104"/>
    <w:rsid w:val="008774D2"/>
    <w:rsid w:val="00880B30"/>
    <w:rsid w:val="00880E40"/>
    <w:rsid w:val="00880F49"/>
    <w:rsid w:val="00883771"/>
    <w:rsid w:val="00883C9D"/>
    <w:rsid w:val="00883EFE"/>
    <w:rsid w:val="008842AA"/>
    <w:rsid w:val="008869CA"/>
    <w:rsid w:val="008905BA"/>
    <w:rsid w:val="00891D39"/>
    <w:rsid w:val="0089513F"/>
    <w:rsid w:val="00895699"/>
    <w:rsid w:val="008977A0"/>
    <w:rsid w:val="008A0B8C"/>
    <w:rsid w:val="008A153F"/>
    <w:rsid w:val="008A2B90"/>
    <w:rsid w:val="008A54A9"/>
    <w:rsid w:val="008A6188"/>
    <w:rsid w:val="008A736C"/>
    <w:rsid w:val="008A7694"/>
    <w:rsid w:val="008A7735"/>
    <w:rsid w:val="008A79C6"/>
    <w:rsid w:val="008B28F2"/>
    <w:rsid w:val="008B3A89"/>
    <w:rsid w:val="008B444F"/>
    <w:rsid w:val="008B683E"/>
    <w:rsid w:val="008B736D"/>
    <w:rsid w:val="008C0EF7"/>
    <w:rsid w:val="008C11A2"/>
    <w:rsid w:val="008C20F7"/>
    <w:rsid w:val="008C58F6"/>
    <w:rsid w:val="008C5F1C"/>
    <w:rsid w:val="008D06D8"/>
    <w:rsid w:val="008D1B01"/>
    <w:rsid w:val="008D25D7"/>
    <w:rsid w:val="008D2A83"/>
    <w:rsid w:val="008D2D7B"/>
    <w:rsid w:val="008D2D98"/>
    <w:rsid w:val="008D44EB"/>
    <w:rsid w:val="008D5D86"/>
    <w:rsid w:val="008D613A"/>
    <w:rsid w:val="008D6A81"/>
    <w:rsid w:val="008D6F0F"/>
    <w:rsid w:val="008E3E1A"/>
    <w:rsid w:val="008E4039"/>
    <w:rsid w:val="008F0B03"/>
    <w:rsid w:val="008F1AA9"/>
    <w:rsid w:val="008F7C5B"/>
    <w:rsid w:val="0090479C"/>
    <w:rsid w:val="009049C0"/>
    <w:rsid w:val="00906257"/>
    <w:rsid w:val="009069D6"/>
    <w:rsid w:val="00910EF6"/>
    <w:rsid w:val="00912380"/>
    <w:rsid w:val="009124F6"/>
    <w:rsid w:val="00912BC1"/>
    <w:rsid w:val="00913B67"/>
    <w:rsid w:val="00915B08"/>
    <w:rsid w:val="00916953"/>
    <w:rsid w:val="0092164E"/>
    <w:rsid w:val="00921856"/>
    <w:rsid w:val="00921DD1"/>
    <w:rsid w:val="009225FE"/>
    <w:rsid w:val="00923D31"/>
    <w:rsid w:val="00923F94"/>
    <w:rsid w:val="00926DD3"/>
    <w:rsid w:val="0092705D"/>
    <w:rsid w:val="00927E62"/>
    <w:rsid w:val="00931ADA"/>
    <w:rsid w:val="00932C51"/>
    <w:rsid w:val="009347EF"/>
    <w:rsid w:val="00935308"/>
    <w:rsid w:val="009361FD"/>
    <w:rsid w:val="009379E6"/>
    <w:rsid w:val="00937D75"/>
    <w:rsid w:val="009406D2"/>
    <w:rsid w:val="00940F17"/>
    <w:rsid w:val="009414C5"/>
    <w:rsid w:val="009427F2"/>
    <w:rsid w:val="00944F64"/>
    <w:rsid w:val="00945CE1"/>
    <w:rsid w:val="009462C7"/>
    <w:rsid w:val="009467A8"/>
    <w:rsid w:val="00951A0B"/>
    <w:rsid w:val="00953383"/>
    <w:rsid w:val="00955683"/>
    <w:rsid w:val="0095591B"/>
    <w:rsid w:val="009574A8"/>
    <w:rsid w:val="00964743"/>
    <w:rsid w:val="009648F3"/>
    <w:rsid w:val="00964D68"/>
    <w:rsid w:val="00965025"/>
    <w:rsid w:val="009654C8"/>
    <w:rsid w:val="00967E51"/>
    <w:rsid w:val="00970C0E"/>
    <w:rsid w:val="00971039"/>
    <w:rsid w:val="009712CF"/>
    <w:rsid w:val="00971B7B"/>
    <w:rsid w:val="00971D3B"/>
    <w:rsid w:val="009722EF"/>
    <w:rsid w:val="00972D48"/>
    <w:rsid w:val="00975E68"/>
    <w:rsid w:val="00977A95"/>
    <w:rsid w:val="009812FA"/>
    <w:rsid w:val="00982385"/>
    <w:rsid w:val="00982585"/>
    <w:rsid w:val="009857AA"/>
    <w:rsid w:val="00985DC9"/>
    <w:rsid w:val="00985FA9"/>
    <w:rsid w:val="00987A99"/>
    <w:rsid w:val="009902F7"/>
    <w:rsid w:val="00992076"/>
    <w:rsid w:val="0099448D"/>
    <w:rsid w:val="00995A06"/>
    <w:rsid w:val="00995C33"/>
    <w:rsid w:val="009A222A"/>
    <w:rsid w:val="009A26CA"/>
    <w:rsid w:val="009A6FE7"/>
    <w:rsid w:val="009B0285"/>
    <w:rsid w:val="009B0F9A"/>
    <w:rsid w:val="009B1FD2"/>
    <w:rsid w:val="009B3AEB"/>
    <w:rsid w:val="009B7AE2"/>
    <w:rsid w:val="009C0610"/>
    <w:rsid w:val="009C20ED"/>
    <w:rsid w:val="009C210D"/>
    <w:rsid w:val="009C2D83"/>
    <w:rsid w:val="009C3707"/>
    <w:rsid w:val="009C3EB5"/>
    <w:rsid w:val="009C42BD"/>
    <w:rsid w:val="009C444B"/>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5FE"/>
    <w:rsid w:val="009F5B74"/>
    <w:rsid w:val="009F6717"/>
    <w:rsid w:val="00A01F6A"/>
    <w:rsid w:val="00A0321B"/>
    <w:rsid w:val="00A045CA"/>
    <w:rsid w:val="00A04DC3"/>
    <w:rsid w:val="00A0597B"/>
    <w:rsid w:val="00A05DAD"/>
    <w:rsid w:val="00A06FB4"/>
    <w:rsid w:val="00A0745A"/>
    <w:rsid w:val="00A144F7"/>
    <w:rsid w:val="00A14878"/>
    <w:rsid w:val="00A166DD"/>
    <w:rsid w:val="00A1707B"/>
    <w:rsid w:val="00A1739A"/>
    <w:rsid w:val="00A17694"/>
    <w:rsid w:val="00A17F2C"/>
    <w:rsid w:val="00A22F1F"/>
    <w:rsid w:val="00A232B9"/>
    <w:rsid w:val="00A24AF1"/>
    <w:rsid w:val="00A318C3"/>
    <w:rsid w:val="00A33893"/>
    <w:rsid w:val="00A34C9A"/>
    <w:rsid w:val="00A34D89"/>
    <w:rsid w:val="00A41364"/>
    <w:rsid w:val="00A41F72"/>
    <w:rsid w:val="00A42367"/>
    <w:rsid w:val="00A42C74"/>
    <w:rsid w:val="00A44708"/>
    <w:rsid w:val="00A44A25"/>
    <w:rsid w:val="00A54891"/>
    <w:rsid w:val="00A54CA1"/>
    <w:rsid w:val="00A56516"/>
    <w:rsid w:val="00A60E64"/>
    <w:rsid w:val="00A62031"/>
    <w:rsid w:val="00A65D80"/>
    <w:rsid w:val="00A672A7"/>
    <w:rsid w:val="00A714DD"/>
    <w:rsid w:val="00A717FB"/>
    <w:rsid w:val="00A71E7F"/>
    <w:rsid w:val="00A73044"/>
    <w:rsid w:val="00A7379C"/>
    <w:rsid w:val="00A73CF1"/>
    <w:rsid w:val="00A75C9A"/>
    <w:rsid w:val="00A76AC8"/>
    <w:rsid w:val="00A835D4"/>
    <w:rsid w:val="00A84FCB"/>
    <w:rsid w:val="00A853D1"/>
    <w:rsid w:val="00A85AA3"/>
    <w:rsid w:val="00A86302"/>
    <w:rsid w:val="00A90EE0"/>
    <w:rsid w:val="00A9123D"/>
    <w:rsid w:val="00A918D2"/>
    <w:rsid w:val="00A91DC0"/>
    <w:rsid w:val="00A91EEC"/>
    <w:rsid w:val="00A92534"/>
    <w:rsid w:val="00A927C4"/>
    <w:rsid w:val="00A92BCA"/>
    <w:rsid w:val="00A93B9E"/>
    <w:rsid w:val="00A95982"/>
    <w:rsid w:val="00AA0F9E"/>
    <w:rsid w:val="00AA2734"/>
    <w:rsid w:val="00AA3015"/>
    <w:rsid w:val="00AA3B08"/>
    <w:rsid w:val="00AA3E46"/>
    <w:rsid w:val="00AA401A"/>
    <w:rsid w:val="00AA4399"/>
    <w:rsid w:val="00AA4D97"/>
    <w:rsid w:val="00AA59AF"/>
    <w:rsid w:val="00AB04F6"/>
    <w:rsid w:val="00AB05D5"/>
    <w:rsid w:val="00AB0E8F"/>
    <w:rsid w:val="00AB2611"/>
    <w:rsid w:val="00AB35DC"/>
    <w:rsid w:val="00AB419D"/>
    <w:rsid w:val="00AB52D0"/>
    <w:rsid w:val="00AC046B"/>
    <w:rsid w:val="00AC0764"/>
    <w:rsid w:val="00AC1E16"/>
    <w:rsid w:val="00AC1EDB"/>
    <w:rsid w:val="00AC3A0C"/>
    <w:rsid w:val="00AC3EEC"/>
    <w:rsid w:val="00AC50EE"/>
    <w:rsid w:val="00AC54F8"/>
    <w:rsid w:val="00AC57A5"/>
    <w:rsid w:val="00AC5D4C"/>
    <w:rsid w:val="00AC681D"/>
    <w:rsid w:val="00AC6FF1"/>
    <w:rsid w:val="00AC7AF0"/>
    <w:rsid w:val="00AD05A1"/>
    <w:rsid w:val="00AD0F67"/>
    <w:rsid w:val="00AD1A30"/>
    <w:rsid w:val="00AD3565"/>
    <w:rsid w:val="00AD5909"/>
    <w:rsid w:val="00AD700A"/>
    <w:rsid w:val="00AD7E8E"/>
    <w:rsid w:val="00AE0F81"/>
    <w:rsid w:val="00AE136A"/>
    <w:rsid w:val="00AE330D"/>
    <w:rsid w:val="00AE7239"/>
    <w:rsid w:val="00AF134A"/>
    <w:rsid w:val="00AF3563"/>
    <w:rsid w:val="00AF3BCE"/>
    <w:rsid w:val="00AF3F7A"/>
    <w:rsid w:val="00AF421C"/>
    <w:rsid w:val="00AF5C05"/>
    <w:rsid w:val="00AF7622"/>
    <w:rsid w:val="00B00238"/>
    <w:rsid w:val="00B019A9"/>
    <w:rsid w:val="00B026CA"/>
    <w:rsid w:val="00B03218"/>
    <w:rsid w:val="00B03273"/>
    <w:rsid w:val="00B039EC"/>
    <w:rsid w:val="00B07EFF"/>
    <w:rsid w:val="00B10984"/>
    <w:rsid w:val="00B110B5"/>
    <w:rsid w:val="00B11FF9"/>
    <w:rsid w:val="00B134C3"/>
    <w:rsid w:val="00B14C3A"/>
    <w:rsid w:val="00B167A2"/>
    <w:rsid w:val="00B174E3"/>
    <w:rsid w:val="00B21458"/>
    <w:rsid w:val="00B2772E"/>
    <w:rsid w:val="00B27A5B"/>
    <w:rsid w:val="00B316E7"/>
    <w:rsid w:val="00B32684"/>
    <w:rsid w:val="00B32A4E"/>
    <w:rsid w:val="00B3398C"/>
    <w:rsid w:val="00B3435C"/>
    <w:rsid w:val="00B344C4"/>
    <w:rsid w:val="00B34BDE"/>
    <w:rsid w:val="00B34EF9"/>
    <w:rsid w:val="00B3578F"/>
    <w:rsid w:val="00B35DAD"/>
    <w:rsid w:val="00B36D34"/>
    <w:rsid w:val="00B36EB3"/>
    <w:rsid w:val="00B41AE8"/>
    <w:rsid w:val="00B445D0"/>
    <w:rsid w:val="00B45410"/>
    <w:rsid w:val="00B45C4D"/>
    <w:rsid w:val="00B53FF2"/>
    <w:rsid w:val="00B54620"/>
    <w:rsid w:val="00B5466C"/>
    <w:rsid w:val="00B55CDD"/>
    <w:rsid w:val="00B56E4F"/>
    <w:rsid w:val="00B606CE"/>
    <w:rsid w:val="00B63345"/>
    <w:rsid w:val="00B63A7A"/>
    <w:rsid w:val="00B652B0"/>
    <w:rsid w:val="00B70D13"/>
    <w:rsid w:val="00B7119B"/>
    <w:rsid w:val="00B71CF1"/>
    <w:rsid w:val="00B72847"/>
    <w:rsid w:val="00B73366"/>
    <w:rsid w:val="00B73A3D"/>
    <w:rsid w:val="00B74168"/>
    <w:rsid w:val="00B746F1"/>
    <w:rsid w:val="00B748AE"/>
    <w:rsid w:val="00B75D53"/>
    <w:rsid w:val="00B75DB2"/>
    <w:rsid w:val="00B7681E"/>
    <w:rsid w:val="00B81EB1"/>
    <w:rsid w:val="00B828C1"/>
    <w:rsid w:val="00B832A3"/>
    <w:rsid w:val="00B83AFF"/>
    <w:rsid w:val="00B84812"/>
    <w:rsid w:val="00B84886"/>
    <w:rsid w:val="00B84958"/>
    <w:rsid w:val="00B85F0D"/>
    <w:rsid w:val="00B86A9F"/>
    <w:rsid w:val="00B910E8"/>
    <w:rsid w:val="00B91671"/>
    <w:rsid w:val="00B920EC"/>
    <w:rsid w:val="00B93137"/>
    <w:rsid w:val="00B9328C"/>
    <w:rsid w:val="00B94CD8"/>
    <w:rsid w:val="00B9595D"/>
    <w:rsid w:val="00B96F16"/>
    <w:rsid w:val="00B97A54"/>
    <w:rsid w:val="00BA0974"/>
    <w:rsid w:val="00BA3D73"/>
    <w:rsid w:val="00BA53ED"/>
    <w:rsid w:val="00BA58AC"/>
    <w:rsid w:val="00BA5D5A"/>
    <w:rsid w:val="00BA60D1"/>
    <w:rsid w:val="00BA649C"/>
    <w:rsid w:val="00BA67DC"/>
    <w:rsid w:val="00BA69CB"/>
    <w:rsid w:val="00BA7C49"/>
    <w:rsid w:val="00BB00BA"/>
    <w:rsid w:val="00BB112B"/>
    <w:rsid w:val="00BB14DD"/>
    <w:rsid w:val="00BB1B81"/>
    <w:rsid w:val="00BB1CDA"/>
    <w:rsid w:val="00BB25B1"/>
    <w:rsid w:val="00BB2CD8"/>
    <w:rsid w:val="00BB4114"/>
    <w:rsid w:val="00BB49CB"/>
    <w:rsid w:val="00BB5D4D"/>
    <w:rsid w:val="00BB6375"/>
    <w:rsid w:val="00BC459E"/>
    <w:rsid w:val="00BC4AAE"/>
    <w:rsid w:val="00BC5DCD"/>
    <w:rsid w:val="00BC626B"/>
    <w:rsid w:val="00BC6D99"/>
    <w:rsid w:val="00BC7397"/>
    <w:rsid w:val="00BC743B"/>
    <w:rsid w:val="00BC7CE1"/>
    <w:rsid w:val="00BD0628"/>
    <w:rsid w:val="00BD304A"/>
    <w:rsid w:val="00BD69A8"/>
    <w:rsid w:val="00BD7FD9"/>
    <w:rsid w:val="00BE1022"/>
    <w:rsid w:val="00BE283F"/>
    <w:rsid w:val="00BE2ECA"/>
    <w:rsid w:val="00BE2EFA"/>
    <w:rsid w:val="00BE3768"/>
    <w:rsid w:val="00BE5947"/>
    <w:rsid w:val="00BE597C"/>
    <w:rsid w:val="00BE6870"/>
    <w:rsid w:val="00BE71FD"/>
    <w:rsid w:val="00BE7B19"/>
    <w:rsid w:val="00BF23A6"/>
    <w:rsid w:val="00BF28BB"/>
    <w:rsid w:val="00BF3B3D"/>
    <w:rsid w:val="00BF564D"/>
    <w:rsid w:val="00BF591D"/>
    <w:rsid w:val="00BF5A87"/>
    <w:rsid w:val="00BF6341"/>
    <w:rsid w:val="00BF65F3"/>
    <w:rsid w:val="00C0045E"/>
    <w:rsid w:val="00C00FC7"/>
    <w:rsid w:val="00C00FD8"/>
    <w:rsid w:val="00C05E84"/>
    <w:rsid w:val="00C073E4"/>
    <w:rsid w:val="00C07C34"/>
    <w:rsid w:val="00C114CA"/>
    <w:rsid w:val="00C13962"/>
    <w:rsid w:val="00C154E6"/>
    <w:rsid w:val="00C15749"/>
    <w:rsid w:val="00C158B5"/>
    <w:rsid w:val="00C16A92"/>
    <w:rsid w:val="00C16E23"/>
    <w:rsid w:val="00C1733C"/>
    <w:rsid w:val="00C2082B"/>
    <w:rsid w:val="00C20DBA"/>
    <w:rsid w:val="00C21605"/>
    <w:rsid w:val="00C263C3"/>
    <w:rsid w:val="00C27213"/>
    <w:rsid w:val="00C32EFA"/>
    <w:rsid w:val="00C33771"/>
    <w:rsid w:val="00C3394C"/>
    <w:rsid w:val="00C3411B"/>
    <w:rsid w:val="00C34230"/>
    <w:rsid w:val="00C3661B"/>
    <w:rsid w:val="00C42112"/>
    <w:rsid w:val="00C435EB"/>
    <w:rsid w:val="00C44B76"/>
    <w:rsid w:val="00C44D13"/>
    <w:rsid w:val="00C45768"/>
    <w:rsid w:val="00C45A23"/>
    <w:rsid w:val="00C4692B"/>
    <w:rsid w:val="00C46A0C"/>
    <w:rsid w:val="00C473F7"/>
    <w:rsid w:val="00C501E5"/>
    <w:rsid w:val="00C50A18"/>
    <w:rsid w:val="00C5100A"/>
    <w:rsid w:val="00C51884"/>
    <w:rsid w:val="00C52FE6"/>
    <w:rsid w:val="00C549BC"/>
    <w:rsid w:val="00C56251"/>
    <w:rsid w:val="00C5667B"/>
    <w:rsid w:val="00C56A65"/>
    <w:rsid w:val="00C56CE5"/>
    <w:rsid w:val="00C56FE0"/>
    <w:rsid w:val="00C6072B"/>
    <w:rsid w:val="00C6094D"/>
    <w:rsid w:val="00C61B33"/>
    <w:rsid w:val="00C62733"/>
    <w:rsid w:val="00C62FDC"/>
    <w:rsid w:val="00C67460"/>
    <w:rsid w:val="00C724F5"/>
    <w:rsid w:val="00C73066"/>
    <w:rsid w:val="00C73399"/>
    <w:rsid w:val="00C743D2"/>
    <w:rsid w:val="00C76131"/>
    <w:rsid w:val="00C77A1F"/>
    <w:rsid w:val="00C77AA5"/>
    <w:rsid w:val="00C80647"/>
    <w:rsid w:val="00C80836"/>
    <w:rsid w:val="00C8277B"/>
    <w:rsid w:val="00C83772"/>
    <w:rsid w:val="00C84DDE"/>
    <w:rsid w:val="00C85162"/>
    <w:rsid w:val="00C874E5"/>
    <w:rsid w:val="00C87864"/>
    <w:rsid w:val="00C90EAC"/>
    <w:rsid w:val="00C917FD"/>
    <w:rsid w:val="00C93D01"/>
    <w:rsid w:val="00C958FA"/>
    <w:rsid w:val="00C96958"/>
    <w:rsid w:val="00C96A6B"/>
    <w:rsid w:val="00CA1F34"/>
    <w:rsid w:val="00CA62C0"/>
    <w:rsid w:val="00CA70F1"/>
    <w:rsid w:val="00CA7369"/>
    <w:rsid w:val="00CA73CB"/>
    <w:rsid w:val="00CA7980"/>
    <w:rsid w:val="00CA79BB"/>
    <w:rsid w:val="00CB4161"/>
    <w:rsid w:val="00CB43A2"/>
    <w:rsid w:val="00CB5229"/>
    <w:rsid w:val="00CB6DE1"/>
    <w:rsid w:val="00CB759F"/>
    <w:rsid w:val="00CB7730"/>
    <w:rsid w:val="00CC009B"/>
    <w:rsid w:val="00CC12A0"/>
    <w:rsid w:val="00CC26A8"/>
    <w:rsid w:val="00CC2D16"/>
    <w:rsid w:val="00CC3E30"/>
    <w:rsid w:val="00CC4CED"/>
    <w:rsid w:val="00CC6EBB"/>
    <w:rsid w:val="00CD075C"/>
    <w:rsid w:val="00CD4A21"/>
    <w:rsid w:val="00CE1A40"/>
    <w:rsid w:val="00CE34F0"/>
    <w:rsid w:val="00CE3A6F"/>
    <w:rsid w:val="00CE63F9"/>
    <w:rsid w:val="00CF0A31"/>
    <w:rsid w:val="00CF1E87"/>
    <w:rsid w:val="00CF240F"/>
    <w:rsid w:val="00CF34FA"/>
    <w:rsid w:val="00CF4B5F"/>
    <w:rsid w:val="00CF4FAD"/>
    <w:rsid w:val="00CF5C15"/>
    <w:rsid w:val="00CF5C23"/>
    <w:rsid w:val="00CF6201"/>
    <w:rsid w:val="00CF6B2F"/>
    <w:rsid w:val="00D05CAA"/>
    <w:rsid w:val="00D06129"/>
    <w:rsid w:val="00D108E1"/>
    <w:rsid w:val="00D114E6"/>
    <w:rsid w:val="00D1198D"/>
    <w:rsid w:val="00D119CF"/>
    <w:rsid w:val="00D11E86"/>
    <w:rsid w:val="00D14302"/>
    <w:rsid w:val="00D15F17"/>
    <w:rsid w:val="00D161BE"/>
    <w:rsid w:val="00D162D9"/>
    <w:rsid w:val="00D201AA"/>
    <w:rsid w:val="00D2128F"/>
    <w:rsid w:val="00D259FD"/>
    <w:rsid w:val="00D27F50"/>
    <w:rsid w:val="00D30F03"/>
    <w:rsid w:val="00D33180"/>
    <w:rsid w:val="00D34E5E"/>
    <w:rsid w:val="00D35495"/>
    <w:rsid w:val="00D4044B"/>
    <w:rsid w:val="00D4046C"/>
    <w:rsid w:val="00D41D2D"/>
    <w:rsid w:val="00D42638"/>
    <w:rsid w:val="00D44316"/>
    <w:rsid w:val="00D448E6"/>
    <w:rsid w:val="00D44EB2"/>
    <w:rsid w:val="00D4743F"/>
    <w:rsid w:val="00D5065B"/>
    <w:rsid w:val="00D51CBC"/>
    <w:rsid w:val="00D5274F"/>
    <w:rsid w:val="00D53AB4"/>
    <w:rsid w:val="00D548E4"/>
    <w:rsid w:val="00D56338"/>
    <w:rsid w:val="00D565F8"/>
    <w:rsid w:val="00D56ABB"/>
    <w:rsid w:val="00D571B1"/>
    <w:rsid w:val="00D57944"/>
    <w:rsid w:val="00D57EFC"/>
    <w:rsid w:val="00D602E0"/>
    <w:rsid w:val="00D62283"/>
    <w:rsid w:val="00D63EFF"/>
    <w:rsid w:val="00D64096"/>
    <w:rsid w:val="00D644BD"/>
    <w:rsid w:val="00D65500"/>
    <w:rsid w:val="00D65F8F"/>
    <w:rsid w:val="00D664A9"/>
    <w:rsid w:val="00D66520"/>
    <w:rsid w:val="00D671E2"/>
    <w:rsid w:val="00D67E0A"/>
    <w:rsid w:val="00D70862"/>
    <w:rsid w:val="00D7566A"/>
    <w:rsid w:val="00D7595B"/>
    <w:rsid w:val="00D85008"/>
    <w:rsid w:val="00D869A8"/>
    <w:rsid w:val="00D873B2"/>
    <w:rsid w:val="00D87426"/>
    <w:rsid w:val="00D8754D"/>
    <w:rsid w:val="00D909CB"/>
    <w:rsid w:val="00D92717"/>
    <w:rsid w:val="00D93E05"/>
    <w:rsid w:val="00D9515D"/>
    <w:rsid w:val="00D95EC0"/>
    <w:rsid w:val="00DA05F0"/>
    <w:rsid w:val="00DA1252"/>
    <w:rsid w:val="00DA3A08"/>
    <w:rsid w:val="00DA4715"/>
    <w:rsid w:val="00DA62DF"/>
    <w:rsid w:val="00DA7439"/>
    <w:rsid w:val="00DB045A"/>
    <w:rsid w:val="00DB0B87"/>
    <w:rsid w:val="00DB0DA9"/>
    <w:rsid w:val="00DB108A"/>
    <w:rsid w:val="00DB4290"/>
    <w:rsid w:val="00DC1776"/>
    <w:rsid w:val="00DC33A5"/>
    <w:rsid w:val="00DC4340"/>
    <w:rsid w:val="00DC6F5E"/>
    <w:rsid w:val="00DC7898"/>
    <w:rsid w:val="00DC7DA6"/>
    <w:rsid w:val="00DD19F8"/>
    <w:rsid w:val="00DD1C70"/>
    <w:rsid w:val="00DD3239"/>
    <w:rsid w:val="00DD5D90"/>
    <w:rsid w:val="00DE07E4"/>
    <w:rsid w:val="00DE0877"/>
    <w:rsid w:val="00DE08AE"/>
    <w:rsid w:val="00DE0FF8"/>
    <w:rsid w:val="00DE3E2F"/>
    <w:rsid w:val="00DE3EBF"/>
    <w:rsid w:val="00DE62F7"/>
    <w:rsid w:val="00DE6D39"/>
    <w:rsid w:val="00DE7345"/>
    <w:rsid w:val="00DF51CA"/>
    <w:rsid w:val="00DF5581"/>
    <w:rsid w:val="00DF7501"/>
    <w:rsid w:val="00DF7936"/>
    <w:rsid w:val="00E04B6F"/>
    <w:rsid w:val="00E13833"/>
    <w:rsid w:val="00E17001"/>
    <w:rsid w:val="00E17406"/>
    <w:rsid w:val="00E20AE5"/>
    <w:rsid w:val="00E20F00"/>
    <w:rsid w:val="00E21297"/>
    <w:rsid w:val="00E23A38"/>
    <w:rsid w:val="00E23B6B"/>
    <w:rsid w:val="00E265A0"/>
    <w:rsid w:val="00E266DE"/>
    <w:rsid w:val="00E311F5"/>
    <w:rsid w:val="00E31262"/>
    <w:rsid w:val="00E32182"/>
    <w:rsid w:val="00E34B28"/>
    <w:rsid w:val="00E34BF8"/>
    <w:rsid w:val="00E34FC7"/>
    <w:rsid w:val="00E35B1E"/>
    <w:rsid w:val="00E4250F"/>
    <w:rsid w:val="00E44A7E"/>
    <w:rsid w:val="00E46268"/>
    <w:rsid w:val="00E46A7E"/>
    <w:rsid w:val="00E46CE8"/>
    <w:rsid w:val="00E46D4A"/>
    <w:rsid w:val="00E51559"/>
    <w:rsid w:val="00E548DB"/>
    <w:rsid w:val="00E552BD"/>
    <w:rsid w:val="00E55649"/>
    <w:rsid w:val="00E56A50"/>
    <w:rsid w:val="00E5798A"/>
    <w:rsid w:val="00E57A3E"/>
    <w:rsid w:val="00E60266"/>
    <w:rsid w:val="00E605A2"/>
    <w:rsid w:val="00E6228E"/>
    <w:rsid w:val="00E628D9"/>
    <w:rsid w:val="00E63ADA"/>
    <w:rsid w:val="00E640E0"/>
    <w:rsid w:val="00E645F6"/>
    <w:rsid w:val="00E64C5F"/>
    <w:rsid w:val="00E65A87"/>
    <w:rsid w:val="00E664F4"/>
    <w:rsid w:val="00E70355"/>
    <w:rsid w:val="00E7132D"/>
    <w:rsid w:val="00E72037"/>
    <w:rsid w:val="00E72855"/>
    <w:rsid w:val="00E73636"/>
    <w:rsid w:val="00E7377F"/>
    <w:rsid w:val="00E738C6"/>
    <w:rsid w:val="00E74710"/>
    <w:rsid w:val="00E74C1D"/>
    <w:rsid w:val="00E7503F"/>
    <w:rsid w:val="00E7547E"/>
    <w:rsid w:val="00E80439"/>
    <w:rsid w:val="00E80DC1"/>
    <w:rsid w:val="00E81B2F"/>
    <w:rsid w:val="00E844ED"/>
    <w:rsid w:val="00E84646"/>
    <w:rsid w:val="00E85810"/>
    <w:rsid w:val="00E85B0A"/>
    <w:rsid w:val="00E85F9D"/>
    <w:rsid w:val="00E90558"/>
    <w:rsid w:val="00E909CD"/>
    <w:rsid w:val="00E92248"/>
    <w:rsid w:val="00E92BD1"/>
    <w:rsid w:val="00E935A1"/>
    <w:rsid w:val="00E93FB6"/>
    <w:rsid w:val="00E95832"/>
    <w:rsid w:val="00EA1715"/>
    <w:rsid w:val="00EA31FD"/>
    <w:rsid w:val="00EA4349"/>
    <w:rsid w:val="00EA4EE4"/>
    <w:rsid w:val="00EA5A32"/>
    <w:rsid w:val="00EB2F51"/>
    <w:rsid w:val="00EB3BF0"/>
    <w:rsid w:val="00EB601D"/>
    <w:rsid w:val="00EB6CCD"/>
    <w:rsid w:val="00EC0273"/>
    <w:rsid w:val="00EC25BA"/>
    <w:rsid w:val="00EC35E3"/>
    <w:rsid w:val="00EC362E"/>
    <w:rsid w:val="00EC7F02"/>
    <w:rsid w:val="00ED0AD5"/>
    <w:rsid w:val="00ED1DE2"/>
    <w:rsid w:val="00ED1F31"/>
    <w:rsid w:val="00ED3630"/>
    <w:rsid w:val="00ED42ED"/>
    <w:rsid w:val="00ED7140"/>
    <w:rsid w:val="00ED77E5"/>
    <w:rsid w:val="00ED78F5"/>
    <w:rsid w:val="00EE026E"/>
    <w:rsid w:val="00EE3C59"/>
    <w:rsid w:val="00EE5B70"/>
    <w:rsid w:val="00EE5E2C"/>
    <w:rsid w:val="00EE66B6"/>
    <w:rsid w:val="00EE7B48"/>
    <w:rsid w:val="00EF0AFA"/>
    <w:rsid w:val="00EF0CA4"/>
    <w:rsid w:val="00EF38E5"/>
    <w:rsid w:val="00EF5A37"/>
    <w:rsid w:val="00EF5C33"/>
    <w:rsid w:val="00EF629C"/>
    <w:rsid w:val="00EF6AB8"/>
    <w:rsid w:val="00EF7C6E"/>
    <w:rsid w:val="00F012F4"/>
    <w:rsid w:val="00F015EA"/>
    <w:rsid w:val="00F015FF"/>
    <w:rsid w:val="00F01632"/>
    <w:rsid w:val="00F05085"/>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361"/>
    <w:rsid w:val="00F35509"/>
    <w:rsid w:val="00F358C3"/>
    <w:rsid w:val="00F3781E"/>
    <w:rsid w:val="00F413D8"/>
    <w:rsid w:val="00F42100"/>
    <w:rsid w:val="00F42A9B"/>
    <w:rsid w:val="00F44900"/>
    <w:rsid w:val="00F45470"/>
    <w:rsid w:val="00F464FE"/>
    <w:rsid w:val="00F465F9"/>
    <w:rsid w:val="00F47621"/>
    <w:rsid w:val="00F5206D"/>
    <w:rsid w:val="00F52CF2"/>
    <w:rsid w:val="00F54666"/>
    <w:rsid w:val="00F570AB"/>
    <w:rsid w:val="00F57A71"/>
    <w:rsid w:val="00F60A1A"/>
    <w:rsid w:val="00F61C28"/>
    <w:rsid w:val="00F61E69"/>
    <w:rsid w:val="00F633B7"/>
    <w:rsid w:val="00F645F1"/>
    <w:rsid w:val="00F6591A"/>
    <w:rsid w:val="00F65C51"/>
    <w:rsid w:val="00F70D35"/>
    <w:rsid w:val="00F71BF0"/>
    <w:rsid w:val="00F73FB3"/>
    <w:rsid w:val="00F7546C"/>
    <w:rsid w:val="00F76EC7"/>
    <w:rsid w:val="00F77B00"/>
    <w:rsid w:val="00F8018A"/>
    <w:rsid w:val="00F80C9D"/>
    <w:rsid w:val="00F83B6F"/>
    <w:rsid w:val="00F84470"/>
    <w:rsid w:val="00F8474C"/>
    <w:rsid w:val="00F857BC"/>
    <w:rsid w:val="00F90273"/>
    <w:rsid w:val="00F90BD0"/>
    <w:rsid w:val="00F92F25"/>
    <w:rsid w:val="00F93ACB"/>
    <w:rsid w:val="00F93C4F"/>
    <w:rsid w:val="00F95994"/>
    <w:rsid w:val="00F973ED"/>
    <w:rsid w:val="00FA03C0"/>
    <w:rsid w:val="00FA49C5"/>
    <w:rsid w:val="00FA5BD2"/>
    <w:rsid w:val="00FA6175"/>
    <w:rsid w:val="00FA6784"/>
    <w:rsid w:val="00FA7E00"/>
    <w:rsid w:val="00FB1780"/>
    <w:rsid w:val="00FB35C6"/>
    <w:rsid w:val="00FB4C5A"/>
    <w:rsid w:val="00FB56A1"/>
    <w:rsid w:val="00FB5BFA"/>
    <w:rsid w:val="00FB6D48"/>
    <w:rsid w:val="00FB6F79"/>
    <w:rsid w:val="00FB772F"/>
    <w:rsid w:val="00FC10F6"/>
    <w:rsid w:val="00FC3FD3"/>
    <w:rsid w:val="00FC4892"/>
    <w:rsid w:val="00FC61D1"/>
    <w:rsid w:val="00FC7C25"/>
    <w:rsid w:val="00FD1C2E"/>
    <w:rsid w:val="00FD3574"/>
    <w:rsid w:val="00FD38A9"/>
    <w:rsid w:val="00FD40A5"/>
    <w:rsid w:val="00FD602D"/>
    <w:rsid w:val="00FD60D2"/>
    <w:rsid w:val="00FD6A7D"/>
    <w:rsid w:val="00FD6FC9"/>
    <w:rsid w:val="00FE02C2"/>
    <w:rsid w:val="00FE298F"/>
    <w:rsid w:val="00FE2D34"/>
    <w:rsid w:val="00FE3222"/>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412D11F"/>
  <w15:docId w15:val="{8D4C22B3-029A-4610-B833-D9FC6822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98A"/>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547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link w:val="ItemHeadChar"/>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aliases w:val="a"/>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character" w:styleId="FollowedHyperlink">
    <w:name w:val="FollowedHyperlink"/>
    <w:basedOn w:val="DefaultParagraphFont"/>
    <w:uiPriority w:val="99"/>
    <w:semiHidden/>
    <w:unhideWhenUsed/>
    <w:rsid w:val="004926F0"/>
    <w:rPr>
      <w:color w:val="800080" w:themeColor="followedHyperlink"/>
      <w:u w:val="single"/>
    </w:rPr>
  </w:style>
  <w:style w:type="paragraph" w:customStyle="1" w:styleId="healthnumlevel2">
    <w:name w:val="healthnumlevel2"/>
    <w:basedOn w:val="Normal"/>
    <w:rsid w:val="003C25D6"/>
    <w:pPr>
      <w:spacing w:before="100" w:beforeAutospacing="1" w:after="100" w:afterAutospacing="1"/>
    </w:pPr>
    <w:rPr>
      <w:szCs w:val="24"/>
    </w:rPr>
  </w:style>
  <w:style w:type="paragraph" w:customStyle="1" w:styleId="h30">
    <w:name w:val="h3"/>
    <w:basedOn w:val="Normal"/>
    <w:rsid w:val="006A642A"/>
    <w:pPr>
      <w:spacing w:before="100" w:beforeAutospacing="1" w:after="100" w:afterAutospacing="1"/>
    </w:pPr>
    <w:rPr>
      <w:szCs w:val="24"/>
    </w:rPr>
  </w:style>
  <w:style w:type="paragraph" w:customStyle="1" w:styleId="ActHead5">
    <w:name w:val="ActHead 5"/>
    <w:aliases w:val="s"/>
    <w:basedOn w:val="Normal"/>
    <w:next w:val="subsection"/>
    <w:qFormat/>
    <w:rsid w:val="00692799"/>
    <w:pPr>
      <w:keepNext/>
      <w:keepLines/>
      <w:spacing w:before="280"/>
      <w:ind w:left="1134" w:hanging="1134"/>
      <w:outlineLvl w:val="4"/>
    </w:pPr>
    <w:rPr>
      <w:b/>
      <w:kern w:val="28"/>
    </w:rPr>
  </w:style>
  <w:style w:type="paragraph" w:customStyle="1" w:styleId="subsection">
    <w:name w:val="subsection"/>
    <w:aliases w:val="ss"/>
    <w:basedOn w:val="Normal"/>
    <w:link w:val="subsectionChar"/>
    <w:rsid w:val="00692799"/>
    <w:pPr>
      <w:tabs>
        <w:tab w:val="right" w:pos="1021"/>
      </w:tabs>
      <w:spacing w:before="180"/>
      <w:ind w:left="1134" w:hanging="1134"/>
    </w:pPr>
    <w:rPr>
      <w:sz w:val="22"/>
    </w:rPr>
  </w:style>
  <w:style w:type="paragraph" w:customStyle="1" w:styleId="paragraphsub0">
    <w:name w:val="paragraph(sub)"/>
    <w:aliases w:val="aa"/>
    <w:basedOn w:val="Normal"/>
    <w:rsid w:val="00692799"/>
    <w:pPr>
      <w:tabs>
        <w:tab w:val="right" w:pos="1985"/>
      </w:tabs>
      <w:spacing w:before="40"/>
      <w:ind w:left="2098" w:hanging="2098"/>
    </w:pPr>
    <w:rPr>
      <w:sz w:val="22"/>
    </w:rPr>
  </w:style>
  <w:style w:type="paragraph" w:customStyle="1" w:styleId="ShortT">
    <w:name w:val="ShortT"/>
    <w:basedOn w:val="Normal"/>
    <w:next w:val="Normal"/>
    <w:qFormat/>
    <w:rsid w:val="00D62283"/>
    <w:rPr>
      <w:b/>
      <w:sz w:val="40"/>
    </w:rPr>
  </w:style>
  <w:style w:type="character" w:customStyle="1" w:styleId="ItemHeadChar">
    <w:name w:val="ItemHead Char"/>
    <w:aliases w:val="ih Char"/>
    <w:basedOn w:val="DefaultParagraphFont"/>
    <w:link w:val="ItemHead"/>
    <w:rsid w:val="00F44900"/>
    <w:rPr>
      <w:rFonts w:ascii="Arial" w:eastAsia="Times New Roman" w:hAnsi="Arial" w:cs="Times New Roman"/>
      <w:b/>
      <w:kern w:val="28"/>
      <w:sz w:val="24"/>
      <w:szCs w:val="20"/>
      <w:lang w:eastAsia="en-AU"/>
    </w:rPr>
  </w:style>
  <w:style w:type="character" w:customStyle="1" w:styleId="subsectionChar">
    <w:name w:val="subsection Char"/>
    <w:aliases w:val="ss Char"/>
    <w:basedOn w:val="DefaultParagraphFont"/>
    <w:link w:val="subsection"/>
    <w:locked/>
    <w:rsid w:val="00F44900"/>
    <w:rPr>
      <w:rFonts w:ascii="Times New Roman" w:eastAsia="Times New Roman" w:hAnsi="Times New Roman" w:cs="Times New Roman"/>
      <w:szCs w:val="20"/>
      <w:lang w:eastAsia="en-AU"/>
    </w:rPr>
  </w:style>
  <w:style w:type="character" w:customStyle="1" w:styleId="Heading3Char">
    <w:name w:val="Heading 3 Char"/>
    <w:basedOn w:val="DefaultParagraphFont"/>
    <w:link w:val="Heading3"/>
    <w:uiPriority w:val="9"/>
    <w:semiHidden/>
    <w:rsid w:val="00E7547E"/>
    <w:rPr>
      <w:rFonts w:asciiTheme="majorHAnsi" w:eastAsiaTheme="majorEastAsia" w:hAnsiTheme="majorHAnsi" w:cstheme="majorBidi"/>
      <w:color w:val="243F60" w:themeColor="accent1" w:themeShade="7F"/>
      <w:sz w:val="24"/>
      <w:szCs w:val="24"/>
      <w:lang w:eastAsia="en-AU"/>
    </w:rPr>
  </w:style>
  <w:style w:type="character" w:customStyle="1" w:styleId="CaptionChar">
    <w:name w:val="Caption Char"/>
    <w:basedOn w:val="DefaultParagraphFont"/>
    <w:link w:val="Caption"/>
    <w:semiHidden/>
    <w:locked/>
    <w:rsid w:val="00E7547E"/>
    <w:rPr>
      <w:rFonts w:ascii="Arial" w:hAnsi="Arial" w:cs="Arial"/>
      <w:i/>
      <w:iCs/>
    </w:rPr>
  </w:style>
  <w:style w:type="paragraph" w:styleId="Caption">
    <w:name w:val="caption"/>
    <w:basedOn w:val="Normal"/>
    <w:link w:val="CaptionChar"/>
    <w:semiHidden/>
    <w:unhideWhenUsed/>
    <w:qFormat/>
    <w:rsid w:val="00E7547E"/>
    <w:pPr>
      <w:keepNext/>
      <w:spacing w:before="120" w:after="120"/>
    </w:pPr>
    <w:rPr>
      <w:rFonts w:ascii="Arial" w:eastAsiaTheme="minorHAnsi" w:hAnsi="Arial" w:cs="Arial"/>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9917699">
      <w:bodyDiv w:val="1"/>
      <w:marLeft w:val="0"/>
      <w:marRight w:val="0"/>
      <w:marTop w:val="0"/>
      <w:marBottom w:val="0"/>
      <w:divBdr>
        <w:top w:val="none" w:sz="0" w:space="0" w:color="auto"/>
        <w:left w:val="none" w:sz="0" w:space="0" w:color="auto"/>
        <w:bottom w:val="none" w:sz="0" w:space="0" w:color="auto"/>
        <w:right w:val="none" w:sz="0" w:space="0" w:color="auto"/>
      </w:divBdr>
      <w:divsChild>
        <w:div w:id="679812508">
          <w:marLeft w:val="0"/>
          <w:marRight w:val="0"/>
          <w:marTop w:val="0"/>
          <w:marBottom w:val="0"/>
          <w:divBdr>
            <w:top w:val="none" w:sz="0" w:space="0" w:color="auto"/>
            <w:left w:val="none" w:sz="0" w:space="0" w:color="auto"/>
            <w:bottom w:val="none" w:sz="0" w:space="0" w:color="auto"/>
            <w:right w:val="none" w:sz="0" w:space="0" w:color="auto"/>
          </w:divBdr>
          <w:divsChild>
            <w:div w:id="1684937003">
              <w:marLeft w:val="0"/>
              <w:marRight w:val="0"/>
              <w:marTop w:val="0"/>
              <w:marBottom w:val="0"/>
              <w:divBdr>
                <w:top w:val="none" w:sz="0" w:space="0" w:color="auto"/>
                <w:left w:val="none" w:sz="0" w:space="0" w:color="auto"/>
                <w:bottom w:val="none" w:sz="0" w:space="0" w:color="auto"/>
                <w:right w:val="none" w:sz="0" w:space="0" w:color="auto"/>
              </w:divBdr>
              <w:divsChild>
                <w:div w:id="1397241972">
                  <w:marLeft w:val="0"/>
                  <w:marRight w:val="0"/>
                  <w:marTop w:val="0"/>
                  <w:marBottom w:val="0"/>
                  <w:divBdr>
                    <w:top w:val="none" w:sz="0" w:space="0" w:color="auto"/>
                    <w:left w:val="none" w:sz="0" w:space="0" w:color="auto"/>
                    <w:bottom w:val="none" w:sz="0" w:space="0" w:color="auto"/>
                    <w:right w:val="none" w:sz="0" w:space="0" w:color="auto"/>
                  </w:divBdr>
                  <w:divsChild>
                    <w:div w:id="1956056974">
                      <w:marLeft w:val="0"/>
                      <w:marRight w:val="0"/>
                      <w:marTop w:val="0"/>
                      <w:marBottom w:val="0"/>
                      <w:divBdr>
                        <w:top w:val="none" w:sz="0" w:space="0" w:color="auto"/>
                        <w:left w:val="none" w:sz="0" w:space="0" w:color="auto"/>
                        <w:bottom w:val="none" w:sz="0" w:space="0" w:color="auto"/>
                        <w:right w:val="none" w:sz="0" w:space="0" w:color="auto"/>
                      </w:divBdr>
                      <w:divsChild>
                        <w:div w:id="1205605674">
                          <w:marLeft w:val="0"/>
                          <w:marRight w:val="0"/>
                          <w:marTop w:val="0"/>
                          <w:marBottom w:val="0"/>
                          <w:divBdr>
                            <w:top w:val="none" w:sz="0" w:space="0" w:color="auto"/>
                            <w:left w:val="none" w:sz="0" w:space="0" w:color="auto"/>
                            <w:bottom w:val="none" w:sz="0" w:space="0" w:color="auto"/>
                            <w:right w:val="none" w:sz="0" w:space="0" w:color="auto"/>
                          </w:divBdr>
                          <w:divsChild>
                            <w:div w:id="961032377">
                              <w:marLeft w:val="0"/>
                              <w:marRight w:val="0"/>
                              <w:marTop w:val="0"/>
                              <w:marBottom w:val="0"/>
                              <w:divBdr>
                                <w:top w:val="none" w:sz="0" w:space="0" w:color="auto"/>
                                <w:left w:val="none" w:sz="0" w:space="0" w:color="auto"/>
                                <w:bottom w:val="none" w:sz="0" w:space="0" w:color="auto"/>
                                <w:right w:val="none" w:sz="0" w:space="0" w:color="auto"/>
                              </w:divBdr>
                              <w:divsChild>
                                <w:div w:id="1866022804">
                                  <w:marLeft w:val="0"/>
                                  <w:marRight w:val="0"/>
                                  <w:marTop w:val="0"/>
                                  <w:marBottom w:val="0"/>
                                  <w:divBdr>
                                    <w:top w:val="none" w:sz="0" w:space="0" w:color="auto"/>
                                    <w:left w:val="none" w:sz="0" w:space="0" w:color="auto"/>
                                    <w:bottom w:val="none" w:sz="0" w:space="0" w:color="auto"/>
                                    <w:right w:val="none" w:sz="0" w:space="0" w:color="auto"/>
                                  </w:divBdr>
                                  <w:divsChild>
                                    <w:div w:id="880675110">
                                      <w:marLeft w:val="0"/>
                                      <w:marRight w:val="0"/>
                                      <w:marTop w:val="0"/>
                                      <w:marBottom w:val="0"/>
                                      <w:divBdr>
                                        <w:top w:val="none" w:sz="0" w:space="0" w:color="auto"/>
                                        <w:left w:val="none" w:sz="0" w:space="0" w:color="auto"/>
                                        <w:bottom w:val="none" w:sz="0" w:space="0" w:color="auto"/>
                                        <w:right w:val="none" w:sz="0" w:space="0" w:color="auto"/>
                                      </w:divBdr>
                                      <w:divsChild>
                                        <w:div w:id="360979733">
                                          <w:marLeft w:val="0"/>
                                          <w:marRight w:val="0"/>
                                          <w:marTop w:val="0"/>
                                          <w:marBottom w:val="0"/>
                                          <w:divBdr>
                                            <w:top w:val="none" w:sz="0" w:space="0" w:color="auto"/>
                                            <w:left w:val="none" w:sz="0" w:space="0" w:color="auto"/>
                                            <w:bottom w:val="none" w:sz="0" w:space="0" w:color="auto"/>
                                            <w:right w:val="none" w:sz="0" w:space="0" w:color="auto"/>
                                          </w:divBdr>
                                          <w:divsChild>
                                            <w:div w:id="1821262243">
                                              <w:marLeft w:val="0"/>
                                              <w:marRight w:val="0"/>
                                              <w:marTop w:val="0"/>
                                              <w:marBottom w:val="0"/>
                                              <w:divBdr>
                                                <w:top w:val="none" w:sz="0" w:space="0" w:color="auto"/>
                                                <w:left w:val="none" w:sz="0" w:space="0" w:color="auto"/>
                                                <w:bottom w:val="none" w:sz="0" w:space="0" w:color="auto"/>
                                                <w:right w:val="none" w:sz="0" w:space="0" w:color="auto"/>
                                              </w:divBdr>
                                              <w:divsChild>
                                                <w:div w:id="23874765">
                                                  <w:marLeft w:val="0"/>
                                                  <w:marRight w:val="0"/>
                                                  <w:marTop w:val="0"/>
                                                  <w:marBottom w:val="0"/>
                                                  <w:divBdr>
                                                    <w:top w:val="none" w:sz="0" w:space="0" w:color="auto"/>
                                                    <w:left w:val="none" w:sz="0" w:space="0" w:color="auto"/>
                                                    <w:bottom w:val="none" w:sz="0" w:space="0" w:color="auto"/>
                                                    <w:right w:val="none" w:sz="0" w:space="0" w:color="auto"/>
                                                  </w:divBdr>
                                                  <w:divsChild>
                                                    <w:div w:id="664168492">
                                                      <w:marLeft w:val="0"/>
                                                      <w:marRight w:val="0"/>
                                                      <w:marTop w:val="0"/>
                                                      <w:marBottom w:val="0"/>
                                                      <w:divBdr>
                                                        <w:top w:val="none" w:sz="0" w:space="0" w:color="auto"/>
                                                        <w:left w:val="none" w:sz="0" w:space="0" w:color="auto"/>
                                                        <w:bottom w:val="none" w:sz="0" w:space="0" w:color="auto"/>
                                                        <w:right w:val="none" w:sz="0" w:space="0" w:color="auto"/>
                                                      </w:divBdr>
                                                      <w:divsChild>
                                                        <w:div w:id="12298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10367595">
      <w:bodyDiv w:val="1"/>
      <w:marLeft w:val="0"/>
      <w:marRight w:val="0"/>
      <w:marTop w:val="0"/>
      <w:marBottom w:val="0"/>
      <w:divBdr>
        <w:top w:val="none" w:sz="0" w:space="0" w:color="auto"/>
        <w:left w:val="none" w:sz="0" w:space="0" w:color="auto"/>
        <w:bottom w:val="none" w:sz="0" w:space="0" w:color="auto"/>
        <w:right w:val="none" w:sz="0" w:space="0" w:color="auto"/>
      </w:divBdr>
      <w:divsChild>
        <w:div w:id="2034187038">
          <w:marLeft w:val="0"/>
          <w:marRight w:val="0"/>
          <w:marTop w:val="0"/>
          <w:marBottom w:val="0"/>
          <w:divBdr>
            <w:top w:val="none" w:sz="0" w:space="0" w:color="auto"/>
            <w:left w:val="none" w:sz="0" w:space="0" w:color="auto"/>
            <w:bottom w:val="none" w:sz="0" w:space="0" w:color="auto"/>
            <w:right w:val="none" w:sz="0" w:space="0" w:color="auto"/>
          </w:divBdr>
          <w:divsChild>
            <w:div w:id="729039903">
              <w:marLeft w:val="0"/>
              <w:marRight w:val="0"/>
              <w:marTop w:val="0"/>
              <w:marBottom w:val="0"/>
              <w:divBdr>
                <w:top w:val="none" w:sz="0" w:space="0" w:color="auto"/>
                <w:left w:val="none" w:sz="0" w:space="0" w:color="auto"/>
                <w:bottom w:val="none" w:sz="0" w:space="0" w:color="auto"/>
                <w:right w:val="none" w:sz="0" w:space="0" w:color="auto"/>
              </w:divBdr>
              <w:divsChild>
                <w:div w:id="697699326">
                  <w:marLeft w:val="0"/>
                  <w:marRight w:val="0"/>
                  <w:marTop w:val="0"/>
                  <w:marBottom w:val="0"/>
                  <w:divBdr>
                    <w:top w:val="none" w:sz="0" w:space="0" w:color="auto"/>
                    <w:left w:val="none" w:sz="0" w:space="0" w:color="auto"/>
                    <w:bottom w:val="none" w:sz="0" w:space="0" w:color="auto"/>
                    <w:right w:val="none" w:sz="0" w:space="0" w:color="auto"/>
                  </w:divBdr>
                  <w:divsChild>
                    <w:div w:id="53360485">
                      <w:marLeft w:val="0"/>
                      <w:marRight w:val="0"/>
                      <w:marTop w:val="0"/>
                      <w:marBottom w:val="0"/>
                      <w:divBdr>
                        <w:top w:val="none" w:sz="0" w:space="0" w:color="auto"/>
                        <w:left w:val="none" w:sz="0" w:space="0" w:color="auto"/>
                        <w:bottom w:val="none" w:sz="0" w:space="0" w:color="auto"/>
                        <w:right w:val="none" w:sz="0" w:space="0" w:color="auto"/>
                      </w:divBdr>
                      <w:divsChild>
                        <w:div w:id="1830822611">
                          <w:marLeft w:val="0"/>
                          <w:marRight w:val="0"/>
                          <w:marTop w:val="0"/>
                          <w:marBottom w:val="0"/>
                          <w:divBdr>
                            <w:top w:val="none" w:sz="0" w:space="0" w:color="auto"/>
                            <w:left w:val="none" w:sz="0" w:space="0" w:color="auto"/>
                            <w:bottom w:val="none" w:sz="0" w:space="0" w:color="auto"/>
                            <w:right w:val="none" w:sz="0" w:space="0" w:color="auto"/>
                          </w:divBdr>
                          <w:divsChild>
                            <w:div w:id="337729495">
                              <w:marLeft w:val="0"/>
                              <w:marRight w:val="0"/>
                              <w:marTop w:val="0"/>
                              <w:marBottom w:val="0"/>
                              <w:divBdr>
                                <w:top w:val="none" w:sz="0" w:space="0" w:color="auto"/>
                                <w:left w:val="none" w:sz="0" w:space="0" w:color="auto"/>
                                <w:bottom w:val="none" w:sz="0" w:space="0" w:color="auto"/>
                                <w:right w:val="none" w:sz="0" w:space="0" w:color="auto"/>
                              </w:divBdr>
                              <w:divsChild>
                                <w:div w:id="1816330814">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sChild>
                                        <w:div w:id="1619988000">
                                          <w:marLeft w:val="0"/>
                                          <w:marRight w:val="0"/>
                                          <w:marTop w:val="0"/>
                                          <w:marBottom w:val="0"/>
                                          <w:divBdr>
                                            <w:top w:val="none" w:sz="0" w:space="0" w:color="auto"/>
                                            <w:left w:val="none" w:sz="0" w:space="0" w:color="auto"/>
                                            <w:bottom w:val="none" w:sz="0" w:space="0" w:color="auto"/>
                                            <w:right w:val="none" w:sz="0" w:space="0" w:color="auto"/>
                                          </w:divBdr>
                                          <w:divsChild>
                                            <w:div w:id="1793548013">
                                              <w:marLeft w:val="0"/>
                                              <w:marRight w:val="0"/>
                                              <w:marTop w:val="0"/>
                                              <w:marBottom w:val="0"/>
                                              <w:divBdr>
                                                <w:top w:val="none" w:sz="0" w:space="0" w:color="auto"/>
                                                <w:left w:val="none" w:sz="0" w:space="0" w:color="auto"/>
                                                <w:bottom w:val="none" w:sz="0" w:space="0" w:color="auto"/>
                                                <w:right w:val="none" w:sz="0" w:space="0" w:color="auto"/>
                                              </w:divBdr>
                                              <w:divsChild>
                                                <w:div w:id="606930607">
                                                  <w:marLeft w:val="0"/>
                                                  <w:marRight w:val="0"/>
                                                  <w:marTop w:val="0"/>
                                                  <w:marBottom w:val="0"/>
                                                  <w:divBdr>
                                                    <w:top w:val="none" w:sz="0" w:space="0" w:color="auto"/>
                                                    <w:left w:val="none" w:sz="0" w:space="0" w:color="auto"/>
                                                    <w:bottom w:val="none" w:sz="0" w:space="0" w:color="auto"/>
                                                    <w:right w:val="none" w:sz="0" w:space="0" w:color="auto"/>
                                                  </w:divBdr>
                                                  <w:divsChild>
                                                    <w:div w:id="1886522920">
                                                      <w:marLeft w:val="0"/>
                                                      <w:marRight w:val="0"/>
                                                      <w:marTop w:val="0"/>
                                                      <w:marBottom w:val="0"/>
                                                      <w:divBdr>
                                                        <w:top w:val="none" w:sz="0" w:space="0" w:color="auto"/>
                                                        <w:left w:val="none" w:sz="0" w:space="0" w:color="auto"/>
                                                        <w:bottom w:val="none" w:sz="0" w:space="0" w:color="auto"/>
                                                        <w:right w:val="none" w:sz="0" w:space="0" w:color="auto"/>
                                                      </w:divBdr>
                                                      <w:divsChild>
                                                        <w:div w:id="18176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78786">
      <w:bodyDiv w:val="1"/>
      <w:marLeft w:val="0"/>
      <w:marRight w:val="0"/>
      <w:marTop w:val="0"/>
      <w:marBottom w:val="0"/>
      <w:divBdr>
        <w:top w:val="none" w:sz="0" w:space="0" w:color="auto"/>
        <w:left w:val="none" w:sz="0" w:space="0" w:color="auto"/>
        <w:bottom w:val="none" w:sz="0" w:space="0" w:color="auto"/>
        <w:right w:val="none" w:sz="0" w:space="0" w:color="auto"/>
      </w:divBdr>
      <w:divsChild>
        <w:div w:id="21132450">
          <w:marLeft w:val="0"/>
          <w:marRight w:val="0"/>
          <w:marTop w:val="0"/>
          <w:marBottom w:val="0"/>
          <w:divBdr>
            <w:top w:val="none" w:sz="0" w:space="0" w:color="auto"/>
            <w:left w:val="none" w:sz="0" w:space="0" w:color="auto"/>
            <w:bottom w:val="none" w:sz="0" w:space="0" w:color="auto"/>
            <w:right w:val="none" w:sz="0" w:space="0" w:color="auto"/>
          </w:divBdr>
          <w:divsChild>
            <w:div w:id="245457343">
              <w:marLeft w:val="0"/>
              <w:marRight w:val="0"/>
              <w:marTop w:val="0"/>
              <w:marBottom w:val="0"/>
              <w:divBdr>
                <w:top w:val="none" w:sz="0" w:space="0" w:color="auto"/>
                <w:left w:val="none" w:sz="0" w:space="0" w:color="auto"/>
                <w:bottom w:val="none" w:sz="0" w:space="0" w:color="auto"/>
                <w:right w:val="none" w:sz="0" w:space="0" w:color="auto"/>
              </w:divBdr>
              <w:divsChild>
                <w:div w:id="1872037975">
                  <w:marLeft w:val="0"/>
                  <w:marRight w:val="0"/>
                  <w:marTop w:val="0"/>
                  <w:marBottom w:val="0"/>
                  <w:divBdr>
                    <w:top w:val="none" w:sz="0" w:space="0" w:color="auto"/>
                    <w:left w:val="none" w:sz="0" w:space="0" w:color="auto"/>
                    <w:bottom w:val="none" w:sz="0" w:space="0" w:color="auto"/>
                    <w:right w:val="none" w:sz="0" w:space="0" w:color="auto"/>
                  </w:divBdr>
                  <w:divsChild>
                    <w:div w:id="1309935786">
                      <w:marLeft w:val="0"/>
                      <w:marRight w:val="0"/>
                      <w:marTop w:val="0"/>
                      <w:marBottom w:val="0"/>
                      <w:divBdr>
                        <w:top w:val="none" w:sz="0" w:space="0" w:color="auto"/>
                        <w:left w:val="none" w:sz="0" w:space="0" w:color="auto"/>
                        <w:bottom w:val="none" w:sz="0" w:space="0" w:color="auto"/>
                        <w:right w:val="none" w:sz="0" w:space="0" w:color="auto"/>
                      </w:divBdr>
                      <w:divsChild>
                        <w:div w:id="1346178381">
                          <w:marLeft w:val="0"/>
                          <w:marRight w:val="0"/>
                          <w:marTop w:val="0"/>
                          <w:marBottom w:val="0"/>
                          <w:divBdr>
                            <w:top w:val="none" w:sz="0" w:space="0" w:color="auto"/>
                            <w:left w:val="none" w:sz="0" w:space="0" w:color="auto"/>
                            <w:bottom w:val="none" w:sz="0" w:space="0" w:color="auto"/>
                            <w:right w:val="none" w:sz="0" w:space="0" w:color="auto"/>
                          </w:divBdr>
                          <w:divsChild>
                            <w:div w:id="172647276">
                              <w:marLeft w:val="0"/>
                              <w:marRight w:val="0"/>
                              <w:marTop w:val="0"/>
                              <w:marBottom w:val="0"/>
                              <w:divBdr>
                                <w:top w:val="none" w:sz="0" w:space="0" w:color="auto"/>
                                <w:left w:val="none" w:sz="0" w:space="0" w:color="auto"/>
                                <w:bottom w:val="none" w:sz="0" w:space="0" w:color="auto"/>
                                <w:right w:val="none" w:sz="0" w:space="0" w:color="auto"/>
                              </w:divBdr>
                              <w:divsChild>
                                <w:div w:id="424814371">
                                  <w:marLeft w:val="0"/>
                                  <w:marRight w:val="0"/>
                                  <w:marTop w:val="0"/>
                                  <w:marBottom w:val="0"/>
                                  <w:divBdr>
                                    <w:top w:val="none" w:sz="0" w:space="0" w:color="auto"/>
                                    <w:left w:val="none" w:sz="0" w:space="0" w:color="auto"/>
                                    <w:bottom w:val="none" w:sz="0" w:space="0" w:color="auto"/>
                                    <w:right w:val="none" w:sz="0" w:space="0" w:color="auto"/>
                                  </w:divBdr>
                                  <w:divsChild>
                                    <w:div w:id="415563833">
                                      <w:marLeft w:val="0"/>
                                      <w:marRight w:val="0"/>
                                      <w:marTop w:val="0"/>
                                      <w:marBottom w:val="0"/>
                                      <w:divBdr>
                                        <w:top w:val="none" w:sz="0" w:space="0" w:color="auto"/>
                                        <w:left w:val="none" w:sz="0" w:space="0" w:color="auto"/>
                                        <w:bottom w:val="none" w:sz="0" w:space="0" w:color="auto"/>
                                        <w:right w:val="none" w:sz="0" w:space="0" w:color="auto"/>
                                      </w:divBdr>
                                      <w:divsChild>
                                        <w:div w:id="1782263742">
                                          <w:marLeft w:val="0"/>
                                          <w:marRight w:val="0"/>
                                          <w:marTop w:val="0"/>
                                          <w:marBottom w:val="0"/>
                                          <w:divBdr>
                                            <w:top w:val="none" w:sz="0" w:space="0" w:color="auto"/>
                                            <w:left w:val="none" w:sz="0" w:space="0" w:color="auto"/>
                                            <w:bottom w:val="none" w:sz="0" w:space="0" w:color="auto"/>
                                            <w:right w:val="none" w:sz="0" w:space="0" w:color="auto"/>
                                          </w:divBdr>
                                          <w:divsChild>
                                            <w:div w:id="494418774">
                                              <w:marLeft w:val="0"/>
                                              <w:marRight w:val="0"/>
                                              <w:marTop w:val="0"/>
                                              <w:marBottom w:val="0"/>
                                              <w:divBdr>
                                                <w:top w:val="none" w:sz="0" w:space="0" w:color="auto"/>
                                                <w:left w:val="none" w:sz="0" w:space="0" w:color="auto"/>
                                                <w:bottom w:val="none" w:sz="0" w:space="0" w:color="auto"/>
                                                <w:right w:val="none" w:sz="0" w:space="0" w:color="auto"/>
                                              </w:divBdr>
                                              <w:divsChild>
                                                <w:div w:id="1840077758">
                                                  <w:marLeft w:val="0"/>
                                                  <w:marRight w:val="0"/>
                                                  <w:marTop w:val="0"/>
                                                  <w:marBottom w:val="0"/>
                                                  <w:divBdr>
                                                    <w:top w:val="none" w:sz="0" w:space="0" w:color="auto"/>
                                                    <w:left w:val="none" w:sz="0" w:space="0" w:color="auto"/>
                                                    <w:bottom w:val="none" w:sz="0" w:space="0" w:color="auto"/>
                                                    <w:right w:val="none" w:sz="0" w:space="0" w:color="auto"/>
                                                  </w:divBdr>
                                                  <w:divsChild>
                                                    <w:div w:id="133107659">
                                                      <w:marLeft w:val="0"/>
                                                      <w:marRight w:val="0"/>
                                                      <w:marTop w:val="0"/>
                                                      <w:marBottom w:val="0"/>
                                                      <w:divBdr>
                                                        <w:top w:val="none" w:sz="0" w:space="0" w:color="auto"/>
                                                        <w:left w:val="none" w:sz="0" w:space="0" w:color="auto"/>
                                                        <w:bottom w:val="none" w:sz="0" w:space="0" w:color="auto"/>
                                                        <w:right w:val="none" w:sz="0" w:space="0" w:color="auto"/>
                                                      </w:divBdr>
                                                      <w:divsChild>
                                                        <w:div w:id="13410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5113222">
      <w:bodyDiv w:val="1"/>
      <w:marLeft w:val="0"/>
      <w:marRight w:val="0"/>
      <w:marTop w:val="0"/>
      <w:marBottom w:val="0"/>
      <w:divBdr>
        <w:top w:val="none" w:sz="0" w:space="0" w:color="auto"/>
        <w:left w:val="none" w:sz="0" w:space="0" w:color="auto"/>
        <w:bottom w:val="none" w:sz="0" w:space="0" w:color="auto"/>
        <w:right w:val="none" w:sz="0" w:space="0" w:color="auto"/>
      </w:divBdr>
      <w:divsChild>
        <w:div w:id="26687029">
          <w:marLeft w:val="0"/>
          <w:marRight w:val="0"/>
          <w:marTop w:val="0"/>
          <w:marBottom w:val="0"/>
          <w:divBdr>
            <w:top w:val="none" w:sz="0" w:space="0" w:color="auto"/>
            <w:left w:val="none" w:sz="0" w:space="0" w:color="auto"/>
            <w:bottom w:val="none" w:sz="0" w:space="0" w:color="auto"/>
            <w:right w:val="none" w:sz="0" w:space="0" w:color="auto"/>
          </w:divBdr>
          <w:divsChild>
            <w:div w:id="1291546255">
              <w:marLeft w:val="0"/>
              <w:marRight w:val="0"/>
              <w:marTop w:val="0"/>
              <w:marBottom w:val="0"/>
              <w:divBdr>
                <w:top w:val="none" w:sz="0" w:space="0" w:color="auto"/>
                <w:left w:val="none" w:sz="0" w:space="0" w:color="auto"/>
                <w:bottom w:val="none" w:sz="0" w:space="0" w:color="auto"/>
                <w:right w:val="none" w:sz="0" w:space="0" w:color="auto"/>
              </w:divBdr>
              <w:divsChild>
                <w:div w:id="100996059">
                  <w:marLeft w:val="0"/>
                  <w:marRight w:val="0"/>
                  <w:marTop w:val="0"/>
                  <w:marBottom w:val="0"/>
                  <w:divBdr>
                    <w:top w:val="none" w:sz="0" w:space="0" w:color="auto"/>
                    <w:left w:val="none" w:sz="0" w:space="0" w:color="auto"/>
                    <w:bottom w:val="none" w:sz="0" w:space="0" w:color="auto"/>
                    <w:right w:val="none" w:sz="0" w:space="0" w:color="auto"/>
                  </w:divBdr>
                  <w:divsChild>
                    <w:div w:id="446319444">
                      <w:marLeft w:val="0"/>
                      <w:marRight w:val="0"/>
                      <w:marTop w:val="0"/>
                      <w:marBottom w:val="0"/>
                      <w:divBdr>
                        <w:top w:val="none" w:sz="0" w:space="0" w:color="auto"/>
                        <w:left w:val="none" w:sz="0" w:space="0" w:color="auto"/>
                        <w:bottom w:val="none" w:sz="0" w:space="0" w:color="auto"/>
                        <w:right w:val="none" w:sz="0" w:space="0" w:color="auto"/>
                      </w:divBdr>
                      <w:divsChild>
                        <w:div w:id="252324070">
                          <w:marLeft w:val="0"/>
                          <w:marRight w:val="0"/>
                          <w:marTop w:val="0"/>
                          <w:marBottom w:val="0"/>
                          <w:divBdr>
                            <w:top w:val="none" w:sz="0" w:space="0" w:color="auto"/>
                            <w:left w:val="none" w:sz="0" w:space="0" w:color="auto"/>
                            <w:bottom w:val="none" w:sz="0" w:space="0" w:color="auto"/>
                            <w:right w:val="none" w:sz="0" w:space="0" w:color="auto"/>
                          </w:divBdr>
                          <w:divsChild>
                            <w:div w:id="987326081">
                              <w:marLeft w:val="0"/>
                              <w:marRight w:val="0"/>
                              <w:marTop w:val="0"/>
                              <w:marBottom w:val="0"/>
                              <w:divBdr>
                                <w:top w:val="none" w:sz="0" w:space="0" w:color="auto"/>
                                <w:left w:val="none" w:sz="0" w:space="0" w:color="auto"/>
                                <w:bottom w:val="none" w:sz="0" w:space="0" w:color="auto"/>
                                <w:right w:val="none" w:sz="0" w:space="0" w:color="auto"/>
                              </w:divBdr>
                              <w:divsChild>
                                <w:div w:id="1546603510">
                                  <w:marLeft w:val="0"/>
                                  <w:marRight w:val="0"/>
                                  <w:marTop w:val="0"/>
                                  <w:marBottom w:val="0"/>
                                  <w:divBdr>
                                    <w:top w:val="none" w:sz="0" w:space="0" w:color="auto"/>
                                    <w:left w:val="none" w:sz="0" w:space="0" w:color="auto"/>
                                    <w:bottom w:val="none" w:sz="0" w:space="0" w:color="auto"/>
                                    <w:right w:val="none" w:sz="0" w:space="0" w:color="auto"/>
                                  </w:divBdr>
                                  <w:divsChild>
                                    <w:div w:id="250509339">
                                      <w:marLeft w:val="0"/>
                                      <w:marRight w:val="0"/>
                                      <w:marTop w:val="0"/>
                                      <w:marBottom w:val="0"/>
                                      <w:divBdr>
                                        <w:top w:val="none" w:sz="0" w:space="0" w:color="auto"/>
                                        <w:left w:val="none" w:sz="0" w:space="0" w:color="auto"/>
                                        <w:bottom w:val="none" w:sz="0" w:space="0" w:color="auto"/>
                                        <w:right w:val="none" w:sz="0" w:space="0" w:color="auto"/>
                                      </w:divBdr>
                                      <w:divsChild>
                                        <w:div w:id="904756547">
                                          <w:marLeft w:val="0"/>
                                          <w:marRight w:val="0"/>
                                          <w:marTop w:val="0"/>
                                          <w:marBottom w:val="0"/>
                                          <w:divBdr>
                                            <w:top w:val="none" w:sz="0" w:space="0" w:color="auto"/>
                                            <w:left w:val="none" w:sz="0" w:space="0" w:color="auto"/>
                                            <w:bottom w:val="none" w:sz="0" w:space="0" w:color="auto"/>
                                            <w:right w:val="none" w:sz="0" w:space="0" w:color="auto"/>
                                          </w:divBdr>
                                          <w:divsChild>
                                            <w:div w:id="689532777">
                                              <w:marLeft w:val="0"/>
                                              <w:marRight w:val="0"/>
                                              <w:marTop w:val="0"/>
                                              <w:marBottom w:val="0"/>
                                              <w:divBdr>
                                                <w:top w:val="none" w:sz="0" w:space="0" w:color="auto"/>
                                                <w:left w:val="none" w:sz="0" w:space="0" w:color="auto"/>
                                                <w:bottom w:val="none" w:sz="0" w:space="0" w:color="auto"/>
                                                <w:right w:val="none" w:sz="0" w:space="0" w:color="auto"/>
                                              </w:divBdr>
                                              <w:divsChild>
                                                <w:div w:id="1064795840">
                                                  <w:marLeft w:val="0"/>
                                                  <w:marRight w:val="0"/>
                                                  <w:marTop w:val="0"/>
                                                  <w:marBottom w:val="0"/>
                                                  <w:divBdr>
                                                    <w:top w:val="none" w:sz="0" w:space="0" w:color="auto"/>
                                                    <w:left w:val="none" w:sz="0" w:space="0" w:color="auto"/>
                                                    <w:bottom w:val="none" w:sz="0" w:space="0" w:color="auto"/>
                                                    <w:right w:val="none" w:sz="0" w:space="0" w:color="auto"/>
                                                  </w:divBdr>
                                                  <w:divsChild>
                                                    <w:div w:id="2126655580">
                                                      <w:marLeft w:val="0"/>
                                                      <w:marRight w:val="0"/>
                                                      <w:marTop w:val="0"/>
                                                      <w:marBottom w:val="0"/>
                                                      <w:divBdr>
                                                        <w:top w:val="none" w:sz="0" w:space="0" w:color="auto"/>
                                                        <w:left w:val="none" w:sz="0" w:space="0" w:color="auto"/>
                                                        <w:bottom w:val="none" w:sz="0" w:space="0" w:color="auto"/>
                                                        <w:right w:val="none" w:sz="0" w:space="0" w:color="auto"/>
                                                      </w:divBdr>
                                                      <w:divsChild>
                                                        <w:div w:id="8990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090126910">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197353006">
      <w:bodyDiv w:val="1"/>
      <w:marLeft w:val="0"/>
      <w:marRight w:val="0"/>
      <w:marTop w:val="0"/>
      <w:marBottom w:val="0"/>
      <w:divBdr>
        <w:top w:val="none" w:sz="0" w:space="0" w:color="auto"/>
        <w:left w:val="none" w:sz="0" w:space="0" w:color="auto"/>
        <w:bottom w:val="none" w:sz="0" w:space="0" w:color="auto"/>
        <w:right w:val="none" w:sz="0" w:space="0" w:color="auto"/>
      </w:divBdr>
      <w:divsChild>
        <w:div w:id="127280976">
          <w:marLeft w:val="0"/>
          <w:marRight w:val="0"/>
          <w:marTop w:val="0"/>
          <w:marBottom w:val="0"/>
          <w:divBdr>
            <w:top w:val="none" w:sz="0" w:space="0" w:color="auto"/>
            <w:left w:val="none" w:sz="0" w:space="0" w:color="auto"/>
            <w:bottom w:val="none" w:sz="0" w:space="0" w:color="auto"/>
            <w:right w:val="none" w:sz="0" w:space="0" w:color="auto"/>
          </w:divBdr>
          <w:divsChild>
            <w:div w:id="1673873240">
              <w:marLeft w:val="0"/>
              <w:marRight w:val="0"/>
              <w:marTop w:val="0"/>
              <w:marBottom w:val="0"/>
              <w:divBdr>
                <w:top w:val="none" w:sz="0" w:space="0" w:color="auto"/>
                <w:left w:val="none" w:sz="0" w:space="0" w:color="auto"/>
                <w:bottom w:val="none" w:sz="0" w:space="0" w:color="auto"/>
                <w:right w:val="none" w:sz="0" w:space="0" w:color="auto"/>
              </w:divBdr>
              <w:divsChild>
                <w:div w:id="653223145">
                  <w:marLeft w:val="0"/>
                  <w:marRight w:val="0"/>
                  <w:marTop w:val="0"/>
                  <w:marBottom w:val="0"/>
                  <w:divBdr>
                    <w:top w:val="none" w:sz="0" w:space="0" w:color="auto"/>
                    <w:left w:val="none" w:sz="0" w:space="0" w:color="auto"/>
                    <w:bottom w:val="none" w:sz="0" w:space="0" w:color="auto"/>
                    <w:right w:val="none" w:sz="0" w:space="0" w:color="auto"/>
                  </w:divBdr>
                  <w:divsChild>
                    <w:div w:id="270936415">
                      <w:marLeft w:val="0"/>
                      <w:marRight w:val="0"/>
                      <w:marTop w:val="0"/>
                      <w:marBottom w:val="0"/>
                      <w:divBdr>
                        <w:top w:val="none" w:sz="0" w:space="0" w:color="auto"/>
                        <w:left w:val="none" w:sz="0" w:space="0" w:color="auto"/>
                        <w:bottom w:val="none" w:sz="0" w:space="0" w:color="auto"/>
                        <w:right w:val="none" w:sz="0" w:space="0" w:color="auto"/>
                      </w:divBdr>
                      <w:divsChild>
                        <w:div w:id="1999191688">
                          <w:marLeft w:val="0"/>
                          <w:marRight w:val="0"/>
                          <w:marTop w:val="0"/>
                          <w:marBottom w:val="0"/>
                          <w:divBdr>
                            <w:top w:val="none" w:sz="0" w:space="0" w:color="auto"/>
                            <w:left w:val="none" w:sz="0" w:space="0" w:color="auto"/>
                            <w:bottom w:val="none" w:sz="0" w:space="0" w:color="auto"/>
                            <w:right w:val="none" w:sz="0" w:space="0" w:color="auto"/>
                          </w:divBdr>
                          <w:divsChild>
                            <w:div w:id="876694703">
                              <w:marLeft w:val="0"/>
                              <w:marRight w:val="0"/>
                              <w:marTop w:val="0"/>
                              <w:marBottom w:val="0"/>
                              <w:divBdr>
                                <w:top w:val="none" w:sz="0" w:space="0" w:color="auto"/>
                                <w:left w:val="none" w:sz="0" w:space="0" w:color="auto"/>
                                <w:bottom w:val="none" w:sz="0" w:space="0" w:color="auto"/>
                                <w:right w:val="none" w:sz="0" w:space="0" w:color="auto"/>
                              </w:divBdr>
                              <w:divsChild>
                                <w:div w:id="857547666">
                                  <w:marLeft w:val="0"/>
                                  <w:marRight w:val="0"/>
                                  <w:marTop w:val="0"/>
                                  <w:marBottom w:val="0"/>
                                  <w:divBdr>
                                    <w:top w:val="none" w:sz="0" w:space="0" w:color="auto"/>
                                    <w:left w:val="none" w:sz="0" w:space="0" w:color="auto"/>
                                    <w:bottom w:val="none" w:sz="0" w:space="0" w:color="auto"/>
                                    <w:right w:val="none" w:sz="0" w:space="0" w:color="auto"/>
                                  </w:divBdr>
                                  <w:divsChild>
                                    <w:div w:id="1974824485">
                                      <w:marLeft w:val="0"/>
                                      <w:marRight w:val="0"/>
                                      <w:marTop w:val="0"/>
                                      <w:marBottom w:val="0"/>
                                      <w:divBdr>
                                        <w:top w:val="none" w:sz="0" w:space="0" w:color="auto"/>
                                        <w:left w:val="none" w:sz="0" w:space="0" w:color="auto"/>
                                        <w:bottom w:val="none" w:sz="0" w:space="0" w:color="auto"/>
                                        <w:right w:val="none" w:sz="0" w:space="0" w:color="auto"/>
                                      </w:divBdr>
                                      <w:divsChild>
                                        <w:div w:id="1339043689">
                                          <w:marLeft w:val="0"/>
                                          <w:marRight w:val="0"/>
                                          <w:marTop w:val="0"/>
                                          <w:marBottom w:val="0"/>
                                          <w:divBdr>
                                            <w:top w:val="none" w:sz="0" w:space="0" w:color="auto"/>
                                            <w:left w:val="none" w:sz="0" w:space="0" w:color="auto"/>
                                            <w:bottom w:val="none" w:sz="0" w:space="0" w:color="auto"/>
                                            <w:right w:val="none" w:sz="0" w:space="0" w:color="auto"/>
                                          </w:divBdr>
                                          <w:divsChild>
                                            <w:div w:id="1052390756">
                                              <w:marLeft w:val="0"/>
                                              <w:marRight w:val="0"/>
                                              <w:marTop w:val="0"/>
                                              <w:marBottom w:val="0"/>
                                              <w:divBdr>
                                                <w:top w:val="none" w:sz="0" w:space="0" w:color="auto"/>
                                                <w:left w:val="none" w:sz="0" w:space="0" w:color="auto"/>
                                                <w:bottom w:val="none" w:sz="0" w:space="0" w:color="auto"/>
                                                <w:right w:val="none" w:sz="0" w:space="0" w:color="auto"/>
                                              </w:divBdr>
                                              <w:divsChild>
                                                <w:div w:id="68969470">
                                                  <w:marLeft w:val="0"/>
                                                  <w:marRight w:val="0"/>
                                                  <w:marTop w:val="0"/>
                                                  <w:marBottom w:val="0"/>
                                                  <w:divBdr>
                                                    <w:top w:val="none" w:sz="0" w:space="0" w:color="auto"/>
                                                    <w:left w:val="none" w:sz="0" w:space="0" w:color="auto"/>
                                                    <w:bottom w:val="none" w:sz="0" w:space="0" w:color="auto"/>
                                                    <w:right w:val="none" w:sz="0" w:space="0" w:color="auto"/>
                                                  </w:divBdr>
                                                  <w:divsChild>
                                                    <w:div w:id="2057004990">
                                                      <w:marLeft w:val="0"/>
                                                      <w:marRight w:val="0"/>
                                                      <w:marTop w:val="0"/>
                                                      <w:marBottom w:val="0"/>
                                                      <w:divBdr>
                                                        <w:top w:val="none" w:sz="0" w:space="0" w:color="auto"/>
                                                        <w:left w:val="none" w:sz="0" w:space="0" w:color="auto"/>
                                                        <w:bottom w:val="none" w:sz="0" w:space="0" w:color="auto"/>
                                                        <w:right w:val="none" w:sz="0" w:space="0" w:color="auto"/>
                                                      </w:divBdr>
                                                      <w:divsChild>
                                                        <w:div w:id="16973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1664695">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710944">
      <w:bodyDiv w:val="1"/>
      <w:marLeft w:val="0"/>
      <w:marRight w:val="0"/>
      <w:marTop w:val="0"/>
      <w:marBottom w:val="0"/>
      <w:divBdr>
        <w:top w:val="none" w:sz="0" w:space="0" w:color="auto"/>
        <w:left w:val="none" w:sz="0" w:space="0" w:color="auto"/>
        <w:bottom w:val="none" w:sz="0" w:space="0" w:color="auto"/>
        <w:right w:val="none" w:sz="0" w:space="0" w:color="auto"/>
      </w:divBdr>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489713">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25264598">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s.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137EFC41-5184-4DFB-80E7-3AC79F4F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 Carol</dc:creator>
  <cp:keywords/>
  <dc:description/>
  <cp:lastModifiedBy>MCCLUSKEY, Ian</cp:lastModifiedBy>
  <cp:revision>11</cp:revision>
  <cp:lastPrinted>2019-10-18T00:13:00Z</cp:lastPrinted>
  <dcterms:created xsi:type="dcterms:W3CDTF">2019-10-18T00:20:00Z</dcterms:created>
  <dcterms:modified xsi:type="dcterms:W3CDTF">2019-10-18T04:11:00Z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