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606C" w14:textId="5542BEE5" w:rsidR="00FA7635" w:rsidRPr="004718E3" w:rsidRDefault="00692B45" w:rsidP="00692B45">
      <w:pPr>
        <w:pStyle w:val="Heading2"/>
        <w:jc w:val="center"/>
        <w:rPr>
          <w:rFonts w:ascii="Arial" w:hAnsi="Arial" w:cs="Arial"/>
          <w:color w:val="auto"/>
          <w:sz w:val="28"/>
          <w:szCs w:val="28"/>
          <w:u w:val="single"/>
        </w:rPr>
      </w:pPr>
      <w:bookmarkStart w:id="0" w:name="_GoBack"/>
      <w:bookmarkEnd w:id="0"/>
      <w:r>
        <w:rPr>
          <w:rFonts w:ascii="Arial" w:hAnsi="Arial" w:cs="Arial"/>
          <w:color w:val="auto"/>
          <w:sz w:val="28"/>
          <w:szCs w:val="28"/>
          <w:u w:val="single"/>
        </w:rPr>
        <w:t xml:space="preserve">REPLACEMENT </w:t>
      </w:r>
      <w:r w:rsidR="00252B67" w:rsidRPr="004718E3">
        <w:rPr>
          <w:rFonts w:ascii="Arial" w:hAnsi="Arial" w:cs="Arial"/>
          <w:color w:val="auto"/>
          <w:sz w:val="28"/>
          <w:szCs w:val="28"/>
          <w:u w:val="single"/>
        </w:rPr>
        <w:t>EXPLANATORY STATEMENT</w:t>
      </w:r>
      <w:r w:rsidR="004718E3">
        <w:rPr>
          <w:rFonts w:ascii="Arial" w:hAnsi="Arial" w:cs="Arial"/>
          <w:color w:val="auto"/>
          <w:sz w:val="28"/>
          <w:szCs w:val="28"/>
          <w:u w:val="single"/>
        </w:rPr>
        <w:br/>
      </w:r>
    </w:p>
    <w:p w14:paraId="45D9FE0E" w14:textId="60260E08" w:rsidR="00ED6ADD" w:rsidRPr="004718E3" w:rsidRDefault="00ED6ADD" w:rsidP="00ED6ADD">
      <w:pPr>
        <w:ind w:right="91"/>
        <w:jc w:val="center"/>
        <w:rPr>
          <w:rFonts w:ascii="Times New Roman" w:hAnsi="Times New Roman" w:cs="Times New Roman"/>
          <w:i/>
          <w:sz w:val="24"/>
        </w:rPr>
      </w:pPr>
      <w:r w:rsidRPr="004718E3">
        <w:rPr>
          <w:rFonts w:ascii="Times New Roman" w:hAnsi="Times New Roman" w:cs="Times New Roman"/>
          <w:i/>
          <w:sz w:val="24"/>
        </w:rPr>
        <w:t>National Greenhouse and Energy Reporting (Auditor Registration) Instrument 201</w:t>
      </w:r>
      <w:r w:rsidR="007C76D0" w:rsidRPr="004718E3">
        <w:rPr>
          <w:rFonts w:ascii="Times New Roman" w:hAnsi="Times New Roman" w:cs="Times New Roman"/>
          <w:i/>
          <w:sz w:val="24"/>
        </w:rPr>
        <w:t>9</w:t>
      </w:r>
      <w:r w:rsidR="004718E3">
        <w:rPr>
          <w:rFonts w:ascii="Times New Roman" w:hAnsi="Times New Roman" w:cs="Times New Roman"/>
          <w:i/>
          <w:sz w:val="24"/>
        </w:rPr>
        <w:br/>
      </w:r>
    </w:p>
    <w:p w14:paraId="7F892FE4" w14:textId="24B21D98" w:rsidR="001F3744" w:rsidRPr="004718E3" w:rsidRDefault="001F3744" w:rsidP="001F3744">
      <w:pPr>
        <w:ind w:right="91"/>
        <w:jc w:val="center"/>
        <w:rPr>
          <w:rFonts w:ascii="Times New Roman" w:hAnsi="Times New Roman" w:cs="Times New Roman"/>
          <w:sz w:val="24"/>
          <w:u w:val="single"/>
        </w:rPr>
      </w:pPr>
      <w:r w:rsidRPr="004718E3">
        <w:rPr>
          <w:rFonts w:ascii="Times New Roman" w:hAnsi="Times New Roman" w:cs="Times New Roman"/>
          <w:bCs/>
          <w:sz w:val="24"/>
          <w:u w:val="single"/>
        </w:rPr>
        <w:t xml:space="preserve">Authorised by </w:t>
      </w:r>
      <w:r w:rsidR="00D73B2E" w:rsidRPr="004718E3">
        <w:rPr>
          <w:rFonts w:ascii="Times New Roman" w:hAnsi="Times New Roman" w:cs="Times New Roman"/>
          <w:bCs/>
          <w:sz w:val="24"/>
          <w:u w:val="single"/>
        </w:rPr>
        <w:t>Mark Williamson</w:t>
      </w:r>
      <w:r w:rsidRPr="004718E3">
        <w:rPr>
          <w:rFonts w:ascii="Times New Roman" w:hAnsi="Times New Roman" w:cs="Times New Roman"/>
          <w:bCs/>
          <w:sz w:val="24"/>
          <w:u w:val="single"/>
        </w:rPr>
        <w:t>, delegate of the Clean Energy Re</w:t>
      </w:r>
      <w:r w:rsidR="004718E3">
        <w:rPr>
          <w:rFonts w:ascii="Times New Roman" w:hAnsi="Times New Roman" w:cs="Times New Roman"/>
          <w:bCs/>
          <w:sz w:val="24"/>
          <w:u w:val="single"/>
        </w:rPr>
        <w:t>gulator acting under subsection </w:t>
      </w:r>
      <w:r w:rsidRPr="004718E3">
        <w:rPr>
          <w:rFonts w:ascii="Times New Roman" w:hAnsi="Times New Roman" w:cs="Times New Roman"/>
          <w:bCs/>
          <w:sz w:val="24"/>
          <w:u w:val="single"/>
        </w:rPr>
        <w:t xml:space="preserve">75A(7) of the </w:t>
      </w:r>
      <w:r w:rsidRPr="004718E3">
        <w:rPr>
          <w:rFonts w:ascii="Times New Roman" w:hAnsi="Times New Roman" w:cs="Times New Roman"/>
          <w:bCs/>
          <w:i/>
          <w:sz w:val="24"/>
          <w:u w:val="single"/>
        </w:rPr>
        <w:t>National Greenhouse and Energy Reporting Act 2007</w:t>
      </w:r>
    </w:p>
    <w:p w14:paraId="232B30B2" w14:textId="77777777" w:rsidR="004718E3" w:rsidRDefault="004718E3" w:rsidP="00ED6ADD">
      <w:pPr>
        <w:rPr>
          <w:rFonts w:ascii="Times New Roman" w:hAnsi="Times New Roman" w:cs="Times New Roman"/>
          <w:b/>
          <w:sz w:val="24"/>
        </w:rPr>
      </w:pPr>
    </w:p>
    <w:p w14:paraId="56F42B5D" w14:textId="304D5E66" w:rsidR="00ED6ADD" w:rsidRPr="004718E3" w:rsidRDefault="00ED6ADD" w:rsidP="00ED6ADD">
      <w:pPr>
        <w:rPr>
          <w:rFonts w:ascii="Times New Roman" w:hAnsi="Times New Roman" w:cs="Times New Roman"/>
          <w:b/>
          <w:sz w:val="24"/>
        </w:rPr>
      </w:pPr>
      <w:r w:rsidRPr="004718E3">
        <w:rPr>
          <w:rFonts w:ascii="Times New Roman" w:hAnsi="Times New Roman" w:cs="Times New Roman"/>
          <w:b/>
          <w:sz w:val="24"/>
        </w:rPr>
        <w:t>Introduction</w:t>
      </w:r>
    </w:p>
    <w:p w14:paraId="1A2032AD" w14:textId="4427AEAA" w:rsidR="00C50DE9" w:rsidRPr="004718E3" w:rsidRDefault="00ED6ADD" w:rsidP="00ED6ADD">
      <w:pPr>
        <w:jc w:val="both"/>
        <w:rPr>
          <w:rFonts w:ascii="Times New Roman" w:hAnsi="Times New Roman" w:cs="Times New Roman"/>
          <w:sz w:val="24"/>
          <w:lang w:val="en-US"/>
        </w:rPr>
      </w:pPr>
      <w:r w:rsidRPr="004718E3">
        <w:rPr>
          <w:rFonts w:ascii="Times New Roman" w:hAnsi="Times New Roman" w:cs="Times New Roman"/>
          <w:sz w:val="24"/>
        </w:rPr>
        <w:t xml:space="preserve">The </w:t>
      </w:r>
      <w:r w:rsidRPr="004718E3">
        <w:rPr>
          <w:rFonts w:ascii="Times New Roman" w:hAnsi="Times New Roman" w:cs="Times New Roman"/>
          <w:i/>
          <w:sz w:val="24"/>
          <w:lang w:val="en-US"/>
        </w:rPr>
        <w:t>National Greenhouse and Energy Reporting Act 2007</w:t>
      </w:r>
      <w:r w:rsidR="00AB016D" w:rsidRPr="004718E3">
        <w:rPr>
          <w:rFonts w:ascii="Times New Roman" w:hAnsi="Times New Roman" w:cs="Times New Roman"/>
          <w:sz w:val="24"/>
          <w:lang w:val="en-US"/>
        </w:rPr>
        <w:t xml:space="preserve"> (</w:t>
      </w:r>
      <w:r w:rsidRPr="004718E3">
        <w:rPr>
          <w:rFonts w:ascii="Times New Roman" w:hAnsi="Times New Roman" w:cs="Times New Roman"/>
          <w:sz w:val="24"/>
          <w:lang w:val="en-US"/>
        </w:rPr>
        <w:t xml:space="preserve">NGER Act) </w:t>
      </w:r>
      <w:r w:rsidRPr="004718E3">
        <w:rPr>
          <w:rFonts w:ascii="Times New Roman" w:hAnsi="Times New Roman" w:cs="Times New Roman"/>
          <w:sz w:val="24"/>
        </w:rPr>
        <w:t xml:space="preserve">establishes a framework for the conduct of audits under the </w:t>
      </w:r>
      <w:r w:rsidR="00921C41" w:rsidRPr="004718E3">
        <w:rPr>
          <w:rFonts w:ascii="Times New Roman" w:hAnsi="Times New Roman" w:cs="Times New Roman"/>
          <w:sz w:val="24"/>
        </w:rPr>
        <w:t xml:space="preserve">NGER </w:t>
      </w:r>
      <w:r w:rsidRPr="004718E3">
        <w:rPr>
          <w:rFonts w:ascii="Times New Roman" w:hAnsi="Times New Roman" w:cs="Times New Roman"/>
          <w:sz w:val="24"/>
        </w:rPr>
        <w:t xml:space="preserve">Act and the </w:t>
      </w:r>
      <w:r w:rsidRPr="004718E3">
        <w:rPr>
          <w:rFonts w:ascii="Times New Roman" w:hAnsi="Times New Roman" w:cs="Times New Roman"/>
          <w:i/>
          <w:sz w:val="24"/>
          <w:lang w:val="en-US"/>
        </w:rPr>
        <w:t>Carbon Credits (Carbon Farming Initiative) Act 2011 </w:t>
      </w:r>
      <w:r w:rsidRPr="004718E3">
        <w:rPr>
          <w:rFonts w:ascii="Times New Roman" w:hAnsi="Times New Roman" w:cs="Times New Roman"/>
          <w:sz w:val="24"/>
          <w:lang w:val="en-US"/>
        </w:rPr>
        <w:t>(CFI Act)</w:t>
      </w:r>
      <w:r w:rsidRPr="004718E3">
        <w:rPr>
          <w:rFonts w:ascii="Times New Roman" w:hAnsi="Times New Roman" w:cs="Times New Roman"/>
          <w:sz w:val="24"/>
        </w:rPr>
        <w:t>. Section</w:t>
      </w:r>
      <w:r w:rsidR="003062CB" w:rsidRPr="004718E3">
        <w:rPr>
          <w:rFonts w:ascii="Times New Roman" w:hAnsi="Times New Roman" w:cs="Times New Roman"/>
          <w:sz w:val="24"/>
        </w:rPr>
        <w:t> </w:t>
      </w:r>
      <w:r w:rsidRPr="004718E3">
        <w:rPr>
          <w:rFonts w:ascii="Times New Roman" w:hAnsi="Times New Roman" w:cs="Times New Roman"/>
          <w:sz w:val="24"/>
        </w:rPr>
        <w:t xml:space="preserve">75A of the NGER Act requires </w:t>
      </w:r>
      <w:r w:rsidRPr="004718E3">
        <w:rPr>
          <w:rFonts w:ascii="Times New Roman" w:hAnsi="Times New Roman" w:cs="Times New Roman"/>
          <w:sz w:val="24"/>
          <w:lang w:val="en-US"/>
        </w:rPr>
        <w:t>the Clean Energy Regulator (the Regulator) to</w:t>
      </w:r>
      <w:r w:rsidR="00A0193D" w:rsidRPr="004718E3">
        <w:rPr>
          <w:rFonts w:ascii="Times New Roman" w:hAnsi="Times New Roman" w:cs="Times New Roman"/>
          <w:sz w:val="24"/>
          <w:lang w:val="en-US"/>
        </w:rPr>
        <w:t xml:space="preserve"> </w:t>
      </w:r>
      <w:r w:rsidRPr="004718E3">
        <w:rPr>
          <w:rFonts w:ascii="Times New Roman" w:hAnsi="Times New Roman" w:cs="Times New Roman"/>
          <w:sz w:val="24"/>
          <w:lang w:val="en-US"/>
        </w:rPr>
        <w:t>register an individual in the register of greenhouse and energy auditors that is kept for the purposes of the NGER Act and the CFI Act</w:t>
      </w:r>
      <w:r w:rsidRPr="004718E3">
        <w:rPr>
          <w:rFonts w:ascii="Times New Roman" w:hAnsi="Times New Roman" w:cs="Times New Roman"/>
          <w:i/>
          <w:sz w:val="24"/>
          <w:lang w:val="en-US"/>
        </w:rPr>
        <w:t xml:space="preserve"> </w:t>
      </w:r>
      <w:r w:rsidRPr="004718E3">
        <w:rPr>
          <w:rFonts w:ascii="Times New Roman" w:hAnsi="Times New Roman" w:cs="Times New Roman"/>
          <w:sz w:val="24"/>
          <w:lang w:val="en-US"/>
        </w:rPr>
        <w:t xml:space="preserve">if the individual meets specified requirements. </w:t>
      </w:r>
    </w:p>
    <w:p w14:paraId="7030652D" w14:textId="4A494566" w:rsidR="00ED6ADD" w:rsidRPr="004718E3" w:rsidRDefault="00ED6ADD" w:rsidP="00ED6ADD">
      <w:pPr>
        <w:jc w:val="both"/>
        <w:rPr>
          <w:rFonts w:ascii="Times New Roman" w:hAnsi="Times New Roman" w:cs="Times New Roman"/>
          <w:sz w:val="24"/>
          <w:lang w:val="en-US"/>
        </w:rPr>
      </w:pPr>
      <w:r w:rsidRPr="004718E3">
        <w:rPr>
          <w:rFonts w:ascii="Times New Roman" w:hAnsi="Times New Roman" w:cs="Times New Roman"/>
          <w:sz w:val="24"/>
          <w:lang w:val="en-US"/>
        </w:rPr>
        <w:t>The specified requirements are set out in the</w:t>
      </w:r>
      <w:r w:rsidRPr="004718E3">
        <w:rPr>
          <w:rFonts w:ascii="Times New Roman" w:hAnsi="Times New Roman" w:cs="Times New Roman"/>
          <w:i/>
          <w:sz w:val="24"/>
          <w:lang w:val="en-US"/>
        </w:rPr>
        <w:t xml:space="preserve"> National Greenhouse and Energy Reporting Regulations 2008</w:t>
      </w:r>
      <w:r w:rsidRPr="004718E3">
        <w:rPr>
          <w:rFonts w:ascii="Times New Roman" w:hAnsi="Times New Roman" w:cs="Times New Roman"/>
          <w:sz w:val="24"/>
          <w:lang w:val="en-US"/>
        </w:rPr>
        <w:t xml:space="preserve"> (the Regulations) or a legislative instrument made under </w:t>
      </w:r>
      <w:r w:rsidR="003062CB" w:rsidRPr="004718E3">
        <w:rPr>
          <w:rFonts w:ascii="Times New Roman" w:hAnsi="Times New Roman" w:cs="Times New Roman"/>
          <w:sz w:val="24"/>
          <w:lang w:val="en-US"/>
        </w:rPr>
        <w:t>sub</w:t>
      </w:r>
      <w:r w:rsidRPr="004718E3">
        <w:rPr>
          <w:rFonts w:ascii="Times New Roman" w:hAnsi="Times New Roman" w:cs="Times New Roman"/>
          <w:sz w:val="24"/>
          <w:lang w:val="en-US"/>
        </w:rPr>
        <w:t>regulation 6.72</w:t>
      </w:r>
      <w:r w:rsidR="003062CB" w:rsidRPr="004718E3">
        <w:rPr>
          <w:rFonts w:ascii="Times New Roman" w:hAnsi="Times New Roman" w:cs="Times New Roman"/>
          <w:sz w:val="24"/>
          <w:lang w:val="en-US"/>
        </w:rPr>
        <w:t>(2)</w:t>
      </w:r>
      <w:r w:rsidRPr="004718E3">
        <w:rPr>
          <w:rFonts w:ascii="Times New Roman" w:hAnsi="Times New Roman" w:cs="Times New Roman"/>
          <w:sz w:val="24"/>
          <w:lang w:val="en-US"/>
        </w:rPr>
        <w:t xml:space="preserve"> of the Regulations, and relate to matters such as an applicant’s qualifications, knowledge, expertise, competence and independence. An instrument made under regulation 6.72 of the Regulations may also set out the ways in which requirements set out in the regulations may be met. </w:t>
      </w:r>
    </w:p>
    <w:p w14:paraId="101620CE" w14:textId="02198C5C" w:rsidR="001F3744" w:rsidRPr="004718E3" w:rsidRDefault="001F3744" w:rsidP="001F3744">
      <w:pPr>
        <w:jc w:val="both"/>
        <w:rPr>
          <w:rFonts w:ascii="Times New Roman" w:hAnsi="Times New Roman" w:cs="Times New Roman"/>
          <w:b/>
          <w:sz w:val="24"/>
          <w:lang w:val="en-US"/>
        </w:rPr>
      </w:pPr>
      <w:r w:rsidRPr="004718E3">
        <w:rPr>
          <w:rFonts w:ascii="Times New Roman" w:hAnsi="Times New Roman" w:cs="Times New Roman"/>
          <w:b/>
          <w:sz w:val="24"/>
          <w:lang w:val="en-US"/>
        </w:rPr>
        <w:t xml:space="preserve">Purpose and operation of the </w:t>
      </w:r>
      <w:r w:rsidR="005B5E35" w:rsidRPr="004718E3">
        <w:rPr>
          <w:rFonts w:ascii="Times New Roman" w:hAnsi="Times New Roman" w:cs="Times New Roman"/>
          <w:b/>
          <w:sz w:val="24"/>
          <w:lang w:val="en-US"/>
        </w:rPr>
        <w:t>I</w:t>
      </w:r>
      <w:r w:rsidRPr="004718E3">
        <w:rPr>
          <w:rFonts w:ascii="Times New Roman" w:hAnsi="Times New Roman" w:cs="Times New Roman"/>
          <w:b/>
          <w:sz w:val="24"/>
          <w:lang w:val="en-US"/>
        </w:rPr>
        <w:t>nstrument</w:t>
      </w:r>
    </w:p>
    <w:p w14:paraId="0BA659C0" w14:textId="23A56DFA" w:rsidR="00ED6ADD"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purpose of the </w:t>
      </w:r>
      <w:r w:rsidRPr="004718E3">
        <w:rPr>
          <w:rFonts w:ascii="Times New Roman" w:hAnsi="Times New Roman" w:cs="Times New Roman"/>
          <w:i/>
          <w:sz w:val="24"/>
        </w:rPr>
        <w:t>National Greenhouse and Energy Reporting (Auditor Registration) Instrument 201</w:t>
      </w:r>
      <w:r w:rsidR="007C76D0" w:rsidRPr="004718E3">
        <w:rPr>
          <w:rFonts w:ascii="Times New Roman" w:hAnsi="Times New Roman" w:cs="Times New Roman"/>
          <w:i/>
          <w:sz w:val="24"/>
        </w:rPr>
        <w:t>9</w:t>
      </w:r>
      <w:r w:rsidRPr="004718E3">
        <w:rPr>
          <w:rFonts w:ascii="Times New Roman" w:hAnsi="Times New Roman" w:cs="Times New Roman"/>
          <w:sz w:val="24"/>
        </w:rPr>
        <w:t xml:space="preserve"> (the Instrument) is to set out the ways in which the requirements of the Regulations (in relation to the knowledge, qualifications and experience an applicant for registration as a greenhouse and energy auditor must have) may be met. </w:t>
      </w:r>
    </w:p>
    <w:p w14:paraId="01EC64BB" w14:textId="4B2B3901" w:rsidR="00C703A7" w:rsidRDefault="00C703A7" w:rsidP="00ED6ADD">
      <w:pPr>
        <w:jc w:val="both"/>
        <w:rPr>
          <w:rFonts w:ascii="Times New Roman" w:hAnsi="Times New Roman" w:cs="Times New Roman"/>
          <w:iCs/>
          <w:sz w:val="24"/>
        </w:rPr>
      </w:pPr>
      <w:r>
        <w:rPr>
          <w:rFonts w:ascii="Times New Roman" w:hAnsi="Times New Roman" w:cs="Times New Roman"/>
          <w:sz w:val="24"/>
        </w:rPr>
        <w:t xml:space="preserve">Where the Regulator makes a decision to refuse to register an individual in the register of greenhouse and energy auditors kept under section 75A of the NGER Act, </w:t>
      </w:r>
      <w:r w:rsidR="001A5B08">
        <w:rPr>
          <w:rFonts w:ascii="Times New Roman" w:hAnsi="Times New Roman" w:cs="Times New Roman"/>
          <w:sz w:val="24"/>
        </w:rPr>
        <w:t xml:space="preserve">section 56(j) of the NGER Act provides that </w:t>
      </w:r>
      <w:r>
        <w:rPr>
          <w:rFonts w:ascii="Times New Roman" w:hAnsi="Times New Roman" w:cs="Times New Roman"/>
          <w:sz w:val="24"/>
        </w:rPr>
        <w:t>an application may be made to the Admin</w:t>
      </w:r>
      <w:r w:rsidR="001A5B08">
        <w:rPr>
          <w:rFonts w:ascii="Times New Roman" w:hAnsi="Times New Roman" w:cs="Times New Roman"/>
          <w:sz w:val="24"/>
        </w:rPr>
        <w:t>is</w:t>
      </w:r>
      <w:r>
        <w:rPr>
          <w:rFonts w:ascii="Times New Roman" w:hAnsi="Times New Roman" w:cs="Times New Roman"/>
          <w:sz w:val="24"/>
        </w:rPr>
        <w:t>trative Appeals Tribunal for merits review of the refusal</w:t>
      </w:r>
      <w:r w:rsidR="001A5B08">
        <w:rPr>
          <w:rFonts w:ascii="Times New Roman" w:hAnsi="Times New Roman" w:cs="Times New Roman"/>
          <w:sz w:val="24"/>
        </w:rPr>
        <w:t>.</w:t>
      </w:r>
      <w:r w:rsidR="00FF5D77" w:rsidDel="00FF5D77">
        <w:rPr>
          <w:rFonts w:ascii="Times New Roman" w:hAnsi="Times New Roman" w:cs="Times New Roman"/>
          <w:sz w:val="24"/>
        </w:rPr>
        <w:t xml:space="preserve"> </w:t>
      </w:r>
    </w:p>
    <w:p w14:paraId="7D05DD65" w14:textId="2D424626"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Instrument revokes the </w:t>
      </w:r>
      <w:r w:rsidRPr="004718E3">
        <w:rPr>
          <w:rFonts w:ascii="Times New Roman" w:hAnsi="Times New Roman" w:cs="Times New Roman"/>
          <w:i/>
          <w:sz w:val="24"/>
        </w:rPr>
        <w:t>National Greenhouse and Energy Reporting (Auditor Registration) Instrument 201</w:t>
      </w:r>
      <w:r w:rsidR="007C76D0" w:rsidRPr="004718E3">
        <w:rPr>
          <w:rFonts w:ascii="Times New Roman" w:hAnsi="Times New Roman" w:cs="Times New Roman"/>
          <w:i/>
          <w:sz w:val="24"/>
        </w:rPr>
        <w:t>8</w:t>
      </w:r>
      <w:r w:rsidRPr="004718E3">
        <w:rPr>
          <w:rFonts w:ascii="Times New Roman" w:hAnsi="Times New Roman" w:cs="Times New Roman"/>
          <w:sz w:val="24"/>
        </w:rPr>
        <w:t xml:space="preserve"> </w:t>
      </w:r>
      <w:r w:rsidR="001D422C" w:rsidRPr="004718E3">
        <w:rPr>
          <w:rFonts w:ascii="Times New Roman" w:hAnsi="Times New Roman" w:cs="Times New Roman"/>
          <w:sz w:val="24"/>
        </w:rPr>
        <w:t>made</w:t>
      </w:r>
      <w:r w:rsidR="005E45E1" w:rsidRPr="004718E3">
        <w:rPr>
          <w:rFonts w:ascii="Times New Roman" w:hAnsi="Times New Roman" w:cs="Times New Roman"/>
          <w:sz w:val="24"/>
        </w:rPr>
        <w:t xml:space="preserve"> on</w:t>
      </w:r>
      <w:r w:rsidR="007C76D0" w:rsidRPr="004718E3">
        <w:rPr>
          <w:rFonts w:ascii="Times New Roman" w:hAnsi="Times New Roman" w:cs="Times New Roman"/>
          <w:sz w:val="24"/>
        </w:rPr>
        <w:t xml:space="preserve"> 28 November 2018</w:t>
      </w:r>
      <w:r w:rsidRPr="004718E3">
        <w:rPr>
          <w:rFonts w:ascii="Times New Roman" w:hAnsi="Times New Roman" w:cs="Times New Roman"/>
          <w:sz w:val="24"/>
        </w:rPr>
        <w:t xml:space="preserve"> (the 201</w:t>
      </w:r>
      <w:r w:rsidR="007C76D0" w:rsidRPr="004718E3">
        <w:rPr>
          <w:rFonts w:ascii="Times New Roman" w:hAnsi="Times New Roman" w:cs="Times New Roman"/>
          <w:sz w:val="24"/>
        </w:rPr>
        <w:t>8</w:t>
      </w:r>
      <w:r w:rsidRPr="004718E3">
        <w:rPr>
          <w:rFonts w:ascii="Times New Roman" w:hAnsi="Times New Roman" w:cs="Times New Roman"/>
          <w:sz w:val="24"/>
        </w:rPr>
        <w:t xml:space="preserve"> Instrument). </w:t>
      </w:r>
    </w:p>
    <w:p w14:paraId="6B79922D" w14:textId="71DF579B" w:rsidR="00715781" w:rsidRPr="004718E3" w:rsidRDefault="00F4178E" w:rsidP="00F4178E">
      <w:pPr>
        <w:jc w:val="both"/>
        <w:rPr>
          <w:rFonts w:ascii="Times New Roman" w:hAnsi="Times New Roman" w:cs="Times New Roman"/>
          <w:sz w:val="24"/>
        </w:rPr>
      </w:pPr>
      <w:r w:rsidRPr="004718E3">
        <w:rPr>
          <w:rFonts w:ascii="Times New Roman" w:hAnsi="Times New Roman" w:cs="Times New Roman"/>
          <w:sz w:val="24"/>
        </w:rPr>
        <w:t xml:space="preserve">The Instrument </w:t>
      </w:r>
      <w:r w:rsidR="007C76D0" w:rsidRPr="004718E3">
        <w:rPr>
          <w:rFonts w:ascii="Times New Roman" w:hAnsi="Times New Roman" w:cs="Times New Roman"/>
          <w:sz w:val="24"/>
        </w:rPr>
        <w:t>has changed</w:t>
      </w:r>
      <w:r w:rsidR="00231F17" w:rsidRPr="004718E3">
        <w:rPr>
          <w:rFonts w:ascii="Times New Roman" w:hAnsi="Times New Roman" w:cs="Times New Roman"/>
          <w:sz w:val="24"/>
        </w:rPr>
        <w:t xml:space="preserve"> </w:t>
      </w:r>
      <w:r w:rsidR="00CC6DAC" w:rsidRPr="004718E3">
        <w:rPr>
          <w:rFonts w:ascii="Times New Roman" w:hAnsi="Times New Roman" w:cs="Times New Roman"/>
          <w:sz w:val="24"/>
        </w:rPr>
        <w:t xml:space="preserve">in structure and form </w:t>
      </w:r>
      <w:r w:rsidR="007C76D0" w:rsidRPr="004718E3">
        <w:rPr>
          <w:rFonts w:ascii="Times New Roman" w:hAnsi="Times New Roman" w:cs="Times New Roman"/>
          <w:sz w:val="24"/>
        </w:rPr>
        <w:t>from the 2018</w:t>
      </w:r>
      <w:r w:rsidRPr="004718E3">
        <w:rPr>
          <w:rFonts w:ascii="Times New Roman" w:hAnsi="Times New Roman" w:cs="Times New Roman"/>
          <w:sz w:val="24"/>
        </w:rPr>
        <w:t xml:space="preserve"> Instrument</w:t>
      </w:r>
      <w:r w:rsidR="001E1C4C" w:rsidRPr="004718E3">
        <w:rPr>
          <w:rFonts w:ascii="Times New Roman" w:hAnsi="Times New Roman" w:cs="Times New Roman"/>
          <w:sz w:val="24"/>
        </w:rPr>
        <w:t>. This is</w:t>
      </w:r>
      <w:r w:rsidR="007C76D0" w:rsidRPr="004718E3">
        <w:rPr>
          <w:rFonts w:ascii="Times New Roman" w:hAnsi="Times New Roman" w:cs="Times New Roman"/>
          <w:sz w:val="24"/>
        </w:rPr>
        <w:t xml:space="preserve"> to allow for consequential amendments flowing on from amendments made to the Regulations</w:t>
      </w:r>
      <w:r w:rsidR="00D16C4F" w:rsidRPr="004718E3">
        <w:rPr>
          <w:rFonts w:ascii="Times New Roman" w:hAnsi="Times New Roman" w:cs="Times New Roman"/>
          <w:sz w:val="24"/>
        </w:rPr>
        <w:t xml:space="preserve"> by the</w:t>
      </w:r>
      <w:r w:rsidR="00A23E82" w:rsidRPr="004718E3">
        <w:rPr>
          <w:rFonts w:ascii="Times New Roman" w:hAnsi="Times New Roman" w:cs="Times New Roman"/>
          <w:sz w:val="24"/>
        </w:rPr>
        <w:t xml:space="preserve"> </w:t>
      </w:r>
      <w:r w:rsidR="00A23E82" w:rsidRPr="004718E3">
        <w:rPr>
          <w:rFonts w:ascii="Times New Roman" w:hAnsi="Times New Roman" w:cs="Times New Roman"/>
          <w:i/>
          <w:sz w:val="24"/>
        </w:rPr>
        <w:t>National Greenhouse and Energy Reporting Amendment (2019 Measures No. 1) Regulations 2019</w:t>
      </w:r>
      <w:r w:rsidR="00A23E82" w:rsidRPr="004718E3">
        <w:rPr>
          <w:rFonts w:ascii="Times New Roman" w:hAnsi="Times New Roman" w:cs="Times New Roman"/>
          <w:sz w:val="24"/>
        </w:rPr>
        <w:t xml:space="preserve"> (the amending Regulations)</w:t>
      </w:r>
      <w:r w:rsidR="0088560E">
        <w:rPr>
          <w:rFonts w:ascii="Times New Roman" w:hAnsi="Times New Roman" w:cs="Times New Roman"/>
          <w:sz w:val="24"/>
        </w:rPr>
        <w:t xml:space="preserve"> and to reduce red tape</w:t>
      </w:r>
      <w:r w:rsidR="00A23E82" w:rsidRPr="004718E3">
        <w:rPr>
          <w:rFonts w:ascii="Times New Roman" w:hAnsi="Times New Roman" w:cs="Times New Roman"/>
          <w:sz w:val="24"/>
        </w:rPr>
        <w:t xml:space="preserve">.  </w:t>
      </w:r>
    </w:p>
    <w:p w14:paraId="2EC2523F" w14:textId="14007D9B" w:rsidR="00F4178E" w:rsidRPr="004718E3" w:rsidRDefault="007C76D0" w:rsidP="00F4178E">
      <w:pPr>
        <w:jc w:val="both"/>
        <w:rPr>
          <w:rFonts w:ascii="Times New Roman" w:hAnsi="Times New Roman" w:cs="Times New Roman"/>
          <w:sz w:val="24"/>
        </w:rPr>
      </w:pPr>
      <w:r w:rsidRPr="004718E3">
        <w:rPr>
          <w:rFonts w:ascii="Times New Roman" w:hAnsi="Times New Roman" w:cs="Times New Roman"/>
          <w:sz w:val="24"/>
        </w:rPr>
        <w:t xml:space="preserve">The </w:t>
      </w:r>
      <w:r w:rsidR="00715781" w:rsidRPr="004718E3">
        <w:rPr>
          <w:rFonts w:ascii="Times New Roman" w:hAnsi="Times New Roman" w:cs="Times New Roman"/>
          <w:sz w:val="24"/>
        </w:rPr>
        <w:t>Instrument has been amended to:</w:t>
      </w:r>
    </w:p>
    <w:p w14:paraId="7639BE0E" w14:textId="17CEF2A6" w:rsidR="00715781" w:rsidRPr="004718E3" w:rsidRDefault="0088560E" w:rsidP="00715781">
      <w:pPr>
        <w:pStyle w:val="CommentText"/>
        <w:numPr>
          <w:ilvl w:val="0"/>
          <w:numId w:val="35"/>
        </w:numPr>
        <w:rPr>
          <w:rFonts w:ascii="Times New Roman" w:hAnsi="Times New Roman" w:cs="Times New Roman"/>
          <w:sz w:val="24"/>
          <w:szCs w:val="24"/>
        </w:rPr>
      </w:pPr>
      <w:r>
        <w:rPr>
          <w:rFonts w:ascii="Times New Roman" w:hAnsi="Times New Roman" w:cs="Times New Roman"/>
          <w:sz w:val="24"/>
          <w:szCs w:val="24"/>
        </w:rPr>
        <w:t>r</w:t>
      </w:r>
      <w:r w:rsidR="00715781" w:rsidRPr="004718E3">
        <w:rPr>
          <w:rFonts w:ascii="Times New Roman" w:hAnsi="Times New Roman" w:cs="Times New Roman"/>
          <w:sz w:val="24"/>
          <w:szCs w:val="24"/>
        </w:rPr>
        <w:t xml:space="preserve">eorder the Instrument so that it follows the order of the </w:t>
      </w:r>
      <w:r>
        <w:rPr>
          <w:rFonts w:ascii="Times New Roman" w:hAnsi="Times New Roman" w:cs="Times New Roman"/>
          <w:sz w:val="24"/>
          <w:szCs w:val="24"/>
        </w:rPr>
        <w:t xml:space="preserve">amended </w:t>
      </w:r>
      <w:r w:rsidR="00715781" w:rsidRPr="004718E3">
        <w:rPr>
          <w:rFonts w:ascii="Times New Roman" w:hAnsi="Times New Roman" w:cs="Times New Roman"/>
          <w:sz w:val="24"/>
          <w:szCs w:val="24"/>
        </w:rPr>
        <w:t>Regulations and to make it easier for applicants and auditors to use;</w:t>
      </w:r>
    </w:p>
    <w:p w14:paraId="203D1660" w14:textId="7F8B1967" w:rsidR="00715781" w:rsidRPr="004718E3" w:rsidRDefault="0088560E" w:rsidP="00715781">
      <w:pPr>
        <w:pStyle w:val="CommentText"/>
        <w:numPr>
          <w:ilvl w:val="0"/>
          <w:numId w:val="35"/>
        </w:numPr>
        <w:rPr>
          <w:rFonts w:ascii="Times New Roman" w:hAnsi="Times New Roman" w:cs="Times New Roman"/>
          <w:sz w:val="24"/>
          <w:szCs w:val="24"/>
        </w:rPr>
      </w:pPr>
      <w:r>
        <w:rPr>
          <w:rFonts w:ascii="Times New Roman" w:hAnsi="Times New Roman" w:cs="Times New Roman"/>
          <w:sz w:val="24"/>
          <w:szCs w:val="24"/>
        </w:rPr>
        <w:t>r</w:t>
      </w:r>
      <w:r w:rsidR="00715781" w:rsidRPr="004718E3">
        <w:rPr>
          <w:rFonts w:ascii="Times New Roman" w:hAnsi="Times New Roman" w:cs="Times New Roman"/>
          <w:sz w:val="24"/>
          <w:szCs w:val="24"/>
        </w:rPr>
        <w:t xml:space="preserve">eflect that applications for persons to register as Category 1 auditors cannot be made </w:t>
      </w:r>
      <w:r w:rsidR="000B2EE2" w:rsidRPr="004718E3">
        <w:rPr>
          <w:rFonts w:ascii="Times New Roman" w:hAnsi="Times New Roman" w:cs="Times New Roman"/>
          <w:sz w:val="24"/>
          <w:szCs w:val="24"/>
        </w:rPr>
        <w:t>after</w:t>
      </w:r>
      <w:r w:rsidR="00715781" w:rsidRPr="004718E3">
        <w:rPr>
          <w:rFonts w:ascii="Times New Roman" w:hAnsi="Times New Roman" w:cs="Times New Roman"/>
          <w:sz w:val="24"/>
          <w:szCs w:val="24"/>
        </w:rPr>
        <w:t xml:space="preserve"> the amending Regulations commence.  As this does not affect auditors who are currently registered</w:t>
      </w:r>
      <w:r w:rsidR="0072700E" w:rsidRPr="004718E3">
        <w:rPr>
          <w:rFonts w:ascii="Times New Roman" w:hAnsi="Times New Roman" w:cs="Times New Roman"/>
          <w:sz w:val="24"/>
          <w:szCs w:val="24"/>
        </w:rPr>
        <w:t>, provisions relating to the performance and maintenance of skills for Category 1 auditors have been retained</w:t>
      </w:r>
      <w:r>
        <w:rPr>
          <w:rFonts w:ascii="Times New Roman" w:hAnsi="Times New Roman" w:cs="Times New Roman"/>
          <w:sz w:val="24"/>
          <w:szCs w:val="24"/>
        </w:rPr>
        <w:t xml:space="preserve"> in the Regulations</w:t>
      </w:r>
      <w:r w:rsidR="0072700E" w:rsidRPr="004718E3">
        <w:rPr>
          <w:rFonts w:ascii="Times New Roman" w:hAnsi="Times New Roman" w:cs="Times New Roman"/>
          <w:sz w:val="24"/>
          <w:szCs w:val="24"/>
        </w:rPr>
        <w:t>;</w:t>
      </w:r>
    </w:p>
    <w:p w14:paraId="59060428" w14:textId="7A3BECD5" w:rsidR="00CC6DAC" w:rsidRPr="004718E3" w:rsidRDefault="0088560E" w:rsidP="00715781">
      <w:pPr>
        <w:pStyle w:val="CommentText"/>
        <w:numPr>
          <w:ilvl w:val="0"/>
          <w:numId w:val="35"/>
        </w:numPr>
        <w:rPr>
          <w:rFonts w:ascii="Times New Roman" w:hAnsi="Times New Roman" w:cs="Times New Roman"/>
          <w:sz w:val="24"/>
          <w:szCs w:val="24"/>
        </w:rPr>
      </w:pPr>
      <w:r>
        <w:rPr>
          <w:rFonts w:ascii="Times New Roman" w:hAnsi="Times New Roman" w:cs="Times New Roman"/>
          <w:sz w:val="24"/>
          <w:szCs w:val="24"/>
        </w:rPr>
        <w:lastRenderedPageBreak/>
        <w:t>s</w:t>
      </w:r>
      <w:r w:rsidR="00CC6DAC" w:rsidRPr="004718E3">
        <w:rPr>
          <w:rFonts w:ascii="Times New Roman" w:hAnsi="Times New Roman" w:cs="Times New Roman"/>
          <w:sz w:val="24"/>
          <w:szCs w:val="24"/>
        </w:rPr>
        <w:t>implify the requirements for qualifications, auditing knowledge and experience while still maintaining high standards;</w:t>
      </w:r>
    </w:p>
    <w:p w14:paraId="1B264178" w14:textId="47781749" w:rsidR="00CC6DAC" w:rsidRPr="004718E3" w:rsidRDefault="00CC6DAC" w:rsidP="00CC6DAC">
      <w:pPr>
        <w:pStyle w:val="CommentText"/>
        <w:numPr>
          <w:ilvl w:val="0"/>
          <w:numId w:val="35"/>
        </w:numPr>
        <w:rPr>
          <w:rFonts w:ascii="Times New Roman" w:hAnsi="Times New Roman" w:cs="Times New Roman"/>
          <w:sz w:val="24"/>
          <w:szCs w:val="24"/>
        </w:rPr>
      </w:pPr>
      <w:r w:rsidRPr="004718E3">
        <w:rPr>
          <w:rFonts w:ascii="Times New Roman" w:hAnsi="Times New Roman" w:cs="Times New Roman"/>
          <w:sz w:val="24"/>
          <w:szCs w:val="24"/>
        </w:rPr>
        <w:t>provide for auditors to specialise in auditi</w:t>
      </w:r>
      <w:r w:rsidR="00D410FE">
        <w:rPr>
          <w:rFonts w:ascii="Times New Roman" w:hAnsi="Times New Roman" w:cs="Times New Roman"/>
          <w:sz w:val="24"/>
          <w:szCs w:val="24"/>
        </w:rPr>
        <w:t>ng one or more of the schemes—</w:t>
      </w:r>
      <w:r w:rsidRPr="004718E3">
        <w:rPr>
          <w:rFonts w:ascii="Times New Roman" w:hAnsi="Times New Roman" w:cs="Times New Roman"/>
          <w:sz w:val="24"/>
          <w:szCs w:val="24"/>
        </w:rPr>
        <w:t xml:space="preserve">and for the Regulator to place conditions upon their registration to reflect this specialisation;  </w:t>
      </w:r>
    </w:p>
    <w:p w14:paraId="62901AF1" w14:textId="7122DF7D" w:rsidR="00715781" w:rsidRPr="004718E3" w:rsidRDefault="00715781" w:rsidP="00CC6DAC">
      <w:pPr>
        <w:pStyle w:val="CommentText"/>
        <w:numPr>
          <w:ilvl w:val="0"/>
          <w:numId w:val="35"/>
        </w:numPr>
        <w:rPr>
          <w:rFonts w:ascii="Times New Roman" w:hAnsi="Times New Roman" w:cs="Times New Roman"/>
          <w:sz w:val="24"/>
          <w:szCs w:val="24"/>
        </w:rPr>
      </w:pPr>
      <w:r w:rsidRPr="004718E3">
        <w:rPr>
          <w:rFonts w:ascii="Times New Roman" w:hAnsi="Times New Roman" w:cs="Times New Roman"/>
          <w:sz w:val="24"/>
          <w:szCs w:val="24"/>
        </w:rPr>
        <w:t xml:space="preserve">facilitate auditing of the </w:t>
      </w:r>
      <w:r w:rsidR="0072700E" w:rsidRPr="004718E3">
        <w:rPr>
          <w:rFonts w:ascii="Times New Roman" w:hAnsi="Times New Roman" w:cs="Times New Roman"/>
          <w:i/>
          <w:sz w:val="24"/>
          <w:szCs w:val="24"/>
        </w:rPr>
        <w:t>Renewable Energy (Electricity) Act 2000</w:t>
      </w:r>
      <w:r w:rsidR="0072700E" w:rsidRPr="004718E3">
        <w:rPr>
          <w:rFonts w:ascii="Times New Roman" w:hAnsi="Times New Roman" w:cs="Times New Roman"/>
          <w:sz w:val="24"/>
          <w:szCs w:val="24"/>
        </w:rPr>
        <w:t xml:space="preserve"> and </w:t>
      </w:r>
      <w:r w:rsidR="0072700E" w:rsidRPr="0088560E">
        <w:rPr>
          <w:rFonts w:ascii="Times New Roman" w:hAnsi="Times New Roman" w:cs="Times New Roman"/>
          <w:i/>
          <w:sz w:val="24"/>
          <w:szCs w:val="24"/>
        </w:rPr>
        <w:t>Renewable</w:t>
      </w:r>
      <w:r w:rsidR="0072700E" w:rsidRPr="004718E3">
        <w:rPr>
          <w:rFonts w:ascii="Times New Roman" w:hAnsi="Times New Roman" w:cs="Times New Roman"/>
          <w:i/>
          <w:sz w:val="24"/>
          <w:szCs w:val="24"/>
        </w:rPr>
        <w:t xml:space="preserve"> Energy (Electricity) Regulations 2001</w:t>
      </w:r>
      <w:r w:rsidRPr="004718E3">
        <w:rPr>
          <w:rFonts w:ascii="Times New Roman" w:hAnsi="Times New Roman" w:cs="Times New Roman"/>
          <w:sz w:val="24"/>
          <w:szCs w:val="24"/>
        </w:rPr>
        <w:t xml:space="preserve"> by requiring applicants to have knowledge of th</w:t>
      </w:r>
      <w:r w:rsidR="0072700E" w:rsidRPr="004718E3">
        <w:rPr>
          <w:rFonts w:ascii="Times New Roman" w:hAnsi="Times New Roman" w:cs="Times New Roman"/>
          <w:sz w:val="24"/>
          <w:szCs w:val="24"/>
        </w:rPr>
        <w:t>is legislation</w:t>
      </w:r>
      <w:r w:rsidR="00CC6DAC" w:rsidRPr="004718E3">
        <w:rPr>
          <w:rFonts w:ascii="Times New Roman" w:hAnsi="Times New Roman" w:cs="Times New Roman"/>
          <w:sz w:val="24"/>
          <w:szCs w:val="24"/>
        </w:rPr>
        <w:t>.</w:t>
      </w:r>
    </w:p>
    <w:p w14:paraId="37C17F4C" w14:textId="6027B8B3" w:rsidR="00715781"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Instrument is a legislative instrument for the purposes of the </w:t>
      </w:r>
      <w:r w:rsidRPr="004718E3">
        <w:rPr>
          <w:rFonts w:ascii="Times New Roman" w:hAnsi="Times New Roman" w:cs="Times New Roman"/>
          <w:i/>
          <w:sz w:val="24"/>
        </w:rPr>
        <w:t>Legislation</w:t>
      </w:r>
      <w:r w:rsidRPr="004718E3" w:rsidDel="00D2469D">
        <w:rPr>
          <w:rFonts w:ascii="Times New Roman" w:hAnsi="Times New Roman" w:cs="Times New Roman"/>
          <w:i/>
          <w:sz w:val="24"/>
        </w:rPr>
        <w:t xml:space="preserve"> </w:t>
      </w:r>
      <w:r w:rsidRPr="004718E3">
        <w:rPr>
          <w:rFonts w:ascii="Times New Roman" w:hAnsi="Times New Roman" w:cs="Times New Roman"/>
          <w:i/>
          <w:sz w:val="24"/>
        </w:rPr>
        <w:t>Act 2003</w:t>
      </w:r>
      <w:r w:rsidRPr="004718E3">
        <w:rPr>
          <w:rFonts w:ascii="Times New Roman" w:hAnsi="Times New Roman" w:cs="Times New Roman"/>
          <w:sz w:val="24"/>
        </w:rPr>
        <w:t xml:space="preserve">. The Instrument will commence on the day after it is registered </w:t>
      </w:r>
      <w:r w:rsidR="00715781" w:rsidRPr="004718E3">
        <w:rPr>
          <w:rFonts w:ascii="Times New Roman" w:hAnsi="Times New Roman" w:cs="Times New Roman"/>
          <w:sz w:val="24"/>
        </w:rPr>
        <w:t>on</w:t>
      </w:r>
      <w:r w:rsidR="00DF397E" w:rsidRPr="004718E3">
        <w:rPr>
          <w:rFonts w:ascii="Times New Roman" w:hAnsi="Times New Roman" w:cs="Times New Roman"/>
          <w:sz w:val="24"/>
        </w:rPr>
        <w:t xml:space="preserve"> the Federal Register of Legislation</w:t>
      </w:r>
      <w:r w:rsidRPr="004718E3">
        <w:rPr>
          <w:rFonts w:ascii="Times New Roman" w:hAnsi="Times New Roman" w:cs="Times New Roman"/>
          <w:sz w:val="24"/>
        </w:rPr>
        <w:t xml:space="preserve">. </w:t>
      </w:r>
    </w:p>
    <w:p w14:paraId="5FA779F5" w14:textId="768DC4BD"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The Instrument has been made by a delegate of the Clean Energy Regulator exercising powers delegated under subsection 75A(7) of the NGER Act.</w:t>
      </w:r>
    </w:p>
    <w:p w14:paraId="36FEA20E"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Details of the Instrument are set out in </w:t>
      </w:r>
      <w:r w:rsidRPr="004718E3">
        <w:rPr>
          <w:rFonts w:ascii="Times New Roman" w:hAnsi="Times New Roman" w:cs="Times New Roman"/>
          <w:sz w:val="24"/>
          <w:u w:val="single"/>
        </w:rPr>
        <w:t>Attachment A</w:t>
      </w:r>
      <w:r w:rsidRPr="004718E3">
        <w:rPr>
          <w:rFonts w:ascii="Times New Roman" w:hAnsi="Times New Roman" w:cs="Times New Roman"/>
          <w:sz w:val="24"/>
        </w:rPr>
        <w:t>.</w:t>
      </w:r>
    </w:p>
    <w:p w14:paraId="619BC069"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statement of compatibility with human rights is set out in </w:t>
      </w:r>
      <w:r w:rsidRPr="004718E3">
        <w:rPr>
          <w:rFonts w:ascii="Times New Roman" w:hAnsi="Times New Roman" w:cs="Times New Roman"/>
          <w:sz w:val="24"/>
          <w:u w:val="single"/>
        </w:rPr>
        <w:t>Attachment B</w:t>
      </w:r>
      <w:r w:rsidRPr="004718E3">
        <w:rPr>
          <w:rFonts w:ascii="Times New Roman" w:hAnsi="Times New Roman" w:cs="Times New Roman"/>
          <w:sz w:val="24"/>
        </w:rPr>
        <w:t>.</w:t>
      </w:r>
    </w:p>
    <w:p w14:paraId="2F31675E" w14:textId="77777777" w:rsidR="00ED6ADD" w:rsidRPr="004718E3" w:rsidRDefault="00ED6ADD" w:rsidP="00ED6ADD">
      <w:pPr>
        <w:rPr>
          <w:rFonts w:ascii="Times New Roman" w:hAnsi="Times New Roman" w:cs="Times New Roman"/>
          <w:bCs/>
          <w:kern w:val="32"/>
          <w:sz w:val="24"/>
          <w:u w:val="single"/>
          <w:lang w:val="en-US"/>
        </w:rPr>
      </w:pPr>
      <w:r w:rsidRPr="004718E3">
        <w:rPr>
          <w:rFonts w:ascii="Times New Roman" w:hAnsi="Times New Roman" w:cs="Times New Roman"/>
          <w:sz w:val="24"/>
        </w:rPr>
        <w:t>For information on how the Regulator collects, holds, uses and discloses personal information, see the Clean Energy Regulator’s Full Privacy Policy available on the Clean Energy Regulator’s website.</w:t>
      </w:r>
    </w:p>
    <w:p w14:paraId="02391B8E" w14:textId="598A0733" w:rsidR="007A55F3" w:rsidRPr="004718E3" w:rsidRDefault="007A55F3" w:rsidP="00894059">
      <w:pPr>
        <w:keepNext/>
        <w:rPr>
          <w:rFonts w:ascii="Times New Roman" w:hAnsi="Times New Roman" w:cs="Times New Roman"/>
          <w:b/>
          <w:sz w:val="24"/>
        </w:rPr>
      </w:pPr>
      <w:r w:rsidRPr="004718E3">
        <w:rPr>
          <w:rFonts w:ascii="Times New Roman" w:hAnsi="Times New Roman" w:cs="Times New Roman"/>
          <w:b/>
          <w:sz w:val="24"/>
        </w:rPr>
        <w:t>Documents incorporated by reference</w:t>
      </w:r>
    </w:p>
    <w:p w14:paraId="1098AAA2" w14:textId="77777777" w:rsidR="009C63E6" w:rsidRPr="004718E3" w:rsidRDefault="005F34C2" w:rsidP="005F34C2">
      <w:pPr>
        <w:shd w:val="clear" w:color="auto" w:fill="FFFFFF"/>
        <w:spacing w:before="280" w:after="100" w:afterAutospacing="1" w:line="276" w:lineRule="auto"/>
        <w:rPr>
          <w:rFonts w:ascii="Times New Roman" w:hAnsi="Times New Roman" w:cs="Times New Roman"/>
          <w:sz w:val="24"/>
          <w:lang w:val="en"/>
        </w:rPr>
      </w:pPr>
      <w:r w:rsidRPr="004718E3">
        <w:rPr>
          <w:rFonts w:ascii="Times New Roman" w:hAnsi="Times New Roman" w:cs="Times New Roman"/>
          <w:sz w:val="24"/>
          <w:lang w:val="en"/>
        </w:rPr>
        <w:t xml:space="preserve">Any Acts or legislative instruments incorporated by reference are incorporated as in force from time to time. </w:t>
      </w:r>
    </w:p>
    <w:p w14:paraId="191B8A1B" w14:textId="78884342" w:rsidR="005F34C2" w:rsidRDefault="005F34C2" w:rsidP="005F34C2">
      <w:pPr>
        <w:shd w:val="clear" w:color="auto" w:fill="FFFFFF"/>
        <w:spacing w:before="280" w:after="100" w:afterAutospacing="1" w:line="276" w:lineRule="auto"/>
        <w:rPr>
          <w:rFonts w:ascii="Times New Roman" w:hAnsi="Times New Roman" w:cs="Times New Roman"/>
          <w:sz w:val="24"/>
        </w:rPr>
      </w:pPr>
      <w:r w:rsidRPr="004718E3">
        <w:rPr>
          <w:rFonts w:ascii="Times New Roman" w:hAnsi="Times New Roman" w:cs="Times New Roman"/>
          <w:sz w:val="24"/>
          <w:lang w:val="en"/>
        </w:rPr>
        <w:t xml:space="preserve">Other documents incorporated by reference are incorporated </w:t>
      </w:r>
      <w:r w:rsidRPr="004718E3">
        <w:rPr>
          <w:rFonts w:ascii="Times New Roman" w:hAnsi="Times New Roman" w:cs="Times New Roman"/>
          <w:sz w:val="24"/>
        </w:rPr>
        <w:t xml:space="preserve">as in force at the date of commencement of this Instrument. </w:t>
      </w:r>
      <w:r w:rsidR="009C63E6" w:rsidRPr="004718E3">
        <w:rPr>
          <w:rFonts w:ascii="Times New Roman" w:hAnsi="Times New Roman" w:cs="Times New Roman"/>
          <w:sz w:val="24"/>
        </w:rPr>
        <w:t>For a description of these and information as to where they can be accessed, r</w:t>
      </w:r>
      <w:r w:rsidRPr="004718E3">
        <w:rPr>
          <w:rFonts w:ascii="Times New Roman" w:hAnsi="Times New Roman" w:cs="Times New Roman"/>
          <w:sz w:val="24"/>
        </w:rPr>
        <w:t xml:space="preserve">efer </w:t>
      </w:r>
      <w:r w:rsidR="00D410FE">
        <w:rPr>
          <w:rFonts w:ascii="Times New Roman" w:hAnsi="Times New Roman" w:cs="Times New Roman"/>
          <w:sz w:val="24"/>
        </w:rPr>
        <w:t xml:space="preserve">to </w:t>
      </w:r>
      <w:r w:rsidRPr="004718E3">
        <w:rPr>
          <w:rFonts w:ascii="Times New Roman" w:hAnsi="Times New Roman" w:cs="Times New Roman"/>
          <w:sz w:val="24"/>
        </w:rPr>
        <w:t>‘Section</w:t>
      </w:r>
      <w:r w:rsidR="00267C86" w:rsidRPr="004718E3">
        <w:rPr>
          <w:rFonts w:ascii="Times New Roman" w:hAnsi="Times New Roman" w:cs="Times New Roman"/>
          <w:sz w:val="24"/>
        </w:rPr>
        <w:t> </w:t>
      </w:r>
      <w:r w:rsidRPr="004718E3">
        <w:rPr>
          <w:rFonts w:ascii="Times New Roman" w:hAnsi="Times New Roman" w:cs="Times New Roman"/>
          <w:sz w:val="24"/>
        </w:rPr>
        <w:t>4 Definitions’ in Attachment A.</w:t>
      </w:r>
    </w:p>
    <w:p w14:paraId="1ADE36F7" w14:textId="7B5824A2" w:rsidR="008B01F6" w:rsidRPr="001F7308" w:rsidRDefault="008B01F6" w:rsidP="008B01F6">
      <w:pPr>
        <w:keepNext/>
        <w:rPr>
          <w:rFonts w:ascii="Times New Roman" w:hAnsi="Times New Roman" w:cs="Times New Roman"/>
          <w:b/>
          <w:sz w:val="24"/>
        </w:rPr>
      </w:pPr>
      <w:r w:rsidRPr="001F7308">
        <w:rPr>
          <w:rFonts w:ascii="Times New Roman" w:hAnsi="Times New Roman" w:cs="Times New Roman"/>
          <w:b/>
          <w:sz w:val="24"/>
        </w:rPr>
        <w:t>Consultation</w:t>
      </w:r>
    </w:p>
    <w:p w14:paraId="704D9CB6" w14:textId="3471D54C" w:rsidR="007852A6" w:rsidRDefault="001F7308" w:rsidP="008B01F6">
      <w:pPr>
        <w:shd w:val="clear" w:color="auto" w:fill="FFFFFF"/>
        <w:spacing w:before="280" w:after="100" w:afterAutospacing="1" w:line="276" w:lineRule="auto"/>
        <w:rPr>
          <w:rFonts w:ascii="Times New Roman" w:hAnsi="Times New Roman" w:cs="Times New Roman"/>
          <w:sz w:val="24"/>
          <w:lang w:val="en"/>
        </w:rPr>
      </w:pPr>
      <w:r w:rsidRPr="001F7308">
        <w:rPr>
          <w:rFonts w:ascii="Times New Roman" w:hAnsi="Times New Roman" w:cs="Times New Roman"/>
          <w:sz w:val="24"/>
          <w:lang w:val="en"/>
        </w:rPr>
        <w:t xml:space="preserve">The Instrument went out for formal public consulation from </w:t>
      </w:r>
      <w:r>
        <w:rPr>
          <w:rFonts w:ascii="Times New Roman" w:hAnsi="Times New Roman" w:cs="Times New Roman"/>
          <w:sz w:val="24"/>
          <w:lang w:val="en"/>
        </w:rPr>
        <w:t xml:space="preserve">2 </w:t>
      </w:r>
      <w:r w:rsidR="00BE43A6">
        <w:rPr>
          <w:rFonts w:ascii="Times New Roman" w:hAnsi="Times New Roman" w:cs="Times New Roman"/>
          <w:sz w:val="24"/>
          <w:lang w:val="en"/>
        </w:rPr>
        <w:t xml:space="preserve">– 28 </w:t>
      </w:r>
      <w:r>
        <w:rPr>
          <w:rFonts w:ascii="Times New Roman" w:hAnsi="Times New Roman" w:cs="Times New Roman"/>
          <w:sz w:val="24"/>
          <w:lang w:val="en"/>
        </w:rPr>
        <w:t>August 2019</w:t>
      </w:r>
      <w:r w:rsidRPr="001F7308">
        <w:rPr>
          <w:rFonts w:ascii="Times New Roman" w:hAnsi="Times New Roman" w:cs="Times New Roman"/>
          <w:sz w:val="24"/>
          <w:lang w:val="en"/>
        </w:rPr>
        <w:t xml:space="preserve"> in conjunction with</w:t>
      </w:r>
      <w:r w:rsidR="00FC18AA">
        <w:rPr>
          <w:rFonts w:ascii="Times New Roman" w:hAnsi="Times New Roman" w:cs="Times New Roman"/>
          <w:sz w:val="24"/>
          <w:lang w:val="en"/>
        </w:rPr>
        <w:t xml:space="preserve"> consultation on related</w:t>
      </w:r>
      <w:r w:rsidRPr="001F7308">
        <w:rPr>
          <w:rFonts w:ascii="Times New Roman" w:hAnsi="Times New Roman" w:cs="Times New Roman"/>
          <w:sz w:val="24"/>
          <w:lang w:val="en"/>
        </w:rPr>
        <w:t xml:space="preserve"> changes to the Regulations. </w:t>
      </w:r>
      <w:r w:rsidR="00A50A9C">
        <w:rPr>
          <w:rFonts w:ascii="Times New Roman" w:hAnsi="Times New Roman" w:cs="Times New Roman"/>
          <w:sz w:val="24"/>
          <w:lang w:val="en"/>
        </w:rPr>
        <w:t xml:space="preserve">Four submissions were received.  </w:t>
      </w:r>
      <w:r w:rsidRPr="001F7308">
        <w:rPr>
          <w:rFonts w:ascii="Times New Roman" w:hAnsi="Times New Roman" w:cs="Times New Roman"/>
          <w:sz w:val="24"/>
          <w:lang w:val="en"/>
        </w:rPr>
        <w:t>No</w:t>
      </w:r>
      <w:r w:rsidR="00A50A9C">
        <w:rPr>
          <w:rFonts w:ascii="Times New Roman" w:hAnsi="Times New Roman" w:cs="Times New Roman"/>
          <w:sz w:val="24"/>
          <w:lang w:val="en"/>
        </w:rPr>
        <w:t>ne</w:t>
      </w:r>
      <w:r w:rsidRPr="001F7308">
        <w:rPr>
          <w:rFonts w:ascii="Times New Roman" w:hAnsi="Times New Roman" w:cs="Times New Roman"/>
          <w:sz w:val="24"/>
          <w:lang w:val="en"/>
        </w:rPr>
        <w:t xml:space="preserve"> </w:t>
      </w:r>
      <w:r w:rsidR="00A50A9C">
        <w:rPr>
          <w:rFonts w:ascii="Times New Roman" w:hAnsi="Times New Roman" w:cs="Times New Roman"/>
          <w:sz w:val="24"/>
          <w:lang w:val="en"/>
        </w:rPr>
        <w:t xml:space="preserve">raised issues with </w:t>
      </w:r>
      <w:r w:rsidRPr="001F7308">
        <w:rPr>
          <w:rFonts w:ascii="Times New Roman" w:hAnsi="Times New Roman" w:cs="Times New Roman"/>
          <w:sz w:val="24"/>
          <w:lang w:val="en"/>
        </w:rPr>
        <w:t xml:space="preserve"> the changes to this Instrument.</w:t>
      </w:r>
      <w:r w:rsidR="007852A6">
        <w:rPr>
          <w:rFonts w:ascii="Times New Roman" w:hAnsi="Times New Roman" w:cs="Times New Roman"/>
          <w:sz w:val="24"/>
          <w:lang w:val="en"/>
        </w:rPr>
        <w:t xml:space="preserve"> </w:t>
      </w:r>
    </w:p>
    <w:p w14:paraId="59EF6C0F" w14:textId="33ED05C1" w:rsidR="008B01F6" w:rsidRPr="004718E3" w:rsidRDefault="007852A6" w:rsidP="008B01F6">
      <w:pPr>
        <w:shd w:val="clear" w:color="auto" w:fill="FFFFFF"/>
        <w:spacing w:before="280" w:after="100" w:afterAutospacing="1" w:line="276" w:lineRule="auto"/>
        <w:rPr>
          <w:rFonts w:ascii="Times New Roman" w:hAnsi="Times New Roman" w:cs="Times New Roman"/>
          <w:sz w:val="24"/>
          <w:lang w:val="en"/>
        </w:rPr>
      </w:pPr>
      <w:r>
        <w:rPr>
          <w:rFonts w:ascii="Times New Roman" w:hAnsi="Times New Roman" w:cs="Times New Roman"/>
          <w:sz w:val="24"/>
          <w:lang w:val="en"/>
        </w:rPr>
        <w:t xml:space="preserve"> </w:t>
      </w:r>
      <w:r w:rsidR="008B01F6" w:rsidRPr="004718E3">
        <w:rPr>
          <w:rFonts w:ascii="Times New Roman" w:hAnsi="Times New Roman" w:cs="Times New Roman"/>
          <w:sz w:val="24"/>
          <w:lang w:val="en"/>
        </w:rPr>
        <w:t xml:space="preserve"> </w:t>
      </w:r>
    </w:p>
    <w:p w14:paraId="1E892A79" w14:textId="77777777" w:rsidR="008B01F6" w:rsidRPr="004718E3" w:rsidRDefault="008B01F6" w:rsidP="005F34C2">
      <w:pPr>
        <w:shd w:val="clear" w:color="auto" w:fill="FFFFFF"/>
        <w:spacing w:before="280" w:after="100" w:afterAutospacing="1" w:line="276" w:lineRule="auto"/>
        <w:rPr>
          <w:rFonts w:ascii="Times New Roman" w:hAnsi="Times New Roman" w:cs="Times New Roman"/>
          <w:sz w:val="24"/>
        </w:rPr>
      </w:pPr>
    </w:p>
    <w:p w14:paraId="0D0CAF88" w14:textId="77777777" w:rsidR="00ED6ADD" w:rsidRPr="004718E3" w:rsidRDefault="00ED6ADD" w:rsidP="00ED6ADD">
      <w:pPr>
        <w:pStyle w:val="Default"/>
        <w:spacing w:before="240"/>
        <w:jc w:val="both"/>
      </w:pPr>
    </w:p>
    <w:p w14:paraId="490B43E7" w14:textId="77777777" w:rsidR="006C0EB6" w:rsidRPr="00356E11" w:rsidRDefault="006C0EB6">
      <w:pPr>
        <w:spacing w:after="0"/>
      </w:pPr>
      <w:r w:rsidRPr="00356E11">
        <w:br w:type="page"/>
      </w:r>
    </w:p>
    <w:p w14:paraId="0C1F9D1B" w14:textId="6F3B934A" w:rsidR="00ED6ADD" w:rsidRPr="004718E3" w:rsidRDefault="004718E3" w:rsidP="00894059">
      <w:pPr>
        <w:jc w:val="right"/>
        <w:rPr>
          <w:rFonts w:ascii="Times New Roman" w:hAnsi="Times New Roman" w:cs="Times New Roman"/>
          <w:sz w:val="24"/>
          <w:u w:val="single"/>
        </w:rPr>
      </w:pPr>
      <w:r w:rsidRPr="004718E3">
        <w:rPr>
          <w:rFonts w:ascii="Times New Roman" w:hAnsi="Times New Roman" w:cs="Times New Roman"/>
          <w:b/>
          <w:sz w:val="24"/>
          <w:u w:val="single"/>
        </w:rPr>
        <w:lastRenderedPageBreak/>
        <w:t>ATTACHMENT A</w:t>
      </w:r>
      <w:r w:rsidR="00087D6C">
        <w:rPr>
          <w:rFonts w:ascii="Times New Roman" w:hAnsi="Times New Roman" w:cs="Times New Roman"/>
          <w:b/>
          <w:sz w:val="24"/>
          <w:u w:val="single"/>
        </w:rPr>
        <w:br/>
      </w:r>
    </w:p>
    <w:p w14:paraId="33DAC54A" w14:textId="6C1CBC9B" w:rsidR="00ED6ADD" w:rsidRPr="004718E3" w:rsidRDefault="007A55F3" w:rsidP="00ED6ADD">
      <w:pPr>
        <w:pStyle w:val="Heading1"/>
        <w:rPr>
          <w:rFonts w:ascii="Times New Roman" w:hAnsi="Times New Roman" w:cs="Times New Roman"/>
          <w:color w:val="auto"/>
          <w:kern w:val="0"/>
          <w:sz w:val="24"/>
        </w:rPr>
      </w:pPr>
      <w:r w:rsidRPr="004718E3">
        <w:rPr>
          <w:rFonts w:ascii="Times New Roman" w:hAnsi="Times New Roman" w:cs="Times New Roman"/>
          <w:i/>
          <w:color w:val="auto"/>
          <w:kern w:val="0"/>
          <w:sz w:val="24"/>
        </w:rPr>
        <w:t>National Greenhouse and Energy Reporting (Auditor Registration) Instrument 201</w:t>
      </w:r>
      <w:r w:rsidR="009B660C" w:rsidRPr="004718E3">
        <w:rPr>
          <w:rFonts w:ascii="Times New Roman" w:hAnsi="Times New Roman" w:cs="Times New Roman"/>
          <w:i/>
          <w:color w:val="auto"/>
          <w:kern w:val="0"/>
          <w:sz w:val="24"/>
        </w:rPr>
        <w:t>9</w:t>
      </w:r>
    </w:p>
    <w:p w14:paraId="6ACF6F5D" w14:textId="77777777" w:rsidR="00ED6ADD" w:rsidRPr="004718E3" w:rsidRDefault="00ED6ADD" w:rsidP="00ED6ADD">
      <w:pPr>
        <w:pStyle w:val="Heading6"/>
        <w:rPr>
          <w:rFonts w:ascii="Times New Roman" w:hAnsi="Times New Roman"/>
          <w:b w:val="0"/>
          <w:sz w:val="24"/>
          <w:szCs w:val="24"/>
          <w:u w:val="single"/>
        </w:rPr>
      </w:pPr>
      <w:r w:rsidRPr="004718E3">
        <w:rPr>
          <w:rFonts w:ascii="Times New Roman" w:hAnsi="Times New Roman"/>
          <w:b w:val="0"/>
          <w:sz w:val="24"/>
          <w:szCs w:val="24"/>
          <w:u w:val="single"/>
        </w:rPr>
        <w:t>Section 1 Name of Instrument</w:t>
      </w:r>
    </w:p>
    <w:p w14:paraId="32F02791" w14:textId="67B6434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This section provides that the name of the Instrument is the </w:t>
      </w:r>
      <w:r w:rsidRPr="004718E3">
        <w:rPr>
          <w:rFonts w:ascii="Times New Roman" w:hAnsi="Times New Roman" w:cs="Times New Roman"/>
          <w:i/>
          <w:sz w:val="24"/>
        </w:rPr>
        <w:t>National Greenhouse and Energy Reporting (Auditor Registration) Instrument 201</w:t>
      </w:r>
      <w:r w:rsidR="009B660C" w:rsidRPr="004718E3">
        <w:rPr>
          <w:rFonts w:ascii="Times New Roman" w:hAnsi="Times New Roman" w:cs="Times New Roman"/>
          <w:i/>
          <w:sz w:val="24"/>
        </w:rPr>
        <w:t>9</w:t>
      </w:r>
      <w:r w:rsidR="00770D0D" w:rsidRPr="004718E3">
        <w:rPr>
          <w:rFonts w:ascii="Times New Roman" w:hAnsi="Times New Roman" w:cs="Times New Roman"/>
          <w:i/>
          <w:sz w:val="24"/>
        </w:rPr>
        <w:t xml:space="preserve"> </w:t>
      </w:r>
      <w:r w:rsidR="00770D0D" w:rsidRPr="004718E3">
        <w:rPr>
          <w:rFonts w:ascii="Times New Roman" w:hAnsi="Times New Roman" w:cs="Times New Roman"/>
          <w:sz w:val="24"/>
        </w:rPr>
        <w:t>(the Instrument)</w:t>
      </w:r>
      <w:r w:rsidRPr="004718E3">
        <w:rPr>
          <w:rFonts w:ascii="Times New Roman" w:hAnsi="Times New Roman" w:cs="Times New Roman"/>
          <w:sz w:val="24"/>
        </w:rPr>
        <w:t>.</w:t>
      </w:r>
    </w:p>
    <w:p w14:paraId="422AA4FE" w14:textId="77777777" w:rsidR="00ED6ADD" w:rsidRPr="004718E3" w:rsidRDefault="00ED6ADD" w:rsidP="00ED6ADD">
      <w:pPr>
        <w:pStyle w:val="Heading6"/>
        <w:rPr>
          <w:rFonts w:ascii="Times New Roman" w:hAnsi="Times New Roman"/>
          <w:b w:val="0"/>
          <w:sz w:val="24"/>
          <w:szCs w:val="24"/>
          <w:u w:val="single"/>
        </w:rPr>
      </w:pPr>
      <w:r w:rsidRPr="004718E3">
        <w:rPr>
          <w:rFonts w:ascii="Times New Roman" w:hAnsi="Times New Roman"/>
          <w:b w:val="0"/>
          <w:sz w:val="24"/>
          <w:szCs w:val="24"/>
          <w:u w:val="single"/>
        </w:rPr>
        <w:t>Section 2 Commencement</w:t>
      </w:r>
    </w:p>
    <w:p w14:paraId="79086A67" w14:textId="58040D2D"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This section provides that the Instrument commences the day after it is registered on</w:t>
      </w:r>
      <w:r w:rsidR="00DF397E" w:rsidRPr="004718E3">
        <w:rPr>
          <w:rFonts w:ascii="Times New Roman" w:hAnsi="Times New Roman" w:cs="Times New Roman"/>
          <w:sz w:val="24"/>
        </w:rPr>
        <w:t xml:space="preserve"> the Federal Register of Legislation</w:t>
      </w:r>
      <w:r w:rsidRPr="004718E3">
        <w:rPr>
          <w:rFonts w:ascii="Times New Roman" w:hAnsi="Times New Roman" w:cs="Times New Roman"/>
          <w:sz w:val="24"/>
        </w:rPr>
        <w:t>.</w:t>
      </w:r>
    </w:p>
    <w:p w14:paraId="52E6F238" w14:textId="77777777" w:rsidR="00ED6ADD" w:rsidRPr="004718E3" w:rsidRDefault="00ED6ADD" w:rsidP="00ED6ADD">
      <w:pPr>
        <w:pStyle w:val="Heading6"/>
        <w:rPr>
          <w:rFonts w:ascii="Times New Roman" w:hAnsi="Times New Roman"/>
          <w:b w:val="0"/>
          <w:sz w:val="24"/>
          <w:szCs w:val="24"/>
          <w:u w:val="single"/>
        </w:rPr>
      </w:pPr>
      <w:r w:rsidRPr="004718E3">
        <w:rPr>
          <w:rFonts w:ascii="Times New Roman" w:hAnsi="Times New Roman"/>
          <w:b w:val="0"/>
          <w:sz w:val="24"/>
          <w:szCs w:val="24"/>
          <w:u w:val="single"/>
        </w:rPr>
        <w:t>Section 3 Revocation</w:t>
      </w:r>
    </w:p>
    <w:p w14:paraId="00E7317A" w14:textId="69323DD5"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This section revokes the </w:t>
      </w:r>
      <w:r w:rsidRPr="004718E3">
        <w:rPr>
          <w:rFonts w:ascii="Times New Roman" w:hAnsi="Times New Roman" w:cs="Times New Roman"/>
          <w:i/>
          <w:sz w:val="24"/>
        </w:rPr>
        <w:t>National Greenhouse and Energy Reporting (Auditor Registration) Instrument 201</w:t>
      </w:r>
      <w:r w:rsidR="009B660C" w:rsidRPr="004718E3">
        <w:rPr>
          <w:rFonts w:ascii="Times New Roman" w:hAnsi="Times New Roman" w:cs="Times New Roman"/>
          <w:i/>
          <w:sz w:val="24"/>
        </w:rPr>
        <w:t>8</w:t>
      </w:r>
      <w:r w:rsidR="00620D22" w:rsidRPr="004718E3">
        <w:rPr>
          <w:rFonts w:ascii="Times New Roman" w:hAnsi="Times New Roman" w:cs="Times New Roman"/>
          <w:sz w:val="24"/>
        </w:rPr>
        <w:t xml:space="preserve">) </w:t>
      </w:r>
      <w:r w:rsidRPr="004718E3">
        <w:rPr>
          <w:rFonts w:ascii="Times New Roman" w:hAnsi="Times New Roman" w:cs="Times New Roman"/>
          <w:sz w:val="24"/>
        </w:rPr>
        <w:t>(the 201</w:t>
      </w:r>
      <w:r w:rsidR="009B660C" w:rsidRPr="004718E3">
        <w:rPr>
          <w:rFonts w:ascii="Times New Roman" w:hAnsi="Times New Roman" w:cs="Times New Roman"/>
          <w:sz w:val="24"/>
        </w:rPr>
        <w:t>8</w:t>
      </w:r>
      <w:r w:rsidRPr="004718E3">
        <w:rPr>
          <w:rFonts w:ascii="Times New Roman" w:hAnsi="Times New Roman" w:cs="Times New Roman"/>
          <w:sz w:val="24"/>
        </w:rPr>
        <w:t xml:space="preserve"> Instrument). </w:t>
      </w:r>
    </w:p>
    <w:p w14:paraId="4061D4B6" w14:textId="77777777" w:rsidR="00ED6ADD" w:rsidRPr="004718E3" w:rsidRDefault="00ED6ADD" w:rsidP="00ED6ADD">
      <w:pPr>
        <w:pStyle w:val="Heading6"/>
        <w:rPr>
          <w:rFonts w:ascii="Times New Roman" w:hAnsi="Times New Roman"/>
          <w:b w:val="0"/>
          <w:sz w:val="24"/>
          <w:szCs w:val="24"/>
          <w:u w:val="single"/>
        </w:rPr>
      </w:pPr>
      <w:r w:rsidRPr="004718E3">
        <w:rPr>
          <w:rFonts w:ascii="Times New Roman" w:hAnsi="Times New Roman"/>
          <w:b w:val="0"/>
          <w:sz w:val="24"/>
          <w:szCs w:val="24"/>
          <w:u w:val="single"/>
        </w:rPr>
        <w:t>Section 4 Definitions</w:t>
      </w:r>
    </w:p>
    <w:p w14:paraId="042A1739" w14:textId="13E72534" w:rsidR="00ED6ADD"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A number of the definitions incorporate by reference other documents. The documents </w:t>
      </w:r>
      <w:r w:rsidR="007B012A" w:rsidRPr="004718E3">
        <w:rPr>
          <w:rFonts w:ascii="Times New Roman" w:hAnsi="Times New Roman" w:cs="Times New Roman"/>
          <w:sz w:val="24"/>
        </w:rPr>
        <w:t>set out below are incorporated as in force at the date of commencement of this Instrument</w:t>
      </w:r>
      <w:r w:rsidR="00927D71">
        <w:rPr>
          <w:rFonts w:ascii="Times New Roman" w:hAnsi="Times New Roman" w:cs="Times New Roman"/>
          <w:sz w:val="24"/>
        </w:rPr>
        <w:t>.</w:t>
      </w:r>
    </w:p>
    <w:p w14:paraId="32695CF4" w14:textId="11EAB71B" w:rsidR="006E7D9E" w:rsidRDefault="006E7D9E">
      <w:pPr>
        <w:pStyle w:val="definition"/>
        <w:spacing w:before="240"/>
        <w:ind w:left="0"/>
      </w:pPr>
      <w:r>
        <w:t xml:space="preserve">In addition to the modes of access mentioned for each </w:t>
      </w:r>
      <w:r w:rsidR="001A5B08">
        <w:t>inco</w:t>
      </w:r>
      <w:r w:rsidR="00650C8A">
        <w:t xml:space="preserve">rporated document in the below list </w:t>
      </w:r>
      <w:r w:rsidR="001A5B08">
        <w:t>(other than the University Handbook)</w:t>
      </w:r>
      <w:r w:rsidR="00650C8A">
        <w:t>,</w:t>
      </w:r>
      <w:r>
        <w:t xml:space="preserve"> t</w:t>
      </w:r>
      <w:r w:rsidR="00AF374E" w:rsidRPr="004718E3">
        <w:t xml:space="preserve">he Regulator will provide access to </w:t>
      </w:r>
      <w:r>
        <w:t xml:space="preserve">any of </w:t>
      </w:r>
      <w:r w:rsidR="00AF374E" w:rsidRPr="004718E3">
        <w:t xml:space="preserve">these </w:t>
      </w:r>
      <w:r w:rsidR="001A5B08">
        <w:t>documents</w:t>
      </w:r>
      <w:r w:rsidR="00AF374E" w:rsidRPr="004718E3">
        <w:t xml:space="preserve"> to members of the public who are affected by, or have a genuine interest, and need to access the relevant </w:t>
      </w:r>
      <w:r w:rsidR="001A5B08">
        <w:t>documents</w:t>
      </w:r>
      <w:r w:rsidR="00AF374E" w:rsidRPr="004718E3">
        <w:t xml:space="preserve"> to understand the operation of the Instrument and who would not otherwise have free access to the </w:t>
      </w:r>
      <w:r w:rsidR="001A5B08">
        <w:t>documents</w:t>
      </w:r>
      <w:r w:rsidR="00AF374E" w:rsidRPr="004718E3">
        <w:t xml:space="preserve">. </w:t>
      </w:r>
    </w:p>
    <w:p w14:paraId="139CED96" w14:textId="71680756" w:rsidR="006E7D9E" w:rsidRDefault="00AF374E" w:rsidP="00FF5D77">
      <w:pPr>
        <w:pStyle w:val="definition"/>
        <w:keepLines/>
        <w:spacing w:before="240"/>
        <w:ind w:left="0"/>
      </w:pPr>
      <w:r w:rsidRPr="004718E3">
        <w:t xml:space="preserve">The Regulator expects that auditors would not require access to the </w:t>
      </w:r>
      <w:r w:rsidR="001A5B08">
        <w:t>documents</w:t>
      </w:r>
      <w:r w:rsidRPr="004718E3">
        <w:t xml:space="preserve"> through the Regulator to undertake their day-to-day business activities. Therefore, the Regulator does not intend to provide these </w:t>
      </w:r>
      <w:r w:rsidR="001A5B08">
        <w:t>documents</w:t>
      </w:r>
      <w:r w:rsidRPr="004718E3">
        <w:t xml:space="preserve"> to industry participants at no cost. To do so could affect the commercially valuable intellectual property and financial viability of </w:t>
      </w:r>
      <w:r w:rsidR="001A5B08">
        <w:t>the documents</w:t>
      </w:r>
      <w:r w:rsidRPr="004718E3">
        <w:t>.</w:t>
      </w:r>
    </w:p>
    <w:p w14:paraId="17D74567" w14:textId="6128718E" w:rsidR="006E7D9E" w:rsidRPr="004718E3" w:rsidRDefault="006E7D9E" w:rsidP="006E7D9E">
      <w:pPr>
        <w:pStyle w:val="definition"/>
        <w:spacing w:before="240"/>
        <w:ind w:left="0"/>
      </w:pPr>
      <w:r w:rsidRPr="004718E3">
        <w:t xml:space="preserve">The Regulator expects that all auditors who will use the Instrument will already have access to relevant Standards as part of their professional qualification and professional development. Further: </w:t>
      </w:r>
    </w:p>
    <w:p w14:paraId="388E4880" w14:textId="20BBAA83" w:rsidR="006E7D9E" w:rsidRDefault="006E7D9E">
      <w:pPr>
        <w:pStyle w:val="definition"/>
        <w:numPr>
          <w:ilvl w:val="0"/>
          <w:numId w:val="33"/>
        </w:numPr>
        <w:spacing w:before="240"/>
        <w:rPr>
          <w:color w:val="000000"/>
        </w:rPr>
      </w:pPr>
      <w:r w:rsidRPr="004718E3">
        <w:rPr>
          <w:color w:val="000000"/>
        </w:rPr>
        <w:t xml:space="preserve">there have been no complaints made to the Regulator about the cost of obtaining those incorporated documents during the lifetime of the 2010, 2012, 2016, 2017 </w:t>
      </w:r>
      <w:r>
        <w:rPr>
          <w:color w:val="000000"/>
        </w:rPr>
        <w:t>(</w:t>
      </w:r>
      <w:r w:rsidRPr="004718E3">
        <w:rPr>
          <w:color w:val="000000"/>
        </w:rPr>
        <w:t>No. 1</w:t>
      </w:r>
      <w:r>
        <w:rPr>
          <w:color w:val="000000"/>
        </w:rPr>
        <w:t>)</w:t>
      </w:r>
      <w:r w:rsidRPr="004718E3">
        <w:rPr>
          <w:color w:val="000000"/>
        </w:rPr>
        <w:t>, 2017</w:t>
      </w:r>
      <w:r>
        <w:rPr>
          <w:color w:val="000000"/>
        </w:rPr>
        <w:t xml:space="preserve"> (No. </w:t>
      </w:r>
      <w:r w:rsidRPr="004718E3">
        <w:rPr>
          <w:color w:val="000000"/>
        </w:rPr>
        <w:t>2</w:t>
      </w:r>
      <w:r>
        <w:rPr>
          <w:color w:val="000000"/>
        </w:rPr>
        <w:t>)</w:t>
      </w:r>
      <w:r w:rsidRPr="004718E3">
        <w:rPr>
          <w:color w:val="000000"/>
        </w:rPr>
        <w:t xml:space="preserve"> and 2018 Instruments; and</w:t>
      </w:r>
    </w:p>
    <w:p w14:paraId="4EB8E504" w14:textId="4ECE7D58" w:rsidR="00650C8A" w:rsidRDefault="00650C8A" w:rsidP="00650C8A">
      <w:pPr>
        <w:pStyle w:val="definition"/>
        <w:numPr>
          <w:ilvl w:val="0"/>
          <w:numId w:val="33"/>
        </w:numPr>
        <w:spacing w:before="240"/>
        <w:rPr>
          <w:color w:val="000000"/>
        </w:rPr>
      </w:pPr>
      <w:r>
        <w:rPr>
          <w:color w:val="000000"/>
        </w:rPr>
        <w:t>no feedback has been received about an additional burden or cost of obtaining Audit Standards through the multiple rounds of public consultation conducted with the industry since 2010.</w:t>
      </w:r>
    </w:p>
    <w:p w14:paraId="73886B81" w14:textId="31F35413" w:rsidR="00BD0B5A" w:rsidRDefault="0092796D" w:rsidP="0092796D">
      <w:pPr>
        <w:pStyle w:val="definition"/>
        <w:spacing w:before="240"/>
        <w:ind w:left="0"/>
      </w:pPr>
      <w:r>
        <w:rPr>
          <w:i/>
        </w:rPr>
        <w:t>Standards</w:t>
      </w:r>
    </w:p>
    <w:p w14:paraId="5DC9A120" w14:textId="3E1C47CF" w:rsidR="00ED6ADD" w:rsidRPr="004718E3" w:rsidRDefault="00ED6ADD" w:rsidP="00FF5D77">
      <w:pPr>
        <w:pStyle w:val="definition"/>
        <w:keepLines/>
        <w:numPr>
          <w:ilvl w:val="0"/>
          <w:numId w:val="36"/>
        </w:numPr>
        <w:spacing w:before="240"/>
        <w:rPr>
          <w:color w:val="000000"/>
        </w:rPr>
      </w:pPr>
      <w:r w:rsidRPr="004718E3">
        <w:rPr>
          <w:color w:val="000000"/>
        </w:rPr>
        <w:t xml:space="preserve">Standard on Assurance Engagements ASAE 3000 </w:t>
      </w:r>
      <w:r w:rsidRPr="004718E3">
        <w:rPr>
          <w:i/>
          <w:color w:val="000000"/>
        </w:rPr>
        <w:t xml:space="preserve">Assurance Engagements Other than Audits or Reviews of Historical Financial Information, </w:t>
      </w:r>
      <w:r w:rsidRPr="004718E3">
        <w:rPr>
          <w:color w:val="000000"/>
        </w:rPr>
        <w:t xml:space="preserve">issued by the Auditing and Assurance Standards Board, dated </w:t>
      </w:r>
      <w:r w:rsidR="00DD23AB" w:rsidRPr="004718E3">
        <w:rPr>
          <w:color w:val="000000"/>
        </w:rPr>
        <w:t>30 May 2017</w:t>
      </w:r>
      <w:r w:rsidRPr="004718E3">
        <w:rPr>
          <w:color w:val="000000"/>
        </w:rPr>
        <w:t>. The standard establishes requirements for undertaking and reporting on assurance engagements other than audits or reviews of historical financial information covered by Australian Auditing Standards or Standards on Review Engagements. At the time the Instrument was made the standard was available free of charge at</w:t>
      </w:r>
      <w:r w:rsidRPr="004718E3">
        <w:t xml:space="preserve"> </w:t>
      </w:r>
      <w:hyperlink r:id="rId7" w:history="1">
        <w:r w:rsidRPr="004718E3">
          <w:rPr>
            <w:rStyle w:val="Hyperlink"/>
            <w:rFonts w:ascii="Times New Roman" w:hAnsi="Times New Roman"/>
            <w:sz w:val="24"/>
          </w:rPr>
          <w:t>http://www.auasb.gov.au/Pronouncements/Standards-on-Assurance-Engagements.aspx</w:t>
        </w:r>
      </w:hyperlink>
      <w:r w:rsidRPr="004718E3">
        <w:t xml:space="preserve">. </w:t>
      </w:r>
    </w:p>
    <w:p w14:paraId="1B37240A" w14:textId="77777777" w:rsidR="00ED6ADD" w:rsidRPr="004718E3" w:rsidRDefault="00ED6ADD" w:rsidP="00ED6ADD">
      <w:pPr>
        <w:pStyle w:val="definition"/>
        <w:keepLines/>
        <w:numPr>
          <w:ilvl w:val="0"/>
          <w:numId w:val="33"/>
        </w:numPr>
        <w:spacing w:before="240"/>
        <w:rPr>
          <w:color w:val="000000"/>
        </w:rPr>
      </w:pPr>
      <w:r w:rsidRPr="004718E3">
        <w:rPr>
          <w:color w:val="000000"/>
        </w:rPr>
        <w:lastRenderedPageBreak/>
        <w:t xml:space="preserve">Standard on Assurance Engagements ASAE 3100 </w:t>
      </w:r>
      <w:r w:rsidRPr="004718E3">
        <w:rPr>
          <w:i/>
          <w:color w:val="000000"/>
        </w:rPr>
        <w:t>Compliance Engagements</w:t>
      </w:r>
      <w:r w:rsidRPr="004718E3">
        <w:rPr>
          <w:color w:val="000000"/>
        </w:rPr>
        <w:t>, issued by the Auditing and Assurance Standards Board, dated 21 February 2017. This standard establishes requirements for the conduct of and reporting on assurance en</w:t>
      </w:r>
      <w:r w:rsidR="00620D22" w:rsidRPr="004718E3">
        <w:rPr>
          <w:color w:val="000000"/>
        </w:rPr>
        <w:t>g</w:t>
      </w:r>
      <w:r w:rsidRPr="004718E3">
        <w:rPr>
          <w:color w:val="000000"/>
        </w:rPr>
        <w:t xml:space="preserve">agements on compliance. At the time the Instrument was made the standard was available free of charge at </w:t>
      </w:r>
      <w:hyperlink r:id="rId8" w:history="1">
        <w:r w:rsidRPr="004718E3">
          <w:rPr>
            <w:rStyle w:val="Hyperlink"/>
            <w:rFonts w:ascii="Times New Roman" w:hAnsi="Times New Roman"/>
            <w:sz w:val="24"/>
          </w:rPr>
          <w:t>http://www.auasb.gov.au/Pronouncements/Standards-on-Assurance-Engagements.aspx</w:t>
        </w:r>
      </w:hyperlink>
      <w:r w:rsidRPr="004718E3">
        <w:t>.</w:t>
      </w:r>
    </w:p>
    <w:p w14:paraId="2D6E5E30" w14:textId="5402F5A4" w:rsidR="00ED6ADD" w:rsidRPr="004718E3" w:rsidRDefault="00ED6ADD" w:rsidP="001C5BF3">
      <w:pPr>
        <w:pStyle w:val="definition"/>
        <w:keepLines/>
        <w:numPr>
          <w:ilvl w:val="0"/>
          <w:numId w:val="33"/>
        </w:numPr>
        <w:spacing w:before="240" w:line="240" w:lineRule="auto"/>
        <w:rPr>
          <w:i/>
          <w:iCs/>
          <w:color w:val="000000"/>
        </w:rPr>
      </w:pPr>
      <w:r w:rsidRPr="004718E3">
        <w:t xml:space="preserve">Standard on Assurance Engagements ASAE 3410 </w:t>
      </w:r>
      <w:r w:rsidRPr="004718E3">
        <w:rPr>
          <w:i/>
          <w:color w:val="000000"/>
        </w:rPr>
        <w:t>Assurance Engagements on Greenhouse Gas Statements</w:t>
      </w:r>
      <w:r w:rsidRPr="004718E3">
        <w:t xml:space="preserve">, issued by the </w:t>
      </w:r>
      <w:r w:rsidRPr="004718E3">
        <w:rPr>
          <w:color w:val="000000"/>
        </w:rPr>
        <w:t xml:space="preserve">Auditing and Assurance Standards Board, reissued </w:t>
      </w:r>
      <w:r w:rsidR="00BC0DC9" w:rsidRPr="004718E3">
        <w:rPr>
          <w:color w:val="000000"/>
        </w:rPr>
        <w:t>30 May 2017</w:t>
      </w:r>
      <w:r w:rsidRPr="004718E3">
        <w:rPr>
          <w:color w:val="000000"/>
        </w:rPr>
        <w:t xml:space="preserve">. This standard establishes requirements regarding the assurance practitioner’s responsibilities when accepting, conducting and reporting on an engagement to provide reasonable or limited assurance on a greenhouse gas statement. At the time the Instrument was made, the standard was available free of charge at </w:t>
      </w:r>
      <w:hyperlink r:id="rId9" w:history="1">
        <w:r w:rsidRPr="004718E3">
          <w:rPr>
            <w:rStyle w:val="Hyperlink"/>
            <w:rFonts w:ascii="Times New Roman" w:hAnsi="Times New Roman"/>
            <w:sz w:val="24"/>
          </w:rPr>
          <w:t>http://www.auasb.gov.au/Pronouncements/Standards-on-Assurance-Engagements.aspx</w:t>
        </w:r>
      </w:hyperlink>
      <w:r w:rsidRPr="004718E3">
        <w:t>.</w:t>
      </w:r>
    </w:p>
    <w:p w14:paraId="7702B509" w14:textId="0B5FFB28" w:rsidR="00E751CA" w:rsidRPr="004718E3" w:rsidRDefault="00E751CA" w:rsidP="00E751CA">
      <w:pPr>
        <w:pStyle w:val="definition"/>
        <w:numPr>
          <w:ilvl w:val="0"/>
          <w:numId w:val="33"/>
        </w:numPr>
        <w:spacing w:before="240"/>
        <w:rPr>
          <w:color w:val="000000"/>
        </w:rPr>
      </w:pPr>
      <w:r w:rsidRPr="004718E3">
        <w:rPr>
          <w:color w:val="000000"/>
        </w:rPr>
        <w:t>Standard on Related Services ASRS 4400,</w:t>
      </w:r>
      <w:r w:rsidRPr="004718E3">
        <w:rPr>
          <w:i/>
          <w:color w:val="000000"/>
        </w:rPr>
        <w:t xml:space="preserve"> Agreed-Upon Procedures Engagements to Report Factual Findings</w:t>
      </w:r>
      <w:r w:rsidRPr="004718E3">
        <w:rPr>
          <w:color w:val="000000"/>
        </w:rPr>
        <w:t>, approved by the Auditing and Assurance Standards Board and operative from 1 July 2013. At the time the Instrument was made, the standard was available free of charge</w:t>
      </w:r>
      <w:r w:rsidR="00D410FE">
        <w:rPr>
          <w:color w:val="000000"/>
        </w:rPr>
        <w:t xml:space="preserve"> at</w:t>
      </w:r>
      <w:r w:rsidRPr="004718E3">
        <w:rPr>
          <w:color w:val="000000"/>
        </w:rPr>
        <w:t xml:space="preserve"> </w:t>
      </w:r>
      <w:hyperlink r:id="rId10" w:history="1">
        <w:r w:rsidRPr="004718E3">
          <w:rPr>
            <w:rStyle w:val="Hyperlink"/>
            <w:rFonts w:ascii="Times New Roman" w:hAnsi="Times New Roman"/>
            <w:sz w:val="24"/>
          </w:rPr>
          <w:t>http://www.auasb.gov.au/Pronouncements/Standards-on-Assurance-Engagements.aspx</w:t>
        </w:r>
      </w:hyperlink>
      <w:r w:rsidRPr="004718E3">
        <w:t>.</w:t>
      </w:r>
      <w:r w:rsidRPr="004718E3">
        <w:rPr>
          <w:color w:val="000000"/>
        </w:rPr>
        <w:t xml:space="preserve"> </w:t>
      </w:r>
    </w:p>
    <w:p w14:paraId="3D2783DD" w14:textId="77777777" w:rsidR="00E751CA" w:rsidRPr="004718E3" w:rsidRDefault="00E751CA" w:rsidP="00E751CA">
      <w:pPr>
        <w:pStyle w:val="definition"/>
        <w:keepNext/>
        <w:keepLines/>
        <w:numPr>
          <w:ilvl w:val="0"/>
          <w:numId w:val="33"/>
        </w:numPr>
        <w:spacing w:before="240"/>
      </w:pPr>
      <w:r w:rsidRPr="004718E3">
        <w:rPr>
          <w:color w:val="000000"/>
        </w:rPr>
        <w:t xml:space="preserve">International Standard on Assurance Engagements (ISAE) 3000 (revised), </w:t>
      </w:r>
      <w:r w:rsidRPr="004718E3">
        <w:rPr>
          <w:i/>
          <w:color w:val="000000"/>
        </w:rPr>
        <w:t>Assurance Engagements Other than Audits or Reviews of Historical Financial Information</w:t>
      </w:r>
      <w:r w:rsidRPr="004718E3">
        <w:rPr>
          <w:color w:val="000000"/>
        </w:rPr>
        <w:t xml:space="preserve">, set out in the </w:t>
      </w:r>
      <w:r w:rsidRPr="004718E3">
        <w:rPr>
          <w:i/>
          <w:color w:val="000000"/>
        </w:rPr>
        <w:t>Handbook of International Quality Control, Auditing, Review, Other Assurance, and Related Services Pronouncements</w:t>
      </w:r>
      <w:r w:rsidRPr="004718E3">
        <w:rPr>
          <w:color w:val="000000"/>
        </w:rPr>
        <w:t>, published by the International Federation of Accountants, October 2014, ISBN 978-1-60815-185-1.</w:t>
      </w:r>
      <w:r w:rsidRPr="004718E3">
        <w:rPr>
          <w:i/>
          <w:color w:val="000000"/>
        </w:rPr>
        <w:t xml:space="preserve"> </w:t>
      </w:r>
      <w:r w:rsidRPr="004718E3">
        <w:rPr>
          <w:color w:val="000000"/>
        </w:rPr>
        <w:t xml:space="preserve">The purpose of the standard is to establish principles and procedures for, and to provide guidance to, accountants for the performance of assurance engagements other than audits or reviews of historical financial information. The handbook is available free of charge from </w:t>
      </w:r>
      <w:hyperlink r:id="rId11" w:history="1">
        <w:r w:rsidRPr="004718E3">
          <w:rPr>
            <w:rStyle w:val="Hyperlink"/>
            <w:rFonts w:ascii="Times New Roman" w:hAnsi="Times New Roman"/>
            <w:sz w:val="24"/>
          </w:rPr>
          <w:t>https://www.ifac.org/publications-resources/2014-handbook-international-quality-control-auditing-review-other-assurance-a</w:t>
        </w:r>
      </w:hyperlink>
      <w:r w:rsidRPr="004718E3">
        <w:t xml:space="preserve">. </w:t>
      </w:r>
    </w:p>
    <w:p w14:paraId="2FFA9365" w14:textId="596C8BA3" w:rsidR="00E751CA" w:rsidRPr="004718E3" w:rsidRDefault="00E751CA" w:rsidP="00E751CA">
      <w:pPr>
        <w:pStyle w:val="definition"/>
        <w:numPr>
          <w:ilvl w:val="0"/>
          <w:numId w:val="33"/>
        </w:numPr>
        <w:spacing w:before="240"/>
        <w:rPr>
          <w:color w:val="000000"/>
        </w:rPr>
      </w:pPr>
      <w:r w:rsidRPr="004718E3">
        <w:rPr>
          <w:color w:val="000000"/>
        </w:rPr>
        <w:t xml:space="preserve">International Standard on Assurance Engagements 3410, </w:t>
      </w:r>
      <w:r w:rsidRPr="004718E3">
        <w:rPr>
          <w:i/>
          <w:color w:val="000000"/>
        </w:rPr>
        <w:t>Assurance Engagements on Greenhouse Gas Statements</w:t>
      </w:r>
      <w:r w:rsidRPr="004718E3">
        <w:rPr>
          <w:color w:val="000000"/>
        </w:rPr>
        <w:t>, published  by the</w:t>
      </w:r>
      <w:r w:rsidRPr="004718E3">
        <w:rPr>
          <w:i/>
          <w:color w:val="000000"/>
        </w:rPr>
        <w:t xml:space="preserve"> </w:t>
      </w:r>
      <w:r w:rsidRPr="004718E3">
        <w:rPr>
          <w:color w:val="000000"/>
        </w:rPr>
        <w:t xml:space="preserve">International Auditing and Assurance Standards Board, June 2012.  The standard provides guidance for assurance engagements to report on an entity’s greenhouse gas statement.  The standard does not deal with, or provide specific guidance for, assurance engagements to report emissions other than greenhouse gas emissions.  The standard is available free of charge at </w:t>
      </w:r>
      <w:hyperlink r:id="rId12" w:history="1">
        <w:r w:rsidRPr="004718E3">
          <w:rPr>
            <w:rStyle w:val="Hyperlink"/>
            <w:rFonts w:ascii="Times New Roman" w:hAnsi="Times New Roman"/>
            <w:sz w:val="24"/>
          </w:rPr>
          <w:t>https://www.ifac.org/publications-resources/glance-international-standard-assurance-engagements-isae-3410-assurance-engag</w:t>
        </w:r>
      </w:hyperlink>
      <w:r w:rsidRPr="004718E3">
        <w:rPr>
          <w:color w:val="000000"/>
        </w:rPr>
        <w:t>.</w:t>
      </w:r>
    </w:p>
    <w:p w14:paraId="6C06A94B" w14:textId="592AEF5D" w:rsidR="008710A1" w:rsidRDefault="00E751CA" w:rsidP="00E751CA">
      <w:pPr>
        <w:pStyle w:val="definition"/>
        <w:numPr>
          <w:ilvl w:val="0"/>
          <w:numId w:val="33"/>
        </w:numPr>
        <w:spacing w:before="240"/>
      </w:pPr>
      <w:r w:rsidRPr="004718E3">
        <w:rPr>
          <w:bCs/>
          <w:color w:val="000000" w:themeColor="text1"/>
        </w:rPr>
        <w:t xml:space="preserve">ISO/IEC 17024:2012 </w:t>
      </w:r>
      <w:r w:rsidRPr="004718E3">
        <w:rPr>
          <w:bCs/>
          <w:i/>
          <w:color w:val="000000" w:themeColor="text1"/>
        </w:rPr>
        <w:t>Conformity assessment -- General requirements for bodies operating certification of persons</w:t>
      </w:r>
      <w:r w:rsidRPr="004718E3">
        <w:rPr>
          <w:bCs/>
          <w:color w:val="000000" w:themeColor="text1"/>
        </w:rPr>
        <w:t xml:space="preserve">, published by the </w:t>
      </w:r>
      <w:r w:rsidRPr="004718E3">
        <w:rPr>
          <w:color w:val="000000"/>
        </w:rPr>
        <w:t>International Organization for Standardization, July 2012</w:t>
      </w:r>
      <w:r w:rsidRPr="004718E3">
        <w:rPr>
          <w:bCs/>
          <w:color w:val="000000" w:themeColor="text1"/>
        </w:rPr>
        <w:t>. The standard specifies requirements for those bodies operating the certification of persons. The standard is available for purchase from</w:t>
      </w:r>
      <w:r w:rsidRPr="004718E3">
        <w:t xml:space="preserve"> </w:t>
      </w:r>
      <w:hyperlink r:id="rId13" w:history="1">
        <w:r w:rsidRPr="004718E3">
          <w:rPr>
            <w:rStyle w:val="Hyperlink"/>
            <w:rFonts w:ascii="Times New Roman" w:hAnsi="Times New Roman"/>
            <w:sz w:val="24"/>
          </w:rPr>
          <w:t>http://www.iso.org/iso/home.htm</w:t>
        </w:r>
      </w:hyperlink>
      <w:r w:rsidRPr="004718E3">
        <w:t>.</w:t>
      </w:r>
    </w:p>
    <w:p w14:paraId="4CB20ADF" w14:textId="50126056" w:rsidR="00E751CA" w:rsidRPr="00DD1584" w:rsidRDefault="00E751CA" w:rsidP="00E751CA">
      <w:pPr>
        <w:pStyle w:val="definition"/>
        <w:numPr>
          <w:ilvl w:val="0"/>
          <w:numId w:val="33"/>
        </w:numPr>
        <w:spacing w:before="240"/>
      </w:pPr>
      <w:r w:rsidRPr="00DD1584">
        <w:t xml:space="preserve">The National Carbon Offset Standard is a standard for making carbon neutral claims, published by the Department of Environment and Energy on 1 November 2017. It is available free of charge at </w:t>
      </w:r>
      <w:hyperlink r:id="rId14" w:history="1">
        <w:r w:rsidRPr="00DD1584">
          <w:rPr>
            <w:rStyle w:val="Hyperlink"/>
            <w:rFonts w:ascii="Times New Roman" w:hAnsi="Times New Roman"/>
            <w:sz w:val="24"/>
          </w:rPr>
          <w:t>http://www.environment.gov.au/climate-change/government/carbon-neutral/ncos</w:t>
        </w:r>
      </w:hyperlink>
      <w:r w:rsidRPr="00DD1584">
        <w:t>.</w:t>
      </w:r>
    </w:p>
    <w:p w14:paraId="7E202702" w14:textId="7869D5C5" w:rsidR="00ED6ADD" w:rsidRPr="004718E3" w:rsidRDefault="00ED6ADD" w:rsidP="00ED6ADD">
      <w:pPr>
        <w:pStyle w:val="definition"/>
        <w:keepLines/>
        <w:numPr>
          <w:ilvl w:val="0"/>
          <w:numId w:val="33"/>
        </w:numPr>
        <w:spacing w:before="240"/>
        <w:rPr>
          <w:b/>
          <w:i/>
          <w:color w:val="000000"/>
        </w:rPr>
      </w:pPr>
      <w:r w:rsidRPr="004718E3">
        <w:rPr>
          <w:color w:val="000000"/>
        </w:rPr>
        <w:t xml:space="preserve">AS ISO 14064.3–2006, </w:t>
      </w:r>
      <w:r w:rsidRPr="004718E3">
        <w:rPr>
          <w:i/>
          <w:iCs/>
          <w:color w:val="000000"/>
        </w:rPr>
        <w:t>Greenhouse gases Part 3: Specification with guidance</w:t>
      </w:r>
      <w:r w:rsidR="00CB165F" w:rsidRPr="004718E3">
        <w:rPr>
          <w:i/>
          <w:iCs/>
          <w:color w:val="000000"/>
        </w:rPr>
        <w:t xml:space="preserve"> for the validation and verification of greenhouse gas assertions</w:t>
      </w:r>
      <w:r w:rsidRPr="004718E3">
        <w:rPr>
          <w:color w:val="000000"/>
        </w:rPr>
        <w:t xml:space="preserve">, published by Standards Australia, November 2006. This standard provides a common approach to verification, validation and certification of greenhouse reductions and removals. The standard is available for purchase from </w:t>
      </w:r>
      <w:hyperlink r:id="rId15" w:history="1">
        <w:r w:rsidRPr="004718E3">
          <w:rPr>
            <w:rStyle w:val="Hyperlink"/>
            <w:rFonts w:ascii="Times New Roman" w:hAnsi="Times New Roman"/>
            <w:sz w:val="24"/>
          </w:rPr>
          <w:t>SAI Global</w:t>
        </w:r>
      </w:hyperlink>
      <w:r w:rsidRPr="004718E3">
        <w:rPr>
          <w:color w:val="000000"/>
        </w:rPr>
        <w:t>.</w:t>
      </w:r>
      <w:r w:rsidRPr="004718E3">
        <w:rPr>
          <w:strike/>
          <w:color w:val="000000"/>
        </w:rPr>
        <w:t xml:space="preserve"> </w:t>
      </w:r>
    </w:p>
    <w:p w14:paraId="3285742F" w14:textId="44A8E54A" w:rsidR="00ED6ADD" w:rsidRPr="004718E3" w:rsidRDefault="00ED6ADD" w:rsidP="00ED6ADD">
      <w:pPr>
        <w:pStyle w:val="definition"/>
        <w:numPr>
          <w:ilvl w:val="0"/>
          <w:numId w:val="33"/>
        </w:numPr>
        <w:spacing w:before="240"/>
        <w:rPr>
          <w:color w:val="000000"/>
        </w:rPr>
      </w:pPr>
      <w:r w:rsidRPr="004718E3">
        <w:rPr>
          <w:color w:val="000000"/>
        </w:rPr>
        <w:t xml:space="preserve">AS/NZS ISO 19011:2014, </w:t>
      </w:r>
      <w:r w:rsidRPr="004718E3">
        <w:rPr>
          <w:i/>
          <w:color w:val="000000"/>
        </w:rPr>
        <w:t xml:space="preserve">Guidelines for auditing management systems </w:t>
      </w:r>
      <w:r w:rsidRPr="004718E3">
        <w:rPr>
          <w:color w:val="000000"/>
        </w:rPr>
        <w:t xml:space="preserve">by Standards Australia International Ltd and Standards New Zealand, dated 18 August 2014. The standard provides guidance on the principles of auditing, managing audit programmes, conducting quality management systems audits and environmental management system audits. It also provides </w:t>
      </w:r>
      <w:r w:rsidRPr="004718E3">
        <w:rPr>
          <w:color w:val="000000"/>
        </w:rPr>
        <w:lastRenderedPageBreak/>
        <w:t xml:space="preserve">guidance on the competence of quality and environmental management system auditors. The standard is available for purchase from </w:t>
      </w:r>
      <w:hyperlink r:id="rId16" w:history="1">
        <w:r w:rsidRPr="004718E3">
          <w:rPr>
            <w:rStyle w:val="Hyperlink"/>
            <w:rFonts w:ascii="Times New Roman" w:hAnsi="Times New Roman"/>
            <w:sz w:val="24"/>
          </w:rPr>
          <w:t xml:space="preserve">SAI </w:t>
        </w:r>
        <w:r w:rsidR="00AF184D" w:rsidRPr="004718E3">
          <w:rPr>
            <w:rStyle w:val="Hyperlink"/>
            <w:rFonts w:ascii="Times New Roman" w:hAnsi="Times New Roman"/>
            <w:sz w:val="24"/>
          </w:rPr>
          <w:t>Global</w:t>
        </w:r>
      </w:hyperlink>
      <w:r w:rsidRPr="004718E3">
        <w:rPr>
          <w:color w:val="000000"/>
        </w:rPr>
        <w:t>.</w:t>
      </w:r>
    </w:p>
    <w:p w14:paraId="7B6A8A62" w14:textId="55214DDE" w:rsidR="00ED6ADD" w:rsidRPr="004718E3" w:rsidRDefault="00ED6ADD" w:rsidP="00ED6ADD">
      <w:pPr>
        <w:pStyle w:val="definition"/>
        <w:numPr>
          <w:ilvl w:val="0"/>
          <w:numId w:val="33"/>
        </w:numPr>
        <w:spacing w:before="240"/>
      </w:pPr>
      <w:r w:rsidRPr="004718E3">
        <w:rPr>
          <w:bCs/>
        </w:rPr>
        <w:t>ISO 14064-3:</w:t>
      </w:r>
      <w:r w:rsidR="00210A03" w:rsidRPr="004718E3">
        <w:rPr>
          <w:bCs/>
        </w:rPr>
        <w:t>2019</w:t>
      </w:r>
      <w:r w:rsidRPr="004718E3">
        <w:rPr>
          <w:bCs/>
        </w:rPr>
        <w:t xml:space="preserve"> </w:t>
      </w:r>
      <w:r w:rsidRPr="004718E3">
        <w:rPr>
          <w:bCs/>
          <w:i/>
        </w:rPr>
        <w:t>Greenhouse gases -</w:t>
      </w:r>
      <w:r w:rsidR="00D21A0F" w:rsidRPr="004718E3">
        <w:rPr>
          <w:bCs/>
          <w:i/>
        </w:rPr>
        <w:t xml:space="preserve"> </w:t>
      </w:r>
      <w:r w:rsidRPr="004718E3">
        <w:rPr>
          <w:bCs/>
          <w:i/>
        </w:rPr>
        <w:t xml:space="preserve">Part 3: Specification with guidance for the </w:t>
      </w:r>
      <w:r w:rsidR="00210A03" w:rsidRPr="004718E3">
        <w:rPr>
          <w:bCs/>
          <w:i/>
        </w:rPr>
        <w:t>verification and validation of greenhouse gas statements</w:t>
      </w:r>
      <w:r w:rsidRPr="004718E3">
        <w:rPr>
          <w:bCs/>
        </w:rPr>
        <w:t xml:space="preserve">, published by the International Organisation for Standardisation, </w:t>
      </w:r>
      <w:r w:rsidR="00210A03" w:rsidRPr="004718E3">
        <w:rPr>
          <w:bCs/>
        </w:rPr>
        <w:t>April 2019</w:t>
      </w:r>
      <w:r w:rsidRPr="004718E3">
        <w:rPr>
          <w:bCs/>
        </w:rPr>
        <w:t xml:space="preserve">. The document </w:t>
      </w:r>
      <w:r w:rsidRPr="004718E3">
        <w:t xml:space="preserve">specifies principles and requirements and provides guidance for those conducting or managing the validation and/or verification of greenhouse gas assertions. The standard is available for purchase from </w:t>
      </w:r>
      <w:hyperlink r:id="rId17" w:history="1">
        <w:r w:rsidRPr="004718E3">
          <w:rPr>
            <w:rStyle w:val="Hyperlink"/>
            <w:rFonts w:ascii="Times New Roman" w:hAnsi="Times New Roman"/>
            <w:sz w:val="24"/>
          </w:rPr>
          <w:t>http://www.iso.org/iso/home.htm</w:t>
        </w:r>
      </w:hyperlink>
      <w:r w:rsidRPr="004718E3">
        <w:t>.</w:t>
      </w:r>
    </w:p>
    <w:p w14:paraId="414BD9AC" w14:textId="49A39E75" w:rsidR="00ED6ADD" w:rsidRDefault="00ED6ADD" w:rsidP="00ED6ADD">
      <w:pPr>
        <w:pStyle w:val="definition"/>
        <w:numPr>
          <w:ilvl w:val="0"/>
          <w:numId w:val="33"/>
        </w:numPr>
        <w:spacing w:before="240"/>
      </w:pPr>
      <w:r w:rsidRPr="004718E3">
        <w:rPr>
          <w:bCs/>
          <w:color w:val="000000" w:themeColor="text1"/>
        </w:rPr>
        <w:t>ISO 19011:201</w:t>
      </w:r>
      <w:r w:rsidR="00522404" w:rsidRPr="004718E3">
        <w:rPr>
          <w:bCs/>
          <w:color w:val="000000" w:themeColor="text1"/>
        </w:rPr>
        <w:t>8</w:t>
      </w:r>
      <w:r w:rsidRPr="004718E3">
        <w:rPr>
          <w:bCs/>
          <w:color w:val="000000" w:themeColor="text1"/>
        </w:rPr>
        <w:t xml:space="preserve"> </w:t>
      </w:r>
      <w:r w:rsidRPr="004718E3">
        <w:rPr>
          <w:bCs/>
          <w:i/>
          <w:color w:val="000000" w:themeColor="text1"/>
        </w:rPr>
        <w:t xml:space="preserve">Guidelines for auditing management systems, </w:t>
      </w:r>
      <w:r w:rsidRPr="004718E3">
        <w:rPr>
          <w:bCs/>
        </w:rPr>
        <w:t xml:space="preserve">published by the International Organisation for Standardisation, </w:t>
      </w:r>
      <w:r w:rsidR="00AE4980" w:rsidRPr="004718E3">
        <w:rPr>
          <w:bCs/>
        </w:rPr>
        <w:t>July 2018</w:t>
      </w:r>
      <w:r w:rsidRPr="004718E3">
        <w:rPr>
          <w:bCs/>
          <w:color w:val="000000" w:themeColor="text1"/>
        </w:rPr>
        <w:t xml:space="preserve">. The document provides guidance on auditing management systems, including the principles of auditing, managing an audit programme and conducting management system audits. It also provides guidance on the evaluation of competence of individuals involved in the audit process, including the person managing the audit program, auditors and audit teams. </w:t>
      </w:r>
      <w:r w:rsidRPr="004718E3">
        <w:t xml:space="preserve">The standard is available for purchase from </w:t>
      </w:r>
      <w:hyperlink r:id="rId18" w:history="1">
        <w:r w:rsidRPr="004718E3">
          <w:rPr>
            <w:rStyle w:val="Hyperlink"/>
            <w:rFonts w:ascii="Times New Roman" w:hAnsi="Times New Roman"/>
            <w:sz w:val="24"/>
          </w:rPr>
          <w:t>http://www.iso.org/iso/home.htm</w:t>
        </w:r>
      </w:hyperlink>
      <w:r w:rsidRPr="004718E3">
        <w:t>.</w:t>
      </w:r>
    </w:p>
    <w:p w14:paraId="5EF6976E" w14:textId="6DCDED7B" w:rsidR="002B4837" w:rsidRDefault="000D4263" w:rsidP="002B4837">
      <w:pPr>
        <w:pStyle w:val="definition"/>
        <w:spacing w:before="240"/>
        <w:ind w:left="360"/>
      </w:pPr>
      <w:r>
        <w:rPr>
          <w:i/>
        </w:rPr>
        <w:t xml:space="preserve">University </w:t>
      </w:r>
      <w:r w:rsidR="002B4837">
        <w:rPr>
          <w:i/>
        </w:rPr>
        <w:t>Handbook</w:t>
      </w:r>
    </w:p>
    <w:p w14:paraId="3E7F8E10" w14:textId="28128A7E" w:rsidR="00E751CA" w:rsidRPr="004718E3" w:rsidRDefault="00E751CA" w:rsidP="00E751CA">
      <w:pPr>
        <w:pStyle w:val="definition"/>
        <w:numPr>
          <w:ilvl w:val="0"/>
          <w:numId w:val="33"/>
        </w:numPr>
        <w:spacing w:before="240"/>
        <w:rPr>
          <w:color w:val="000000"/>
        </w:rPr>
      </w:pPr>
      <w:r w:rsidRPr="004718E3">
        <w:rPr>
          <w:i/>
          <w:color w:val="000000"/>
        </w:rPr>
        <w:t>International Handbook of Universities</w:t>
      </w:r>
      <w:r w:rsidRPr="004718E3">
        <w:rPr>
          <w:color w:val="000000"/>
        </w:rPr>
        <w:t>,</w:t>
      </w:r>
      <w:r w:rsidRPr="004718E3">
        <w:rPr>
          <w:i/>
          <w:color w:val="000000"/>
        </w:rPr>
        <w:t xml:space="preserve"> </w:t>
      </w:r>
      <w:r w:rsidRPr="004718E3">
        <w:rPr>
          <w:color w:val="000000"/>
        </w:rPr>
        <w:t xml:space="preserve">published by Palgrave Macmillan on behalf of the International Association of Universities. The handbook provides detailed information on higher education institutions across the world and can be purchased from Palgrave MacMillan at </w:t>
      </w:r>
      <w:hyperlink r:id="rId19" w:history="1">
        <w:r w:rsidRPr="004718E3">
          <w:rPr>
            <w:rStyle w:val="Hyperlink"/>
            <w:rFonts w:ascii="Times New Roman" w:hAnsi="Times New Roman"/>
            <w:sz w:val="24"/>
          </w:rPr>
          <w:t>http://www.palgrave.com/home/index.asp</w:t>
        </w:r>
      </w:hyperlink>
      <w:r w:rsidRPr="004718E3">
        <w:rPr>
          <w:color w:val="000000"/>
        </w:rPr>
        <w:t xml:space="preserve">. </w:t>
      </w:r>
    </w:p>
    <w:p w14:paraId="4954E23B" w14:textId="44C16588" w:rsidR="00ED6ADD" w:rsidRPr="004718E3" w:rsidRDefault="00ED6ADD" w:rsidP="00ED6ADD">
      <w:pPr>
        <w:pStyle w:val="definition"/>
        <w:spacing w:before="240"/>
        <w:ind w:left="0"/>
      </w:pPr>
      <w:r w:rsidRPr="004718E3">
        <w:t xml:space="preserve">The Instrument incorporates the International Handbook of Universities. The Handbook provides a list of overseas universities and </w:t>
      </w:r>
      <w:r w:rsidR="00FA6ADC" w:rsidRPr="004718E3">
        <w:t>equivalent</w:t>
      </w:r>
      <w:r w:rsidRPr="004718E3">
        <w:t xml:space="preserve"> institutions of higher learning that a prospective greenhouse and energy auditor can use to meet section 6 of the Instrument. The Handbook is referenced as a way to give objectivity to the Regulator’s determination of the reputation of an overseas educational institution if a prospective greenhouse and energy auditor obtained their qualifications overseas (see section 6 of the Instrument). The Handbook was also referenced in the 2010, 2012, 2016</w:t>
      </w:r>
      <w:r w:rsidR="00620D22" w:rsidRPr="004718E3">
        <w:t>,</w:t>
      </w:r>
      <w:r w:rsidR="005A207C" w:rsidRPr="004718E3">
        <w:t xml:space="preserve"> </w:t>
      </w:r>
      <w:r w:rsidRPr="004718E3">
        <w:t>2017 No.</w:t>
      </w:r>
      <w:r w:rsidR="00620D22" w:rsidRPr="004718E3">
        <w:t xml:space="preserve"> </w:t>
      </w:r>
      <w:r w:rsidRPr="004718E3">
        <w:t>1</w:t>
      </w:r>
      <w:r w:rsidR="00E91DAA" w:rsidRPr="004718E3">
        <w:t>,</w:t>
      </w:r>
      <w:r w:rsidR="00620D22" w:rsidRPr="004718E3">
        <w:t xml:space="preserve"> 2017 No. 2</w:t>
      </w:r>
      <w:r w:rsidR="00E91DAA" w:rsidRPr="004718E3">
        <w:t xml:space="preserve"> and 2018</w:t>
      </w:r>
      <w:r w:rsidR="00620D22" w:rsidRPr="004718E3">
        <w:t xml:space="preserve"> </w:t>
      </w:r>
      <w:r w:rsidRPr="004718E3">
        <w:t xml:space="preserve">instruments. If a prospective auditor obtained their qualifications in Australia, a different test is applied, relying on the </w:t>
      </w:r>
      <w:r w:rsidRPr="004718E3">
        <w:rPr>
          <w:i/>
        </w:rPr>
        <w:t>Higher Education Support Act 2003</w:t>
      </w:r>
      <w:r w:rsidRPr="004718E3">
        <w:t>, which is available at no cost.</w:t>
      </w:r>
    </w:p>
    <w:p w14:paraId="5877C7C0" w14:textId="77777777" w:rsidR="00ED6ADD" w:rsidRPr="004718E3" w:rsidRDefault="00ED6ADD" w:rsidP="00ED6ADD">
      <w:pPr>
        <w:pStyle w:val="definition"/>
        <w:spacing w:before="240"/>
        <w:ind w:left="0"/>
      </w:pPr>
      <w:r w:rsidRPr="004718E3">
        <w:t>To date, the Regulator has had very few applications from auditors with overseas qualif</w:t>
      </w:r>
      <w:r w:rsidR="00620D22" w:rsidRPr="004718E3">
        <w:t>ications. Given the predicted 3–</w:t>
      </w:r>
      <w:r w:rsidRPr="004718E3">
        <w:t>4 applications per year expected under the Instrument, the Regulator believes that it will receive no more than one application per year from applicants with overseas qualifications. For these applicants, the Handbook is available for viewing at the Macquarie University Library or can be bought for $935. The Handbook is subject to general copyright law, which means the Regulator is restricted from republishing its contents in full.</w:t>
      </w:r>
    </w:p>
    <w:p w14:paraId="0636F42F" w14:textId="01DB6F81" w:rsidR="00ED6ADD" w:rsidRPr="00DF48D2" w:rsidRDefault="00ED6ADD" w:rsidP="00ED6ADD">
      <w:pPr>
        <w:pStyle w:val="Heading6"/>
        <w:rPr>
          <w:rFonts w:ascii="Times New Roman" w:hAnsi="Times New Roman"/>
          <w:b w:val="0"/>
          <w:sz w:val="24"/>
          <w:szCs w:val="24"/>
          <w:u w:val="single"/>
        </w:rPr>
      </w:pPr>
      <w:r w:rsidRPr="00DF48D2">
        <w:rPr>
          <w:rFonts w:ascii="Times New Roman" w:hAnsi="Times New Roman"/>
          <w:b w:val="0"/>
          <w:sz w:val="24"/>
          <w:szCs w:val="24"/>
          <w:u w:val="single"/>
        </w:rPr>
        <w:t>Section 5 Object</w:t>
      </w:r>
    </w:p>
    <w:p w14:paraId="054263FA" w14:textId="5A515DA9"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object of the Instrument is to set out ways to meet the requirements for knowledge, qualification and experience suitable for registration as a greenhouse and energy auditor. </w:t>
      </w:r>
    </w:p>
    <w:p w14:paraId="7122E280" w14:textId="77777777" w:rsidR="00ED6ADD" w:rsidRPr="00DF48D2" w:rsidRDefault="00ED6ADD" w:rsidP="00ED6ADD">
      <w:pPr>
        <w:pStyle w:val="Heading6"/>
        <w:rPr>
          <w:rFonts w:ascii="Times New Roman" w:hAnsi="Times New Roman"/>
          <w:b w:val="0"/>
          <w:sz w:val="24"/>
          <w:szCs w:val="24"/>
          <w:u w:val="single"/>
        </w:rPr>
      </w:pPr>
      <w:r w:rsidRPr="00DF48D2">
        <w:rPr>
          <w:rFonts w:ascii="Times New Roman" w:hAnsi="Times New Roman"/>
          <w:b w:val="0"/>
          <w:sz w:val="24"/>
          <w:szCs w:val="24"/>
          <w:u w:val="single"/>
        </w:rPr>
        <w:t>Section 6 Degree or equivalent to be conferred by appropriate institution</w:t>
      </w:r>
    </w:p>
    <w:p w14:paraId="62584434"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Regulation 6.11 of the Regulations requires that an individual applying for registration as a greenhouse and energy auditor must have a bachelor’s, master’s or doctoral degree (or equivalent) conferred by an appropriate university or an equivalent institution of higher learning.</w:t>
      </w:r>
    </w:p>
    <w:p w14:paraId="6F3D7AE5"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This section specifies that an appropriate qualification will be a relevant degree (or equivalent) obtained from either:</w:t>
      </w:r>
    </w:p>
    <w:p w14:paraId="24A094A3" w14:textId="77777777" w:rsidR="00ED6ADD" w:rsidRPr="004718E3" w:rsidRDefault="00ED6ADD" w:rsidP="00ED6ADD">
      <w:pPr>
        <w:pStyle w:val="Bullet"/>
        <w:jc w:val="both"/>
        <w:rPr>
          <w:szCs w:val="24"/>
        </w:rPr>
      </w:pPr>
      <w:r w:rsidRPr="004718E3">
        <w:rPr>
          <w:rStyle w:val="Style1Char"/>
          <w:szCs w:val="24"/>
        </w:rPr>
        <w:t>in the case of Australian qualifications—table A and B providers (as listed in section</w:t>
      </w:r>
      <w:r w:rsidRPr="004718E3">
        <w:rPr>
          <w:szCs w:val="24"/>
        </w:rPr>
        <w:t xml:space="preserve"> 16-15 and section 16-20 of the </w:t>
      </w:r>
      <w:r w:rsidRPr="004718E3">
        <w:rPr>
          <w:i/>
          <w:szCs w:val="24"/>
        </w:rPr>
        <w:t>Higher Education Support Act 2003</w:t>
      </w:r>
      <w:r w:rsidRPr="004718E3">
        <w:rPr>
          <w:szCs w:val="24"/>
        </w:rPr>
        <w:t>); or</w:t>
      </w:r>
    </w:p>
    <w:p w14:paraId="3F72E4FE" w14:textId="77777777" w:rsidR="00ED6ADD" w:rsidRPr="004718E3" w:rsidRDefault="00ED6ADD" w:rsidP="00ED6ADD">
      <w:pPr>
        <w:pStyle w:val="Style1"/>
        <w:jc w:val="both"/>
        <w:rPr>
          <w:szCs w:val="24"/>
        </w:rPr>
      </w:pPr>
      <w:r w:rsidRPr="004718E3">
        <w:rPr>
          <w:szCs w:val="24"/>
        </w:rPr>
        <w:lastRenderedPageBreak/>
        <w:t xml:space="preserve">in the case of international qualifications—an international institution listed in the </w:t>
      </w:r>
      <w:r w:rsidRPr="004718E3">
        <w:rPr>
          <w:i/>
          <w:szCs w:val="24"/>
        </w:rPr>
        <w:t xml:space="preserve">International Handbook of Universities. </w:t>
      </w:r>
    </w:p>
    <w:p w14:paraId="35C7AB75" w14:textId="00B34165" w:rsidR="00ED6ADD" w:rsidRPr="004718E3" w:rsidRDefault="00ED6ADD" w:rsidP="00ED6ADD">
      <w:pPr>
        <w:pStyle w:val="Bullet"/>
        <w:numPr>
          <w:ilvl w:val="0"/>
          <w:numId w:val="0"/>
        </w:numPr>
        <w:jc w:val="both"/>
        <w:rPr>
          <w:szCs w:val="24"/>
        </w:rPr>
      </w:pPr>
      <w:r w:rsidRPr="004718E3">
        <w:rPr>
          <w:szCs w:val="24"/>
        </w:rPr>
        <w:t xml:space="preserve">The Regulator will be able to accept a qualification </w:t>
      </w:r>
      <w:r w:rsidR="00620D22" w:rsidRPr="004718E3">
        <w:rPr>
          <w:szCs w:val="24"/>
        </w:rPr>
        <w:t>that</w:t>
      </w:r>
      <w:r w:rsidRPr="004718E3">
        <w:rPr>
          <w:szCs w:val="24"/>
        </w:rPr>
        <w:t xml:space="preserve"> is not a degree if satisfied the qualification is equivalent, such as a professional qualification attained prior to formal degrees being offered in certain disciplines.</w:t>
      </w:r>
    </w:p>
    <w:p w14:paraId="48097069" w14:textId="77777777" w:rsidR="00ED6ADD" w:rsidRPr="004718E3" w:rsidRDefault="00ED6ADD" w:rsidP="00ED6ADD">
      <w:pPr>
        <w:pStyle w:val="Bullet"/>
        <w:numPr>
          <w:ilvl w:val="0"/>
          <w:numId w:val="0"/>
        </w:numPr>
        <w:jc w:val="both"/>
        <w:rPr>
          <w:szCs w:val="24"/>
        </w:rPr>
      </w:pPr>
      <w:r w:rsidRPr="004718E3">
        <w:rPr>
          <w:szCs w:val="24"/>
        </w:rPr>
        <w:t xml:space="preserve">Similarly, if an applicant has obtained a qualification from an Australian institution </w:t>
      </w:r>
      <w:r w:rsidR="00620D22" w:rsidRPr="004718E3">
        <w:rPr>
          <w:szCs w:val="24"/>
        </w:rPr>
        <w:t>that</w:t>
      </w:r>
      <w:r w:rsidRPr="004718E3">
        <w:rPr>
          <w:szCs w:val="24"/>
        </w:rPr>
        <w:t xml:space="preserve"> is subsequently renamed, amalgamated with another body, or closed, the Regulator may accept a qualification from an institution which is equivalent to those specified.</w:t>
      </w:r>
    </w:p>
    <w:p w14:paraId="2D2A3BDF" w14:textId="7289EAA5" w:rsidR="00ED6ADD" w:rsidRPr="004718E3" w:rsidRDefault="00ED6ADD" w:rsidP="00ED6ADD">
      <w:pPr>
        <w:pStyle w:val="Bullet"/>
        <w:numPr>
          <w:ilvl w:val="0"/>
          <w:numId w:val="0"/>
        </w:numPr>
        <w:jc w:val="both"/>
        <w:rPr>
          <w:szCs w:val="24"/>
        </w:rPr>
      </w:pPr>
      <w:r w:rsidRPr="004718E3">
        <w:rPr>
          <w:szCs w:val="24"/>
        </w:rPr>
        <w:t>In the case of a qualification obtained from an international institution, the Regulator will need to be satisfied that the qualification is equivalent to one of those named in the</w:t>
      </w:r>
      <w:r w:rsidRPr="004718E3">
        <w:rPr>
          <w:i/>
          <w:szCs w:val="24"/>
        </w:rPr>
        <w:t xml:space="preserve"> International Handbook of Universities</w:t>
      </w:r>
      <w:r w:rsidRPr="004718E3">
        <w:rPr>
          <w:szCs w:val="24"/>
        </w:rPr>
        <w:t>. One method which might provide satisfactory evidence would be a qualification assessment by the Department of Education.</w:t>
      </w:r>
    </w:p>
    <w:p w14:paraId="484797AD" w14:textId="0D101AF1"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 xml:space="preserve">Section 7 Knowledge of relevant legislation </w:t>
      </w:r>
    </w:p>
    <w:p w14:paraId="7D92B47E" w14:textId="47DB3531" w:rsidR="00ED6ADD" w:rsidRPr="004718E3" w:rsidRDefault="00384F0B" w:rsidP="00ED6ADD">
      <w:pPr>
        <w:jc w:val="both"/>
        <w:rPr>
          <w:rFonts w:ascii="Times New Roman" w:hAnsi="Times New Roman" w:cs="Times New Roman"/>
          <w:sz w:val="24"/>
        </w:rPr>
      </w:pPr>
      <w:r>
        <w:rPr>
          <w:rFonts w:ascii="Times New Roman" w:hAnsi="Times New Roman" w:cs="Times New Roman"/>
          <w:sz w:val="24"/>
        </w:rPr>
        <w:t>Subr</w:t>
      </w:r>
      <w:r w:rsidR="00ED6ADD" w:rsidRPr="004718E3">
        <w:rPr>
          <w:rFonts w:ascii="Times New Roman" w:hAnsi="Times New Roman" w:cs="Times New Roman"/>
          <w:sz w:val="24"/>
        </w:rPr>
        <w:t>egulation 6.14 (1) of the Regulations provide</w:t>
      </w:r>
      <w:r w:rsidR="00D410FE">
        <w:rPr>
          <w:rFonts w:ascii="Times New Roman" w:hAnsi="Times New Roman" w:cs="Times New Roman"/>
          <w:sz w:val="24"/>
        </w:rPr>
        <w:t>s</w:t>
      </w:r>
      <w:r w:rsidR="00ED6ADD" w:rsidRPr="004718E3">
        <w:rPr>
          <w:rFonts w:ascii="Times New Roman" w:hAnsi="Times New Roman" w:cs="Times New Roman"/>
          <w:sz w:val="24"/>
        </w:rPr>
        <w:t xml:space="preserve"> that an applicant must have knowledge of</w:t>
      </w:r>
      <w:r>
        <w:rPr>
          <w:rFonts w:ascii="Times New Roman" w:hAnsi="Times New Roman" w:cs="Times New Roman"/>
          <w:sz w:val="24"/>
        </w:rPr>
        <w:t xml:space="preserve"> </w:t>
      </w:r>
      <w:r w:rsidR="00ED6ADD" w:rsidRPr="004718E3">
        <w:rPr>
          <w:rFonts w:ascii="Times New Roman" w:hAnsi="Times New Roman" w:cs="Times New Roman"/>
          <w:sz w:val="24"/>
        </w:rPr>
        <w:t>the NGER legislation</w:t>
      </w:r>
      <w:r w:rsidR="00334855" w:rsidRPr="004718E3">
        <w:rPr>
          <w:rFonts w:ascii="Times New Roman" w:hAnsi="Times New Roman" w:cs="Times New Roman"/>
          <w:sz w:val="24"/>
        </w:rPr>
        <w:t xml:space="preserve">, </w:t>
      </w:r>
      <w:r w:rsidR="00ED6ADD" w:rsidRPr="004718E3">
        <w:rPr>
          <w:rFonts w:ascii="Times New Roman" w:hAnsi="Times New Roman" w:cs="Times New Roman"/>
          <w:sz w:val="24"/>
        </w:rPr>
        <w:t xml:space="preserve">the CFI legislation </w:t>
      </w:r>
      <w:r w:rsidR="00E617F0" w:rsidRPr="004718E3">
        <w:rPr>
          <w:rFonts w:ascii="Times New Roman" w:hAnsi="Times New Roman" w:cs="Times New Roman"/>
          <w:sz w:val="24"/>
        </w:rPr>
        <w:t>and the renewable energy legislation.</w:t>
      </w:r>
      <w:r>
        <w:rPr>
          <w:rFonts w:ascii="Times New Roman" w:hAnsi="Times New Roman" w:cs="Times New Roman"/>
          <w:sz w:val="24"/>
        </w:rPr>
        <w:t xml:space="preserve"> </w:t>
      </w:r>
      <w:r w:rsidR="00620D22" w:rsidRPr="004718E3">
        <w:rPr>
          <w:rFonts w:ascii="Times New Roman" w:hAnsi="Times New Roman" w:cs="Times New Roman"/>
          <w:sz w:val="24"/>
        </w:rPr>
        <w:t>Regulation</w:t>
      </w:r>
      <w:r w:rsidR="00E617F0" w:rsidRPr="004718E3">
        <w:rPr>
          <w:rFonts w:ascii="Times New Roman" w:hAnsi="Times New Roman" w:cs="Times New Roman"/>
          <w:sz w:val="24"/>
        </w:rPr>
        <w:t> </w:t>
      </w:r>
      <w:r w:rsidR="00620D22" w:rsidRPr="004718E3">
        <w:rPr>
          <w:rFonts w:ascii="Times New Roman" w:hAnsi="Times New Roman" w:cs="Times New Roman"/>
          <w:sz w:val="24"/>
        </w:rPr>
        <w:t>1.03 of the Regulations defines t</w:t>
      </w:r>
      <w:r w:rsidR="00ED6ADD" w:rsidRPr="004718E3">
        <w:rPr>
          <w:rFonts w:ascii="Times New Roman" w:hAnsi="Times New Roman" w:cs="Times New Roman"/>
          <w:sz w:val="24"/>
        </w:rPr>
        <w:t>he terms “NGER legislation”</w:t>
      </w:r>
      <w:r w:rsidR="00E617F0" w:rsidRPr="004718E3">
        <w:rPr>
          <w:rFonts w:ascii="Times New Roman" w:hAnsi="Times New Roman" w:cs="Times New Roman"/>
          <w:sz w:val="24"/>
        </w:rPr>
        <w:t>,</w:t>
      </w:r>
      <w:r w:rsidR="00ED6ADD" w:rsidRPr="004718E3">
        <w:rPr>
          <w:rFonts w:ascii="Times New Roman" w:hAnsi="Times New Roman" w:cs="Times New Roman"/>
          <w:sz w:val="24"/>
        </w:rPr>
        <w:t xml:space="preserve"> “CFI legislation”</w:t>
      </w:r>
      <w:r w:rsidR="00E617F0" w:rsidRPr="004718E3">
        <w:rPr>
          <w:rFonts w:ascii="Times New Roman" w:hAnsi="Times New Roman" w:cs="Times New Roman"/>
          <w:sz w:val="24"/>
        </w:rPr>
        <w:t xml:space="preserve"> and “renewable energy legislation”</w:t>
      </w:r>
      <w:r w:rsidR="00ED6ADD" w:rsidRPr="004718E3">
        <w:rPr>
          <w:rFonts w:ascii="Times New Roman" w:hAnsi="Times New Roman" w:cs="Times New Roman"/>
          <w:sz w:val="24"/>
        </w:rPr>
        <w:t xml:space="preserve">. </w:t>
      </w:r>
      <w:r>
        <w:rPr>
          <w:rFonts w:ascii="Times New Roman" w:hAnsi="Times New Roman" w:cs="Times New Roman"/>
          <w:sz w:val="24"/>
        </w:rPr>
        <w:t xml:space="preserve">However, an auditor need only have knowledge of the CFI legislation or renewable energy legislation if the auditor intends to carry out audits (as a greenhouse and energy auditor) under the respective legislation.  </w:t>
      </w:r>
      <w:r w:rsidRPr="004718E3">
        <w:rPr>
          <w:rFonts w:ascii="Times New Roman" w:hAnsi="Times New Roman" w:cs="Times New Roman"/>
          <w:sz w:val="24"/>
        </w:rPr>
        <w:t xml:space="preserve">NGER legislation knowledge is mandated for all applications as the audit framework resides within this legislation. </w:t>
      </w:r>
      <w:r w:rsidR="00D410FE">
        <w:rPr>
          <w:rFonts w:ascii="Times New Roman" w:hAnsi="Times New Roman" w:cs="Times New Roman"/>
          <w:sz w:val="24"/>
        </w:rPr>
        <w:t xml:space="preserve"> </w:t>
      </w:r>
      <w:r w:rsidR="00E617F0" w:rsidRPr="004718E3">
        <w:rPr>
          <w:rFonts w:ascii="Times New Roman" w:hAnsi="Times New Roman" w:cs="Times New Roman"/>
          <w:sz w:val="24"/>
        </w:rPr>
        <w:t xml:space="preserve">An auditor who does not have knowledge of a particular scheme can be managed with a condition imposed under </w:t>
      </w:r>
      <w:r>
        <w:rPr>
          <w:rFonts w:ascii="Times New Roman" w:hAnsi="Times New Roman" w:cs="Times New Roman"/>
          <w:sz w:val="24"/>
        </w:rPr>
        <w:t xml:space="preserve">Regulation </w:t>
      </w:r>
      <w:r w:rsidR="00E617F0" w:rsidRPr="004718E3">
        <w:rPr>
          <w:rFonts w:ascii="Times New Roman" w:hAnsi="Times New Roman" w:cs="Times New Roman"/>
          <w:sz w:val="24"/>
        </w:rPr>
        <w:t>6.61</w:t>
      </w:r>
      <w:r>
        <w:rPr>
          <w:rFonts w:ascii="Times New Roman" w:hAnsi="Times New Roman" w:cs="Times New Roman"/>
          <w:sz w:val="24"/>
        </w:rPr>
        <w:t>(</w:t>
      </w:r>
      <w:r w:rsidR="00E617F0" w:rsidRPr="004718E3">
        <w:rPr>
          <w:rFonts w:ascii="Times New Roman" w:hAnsi="Times New Roman" w:cs="Times New Roman"/>
          <w:sz w:val="24"/>
        </w:rPr>
        <w:t>4</w:t>
      </w:r>
      <w:r>
        <w:rPr>
          <w:rFonts w:ascii="Times New Roman" w:hAnsi="Times New Roman" w:cs="Times New Roman"/>
          <w:sz w:val="24"/>
        </w:rPr>
        <w:t>)</w:t>
      </w:r>
      <w:r w:rsidR="00E617F0" w:rsidRPr="004718E3">
        <w:rPr>
          <w:rFonts w:ascii="Times New Roman" w:hAnsi="Times New Roman" w:cs="Times New Roman"/>
          <w:sz w:val="24"/>
        </w:rPr>
        <w:t>.</w:t>
      </w:r>
    </w:p>
    <w:p w14:paraId="00232E27" w14:textId="6885555C"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Section 7 sets out which provisions of the NGER legislation</w:t>
      </w:r>
      <w:r w:rsidR="00E617F0" w:rsidRPr="004718E3">
        <w:rPr>
          <w:rFonts w:ascii="Times New Roman" w:hAnsi="Times New Roman" w:cs="Times New Roman"/>
          <w:sz w:val="24"/>
        </w:rPr>
        <w:t>,</w:t>
      </w:r>
      <w:r w:rsidRPr="004718E3">
        <w:rPr>
          <w:rFonts w:ascii="Times New Roman" w:hAnsi="Times New Roman" w:cs="Times New Roman"/>
          <w:sz w:val="24"/>
        </w:rPr>
        <w:t xml:space="preserve"> CFI legislation</w:t>
      </w:r>
      <w:r w:rsidR="00E617F0" w:rsidRPr="004718E3">
        <w:rPr>
          <w:rFonts w:ascii="Times New Roman" w:hAnsi="Times New Roman" w:cs="Times New Roman"/>
          <w:sz w:val="24"/>
        </w:rPr>
        <w:t xml:space="preserve"> and the renewable energy legislation</w:t>
      </w:r>
      <w:r w:rsidRPr="004718E3">
        <w:rPr>
          <w:rFonts w:ascii="Times New Roman" w:hAnsi="Times New Roman" w:cs="Times New Roman"/>
          <w:sz w:val="24"/>
        </w:rPr>
        <w:t xml:space="preserve"> are relevant for registration. </w:t>
      </w:r>
    </w:p>
    <w:p w14:paraId="60AE42B1" w14:textId="63C08F25"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The intention of specifying different knowledge requirements is to ensure that an applicant is not obliged to become familiar with all provisions of the NGER</w:t>
      </w:r>
      <w:r w:rsidR="00E617F0" w:rsidRPr="004718E3">
        <w:rPr>
          <w:rFonts w:ascii="Times New Roman" w:hAnsi="Times New Roman" w:cs="Times New Roman"/>
          <w:sz w:val="24"/>
        </w:rPr>
        <w:t>,</w:t>
      </w:r>
      <w:r w:rsidRPr="004718E3">
        <w:rPr>
          <w:rFonts w:ascii="Times New Roman" w:hAnsi="Times New Roman" w:cs="Times New Roman"/>
          <w:sz w:val="24"/>
        </w:rPr>
        <w:t xml:space="preserve"> CFI legislation</w:t>
      </w:r>
      <w:r w:rsidR="00E617F0" w:rsidRPr="004718E3">
        <w:rPr>
          <w:rFonts w:ascii="Times New Roman" w:hAnsi="Times New Roman" w:cs="Times New Roman"/>
          <w:sz w:val="24"/>
        </w:rPr>
        <w:t xml:space="preserve"> and the renewable energy legislation</w:t>
      </w:r>
      <w:r w:rsidRPr="004718E3">
        <w:rPr>
          <w:rFonts w:ascii="Times New Roman" w:hAnsi="Times New Roman" w:cs="Times New Roman"/>
          <w:sz w:val="24"/>
        </w:rPr>
        <w:t xml:space="preserve">, but rather only with those provisions </w:t>
      </w:r>
      <w:r w:rsidR="00620D22" w:rsidRPr="004718E3">
        <w:rPr>
          <w:rFonts w:ascii="Times New Roman" w:hAnsi="Times New Roman" w:cs="Times New Roman"/>
          <w:sz w:val="24"/>
        </w:rPr>
        <w:t>that</w:t>
      </w:r>
      <w:r w:rsidRPr="004718E3">
        <w:rPr>
          <w:rFonts w:ascii="Times New Roman" w:hAnsi="Times New Roman" w:cs="Times New Roman"/>
          <w:sz w:val="24"/>
        </w:rPr>
        <w:t xml:space="preserve"> will be relevant</w:t>
      </w:r>
      <w:r w:rsidR="00384F0B">
        <w:rPr>
          <w:rFonts w:ascii="Times New Roman" w:hAnsi="Times New Roman" w:cs="Times New Roman"/>
          <w:sz w:val="24"/>
        </w:rPr>
        <w:t xml:space="preserve"> to the audits the auditor will carry out</w:t>
      </w:r>
      <w:r w:rsidR="00E617F0" w:rsidRPr="004718E3">
        <w:rPr>
          <w:rFonts w:ascii="Times New Roman" w:hAnsi="Times New Roman" w:cs="Times New Roman"/>
          <w:sz w:val="24"/>
        </w:rPr>
        <w:t>.</w:t>
      </w:r>
      <w:r w:rsidRPr="004718E3">
        <w:rPr>
          <w:rFonts w:ascii="Times New Roman" w:hAnsi="Times New Roman" w:cs="Times New Roman"/>
          <w:sz w:val="24"/>
        </w:rPr>
        <w:t xml:space="preserve"> </w:t>
      </w:r>
    </w:p>
    <w:p w14:paraId="184166CF" w14:textId="77777777"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Section 8 Evidence of knowledge</w:t>
      </w:r>
      <w:r w:rsidRPr="00063323" w:rsidDel="005A2711">
        <w:rPr>
          <w:rFonts w:ascii="Times New Roman" w:hAnsi="Times New Roman"/>
          <w:b w:val="0"/>
          <w:sz w:val="24"/>
          <w:szCs w:val="24"/>
          <w:u w:val="single"/>
        </w:rPr>
        <w:t xml:space="preserve"> </w:t>
      </w:r>
      <w:r w:rsidRPr="00063323">
        <w:rPr>
          <w:rFonts w:ascii="Times New Roman" w:hAnsi="Times New Roman"/>
          <w:b w:val="0"/>
          <w:sz w:val="24"/>
          <w:szCs w:val="24"/>
          <w:u w:val="single"/>
        </w:rPr>
        <w:t xml:space="preserve">of relevant legislation </w:t>
      </w:r>
    </w:p>
    <w:p w14:paraId="2011C148" w14:textId="70AB1810"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Subregulation</w:t>
      </w:r>
      <w:r w:rsidR="00D41F40">
        <w:rPr>
          <w:rFonts w:ascii="Times New Roman" w:hAnsi="Times New Roman" w:cs="Times New Roman"/>
          <w:sz w:val="24"/>
        </w:rPr>
        <w:t xml:space="preserve"> </w:t>
      </w:r>
      <w:r w:rsidRPr="004718E3">
        <w:rPr>
          <w:rFonts w:ascii="Times New Roman" w:hAnsi="Times New Roman" w:cs="Times New Roman"/>
          <w:sz w:val="24"/>
        </w:rPr>
        <w:t>6.14 (2) of the Regulations specif</w:t>
      </w:r>
      <w:r w:rsidR="00D41F40">
        <w:rPr>
          <w:rFonts w:ascii="Times New Roman" w:hAnsi="Times New Roman" w:cs="Times New Roman"/>
          <w:sz w:val="24"/>
        </w:rPr>
        <w:t>ies</w:t>
      </w:r>
      <w:r w:rsidRPr="004718E3">
        <w:rPr>
          <w:rFonts w:ascii="Times New Roman" w:hAnsi="Times New Roman" w:cs="Times New Roman"/>
          <w:sz w:val="24"/>
        </w:rPr>
        <w:t xml:space="preserve"> that an applicant must provide appropriate evidence that he or she has knowledge of </w:t>
      </w:r>
      <w:r w:rsidR="00505E49" w:rsidRPr="004718E3">
        <w:rPr>
          <w:rFonts w:ascii="Times New Roman" w:hAnsi="Times New Roman" w:cs="Times New Roman"/>
          <w:sz w:val="24"/>
        </w:rPr>
        <w:t xml:space="preserve">the NGER </w:t>
      </w:r>
      <w:r w:rsidR="006B043E" w:rsidRPr="004718E3">
        <w:rPr>
          <w:rFonts w:ascii="Times New Roman" w:hAnsi="Times New Roman" w:cs="Times New Roman"/>
          <w:sz w:val="24"/>
        </w:rPr>
        <w:t>legislation</w:t>
      </w:r>
      <w:r w:rsidR="001133F2">
        <w:rPr>
          <w:rFonts w:ascii="Times New Roman" w:hAnsi="Times New Roman" w:cs="Times New Roman"/>
          <w:sz w:val="24"/>
        </w:rPr>
        <w:t xml:space="preserve"> and, if relevant,</w:t>
      </w:r>
      <w:r w:rsidR="00505E49" w:rsidRPr="004718E3">
        <w:rPr>
          <w:rFonts w:ascii="Times New Roman" w:hAnsi="Times New Roman" w:cs="Times New Roman"/>
          <w:sz w:val="24"/>
        </w:rPr>
        <w:t xml:space="preserve"> the CFI legislation or the renewable energy legislation.</w:t>
      </w:r>
    </w:p>
    <w:p w14:paraId="7F1C64D6" w14:textId="64C02D15" w:rsidR="006A0911" w:rsidRDefault="006A0911" w:rsidP="00ED6ADD">
      <w:pPr>
        <w:jc w:val="both"/>
        <w:rPr>
          <w:rFonts w:ascii="Times New Roman" w:hAnsi="Times New Roman" w:cs="Times New Roman"/>
          <w:sz w:val="24"/>
        </w:rPr>
      </w:pPr>
      <w:r>
        <w:rPr>
          <w:rFonts w:ascii="Times New Roman" w:hAnsi="Times New Roman" w:cs="Times New Roman"/>
          <w:sz w:val="24"/>
        </w:rPr>
        <w:t xml:space="preserve">Subsection 8(2) </w:t>
      </w:r>
      <w:r w:rsidR="00ED6ADD" w:rsidRPr="004718E3">
        <w:rPr>
          <w:rFonts w:ascii="Times New Roman" w:hAnsi="Times New Roman" w:cs="Times New Roman"/>
          <w:sz w:val="24"/>
        </w:rPr>
        <w:t xml:space="preserve">specifies that appropriate evidence </w:t>
      </w:r>
      <w:r>
        <w:rPr>
          <w:rFonts w:ascii="Times New Roman" w:hAnsi="Times New Roman" w:cs="Times New Roman"/>
          <w:sz w:val="24"/>
        </w:rPr>
        <w:t xml:space="preserve">of his or her knowledge of the NGER Act </w:t>
      </w:r>
      <w:r w:rsidR="00ED6ADD" w:rsidRPr="004718E3">
        <w:rPr>
          <w:rFonts w:ascii="Times New Roman" w:hAnsi="Times New Roman" w:cs="Times New Roman"/>
          <w:sz w:val="24"/>
        </w:rPr>
        <w:t xml:space="preserve">will consist of a statement provided by the applicant in their application for registration setting out details of their knowledge of the relevant legislation and how this was obtained. </w:t>
      </w:r>
      <w:r w:rsidR="00152E81">
        <w:rPr>
          <w:rFonts w:ascii="Times New Roman" w:hAnsi="Times New Roman" w:cs="Times New Roman"/>
          <w:sz w:val="24"/>
        </w:rPr>
        <w:t xml:space="preserve">This knowledge may have been obtained through training and/or through undertaking greenhouse and energy audits and/or safeguard audits. </w:t>
      </w:r>
      <w:r w:rsidR="006259BF" w:rsidRPr="004718E3">
        <w:rPr>
          <w:rFonts w:ascii="Times New Roman" w:hAnsi="Times New Roman" w:cs="Times New Roman"/>
          <w:sz w:val="24"/>
        </w:rPr>
        <w:t>This statement also allows the applicant to set out any other information they believe is relevant to demonstrating their knowledge of each appropriate legislation.</w:t>
      </w:r>
      <w:r>
        <w:rPr>
          <w:rFonts w:ascii="Times New Roman" w:hAnsi="Times New Roman" w:cs="Times New Roman"/>
          <w:sz w:val="24"/>
        </w:rPr>
        <w:t xml:space="preserve">  </w:t>
      </w:r>
    </w:p>
    <w:p w14:paraId="6430B5D4" w14:textId="1149B15A" w:rsidR="00ED6ADD" w:rsidRDefault="006A0911" w:rsidP="00ED6ADD">
      <w:pPr>
        <w:jc w:val="both"/>
        <w:rPr>
          <w:rFonts w:ascii="Times New Roman" w:hAnsi="Times New Roman" w:cs="Times New Roman"/>
          <w:sz w:val="24"/>
        </w:rPr>
      </w:pPr>
      <w:r>
        <w:rPr>
          <w:rFonts w:ascii="Times New Roman" w:hAnsi="Times New Roman" w:cs="Times New Roman"/>
          <w:sz w:val="24"/>
        </w:rPr>
        <w:t xml:space="preserve">Subsection 8(3) provides for the circumstances where knowledge of the CFI legislation is relevant to the person's application to be registered.  This will be relevant only where the applicant intends to carry out audits under the CFI legislation.  In these circumstances, the applicant will provide appropriate evidence of his or her knowledge of the CFI legislation through </w:t>
      </w:r>
      <w:r w:rsidR="00152E81">
        <w:rPr>
          <w:rFonts w:ascii="Times New Roman" w:hAnsi="Times New Roman" w:cs="Times New Roman"/>
          <w:sz w:val="24"/>
        </w:rPr>
        <w:t xml:space="preserve">providing </w:t>
      </w:r>
      <w:r>
        <w:rPr>
          <w:rFonts w:ascii="Times New Roman" w:hAnsi="Times New Roman" w:cs="Times New Roman"/>
          <w:sz w:val="24"/>
        </w:rPr>
        <w:t xml:space="preserve">a statement </w:t>
      </w:r>
      <w:r w:rsidR="00152E81">
        <w:rPr>
          <w:rFonts w:ascii="Times New Roman" w:hAnsi="Times New Roman" w:cs="Times New Roman"/>
          <w:sz w:val="24"/>
        </w:rPr>
        <w:t xml:space="preserve">setting out their knowledge and how it was obtained.  Again, this statement also allows the applicant to </w:t>
      </w:r>
      <w:r w:rsidR="00152E81" w:rsidRPr="004718E3">
        <w:rPr>
          <w:rFonts w:ascii="Times New Roman" w:hAnsi="Times New Roman" w:cs="Times New Roman"/>
          <w:sz w:val="24"/>
        </w:rPr>
        <w:t>set out any other information they believe is relevant to demonstrating their knowledge of each appropriate legislation.</w:t>
      </w:r>
      <w:r w:rsidR="00152E81">
        <w:rPr>
          <w:rFonts w:ascii="Times New Roman" w:hAnsi="Times New Roman" w:cs="Times New Roman"/>
          <w:sz w:val="24"/>
        </w:rPr>
        <w:t xml:space="preserve"> This knowledge may have been obtained through training and/or through assisting a project </w:t>
      </w:r>
      <w:r w:rsidR="00152E81">
        <w:rPr>
          <w:rFonts w:ascii="Times New Roman" w:hAnsi="Times New Roman" w:cs="Times New Roman"/>
          <w:sz w:val="24"/>
        </w:rPr>
        <w:lastRenderedPageBreak/>
        <w:t>proponent of an eligible offsets project under the CFI Act to meet the project proponent's reporting or auditing obligations under the CFI Act and/or in participating in ERF audits.</w:t>
      </w:r>
    </w:p>
    <w:p w14:paraId="3FC3E84D" w14:textId="033A9A17" w:rsidR="00F17F84" w:rsidRPr="004718E3" w:rsidRDefault="00152E81" w:rsidP="00ED6ADD">
      <w:pPr>
        <w:jc w:val="both"/>
        <w:rPr>
          <w:rFonts w:ascii="Times New Roman" w:hAnsi="Times New Roman" w:cs="Times New Roman"/>
          <w:sz w:val="24"/>
        </w:rPr>
      </w:pPr>
      <w:r>
        <w:rPr>
          <w:rFonts w:ascii="Times New Roman" w:hAnsi="Times New Roman" w:cs="Times New Roman"/>
          <w:sz w:val="24"/>
        </w:rPr>
        <w:t xml:space="preserve">Subsection 8(4) provides for the circumstances where knowledge of the Renewable Energy legislation is relevant to the person's application to be registered.  This will be relevant only where the applicant intends to carry out audits under the Renewable Energy legislation.  In these circumstances, the applicant will provide appropriate evidence of his or her knowledge of the Renewable Energy legislation through providing a statement setting out their knowledge and how it was obtained.  </w:t>
      </w:r>
      <w:r w:rsidR="00F17F84">
        <w:rPr>
          <w:rFonts w:ascii="Times New Roman" w:hAnsi="Times New Roman" w:cs="Times New Roman"/>
          <w:sz w:val="24"/>
        </w:rPr>
        <w:t xml:space="preserve">Again, this statement also allows the applicant to </w:t>
      </w:r>
      <w:r w:rsidR="00F17F84" w:rsidRPr="004718E3">
        <w:rPr>
          <w:rFonts w:ascii="Times New Roman" w:hAnsi="Times New Roman" w:cs="Times New Roman"/>
          <w:sz w:val="24"/>
        </w:rPr>
        <w:t>set out any other information they believe is relevant to demonstrating their knowledge of each appropriate legislation.</w:t>
      </w:r>
      <w:r w:rsidR="00F17F84">
        <w:rPr>
          <w:rFonts w:ascii="Times New Roman" w:hAnsi="Times New Roman" w:cs="Times New Roman"/>
          <w:sz w:val="24"/>
        </w:rPr>
        <w:t xml:space="preserve"> This knowledge may have been obtained through training and/or (if relevant) through assisting a company that conducts </w:t>
      </w:r>
      <w:r w:rsidR="000B2EE2">
        <w:rPr>
          <w:rFonts w:ascii="Times New Roman" w:hAnsi="Times New Roman" w:cs="Times New Roman"/>
          <w:sz w:val="24"/>
        </w:rPr>
        <w:t>eligible</w:t>
      </w:r>
      <w:r w:rsidR="00F17F84">
        <w:rPr>
          <w:rFonts w:ascii="Times New Roman" w:hAnsi="Times New Roman" w:cs="Times New Roman"/>
          <w:sz w:val="24"/>
        </w:rPr>
        <w:t xml:space="preserve"> emissions-intensive trade-exposed </w:t>
      </w:r>
      <w:r w:rsidR="00056B17">
        <w:rPr>
          <w:rFonts w:ascii="Times New Roman" w:hAnsi="Times New Roman" w:cs="Times New Roman"/>
          <w:sz w:val="24"/>
        </w:rPr>
        <w:t xml:space="preserve">activities to meet the company's auditing obligations in seeking liability exemption under the </w:t>
      </w:r>
      <w:r w:rsidR="00056B17">
        <w:rPr>
          <w:rFonts w:ascii="Times New Roman" w:hAnsi="Times New Roman" w:cs="Times New Roman"/>
          <w:i/>
          <w:sz w:val="24"/>
        </w:rPr>
        <w:t>Renewable Energy (Electricity) Act 2000</w:t>
      </w:r>
      <w:r w:rsidR="00056B17">
        <w:rPr>
          <w:rFonts w:ascii="Times New Roman" w:hAnsi="Times New Roman" w:cs="Times New Roman"/>
          <w:sz w:val="24"/>
        </w:rPr>
        <w:t>.  R</w:t>
      </w:r>
      <w:r w:rsidR="00F17F84">
        <w:rPr>
          <w:rFonts w:ascii="Times New Roman" w:hAnsi="Times New Roman" w:cs="Times New Roman"/>
          <w:sz w:val="24"/>
        </w:rPr>
        <w:t xml:space="preserve">egulations 22UB and 22UG of the </w:t>
      </w:r>
      <w:r w:rsidR="00F17F84">
        <w:rPr>
          <w:rFonts w:ascii="Times New Roman" w:hAnsi="Times New Roman" w:cs="Times New Roman"/>
          <w:i/>
          <w:sz w:val="24"/>
        </w:rPr>
        <w:t>Renewable Energy (Electricity) Regulations 2001</w:t>
      </w:r>
      <w:r w:rsidR="00F17F84">
        <w:rPr>
          <w:rFonts w:ascii="Times New Roman" w:hAnsi="Times New Roman" w:cs="Times New Roman"/>
          <w:sz w:val="24"/>
        </w:rPr>
        <w:t xml:space="preserve"> provide that certain applications for exemption certificates must be accompanied by an audit report.  These must be prepared by a registered company auditor or authorised audit company under the </w:t>
      </w:r>
      <w:r w:rsidR="00F17F84">
        <w:rPr>
          <w:rFonts w:ascii="Times New Roman" w:hAnsi="Times New Roman" w:cs="Times New Roman"/>
          <w:i/>
          <w:sz w:val="24"/>
        </w:rPr>
        <w:t>Corporations Act 2001</w:t>
      </w:r>
      <w:r w:rsidR="00F17F84">
        <w:rPr>
          <w:rFonts w:ascii="Times New Roman" w:hAnsi="Times New Roman" w:cs="Times New Roman"/>
          <w:sz w:val="24"/>
        </w:rPr>
        <w:t xml:space="preserve"> or by a Category 2 registered greenhouse and energy auditor.  </w:t>
      </w:r>
    </w:p>
    <w:p w14:paraId="200297E8" w14:textId="2502CB44"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 xml:space="preserve">Section </w:t>
      </w:r>
      <w:r w:rsidR="00A36690" w:rsidRPr="00063323">
        <w:rPr>
          <w:rFonts w:ascii="Times New Roman" w:hAnsi="Times New Roman"/>
          <w:b w:val="0"/>
          <w:sz w:val="24"/>
          <w:szCs w:val="24"/>
          <w:u w:val="single"/>
        </w:rPr>
        <w:t>9</w:t>
      </w:r>
      <w:r w:rsidRPr="00063323">
        <w:rPr>
          <w:rFonts w:ascii="Times New Roman" w:hAnsi="Times New Roman"/>
          <w:b w:val="0"/>
          <w:sz w:val="24"/>
          <w:szCs w:val="24"/>
          <w:u w:val="single"/>
        </w:rPr>
        <w:t xml:space="preserve"> Knowledge of </w:t>
      </w:r>
      <w:r w:rsidR="00A36690" w:rsidRPr="00063323">
        <w:rPr>
          <w:rFonts w:ascii="Times New Roman" w:hAnsi="Times New Roman"/>
          <w:b w:val="0"/>
          <w:sz w:val="24"/>
          <w:szCs w:val="24"/>
          <w:u w:val="single"/>
        </w:rPr>
        <w:t>audit</w:t>
      </w:r>
      <w:r w:rsidRPr="00063323">
        <w:rPr>
          <w:rFonts w:ascii="Times New Roman" w:hAnsi="Times New Roman"/>
          <w:b w:val="0"/>
          <w:sz w:val="24"/>
          <w:szCs w:val="24"/>
          <w:u w:val="single"/>
        </w:rPr>
        <w:t>—Category 2 applicants</w:t>
      </w:r>
    </w:p>
    <w:p w14:paraId="78D5B9FD" w14:textId="550C5976" w:rsidR="0097575E" w:rsidRPr="004718E3" w:rsidRDefault="00A36690" w:rsidP="00A36690">
      <w:pPr>
        <w:jc w:val="both"/>
        <w:rPr>
          <w:rFonts w:ascii="Times New Roman" w:hAnsi="Times New Roman" w:cs="Times New Roman"/>
          <w:sz w:val="24"/>
        </w:rPr>
      </w:pPr>
      <w:r w:rsidRPr="004718E3">
        <w:rPr>
          <w:rFonts w:ascii="Times New Roman" w:hAnsi="Times New Roman" w:cs="Times New Roman"/>
          <w:sz w:val="24"/>
        </w:rPr>
        <w:t>Subregulation 6.15 (1) provides that an applicant must have knowledge of auditing. Subregulation 6.15 (2) provides that to demonstrate that knowledge, the applicant must, in or with the application, provide the Regulator with appropriate evidence.</w:t>
      </w:r>
      <w:r w:rsidR="004238C2" w:rsidRPr="004718E3">
        <w:rPr>
          <w:rFonts w:ascii="Times New Roman" w:hAnsi="Times New Roman" w:cs="Times New Roman"/>
          <w:sz w:val="24"/>
        </w:rPr>
        <w:t xml:space="preserve"> </w:t>
      </w:r>
      <w:r w:rsidR="0097575E" w:rsidRPr="004718E3">
        <w:rPr>
          <w:rFonts w:ascii="Times New Roman" w:hAnsi="Times New Roman" w:cs="Times New Roman"/>
          <w:sz w:val="24"/>
        </w:rPr>
        <w:t>T</w:t>
      </w:r>
      <w:r w:rsidR="004238C2" w:rsidRPr="004718E3">
        <w:rPr>
          <w:rFonts w:ascii="Times New Roman" w:hAnsi="Times New Roman" w:cs="Times New Roman"/>
          <w:sz w:val="24"/>
        </w:rPr>
        <w:t>he</w:t>
      </w:r>
      <w:r w:rsidR="0097575E" w:rsidRPr="004718E3">
        <w:rPr>
          <w:rFonts w:ascii="Times New Roman" w:hAnsi="Times New Roman" w:cs="Times New Roman"/>
          <w:sz w:val="24"/>
        </w:rPr>
        <w:t xml:space="preserve"> appropriate evidence</w:t>
      </w:r>
      <w:r w:rsidR="004238C2" w:rsidRPr="004718E3">
        <w:rPr>
          <w:rFonts w:ascii="Times New Roman" w:hAnsi="Times New Roman" w:cs="Times New Roman"/>
          <w:sz w:val="24"/>
        </w:rPr>
        <w:t xml:space="preserve"> of </w:t>
      </w:r>
      <w:r w:rsidR="0097575E" w:rsidRPr="004718E3">
        <w:rPr>
          <w:rFonts w:ascii="Times New Roman" w:hAnsi="Times New Roman" w:cs="Times New Roman"/>
          <w:sz w:val="24"/>
        </w:rPr>
        <w:t xml:space="preserve">consists of </w:t>
      </w:r>
      <w:r w:rsidR="004238C2" w:rsidRPr="004718E3">
        <w:rPr>
          <w:rFonts w:ascii="Times New Roman" w:hAnsi="Times New Roman" w:cs="Times New Roman"/>
          <w:sz w:val="24"/>
        </w:rPr>
        <w:t>a written statement setting out the training course they have completed, the institution of the training course, and the name of the attained qualification.</w:t>
      </w:r>
      <w:r w:rsidR="00056B17">
        <w:rPr>
          <w:rFonts w:ascii="Times New Roman" w:hAnsi="Times New Roman" w:cs="Times New Roman"/>
          <w:sz w:val="24"/>
        </w:rPr>
        <w:t xml:space="preserve">  The requirements under this section have been considerably simplified when compared to the 2018 Instrument.  The requirement to demonstrate knowledge of relevant legislation, coupled with the requirement to demonstrate knowledge of audit team leadership and assurance, </w:t>
      </w:r>
      <w:r w:rsidR="00A13537">
        <w:rPr>
          <w:rFonts w:ascii="Times New Roman" w:hAnsi="Times New Roman" w:cs="Times New Roman"/>
          <w:sz w:val="24"/>
        </w:rPr>
        <w:t xml:space="preserve">already cover much of the evidence necessary for the </w:t>
      </w:r>
      <w:r w:rsidR="000B2EE2">
        <w:rPr>
          <w:rFonts w:ascii="Times New Roman" w:hAnsi="Times New Roman" w:cs="Times New Roman"/>
          <w:sz w:val="24"/>
        </w:rPr>
        <w:t>Regulator</w:t>
      </w:r>
      <w:r w:rsidR="00A13537">
        <w:rPr>
          <w:rFonts w:ascii="Times New Roman" w:hAnsi="Times New Roman" w:cs="Times New Roman"/>
          <w:sz w:val="24"/>
        </w:rPr>
        <w:t xml:space="preserve"> to be sure that </w:t>
      </w:r>
      <w:r w:rsidR="00056B17">
        <w:rPr>
          <w:rFonts w:ascii="Times New Roman" w:hAnsi="Times New Roman" w:cs="Times New Roman"/>
          <w:sz w:val="24"/>
        </w:rPr>
        <w:t>auditors have appropriate knowledge</w:t>
      </w:r>
      <w:r w:rsidR="00A13537">
        <w:rPr>
          <w:rFonts w:ascii="Times New Roman" w:hAnsi="Times New Roman" w:cs="Times New Roman"/>
          <w:sz w:val="24"/>
        </w:rPr>
        <w:t xml:space="preserve"> of audit</w:t>
      </w:r>
      <w:r w:rsidR="00056B17">
        <w:rPr>
          <w:rFonts w:ascii="Times New Roman" w:hAnsi="Times New Roman" w:cs="Times New Roman"/>
          <w:sz w:val="24"/>
        </w:rPr>
        <w:t xml:space="preserve">, despite the reduction in the requirements under </w:t>
      </w:r>
      <w:r w:rsidR="006C480C">
        <w:rPr>
          <w:rFonts w:ascii="Times New Roman" w:hAnsi="Times New Roman" w:cs="Times New Roman"/>
          <w:sz w:val="24"/>
        </w:rPr>
        <w:t>sub</w:t>
      </w:r>
      <w:r w:rsidR="00056B17">
        <w:rPr>
          <w:rFonts w:ascii="Times New Roman" w:hAnsi="Times New Roman" w:cs="Times New Roman"/>
          <w:sz w:val="24"/>
        </w:rPr>
        <w:t>section 9</w:t>
      </w:r>
      <w:r w:rsidR="006C480C">
        <w:rPr>
          <w:rFonts w:ascii="Times New Roman" w:hAnsi="Times New Roman" w:cs="Times New Roman"/>
          <w:sz w:val="24"/>
        </w:rPr>
        <w:t>(1)</w:t>
      </w:r>
      <w:r w:rsidR="00056B17">
        <w:rPr>
          <w:rFonts w:ascii="Times New Roman" w:hAnsi="Times New Roman" w:cs="Times New Roman"/>
          <w:sz w:val="24"/>
        </w:rPr>
        <w:t xml:space="preserve">.  </w:t>
      </w:r>
    </w:p>
    <w:p w14:paraId="62DA4EDB" w14:textId="714EF3B3" w:rsidR="004238C2" w:rsidRPr="004718E3" w:rsidRDefault="004238C2" w:rsidP="00A36690">
      <w:pPr>
        <w:jc w:val="both"/>
        <w:rPr>
          <w:rFonts w:ascii="Times New Roman" w:hAnsi="Times New Roman" w:cs="Times New Roman"/>
          <w:sz w:val="24"/>
        </w:rPr>
      </w:pPr>
      <w:r w:rsidRPr="004718E3">
        <w:rPr>
          <w:rFonts w:ascii="Times New Roman" w:hAnsi="Times New Roman" w:cs="Times New Roman"/>
          <w:sz w:val="24"/>
        </w:rPr>
        <w:t xml:space="preserve">If an applicant cannot provide evidence of knowledge through the manner in subregulation 6.15 (2), subregulation 6.15 (4) </w:t>
      </w:r>
      <w:r w:rsidR="00BA3AE8" w:rsidRPr="004718E3">
        <w:rPr>
          <w:rFonts w:ascii="Times New Roman" w:hAnsi="Times New Roman" w:cs="Times New Roman"/>
          <w:sz w:val="24"/>
        </w:rPr>
        <w:t xml:space="preserve">also </w:t>
      </w:r>
      <w:r w:rsidRPr="004718E3">
        <w:rPr>
          <w:rFonts w:ascii="Times New Roman" w:hAnsi="Times New Roman" w:cs="Times New Roman"/>
          <w:sz w:val="24"/>
        </w:rPr>
        <w:t xml:space="preserve">allows an applicant to satisfy the requirement of audit knowledge by participating in </w:t>
      </w:r>
      <w:r w:rsidR="00D410FE">
        <w:rPr>
          <w:rFonts w:ascii="Times New Roman" w:hAnsi="Times New Roman" w:cs="Times New Roman"/>
          <w:sz w:val="24"/>
        </w:rPr>
        <w:t xml:space="preserve">10 </w:t>
      </w:r>
      <w:r w:rsidRPr="004718E3">
        <w:rPr>
          <w:rFonts w:ascii="Times New Roman" w:hAnsi="Times New Roman" w:cs="Times New Roman"/>
          <w:sz w:val="24"/>
        </w:rPr>
        <w:t xml:space="preserve">audits </w:t>
      </w:r>
      <w:r w:rsidR="00A13537">
        <w:rPr>
          <w:rFonts w:ascii="Times New Roman" w:hAnsi="Times New Roman" w:cs="Times New Roman"/>
          <w:sz w:val="24"/>
        </w:rPr>
        <w:t xml:space="preserve">of a type specified in subsection 9(2) </w:t>
      </w:r>
      <w:r w:rsidRPr="004718E3">
        <w:rPr>
          <w:rFonts w:ascii="Times New Roman" w:hAnsi="Times New Roman" w:cs="Times New Roman"/>
          <w:sz w:val="24"/>
        </w:rPr>
        <w:t xml:space="preserve">over a period of five years and providing </w:t>
      </w:r>
      <w:r w:rsidR="00D410FE">
        <w:rPr>
          <w:rFonts w:ascii="Times New Roman" w:hAnsi="Times New Roman" w:cs="Times New Roman"/>
          <w:sz w:val="24"/>
        </w:rPr>
        <w:t>two</w:t>
      </w:r>
      <w:r w:rsidRPr="004718E3">
        <w:rPr>
          <w:rFonts w:ascii="Times New Roman" w:hAnsi="Times New Roman" w:cs="Times New Roman"/>
          <w:sz w:val="24"/>
        </w:rPr>
        <w:t xml:space="preserve"> eligible referee reports attesting to this participation. </w:t>
      </w:r>
    </w:p>
    <w:p w14:paraId="624C9A8D" w14:textId="65A94CFC" w:rsidR="0097575E" w:rsidRPr="00063323" w:rsidRDefault="0097575E" w:rsidP="00BB49A7">
      <w:pPr>
        <w:pStyle w:val="Heading6"/>
        <w:rPr>
          <w:rFonts w:ascii="Times New Roman" w:hAnsi="Times New Roman"/>
          <w:b w:val="0"/>
          <w:sz w:val="24"/>
          <w:szCs w:val="24"/>
          <w:u w:val="single"/>
        </w:rPr>
      </w:pPr>
      <w:r w:rsidRPr="00063323">
        <w:rPr>
          <w:rFonts w:ascii="Times New Roman" w:hAnsi="Times New Roman"/>
          <w:b w:val="0"/>
          <w:sz w:val="24"/>
          <w:szCs w:val="24"/>
          <w:u w:val="single"/>
        </w:rPr>
        <w:t>Section 10 Knowledge of audit team leadership and assurance—Category 2 applicants</w:t>
      </w:r>
    </w:p>
    <w:p w14:paraId="1E8A6C29" w14:textId="29E7EC8F"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Subregulation 6.16 (1) of the Regulations </w:t>
      </w:r>
      <w:r w:rsidR="00590EA0" w:rsidRPr="004718E3">
        <w:rPr>
          <w:rFonts w:ascii="Times New Roman" w:hAnsi="Times New Roman" w:cs="Times New Roman"/>
          <w:sz w:val="24"/>
        </w:rPr>
        <w:t xml:space="preserve">stipulates </w:t>
      </w:r>
      <w:r w:rsidRPr="004718E3">
        <w:rPr>
          <w:rFonts w:ascii="Times New Roman" w:hAnsi="Times New Roman" w:cs="Times New Roman"/>
          <w:sz w:val="24"/>
        </w:rPr>
        <w:t xml:space="preserve">that an applicant for registration as a Category 2 auditor must </w:t>
      </w:r>
      <w:r w:rsidR="00957DE7" w:rsidRPr="004718E3">
        <w:rPr>
          <w:rFonts w:ascii="Times New Roman" w:hAnsi="Times New Roman" w:cs="Times New Roman"/>
          <w:sz w:val="24"/>
        </w:rPr>
        <w:t xml:space="preserve">also </w:t>
      </w:r>
      <w:r w:rsidRPr="004718E3">
        <w:rPr>
          <w:rFonts w:ascii="Times New Roman" w:hAnsi="Times New Roman" w:cs="Times New Roman"/>
          <w:sz w:val="24"/>
        </w:rPr>
        <w:t xml:space="preserve">have knowledge of audit team leadership and assurance. To demonstrate that knowledge, the applicant must, in or with the application, provide the Regulator with appropriate evidence (subregulation 6.16 (2) of the Regulations). </w:t>
      </w:r>
    </w:p>
    <w:p w14:paraId="60550BF5" w14:textId="638D46A4" w:rsidR="00C04DA6" w:rsidRPr="00C04DA6" w:rsidRDefault="00ED6ADD" w:rsidP="00C04DA6">
      <w:pPr>
        <w:jc w:val="both"/>
        <w:rPr>
          <w:rFonts w:ascii="Times New Roman" w:hAnsi="Times New Roman" w:cs="Times New Roman"/>
          <w:sz w:val="24"/>
        </w:rPr>
      </w:pPr>
      <w:r w:rsidRPr="004718E3">
        <w:rPr>
          <w:rFonts w:ascii="Times New Roman" w:hAnsi="Times New Roman" w:cs="Times New Roman"/>
          <w:sz w:val="24"/>
        </w:rPr>
        <w:t xml:space="preserve">The effect of section </w:t>
      </w:r>
      <w:r w:rsidR="009B518D" w:rsidRPr="004718E3">
        <w:rPr>
          <w:rFonts w:ascii="Times New Roman" w:hAnsi="Times New Roman" w:cs="Times New Roman"/>
          <w:sz w:val="24"/>
        </w:rPr>
        <w:t>10</w:t>
      </w:r>
      <w:r w:rsidR="001760F3">
        <w:rPr>
          <w:rFonts w:ascii="Times New Roman" w:hAnsi="Times New Roman" w:cs="Times New Roman"/>
          <w:sz w:val="24"/>
        </w:rPr>
        <w:t xml:space="preserve"> </w:t>
      </w:r>
      <w:r w:rsidR="00057BDA" w:rsidRPr="004718E3">
        <w:rPr>
          <w:rFonts w:ascii="Times New Roman" w:hAnsi="Times New Roman" w:cs="Times New Roman"/>
          <w:sz w:val="24"/>
        </w:rPr>
        <w:t>(</w:t>
      </w:r>
      <w:r w:rsidR="009B518D" w:rsidRPr="004718E3">
        <w:rPr>
          <w:rFonts w:ascii="Times New Roman" w:hAnsi="Times New Roman" w:cs="Times New Roman"/>
          <w:sz w:val="24"/>
        </w:rPr>
        <w:t>1</w:t>
      </w:r>
      <w:r w:rsidR="00057BDA" w:rsidRPr="004718E3">
        <w:rPr>
          <w:rFonts w:ascii="Times New Roman" w:hAnsi="Times New Roman" w:cs="Times New Roman"/>
          <w:sz w:val="24"/>
        </w:rPr>
        <w:t xml:space="preserve">) </w:t>
      </w:r>
      <w:r w:rsidRPr="004718E3">
        <w:rPr>
          <w:rFonts w:ascii="Times New Roman" w:hAnsi="Times New Roman" w:cs="Times New Roman"/>
          <w:sz w:val="24"/>
        </w:rPr>
        <w:t xml:space="preserve">of the Instrument is that an applicant </w:t>
      </w:r>
      <w:r w:rsidR="00CE7279">
        <w:rPr>
          <w:rFonts w:ascii="Times New Roman" w:hAnsi="Times New Roman" w:cs="Times New Roman"/>
          <w:sz w:val="24"/>
        </w:rPr>
        <w:t>has multiple wa</w:t>
      </w:r>
      <w:r w:rsidR="007D33DA">
        <w:rPr>
          <w:rFonts w:ascii="Times New Roman" w:hAnsi="Times New Roman" w:cs="Times New Roman"/>
          <w:sz w:val="24"/>
        </w:rPr>
        <w:t>ys</w:t>
      </w:r>
      <w:r w:rsidR="00CE7279">
        <w:rPr>
          <w:rFonts w:ascii="Times New Roman" w:hAnsi="Times New Roman" w:cs="Times New Roman"/>
          <w:sz w:val="24"/>
        </w:rPr>
        <w:t xml:space="preserve"> to </w:t>
      </w:r>
      <w:r w:rsidRPr="004718E3">
        <w:rPr>
          <w:rFonts w:ascii="Times New Roman" w:hAnsi="Times New Roman" w:cs="Times New Roman"/>
          <w:sz w:val="24"/>
        </w:rPr>
        <w:t>satisfy the requirements provided for in subregulation 6.16 (1) of the Regulations</w:t>
      </w:r>
      <w:r w:rsidR="000B2EE2">
        <w:rPr>
          <w:rFonts w:ascii="Times New Roman" w:hAnsi="Times New Roman" w:cs="Times New Roman"/>
          <w:sz w:val="24"/>
        </w:rPr>
        <w:t>.  If</w:t>
      </w:r>
      <w:r w:rsidRPr="004718E3">
        <w:rPr>
          <w:rFonts w:ascii="Times New Roman" w:hAnsi="Times New Roman" w:cs="Times New Roman"/>
          <w:sz w:val="24"/>
        </w:rPr>
        <w:t xml:space="preserve"> he or she is registe</w:t>
      </w:r>
      <w:r w:rsidR="00C04DA6">
        <w:rPr>
          <w:rFonts w:ascii="Times New Roman" w:hAnsi="Times New Roman" w:cs="Times New Roman"/>
          <w:sz w:val="24"/>
        </w:rPr>
        <w:t>red as an auditor under section </w:t>
      </w:r>
      <w:r w:rsidRPr="004718E3">
        <w:rPr>
          <w:rFonts w:ascii="Times New Roman" w:hAnsi="Times New Roman" w:cs="Times New Roman"/>
          <w:sz w:val="24"/>
        </w:rPr>
        <w:t xml:space="preserve">1280 of the </w:t>
      </w:r>
      <w:r w:rsidRPr="004718E3">
        <w:rPr>
          <w:rFonts w:ascii="Times New Roman" w:hAnsi="Times New Roman" w:cs="Times New Roman"/>
          <w:i/>
          <w:sz w:val="24"/>
        </w:rPr>
        <w:t xml:space="preserve">Corporations Act 2001 </w:t>
      </w:r>
      <w:r w:rsidRPr="004718E3">
        <w:rPr>
          <w:rFonts w:ascii="Times New Roman" w:hAnsi="Times New Roman" w:cs="Times New Roman"/>
          <w:sz w:val="24"/>
        </w:rPr>
        <w:t>or has successfully completed one of the specified training courses</w:t>
      </w:r>
      <w:r w:rsidR="001760F3">
        <w:rPr>
          <w:rFonts w:ascii="Times New Roman" w:hAnsi="Times New Roman" w:cs="Times New Roman"/>
          <w:sz w:val="24"/>
        </w:rPr>
        <w:t xml:space="preserve"> in audit and assurance</w:t>
      </w:r>
      <w:r w:rsidR="00CE7279">
        <w:rPr>
          <w:rFonts w:ascii="Times New Roman" w:hAnsi="Times New Roman" w:cs="Times New Roman"/>
          <w:sz w:val="24"/>
        </w:rPr>
        <w:t>, then they will have demonstrated their knowledge of audit team leadership and assurance</w:t>
      </w:r>
      <w:r w:rsidRPr="004718E3">
        <w:rPr>
          <w:rFonts w:ascii="Times New Roman" w:hAnsi="Times New Roman" w:cs="Times New Roman"/>
          <w:sz w:val="24"/>
        </w:rPr>
        <w:t>.</w:t>
      </w:r>
      <w:r w:rsidR="00CE7279">
        <w:rPr>
          <w:rFonts w:ascii="Times New Roman" w:hAnsi="Times New Roman" w:cs="Times New Roman"/>
          <w:sz w:val="24"/>
        </w:rPr>
        <w:t xml:space="preserve"> However, the applicant may also demonstrate their knowledge of audit team leadership separately from their knowledge of assurance.  The ways to demonstrate these types of knowledge separately are set out in subsections 10 (2), (3) and (4).  </w:t>
      </w:r>
      <w:bookmarkStart w:id="1" w:name="Section_7_Knowledge_of_relevant_legislat"/>
      <w:bookmarkStart w:id="2" w:name="Section_8_Evidence_of_knowledge_of_relev"/>
      <w:bookmarkStart w:id="3" w:name="Section_9_Demonstrating_knowledge_of_aud"/>
      <w:bookmarkStart w:id="4" w:name="Section_10_Evidence_of_knowledge_of_audi"/>
      <w:bookmarkEnd w:id="1"/>
      <w:bookmarkEnd w:id="2"/>
      <w:bookmarkEnd w:id="3"/>
      <w:bookmarkEnd w:id="4"/>
    </w:p>
    <w:p w14:paraId="45C91FC9" w14:textId="047784EC" w:rsidR="00CE7279" w:rsidRDefault="00ED6ADD" w:rsidP="00505F9B">
      <w:pPr>
        <w:kinsoku w:val="0"/>
        <w:overflowPunct w:val="0"/>
        <w:autoSpaceDE w:val="0"/>
        <w:autoSpaceDN w:val="0"/>
        <w:adjustRightInd w:val="0"/>
        <w:spacing w:after="0"/>
        <w:ind w:left="40" w:right="115"/>
        <w:jc w:val="both"/>
        <w:rPr>
          <w:rFonts w:ascii="Times New Roman" w:hAnsi="Times New Roman" w:cs="Times New Roman"/>
          <w:sz w:val="24"/>
        </w:rPr>
      </w:pPr>
      <w:r w:rsidRPr="004718E3">
        <w:rPr>
          <w:rFonts w:ascii="Times New Roman" w:hAnsi="Times New Roman" w:cs="Times New Roman"/>
          <w:sz w:val="24"/>
        </w:rPr>
        <w:t xml:space="preserve">Subsection </w:t>
      </w:r>
      <w:r w:rsidR="009B518D" w:rsidRPr="004718E3">
        <w:rPr>
          <w:rFonts w:ascii="Times New Roman" w:hAnsi="Times New Roman" w:cs="Times New Roman"/>
          <w:sz w:val="24"/>
        </w:rPr>
        <w:t xml:space="preserve">10 </w:t>
      </w:r>
      <w:r w:rsidR="00057BDA" w:rsidRPr="004718E3">
        <w:rPr>
          <w:rFonts w:ascii="Times New Roman" w:hAnsi="Times New Roman" w:cs="Times New Roman"/>
          <w:sz w:val="24"/>
        </w:rPr>
        <w:t>(</w:t>
      </w:r>
      <w:r w:rsidR="009B518D" w:rsidRPr="004718E3">
        <w:rPr>
          <w:rFonts w:ascii="Times New Roman" w:hAnsi="Times New Roman" w:cs="Times New Roman"/>
          <w:sz w:val="24"/>
        </w:rPr>
        <w:t>2</w:t>
      </w:r>
      <w:r w:rsidR="00057BDA" w:rsidRPr="004718E3">
        <w:rPr>
          <w:rFonts w:ascii="Times New Roman" w:hAnsi="Times New Roman" w:cs="Times New Roman"/>
          <w:sz w:val="24"/>
        </w:rPr>
        <w:t>)</w:t>
      </w:r>
      <w:r w:rsidRPr="004718E3">
        <w:rPr>
          <w:rFonts w:ascii="Times New Roman" w:hAnsi="Times New Roman" w:cs="Times New Roman"/>
          <w:sz w:val="24"/>
        </w:rPr>
        <w:t xml:space="preserve"> provides that an applicant has knowledge of audit team leadership if he or she </w:t>
      </w:r>
      <w:r w:rsidR="00CE7279">
        <w:rPr>
          <w:rFonts w:ascii="Times New Roman" w:hAnsi="Times New Roman" w:cs="Times New Roman"/>
          <w:sz w:val="24"/>
        </w:rPr>
        <w:t>has been certified as a Lead Environmental Auditor or Business Improvement Environmental A</w:t>
      </w:r>
      <w:r w:rsidR="007D33DA">
        <w:rPr>
          <w:rFonts w:ascii="Times New Roman" w:hAnsi="Times New Roman" w:cs="Times New Roman"/>
          <w:sz w:val="24"/>
        </w:rPr>
        <w:t>uditor</w:t>
      </w:r>
      <w:r w:rsidR="00CE7279">
        <w:rPr>
          <w:rFonts w:ascii="Times New Roman" w:hAnsi="Times New Roman" w:cs="Times New Roman"/>
          <w:sz w:val="24"/>
        </w:rPr>
        <w:t xml:space="preserve"> or has successfully completed the specified training course in audit team leadership. </w:t>
      </w:r>
      <w:r w:rsidRPr="004718E3">
        <w:rPr>
          <w:rFonts w:ascii="Times New Roman" w:hAnsi="Times New Roman" w:cs="Times New Roman"/>
          <w:sz w:val="24"/>
        </w:rPr>
        <w:t xml:space="preserve">Subsection </w:t>
      </w:r>
      <w:r w:rsidR="009B518D" w:rsidRPr="004718E3">
        <w:rPr>
          <w:rFonts w:ascii="Times New Roman" w:hAnsi="Times New Roman" w:cs="Times New Roman"/>
          <w:sz w:val="24"/>
        </w:rPr>
        <w:t>10</w:t>
      </w:r>
      <w:r w:rsidR="00057BDA" w:rsidRPr="004718E3">
        <w:rPr>
          <w:rFonts w:ascii="Times New Roman" w:hAnsi="Times New Roman" w:cs="Times New Roman"/>
          <w:sz w:val="24"/>
        </w:rPr>
        <w:t>(</w:t>
      </w:r>
      <w:r w:rsidR="009B518D" w:rsidRPr="004718E3">
        <w:rPr>
          <w:rFonts w:ascii="Times New Roman" w:hAnsi="Times New Roman" w:cs="Times New Roman"/>
          <w:sz w:val="24"/>
        </w:rPr>
        <w:t>3</w:t>
      </w:r>
      <w:r w:rsidR="00057BDA" w:rsidRPr="004718E3">
        <w:rPr>
          <w:rFonts w:ascii="Times New Roman" w:hAnsi="Times New Roman" w:cs="Times New Roman"/>
          <w:sz w:val="24"/>
        </w:rPr>
        <w:t>)</w:t>
      </w:r>
      <w:r w:rsidRPr="004718E3">
        <w:rPr>
          <w:rFonts w:ascii="Times New Roman" w:hAnsi="Times New Roman" w:cs="Times New Roman"/>
          <w:sz w:val="24"/>
        </w:rPr>
        <w:t xml:space="preserve"> provides that an applicant has knowledge of assurance if he or she has successfully completed a specified </w:t>
      </w:r>
      <w:r w:rsidR="00CE7279">
        <w:rPr>
          <w:rFonts w:ascii="Times New Roman" w:hAnsi="Times New Roman" w:cs="Times New Roman"/>
          <w:sz w:val="24"/>
        </w:rPr>
        <w:t xml:space="preserve">training </w:t>
      </w:r>
      <w:r w:rsidRPr="004718E3">
        <w:rPr>
          <w:rFonts w:ascii="Times New Roman" w:hAnsi="Times New Roman" w:cs="Times New Roman"/>
          <w:sz w:val="24"/>
        </w:rPr>
        <w:t>course</w:t>
      </w:r>
      <w:r w:rsidR="00CE7279">
        <w:rPr>
          <w:rFonts w:ascii="Times New Roman" w:hAnsi="Times New Roman" w:cs="Times New Roman"/>
          <w:sz w:val="24"/>
        </w:rPr>
        <w:t xml:space="preserve"> in assurance</w:t>
      </w:r>
      <w:r w:rsidR="00505F9B">
        <w:rPr>
          <w:rFonts w:ascii="Times New Roman" w:hAnsi="Times New Roman" w:cs="Times New Roman"/>
          <w:sz w:val="24"/>
        </w:rPr>
        <w:t xml:space="preserve">. </w:t>
      </w:r>
      <w:r w:rsidR="00D410FE">
        <w:rPr>
          <w:rFonts w:ascii="Times New Roman" w:hAnsi="Times New Roman" w:cs="Times New Roman"/>
          <w:sz w:val="24"/>
        </w:rPr>
        <w:t xml:space="preserve"> </w:t>
      </w:r>
      <w:r w:rsidR="00505F9B" w:rsidRPr="00C04DA6">
        <w:rPr>
          <w:rFonts w:ascii="Times New Roman" w:hAnsi="Times New Roman" w:cs="Times New Roman"/>
          <w:sz w:val="24"/>
        </w:rPr>
        <w:t>Such a training course must be delivered by</w:t>
      </w:r>
      <w:r w:rsidR="00505F9B">
        <w:rPr>
          <w:rFonts w:ascii="Times New Roman" w:hAnsi="Times New Roman" w:cs="Times New Roman"/>
          <w:sz w:val="24"/>
        </w:rPr>
        <w:t xml:space="preserve"> </w:t>
      </w:r>
      <w:r w:rsidR="00505F9B" w:rsidRPr="00C04DA6">
        <w:rPr>
          <w:rFonts w:ascii="Times New Roman" w:hAnsi="Times New Roman" w:cs="Times New Roman"/>
          <w:sz w:val="24"/>
        </w:rPr>
        <w:t xml:space="preserve">a “competent training provider” within the meaning of section </w:t>
      </w:r>
      <w:r w:rsidR="00505F9B">
        <w:rPr>
          <w:rFonts w:ascii="Times New Roman" w:hAnsi="Times New Roman" w:cs="Times New Roman"/>
          <w:sz w:val="24"/>
        </w:rPr>
        <w:t>4</w:t>
      </w:r>
      <w:r w:rsidR="00505F9B" w:rsidRPr="00C04DA6">
        <w:rPr>
          <w:rFonts w:ascii="Times New Roman" w:hAnsi="Times New Roman" w:cs="Times New Roman"/>
          <w:sz w:val="24"/>
        </w:rPr>
        <w:t xml:space="preserve"> of the Instrument.</w:t>
      </w:r>
      <w:r w:rsidR="00505F9B">
        <w:rPr>
          <w:rFonts w:ascii="Times New Roman" w:hAnsi="Times New Roman" w:cs="Times New Roman"/>
          <w:sz w:val="24"/>
        </w:rPr>
        <w:t xml:space="preserve">  Alternatively, under subsection </w:t>
      </w:r>
      <w:r w:rsidR="00505F9B">
        <w:rPr>
          <w:rFonts w:ascii="Times New Roman" w:hAnsi="Times New Roman" w:cs="Times New Roman"/>
          <w:sz w:val="24"/>
        </w:rPr>
        <w:lastRenderedPageBreak/>
        <w:t xml:space="preserve">10 (4) an applicant may </w:t>
      </w:r>
      <w:r w:rsidR="00CE7279">
        <w:rPr>
          <w:rFonts w:ascii="Times New Roman" w:hAnsi="Times New Roman" w:cs="Times New Roman"/>
          <w:sz w:val="24"/>
        </w:rPr>
        <w:t xml:space="preserve">demonstrate other training or tertiary education that the Regulator considers appropriate in demonstrating knowledge of assurance.  </w:t>
      </w:r>
      <w:r w:rsidR="00505F9B" w:rsidRPr="001760F3">
        <w:rPr>
          <w:rFonts w:ascii="Times New Roman" w:hAnsi="Times New Roman" w:cs="Times New Roman"/>
          <w:sz w:val="24"/>
        </w:rPr>
        <w:t xml:space="preserve">This allows applicants with training and tertiary education that differs from the criteria in </w:t>
      </w:r>
      <w:r w:rsidR="00505F9B">
        <w:rPr>
          <w:rFonts w:ascii="Times New Roman" w:hAnsi="Times New Roman" w:cs="Times New Roman"/>
          <w:sz w:val="24"/>
        </w:rPr>
        <w:t>sub</w:t>
      </w:r>
      <w:r w:rsidR="00505F9B" w:rsidRPr="001760F3">
        <w:rPr>
          <w:rFonts w:ascii="Times New Roman" w:hAnsi="Times New Roman" w:cs="Times New Roman"/>
          <w:sz w:val="24"/>
        </w:rPr>
        <w:t>section</w:t>
      </w:r>
      <w:r w:rsidR="00505F9B">
        <w:rPr>
          <w:rFonts w:ascii="Times New Roman" w:hAnsi="Times New Roman" w:cs="Times New Roman"/>
          <w:sz w:val="24"/>
        </w:rPr>
        <w:t>s</w:t>
      </w:r>
      <w:r w:rsidR="00505F9B" w:rsidRPr="001760F3">
        <w:rPr>
          <w:rFonts w:ascii="Times New Roman" w:hAnsi="Times New Roman" w:cs="Times New Roman"/>
          <w:sz w:val="24"/>
        </w:rPr>
        <w:t xml:space="preserve"> </w:t>
      </w:r>
      <w:r w:rsidR="00505F9B" w:rsidRPr="00505F9B">
        <w:rPr>
          <w:rFonts w:ascii="Times New Roman" w:hAnsi="Times New Roman" w:cs="Times New Roman"/>
          <w:sz w:val="24"/>
        </w:rPr>
        <w:t>10</w:t>
      </w:r>
      <w:r w:rsidR="00505F9B">
        <w:rPr>
          <w:rFonts w:ascii="Times New Roman" w:hAnsi="Times New Roman" w:cs="Times New Roman"/>
          <w:sz w:val="24"/>
        </w:rPr>
        <w:t> (</w:t>
      </w:r>
      <w:r w:rsidR="00694C95">
        <w:rPr>
          <w:rFonts w:ascii="Times New Roman" w:hAnsi="Times New Roman" w:cs="Times New Roman"/>
          <w:sz w:val="24"/>
        </w:rPr>
        <w:t>1</w:t>
      </w:r>
      <w:r w:rsidR="00505F9B">
        <w:rPr>
          <w:rFonts w:ascii="Times New Roman" w:hAnsi="Times New Roman" w:cs="Times New Roman"/>
          <w:sz w:val="24"/>
        </w:rPr>
        <w:t>)</w:t>
      </w:r>
      <w:r w:rsidR="00694C95">
        <w:rPr>
          <w:rFonts w:ascii="Times New Roman" w:hAnsi="Times New Roman" w:cs="Times New Roman"/>
          <w:sz w:val="24"/>
        </w:rPr>
        <w:t>, (2) and (3)</w:t>
      </w:r>
      <w:r w:rsidR="00505F9B" w:rsidRPr="00505F9B">
        <w:rPr>
          <w:rFonts w:ascii="Times New Roman" w:hAnsi="Times New Roman" w:cs="Times New Roman"/>
          <w:sz w:val="24"/>
        </w:rPr>
        <w:t xml:space="preserve"> </w:t>
      </w:r>
      <w:r w:rsidR="00505F9B" w:rsidRPr="001760F3">
        <w:rPr>
          <w:rFonts w:ascii="Times New Roman" w:hAnsi="Times New Roman" w:cs="Times New Roman"/>
          <w:sz w:val="24"/>
        </w:rPr>
        <w:t>of the Instrument to still be considered for registration as an auditor</w:t>
      </w:r>
      <w:r w:rsidR="00694C95">
        <w:rPr>
          <w:rFonts w:ascii="Times New Roman" w:hAnsi="Times New Roman" w:cs="Times New Roman"/>
          <w:sz w:val="24"/>
        </w:rPr>
        <w:t xml:space="preserve">.  </w:t>
      </w:r>
      <w:r w:rsidR="000B2EE2">
        <w:rPr>
          <w:rFonts w:ascii="Times New Roman" w:hAnsi="Times New Roman" w:cs="Times New Roman"/>
          <w:sz w:val="24"/>
        </w:rPr>
        <w:t>For</w:t>
      </w:r>
      <w:r w:rsidR="000B2EE2" w:rsidRPr="001760F3">
        <w:rPr>
          <w:rFonts w:ascii="Times New Roman" w:hAnsi="Times New Roman" w:cs="Times New Roman"/>
          <w:sz w:val="24"/>
        </w:rPr>
        <w:t xml:space="preserve"> example</w:t>
      </w:r>
      <w:r w:rsidR="00505F9B" w:rsidRPr="001760F3">
        <w:rPr>
          <w:rFonts w:ascii="Times New Roman" w:hAnsi="Times New Roman" w:cs="Times New Roman"/>
          <w:sz w:val="24"/>
        </w:rPr>
        <w:t xml:space="preserve">, overseas applicants </w:t>
      </w:r>
      <w:r w:rsidR="00694C95">
        <w:rPr>
          <w:rFonts w:ascii="Times New Roman" w:hAnsi="Times New Roman" w:cs="Times New Roman"/>
          <w:sz w:val="24"/>
        </w:rPr>
        <w:t xml:space="preserve">will not have </w:t>
      </w:r>
      <w:r w:rsidR="00505F9B" w:rsidRPr="001760F3">
        <w:rPr>
          <w:rFonts w:ascii="Times New Roman" w:hAnsi="Times New Roman" w:cs="Times New Roman"/>
          <w:sz w:val="24"/>
        </w:rPr>
        <w:t xml:space="preserve">completed </w:t>
      </w:r>
      <w:r w:rsidR="00694C95">
        <w:rPr>
          <w:rFonts w:ascii="Times New Roman" w:hAnsi="Times New Roman" w:cs="Times New Roman"/>
          <w:sz w:val="24"/>
        </w:rPr>
        <w:t xml:space="preserve">training </w:t>
      </w:r>
      <w:r w:rsidR="00505F9B" w:rsidRPr="001760F3">
        <w:rPr>
          <w:rFonts w:ascii="Times New Roman" w:hAnsi="Times New Roman" w:cs="Times New Roman"/>
          <w:sz w:val="24"/>
        </w:rPr>
        <w:t xml:space="preserve">listed in </w:t>
      </w:r>
      <w:r w:rsidR="00505F9B">
        <w:rPr>
          <w:rFonts w:ascii="Times New Roman" w:hAnsi="Times New Roman" w:cs="Times New Roman"/>
          <w:sz w:val="24"/>
        </w:rPr>
        <w:t>sub</w:t>
      </w:r>
      <w:r w:rsidR="00505F9B" w:rsidRPr="001760F3">
        <w:rPr>
          <w:rFonts w:ascii="Times New Roman" w:hAnsi="Times New Roman" w:cs="Times New Roman"/>
          <w:sz w:val="24"/>
        </w:rPr>
        <w:t xml:space="preserve">section </w:t>
      </w:r>
      <w:r w:rsidR="00505F9B">
        <w:rPr>
          <w:rFonts w:ascii="Times New Roman" w:hAnsi="Times New Roman" w:cs="Times New Roman"/>
          <w:sz w:val="24"/>
        </w:rPr>
        <w:t xml:space="preserve">10 (3) </w:t>
      </w:r>
      <w:r w:rsidR="00505F9B" w:rsidRPr="001760F3">
        <w:rPr>
          <w:rFonts w:ascii="Times New Roman" w:hAnsi="Times New Roman" w:cs="Times New Roman"/>
          <w:sz w:val="24"/>
        </w:rPr>
        <w:t xml:space="preserve">of the Instrument but may </w:t>
      </w:r>
      <w:r w:rsidR="00694C95">
        <w:rPr>
          <w:rFonts w:ascii="Times New Roman" w:hAnsi="Times New Roman" w:cs="Times New Roman"/>
          <w:sz w:val="24"/>
        </w:rPr>
        <w:t xml:space="preserve">have other training and experience </w:t>
      </w:r>
      <w:r w:rsidR="00505F9B" w:rsidRPr="001760F3">
        <w:rPr>
          <w:rFonts w:ascii="Times New Roman" w:hAnsi="Times New Roman" w:cs="Times New Roman"/>
          <w:sz w:val="24"/>
        </w:rPr>
        <w:t xml:space="preserve">relevant to </w:t>
      </w:r>
      <w:r w:rsidR="00505F9B">
        <w:rPr>
          <w:rFonts w:ascii="Times New Roman" w:hAnsi="Times New Roman" w:cs="Times New Roman"/>
          <w:sz w:val="24"/>
        </w:rPr>
        <w:t xml:space="preserve">knowledge of </w:t>
      </w:r>
      <w:r w:rsidR="00694C95">
        <w:rPr>
          <w:rFonts w:ascii="Times New Roman" w:hAnsi="Times New Roman" w:cs="Times New Roman"/>
          <w:sz w:val="24"/>
        </w:rPr>
        <w:t xml:space="preserve">audit team leadership and </w:t>
      </w:r>
      <w:r w:rsidR="000B2EE2">
        <w:rPr>
          <w:rFonts w:ascii="Times New Roman" w:hAnsi="Times New Roman" w:cs="Times New Roman"/>
          <w:sz w:val="24"/>
        </w:rPr>
        <w:t xml:space="preserve">assurance.  </w:t>
      </w:r>
      <w:r w:rsidR="00E63DE1">
        <w:rPr>
          <w:rFonts w:ascii="Times New Roman" w:hAnsi="Times New Roman" w:cs="Times New Roman"/>
          <w:sz w:val="24"/>
        </w:rPr>
        <w:t xml:space="preserve">If the Regulator does not consider the information put forward by the applicant demonstrates knowledge of </w:t>
      </w:r>
      <w:r w:rsidR="00694C95">
        <w:rPr>
          <w:rFonts w:ascii="Times New Roman" w:hAnsi="Times New Roman" w:cs="Times New Roman"/>
          <w:sz w:val="24"/>
        </w:rPr>
        <w:t xml:space="preserve">audit team leadership and </w:t>
      </w:r>
      <w:r w:rsidR="00E63DE1">
        <w:rPr>
          <w:rFonts w:ascii="Times New Roman" w:hAnsi="Times New Roman" w:cs="Times New Roman"/>
          <w:sz w:val="24"/>
        </w:rPr>
        <w:t>assurance,</w:t>
      </w:r>
      <w:r w:rsidR="00505F9B">
        <w:rPr>
          <w:rFonts w:ascii="Times New Roman" w:hAnsi="Times New Roman" w:cs="Times New Roman"/>
          <w:sz w:val="24"/>
        </w:rPr>
        <w:t xml:space="preserve"> and the application is refused, the applicant may apply to the Administrative Appeals Tribunal for merits review</w:t>
      </w:r>
      <w:r w:rsidR="00694C95">
        <w:rPr>
          <w:rFonts w:ascii="Times New Roman" w:hAnsi="Times New Roman" w:cs="Times New Roman"/>
          <w:sz w:val="24"/>
        </w:rPr>
        <w:t xml:space="preserve"> of the decision</w:t>
      </w:r>
      <w:r w:rsidRPr="004718E3">
        <w:rPr>
          <w:rFonts w:ascii="Times New Roman" w:hAnsi="Times New Roman" w:cs="Times New Roman"/>
          <w:sz w:val="24"/>
        </w:rPr>
        <w:t xml:space="preserve">. </w:t>
      </w:r>
    </w:p>
    <w:p w14:paraId="1301A70A" w14:textId="77777777" w:rsidR="001760F3" w:rsidRPr="004718E3" w:rsidRDefault="001760F3" w:rsidP="00ED6ADD">
      <w:pPr>
        <w:jc w:val="both"/>
        <w:rPr>
          <w:rFonts w:ascii="Times New Roman" w:hAnsi="Times New Roman" w:cs="Times New Roman"/>
          <w:sz w:val="24"/>
        </w:rPr>
      </w:pPr>
    </w:p>
    <w:p w14:paraId="65F3A543" w14:textId="6F5223F0"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 xml:space="preserve">Section </w:t>
      </w:r>
      <w:r w:rsidR="00057BDA" w:rsidRPr="00063323">
        <w:rPr>
          <w:rFonts w:ascii="Times New Roman" w:hAnsi="Times New Roman"/>
          <w:b w:val="0"/>
          <w:sz w:val="24"/>
          <w:szCs w:val="24"/>
          <w:u w:val="single"/>
        </w:rPr>
        <w:t>1</w:t>
      </w:r>
      <w:r w:rsidR="0097575E" w:rsidRPr="00063323">
        <w:rPr>
          <w:rFonts w:ascii="Times New Roman" w:hAnsi="Times New Roman"/>
          <w:b w:val="0"/>
          <w:sz w:val="24"/>
          <w:szCs w:val="24"/>
          <w:u w:val="single"/>
        </w:rPr>
        <w:t>1</w:t>
      </w:r>
      <w:r w:rsidR="00057BDA" w:rsidRPr="00063323">
        <w:rPr>
          <w:rFonts w:ascii="Times New Roman" w:hAnsi="Times New Roman"/>
          <w:b w:val="0"/>
          <w:sz w:val="24"/>
          <w:szCs w:val="24"/>
          <w:u w:val="single"/>
        </w:rPr>
        <w:t xml:space="preserve"> </w:t>
      </w:r>
      <w:r w:rsidRPr="00063323">
        <w:rPr>
          <w:rFonts w:ascii="Times New Roman" w:hAnsi="Times New Roman"/>
          <w:b w:val="0"/>
          <w:sz w:val="24"/>
          <w:szCs w:val="24"/>
          <w:u w:val="single"/>
        </w:rPr>
        <w:t>Auditing experience requirements for applicants for Category 2 registration—auditing and preparing audit reports</w:t>
      </w:r>
    </w:p>
    <w:p w14:paraId="4F17F579" w14:textId="628E409B" w:rsidR="00ED6ADD" w:rsidRPr="004718E3" w:rsidRDefault="00ED6ADD" w:rsidP="00ED6ADD">
      <w:pPr>
        <w:pStyle w:val="zr2"/>
        <w:jc w:val="both"/>
      </w:pPr>
      <w:r w:rsidRPr="004718E3">
        <w:t>The effect of subregulation 6.20 (1) of the Regulations is that an applicant</w:t>
      </w:r>
      <w:r w:rsidR="00C01493">
        <w:t xml:space="preserve"> for registration as a Category </w:t>
      </w:r>
      <w:r w:rsidRPr="004718E3">
        <w:t xml:space="preserve">2 auditor must have the appropriate kind, and the appropriate period, of experience of auditing and preparing audit reports. </w:t>
      </w:r>
      <w:r w:rsidR="00D410FE">
        <w:t xml:space="preserve"> </w:t>
      </w:r>
      <w:r w:rsidRPr="004718E3">
        <w:t xml:space="preserve">Subsection </w:t>
      </w:r>
      <w:r w:rsidR="00B10F7F" w:rsidRPr="004718E3">
        <w:t>1</w:t>
      </w:r>
      <w:r w:rsidR="0089390A" w:rsidRPr="004718E3">
        <w:t>1</w:t>
      </w:r>
      <w:r w:rsidR="00B10F7F" w:rsidRPr="004718E3">
        <w:t> </w:t>
      </w:r>
      <w:r w:rsidRPr="004718E3">
        <w:t xml:space="preserve">(1) of the Instrument sets out the ways in which these requirements can be met. </w:t>
      </w:r>
    </w:p>
    <w:p w14:paraId="6530FFA4" w14:textId="08F10A4C" w:rsidR="00ED6ADD" w:rsidRPr="004718E3" w:rsidRDefault="00ED6ADD" w:rsidP="00ED6ADD">
      <w:pPr>
        <w:pStyle w:val="zr2"/>
        <w:jc w:val="both"/>
      </w:pPr>
      <w:r w:rsidRPr="004718E3">
        <w:t xml:space="preserve">In broad terms, the section provides that an applicant must have obtained at least 1,000 individual hours experience in total in the last </w:t>
      </w:r>
      <w:r w:rsidR="00451129" w:rsidRPr="004718E3">
        <w:t>five</w:t>
      </w:r>
      <w:r w:rsidRPr="004718E3">
        <w:t xml:space="preserve"> years as an audit team leader or a professional member of an audit team in auditing and preparing audit reports in </w:t>
      </w:r>
      <w:r w:rsidR="00451129" w:rsidRPr="004718E3">
        <w:t>five</w:t>
      </w:r>
      <w:r w:rsidRPr="004718E3">
        <w:t xml:space="preserve"> or more specified kinds of audits. </w:t>
      </w:r>
      <w:r w:rsidR="00D410FE">
        <w:t xml:space="preserve"> </w:t>
      </w:r>
      <w:r w:rsidRPr="004718E3">
        <w:t xml:space="preserve">The experience must be equivalent to conducting a reasonable assurance engagement or a limited assurance engagement under the </w:t>
      </w:r>
      <w:r w:rsidRPr="004718E3">
        <w:rPr>
          <w:i/>
        </w:rPr>
        <w:t>National Greenhouse and Energy Reporting (Audit) Determination 2009</w:t>
      </w:r>
      <w:r w:rsidRPr="004718E3">
        <w:t xml:space="preserve">. </w:t>
      </w:r>
    </w:p>
    <w:p w14:paraId="23CC2ADE" w14:textId="297343E4"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 xml:space="preserve">Section </w:t>
      </w:r>
      <w:r w:rsidR="00057BDA" w:rsidRPr="00063323">
        <w:rPr>
          <w:rFonts w:ascii="Times New Roman" w:hAnsi="Times New Roman"/>
          <w:b w:val="0"/>
          <w:sz w:val="24"/>
          <w:szCs w:val="24"/>
          <w:u w:val="single"/>
        </w:rPr>
        <w:t>1</w:t>
      </w:r>
      <w:r w:rsidR="0097575E" w:rsidRPr="00063323">
        <w:rPr>
          <w:rFonts w:ascii="Times New Roman" w:hAnsi="Times New Roman"/>
          <w:b w:val="0"/>
          <w:sz w:val="24"/>
          <w:szCs w:val="24"/>
          <w:u w:val="single"/>
        </w:rPr>
        <w:t>2</w:t>
      </w:r>
      <w:r w:rsidR="00057BDA" w:rsidRPr="00063323">
        <w:rPr>
          <w:rFonts w:ascii="Times New Roman" w:hAnsi="Times New Roman"/>
          <w:b w:val="0"/>
          <w:sz w:val="24"/>
          <w:szCs w:val="24"/>
          <w:u w:val="single"/>
        </w:rPr>
        <w:t xml:space="preserve"> </w:t>
      </w:r>
      <w:r w:rsidRPr="00063323">
        <w:rPr>
          <w:rFonts w:ascii="Times New Roman" w:hAnsi="Times New Roman"/>
          <w:b w:val="0"/>
          <w:sz w:val="24"/>
          <w:szCs w:val="24"/>
          <w:u w:val="single"/>
        </w:rPr>
        <w:t>Auditing experience requirements for applicants for Category 2 registration—audit team leadership</w:t>
      </w:r>
    </w:p>
    <w:p w14:paraId="6A955CE3"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effect of subregulation 6.20 (2) of the Regulations is that an individual who applies for registration as a Category 2 auditor must have had at least the appropriate kind, and the appropriate period, of experience of audit team leadership. Subregulation 6.20 (3) of the Regulations provides that the experience of auditing and preparing audit reports, and of audit team leadership, must have been obtained during the </w:t>
      </w:r>
      <w:r w:rsidR="00D060E5" w:rsidRPr="004718E3">
        <w:rPr>
          <w:rFonts w:ascii="Times New Roman" w:hAnsi="Times New Roman" w:cs="Times New Roman"/>
          <w:sz w:val="24"/>
        </w:rPr>
        <w:t>five</w:t>
      </w:r>
      <w:r w:rsidRPr="004718E3">
        <w:rPr>
          <w:rFonts w:ascii="Times New Roman" w:hAnsi="Times New Roman" w:cs="Times New Roman"/>
          <w:sz w:val="24"/>
        </w:rPr>
        <w:t xml:space="preserve"> years immediately preceding the day the application is made. </w:t>
      </w:r>
    </w:p>
    <w:p w14:paraId="7F197349" w14:textId="5C9B5C39" w:rsidR="00D060E5" w:rsidRPr="004718E3" w:rsidRDefault="00ED6ADD" w:rsidP="00ED6ADD">
      <w:pPr>
        <w:rPr>
          <w:rFonts w:ascii="Times New Roman" w:hAnsi="Times New Roman" w:cs="Times New Roman"/>
          <w:sz w:val="24"/>
        </w:rPr>
      </w:pPr>
      <w:r w:rsidRPr="004718E3">
        <w:rPr>
          <w:rFonts w:ascii="Times New Roman" w:hAnsi="Times New Roman" w:cs="Times New Roman"/>
          <w:sz w:val="24"/>
        </w:rPr>
        <w:t xml:space="preserve">Section </w:t>
      </w:r>
      <w:r w:rsidR="00057BDA" w:rsidRPr="004718E3">
        <w:rPr>
          <w:rFonts w:ascii="Times New Roman" w:hAnsi="Times New Roman" w:cs="Times New Roman"/>
          <w:sz w:val="24"/>
        </w:rPr>
        <w:t>1</w:t>
      </w:r>
      <w:r w:rsidR="009C0F41" w:rsidRPr="004718E3">
        <w:rPr>
          <w:rFonts w:ascii="Times New Roman" w:hAnsi="Times New Roman" w:cs="Times New Roman"/>
          <w:sz w:val="24"/>
        </w:rPr>
        <w:t>2</w:t>
      </w:r>
      <w:r w:rsidRPr="004718E3">
        <w:rPr>
          <w:rFonts w:ascii="Times New Roman" w:hAnsi="Times New Roman" w:cs="Times New Roman"/>
          <w:sz w:val="24"/>
        </w:rPr>
        <w:t xml:space="preserve"> of the Instrument sets out the ways in which the requirements of this subregulation may be met. Section </w:t>
      </w:r>
      <w:r w:rsidR="00057BDA" w:rsidRPr="004718E3">
        <w:rPr>
          <w:rFonts w:ascii="Times New Roman" w:hAnsi="Times New Roman" w:cs="Times New Roman"/>
          <w:sz w:val="24"/>
        </w:rPr>
        <w:t>1</w:t>
      </w:r>
      <w:r w:rsidR="009C0F41" w:rsidRPr="004718E3">
        <w:rPr>
          <w:rFonts w:ascii="Times New Roman" w:hAnsi="Times New Roman" w:cs="Times New Roman"/>
          <w:sz w:val="24"/>
        </w:rPr>
        <w:t>2</w:t>
      </w:r>
      <w:r w:rsidRPr="004718E3">
        <w:rPr>
          <w:rFonts w:ascii="Times New Roman" w:hAnsi="Times New Roman" w:cs="Times New Roman"/>
          <w:sz w:val="24"/>
        </w:rPr>
        <w:t xml:space="preserve"> provides that an applicant must have obtained at least 700 individual hours experience in total as an audit team leader of an audit team that has three or more other members in one or more kinds of specified audits. The purpose of this requirement is to ensure that an applicant for Category 2 registration has significant experience in leading large audit teams.</w:t>
      </w:r>
    </w:p>
    <w:p w14:paraId="0D3C0631" w14:textId="60C0C5C1" w:rsidR="007010DB" w:rsidRPr="004718E3" w:rsidRDefault="00D060E5" w:rsidP="00ED6ADD">
      <w:pPr>
        <w:rPr>
          <w:rFonts w:ascii="Times New Roman" w:hAnsi="Times New Roman" w:cs="Times New Roman"/>
          <w:color w:val="auto"/>
          <w:sz w:val="24"/>
        </w:rPr>
      </w:pPr>
      <w:r w:rsidRPr="004718E3">
        <w:rPr>
          <w:rFonts w:ascii="Times New Roman" w:hAnsi="Times New Roman" w:cs="Times New Roman"/>
          <w:sz w:val="24"/>
        </w:rPr>
        <w:t>Alternatively, an applicant must have obtained at least 700 individual hours experience as a supervisor of an audit team for a Part 6 audit</w:t>
      </w:r>
      <w:r w:rsidR="00057BDA" w:rsidRPr="004718E3">
        <w:rPr>
          <w:rFonts w:ascii="Times New Roman" w:hAnsi="Times New Roman" w:cs="Times New Roman"/>
          <w:sz w:val="24"/>
        </w:rPr>
        <w:t xml:space="preserve"> or alternative audit</w:t>
      </w:r>
      <w:r w:rsidRPr="004718E3">
        <w:rPr>
          <w:rFonts w:ascii="Times New Roman" w:hAnsi="Times New Roman" w:cs="Times New Roman"/>
          <w:sz w:val="24"/>
        </w:rPr>
        <w:t xml:space="preserve">. </w:t>
      </w:r>
      <w:r w:rsidR="00D410FE">
        <w:rPr>
          <w:rFonts w:ascii="Times New Roman" w:hAnsi="Times New Roman" w:cs="Times New Roman"/>
          <w:sz w:val="24"/>
        </w:rPr>
        <w:t xml:space="preserve"> </w:t>
      </w:r>
      <w:r w:rsidRPr="004718E3">
        <w:rPr>
          <w:rFonts w:ascii="Times New Roman" w:hAnsi="Times New Roman" w:cs="Times New Roman"/>
          <w:sz w:val="24"/>
        </w:rPr>
        <w:t xml:space="preserve">The purpose of this requirement is to ensure that an applicant for Category 2 registration has significant experience in </w:t>
      </w:r>
      <w:r w:rsidR="00C650A7" w:rsidRPr="004718E3">
        <w:rPr>
          <w:rFonts w:ascii="Times New Roman" w:hAnsi="Times New Roman" w:cs="Times New Roman"/>
          <w:sz w:val="24"/>
        </w:rPr>
        <w:t>supervising</w:t>
      </w:r>
      <w:r w:rsidRPr="004718E3">
        <w:rPr>
          <w:rFonts w:ascii="Times New Roman" w:hAnsi="Times New Roman" w:cs="Times New Roman"/>
          <w:sz w:val="24"/>
        </w:rPr>
        <w:t xml:space="preserve"> large audit teams</w:t>
      </w:r>
      <w:r w:rsidRPr="004718E3">
        <w:rPr>
          <w:rFonts w:ascii="Times New Roman" w:hAnsi="Times New Roman" w:cs="Times New Roman"/>
          <w:color w:val="auto"/>
          <w:sz w:val="24"/>
        </w:rPr>
        <w:t>, sufficient to provide them with experience equivalent to that for audit team leadership.</w:t>
      </w:r>
    </w:p>
    <w:p w14:paraId="6331BC62" w14:textId="5B12CE96" w:rsidR="00ED6ADD" w:rsidRPr="004718E3" w:rsidRDefault="007010DB" w:rsidP="00ED6ADD">
      <w:pPr>
        <w:rPr>
          <w:rFonts w:ascii="Times New Roman" w:hAnsi="Times New Roman" w:cs="Times New Roman"/>
          <w:color w:val="auto"/>
          <w:sz w:val="24"/>
        </w:rPr>
      </w:pPr>
      <w:r w:rsidRPr="004718E3">
        <w:rPr>
          <w:rFonts w:ascii="Times New Roman" w:hAnsi="Times New Roman" w:cs="Times New Roman"/>
          <w:color w:val="auto"/>
          <w:sz w:val="24"/>
        </w:rPr>
        <w:t xml:space="preserve">Subsection </w:t>
      </w:r>
      <w:r w:rsidR="00057BDA" w:rsidRPr="004718E3">
        <w:rPr>
          <w:rFonts w:ascii="Times New Roman" w:hAnsi="Times New Roman" w:cs="Times New Roman"/>
          <w:color w:val="auto"/>
          <w:sz w:val="24"/>
        </w:rPr>
        <w:t>1</w:t>
      </w:r>
      <w:r w:rsidR="009C0F41" w:rsidRPr="004718E3">
        <w:rPr>
          <w:rFonts w:ascii="Times New Roman" w:hAnsi="Times New Roman" w:cs="Times New Roman"/>
          <w:color w:val="auto"/>
          <w:sz w:val="24"/>
        </w:rPr>
        <w:t>2</w:t>
      </w:r>
      <w:r w:rsidR="00C01493">
        <w:rPr>
          <w:rFonts w:ascii="Times New Roman" w:hAnsi="Times New Roman" w:cs="Times New Roman"/>
          <w:color w:val="auto"/>
          <w:sz w:val="24"/>
        </w:rPr>
        <w:t xml:space="preserve"> (c</w:t>
      </w:r>
      <w:r w:rsidRPr="004718E3">
        <w:rPr>
          <w:rFonts w:ascii="Times New Roman" w:hAnsi="Times New Roman" w:cs="Times New Roman"/>
          <w:color w:val="auto"/>
          <w:sz w:val="24"/>
        </w:rPr>
        <w:t>) of the instrument provides that an applicant must have obtained a combined total of at least 700 individual hours experience as an audit team leader of an audit team that has three or more other members</w:t>
      </w:r>
      <w:r w:rsidR="00222C9D" w:rsidRPr="004718E3">
        <w:rPr>
          <w:rFonts w:ascii="Times New Roman" w:hAnsi="Times New Roman" w:cs="Times New Roman"/>
          <w:color w:val="auto"/>
          <w:sz w:val="24"/>
        </w:rPr>
        <w:t xml:space="preserve"> in one or more specified audits</w:t>
      </w:r>
      <w:r w:rsidRPr="004718E3">
        <w:rPr>
          <w:rFonts w:ascii="Times New Roman" w:hAnsi="Times New Roman" w:cs="Times New Roman"/>
          <w:color w:val="auto"/>
          <w:sz w:val="24"/>
        </w:rPr>
        <w:t xml:space="preserve"> and </w:t>
      </w:r>
      <w:r w:rsidR="00222C9D" w:rsidRPr="004718E3">
        <w:rPr>
          <w:rFonts w:ascii="Times New Roman" w:hAnsi="Times New Roman" w:cs="Times New Roman"/>
          <w:color w:val="auto"/>
          <w:sz w:val="24"/>
        </w:rPr>
        <w:t xml:space="preserve">as a supervisor of an audit team for a Part 6 audit. </w:t>
      </w:r>
      <w:r w:rsidR="00D410FE">
        <w:rPr>
          <w:rFonts w:ascii="Times New Roman" w:hAnsi="Times New Roman" w:cs="Times New Roman"/>
          <w:color w:val="auto"/>
          <w:sz w:val="24"/>
        </w:rPr>
        <w:t xml:space="preserve"> </w:t>
      </w:r>
      <w:r w:rsidR="00222C9D" w:rsidRPr="004718E3">
        <w:rPr>
          <w:rFonts w:ascii="Times New Roman" w:hAnsi="Times New Roman" w:cs="Times New Roman"/>
          <w:color w:val="auto"/>
          <w:sz w:val="24"/>
        </w:rPr>
        <w:t>This allows applicants with both supervisory and team leader experience that meets the combined minimum 700 hours to be considered for registration as a Category 2 auditor.</w:t>
      </w:r>
      <w:r w:rsidR="00ED6ADD" w:rsidRPr="004718E3">
        <w:rPr>
          <w:rFonts w:ascii="Times New Roman" w:hAnsi="Times New Roman" w:cs="Times New Roman"/>
          <w:sz w:val="24"/>
        </w:rPr>
        <w:br w:type="page"/>
      </w:r>
    </w:p>
    <w:p w14:paraId="19C0BF68" w14:textId="36E52857" w:rsidR="00661589" w:rsidRPr="00C73E22" w:rsidRDefault="00661589" w:rsidP="00661589">
      <w:pPr>
        <w:jc w:val="right"/>
        <w:rPr>
          <w:rFonts w:ascii="Times New Roman" w:hAnsi="Times New Roman" w:cs="Times New Roman"/>
          <w:sz w:val="24"/>
          <w:u w:val="single"/>
        </w:rPr>
      </w:pPr>
      <w:r w:rsidRPr="004718E3">
        <w:rPr>
          <w:rFonts w:ascii="Times New Roman" w:hAnsi="Times New Roman" w:cs="Times New Roman"/>
          <w:b/>
          <w:sz w:val="24"/>
          <w:u w:val="single"/>
        </w:rPr>
        <w:lastRenderedPageBreak/>
        <w:t xml:space="preserve">ATTACHMENT </w:t>
      </w:r>
      <w:r>
        <w:rPr>
          <w:rFonts w:ascii="Times New Roman" w:hAnsi="Times New Roman" w:cs="Times New Roman"/>
          <w:b/>
          <w:sz w:val="24"/>
          <w:u w:val="single"/>
        </w:rPr>
        <w:t>B</w:t>
      </w:r>
      <w:r>
        <w:rPr>
          <w:rFonts w:ascii="Times New Roman" w:hAnsi="Times New Roman" w:cs="Times New Roman"/>
          <w:b/>
          <w:sz w:val="24"/>
          <w:u w:val="single"/>
        </w:rPr>
        <w:br/>
      </w:r>
    </w:p>
    <w:p w14:paraId="6991F31B" w14:textId="161D2941" w:rsidR="00ED6ADD" w:rsidRPr="00C73E22" w:rsidRDefault="00ED6ADD" w:rsidP="00ED6ADD">
      <w:pPr>
        <w:jc w:val="center"/>
        <w:rPr>
          <w:rFonts w:ascii="Times New Roman" w:hAnsi="Times New Roman" w:cs="Times New Roman"/>
          <w:b/>
          <w:sz w:val="28"/>
          <w:szCs w:val="28"/>
        </w:rPr>
      </w:pPr>
      <w:r w:rsidRPr="00C73E22">
        <w:rPr>
          <w:rFonts w:ascii="Times New Roman" w:hAnsi="Times New Roman" w:cs="Times New Roman"/>
          <w:b/>
          <w:sz w:val="28"/>
          <w:szCs w:val="28"/>
        </w:rPr>
        <w:t>Statement of compatibility with human rights</w:t>
      </w:r>
      <w:r w:rsidR="00661589" w:rsidRPr="00C73E22">
        <w:rPr>
          <w:rFonts w:ascii="Times New Roman" w:hAnsi="Times New Roman" w:cs="Times New Roman"/>
          <w:b/>
          <w:sz w:val="28"/>
          <w:szCs w:val="28"/>
        </w:rPr>
        <w:br/>
      </w:r>
    </w:p>
    <w:p w14:paraId="1F284D3E" w14:textId="77777777" w:rsidR="00ED6ADD" w:rsidRPr="00C73E22" w:rsidRDefault="00ED6ADD" w:rsidP="00894059">
      <w:pPr>
        <w:jc w:val="center"/>
        <w:rPr>
          <w:rFonts w:ascii="Times New Roman" w:hAnsi="Times New Roman" w:cs="Times New Roman"/>
          <w:i/>
          <w:sz w:val="24"/>
        </w:rPr>
      </w:pPr>
      <w:r w:rsidRPr="00C73E22">
        <w:rPr>
          <w:rFonts w:ascii="Times New Roman" w:hAnsi="Times New Roman" w:cs="Times New Roman"/>
          <w:i/>
          <w:sz w:val="24"/>
        </w:rPr>
        <w:t>Prepared in accordance with Part 3 of the Human Rights (Parliamentary Scrutiny) Act 2011</w:t>
      </w:r>
    </w:p>
    <w:p w14:paraId="682815B8" w14:textId="56D44107" w:rsidR="00ED6ADD" w:rsidRPr="00C73E22" w:rsidRDefault="00ED6ADD" w:rsidP="00894059">
      <w:pPr>
        <w:jc w:val="center"/>
        <w:rPr>
          <w:rFonts w:ascii="Times New Roman" w:hAnsi="Times New Roman" w:cs="Times New Roman"/>
          <w:b/>
          <w:i/>
          <w:sz w:val="24"/>
        </w:rPr>
      </w:pPr>
      <w:r w:rsidRPr="00C73E22">
        <w:rPr>
          <w:rFonts w:ascii="Times New Roman" w:hAnsi="Times New Roman" w:cs="Times New Roman"/>
          <w:b/>
          <w:i/>
          <w:sz w:val="24"/>
        </w:rPr>
        <w:t>National Greenhouse and Energy Reporting (Auditor Registration) Instrument 201</w:t>
      </w:r>
      <w:r w:rsidR="00063323" w:rsidRPr="00C73E22">
        <w:rPr>
          <w:rFonts w:ascii="Times New Roman" w:hAnsi="Times New Roman" w:cs="Times New Roman"/>
          <w:b/>
          <w:i/>
          <w:sz w:val="24"/>
        </w:rPr>
        <w:t>9</w:t>
      </w:r>
    </w:p>
    <w:p w14:paraId="64D617A5" w14:textId="32676665" w:rsidR="00ED6ADD" w:rsidRPr="00C73E22" w:rsidRDefault="00ED6ADD" w:rsidP="00661589">
      <w:pPr>
        <w:rPr>
          <w:rFonts w:ascii="Times New Roman" w:hAnsi="Times New Roman" w:cs="Times New Roman"/>
          <w:sz w:val="24"/>
        </w:rPr>
      </w:pPr>
      <w:r w:rsidRPr="00C73E22">
        <w:rPr>
          <w:rFonts w:ascii="Times New Roman" w:hAnsi="Times New Roman" w:cs="Times New Roman"/>
          <w:sz w:val="24"/>
        </w:rPr>
        <w:t xml:space="preserve">The </w:t>
      </w:r>
      <w:r w:rsidRPr="00C73E22">
        <w:rPr>
          <w:rFonts w:ascii="Times New Roman" w:hAnsi="Times New Roman" w:cs="Times New Roman"/>
          <w:i/>
          <w:sz w:val="24"/>
        </w:rPr>
        <w:t>National Greenhouse and Energy Reporting (Auditor Registration) Instrument 201</w:t>
      </w:r>
      <w:r w:rsidR="00063323" w:rsidRPr="00C73E22">
        <w:rPr>
          <w:rFonts w:ascii="Times New Roman" w:hAnsi="Times New Roman" w:cs="Times New Roman"/>
          <w:i/>
          <w:sz w:val="24"/>
        </w:rPr>
        <w:t>9</w:t>
      </w:r>
      <w:r w:rsidRPr="00C73E22">
        <w:rPr>
          <w:rFonts w:ascii="Times New Roman" w:hAnsi="Times New Roman" w:cs="Times New Roman"/>
          <w:sz w:val="24"/>
        </w:rPr>
        <w:t xml:space="preserve"> (the Instrument) is compatible with the human rights and freedoms recognised or declared in the international instruments listed in section 3 of the </w:t>
      </w:r>
      <w:r w:rsidRPr="00C73E22">
        <w:rPr>
          <w:rFonts w:ascii="Times New Roman" w:hAnsi="Times New Roman" w:cs="Times New Roman"/>
          <w:i/>
          <w:sz w:val="24"/>
        </w:rPr>
        <w:t>Human Rights (Parliamentary Scrutiny) Act 2011</w:t>
      </w:r>
      <w:r w:rsidRPr="00C73E22">
        <w:rPr>
          <w:rFonts w:ascii="Times New Roman" w:hAnsi="Times New Roman" w:cs="Times New Roman"/>
          <w:sz w:val="24"/>
        </w:rPr>
        <w:t>.</w:t>
      </w:r>
    </w:p>
    <w:p w14:paraId="0456130D" w14:textId="034BE22F" w:rsidR="00ED6ADD" w:rsidRPr="00C73E22" w:rsidRDefault="00ED6ADD" w:rsidP="00ED6ADD">
      <w:pPr>
        <w:rPr>
          <w:rFonts w:ascii="Times New Roman" w:hAnsi="Times New Roman" w:cs="Times New Roman"/>
          <w:b/>
          <w:sz w:val="24"/>
        </w:rPr>
      </w:pPr>
      <w:r w:rsidRPr="00C73E22">
        <w:rPr>
          <w:rFonts w:ascii="Times New Roman" w:hAnsi="Times New Roman" w:cs="Times New Roman"/>
          <w:b/>
          <w:sz w:val="24"/>
        </w:rPr>
        <w:t xml:space="preserve">Overview of the </w:t>
      </w:r>
      <w:r w:rsidR="00661589" w:rsidRPr="00C73E22">
        <w:rPr>
          <w:rFonts w:ascii="Times New Roman" w:hAnsi="Times New Roman" w:cs="Times New Roman"/>
          <w:b/>
          <w:sz w:val="24"/>
        </w:rPr>
        <w:t xml:space="preserve">Legislative </w:t>
      </w:r>
      <w:r w:rsidRPr="00C73E22">
        <w:rPr>
          <w:rFonts w:ascii="Times New Roman" w:hAnsi="Times New Roman" w:cs="Times New Roman"/>
          <w:b/>
          <w:sz w:val="24"/>
        </w:rPr>
        <w:t>Instrument</w:t>
      </w:r>
    </w:p>
    <w:p w14:paraId="64ED07DE" w14:textId="2657342D" w:rsidR="00661589" w:rsidRPr="00C73E22" w:rsidRDefault="00661589" w:rsidP="00661589">
      <w:pPr>
        <w:jc w:val="both"/>
        <w:rPr>
          <w:rFonts w:ascii="Times New Roman" w:hAnsi="Times New Roman" w:cs="Times New Roman"/>
          <w:sz w:val="24"/>
        </w:rPr>
      </w:pPr>
      <w:r w:rsidRPr="00C73E22">
        <w:rPr>
          <w:rFonts w:ascii="Times New Roman" w:hAnsi="Times New Roman" w:cs="Times New Roman"/>
          <w:sz w:val="24"/>
        </w:rPr>
        <w:t xml:space="preserve">The purpose of the </w:t>
      </w:r>
      <w:r w:rsidRPr="00C73E22">
        <w:rPr>
          <w:rFonts w:ascii="Times New Roman" w:hAnsi="Times New Roman" w:cs="Times New Roman"/>
          <w:i/>
          <w:sz w:val="24"/>
        </w:rPr>
        <w:t>National Greenhouse and Energy Reporting (Auditor Registration) Instrument 2019</w:t>
      </w:r>
      <w:r w:rsidRPr="00C73E22">
        <w:rPr>
          <w:rFonts w:ascii="Times New Roman" w:hAnsi="Times New Roman" w:cs="Times New Roman"/>
          <w:sz w:val="24"/>
        </w:rPr>
        <w:t xml:space="preserve"> (the Instrument) is to set out the ways in which the requirements of the </w:t>
      </w:r>
      <w:r w:rsidRPr="00C73E22">
        <w:rPr>
          <w:rFonts w:ascii="Times New Roman" w:hAnsi="Times New Roman" w:cs="Times New Roman"/>
          <w:i/>
          <w:sz w:val="24"/>
        </w:rPr>
        <w:t xml:space="preserve">National Greenhouse and Energy Reporting Regulations 2008 </w:t>
      </w:r>
      <w:r w:rsidRPr="00C73E22">
        <w:rPr>
          <w:rFonts w:ascii="Times New Roman" w:hAnsi="Times New Roman" w:cs="Times New Roman"/>
          <w:sz w:val="24"/>
        </w:rPr>
        <w:t xml:space="preserve">be met.  These requirements relate to the knowledge, qualifications and experience an applicant for registration as a greenhouse and energy auditor must have.  </w:t>
      </w:r>
    </w:p>
    <w:p w14:paraId="3AEEE2FD" w14:textId="3A4E3250" w:rsidR="00ED6ADD" w:rsidRPr="00C73E22" w:rsidRDefault="00ED6ADD" w:rsidP="00ED6ADD">
      <w:pPr>
        <w:jc w:val="both"/>
        <w:rPr>
          <w:rFonts w:ascii="Times New Roman" w:hAnsi="Times New Roman" w:cs="Times New Roman"/>
          <w:i/>
          <w:sz w:val="24"/>
        </w:rPr>
      </w:pPr>
      <w:r w:rsidRPr="00C73E22">
        <w:rPr>
          <w:rFonts w:ascii="Times New Roman" w:hAnsi="Times New Roman" w:cs="Times New Roman"/>
          <w:sz w:val="24"/>
        </w:rPr>
        <w:t xml:space="preserve">The Instrument also revokes the </w:t>
      </w:r>
      <w:r w:rsidRPr="00C73E22">
        <w:rPr>
          <w:rFonts w:ascii="Times New Roman" w:hAnsi="Times New Roman" w:cs="Times New Roman"/>
          <w:i/>
          <w:sz w:val="24"/>
        </w:rPr>
        <w:t xml:space="preserve">National Greenhouse and Energy Reporting (Auditor Registration) Instrument </w:t>
      </w:r>
      <w:r w:rsidR="00063323" w:rsidRPr="00C73E22">
        <w:rPr>
          <w:rFonts w:ascii="Times New Roman" w:hAnsi="Times New Roman" w:cs="Times New Roman"/>
          <w:i/>
          <w:sz w:val="24"/>
        </w:rPr>
        <w:t>2018</w:t>
      </w:r>
      <w:r w:rsidRPr="00C73E22">
        <w:rPr>
          <w:rFonts w:ascii="Times New Roman" w:hAnsi="Times New Roman" w:cs="Times New Roman"/>
          <w:sz w:val="24"/>
        </w:rPr>
        <w:t>.</w:t>
      </w:r>
      <w:r w:rsidRPr="00C73E22">
        <w:rPr>
          <w:rFonts w:ascii="Times New Roman" w:hAnsi="Times New Roman" w:cs="Times New Roman"/>
          <w:i/>
          <w:sz w:val="24"/>
        </w:rPr>
        <w:t xml:space="preserve">  </w:t>
      </w:r>
    </w:p>
    <w:p w14:paraId="7986C7B8" w14:textId="77777777" w:rsidR="00ED6ADD" w:rsidRPr="00C73E22" w:rsidRDefault="00ED6ADD" w:rsidP="00ED6ADD">
      <w:pPr>
        <w:rPr>
          <w:rFonts w:ascii="Times New Roman" w:hAnsi="Times New Roman" w:cs="Times New Roman"/>
          <w:b/>
          <w:sz w:val="24"/>
        </w:rPr>
      </w:pPr>
      <w:r w:rsidRPr="00C73E22">
        <w:rPr>
          <w:rFonts w:ascii="Times New Roman" w:hAnsi="Times New Roman" w:cs="Times New Roman"/>
          <w:b/>
          <w:sz w:val="24"/>
        </w:rPr>
        <w:t>Human rights implications</w:t>
      </w:r>
    </w:p>
    <w:p w14:paraId="42A8C672" w14:textId="77777777" w:rsidR="00ED6ADD" w:rsidRPr="00C73E22" w:rsidRDefault="00ED6ADD" w:rsidP="00ED6ADD">
      <w:pPr>
        <w:rPr>
          <w:rFonts w:ascii="Times New Roman" w:hAnsi="Times New Roman" w:cs="Times New Roman"/>
          <w:sz w:val="24"/>
        </w:rPr>
      </w:pPr>
      <w:r w:rsidRPr="00C73E22">
        <w:rPr>
          <w:rFonts w:ascii="Times New Roman" w:hAnsi="Times New Roman" w:cs="Times New Roman"/>
          <w:sz w:val="24"/>
        </w:rPr>
        <w:t>The Instrument does not engage any of the applicable rights or freedoms.</w:t>
      </w:r>
    </w:p>
    <w:p w14:paraId="5FD1CCC4" w14:textId="77777777" w:rsidR="00ED6ADD" w:rsidRPr="00C73E22" w:rsidRDefault="00ED6ADD" w:rsidP="00ED6ADD">
      <w:pPr>
        <w:rPr>
          <w:rFonts w:ascii="Times New Roman" w:hAnsi="Times New Roman" w:cs="Times New Roman"/>
          <w:b/>
          <w:sz w:val="24"/>
        </w:rPr>
      </w:pPr>
      <w:r w:rsidRPr="00C73E22">
        <w:rPr>
          <w:rFonts w:ascii="Times New Roman" w:hAnsi="Times New Roman" w:cs="Times New Roman"/>
          <w:b/>
          <w:sz w:val="24"/>
        </w:rPr>
        <w:t>Conclusion</w:t>
      </w:r>
    </w:p>
    <w:p w14:paraId="0EA974BD" w14:textId="77777777" w:rsidR="00ED6ADD" w:rsidRPr="00C73E22" w:rsidRDefault="00ED6ADD" w:rsidP="00ED6ADD">
      <w:pPr>
        <w:rPr>
          <w:rFonts w:ascii="Times New Roman" w:hAnsi="Times New Roman" w:cs="Times New Roman"/>
          <w:sz w:val="24"/>
        </w:rPr>
      </w:pPr>
      <w:r w:rsidRPr="00C73E22">
        <w:rPr>
          <w:rFonts w:ascii="Times New Roman" w:hAnsi="Times New Roman" w:cs="Times New Roman"/>
          <w:sz w:val="24"/>
        </w:rPr>
        <w:t>The Instrument is compatible with human rights as it does not raise any human rights issues.</w:t>
      </w:r>
    </w:p>
    <w:sectPr w:rsidR="00ED6ADD" w:rsidRPr="00C73E22" w:rsidSect="007B012A">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851" w:right="1080" w:bottom="993" w:left="1080" w:header="0"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F34C1" w14:textId="77777777" w:rsidR="00636B7B" w:rsidRDefault="00636B7B" w:rsidP="00176C28">
      <w:r>
        <w:separator/>
      </w:r>
    </w:p>
  </w:endnote>
  <w:endnote w:type="continuationSeparator" w:id="0">
    <w:p w14:paraId="4776DB28" w14:textId="77777777" w:rsidR="00636B7B" w:rsidRDefault="00636B7B" w:rsidP="00176C28">
      <w:r>
        <w:continuationSeparator/>
      </w:r>
    </w:p>
  </w:endnote>
  <w:endnote w:type="continuationNotice" w:id="1">
    <w:p w14:paraId="007FBC9B" w14:textId="77777777" w:rsidR="00636B7B" w:rsidRDefault="00636B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9011" w14:textId="77777777" w:rsidR="00B35268" w:rsidRDefault="00B35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391D" w14:textId="77777777" w:rsidR="0088560E" w:rsidRPr="00B35268" w:rsidRDefault="0088560E" w:rsidP="00B35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0BB5" w14:textId="77777777" w:rsidR="00B35268" w:rsidRDefault="00B35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4D3E1" w14:textId="77777777" w:rsidR="00636B7B" w:rsidRDefault="00636B7B" w:rsidP="00176C28">
      <w:r>
        <w:separator/>
      </w:r>
    </w:p>
  </w:footnote>
  <w:footnote w:type="continuationSeparator" w:id="0">
    <w:p w14:paraId="3B7560C0" w14:textId="77777777" w:rsidR="00636B7B" w:rsidRDefault="00636B7B" w:rsidP="00176C28">
      <w:r>
        <w:continuationSeparator/>
      </w:r>
    </w:p>
  </w:footnote>
  <w:footnote w:type="continuationNotice" w:id="1">
    <w:p w14:paraId="1C4C67E5" w14:textId="77777777" w:rsidR="00636B7B" w:rsidRDefault="00636B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4783" w14:textId="77777777" w:rsidR="00B35268" w:rsidRDefault="00B35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6943" w14:textId="38A1790A" w:rsidR="00C2567D" w:rsidRPr="00B44CB9" w:rsidRDefault="00C2567D" w:rsidP="00B44CB9">
    <w:pPr>
      <w:pStyle w:val="Heading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1A8F" w14:textId="267A37AB" w:rsidR="00C2567D" w:rsidRPr="00007EAF" w:rsidRDefault="00C2567D" w:rsidP="005B5785">
    <w:pPr>
      <w:pStyle w:val="Heading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DA03B4"/>
    <w:multiLevelType w:val="multilevel"/>
    <w:tmpl w:val="7C880C70"/>
    <w:lvl w:ilvl="0">
      <w:start w:val="1"/>
      <w:numFmt w:val="decimal"/>
      <w:pStyle w:val="CERnumbering"/>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F6F393D"/>
    <w:multiLevelType w:val="hybridMultilevel"/>
    <w:tmpl w:val="473E6D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136AC3"/>
    <w:multiLevelType w:val="hybridMultilevel"/>
    <w:tmpl w:val="FB94239E"/>
    <w:lvl w:ilvl="0" w:tplc="EE9C741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701B57"/>
    <w:multiLevelType w:val="hybridMultilevel"/>
    <w:tmpl w:val="DA3CA968"/>
    <w:lvl w:ilvl="0" w:tplc="B3901E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D00D67"/>
    <w:multiLevelType w:val="hybridMultilevel"/>
    <w:tmpl w:val="609496A0"/>
    <w:lvl w:ilvl="0" w:tplc="B064850A">
      <w:start w:val="6"/>
      <w:numFmt w:val="bullet"/>
      <w:lvlText w:val=""/>
      <w:lvlJc w:val="left"/>
      <w:pPr>
        <w:ind w:left="720" w:hanging="360"/>
      </w:pPr>
      <w:rPr>
        <w:rFonts w:ascii="Symbol" w:eastAsia="Cambr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A003A"/>
    <w:multiLevelType w:val="multilevel"/>
    <w:tmpl w:val="8362A862"/>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612D3592"/>
    <w:multiLevelType w:val="multilevel"/>
    <w:tmpl w:val="F83E0E1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5438B5"/>
    <w:multiLevelType w:val="hybridMultilevel"/>
    <w:tmpl w:val="8D42A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8649CA"/>
    <w:multiLevelType w:val="hybridMultilevel"/>
    <w:tmpl w:val="9DBA6B66"/>
    <w:lvl w:ilvl="0" w:tplc="3A9848FE">
      <w:start w:val="6"/>
      <w:numFmt w:val="bullet"/>
      <w:lvlText w:val=""/>
      <w:lvlJc w:val="left"/>
      <w:pPr>
        <w:ind w:left="720" w:hanging="360"/>
      </w:pPr>
      <w:rPr>
        <w:rFonts w:ascii="Symbol" w:eastAsia="Cambr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9"/>
  </w:num>
  <w:num w:numId="3">
    <w:abstractNumId w:val="20"/>
  </w:num>
  <w:num w:numId="4">
    <w:abstractNumId w:val="13"/>
  </w:num>
  <w:num w:numId="5">
    <w:abstractNumId w:val="14"/>
  </w:num>
  <w:num w:numId="6">
    <w:abstractNumId w:val="23"/>
  </w:num>
  <w:num w:numId="7">
    <w:abstractNumId w:val="30"/>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6"/>
  </w:num>
  <w:num w:numId="21">
    <w:abstractNumId w:val="35"/>
  </w:num>
  <w:num w:numId="22">
    <w:abstractNumId w:val="10"/>
  </w:num>
  <w:num w:numId="23">
    <w:abstractNumId w:val="36"/>
  </w:num>
  <w:num w:numId="24">
    <w:abstractNumId w:val="24"/>
  </w:num>
  <w:num w:numId="25">
    <w:abstractNumId w:val="22"/>
  </w:num>
  <w:num w:numId="26">
    <w:abstractNumId w:val="18"/>
  </w:num>
  <w:num w:numId="27">
    <w:abstractNumId w:val="32"/>
  </w:num>
  <w:num w:numId="28">
    <w:abstractNumId w:val="29"/>
  </w:num>
  <w:num w:numId="29">
    <w:abstractNumId w:val="25"/>
  </w:num>
  <w:num w:numId="30">
    <w:abstractNumId w:val="12"/>
  </w:num>
  <w:num w:numId="31">
    <w:abstractNumId w:val="28"/>
  </w:num>
  <w:num w:numId="32">
    <w:abstractNumId w:val="31"/>
  </w:num>
  <w:num w:numId="33">
    <w:abstractNumId w:val="17"/>
  </w:num>
  <w:num w:numId="34">
    <w:abstractNumId w:val="15"/>
  </w:num>
  <w:num w:numId="35">
    <w:abstractNumId w:val="33"/>
  </w:num>
  <w:num w:numId="36">
    <w:abstractNumId w:val="21"/>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006ea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DD"/>
    <w:rsid w:val="00000F8B"/>
    <w:rsid w:val="00007EAF"/>
    <w:rsid w:val="00012AE5"/>
    <w:rsid w:val="00031090"/>
    <w:rsid w:val="0003582F"/>
    <w:rsid w:val="000378B6"/>
    <w:rsid w:val="0005622E"/>
    <w:rsid w:val="00056B17"/>
    <w:rsid w:val="00057BDA"/>
    <w:rsid w:val="00063323"/>
    <w:rsid w:val="000678AA"/>
    <w:rsid w:val="00075E5A"/>
    <w:rsid w:val="00080FF3"/>
    <w:rsid w:val="00087A40"/>
    <w:rsid w:val="00087D6C"/>
    <w:rsid w:val="000906DE"/>
    <w:rsid w:val="000B2225"/>
    <w:rsid w:val="000B2EE2"/>
    <w:rsid w:val="000C4B07"/>
    <w:rsid w:val="000D4263"/>
    <w:rsid w:val="000E5A13"/>
    <w:rsid w:val="000F6B44"/>
    <w:rsid w:val="00100EB6"/>
    <w:rsid w:val="0010443B"/>
    <w:rsid w:val="0010474F"/>
    <w:rsid w:val="00112E29"/>
    <w:rsid w:val="001133F2"/>
    <w:rsid w:val="001239F5"/>
    <w:rsid w:val="0012575D"/>
    <w:rsid w:val="001276AA"/>
    <w:rsid w:val="00152E81"/>
    <w:rsid w:val="00155571"/>
    <w:rsid w:val="001651F7"/>
    <w:rsid w:val="001760F3"/>
    <w:rsid w:val="00176871"/>
    <w:rsid w:val="00176C28"/>
    <w:rsid w:val="0017790D"/>
    <w:rsid w:val="00197F43"/>
    <w:rsid w:val="001A5B08"/>
    <w:rsid w:val="001B2503"/>
    <w:rsid w:val="001B4D01"/>
    <w:rsid w:val="001B5E16"/>
    <w:rsid w:val="001B66AA"/>
    <w:rsid w:val="001C452D"/>
    <w:rsid w:val="001C5BF3"/>
    <w:rsid w:val="001D364E"/>
    <w:rsid w:val="001D3AF9"/>
    <w:rsid w:val="001D422C"/>
    <w:rsid w:val="001D5E01"/>
    <w:rsid w:val="001E1C4C"/>
    <w:rsid w:val="001F0958"/>
    <w:rsid w:val="001F3744"/>
    <w:rsid w:val="001F7308"/>
    <w:rsid w:val="00203A0E"/>
    <w:rsid w:val="00210A03"/>
    <w:rsid w:val="002118E5"/>
    <w:rsid w:val="00216E5D"/>
    <w:rsid w:val="00222C9D"/>
    <w:rsid w:val="00230D47"/>
    <w:rsid w:val="00231F17"/>
    <w:rsid w:val="00235B98"/>
    <w:rsid w:val="00244FF4"/>
    <w:rsid w:val="00252B67"/>
    <w:rsid w:val="002615CE"/>
    <w:rsid w:val="002622E9"/>
    <w:rsid w:val="00263656"/>
    <w:rsid w:val="00265915"/>
    <w:rsid w:val="00267C86"/>
    <w:rsid w:val="00286804"/>
    <w:rsid w:val="00286D86"/>
    <w:rsid w:val="0029262D"/>
    <w:rsid w:val="002A02FA"/>
    <w:rsid w:val="002A7EA6"/>
    <w:rsid w:val="002B4837"/>
    <w:rsid w:val="002C2336"/>
    <w:rsid w:val="002C2348"/>
    <w:rsid w:val="002C427B"/>
    <w:rsid w:val="002C61C7"/>
    <w:rsid w:val="002D126A"/>
    <w:rsid w:val="002F1986"/>
    <w:rsid w:val="00301063"/>
    <w:rsid w:val="003062CB"/>
    <w:rsid w:val="00312462"/>
    <w:rsid w:val="00322A3B"/>
    <w:rsid w:val="00334855"/>
    <w:rsid w:val="00335814"/>
    <w:rsid w:val="003418A8"/>
    <w:rsid w:val="00356E11"/>
    <w:rsid w:val="00365CD3"/>
    <w:rsid w:val="00370CE8"/>
    <w:rsid w:val="00371059"/>
    <w:rsid w:val="00384F0B"/>
    <w:rsid w:val="003A0D22"/>
    <w:rsid w:val="003C5E3A"/>
    <w:rsid w:val="003D2214"/>
    <w:rsid w:val="003D4FC4"/>
    <w:rsid w:val="003D5CF2"/>
    <w:rsid w:val="003F09E8"/>
    <w:rsid w:val="00415B8E"/>
    <w:rsid w:val="004169DD"/>
    <w:rsid w:val="00420BF6"/>
    <w:rsid w:val="004238C2"/>
    <w:rsid w:val="004261A9"/>
    <w:rsid w:val="00426275"/>
    <w:rsid w:val="0043380A"/>
    <w:rsid w:val="00444A42"/>
    <w:rsid w:val="00451129"/>
    <w:rsid w:val="004559EF"/>
    <w:rsid w:val="00455B12"/>
    <w:rsid w:val="00471682"/>
    <w:rsid w:val="004718E3"/>
    <w:rsid w:val="00472ED5"/>
    <w:rsid w:val="0047546A"/>
    <w:rsid w:val="00480154"/>
    <w:rsid w:val="00494F07"/>
    <w:rsid w:val="004A581F"/>
    <w:rsid w:val="004B0461"/>
    <w:rsid w:val="004B1366"/>
    <w:rsid w:val="004C6DF4"/>
    <w:rsid w:val="004D3F8B"/>
    <w:rsid w:val="004E5637"/>
    <w:rsid w:val="004E6085"/>
    <w:rsid w:val="004F18A6"/>
    <w:rsid w:val="00505E49"/>
    <w:rsid w:val="00505F9B"/>
    <w:rsid w:val="005136B0"/>
    <w:rsid w:val="00516089"/>
    <w:rsid w:val="00522404"/>
    <w:rsid w:val="0052457E"/>
    <w:rsid w:val="00542ADB"/>
    <w:rsid w:val="005430A4"/>
    <w:rsid w:val="00580498"/>
    <w:rsid w:val="00585D42"/>
    <w:rsid w:val="00590EA0"/>
    <w:rsid w:val="005A207C"/>
    <w:rsid w:val="005A266D"/>
    <w:rsid w:val="005A4F43"/>
    <w:rsid w:val="005A7300"/>
    <w:rsid w:val="005B5785"/>
    <w:rsid w:val="005B5E35"/>
    <w:rsid w:val="005B7008"/>
    <w:rsid w:val="005C1910"/>
    <w:rsid w:val="005E2B5E"/>
    <w:rsid w:val="005E2BAF"/>
    <w:rsid w:val="005E45E1"/>
    <w:rsid w:val="005E59DC"/>
    <w:rsid w:val="005F34C2"/>
    <w:rsid w:val="005F3610"/>
    <w:rsid w:val="005F3F7B"/>
    <w:rsid w:val="005F6512"/>
    <w:rsid w:val="005F6DF2"/>
    <w:rsid w:val="00602E93"/>
    <w:rsid w:val="00606988"/>
    <w:rsid w:val="0061010A"/>
    <w:rsid w:val="00611A20"/>
    <w:rsid w:val="00616AED"/>
    <w:rsid w:val="00620D22"/>
    <w:rsid w:val="00622DA5"/>
    <w:rsid w:val="006231EC"/>
    <w:rsid w:val="00623CE7"/>
    <w:rsid w:val="006259BF"/>
    <w:rsid w:val="00636B7B"/>
    <w:rsid w:val="006423DF"/>
    <w:rsid w:val="00650C8A"/>
    <w:rsid w:val="006530B0"/>
    <w:rsid w:val="0065750A"/>
    <w:rsid w:val="00661589"/>
    <w:rsid w:val="00662ED8"/>
    <w:rsid w:val="0067319F"/>
    <w:rsid w:val="00674932"/>
    <w:rsid w:val="0068012F"/>
    <w:rsid w:val="00680B5A"/>
    <w:rsid w:val="006839B2"/>
    <w:rsid w:val="00685AC6"/>
    <w:rsid w:val="0069159C"/>
    <w:rsid w:val="00692B45"/>
    <w:rsid w:val="00694C95"/>
    <w:rsid w:val="006956E7"/>
    <w:rsid w:val="006A0911"/>
    <w:rsid w:val="006A1906"/>
    <w:rsid w:val="006A37D7"/>
    <w:rsid w:val="006A4CFF"/>
    <w:rsid w:val="006A7A4E"/>
    <w:rsid w:val="006B043E"/>
    <w:rsid w:val="006B2667"/>
    <w:rsid w:val="006B2ABE"/>
    <w:rsid w:val="006B73B0"/>
    <w:rsid w:val="006B77C1"/>
    <w:rsid w:val="006C0EB6"/>
    <w:rsid w:val="006C400C"/>
    <w:rsid w:val="006C480C"/>
    <w:rsid w:val="006C54F7"/>
    <w:rsid w:val="006D6447"/>
    <w:rsid w:val="006E47FE"/>
    <w:rsid w:val="006E7D9E"/>
    <w:rsid w:val="007010DB"/>
    <w:rsid w:val="00704AC2"/>
    <w:rsid w:val="0071304F"/>
    <w:rsid w:val="00715781"/>
    <w:rsid w:val="00724B10"/>
    <w:rsid w:val="0072700E"/>
    <w:rsid w:val="00737432"/>
    <w:rsid w:val="00747300"/>
    <w:rsid w:val="00754708"/>
    <w:rsid w:val="0076397A"/>
    <w:rsid w:val="00767FAB"/>
    <w:rsid w:val="00770D0D"/>
    <w:rsid w:val="00773EB1"/>
    <w:rsid w:val="007757F1"/>
    <w:rsid w:val="007773D1"/>
    <w:rsid w:val="007813EC"/>
    <w:rsid w:val="007852A6"/>
    <w:rsid w:val="00790E79"/>
    <w:rsid w:val="007957EB"/>
    <w:rsid w:val="007A55F3"/>
    <w:rsid w:val="007A5CF8"/>
    <w:rsid w:val="007B012A"/>
    <w:rsid w:val="007B31E7"/>
    <w:rsid w:val="007C310C"/>
    <w:rsid w:val="007C3FD9"/>
    <w:rsid w:val="007C76D0"/>
    <w:rsid w:val="007D33DA"/>
    <w:rsid w:val="007E5090"/>
    <w:rsid w:val="00805956"/>
    <w:rsid w:val="00805F27"/>
    <w:rsid w:val="00807886"/>
    <w:rsid w:val="00816D8B"/>
    <w:rsid w:val="00826A84"/>
    <w:rsid w:val="0084444A"/>
    <w:rsid w:val="0084735B"/>
    <w:rsid w:val="0085731A"/>
    <w:rsid w:val="008710A1"/>
    <w:rsid w:val="00882C21"/>
    <w:rsid w:val="0088560E"/>
    <w:rsid w:val="00885AB6"/>
    <w:rsid w:val="00890472"/>
    <w:rsid w:val="0089390A"/>
    <w:rsid w:val="00894059"/>
    <w:rsid w:val="00896C66"/>
    <w:rsid w:val="00897CB2"/>
    <w:rsid w:val="008A4F2A"/>
    <w:rsid w:val="008A76C6"/>
    <w:rsid w:val="008B01F6"/>
    <w:rsid w:val="008B7F8E"/>
    <w:rsid w:val="008C63A1"/>
    <w:rsid w:val="008C6462"/>
    <w:rsid w:val="008D34D7"/>
    <w:rsid w:val="008E6CE0"/>
    <w:rsid w:val="008F548E"/>
    <w:rsid w:val="008F7140"/>
    <w:rsid w:val="00901D91"/>
    <w:rsid w:val="00906DED"/>
    <w:rsid w:val="00921C41"/>
    <w:rsid w:val="00923C99"/>
    <w:rsid w:val="0092642C"/>
    <w:rsid w:val="0092796D"/>
    <w:rsid w:val="00927D71"/>
    <w:rsid w:val="00930CB7"/>
    <w:rsid w:val="0093226C"/>
    <w:rsid w:val="00935102"/>
    <w:rsid w:val="00957DE7"/>
    <w:rsid w:val="00957F99"/>
    <w:rsid w:val="00962CB2"/>
    <w:rsid w:val="009754BA"/>
    <w:rsid w:val="0097575E"/>
    <w:rsid w:val="009757EB"/>
    <w:rsid w:val="009801E4"/>
    <w:rsid w:val="009A05D4"/>
    <w:rsid w:val="009A2199"/>
    <w:rsid w:val="009A2E7F"/>
    <w:rsid w:val="009B05BE"/>
    <w:rsid w:val="009B518D"/>
    <w:rsid w:val="009B660C"/>
    <w:rsid w:val="009C0F41"/>
    <w:rsid w:val="009C4173"/>
    <w:rsid w:val="009C63E6"/>
    <w:rsid w:val="009D01EB"/>
    <w:rsid w:val="009D597E"/>
    <w:rsid w:val="009D5DFF"/>
    <w:rsid w:val="009D745E"/>
    <w:rsid w:val="009F3AE0"/>
    <w:rsid w:val="00A0193D"/>
    <w:rsid w:val="00A02A4C"/>
    <w:rsid w:val="00A02B41"/>
    <w:rsid w:val="00A073C6"/>
    <w:rsid w:val="00A114F2"/>
    <w:rsid w:val="00A13537"/>
    <w:rsid w:val="00A23E82"/>
    <w:rsid w:val="00A26A45"/>
    <w:rsid w:val="00A32F6A"/>
    <w:rsid w:val="00A36690"/>
    <w:rsid w:val="00A41A11"/>
    <w:rsid w:val="00A44C0C"/>
    <w:rsid w:val="00A50A9C"/>
    <w:rsid w:val="00A50A9D"/>
    <w:rsid w:val="00A86DF5"/>
    <w:rsid w:val="00AA42F4"/>
    <w:rsid w:val="00AB016D"/>
    <w:rsid w:val="00AB04A4"/>
    <w:rsid w:val="00AB1D66"/>
    <w:rsid w:val="00AB4142"/>
    <w:rsid w:val="00AC322E"/>
    <w:rsid w:val="00AD3999"/>
    <w:rsid w:val="00AE4980"/>
    <w:rsid w:val="00AE581C"/>
    <w:rsid w:val="00AF184D"/>
    <w:rsid w:val="00AF374E"/>
    <w:rsid w:val="00AF5F77"/>
    <w:rsid w:val="00B00104"/>
    <w:rsid w:val="00B10F7F"/>
    <w:rsid w:val="00B25452"/>
    <w:rsid w:val="00B33FF5"/>
    <w:rsid w:val="00B35268"/>
    <w:rsid w:val="00B44479"/>
    <w:rsid w:val="00B44CB9"/>
    <w:rsid w:val="00B65AAE"/>
    <w:rsid w:val="00B832A4"/>
    <w:rsid w:val="00B97130"/>
    <w:rsid w:val="00BA3AE8"/>
    <w:rsid w:val="00BA3D6B"/>
    <w:rsid w:val="00BB49A7"/>
    <w:rsid w:val="00BC0DC9"/>
    <w:rsid w:val="00BD0B5A"/>
    <w:rsid w:val="00BD1AE8"/>
    <w:rsid w:val="00BD5ED5"/>
    <w:rsid w:val="00BE0485"/>
    <w:rsid w:val="00BE43A6"/>
    <w:rsid w:val="00BF268D"/>
    <w:rsid w:val="00C01493"/>
    <w:rsid w:val="00C04DA6"/>
    <w:rsid w:val="00C067A3"/>
    <w:rsid w:val="00C06FDE"/>
    <w:rsid w:val="00C2567D"/>
    <w:rsid w:val="00C3122E"/>
    <w:rsid w:val="00C33420"/>
    <w:rsid w:val="00C36271"/>
    <w:rsid w:val="00C40CF0"/>
    <w:rsid w:val="00C42784"/>
    <w:rsid w:val="00C50BDD"/>
    <w:rsid w:val="00C50DE9"/>
    <w:rsid w:val="00C650A7"/>
    <w:rsid w:val="00C703A7"/>
    <w:rsid w:val="00C73E22"/>
    <w:rsid w:val="00C86B48"/>
    <w:rsid w:val="00C940BD"/>
    <w:rsid w:val="00C94CB2"/>
    <w:rsid w:val="00CA3DBC"/>
    <w:rsid w:val="00CA63D2"/>
    <w:rsid w:val="00CB165F"/>
    <w:rsid w:val="00CB7ED6"/>
    <w:rsid w:val="00CC6DAC"/>
    <w:rsid w:val="00CD56B0"/>
    <w:rsid w:val="00CD5AC9"/>
    <w:rsid w:val="00CE50E4"/>
    <w:rsid w:val="00CE7279"/>
    <w:rsid w:val="00CE7FBB"/>
    <w:rsid w:val="00CF545E"/>
    <w:rsid w:val="00D0142A"/>
    <w:rsid w:val="00D060E5"/>
    <w:rsid w:val="00D07937"/>
    <w:rsid w:val="00D1035F"/>
    <w:rsid w:val="00D16C4F"/>
    <w:rsid w:val="00D209A0"/>
    <w:rsid w:val="00D21A0F"/>
    <w:rsid w:val="00D3184D"/>
    <w:rsid w:val="00D410FE"/>
    <w:rsid w:val="00D41F40"/>
    <w:rsid w:val="00D4315C"/>
    <w:rsid w:val="00D435BB"/>
    <w:rsid w:val="00D51EAB"/>
    <w:rsid w:val="00D6076A"/>
    <w:rsid w:val="00D73B2E"/>
    <w:rsid w:val="00D768CA"/>
    <w:rsid w:val="00D81929"/>
    <w:rsid w:val="00DA08D8"/>
    <w:rsid w:val="00DB07AB"/>
    <w:rsid w:val="00DB16FB"/>
    <w:rsid w:val="00DB3CB1"/>
    <w:rsid w:val="00DC3A30"/>
    <w:rsid w:val="00DC3ACA"/>
    <w:rsid w:val="00DD1584"/>
    <w:rsid w:val="00DD23AB"/>
    <w:rsid w:val="00DD61F7"/>
    <w:rsid w:val="00DF0F4C"/>
    <w:rsid w:val="00DF397E"/>
    <w:rsid w:val="00DF48D2"/>
    <w:rsid w:val="00E025D9"/>
    <w:rsid w:val="00E026B6"/>
    <w:rsid w:val="00E2492D"/>
    <w:rsid w:val="00E269BA"/>
    <w:rsid w:val="00E348D6"/>
    <w:rsid w:val="00E3629F"/>
    <w:rsid w:val="00E533C7"/>
    <w:rsid w:val="00E573F9"/>
    <w:rsid w:val="00E617F0"/>
    <w:rsid w:val="00E63DE1"/>
    <w:rsid w:val="00E71C7A"/>
    <w:rsid w:val="00E71F37"/>
    <w:rsid w:val="00E751CA"/>
    <w:rsid w:val="00E770EC"/>
    <w:rsid w:val="00E9196F"/>
    <w:rsid w:val="00E91DAA"/>
    <w:rsid w:val="00E94FFF"/>
    <w:rsid w:val="00E956A9"/>
    <w:rsid w:val="00E95CEB"/>
    <w:rsid w:val="00EA7A28"/>
    <w:rsid w:val="00EC3C58"/>
    <w:rsid w:val="00ED6ADD"/>
    <w:rsid w:val="00EE03AF"/>
    <w:rsid w:val="00EF0726"/>
    <w:rsid w:val="00EF17FA"/>
    <w:rsid w:val="00EF28B9"/>
    <w:rsid w:val="00EF2954"/>
    <w:rsid w:val="00F1084B"/>
    <w:rsid w:val="00F154B4"/>
    <w:rsid w:val="00F15FBC"/>
    <w:rsid w:val="00F17820"/>
    <w:rsid w:val="00F17F84"/>
    <w:rsid w:val="00F232AF"/>
    <w:rsid w:val="00F2767A"/>
    <w:rsid w:val="00F32404"/>
    <w:rsid w:val="00F374D7"/>
    <w:rsid w:val="00F4178E"/>
    <w:rsid w:val="00F42F3B"/>
    <w:rsid w:val="00F5785D"/>
    <w:rsid w:val="00F60638"/>
    <w:rsid w:val="00F6491A"/>
    <w:rsid w:val="00F65963"/>
    <w:rsid w:val="00F67F4E"/>
    <w:rsid w:val="00F70B17"/>
    <w:rsid w:val="00F8070C"/>
    <w:rsid w:val="00F820A2"/>
    <w:rsid w:val="00F94571"/>
    <w:rsid w:val="00F9616A"/>
    <w:rsid w:val="00FA6ADC"/>
    <w:rsid w:val="00FA7635"/>
    <w:rsid w:val="00FB26CE"/>
    <w:rsid w:val="00FC18AA"/>
    <w:rsid w:val="00FC20CB"/>
    <w:rsid w:val="00FC5CAA"/>
    <w:rsid w:val="00FD2635"/>
    <w:rsid w:val="00FE1162"/>
    <w:rsid w:val="00FE1E82"/>
    <w:rsid w:val="00FF5D77"/>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6ea6"/>
    </o:shapedefaults>
    <o:shapelayout v:ext="edit">
      <o:idmap v:ext="edit" data="1"/>
    </o:shapelayout>
  </w:shapeDefaults>
  <w:decimalSymbol w:val="."/>
  <w:listSeparator w:val=","/>
  <w14:docId w14:val="1633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uiPriority="8" w:qFormat="1"/>
    <w:lsdException w:name="heading 1" w:uiPriority="2" w:qFormat="1"/>
    <w:lsdException w:name="heading 2" w:uiPriority="3" w:qFormat="1"/>
    <w:lsdException w:name="heading 3" w:uiPriority="4" w:qFormat="1"/>
    <w:lsdException w:name="heading 4" w:semiHidden="1" w:uiPriority="5" w:unhideWhenUsed="1" w:qFormat="1"/>
    <w:lsdException w:name="heading 5" w:semiHidden="1" w:uiPriority="6" w:unhideWhenUsed="1" w:qFormat="1"/>
    <w:lsdException w:name="heading 6" w:semiHidden="1" w:uiPriority="99" w:unhideWhenUsed="1"/>
    <w:lsdException w:name="heading 7" w:semiHidden="1" w:uiPriority="99"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FA7635"/>
    <w:pPr>
      <w:spacing w:after="200"/>
    </w:pPr>
    <w:rPr>
      <w:rFonts w:ascii="Calibri" w:hAnsi="Calibri" w:cs="Calibri"/>
      <w:color w:val="000000"/>
      <w:sz w:val="22"/>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Calibri" w:eastAsia="Times New Roman" w:hAnsi="Calibri" w:cs="Calibr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Calibri" w:eastAsia="Times New Roman" w:hAnsi="Calibri" w:cs="Calibr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imes New Roman" w:cs="Times New Roman"/>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imes New Roman" w:cs="Times New Roman"/>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imes New Roman" w:cs="Times New Roman"/>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link w:val="Heading2"/>
    <w:uiPriority w:val="3"/>
    <w:rsid w:val="00FA7635"/>
    <w:rPr>
      <w:rFonts w:ascii="Calibri" w:eastAsia="Times New Roman" w:hAnsi="Calibri" w:cs="Calibri"/>
      <w:b/>
      <w:bCs/>
      <w:color w:val="005874"/>
      <w:sz w:val="30"/>
      <w:szCs w:val="26"/>
      <w:lang w:eastAsia="en-US"/>
    </w:rPr>
  </w:style>
  <w:style w:type="character" w:customStyle="1" w:styleId="Heading1Char">
    <w:name w:val="Heading 1 Char"/>
    <w:aliases w:val="CER Heading 1 Char"/>
    <w:link w:val="Heading1"/>
    <w:uiPriority w:val="2"/>
    <w:rsid w:val="00FA7635"/>
    <w:rPr>
      <w:rFonts w:ascii="Calibri" w:eastAsia="Times New Roman" w:hAnsi="Calibri" w:cs="Calibri"/>
      <w:b/>
      <w:bCs/>
      <w:color w:val="005874"/>
      <w:kern w:val="32"/>
      <w:sz w:val="40"/>
      <w:szCs w:val="24"/>
      <w:lang w:eastAsia="en-US"/>
    </w:rPr>
  </w:style>
  <w:style w:type="character" w:customStyle="1" w:styleId="Heading3Char">
    <w:name w:val="Heading 3 Char"/>
    <w:aliases w:val="CER Heading 3 Char"/>
    <w:link w:val="Heading3"/>
    <w:uiPriority w:val="4"/>
    <w:rsid w:val="00FA7635"/>
    <w:rPr>
      <w:rFonts w:ascii="Calibri" w:eastAsia="Times New Roman" w:hAnsi="Calibri" w:cs="Calibri"/>
      <w:b/>
      <w:bCs/>
      <w:color w:val="005874"/>
      <w:sz w:val="25"/>
      <w:szCs w:val="24"/>
      <w:lang w:eastAsia="en-US"/>
    </w:rPr>
  </w:style>
  <w:style w:type="character" w:customStyle="1" w:styleId="Heading4Char">
    <w:name w:val="Heading 4 Char"/>
    <w:aliases w:val="CER Heading 4 Char"/>
    <w:link w:val="Heading4"/>
    <w:uiPriority w:val="5"/>
    <w:rsid w:val="00FA7635"/>
    <w:rPr>
      <w:rFonts w:ascii="Calibri" w:eastAsia="Times New Roman" w:hAnsi="Calibri" w:cs="Times New Roman"/>
      <w:bCs/>
      <w:color w:val="005874"/>
      <w:sz w:val="25"/>
      <w:szCs w:val="28"/>
      <w:lang w:eastAsia="en-US"/>
    </w:rPr>
  </w:style>
  <w:style w:type="character" w:customStyle="1" w:styleId="Heading6Char">
    <w:name w:val="Heading 6 Char"/>
    <w:aliases w:val="CER Heading 6 Char"/>
    <w:link w:val="Heading6"/>
    <w:uiPriority w:val="99"/>
    <w:rsid w:val="00674932"/>
    <w:rPr>
      <w:rFonts w:ascii="Arial" w:eastAsia="Times New Roman" w:hAnsi="Arial" w:cs="Times New Roman"/>
      <w:b/>
      <w:bCs/>
      <w:color w:val="000000"/>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link w:val="Header"/>
    <w:uiPriority w:val="99"/>
    <w:rsid w:val="002C427B"/>
    <w:rPr>
      <w:rFonts w:ascii="Arial" w:hAnsi="Arial"/>
      <w:color w:val="000000"/>
      <w:sz w:val="22"/>
      <w:szCs w:val="24"/>
      <w:lang w:val="en-US" w:eastAsia="en-US"/>
    </w:rPr>
  </w:style>
  <w:style w:type="paragraph" w:styleId="Footer">
    <w:name w:val="footer"/>
    <w:basedOn w:val="Normal"/>
    <w:link w:val="FooterChar"/>
    <w:uiPriority w:val="99"/>
    <w:unhideWhenUsed/>
    <w:rsid w:val="003D5CF2"/>
    <w:pPr>
      <w:tabs>
        <w:tab w:val="center" w:pos="4820"/>
        <w:tab w:val="right" w:pos="9498"/>
      </w:tabs>
      <w:ind w:left="284" w:right="242"/>
    </w:pPr>
    <w:rPr>
      <w:b/>
      <w:color w:val="005874"/>
      <w:sz w:val="18"/>
      <w:szCs w:val="18"/>
    </w:rPr>
  </w:style>
  <w:style w:type="character" w:customStyle="1" w:styleId="FooterChar">
    <w:name w:val="Footer Char"/>
    <w:link w:val="Footer"/>
    <w:uiPriority w:val="99"/>
    <w:rsid w:val="003D5CF2"/>
    <w:rPr>
      <w:rFonts w:ascii="Calibri" w:hAnsi="Calibri" w:cs="Calibri"/>
      <w:b/>
      <w:color w:val="005874"/>
      <w:sz w:val="18"/>
      <w:szCs w:val="18"/>
      <w:lang w:eastAsia="en-US"/>
    </w:rPr>
  </w:style>
  <w:style w:type="character" w:styleId="Hyperlink">
    <w:name w:val="Hyperlink"/>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21"/>
      </w:numPr>
      <w:spacing w:before="120" w:after="120"/>
      <w:ind w:left="357" w:hanging="357"/>
    </w:pPr>
    <w:rPr>
      <w:color w:val="auto"/>
    </w:rPr>
  </w:style>
  <w:style w:type="character" w:customStyle="1" w:styleId="CERbulletsChar">
    <w:name w:val="CER bullets Char"/>
    <w:link w:val="CERbullets"/>
    <w:uiPriority w:val="7"/>
    <w:rsid w:val="00FA7635"/>
    <w:rPr>
      <w:rFonts w:ascii="Calibri" w:hAnsi="Calibri" w:cs="Calibri"/>
      <w:sz w:val="22"/>
      <w:szCs w:val="24"/>
      <w:lang w:eastAsia="en-US"/>
    </w:rPr>
  </w:style>
  <w:style w:type="table" w:customStyle="1" w:styleId="CERTable">
    <w:name w:val="CER Table"/>
    <w:basedOn w:val="TableNormal"/>
    <w:uiPriority w:val="99"/>
    <w:rsid w:val="006423DF"/>
    <w:pPr>
      <w:spacing w:before="120"/>
    </w:pPr>
    <w:rPr>
      <w:rFonts w:ascii="Arial"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Cambria" w:hAnsi="Cambria"/>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Cambria" w:hAnsi="Cambria"/>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link w:val="Heading5"/>
    <w:uiPriority w:val="6"/>
    <w:rsid w:val="00FA7635"/>
    <w:rPr>
      <w:rFonts w:ascii="Calibri" w:eastAsia="Times New Roman" w:hAnsi="Calibri" w:cs="Times New Roman"/>
      <w:b/>
      <w:color w:val="000000"/>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link w:val="Heading7"/>
    <w:uiPriority w:val="99"/>
    <w:rsid w:val="002C427B"/>
    <w:rPr>
      <w:rFonts w:ascii="Cambria" w:eastAsia="Times New Roman" w:hAnsi="Cambria" w:cs="Times New Roman"/>
      <w:i/>
      <w:iCs/>
      <w:color w:val="404040"/>
      <w:sz w:val="22"/>
      <w:szCs w:val="24"/>
      <w:lang w:val="en-US" w:eastAsia="en-US"/>
    </w:rPr>
  </w:style>
  <w:style w:type="character" w:styleId="FollowedHyperlink">
    <w:name w:val="FollowedHyperlink"/>
    <w:uiPriority w:val="99"/>
    <w:rsid w:val="00BD5ED5"/>
    <w:rPr>
      <w:rFonts w:ascii="Calibri" w:hAnsi="Calibri"/>
      <w:color w:val="00A7D3"/>
      <w:sz w:val="22"/>
      <w:u w:val="single"/>
    </w:rPr>
  </w:style>
  <w:style w:type="paragraph" w:customStyle="1" w:styleId="CERcoverheading">
    <w:name w:val="CER cover heading"/>
    <w:basedOn w:val="Heading1"/>
    <w:link w:val="CERcoverheadingChar"/>
    <w:uiPriority w:val="8"/>
    <w:rsid w:val="00075E5A"/>
    <w:pPr>
      <w:spacing w:before="5400"/>
    </w:pPr>
  </w:style>
  <w:style w:type="paragraph" w:customStyle="1" w:styleId="CERsubtitle">
    <w:name w:val="CER subtitle"/>
    <w:basedOn w:val="Heading2"/>
    <w:link w:val="CERsubtitleChar"/>
    <w:uiPriority w:val="8"/>
    <w:rsid w:val="00075E5A"/>
  </w:style>
  <w:style w:type="character" w:customStyle="1" w:styleId="CERcoverheadingChar">
    <w:name w:val="CER cover heading Char"/>
    <w:link w:val="CERcoverheading"/>
    <w:uiPriority w:val="8"/>
    <w:rsid w:val="00075E5A"/>
    <w:rPr>
      <w:rFonts w:ascii="Calibri" w:eastAsia="Times New Roman" w:hAnsi="Calibri" w:cs="Calibri"/>
      <w:b/>
      <w:bCs/>
      <w:color w:val="005874"/>
      <w:kern w:val="32"/>
      <w:sz w:val="40"/>
      <w:szCs w:val="24"/>
      <w:lang w:eastAsia="en-US"/>
    </w:rPr>
  </w:style>
  <w:style w:type="character" w:customStyle="1" w:styleId="CERsubtitleChar">
    <w:name w:val="CER subtitle Char"/>
    <w:link w:val="CERsubtitle"/>
    <w:uiPriority w:val="8"/>
    <w:rsid w:val="00075E5A"/>
    <w:rPr>
      <w:rFonts w:ascii="Calibri" w:eastAsia="Times New Roman" w:hAnsi="Calibri" w:cs="Calibri"/>
      <w:b/>
      <w:bCs/>
      <w:color w:val="005874"/>
      <w:sz w:val="30"/>
      <w:szCs w:val="26"/>
      <w:lang w:eastAsia="en-US"/>
    </w:rPr>
  </w:style>
  <w:style w:type="paragraph" w:customStyle="1" w:styleId="CERnumbering">
    <w:name w:val="CER numbering"/>
    <w:basedOn w:val="CERbullets"/>
    <w:link w:val="CERnumberingChar"/>
    <w:uiPriority w:val="8"/>
    <w:qFormat/>
    <w:rsid w:val="003D5CF2"/>
    <w:pPr>
      <w:numPr>
        <w:numId w:val="30"/>
      </w:numPr>
    </w:pPr>
  </w:style>
  <w:style w:type="character" w:customStyle="1" w:styleId="CERnumberingChar">
    <w:name w:val="CER numbering Char"/>
    <w:link w:val="CERnumbering"/>
    <w:uiPriority w:val="8"/>
    <w:rsid w:val="003D5CF2"/>
    <w:rPr>
      <w:rFonts w:ascii="Calibri" w:hAnsi="Calibri" w:cs="Calibri"/>
      <w:sz w:val="22"/>
      <w:szCs w:val="24"/>
      <w:lang w:eastAsia="en-US"/>
    </w:rPr>
  </w:style>
  <w:style w:type="character" w:customStyle="1" w:styleId="Versionnumber">
    <w:name w:val="Version number"/>
    <w:rsid w:val="00075E5A"/>
    <w:rPr>
      <w:color w:val="005874"/>
    </w:rPr>
  </w:style>
  <w:style w:type="character" w:styleId="PlaceholderText">
    <w:name w:val="Placeholder Text"/>
    <w:basedOn w:val="DefaultParagraphFont"/>
    <w:uiPriority w:val="99"/>
    <w:rsid w:val="00007EAF"/>
    <w:rPr>
      <w:rFonts w:ascii="Times New Roman" w:hAnsi="Times New Roman" w:cs="Times New Roman" w:hint="default"/>
      <w:color w:val="808080"/>
    </w:rPr>
  </w:style>
  <w:style w:type="paragraph" w:customStyle="1" w:styleId="Bullet">
    <w:name w:val="Bullet"/>
    <w:basedOn w:val="Normal"/>
    <w:link w:val="BulletChar"/>
    <w:rsid w:val="00ED6ADD"/>
    <w:pPr>
      <w:numPr>
        <w:numId w:val="32"/>
      </w:numPr>
      <w:spacing w:before="240" w:after="0"/>
    </w:pPr>
    <w:rPr>
      <w:rFonts w:ascii="Times New Roman" w:eastAsia="Times New Roman" w:hAnsi="Times New Roman" w:cs="Times New Roman"/>
      <w:color w:val="auto"/>
      <w:sz w:val="24"/>
      <w:szCs w:val="20"/>
      <w:lang w:eastAsia="en-AU"/>
    </w:rPr>
  </w:style>
  <w:style w:type="character" w:customStyle="1" w:styleId="BulletChar">
    <w:name w:val="Bullet Char"/>
    <w:basedOn w:val="DefaultParagraphFont"/>
    <w:link w:val="Bullet"/>
    <w:rsid w:val="00ED6ADD"/>
    <w:rPr>
      <w:rFonts w:ascii="Times New Roman" w:eastAsia="Times New Roman" w:hAnsi="Times New Roman"/>
      <w:sz w:val="24"/>
    </w:rPr>
  </w:style>
  <w:style w:type="paragraph" w:customStyle="1" w:styleId="Dash">
    <w:name w:val="Dash"/>
    <w:basedOn w:val="Normal"/>
    <w:rsid w:val="00ED6ADD"/>
    <w:pPr>
      <w:numPr>
        <w:ilvl w:val="1"/>
        <w:numId w:val="32"/>
      </w:numPr>
      <w:spacing w:before="240" w:after="0"/>
    </w:pPr>
    <w:rPr>
      <w:rFonts w:ascii="Times New Roman" w:eastAsia="Times New Roman" w:hAnsi="Times New Roman" w:cs="Times New Roman"/>
      <w:color w:val="auto"/>
      <w:sz w:val="24"/>
      <w:szCs w:val="20"/>
      <w:lang w:eastAsia="en-AU"/>
    </w:rPr>
  </w:style>
  <w:style w:type="paragraph" w:customStyle="1" w:styleId="DoubleDot">
    <w:name w:val="Double Dot"/>
    <w:basedOn w:val="Normal"/>
    <w:rsid w:val="00ED6ADD"/>
    <w:pPr>
      <w:numPr>
        <w:ilvl w:val="2"/>
        <w:numId w:val="32"/>
      </w:numPr>
      <w:spacing w:before="240" w:after="0"/>
    </w:pPr>
    <w:rPr>
      <w:rFonts w:ascii="Times New Roman" w:eastAsia="Times New Roman" w:hAnsi="Times New Roman" w:cs="Times New Roman"/>
      <w:color w:val="auto"/>
      <w:sz w:val="24"/>
      <w:szCs w:val="20"/>
      <w:lang w:eastAsia="en-AU"/>
    </w:rPr>
  </w:style>
  <w:style w:type="paragraph" w:customStyle="1" w:styleId="Style1">
    <w:name w:val="Style1"/>
    <w:basedOn w:val="Bullet"/>
    <w:link w:val="Style1Char"/>
    <w:qFormat/>
    <w:rsid w:val="00ED6ADD"/>
  </w:style>
  <w:style w:type="character" w:customStyle="1" w:styleId="Style1Char">
    <w:name w:val="Style1 Char"/>
    <w:basedOn w:val="BulletChar"/>
    <w:link w:val="Style1"/>
    <w:rsid w:val="00ED6ADD"/>
    <w:rPr>
      <w:rFonts w:ascii="Times New Roman" w:eastAsia="Times New Roman" w:hAnsi="Times New Roman"/>
      <w:sz w:val="24"/>
    </w:rPr>
  </w:style>
  <w:style w:type="paragraph" w:customStyle="1" w:styleId="subsection">
    <w:name w:val="subsection"/>
    <w:basedOn w:val="Normal"/>
    <w:rsid w:val="00ED6ADD"/>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zr2">
    <w:name w:val="zr2"/>
    <w:basedOn w:val="Normal"/>
    <w:rsid w:val="00ED6ADD"/>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definition">
    <w:name w:val="definition"/>
    <w:basedOn w:val="Normal"/>
    <w:rsid w:val="00ED6ADD"/>
    <w:pPr>
      <w:spacing w:before="80" w:after="0" w:line="260" w:lineRule="exact"/>
      <w:ind w:left="964"/>
      <w:jc w:val="both"/>
    </w:pPr>
    <w:rPr>
      <w:rFonts w:ascii="Times New Roman" w:eastAsia="Times New Roman" w:hAnsi="Times New Roman" w:cs="Times New Roman"/>
      <w:color w:val="auto"/>
      <w:sz w:val="24"/>
      <w:lang w:eastAsia="en-AU"/>
    </w:rPr>
  </w:style>
  <w:style w:type="paragraph" w:customStyle="1" w:styleId="Default">
    <w:name w:val="Default"/>
    <w:rsid w:val="00ED6ADD"/>
    <w:pPr>
      <w:autoSpaceDE w:val="0"/>
      <w:autoSpaceDN w:val="0"/>
      <w:adjustRightInd w:val="0"/>
    </w:pPr>
    <w:rPr>
      <w:rFonts w:ascii="Times New Roman" w:eastAsia="Calibri" w:hAnsi="Times New Roman"/>
      <w:color w:val="000000"/>
      <w:sz w:val="24"/>
      <w:szCs w:val="24"/>
    </w:rPr>
  </w:style>
  <w:style w:type="character" w:styleId="CommentReference">
    <w:name w:val="annotation reference"/>
    <w:basedOn w:val="DefaultParagraphFont"/>
    <w:unhideWhenUsed/>
    <w:rsid w:val="00E348D6"/>
    <w:rPr>
      <w:sz w:val="16"/>
      <w:szCs w:val="16"/>
    </w:rPr>
  </w:style>
  <w:style w:type="paragraph" w:styleId="CommentText">
    <w:name w:val="annotation text"/>
    <w:basedOn w:val="Normal"/>
    <w:link w:val="CommentTextChar"/>
    <w:unhideWhenUsed/>
    <w:rsid w:val="00E348D6"/>
    <w:rPr>
      <w:sz w:val="20"/>
      <w:szCs w:val="20"/>
    </w:rPr>
  </w:style>
  <w:style w:type="character" w:customStyle="1" w:styleId="CommentTextChar">
    <w:name w:val="Comment Text Char"/>
    <w:basedOn w:val="DefaultParagraphFont"/>
    <w:link w:val="CommentText"/>
    <w:rsid w:val="00E348D6"/>
    <w:rPr>
      <w:rFonts w:ascii="Calibri" w:hAnsi="Calibri" w:cs="Calibri"/>
      <w:color w:val="000000"/>
      <w:lang w:eastAsia="en-US"/>
    </w:rPr>
  </w:style>
  <w:style w:type="paragraph" w:styleId="CommentSubject">
    <w:name w:val="annotation subject"/>
    <w:basedOn w:val="CommentText"/>
    <w:next w:val="CommentText"/>
    <w:link w:val="CommentSubjectChar"/>
    <w:uiPriority w:val="99"/>
    <w:semiHidden/>
    <w:unhideWhenUsed/>
    <w:rsid w:val="00E348D6"/>
    <w:rPr>
      <w:b/>
      <w:bCs/>
    </w:rPr>
  </w:style>
  <w:style w:type="character" w:customStyle="1" w:styleId="CommentSubjectChar">
    <w:name w:val="Comment Subject Char"/>
    <w:basedOn w:val="CommentTextChar"/>
    <w:link w:val="CommentSubject"/>
    <w:uiPriority w:val="99"/>
    <w:semiHidden/>
    <w:rsid w:val="00E348D6"/>
    <w:rPr>
      <w:rFonts w:ascii="Calibri" w:hAnsi="Calibri" w:cs="Calibri"/>
      <w:b/>
      <w:bCs/>
      <w:color w:val="000000"/>
      <w:lang w:eastAsia="en-US"/>
    </w:rPr>
  </w:style>
  <w:style w:type="paragraph" w:styleId="BalloonText">
    <w:name w:val="Balloon Text"/>
    <w:basedOn w:val="Normal"/>
    <w:link w:val="BalloonTextChar"/>
    <w:semiHidden/>
    <w:unhideWhenUsed/>
    <w:rsid w:val="00E348D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48D6"/>
    <w:rPr>
      <w:rFonts w:ascii="Segoe UI" w:hAnsi="Segoe UI" w:cs="Segoe UI"/>
      <w:color w:val="000000"/>
      <w:sz w:val="18"/>
      <w:szCs w:val="18"/>
      <w:lang w:eastAsia="en-US"/>
    </w:rPr>
  </w:style>
  <w:style w:type="paragraph" w:styleId="FootnoteText">
    <w:name w:val="footnote text"/>
    <w:basedOn w:val="Normal"/>
    <w:link w:val="FootnoteTextChar"/>
    <w:uiPriority w:val="99"/>
    <w:semiHidden/>
    <w:unhideWhenUsed/>
    <w:rsid w:val="00F4178E"/>
    <w:pPr>
      <w:spacing w:after="0"/>
    </w:pPr>
    <w:rPr>
      <w:sz w:val="20"/>
      <w:szCs w:val="20"/>
    </w:rPr>
  </w:style>
  <w:style w:type="character" w:customStyle="1" w:styleId="FootnoteTextChar">
    <w:name w:val="Footnote Text Char"/>
    <w:basedOn w:val="DefaultParagraphFont"/>
    <w:link w:val="FootnoteText"/>
    <w:uiPriority w:val="99"/>
    <w:semiHidden/>
    <w:rsid w:val="00F4178E"/>
    <w:rPr>
      <w:rFonts w:ascii="Calibri" w:hAnsi="Calibri" w:cs="Calibri"/>
      <w:color w:val="000000"/>
      <w:lang w:eastAsia="en-US"/>
    </w:rPr>
  </w:style>
  <w:style w:type="character" w:styleId="FootnoteReference">
    <w:name w:val="footnote reference"/>
    <w:basedOn w:val="DefaultParagraphFont"/>
    <w:uiPriority w:val="99"/>
    <w:semiHidden/>
    <w:unhideWhenUsed/>
    <w:rsid w:val="00F4178E"/>
    <w:rPr>
      <w:vertAlign w:val="superscript"/>
    </w:rPr>
  </w:style>
  <w:style w:type="paragraph" w:styleId="ListParagraph">
    <w:name w:val="List Paragraph"/>
    <w:basedOn w:val="Normal"/>
    <w:uiPriority w:val="34"/>
    <w:rsid w:val="00F4178E"/>
    <w:pPr>
      <w:ind w:left="720"/>
      <w:contextualSpacing/>
    </w:pPr>
  </w:style>
  <w:style w:type="paragraph" w:styleId="NormalWeb">
    <w:name w:val="Normal (Web)"/>
    <w:basedOn w:val="Normal"/>
    <w:uiPriority w:val="99"/>
    <w:rsid w:val="00D3184D"/>
    <w:pPr>
      <w:spacing w:after="0"/>
    </w:pPr>
    <w:rPr>
      <w:rFonts w:ascii="Times New Roman" w:eastAsia="Times New Roman" w:hAnsi="Times New Roman" w:cs="Times New Roman"/>
      <w:color w:val="auto"/>
      <w:sz w:val="24"/>
      <w:lang w:eastAsia="en-AU"/>
    </w:rPr>
  </w:style>
  <w:style w:type="paragraph" w:styleId="Revision">
    <w:name w:val="Revision"/>
    <w:hidden/>
    <w:semiHidden/>
    <w:rsid w:val="007B012A"/>
    <w:rPr>
      <w:rFonts w:ascii="Calibri" w:hAnsi="Calibri" w:cs="Calibri"/>
      <w:color w:val="000000"/>
      <w:sz w:val="22"/>
      <w:szCs w:val="24"/>
      <w:lang w:eastAsia="en-US"/>
    </w:rPr>
  </w:style>
  <w:style w:type="paragraph" w:styleId="BodyText">
    <w:name w:val="Body Text"/>
    <w:basedOn w:val="Normal"/>
    <w:link w:val="BodyTextChar"/>
    <w:uiPriority w:val="1"/>
    <w:qFormat/>
    <w:rsid w:val="00C04DA6"/>
    <w:pPr>
      <w:autoSpaceDE w:val="0"/>
      <w:autoSpaceDN w:val="0"/>
      <w:adjustRightInd w:val="0"/>
      <w:spacing w:after="0"/>
      <w:ind w:left="40"/>
      <w:jc w:val="both"/>
    </w:pPr>
    <w:rPr>
      <w:color w:val="auto"/>
      <w:szCs w:val="22"/>
      <w:lang w:eastAsia="en-AU"/>
    </w:rPr>
  </w:style>
  <w:style w:type="character" w:customStyle="1" w:styleId="BodyTextChar">
    <w:name w:val="Body Text Char"/>
    <w:basedOn w:val="DefaultParagraphFont"/>
    <w:link w:val="BodyText"/>
    <w:uiPriority w:val="1"/>
    <w:rsid w:val="00C04DA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3643">
      <w:bodyDiv w:val="1"/>
      <w:marLeft w:val="0"/>
      <w:marRight w:val="0"/>
      <w:marTop w:val="0"/>
      <w:marBottom w:val="0"/>
      <w:divBdr>
        <w:top w:val="none" w:sz="0" w:space="0" w:color="auto"/>
        <w:left w:val="none" w:sz="0" w:space="0" w:color="auto"/>
        <w:bottom w:val="none" w:sz="0" w:space="0" w:color="auto"/>
        <w:right w:val="none" w:sz="0" w:space="0" w:color="auto"/>
      </w:divBdr>
    </w:div>
    <w:div w:id="886255670">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19765348">
      <w:bodyDiv w:val="1"/>
      <w:marLeft w:val="0"/>
      <w:marRight w:val="0"/>
      <w:marTop w:val="0"/>
      <w:marBottom w:val="0"/>
      <w:divBdr>
        <w:top w:val="none" w:sz="0" w:space="0" w:color="auto"/>
        <w:left w:val="none" w:sz="0" w:space="0" w:color="auto"/>
        <w:bottom w:val="none" w:sz="0" w:space="0" w:color="auto"/>
        <w:right w:val="none" w:sz="0" w:space="0" w:color="auto"/>
      </w:divBdr>
      <w:divsChild>
        <w:div w:id="982585414">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sChild>
                <w:div w:id="401374300">
                  <w:marLeft w:val="0"/>
                  <w:marRight w:val="0"/>
                  <w:marTop w:val="0"/>
                  <w:marBottom w:val="0"/>
                  <w:divBdr>
                    <w:top w:val="none" w:sz="0" w:space="0" w:color="auto"/>
                    <w:left w:val="none" w:sz="0" w:space="0" w:color="auto"/>
                    <w:bottom w:val="none" w:sz="0" w:space="0" w:color="auto"/>
                    <w:right w:val="none" w:sz="0" w:space="0" w:color="auto"/>
                  </w:divBdr>
                  <w:divsChild>
                    <w:div w:id="535460726">
                      <w:marLeft w:val="0"/>
                      <w:marRight w:val="0"/>
                      <w:marTop w:val="0"/>
                      <w:marBottom w:val="0"/>
                      <w:divBdr>
                        <w:top w:val="none" w:sz="0" w:space="0" w:color="auto"/>
                        <w:left w:val="none" w:sz="0" w:space="0" w:color="auto"/>
                        <w:bottom w:val="none" w:sz="0" w:space="0" w:color="auto"/>
                        <w:right w:val="none" w:sz="0" w:space="0" w:color="auto"/>
                      </w:divBdr>
                      <w:divsChild>
                        <w:div w:id="1783181900">
                          <w:marLeft w:val="0"/>
                          <w:marRight w:val="0"/>
                          <w:marTop w:val="0"/>
                          <w:marBottom w:val="0"/>
                          <w:divBdr>
                            <w:top w:val="none" w:sz="0" w:space="0" w:color="auto"/>
                            <w:left w:val="none" w:sz="0" w:space="0" w:color="auto"/>
                            <w:bottom w:val="none" w:sz="0" w:space="0" w:color="auto"/>
                            <w:right w:val="none" w:sz="0" w:space="0" w:color="auto"/>
                          </w:divBdr>
                          <w:divsChild>
                            <w:div w:id="720520893">
                              <w:marLeft w:val="0"/>
                              <w:marRight w:val="0"/>
                              <w:marTop w:val="0"/>
                              <w:marBottom w:val="0"/>
                              <w:divBdr>
                                <w:top w:val="none" w:sz="0" w:space="0" w:color="auto"/>
                                <w:left w:val="none" w:sz="0" w:space="0" w:color="auto"/>
                                <w:bottom w:val="none" w:sz="0" w:space="0" w:color="auto"/>
                                <w:right w:val="none" w:sz="0" w:space="0" w:color="auto"/>
                              </w:divBdr>
                              <w:divsChild>
                                <w:div w:id="1772042475">
                                  <w:marLeft w:val="0"/>
                                  <w:marRight w:val="0"/>
                                  <w:marTop w:val="0"/>
                                  <w:marBottom w:val="0"/>
                                  <w:divBdr>
                                    <w:top w:val="none" w:sz="0" w:space="0" w:color="auto"/>
                                    <w:left w:val="none" w:sz="0" w:space="0" w:color="auto"/>
                                    <w:bottom w:val="none" w:sz="0" w:space="0" w:color="auto"/>
                                    <w:right w:val="none" w:sz="0" w:space="0" w:color="auto"/>
                                  </w:divBdr>
                                  <w:divsChild>
                                    <w:div w:id="1906337058">
                                      <w:marLeft w:val="0"/>
                                      <w:marRight w:val="0"/>
                                      <w:marTop w:val="0"/>
                                      <w:marBottom w:val="0"/>
                                      <w:divBdr>
                                        <w:top w:val="none" w:sz="0" w:space="0" w:color="auto"/>
                                        <w:left w:val="none" w:sz="0" w:space="0" w:color="auto"/>
                                        <w:bottom w:val="none" w:sz="0" w:space="0" w:color="auto"/>
                                        <w:right w:val="none" w:sz="0" w:space="0" w:color="auto"/>
                                      </w:divBdr>
                                      <w:divsChild>
                                        <w:div w:id="107239206">
                                          <w:marLeft w:val="0"/>
                                          <w:marRight w:val="0"/>
                                          <w:marTop w:val="0"/>
                                          <w:marBottom w:val="0"/>
                                          <w:divBdr>
                                            <w:top w:val="none" w:sz="0" w:space="0" w:color="auto"/>
                                            <w:left w:val="none" w:sz="0" w:space="0" w:color="auto"/>
                                            <w:bottom w:val="none" w:sz="0" w:space="0" w:color="auto"/>
                                            <w:right w:val="none" w:sz="0" w:space="0" w:color="auto"/>
                                          </w:divBdr>
                                          <w:divsChild>
                                            <w:div w:id="262036607">
                                              <w:marLeft w:val="0"/>
                                              <w:marRight w:val="0"/>
                                              <w:marTop w:val="0"/>
                                              <w:marBottom w:val="0"/>
                                              <w:divBdr>
                                                <w:top w:val="none" w:sz="0" w:space="0" w:color="auto"/>
                                                <w:left w:val="none" w:sz="0" w:space="0" w:color="auto"/>
                                                <w:bottom w:val="none" w:sz="0" w:space="0" w:color="auto"/>
                                                <w:right w:val="none" w:sz="0" w:space="0" w:color="auto"/>
                                              </w:divBdr>
                                              <w:divsChild>
                                                <w:div w:id="29303567">
                                                  <w:marLeft w:val="0"/>
                                                  <w:marRight w:val="0"/>
                                                  <w:marTop w:val="0"/>
                                                  <w:marBottom w:val="0"/>
                                                  <w:divBdr>
                                                    <w:top w:val="none" w:sz="0" w:space="0" w:color="auto"/>
                                                    <w:left w:val="none" w:sz="0" w:space="0" w:color="auto"/>
                                                    <w:bottom w:val="none" w:sz="0" w:space="0" w:color="auto"/>
                                                    <w:right w:val="none" w:sz="0" w:space="0" w:color="auto"/>
                                                  </w:divBdr>
                                                  <w:divsChild>
                                                    <w:div w:id="961571631">
                                                      <w:marLeft w:val="0"/>
                                                      <w:marRight w:val="0"/>
                                                      <w:marTop w:val="0"/>
                                                      <w:marBottom w:val="0"/>
                                                      <w:divBdr>
                                                        <w:top w:val="none" w:sz="0" w:space="0" w:color="auto"/>
                                                        <w:left w:val="none" w:sz="0" w:space="0" w:color="auto"/>
                                                        <w:bottom w:val="none" w:sz="0" w:space="0" w:color="auto"/>
                                                        <w:right w:val="none" w:sz="0" w:space="0" w:color="auto"/>
                                                      </w:divBdr>
                                                      <w:divsChild>
                                                        <w:div w:id="15353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133745">
      <w:bodyDiv w:val="1"/>
      <w:marLeft w:val="0"/>
      <w:marRight w:val="0"/>
      <w:marTop w:val="0"/>
      <w:marBottom w:val="0"/>
      <w:divBdr>
        <w:top w:val="none" w:sz="0" w:space="0" w:color="auto"/>
        <w:left w:val="none" w:sz="0" w:space="0" w:color="auto"/>
        <w:bottom w:val="none" w:sz="0" w:space="0" w:color="auto"/>
        <w:right w:val="none" w:sz="0" w:space="0" w:color="auto"/>
      </w:divBdr>
    </w:div>
    <w:div w:id="2049528206">
      <w:bodyDiv w:val="1"/>
      <w:marLeft w:val="0"/>
      <w:marRight w:val="0"/>
      <w:marTop w:val="0"/>
      <w:marBottom w:val="0"/>
      <w:divBdr>
        <w:top w:val="none" w:sz="0" w:space="0" w:color="auto"/>
        <w:left w:val="none" w:sz="0" w:space="0" w:color="auto"/>
        <w:bottom w:val="none" w:sz="0" w:space="0" w:color="auto"/>
        <w:right w:val="none" w:sz="0" w:space="0" w:color="auto"/>
      </w:divBdr>
      <w:divsChild>
        <w:div w:id="1489588583">
          <w:marLeft w:val="0"/>
          <w:marRight w:val="0"/>
          <w:marTop w:val="100"/>
          <w:marBottom w:val="100"/>
          <w:divBdr>
            <w:top w:val="none" w:sz="0" w:space="0" w:color="auto"/>
            <w:left w:val="none" w:sz="0" w:space="0" w:color="auto"/>
            <w:bottom w:val="none" w:sz="0" w:space="0" w:color="auto"/>
            <w:right w:val="none" w:sz="0" w:space="0" w:color="auto"/>
          </w:divBdr>
          <w:divsChild>
            <w:div w:id="541747383">
              <w:marLeft w:val="0"/>
              <w:marRight w:val="0"/>
              <w:marTop w:val="0"/>
              <w:marBottom w:val="0"/>
              <w:divBdr>
                <w:top w:val="none" w:sz="0" w:space="0" w:color="auto"/>
                <w:left w:val="none" w:sz="0" w:space="0" w:color="auto"/>
                <w:bottom w:val="none" w:sz="0" w:space="0" w:color="auto"/>
                <w:right w:val="none" w:sz="0" w:space="0" w:color="auto"/>
              </w:divBdr>
              <w:divsChild>
                <w:div w:id="641732600">
                  <w:marLeft w:val="0"/>
                  <w:marRight w:val="0"/>
                  <w:marTop w:val="0"/>
                  <w:marBottom w:val="0"/>
                  <w:divBdr>
                    <w:top w:val="none" w:sz="0" w:space="0" w:color="auto"/>
                    <w:left w:val="none" w:sz="0" w:space="0" w:color="auto"/>
                    <w:bottom w:val="none" w:sz="0" w:space="0" w:color="auto"/>
                    <w:right w:val="none" w:sz="0" w:space="0" w:color="auto"/>
                  </w:divBdr>
                  <w:divsChild>
                    <w:div w:id="444927892">
                      <w:marLeft w:val="0"/>
                      <w:marRight w:val="0"/>
                      <w:marTop w:val="0"/>
                      <w:marBottom w:val="0"/>
                      <w:divBdr>
                        <w:top w:val="none" w:sz="0" w:space="0" w:color="auto"/>
                        <w:left w:val="none" w:sz="0" w:space="0" w:color="auto"/>
                        <w:bottom w:val="none" w:sz="0" w:space="0" w:color="auto"/>
                        <w:right w:val="none" w:sz="0" w:space="0" w:color="auto"/>
                      </w:divBdr>
                      <w:divsChild>
                        <w:div w:id="1085415390">
                          <w:marLeft w:val="0"/>
                          <w:marRight w:val="0"/>
                          <w:marTop w:val="0"/>
                          <w:marBottom w:val="0"/>
                          <w:divBdr>
                            <w:top w:val="none" w:sz="0" w:space="0" w:color="auto"/>
                            <w:left w:val="none" w:sz="0" w:space="0" w:color="auto"/>
                            <w:bottom w:val="none" w:sz="0" w:space="0" w:color="auto"/>
                            <w:right w:val="none" w:sz="0" w:space="0" w:color="auto"/>
                          </w:divBdr>
                          <w:divsChild>
                            <w:div w:id="2020889484">
                              <w:marLeft w:val="0"/>
                              <w:marRight w:val="0"/>
                              <w:marTop w:val="0"/>
                              <w:marBottom w:val="0"/>
                              <w:divBdr>
                                <w:top w:val="none" w:sz="0" w:space="0" w:color="auto"/>
                                <w:left w:val="none" w:sz="0" w:space="0" w:color="auto"/>
                                <w:bottom w:val="none" w:sz="0" w:space="0" w:color="auto"/>
                                <w:right w:val="none" w:sz="0" w:space="0" w:color="auto"/>
                              </w:divBdr>
                              <w:divsChild>
                                <w:div w:id="1728257019">
                                  <w:marLeft w:val="0"/>
                                  <w:marRight w:val="0"/>
                                  <w:marTop w:val="0"/>
                                  <w:marBottom w:val="0"/>
                                  <w:divBdr>
                                    <w:top w:val="none" w:sz="0" w:space="0" w:color="auto"/>
                                    <w:left w:val="none" w:sz="0" w:space="0" w:color="auto"/>
                                    <w:bottom w:val="none" w:sz="0" w:space="0" w:color="auto"/>
                                    <w:right w:val="none" w:sz="0" w:space="0" w:color="auto"/>
                                  </w:divBdr>
                                  <w:divsChild>
                                    <w:div w:id="559512344">
                                      <w:marLeft w:val="0"/>
                                      <w:marRight w:val="0"/>
                                      <w:marTop w:val="0"/>
                                      <w:marBottom w:val="0"/>
                                      <w:divBdr>
                                        <w:top w:val="none" w:sz="0" w:space="0" w:color="auto"/>
                                        <w:left w:val="none" w:sz="0" w:space="0" w:color="auto"/>
                                        <w:bottom w:val="none" w:sz="0" w:space="0" w:color="auto"/>
                                        <w:right w:val="none" w:sz="0" w:space="0" w:color="auto"/>
                                      </w:divBdr>
                                      <w:divsChild>
                                        <w:div w:id="256914006">
                                          <w:marLeft w:val="0"/>
                                          <w:marRight w:val="0"/>
                                          <w:marTop w:val="0"/>
                                          <w:marBottom w:val="0"/>
                                          <w:divBdr>
                                            <w:top w:val="none" w:sz="0" w:space="0" w:color="auto"/>
                                            <w:left w:val="none" w:sz="0" w:space="0" w:color="auto"/>
                                            <w:bottom w:val="none" w:sz="0" w:space="0" w:color="auto"/>
                                            <w:right w:val="none" w:sz="0" w:space="0" w:color="auto"/>
                                          </w:divBdr>
                                          <w:divsChild>
                                            <w:div w:id="91972685">
                                              <w:marLeft w:val="0"/>
                                              <w:marRight w:val="0"/>
                                              <w:marTop w:val="0"/>
                                              <w:marBottom w:val="0"/>
                                              <w:divBdr>
                                                <w:top w:val="none" w:sz="0" w:space="0" w:color="auto"/>
                                                <w:left w:val="none" w:sz="0" w:space="0" w:color="auto"/>
                                                <w:bottom w:val="none" w:sz="0" w:space="0" w:color="auto"/>
                                                <w:right w:val="none" w:sz="0" w:space="0" w:color="auto"/>
                                              </w:divBdr>
                                              <w:divsChild>
                                                <w:div w:id="152012519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9629997">
                                                      <w:marLeft w:val="0"/>
                                                      <w:marRight w:val="0"/>
                                                      <w:marTop w:val="0"/>
                                                      <w:marBottom w:val="0"/>
                                                      <w:divBdr>
                                                        <w:top w:val="none" w:sz="0" w:space="0" w:color="auto"/>
                                                        <w:left w:val="none" w:sz="0" w:space="0" w:color="auto"/>
                                                        <w:bottom w:val="none" w:sz="0" w:space="0" w:color="auto"/>
                                                        <w:right w:val="none" w:sz="0" w:space="0" w:color="auto"/>
                                                      </w:divBdr>
                                                      <w:divsChild>
                                                        <w:div w:id="17350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asb.gov.au/Pronouncements/Standards-on-Assurance-Engagements.aspx" TargetMode="External"/><Relationship Id="rId13" Type="http://schemas.openxmlformats.org/officeDocument/2006/relationships/hyperlink" Target="http://www.iso.org/iso/home.htm" TargetMode="External"/><Relationship Id="rId18" Type="http://schemas.openxmlformats.org/officeDocument/2006/relationships/hyperlink" Target="http://www.iso.org/iso/home.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auasb.gov.au/Pronouncements/Standards-on-Assurance-Engagements.aspx" TargetMode="External"/><Relationship Id="rId12" Type="http://schemas.openxmlformats.org/officeDocument/2006/relationships/hyperlink" Target="https://www.ifac.org/publications-resources/glance-international-standard-assurance-engagements-isae-3410-assurance-engag" TargetMode="External"/><Relationship Id="rId17" Type="http://schemas.openxmlformats.org/officeDocument/2006/relationships/hyperlink" Target="http://www.iso.org/iso/home.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infostore.saiglobal.com/en-au/Search/Standard/?sortKey=date-desc&amp;productFamily=STANDAR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ac.org/publications-resources/2014-handbook-international-quality-control-auditing-review-other-assurance-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nfostore.saiglobal.com/en-au/Search/Standard/?sortKey=date-desc&amp;productFamily=STANDARD" TargetMode="External"/><Relationship Id="rId23" Type="http://schemas.openxmlformats.org/officeDocument/2006/relationships/footer" Target="footer2.xml"/><Relationship Id="rId10" Type="http://schemas.openxmlformats.org/officeDocument/2006/relationships/hyperlink" Target="http://www.auasb.gov.au/Pronouncements/Standards-on-Assurance-Engagements.aspx" TargetMode="External"/><Relationship Id="rId19" Type="http://schemas.openxmlformats.org/officeDocument/2006/relationships/hyperlink" Target="http://www.palgrave.com/home/index.asp" TargetMode="External"/><Relationship Id="rId4" Type="http://schemas.openxmlformats.org/officeDocument/2006/relationships/webSettings" Target="webSettings.xml"/><Relationship Id="rId9" Type="http://schemas.openxmlformats.org/officeDocument/2006/relationships/hyperlink" Target="http://www.auasb.gov.au/Pronouncements/Standards-on-Assurance-Engagements.aspx" TargetMode="External"/><Relationship Id="rId14" Type="http://schemas.openxmlformats.org/officeDocument/2006/relationships/hyperlink" Target="http://www.environment.gov.au/climate-change/government/carbon-neutral/nco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29695</CharactersWithSpaces>
  <SharedDoc>false</SharedDoc>
  <HLinks>
    <vt:vector size="18" baseType="variant">
      <vt:variant>
        <vt:i4>3342417</vt:i4>
      </vt:variant>
      <vt:variant>
        <vt:i4>6</vt:i4>
      </vt:variant>
      <vt:variant>
        <vt:i4>0</vt:i4>
      </vt:variant>
      <vt:variant>
        <vt:i4>5</vt:i4>
      </vt:variant>
      <vt:variant>
        <vt:lpwstr>mailto:communications@cleanenergyregulator.gov.au</vt:lpwstr>
      </vt:variant>
      <vt:variant>
        <vt:lpwstr/>
      </vt:variant>
      <vt:variant>
        <vt:i4>3342417</vt:i4>
      </vt:variant>
      <vt:variant>
        <vt:i4>3</vt:i4>
      </vt:variant>
      <vt:variant>
        <vt:i4>0</vt:i4>
      </vt:variant>
      <vt:variant>
        <vt:i4>5</vt:i4>
      </vt:variant>
      <vt:variant>
        <vt:lpwstr>mailto:communications@cleanenergyregulator.gov.au</vt:lpwstr>
      </vt:variant>
      <vt:variant>
        <vt:lpwstr/>
      </vt:variant>
      <vt:variant>
        <vt:i4>3342417</vt:i4>
      </vt:variant>
      <vt:variant>
        <vt:i4>0</vt:i4>
      </vt:variant>
      <vt:variant>
        <vt:i4>0</vt:i4>
      </vt:variant>
      <vt:variant>
        <vt:i4>5</vt:i4>
      </vt:variant>
      <vt:variant>
        <vt:lpwstr>mailto:communications@cleanenergyregulator.gov.au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2019-11-12T03:21:00Z</dcterms:created>
  <dcterms:modified xsi:type="dcterms:W3CDTF">2019-11-12T03:51:00Z</dcterms:modified>
</cp:coreProperties>
</file>