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01" w:rsidRPr="002671DD" w:rsidRDefault="002671DD" w:rsidP="002671DD">
      <w:pPr>
        <w:jc w:val="center"/>
        <w:rPr>
          <w:rFonts w:ascii="Times New Roman" w:hAnsi="Times New Roman" w:cs="Times New Roman"/>
          <w:b/>
          <w:sz w:val="24"/>
          <w:szCs w:val="24"/>
        </w:rPr>
      </w:pPr>
      <w:bookmarkStart w:id="0" w:name="_GoBack"/>
      <w:bookmarkEnd w:id="0"/>
      <w:r w:rsidRPr="002671DD">
        <w:rPr>
          <w:rFonts w:ascii="Times New Roman" w:hAnsi="Times New Roman" w:cs="Times New Roman"/>
          <w:b/>
          <w:sz w:val="24"/>
          <w:szCs w:val="24"/>
        </w:rPr>
        <w:t>Explanatory Statement</w:t>
      </w:r>
    </w:p>
    <w:p w:rsidR="002671DD" w:rsidRPr="002671DD" w:rsidRDefault="002671DD" w:rsidP="002671DD">
      <w:pPr>
        <w:jc w:val="center"/>
        <w:rPr>
          <w:rFonts w:ascii="Times New Roman" w:hAnsi="Times New Roman" w:cs="Times New Roman"/>
          <w:b/>
          <w:i/>
          <w:sz w:val="24"/>
          <w:szCs w:val="24"/>
        </w:rPr>
      </w:pPr>
      <w:r w:rsidRPr="002671DD">
        <w:rPr>
          <w:rFonts w:ascii="Times New Roman" w:hAnsi="Times New Roman" w:cs="Times New Roman"/>
          <w:b/>
          <w:i/>
          <w:sz w:val="24"/>
          <w:szCs w:val="24"/>
        </w:rPr>
        <w:t>Radiocommunications Act 1992</w:t>
      </w:r>
    </w:p>
    <w:p w:rsidR="002671DD" w:rsidRDefault="002671DD" w:rsidP="002671DD">
      <w:pPr>
        <w:jc w:val="center"/>
        <w:rPr>
          <w:rFonts w:ascii="Times New Roman" w:hAnsi="Times New Roman" w:cs="Times New Roman"/>
          <w:b/>
          <w:sz w:val="24"/>
          <w:szCs w:val="24"/>
        </w:rPr>
      </w:pPr>
      <w:r>
        <w:rPr>
          <w:rFonts w:ascii="Times New Roman" w:hAnsi="Times New Roman" w:cs="Times New Roman"/>
          <w:b/>
          <w:sz w:val="24"/>
          <w:szCs w:val="24"/>
        </w:rPr>
        <w:t>Radiocommunications (Spectrum Re-allocation</w:t>
      </w:r>
      <w:r w:rsidR="008C6C7B">
        <w:rPr>
          <w:rFonts w:ascii="Times New Roman" w:hAnsi="Times New Roman" w:cs="Times New Roman"/>
          <w:b/>
          <w:sz w:val="24"/>
          <w:szCs w:val="24"/>
        </w:rPr>
        <w:t>—</w:t>
      </w:r>
      <w:r>
        <w:rPr>
          <w:rFonts w:ascii="Times New Roman" w:hAnsi="Times New Roman" w:cs="Times New Roman"/>
          <w:b/>
          <w:sz w:val="24"/>
          <w:szCs w:val="24"/>
        </w:rPr>
        <w:t>26 GHz Band) Declaration 2019</w:t>
      </w:r>
    </w:p>
    <w:p w:rsidR="002671DD" w:rsidRDefault="002671DD" w:rsidP="002671DD">
      <w:pPr>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Communications</w:t>
      </w:r>
      <w:r w:rsidR="00D249E1">
        <w:rPr>
          <w:rFonts w:ascii="Times New Roman" w:hAnsi="Times New Roman" w:cs="Times New Roman"/>
          <w:sz w:val="24"/>
          <w:szCs w:val="24"/>
        </w:rPr>
        <w:t>, Cyber Safety and the Arts</w:t>
      </w:r>
    </w:p>
    <w:p w:rsidR="002671DD" w:rsidRDefault="002671DD" w:rsidP="000C6B12">
      <w:pPr>
        <w:rPr>
          <w:rFonts w:ascii="Times New Roman" w:hAnsi="Times New Roman" w:cs="Times New Roman"/>
          <w:sz w:val="24"/>
          <w:szCs w:val="24"/>
          <w:u w:val="single"/>
        </w:rPr>
      </w:pPr>
      <w:r w:rsidRPr="002671DD">
        <w:rPr>
          <w:rFonts w:ascii="Times New Roman" w:hAnsi="Times New Roman" w:cs="Times New Roman"/>
          <w:sz w:val="24"/>
          <w:szCs w:val="24"/>
          <w:u w:val="single"/>
        </w:rPr>
        <w:t>Purpose</w:t>
      </w:r>
    </w:p>
    <w:p w:rsidR="00BB13BC" w:rsidRPr="00AD0D1C" w:rsidRDefault="002671DD" w:rsidP="00AD0D1C">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Radiocommunications (Spectrum Re-allocation</w:t>
      </w:r>
      <w:r w:rsidR="008C6C7B">
        <w:rPr>
          <w:rFonts w:ascii="Times New Roman" w:hAnsi="Times New Roman" w:cs="Times New Roman"/>
          <w:i/>
          <w:sz w:val="24"/>
          <w:szCs w:val="24"/>
        </w:rPr>
        <w:t>—</w:t>
      </w:r>
      <w:r>
        <w:rPr>
          <w:rFonts w:ascii="Times New Roman" w:hAnsi="Times New Roman" w:cs="Times New Roman"/>
          <w:i/>
          <w:sz w:val="24"/>
          <w:szCs w:val="24"/>
        </w:rPr>
        <w:t>26</w:t>
      </w:r>
      <w:r w:rsidR="00D56175">
        <w:rPr>
          <w:rFonts w:ascii="Times New Roman" w:hAnsi="Times New Roman" w:cs="Times New Roman"/>
          <w:i/>
          <w:sz w:val="24"/>
          <w:szCs w:val="24"/>
        </w:rPr>
        <w:t> </w:t>
      </w:r>
      <w:r>
        <w:rPr>
          <w:rFonts w:ascii="Times New Roman" w:hAnsi="Times New Roman" w:cs="Times New Roman"/>
          <w:i/>
          <w:sz w:val="24"/>
          <w:szCs w:val="24"/>
        </w:rPr>
        <w:t>GHz Band) Declaration 2019</w:t>
      </w:r>
      <w:r w:rsidR="00AE78CD">
        <w:rPr>
          <w:rFonts w:ascii="Times New Roman" w:hAnsi="Times New Roman" w:cs="Times New Roman"/>
          <w:i/>
          <w:sz w:val="24"/>
          <w:szCs w:val="24"/>
        </w:rPr>
        <w:t xml:space="preserve"> </w:t>
      </w:r>
      <w:r>
        <w:rPr>
          <w:rFonts w:ascii="Times New Roman" w:hAnsi="Times New Roman" w:cs="Times New Roman"/>
          <w:sz w:val="24"/>
          <w:szCs w:val="24"/>
        </w:rPr>
        <w:t>is to declare the part</w:t>
      </w:r>
      <w:r w:rsidR="005C3E19">
        <w:rPr>
          <w:rFonts w:ascii="Times New Roman" w:hAnsi="Times New Roman" w:cs="Times New Roman"/>
          <w:sz w:val="24"/>
          <w:szCs w:val="24"/>
        </w:rPr>
        <w:t>s</w:t>
      </w:r>
      <w:r>
        <w:rPr>
          <w:rFonts w:ascii="Times New Roman" w:hAnsi="Times New Roman" w:cs="Times New Roman"/>
          <w:sz w:val="24"/>
          <w:szCs w:val="24"/>
        </w:rPr>
        <w:t xml:space="preserve"> of the radiofrequency spectrum from 25.</w:t>
      </w:r>
      <w:r w:rsidRPr="00630C14">
        <w:rPr>
          <w:rFonts w:ascii="Times New Roman" w:hAnsi="Times New Roman" w:cs="Times New Roman"/>
          <w:sz w:val="24"/>
          <w:szCs w:val="24"/>
        </w:rPr>
        <w:t>1</w:t>
      </w:r>
      <w:r w:rsidR="00630C14">
        <w:t> </w:t>
      </w:r>
      <w:r w:rsidRPr="00630C14">
        <w:t>to</w:t>
      </w:r>
      <w:r w:rsidR="00630C14">
        <w:t> </w:t>
      </w:r>
      <w:r>
        <w:rPr>
          <w:rFonts w:ascii="Times New Roman" w:hAnsi="Times New Roman" w:cs="Times New Roman"/>
          <w:sz w:val="24"/>
          <w:szCs w:val="24"/>
        </w:rPr>
        <w:t>27</w:t>
      </w:r>
      <w:r w:rsidR="00BB13BC">
        <w:rPr>
          <w:rFonts w:ascii="Times New Roman" w:hAnsi="Times New Roman" w:cs="Times New Roman"/>
          <w:sz w:val="24"/>
          <w:szCs w:val="24"/>
        </w:rPr>
        <w:t>.0</w:t>
      </w:r>
      <w:r w:rsidR="00630C14">
        <w:rPr>
          <w:rFonts w:ascii="Times New Roman" w:hAnsi="Times New Roman" w:cs="Times New Roman"/>
          <w:sz w:val="24"/>
          <w:szCs w:val="24"/>
        </w:rPr>
        <w:t> </w:t>
      </w:r>
      <w:r>
        <w:rPr>
          <w:rFonts w:ascii="Times New Roman" w:hAnsi="Times New Roman" w:cs="Times New Roman"/>
          <w:sz w:val="24"/>
          <w:szCs w:val="24"/>
        </w:rPr>
        <w:t>GHz</w:t>
      </w:r>
      <w:r w:rsidR="005C3E19">
        <w:rPr>
          <w:rFonts w:ascii="Times New Roman" w:hAnsi="Times New Roman" w:cs="Times New Roman"/>
          <w:sz w:val="24"/>
          <w:szCs w:val="24"/>
        </w:rPr>
        <w:t xml:space="preserve"> and </w:t>
      </w:r>
      <w:r w:rsidR="0054780E">
        <w:rPr>
          <w:rFonts w:ascii="Times New Roman" w:hAnsi="Times New Roman" w:cs="Times New Roman"/>
          <w:sz w:val="24"/>
          <w:szCs w:val="24"/>
        </w:rPr>
        <w:t>27</w:t>
      </w:r>
      <w:r w:rsidR="00AD0D1C">
        <w:rPr>
          <w:rFonts w:ascii="Times New Roman" w:hAnsi="Times New Roman" w:cs="Times New Roman"/>
          <w:sz w:val="24"/>
          <w:szCs w:val="24"/>
        </w:rPr>
        <w:t>.0</w:t>
      </w:r>
      <w:r w:rsidR="0054780E">
        <w:rPr>
          <w:rFonts w:ascii="Times New Roman" w:hAnsi="Times New Roman" w:cs="Times New Roman"/>
          <w:sz w:val="24"/>
          <w:szCs w:val="24"/>
        </w:rPr>
        <w:t xml:space="preserve"> </w:t>
      </w:r>
      <w:r w:rsidR="00D249E1">
        <w:rPr>
          <w:rFonts w:ascii="Times New Roman" w:hAnsi="Times New Roman" w:cs="Times New Roman"/>
          <w:sz w:val="24"/>
          <w:szCs w:val="24"/>
        </w:rPr>
        <w:t>to</w:t>
      </w:r>
      <w:r w:rsidR="0054780E">
        <w:rPr>
          <w:rFonts w:ascii="Times New Roman" w:hAnsi="Times New Roman" w:cs="Times New Roman"/>
          <w:sz w:val="24"/>
          <w:szCs w:val="24"/>
        </w:rPr>
        <w:t xml:space="preserve"> 27.5 GHz</w:t>
      </w:r>
      <w:r w:rsidR="00833044">
        <w:rPr>
          <w:rFonts w:ascii="Times New Roman" w:hAnsi="Times New Roman" w:cs="Times New Roman"/>
          <w:sz w:val="24"/>
          <w:szCs w:val="24"/>
        </w:rPr>
        <w:t xml:space="preserve"> </w:t>
      </w:r>
      <w:r>
        <w:rPr>
          <w:rFonts w:ascii="Times New Roman" w:hAnsi="Times New Roman" w:cs="Times New Roman"/>
          <w:sz w:val="24"/>
          <w:szCs w:val="24"/>
        </w:rPr>
        <w:t>as being subject to re-allocation by the</w:t>
      </w:r>
      <w:r w:rsidR="00D249E1">
        <w:rPr>
          <w:rFonts w:ascii="Times New Roman" w:hAnsi="Times New Roman" w:cs="Times New Roman"/>
          <w:sz w:val="24"/>
          <w:szCs w:val="24"/>
        </w:rPr>
        <w:t xml:space="preserve"> Australian Communications and Media Authority</w:t>
      </w:r>
      <w:r>
        <w:rPr>
          <w:rFonts w:ascii="Times New Roman" w:hAnsi="Times New Roman" w:cs="Times New Roman"/>
          <w:sz w:val="24"/>
          <w:szCs w:val="24"/>
        </w:rPr>
        <w:t xml:space="preserve"> </w:t>
      </w:r>
      <w:r w:rsidR="00D249E1">
        <w:rPr>
          <w:rFonts w:ascii="Times New Roman" w:hAnsi="Times New Roman" w:cs="Times New Roman"/>
          <w:sz w:val="24"/>
          <w:szCs w:val="24"/>
        </w:rPr>
        <w:t>(</w:t>
      </w:r>
      <w:r>
        <w:rPr>
          <w:rFonts w:ascii="Times New Roman" w:hAnsi="Times New Roman" w:cs="Times New Roman"/>
          <w:sz w:val="24"/>
          <w:szCs w:val="24"/>
        </w:rPr>
        <w:t>ACMA</w:t>
      </w:r>
      <w:r w:rsidR="00D249E1">
        <w:rPr>
          <w:rFonts w:ascii="Times New Roman" w:hAnsi="Times New Roman" w:cs="Times New Roman"/>
          <w:sz w:val="24"/>
          <w:szCs w:val="24"/>
        </w:rPr>
        <w:t>)</w:t>
      </w:r>
      <w:r>
        <w:rPr>
          <w:rFonts w:ascii="Times New Roman" w:hAnsi="Times New Roman" w:cs="Times New Roman"/>
          <w:sz w:val="24"/>
          <w:szCs w:val="24"/>
        </w:rPr>
        <w:t xml:space="preserve"> by issuing spectrum licences</w:t>
      </w:r>
      <w:r w:rsidR="00833044">
        <w:rPr>
          <w:rFonts w:ascii="Times New Roman" w:hAnsi="Times New Roman" w:cs="Times New Roman"/>
          <w:sz w:val="24"/>
          <w:szCs w:val="24"/>
        </w:rPr>
        <w:t>. The</w:t>
      </w:r>
      <w:r w:rsidR="00D56175">
        <w:rPr>
          <w:rFonts w:ascii="Times New Roman" w:hAnsi="Times New Roman" w:cs="Times New Roman"/>
          <w:sz w:val="24"/>
          <w:szCs w:val="24"/>
        </w:rPr>
        <w:t> </w:t>
      </w:r>
      <w:r w:rsidR="00833044">
        <w:rPr>
          <w:rFonts w:ascii="Times New Roman" w:hAnsi="Times New Roman" w:cs="Times New Roman"/>
          <w:sz w:val="24"/>
          <w:szCs w:val="24"/>
        </w:rPr>
        <w:t>re-allocation of the 25.1</w:t>
      </w:r>
      <w:r w:rsidR="007B42F5">
        <w:rPr>
          <w:rFonts w:ascii="Times New Roman" w:hAnsi="Times New Roman" w:cs="Times New Roman"/>
          <w:sz w:val="24"/>
          <w:szCs w:val="24"/>
        </w:rPr>
        <w:t xml:space="preserve"> to </w:t>
      </w:r>
      <w:r w:rsidR="00833044">
        <w:rPr>
          <w:rFonts w:ascii="Times New Roman" w:hAnsi="Times New Roman" w:cs="Times New Roman"/>
          <w:sz w:val="24"/>
          <w:szCs w:val="24"/>
        </w:rPr>
        <w:t>27</w:t>
      </w:r>
      <w:r w:rsidR="00AD0D1C">
        <w:rPr>
          <w:rFonts w:ascii="Times New Roman" w:hAnsi="Times New Roman" w:cs="Times New Roman"/>
          <w:sz w:val="24"/>
          <w:szCs w:val="24"/>
        </w:rPr>
        <w:t>.0</w:t>
      </w:r>
      <w:r w:rsidR="00833044">
        <w:rPr>
          <w:rFonts w:ascii="Times New Roman" w:hAnsi="Times New Roman" w:cs="Times New Roman"/>
          <w:sz w:val="24"/>
          <w:szCs w:val="24"/>
        </w:rPr>
        <w:t xml:space="preserve"> GHz range will occur with respect to </w:t>
      </w:r>
      <w:r w:rsidR="00AD0D1C">
        <w:rPr>
          <w:rFonts w:ascii="Times New Roman" w:hAnsi="Times New Roman" w:cs="Times New Roman"/>
          <w:sz w:val="24"/>
          <w:szCs w:val="24"/>
        </w:rPr>
        <w:t xml:space="preserve">the named areas listed in items 1 to 27 in the table in subsection 5(4) of the </w:t>
      </w:r>
      <w:r w:rsidR="008336DE">
        <w:rPr>
          <w:rFonts w:ascii="Times New Roman" w:hAnsi="Times New Roman" w:cs="Times New Roman"/>
          <w:sz w:val="24"/>
          <w:szCs w:val="24"/>
        </w:rPr>
        <w:t>d</w:t>
      </w:r>
      <w:r w:rsidR="00AD0D1C">
        <w:rPr>
          <w:rFonts w:ascii="Times New Roman" w:hAnsi="Times New Roman" w:cs="Times New Roman"/>
          <w:sz w:val="24"/>
          <w:szCs w:val="24"/>
        </w:rPr>
        <w:t>eclaration. The re-allocation of the 27.0</w:t>
      </w:r>
      <w:r w:rsidR="006931FB">
        <w:rPr>
          <w:rFonts w:ascii="Times New Roman" w:hAnsi="Times New Roman" w:cs="Times New Roman"/>
          <w:sz w:val="24"/>
          <w:szCs w:val="24"/>
        </w:rPr>
        <w:t> </w:t>
      </w:r>
      <w:r w:rsidR="00D249E1">
        <w:rPr>
          <w:rFonts w:ascii="Times New Roman" w:hAnsi="Times New Roman" w:cs="Times New Roman"/>
          <w:sz w:val="24"/>
          <w:szCs w:val="24"/>
        </w:rPr>
        <w:t>to</w:t>
      </w:r>
      <w:r w:rsidR="006931FB">
        <w:rPr>
          <w:rFonts w:ascii="Times New Roman" w:hAnsi="Times New Roman" w:cs="Times New Roman"/>
          <w:sz w:val="24"/>
          <w:szCs w:val="24"/>
        </w:rPr>
        <w:t> </w:t>
      </w:r>
      <w:r w:rsidR="00AD0D1C">
        <w:rPr>
          <w:rFonts w:ascii="Times New Roman" w:hAnsi="Times New Roman" w:cs="Times New Roman"/>
          <w:sz w:val="24"/>
          <w:szCs w:val="24"/>
        </w:rPr>
        <w:t xml:space="preserve">27.5 GHz range will occur with respect to the named areas listed in in items 1 to 26, 28 and 29 in the table in subsection 5(4) of the </w:t>
      </w:r>
      <w:r w:rsidR="008336DE">
        <w:rPr>
          <w:rFonts w:ascii="Times New Roman" w:hAnsi="Times New Roman" w:cs="Times New Roman"/>
          <w:sz w:val="24"/>
          <w:szCs w:val="24"/>
        </w:rPr>
        <w:t>d</w:t>
      </w:r>
      <w:r w:rsidR="00AD0D1C">
        <w:rPr>
          <w:rFonts w:ascii="Times New Roman" w:hAnsi="Times New Roman" w:cs="Times New Roman"/>
          <w:sz w:val="24"/>
          <w:szCs w:val="24"/>
        </w:rPr>
        <w:t>eclaration. This enables ACMA to allocate spectrum licences in the 26 GHz band in these areas, including parts of the band encumbered by apparatus licences.</w:t>
      </w:r>
    </w:p>
    <w:p w:rsidR="0054780E" w:rsidRDefault="0054780E" w:rsidP="000C6B12">
      <w:pPr>
        <w:rPr>
          <w:rFonts w:ascii="Times New Roman" w:hAnsi="Times New Roman" w:cs="Times New Roman"/>
          <w:sz w:val="24"/>
          <w:szCs w:val="24"/>
        </w:rPr>
      </w:pPr>
      <w:r>
        <w:rPr>
          <w:rFonts w:ascii="Times New Roman" w:hAnsi="Times New Roman" w:cs="Times New Roman"/>
          <w:sz w:val="24"/>
          <w:szCs w:val="24"/>
        </w:rPr>
        <w:t xml:space="preserve">The re-allocation period for the </w:t>
      </w:r>
      <w:r w:rsidR="008336DE">
        <w:rPr>
          <w:rFonts w:ascii="Times New Roman" w:hAnsi="Times New Roman" w:cs="Times New Roman"/>
          <w:sz w:val="24"/>
          <w:szCs w:val="24"/>
        </w:rPr>
        <w:t>d</w:t>
      </w:r>
      <w:r>
        <w:rPr>
          <w:rFonts w:ascii="Times New Roman" w:hAnsi="Times New Roman" w:cs="Times New Roman"/>
          <w:sz w:val="24"/>
          <w:szCs w:val="24"/>
        </w:rPr>
        <w:t xml:space="preserve">eclaration will commence 21 days after the </w:t>
      </w:r>
      <w:r w:rsidR="008336DE">
        <w:rPr>
          <w:rFonts w:ascii="Times New Roman" w:hAnsi="Times New Roman" w:cs="Times New Roman"/>
          <w:sz w:val="24"/>
          <w:szCs w:val="24"/>
        </w:rPr>
        <w:t>d</w:t>
      </w:r>
      <w:r>
        <w:rPr>
          <w:rFonts w:ascii="Times New Roman" w:hAnsi="Times New Roman" w:cs="Times New Roman"/>
          <w:sz w:val="24"/>
          <w:szCs w:val="24"/>
        </w:rPr>
        <w:t>eclaration commences, and will run for a period</w:t>
      </w:r>
      <w:r w:rsidR="00CD3F75">
        <w:rPr>
          <w:rFonts w:ascii="Times New Roman" w:hAnsi="Times New Roman" w:cs="Times New Roman"/>
          <w:sz w:val="24"/>
          <w:szCs w:val="24"/>
        </w:rPr>
        <w:t xml:space="preserve"> of</w:t>
      </w:r>
      <w:r>
        <w:rPr>
          <w:rFonts w:ascii="Times New Roman" w:hAnsi="Times New Roman" w:cs="Times New Roman"/>
          <w:sz w:val="24"/>
          <w:szCs w:val="24"/>
        </w:rPr>
        <w:t xml:space="preserve"> three years (during which incumbent apparatus licences can co-exist with any newly issued spectrum licences). The re-allocation deadline for the </w:t>
      </w:r>
      <w:r w:rsidR="008336DE">
        <w:rPr>
          <w:rFonts w:ascii="Times New Roman" w:hAnsi="Times New Roman" w:cs="Times New Roman"/>
          <w:sz w:val="24"/>
          <w:szCs w:val="24"/>
        </w:rPr>
        <w:t>d</w:t>
      </w:r>
      <w:r>
        <w:rPr>
          <w:rFonts w:ascii="Times New Roman" w:hAnsi="Times New Roman" w:cs="Times New Roman"/>
          <w:sz w:val="24"/>
          <w:szCs w:val="24"/>
        </w:rPr>
        <w:t>eclaration is 12 months before the end of the re-allocation period.</w:t>
      </w:r>
    </w:p>
    <w:p w:rsidR="002941A4" w:rsidRPr="00BB13BC" w:rsidRDefault="002941A4" w:rsidP="000C6B12">
      <w:pPr>
        <w:rPr>
          <w:rFonts w:ascii="Times New Roman" w:hAnsi="Times New Roman" w:cs="Times New Roman"/>
          <w:sz w:val="24"/>
          <w:szCs w:val="24"/>
          <w:u w:val="single"/>
        </w:rPr>
      </w:pPr>
      <w:r w:rsidRPr="00BB13BC">
        <w:rPr>
          <w:rFonts w:ascii="Times New Roman" w:hAnsi="Times New Roman" w:cs="Times New Roman"/>
          <w:sz w:val="24"/>
          <w:szCs w:val="24"/>
          <w:u w:val="single"/>
        </w:rPr>
        <w:t>Authority</w:t>
      </w:r>
    </w:p>
    <w:p w:rsidR="002941A4" w:rsidRPr="00E03DC2" w:rsidRDefault="002941A4" w:rsidP="000C6B12">
      <w:pPr>
        <w:rPr>
          <w:rFonts w:ascii="Times New Roman" w:hAnsi="Times New Roman" w:cs="Times New Roman"/>
          <w:sz w:val="24"/>
          <w:szCs w:val="24"/>
        </w:rPr>
      </w:pPr>
      <w:r w:rsidRPr="00E03DC2">
        <w:rPr>
          <w:rFonts w:ascii="Times New Roman" w:hAnsi="Times New Roman" w:cs="Times New Roman"/>
          <w:sz w:val="24"/>
          <w:szCs w:val="24"/>
        </w:rPr>
        <w:t>Part 3.6 of the</w:t>
      </w:r>
      <w:r w:rsidR="00D249E1">
        <w:rPr>
          <w:rFonts w:ascii="Times New Roman" w:hAnsi="Times New Roman" w:cs="Times New Roman"/>
          <w:sz w:val="24"/>
          <w:szCs w:val="24"/>
        </w:rPr>
        <w:t xml:space="preserve"> </w:t>
      </w:r>
      <w:r w:rsidR="00D249E1" w:rsidRPr="009B6F3B">
        <w:rPr>
          <w:rFonts w:ascii="Times New Roman" w:hAnsi="Times New Roman" w:cs="Times New Roman"/>
          <w:i/>
          <w:sz w:val="24"/>
          <w:szCs w:val="24"/>
        </w:rPr>
        <w:t>Radiocommunications Act 1992</w:t>
      </w:r>
      <w:r w:rsidRPr="00E03DC2">
        <w:rPr>
          <w:rFonts w:ascii="Times New Roman" w:hAnsi="Times New Roman" w:cs="Times New Roman"/>
          <w:sz w:val="24"/>
          <w:szCs w:val="24"/>
        </w:rPr>
        <w:t xml:space="preserve"> </w:t>
      </w:r>
      <w:r w:rsidR="00D249E1">
        <w:rPr>
          <w:rFonts w:ascii="Times New Roman" w:hAnsi="Times New Roman" w:cs="Times New Roman"/>
          <w:sz w:val="24"/>
          <w:szCs w:val="24"/>
        </w:rPr>
        <w:t xml:space="preserve">(the </w:t>
      </w:r>
      <w:r w:rsidRPr="00E03DC2">
        <w:rPr>
          <w:rFonts w:ascii="Times New Roman" w:hAnsi="Times New Roman" w:cs="Times New Roman"/>
          <w:sz w:val="24"/>
          <w:szCs w:val="24"/>
        </w:rPr>
        <w:t>Act</w:t>
      </w:r>
      <w:r w:rsidR="00D249E1">
        <w:rPr>
          <w:rFonts w:ascii="Times New Roman" w:hAnsi="Times New Roman" w:cs="Times New Roman"/>
          <w:sz w:val="24"/>
          <w:szCs w:val="24"/>
        </w:rPr>
        <w:t>)</w:t>
      </w:r>
      <w:r w:rsidRPr="00E03DC2">
        <w:rPr>
          <w:rFonts w:ascii="Times New Roman" w:hAnsi="Times New Roman" w:cs="Times New Roman"/>
          <w:sz w:val="24"/>
          <w:szCs w:val="24"/>
        </w:rPr>
        <w:t xml:space="preserve"> deals with the re-allocation of encumbered spectrum. Under section 153B</w:t>
      </w:r>
      <w:r w:rsidR="00CD3F75">
        <w:rPr>
          <w:rFonts w:ascii="Times New Roman" w:hAnsi="Times New Roman" w:cs="Times New Roman"/>
          <w:sz w:val="24"/>
          <w:szCs w:val="24"/>
        </w:rPr>
        <w:t xml:space="preserve"> </w:t>
      </w:r>
      <w:r w:rsidRPr="00E03DC2">
        <w:rPr>
          <w:rFonts w:ascii="Times New Roman" w:hAnsi="Times New Roman" w:cs="Times New Roman"/>
          <w:sz w:val="24"/>
          <w:szCs w:val="24"/>
        </w:rPr>
        <w:t>of the Act, the Minister may make a declaration (a disallowable legislative instrument) that one or more parts of the spectrum are subject to re-allocation in relation to a specified period and, for each part, with respect to one or more areas.</w:t>
      </w:r>
    </w:p>
    <w:p w:rsidR="002941A4" w:rsidRPr="00E03DC2" w:rsidRDefault="002941A4" w:rsidP="000C6B12">
      <w:pPr>
        <w:rPr>
          <w:rFonts w:ascii="Times New Roman" w:hAnsi="Times New Roman" w:cs="Times New Roman"/>
          <w:sz w:val="24"/>
          <w:szCs w:val="24"/>
        </w:rPr>
      </w:pPr>
      <w:r w:rsidRPr="00E03DC2">
        <w:rPr>
          <w:rFonts w:ascii="Times New Roman" w:hAnsi="Times New Roman" w:cs="Times New Roman"/>
          <w:sz w:val="24"/>
          <w:szCs w:val="24"/>
        </w:rPr>
        <w:t>A declaration must specify whether the spectrum is to be re-allocated by issuing spectrum licences or apparatus licences. It must also specify the re-allocation period (after which affected incumbent apparatus licences in that part of the spectrum will be automatically cancelled—see section 153H of the Act) and the re-allocation deadline (before which at least one spectrum licence is to be allocated—see section 153K of the Act).</w:t>
      </w:r>
    </w:p>
    <w:p w:rsidR="007742D2" w:rsidRDefault="002941A4" w:rsidP="0095668D">
      <w:pPr>
        <w:rPr>
          <w:rFonts w:ascii="Times New Roman" w:hAnsi="Times New Roman" w:cs="Times New Roman"/>
          <w:sz w:val="24"/>
          <w:szCs w:val="24"/>
        </w:rPr>
      </w:pPr>
      <w:r w:rsidRPr="00E03DC2">
        <w:rPr>
          <w:rFonts w:ascii="Times New Roman" w:hAnsi="Times New Roman" w:cs="Times New Roman"/>
          <w:sz w:val="24"/>
          <w:szCs w:val="24"/>
        </w:rPr>
        <w:t>Before making a declaration about any part</w:t>
      </w:r>
      <w:r w:rsidR="00C1249C">
        <w:rPr>
          <w:rFonts w:ascii="Times New Roman" w:hAnsi="Times New Roman" w:cs="Times New Roman"/>
          <w:sz w:val="24"/>
          <w:szCs w:val="24"/>
        </w:rPr>
        <w:t xml:space="preserve"> or parts</w:t>
      </w:r>
      <w:r w:rsidRPr="00E03DC2">
        <w:rPr>
          <w:rFonts w:ascii="Times New Roman" w:hAnsi="Times New Roman" w:cs="Times New Roman"/>
          <w:sz w:val="24"/>
          <w:szCs w:val="24"/>
        </w:rPr>
        <w:t xml:space="preserve"> of the spectrum, the Minister must receive, and ha</w:t>
      </w:r>
      <w:r w:rsidR="00CD3F75">
        <w:rPr>
          <w:rFonts w:ascii="Times New Roman" w:hAnsi="Times New Roman" w:cs="Times New Roman"/>
          <w:sz w:val="24"/>
          <w:szCs w:val="24"/>
        </w:rPr>
        <w:t>ve</w:t>
      </w:r>
      <w:r w:rsidRPr="00E03DC2">
        <w:rPr>
          <w:rFonts w:ascii="Times New Roman" w:hAnsi="Times New Roman" w:cs="Times New Roman"/>
          <w:sz w:val="24"/>
          <w:szCs w:val="24"/>
        </w:rPr>
        <w:t xml:space="preserve"> regard to, a recommendation from ACMA about the same part</w:t>
      </w:r>
      <w:r w:rsidR="00C1249C">
        <w:rPr>
          <w:rFonts w:ascii="Times New Roman" w:hAnsi="Times New Roman" w:cs="Times New Roman"/>
          <w:sz w:val="24"/>
          <w:szCs w:val="24"/>
        </w:rPr>
        <w:t xml:space="preserve"> or parts</w:t>
      </w:r>
      <w:r w:rsidRPr="00E03DC2">
        <w:rPr>
          <w:rFonts w:ascii="Times New Roman" w:hAnsi="Times New Roman" w:cs="Times New Roman"/>
          <w:sz w:val="24"/>
          <w:szCs w:val="24"/>
        </w:rPr>
        <w:t xml:space="preserve"> of the spectrum (section 153E of the Act). ACMA’s recommendation must be developed and made in accordance with sections 153F and 153G of the Act. </w:t>
      </w:r>
    </w:p>
    <w:p w:rsidR="0095668D" w:rsidRDefault="002941A4" w:rsidP="0095668D">
      <w:pPr>
        <w:rPr>
          <w:rFonts w:ascii="Times New Roman" w:hAnsi="Times New Roman" w:cs="Times New Roman"/>
          <w:sz w:val="24"/>
          <w:szCs w:val="24"/>
        </w:rPr>
      </w:pPr>
      <w:r w:rsidRPr="00E10330">
        <w:rPr>
          <w:rFonts w:ascii="Times New Roman" w:hAnsi="Times New Roman" w:cs="Times New Roman"/>
          <w:sz w:val="24"/>
          <w:szCs w:val="24"/>
        </w:rPr>
        <w:t xml:space="preserve">ACMA’s recommendation to make the </w:t>
      </w:r>
      <w:r w:rsidR="008336DE">
        <w:rPr>
          <w:rFonts w:ascii="Times New Roman" w:hAnsi="Times New Roman" w:cs="Times New Roman"/>
          <w:sz w:val="24"/>
          <w:szCs w:val="24"/>
        </w:rPr>
        <w:t>d</w:t>
      </w:r>
      <w:r w:rsidRPr="00E10330">
        <w:rPr>
          <w:rFonts w:ascii="Times New Roman" w:hAnsi="Times New Roman" w:cs="Times New Roman"/>
          <w:sz w:val="24"/>
          <w:szCs w:val="24"/>
        </w:rPr>
        <w:t>eclaration was prepared in accordance</w:t>
      </w:r>
      <w:r w:rsidR="0095668D" w:rsidRPr="00E10330">
        <w:rPr>
          <w:rFonts w:ascii="Times New Roman" w:hAnsi="Times New Roman" w:cs="Times New Roman"/>
          <w:sz w:val="24"/>
          <w:szCs w:val="24"/>
        </w:rPr>
        <w:t xml:space="preserve"> with these sections of the Act</w:t>
      </w:r>
      <w:r w:rsidR="00A7575B" w:rsidRPr="00E10330">
        <w:rPr>
          <w:rFonts w:ascii="Times New Roman" w:hAnsi="Times New Roman" w:cs="Times New Roman"/>
          <w:sz w:val="24"/>
          <w:szCs w:val="24"/>
        </w:rPr>
        <w:t xml:space="preserve">, as detailed in the </w:t>
      </w:r>
      <w:r w:rsidR="00E10330" w:rsidRPr="00E10330">
        <w:rPr>
          <w:rFonts w:ascii="Times New Roman" w:hAnsi="Times New Roman" w:cs="Times New Roman"/>
          <w:sz w:val="24"/>
          <w:szCs w:val="24"/>
        </w:rPr>
        <w:t xml:space="preserve">consultation section of this </w:t>
      </w:r>
      <w:r w:rsidR="006C3479">
        <w:rPr>
          <w:rFonts w:ascii="Times New Roman" w:hAnsi="Times New Roman" w:cs="Times New Roman"/>
          <w:sz w:val="24"/>
          <w:szCs w:val="24"/>
        </w:rPr>
        <w:t>e</w:t>
      </w:r>
      <w:r w:rsidR="00E10330" w:rsidRPr="00E10330">
        <w:rPr>
          <w:rFonts w:ascii="Times New Roman" w:hAnsi="Times New Roman" w:cs="Times New Roman"/>
          <w:sz w:val="24"/>
          <w:szCs w:val="24"/>
        </w:rPr>
        <w:t xml:space="preserve">xplanatory </w:t>
      </w:r>
      <w:r w:rsidR="006C3479">
        <w:rPr>
          <w:rFonts w:ascii="Times New Roman" w:hAnsi="Times New Roman" w:cs="Times New Roman"/>
          <w:sz w:val="24"/>
          <w:szCs w:val="24"/>
        </w:rPr>
        <w:t>s</w:t>
      </w:r>
      <w:r w:rsidR="00E10330" w:rsidRPr="00E10330">
        <w:rPr>
          <w:rFonts w:ascii="Times New Roman" w:hAnsi="Times New Roman" w:cs="Times New Roman"/>
          <w:sz w:val="24"/>
          <w:szCs w:val="24"/>
        </w:rPr>
        <w:t>tatement.</w:t>
      </w:r>
      <w:r w:rsidR="0095668D" w:rsidRPr="00E10330">
        <w:rPr>
          <w:rFonts w:ascii="Times New Roman" w:hAnsi="Times New Roman" w:cs="Times New Roman"/>
          <w:sz w:val="24"/>
          <w:szCs w:val="24"/>
        </w:rPr>
        <w:t xml:space="preserve"> </w:t>
      </w:r>
    </w:p>
    <w:p w:rsidR="002941A4" w:rsidRDefault="002A4942" w:rsidP="000C6B12">
      <w:pPr>
        <w:rPr>
          <w:rFonts w:ascii="Times New Roman" w:hAnsi="Times New Roman" w:cs="Times New Roman"/>
          <w:sz w:val="24"/>
          <w:szCs w:val="24"/>
          <w:u w:val="single"/>
        </w:rPr>
      </w:pPr>
      <w:r w:rsidRPr="002A4942">
        <w:rPr>
          <w:rFonts w:ascii="Times New Roman" w:hAnsi="Times New Roman" w:cs="Times New Roman"/>
          <w:sz w:val="24"/>
          <w:szCs w:val="24"/>
          <w:u w:val="single"/>
        </w:rPr>
        <w:t>Background</w:t>
      </w:r>
    </w:p>
    <w:p w:rsidR="00AE678E" w:rsidRDefault="00EC4818" w:rsidP="001E304C">
      <w:pPr>
        <w:rPr>
          <w:rFonts w:ascii="Times New Roman" w:hAnsi="Times New Roman" w:cs="Times New Roman"/>
          <w:sz w:val="24"/>
          <w:szCs w:val="24"/>
        </w:rPr>
      </w:pPr>
      <w:r>
        <w:rPr>
          <w:rFonts w:ascii="Times New Roman" w:hAnsi="Times New Roman" w:cs="Times New Roman"/>
          <w:sz w:val="24"/>
          <w:szCs w:val="24"/>
        </w:rPr>
        <w:t>The 26 GHz band (24.25 to 27.5 GHz) has been identified globally as one of the first</w:t>
      </w:r>
      <w:r w:rsidR="00AE678E">
        <w:rPr>
          <w:rFonts w:ascii="Times New Roman" w:hAnsi="Times New Roman" w:cs="Times New Roman"/>
          <w:sz w:val="24"/>
          <w:szCs w:val="24"/>
        </w:rPr>
        <w:t xml:space="preserve"> millimetre wave</w:t>
      </w:r>
      <w:r>
        <w:rPr>
          <w:rFonts w:ascii="Times New Roman" w:hAnsi="Times New Roman" w:cs="Times New Roman"/>
          <w:sz w:val="24"/>
          <w:szCs w:val="24"/>
        </w:rPr>
        <w:t xml:space="preserve"> spectrum </w:t>
      </w:r>
      <w:r w:rsidR="00A1302C">
        <w:rPr>
          <w:rFonts w:ascii="Times New Roman" w:hAnsi="Times New Roman" w:cs="Times New Roman"/>
          <w:sz w:val="24"/>
          <w:szCs w:val="24"/>
        </w:rPr>
        <w:t xml:space="preserve">bands </w:t>
      </w:r>
      <w:r>
        <w:rPr>
          <w:rFonts w:ascii="Times New Roman" w:hAnsi="Times New Roman" w:cs="Times New Roman"/>
          <w:sz w:val="24"/>
          <w:szCs w:val="24"/>
        </w:rPr>
        <w:t xml:space="preserve">capable of supporting 5G wireless broadband services. </w:t>
      </w:r>
      <w:r w:rsidR="001E304C">
        <w:rPr>
          <w:rFonts w:ascii="Times New Roman" w:hAnsi="Times New Roman" w:cs="Times New Roman"/>
          <w:sz w:val="24"/>
          <w:szCs w:val="24"/>
        </w:rPr>
        <w:lastRenderedPageBreak/>
        <w:t xml:space="preserve">Historically, spectrum in the 26 GHz band has </w:t>
      </w:r>
      <w:r w:rsidR="005B6AA3">
        <w:rPr>
          <w:rFonts w:ascii="Times New Roman" w:hAnsi="Times New Roman" w:cs="Times New Roman"/>
          <w:sz w:val="24"/>
          <w:szCs w:val="24"/>
        </w:rPr>
        <w:t xml:space="preserve">only been available for a limited range of uses (such as fixed satellite service earth stations). </w:t>
      </w:r>
      <w:r w:rsidR="001E304C">
        <w:rPr>
          <w:rFonts w:ascii="Times New Roman" w:hAnsi="Times New Roman" w:cs="Times New Roman"/>
          <w:sz w:val="24"/>
          <w:szCs w:val="24"/>
        </w:rPr>
        <w:t xml:space="preserve">However, advances in radiofrequency technology have unlocked the band for fast, high capacity wireless broadband services, which will allow the band to be </w:t>
      </w:r>
      <w:r w:rsidR="003F72A9">
        <w:rPr>
          <w:rFonts w:ascii="Times New Roman" w:hAnsi="Times New Roman" w:cs="Times New Roman"/>
          <w:sz w:val="24"/>
          <w:szCs w:val="24"/>
        </w:rPr>
        <w:t>used for the deployment of</w:t>
      </w:r>
      <w:r w:rsidR="001E304C">
        <w:rPr>
          <w:rFonts w:ascii="Times New Roman" w:hAnsi="Times New Roman" w:cs="Times New Roman"/>
          <w:sz w:val="24"/>
          <w:szCs w:val="24"/>
        </w:rPr>
        <w:t xml:space="preserve"> 5G technologies in Australia. </w:t>
      </w:r>
    </w:p>
    <w:p w:rsidR="00A976E8" w:rsidRDefault="00AE678E" w:rsidP="00A976E8">
      <w:pPr>
        <w:rPr>
          <w:rFonts w:ascii="Times New Roman" w:hAnsi="Times New Roman" w:cs="Times New Roman"/>
          <w:sz w:val="24"/>
          <w:szCs w:val="24"/>
        </w:rPr>
      </w:pPr>
      <w:r>
        <w:rPr>
          <w:rFonts w:ascii="Times New Roman" w:hAnsi="Times New Roman" w:cs="Times New Roman"/>
          <w:sz w:val="24"/>
          <w:szCs w:val="24"/>
        </w:rPr>
        <w:t xml:space="preserve">In order to make the 26 GHz band available for these new uses, the </w:t>
      </w:r>
      <w:r w:rsidR="008336DE">
        <w:rPr>
          <w:rFonts w:ascii="Times New Roman" w:hAnsi="Times New Roman" w:cs="Times New Roman"/>
          <w:sz w:val="24"/>
          <w:szCs w:val="24"/>
        </w:rPr>
        <w:t>d</w:t>
      </w:r>
      <w:r>
        <w:rPr>
          <w:rFonts w:ascii="Times New Roman" w:hAnsi="Times New Roman" w:cs="Times New Roman"/>
          <w:sz w:val="24"/>
          <w:szCs w:val="24"/>
        </w:rPr>
        <w:t>eclaration re</w:t>
      </w:r>
      <w:r>
        <w:rPr>
          <w:rFonts w:ascii="Times New Roman" w:hAnsi="Times New Roman" w:cs="Times New Roman"/>
          <w:sz w:val="24"/>
          <w:szCs w:val="24"/>
        </w:rPr>
        <w:noBreakHyphen/>
        <w:t xml:space="preserve">allocates parts of the band (25.1 to 27.0 and 27.0 to 27.5 GHz) for spectrum licensing. </w:t>
      </w:r>
      <w:r w:rsidR="00303DFD" w:rsidRPr="002A4942">
        <w:rPr>
          <w:rFonts w:ascii="Times New Roman" w:hAnsi="Times New Roman" w:cs="Times New Roman"/>
          <w:sz w:val="24"/>
          <w:szCs w:val="24"/>
        </w:rPr>
        <w:t>The</w:t>
      </w:r>
      <w:r w:rsidR="00630C14">
        <w:rPr>
          <w:rFonts w:ascii="Times New Roman" w:hAnsi="Times New Roman" w:cs="Times New Roman"/>
          <w:sz w:val="24"/>
          <w:szCs w:val="24"/>
        </w:rPr>
        <w:t> </w:t>
      </w:r>
      <w:r w:rsidR="00303DFD" w:rsidRPr="002A4942">
        <w:rPr>
          <w:rFonts w:ascii="Times New Roman" w:hAnsi="Times New Roman" w:cs="Times New Roman"/>
          <w:sz w:val="24"/>
          <w:szCs w:val="24"/>
        </w:rPr>
        <w:t xml:space="preserve">Government’s goal in re-allocating the spectrum is to maximise the overall public benefit derived from the use of </w:t>
      </w:r>
      <w:r w:rsidR="00303DFD">
        <w:rPr>
          <w:rFonts w:ascii="Times New Roman" w:hAnsi="Times New Roman" w:cs="Times New Roman"/>
          <w:sz w:val="24"/>
          <w:szCs w:val="24"/>
        </w:rPr>
        <w:t>this</w:t>
      </w:r>
      <w:r w:rsidR="00303DFD" w:rsidRPr="002A4942">
        <w:rPr>
          <w:rFonts w:ascii="Times New Roman" w:hAnsi="Times New Roman" w:cs="Times New Roman"/>
          <w:sz w:val="24"/>
          <w:szCs w:val="24"/>
        </w:rPr>
        <w:t xml:space="preserve"> spectrum. The re-allocation of this spectrum promises benefits to business, consumers, and the broader Australian community and economy</w:t>
      </w:r>
      <w:r w:rsidR="00303DFD">
        <w:rPr>
          <w:rFonts w:ascii="Times New Roman" w:hAnsi="Times New Roman" w:cs="Times New Roman"/>
          <w:sz w:val="24"/>
          <w:szCs w:val="24"/>
        </w:rPr>
        <w:t>,</w:t>
      </w:r>
      <w:r w:rsidR="00303DFD" w:rsidRPr="002A4942">
        <w:rPr>
          <w:rFonts w:ascii="Times New Roman" w:hAnsi="Times New Roman" w:cs="Times New Roman"/>
          <w:sz w:val="24"/>
          <w:szCs w:val="24"/>
        </w:rPr>
        <w:t xml:space="preserve"> in the form of</w:t>
      </w:r>
      <w:r w:rsidR="00303DFD">
        <w:rPr>
          <w:rFonts w:ascii="Times New Roman" w:hAnsi="Times New Roman" w:cs="Times New Roman"/>
          <w:sz w:val="24"/>
          <w:szCs w:val="24"/>
        </w:rPr>
        <w:t xml:space="preserve"> service improvements,</w:t>
      </w:r>
      <w:r w:rsidR="00303DFD" w:rsidRPr="002A4942">
        <w:rPr>
          <w:rFonts w:ascii="Times New Roman" w:hAnsi="Times New Roman" w:cs="Times New Roman"/>
          <w:sz w:val="24"/>
          <w:szCs w:val="24"/>
        </w:rPr>
        <w:t xml:space="preserve"> greater connectivity and productivity gains. </w:t>
      </w:r>
      <w:r w:rsidR="001E304C" w:rsidRPr="002A4942">
        <w:rPr>
          <w:rFonts w:ascii="Times New Roman" w:hAnsi="Times New Roman" w:cs="Times New Roman"/>
          <w:sz w:val="24"/>
          <w:szCs w:val="24"/>
        </w:rPr>
        <w:t>Spectrum</w:t>
      </w:r>
      <w:r w:rsidR="00A1302C">
        <w:rPr>
          <w:rFonts w:ascii="Times New Roman" w:hAnsi="Times New Roman" w:cs="Times New Roman"/>
          <w:sz w:val="24"/>
          <w:szCs w:val="24"/>
        </w:rPr>
        <w:t> </w:t>
      </w:r>
      <w:r w:rsidR="001E304C" w:rsidRPr="002A4942">
        <w:rPr>
          <w:rFonts w:ascii="Times New Roman" w:hAnsi="Times New Roman" w:cs="Times New Roman"/>
          <w:sz w:val="24"/>
          <w:szCs w:val="24"/>
        </w:rPr>
        <w:t xml:space="preserve">licensing is considered to be the </w:t>
      </w:r>
      <w:r w:rsidR="00303DFD">
        <w:rPr>
          <w:rFonts w:ascii="Times New Roman" w:hAnsi="Times New Roman" w:cs="Times New Roman"/>
          <w:sz w:val="24"/>
          <w:szCs w:val="24"/>
        </w:rPr>
        <w:t>licensing framework</w:t>
      </w:r>
      <w:r w:rsidR="00303DFD" w:rsidRPr="002A4942">
        <w:rPr>
          <w:rFonts w:ascii="Times New Roman" w:hAnsi="Times New Roman" w:cs="Times New Roman"/>
          <w:sz w:val="24"/>
          <w:szCs w:val="24"/>
        </w:rPr>
        <w:t xml:space="preserve"> </w:t>
      </w:r>
      <w:r w:rsidR="001E304C" w:rsidRPr="002A4942">
        <w:rPr>
          <w:rFonts w:ascii="Times New Roman" w:hAnsi="Times New Roman" w:cs="Times New Roman"/>
          <w:sz w:val="24"/>
          <w:szCs w:val="24"/>
        </w:rPr>
        <w:t>most likely to ensure the efficient allocation and use of the spectrum</w:t>
      </w:r>
      <w:r w:rsidR="000D538F">
        <w:rPr>
          <w:rFonts w:ascii="Times New Roman" w:hAnsi="Times New Roman" w:cs="Times New Roman"/>
          <w:sz w:val="24"/>
          <w:szCs w:val="24"/>
        </w:rPr>
        <w:t>,</w:t>
      </w:r>
      <w:r w:rsidR="001E304C" w:rsidRPr="002A4942">
        <w:rPr>
          <w:rFonts w:ascii="Times New Roman" w:hAnsi="Times New Roman" w:cs="Times New Roman"/>
          <w:sz w:val="24"/>
          <w:szCs w:val="24"/>
        </w:rPr>
        <w:t xml:space="preserve"> and to provide licensees with the flexibility and security of tenure needed to encourage investment in infrastructure.</w:t>
      </w:r>
      <w:r w:rsidR="00742C0A">
        <w:rPr>
          <w:rFonts w:ascii="Times New Roman" w:hAnsi="Times New Roman" w:cs="Times New Roman"/>
          <w:sz w:val="24"/>
          <w:szCs w:val="24"/>
        </w:rPr>
        <w:t xml:space="preserve"> ACMA intends to hold an auction </w:t>
      </w:r>
      <w:r w:rsidR="009009BC">
        <w:rPr>
          <w:rFonts w:ascii="Times New Roman" w:hAnsi="Times New Roman" w:cs="Times New Roman"/>
          <w:sz w:val="24"/>
          <w:szCs w:val="24"/>
        </w:rPr>
        <w:t xml:space="preserve">for </w:t>
      </w:r>
      <w:r w:rsidR="00742C0A">
        <w:rPr>
          <w:rFonts w:ascii="Times New Roman" w:hAnsi="Times New Roman" w:cs="Times New Roman"/>
          <w:sz w:val="24"/>
          <w:szCs w:val="24"/>
        </w:rPr>
        <w:t>these spectrum licences in early 2021.</w:t>
      </w:r>
    </w:p>
    <w:p w:rsidR="009009BC" w:rsidRDefault="000D538F" w:rsidP="009009BC">
      <w:pPr>
        <w:rPr>
          <w:rFonts w:ascii="Times New Roman" w:hAnsi="Times New Roman" w:cs="Times New Roman"/>
          <w:sz w:val="24"/>
          <w:szCs w:val="24"/>
        </w:rPr>
      </w:pPr>
      <w:r>
        <w:rPr>
          <w:rFonts w:ascii="Times New Roman" w:hAnsi="Times New Roman" w:cs="Times New Roman"/>
          <w:sz w:val="24"/>
          <w:szCs w:val="24"/>
        </w:rPr>
        <w:t>I</w:t>
      </w:r>
      <w:r w:rsidR="000C6B12">
        <w:rPr>
          <w:rFonts w:ascii="Times New Roman" w:hAnsi="Times New Roman" w:cs="Times New Roman"/>
          <w:sz w:val="24"/>
          <w:szCs w:val="24"/>
        </w:rPr>
        <w:t xml:space="preserve">ncumbent apparatus licensees in parts of the spectrum may retain </w:t>
      </w:r>
      <w:r w:rsidR="00303DFD">
        <w:rPr>
          <w:rFonts w:ascii="Times New Roman" w:hAnsi="Times New Roman" w:cs="Times New Roman"/>
          <w:sz w:val="24"/>
          <w:szCs w:val="24"/>
        </w:rPr>
        <w:t xml:space="preserve">and renew </w:t>
      </w:r>
      <w:r w:rsidR="000C6B12">
        <w:rPr>
          <w:rFonts w:ascii="Times New Roman" w:hAnsi="Times New Roman" w:cs="Times New Roman"/>
          <w:sz w:val="24"/>
          <w:szCs w:val="24"/>
        </w:rPr>
        <w:t>existing licences</w:t>
      </w:r>
      <w:r w:rsidR="00303DFD">
        <w:rPr>
          <w:rFonts w:ascii="Times New Roman" w:hAnsi="Times New Roman" w:cs="Times New Roman"/>
          <w:sz w:val="24"/>
          <w:szCs w:val="24"/>
        </w:rPr>
        <w:t xml:space="preserve"> </w:t>
      </w:r>
      <w:r w:rsidR="000C6B12">
        <w:rPr>
          <w:rFonts w:ascii="Times New Roman" w:hAnsi="Times New Roman" w:cs="Times New Roman"/>
          <w:sz w:val="24"/>
          <w:szCs w:val="24"/>
        </w:rPr>
        <w:t xml:space="preserve">during the re-allocation period. </w:t>
      </w:r>
      <w:r w:rsidR="009009BC">
        <w:rPr>
          <w:rFonts w:ascii="Times New Roman" w:hAnsi="Times New Roman" w:cs="Times New Roman"/>
          <w:sz w:val="24"/>
          <w:szCs w:val="24"/>
        </w:rPr>
        <w:t>Apparatus licences that are affected by the spectrum re</w:t>
      </w:r>
      <w:r w:rsidR="009009BC">
        <w:rPr>
          <w:rFonts w:ascii="Times New Roman" w:hAnsi="Times New Roman" w:cs="Times New Roman"/>
          <w:sz w:val="24"/>
          <w:szCs w:val="24"/>
        </w:rPr>
        <w:noBreakHyphen/>
        <w:t>allocation declaration will be cancelled at the end of the re-allocation period, under section 153H of the Act.</w:t>
      </w:r>
    </w:p>
    <w:p w:rsidR="000C6B12" w:rsidRDefault="000C6B12" w:rsidP="009009BC">
      <w:pPr>
        <w:rPr>
          <w:rFonts w:ascii="Times New Roman" w:hAnsi="Times New Roman" w:cs="Times New Roman"/>
          <w:sz w:val="24"/>
          <w:szCs w:val="24"/>
        </w:rPr>
      </w:pPr>
      <w:r>
        <w:rPr>
          <w:rFonts w:ascii="Times New Roman" w:hAnsi="Times New Roman" w:cs="Times New Roman"/>
          <w:sz w:val="24"/>
          <w:szCs w:val="24"/>
        </w:rPr>
        <w:t xml:space="preserve">For the 29 </w:t>
      </w:r>
      <w:r w:rsidR="003B12A0">
        <w:rPr>
          <w:rFonts w:ascii="Times New Roman" w:hAnsi="Times New Roman" w:cs="Times New Roman"/>
          <w:sz w:val="24"/>
          <w:szCs w:val="24"/>
        </w:rPr>
        <w:t xml:space="preserve">named areas, </w:t>
      </w:r>
      <w:r>
        <w:rPr>
          <w:rFonts w:ascii="Times New Roman" w:hAnsi="Times New Roman" w:cs="Times New Roman"/>
          <w:sz w:val="24"/>
          <w:szCs w:val="24"/>
        </w:rPr>
        <w:t>the re-allocation period is 3 years</w:t>
      </w:r>
      <w:r w:rsidR="00FE4322">
        <w:rPr>
          <w:rFonts w:ascii="Times New Roman" w:hAnsi="Times New Roman" w:cs="Times New Roman"/>
          <w:sz w:val="24"/>
          <w:szCs w:val="24"/>
        </w:rPr>
        <w:t>,</w:t>
      </w:r>
      <w:r>
        <w:rPr>
          <w:rFonts w:ascii="Times New Roman" w:hAnsi="Times New Roman" w:cs="Times New Roman"/>
          <w:sz w:val="24"/>
          <w:szCs w:val="24"/>
        </w:rPr>
        <w:t xml:space="preserve"> beginning 21 days after the </w:t>
      </w:r>
      <w:r w:rsidR="008336DE">
        <w:rPr>
          <w:rFonts w:ascii="Times New Roman" w:hAnsi="Times New Roman" w:cs="Times New Roman"/>
          <w:sz w:val="24"/>
          <w:szCs w:val="24"/>
        </w:rPr>
        <w:t>d</w:t>
      </w:r>
      <w:r>
        <w:rPr>
          <w:rFonts w:ascii="Times New Roman" w:hAnsi="Times New Roman" w:cs="Times New Roman"/>
          <w:sz w:val="24"/>
          <w:szCs w:val="24"/>
        </w:rPr>
        <w:t>eclaration commences.</w:t>
      </w:r>
      <w:r w:rsidR="00303DFD" w:rsidRPr="00303DFD">
        <w:rPr>
          <w:rFonts w:ascii="Times New Roman" w:hAnsi="Times New Roman" w:cs="Times New Roman"/>
          <w:sz w:val="24"/>
          <w:szCs w:val="24"/>
        </w:rPr>
        <w:t xml:space="preserve"> </w:t>
      </w:r>
    </w:p>
    <w:p w:rsidR="003D33E0" w:rsidRDefault="003D33E0" w:rsidP="000C6B12">
      <w:pPr>
        <w:rPr>
          <w:rFonts w:ascii="Times New Roman" w:hAnsi="Times New Roman" w:cs="Times New Roman"/>
          <w:sz w:val="24"/>
          <w:szCs w:val="24"/>
        </w:rPr>
      </w:pPr>
      <w:r>
        <w:rPr>
          <w:rFonts w:ascii="Times New Roman" w:hAnsi="Times New Roman" w:cs="Times New Roman"/>
          <w:sz w:val="24"/>
          <w:szCs w:val="24"/>
        </w:rPr>
        <w:t>Details o</w:t>
      </w:r>
      <w:r w:rsidR="00A1302C">
        <w:rPr>
          <w:rFonts w:ascii="Times New Roman" w:hAnsi="Times New Roman" w:cs="Times New Roman"/>
          <w:sz w:val="24"/>
          <w:szCs w:val="24"/>
        </w:rPr>
        <w:t xml:space="preserve">f the </w:t>
      </w:r>
      <w:r w:rsidR="008336DE">
        <w:rPr>
          <w:rFonts w:ascii="Times New Roman" w:hAnsi="Times New Roman" w:cs="Times New Roman"/>
          <w:sz w:val="24"/>
          <w:szCs w:val="24"/>
        </w:rPr>
        <w:t>d</w:t>
      </w:r>
      <w:r w:rsidR="00A1302C">
        <w:rPr>
          <w:rFonts w:ascii="Times New Roman" w:hAnsi="Times New Roman" w:cs="Times New Roman"/>
          <w:sz w:val="24"/>
          <w:szCs w:val="24"/>
        </w:rPr>
        <w:t>eclaration are set out at</w:t>
      </w:r>
      <w:r>
        <w:rPr>
          <w:rFonts w:ascii="Times New Roman" w:hAnsi="Times New Roman" w:cs="Times New Roman"/>
          <w:sz w:val="24"/>
          <w:szCs w:val="24"/>
        </w:rPr>
        <w:t xml:space="preserve"> Attachment 1.</w:t>
      </w:r>
    </w:p>
    <w:p w:rsidR="003D33E0" w:rsidRDefault="003D33E0" w:rsidP="000C6B12">
      <w:pPr>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purposes of Part 3 of the </w:t>
      </w:r>
      <w:r>
        <w:rPr>
          <w:rFonts w:ascii="Times New Roman" w:hAnsi="Times New Roman" w:cs="Times New Roman"/>
          <w:i/>
          <w:sz w:val="24"/>
          <w:szCs w:val="24"/>
        </w:rPr>
        <w:t>Human</w:t>
      </w:r>
      <w:r w:rsidR="006931FB">
        <w:rPr>
          <w:rFonts w:ascii="Times New Roman" w:hAnsi="Times New Roman" w:cs="Times New Roman"/>
          <w:sz w:val="24"/>
          <w:szCs w:val="24"/>
        </w:rPr>
        <w:t> </w:t>
      </w:r>
      <w:r>
        <w:rPr>
          <w:rFonts w:ascii="Times New Roman" w:hAnsi="Times New Roman" w:cs="Times New Roman"/>
          <w:i/>
          <w:sz w:val="24"/>
          <w:szCs w:val="24"/>
        </w:rPr>
        <w:t>Rights (Parliamentary Scrutiny) Act 2011</w:t>
      </w:r>
      <w:r>
        <w:rPr>
          <w:rFonts w:ascii="Times New Roman" w:hAnsi="Times New Roman" w:cs="Times New Roman"/>
          <w:sz w:val="24"/>
          <w:szCs w:val="24"/>
        </w:rPr>
        <w:t xml:space="preserve"> is set out at Attachment 2.</w:t>
      </w:r>
    </w:p>
    <w:p w:rsidR="003D33E0" w:rsidRDefault="003D33E0" w:rsidP="000C6B12">
      <w:pPr>
        <w:rPr>
          <w:rFonts w:ascii="Times New Roman" w:hAnsi="Times New Roman" w:cs="Times New Roman"/>
          <w:sz w:val="24"/>
          <w:szCs w:val="24"/>
          <w:u w:val="single"/>
        </w:rPr>
      </w:pPr>
      <w:r>
        <w:rPr>
          <w:rFonts w:ascii="Times New Roman" w:hAnsi="Times New Roman" w:cs="Times New Roman"/>
          <w:sz w:val="24"/>
          <w:szCs w:val="24"/>
          <w:u w:val="single"/>
        </w:rPr>
        <w:t>Regulation Impact Statement</w:t>
      </w:r>
    </w:p>
    <w:p w:rsidR="003D33E0" w:rsidRDefault="003D33E0" w:rsidP="000C6B12">
      <w:pPr>
        <w:rPr>
          <w:rFonts w:ascii="Times New Roman" w:hAnsi="Times New Roman" w:cs="Times New Roman"/>
          <w:sz w:val="24"/>
          <w:szCs w:val="24"/>
        </w:rPr>
      </w:pPr>
      <w:r>
        <w:rPr>
          <w:rFonts w:ascii="Times New Roman" w:hAnsi="Times New Roman" w:cs="Times New Roman"/>
          <w:sz w:val="24"/>
          <w:szCs w:val="24"/>
        </w:rPr>
        <w:t xml:space="preserve">The Office of Best Practice Regulation (OBPR) </w:t>
      </w:r>
      <w:r w:rsidR="000802F4">
        <w:rPr>
          <w:rFonts w:ascii="Times New Roman" w:hAnsi="Times New Roman" w:cs="Times New Roman"/>
          <w:sz w:val="24"/>
          <w:szCs w:val="24"/>
        </w:rPr>
        <w:t>confirmed that either a Regulatory Impact Statement or an</w:t>
      </w:r>
      <w:r w:rsidR="001E304C">
        <w:rPr>
          <w:rFonts w:ascii="Times New Roman" w:hAnsi="Times New Roman" w:cs="Times New Roman"/>
          <w:sz w:val="24"/>
          <w:szCs w:val="24"/>
        </w:rPr>
        <w:t xml:space="preserve"> independent</w:t>
      </w:r>
      <w:r w:rsidR="000802F4">
        <w:rPr>
          <w:rFonts w:ascii="Times New Roman" w:hAnsi="Times New Roman" w:cs="Times New Roman"/>
          <w:sz w:val="24"/>
          <w:szCs w:val="24"/>
        </w:rPr>
        <w:t xml:space="preserve"> </w:t>
      </w:r>
      <w:r w:rsidR="00DE47E2">
        <w:rPr>
          <w:rFonts w:ascii="Times New Roman" w:hAnsi="Times New Roman" w:cs="Times New Roman"/>
          <w:sz w:val="24"/>
          <w:szCs w:val="24"/>
        </w:rPr>
        <w:t>r</w:t>
      </w:r>
      <w:r w:rsidR="000802F4">
        <w:rPr>
          <w:rFonts w:ascii="Times New Roman" w:hAnsi="Times New Roman" w:cs="Times New Roman"/>
          <w:sz w:val="24"/>
          <w:szCs w:val="24"/>
        </w:rPr>
        <w:t xml:space="preserve">eview would be required for </w:t>
      </w:r>
      <w:r w:rsidR="00841383">
        <w:rPr>
          <w:rFonts w:ascii="Times New Roman" w:hAnsi="Times New Roman" w:cs="Times New Roman"/>
          <w:sz w:val="24"/>
          <w:szCs w:val="24"/>
        </w:rPr>
        <w:t xml:space="preserve">the </w:t>
      </w:r>
      <w:r w:rsidR="008336DE">
        <w:rPr>
          <w:rFonts w:ascii="Times New Roman" w:hAnsi="Times New Roman" w:cs="Times New Roman"/>
          <w:sz w:val="24"/>
          <w:szCs w:val="24"/>
        </w:rPr>
        <w:t>d</w:t>
      </w:r>
      <w:r w:rsidR="00841383">
        <w:rPr>
          <w:rFonts w:ascii="Times New Roman" w:hAnsi="Times New Roman" w:cs="Times New Roman"/>
          <w:sz w:val="24"/>
          <w:szCs w:val="24"/>
        </w:rPr>
        <w:t>eclaration</w:t>
      </w:r>
      <w:r w:rsidR="009009BC">
        <w:rPr>
          <w:rFonts w:ascii="Times New Roman" w:hAnsi="Times New Roman" w:cs="Times New Roman"/>
          <w:sz w:val="24"/>
          <w:szCs w:val="24"/>
        </w:rPr>
        <w:t xml:space="preserve">. </w:t>
      </w:r>
      <w:r w:rsidR="00630C14">
        <w:rPr>
          <w:rFonts w:ascii="Times New Roman" w:hAnsi="Times New Roman" w:cs="Times New Roman"/>
          <w:sz w:val="24"/>
          <w:szCs w:val="24"/>
        </w:rPr>
        <w:t xml:space="preserve"> The </w:t>
      </w:r>
      <w:r w:rsidR="000802F4">
        <w:rPr>
          <w:rFonts w:ascii="Times New Roman" w:hAnsi="Times New Roman" w:cs="Times New Roman"/>
          <w:sz w:val="24"/>
          <w:szCs w:val="24"/>
        </w:rPr>
        <w:t>Department</w:t>
      </w:r>
      <w:r w:rsidR="00630C14">
        <w:rPr>
          <w:rFonts w:ascii="Times New Roman" w:hAnsi="Times New Roman" w:cs="Times New Roman"/>
          <w:sz w:val="24"/>
          <w:szCs w:val="24"/>
        </w:rPr>
        <w:t> </w:t>
      </w:r>
      <w:r w:rsidR="000802F4">
        <w:rPr>
          <w:rFonts w:ascii="Times New Roman" w:hAnsi="Times New Roman" w:cs="Times New Roman"/>
          <w:sz w:val="24"/>
          <w:szCs w:val="24"/>
        </w:rPr>
        <w:t>of Communication</w:t>
      </w:r>
      <w:r w:rsidR="003257C8">
        <w:rPr>
          <w:rFonts w:ascii="Times New Roman" w:hAnsi="Times New Roman" w:cs="Times New Roman"/>
          <w:sz w:val="24"/>
          <w:szCs w:val="24"/>
        </w:rPr>
        <w:t>s</w:t>
      </w:r>
      <w:r w:rsidR="000802F4">
        <w:rPr>
          <w:rFonts w:ascii="Times New Roman" w:hAnsi="Times New Roman" w:cs="Times New Roman"/>
          <w:sz w:val="24"/>
          <w:szCs w:val="24"/>
        </w:rPr>
        <w:t xml:space="preserve"> and the Arts </w:t>
      </w:r>
      <w:r w:rsidR="00B71B61">
        <w:rPr>
          <w:rFonts w:ascii="Times New Roman" w:hAnsi="Times New Roman" w:cs="Times New Roman"/>
          <w:sz w:val="24"/>
          <w:szCs w:val="24"/>
        </w:rPr>
        <w:t xml:space="preserve">(the </w:t>
      </w:r>
      <w:r w:rsidR="00AA3AEC">
        <w:rPr>
          <w:rFonts w:ascii="Times New Roman" w:hAnsi="Times New Roman" w:cs="Times New Roman"/>
          <w:sz w:val="24"/>
          <w:szCs w:val="24"/>
        </w:rPr>
        <w:t>department</w:t>
      </w:r>
      <w:r w:rsidR="00B71B61">
        <w:rPr>
          <w:rFonts w:ascii="Times New Roman" w:hAnsi="Times New Roman" w:cs="Times New Roman"/>
          <w:sz w:val="24"/>
          <w:szCs w:val="24"/>
        </w:rPr>
        <w:t xml:space="preserve">) </w:t>
      </w:r>
      <w:r w:rsidR="009009BC">
        <w:rPr>
          <w:rFonts w:ascii="Times New Roman" w:hAnsi="Times New Roman" w:cs="Times New Roman"/>
          <w:sz w:val="24"/>
          <w:szCs w:val="24"/>
        </w:rPr>
        <w:t xml:space="preserve">has </w:t>
      </w:r>
      <w:r w:rsidR="00DE47E2">
        <w:rPr>
          <w:rFonts w:ascii="Times New Roman" w:hAnsi="Times New Roman" w:cs="Times New Roman"/>
          <w:sz w:val="24"/>
          <w:szCs w:val="24"/>
        </w:rPr>
        <w:t>certified</w:t>
      </w:r>
      <w:r w:rsidR="000802F4">
        <w:rPr>
          <w:rFonts w:ascii="Times New Roman" w:hAnsi="Times New Roman" w:cs="Times New Roman"/>
          <w:sz w:val="24"/>
          <w:szCs w:val="24"/>
        </w:rPr>
        <w:t xml:space="preserve"> </w:t>
      </w:r>
      <w:r w:rsidR="009009BC">
        <w:rPr>
          <w:rFonts w:ascii="Times New Roman" w:hAnsi="Times New Roman" w:cs="Times New Roman"/>
          <w:sz w:val="24"/>
          <w:szCs w:val="24"/>
        </w:rPr>
        <w:t xml:space="preserve">an </w:t>
      </w:r>
      <w:r w:rsidR="000802F4">
        <w:rPr>
          <w:rFonts w:ascii="Times New Roman" w:hAnsi="Times New Roman" w:cs="Times New Roman"/>
          <w:sz w:val="24"/>
          <w:szCs w:val="24"/>
        </w:rPr>
        <w:t>independent review</w:t>
      </w:r>
      <w:r>
        <w:rPr>
          <w:rFonts w:ascii="Times New Roman" w:hAnsi="Times New Roman" w:cs="Times New Roman"/>
          <w:sz w:val="24"/>
          <w:szCs w:val="24"/>
        </w:rPr>
        <w:t xml:space="preserve">. The OBPR </w:t>
      </w:r>
      <w:r w:rsidR="00D90A35">
        <w:rPr>
          <w:rFonts w:ascii="Times New Roman" w:hAnsi="Times New Roman" w:cs="Times New Roman"/>
          <w:sz w:val="24"/>
          <w:szCs w:val="24"/>
        </w:rPr>
        <w:t xml:space="preserve">reference number for this </w:t>
      </w:r>
      <w:r w:rsidR="0041146D">
        <w:rPr>
          <w:rFonts w:ascii="Times New Roman" w:hAnsi="Times New Roman" w:cs="Times New Roman"/>
          <w:sz w:val="24"/>
          <w:szCs w:val="24"/>
        </w:rPr>
        <w:t>assessment</w:t>
      </w:r>
      <w:r w:rsidR="00D90A35">
        <w:rPr>
          <w:rFonts w:ascii="Times New Roman" w:hAnsi="Times New Roman" w:cs="Times New Roman"/>
          <w:sz w:val="24"/>
          <w:szCs w:val="24"/>
        </w:rPr>
        <w:t xml:space="preserve"> is 25539.</w:t>
      </w:r>
    </w:p>
    <w:p w:rsidR="003D33E0" w:rsidRDefault="003D33E0" w:rsidP="000C6B12">
      <w:pPr>
        <w:rPr>
          <w:rFonts w:ascii="Times New Roman" w:hAnsi="Times New Roman" w:cs="Times New Roman"/>
          <w:sz w:val="24"/>
          <w:szCs w:val="24"/>
          <w:u w:val="single"/>
        </w:rPr>
      </w:pPr>
      <w:r>
        <w:rPr>
          <w:rFonts w:ascii="Times New Roman" w:hAnsi="Times New Roman" w:cs="Times New Roman"/>
          <w:sz w:val="24"/>
          <w:szCs w:val="24"/>
          <w:u w:val="single"/>
        </w:rPr>
        <w:t>Consultation</w:t>
      </w:r>
    </w:p>
    <w:p w:rsidR="00FD0B0C" w:rsidRDefault="00FD0B0C">
      <w:pPr>
        <w:rPr>
          <w:rFonts w:ascii="Times New Roman" w:hAnsi="Times New Roman" w:cs="Times New Roman"/>
          <w:sz w:val="24"/>
          <w:szCs w:val="24"/>
        </w:rPr>
      </w:pPr>
      <w:r w:rsidRPr="00A37C6B">
        <w:rPr>
          <w:rFonts w:ascii="Times New Roman" w:hAnsi="Times New Roman" w:cs="Times New Roman"/>
          <w:i/>
          <w:sz w:val="24"/>
          <w:szCs w:val="24"/>
        </w:rPr>
        <w:t>ACMA</w:t>
      </w:r>
      <w:r>
        <w:rPr>
          <w:rFonts w:ascii="Times New Roman" w:hAnsi="Times New Roman" w:cs="Times New Roman"/>
          <w:sz w:val="24"/>
          <w:szCs w:val="24"/>
        </w:rPr>
        <w:t xml:space="preserve"> </w:t>
      </w:r>
      <w:r w:rsidRPr="00131D7D">
        <w:rPr>
          <w:rFonts w:ascii="Times New Roman" w:hAnsi="Times New Roman" w:cs="Times New Roman"/>
          <w:i/>
          <w:sz w:val="24"/>
          <w:szCs w:val="24"/>
        </w:rPr>
        <w:t>q</w:t>
      </w:r>
      <w:r>
        <w:rPr>
          <w:rFonts w:ascii="Times New Roman" w:hAnsi="Times New Roman" w:cs="Times New Roman"/>
          <w:i/>
          <w:sz w:val="24"/>
          <w:szCs w:val="24"/>
        </w:rPr>
        <w:t>uestions paper</w:t>
      </w:r>
    </w:p>
    <w:p w:rsidR="00986C98" w:rsidRDefault="003D33E0">
      <w:pPr>
        <w:rPr>
          <w:rFonts w:ascii="Times New Roman" w:hAnsi="Times New Roman" w:cs="Times New Roman"/>
          <w:sz w:val="24"/>
          <w:szCs w:val="24"/>
        </w:rPr>
      </w:pPr>
      <w:r>
        <w:rPr>
          <w:rFonts w:ascii="Times New Roman" w:hAnsi="Times New Roman" w:cs="Times New Roman"/>
          <w:sz w:val="24"/>
          <w:szCs w:val="24"/>
        </w:rPr>
        <w:t xml:space="preserve">ACMA </w:t>
      </w:r>
      <w:r w:rsidR="00315068">
        <w:rPr>
          <w:rFonts w:ascii="Times New Roman" w:hAnsi="Times New Roman" w:cs="Times New Roman"/>
          <w:sz w:val="24"/>
          <w:szCs w:val="24"/>
        </w:rPr>
        <w:t xml:space="preserve">has been actively </w:t>
      </w:r>
      <w:r w:rsidR="00001B42">
        <w:rPr>
          <w:rFonts w:ascii="Times New Roman" w:hAnsi="Times New Roman" w:cs="Times New Roman"/>
          <w:sz w:val="24"/>
          <w:szCs w:val="24"/>
        </w:rPr>
        <w:t xml:space="preserve">consulting on </w:t>
      </w:r>
      <w:r w:rsidR="00315068">
        <w:rPr>
          <w:rFonts w:ascii="Times New Roman" w:hAnsi="Times New Roman" w:cs="Times New Roman"/>
          <w:sz w:val="24"/>
          <w:szCs w:val="24"/>
        </w:rPr>
        <w:t xml:space="preserve">future uses of the </w:t>
      </w:r>
      <w:r w:rsidR="00986C98">
        <w:rPr>
          <w:rFonts w:ascii="Times New Roman" w:hAnsi="Times New Roman" w:cs="Times New Roman"/>
          <w:sz w:val="24"/>
          <w:szCs w:val="24"/>
        </w:rPr>
        <w:t xml:space="preserve">26 GHz band since September 2017 when it released the </w:t>
      </w:r>
      <w:r w:rsidR="00986C98">
        <w:rPr>
          <w:rFonts w:ascii="Times New Roman" w:hAnsi="Times New Roman" w:cs="Times New Roman"/>
          <w:i/>
          <w:sz w:val="24"/>
          <w:szCs w:val="24"/>
        </w:rPr>
        <w:t xml:space="preserve">Spectrum for broadband in the millimetre wave bands: Questions for </w:t>
      </w:r>
      <w:r w:rsidR="00986C98" w:rsidRPr="00976D9D">
        <w:rPr>
          <w:rFonts w:ascii="Times New Roman" w:hAnsi="Times New Roman" w:cs="Times New Roman"/>
          <w:i/>
          <w:sz w:val="24"/>
          <w:szCs w:val="24"/>
        </w:rPr>
        <w:t>consultation</w:t>
      </w:r>
      <w:r w:rsidR="00986C98">
        <w:rPr>
          <w:rFonts w:ascii="Times New Roman" w:hAnsi="Times New Roman" w:cs="Times New Roman"/>
          <w:sz w:val="24"/>
          <w:szCs w:val="24"/>
        </w:rPr>
        <w:t xml:space="preserve"> paper. </w:t>
      </w:r>
      <w:r w:rsidR="002A55CB">
        <w:rPr>
          <w:rFonts w:ascii="Times New Roman" w:hAnsi="Times New Roman" w:cs="Times New Roman"/>
          <w:sz w:val="24"/>
          <w:szCs w:val="24"/>
        </w:rPr>
        <w:t>This paper sought feedback from stakeholders on the suitability of the 26</w:t>
      </w:r>
      <w:r w:rsidR="009961A2">
        <w:rPr>
          <w:rFonts w:ascii="Times New Roman" w:hAnsi="Times New Roman" w:cs="Times New Roman"/>
          <w:sz w:val="24"/>
          <w:szCs w:val="24"/>
        </w:rPr>
        <w:t> </w:t>
      </w:r>
      <w:r w:rsidR="002A55CB">
        <w:rPr>
          <w:rFonts w:ascii="Times New Roman" w:hAnsi="Times New Roman" w:cs="Times New Roman"/>
          <w:sz w:val="24"/>
          <w:szCs w:val="24"/>
        </w:rPr>
        <w:t>GHz band for wireless broadband services.</w:t>
      </w:r>
      <w:r w:rsidR="00001B42">
        <w:rPr>
          <w:rFonts w:ascii="Times New Roman" w:hAnsi="Times New Roman" w:cs="Times New Roman"/>
          <w:sz w:val="24"/>
          <w:szCs w:val="24"/>
        </w:rPr>
        <w:t xml:space="preserve"> ACMA received </w:t>
      </w:r>
      <w:r w:rsidR="00AE78CD">
        <w:rPr>
          <w:rFonts w:ascii="Times New Roman" w:hAnsi="Times New Roman" w:cs="Times New Roman"/>
          <w:sz w:val="24"/>
          <w:szCs w:val="24"/>
        </w:rPr>
        <w:t>27</w:t>
      </w:r>
      <w:r w:rsidR="00001B42">
        <w:rPr>
          <w:rFonts w:ascii="Times New Roman" w:hAnsi="Times New Roman" w:cs="Times New Roman"/>
          <w:sz w:val="24"/>
          <w:szCs w:val="24"/>
        </w:rPr>
        <w:t xml:space="preserve"> submissions.</w:t>
      </w:r>
      <w:r w:rsidR="002A55CB">
        <w:rPr>
          <w:rFonts w:ascii="Times New Roman" w:hAnsi="Times New Roman" w:cs="Times New Roman"/>
          <w:sz w:val="24"/>
          <w:szCs w:val="24"/>
        </w:rPr>
        <w:t xml:space="preserve"> Noting the increasing interest in the 26 GHz band </w:t>
      </w:r>
      <w:r w:rsidR="00A1302C">
        <w:rPr>
          <w:rFonts w:ascii="Times New Roman" w:hAnsi="Times New Roman" w:cs="Times New Roman"/>
          <w:sz w:val="24"/>
          <w:szCs w:val="24"/>
        </w:rPr>
        <w:t>both domestically</w:t>
      </w:r>
      <w:r w:rsidR="002A55CB">
        <w:rPr>
          <w:rFonts w:ascii="Times New Roman" w:hAnsi="Times New Roman" w:cs="Times New Roman"/>
          <w:sz w:val="24"/>
          <w:szCs w:val="24"/>
        </w:rPr>
        <w:t xml:space="preserve"> and internationally, coupled with</w:t>
      </w:r>
      <w:r w:rsidR="00742C0A">
        <w:rPr>
          <w:rFonts w:ascii="Times New Roman" w:hAnsi="Times New Roman" w:cs="Times New Roman"/>
          <w:sz w:val="24"/>
          <w:szCs w:val="24"/>
        </w:rPr>
        <w:t xml:space="preserve"> its </w:t>
      </w:r>
      <w:r w:rsidR="002A55CB">
        <w:rPr>
          <w:rFonts w:ascii="Times New Roman" w:hAnsi="Times New Roman" w:cs="Times New Roman"/>
          <w:sz w:val="24"/>
          <w:szCs w:val="24"/>
        </w:rPr>
        <w:t xml:space="preserve">limited incumbency, ACMA proposed to prioritise the </w:t>
      </w:r>
      <w:r w:rsidR="009B6F3B">
        <w:rPr>
          <w:rFonts w:ascii="Times New Roman" w:hAnsi="Times New Roman" w:cs="Times New Roman"/>
          <w:sz w:val="24"/>
          <w:szCs w:val="24"/>
        </w:rPr>
        <w:t>re</w:t>
      </w:r>
      <w:r w:rsidR="002A55CB">
        <w:rPr>
          <w:rFonts w:ascii="Times New Roman" w:hAnsi="Times New Roman" w:cs="Times New Roman"/>
          <w:sz w:val="24"/>
          <w:szCs w:val="24"/>
        </w:rPr>
        <w:t xml:space="preserve">planning of this band. Responses to this consultation process </w:t>
      </w:r>
      <w:r w:rsidR="00362492">
        <w:rPr>
          <w:rFonts w:ascii="Times New Roman" w:hAnsi="Times New Roman" w:cs="Times New Roman"/>
          <w:sz w:val="24"/>
          <w:szCs w:val="24"/>
        </w:rPr>
        <w:t xml:space="preserve">broadly </w:t>
      </w:r>
      <w:r w:rsidR="002A55CB">
        <w:rPr>
          <w:rFonts w:ascii="Times New Roman" w:hAnsi="Times New Roman" w:cs="Times New Roman"/>
          <w:sz w:val="24"/>
          <w:szCs w:val="24"/>
        </w:rPr>
        <w:t xml:space="preserve">supported </w:t>
      </w:r>
      <w:r w:rsidR="009B6F3B">
        <w:rPr>
          <w:rFonts w:ascii="Times New Roman" w:hAnsi="Times New Roman" w:cs="Times New Roman"/>
          <w:sz w:val="24"/>
          <w:szCs w:val="24"/>
        </w:rPr>
        <w:t>this proposal</w:t>
      </w:r>
      <w:r w:rsidR="002A55CB">
        <w:rPr>
          <w:rFonts w:ascii="Times New Roman" w:hAnsi="Times New Roman" w:cs="Times New Roman"/>
          <w:sz w:val="24"/>
          <w:szCs w:val="24"/>
        </w:rPr>
        <w:t xml:space="preserve">. </w:t>
      </w:r>
    </w:p>
    <w:p w:rsidR="00AE78CD" w:rsidRDefault="00AE78CD" w:rsidP="00B0234B">
      <w:pPr>
        <w:rPr>
          <w:rFonts w:ascii="Times New Roman" w:hAnsi="Times New Roman" w:cs="Times New Roman"/>
          <w:sz w:val="24"/>
          <w:szCs w:val="24"/>
        </w:rPr>
      </w:pPr>
    </w:p>
    <w:p w:rsidR="006931FB" w:rsidRDefault="006931FB" w:rsidP="00B0234B">
      <w:pPr>
        <w:rPr>
          <w:rFonts w:ascii="Times New Roman" w:hAnsi="Times New Roman" w:cs="Times New Roman"/>
          <w:sz w:val="24"/>
          <w:szCs w:val="24"/>
        </w:rPr>
      </w:pPr>
    </w:p>
    <w:p w:rsidR="00FD0B0C" w:rsidRDefault="00FD0B0C" w:rsidP="00B0234B">
      <w:pPr>
        <w:rPr>
          <w:rFonts w:ascii="Times New Roman" w:hAnsi="Times New Roman" w:cs="Times New Roman"/>
          <w:sz w:val="24"/>
          <w:szCs w:val="24"/>
        </w:rPr>
      </w:pPr>
      <w:r w:rsidRPr="00362492">
        <w:rPr>
          <w:rFonts w:ascii="Times New Roman" w:hAnsi="Times New Roman" w:cs="Times New Roman"/>
          <w:i/>
          <w:sz w:val="24"/>
          <w:szCs w:val="24"/>
        </w:rPr>
        <w:lastRenderedPageBreak/>
        <w:t>ACMA</w:t>
      </w:r>
      <w:r>
        <w:rPr>
          <w:rFonts w:ascii="Times New Roman" w:hAnsi="Times New Roman" w:cs="Times New Roman"/>
          <w:sz w:val="24"/>
          <w:szCs w:val="24"/>
        </w:rPr>
        <w:t xml:space="preserve"> </w:t>
      </w:r>
      <w:r w:rsidRPr="00131D7D">
        <w:rPr>
          <w:rFonts w:ascii="Times New Roman" w:hAnsi="Times New Roman" w:cs="Times New Roman"/>
          <w:i/>
          <w:sz w:val="24"/>
          <w:szCs w:val="24"/>
        </w:rPr>
        <w:t>o</w:t>
      </w:r>
      <w:r>
        <w:rPr>
          <w:rFonts w:ascii="Times New Roman" w:hAnsi="Times New Roman" w:cs="Times New Roman"/>
          <w:i/>
          <w:sz w:val="24"/>
          <w:szCs w:val="24"/>
        </w:rPr>
        <w:t>ptions paper</w:t>
      </w:r>
    </w:p>
    <w:p w:rsidR="00B0234B" w:rsidRDefault="00986C98" w:rsidP="00B0234B">
      <w:pPr>
        <w:rPr>
          <w:rFonts w:ascii="Times New Roman" w:hAnsi="Times New Roman" w:cs="Times New Roman"/>
          <w:sz w:val="24"/>
          <w:szCs w:val="24"/>
        </w:rPr>
      </w:pPr>
      <w:r>
        <w:rPr>
          <w:rFonts w:ascii="Times New Roman" w:hAnsi="Times New Roman" w:cs="Times New Roman"/>
          <w:sz w:val="24"/>
          <w:szCs w:val="24"/>
        </w:rPr>
        <w:t xml:space="preserve">In September 2018, ACMA released the </w:t>
      </w:r>
      <w:r w:rsidR="00315068" w:rsidRPr="0057018C">
        <w:rPr>
          <w:rFonts w:ascii="Times New Roman" w:hAnsi="Times New Roman" w:cs="Times New Roman"/>
          <w:i/>
          <w:sz w:val="24"/>
          <w:szCs w:val="24"/>
        </w:rPr>
        <w:t>Wireless broadband in the 26 GHz band</w:t>
      </w:r>
      <w:r>
        <w:rPr>
          <w:rFonts w:ascii="Times New Roman" w:hAnsi="Times New Roman" w:cs="Times New Roman"/>
          <w:i/>
          <w:sz w:val="24"/>
          <w:szCs w:val="24"/>
        </w:rPr>
        <w:t>: options paper</w:t>
      </w:r>
      <w:r w:rsidR="0022189C">
        <w:rPr>
          <w:rFonts w:ascii="Times New Roman" w:hAnsi="Times New Roman" w:cs="Times New Roman"/>
          <w:i/>
          <w:sz w:val="24"/>
          <w:szCs w:val="24"/>
        </w:rPr>
        <w:t xml:space="preserve"> </w:t>
      </w:r>
      <w:r w:rsidR="0022189C">
        <w:rPr>
          <w:rFonts w:ascii="Times New Roman" w:hAnsi="Times New Roman" w:cs="Times New Roman"/>
          <w:sz w:val="24"/>
          <w:szCs w:val="24"/>
        </w:rPr>
        <w:t>which sought industry submissions on how best to replan the band. ACMA received 19</w:t>
      </w:r>
      <w:r w:rsidR="00742C0A">
        <w:rPr>
          <w:rFonts w:ascii="Times New Roman" w:hAnsi="Times New Roman" w:cs="Times New Roman"/>
          <w:sz w:val="24"/>
          <w:szCs w:val="24"/>
        </w:rPr>
        <w:t> </w:t>
      </w:r>
      <w:r w:rsidR="0022189C">
        <w:rPr>
          <w:rFonts w:ascii="Times New Roman" w:hAnsi="Times New Roman" w:cs="Times New Roman"/>
          <w:sz w:val="24"/>
          <w:szCs w:val="24"/>
        </w:rPr>
        <w:t>submissions to its consultation package.</w:t>
      </w:r>
      <w:r w:rsidR="00236B7F">
        <w:rPr>
          <w:rFonts w:ascii="Times New Roman" w:hAnsi="Times New Roman" w:cs="Times New Roman"/>
          <w:sz w:val="24"/>
          <w:szCs w:val="24"/>
        </w:rPr>
        <w:t xml:space="preserve"> The </w:t>
      </w:r>
      <w:r w:rsidR="0041146D">
        <w:rPr>
          <w:rFonts w:ascii="Times New Roman" w:hAnsi="Times New Roman" w:cs="Times New Roman"/>
          <w:sz w:val="24"/>
          <w:szCs w:val="24"/>
        </w:rPr>
        <w:t>m</w:t>
      </w:r>
      <w:r w:rsidR="00236B7F">
        <w:rPr>
          <w:rFonts w:ascii="Times New Roman" w:hAnsi="Times New Roman" w:cs="Times New Roman"/>
          <w:sz w:val="24"/>
          <w:szCs w:val="24"/>
        </w:rPr>
        <w:t>obile broadband sector was broadly supportive of ACMA’s plan to re-allocate parts of the 26 GHz band for spectrum licensing</w:t>
      </w:r>
      <w:r w:rsidR="0041146D">
        <w:rPr>
          <w:rFonts w:ascii="Times New Roman" w:hAnsi="Times New Roman" w:cs="Times New Roman"/>
          <w:sz w:val="24"/>
          <w:szCs w:val="24"/>
        </w:rPr>
        <w:t>.</w:t>
      </w:r>
      <w:r w:rsidR="00236B7F">
        <w:rPr>
          <w:rFonts w:ascii="Times New Roman" w:hAnsi="Times New Roman" w:cs="Times New Roman"/>
          <w:sz w:val="24"/>
          <w:szCs w:val="24"/>
        </w:rPr>
        <w:t xml:space="preserve"> </w:t>
      </w:r>
      <w:r w:rsidR="00B0234B">
        <w:rPr>
          <w:rFonts w:ascii="Times New Roman" w:hAnsi="Times New Roman" w:cs="Times New Roman"/>
          <w:sz w:val="24"/>
          <w:szCs w:val="24"/>
        </w:rPr>
        <w:t xml:space="preserve">NBN Co </w:t>
      </w:r>
      <w:r w:rsidR="00D90A35">
        <w:rPr>
          <w:rFonts w:ascii="Times New Roman" w:hAnsi="Times New Roman" w:cs="Times New Roman"/>
          <w:sz w:val="24"/>
          <w:szCs w:val="24"/>
        </w:rPr>
        <w:t xml:space="preserve">Limited (NBN </w:t>
      </w:r>
      <w:r w:rsidR="006931FB">
        <w:rPr>
          <w:rFonts w:ascii="Times New Roman" w:hAnsi="Times New Roman" w:cs="Times New Roman"/>
          <w:sz w:val="24"/>
          <w:szCs w:val="24"/>
        </w:rPr>
        <w:t>Co</w:t>
      </w:r>
      <w:r w:rsidR="00D90A35">
        <w:rPr>
          <w:rFonts w:ascii="Times New Roman" w:hAnsi="Times New Roman" w:cs="Times New Roman"/>
          <w:sz w:val="24"/>
          <w:szCs w:val="24"/>
        </w:rPr>
        <w:t xml:space="preserve">) </w:t>
      </w:r>
      <w:r w:rsidR="00B0234B">
        <w:rPr>
          <w:rFonts w:ascii="Times New Roman" w:hAnsi="Times New Roman" w:cs="Times New Roman"/>
          <w:sz w:val="24"/>
          <w:szCs w:val="24"/>
        </w:rPr>
        <w:t xml:space="preserve">raised its concerns of the prospect of interference to its satellite service in its submission. </w:t>
      </w:r>
    </w:p>
    <w:p w:rsidR="00FD0B0C" w:rsidRPr="00D45A21" w:rsidRDefault="00FD0B0C">
      <w:pPr>
        <w:rPr>
          <w:rFonts w:ascii="Times New Roman" w:hAnsi="Times New Roman" w:cs="Times New Roman"/>
          <w:i/>
          <w:sz w:val="24"/>
          <w:szCs w:val="24"/>
        </w:rPr>
      </w:pPr>
      <w:r>
        <w:rPr>
          <w:rFonts w:ascii="Times New Roman" w:hAnsi="Times New Roman" w:cs="Times New Roman"/>
          <w:i/>
          <w:sz w:val="24"/>
          <w:szCs w:val="24"/>
        </w:rPr>
        <w:t>ACMA decisions paper</w:t>
      </w:r>
    </w:p>
    <w:p w:rsidR="0022189C" w:rsidRPr="0022189C" w:rsidRDefault="0022189C">
      <w:pPr>
        <w:rPr>
          <w:rFonts w:ascii="Times New Roman" w:hAnsi="Times New Roman" w:cs="Times New Roman"/>
          <w:sz w:val="24"/>
          <w:szCs w:val="24"/>
        </w:rPr>
      </w:pPr>
      <w:r>
        <w:rPr>
          <w:rFonts w:ascii="Times New Roman" w:hAnsi="Times New Roman" w:cs="Times New Roman"/>
          <w:sz w:val="24"/>
          <w:szCs w:val="24"/>
        </w:rPr>
        <w:t>After considering stakeholder feedback</w:t>
      </w:r>
      <w:r w:rsidR="002A55CB">
        <w:rPr>
          <w:rFonts w:ascii="Times New Roman" w:hAnsi="Times New Roman" w:cs="Times New Roman"/>
          <w:sz w:val="24"/>
          <w:szCs w:val="24"/>
        </w:rPr>
        <w:t>,</w:t>
      </w:r>
      <w:r>
        <w:rPr>
          <w:rFonts w:ascii="Times New Roman" w:hAnsi="Times New Roman" w:cs="Times New Roman"/>
          <w:sz w:val="24"/>
          <w:szCs w:val="24"/>
        </w:rPr>
        <w:t xml:space="preserve"> ACMA released its</w:t>
      </w:r>
      <w:r w:rsidR="00FE6A7F">
        <w:rPr>
          <w:rFonts w:ascii="Times New Roman" w:hAnsi="Times New Roman" w:cs="Times New Roman"/>
          <w:sz w:val="24"/>
          <w:szCs w:val="24"/>
        </w:rPr>
        <w:t xml:space="preserve"> decision paper</w:t>
      </w:r>
      <w:r>
        <w:rPr>
          <w:rFonts w:ascii="Times New Roman" w:hAnsi="Times New Roman" w:cs="Times New Roman"/>
          <w:sz w:val="24"/>
          <w:szCs w:val="24"/>
        </w:rPr>
        <w:t xml:space="preserve"> </w:t>
      </w:r>
      <w:r w:rsidR="001D49B2" w:rsidRPr="00F600FA">
        <w:rPr>
          <w:rFonts w:ascii="Times New Roman" w:hAnsi="Times New Roman" w:cs="Times New Roman"/>
          <w:i/>
          <w:sz w:val="24"/>
          <w:szCs w:val="24"/>
        </w:rPr>
        <w:t>Future use of the 26 GHz band –</w:t>
      </w:r>
      <w:r w:rsidR="001D49B2">
        <w:rPr>
          <w:rFonts w:ascii="Times New Roman" w:hAnsi="Times New Roman" w:cs="Times New Roman"/>
          <w:i/>
          <w:sz w:val="24"/>
          <w:szCs w:val="24"/>
        </w:rPr>
        <w:t xml:space="preserve"> </w:t>
      </w:r>
      <w:r w:rsidR="001D49B2" w:rsidRPr="00F600FA">
        <w:rPr>
          <w:rFonts w:ascii="Times New Roman" w:hAnsi="Times New Roman" w:cs="Times New Roman"/>
          <w:i/>
          <w:sz w:val="24"/>
          <w:szCs w:val="24"/>
        </w:rPr>
        <w:t>Planning decisions and preliminary view</w:t>
      </w:r>
      <w:r w:rsidR="005C173C">
        <w:rPr>
          <w:rFonts w:ascii="Times New Roman" w:hAnsi="Times New Roman" w:cs="Times New Roman"/>
          <w:i/>
          <w:sz w:val="24"/>
          <w:szCs w:val="24"/>
        </w:rPr>
        <w:t>s</w:t>
      </w:r>
      <w:r w:rsidR="001D49B2">
        <w:rPr>
          <w:rFonts w:ascii="Times New Roman" w:hAnsi="Times New Roman" w:cs="Times New Roman"/>
          <w:sz w:val="24"/>
          <w:szCs w:val="24"/>
        </w:rPr>
        <w:t xml:space="preserve"> </w:t>
      </w:r>
      <w:r w:rsidR="00A1302C">
        <w:rPr>
          <w:rFonts w:ascii="Times New Roman" w:hAnsi="Times New Roman" w:cs="Times New Roman"/>
          <w:sz w:val="24"/>
          <w:szCs w:val="24"/>
        </w:rPr>
        <w:t xml:space="preserve">in April 2019, </w:t>
      </w:r>
      <w:r w:rsidR="001D49B2">
        <w:rPr>
          <w:rFonts w:ascii="Times New Roman" w:hAnsi="Times New Roman" w:cs="Times New Roman"/>
          <w:sz w:val="24"/>
          <w:szCs w:val="24"/>
        </w:rPr>
        <w:t>which concluded that part</w:t>
      </w:r>
      <w:r w:rsidR="00FA06A9">
        <w:rPr>
          <w:rFonts w:ascii="Times New Roman" w:hAnsi="Times New Roman" w:cs="Times New Roman"/>
          <w:sz w:val="24"/>
          <w:szCs w:val="24"/>
        </w:rPr>
        <w:t>s</w:t>
      </w:r>
      <w:r w:rsidR="001D49B2">
        <w:rPr>
          <w:rFonts w:ascii="Times New Roman" w:hAnsi="Times New Roman" w:cs="Times New Roman"/>
          <w:sz w:val="24"/>
          <w:szCs w:val="24"/>
        </w:rPr>
        <w:t xml:space="preserve"> of the 26 GHz band (25.1</w:t>
      </w:r>
      <w:r w:rsidR="002A55CB">
        <w:rPr>
          <w:rFonts w:ascii="Times New Roman" w:hAnsi="Times New Roman" w:cs="Times New Roman"/>
          <w:sz w:val="24"/>
          <w:szCs w:val="24"/>
        </w:rPr>
        <w:t xml:space="preserve"> to </w:t>
      </w:r>
      <w:r w:rsidR="00FA06A9">
        <w:rPr>
          <w:rFonts w:ascii="Times New Roman" w:hAnsi="Times New Roman" w:cs="Times New Roman"/>
          <w:sz w:val="24"/>
          <w:szCs w:val="24"/>
        </w:rPr>
        <w:t xml:space="preserve">27.0 and 27.0 to </w:t>
      </w:r>
      <w:r w:rsidR="00A1302C">
        <w:rPr>
          <w:rFonts w:ascii="Times New Roman" w:hAnsi="Times New Roman" w:cs="Times New Roman"/>
          <w:sz w:val="24"/>
          <w:szCs w:val="24"/>
        </w:rPr>
        <w:t>27.5 </w:t>
      </w:r>
      <w:r w:rsidR="001D49B2">
        <w:rPr>
          <w:rFonts w:ascii="Times New Roman" w:hAnsi="Times New Roman" w:cs="Times New Roman"/>
          <w:sz w:val="24"/>
          <w:szCs w:val="24"/>
        </w:rPr>
        <w:t xml:space="preserve">GHz) should be re-allocated </w:t>
      </w:r>
      <w:r w:rsidR="00C2662C">
        <w:rPr>
          <w:rFonts w:ascii="Times New Roman" w:hAnsi="Times New Roman" w:cs="Times New Roman"/>
          <w:sz w:val="24"/>
          <w:szCs w:val="24"/>
        </w:rPr>
        <w:t xml:space="preserve">for spectrum licensing </w:t>
      </w:r>
      <w:r w:rsidR="001D49B2">
        <w:rPr>
          <w:rFonts w:ascii="Times New Roman" w:hAnsi="Times New Roman" w:cs="Times New Roman"/>
          <w:sz w:val="24"/>
          <w:szCs w:val="24"/>
        </w:rPr>
        <w:t xml:space="preserve">and made available for wireless broadband services. </w:t>
      </w:r>
      <w:r w:rsidR="004B12DA">
        <w:rPr>
          <w:rFonts w:ascii="Times New Roman" w:hAnsi="Times New Roman" w:cs="Times New Roman"/>
          <w:sz w:val="24"/>
          <w:szCs w:val="24"/>
        </w:rPr>
        <w:t>ACMA</w:t>
      </w:r>
      <w:r w:rsidR="00C2662C">
        <w:rPr>
          <w:rFonts w:ascii="Times New Roman" w:hAnsi="Times New Roman" w:cs="Times New Roman"/>
          <w:sz w:val="24"/>
          <w:szCs w:val="24"/>
        </w:rPr>
        <w:t>’s</w:t>
      </w:r>
      <w:r w:rsidR="004B12DA">
        <w:rPr>
          <w:rFonts w:ascii="Times New Roman" w:hAnsi="Times New Roman" w:cs="Times New Roman"/>
          <w:sz w:val="24"/>
          <w:szCs w:val="24"/>
        </w:rPr>
        <w:t xml:space="preserve"> paper indicated that it consider</w:t>
      </w:r>
      <w:r w:rsidR="00A1302C">
        <w:rPr>
          <w:rFonts w:ascii="Times New Roman" w:hAnsi="Times New Roman" w:cs="Times New Roman"/>
          <w:sz w:val="24"/>
          <w:szCs w:val="24"/>
        </w:rPr>
        <w:t>ed such use to represent the 26 </w:t>
      </w:r>
      <w:r w:rsidR="004B12DA">
        <w:rPr>
          <w:rFonts w:ascii="Times New Roman" w:hAnsi="Times New Roman" w:cs="Times New Roman"/>
          <w:sz w:val="24"/>
          <w:szCs w:val="24"/>
        </w:rPr>
        <w:t xml:space="preserve">GHz band’s </w:t>
      </w:r>
      <w:r w:rsidR="002A55CB">
        <w:rPr>
          <w:rFonts w:ascii="Times New Roman" w:hAnsi="Times New Roman" w:cs="Times New Roman"/>
          <w:sz w:val="24"/>
          <w:szCs w:val="24"/>
        </w:rPr>
        <w:t>highest value use</w:t>
      </w:r>
      <w:r w:rsidR="0063528A">
        <w:rPr>
          <w:rFonts w:ascii="Times New Roman" w:hAnsi="Times New Roman" w:cs="Times New Roman"/>
          <w:sz w:val="24"/>
          <w:szCs w:val="24"/>
        </w:rPr>
        <w:t>.</w:t>
      </w:r>
      <w:r w:rsidR="004B12DA">
        <w:rPr>
          <w:rFonts w:ascii="Times New Roman" w:hAnsi="Times New Roman" w:cs="Times New Roman"/>
          <w:sz w:val="24"/>
          <w:szCs w:val="24"/>
        </w:rPr>
        <w:t xml:space="preserve"> </w:t>
      </w:r>
      <w:r w:rsidR="001D49B2">
        <w:rPr>
          <w:rFonts w:ascii="Times New Roman" w:hAnsi="Times New Roman" w:cs="Times New Roman"/>
          <w:sz w:val="24"/>
          <w:szCs w:val="24"/>
        </w:rPr>
        <w:t xml:space="preserve">In making its decision, ACMA noted that co-existence conditions should be introduced into the band to ensure the ongoing protected use of the </w:t>
      </w:r>
      <w:r w:rsidR="00A1302C">
        <w:rPr>
          <w:rFonts w:ascii="Times New Roman" w:hAnsi="Times New Roman" w:cs="Times New Roman"/>
          <w:sz w:val="24"/>
          <w:szCs w:val="24"/>
        </w:rPr>
        <w:t xml:space="preserve">26 GHz </w:t>
      </w:r>
      <w:r w:rsidR="001D49B2">
        <w:rPr>
          <w:rFonts w:ascii="Times New Roman" w:hAnsi="Times New Roman" w:cs="Times New Roman"/>
          <w:sz w:val="24"/>
          <w:szCs w:val="24"/>
        </w:rPr>
        <w:t xml:space="preserve">band </w:t>
      </w:r>
      <w:r w:rsidR="00A1302C">
        <w:rPr>
          <w:rFonts w:ascii="Times New Roman" w:hAnsi="Times New Roman" w:cs="Times New Roman"/>
          <w:sz w:val="24"/>
          <w:szCs w:val="24"/>
        </w:rPr>
        <w:t xml:space="preserve">and adjacent bands </w:t>
      </w:r>
      <w:r w:rsidR="001D49B2">
        <w:rPr>
          <w:rFonts w:ascii="Times New Roman" w:hAnsi="Times New Roman" w:cs="Times New Roman"/>
          <w:sz w:val="24"/>
          <w:szCs w:val="24"/>
        </w:rPr>
        <w:t>by various incumbent fixed satellite, space</w:t>
      </w:r>
      <w:r w:rsidR="00742C0A">
        <w:rPr>
          <w:rFonts w:ascii="Times New Roman" w:hAnsi="Times New Roman" w:cs="Times New Roman"/>
          <w:sz w:val="24"/>
          <w:szCs w:val="24"/>
        </w:rPr>
        <w:t xml:space="preserve"> </w:t>
      </w:r>
      <w:r w:rsidR="001D49B2">
        <w:rPr>
          <w:rFonts w:ascii="Times New Roman" w:hAnsi="Times New Roman" w:cs="Times New Roman"/>
          <w:sz w:val="24"/>
          <w:szCs w:val="24"/>
        </w:rPr>
        <w:t>research and passive</w:t>
      </w:r>
      <w:r w:rsidR="00D27B85">
        <w:rPr>
          <w:rFonts w:ascii="Times New Roman" w:hAnsi="Times New Roman" w:cs="Times New Roman"/>
          <w:sz w:val="24"/>
          <w:szCs w:val="24"/>
        </w:rPr>
        <w:t xml:space="preserve"> </w:t>
      </w:r>
      <w:r w:rsidR="001D49B2">
        <w:rPr>
          <w:rFonts w:ascii="Times New Roman" w:hAnsi="Times New Roman" w:cs="Times New Roman"/>
          <w:sz w:val="24"/>
          <w:szCs w:val="24"/>
        </w:rPr>
        <w:t xml:space="preserve">earth exploration satellite services. </w:t>
      </w:r>
      <w:r w:rsidR="00FD0B0C">
        <w:rPr>
          <w:rFonts w:ascii="Times New Roman" w:hAnsi="Times New Roman" w:cs="Times New Roman"/>
          <w:sz w:val="24"/>
          <w:szCs w:val="24"/>
        </w:rPr>
        <w:t xml:space="preserve">In response to NBN Co’s concerns, ACMA proposed additional conditions to safeguard NBN Co’s satellite service. These conditions </w:t>
      </w:r>
      <w:r w:rsidR="009009BC">
        <w:rPr>
          <w:rFonts w:ascii="Times New Roman" w:hAnsi="Times New Roman" w:cs="Times New Roman"/>
          <w:sz w:val="24"/>
          <w:szCs w:val="24"/>
        </w:rPr>
        <w:t xml:space="preserve">would </w:t>
      </w:r>
      <w:r w:rsidR="00FD0B0C">
        <w:rPr>
          <w:rFonts w:ascii="Times New Roman" w:hAnsi="Times New Roman" w:cs="Times New Roman"/>
          <w:sz w:val="24"/>
          <w:szCs w:val="24"/>
        </w:rPr>
        <w:t>apply to spectrum licences within an NBN Co satellite footprint area in the 27.0 to 27.5 GHz frequency range</w:t>
      </w:r>
      <w:r w:rsidR="009009BC">
        <w:rPr>
          <w:rFonts w:ascii="Times New Roman" w:hAnsi="Times New Roman" w:cs="Times New Roman"/>
          <w:sz w:val="24"/>
          <w:szCs w:val="24"/>
        </w:rPr>
        <w:t>.</w:t>
      </w:r>
    </w:p>
    <w:p w:rsidR="00FD0B0C" w:rsidRDefault="00FD0B0C" w:rsidP="009B6F3B">
      <w:pPr>
        <w:rPr>
          <w:rFonts w:ascii="Times New Roman" w:hAnsi="Times New Roman" w:cs="Times New Roman"/>
          <w:sz w:val="24"/>
          <w:szCs w:val="24"/>
        </w:rPr>
      </w:pPr>
      <w:r w:rsidRPr="00236B7F">
        <w:rPr>
          <w:rFonts w:ascii="Times New Roman" w:hAnsi="Times New Roman" w:cs="Times New Roman"/>
          <w:i/>
          <w:sz w:val="24"/>
          <w:szCs w:val="24"/>
        </w:rPr>
        <w:t>ACMA</w:t>
      </w:r>
      <w:r>
        <w:rPr>
          <w:rFonts w:ascii="Times New Roman" w:hAnsi="Times New Roman" w:cs="Times New Roman"/>
          <w:sz w:val="24"/>
          <w:szCs w:val="24"/>
        </w:rPr>
        <w:t xml:space="preserve"> </w:t>
      </w:r>
      <w:r w:rsidRPr="00236B7F">
        <w:rPr>
          <w:rFonts w:ascii="Times New Roman" w:hAnsi="Times New Roman" w:cs="Times New Roman"/>
          <w:i/>
          <w:sz w:val="24"/>
          <w:szCs w:val="24"/>
        </w:rPr>
        <w:t>d</w:t>
      </w:r>
      <w:r>
        <w:rPr>
          <w:rFonts w:ascii="Times New Roman" w:hAnsi="Times New Roman" w:cs="Times New Roman"/>
          <w:i/>
          <w:sz w:val="24"/>
          <w:szCs w:val="24"/>
        </w:rPr>
        <w:t>raft re-allocation recommendation</w:t>
      </w:r>
    </w:p>
    <w:p w:rsidR="009B6F3B" w:rsidRPr="002A55CB" w:rsidRDefault="004B12DA" w:rsidP="009B6F3B">
      <w:pPr>
        <w:rPr>
          <w:rFonts w:ascii="Times New Roman" w:hAnsi="Times New Roman" w:cs="Times New Roman"/>
          <w:sz w:val="24"/>
          <w:szCs w:val="24"/>
        </w:rPr>
      </w:pPr>
      <w:r w:rsidRPr="002A55CB">
        <w:rPr>
          <w:rFonts w:ascii="Times New Roman" w:hAnsi="Times New Roman" w:cs="Times New Roman"/>
          <w:sz w:val="24"/>
          <w:szCs w:val="24"/>
        </w:rPr>
        <w:t xml:space="preserve">ACMA conducted public consultation on its draft re-allocation recommendation </w:t>
      </w:r>
      <w:r w:rsidR="00FE6A7F" w:rsidRPr="002A55CB">
        <w:rPr>
          <w:rFonts w:ascii="Times New Roman" w:hAnsi="Times New Roman" w:cs="Times New Roman"/>
          <w:sz w:val="24"/>
          <w:szCs w:val="24"/>
        </w:rPr>
        <w:t>between 8</w:t>
      </w:r>
      <w:r w:rsidR="00630C14">
        <w:rPr>
          <w:rFonts w:ascii="Times New Roman" w:hAnsi="Times New Roman" w:cs="Times New Roman"/>
          <w:sz w:val="24"/>
          <w:szCs w:val="24"/>
        </w:rPr>
        <w:t> </w:t>
      </w:r>
      <w:r w:rsidR="00FE6A7F" w:rsidRPr="002A55CB">
        <w:rPr>
          <w:rFonts w:ascii="Times New Roman" w:hAnsi="Times New Roman" w:cs="Times New Roman"/>
          <w:sz w:val="24"/>
          <w:szCs w:val="24"/>
        </w:rPr>
        <w:t>May 2019 and 6 June 2019</w:t>
      </w:r>
      <w:r w:rsidR="00FE6A7F" w:rsidRPr="002A55CB" w:rsidDel="00FE6A7F">
        <w:rPr>
          <w:rFonts w:ascii="Times New Roman" w:hAnsi="Times New Roman" w:cs="Times New Roman"/>
          <w:sz w:val="24"/>
          <w:szCs w:val="24"/>
        </w:rPr>
        <w:t xml:space="preserve"> </w:t>
      </w:r>
      <w:r w:rsidRPr="002A55CB">
        <w:rPr>
          <w:rFonts w:ascii="Times New Roman" w:hAnsi="Times New Roman" w:cs="Times New Roman"/>
          <w:sz w:val="24"/>
          <w:szCs w:val="24"/>
        </w:rPr>
        <w:t xml:space="preserve">in accordance with section 153G of the Act. </w:t>
      </w:r>
      <w:r w:rsidR="00B9468F" w:rsidRPr="002A55CB">
        <w:rPr>
          <w:rFonts w:ascii="Times New Roman" w:hAnsi="Times New Roman" w:cs="Times New Roman"/>
          <w:sz w:val="24"/>
          <w:szCs w:val="24"/>
        </w:rPr>
        <w:t>ACMA</w:t>
      </w:r>
      <w:r w:rsidR="009B6F3B">
        <w:rPr>
          <w:rFonts w:ascii="Times New Roman" w:hAnsi="Times New Roman" w:cs="Times New Roman"/>
          <w:sz w:val="24"/>
          <w:szCs w:val="24"/>
        </w:rPr>
        <w:t> </w:t>
      </w:r>
      <w:r w:rsidR="00B9468F" w:rsidRPr="002A55CB">
        <w:rPr>
          <w:rFonts w:ascii="Times New Roman" w:hAnsi="Times New Roman" w:cs="Times New Roman"/>
          <w:sz w:val="24"/>
          <w:szCs w:val="24"/>
        </w:rPr>
        <w:t>received 12</w:t>
      </w:r>
      <w:r w:rsidR="00630C14">
        <w:rPr>
          <w:rFonts w:ascii="Times New Roman" w:hAnsi="Times New Roman" w:cs="Times New Roman"/>
          <w:sz w:val="24"/>
          <w:szCs w:val="24"/>
        </w:rPr>
        <w:t> </w:t>
      </w:r>
      <w:r w:rsidR="00B9468F" w:rsidRPr="002A55CB">
        <w:rPr>
          <w:rFonts w:ascii="Times New Roman" w:hAnsi="Times New Roman" w:cs="Times New Roman"/>
          <w:sz w:val="24"/>
          <w:szCs w:val="24"/>
        </w:rPr>
        <w:t xml:space="preserve">responses. </w:t>
      </w:r>
      <w:r w:rsidR="004E5385" w:rsidRPr="002A55CB">
        <w:rPr>
          <w:rFonts w:ascii="Times New Roman" w:hAnsi="Times New Roman" w:cs="Times New Roman"/>
          <w:sz w:val="24"/>
          <w:szCs w:val="24"/>
        </w:rPr>
        <w:t>Most</w:t>
      </w:r>
      <w:r w:rsidR="001522D5" w:rsidRPr="002A55CB">
        <w:rPr>
          <w:rFonts w:ascii="Times New Roman" w:hAnsi="Times New Roman" w:cs="Times New Roman"/>
          <w:sz w:val="24"/>
          <w:szCs w:val="24"/>
        </w:rPr>
        <w:t xml:space="preserve"> </w:t>
      </w:r>
      <w:r w:rsidR="00362492">
        <w:rPr>
          <w:rFonts w:ascii="Times New Roman" w:hAnsi="Times New Roman" w:cs="Times New Roman"/>
          <w:sz w:val="24"/>
          <w:szCs w:val="24"/>
        </w:rPr>
        <w:t>mobile</w:t>
      </w:r>
      <w:r w:rsidR="001522D5" w:rsidRPr="002A55CB">
        <w:rPr>
          <w:rFonts w:ascii="Times New Roman" w:hAnsi="Times New Roman" w:cs="Times New Roman"/>
          <w:sz w:val="24"/>
          <w:szCs w:val="24"/>
        </w:rPr>
        <w:t xml:space="preserve"> carriers (including Telstra, Vodafone Hutchinson</w:t>
      </w:r>
      <w:r w:rsidR="00B71B61" w:rsidRPr="002A55CB">
        <w:rPr>
          <w:rFonts w:ascii="Times New Roman" w:hAnsi="Times New Roman" w:cs="Times New Roman"/>
          <w:sz w:val="24"/>
          <w:szCs w:val="24"/>
        </w:rPr>
        <w:t xml:space="preserve"> Australia</w:t>
      </w:r>
      <w:r w:rsidR="001522D5" w:rsidRPr="002A55CB">
        <w:rPr>
          <w:rFonts w:ascii="Times New Roman" w:hAnsi="Times New Roman" w:cs="Times New Roman"/>
          <w:sz w:val="24"/>
          <w:szCs w:val="24"/>
        </w:rPr>
        <w:t xml:space="preserve"> and Optus) supported re-allocating the band for spectrum licences</w:t>
      </w:r>
      <w:r w:rsidR="004E5385" w:rsidRPr="002A55CB">
        <w:rPr>
          <w:rFonts w:ascii="Times New Roman" w:hAnsi="Times New Roman" w:cs="Times New Roman"/>
          <w:sz w:val="24"/>
          <w:szCs w:val="24"/>
        </w:rPr>
        <w:t xml:space="preserve"> per ACMA’s draft recommendation</w:t>
      </w:r>
      <w:r w:rsidR="00FE6A7F">
        <w:rPr>
          <w:rFonts w:ascii="Times New Roman" w:hAnsi="Times New Roman" w:cs="Times New Roman"/>
          <w:sz w:val="24"/>
          <w:szCs w:val="24"/>
        </w:rPr>
        <w:t>.</w:t>
      </w:r>
      <w:r w:rsidR="004E5385" w:rsidRPr="002A55CB">
        <w:rPr>
          <w:rFonts w:ascii="Times New Roman" w:hAnsi="Times New Roman" w:cs="Times New Roman"/>
          <w:sz w:val="24"/>
          <w:szCs w:val="24"/>
        </w:rPr>
        <w:t xml:space="preserve"> NBN</w:t>
      </w:r>
      <w:r w:rsidR="00C2662C">
        <w:rPr>
          <w:rFonts w:ascii="Times New Roman" w:hAnsi="Times New Roman" w:cs="Times New Roman"/>
          <w:sz w:val="24"/>
          <w:szCs w:val="24"/>
        </w:rPr>
        <w:t> </w:t>
      </w:r>
      <w:r w:rsidR="004E5385" w:rsidRPr="002A55CB">
        <w:rPr>
          <w:rFonts w:ascii="Times New Roman" w:hAnsi="Times New Roman" w:cs="Times New Roman"/>
          <w:sz w:val="24"/>
          <w:szCs w:val="24"/>
        </w:rPr>
        <w:t xml:space="preserve">Co </w:t>
      </w:r>
      <w:r w:rsidR="005C173C" w:rsidRPr="002A55CB">
        <w:rPr>
          <w:rFonts w:ascii="Times New Roman" w:hAnsi="Times New Roman" w:cs="Times New Roman"/>
          <w:sz w:val="24"/>
          <w:szCs w:val="24"/>
        </w:rPr>
        <w:t>reiterated its conc</w:t>
      </w:r>
      <w:r w:rsidR="006F1CFD" w:rsidRPr="002A55CB">
        <w:rPr>
          <w:rFonts w:ascii="Times New Roman" w:hAnsi="Times New Roman" w:cs="Times New Roman"/>
          <w:sz w:val="24"/>
          <w:szCs w:val="24"/>
        </w:rPr>
        <w:t>ern</w:t>
      </w:r>
      <w:r w:rsidR="004E5385" w:rsidRPr="002A55CB">
        <w:rPr>
          <w:rFonts w:ascii="Times New Roman" w:hAnsi="Times New Roman" w:cs="Times New Roman"/>
          <w:sz w:val="24"/>
          <w:szCs w:val="24"/>
        </w:rPr>
        <w:t xml:space="preserve"> </w:t>
      </w:r>
      <w:r w:rsidR="006F1CFD" w:rsidRPr="002A55CB">
        <w:rPr>
          <w:rFonts w:ascii="Times New Roman" w:hAnsi="Times New Roman" w:cs="Times New Roman"/>
          <w:sz w:val="24"/>
          <w:szCs w:val="24"/>
        </w:rPr>
        <w:t>that</w:t>
      </w:r>
      <w:r w:rsidR="004E5385" w:rsidRPr="002A55CB">
        <w:rPr>
          <w:rFonts w:ascii="Times New Roman" w:hAnsi="Times New Roman" w:cs="Times New Roman"/>
          <w:sz w:val="24"/>
          <w:szCs w:val="24"/>
        </w:rPr>
        <w:t xml:space="preserve"> the introduction of wireless broadband services in the 27</w:t>
      </w:r>
      <w:r w:rsidR="00841383" w:rsidRPr="002A55CB">
        <w:rPr>
          <w:rFonts w:ascii="Times New Roman" w:hAnsi="Times New Roman" w:cs="Times New Roman"/>
          <w:sz w:val="24"/>
          <w:szCs w:val="24"/>
        </w:rPr>
        <w:t>.0</w:t>
      </w:r>
      <w:r w:rsidR="00C2662C">
        <w:rPr>
          <w:rFonts w:ascii="Times New Roman" w:hAnsi="Times New Roman" w:cs="Times New Roman"/>
          <w:sz w:val="24"/>
          <w:szCs w:val="24"/>
        </w:rPr>
        <w:t> </w:t>
      </w:r>
      <w:r w:rsidR="002A55CB">
        <w:rPr>
          <w:rFonts w:ascii="Times New Roman" w:hAnsi="Times New Roman" w:cs="Times New Roman"/>
          <w:sz w:val="24"/>
          <w:szCs w:val="24"/>
        </w:rPr>
        <w:t>to</w:t>
      </w:r>
      <w:r w:rsidR="00C2662C">
        <w:rPr>
          <w:rFonts w:ascii="Times New Roman" w:hAnsi="Times New Roman" w:cs="Times New Roman"/>
          <w:sz w:val="24"/>
          <w:szCs w:val="24"/>
        </w:rPr>
        <w:t> </w:t>
      </w:r>
      <w:r w:rsidR="004E5385" w:rsidRPr="002A55CB">
        <w:rPr>
          <w:rFonts w:ascii="Times New Roman" w:hAnsi="Times New Roman" w:cs="Times New Roman"/>
          <w:sz w:val="24"/>
          <w:szCs w:val="24"/>
        </w:rPr>
        <w:t>27.5</w:t>
      </w:r>
      <w:r w:rsidR="00C2662C">
        <w:rPr>
          <w:rFonts w:ascii="Times New Roman" w:hAnsi="Times New Roman" w:cs="Times New Roman"/>
          <w:sz w:val="24"/>
          <w:szCs w:val="24"/>
        </w:rPr>
        <w:t> </w:t>
      </w:r>
      <w:r w:rsidR="004E5385" w:rsidRPr="002A55CB">
        <w:rPr>
          <w:rFonts w:ascii="Times New Roman" w:hAnsi="Times New Roman" w:cs="Times New Roman"/>
          <w:sz w:val="24"/>
          <w:szCs w:val="24"/>
        </w:rPr>
        <w:t>GHz portion of the band</w:t>
      </w:r>
      <w:r w:rsidR="006F1CFD" w:rsidRPr="002A55CB">
        <w:rPr>
          <w:rFonts w:ascii="Times New Roman" w:hAnsi="Times New Roman" w:cs="Times New Roman"/>
          <w:sz w:val="24"/>
          <w:szCs w:val="24"/>
        </w:rPr>
        <w:t xml:space="preserve"> would interfere with its Sky</w:t>
      </w:r>
      <w:r w:rsidR="00B71B61" w:rsidRPr="002A55CB">
        <w:rPr>
          <w:rFonts w:ascii="Times New Roman" w:hAnsi="Times New Roman" w:cs="Times New Roman"/>
          <w:sz w:val="24"/>
          <w:szCs w:val="24"/>
        </w:rPr>
        <w:t xml:space="preserve"> </w:t>
      </w:r>
      <w:r w:rsidR="006F1CFD" w:rsidRPr="002A55CB">
        <w:rPr>
          <w:rFonts w:ascii="Times New Roman" w:hAnsi="Times New Roman" w:cs="Times New Roman"/>
          <w:sz w:val="24"/>
          <w:szCs w:val="24"/>
        </w:rPr>
        <w:t>Muster satellite service</w:t>
      </w:r>
      <w:r w:rsidR="00C2662C">
        <w:rPr>
          <w:rFonts w:ascii="Times New Roman" w:hAnsi="Times New Roman" w:cs="Times New Roman"/>
          <w:sz w:val="24"/>
          <w:szCs w:val="24"/>
        </w:rPr>
        <w:t>,</w:t>
      </w:r>
      <w:r w:rsidR="006F1CFD" w:rsidRPr="002A55CB">
        <w:rPr>
          <w:rFonts w:ascii="Times New Roman" w:hAnsi="Times New Roman" w:cs="Times New Roman"/>
          <w:sz w:val="24"/>
          <w:szCs w:val="24"/>
        </w:rPr>
        <w:t xml:space="preserve"> which also </w:t>
      </w:r>
      <w:r w:rsidR="00C2662C">
        <w:rPr>
          <w:rFonts w:ascii="Times New Roman" w:hAnsi="Times New Roman" w:cs="Times New Roman"/>
          <w:sz w:val="24"/>
          <w:szCs w:val="24"/>
        </w:rPr>
        <w:t>uses</w:t>
      </w:r>
      <w:r w:rsidR="006F1CFD" w:rsidRPr="002A55CB">
        <w:rPr>
          <w:rFonts w:ascii="Times New Roman" w:hAnsi="Times New Roman" w:cs="Times New Roman"/>
          <w:sz w:val="24"/>
          <w:szCs w:val="24"/>
        </w:rPr>
        <w:t xml:space="preserve"> this frequency range</w:t>
      </w:r>
      <w:r w:rsidR="00362492">
        <w:rPr>
          <w:rFonts w:ascii="Times New Roman" w:hAnsi="Times New Roman" w:cs="Times New Roman"/>
          <w:sz w:val="24"/>
          <w:szCs w:val="24"/>
        </w:rPr>
        <w:t>, and that the</w:t>
      </w:r>
      <w:r w:rsidR="00FD0B0C">
        <w:rPr>
          <w:rFonts w:ascii="Times New Roman" w:hAnsi="Times New Roman" w:cs="Times New Roman"/>
          <w:sz w:val="24"/>
          <w:szCs w:val="24"/>
        </w:rPr>
        <w:t xml:space="preserve"> proposed protections were not sufficient to prevent interference to its services.</w:t>
      </w:r>
    </w:p>
    <w:p w:rsidR="00FD0B0C" w:rsidRDefault="00FD0B0C">
      <w:pPr>
        <w:rPr>
          <w:rFonts w:ascii="Times New Roman" w:hAnsi="Times New Roman" w:cs="Times New Roman"/>
          <w:sz w:val="24"/>
          <w:szCs w:val="24"/>
        </w:rPr>
      </w:pPr>
      <w:r>
        <w:rPr>
          <w:rFonts w:ascii="Times New Roman" w:hAnsi="Times New Roman" w:cs="Times New Roman"/>
          <w:i/>
          <w:sz w:val="24"/>
          <w:szCs w:val="24"/>
        </w:rPr>
        <w:t>Departmental consultation</w:t>
      </w:r>
      <w:r w:rsidR="009E441C">
        <w:rPr>
          <w:rFonts w:ascii="Times New Roman" w:hAnsi="Times New Roman" w:cs="Times New Roman"/>
          <w:i/>
          <w:sz w:val="24"/>
          <w:szCs w:val="24"/>
        </w:rPr>
        <w:t xml:space="preserve"> on co-existence</w:t>
      </w:r>
    </w:p>
    <w:p w:rsidR="00D964FA" w:rsidRDefault="002C3CD6">
      <w:pPr>
        <w:rPr>
          <w:rFonts w:ascii="Times New Roman" w:hAnsi="Times New Roman" w:cs="Times New Roman"/>
          <w:sz w:val="24"/>
          <w:szCs w:val="24"/>
        </w:rPr>
      </w:pPr>
      <w:r>
        <w:rPr>
          <w:rFonts w:ascii="Times New Roman" w:hAnsi="Times New Roman" w:cs="Times New Roman"/>
          <w:sz w:val="24"/>
          <w:szCs w:val="24"/>
        </w:rPr>
        <w:t xml:space="preserve">To analyse the potential for interference to NBN Co’s Sky Muster service, an independent study </w:t>
      </w:r>
      <w:r w:rsidR="009009BC">
        <w:rPr>
          <w:rFonts w:ascii="Times New Roman" w:hAnsi="Times New Roman" w:cs="Times New Roman"/>
          <w:sz w:val="24"/>
          <w:szCs w:val="24"/>
        </w:rPr>
        <w:t xml:space="preserve">was commissioned </w:t>
      </w:r>
      <w:r>
        <w:rPr>
          <w:rFonts w:ascii="Times New Roman" w:hAnsi="Times New Roman" w:cs="Times New Roman"/>
          <w:sz w:val="24"/>
          <w:szCs w:val="24"/>
        </w:rPr>
        <w:t xml:space="preserve">to review </w:t>
      </w:r>
      <w:r w:rsidR="00D72D04">
        <w:rPr>
          <w:rFonts w:ascii="Times New Roman" w:hAnsi="Times New Roman" w:cs="Times New Roman"/>
          <w:sz w:val="24"/>
          <w:szCs w:val="24"/>
        </w:rPr>
        <w:t>both NBN Co and ACMA’s modelling of the potential for interference in the 27.</w:t>
      </w:r>
      <w:r w:rsidR="00841383">
        <w:rPr>
          <w:rFonts w:ascii="Times New Roman" w:hAnsi="Times New Roman" w:cs="Times New Roman"/>
          <w:sz w:val="24"/>
          <w:szCs w:val="24"/>
        </w:rPr>
        <w:t>0</w:t>
      </w:r>
      <w:r w:rsidR="002A55CB">
        <w:rPr>
          <w:rFonts w:ascii="Times New Roman" w:hAnsi="Times New Roman" w:cs="Times New Roman"/>
          <w:sz w:val="24"/>
          <w:szCs w:val="24"/>
        </w:rPr>
        <w:t xml:space="preserve"> to </w:t>
      </w:r>
      <w:r w:rsidR="00D72D04">
        <w:rPr>
          <w:rFonts w:ascii="Times New Roman" w:hAnsi="Times New Roman" w:cs="Times New Roman"/>
          <w:sz w:val="24"/>
          <w:szCs w:val="24"/>
        </w:rPr>
        <w:t xml:space="preserve">27.5 GHz range. </w:t>
      </w:r>
      <w:r w:rsidR="00D964FA">
        <w:rPr>
          <w:rFonts w:ascii="Times New Roman" w:hAnsi="Times New Roman" w:cs="Times New Roman"/>
          <w:sz w:val="24"/>
          <w:szCs w:val="24"/>
        </w:rPr>
        <w:t xml:space="preserve">This report, which is available </w:t>
      </w:r>
      <w:r w:rsidR="00962DDE">
        <w:rPr>
          <w:rFonts w:ascii="Times New Roman" w:hAnsi="Times New Roman" w:cs="Times New Roman"/>
          <w:sz w:val="24"/>
          <w:szCs w:val="24"/>
        </w:rPr>
        <w:t>at www.communications.gov.au</w:t>
      </w:r>
      <w:r w:rsidR="00D964FA">
        <w:rPr>
          <w:rFonts w:ascii="Times New Roman" w:hAnsi="Times New Roman" w:cs="Times New Roman"/>
          <w:sz w:val="24"/>
          <w:szCs w:val="24"/>
        </w:rPr>
        <w:t>, found that co-existence between these services was feasible within a significant margin and that ACMA</w:t>
      </w:r>
      <w:r w:rsidR="00C16D63">
        <w:rPr>
          <w:rFonts w:ascii="Times New Roman" w:hAnsi="Times New Roman" w:cs="Times New Roman"/>
          <w:sz w:val="24"/>
          <w:szCs w:val="24"/>
        </w:rPr>
        <w:t xml:space="preserve">’s </w:t>
      </w:r>
      <w:r w:rsidR="00D964FA">
        <w:rPr>
          <w:rFonts w:ascii="Times New Roman" w:hAnsi="Times New Roman" w:cs="Times New Roman"/>
          <w:sz w:val="24"/>
          <w:szCs w:val="24"/>
        </w:rPr>
        <w:t xml:space="preserve">proposed protections </w:t>
      </w:r>
      <w:r w:rsidR="00C16D63">
        <w:rPr>
          <w:rFonts w:ascii="Times New Roman" w:hAnsi="Times New Roman" w:cs="Times New Roman"/>
          <w:sz w:val="24"/>
          <w:szCs w:val="24"/>
        </w:rPr>
        <w:t>are an appropriate</w:t>
      </w:r>
      <w:r w:rsidR="00D964FA">
        <w:rPr>
          <w:rFonts w:ascii="Times New Roman" w:hAnsi="Times New Roman" w:cs="Times New Roman"/>
          <w:sz w:val="24"/>
          <w:szCs w:val="24"/>
        </w:rPr>
        <w:t xml:space="preserve"> safeguard against unwanted interference to NBN Co’s services.</w:t>
      </w:r>
    </w:p>
    <w:p w:rsidR="009E441C" w:rsidRDefault="009E441C" w:rsidP="00986669">
      <w:pPr>
        <w:rPr>
          <w:rFonts w:ascii="Times New Roman" w:hAnsi="Times New Roman" w:cs="Times New Roman"/>
          <w:sz w:val="24"/>
          <w:szCs w:val="24"/>
        </w:rPr>
      </w:pPr>
      <w:r>
        <w:rPr>
          <w:rFonts w:ascii="Times New Roman" w:hAnsi="Times New Roman" w:cs="Times New Roman"/>
          <w:i/>
          <w:sz w:val="24"/>
          <w:szCs w:val="24"/>
        </w:rPr>
        <w:t>Departmental consultation on re-allocation declaration</w:t>
      </w:r>
    </w:p>
    <w:p w:rsidR="00986669" w:rsidRDefault="003E18DB" w:rsidP="00986669">
      <w:pPr>
        <w:rPr>
          <w:rFonts w:ascii="Times New Roman" w:hAnsi="Times New Roman" w:cs="Times New Roman"/>
          <w:sz w:val="24"/>
          <w:szCs w:val="24"/>
        </w:rPr>
      </w:pPr>
      <w:r>
        <w:rPr>
          <w:rFonts w:ascii="Times New Roman" w:hAnsi="Times New Roman" w:cs="Times New Roman"/>
          <w:sz w:val="24"/>
          <w:szCs w:val="24"/>
        </w:rPr>
        <w:t xml:space="preserve">On </w:t>
      </w:r>
      <w:r w:rsidR="00C16D63">
        <w:rPr>
          <w:rFonts w:ascii="Times New Roman" w:hAnsi="Times New Roman" w:cs="Times New Roman"/>
          <w:sz w:val="24"/>
          <w:szCs w:val="24"/>
        </w:rPr>
        <w:t>13 September 2019</w:t>
      </w:r>
      <w:r>
        <w:rPr>
          <w:rFonts w:ascii="Times New Roman" w:hAnsi="Times New Roman" w:cs="Times New Roman"/>
          <w:sz w:val="24"/>
          <w:szCs w:val="24"/>
        </w:rPr>
        <w:t xml:space="preserve">, ACMA </w:t>
      </w:r>
      <w:r w:rsidR="001040A5">
        <w:rPr>
          <w:rFonts w:ascii="Times New Roman" w:hAnsi="Times New Roman" w:cs="Times New Roman"/>
          <w:sz w:val="24"/>
          <w:szCs w:val="24"/>
        </w:rPr>
        <w:t>briefed</w:t>
      </w:r>
      <w:r>
        <w:rPr>
          <w:rFonts w:ascii="Times New Roman" w:hAnsi="Times New Roman" w:cs="Times New Roman"/>
          <w:sz w:val="24"/>
          <w:szCs w:val="24"/>
        </w:rPr>
        <w:t xml:space="preserve"> the Minister, in accordance with subsection 153F(1)</w:t>
      </w:r>
      <w:r w:rsidR="00630C14">
        <w:rPr>
          <w:rFonts w:ascii="Times New Roman" w:hAnsi="Times New Roman" w:cs="Times New Roman"/>
          <w:sz w:val="24"/>
          <w:szCs w:val="24"/>
        </w:rPr>
        <w:t> </w:t>
      </w:r>
      <w:r>
        <w:rPr>
          <w:rFonts w:ascii="Times New Roman" w:hAnsi="Times New Roman" w:cs="Times New Roman"/>
          <w:sz w:val="24"/>
          <w:szCs w:val="24"/>
        </w:rPr>
        <w:t>of the</w:t>
      </w:r>
      <w:r w:rsidR="00C16D63">
        <w:rPr>
          <w:rFonts w:ascii="Times New Roman" w:hAnsi="Times New Roman" w:cs="Times New Roman"/>
          <w:sz w:val="24"/>
          <w:szCs w:val="24"/>
        </w:rPr>
        <w:t> </w:t>
      </w:r>
      <w:r>
        <w:rPr>
          <w:rFonts w:ascii="Times New Roman" w:hAnsi="Times New Roman" w:cs="Times New Roman"/>
          <w:sz w:val="24"/>
          <w:szCs w:val="24"/>
        </w:rPr>
        <w:t>Act, recommending that the Minister</w:t>
      </w:r>
      <w:r w:rsidR="00AA3AEC">
        <w:rPr>
          <w:rFonts w:ascii="Times New Roman" w:hAnsi="Times New Roman" w:cs="Times New Roman"/>
          <w:sz w:val="24"/>
          <w:szCs w:val="24"/>
        </w:rPr>
        <w:t xml:space="preserve"> declare</w:t>
      </w:r>
      <w:r>
        <w:rPr>
          <w:rFonts w:ascii="Times New Roman" w:hAnsi="Times New Roman" w:cs="Times New Roman"/>
          <w:sz w:val="24"/>
          <w:szCs w:val="24"/>
        </w:rPr>
        <w:t xml:space="preserve"> part</w:t>
      </w:r>
      <w:r w:rsidR="008C6C7B">
        <w:rPr>
          <w:rFonts w:ascii="Times New Roman" w:hAnsi="Times New Roman" w:cs="Times New Roman"/>
          <w:sz w:val="24"/>
          <w:szCs w:val="24"/>
        </w:rPr>
        <w:t>s</w:t>
      </w:r>
      <w:r>
        <w:rPr>
          <w:rFonts w:ascii="Times New Roman" w:hAnsi="Times New Roman" w:cs="Times New Roman"/>
          <w:sz w:val="24"/>
          <w:szCs w:val="24"/>
        </w:rPr>
        <w:t xml:space="preserve"> of the 26 GHz band </w:t>
      </w:r>
      <w:r w:rsidR="00BB247C">
        <w:rPr>
          <w:rFonts w:ascii="Times New Roman" w:hAnsi="Times New Roman" w:cs="Times New Roman"/>
          <w:sz w:val="24"/>
          <w:szCs w:val="24"/>
        </w:rPr>
        <w:t>subject to re-allocation by issuing spectrum licences.</w:t>
      </w:r>
    </w:p>
    <w:p w:rsidR="006931FB" w:rsidRDefault="006931FB" w:rsidP="00986669">
      <w:pPr>
        <w:rPr>
          <w:rFonts w:ascii="Times New Roman" w:hAnsi="Times New Roman" w:cs="Times New Roman"/>
          <w:sz w:val="24"/>
          <w:szCs w:val="24"/>
        </w:rPr>
      </w:pPr>
    </w:p>
    <w:p w:rsidR="00986669" w:rsidRDefault="00986669" w:rsidP="00986669">
      <w:pPr>
        <w:rPr>
          <w:rFonts w:ascii="Times New Roman" w:hAnsi="Times New Roman" w:cs="Times New Roman"/>
          <w:sz w:val="24"/>
          <w:szCs w:val="24"/>
        </w:rPr>
      </w:pPr>
      <w:r>
        <w:rPr>
          <w:rFonts w:ascii="Times New Roman" w:hAnsi="Times New Roman" w:cs="Times New Roman"/>
          <w:sz w:val="24"/>
          <w:szCs w:val="24"/>
        </w:rPr>
        <w:lastRenderedPageBreak/>
        <w:t>In its recommendation to the Minister, ACMA proposed that the parts of the spectrum to be re-allocated should be:</w:t>
      </w:r>
    </w:p>
    <w:p w:rsidR="00986669" w:rsidRDefault="00986669" w:rsidP="00666135">
      <w:pPr>
        <w:pStyle w:val="ListParagraph"/>
        <w:numPr>
          <w:ilvl w:val="0"/>
          <w:numId w:val="7"/>
        </w:numPr>
        <w:rPr>
          <w:rFonts w:ascii="Times New Roman" w:hAnsi="Times New Roman" w:cs="Times New Roman"/>
          <w:sz w:val="24"/>
          <w:szCs w:val="24"/>
        </w:rPr>
      </w:pPr>
      <w:r w:rsidRPr="00666135">
        <w:rPr>
          <w:rFonts w:ascii="Times New Roman" w:hAnsi="Times New Roman" w:cs="Times New Roman"/>
          <w:sz w:val="24"/>
          <w:szCs w:val="24"/>
        </w:rPr>
        <w:t>the 25.1 to 27.0 GHz range in 2</w:t>
      </w:r>
      <w:r>
        <w:rPr>
          <w:rFonts w:ascii="Times New Roman" w:hAnsi="Times New Roman" w:cs="Times New Roman"/>
          <w:sz w:val="24"/>
          <w:szCs w:val="24"/>
        </w:rPr>
        <w:t>7</w:t>
      </w:r>
      <w:r w:rsidRPr="00666135">
        <w:rPr>
          <w:rFonts w:ascii="Times New Roman" w:hAnsi="Times New Roman" w:cs="Times New Roman"/>
          <w:sz w:val="24"/>
          <w:szCs w:val="24"/>
        </w:rPr>
        <w:t xml:space="preserve"> named areas</w:t>
      </w:r>
      <w:r>
        <w:rPr>
          <w:rFonts w:ascii="Times New Roman" w:hAnsi="Times New Roman" w:cs="Times New Roman"/>
          <w:sz w:val="24"/>
          <w:szCs w:val="24"/>
        </w:rPr>
        <w:t xml:space="preserve"> (including </w:t>
      </w:r>
      <w:r w:rsidR="000544DE">
        <w:rPr>
          <w:rFonts w:ascii="Times New Roman" w:hAnsi="Times New Roman" w:cs="Times New Roman"/>
          <w:sz w:val="24"/>
          <w:szCs w:val="24"/>
        </w:rPr>
        <w:t xml:space="preserve">26 core areas, and </w:t>
      </w:r>
      <w:r w:rsidR="00A401E5">
        <w:rPr>
          <w:rFonts w:ascii="Times New Roman" w:hAnsi="Times New Roman" w:cs="Times New Roman"/>
          <w:sz w:val="24"/>
          <w:szCs w:val="24"/>
        </w:rPr>
        <w:t xml:space="preserve">one named area for </w:t>
      </w:r>
      <w:r>
        <w:rPr>
          <w:rFonts w:ascii="Times New Roman" w:hAnsi="Times New Roman" w:cs="Times New Roman"/>
          <w:sz w:val="24"/>
          <w:szCs w:val="24"/>
        </w:rPr>
        <w:t>Perth/Bunbury)</w:t>
      </w:r>
    </w:p>
    <w:p w:rsidR="00986669" w:rsidRDefault="00986669" w:rsidP="00666135">
      <w:pPr>
        <w:pStyle w:val="ListParagraph"/>
        <w:numPr>
          <w:ilvl w:val="0"/>
          <w:numId w:val="7"/>
        </w:numPr>
        <w:rPr>
          <w:rFonts w:ascii="Times New Roman" w:hAnsi="Times New Roman" w:cs="Times New Roman"/>
          <w:sz w:val="24"/>
          <w:szCs w:val="24"/>
        </w:rPr>
      </w:pPr>
      <w:r w:rsidRPr="00666135">
        <w:rPr>
          <w:rFonts w:ascii="Times New Roman" w:hAnsi="Times New Roman" w:cs="Times New Roman"/>
          <w:sz w:val="24"/>
          <w:szCs w:val="24"/>
        </w:rPr>
        <w:t>the 27.0 to 27.5 GHz range in 2</w:t>
      </w:r>
      <w:r>
        <w:rPr>
          <w:rFonts w:ascii="Times New Roman" w:hAnsi="Times New Roman" w:cs="Times New Roman"/>
          <w:sz w:val="24"/>
          <w:szCs w:val="24"/>
        </w:rPr>
        <w:t>8</w:t>
      </w:r>
      <w:r w:rsidRPr="00666135">
        <w:rPr>
          <w:rFonts w:ascii="Times New Roman" w:hAnsi="Times New Roman" w:cs="Times New Roman"/>
          <w:sz w:val="24"/>
          <w:szCs w:val="24"/>
        </w:rPr>
        <w:t xml:space="preserve"> named areas </w:t>
      </w:r>
      <w:r>
        <w:rPr>
          <w:rFonts w:ascii="Times New Roman" w:hAnsi="Times New Roman" w:cs="Times New Roman"/>
          <w:sz w:val="24"/>
          <w:szCs w:val="24"/>
        </w:rPr>
        <w:t>(including</w:t>
      </w:r>
      <w:r w:rsidRPr="00666135">
        <w:rPr>
          <w:rFonts w:ascii="Times New Roman" w:hAnsi="Times New Roman" w:cs="Times New Roman"/>
          <w:sz w:val="24"/>
          <w:szCs w:val="24"/>
        </w:rPr>
        <w:t xml:space="preserve"> </w:t>
      </w:r>
      <w:r w:rsidR="000544DE">
        <w:rPr>
          <w:rFonts w:ascii="Times New Roman" w:hAnsi="Times New Roman" w:cs="Times New Roman"/>
          <w:sz w:val="24"/>
          <w:szCs w:val="24"/>
        </w:rPr>
        <w:t xml:space="preserve">26 core areas, </w:t>
      </w:r>
      <w:r w:rsidR="00A64984">
        <w:rPr>
          <w:rFonts w:ascii="Times New Roman" w:hAnsi="Times New Roman" w:cs="Times New Roman"/>
          <w:sz w:val="24"/>
          <w:szCs w:val="24"/>
        </w:rPr>
        <w:t>one named area for Perth, and one named area for Bunbury</w:t>
      </w:r>
      <w:r>
        <w:rPr>
          <w:rFonts w:ascii="Times New Roman" w:hAnsi="Times New Roman" w:cs="Times New Roman"/>
          <w:sz w:val="24"/>
          <w:szCs w:val="24"/>
        </w:rPr>
        <w:t>)</w:t>
      </w:r>
      <w:r w:rsidR="000544DE">
        <w:rPr>
          <w:rFonts w:ascii="Times New Roman" w:hAnsi="Times New Roman" w:cs="Times New Roman"/>
          <w:sz w:val="24"/>
          <w:szCs w:val="24"/>
        </w:rPr>
        <w:t>.</w:t>
      </w:r>
    </w:p>
    <w:p w:rsidR="00986669" w:rsidRPr="00666135" w:rsidRDefault="00986669" w:rsidP="00192830">
      <w:pPr>
        <w:rPr>
          <w:rFonts w:ascii="Times New Roman" w:hAnsi="Times New Roman" w:cs="Times New Roman"/>
          <w:sz w:val="24"/>
          <w:szCs w:val="24"/>
        </w:rPr>
      </w:pPr>
      <w:r w:rsidRPr="00666135">
        <w:rPr>
          <w:rFonts w:ascii="Times New Roman" w:hAnsi="Times New Roman" w:cs="Times New Roman"/>
          <w:sz w:val="24"/>
          <w:szCs w:val="24"/>
        </w:rPr>
        <w:t>In its public consultation</w:t>
      </w:r>
      <w:r w:rsidR="00962DDE">
        <w:rPr>
          <w:rFonts w:ascii="Times New Roman" w:hAnsi="Times New Roman" w:cs="Times New Roman"/>
          <w:sz w:val="24"/>
          <w:szCs w:val="24"/>
        </w:rPr>
        <w:t xml:space="preserve"> on the draft recommendation</w:t>
      </w:r>
      <w:r w:rsidRPr="00666135">
        <w:rPr>
          <w:rFonts w:ascii="Times New Roman" w:hAnsi="Times New Roman" w:cs="Times New Roman"/>
          <w:sz w:val="24"/>
          <w:szCs w:val="24"/>
        </w:rPr>
        <w:t xml:space="preserve">, ACMA </w:t>
      </w:r>
      <w:r w:rsidR="000544DE">
        <w:rPr>
          <w:rFonts w:ascii="Times New Roman" w:hAnsi="Times New Roman" w:cs="Times New Roman"/>
          <w:sz w:val="24"/>
          <w:szCs w:val="24"/>
        </w:rPr>
        <w:t xml:space="preserve">originally </w:t>
      </w:r>
      <w:r w:rsidRPr="00666135">
        <w:rPr>
          <w:rFonts w:ascii="Times New Roman" w:hAnsi="Times New Roman" w:cs="Times New Roman"/>
          <w:sz w:val="24"/>
          <w:szCs w:val="24"/>
        </w:rPr>
        <w:t xml:space="preserve">proposed that the part of the spectrum to be re-allocated should be the 25.1 to 27.5 GHz range in </w:t>
      </w:r>
      <w:r w:rsidRPr="00630C14">
        <w:rPr>
          <w:rFonts w:ascii="Times New Roman" w:hAnsi="Times New Roman" w:cs="Times New Roman"/>
          <w:sz w:val="24"/>
          <w:szCs w:val="24"/>
        </w:rPr>
        <w:t>34</w:t>
      </w:r>
      <w:r w:rsidR="00630C14" w:rsidRPr="00630C14">
        <w:rPr>
          <w:rFonts w:ascii="Times New Roman" w:hAnsi="Times New Roman" w:cs="Times New Roman"/>
          <w:sz w:val="24"/>
          <w:szCs w:val="24"/>
        </w:rPr>
        <w:t> </w:t>
      </w:r>
      <w:r w:rsidRPr="00630C14">
        <w:rPr>
          <w:rFonts w:ascii="Times New Roman" w:hAnsi="Times New Roman" w:cs="Times New Roman"/>
          <w:sz w:val="24"/>
          <w:szCs w:val="24"/>
        </w:rPr>
        <w:t>named</w:t>
      </w:r>
      <w:r w:rsidR="00630C14">
        <w:rPr>
          <w:rFonts w:ascii="Times New Roman" w:hAnsi="Times New Roman" w:cs="Times New Roman"/>
          <w:sz w:val="24"/>
          <w:szCs w:val="24"/>
        </w:rPr>
        <w:t> </w:t>
      </w:r>
      <w:r w:rsidRPr="00666135">
        <w:rPr>
          <w:rFonts w:ascii="Times New Roman" w:hAnsi="Times New Roman" w:cs="Times New Roman"/>
          <w:sz w:val="24"/>
          <w:szCs w:val="24"/>
        </w:rPr>
        <w:t>areas. Based on stakeholder feedback about the potential for interference between neighbouring areas, ACMA made the decision to merge</w:t>
      </w:r>
      <w:r w:rsidR="000544DE" w:rsidRPr="00192830">
        <w:rPr>
          <w:rFonts w:ascii="Times New Roman" w:hAnsi="Times New Roman" w:cs="Times New Roman"/>
          <w:sz w:val="24"/>
          <w:szCs w:val="24"/>
        </w:rPr>
        <w:t xml:space="preserve"> several of these areas togethe</w:t>
      </w:r>
      <w:r w:rsidR="000544DE">
        <w:rPr>
          <w:rFonts w:ascii="Times New Roman" w:hAnsi="Times New Roman" w:cs="Times New Roman"/>
          <w:sz w:val="24"/>
          <w:szCs w:val="24"/>
        </w:rPr>
        <w:t>r</w:t>
      </w:r>
      <w:r w:rsidR="00962DDE">
        <w:rPr>
          <w:rFonts w:ascii="Times New Roman" w:hAnsi="Times New Roman" w:cs="Times New Roman"/>
          <w:sz w:val="24"/>
          <w:szCs w:val="24"/>
        </w:rPr>
        <w:t xml:space="preserve"> and reflected this in its recommendation to the Minister</w:t>
      </w:r>
      <w:r w:rsidR="000544DE">
        <w:rPr>
          <w:rFonts w:ascii="Times New Roman" w:hAnsi="Times New Roman" w:cs="Times New Roman"/>
          <w:sz w:val="24"/>
          <w:szCs w:val="24"/>
        </w:rPr>
        <w:t>. I</w:t>
      </w:r>
      <w:r w:rsidRPr="00666135">
        <w:rPr>
          <w:rFonts w:ascii="Times New Roman" w:hAnsi="Times New Roman" w:cs="Times New Roman"/>
          <w:sz w:val="24"/>
          <w:szCs w:val="24"/>
        </w:rPr>
        <w:t xml:space="preserve">n the case of </w:t>
      </w:r>
      <w:r w:rsidR="00A62ACB">
        <w:rPr>
          <w:rFonts w:ascii="Times New Roman" w:hAnsi="Times New Roman" w:cs="Times New Roman"/>
          <w:sz w:val="24"/>
          <w:szCs w:val="24"/>
        </w:rPr>
        <w:t xml:space="preserve">the merged </w:t>
      </w:r>
      <w:r w:rsidRPr="00666135">
        <w:rPr>
          <w:rFonts w:ascii="Times New Roman" w:hAnsi="Times New Roman" w:cs="Times New Roman"/>
          <w:sz w:val="24"/>
          <w:szCs w:val="24"/>
        </w:rPr>
        <w:t>Perth/Bunbury</w:t>
      </w:r>
      <w:r w:rsidR="00630C14">
        <w:rPr>
          <w:rFonts w:ascii="Times New Roman" w:hAnsi="Times New Roman" w:cs="Times New Roman"/>
          <w:sz w:val="24"/>
          <w:szCs w:val="24"/>
        </w:rPr>
        <w:t> </w:t>
      </w:r>
      <w:r w:rsidR="00A62ACB">
        <w:rPr>
          <w:rFonts w:ascii="Times New Roman" w:hAnsi="Times New Roman" w:cs="Times New Roman"/>
          <w:sz w:val="24"/>
          <w:szCs w:val="24"/>
        </w:rPr>
        <w:t>area</w:t>
      </w:r>
      <w:r w:rsidR="000544DE">
        <w:rPr>
          <w:rFonts w:ascii="Times New Roman" w:hAnsi="Times New Roman" w:cs="Times New Roman"/>
          <w:sz w:val="24"/>
          <w:szCs w:val="24"/>
        </w:rPr>
        <w:t xml:space="preserve">, the ACMA </w:t>
      </w:r>
      <w:r w:rsidR="004820C9">
        <w:rPr>
          <w:rFonts w:ascii="Times New Roman" w:hAnsi="Times New Roman" w:cs="Times New Roman"/>
          <w:sz w:val="24"/>
          <w:szCs w:val="24"/>
        </w:rPr>
        <w:t>proposed</w:t>
      </w:r>
      <w:r w:rsidR="000544DE">
        <w:rPr>
          <w:rFonts w:ascii="Times New Roman" w:hAnsi="Times New Roman" w:cs="Times New Roman"/>
          <w:sz w:val="24"/>
          <w:szCs w:val="24"/>
        </w:rPr>
        <w:t xml:space="preserve"> to keep these areas separate in the 27.0</w:t>
      </w:r>
      <w:r w:rsidR="00630C14">
        <w:rPr>
          <w:rFonts w:ascii="Times New Roman" w:hAnsi="Times New Roman" w:cs="Times New Roman"/>
          <w:sz w:val="24"/>
          <w:szCs w:val="24"/>
        </w:rPr>
        <w:t> </w:t>
      </w:r>
      <w:r w:rsidR="000544DE">
        <w:rPr>
          <w:rFonts w:ascii="Times New Roman" w:hAnsi="Times New Roman" w:cs="Times New Roman"/>
          <w:sz w:val="24"/>
          <w:szCs w:val="24"/>
        </w:rPr>
        <w:t>to</w:t>
      </w:r>
      <w:r w:rsidR="00630C14">
        <w:rPr>
          <w:rFonts w:ascii="Times New Roman" w:hAnsi="Times New Roman" w:cs="Times New Roman"/>
          <w:sz w:val="24"/>
          <w:szCs w:val="24"/>
        </w:rPr>
        <w:t> </w:t>
      </w:r>
      <w:r w:rsidR="000544DE">
        <w:rPr>
          <w:rFonts w:ascii="Times New Roman" w:hAnsi="Times New Roman" w:cs="Times New Roman"/>
          <w:sz w:val="24"/>
          <w:szCs w:val="24"/>
        </w:rPr>
        <w:t>27.5</w:t>
      </w:r>
      <w:r w:rsidR="00630C14">
        <w:rPr>
          <w:rFonts w:ascii="Times New Roman" w:hAnsi="Times New Roman" w:cs="Times New Roman"/>
          <w:sz w:val="24"/>
          <w:szCs w:val="24"/>
        </w:rPr>
        <w:t> </w:t>
      </w:r>
      <w:r w:rsidR="000544DE">
        <w:rPr>
          <w:rFonts w:ascii="Times New Roman" w:hAnsi="Times New Roman" w:cs="Times New Roman"/>
          <w:sz w:val="24"/>
          <w:szCs w:val="24"/>
        </w:rPr>
        <w:t>GHz range</w:t>
      </w:r>
      <w:r w:rsidRPr="00666135">
        <w:rPr>
          <w:rFonts w:ascii="Times New Roman" w:hAnsi="Times New Roman" w:cs="Times New Roman"/>
          <w:sz w:val="24"/>
          <w:szCs w:val="24"/>
        </w:rPr>
        <w:t>. These changes had the effect of reducing the number of named areas from 34 to 29.</w:t>
      </w:r>
    </w:p>
    <w:p w:rsidR="009A289D" w:rsidRDefault="009A289D">
      <w:pPr>
        <w:rPr>
          <w:rFonts w:ascii="Times New Roman" w:hAnsi="Times New Roman" w:cs="Times New Roman"/>
          <w:sz w:val="24"/>
          <w:szCs w:val="24"/>
        </w:rPr>
      </w:pPr>
      <w:r>
        <w:rPr>
          <w:rFonts w:ascii="Times New Roman" w:hAnsi="Times New Roman" w:cs="Times New Roman"/>
          <w:sz w:val="24"/>
          <w:szCs w:val="24"/>
        </w:rPr>
        <w:t xml:space="preserve">In its recommendation to the Minister, ACMA also proposed increasing the re-allocation period from two-and-a-half to three years. ACMA made the decision to extend the </w:t>
      </w:r>
      <w:r w:rsidR="00C3540C">
        <w:rPr>
          <w:rFonts w:ascii="Times New Roman" w:hAnsi="Times New Roman" w:cs="Times New Roman"/>
          <w:sz w:val="24"/>
          <w:szCs w:val="24"/>
        </w:rPr>
        <w:t xml:space="preserve">recommended </w:t>
      </w:r>
      <w:r>
        <w:rPr>
          <w:rFonts w:ascii="Times New Roman" w:hAnsi="Times New Roman" w:cs="Times New Roman"/>
          <w:sz w:val="24"/>
          <w:szCs w:val="24"/>
        </w:rPr>
        <w:t>re</w:t>
      </w:r>
      <w:r w:rsidR="00B71B61">
        <w:rPr>
          <w:rFonts w:ascii="Times New Roman" w:hAnsi="Times New Roman" w:cs="Times New Roman"/>
          <w:sz w:val="24"/>
          <w:szCs w:val="24"/>
        </w:rPr>
        <w:noBreakHyphen/>
      </w:r>
      <w:r>
        <w:rPr>
          <w:rFonts w:ascii="Times New Roman" w:hAnsi="Times New Roman" w:cs="Times New Roman"/>
          <w:sz w:val="24"/>
          <w:szCs w:val="24"/>
        </w:rPr>
        <w:t>allocation period to three years to build add</w:t>
      </w:r>
      <w:r w:rsidR="00C3540C">
        <w:rPr>
          <w:rFonts w:ascii="Times New Roman" w:hAnsi="Times New Roman" w:cs="Times New Roman"/>
          <w:sz w:val="24"/>
          <w:szCs w:val="24"/>
        </w:rPr>
        <w:t>itional flexibility into the re</w:t>
      </w:r>
      <w:r w:rsidR="00C3540C">
        <w:rPr>
          <w:rFonts w:ascii="Times New Roman" w:hAnsi="Times New Roman" w:cs="Times New Roman"/>
          <w:sz w:val="24"/>
          <w:szCs w:val="24"/>
        </w:rPr>
        <w:noBreakHyphen/>
      </w:r>
      <w:r>
        <w:rPr>
          <w:rFonts w:ascii="Times New Roman" w:hAnsi="Times New Roman" w:cs="Times New Roman"/>
          <w:sz w:val="24"/>
          <w:szCs w:val="24"/>
        </w:rPr>
        <w:t>allocation process in order to manage timing risks associated with the 26 GHz auction.</w:t>
      </w:r>
      <w:r w:rsidR="005A3044">
        <w:rPr>
          <w:rFonts w:ascii="Times New Roman" w:hAnsi="Times New Roman" w:cs="Times New Roman"/>
          <w:sz w:val="24"/>
          <w:szCs w:val="24"/>
        </w:rPr>
        <w:t xml:space="preserve"> This change was also in response to industry’s preference to have greater clarity about planning decisions for the 28 GHz band.</w:t>
      </w:r>
      <w:r w:rsidR="005C3A98">
        <w:rPr>
          <w:rFonts w:ascii="Times New Roman" w:hAnsi="Times New Roman" w:cs="Times New Roman"/>
          <w:sz w:val="24"/>
          <w:szCs w:val="24"/>
        </w:rPr>
        <w:t xml:space="preserve"> The ACMA released its decision paper on the 28</w:t>
      </w:r>
      <w:r w:rsidR="006931FB">
        <w:rPr>
          <w:rFonts w:ascii="Times New Roman" w:hAnsi="Times New Roman" w:cs="Times New Roman"/>
          <w:sz w:val="24"/>
          <w:szCs w:val="24"/>
        </w:rPr>
        <w:t> </w:t>
      </w:r>
      <w:r w:rsidR="005C3A98">
        <w:rPr>
          <w:rFonts w:ascii="Times New Roman" w:hAnsi="Times New Roman" w:cs="Times New Roman"/>
          <w:sz w:val="24"/>
          <w:szCs w:val="24"/>
        </w:rPr>
        <w:t xml:space="preserve">GHz band </w:t>
      </w:r>
      <w:r w:rsidR="00F805CD">
        <w:rPr>
          <w:rFonts w:ascii="Times New Roman" w:hAnsi="Times New Roman" w:cs="Times New Roman"/>
          <w:sz w:val="24"/>
          <w:szCs w:val="24"/>
        </w:rPr>
        <w:t xml:space="preserve">on </w:t>
      </w:r>
      <w:r w:rsidR="00F805CD" w:rsidRPr="00421949">
        <w:rPr>
          <w:rFonts w:ascii="Times New Roman" w:hAnsi="Times New Roman" w:cs="Times New Roman"/>
          <w:sz w:val="24"/>
          <w:szCs w:val="24"/>
        </w:rPr>
        <w:t>23</w:t>
      </w:r>
      <w:r w:rsidR="005C3A98" w:rsidRPr="00421949">
        <w:rPr>
          <w:rFonts w:ascii="Times New Roman" w:hAnsi="Times New Roman" w:cs="Times New Roman"/>
          <w:sz w:val="24"/>
          <w:szCs w:val="24"/>
        </w:rPr>
        <w:t xml:space="preserve"> September 2019</w:t>
      </w:r>
      <w:r w:rsidR="005C3A98" w:rsidRPr="00666135">
        <w:rPr>
          <w:rFonts w:ascii="Times New Roman" w:hAnsi="Times New Roman" w:cs="Times New Roman"/>
          <w:sz w:val="24"/>
          <w:szCs w:val="24"/>
        </w:rPr>
        <w:t>.</w:t>
      </w:r>
    </w:p>
    <w:p w:rsidR="00C373B2" w:rsidRDefault="006C3479">
      <w:pPr>
        <w:rPr>
          <w:rFonts w:ascii="Times New Roman" w:hAnsi="Times New Roman" w:cs="Times New Roman"/>
          <w:sz w:val="24"/>
          <w:szCs w:val="24"/>
        </w:rPr>
      </w:pPr>
      <w:r>
        <w:rPr>
          <w:rFonts w:ascii="Times New Roman" w:hAnsi="Times New Roman" w:cs="Times New Roman"/>
          <w:sz w:val="24"/>
          <w:szCs w:val="24"/>
        </w:rPr>
        <w:t>As </w:t>
      </w:r>
      <w:r w:rsidRPr="00E10330">
        <w:rPr>
          <w:rFonts w:ascii="Times New Roman" w:hAnsi="Times New Roman" w:cs="Times New Roman"/>
          <w:sz w:val="24"/>
          <w:szCs w:val="24"/>
        </w:rPr>
        <w:t xml:space="preserve">ACMA’s recommendation contained changes to some of the elements of the </w:t>
      </w:r>
      <w:r>
        <w:rPr>
          <w:rFonts w:ascii="Times New Roman" w:hAnsi="Times New Roman" w:cs="Times New Roman"/>
          <w:sz w:val="24"/>
          <w:szCs w:val="24"/>
        </w:rPr>
        <w:t>draft recommendation</w:t>
      </w:r>
      <w:r w:rsidRPr="00E10330">
        <w:rPr>
          <w:rFonts w:ascii="Times New Roman" w:hAnsi="Times New Roman" w:cs="Times New Roman"/>
          <w:sz w:val="24"/>
          <w:szCs w:val="24"/>
        </w:rPr>
        <w:t xml:space="preserve"> on which it had </w:t>
      </w:r>
      <w:r>
        <w:rPr>
          <w:rFonts w:ascii="Times New Roman" w:hAnsi="Times New Roman" w:cs="Times New Roman"/>
          <w:sz w:val="24"/>
          <w:szCs w:val="24"/>
        </w:rPr>
        <w:t>consulted</w:t>
      </w:r>
      <w:r w:rsidRPr="00E10330">
        <w:rPr>
          <w:rFonts w:ascii="Times New Roman" w:hAnsi="Times New Roman" w:cs="Times New Roman"/>
          <w:sz w:val="24"/>
          <w:szCs w:val="24"/>
        </w:rPr>
        <w:t xml:space="preserve"> with stakeholders, the </w:t>
      </w:r>
      <w:r>
        <w:rPr>
          <w:rFonts w:ascii="Times New Roman" w:hAnsi="Times New Roman" w:cs="Times New Roman"/>
          <w:sz w:val="24"/>
          <w:szCs w:val="24"/>
        </w:rPr>
        <w:t>d</w:t>
      </w:r>
      <w:r w:rsidRPr="00E10330">
        <w:rPr>
          <w:rFonts w:ascii="Times New Roman" w:hAnsi="Times New Roman" w:cs="Times New Roman"/>
          <w:sz w:val="24"/>
          <w:szCs w:val="24"/>
        </w:rPr>
        <w:t>epartment conducted additional consultation</w:t>
      </w:r>
      <w:r w:rsidR="00421949" w:rsidRPr="00421949">
        <w:rPr>
          <w:rFonts w:ascii="Times New Roman" w:hAnsi="Times New Roman" w:cs="Times New Roman"/>
          <w:sz w:val="24"/>
          <w:szCs w:val="24"/>
        </w:rPr>
        <w:t xml:space="preserve"> </w:t>
      </w:r>
      <w:r w:rsidR="00421949">
        <w:rPr>
          <w:rFonts w:ascii="Times New Roman" w:hAnsi="Times New Roman" w:cs="Times New Roman"/>
          <w:sz w:val="24"/>
          <w:szCs w:val="24"/>
        </w:rPr>
        <w:t>with stakeholders who had previously provided submissions to ACMA’s consultation on its draft re</w:t>
      </w:r>
      <w:r w:rsidR="00421949">
        <w:rPr>
          <w:rFonts w:ascii="Times New Roman" w:hAnsi="Times New Roman" w:cs="Times New Roman"/>
          <w:sz w:val="24"/>
          <w:szCs w:val="24"/>
        </w:rPr>
        <w:noBreakHyphen/>
        <w:t>allocation recommendation</w:t>
      </w:r>
      <w:r w:rsidRPr="00E10330">
        <w:rPr>
          <w:rFonts w:ascii="Times New Roman" w:hAnsi="Times New Roman" w:cs="Times New Roman"/>
          <w:sz w:val="24"/>
          <w:szCs w:val="24"/>
        </w:rPr>
        <w:t xml:space="preserve">. </w:t>
      </w:r>
      <w:r w:rsidR="00666135">
        <w:rPr>
          <w:rFonts w:ascii="Times New Roman" w:hAnsi="Times New Roman" w:cs="Times New Roman"/>
          <w:sz w:val="24"/>
          <w:szCs w:val="24"/>
        </w:rPr>
        <w:t xml:space="preserve">None of these </w:t>
      </w:r>
      <w:r w:rsidR="00BC1DA7">
        <w:rPr>
          <w:rFonts w:ascii="Times New Roman" w:hAnsi="Times New Roman" w:cs="Times New Roman"/>
          <w:sz w:val="24"/>
          <w:szCs w:val="24"/>
        </w:rPr>
        <w:t xml:space="preserve">stakeholders </w:t>
      </w:r>
      <w:r w:rsidR="002C344F">
        <w:rPr>
          <w:rFonts w:ascii="Times New Roman" w:hAnsi="Times New Roman" w:cs="Times New Roman"/>
          <w:sz w:val="24"/>
          <w:szCs w:val="24"/>
        </w:rPr>
        <w:t>object</w:t>
      </w:r>
      <w:r w:rsidR="00B97FC5">
        <w:rPr>
          <w:rFonts w:ascii="Times New Roman" w:hAnsi="Times New Roman" w:cs="Times New Roman"/>
          <w:sz w:val="24"/>
          <w:szCs w:val="24"/>
        </w:rPr>
        <w:t>ed</w:t>
      </w:r>
      <w:r w:rsidR="002C344F">
        <w:rPr>
          <w:rFonts w:ascii="Times New Roman" w:hAnsi="Times New Roman" w:cs="Times New Roman"/>
          <w:sz w:val="24"/>
          <w:szCs w:val="24"/>
        </w:rPr>
        <w:t xml:space="preserve"> to </w:t>
      </w:r>
      <w:r w:rsidR="00B97FC5">
        <w:rPr>
          <w:rFonts w:ascii="Times New Roman" w:hAnsi="Times New Roman" w:cs="Times New Roman"/>
          <w:sz w:val="24"/>
          <w:szCs w:val="24"/>
        </w:rPr>
        <w:t xml:space="preserve">the </w:t>
      </w:r>
      <w:r w:rsidR="002C344F">
        <w:rPr>
          <w:rFonts w:ascii="Times New Roman" w:hAnsi="Times New Roman" w:cs="Times New Roman"/>
          <w:sz w:val="24"/>
          <w:szCs w:val="24"/>
        </w:rPr>
        <w:t>changes</w:t>
      </w:r>
      <w:r w:rsidR="00B97FC5">
        <w:rPr>
          <w:rFonts w:ascii="Times New Roman" w:hAnsi="Times New Roman" w:cs="Times New Roman"/>
          <w:sz w:val="24"/>
          <w:szCs w:val="24"/>
        </w:rPr>
        <w:t xml:space="preserve"> to the re-allocation recommendation.</w:t>
      </w:r>
      <w:r w:rsidR="00B97FC5" w:rsidDel="00B97FC5">
        <w:rPr>
          <w:rFonts w:ascii="Times New Roman" w:hAnsi="Times New Roman" w:cs="Times New Roman"/>
          <w:sz w:val="24"/>
          <w:szCs w:val="24"/>
        </w:rPr>
        <w:t xml:space="preserve"> </w:t>
      </w:r>
    </w:p>
    <w:p w:rsidR="00C373B2" w:rsidRDefault="00C373B2" w:rsidP="00C373B2">
      <w:pPr>
        <w:rPr>
          <w:rFonts w:ascii="Times New Roman" w:hAnsi="Times New Roman" w:cs="Times New Roman"/>
          <w:sz w:val="24"/>
          <w:szCs w:val="24"/>
        </w:rPr>
      </w:pPr>
      <w:r w:rsidRPr="00E10330">
        <w:rPr>
          <w:rFonts w:ascii="Times New Roman" w:hAnsi="Times New Roman" w:cs="Times New Roman"/>
          <w:sz w:val="24"/>
          <w:szCs w:val="24"/>
        </w:rPr>
        <w:t xml:space="preserve">In deciding to make the </w:t>
      </w:r>
      <w:r>
        <w:rPr>
          <w:rFonts w:ascii="Times New Roman" w:hAnsi="Times New Roman" w:cs="Times New Roman"/>
          <w:sz w:val="24"/>
          <w:szCs w:val="24"/>
        </w:rPr>
        <w:t>d</w:t>
      </w:r>
      <w:r w:rsidRPr="00E10330">
        <w:rPr>
          <w:rFonts w:ascii="Times New Roman" w:hAnsi="Times New Roman" w:cs="Times New Roman"/>
          <w:sz w:val="24"/>
          <w:szCs w:val="24"/>
        </w:rPr>
        <w:t>eclaration, the Minister had regard to ACMA’s recommendation</w:t>
      </w:r>
      <w:r w:rsidR="00E92BDA">
        <w:rPr>
          <w:rFonts w:ascii="Times New Roman" w:hAnsi="Times New Roman" w:cs="Times New Roman"/>
          <w:sz w:val="24"/>
          <w:szCs w:val="24"/>
        </w:rPr>
        <w:t xml:space="preserve">, </w:t>
      </w:r>
      <w:r w:rsidRPr="00E10330">
        <w:rPr>
          <w:rFonts w:ascii="Times New Roman" w:hAnsi="Times New Roman" w:cs="Times New Roman"/>
          <w:sz w:val="24"/>
          <w:szCs w:val="24"/>
        </w:rPr>
        <w:t>the submissions made by stakeholders to ACMA’s consultation process</w:t>
      </w:r>
      <w:r w:rsidR="00962DDE">
        <w:rPr>
          <w:rFonts w:ascii="Times New Roman" w:hAnsi="Times New Roman" w:cs="Times New Roman"/>
          <w:sz w:val="24"/>
          <w:szCs w:val="24"/>
        </w:rPr>
        <w:t>es</w:t>
      </w:r>
      <w:r>
        <w:rPr>
          <w:rFonts w:ascii="Times New Roman" w:hAnsi="Times New Roman" w:cs="Times New Roman"/>
          <w:sz w:val="24"/>
          <w:szCs w:val="24"/>
        </w:rPr>
        <w:t>,</w:t>
      </w:r>
      <w:r w:rsidR="00E92BDA" w:rsidRPr="00E10330">
        <w:rPr>
          <w:rFonts w:ascii="Times New Roman" w:hAnsi="Times New Roman" w:cs="Times New Roman"/>
          <w:sz w:val="24"/>
          <w:szCs w:val="24"/>
        </w:rPr>
        <w:t xml:space="preserve"> </w:t>
      </w:r>
      <w:r w:rsidR="00E92BDA">
        <w:rPr>
          <w:rFonts w:ascii="Times New Roman" w:hAnsi="Times New Roman" w:cs="Times New Roman"/>
          <w:sz w:val="24"/>
          <w:szCs w:val="24"/>
        </w:rPr>
        <w:t>the independent report on co-existence,</w:t>
      </w:r>
      <w:r w:rsidRPr="00E10330">
        <w:rPr>
          <w:rFonts w:ascii="Times New Roman" w:hAnsi="Times New Roman" w:cs="Times New Roman"/>
          <w:sz w:val="24"/>
          <w:szCs w:val="24"/>
        </w:rPr>
        <w:t xml:space="preserve"> and the submissions made by stakeholders to the </w:t>
      </w:r>
      <w:r>
        <w:rPr>
          <w:rFonts w:ascii="Times New Roman" w:hAnsi="Times New Roman" w:cs="Times New Roman"/>
          <w:sz w:val="24"/>
          <w:szCs w:val="24"/>
        </w:rPr>
        <w:t>d</w:t>
      </w:r>
      <w:r w:rsidRPr="00E10330">
        <w:rPr>
          <w:rFonts w:ascii="Times New Roman" w:hAnsi="Times New Roman" w:cs="Times New Roman"/>
          <w:sz w:val="24"/>
          <w:szCs w:val="24"/>
        </w:rPr>
        <w:t>epartment’s consultation process.</w:t>
      </w:r>
    </w:p>
    <w:p w:rsidR="0008328F" w:rsidRDefault="0008328F">
      <w:pPr>
        <w:rPr>
          <w:rFonts w:ascii="Times New Roman" w:hAnsi="Times New Roman" w:cs="Times New Roman"/>
          <w:sz w:val="24"/>
          <w:szCs w:val="24"/>
        </w:rPr>
      </w:pPr>
    </w:p>
    <w:p w:rsidR="0008328F" w:rsidRDefault="0008328F">
      <w:pPr>
        <w:rPr>
          <w:rFonts w:ascii="Times New Roman" w:hAnsi="Times New Roman" w:cs="Times New Roman"/>
          <w:sz w:val="24"/>
          <w:szCs w:val="24"/>
        </w:rPr>
      </w:pPr>
      <w:r>
        <w:rPr>
          <w:rFonts w:ascii="Times New Roman" w:hAnsi="Times New Roman" w:cs="Times New Roman"/>
          <w:sz w:val="24"/>
          <w:szCs w:val="24"/>
        </w:rPr>
        <w:br w:type="page"/>
      </w:r>
    </w:p>
    <w:p w:rsidR="00EF2FEF" w:rsidRDefault="00EF2FEF" w:rsidP="00047F2B">
      <w:pPr>
        <w:rPr>
          <w:rFonts w:ascii="Times New Roman" w:hAnsi="Times New Roman" w:cs="Times New Roman"/>
          <w:b/>
          <w:sz w:val="24"/>
          <w:szCs w:val="24"/>
        </w:rPr>
      </w:pPr>
      <w:r>
        <w:rPr>
          <w:rFonts w:ascii="Times New Roman" w:hAnsi="Times New Roman" w:cs="Times New Roman"/>
          <w:b/>
          <w:sz w:val="24"/>
          <w:szCs w:val="24"/>
        </w:rPr>
        <w:lastRenderedPageBreak/>
        <w:t>Attachment 1: Notes on Sections</w:t>
      </w:r>
    </w:p>
    <w:p w:rsidR="00EF2FEF" w:rsidRPr="005E3F4A" w:rsidRDefault="005E3F4A" w:rsidP="00047F2B">
      <w:pPr>
        <w:rPr>
          <w:rFonts w:ascii="Times New Roman" w:hAnsi="Times New Roman" w:cs="Times New Roman"/>
          <w:sz w:val="24"/>
          <w:szCs w:val="24"/>
        </w:rPr>
      </w:pPr>
      <w:r>
        <w:rPr>
          <w:rFonts w:ascii="Times New Roman" w:hAnsi="Times New Roman" w:cs="Times New Roman"/>
          <w:b/>
          <w:sz w:val="24"/>
          <w:szCs w:val="24"/>
        </w:rPr>
        <w:t>Section 1—Name</w:t>
      </w:r>
    </w:p>
    <w:p w:rsidR="005E3F4A" w:rsidRDefault="005E3F4A" w:rsidP="00047F2B">
      <w:pPr>
        <w:rPr>
          <w:rFonts w:ascii="Times New Roman" w:hAnsi="Times New Roman" w:cs="Times New Roman"/>
          <w:sz w:val="24"/>
          <w:szCs w:val="24"/>
        </w:rPr>
      </w:pPr>
      <w:r>
        <w:rPr>
          <w:rFonts w:ascii="Times New Roman" w:hAnsi="Times New Roman" w:cs="Times New Roman"/>
          <w:sz w:val="24"/>
          <w:szCs w:val="24"/>
        </w:rPr>
        <w:t xml:space="preserve">Section 1 provides that </w:t>
      </w:r>
      <w:r w:rsidR="008336DE">
        <w:rPr>
          <w:rFonts w:ascii="Times New Roman" w:hAnsi="Times New Roman" w:cs="Times New Roman"/>
          <w:sz w:val="24"/>
          <w:szCs w:val="24"/>
        </w:rPr>
        <w:t>the declaration</w:t>
      </w:r>
      <w:r>
        <w:rPr>
          <w:rFonts w:ascii="Times New Roman" w:hAnsi="Times New Roman" w:cs="Times New Roman"/>
          <w:sz w:val="24"/>
          <w:szCs w:val="24"/>
        </w:rPr>
        <w:t xml:space="preserve"> may be cited as the </w:t>
      </w:r>
      <w:r>
        <w:rPr>
          <w:rFonts w:ascii="Times New Roman" w:hAnsi="Times New Roman" w:cs="Times New Roman"/>
          <w:i/>
          <w:sz w:val="24"/>
          <w:szCs w:val="24"/>
        </w:rPr>
        <w:t>Radiocommunications (Spectrum Re-allocation</w:t>
      </w:r>
      <w:r w:rsidR="001F7713" w:rsidRPr="005B6AA3">
        <w:rPr>
          <w:rFonts w:ascii="Times New Roman" w:hAnsi="Times New Roman" w:cs="Times New Roman"/>
          <w:i/>
          <w:sz w:val="24"/>
          <w:szCs w:val="24"/>
        </w:rPr>
        <w:t>—</w:t>
      </w:r>
      <w:r>
        <w:rPr>
          <w:rFonts w:ascii="Times New Roman" w:hAnsi="Times New Roman" w:cs="Times New Roman"/>
          <w:i/>
          <w:sz w:val="24"/>
          <w:szCs w:val="24"/>
        </w:rPr>
        <w:t>26 GHz Band) Declaration 2019</w:t>
      </w:r>
      <w:r>
        <w:rPr>
          <w:rFonts w:ascii="Times New Roman" w:hAnsi="Times New Roman" w:cs="Times New Roman"/>
          <w:sz w:val="24"/>
          <w:szCs w:val="24"/>
        </w:rPr>
        <w:t>.</w:t>
      </w:r>
    </w:p>
    <w:p w:rsidR="005E3F4A" w:rsidRDefault="005E3F4A" w:rsidP="00047F2B">
      <w:pPr>
        <w:rPr>
          <w:rFonts w:ascii="Times New Roman" w:hAnsi="Times New Roman" w:cs="Times New Roman"/>
          <w:b/>
          <w:sz w:val="24"/>
          <w:szCs w:val="24"/>
        </w:rPr>
      </w:pPr>
      <w:r>
        <w:rPr>
          <w:rFonts w:ascii="Times New Roman" w:hAnsi="Times New Roman" w:cs="Times New Roman"/>
          <w:b/>
          <w:sz w:val="24"/>
          <w:szCs w:val="24"/>
        </w:rPr>
        <w:t>Section 2—Commencement</w:t>
      </w:r>
    </w:p>
    <w:p w:rsidR="005E3F4A" w:rsidRDefault="005E3F4A" w:rsidP="00047F2B">
      <w:pPr>
        <w:rPr>
          <w:rFonts w:ascii="Times New Roman" w:hAnsi="Times New Roman" w:cs="Times New Roman"/>
          <w:sz w:val="24"/>
          <w:szCs w:val="24"/>
        </w:rPr>
      </w:pPr>
      <w:r w:rsidRPr="005E3F4A">
        <w:rPr>
          <w:rFonts w:ascii="Times New Roman" w:hAnsi="Times New Roman" w:cs="Times New Roman"/>
          <w:sz w:val="24"/>
          <w:szCs w:val="24"/>
        </w:rPr>
        <w:t xml:space="preserve">Section 2 provides that </w:t>
      </w:r>
      <w:r w:rsidR="008336DE">
        <w:rPr>
          <w:rFonts w:ascii="Times New Roman" w:hAnsi="Times New Roman" w:cs="Times New Roman"/>
          <w:sz w:val="24"/>
          <w:szCs w:val="24"/>
        </w:rPr>
        <w:t>the declaration</w:t>
      </w:r>
      <w:r w:rsidRPr="005E3F4A">
        <w:rPr>
          <w:rFonts w:ascii="Times New Roman" w:hAnsi="Times New Roman" w:cs="Times New Roman"/>
          <w:sz w:val="24"/>
          <w:szCs w:val="24"/>
        </w:rPr>
        <w:t xml:space="preserve"> will commence on the day after it is registered on the Federal Register of Legislation, which may be accessed online at </w:t>
      </w:r>
      <w:r w:rsidR="00192830" w:rsidRPr="00B97FC5">
        <w:t>www.legislation.gov.au</w:t>
      </w:r>
      <w:r w:rsidRPr="005E3F4A">
        <w:rPr>
          <w:rFonts w:ascii="Times New Roman" w:hAnsi="Times New Roman" w:cs="Times New Roman"/>
          <w:sz w:val="24"/>
          <w:szCs w:val="24"/>
        </w:rPr>
        <w:t>.</w:t>
      </w:r>
    </w:p>
    <w:p w:rsidR="00E33615" w:rsidRDefault="00E33615" w:rsidP="00047F2B">
      <w:pPr>
        <w:rPr>
          <w:rFonts w:ascii="Times New Roman" w:hAnsi="Times New Roman" w:cs="Times New Roman"/>
          <w:b/>
          <w:sz w:val="24"/>
          <w:szCs w:val="24"/>
        </w:rPr>
      </w:pPr>
      <w:r>
        <w:rPr>
          <w:rFonts w:ascii="Times New Roman" w:hAnsi="Times New Roman" w:cs="Times New Roman"/>
          <w:b/>
          <w:sz w:val="24"/>
          <w:szCs w:val="24"/>
        </w:rPr>
        <w:t>Section 3—Authority</w:t>
      </w:r>
    </w:p>
    <w:p w:rsidR="00E33615" w:rsidRDefault="00E33615" w:rsidP="00047F2B">
      <w:pPr>
        <w:rPr>
          <w:rFonts w:ascii="Times New Roman" w:hAnsi="Times New Roman" w:cs="Times New Roman"/>
          <w:sz w:val="24"/>
          <w:szCs w:val="24"/>
        </w:rPr>
      </w:pPr>
      <w:r w:rsidRPr="00E33615">
        <w:rPr>
          <w:rFonts w:ascii="Times New Roman" w:hAnsi="Times New Roman" w:cs="Times New Roman"/>
          <w:sz w:val="24"/>
          <w:szCs w:val="24"/>
        </w:rPr>
        <w:t xml:space="preserve">Section 3 identifies </w:t>
      </w:r>
      <w:r w:rsidR="00192830" w:rsidRPr="00E33615">
        <w:rPr>
          <w:rFonts w:ascii="Times New Roman" w:hAnsi="Times New Roman" w:cs="Times New Roman"/>
          <w:sz w:val="24"/>
          <w:szCs w:val="24"/>
        </w:rPr>
        <w:t xml:space="preserve">subsection 153B(1) of the </w:t>
      </w:r>
      <w:r w:rsidR="00192830" w:rsidRPr="005B6AA3">
        <w:rPr>
          <w:rFonts w:ascii="Times New Roman" w:hAnsi="Times New Roman" w:cs="Times New Roman"/>
          <w:i/>
          <w:sz w:val="24"/>
          <w:szCs w:val="24"/>
        </w:rPr>
        <w:t>Radiocommunications Act 1992</w:t>
      </w:r>
      <w:r w:rsidR="00192830">
        <w:rPr>
          <w:rFonts w:ascii="Times New Roman" w:hAnsi="Times New Roman" w:cs="Times New Roman"/>
          <w:i/>
          <w:sz w:val="24"/>
          <w:szCs w:val="24"/>
        </w:rPr>
        <w:t xml:space="preserve"> </w:t>
      </w:r>
      <w:r w:rsidR="00192830">
        <w:rPr>
          <w:rFonts w:ascii="Times New Roman" w:hAnsi="Times New Roman" w:cs="Times New Roman"/>
          <w:sz w:val="24"/>
          <w:szCs w:val="24"/>
        </w:rPr>
        <w:t xml:space="preserve">as </w:t>
      </w:r>
      <w:r w:rsidRPr="00E33615">
        <w:rPr>
          <w:rFonts w:ascii="Times New Roman" w:hAnsi="Times New Roman" w:cs="Times New Roman"/>
          <w:sz w:val="24"/>
          <w:szCs w:val="24"/>
        </w:rPr>
        <w:t xml:space="preserve">the power that authorises the making of </w:t>
      </w:r>
      <w:r w:rsidR="008336DE">
        <w:rPr>
          <w:rFonts w:ascii="Times New Roman" w:hAnsi="Times New Roman" w:cs="Times New Roman"/>
          <w:sz w:val="24"/>
          <w:szCs w:val="24"/>
        </w:rPr>
        <w:t>the declaration</w:t>
      </w:r>
      <w:r w:rsidRPr="00E33615">
        <w:rPr>
          <w:rFonts w:ascii="Times New Roman" w:hAnsi="Times New Roman" w:cs="Times New Roman"/>
          <w:sz w:val="24"/>
          <w:szCs w:val="24"/>
        </w:rPr>
        <w:t xml:space="preserve">. </w:t>
      </w:r>
    </w:p>
    <w:p w:rsidR="00E33615" w:rsidRDefault="00E33615" w:rsidP="00047F2B">
      <w:pPr>
        <w:rPr>
          <w:rFonts w:ascii="Times New Roman" w:hAnsi="Times New Roman" w:cs="Times New Roman"/>
          <w:b/>
          <w:sz w:val="24"/>
          <w:szCs w:val="24"/>
        </w:rPr>
      </w:pPr>
      <w:r>
        <w:rPr>
          <w:rFonts w:ascii="Times New Roman" w:hAnsi="Times New Roman" w:cs="Times New Roman"/>
          <w:b/>
          <w:sz w:val="24"/>
          <w:szCs w:val="24"/>
        </w:rPr>
        <w:t>Section 4—Interpretation</w:t>
      </w:r>
    </w:p>
    <w:p w:rsidR="003C75C5" w:rsidRPr="00E33615" w:rsidRDefault="00E33615" w:rsidP="00E33615">
      <w:pPr>
        <w:spacing w:after="240"/>
        <w:rPr>
          <w:rFonts w:ascii="Times New Roman" w:hAnsi="Times New Roman" w:cs="Times New Roman"/>
          <w:sz w:val="24"/>
          <w:szCs w:val="24"/>
        </w:rPr>
      </w:pPr>
      <w:r>
        <w:rPr>
          <w:rFonts w:ascii="Times New Roman" w:hAnsi="Times New Roman" w:cs="Times New Roman"/>
          <w:sz w:val="24"/>
          <w:szCs w:val="24"/>
        </w:rPr>
        <w:t xml:space="preserve">Section 4 defines expressions used in </w:t>
      </w:r>
      <w:r w:rsidR="008336DE">
        <w:rPr>
          <w:rFonts w:ascii="Times New Roman" w:hAnsi="Times New Roman" w:cs="Times New Roman"/>
          <w:sz w:val="24"/>
          <w:szCs w:val="24"/>
        </w:rPr>
        <w:t>the declaration</w:t>
      </w:r>
      <w:r>
        <w:rPr>
          <w:rFonts w:ascii="Times New Roman" w:hAnsi="Times New Roman" w:cs="Times New Roman"/>
          <w:sz w:val="24"/>
          <w:szCs w:val="24"/>
        </w:rPr>
        <w:t xml:space="preserve">. </w:t>
      </w:r>
      <w:r w:rsidRPr="00E33615">
        <w:rPr>
          <w:rFonts w:ascii="Times New Roman" w:hAnsi="Times New Roman" w:cs="Times New Roman"/>
          <w:sz w:val="24"/>
          <w:szCs w:val="24"/>
        </w:rPr>
        <w:t>In particular, it defines the Hierarchical Cell Identification Scheme (HCIS), which is the system used by ACMA</w:t>
      </w:r>
      <w:r w:rsidR="00F42BCF">
        <w:rPr>
          <w:rFonts w:ascii="Times New Roman" w:hAnsi="Times New Roman" w:cs="Times New Roman"/>
          <w:sz w:val="24"/>
          <w:szCs w:val="24"/>
        </w:rPr>
        <w:t xml:space="preserve"> </w:t>
      </w:r>
      <w:r w:rsidRPr="00E33615">
        <w:rPr>
          <w:rFonts w:ascii="Times New Roman" w:hAnsi="Times New Roman" w:cs="Times New Roman"/>
          <w:sz w:val="24"/>
          <w:szCs w:val="24"/>
        </w:rPr>
        <w:t>to define geographic areas for rad</w:t>
      </w:r>
      <w:r w:rsidR="00BB3B46">
        <w:rPr>
          <w:rFonts w:ascii="Times New Roman" w:hAnsi="Times New Roman" w:cs="Times New Roman"/>
          <w:sz w:val="24"/>
          <w:szCs w:val="24"/>
        </w:rPr>
        <w:t>iocommunications licensing. The </w:t>
      </w:r>
      <w:r w:rsidRPr="00E33615">
        <w:rPr>
          <w:rFonts w:ascii="Times New Roman" w:hAnsi="Times New Roman" w:cs="Times New Roman"/>
          <w:sz w:val="24"/>
          <w:szCs w:val="24"/>
        </w:rPr>
        <w:t xml:space="preserve">alphanumerically coded HCIS cells are used in section 5 to define the geographic areas with respect to which </w:t>
      </w:r>
      <w:r>
        <w:rPr>
          <w:rFonts w:ascii="Times New Roman" w:hAnsi="Times New Roman" w:cs="Times New Roman"/>
          <w:sz w:val="24"/>
          <w:szCs w:val="24"/>
        </w:rPr>
        <w:t>part</w:t>
      </w:r>
      <w:r w:rsidR="008C6C7B">
        <w:rPr>
          <w:rFonts w:ascii="Times New Roman" w:hAnsi="Times New Roman" w:cs="Times New Roman"/>
          <w:sz w:val="24"/>
          <w:szCs w:val="24"/>
        </w:rPr>
        <w:t>s</w:t>
      </w:r>
      <w:r>
        <w:rPr>
          <w:rFonts w:ascii="Times New Roman" w:hAnsi="Times New Roman" w:cs="Times New Roman"/>
          <w:sz w:val="24"/>
          <w:szCs w:val="24"/>
        </w:rPr>
        <w:t xml:space="preserve"> of </w:t>
      </w:r>
      <w:r w:rsidRPr="00E33615">
        <w:rPr>
          <w:rFonts w:ascii="Times New Roman" w:hAnsi="Times New Roman" w:cs="Times New Roman"/>
          <w:sz w:val="24"/>
          <w:szCs w:val="24"/>
        </w:rPr>
        <w:t xml:space="preserve">the </w:t>
      </w:r>
      <w:r>
        <w:rPr>
          <w:rFonts w:ascii="Times New Roman" w:hAnsi="Times New Roman" w:cs="Times New Roman"/>
          <w:sz w:val="24"/>
          <w:szCs w:val="24"/>
        </w:rPr>
        <w:t>26</w:t>
      </w:r>
      <w:r w:rsidRPr="00E33615">
        <w:rPr>
          <w:rFonts w:ascii="Times New Roman" w:hAnsi="Times New Roman" w:cs="Times New Roman"/>
          <w:sz w:val="24"/>
          <w:szCs w:val="24"/>
        </w:rPr>
        <w:t xml:space="preserve"> GHz band </w:t>
      </w:r>
      <w:r w:rsidR="008C6C7B">
        <w:rPr>
          <w:rFonts w:ascii="Times New Roman" w:hAnsi="Times New Roman" w:cs="Times New Roman"/>
          <w:sz w:val="24"/>
          <w:szCs w:val="24"/>
        </w:rPr>
        <w:t>are</w:t>
      </w:r>
      <w:r w:rsidR="008C6C7B" w:rsidRPr="00E33615">
        <w:rPr>
          <w:rFonts w:ascii="Times New Roman" w:hAnsi="Times New Roman" w:cs="Times New Roman"/>
          <w:sz w:val="24"/>
          <w:szCs w:val="24"/>
        </w:rPr>
        <w:t xml:space="preserve"> </w:t>
      </w:r>
      <w:r w:rsidRPr="00E33615">
        <w:rPr>
          <w:rFonts w:ascii="Times New Roman" w:hAnsi="Times New Roman" w:cs="Times New Roman"/>
          <w:sz w:val="24"/>
          <w:szCs w:val="24"/>
        </w:rPr>
        <w:t>declared subject to re-allocation by issuing spectrum licences.</w:t>
      </w:r>
    </w:p>
    <w:p w:rsidR="00E33615" w:rsidRPr="00E33615" w:rsidRDefault="00E33615" w:rsidP="00E33615">
      <w:pPr>
        <w:spacing w:after="240" w:line="240" w:lineRule="auto"/>
        <w:rPr>
          <w:rFonts w:ascii="Times New Roman" w:hAnsi="Times New Roman" w:cs="Times New Roman"/>
          <w:sz w:val="24"/>
          <w:szCs w:val="24"/>
        </w:rPr>
      </w:pPr>
      <w:r w:rsidRPr="00E33615">
        <w:rPr>
          <w:rFonts w:ascii="Times New Roman" w:hAnsi="Times New Roman" w:cs="Times New Roman"/>
          <w:sz w:val="24"/>
          <w:szCs w:val="24"/>
        </w:rPr>
        <w:t>Section 4 also provides that each reference to a part of the spectrum includes all frequencies greater than the lower frequency, up to and including the higher frequency. This means the part of the spectrum does not include the lower frequency.</w:t>
      </w:r>
    </w:p>
    <w:p w:rsidR="00A8196F" w:rsidRDefault="00A8196F" w:rsidP="00A8196F">
      <w:pPr>
        <w:rPr>
          <w:rFonts w:ascii="Times New Roman" w:hAnsi="Times New Roman" w:cs="Times New Roman"/>
          <w:b/>
          <w:sz w:val="24"/>
          <w:szCs w:val="24"/>
        </w:rPr>
      </w:pPr>
      <w:r>
        <w:rPr>
          <w:rFonts w:ascii="Times New Roman" w:hAnsi="Times New Roman" w:cs="Times New Roman"/>
          <w:b/>
          <w:sz w:val="24"/>
          <w:szCs w:val="24"/>
        </w:rPr>
        <w:t>Section 5—Spectrum re-allocation</w:t>
      </w:r>
    </w:p>
    <w:p w:rsidR="00A8196F" w:rsidRPr="009F7D44" w:rsidRDefault="009F7D44" w:rsidP="009F7D44">
      <w:pPr>
        <w:spacing w:after="240" w:line="240" w:lineRule="auto"/>
        <w:rPr>
          <w:rFonts w:ascii="Times New Roman" w:hAnsi="Times New Roman" w:cs="Times New Roman"/>
          <w:sz w:val="24"/>
          <w:szCs w:val="24"/>
        </w:rPr>
      </w:pPr>
      <w:r w:rsidRPr="009F7D44">
        <w:rPr>
          <w:rFonts w:ascii="Times New Roman" w:hAnsi="Times New Roman" w:cs="Times New Roman"/>
          <w:sz w:val="24"/>
          <w:szCs w:val="24"/>
        </w:rPr>
        <w:t>Section 5 declares the part</w:t>
      </w:r>
      <w:r>
        <w:rPr>
          <w:rFonts w:ascii="Times New Roman" w:hAnsi="Times New Roman" w:cs="Times New Roman"/>
          <w:sz w:val="24"/>
          <w:szCs w:val="24"/>
        </w:rPr>
        <w:t>s</w:t>
      </w:r>
      <w:r w:rsidRPr="009F7D44">
        <w:rPr>
          <w:rFonts w:ascii="Times New Roman" w:hAnsi="Times New Roman" w:cs="Times New Roman"/>
          <w:sz w:val="24"/>
          <w:szCs w:val="24"/>
        </w:rPr>
        <w:t xml:space="preserve"> of the spectrum from </w:t>
      </w:r>
      <w:r>
        <w:rPr>
          <w:rFonts w:ascii="Times New Roman" w:hAnsi="Times New Roman" w:cs="Times New Roman"/>
          <w:sz w:val="24"/>
          <w:szCs w:val="24"/>
        </w:rPr>
        <w:t xml:space="preserve">25.1 to 27.0 GHz and 27.0 to 27.5 GHz </w:t>
      </w:r>
      <w:r w:rsidRPr="009F7D44">
        <w:rPr>
          <w:rFonts w:ascii="Times New Roman" w:hAnsi="Times New Roman" w:cs="Times New Roman"/>
          <w:sz w:val="24"/>
          <w:szCs w:val="24"/>
        </w:rPr>
        <w:t>as subject to re-allocation under Part 3.6 of the Act.</w:t>
      </w:r>
    </w:p>
    <w:p w:rsidR="00EA07D5" w:rsidRDefault="00EA07D5" w:rsidP="00047F2B">
      <w:pPr>
        <w:rPr>
          <w:rFonts w:ascii="Times New Roman" w:hAnsi="Times New Roman" w:cs="Times New Roman"/>
          <w:sz w:val="24"/>
          <w:szCs w:val="24"/>
        </w:rPr>
      </w:pPr>
      <w:r>
        <w:rPr>
          <w:rFonts w:ascii="Times New Roman" w:hAnsi="Times New Roman" w:cs="Times New Roman"/>
          <w:sz w:val="24"/>
          <w:szCs w:val="24"/>
        </w:rPr>
        <w:t>Paragraph 5(1)(a) states, for the</w:t>
      </w:r>
      <w:r w:rsidRPr="00EA07D5">
        <w:rPr>
          <w:rFonts w:ascii="Times New Roman" w:hAnsi="Times New Roman" w:cs="Times New Roman"/>
          <w:sz w:val="24"/>
          <w:szCs w:val="24"/>
        </w:rPr>
        <w:t xml:space="preserve"> purposes of subsectio</w:t>
      </w:r>
      <w:r>
        <w:rPr>
          <w:rFonts w:ascii="Times New Roman" w:hAnsi="Times New Roman" w:cs="Times New Roman"/>
          <w:sz w:val="24"/>
          <w:szCs w:val="24"/>
        </w:rPr>
        <w:t>n 153B(6) of the Act, that</w:t>
      </w:r>
      <w:r w:rsidR="007F1CB9">
        <w:rPr>
          <w:rFonts w:ascii="Times New Roman" w:hAnsi="Times New Roman" w:cs="Times New Roman"/>
          <w:sz w:val="24"/>
          <w:szCs w:val="24"/>
        </w:rPr>
        <w:t xml:space="preserve"> t</w:t>
      </w:r>
      <w:r w:rsidR="003C75C5">
        <w:rPr>
          <w:rFonts w:ascii="Times New Roman" w:hAnsi="Times New Roman" w:cs="Times New Roman"/>
          <w:sz w:val="24"/>
          <w:szCs w:val="24"/>
        </w:rPr>
        <w:t>he</w:t>
      </w:r>
      <w:r>
        <w:rPr>
          <w:rFonts w:ascii="Times New Roman" w:hAnsi="Times New Roman" w:cs="Times New Roman"/>
          <w:sz w:val="24"/>
          <w:szCs w:val="24"/>
        </w:rPr>
        <w:t xml:space="preserve"> part of the spectrum from 25.1 GHz to 27.0 GHz </w:t>
      </w:r>
      <w:r w:rsidRPr="00EA07D5">
        <w:rPr>
          <w:rFonts w:ascii="Times New Roman" w:hAnsi="Times New Roman" w:cs="Times New Roman"/>
          <w:sz w:val="24"/>
          <w:szCs w:val="24"/>
        </w:rPr>
        <w:t>is</w:t>
      </w:r>
      <w:r w:rsidR="003C75C5">
        <w:rPr>
          <w:rFonts w:ascii="Times New Roman" w:hAnsi="Times New Roman" w:cs="Times New Roman"/>
          <w:sz w:val="24"/>
          <w:szCs w:val="24"/>
        </w:rPr>
        <w:t xml:space="preserve"> </w:t>
      </w:r>
      <w:r w:rsidRPr="00EA07D5">
        <w:rPr>
          <w:rFonts w:ascii="Times New Roman" w:hAnsi="Times New Roman" w:cs="Times New Roman"/>
          <w:sz w:val="24"/>
          <w:szCs w:val="24"/>
        </w:rPr>
        <w:t xml:space="preserve"> to be re-allocated by issuing spectrum licences under Subdivision B of Division 1 of Part 3.2 (see section 153L of the Act).</w:t>
      </w:r>
    </w:p>
    <w:p w:rsidR="00EA07D5" w:rsidRDefault="00EA07D5" w:rsidP="00047F2B">
      <w:pPr>
        <w:rPr>
          <w:rFonts w:ascii="Times New Roman" w:hAnsi="Times New Roman" w:cs="Times New Roman"/>
          <w:sz w:val="24"/>
          <w:szCs w:val="24"/>
        </w:rPr>
      </w:pPr>
      <w:r>
        <w:rPr>
          <w:rFonts w:ascii="Times New Roman" w:hAnsi="Times New Roman" w:cs="Times New Roman"/>
          <w:sz w:val="24"/>
          <w:szCs w:val="24"/>
        </w:rPr>
        <w:t xml:space="preserve">Paragraph 5(1)(b) specifies, for </w:t>
      </w:r>
      <w:r w:rsidRPr="00EA07D5">
        <w:rPr>
          <w:rFonts w:ascii="Times New Roman" w:hAnsi="Times New Roman" w:cs="Times New Roman"/>
          <w:sz w:val="24"/>
          <w:szCs w:val="24"/>
        </w:rPr>
        <w:t xml:space="preserve">the purposes of subsection 153B(3) of the Act, that the </w:t>
      </w:r>
      <w:r w:rsidR="00241816">
        <w:rPr>
          <w:rFonts w:ascii="Times New Roman" w:hAnsi="Times New Roman" w:cs="Times New Roman"/>
          <w:sz w:val="24"/>
          <w:szCs w:val="24"/>
        </w:rPr>
        <w:t xml:space="preserve">part of the spectrum from 25.1 GHz to 27.0 GHz </w:t>
      </w:r>
      <w:r w:rsidRPr="00EA07D5">
        <w:rPr>
          <w:rFonts w:ascii="Times New Roman" w:hAnsi="Times New Roman" w:cs="Times New Roman"/>
          <w:sz w:val="24"/>
          <w:szCs w:val="24"/>
        </w:rPr>
        <w:t xml:space="preserve">is subject to re-allocation with respect to </w:t>
      </w:r>
      <w:r w:rsidR="00241816">
        <w:rPr>
          <w:rFonts w:ascii="Times New Roman" w:hAnsi="Times New Roman" w:cs="Times New Roman"/>
          <w:sz w:val="24"/>
          <w:szCs w:val="24"/>
        </w:rPr>
        <w:t xml:space="preserve">the named areas listed in Items 1 to 27 in the table </w:t>
      </w:r>
      <w:r w:rsidR="00E33C6E">
        <w:rPr>
          <w:rFonts w:ascii="Times New Roman" w:hAnsi="Times New Roman" w:cs="Times New Roman"/>
          <w:sz w:val="24"/>
          <w:szCs w:val="24"/>
        </w:rPr>
        <w:t>in subsection 5(4).</w:t>
      </w:r>
      <w:r w:rsidRPr="00EA07D5">
        <w:rPr>
          <w:rFonts w:ascii="Times New Roman" w:hAnsi="Times New Roman" w:cs="Times New Roman"/>
          <w:sz w:val="24"/>
          <w:szCs w:val="24"/>
        </w:rPr>
        <w:t xml:space="preserve"> </w:t>
      </w:r>
    </w:p>
    <w:p w:rsidR="00E33C6E" w:rsidRDefault="00E33C6E" w:rsidP="00E33C6E">
      <w:pPr>
        <w:rPr>
          <w:rFonts w:ascii="Times New Roman" w:hAnsi="Times New Roman" w:cs="Times New Roman"/>
          <w:sz w:val="24"/>
          <w:szCs w:val="24"/>
        </w:rPr>
      </w:pPr>
      <w:r>
        <w:rPr>
          <w:rFonts w:ascii="Times New Roman" w:hAnsi="Times New Roman" w:cs="Times New Roman"/>
          <w:sz w:val="24"/>
          <w:szCs w:val="24"/>
        </w:rPr>
        <w:t>Paragraph 5(2)(a) states, for the</w:t>
      </w:r>
      <w:r w:rsidRPr="00EA07D5">
        <w:rPr>
          <w:rFonts w:ascii="Times New Roman" w:hAnsi="Times New Roman" w:cs="Times New Roman"/>
          <w:sz w:val="24"/>
          <w:szCs w:val="24"/>
        </w:rPr>
        <w:t xml:space="preserve"> purposes of subsectio</w:t>
      </w:r>
      <w:r>
        <w:rPr>
          <w:rFonts w:ascii="Times New Roman" w:hAnsi="Times New Roman" w:cs="Times New Roman"/>
          <w:sz w:val="24"/>
          <w:szCs w:val="24"/>
        </w:rPr>
        <w:t xml:space="preserve">n 153B(6) of the Act, that </w:t>
      </w:r>
      <w:r w:rsidR="00D24C80">
        <w:rPr>
          <w:rFonts w:ascii="Times New Roman" w:hAnsi="Times New Roman" w:cs="Times New Roman"/>
          <w:sz w:val="24"/>
          <w:szCs w:val="24"/>
        </w:rPr>
        <w:t xml:space="preserve">the </w:t>
      </w:r>
      <w:r>
        <w:rPr>
          <w:rFonts w:ascii="Times New Roman" w:hAnsi="Times New Roman" w:cs="Times New Roman"/>
          <w:sz w:val="24"/>
          <w:szCs w:val="24"/>
        </w:rPr>
        <w:t xml:space="preserve">part of the spectrum from 27.0 GHz to 27.5 GHz </w:t>
      </w:r>
      <w:r w:rsidRPr="00EA07D5">
        <w:rPr>
          <w:rFonts w:ascii="Times New Roman" w:hAnsi="Times New Roman" w:cs="Times New Roman"/>
          <w:sz w:val="24"/>
          <w:szCs w:val="24"/>
        </w:rPr>
        <w:t>is to be re-allocated by issuing spectrum licences under Subdivision B of Division 1 of Part 3.2 (see section 153L of the Act).</w:t>
      </w:r>
    </w:p>
    <w:p w:rsidR="00E33C6E" w:rsidRDefault="00E33C6E" w:rsidP="00E33C6E">
      <w:pPr>
        <w:rPr>
          <w:rFonts w:ascii="Times New Roman" w:hAnsi="Times New Roman" w:cs="Times New Roman"/>
          <w:sz w:val="24"/>
          <w:szCs w:val="24"/>
        </w:rPr>
      </w:pPr>
      <w:r>
        <w:rPr>
          <w:rFonts w:ascii="Times New Roman" w:hAnsi="Times New Roman" w:cs="Times New Roman"/>
          <w:sz w:val="24"/>
          <w:szCs w:val="24"/>
        </w:rPr>
        <w:t xml:space="preserve">Paragraph 5(2)(b) specifies, for </w:t>
      </w:r>
      <w:r w:rsidRPr="00EA07D5">
        <w:rPr>
          <w:rFonts w:ascii="Times New Roman" w:hAnsi="Times New Roman" w:cs="Times New Roman"/>
          <w:sz w:val="24"/>
          <w:szCs w:val="24"/>
        </w:rPr>
        <w:t xml:space="preserve">the purposes of subsection 153B(3) of the Act, that the </w:t>
      </w:r>
      <w:r>
        <w:rPr>
          <w:rFonts w:ascii="Times New Roman" w:hAnsi="Times New Roman" w:cs="Times New Roman"/>
          <w:sz w:val="24"/>
          <w:szCs w:val="24"/>
        </w:rPr>
        <w:t xml:space="preserve">part of the spectrum from 25.1 GHz to 27.0 GHz </w:t>
      </w:r>
      <w:r w:rsidRPr="00EA07D5">
        <w:rPr>
          <w:rFonts w:ascii="Times New Roman" w:hAnsi="Times New Roman" w:cs="Times New Roman"/>
          <w:sz w:val="24"/>
          <w:szCs w:val="24"/>
        </w:rPr>
        <w:t xml:space="preserve">is subject to re-allocation with respect to </w:t>
      </w:r>
      <w:r>
        <w:rPr>
          <w:rFonts w:ascii="Times New Roman" w:hAnsi="Times New Roman" w:cs="Times New Roman"/>
          <w:sz w:val="24"/>
          <w:szCs w:val="24"/>
        </w:rPr>
        <w:t>the named areas listed in Items 1 to 26, 28 and 29 in the table in subsection 5(4).</w:t>
      </w:r>
      <w:r w:rsidRPr="00EA07D5">
        <w:rPr>
          <w:rFonts w:ascii="Times New Roman" w:hAnsi="Times New Roman" w:cs="Times New Roman"/>
          <w:sz w:val="24"/>
          <w:szCs w:val="24"/>
        </w:rPr>
        <w:t xml:space="preserve"> </w:t>
      </w:r>
    </w:p>
    <w:p w:rsidR="00E33C6E" w:rsidRDefault="00E33C6E" w:rsidP="00E33C6E">
      <w:pPr>
        <w:rPr>
          <w:rFonts w:ascii="Times New Roman" w:hAnsi="Times New Roman" w:cs="Times New Roman"/>
          <w:sz w:val="24"/>
          <w:szCs w:val="24"/>
        </w:rPr>
      </w:pPr>
      <w:r>
        <w:rPr>
          <w:rFonts w:ascii="Times New Roman" w:hAnsi="Times New Roman" w:cs="Times New Roman"/>
          <w:sz w:val="24"/>
          <w:szCs w:val="24"/>
        </w:rPr>
        <w:t xml:space="preserve">Paragraph </w:t>
      </w:r>
      <w:r w:rsidR="006B3CC2">
        <w:rPr>
          <w:rFonts w:ascii="Times New Roman" w:hAnsi="Times New Roman" w:cs="Times New Roman"/>
          <w:sz w:val="24"/>
          <w:szCs w:val="24"/>
        </w:rPr>
        <w:t>5(3</w:t>
      </w:r>
      <w:r>
        <w:rPr>
          <w:rFonts w:ascii="Times New Roman" w:hAnsi="Times New Roman" w:cs="Times New Roman"/>
          <w:sz w:val="24"/>
          <w:szCs w:val="24"/>
        </w:rPr>
        <w:t xml:space="preserve">)(a) </w:t>
      </w:r>
      <w:r w:rsidRPr="00E33C6E">
        <w:rPr>
          <w:rFonts w:ascii="Times New Roman" w:hAnsi="Times New Roman" w:cs="Times New Roman"/>
          <w:sz w:val="24"/>
          <w:szCs w:val="24"/>
        </w:rPr>
        <w:t>specifies, for the purposes of subsection 153B(1) of the Act, that the re</w:t>
      </w:r>
      <w:r w:rsidR="001F5349">
        <w:rPr>
          <w:rFonts w:ascii="Times New Roman" w:hAnsi="Times New Roman" w:cs="Times New Roman"/>
          <w:sz w:val="24"/>
          <w:szCs w:val="24"/>
        </w:rPr>
        <w:noBreakHyphen/>
      </w:r>
      <w:r w:rsidRPr="00E33C6E">
        <w:rPr>
          <w:rFonts w:ascii="Times New Roman" w:hAnsi="Times New Roman" w:cs="Times New Roman"/>
          <w:sz w:val="24"/>
          <w:szCs w:val="24"/>
        </w:rPr>
        <w:t xml:space="preserve">allocation period for </w:t>
      </w:r>
      <w:r w:rsidR="008336DE">
        <w:rPr>
          <w:rFonts w:ascii="Times New Roman" w:hAnsi="Times New Roman" w:cs="Times New Roman"/>
          <w:sz w:val="24"/>
          <w:szCs w:val="24"/>
        </w:rPr>
        <w:t>the declaration</w:t>
      </w:r>
      <w:r>
        <w:rPr>
          <w:rFonts w:ascii="Times New Roman" w:hAnsi="Times New Roman" w:cs="Times New Roman"/>
          <w:sz w:val="24"/>
          <w:szCs w:val="24"/>
        </w:rPr>
        <w:t xml:space="preserve"> is the period of 3</w:t>
      </w:r>
      <w:r w:rsidRPr="00E33C6E">
        <w:rPr>
          <w:rFonts w:ascii="Times New Roman" w:hAnsi="Times New Roman" w:cs="Times New Roman"/>
          <w:sz w:val="24"/>
          <w:szCs w:val="24"/>
        </w:rPr>
        <w:t xml:space="preserve"> years beginning at the start of the 21st day after </w:t>
      </w:r>
      <w:r w:rsidR="008336DE">
        <w:rPr>
          <w:rFonts w:ascii="Times New Roman" w:hAnsi="Times New Roman" w:cs="Times New Roman"/>
          <w:sz w:val="24"/>
          <w:szCs w:val="24"/>
        </w:rPr>
        <w:t>the declaration</w:t>
      </w:r>
      <w:r w:rsidRPr="00E33C6E">
        <w:rPr>
          <w:rFonts w:ascii="Times New Roman" w:hAnsi="Times New Roman" w:cs="Times New Roman"/>
          <w:sz w:val="24"/>
          <w:szCs w:val="24"/>
        </w:rPr>
        <w:t xml:space="preserve"> commences. Section 2 provides for the commencement of </w:t>
      </w:r>
      <w:r w:rsidR="008336DE">
        <w:rPr>
          <w:rFonts w:ascii="Times New Roman" w:hAnsi="Times New Roman" w:cs="Times New Roman"/>
          <w:sz w:val="24"/>
          <w:szCs w:val="24"/>
        </w:rPr>
        <w:t xml:space="preserve">the </w:t>
      </w:r>
      <w:r w:rsidR="008336DE">
        <w:rPr>
          <w:rFonts w:ascii="Times New Roman" w:hAnsi="Times New Roman" w:cs="Times New Roman"/>
          <w:sz w:val="24"/>
          <w:szCs w:val="24"/>
        </w:rPr>
        <w:lastRenderedPageBreak/>
        <w:t>declaration</w:t>
      </w:r>
      <w:r w:rsidRPr="00E33C6E">
        <w:rPr>
          <w:rFonts w:ascii="Times New Roman" w:hAnsi="Times New Roman" w:cs="Times New Roman"/>
          <w:sz w:val="24"/>
          <w:szCs w:val="24"/>
        </w:rPr>
        <w:t xml:space="preserve"> on the day after registration. </w:t>
      </w:r>
      <w:r w:rsidR="00962DDE">
        <w:rPr>
          <w:rFonts w:ascii="Times New Roman" w:hAnsi="Times New Roman" w:cs="Times New Roman"/>
          <w:sz w:val="24"/>
          <w:szCs w:val="24"/>
        </w:rPr>
        <w:t xml:space="preserve">This has the effect of setting the timeframes for </w:t>
      </w:r>
      <w:r w:rsidRPr="00E33C6E">
        <w:rPr>
          <w:rFonts w:ascii="Times New Roman" w:hAnsi="Times New Roman" w:cs="Times New Roman"/>
          <w:sz w:val="24"/>
          <w:szCs w:val="24"/>
        </w:rPr>
        <w:t>the re-allocation period</w:t>
      </w:r>
      <w:r w:rsidR="00962DDE">
        <w:rPr>
          <w:rFonts w:ascii="Times New Roman" w:hAnsi="Times New Roman" w:cs="Times New Roman"/>
          <w:sz w:val="24"/>
          <w:szCs w:val="24"/>
        </w:rPr>
        <w:t xml:space="preserve"> during which</w:t>
      </w:r>
      <w:r w:rsidRPr="00E33C6E">
        <w:rPr>
          <w:rFonts w:ascii="Times New Roman" w:hAnsi="Times New Roman" w:cs="Times New Roman"/>
          <w:sz w:val="24"/>
          <w:szCs w:val="24"/>
        </w:rPr>
        <w:t xml:space="preserve"> there are restrictions on the issue of licences by ACMA (see </w:t>
      </w:r>
      <w:r w:rsidR="005B6AA3">
        <w:rPr>
          <w:rFonts w:ascii="Times New Roman" w:hAnsi="Times New Roman" w:cs="Times New Roman"/>
          <w:sz w:val="24"/>
          <w:szCs w:val="24"/>
        </w:rPr>
        <w:t>for example</w:t>
      </w:r>
      <w:r w:rsidRPr="00E33C6E">
        <w:rPr>
          <w:rFonts w:ascii="Times New Roman" w:hAnsi="Times New Roman" w:cs="Times New Roman"/>
          <w:sz w:val="24"/>
          <w:szCs w:val="24"/>
        </w:rPr>
        <w:t xml:space="preserve"> sections 153N and 153P). </w:t>
      </w:r>
      <w:r w:rsidR="00962DDE">
        <w:rPr>
          <w:rFonts w:ascii="Times New Roman" w:hAnsi="Times New Roman" w:cs="Times New Roman"/>
          <w:sz w:val="24"/>
          <w:szCs w:val="24"/>
        </w:rPr>
        <w:t xml:space="preserve">It also sets the timeframe at which any </w:t>
      </w:r>
      <w:r w:rsidRPr="00E33C6E">
        <w:rPr>
          <w:rFonts w:ascii="Times New Roman" w:hAnsi="Times New Roman" w:cs="Times New Roman"/>
          <w:sz w:val="24"/>
          <w:szCs w:val="24"/>
        </w:rPr>
        <w:t xml:space="preserve">apparatus licences affected by </w:t>
      </w:r>
      <w:r w:rsidR="008336DE">
        <w:rPr>
          <w:rFonts w:ascii="Times New Roman" w:hAnsi="Times New Roman" w:cs="Times New Roman"/>
          <w:sz w:val="24"/>
          <w:szCs w:val="24"/>
        </w:rPr>
        <w:t>the declaration</w:t>
      </w:r>
      <w:r w:rsidRPr="00E33C6E">
        <w:rPr>
          <w:rFonts w:ascii="Times New Roman" w:hAnsi="Times New Roman" w:cs="Times New Roman"/>
          <w:sz w:val="24"/>
          <w:szCs w:val="24"/>
        </w:rPr>
        <w:t xml:space="preserve"> </w:t>
      </w:r>
      <w:r w:rsidR="00962DDE">
        <w:rPr>
          <w:rFonts w:ascii="Times New Roman" w:hAnsi="Times New Roman" w:cs="Times New Roman"/>
          <w:sz w:val="24"/>
          <w:szCs w:val="24"/>
        </w:rPr>
        <w:t>will be</w:t>
      </w:r>
      <w:r w:rsidR="00962DDE" w:rsidRPr="00E33C6E">
        <w:rPr>
          <w:rFonts w:ascii="Times New Roman" w:hAnsi="Times New Roman" w:cs="Times New Roman"/>
          <w:sz w:val="24"/>
          <w:szCs w:val="24"/>
        </w:rPr>
        <w:t xml:space="preserve"> </w:t>
      </w:r>
      <w:r w:rsidRPr="00E33C6E">
        <w:rPr>
          <w:rFonts w:ascii="Times New Roman" w:hAnsi="Times New Roman" w:cs="Times New Roman"/>
          <w:sz w:val="24"/>
          <w:szCs w:val="24"/>
        </w:rPr>
        <w:t>cancelled (see sections 153D and 153H).</w:t>
      </w:r>
    </w:p>
    <w:p w:rsidR="000B622B" w:rsidRDefault="00E33C6E" w:rsidP="00E33C6E">
      <w:pPr>
        <w:rPr>
          <w:rFonts w:ascii="Times New Roman" w:hAnsi="Times New Roman" w:cs="Times New Roman"/>
          <w:sz w:val="24"/>
          <w:szCs w:val="24"/>
        </w:rPr>
      </w:pPr>
      <w:r>
        <w:rPr>
          <w:rFonts w:ascii="Times New Roman" w:hAnsi="Times New Roman" w:cs="Times New Roman"/>
          <w:sz w:val="24"/>
          <w:szCs w:val="24"/>
        </w:rPr>
        <w:t>Paragraph 5(</w:t>
      </w:r>
      <w:r w:rsidR="006B3CC2">
        <w:rPr>
          <w:rFonts w:ascii="Times New Roman" w:hAnsi="Times New Roman" w:cs="Times New Roman"/>
          <w:sz w:val="24"/>
          <w:szCs w:val="24"/>
        </w:rPr>
        <w:t>3</w:t>
      </w:r>
      <w:r>
        <w:rPr>
          <w:rFonts w:ascii="Times New Roman" w:hAnsi="Times New Roman" w:cs="Times New Roman"/>
          <w:sz w:val="24"/>
          <w:szCs w:val="24"/>
        </w:rPr>
        <w:t xml:space="preserve">)(b) </w:t>
      </w:r>
      <w:r w:rsidRPr="00E33C6E">
        <w:rPr>
          <w:rFonts w:ascii="Times New Roman" w:hAnsi="Times New Roman" w:cs="Times New Roman"/>
          <w:sz w:val="24"/>
          <w:szCs w:val="24"/>
        </w:rPr>
        <w:t>specifies, for the purposes of subsection 153B(5) of the Act, that the re</w:t>
      </w:r>
      <w:r w:rsidR="001F5349">
        <w:rPr>
          <w:rFonts w:ascii="Times New Roman" w:hAnsi="Times New Roman" w:cs="Times New Roman"/>
          <w:sz w:val="24"/>
          <w:szCs w:val="24"/>
        </w:rPr>
        <w:noBreakHyphen/>
      </w:r>
      <w:r w:rsidRPr="00E33C6E">
        <w:rPr>
          <w:rFonts w:ascii="Times New Roman" w:hAnsi="Times New Roman" w:cs="Times New Roman"/>
          <w:sz w:val="24"/>
          <w:szCs w:val="24"/>
        </w:rPr>
        <w:t xml:space="preserve">allocation deadline for </w:t>
      </w:r>
      <w:r w:rsidR="008336DE">
        <w:rPr>
          <w:rFonts w:ascii="Times New Roman" w:hAnsi="Times New Roman" w:cs="Times New Roman"/>
          <w:sz w:val="24"/>
          <w:szCs w:val="24"/>
        </w:rPr>
        <w:t>the declaration</w:t>
      </w:r>
      <w:r w:rsidRPr="00E33C6E">
        <w:rPr>
          <w:rFonts w:ascii="Times New Roman" w:hAnsi="Times New Roman" w:cs="Times New Roman"/>
          <w:sz w:val="24"/>
          <w:szCs w:val="24"/>
        </w:rPr>
        <w:t xml:space="preserve"> is the end of the day before the </w:t>
      </w:r>
      <w:r>
        <w:rPr>
          <w:rFonts w:ascii="Times New Roman" w:hAnsi="Times New Roman" w:cs="Times New Roman"/>
          <w:sz w:val="24"/>
          <w:szCs w:val="24"/>
        </w:rPr>
        <w:t>second</w:t>
      </w:r>
      <w:r w:rsidRPr="00E33C6E">
        <w:rPr>
          <w:rFonts w:ascii="Times New Roman" w:hAnsi="Times New Roman" w:cs="Times New Roman"/>
          <w:sz w:val="24"/>
          <w:szCs w:val="24"/>
        </w:rPr>
        <w:t xml:space="preserve"> anniversary of the start of the re-allocation period (i.e. the end of the </w:t>
      </w:r>
      <w:r>
        <w:rPr>
          <w:rFonts w:ascii="Times New Roman" w:hAnsi="Times New Roman" w:cs="Times New Roman"/>
          <w:sz w:val="24"/>
          <w:szCs w:val="24"/>
        </w:rPr>
        <w:t>second</w:t>
      </w:r>
      <w:r w:rsidRPr="00E33C6E">
        <w:rPr>
          <w:rFonts w:ascii="Times New Roman" w:hAnsi="Times New Roman" w:cs="Times New Roman"/>
          <w:sz w:val="24"/>
          <w:szCs w:val="24"/>
        </w:rPr>
        <w:t xml:space="preserve"> year of the re-allocation period). If ACMA has not allocated any licences in accordance with </w:t>
      </w:r>
      <w:r w:rsidR="008336DE">
        <w:rPr>
          <w:rFonts w:ascii="Times New Roman" w:hAnsi="Times New Roman" w:cs="Times New Roman"/>
          <w:sz w:val="24"/>
          <w:szCs w:val="24"/>
        </w:rPr>
        <w:t>the declaration</w:t>
      </w:r>
      <w:r>
        <w:rPr>
          <w:rFonts w:ascii="Times New Roman" w:hAnsi="Times New Roman" w:cs="Times New Roman"/>
          <w:sz w:val="24"/>
          <w:szCs w:val="24"/>
        </w:rPr>
        <w:t xml:space="preserve"> by the </w:t>
      </w:r>
      <w:r w:rsidRPr="00E33C6E">
        <w:rPr>
          <w:rFonts w:ascii="Times New Roman" w:hAnsi="Times New Roman" w:cs="Times New Roman"/>
          <w:sz w:val="24"/>
          <w:szCs w:val="24"/>
        </w:rPr>
        <w:t xml:space="preserve">re-allocation deadline, </w:t>
      </w:r>
      <w:r w:rsidR="008336DE">
        <w:rPr>
          <w:rFonts w:ascii="Times New Roman" w:hAnsi="Times New Roman" w:cs="Times New Roman"/>
          <w:sz w:val="24"/>
          <w:szCs w:val="24"/>
        </w:rPr>
        <w:t>the declaration</w:t>
      </w:r>
      <w:r w:rsidRPr="00E33C6E">
        <w:rPr>
          <w:rFonts w:ascii="Times New Roman" w:hAnsi="Times New Roman" w:cs="Times New Roman"/>
          <w:sz w:val="24"/>
          <w:szCs w:val="24"/>
        </w:rPr>
        <w:t xml:space="preserve"> will be taken to have been revoked immediately after this time (see section 153K).</w:t>
      </w:r>
    </w:p>
    <w:p w:rsidR="00366A48" w:rsidRDefault="00366A48" w:rsidP="00E33C6E">
      <w:pPr>
        <w:rPr>
          <w:rFonts w:ascii="Times New Roman" w:hAnsi="Times New Roman" w:cs="Times New Roman"/>
          <w:sz w:val="24"/>
          <w:szCs w:val="24"/>
        </w:rPr>
      </w:pPr>
      <w:r>
        <w:rPr>
          <w:rFonts w:ascii="Times New Roman" w:hAnsi="Times New Roman" w:cs="Times New Roman"/>
          <w:sz w:val="24"/>
          <w:szCs w:val="24"/>
        </w:rPr>
        <w:t>Paragraph 5(4) specifies,</w:t>
      </w:r>
      <w:r w:rsidR="00B97FC5">
        <w:rPr>
          <w:rFonts w:ascii="Times New Roman" w:hAnsi="Times New Roman" w:cs="Times New Roman"/>
          <w:sz w:val="24"/>
          <w:szCs w:val="24"/>
        </w:rPr>
        <w:t xml:space="preserve"> for the purposes of subsection 153B(3) of the Act, that the named area</w:t>
      </w:r>
      <w:r w:rsidR="0030119E">
        <w:rPr>
          <w:rFonts w:ascii="Times New Roman" w:hAnsi="Times New Roman" w:cs="Times New Roman"/>
          <w:sz w:val="24"/>
          <w:szCs w:val="24"/>
        </w:rPr>
        <w:t>s</w:t>
      </w:r>
      <w:r w:rsidR="00B97FC5">
        <w:rPr>
          <w:rFonts w:ascii="Times New Roman" w:hAnsi="Times New Roman" w:cs="Times New Roman"/>
          <w:sz w:val="24"/>
          <w:szCs w:val="24"/>
        </w:rPr>
        <w:t xml:space="preserve">, </w:t>
      </w:r>
      <w:r w:rsidR="0030119E">
        <w:rPr>
          <w:rFonts w:ascii="Times New Roman" w:hAnsi="Times New Roman" w:cs="Times New Roman"/>
          <w:sz w:val="24"/>
          <w:szCs w:val="24"/>
        </w:rPr>
        <w:t>which are listed</w:t>
      </w:r>
      <w:r w:rsidR="00B97FC5">
        <w:rPr>
          <w:rFonts w:ascii="Times New Roman" w:hAnsi="Times New Roman" w:cs="Times New Roman"/>
          <w:sz w:val="24"/>
          <w:szCs w:val="24"/>
        </w:rPr>
        <w:t xml:space="preserve"> in Column 1 </w:t>
      </w:r>
      <w:r w:rsidR="0030119E">
        <w:rPr>
          <w:rFonts w:ascii="Times New Roman" w:hAnsi="Times New Roman" w:cs="Times New Roman"/>
          <w:sz w:val="24"/>
          <w:szCs w:val="24"/>
        </w:rPr>
        <w:t xml:space="preserve">in the table </w:t>
      </w:r>
      <w:r w:rsidR="00B97FC5">
        <w:rPr>
          <w:rFonts w:ascii="Times New Roman" w:hAnsi="Times New Roman" w:cs="Times New Roman"/>
          <w:sz w:val="24"/>
          <w:szCs w:val="24"/>
        </w:rPr>
        <w:t xml:space="preserve">of this subsection, </w:t>
      </w:r>
      <w:r w:rsidR="0030119E">
        <w:rPr>
          <w:rFonts w:ascii="Times New Roman" w:hAnsi="Times New Roman" w:cs="Times New Roman"/>
          <w:sz w:val="24"/>
          <w:szCs w:val="24"/>
        </w:rPr>
        <w:t>are</w:t>
      </w:r>
      <w:r w:rsidR="00B97FC5">
        <w:rPr>
          <w:rFonts w:ascii="Times New Roman" w:hAnsi="Times New Roman" w:cs="Times New Roman"/>
          <w:sz w:val="24"/>
          <w:szCs w:val="24"/>
        </w:rPr>
        <w:t xml:space="preserve"> to be ascertained as the composite of the areas</w:t>
      </w:r>
      <w:r w:rsidR="0030119E">
        <w:rPr>
          <w:rFonts w:ascii="Times New Roman" w:hAnsi="Times New Roman" w:cs="Times New Roman"/>
          <w:sz w:val="24"/>
          <w:szCs w:val="24"/>
        </w:rPr>
        <w:t>, which are</w:t>
      </w:r>
      <w:r w:rsidR="00B97FC5">
        <w:rPr>
          <w:rFonts w:ascii="Times New Roman" w:hAnsi="Times New Roman" w:cs="Times New Roman"/>
          <w:sz w:val="24"/>
          <w:szCs w:val="24"/>
        </w:rPr>
        <w:t xml:space="preserve"> described using HCIS Identifiers</w:t>
      </w:r>
      <w:r w:rsidR="0030119E">
        <w:rPr>
          <w:rFonts w:ascii="Times New Roman" w:hAnsi="Times New Roman" w:cs="Times New Roman"/>
          <w:sz w:val="24"/>
          <w:szCs w:val="24"/>
        </w:rPr>
        <w:t xml:space="preserve"> in column 2 of the table of this subsection.</w:t>
      </w:r>
      <w:r w:rsidR="00B97FC5">
        <w:rPr>
          <w:rFonts w:ascii="Times New Roman" w:hAnsi="Times New Roman" w:cs="Times New Roman"/>
          <w:sz w:val="24"/>
          <w:szCs w:val="24"/>
        </w:rPr>
        <w:t xml:space="preserve">  </w:t>
      </w:r>
    </w:p>
    <w:p w:rsidR="000B622B" w:rsidRDefault="000B622B">
      <w:pPr>
        <w:rPr>
          <w:rFonts w:ascii="Times New Roman" w:hAnsi="Times New Roman" w:cs="Times New Roman"/>
          <w:sz w:val="24"/>
          <w:szCs w:val="24"/>
        </w:rPr>
      </w:pPr>
      <w:r>
        <w:rPr>
          <w:rFonts w:ascii="Times New Roman" w:hAnsi="Times New Roman" w:cs="Times New Roman"/>
          <w:sz w:val="24"/>
          <w:szCs w:val="24"/>
        </w:rPr>
        <w:br w:type="page"/>
      </w:r>
    </w:p>
    <w:p w:rsidR="00047F2B" w:rsidRPr="00047F2B" w:rsidRDefault="00047F2B" w:rsidP="00047F2B">
      <w:pPr>
        <w:rPr>
          <w:rFonts w:ascii="Times New Roman" w:hAnsi="Times New Roman" w:cs="Times New Roman"/>
          <w:b/>
          <w:sz w:val="24"/>
          <w:szCs w:val="24"/>
        </w:rPr>
      </w:pPr>
      <w:r w:rsidRPr="00047F2B">
        <w:rPr>
          <w:rFonts w:ascii="Times New Roman" w:hAnsi="Times New Roman" w:cs="Times New Roman"/>
          <w:b/>
          <w:sz w:val="24"/>
          <w:szCs w:val="24"/>
        </w:rPr>
        <w:lastRenderedPageBreak/>
        <w:t>Attachment 2: Statement of Compatibility with Human Rights</w:t>
      </w:r>
    </w:p>
    <w:p w:rsidR="00047F2B" w:rsidRPr="00047F2B" w:rsidRDefault="00047F2B" w:rsidP="00047F2B">
      <w:pPr>
        <w:rPr>
          <w:rFonts w:ascii="Times New Roman" w:hAnsi="Times New Roman" w:cs="Times New Roman"/>
          <w:i/>
          <w:sz w:val="24"/>
          <w:szCs w:val="24"/>
        </w:rPr>
      </w:pPr>
      <w:r w:rsidRPr="00047F2B">
        <w:rPr>
          <w:rFonts w:ascii="Times New Roman" w:hAnsi="Times New Roman" w:cs="Times New Roman"/>
          <w:i/>
          <w:sz w:val="24"/>
          <w:szCs w:val="24"/>
        </w:rPr>
        <w:t>Prepared in accordance with Part 3 of the Human Rights (Parliamentary Scrutiny) Act 2011</w:t>
      </w:r>
    </w:p>
    <w:p w:rsidR="00047F2B" w:rsidRPr="00047F2B" w:rsidRDefault="00047F2B" w:rsidP="00047F2B">
      <w:pPr>
        <w:rPr>
          <w:rFonts w:ascii="Times New Roman" w:hAnsi="Times New Roman" w:cs="Times New Roman"/>
          <w:b/>
          <w:sz w:val="24"/>
          <w:szCs w:val="24"/>
        </w:rPr>
      </w:pPr>
      <w:r w:rsidRPr="00047F2B">
        <w:rPr>
          <w:rFonts w:ascii="Times New Roman" w:hAnsi="Times New Roman" w:cs="Times New Roman"/>
          <w:b/>
          <w:sz w:val="24"/>
          <w:szCs w:val="24"/>
        </w:rPr>
        <w:t>Radiocommunications (Spectrum Re-allocation</w:t>
      </w:r>
      <w:r w:rsidR="006F1F30" w:rsidRPr="005B6AA3">
        <w:rPr>
          <w:rFonts w:ascii="Times New Roman" w:hAnsi="Times New Roman" w:cs="Times New Roman"/>
          <w:b/>
          <w:sz w:val="24"/>
          <w:szCs w:val="24"/>
        </w:rPr>
        <w:t>—</w:t>
      </w:r>
      <w:r w:rsidRPr="00047F2B">
        <w:rPr>
          <w:rFonts w:ascii="Times New Roman" w:hAnsi="Times New Roman" w:cs="Times New Roman"/>
          <w:b/>
          <w:sz w:val="24"/>
          <w:szCs w:val="24"/>
        </w:rPr>
        <w:t>26 GHz Band) Declaration 2019</w:t>
      </w:r>
    </w:p>
    <w:p w:rsidR="00047F2B" w:rsidRPr="00047F2B" w:rsidRDefault="00047F2B" w:rsidP="00047F2B">
      <w:pPr>
        <w:rPr>
          <w:rFonts w:ascii="Times New Roman" w:hAnsi="Times New Roman" w:cs="Times New Roman"/>
          <w:sz w:val="24"/>
          <w:szCs w:val="24"/>
        </w:rPr>
      </w:pPr>
      <w:r w:rsidRPr="00047F2B">
        <w:rPr>
          <w:rFonts w:ascii="Times New Roman" w:hAnsi="Times New Roman" w:cs="Times New Roman"/>
          <w:sz w:val="24"/>
          <w:szCs w:val="24"/>
        </w:rPr>
        <w:t xml:space="preserve">This </w:t>
      </w:r>
      <w:r w:rsidR="00A37C6B">
        <w:rPr>
          <w:rFonts w:ascii="Times New Roman" w:hAnsi="Times New Roman" w:cs="Times New Roman"/>
          <w:sz w:val="24"/>
          <w:szCs w:val="24"/>
        </w:rPr>
        <w:t>d</w:t>
      </w:r>
      <w:r w:rsidRPr="00047F2B">
        <w:rPr>
          <w:rFonts w:ascii="Times New Roman" w:hAnsi="Times New Roman" w:cs="Times New Roman"/>
          <w:sz w:val="24"/>
          <w:szCs w:val="24"/>
        </w:rPr>
        <w:t xml:space="preserve">eclaration is compatible with the human rights and freedoms recognised or declared in the international instruments listed in section 3 of the </w:t>
      </w:r>
      <w:r w:rsidRPr="00047F2B">
        <w:rPr>
          <w:rFonts w:ascii="Times New Roman" w:hAnsi="Times New Roman" w:cs="Times New Roman"/>
          <w:i/>
          <w:sz w:val="24"/>
          <w:szCs w:val="24"/>
        </w:rPr>
        <w:t>Human Rights (Parliamentary Scrutiny) Act 2011.</w:t>
      </w:r>
    </w:p>
    <w:p w:rsidR="00047F2B" w:rsidRPr="00047F2B" w:rsidRDefault="00047F2B" w:rsidP="00047F2B">
      <w:pPr>
        <w:rPr>
          <w:rFonts w:ascii="Times New Roman" w:hAnsi="Times New Roman" w:cs="Times New Roman"/>
          <w:b/>
          <w:sz w:val="24"/>
          <w:szCs w:val="24"/>
        </w:rPr>
      </w:pPr>
      <w:r w:rsidRPr="00047F2B">
        <w:rPr>
          <w:rFonts w:ascii="Times New Roman" w:hAnsi="Times New Roman" w:cs="Times New Roman"/>
          <w:b/>
          <w:sz w:val="24"/>
          <w:szCs w:val="24"/>
        </w:rPr>
        <w:t>Overview of the Disallowable Legislative Instrument</w:t>
      </w:r>
    </w:p>
    <w:p w:rsidR="004E379C" w:rsidRDefault="00047F2B" w:rsidP="00866D99">
      <w:pPr>
        <w:spacing w:after="0"/>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Radiocommunications (Spectrum Re-allocation</w:t>
      </w:r>
      <w:r w:rsidR="004E379C" w:rsidRPr="00590F48">
        <w:rPr>
          <w:rFonts w:ascii="Times New Roman" w:hAnsi="Times New Roman" w:cs="Times New Roman"/>
          <w:i/>
          <w:sz w:val="24"/>
          <w:szCs w:val="24"/>
        </w:rPr>
        <w:t>—</w:t>
      </w:r>
      <w:r>
        <w:rPr>
          <w:rFonts w:ascii="Times New Roman" w:hAnsi="Times New Roman" w:cs="Times New Roman"/>
          <w:i/>
          <w:sz w:val="24"/>
          <w:szCs w:val="24"/>
        </w:rPr>
        <w:t>26</w:t>
      </w:r>
      <w:r w:rsidR="000B622B">
        <w:rPr>
          <w:rFonts w:ascii="Times New Roman" w:hAnsi="Times New Roman" w:cs="Times New Roman"/>
          <w:i/>
          <w:sz w:val="24"/>
          <w:szCs w:val="24"/>
        </w:rPr>
        <w:t xml:space="preserve"> </w:t>
      </w:r>
      <w:r>
        <w:rPr>
          <w:rFonts w:ascii="Times New Roman" w:hAnsi="Times New Roman" w:cs="Times New Roman"/>
          <w:i/>
          <w:sz w:val="24"/>
          <w:szCs w:val="24"/>
        </w:rPr>
        <w:t xml:space="preserve">GHz Band) Declaration 2019 </w:t>
      </w:r>
      <w:r>
        <w:rPr>
          <w:rFonts w:ascii="Times New Roman" w:hAnsi="Times New Roman" w:cs="Times New Roman"/>
          <w:sz w:val="24"/>
          <w:szCs w:val="24"/>
        </w:rPr>
        <w:t xml:space="preserve">is to declare the parts of the radiofrequency spectrum from </w:t>
      </w:r>
    </w:p>
    <w:p w:rsidR="00047F2B" w:rsidRDefault="00047F2B" w:rsidP="00866D99">
      <w:pPr>
        <w:spacing w:after="0"/>
        <w:rPr>
          <w:rFonts w:ascii="Times New Roman" w:hAnsi="Times New Roman" w:cs="Times New Roman"/>
          <w:sz w:val="24"/>
          <w:szCs w:val="24"/>
        </w:rPr>
      </w:pPr>
      <w:r>
        <w:rPr>
          <w:rFonts w:ascii="Times New Roman" w:hAnsi="Times New Roman" w:cs="Times New Roman"/>
          <w:sz w:val="24"/>
          <w:szCs w:val="24"/>
        </w:rPr>
        <w:t>25.1 to 27.0 GHz and 27</w:t>
      </w:r>
      <w:r w:rsidR="00841383">
        <w:rPr>
          <w:rFonts w:ascii="Times New Roman" w:hAnsi="Times New Roman" w:cs="Times New Roman"/>
          <w:sz w:val="24"/>
          <w:szCs w:val="24"/>
        </w:rPr>
        <w:t>.0</w:t>
      </w:r>
      <w:r>
        <w:rPr>
          <w:rFonts w:ascii="Times New Roman" w:hAnsi="Times New Roman" w:cs="Times New Roman"/>
          <w:sz w:val="24"/>
          <w:szCs w:val="24"/>
        </w:rPr>
        <w:t xml:space="preserve"> </w:t>
      </w:r>
      <w:r w:rsidR="000B622B">
        <w:rPr>
          <w:rFonts w:ascii="Times New Roman" w:hAnsi="Times New Roman" w:cs="Times New Roman"/>
          <w:sz w:val="24"/>
          <w:szCs w:val="24"/>
        </w:rPr>
        <w:t>to</w:t>
      </w:r>
      <w:r>
        <w:rPr>
          <w:rFonts w:ascii="Times New Roman" w:hAnsi="Times New Roman" w:cs="Times New Roman"/>
          <w:sz w:val="24"/>
          <w:szCs w:val="24"/>
        </w:rPr>
        <w:t xml:space="preserve"> 27.5 GHz as being subject to re-allocation by issuing spectrum licences</w:t>
      </w:r>
      <w:r w:rsidR="00866D99">
        <w:rPr>
          <w:rFonts w:ascii="Times New Roman" w:hAnsi="Times New Roman" w:cs="Times New Roman"/>
          <w:sz w:val="24"/>
          <w:szCs w:val="24"/>
        </w:rPr>
        <w:t xml:space="preserve">. The re-allocation of the 25.1 to 27.0 GHz range will occur with respect to the named areas listed in items 1 to 27 in the table in subsection 5(4) of </w:t>
      </w:r>
      <w:r w:rsidR="008336DE">
        <w:rPr>
          <w:rFonts w:ascii="Times New Roman" w:hAnsi="Times New Roman" w:cs="Times New Roman"/>
          <w:sz w:val="24"/>
          <w:szCs w:val="24"/>
        </w:rPr>
        <w:t>the declaration</w:t>
      </w:r>
      <w:r w:rsidR="00866D99">
        <w:rPr>
          <w:rFonts w:ascii="Times New Roman" w:hAnsi="Times New Roman" w:cs="Times New Roman"/>
          <w:sz w:val="24"/>
          <w:szCs w:val="24"/>
        </w:rPr>
        <w:t>. The</w:t>
      </w:r>
      <w:r w:rsidR="005B6AA3">
        <w:rPr>
          <w:rFonts w:ascii="Times New Roman" w:hAnsi="Times New Roman" w:cs="Times New Roman"/>
          <w:sz w:val="24"/>
          <w:szCs w:val="24"/>
        </w:rPr>
        <w:t> </w:t>
      </w:r>
      <w:r w:rsidR="00866D99">
        <w:rPr>
          <w:rFonts w:ascii="Times New Roman" w:hAnsi="Times New Roman" w:cs="Times New Roman"/>
          <w:sz w:val="24"/>
          <w:szCs w:val="24"/>
        </w:rPr>
        <w:t>re</w:t>
      </w:r>
      <w:r w:rsidR="005B6AA3">
        <w:rPr>
          <w:rFonts w:ascii="Times New Roman" w:hAnsi="Times New Roman" w:cs="Times New Roman"/>
          <w:sz w:val="24"/>
          <w:szCs w:val="24"/>
        </w:rPr>
        <w:noBreakHyphen/>
      </w:r>
      <w:r w:rsidR="00866D99">
        <w:rPr>
          <w:rFonts w:ascii="Times New Roman" w:hAnsi="Times New Roman" w:cs="Times New Roman"/>
          <w:sz w:val="24"/>
          <w:szCs w:val="24"/>
        </w:rPr>
        <w:t xml:space="preserve">allocation of the 27.0 to 27.5 GHz range will occur with respect to the named areas listed in in items 1 to 26, 28 and 29 in the table in subsection 5(4) of </w:t>
      </w:r>
      <w:r w:rsidR="008336DE">
        <w:rPr>
          <w:rFonts w:ascii="Times New Roman" w:hAnsi="Times New Roman" w:cs="Times New Roman"/>
          <w:sz w:val="24"/>
          <w:szCs w:val="24"/>
        </w:rPr>
        <w:t>the declaration</w:t>
      </w:r>
      <w:r w:rsidR="00866D99">
        <w:rPr>
          <w:rFonts w:ascii="Times New Roman" w:hAnsi="Times New Roman" w:cs="Times New Roman"/>
          <w:sz w:val="24"/>
          <w:szCs w:val="24"/>
        </w:rPr>
        <w:t>.</w:t>
      </w:r>
      <w:r>
        <w:rPr>
          <w:rFonts w:ascii="Times New Roman" w:hAnsi="Times New Roman" w:cs="Times New Roman"/>
          <w:sz w:val="24"/>
          <w:szCs w:val="24"/>
        </w:rPr>
        <w:t xml:space="preserve"> </w:t>
      </w:r>
      <w:r w:rsidRPr="00047F2B">
        <w:rPr>
          <w:rFonts w:ascii="Times New Roman" w:hAnsi="Times New Roman" w:cs="Times New Roman"/>
          <w:sz w:val="24"/>
          <w:szCs w:val="24"/>
        </w:rPr>
        <w:t>This</w:t>
      </w:r>
      <w:r w:rsidR="005B6AA3">
        <w:rPr>
          <w:rFonts w:ascii="Times New Roman" w:hAnsi="Times New Roman" w:cs="Times New Roman"/>
          <w:sz w:val="24"/>
          <w:szCs w:val="24"/>
        </w:rPr>
        <w:t> </w:t>
      </w:r>
      <w:r w:rsidRPr="00047F2B">
        <w:rPr>
          <w:rFonts w:ascii="Times New Roman" w:hAnsi="Times New Roman" w:cs="Times New Roman"/>
          <w:sz w:val="24"/>
          <w:szCs w:val="24"/>
        </w:rPr>
        <w:t xml:space="preserve">enables </w:t>
      </w:r>
      <w:r w:rsidR="005B6AA3">
        <w:rPr>
          <w:rFonts w:ascii="Times New Roman" w:hAnsi="Times New Roman" w:cs="Times New Roman"/>
          <w:sz w:val="24"/>
          <w:szCs w:val="24"/>
        </w:rPr>
        <w:t>the Australian Communications and Media Authority</w:t>
      </w:r>
      <w:r w:rsidRPr="00047F2B">
        <w:rPr>
          <w:rFonts w:ascii="Times New Roman" w:hAnsi="Times New Roman" w:cs="Times New Roman"/>
          <w:sz w:val="24"/>
          <w:szCs w:val="24"/>
        </w:rPr>
        <w:t xml:space="preserve"> to allocate spectrum licences in the </w:t>
      </w:r>
      <w:r>
        <w:rPr>
          <w:rFonts w:ascii="Times New Roman" w:hAnsi="Times New Roman" w:cs="Times New Roman"/>
          <w:sz w:val="24"/>
          <w:szCs w:val="24"/>
        </w:rPr>
        <w:t>26</w:t>
      </w:r>
      <w:r w:rsidR="005B6AA3">
        <w:rPr>
          <w:rFonts w:ascii="Times New Roman" w:hAnsi="Times New Roman" w:cs="Times New Roman"/>
          <w:sz w:val="24"/>
          <w:szCs w:val="24"/>
        </w:rPr>
        <w:t> </w:t>
      </w:r>
      <w:r w:rsidRPr="00047F2B">
        <w:rPr>
          <w:rFonts w:ascii="Times New Roman" w:hAnsi="Times New Roman" w:cs="Times New Roman"/>
          <w:sz w:val="24"/>
          <w:szCs w:val="24"/>
        </w:rPr>
        <w:t>GHz band in these areas, including parts of the band encumbered by apparatus licences.</w:t>
      </w:r>
    </w:p>
    <w:p w:rsidR="00047F2B" w:rsidRPr="00047F2B" w:rsidRDefault="00047F2B" w:rsidP="00047F2B">
      <w:pPr>
        <w:spacing w:after="0"/>
        <w:rPr>
          <w:rFonts w:ascii="Times New Roman" w:hAnsi="Times New Roman" w:cs="Times New Roman"/>
          <w:sz w:val="24"/>
          <w:szCs w:val="24"/>
        </w:rPr>
      </w:pPr>
    </w:p>
    <w:p w:rsidR="00047F2B" w:rsidRPr="00047F2B" w:rsidRDefault="00047F2B" w:rsidP="00047F2B">
      <w:pPr>
        <w:rPr>
          <w:rFonts w:ascii="Times New Roman" w:hAnsi="Times New Roman" w:cs="Times New Roman"/>
          <w:b/>
          <w:sz w:val="24"/>
          <w:szCs w:val="24"/>
        </w:rPr>
      </w:pPr>
      <w:r w:rsidRPr="00047F2B">
        <w:rPr>
          <w:rFonts w:ascii="Times New Roman" w:hAnsi="Times New Roman" w:cs="Times New Roman"/>
          <w:b/>
          <w:sz w:val="24"/>
          <w:szCs w:val="24"/>
        </w:rPr>
        <w:t>Human rights implications</w:t>
      </w:r>
    </w:p>
    <w:p w:rsidR="00047F2B" w:rsidRPr="00047F2B" w:rsidRDefault="00047F2B" w:rsidP="00047F2B">
      <w:pPr>
        <w:rPr>
          <w:rFonts w:ascii="Times New Roman" w:hAnsi="Times New Roman" w:cs="Times New Roman"/>
          <w:sz w:val="24"/>
          <w:szCs w:val="24"/>
        </w:rPr>
      </w:pPr>
      <w:r w:rsidRPr="00047F2B">
        <w:rPr>
          <w:rFonts w:ascii="Times New Roman" w:hAnsi="Times New Roman" w:cs="Times New Roman"/>
          <w:sz w:val="24"/>
          <w:szCs w:val="24"/>
        </w:rPr>
        <w:t xml:space="preserve">This </w:t>
      </w:r>
      <w:r w:rsidR="00A37C6B">
        <w:rPr>
          <w:rFonts w:ascii="Times New Roman" w:hAnsi="Times New Roman" w:cs="Times New Roman"/>
          <w:sz w:val="24"/>
          <w:szCs w:val="24"/>
        </w:rPr>
        <w:t>d</w:t>
      </w:r>
      <w:r w:rsidRPr="00047F2B">
        <w:rPr>
          <w:rFonts w:ascii="Times New Roman" w:hAnsi="Times New Roman" w:cs="Times New Roman"/>
          <w:sz w:val="24"/>
          <w:szCs w:val="24"/>
        </w:rPr>
        <w:t>eclaration does not engage any of the applicable rights or freedoms.</w:t>
      </w:r>
    </w:p>
    <w:p w:rsidR="00047F2B" w:rsidRPr="00047F2B" w:rsidRDefault="00047F2B" w:rsidP="00047F2B">
      <w:pPr>
        <w:rPr>
          <w:rFonts w:ascii="Times New Roman" w:hAnsi="Times New Roman" w:cs="Times New Roman"/>
          <w:b/>
          <w:sz w:val="24"/>
          <w:szCs w:val="24"/>
        </w:rPr>
      </w:pPr>
      <w:r w:rsidRPr="00047F2B">
        <w:rPr>
          <w:rFonts w:ascii="Times New Roman" w:hAnsi="Times New Roman" w:cs="Times New Roman"/>
          <w:b/>
          <w:sz w:val="24"/>
          <w:szCs w:val="24"/>
        </w:rPr>
        <w:t>Conclusion</w:t>
      </w:r>
    </w:p>
    <w:p w:rsidR="00047F2B" w:rsidRPr="00047F2B" w:rsidRDefault="00047F2B" w:rsidP="00047F2B">
      <w:pPr>
        <w:rPr>
          <w:rFonts w:ascii="Times New Roman" w:hAnsi="Times New Roman" w:cs="Times New Roman"/>
          <w:sz w:val="24"/>
          <w:szCs w:val="24"/>
        </w:rPr>
      </w:pPr>
      <w:r w:rsidRPr="00047F2B">
        <w:rPr>
          <w:rFonts w:ascii="Times New Roman" w:hAnsi="Times New Roman" w:cs="Times New Roman"/>
          <w:sz w:val="24"/>
          <w:szCs w:val="24"/>
        </w:rPr>
        <w:t xml:space="preserve">This </w:t>
      </w:r>
      <w:r w:rsidR="00A37C6B">
        <w:rPr>
          <w:rFonts w:ascii="Times New Roman" w:hAnsi="Times New Roman" w:cs="Times New Roman"/>
          <w:sz w:val="24"/>
          <w:szCs w:val="24"/>
        </w:rPr>
        <w:t>d</w:t>
      </w:r>
      <w:r w:rsidRPr="00047F2B">
        <w:rPr>
          <w:rFonts w:ascii="Times New Roman" w:hAnsi="Times New Roman" w:cs="Times New Roman"/>
          <w:sz w:val="24"/>
          <w:szCs w:val="24"/>
        </w:rPr>
        <w:t>eclaration is compatible with human rights as it does not raise any human rights issues.</w:t>
      </w:r>
    </w:p>
    <w:p w:rsidR="002A4942" w:rsidRPr="00241816" w:rsidRDefault="002A4942" w:rsidP="000C6B12">
      <w:pPr>
        <w:rPr>
          <w:rFonts w:ascii="Times New Roman" w:hAnsi="Times New Roman" w:cs="Times New Roman"/>
          <w:sz w:val="24"/>
          <w:szCs w:val="24"/>
        </w:rPr>
      </w:pPr>
    </w:p>
    <w:sectPr w:rsidR="002A4942" w:rsidRPr="002418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94" w:rsidRDefault="00C63494" w:rsidP="00BB13BC">
      <w:pPr>
        <w:spacing w:after="0" w:line="240" w:lineRule="auto"/>
      </w:pPr>
      <w:r>
        <w:separator/>
      </w:r>
    </w:p>
  </w:endnote>
  <w:endnote w:type="continuationSeparator" w:id="0">
    <w:p w:rsidR="00C63494" w:rsidRDefault="00C63494" w:rsidP="00BB13BC">
      <w:pPr>
        <w:spacing w:after="0" w:line="240" w:lineRule="auto"/>
      </w:pPr>
      <w:r>
        <w:continuationSeparator/>
      </w:r>
    </w:p>
  </w:endnote>
  <w:endnote w:type="continuationNotice" w:id="1">
    <w:p w:rsidR="00C63494" w:rsidRDefault="00C63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94" w:rsidRDefault="00C63494" w:rsidP="00BB13BC">
      <w:pPr>
        <w:spacing w:after="0" w:line="240" w:lineRule="auto"/>
      </w:pPr>
      <w:r>
        <w:separator/>
      </w:r>
    </w:p>
  </w:footnote>
  <w:footnote w:type="continuationSeparator" w:id="0">
    <w:p w:rsidR="00C63494" w:rsidRDefault="00C63494" w:rsidP="00BB13BC">
      <w:pPr>
        <w:spacing w:after="0" w:line="240" w:lineRule="auto"/>
      </w:pPr>
      <w:r>
        <w:continuationSeparator/>
      </w:r>
    </w:p>
  </w:footnote>
  <w:footnote w:type="continuationNotice" w:id="1">
    <w:p w:rsidR="00C63494" w:rsidRDefault="00C634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3F7"/>
    <w:multiLevelType w:val="hybridMultilevel"/>
    <w:tmpl w:val="A0AA2B2C"/>
    <w:lvl w:ilvl="0" w:tplc="69964078">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23DEF"/>
    <w:multiLevelType w:val="hybridMultilevel"/>
    <w:tmpl w:val="016010C8"/>
    <w:lvl w:ilvl="0" w:tplc="934E7A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A66A4A"/>
    <w:multiLevelType w:val="hybridMultilevel"/>
    <w:tmpl w:val="078859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0436DEB"/>
    <w:multiLevelType w:val="hybridMultilevel"/>
    <w:tmpl w:val="2F868358"/>
    <w:lvl w:ilvl="0" w:tplc="C0202004">
      <w:start w:val="4"/>
      <w:numFmt w:val="decimal"/>
      <w:lvlText w:val="(%1)"/>
      <w:lvlJc w:val="left"/>
      <w:pPr>
        <w:ind w:left="1080" w:hanging="360"/>
      </w:pPr>
      <w:rPr>
        <w:rFonts w:hint="default"/>
      </w:rPr>
    </w:lvl>
    <w:lvl w:ilvl="1" w:tplc="0C090019" w:tentative="1">
      <w:start w:val="1"/>
      <w:numFmt w:val="lowerLetter"/>
      <w:lvlText w:val="%2."/>
      <w:lvlJc w:val="left"/>
      <w:pPr>
        <w:ind w:left="1030" w:hanging="360"/>
      </w:pPr>
    </w:lvl>
    <w:lvl w:ilvl="2" w:tplc="0C09001B" w:tentative="1">
      <w:start w:val="1"/>
      <w:numFmt w:val="lowerRoman"/>
      <w:lvlText w:val="%3."/>
      <w:lvlJc w:val="right"/>
      <w:pPr>
        <w:ind w:left="1750" w:hanging="180"/>
      </w:pPr>
    </w:lvl>
    <w:lvl w:ilvl="3" w:tplc="0C09000F" w:tentative="1">
      <w:start w:val="1"/>
      <w:numFmt w:val="decimal"/>
      <w:lvlText w:val="%4."/>
      <w:lvlJc w:val="left"/>
      <w:pPr>
        <w:ind w:left="2470" w:hanging="360"/>
      </w:pPr>
    </w:lvl>
    <w:lvl w:ilvl="4" w:tplc="0C090019" w:tentative="1">
      <w:start w:val="1"/>
      <w:numFmt w:val="lowerLetter"/>
      <w:lvlText w:val="%5."/>
      <w:lvlJc w:val="left"/>
      <w:pPr>
        <w:ind w:left="3190" w:hanging="360"/>
      </w:pPr>
    </w:lvl>
    <w:lvl w:ilvl="5" w:tplc="0C09001B" w:tentative="1">
      <w:start w:val="1"/>
      <w:numFmt w:val="lowerRoman"/>
      <w:lvlText w:val="%6."/>
      <w:lvlJc w:val="right"/>
      <w:pPr>
        <w:ind w:left="3910" w:hanging="180"/>
      </w:pPr>
    </w:lvl>
    <w:lvl w:ilvl="6" w:tplc="0C09000F" w:tentative="1">
      <w:start w:val="1"/>
      <w:numFmt w:val="decimal"/>
      <w:lvlText w:val="%7."/>
      <w:lvlJc w:val="left"/>
      <w:pPr>
        <w:ind w:left="4630" w:hanging="360"/>
      </w:pPr>
    </w:lvl>
    <w:lvl w:ilvl="7" w:tplc="0C090019" w:tentative="1">
      <w:start w:val="1"/>
      <w:numFmt w:val="lowerLetter"/>
      <w:lvlText w:val="%8."/>
      <w:lvlJc w:val="left"/>
      <w:pPr>
        <w:ind w:left="5350" w:hanging="360"/>
      </w:pPr>
    </w:lvl>
    <w:lvl w:ilvl="8" w:tplc="0C09001B" w:tentative="1">
      <w:start w:val="1"/>
      <w:numFmt w:val="lowerRoman"/>
      <w:lvlText w:val="%9."/>
      <w:lvlJc w:val="right"/>
      <w:pPr>
        <w:ind w:left="6070" w:hanging="180"/>
      </w:pPr>
    </w:lvl>
  </w:abstractNum>
  <w:abstractNum w:abstractNumId="4" w15:restartNumberingAfterBreak="0">
    <w:nsid w:val="57FD608C"/>
    <w:multiLevelType w:val="hybridMultilevel"/>
    <w:tmpl w:val="6D62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BF7D69"/>
    <w:multiLevelType w:val="hybridMultilevel"/>
    <w:tmpl w:val="FF46A966"/>
    <w:lvl w:ilvl="0" w:tplc="E710096E">
      <w:start w:val="1"/>
      <w:numFmt w:val="decimal"/>
      <w:lvlText w:val="%1."/>
      <w:lvlJc w:val="left"/>
      <w:pPr>
        <w:ind w:left="720" w:hanging="360"/>
      </w:pPr>
      <w:rPr>
        <w:rFonts w:hint="default"/>
        <w:color w:val="auto"/>
      </w:rPr>
    </w:lvl>
    <w:lvl w:ilvl="1" w:tplc="02A2408C">
      <w:start w:val="1"/>
      <w:numFmt w:val="lowerLetter"/>
      <w:lvlText w:val="%2."/>
      <w:lvlJc w:val="left"/>
      <w:pPr>
        <w:ind w:left="1440" w:hanging="360"/>
      </w:pPr>
    </w:lvl>
    <w:lvl w:ilvl="2" w:tplc="B9AEBDF6" w:tentative="1">
      <w:start w:val="1"/>
      <w:numFmt w:val="lowerRoman"/>
      <w:lvlText w:val="%3."/>
      <w:lvlJc w:val="right"/>
      <w:pPr>
        <w:ind w:left="2160" w:hanging="180"/>
      </w:pPr>
    </w:lvl>
    <w:lvl w:ilvl="3" w:tplc="159420A0" w:tentative="1">
      <w:start w:val="1"/>
      <w:numFmt w:val="decimal"/>
      <w:lvlText w:val="%4."/>
      <w:lvlJc w:val="left"/>
      <w:pPr>
        <w:ind w:left="2880" w:hanging="360"/>
      </w:pPr>
    </w:lvl>
    <w:lvl w:ilvl="4" w:tplc="DC90F974" w:tentative="1">
      <w:start w:val="1"/>
      <w:numFmt w:val="lowerLetter"/>
      <w:lvlText w:val="%5."/>
      <w:lvlJc w:val="left"/>
      <w:pPr>
        <w:ind w:left="3600" w:hanging="360"/>
      </w:pPr>
    </w:lvl>
    <w:lvl w:ilvl="5" w:tplc="7758FDEE" w:tentative="1">
      <w:start w:val="1"/>
      <w:numFmt w:val="lowerRoman"/>
      <w:lvlText w:val="%6."/>
      <w:lvlJc w:val="right"/>
      <w:pPr>
        <w:ind w:left="4320" w:hanging="180"/>
      </w:pPr>
    </w:lvl>
    <w:lvl w:ilvl="6" w:tplc="18B89FC4" w:tentative="1">
      <w:start w:val="1"/>
      <w:numFmt w:val="decimal"/>
      <w:lvlText w:val="%7."/>
      <w:lvlJc w:val="left"/>
      <w:pPr>
        <w:ind w:left="5040" w:hanging="360"/>
      </w:pPr>
    </w:lvl>
    <w:lvl w:ilvl="7" w:tplc="CC22DA1E" w:tentative="1">
      <w:start w:val="1"/>
      <w:numFmt w:val="lowerLetter"/>
      <w:lvlText w:val="%8."/>
      <w:lvlJc w:val="left"/>
      <w:pPr>
        <w:ind w:left="5760" w:hanging="360"/>
      </w:pPr>
    </w:lvl>
    <w:lvl w:ilvl="8" w:tplc="633AFE2C" w:tentative="1">
      <w:start w:val="1"/>
      <w:numFmt w:val="lowerRoman"/>
      <w:lvlText w:val="%9."/>
      <w:lvlJc w:val="right"/>
      <w:pPr>
        <w:ind w:left="6480" w:hanging="180"/>
      </w:pPr>
    </w:lvl>
  </w:abstractNum>
  <w:abstractNum w:abstractNumId="6" w15:restartNumberingAfterBreak="0">
    <w:nsid w:val="6FFA136B"/>
    <w:multiLevelType w:val="hybridMultilevel"/>
    <w:tmpl w:val="5570F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DD"/>
    <w:rsid w:val="00001B42"/>
    <w:rsid w:val="00014792"/>
    <w:rsid w:val="00022187"/>
    <w:rsid w:val="00035EA6"/>
    <w:rsid w:val="00047F2B"/>
    <w:rsid w:val="000544DE"/>
    <w:rsid w:val="0006743D"/>
    <w:rsid w:val="00077502"/>
    <w:rsid w:val="000802F4"/>
    <w:rsid w:val="0008328F"/>
    <w:rsid w:val="000A27F7"/>
    <w:rsid w:val="000B1897"/>
    <w:rsid w:val="000B3B1C"/>
    <w:rsid w:val="000B622B"/>
    <w:rsid w:val="000C6B12"/>
    <w:rsid w:val="000D538F"/>
    <w:rsid w:val="000F7879"/>
    <w:rsid w:val="001040A5"/>
    <w:rsid w:val="00131D7D"/>
    <w:rsid w:val="001522D5"/>
    <w:rsid w:val="00192830"/>
    <w:rsid w:val="001B696A"/>
    <w:rsid w:val="001D49B2"/>
    <w:rsid w:val="001D78E7"/>
    <w:rsid w:val="001E0D2C"/>
    <w:rsid w:val="001E304C"/>
    <w:rsid w:val="001E7171"/>
    <w:rsid w:val="001F5349"/>
    <w:rsid w:val="001F7713"/>
    <w:rsid w:val="002179BD"/>
    <w:rsid w:val="002210D8"/>
    <w:rsid w:val="0022189C"/>
    <w:rsid w:val="00236B7F"/>
    <w:rsid w:val="00241816"/>
    <w:rsid w:val="002663D5"/>
    <w:rsid w:val="002671DD"/>
    <w:rsid w:val="002941A4"/>
    <w:rsid w:val="002A4869"/>
    <w:rsid w:val="002A4942"/>
    <w:rsid w:val="002A4B30"/>
    <w:rsid w:val="002A55CB"/>
    <w:rsid w:val="002C344F"/>
    <w:rsid w:val="002C3CD6"/>
    <w:rsid w:val="002F345C"/>
    <w:rsid w:val="002F4EC5"/>
    <w:rsid w:val="0030119E"/>
    <w:rsid w:val="00303DFD"/>
    <w:rsid w:val="00315068"/>
    <w:rsid w:val="003257C8"/>
    <w:rsid w:val="0034118A"/>
    <w:rsid w:val="0034643E"/>
    <w:rsid w:val="00362492"/>
    <w:rsid w:val="00366A48"/>
    <w:rsid w:val="00370F5F"/>
    <w:rsid w:val="00377C53"/>
    <w:rsid w:val="003B12A0"/>
    <w:rsid w:val="003C75C5"/>
    <w:rsid w:val="003D33E0"/>
    <w:rsid w:val="003E18DB"/>
    <w:rsid w:val="003F72A9"/>
    <w:rsid w:val="0041146D"/>
    <w:rsid w:val="00415925"/>
    <w:rsid w:val="00421949"/>
    <w:rsid w:val="00430F59"/>
    <w:rsid w:val="0047008F"/>
    <w:rsid w:val="0047156A"/>
    <w:rsid w:val="004820C9"/>
    <w:rsid w:val="00482F3C"/>
    <w:rsid w:val="004B12DA"/>
    <w:rsid w:val="004E2975"/>
    <w:rsid w:val="004E379C"/>
    <w:rsid w:val="004E5385"/>
    <w:rsid w:val="004F029F"/>
    <w:rsid w:val="004F5EF0"/>
    <w:rsid w:val="00524A69"/>
    <w:rsid w:val="005274D6"/>
    <w:rsid w:val="00540CAF"/>
    <w:rsid w:val="0054780E"/>
    <w:rsid w:val="005621BA"/>
    <w:rsid w:val="0057018C"/>
    <w:rsid w:val="005A3044"/>
    <w:rsid w:val="005B6AA3"/>
    <w:rsid w:val="005C173C"/>
    <w:rsid w:val="005C3A98"/>
    <w:rsid w:val="005C3E19"/>
    <w:rsid w:val="005E10CD"/>
    <w:rsid w:val="005E3F4A"/>
    <w:rsid w:val="00614AEB"/>
    <w:rsid w:val="00625951"/>
    <w:rsid w:val="00630C14"/>
    <w:rsid w:val="00634D3B"/>
    <w:rsid w:val="0063528A"/>
    <w:rsid w:val="00666135"/>
    <w:rsid w:val="00670C05"/>
    <w:rsid w:val="006711FD"/>
    <w:rsid w:val="00675049"/>
    <w:rsid w:val="006931FB"/>
    <w:rsid w:val="00696AE4"/>
    <w:rsid w:val="006B141A"/>
    <w:rsid w:val="006B3CC2"/>
    <w:rsid w:val="006C3479"/>
    <w:rsid w:val="006F1CFD"/>
    <w:rsid w:val="006F1F30"/>
    <w:rsid w:val="00707383"/>
    <w:rsid w:val="007355AE"/>
    <w:rsid w:val="00742C0A"/>
    <w:rsid w:val="00750F02"/>
    <w:rsid w:val="007742D2"/>
    <w:rsid w:val="007A05C1"/>
    <w:rsid w:val="007B42F5"/>
    <w:rsid w:val="007B7BC4"/>
    <w:rsid w:val="007F1CB9"/>
    <w:rsid w:val="00816D04"/>
    <w:rsid w:val="00817D1D"/>
    <w:rsid w:val="00833044"/>
    <w:rsid w:val="008336DE"/>
    <w:rsid w:val="00841383"/>
    <w:rsid w:val="00866D99"/>
    <w:rsid w:val="00887FB2"/>
    <w:rsid w:val="008971C5"/>
    <w:rsid w:val="008A11C8"/>
    <w:rsid w:val="008A6D2F"/>
    <w:rsid w:val="008C174F"/>
    <w:rsid w:val="008C6C7B"/>
    <w:rsid w:val="008E5FB3"/>
    <w:rsid w:val="009009BC"/>
    <w:rsid w:val="00924132"/>
    <w:rsid w:val="009304AF"/>
    <w:rsid w:val="0093517F"/>
    <w:rsid w:val="0095668D"/>
    <w:rsid w:val="00962DDE"/>
    <w:rsid w:val="00976D9D"/>
    <w:rsid w:val="00986669"/>
    <w:rsid w:val="00986C98"/>
    <w:rsid w:val="0099029D"/>
    <w:rsid w:val="00993BEE"/>
    <w:rsid w:val="009961A2"/>
    <w:rsid w:val="009A289D"/>
    <w:rsid w:val="009B6F3B"/>
    <w:rsid w:val="009C6903"/>
    <w:rsid w:val="009D6B94"/>
    <w:rsid w:val="009E441C"/>
    <w:rsid w:val="009F7D44"/>
    <w:rsid w:val="00A1302C"/>
    <w:rsid w:val="00A37C6B"/>
    <w:rsid w:val="00A401E5"/>
    <w:rsid w:val="00A62ACB"/>
    <w:rsid w:val="00A64984"/>
    <w:rsid w:val="00A7000F"/>
    <w:rsid w:val="00A7575B"/>
    <w:rsid w:val="00A75836"/>
    <w:rsid w:val="00A8196F"/>
    <w:rsid w:val="00A976E8"/>
    <w:rsid w:val="00AA3AEC"/>
    <w:rsid w:val="00AA6146"/>
    <w:rsid w:val="00AA722F"/>
    <w:rsid w:val="00AC022A"/>
    <w:rsid w:val="00AD0D1C"/>
    <w:rsid w:val="00AE678E"/>
    <w:rsid w:val="00AE78CD"/>
    <w:rsid w:val="00AF16F7"/>
    <w:rsid w:val="00B0234B"/>
    <w:rsid w:val="00B154D2"/>
    <w:rsid w:val="00B15EE4"/>
    <w:rsid w:val="00B4192F"/>
    <w:rsid w:val="00B50877"/>
    <w:rsid w:val="00B5616D"/>
    <w:rsid w:val="00B71B61"/>
    <w:rsid w:val="00B74747"/>
    <w:rsid w:val="00B9233C"/>
    <w:rsid w:val="00B9468F"/>
    <w:rsid w:val="00B97FC5"/>
    <w:rsid w:val="00BB13BC"/>
    <w:rsid w:val="00BB247C"/>
    <w:rsid w:val="00BB3B46"/>
    <w:rsid w:val="00BC1DA7"/>
    <w:rsid w:val="00BC6133"/>
    <w:rsid w:val="00BD2277"/>
    <w:rsid w:val="00BE21A7"/>
    <w:rsid w:val="00C1249C"/>
    <w:rsid w:val="00C16D63"/>
    <w:rsid w:val="00C2662C"/>
    <w:rsid w:val="00C3540C"/>
    <w:rsid w:val="00C354D0"/>
    <w:rsid w:val="00C373B2"/>
    <w:rsid w:val="00C63494"/>
    <w:rsid w:val="00CA43B0"/>
    <w:rsid w:val="00CD3F75"/>
    <w:rsid w:val="00D123D3"/>
    <w:rsid w:val="00D249E1"/>
    <w:rsid w:val="00D24C80"/>
    <w:rsid w:val="00D27B85"/>
    <w:rsid w:val="00D40240"/>
    <w:rsid w:val="00D45A21"/>
    <w:rsid w:val="00D56175"/>
    <w:rsid w:val="00D72D04"/>
    <w:rsid w:val="00D90A35"/>
    <w:rsid w:val="00D964FA"/>
    <w:rsid w:val="00DA4F40"/>
    <w:rsid w:val="00DC41BB"/>
    <w:rsid w:val="00DD4D96"/>
    <w:rsid w:val="00DE47E2"/>
    <w:rsid w:val="00DF06C1"/>
    <w:rsid w:val="00E05FB7"/>
    <w:rsid w:val="00E10330"/>
    <w:rsid w:val="00E178F7"/>
    <w:rsid w:val="00E22262"/>
    <w:rsid w:val="00E311AC"/>
    <w:rsid w:val="00E33615"/>
    <w:rsid w:val="00E33C6E"/>
    <w:rsid w:val="00E71E20"/>
    <w:rsid w:val="00E72785"/>
    <w:rsid w:val="00E74397"/>
    <w:rsid w:val="00E92BDA"/>
    <w:rsid w:val="00EA07D5"/>
    <w:rsid w:val="00EB3A66"/>
    <w:rsid w:val="00EC4818"/>
    <w:rsid w:val="00EF2FEF"/>
    <w:rsid w:val="00F36899"/>
    <w:rsid w:val="00F42BCF"/>
    <w:rsid w:val="00F600FA"/>
    <w:rsid w:val="00F805CD"/>
    <w:rsid w:val="00F81351"/>
    <w:rsid w:val="00F84001"/>
    <w:rsid w:val="00FA06A9"/>
    <w:rsid w:val="00FC5044"/>
    <w:rsid w:val="00FD0B0C"/>
    <w:rsid w:val="00FE4322"/>
    <w:rsid w:val="00FE6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461F8-BAC4-46CF-AE94-24022892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B13BC"/>
    <w:pPr>
      <w:spacing w:after="0" w:line="240" w:lineRule="auto"/>
    </w:pPr>
    <w:rPr>
      <w:rFonts w:ascii="Arial" w:eastAsia="Times New Roman" w:hAnsi="Arial" w:cs="Times New Roman"/>
      <w:color w:val="000000"/>
      <w:sz w:val="20"/>
      <w:szCs w:val="20"/>
      <w:lang w:eastAsia="en-AU"/>
    </w:rPr>
  </w:style>
  <w:style w:type="character" w:customStyle="1" w:styleId="FootnoteTextChar">
    <w:name w:val="Footnote Text Char"/>
    <w:basedOn w:val="DefaultParagraphFont"/>
    <w:link w:val="FootnoteText"/>
    <w:semiHidden/>
    <w:rsid w:val="00BB13BC"/>
    <w:rPr>
      <w:rFonts w:ascii="Arial" w:eastAsia="Times New Roman" w:hAnsi="Arial" w:cs="Times New Roman"/>
      <w:color w:val="000000"/>
      <w:sz w:val="20"/>
      <w:szCs w:val="20"/>
      <w:lang w:eastAsia="en-AU"/>
    </w:rPr>
  </w:style>
  <w:style w:type="character" w:styleId="FootnoteReference">
    <w:name w:val="footnote reference"/>
    <w:basedOn w:val="DefaultParagraphFont"/>
    <w:unhideWhenUsed/>
    <w:rsid w:val="00BB13BC"/>
    <w:rPr>
      <w:vertAlign w:val="superscript"/>
    </w:rPr>
  </w:style>
  <w:style w:type="paragraph" w:styleId="ListParagraph">
    <w:name w:val="List Paragraph"/>
    <w:aliases w:val="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BB13BC"/>
    <w:pPr>
      <w:ind w:left="720"/>
      <w:contextualSpacing/>
    </w:pPr>
  </w:style>
  <w:style w:type="paragraph" w:styleId="NormalWeb">
    <w:name w:val="Normal (Web)"/>
    <w:basedOn w:val="Normal"/>
    <w:uiPriority w:val="99"/>
    <w:semiHidden/>
    <w:unhideWhenUsed/>
    <w:rsid w:val="002A49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li Char,Bulletr List Paragraph Char,FooterText Char,L Char,List Paragraph1 Char,List Paragraph2 Char,List Paragraph21 Char,Listeafsnit1 Char,Paragraphe de liste1 Char,Parágrafo da Lista1 Char,Párrafo de lista1 Char,リスト段落1 Char"/>
    <w:link w:val="ListParagraph"/>
    <w:uiPriority w:val="34"/>
    <w:qFormat/>
    <w:rsid w:val="0047156A"/>
  </w:style>
  <w:style w:type="paragraph" w:customStyle="1" w:styleId="ACMAReportTitle">
    <w:name w:val="ACMA_ReportTitle"/>
    <w:basedOn w:val="Normal"/>
    <w:qFormat/>
    <w:rsid w:val="00F600FA"/>
    <w:pPr>
      <w:spacing w:after="0" w:line="560" w:lineRule="exact"/>
    </w:pPr>
    <w:rPr>
      <w:rFonts w:ascii="Arial" w:eastAsia="Times New Roman" w:hAnsi="Arial" w:cs="Times New Roman"/>
      <w:b/>
      <w:spacing w:val="-28"/>
      <w:sz w:val="53"/>
      <w:szCs w:val="24"/>
      <w:lang w:eastAsia="en-AU"/>
    </w:rPr>
  </w:style>
  <w:style w:type="paragraph" w:customStyle="1" w:styleId="ACMAReportSubTitle">
    <w:name w:val="ACMA_ReportSubTitle"/>
    <w:basedOn w:val="Normal"/>
    <w:qFormat/>
    <w:rsid w:val="00F600FA"/>
    <w:pPr>
      <w:spacing w:after="200" w:line="560" w:lineRule="exact"/>
    </w:pPr>
    <w:rPr>
      <w:rFonts w:ascii="Arial" w:eastAsia="Times New Roman" w:hAnsi="Arial" w:cs="Times New Roman"/>
      <w:color w:val="323232"/>
      <w:spacing w:val="-28"/>
      <w:sz w:val="53"/>
      <w:szCs w:val="24"/>
      <w:lang w:eastAsia="en-AU"/>
    </w:rPr>
  </w:style>
  <w:style w:type="character" w:styleId="CommentReference">
    <w:name w:val="annotation reference"/>
    <w:basedOn w:val="DefaultParagraphFont"/>
    <w:uiPriority w:val="99"/>
    <w:semiHidden/>
    <w:unhideWhenUsed/>
    <w:rsid w:val="003E18DB"/>
    <w:rPr>
      <w:sz w:val="16"/>
      <w:szCs w:val="16"/>
    </w:rPr>
  </w:style>
  <w:style w:type="paragraph" w:styleId="CommentText">
    <w:name w:val="annotation text"/>
    <w:basedOn w:val="Normal"/>
    <w:link w:val="CommentTextChar"/>
    <w:uiPriority w:val="99"/>
    <w:semiHidden/>
    <w:unhideWhenUsed/>
    <w:rsid w:val="003E18DB"/>
    <w:pPr>
      <w:spacing w:line="240" w:lineRule="auto"/>
    </w:pPr>
    <w:rPr>
      <w:sz w:val="20"/>
      <w:szCs w:val="20"/>
    </w:rPr>
  </w:style>
  <w:style w:type="character" w:customStyle="1" w:styleId="CommentTextChar">
    <w:name w:val="Comment Text Char"/>
    <w:basedOn w:val="DefaultParagraphFont"/>
    <w:link w:val="CommentText"/>
    <w:uiPriority w:val="99"/>
    <w:semiHidden/>
    <w:rsid w:val="003E18DB"/>
    <w:rPr>
      <w:sz w:val="20"/>
      <w:szCs w:val="20"/>
    </w:rPr>
  </w:style>
  <w:style w:type="paragraph" w:styleId="CommentSubject">
    <w:name w:val="annotation subject"/>
    <w:basedOn w:val="CommentText"/>
    <w:next w:val="CommentText"/>
    <w:link w:val="CommentSubjectChar"/>
    <w:uiPriority w:val="99"/>
    <w:semiHidden/>
    <w:unhideWhenUsed/>
    <w:rsid w:val="003E18DB"/>
    <w:rPr>
      <w:b/>
      <w:bCs/>
    </w:rPr>
  </w:style>
  <w:style w:type="character" w:customStyle="1" w:styleId="CommentSubjectChar">
    <w:name w:val="Comment Subject Char"/>
    <w:basedOn w:val="CommentTextChar"/>
    <w:link w:val="CommentSubject"/>
    <w:uiPriority w:val="99"/>
    <w:semiHidden/>
    <w:rsid w:val="003E18DB"/>
    <w:rPr>
      <w:b/>
      <w:bCs/>
      <w:sz w:val="20"/>
      <w:szCs w:val="20"/>
    </w:rPr>
  </w:style>
  <w:style w:type="paragraph" w:styleId="BalloonText">
    <w:name w:val="Balloon Text"/>
    <w:basedOn w:val="Normal"/>
    <w:link w:val="BalloonTextChar"/>
    <w:uiPriority w:val="99"/>
    <w:semiHidden/>
    <w:unhideWhenUsed/>
    <w:rsid w:val="003E1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DB"/>
    <w:rPr>
      <w:rFonts w:ascii="Segoe UI" w:hAnsi="Segoe UI" w:cs="Segoe UI"/>
      <w:sz w:val="18"/>
      <w:szCs w:val="18"/>
    </w:rPr>
  </w:style>
  <w:style w:type="character" w:styleId="Hyperlink">
    <w:name w:val="Hyperlink"/>
    <w:basedOn w:val="DefaultParagraphFont"/>
    <w:uiPriority w:val="99"/>
    <w:unhideWhenUsed/>
    <w:rsid w:val="00E33615"/>
    <w:rPr>
      <w:color w:val="0563C1" w:themeColor="hyperlink"/>
      <w:u w:val="single"/>
    </w:rPr>
  </w:style>
  <w:style w:type="paragraph" w:customStyle="1" w:styleId="subsection">
    <w:name w:val="subsection"/>
    <w:aliases w:val="ss"/>
    <w:basedOn w:val="Normal"/>
    <w:link w:val="subsectionChar"/>
    <w:rsid w:val="00E33C6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33C6E"/>
    <w:rPr>
      <w:rFonts w:ascii="Times New Roman" w:eastAsia="Times New Roman" w:hAnsi="Times New Roman" w:cs="Times New Roman"/>
      <w:szCs w:val="20"/>
      <w:lang w:eastAsia="en-AU"/>
    </w:rPr>
  </w:style>
  <w:style w:type="paragraph" w:styleId="Revision">
    <w:name w:val="Revision"/>
    <w:hidden/>
    <w:uiPriority w:val="99"/>
    <w:semiHidden/>
    <w:rsid w:val="0034643E"/>
    <w:pPr>
      <w:spacing w:after="0" w:line="240" w:lineRule="auto"/>
    </w:pPr>
  </w:style>
  <w:style w:type="paragraph" w:styleId="Header">
    <w:name w:val="header"/>
    <w:basedOn w:val="Normal"/>
    <w:link w:val="HeaderChar"/>
    <w:uiPriority w:val="99"/>
    <w:semiHidden/>
    <w:unhideWhenUsed/>
    <w:rsid w:val="00B508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0877"/>
  </w:style>
  <w:style w:type="paragraph" w:styleId="Footer">
    <w:name w:val="footer"/>
    <w:basedOn w:val="Normal"/>
    <w:link w:val="FooterChar"/>
    <w:uiPriority w:val="99"/>
    <w:semiHidden/>
    <w:unhideWhenUsed/>
    <w:rsid w:val="00B508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7853">
      <w:bodyDiv w:val="1"/>
      <w:marLeft w:val="0"/>
      <w:marRight w:val="0"/>
      <w:marTop w:val="0"/>
      <w:marBottom w:val="0"/>
      <w:divBdr>
        <w:top w:val="none" w:sz="0" w:space="0" w:color="auto"/>
        <w:left w:val="none" w:sz="0" w:space="0" w:color="auto"/>
        <w:bottom w:val="none" w:sz="0" w:space="0" w:color="auto"/>
        <w:right w:val="none" w:sz="0" w:space="0" w:color="auto"/>
      </w:divBdr>
    </w:div>
    <w:div w:id="149714167">
      <w:bodyDiv w:val="1"/>
      <w:marLeft w:val="0"/>
      <w:marRight w:val="0"/>
      <w:marTop w:val="0"/>
      <w:marBottom w:val="0"/>
      <w:divBdr>
        <w:top w:val="none" w:sz="0" w:space="0" w:color="auto"/>
        <w:left w:val="none" w:sz="0" w:space="0" w:color="auto"/>
        <w:bottom w:val="none" w:sz="0" w:space="0" w:color="auto"/>
        <w:right w:val="none" w:sz="0" w:space="0" w:color="auto"/>
      </w:divBdr>
    </w:div>
    <w:div w:id="460459017">
      <w:bodyDiv w:val="1"/>
      <w:marLeft w:val="0"/>
      <w:marRight w:val="0"/>
      <w:marTop w:val="0"/>
      <w:marBottom w:val="0"/>
      <w:divBdr>
        <w:top w:val="none" w:sz="0" w:space="0" w:color="auto"/>
        <w:left w:val="none" w:sz="0" w:space="0" w:color="auto"/>
        <w:bottom w:val="none" w:sz="0" w:space="0" w:color="auto"/>
        <w:right w:val="none" w:sz="0" w:space="0" w:color="auto"/>
      </w:divBdr>
    </w:div>
    <w:div w:id="1666399436">
      <w:bodyDiv w:val="1"/>
      <w:marLeft w:val="0"/>
      <w:marRight w:val="0"/>
      <w:marTop w:val="0"/>
      <w:marBottom w:val="0"/>
      <w:divBdr>
        <w:top w:val="none" w:sz="0" w:space="0" w:color="auto"/>
        <w:left w:val="none" w:sz="0" w:space="0" w:color="auto"/>
        <w:bottom w:val="none" w:sz="0" w:space="0" w:color="auto"/>
        <w:right w:val="none" w:sz="0" w:space="0" w:color="auto"/>
      </w:divBdr>
    </w:div>
    <w:div w:id="2098864769">
      <w:bodyDiv w:val="1"/>
      <w:marLeft w:val="0"/>
      <w:marRight w:val="0"/>
      <w:marTop w:val="0"/>
      <w:marBottom w:val="0"/>
      <w:divBdr>
        <w:top w:val="none" w:sz="0" w:space="0" w:color="auto"/>
        <w:left w:val="none" w:sz="0" w:space="0" w:color="auto"/>
        <w:bottom w:val="none" w:sz="0" w:space="0" w:color="auto"/>
        <w:right w:val="none" w:sz="0" w:space="0" w:color="auto"/>
      </w:divBdr>
    </w:div>
    <w:div w:id="2109351006">
      <w:bodyDiv w:val="1"/>
      <w:marLeft w:val="0"/>
      <w:marRight w:val="0"/>
      <w:marTop w:val="0"/>
      <w:marBottom w:val="0"/>
      <w:divBdr>
        <w:top w:val="none" w:sz="0" w:space="0" w:color="auto"/>
        <w:left w:val="none" w:sz="0" w:space="0" w:color="auto"/>
        <w:bottom w:val="none" w:sz="0" w:space="0" w:color="auto"/>
        <w:right w:val="none" w:sz="0" w:space="0" w:color="auto"/>
      </w:divBdr>
      <w:divsChild>
        <w:div w:id="748113975">
          <w:marLeft w:val="0"/>
          <w:marRight w:val="0"/>
          <w:marTop w:val="0"/>
          <w:marBottom w:val="0"/>
          <w:divBdr>
            <w:top w:val="none" w:sz="0" w:space="0" w:color="auto"/>
            <w:left w:val="none" w:sz="0" w:space="0" w:color="auto"/>
            <w:bottom w:val="none" w:sz="0" w:space="0" w:color="auto"/>
            <w:right w:val="none" w:sz="0" w:space="0" w:color="auto"/>
          </w:divBdr>
          <w:divsChild>
            <w:div w:id="412356123">
              <w:marLeft w:val="0"/>
              <w:marRight w:val="0"/>
              <w:marTop w:val="0"/>
              <w:marBottom w:val="0"/>
              <w:divBdr>
                <w:top w:val="none" w:sz="0" w:space="0" w:color="auto"/>
                <w:left w:val="none" w:sz="0" w:space="0" w:color="auto"/>
                <w:bottom w:val="none" w:sz="0" w:space="0" w:color="auto"/>
                <w:right w:val="none" w:sz="0" w:space="0" w:color="auto"/>
              </w:divBdr>
              <w:divsChild>
                <w:div w:id="1877618325">
                  <w:marLeft w:val="0"/>
                  <w:marRight w:val="0"/>
                  <w:marTop w:val="0"/>
                  <w:marBottom w:val="0"/>
                  <w:divBdr>
                    <w:top w:val="none" w:sz="0" w:space="0" w:color="auto"/>
                    <w:left w:val="none" w:sz="0" w:space="0" w:color="auto"/>
                    <w:bottom w:val="none" w:sz="0" w:space="0" w:color="auto"/>
                    <w:right w:val="none" w:sz="0" w:space="0" w:color="auto"/>
                  </w:divBdr>
                  <w:divsChild>
                    <w:div w:id="1052002569">
                      <w:marLeft w:val="0"/>
                      <w:marRight w:val="0"/>
                      <w:marTop w:val="0"/>
                      <w:marBottom w:val="0"/>
                      <w:divBdr>
                        <w:top w:val="none" w:sz="0" w:space="0" w:color="auto"/>
                        <w:left w:val="none" w:sz="0" w:space="0" w:color="auto"/>
                        <w:bottom w:val="none" w:sz="0" w:space="0" w:color="auto"/>
                        <w:right w:val="none" w:sz="0" w:space="0" w:color="auto"/>
                      </w:divBdr>
                      <w:divsChild>
                        <w:div w:id="1890145895">
                          <w:marLeft w:val="0"/>
                          <w:marRight w:val="0"/>
                          <w:marTop w:val="0"/>
                          <w:marBottom w:val="0"/>
                          <w:divBdr>
                            <w:top w:val="none" w:sz="0" w:space="0" w:color="auto"/>
                            <w:left w:val="none" w:sz="0" w:space="0" w:color="auto"/>
                            <w:bottom w:val="none" w:sz="0" w:space="0" w:color="auto"/>
                            <w:right w:val="none" w:sz="0" w:space="0" w:color="auto"/>
                          </w:divBdr>
                          <w:divsChild>
                            <w:div w:id="962003110">
                              <w:marLeft w:val="0"/>
                              <w:marRight w:val="0"/>
                              <w:marTop w:val="0"/>
                              <w:marBottom w:val="0"/>
                              <w:divBdr>
                                <w:top w:val="none" w:sz="0" w:space="0" w:color="auto"/>
                                <w:left w:val="none" w:sz="0" w:space="0" w:color="auto"/>
                                <w:bottom w:val="none" w:sz="0" w:space="0" w:color="auto"/>
                                <w:right w:val="none" w:sz="0" w:space="0" w:color="auto"/>
                              </w:divBdr>
                              <w:divsChild>
                                <w:div w:id="1198007570">
                                  <w:marLeft w:val="0"/>
                                  <w:marRight w:val="0"/>
                                  <w:marTop w:val="0"/>
                                  <w:marBottom w:val="0"/>
                                  <w:divBdr>
                                    <w:top w:val="none" w:sz="0" w:space="0" w:color="auto"/>
                                    <w:left w:val="none" w:sz="0" w:space="0" w:color="auto"/>
                                    <w:bottom w:val="none" w:sz="0" w:space="0" w:color="auto"/>
                                    <w:right w:val="none" w:sz="0" w:space="0" w:color="auto"/>
                                  </w:divBdr>
                                  <w:divsChild>
                                    <w:div w:id="620382802">
                                      <w:marLeft w:val="0"/>
                                      <w:marRight w:val="0"/>
                                      <w:marTop w:val="0"/>
                                      <w:marBottom w:val="0"/>
                                      <w:divBdr>
                                        <w:top w:val="none" w:sz="0" w:space="0" w:color="auto"/>
                                        <w:left w:val="none" w:sz="0" w:space="0" w:color="auto"/>
                                        <w:bottom w:val="none" w:sz="0" w:space="0" w:color="auto"/>
                                        <w:right w:val="none" w:sz="0" w:space="0" w:color="auto"/>
                                      </w:divBdr>
                                      <w:divsChild>
                                        <w:div w:id="1642686916">
                                          <w:marLeft w:val="0"/>
                                          <w:marRight w:val="0"/>
                                          <w:marTop w:val="0"/>
                                          <w:marBottom w:val="0"/>
                                          <w:divBdr>
                                            <w:top w:val="none" w:sz="0" w:space="0" w:color="auto"/>
                                            <w:left w:val="none" w:sz="0" w:space="0" w:color="auto"/>
                                            <w:bottom w:val="none" w:sz="0" w:space="0" w:color="auto"/>
                                            <w:right w:val="none" w:sz="0" w:space="0" w:color="auto"/>
                                          </w:divBdr>
                                          <w:divsChild>
                                            <w:div w:id="39135240">
                                              <w:marLeft w:val="0"/>
                                              <w:marRight w:val="0"/>
                                              <w:marTop w:val="0"/>
                                              <w:marBottom w:val="0"/>
                                              <w:divBdr>
                                                <w:top w:val="none" w:sz="0" w:space="0" w:color="auto"/>
                                                <w:left w:val="none" w:sz="0" w:space="0" w:color="auto"/>
                                                <w:bottom w:val="none" w:sz="0" w:space="0" w:color="auto"/>
                                                <w:right w:val="none" w:sz="0" w:space="0" w:color="auto"/>
                                              </w:divBdr>
                                              <w:divsChild>
                                                <w:div w:id="803618380">
                                                  <w:marLeft w:val="0"/>
                                                  <w:marRight w:val="0"/>
                                                  <w:marTop w:val="0"/>
                                                  <w:marBottom w:val="0"/>
                                                  <w:divBdr>
                                                    <w:top w:val="none" w:sz="0" w:space="0" w:color="auto"/>
                                                    <w:left w:val="none" w:sz="0" w:space="0" w:color="auto"/>
                                                    <w:bottom w:val="none" w:sz="0" w:space="0" w:color="auto"/>
                                                    <w:right w:val="none" w:sz="0" w:space="0" w:color="auto"/>
                                                  </w:divBdr>
                                                  <w:divsChild>
                                                    <w:div w:id="312875845">
                                                      <w:marLeft w:val="0"/>
                                                      <w:marRight w:val="0"/>
                                                      <w:marTop w:val="0"/>
                                                      <w:marBottom w:val="0"/>
                                                      <w:divBdr>
                                                        <w:top w:val="none" w:sz="0" w:space="0" w:color="auto"/>
                                                        <w:left w:val="none" w:sz="0" w:space="0" w:color="auto"/>
                                                        <w:bottom w:val="none" w:sz="0" w:space="0" w:color="auto"/>
                                                        <w:right w:val="none" w:sz="0" w:space="0" w:color="auto"/>
                                                      </w:divBdr>
                                                      <w:divsChild>
                                                        <w:div w:id="959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3F3D2-D5C5-466C-BAE5-B2DE9FDB5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661A0F-DF9C-47B7-A2B7-F08CBEFFD21D}">
  <ds:schemaRefs>
    <ds:schemaRef ds:uri="http://schemas.microsoft.com/sharepoint/v3/contenttype/forms"/>
  </ds:schemaRefs>
</ds:datastoreItem>
</file>

<file path=customXml/itemProps3.xml><?xml version="1.0" encoding="utf-8"?>
<ds:datastoreItem xmlns:ds="http://schemas.openxmlformats.org/officeDocument/2006/customXml" ds:itemID="{F0D59103-67AD-47BE-8177-24F2CF4E24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E4179C-EF27-4C44-BE2E-6E8EB17B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191021 Explanatory Statement - spectrum re-allocation declaration for the 26 GHz band (typc changesl).docx</vt:lpstr>
    </vt:vector>
  </TitlesOfParts>
  <Company>Department of Communications and the Arts</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191021 Explanatory Statement - spectrum re-allocation declaration for the 26 GHz band (typc changesl).docx</dc:title>
  <dc:subject/>
  <dc:creator>Walter, Benjamin</dc:creator>
  <cp:keywords/>
  <dc:description/>
  <cp:lastModifiedBy>Rolfe, Jacqueline</cp:lastModifiedBy>
  <cp:revision>5</cp:revision>
  <dcterms:created xsi:type="dcterms:W3CDTF">2019-10-22T23:32:00Z</dcterms:created>
  <dcterms:modified xsi:type="dcterms:W3CDTF">2019-10-23T03:25:00Z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0x010100E7AE4C118E5E944AAE21DA935605227B</vt:lpwstr>
  </property>
  <property fmtid="{D5CDD505-2E9C-101B-9397-08002B2CF9AE}" pid="3" name="TrimRevisionNumber">
    <vt:i4>2</vt:i4>
  </property>
</Properties>
</file>