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E5" w:rsidRPr="00AF74D4" w:rsidRDefault="005C07E5">
      <w:pPr>
        <w:pStyle w:val="Heading1"/>
        <w:spacing w:line="360" w:lineRule="auto"/>
      </w:pPr>
      <w:r w:rsidRPr="00AF74D4">
        <w:t>EXPLANATORY STATEMENT</w:t>
      </w:r>
    </w:p>
    <w:p w:rsidR="001D091B" w:rsidRPr="00AF74D4" w:rsidRDefault="00E01FF4" w:rsidP="001D091B">
      <w:pPr>
        <w:pStyle w:val="Heading2"/>
        <w:spacing w:before="120" w:after="360" w:line="360" w:lineRule="auto"/>
        <w:ind w:left="0" w:firstLine="0"/>
      </w:pPr>
      <w:r w:rsidRPr="00AF74D4">
        <w:rPr>
          <w:i/>
        </w:rPr>
        <w:t>Migration Regulations 1994</w:t>
      </w:r>
    </w:p>
    <w:p w:rsidR="001D091B" w:rsidRPr="00AF74D4" w:rsidRDefault="00691AC6" w:rsidP="001D091B">
      <w:pPr>
        <w:spacing w:after="120" w:line="360" w:lineRule="auto"/>
        <w:ind w:hanging="23"/>
        <w:jc w:val="center"/>
        <w:rPr>
          <w:i/>
          <w:sz w:val="24"/>
        </w:rPr>
      </w:pPr>
      <w:r w:rsidRPr="00691AC6">
        <w:rPr>
          <w:b/>
          <w:sz w:val="24"/>
        </w:rPr>
        <w:t>Migration (Specification of Occupations and Assessing Authorities) Amendment (LIN 19/243: Subclass 491 Visas) Instrument 2019</w:t>
      </w:r>
    </w:p>
    <w:p w:rsidR="001D091B" w:rsidRPr="002F3433" w:rsidRDefault="001D091B" w:rsidP="001D091B">
      <w:pPr>
        <w:spacing w:after="480" w:line="360" w:lineRule="auto"/>
        <w:ind w:hanging="23"/>
        <w:jc w:val="center"/>
        <w:rPr>
          <w:i/>
        </w:rPr>
      </w:pPr>
      <w:r w:rsidRPr="002F3433">
        <w:rPr>
          <w:i/>
        </w:rPr>
        <w:t>(</w:t>
      </w:r>
      <w:proofErr w:type="gramStart"/>
      <w:r w:rsidR="005B3FA3" w:rsidRPr="002F3433">
        <w:rPr>
          <w:i/>
        </w:rPr>
        <w:t>subregulation</w:t>
      </w:r>
      <w:proofErr w:type="gramEnd"/>
      <w:r w:rsidR="005B3FA3" w:rsidRPr="002F3433">
        <w:rPr>
          <w:i/>
        </w:rPr>
        <w:t xml:space="preserve"> 1.15I(1); subregulation 2.26B(1); item 4 of the table in </w:t>
      </w:r>
      <w:proofErr w:type="spellStart"/>
      <w:r w:rsidR="005B3FA3" w:rsidRPr="002F3433">
        <w:rPr>
          <w:i/>
        </w:rPr>
        <w:t>subitem</w:t>
      </w:r>
      <w:proofErr w:type="spellEnd"/>
      <w:r w:rsidR="005B3FA3" w:rsidRPr="002F3433">
        <w:rPr>
          <w:i/>
        </w:rPr>
        <w:t xml:space="preserve"> 1230(4) of Schedule 1; </w:t>
      </w:r>
      <w:proofErr w:type="spellStart"/>
      <w:r w:rsidR="005B3FA3" w:rsidRPr="002F3433">
        <w:rPr>
          <w:i/>
        </w:rPr>
        <w:t>subitem</w:t>
      </w:r>
      <w:proofErr w:type="spellEnd"/>
      <w:r w:rsidR="005B3FA3" w:rsidRPr="002F3433">
        <w:rPr>
          <w:i/>
        </w:rPr>
        <w:t xml:space="preserve"> 1241(5)</w:t>
      </w:r>
      <w:r w:rsidR="00960B26" w:rsidRPr="002F3433">
        <w:rPr>
          <w:i/>
        </w:rPr>
        <w:t xml:space="preserve"> </w:t>
      </w:r>
      <w:r w:rsidR="005B3FA3" w:rsidRPr="002F3433">
        <w:rPr>
          <w:i/>
        </w:rPr>
        <w:t>of Schedule 1</w:t>
      </w:r>
      <w:r w:rsidRPr="002F3433">
        <w:rPr>
          <w:i/>
        </w:rPr>
        <w:t>)</w:t>
      </w:r>
    </w:p>
    <w:p w:rsidR="001D091B" w:rsidRPr="00AF74D4" w:rsidRDefault="00AB5757" w:rsidP="001D091B">
      <w:pPr>
        <w:numPr>
          <w:ilvl w:val="0"/>
          <w:numId w:val="9"/>
        </w:numPr>
        <w:spacing w:line="360" w:lineRule="auto"/>
        <w:ind w:left="567" w:hanging="567"/>
        <w:jc w:val="both"/>
        <w:rPr>
          <w:sz w:val="24"/>
        </w:rPr>
      </w:pPr>
      <w:r w:rsidRPr="00AF74D4">
        <w:rPr>
          <w:sz w:val="24"/>
        </w:rPr>
        <w:t>The</w:t>
      </w:r>
      <w:r w:rsidR="00DB634D" w:rsidRPr="00AF74D4">
        <w:rPr>
          <w:sz w:val="24"/>
        </w:rPr>
        <w:t xml:space="preserve"> i</w:t>
      </w:r>
      <w:r w:rsidR="001D091B" w:rsidRPr="00AF74D4">
        <w:rPr>
          <w:sz w:val="24"/>
        </w:rPr>
        <w:t>nstrument</w:t>
      </w:r>
      <w:r w:rsidR="00DB634D" w:rsidRPr="00AF74D4">
        <w:rPr>
          <w:sz w:val="24"/>
        </w:rPr>
        <w:t>,</w:t>
      </w:r>
      <w:r w:rsidR="001D091B" w:rsidRPr="00AF74D4">
        <w:rPr>
          <w:sz w:val="24"/>
        </w:rPr>
        <w:t xml:space="preserve"> </w:t>
      </w:r>
      <w:r w:rsidR="00A36C75" w:rsidRPr="00AF74D4">
        <w:rPr>
          <w:sz w:val="24"/>
        </w:rPr>
        <w:t>LIN 19/243</w:t>
      </w:r>
      <w:r w:rsidR="00DB634D" w:rsidRPr="00AF74D4">
        <w:rPr>
          <w:sz w:val="24"/>
        </w:rPr>
        <w:t>,</w:t>
      </w:r>
      <w:r w:rsidR="001D091B" w:rsidRPr="00AF74D4">
        <w:rPr>
          <w:sz w:val="24"/>
        </w:rPr>
        <w:t xml:space="preserve"> is made under </w:t>
      </w:r>
      <w:r w:rsidR="00F10631" w:rsidRPr="00AF74D4">
        <w:rPr>
          <w:sz w:val="24"/>
        </w:rPr>
        <w:t xml:space="preserve">subregulation </w:t>
      </w:r>
      <w:proofErr w:type="gramStart"/>
      <w:r w:rsidR="00F10631" w:rsidRPr="00AF74D4">
        <w:rPr>
          <w:sz w:val="24"/>
        </w:rPr>
        <w:t>1.15I(</w:t>
      </w:r>
      <w:proofErr w:type="gramEnd"/>
      <w:r w:rsidR="00F10631" w:rsidRPr="00AF74D4">
        <w:rPr>
          <w:sz w:val="24"/>
        </w:rPr>
        <w:t>1), subregulation 2.26B(1),</w:t>
      </w:r>
      <w:r w:rsidR="00F10631" w:rsidRPr="00AF74D4">
        <w:t xml:space="preserve"> </w:t>
      </w:r>
      <w:r w:rsidR="00F10631" w:rsidRPr="00AF74D4">
        <w:rPr>
          <w:sz w:val="24"/>
        </w:rPr>
        <w:t xml:space="preserve">item 4 of the table in </w:t>
      </w:r>
      <w:proofErr w:type="spellStart"/>
      <w:r w:rsidR="00F10631" w:rsidRPr="00AF74D4">
        <w:rPr>
          <w:sz w:val="24"/>
        </w:rPr>
        <w:t>subitem</w:t>
      </w:r>
      <w:proofErr w:type="spellEnd"/>
      <w:r w:rsidR="00F10631" w:rsidRPr="00AF74D4">
        <w:rPr>
          <w:sz w:val="24"/>
        </w:rPr>
        <w:t xml:space="preserve"> 1230(4) and </w:t>
      </w:r>
      <w:proofErr w:type="spellStart"/>
      <w:r w:rsidR="00F10631" w:rsidRPr="00AF74D4">
        <w:rPr>
          <w:sz w:val="24"/>
        </w:rPr>
        <w:t>subitem</w:t>
      </w:r>
      <w:proofErr w:type="spellEnd"/>
      <w:r w:rsidR="00F10631" w:rsidRPr="00AF74D4">
        <w:rPr>
          <w:sz w:val="24"/>
        </w:rPr>
        <w:t xml:space="preserve"> 1241(5) of Schedule 1</w:t>
      </w:r>
      <w:r w:rsidR="001D091B" w:rsidRPr="00AF74D4">
        <w:rPr>
          <w:sz w:val="24"/>
        </w:rPr>
        <w:t xml:space="preserve"> </w:t>
      </w:r>
      <w:r w:rsidR="004864D4">
        <w:rPr>
          <w:sz w:val="24"/>
        </w:rPr>
        <w:t>to</w:t>
      </w:r>
      <w:r w:rsidR="001D091B" w:rsidRPr="00AF74D4">
        <w:rPr>
          <w:sz w:val="24"/>
        </w:rPr>
        <w:t xml:space="preserve"> the </w:t>
      </w:r>
      <w:r w:rsidR="001D091B" w:rsidRPr="00AF74D4">
        <w:rPr>
          <w:i/>
          <w:sz w:val="24"/>
        </w:rPr>
        <w:t>Migration Regulations 1994</w:t>
      </w:r>
      <w:r w:rsidR="001D091B" w:rsidRPr="00AF74D4">
        <w:rPr>
          <w:sz w:val="24"/>
        </w:rPr>
        <w:t xml:space="preserve"> (the Regulations).</w:t>
      </w:r>
    </w:p>
    <w:p w:rsidR="001D091B" w:rsidRPr="00AF74D4" w:rsidRDefault="00EC2CC3" w:rsidP="002F3433">
      <w:pPr>
        <w:numPr>
          <w:ilvl w:val="0"/>
          <w:numId w:val="9"/>
        </w:numPr>
        <w:spacing w:before="280" w:line="360" w:lineRule="auto"/>
        <w:ind w:left="567" w:hanging="567"/>
        <w:jc w:val="both"/>
        <w:rPr>
          <w:sz w:val="24"/>
        </w:rPr>
      </w:pPr>
      <w:r w:rsidRPr="00AF74D4">
        <w:rPr>
          <w:sz w:val="24"/>
        </w:rPr>
        <w:t>The i</w:t>
      </w:r>
      <w:r w:rsidR="001D091B" w:rsidRPr="00AF74D4">
        <w:rPr>
          <w:sz w:val="24"/>
        </w:rPr>
        <w:t xml:space="preserve">nstrument </w:t>
      </w:r>
      <w:r w:rsidR="00964B9D" w:rsidRPr="00AF74D4">
        <w:rPr>
          <w:sz w:val="24"/>
        </w:rPr>
        <w:t>amends</w:t>
      </w:r>
      <w:r w:rsidR="001D091B" w:rsidRPr="00AF74D4">
        <w:rPr>
          <w:sz w:val="24"/>
        </w:rPr>
        <w:t xml:space="preserve"> </w:t>
      </w:r>
      <w:r w:rsidR="00964B9D" w:rsidRPr="00AF74D4">
        <w:rPr>
          <w:i/>
          <w:sz w:val="24"/>
        </w:rPr>
        <w:t>Migration (LIN 19/051: Specification of Occupations and Assessing Authorities) Instrument 2019</w:t>
      </w:r>
      <w:r w:rsidR="00964B9D" w:rsidRPr="00AF74D4">
        <w:rPr>
          <w:sz w:val="24"/>
        </w:rPr>
        <w:t xml:space="preserve"> </w:t>
      </w:r>
      <w:r w:rsidR="006234CE">
        <w:rPr>
          <w:sz w:val="24"/>
        </w:rPr>
        <w:t xml:space="preserve">(LIN 19/051) </w:t>
      </w:r>
      <w:r w:rsidR="001D091B" w:rsidRPr="00AF74D4">
        <w:rPr>
          <w:sz w:val="24"/>
        </w:rPr>
        <w:t>in accordance with</w:t>
      </w:r>
      <w:r w:rsidR="001D091B" w:rsidRPr="00AF74D4">
        <w:rPr>
          <w:sz w:val="24"/>
          <w:szCs w:val="24"/>
        </w:rPr>
        <w:t xml:space="preserve"> subsection 33(3) of the </w:t>
      </w:r>
      <w:r w:rsidR="001D091B" w:rsidRPr="00AF74D4">
        <w:rPr>
          <w:i/>
          <w:sz w:val="24"/>
          <w:szCs w:val="24"/>
        </w:rPr>
        <w:t>Acts</w:t>
      </w:r>
      <w:r w:rsidR="003726A3" w:rsidRPr="00AF74D4">
        <w:rPr>
          <w:i/>
          <w:sz w:val="24"/>
          <w:szCs w:val="24"/>
        </w:rPr>
        <w:t> </w:t>
      </w:r>
      <w:r w:rsidR="001D091B" w:rsidRPr="00AF74D4">
        <w:rPr>
          <w:i/>
          <w:sz w:val="24"/>
          <w:szCs w:val="24"/>
        </w:rPr>
        <w:t>Interpretation</w:t>
      </w:r>
      <w:r w:rsidR="003726A3" w:rsidRPr="00AF74D4">
        <w:rPr>
          <w:i/>
          <w:sz w:val="24"/>
          <w:szCs w:val="24"/>
        </w:rPr>
        <w:t> </w:t>
      </w:r>
      <w:r w:rsidR="001D091B" w:rsidRPr="00AF74D4">
        <w:rPr>
          <w:i/>
          <w:sz w:val="24"/>
          <w:szCs w:val="24"/>
        </w:rPr>
        <w:t>Act</w:t>
      </w:r>
      <w:r w:rsidR="003726A3" w:rsidRPr="00AF74D4">
        <w:rPr>
          <w:i/>
          <w:sz w:val="24"/>
          <w:szCs w:val="24"/>
        </w:rPr>
        <w:t> </w:t>
      </w:r>
      <w:r w:rsidR="001D091B" w:rsidRPr="00AF74D4">
        <w:rPr>
          <w:i/>
          <w:sz w:val="24"/>
          <w:szCs w:val="24"/>
        </w:rPr>
        <w:t>1901</w:t>
      </w:r>
      <w:r w:rsidR="001D091B" w:rsidRPr="00AF74D4">
        <w:rPr>
          <w:sz w:val="24"/>
          <w:szCs w:val="24"/>
        </w:rPr>
        <w:t xml:space="preserve"> </w:t>
      </w:r>
      <w:bookmarkStart w:id="0" w:name="_GoBack"/>
      <w:bookmarkEnd w:id="0"/>
      <w:r w:rsidR="001D091B" w:rsidRPr="00AF74D4">
        <w:rPr>
          <w:sz w:val="24"/>
          <w:szCs w:val="24"/>
        </w:rPr>
        <w:t>(the AIA). 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rsidR="006E6491" w:rsidRPr="00AF74D4" w:rsidRDefault="006E6491" w:rsidP="002F3433">
      <w:pPr>
        <w:numPr>
          <w:ilvl w:val="0"/>
          <w:numId w:val="9"/>
        </w:numPr>
        <w:spacing w:before="280" w:line="360" w:lineRule="auto"/>
        <w:ind w:left="567" w:hanging="567"/>
        <w:jc w:val="both"/>
        <w:rPr>
          <w:sz w:val="24"/>
        </w:rPr>
      </w:pPr>
      <w:r w:rsidRPr="00AF74D4">
        <w:rPr>
          <w:sz w:val="24"/>
        </w:rPr>
        <w:t>LIN 19/051 operates to specify the applicable occupations and assessing authorities for a person who:</w:t>
      </w:r>
    </w:p>
    <w:p w:rsidR="006E6491" w:rsidRPr="00AF74D4" w:rsidRDefault="006E6491" w:rsidP="002F3433">
      <w:pPr>
        <w:numPr>
          <w:ilvl w:val="1"/>
          <w:numId w:val="9"/>
        </w:numPr>
        <w:spacing w:before="120" w:line="360" w:lineRule="auto"/>
        <w:ind w:left="1434" w:hanging="357"/>
        <w:jc w:val="both"/>
        <w:rPr>
          <w:sz w:val="24"/>
        </w:rPr>
      </w:pPr>
      <w:r w:rsidRPr="00AF74D4">
        <w:rPr>
          <w:sz w:val="24"/>
        </w:rPr>
        <w:t>is issued an invitation to apply for a Subclass 189 (Skilled—Independent) visa</w:t>
      </w:r>
      <w:r w:rsidR="002F3433">
        <w:rPr>
          <w:sz w:val="24"/>
        </w:rPr>
        <w:t xml:space="preserve"> (Subclass 189)</w:t>
      </w:r>
      <w:r w:rsidRPr="00AF74D4">
        <w:rPr>
          <w:sz w:val="24"/>
        </w:rPr>
        <w:t xml:space="preserve">, Subclass 190 (Skilled—Nominated) visa </w:t>
      </w:r>
      <w:r w:rsidR="002F3433">
        <w:rPr>
          <w:sz w:val="24"/>
        </w:rPr>
        <w:t xml:space="preserve">(Subclass 190) </w:t>
      </w:r>
      <w:r w:rsidRPr="00AF74D4">
        <w:rPr>
          <w:sz w:val="24"/>
        </w:rPr>
        <w:t>or Subclass 489 (Skilled—Regional (Provisional)) visa</w:t>
      </w:r>
      <w:r w:rsidR="002F3433">
        <w:rPr>
          <w:sz w:val="24"/>
        </w:rPr>
        <w:t xml:space="preserve"> </w:t>
      </w:r>
      <w:r w:rsidR="002F3433" w:rsidRPr="00AF74D4">
        <w:rPr>
          <w:sz w:val="24"/>
        </w:rPr>
        <w:t>(Subclass 489)</w:t>
      </w:r>
      <w:r w:rsidRPr="00AF74D4">
        <w:rPr>
          <w:sz w:val="24"/>
        </w:rPr>
        <w:t>, on or after 11 March 2019; or</w:t>
      </w:r>
    </w:p>
    <w:p w:rsidR="006E6491" w:rsidRPr="00AF74D4" w:rsidRDefault="006E6491" w:rsidP="002F3433">
      <w:pPr>
        <w:numPr>
          <w:ilvl w:val="1"/>
          <w:numId w:val="9"/>
        </w:numPr>
        <w:spacing w:before="120" w:line="360" w:lineRule="auto"/>
        <w:ind w:left="1434" w:hanging="357"/>
        <w:jc w:val="both"/>
        <w:rPr>
          <w:sz w:val="24"/>
        </w:rPr>
      </w:pPr>
      <w:r w:rsidRPr="00AF74D4">
        <w:rPr>
          <w:sz w:val="24"/>
        </w:rPr>
        <w:t>applies for a Subclass 485 (Temporary</w:t>
      </w:r>
      <w:r w:rsidRPr="00AF74D4">
        <w:t xml:space="preserve"> </w:t>
      </w:r>
      <w:r w:rsidRPr="00AF74D4">
        <w:rPr>
          <w:sz w:val="24"/>
        </w:rPr>
        <w:t>Graduate) visa</w:t>
      </w:r>
      <w:r w:rsidR="002F3433">
        <w:rPr>
          <w:sz w:val="24"/>
        </w:rPr>
        <w:t xml:space="preserve"> (Subclass 485)</w:t>
      </w:r>
      <w:r w:rsidRPr="00AF74D4">
        <w:rPr>
          <w:sz w:val="24"/>
        </w:rPr>
        <w:t>, on or after 11 March 2019; or</w:t>
      </w:r>
    </w:p>
    <w:p w:rsidR="006E6491" w:rsidRPr="00AF74D4" w:rsidRDefault="006E6491" w:rsidP="002F3433">
      <w:pPr>
        <w:numPr>
          <w:ilvl w:val="1"/>
          <w:numId w:val="9"/>
        </w:numPr>
        <w:spacing w:before="120" w:line="360" w:lineRule="auto"/>
        <w:ind w:left="1434" w:hanging="357"/>
        <w:jc w:val="both"/>
        <w:rPr>
          <w:sz w:val="24"/>
        </w:rPr>
      </w:pPr>
      <w:proofErr w:type="gramStart"/>
      <w:r w:rsidRPr="00AF74D4">
        <w:rPr>
          <w:sz w:val="24"/>
        </w:rPr>
        <w:t>is</w:t>
      </w:r>
      <w:proofErr w:type="gramEnd"/>
      <w:r w:rsidRPr="00AF74D4">
        <w:rPr>
          <w:sz w:val="24"/>
        </w:rPr>
        <w:t xml:space="preserve"> the spouse or de facto partner of a person to whom paragraph a. or b. above applies.</w:t>
      </w:r>
    </w:p>
    <w:p w:rsidR="00553889" w:rsidRDefault="00AF74D4" w:rsidP="002F3433">
      <w:pPr>
        <w:numPr>
          <w:ilvl w:val="0"/>
          <w:numId w:val="9"/>
        </w:numPr>
        <w:spacing w:before="280" w:line="360" w:lineRule="auto"/>
        <w:ind w:left="567" w:hanging="567"/>
        <w:jc w:val="both"/>
        <w:rPr>
          <w:sz w:val="24"/>
        </w:rPr>
      </w:pPr>
      <w:r w:rsidRPr="00AF74D4">
        <w:rPr>
          <w:sz w:val="24"/>
        </w:rPr>
        <w:t xml:space="preserve">The purpose of the instrument is to </w:t>
      </w:r>
      <w:r w:rsidR="002F3433">
        <w:rPr>
          <w:sz w:val="24"/>
        </w:rPr>
        <w:t xml:space="preserve">implement changes as a result of the amendments </w:t>
      </w:r>
      <w:r w:rsidRPr="00AF74D4">
        <w:rPr>
          <w:sz w:val="24"/>
        </w:rPr>
        <w:t xml:space="preserve">to the Regulations by the </w:t>
      </w:r>
      <w:r w:rsidRPr="00AF74D4">
        <w:rPr>
          <w:i/>
          <w:sz w:val="24"/>
        </w:rPr>
        <w:t>Migration Amendment (New Skilled Regional Visas) Regulations 2019</w:t>
      </w:r>
      <w:r w:rsidRPr="00AF74D4">
        <w:rPr>
          <w:sz w:val="24"/>
        </w:rPr>
        <w:t xml:space="preserve"> (the amending Regulations), which</w:t>
      </w:r>
      <w:r w:rsidR="00FC30AB">
        <w:rPr>
          <w:sz w:val="24"/>
        </w:rPr>
        <w:t>, among other things,</w:t>
      </w:r>
      <w:r w:rsidRPr="00AF74D4">
        <w:rPr>
          <w:sz w:val="24"/>
        </w:rPr>
        <w:t xml:space="preserve"> </w:t>
      </w:r>
      <w:r w:rsidR="00FD62E5">
        <w:rPr>
          <w:sz w:val="24"/>
        </w:rPr>
        <w:t>will</w:t>
      </w:r>
      <w:r w:rsidRPr="00AF74D4">
        <w:rPr>
          <w:sz w:val="24"/>
        </w:rPr>
        <w:t xml:space="preserve"> introduce the Subclass </w:t>
      </w:r>
      <w:r w:rsidRPr="00AF74D4">
        <w:rPr>
          <w:sz w:val="24"/>
        </w:rPr>
        <w:lastRenderedPageBreak/>
        <w:t xml:space="preserve">491 (Skilled Work Regional (Provisional)) visa (Subclass 491) and close the Subclass 489 visa </w:t>
      </w:r>
      <w:r w:rsidR="009D6D58">
        <w:rPr>
          <w:sz w:val="24"/>
        </w:rPr>
        <w:t>to applicants</w:t>
      </w:r>
      <w:r w:rsidR="004916D7">
        <w:rPr>
          <w:sz w:val="24"/>
        </w:rPr>
        <w:t xml:space="preserve"> in the First Provisional Visa stream</w:t>
      </w:r>
      <w:r w:rsidRPr="00AF74D4">
        <w:rPr>
          <w:sz w:val="24"/>
        </w:rPr>
        <w:t>.</w:t>
      </w:r>
    </w:p>
    <w:p w:rsidR="006E6491" w:rsidRDefault="00553889" w:rsidP="002F3433">
      <w:pPr>
        <w:numPr>
          <w:ilvl w:val="0"/>
          <w:numId w:val="9"/>
        </w:numPr>
        <w:spacing w:before="280" w:line="360" w:lineRule="auto"/>
        <w:ind w:left="567" w:hanging="567"/>
        <w:jc w:val="both"/>
        <w:rPr>
          <w:sz w:val="24"/>
        </w:rPr>
      </w:pPr>
      <w:r>
        <w:rPr>
          <w:sz w:val="24"/>
        </w:rPr>
        <w:t>P</w:t>
      </w:r>
      <w:r w:rsidRPr="00553889">
        <w:rPr>
          <w:sz w:val="24"/>
        </w:rPr>
        <w:t xml:space="preserve">aragraph 1230(2)(aa) of Schedule 1 </w:t>
      </w:r>
      <w:r w:rsidR="004864D4">
        <w:rPr>
          <w:sz w:val="24"/>
        </w:rPr>
        <w:t>to</w:t>
      </w:r>
      <w:r w:rsidRPr="00553889">
        <w:rPr>
          <w:sz w:val="24"/>
        </w:rPr>
        <w:t xml:space="preserve"> the Regulations (as inserted by item 18 of Schedule 1 </w:t>
      </w:r>
      <w:r w:rsidR="004864D4">
        <w:rPr>
          <w:sz w:val="24"/>
        </w:rPr>
        <w:t>to</w:t>
      </w:r>
      <w:r w:rsidRPr="00553889">
        <w:rPr>
          <w:sz w:val="24"/>
        </w:rPr>
        <w:t xml:space="preserve"> the amending Regulations) states that an application by a person seeking to satisfy the primary criteria </w:t>
      </w:r>
      <w:r w:rsidR="000E50DB">
        <w:rPr>
          <w:sz w:val="24"/>
        </w:rPr>
        <w:t>in</w:t>
      </w:r>
      <w:r w:rsidR="000E50DB" w:rsidRPr="00553889">
        <w:rPr>
          <w:sz w:val="24"/>
        </w:rPr>
        <w:t xml:space="preserve"> </w:t>
      </w:r>
      <w:r w:rsidR="00483A3D">
        <w:rPr>
          <w:sz w:val="24"/>
        </w:rPr>
        <w:t xml:space="preserve">the First Provisional </w:t>
      </w:r>
      <w:r w:rsidR="004916D7">
        <w:rPr>
          <w:sz w:val="24"/>
        </w:rPr>
        <w:t>Visa s</w:t>
      </w:r>
      <w:r w:rsidR="000E50DB">
        <w:rPr>
          <w:sz w:val="24"/>
        </w:rPr>
        <w:t xml:space="preserve">tream for </w:t>
      </w:r>
      <w:r w:rsidRPr="00553889">
        <w:rPr>
          <w:sz w:val="24"/>
        </w:rPr>
        <w:t xml:space="preserve">a Subclass 489 visa must be made before 16 November 2019. </w:t>
      </w:r>
      <w:r w:rsidR="00AF74D4" w:rsidRPr="00AF74D4">
        <w:rPr>
          <w:sz w:val="24"/>
        </w:rPr>
        <w:t xml:space="preserve">As </w:t>
      </w:r>
      <w:r w:rsidR="004C6376">
        <w:rPr>
          <w:sz w:val="24"/>
        </w:rPr>
        <w:t xml:space="preserve">such, </w:t>
      </w:r>
      <w:r w:rsidR="00AF74D4" w:rsidRPr="00AF74D4">
        <w:rPr>
          <w:sz w:val="24"/>
        </w:rPr>
        <w:t xml:space="preserve">no new applications </w:t>
      </w:r>
      <w:r w:rsidR="004916D7">
        <w:rPr>
          <w:sz w:val="24"/>
        </w:rPr>
        <w:t>in</w:t>
      </w:r>
      <w:r w:rsidR="004916D7" w:rsidRPr="00AF74D4">
        <w:rPr>
          <w:sz w:val="24"/>
        </w:rPr>
        <w:t xml:space="preserve"> </w:t>
      </w:r>
      <w:r w:rsidR="00114A38">
        <w:rPr>
          <w:sz w:val="24"/>
        </w:rPr>
        <w:t>that stream for the</w:t>
      </w:r>
      <w:r w:rsidR="00483A3D">
        <w:rPr>
          <w:sz w:val="24"/>
        </w:rPr>
        <w:t xml:space="preserve"> </w:t>
      </w:r>
      <w:r w:rsidR="00AF74D4" w:rsidRPr="00AF74D4">
        <w:rPr>
          <w:sz w:val="24"/>
        </w:rPr>
        <w:t>Subclass 489 visa will be accepte</w:t>
      </w:r>
      <w:r w:rsidR="004C6376">
        <w:rPr>
          <w:sz w:val="24"/>
        </w:rPr>
        <w:t>d on or after 16 November 2019</w:t>
      </w:r>
      <w:r w:rsidR="009D6D58">
        <w:rPr>
          <w:sz w:val="24"/>
        </w:rPr>
        <w:t>.</w:t>
      </w:r>
      <w:r w:rsidR="004C6376">
        <w:rPr>
          <w:sz w:val="24"/>
        </w:rPr>
        <w:t xml:space="preserve"> </w:t>
      </w:r>
      <w:r w:rsidR="009D6D58">
        <w:rPr>
          <w:sz w:val="24"/>
        </w:rPr>
        <w:t>T</w:t>
      </w:r>
      <w:r w:rsidR="00AF74D4" w:rsidRPr="00AF74D4">
        <w:rPr>
          <w:sz w:val="24"/>
        </w:rPr>
        <w:t>he instrument seeks to remove from LIN 19/051 all reference to the Subclass 489 visa that are no longer applicable.</w:t>
      </w:r>
    </w:p>
    <w:p w:rsidR="00B4060C" w:rsidRPr="00AF74D4" w:rsidRDefault="002144F6" w:rsidP="002F3433">
      <w:pPr>
        <w:numPr>
          <w:ilvl w:val="0"/>
          <w:numId w:val="9"/>
        </w:numPr>
        <w:spacing w:before="280" w:line="360" w:lineRule="auto"/>
        <w:ind w:left="567" w:hanging="567"/>
        <w:jc w:val="both"/>
        <w:rPr>
          <w:sz w:val="24"/>
        </w:rPr>
      </w:pPr>
      <w:r w:rsidRPr="00C222DC">
        <w:rPr>
          <w:sz w:val="24"/>
        </w:rPr>
        <w:t>Applicants</w:t>
      </w:r>
      <w:r>
        <w:rPr>
          <w:sz w:val="24"/>
        </w:rPr>
        <w:t xml:space="preserve"> who wish to satisfy the primary criteria for the grant of a Subclass 491 visa must nominate a skilled occupation that is specified under </w:t>
      </w:r>
      <w:proofErr w:type="spellStart"/>
      <w:r>
        <w:rPr>
          <w:sz w:val="24"/>
        </w:rPr>
        <w:t>subitem</w:t>
      </w:r>
      <w:proofErr w:type="spellEnd"/>
      <w:r>
        <w:rPr>
          <w:sz w:val="24"/>
        </w:rPr>
        <w:t xml:space="preserve"> 1241(5) of Schedule 1 </w:t>
      </w:r>
      <w:r w:rsidR="004864D4">
        <w:rPr>
          <w:sz w:val="24"/>
        </w:rPr>
        <w:t>to</w:t>
      </w:r>
      <w:r>
        <w:rPr>
          <w:sz w:val="24"/>
        </w:rPr>
        <w:t xml:space="preserve"> the Regulations (as inserted by item 19 of Schedule 1 </w:t>
      </w:r>
      <w:r w:rsidR="004864D4">
        <w:rPr>
          <w:sz w:val="24"/>
        </w:rPr>
        <w:t>to</w:t>
      </w:r>
      <w:r>
        <w:rPr>
          <w:sz w:val="24"/>
        </w:rPr>
        <w:t xml:space="preserve"> the amending Regulations). </w:t>
      </w:r>
      <w:r w:rsidR="00673E58" w:rsidRPr="0090511F">
        <w:rPr>
          <w:sz w:val="24"/>
        </w:rPr>
        <w:t>Items 1 to 5</w:t>
      </w:r>
      <w:r w:rsidR="00673E58">
        <w:rPr>
          <w:sz w:val="24"/>
        </w:rPr>
        <w:t xml:space="preserve"> of Part 1 of Schedule 1 to the instrument seek</w:t>
      </w:r>
      <w:r w:rsidR="00D618F2">
        <w:rPr>
          <w:sz w:val="24"/>
        </w:rPr>
        <w:t xml:space="preserve"> to</w:t>
      </w:r>
      <w:r w:rsidR="00673E58">
        <w:rPr>
          <w:sz w:val="24"/>
        </w:rPr>
        <w:t xml:space="preserve"> ensure </w:t>
      </w:r>
      <w:r w:rsidR="007352A9">
        <w:rPr>
          <w:sz w:val="24"/>
        </w:rPr>
        <w:t xml:space="preserve">that LIN 19/051 specifies </w:t>
      </w:r>
      <w:r w:rsidR="009D6D58">
        <w:rPr>
          <w:sz w:val="24"/>
        </w:rPr>
        <w:t xml:space="preserve">those </w:t>
      </w:r>
      <w:r w:rsidR="00D618F2">
        <w:rPr>
          <w:sz w:val="24"/>
        </w:rPr>
        <w:t>skilled occupations</w:t>
      </w:r>
      <w:r w:rsidR="001A381D">
        <w:rPr>
          <w:sz w:val="24"/>
        </w:rPr>
        <w:t xml:space="preserve"> and, for the purposes of </w:t>
      </w:r>
      <w:r w:rsidR="001A381D" w:rsidRPr="001A381D">
        <w:rPr>
          <w:sz w:val="24"/>
        </w:rPr>
        <w:t xml:space="preserve">subregulation </w:t>
      </w:r>
      <w:proofErr w:type="gramStart"/>
      <w:r w:rsidR="001A381D" w:rsidRPr="001A381D">
        <w:rPr>
          <w:sz w:val="24"/>
        </w:rPr>
        <w:t>2.26B(</w:t>
      </w:r>
      <w:proofErr w:type="gramEnd"/>
      <w:r w:rsidR="001A381D" w:rsidRPr="001A381D">
        <w:rPr>
          <w:sz w:val="24"/>
        </w:rPr>
        <w:t>1</w:t>
      </w:r>
      <w:r w:rsidR="001A381D">
        <w:rPr>
          <w:sz w:val="24"/>
        </w:rPr>
        <w:t>)</w:t>
      </w:r>
      <w:r w:rsidR="0071274E">
        <w:rPr>
          <w:sz w:val="24"/>
        </w:rPr>
        <w:t xml:space="preserve"> of the Regulations</w:t>
      </w:r>
      <w:r w:rsidR="001A381D">
        <w:rPr>
          <w:sz w:val="24"/>
        </w:rPr>
        <w:t xml:space="preserve">, the </w:t>
      </w:r>
      <w:r w:rsidR="009D6D58">
        <w:rPr>
          <w:sz w:val="24"/>
        </w:rPr>
        <w:t xml:space="preserve">relevant </w:t>
      </w:r>
      <w:r w:rsidR="001A381D">
        <w:rPr>
          <w:sz w:val="24"/>
        </w:rPr>
        <w:t xml:space="preserve">assessing authorities. </w:t>
      </w:r>
    </w:p>
    <w:p w:rsidR="00553889" w:rsidRDefault="00553889" w:rsidP="002F3433">
      <w:pPr>
        <w:numPr>
          <w:ilvl w:val="0"/>
          <w:numId w:val="9"/>
        </w:numPr>
        <w:spacing w:before="280" w:line="360" w:lineRule="auto"/>
        <w:ind w:left="567" w:hanging="567"/>
        <w:jc w:val="both"/>
        <w:rPr>
          <w:sz w:val="24"/>
          <w:szCs w:val="24"/>
        </w:rPr>
      </w:pPr>
      <w:r w:rsidRPr="00553889">
        <w:rPr>
          <w:sz w:val="24"/>
        </w:rPr>
        <w:t>The</w:t>
      </w:r>
      <w:r>
        <w:rPr>
          <w:sz w:val="24"/>
          <w:szCs w:val="24"/>
        </w:rPr>
        <w:t xml:space="preserve"> </w:t>
      </w:r>
      <w:r w:rsidRPr="00C222DC">
        <w:rPr>
          <w:sz w:val="24"/>
        </w:rPr>
        <w:t>Minister’s</w:t>
      </w:r>
      <w:r>
        <w:rPr>
          <w:sz w:val="24"/>
          <w:szCs w:val="24"/>
        </w:rPr>
        <w:t xml:space="preserve"> power to make an instrument under subregulation </w:t>
      </w:r>
      <w:proofErr w:type="gramStart"/>
      <w:r>
        <w:rPr>
          <w:sz w:val="24"/>
          <w:szCs w:val="24"/>
        </w:rPr>
        <w:t>2.26B(</w:t>
      </w:r>
      <w:proofErr w:type="gramEnd"/>
      <w:r>
        <w:rPr>
          <w:sz w:val="24"/>
          <w:szCs w:val="24"/>
        </w:rPr>
        <w:t>1) of the Regulations to specify assessing authorities is subject to subregulation 2.26B(1A), which states that the Minister must not make an instrument under subregulation</w:t>
      </w:r>
      <w:r w:rsidR="004C6376">
        <w:rPr>
          <w:sz w:val="24"/>
          <w:szCs w:val="24"/>
        </w:rPr>
        <w:t> </w:t>
      </w:r>
      <w:r>
        <w:rPr>
          <w:sz w:val="24"/>
          <w:szCs w:val="24"/>
        </w:rPr>
        <w:t xml:space="preserve">2.26B(1) </w:t>
      </w:r>
      <w:r w:rsidRPr="00553889">
        <w:rPr>
          <w:sz w:val="24"/>
          <w:szCs w:val="24"/>
        </w:rPr>
        <w:t xml:space="preserve">unless the person or body has been approved in writing as the relevant assessing authority for the occupation by the Employment Minister. The </w:t>
      </w:r>
      <w:r w:rsidR="00C222DC">
        <w:rPr>
          <w:sz w:val="24"/>
          <w:szCs w:val="24"/>
        </w:rPr>
        <w:t>Employment</w:t>
      </w:r>
      <w:r w:rsidRPr="00553889">
        <w:rPr>
          <w:sz w:val="24"/>
          <w:szCs w:val="24"/>
        </w:rPr>
        <w:t xml:space="preserve"> Minister has approved the changes to the assessing authorities in writing.</w:t>
      </w:r>
    </w:p>
    <w:p w:rsidR="00801771" w:rsidRDefault="00F0703D" w:rsidP="002F3433">
      <w:pPr>
        <w:numPr>
          <w:ilvl w:val="0"/>
          <w:numId w:val="9"/>
        </w:numPr>
        <w:spacing w:before="280" w:line="360" w:lineRule="auto"/>
        <w:ind w:left="567" w:hanging="567"/>
        <w:jc w:val="both"/>
        <w:rPr>
          <w:sz w:val="24"/>
          <w:szCs w:val="24"/>
        </w:rPr>
      </w:pPr>
      <w:r w:rsidRPr="00B7746F">
        <w:rPr>
          <w:sz w:val="24"/>
        </w:rPr>
        <w:t>The</w:t>
      </w:r>
      <w:r>
        <w:rPr>
          <w:sz w:val="24"/>
          <w:szCs w:val="24"/>
        </w:rPr>
        <w:t xml:space="preserve"> </w:t>
      </w:r>
      <w:r w:rsidRPr="00C222DC">
        <w:rPr>
          <w:sz w:val="24"/>
        </w:rPr>
        <w:t>amendments</w:t>
      </w:r>
      <w:r>
        <w:rPr>
          <w:sz w:val="24"/>
          <w:szCs w:val="24"/>
        </w:rPr>
        <w:t xml:space="preserve"> made by </w:t>
      </w:r>
      <w:r w:rsidR="007E2764">
        <w:rPr>
          <w:sz w:val="24"/>
          <w:szCs w:val="24"/>
        </w:rPr>
        <w:t xml:space="preserve">Part 1 of </w:t>
      </w:r>
      <w:r w:rsidR="00801771">
        <w:rPr>
          <w:sz w:val="24"/>
          <w:szCs w:val="24"/>
        </w:rPr>
        <w:t xml:space="preserve">Schedule 1 </w:t>
      </w:r>
      <w:r w:rsidR="00073B29">
        <w:rPr>
          <w:sz w:val="24"/>
          <w:szCs w:val="24"/>
        </w:rPr>
        <w:t>to</w:t>
      </w:r>
      <w:r w:rsidR="00801771">
        <w:rPr>
          <w:sz w:val="24"/>
          <w:szCs w:val="24"/>
        </w:rPr>
        <w:t xml:space="preserve"> </w:t>
      </w:r>
      <w:r>
        <w:rPr>
          <w:sz w:val="24"/>
          <w:szCs w:val="24"/>
        </w:rPr>
        <w:t xml:space="preserve">the instrument will only apply to persons who have made an application for the Subclass 491 visa on or after 16 November 2019. The amendments made by </w:t>
      </w:r>
      <w:r w:rsidR="007E2764">
        <w:rPr>
          <w:sz w:val="24"/>
          <w:szCs w:val="24"/>
        </w:rPr>
        <w:t xml:space="preserve">Part 1 of </w:t>
      </w:r>
      <w:r w:rsidR="00801771">
        <w:rPr>
          <w:sz w:val="24"/>
          <w:szCs w:val="24"/>
        </w:rPr>
        <w:t xml:space="preserve">Schedule 1 of </w:t>
      </w:r>
      <w:r>
        <w:rPr>
          <w:sz w:val="24"/>
          <w:szCs w:val="24"/>
        </w:rPr>
        <w:t>the instrument will not apply in relation to applications for a Subclass 489 visa made before 16 November 2019.</w:t>
      </w:r>
    </w:p>
    <w:p w:rsidR="0004665B" w:rsidRDefault="00283DDA" w:rsidP="002F3433">
      <w:pPr>
        <w:numPr>
          <w:ilvl w:val="0"/>
          <w:numId w:val="9"/>
        </w:numPr>
        <w:spacing w:before="280" w:line="360" w:lineRule="auto"/>
        <w:ind w:left="567" w:hanging="567"/>
        <w:jc w:val="both"/>
        <w:rPr>
          <w:sz w:val="24"/>
          <w:szCs w:val="24"/>
        </w:rPr>
      </w:pPr>
      <w:r>
        <w:rPr>
          <w:sz w:val="24"/>
          <w:szCs w:val="24"/>
        </w:rPr>
        <w:t xml:space="preserve">The </w:t>
      </w:r>
      <w:r w:rsidRPr="00C222DC">
        <w:rPr>
          <w:sz w:val="24"/>
        </w:rPr>
        <w:t>instrument</w:t>
      </w:r>
      <w:r>
        <w:rPr>
          <w:sz w:val="24"/>
          <w:szCs w:val="24"/>
        </w:rPr>
        <w:t xml:space="preserve"> also makes changes to the assessing authority for occupations of child </w:t>
      </w:r>
      <w:proofErr w:type="gramStart"/>
      <w:r>
        <w:rPr>
          <w:sz w:val="24"/>
          <w:szCs w:val="24"/>
        </w:rPr>
        <w:t>care</w:t>
      </w:r>
      <w:proofErr w:type="gramEnd"/>
      <w:r>
        <w:rPr>
          <w:sz w:val="24"/>
          <w:szCs w:val="24"/>
        </w:rPr>
        <w:t xml:space="preserve"> centre manager (ANZSCO code 134111) and podiatrist (ANZSCO code 252611) in the Medium and L</w:t>
      </w:r>
      <w:r w:rsidR="00316D79">
        <w:rPr>
          <w:sz w:val="24"/>
          <w:szCs w:val="24"/>
        </w:rPr>
        <w:t xml:space="preserve">ong-term Strategic Skills List. The amendment made by </w:t>
      </w:r>
      <w:r w:rsidR="00316D79" w:rsidRPr="00CA78FF">
        <w:rPr>
          <w:sz w:val="24"/>
          <w:szCs w:val="24"/>
        </w:rPr>
        <w:t>item 3</w:t>
      </w:r>
      <w:r w:rsidR="00316D79">
        <w:rPr>
          <w:sz w:val="24"/>
          <w:szCs w:val="24"/>
        </w:rPr>
        <w:t xml:space="preserve"> </w:t>
      </w:r>
      <w:r w:rsidR="00376F58">
        <w:rPr>
          <w:sz w:val="24"/>
          <w:szCs w:val="24"/>
        </w:rPr>
        <w:t xml:space="preserve">in Schedule 2 </w:t>
      </w:r>
      <w:r w:rsidR="00073B29">
        <w:rPr>
          <w:sz w:val="24"/>
          <w:szCs w:val="24"/>
        </w:rPr>
        <w:t>to</w:t>
      </w:r>
      <w:r w:rsidR="00316D79">
        <w:rPr>
          <w:sz w:val="24"/>
          <w:szCs w:val="24"/>
        </w:rPr>
        <w:t xml:space="preserve"> the instrument changes t</w:t>
      </w:r>
      <w:r>
        <w:rPr>
          <w:sz w:val="24"/>
          <w:szCs w:val="24"/>
        </w:rPr>
        <w:t xml:space="preserve">he assessing authority for child care centre manager from Trades Recognition Australia (TRA) to </w:t>
      </w:r>
      <w:r w:rsidR="00316D79" w:rsidRPr="00316D79">
        <w:rPr>
          <w:sz w:val="24"/>
          <w:szCs w:val="24"/>
        </w:rPr>
        <w:t>Australian Children’s Education and Care Quality Authority</w:t>
      </w:r>
      <w:r w:rsidR="00316D79">
        <w:rPr>
          <w:sz w:val="24"/>
          <w:szCs w:val="24"/>
        </w:rPr>
        <w:t xml:space="preserve"> (ACECQA). The amendment made by </w:t>
      </w:r>
      <w:r w:rsidR="00316D79" w:rsidRPr="00CA78FF">
        <w:rPr>
          <w:sz w:val="24"/>
          <w:szCs w:val="24"/>
        </w:rPr>
        <w:t>item 5</w:t>
      </w:r>
      <w:r w:rsidR="00316D79">
        <w:rPr>
          <w:sz w:val="24"/>
          <w:szCs w:val="24"/>
        </w:rPr>
        <w:t xml:space="preserve"> </w:t>
      </w:r>
      <w:r w:rsidR="00376F58">
        <w:rPr>
          <w:sz w:val="24"/>
          <w:szCs w:val="24"/>
        </w:rPr>
        <w:t xml:space="preserve">in Schedule 2 </w:t>
      </w:r>
      <w:r w:rsidR="00073B29">
        <w:rPr>
          <w:sz w:val="24"/>
          <w:szCs w:val="24"/>
        </w:rPr>
        <w:t>to</w:t>
      </w:r>
      <w:r w:rsidR="00316D79">
        <w:rPr>
          <w:sz w:val="24"/>
          <w:szCs w:val="24"/>
        </w:rPr>
        <w:t xml:space="preserve"> the </w:t>
      </w:r>
      <w:r w:rsidR="00316D79">
        <w:rPr>
          <w:sz w:val="24"/>
          <w:szCs w:val="24"/>
        </w:rPr>
        <w:lastRenderedPageBreak/>
        <w:t xml:space="preserve">instrument changes the assessing authority for podiatrist from the </w:t>
      </w:r>
      <w:r w:rsidR="00316D79" w:rsidRPr="00316D79">
        <w:rPr>
          <w:sz w:val="24"/>
          <w:szCs w:val="24"/>
        </w:rPr>
        <w:t>Australian and New Zealand Podiatry Accreditation Council Limited</w:t>
      </w:r>
      <w:r w:rsidR="00316D79">
        <w:rPr>
          <w:sz w:val="24"/>
          <w:szCs w:val="24"/>
        </w:rPr>
        <w:t xml:space="preserve"> (ANZPAC) to the Podiatry Board of Australia (</w:t>
      </w:r>
      <w:proofErr w:type="spellStart"/>
      <w:r w:rsidR="00316D79">
        <w:rPr>
          <w:sz w:val="24"/>
          <w:szCs w:val="24"/>
        </w:rPr>
        <w:t>PodBA</w:t>
      </w:r>
      <w:proofErr w:type="spellEnd"/>
      <w:r w:rsidR="00316D79">
        <w:rPr>
          <w:sz w:val="24"/>
          <w:szCs w:val="24"/>
        </w:rPr>
        <w:t>).</w:t>
      </w:r>
      <w:r w:rsidR="00507C77">
        <w:rPr>
          <w:sz w:val="24"/>
          <w:szCs w:val="24"/>
        </w:rPr>
        <w:t xml:space="preserve"> These changes will apply in relation to applications made after 16 November 2019, for either a Subclass 491 visa, a </w:t>
      </w:r>
      <w:r w:rsidR="00507C77" w:rsidRPr="00211A04">
        <w:rPr>
          <w:sz w:val="24"/>
          <w:szCs w:val="24"/>
        </w:rPr>
        <w:t xml:space="preserve">Subclass 189 visa, </w:t>
      </w:r>
      <w:r w:rsidR="00507C77">
        <w:rPr>
          <w:sz w:val="24"/>
          <w:szCs w:val="24"/>
        </w:rPr>
        <w:t xml:space="preserve">a </w:t>
      </w:r>
      <w:r w:rsidR="00507C77" w:rsidRPr="00211A04">
        <w:rPr>
          <w:sz w:val="24"/>
          <w:szCs w:val="24"/>
        </w:rPr>
        <w:t xml:space="preserve">Subclass 190 visa </w:t>
      </w:r>
      <w:r w:rsidR="00507C77">
        <w:rPr>
          <w:sz w:val="24"/>
          <w:szCs w:val="24"/>
        </w:rPr>
        <w:t>or</w:t>
      </w:r>
      <w:r w:rsidR="00507C77" w:rsidRPr="00211A04">
        <w:rPr>
          <w:sz w:val="24"/>
          <w:szCs w:val="24"/>
        </w:rPr>
        <w:t xml:space="preserve"> </w:t>
      </w:r>
      <w:r w:rsidR="00507C77">
        <w:rPr>
          <w:sz w:val="24"/>
          <w:szCs w:val="24"/>
        </w:rPr>
        <w:t>a</w:t>
      </w:r>
      <w:r w:rsidR="00507C77" w:rsidRPr="00211A04">
        <w:rPr>
          <w:sz w:val="24"/>
          <w:szCs w:val="24"/>
        </w:rPr>
        <w:t xml:space="preserve"> Subclass 485 visa</w:t>
      </w:r>
      <w:r w:rsidR="00507C77">
        <w:rPr>
          <w:sz w:val="24"/>
          <w:szCs w:val="24"/>
        </w:rPr>
        <w:t>.</w:t>
      </w:r>
    </w:p>
    <w:p w:rsidR="004864D4" w:rsidRDefault="004864D4" w:rsidP="002F3433">
      <w:pPr>
        <w:numPr>
          <w:ilvl w:val="0"/>
          <w:numId w:val="9"/>
        </w:numPr>
        <w:spacing w:before="280" w:line="360" w:lineRule="auto"/>
        <w:ind w:left="567" w:hanging="567"/>
        <w:jc w:val="both"/>
        <w:rPr>
          <w:sz w:val="24"/>
          <w:szCs w:val="24"/>
        </w:rPr>
      </w:pPr>
      <w:r w:rsidRPr="00C330B4">
        <w:rPr>
          <w:sz w:val="24"/>
        </w:rPr>
        <w:t>The</w:t>
      </w:r>
      <w:r>
        <w:rPr>
          <w:sz w:val="24"/>
          <w:szCs w:val="24"/>
        </w:rPr>
        <w:t xml:space="preserve"> </w:t>
      </w:r>
      <w:r w:rsidRPr="00C222DC">
        <w:rPr>
          <w:sz w:val="24"/>
        </w:rPr>
        <w:t>amendment</w:t>
      </w:r>
      <w:r>
        <w:rPr>
          <w:sz w:val="24"/>
          <w:szCs w:val="24"/>
        </w:rPr>
        <w:t xml:space="preserve"> made by item 7 in Schedule 2 to the </w:t>
      </w:r>
      <w:r w:rsidR="00F24931">
        <w:rPr>
          <w:sz w:val="24"/>
          <w:szCs w:val="24"/>
        </w:rPr>
        <w:t xml:space="preserve">instrument ensures </w:t>
      </w:r>
      <w:r w:rsidR="00FA7F47" w:rsidRPr="00FA7F47">
        <w:rPr>
          <w:sz w:val="24"/>
          <w:szCs w:val="24"/>
        </w:rPr>
        <w:t xml:space="preserve">that skills assessments which occurred before 16 November 2019 and are specified in the table in section </w:t>
      </w:r>
      <w:r w:rsidR="00FA7F47">
        <w:rPr>
          <w:sz w:val="24"/>
          <w:szCs w:val="24"/>
        </w:rPr>
        <w:t xml:space="preserve">10A  under the item </w:t>
      </w:r>
      <w:r w:rsidR="00FA7F47" w:rsidRPr="00FA7F47">
        <w:rPr>
          <w:sz w:val="24"/>
          <w:szCs w:val="24"/>
        </w:rPr>
        <w:t>are valid for the purposes</w:t>
      </w:r>
      <w:r w:rsidR="00F24931">
        <w:rPr>
          <w:sz w:val="24"/>
          <w:szCs w:val="24"/>
        </w:rPr>
        <w:t xml:space="preserve"> of </w:t>
      </w:r>
      <w:proofErr w:type="spellStart"/>
      <w:r w:rsidR="00FA7F47">
        <w:rPr>
          <w:sz w:val="24"/>
          <w:szCs w:val="24"/>
        </w:rPr>
        <w:t>subregulation</w:t>
      </w:r>
      <w:proofErr w:type="spellEnd"/>
      <w:r w:rsidR="00FA7F47">
        <w:rPr>
          <w:sz w:val="24"/>
          <w:szCs w:val="24"/>
        </w:rPr>
        <w:t xml:space="preserve"> 2.26B(1)</w:t>
      </w:r>
      <w:r w:rsidR="00F24931">
        <w:rPr>
          <w:sz w:val="24"/>
          <w:szCs w:val="24"/>
        </w:rPr>
        <w:t xml:space="preserve"> of the Regulations. </w:t>
      </w:r>
      <w:r w:rsidR="00F24931" w:rsidRPr="00F24931">
        <w:rPr>
          <w:sz w:val="24"/>
          <w:szCs w:val="24"/>
        </w:rPr>
        <w:t xml:space="preserve">The table provides </w:t>
      </w:r>
      <w:r w:rsidR="00F24931">
        <w:rPr>
          <w:sz w:val="24"/>
          <w:szCs w:val="24"/>
        </w:rPr>
        <w:t xml:space="preserve">that the </w:t>
      </w:r>
      <w:r w:rsidR="00F24931" w:rsidRPr="00F24931">
        <w:rPr>
          <w:sz w:val="24"/>
          <w:szCs w:val="24"/>
        </w:rPr>
        <w:t xml:space="preserve">assessing authorities for the occupations of child care centre manager (ANZSCO code 134111) and podiatrist (ANZSCO code 252611) are specified as Trades Recognition Australia and the Australian and New Zealand Podiatry Accreditation Council Limited respectively. These assessing authorities are only specified for the purpose of </w:t>
      </w:r>
      <w:proofErr w:type="spellStart"/>
      <w:r w:rsidR="00FA7F47">
        <w:rPr>
          <w:sz w:val="24"/>
          <w:szCs w:val="24"/>
        </w:rPr>
        <w:t>subregulation</w:t>
      </w:r>
      <w:proofErr w:type="spellEnd"/>
      <w:r w:rsidR="00FA7F47">
        <w:rPr>
          <w:sz w:val="24"/>
          <w:szCs w:val="24"/>
        </w:rPr>
        <w:t xml:space="preserve"> </w:t>
      </w:r>
      <w:proofErr w:type="gramStart"/>
      <w:r w:rsidR="00FA7F47">
        <w:rPr>
          <w:sz w:val="24"/>
          <w:szCs w:val="24"/>
        </w:rPr>
        <w:t>2.26B(</w:t>
      </w:r>
      <w:proofErr w:type="gramEnd"/>
      <w:r w:rsidR="00FA7F47">
        <w:rPr>
          <w:sz w:val="24"/>
          <w:szCs w:val="24"/>
        </w:rPr>
        <w:t xml:space="preserve">1) </w:t>
      </w:r>
      <w:r w:rsidR="00F24931">
        <w:rPr>
          <w:sz w:val="24"/>
          <w:szCs w:val="24"/>
        </w:rPr>
        <w:t>of the Regulations</w:t>
      </w:r>
      <w:r w:rsidR="00F24931" w:rsidRPr="00F24931">
        <w:rPr>
          <w:sz w:val="24"/>
          <w:szCs w:val="24"/>
        </w:rPr>
        <w:t xml:space="preserve"> for assessments that occur prior to 16 November 2019.</w:t>
      </w:r>
    </w:p>
    <w:p w:rsidR="00C97EA1" w:rsidRPr="0071274E" w:rsidRDefault="00C66A6E" w:rsidP="002F3433">
      <w:pPr>
        <w:numPr>
          <w:ilvl w:val="0"/>
          <w:numId w:val="9"/>
        </w:numPr>
        <w:spacing w:before="280" w:line="360" w:lineRule="auto"/>
        <w:ind w:left="567" w:hanging="567"/>
        <w:jc w:val="both"/>
        <w:rPr>
          <w:sz w:val="24"/>
          <w:szCs w:val="24"/>
        </w:rPr>
      </w:pPr>
      <w:r>
        <w:rPr>
          <w:sz w:val="24"/>
          <w:szCs w:val="24"/>
        </w:rPr>
        <w:t xml:space="preserve">In </w:t>
      </w:r>
      <w:r w:rsidRPr="00C222DC">
        <w:rPr>
          <w:sz w:val="24"/>
        </w:rPr>
        <w:t>addition</w:t>
      </w:r>
      <w:r>
        <w:rPr>
          <w:sz w:val="24"/>
          <w:szCs w:val="24"/>
        </w:rPr>
        <w:t>, t</w:t>
      </w:r>
      <w:r w:rsidR="000532DE">
        <w:rPr>
          <w:sz w:val="24"/>
          <w:szCs w:val="24"/>
        </w:rPr>
        <w:t xml:space="preserve">he amendments made </w:t>
      </w:r>
      <w:r w:rsidR="000532DE" w:rsidRPr="00C330B4">
        <w:rPr>
          <w:sz w:val="24"/>
          <w:szCs w:val="24"/>
        </w:rPr>
        <w:t xml:space="preserve">by </w:t>
      </w:r>
      <w:r w:rsidR="007E2764" w:rsidRPr="00C330B4">
        <w:rPr>
          <w:sz w:val="24"/>
          <w:szCs w:val="24"/>
        </w:rPr>
        <w:t xml:space="preserve">items </w:t>
      </w:r>
      <w:r w:rsidR="0004665B" w:rsidRPr="00C330B4">
        <w:rPr>
          <w:sz w:val="24"/>
          <w:szCs w:val="24"/>
        </w:rPr>
        <w:t>1, 2, 4 and 6</w:t>
      </w:r>
      <w:r w:rsidR="007E2764" w:rsidRPr="00C330B4">
        <w:rPr>
          <w:sz w:val="24"/>
          <w:szCs w:val="24"/>
        </w:rPr>
        <w:t xml:space="preserve"> in</w:t>
      </w:r>
      <w:r w:rsidR="007E2764">
        <w:rPr>
          <w:sz w:val="24"/>
          <w:szCs w:val="24"/>
        </w:rPr>
        <w:t xml:space="preserve"> </w:t>
      </w:r>
      <w:r w:rsidR="000532DE">
        <w:rPr>
          <w:sz w:val="24"/>
          <w:szCs w:val="24"/>
        </w:rPr>
        <w:t xml:space="preserve">Schedule 2 of the </w:t>
      </w:r>
      <w:r w:rsidR="000532DE" w:rsidRPr="000532DE">
        <w:rPr>
          <w:sz w:val="24"/>
          <w:szCs w:val="24"/>
        </w:rPr>
        <w:t xml:space="preserve">instrument </w:t>
      </w:r>
      <w:r w:rsidR="000532DE">
        <w:rPr>
          <w:sz w:val="24"/>
          <w:szCs w:val="24"/>
        </w:rPr>
        <w:t xml:space="preserve">clarifies </w:t>
      </w:r>
      <w:r w:rsidR="000532DE" w:rsidRPr="000532DE">
        <w:rPr>
          <w:sz w:val="24"/>
          <w:szCs w:val="24"/>
        </w:rPr>
        <w:t xml:space="preserve">the assessing authority for the occupation of physicist (ANZSCO code 234914) as </w:t>
      </w:r>
      <w:r w:rsidR="000D238D" w:rsidRPr="000D238D">
        <w:rPr>
          <w:sz w:val="24"/>
          <w:szCs w:val="24"/>
        </w:rPr>
        <w:t xml:space="preserve">Vocational Education and Training Assessment Services </w:t>
      </w:r>
      <w:r w:rsidR="000D238D">
        <w:rPr>
          <w:sz w:val="24"/>
          <w:szCs w:val="24"/>
        </w:rPr>
        <w:t>(</w:t>
      </w:r>
      <w:r w:rsidR="000532DE" w:rsidRPr="000532DE">
        <w:rPr>
          <w:sz w:val="24"/>
          <w:szCs w:val="24"/>
        </w:rPr>
        <w:t>VETASSESS</w:t>
      </w:r>
      <w:r w:rsidR="000D238D">
        <w:rPr>
          <w:sz w:val="24"/>
          <w:szCs w:val="24"/>
        </w:rPr>
        <w:t>)</w:t>
      </w:r>
      <w:r w:rsidR="000532DE" w:rsidRPr="000532DE">
        <w:rPr>
          <w:sz w:val="24"/>
          <w:szCs w:val="24"/>
        </w:rPr>
        <w:t xml:space="preserve">, except for in the case of medical physicists. The assessing authority for a medical physicist is </w:t>
      </w:r>
      <w:r w:rsidR="00C330B4">
        <w:rPr>
          <w:sz w:val="24"/>
          <w:szCs w:val="24"/>
        </w:rPr>
        <w:t xml:space="preserve">the </w:t>
      </w:r>
      <w:r w:rsidR="000D238D" w:rsidRPr="000D238D">
        <w:rPr>
          <w:sz w:val="24"/>
          <w:szCs w:val="24"/>
        </w:rPr>
        <w:t xml:space="preserve">Australasian College of Physical Scientists and Engineers in Medicine </w:t>
      </w:r>
      <w:r w:rsidR="000D238D">
        <w:rPr>
          <w:sz w:val="24"/>
          <w:szCs w:val="24"/>
        </w:rPr>
        <w:t>(</w:t>
      </w:r>
      <w:r w:rsidR="000532DE" w:rsidRPr="000532DE">
        <w:rPr>
          <w:sz w:val="24"/>
          <w:szCs w:val="24"/>
        </w:rPr>
        <w:t>ACPSEM</w:t>
      </w:r>
      <w:r w:rsidR="000D238D">
        <w:rPr>
          <w:sz w:val="24"/>
          <w:szCs w:val="24"/>
        </w:rPr>
        <w:t>)</w:t>
      </w:r>
      <w:r w:rsidR="000532DE" w:rsidRPr="000532DE">
        <w:rPr>
          <w:sz w:val="24"/>
          <w:szCs w:val="24"/>
        </w:rPr>
        <w:t>.</w:t>
      </w:r>
      <w:r w:rsidR="0071274E">
        <w:rPr>
          <w:sz w:val="24"/>
          <w:szCs w:val="24"/>
        </w:rPr>
        <w:t xml:space="preserve"> </w:t>
      </w:r>
      <w:r w:rsidR="00801771" w:rsidRPr="0071274E">
        <w:rPr>
          <w:sz w:val="24"/>
          <w:szCs w:val="24"/>
        </w:rPr>
        <w:t>The</w:t>
      </w:r>
      <w:r w:rsidR="000532DE" w:rsidRPr="0071274E">
        <w:rPr>
          <w:sz w:val="24"/>
          <w:szCs w:val="24"/>
        </w:rPr>
        <w:t>se changes</w:t>
      </w:r>
      <w:r w:rsidR="00801771" w:rsidRPr="0071274E">
        <w:rPr>
          <w:sz w:val="24"/>
          <w:szCs w:val="24"/>
        </w:rPr>
        <w:t xml:space="preserve"> </w:t>
      </w:r>
      <w:r w:rsidR="0071274E">
        <w:rPr>
          <w:sz w:val="24"/>
          <w:szCs w:val="24"/>
        </w:rPr>
        <w:t xml:space="preserve">have been made to </w:t>
      </w:r>
      <w:r w:rsidR="00BD58D3">
        <w:rPr>
          <w:sz w:val="24"/>
          <w:szCs w:val="24"/>
        </w:rPr>
        <w:t xml:space="preserve">clarify </w:t>
      </w:r>
      <w:r w:rsidR="0071274E">
        <w:rPr>
          <w:sz w:val="24"/>
          <w:szCs w:val="24"/>
        </w:rPr>
        <w:t xml:space="preserve">the language in section 8 of LIN 19/051 and </w:t>
      </w:r>
      <w:r w:rsidR="009D6D58">
        <w:rPr>
          <w:sz w:val="24"/>
          <w:szCs w:val="24"/>
        </w:rPr>
        <w:t>do</w:t>
      </w:r>
      <w:r w:rsidR="0071274E">
        <w:rPr>
          <w:sz w:val="24"/>
          <w:szCs w:val="24"/>
        </w:rPr>
        <w:t xml:space="preserve"> not alter the prior intention of that instrument. </w:t>
      </w:r>
      <w:r w:rsidR="0071274E" w:rsidRPr="0071274E">
        <w:rPr>
          <w:sz w:val="24"/>
          <w:szCs w:val="24"/>
        </w:rPr>
        <w:t xml:space="preserve">Under section 15AC of the </w:t>
      </w:r>
      <w:r w:rsidR="0071274E">
        <w:rPr>
          <w:sz w:val="24"/>
          <w:szCs w:val="24"/>
        </w:rPr>
        <w:t>AIA</w:t>
      </w:r>
      <w:r w:rsidR="0071274E" w:rsidRPr="0071274E">
        <w:rPr>
          <w:sz w:val="24"/>
          <w:szCs w:val="24"/>
        </w:rPr>
        <w:t>, where an Act or instrument has expressed an idea in a particular form of words and a later Act or instrument appears to have expressed the same idea in a different form of words for the purpose of using a clearer style, the ideas shall not be taken to be different merely because different forms of words were used.</w:t>
      </w:r>
    </w:p>
    <w:p w:rsidR="007E2764" w:rsidRPr="006313B4" w:rsidRDefault="007E2764" w:rsidP="002F3433">
      <w:pPr>
        <w:numPr>
          <w:ilvl w:val="0"/>
          <w:numId w:val="9"/>
        </w:numPr>
        <w:spacing w:before="280" w:line="360" w:lineRule="auto"/>
        <w:ind w:left="567" w:hanging="567"/>
        <w:jc w:val="both"/>
        <w:rPr>
          <w:sz w:val="24"/>
          <w:szCs w:val="24"/>
        </w:rPr>
      </w:pPr>
      <w:r w:rsidRPr="006313B4">
        <w:rPr>
          <w:sz w:val="24"/>
          <w:szCs w:val="24"/>
        </w:rPr>
        <w:t>Th</w:t>
      </w:r>
      <w:r w:rsidR="00314ACE">
        <w:rPr>
          <w:sz w:val="24"/>
          <w:szCs w:val="24"/>
        </w:rPr>
        <w:t>e</w:t>
      </w:r>
      <w:r w:rsidRPr="006313B4">
        <w:rPr>
          <w:sz w:val="24"/>
          <w:szCs w:val="24"/>
        </w:rPr>
        <w:t xml:space="preserve"> instrument is part of a package introducing new regional visas designed to deliver a migration program that can respond more effectively to the needs of regional Australia. These changes will also assist with governmental priorities to attract highly skilled migrants to regional areas and ease population pressure in major cities.</w:t>
      </w:r>
    </w:p>
    <w:p w:rsidR="007E2764" w:rsidRPr="00C222DC" w:rsidRDefault="007E2764" w:rsidP="002F3433">
      <w:pPr>
        <w:numPr>
          <w:ilvl w:val="0"/>
          <w:numId w:val="9"/>
        </w:numPr>
        <w:spacing w:before="280" w:line="360" w:lineRule="auto"/>
        <w:ind w:left="567" w:hanging="567"/>
        <w:jc w:val="both"/>
        <w:rPr>
          <w:sz w:val="24"/>
          <w:szCs w:val="24"/>
        </w:rPr>
      </w:pPr>
      <w:r w:rsidRPr="00C222DC">
        <w:rPr>
          <w:sz w:val="24"/>
        </w:rPr>
        <w:t>Pursuant</w:t>
      </w:r>
      <w:r w:rsidRPr="006313B4">
        <w:rPr>
          <w:sz w:val="24"/>
          <w:szCs w:val="24"/>
        </w:rPr>
        <w:t xml:space="preserve"> to the frequency and volume of the legislative amendments that are required to maintain a dynamic and responsive immigration system, it has been a consistent practice </w:t>
      </w:r>
      <w:r w:rsidRPr="006313B4">
        <w:rPr>
          <w:sz w:val="24"/>
          <w:szCs w:val="24"/>
        </w:rPr>
        <w:lastRenderedPageBreak/>
        <w:t xml:space="preserve">to include certain criteria and conditions in delegated legislation. The criteria for the new </w:t>
      </w:r>
      <w:r>
        <w:rPr>
          <w:sz w:val="24"/>
          <w:szCs w:val="24"/>
        </w:rPr>
        <w:t>Subclass 491 visa</w:t>
      </w:r>
      <w:r w:rsidRPr="006313B4">
        <w:rPr>
          <w:sz w:val="24"/>
          <w:szCs w:val="24"/>
        </w:rPr>
        <w:t xml:space="preserve"> </w:t>
      </w:r>
      <w:r>
        <w:rPr>
          <w:sz w:val="24"/>
          <w:szCs w:val="24"/>
        </w:rPr>
        <w:t xml:space="preserve">has </w:t>
      </w:r>
      <w:r w:rsidRPr="006313B4">
        <w:rPr>
          <w:sz w:val="24"/>
          <w:szCs w:val="24"/>
        </w:rPr>
        <w:t xml:space="preserve">been included in delegated legislation rather than </w:t>
      </w:r>
      <w:r w:rsidRPr="00C222DC">
        <w:rPr>
          <w:sz w:val="24"/>
          <w:szCs w:val="24"/>
        </w:rPr>
        <w:t xml:space="preserve">primary legislation to give the Government oversight and the ability to respond in a timely and transparent manner to emerging situations which may include changes in the labour market and the economy. In addition, instruments made under delegated legislation are subject to the scrutiny framework out in the </w:t>
      </w:r>
      <w:r w:rsidRPr="00C222DC">
        <w:rPr>
          <w:i/>
          <w:iCs/>
          <w:sz w:val="24"/>
          <w:szCs w:val="24"/>
        </w:rPr>
        <w:t>Legislation Act 2003</w:t>
      </w:r>
      <w:r w:rsidRPr="00C222DC">
        <w:rPr>
          <w:sz w:val="24"/>
          <w:szCs w:val="24"/>
        </w:rPr>
        <w:t>, and oversight of the amendments is available to the Parliament under the same legislation.</w:t>
      </w:r>
    </w:p>
    <w:p w:rsidR="00C222DC" w:rsidRPr="00C222DC" w:rsidRDefault="00C222DC" w:rsidP="002F3433">
      <w:pPr>
        <w:numPr>
          <w:ilvl w:val="0"/>
          <w:numId w:val="9"/>
        </w:numPr>
        <w:spacing w:before="280" w:line="360" w:lineRule="auto"/>
        <w:ind w:left="567" w:hanging="567"/>
        <w:jc w:val="both"/>
        <w:rPr>
          <w:sz w:val="24"/>
          <w:szCs w:val="24"/>
        </w:rPr>
      </w:pPr>
      <w:r w:rsidRPr="00C222DC">
        <w:rPr>
          <w:sz w:val="24"/>
        </w:rPr>
        <w:t>Section</w:t>
      </w:r>
      <w:r w:rsidRPr="00C222DC">
        <w:rPr>
          <w:sz w:val="24"/>
          <w:szCs w:val="24"/>
        </w:rPr>
        <w:t xml:space="preserve"> 17 of the </w:t>
      </w:r>
      <w:r w:rsidRPr="00C222DC">
        <w:rPr>
          <w:i/>
          <w:iCs/>
          <w:sz w:val="24"/>
          <w:szCs w:val="24"/>
        </w:rPr>
        <w:t>Legislation Act 2003</w:t>
      </w:r>
      <w:r w:rsidRPr="00C222DC">
        <w:rPr>
          <w:sz w:val="24"/>
          <w:szCs w:val="24"/>
        </w:rPr>
        <w:t xml:space="preserve"> requires consultations which are appropriate and reasonably practicable to be undertaken. The following Commonwealth government agencies were consulted in relation to the instrument: the Department of the Prime Minister and Cabinet; the Department of Foreign Affairs and Trade; the Attorney</w:t>
      </w:r>
      <w:r w:rsidRPr="00C222DC">
        <w:rPr>
          <w:sz w:val="24"/>
          <w:szCs w:val="24"/>
        </w:rPr>
        <w:noBreakHyphen/>
        <w:t>General’s Department; the Department of the Treasury; the Department of Finance; the Department of Social Services; the Department of Education (then Department of Education and Training); the Department of Employment, Skills, Small and Family Business (then Department of Jobs and Small Business); the Department of Industry, Innovation and Science; the Department of Infrastructure, Transport, Cities and Regional Development (then Department of Infrastructure, Regional Development and Cities); the Department of Health; and Services Australia (then Department of Human Services).</w:t>
      </w:r>
    </w:p>
    <w:p w:rsidR="007E2764" w:rsidRPr="006313B4" w:rsidRDefault="007E2764" w:rsidP="002F3433">
      <w:pPr>
        <w:numPr>
          <w:ilvl w:val="0"/>
          <w:numId w:val="9"/>
        </w:numPr>
        <w:spacing w:before="280" w:line="360" w:lineRule="auto"/>
        <w:ind w:left="567" w:hanging="567"/>
        <w:jc w:val="both"/>
        <w:rPr>
          <w:i/>
          <w:sz w:val="24"/>
          <w:szCs w:val="24"/>
        </w:rPr>
      </w:pPr>
      <w:r w:rsidRPr="006313B4">
        <w:rPr>
          <w:sz w:val="24"/>
          <w:szCs w:val="24"/>
        </w:rPr>
        <w:t xml:space="preserve">The </w:t>
      </w:r>
      <w:r w:rsidRPr="00C222DC">
        <w:rPr>
          <w:sz w:val="24"/>
        </w:rPr>
        <w:t>Office</w:t>
      </w:r>
      <w:r w:rsidRPr="006313B4">
        <w:rPr>
          <w:sz w:val="24"/>
          <w:szCs w:val="24"/>
        </w:rPr>
        <w:t xml:space="preserve"> of Best Practice Regulation (OBPR) has advised that a Regulatory Impact Statement is not required (OBPR Reference </w:t>
      </w:r>
      <w:r w:rsidRPr="007E2764">
        <w:rPr>
          <w:sz w:val="24"/>
          <w:szCs w:val="24"/>
        </w:rPr>
        <w:t>25045</w:t>
      </w:r>
      <w:r w:rsidRPr="006313B4">
        <w:rPr>
          <w:sz w:val="24"/>
          <w:szCs w:val="24"/>
        </w:rPr>
        <w:t>).</w:t>
      </w:r>
    </w:p>
    <w:p w:rsidR="002A06A8" w:rsidRPr="00AF74D4" w:rsidRDefault="002A06A8" w:rsidP="002F3433">
      <w:pPr>
        <w:numPr>
          <w:ilvl w:val="0"/>
          <w:numId w:val="9"/>
        </w:numPr>
        <w:spacing w:before="280" w:line="360" w:lineRule="auto"/>
        <w:ind w:left="567" w:hanging="567"/>
        <w:jc w:val="both"/>
        <w:rPr>
          <w:i/>
          <w:sz w:val="24"/>
          <w:szCs w:val="24"/>
        </w:rPr>
      </w:pPr>
      <w:r w:rsidRPr="00AF74D4">
        <w:rPr>
          <w:sz w:val="24"/>
          <w:szCs w:val="24"/>
        </w:rPr>
        <w:t xml:space="preserve">Under </w:t>
      </w:r>
      <w:r w:rsidRPr="00C222DC">
        <w:rPr>
          <w:sz w:val="24"/>
        </w:rPr>
        <w:t>section</w:t>
      </w:r>
      <w:r w:rsidRPr="00AF74D4">
        <w:rPr>
          <w:sz w:val="24"/>
          <w:szCs w:val="24"/>
        </w:rPr>
        <w:t xml:space="preserve"> 10 of the </w:t>
      </w:r>
      <w:r w:rsidRPr="00AF74D4">
        <w:rPr>
          <w:i/>
          <w:sz w:val="24"/>
          <w:szCs w:val="24"/>
        </w:rPr>
        <w:t>Legislation (Exemptions and Other Matters) Regulation 2015</w:t>
      </w:r>
      <w:r w:rsidRPr="00AF74D4">
        <w:rPr>
          <w:sz w:val="24"/>
          <w:szCs w:val="24"/>
        </w:rPr>
        <w:t xml:space="preserve">, the </w:t>
      </w:r>
      <w:r w:rsidR="005F686B" w:rsidRPr="00AF74D4">
        <w:rPr>
          <w:sz w:val="24"/>
          <w:szCs w:val="24"/>
        </w:rPr>
        <w:t>i</w:t>
      </w:r>
      <w:r w:rsidRPr="00AF74D4">
        <w:rPr>
          <w:sz w:val="24"/>
          <w:szCs w:val="24"/>
        </w:rPr>
        <w:t>nstrument is exempt from disallowance and therefore a Statement of Compatibility with Human Rights is not</w:t>
      </w:r>
      <w:r w:rsidR="00964B9D" w:rsidRPr="00AF74D4">
        <w:rPr>
          <w:sz w:val="24"/>
          <w:szCs w:val="24"/>
        </w:rPr>
        <w:t xml:space="preserve"> </w:t>
      </w:r>
      <w:r w:rsidRPr="00AF74D4">
        <w:rPr>
          <w:sz w:val="24"/>
          <w:szCs w:val="24"/>
        </w:rPr>
        <w:t>required.</w:t>
      </w:r>
    </w:p>
    <w:p w:rsidR="005C07E5" w:rsidRPr="00AF74D4" w:rsidRDefault="007E2764" w:rsidP="002F3433">
      <w:pPr>
        <w:numPr>
          <w:ilvl w:val="0"/>
          <w:numId w:val="9"/>
        </w:numPr>
        <w:spacing w:before="280" w:line="360" w:lineRule="auto"/>
        <w:ind w:left="567" w:hanging="567"/>
        <w:jc w:val="both"/>
        <w:rPr>
          <w:sz w:val="24"/>
          <w:szCs w:val="24"/>
        </w:rPr>
      </w:pPr>
      <w:r w:rsidRPr="00C222DC">
        <w:rPr>
          <w:sz w:val="24"/>
        </w:rPr>
        <w:t>Schedule</w:t>
      </w:r>
      <w:r>
        <w:rPr>
          <w:sz w:val="24"/>
          <w:szCs w:val="24"/>
        </w:rPr>
        <w:t xml:space="preserve"> 1 of the instrument commences </w:t>
      </w:r>
      <w:r w:rsidRPr="0059618B">
        <w:rPr>
          <w:sz w:val="24"/>
          <w:szCs w:val="24"/>
        </w:rPr>
        <w:t>at the same time</w:t>
      </w:r>
      <w:r>
        <w:rPr>
          <w:sz w:val="24"/>
          <w:szCs w:val="24"/>
        </w:rPr>
        <w:t xml:space="preserve"> as the commencement of Schedule 1 to the amending Regulations. Schedule 2 of the instrument commences on 16 November 2019.</w:t>
      </w:r>
    </w:p>
    <w:sectPr w:rsidR="005C07E5" w:rsidRPr="00AF74D4" w:rsidSect="00C85D16">
      <w:headerReference w:type="default" r:id="rId7"/>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08" w:rsidRDefault="00347E08">
      <w:r>
        <w:separator/>
      </w:r>
    </w:p>
  </w:endnote>
  <w:endnote w:type="continuationSeparator" w:id="0">
    <w:p w:rsidR="00347E08" w:rsidRDefault="0034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08" w:rsidRDefault="00347E08">
      <w:r>
        <w:separator/>
      </w:r>
    </w:p>
  </w:footnote>
  <w:footnote w:type="continuationSeparator" w:id="0">
    <w:p w:rsidR="00347E08" w:rsidRDefault="0034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1B" w:rsidRPr="002F3433" w:rsidRDefault="00EE6BC1" w:rsidP="001D091B">
    <w:pPr>
      <w:pStyle w:val="Header"/>
      <w:jc w:val="right"/>
      <w:rPr>
        <w:rFonts w:ascii="Times New Roman" w:hAnsi="Times New Roman"/>
        <w:sz w:val="16"/>
        <w:szCs w:val="16"/>
      </w:rPr>
    </w:pPr>
    <w:r w:rsidRPr="002F3433">
      <w:rPr>
        <w:rFonts w:ascii="Times New Roman" w:hAnsi="Times New Roman"/>
        <w:sz w:val="16"/>
        <w:szCs w:val="16"/>
      </w:rPr>
      <w:t>LIN 19/243</w:t>
    </w:r>
  </w:p>
  <w:p w:rsidR="00546F77" w:rsidRPr="001D091B" w:rsidRDefault="00546F77" w:rsidP="001D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070E1FB8"/>
    <w:lvl w:ilvl="0" w:tplc="EEB68044">
      <w:start w:val="1"/>
      <w:numFmt w:val="decimal"/>
      <w:lvlText w:val="%1."/>
      <w:lvlJc w:val="left"/>
      <w:pPr>
        <w:ind w:left="502"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A4E24"/>
    <w:multiLevelType w:val="hybridMultilevel"/>
    <w:tmpl w:val="F20AF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7"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4"/>
  </w:num>
  <w:num w:numId="2">
    <w:abstractNumId w:val="11"/>
  </w:num>
  <w:num w:numId="3">
    <w:abstractNumId w:val="6"/>
  </w:num>
  <w:num w:numId="4">
    <w:abstractNumId w:val="0"/>
  </w:num>
  <w:num w:numId="5">
    <w:abstractNumId w:val="1"/>
  </w:num>
  <w:num w:numId="6">
    <w:abstractNumId w:val="7"/>
  </w:num>
  <w:num w:numId="7">
    <w:abstractNumId w:val="12"/>
  </w:num>
  <w:num w:numId="8">
    <w:abstractNumId w:val="2"/>
  </w:num>
  <w:num w:numId="9">
    <w:abstractNumId w:val="3"/>
  </w:num>
  <w:num w:numId="10">
    <w:abstractNumId w:val="10"/>
  </w:num>
  <w:num w:numId="11">
    <w:abstractNumId w:val="9"/>
  </w:num>
  <w:num w:numId="12">
    <w:abstractNumId w:val="8"/>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12DE8"/>
    <w:rsid w:val="00025B5D"/>
    <w:rsid w:val="000371B3"/>
    <w:rsid w:val="0004665B"/>
    <w:rsid w:val="000532DE"/>
    <w:rsid w:val="00060BE2"/>
    <w:rsid w:val="00064FCA"/>
    <w:rsid w:val="00073B29"/>
    <w:rsid w:val="0008110A"/>
    <w:rsid w:val="000904AF"/>
    <w:rsid w:val="000B29BF"/>
    <w:rsid w:val="000D1E10"/>
    <w:rsid w:val="000D238D"/>
    <w:rsid w:val="000D246E"/>
    <w:rsid w:val="000E442C"/>
    <w:rsid w:val="000E50DB"/>
    <w:rsid w:val="000F0A84"/>
    <w:rsid w:val="000F4BFC"/>
    <w:rsid w:val="00114A38"/>
    <w:rsid w:val="00115919"/>
    <w:rsid w:val="00140CF4"/>
    <w:rsid w:val="00162BD5"/>
    <w:rsid w:val="001841F7"/>
    <w:rsid w:val="00193A68"/>
    <w:rsid w:val="001A381D"/>
    <w:rsid w:val="001C5BF3"/>
    <w:rsid w:val="001D091B"/>
    <w:rsid w:val="001D0DD5"/>
    <w:rsid w:val="001D2FBD"/>
    <w:rsid w:val="001D43D6"/>
    <w:rsid w:val="001E219C"/>
    <w:rsid w:val="001F04E7"/>
    <w:rsid w:val="001F4EC7"/>
    <w:rsid w:val="00211A04"/>
    <w:rsid w:val="002144F6"/>
    <w:rsid w:val="00215DF3"/>
    <w:rsid w:val="00231FFD"/>
    <w:rsid w:val="00236827"/>
    <w:rsid w:val="00244AA0"/>
    <w:rsid w:val="00253CAF"/>
    <w:rsid w:val="0026747D"/>
    <w:rsid w:val="0027119B"/>
    <w:rsid w:val="00283DDA"/>
    <w:rsid w:val="00294EB2"/>
    <w:rsid w:val="002A06A8"/>
    <w:rsid w:val="002B7AF6"/>
    <w:rsid w:val="002C1AFB"/>
    <w:rsid w:val="002C53C4"/>
    <w:rsid w:val="002F3433"/>
    <w:rsid w:val="00302251"/>
    <w:rsid w:val="00314ACE"/>
    <w:rsid w:val="00315410"/>
    <w:rsid w:val="00316D79"/>
    <w:rsid w:val="00330F55"/>
    <w:rsid w:val="003348B8"/>
    <w:rsid w:val="00337EE8"/>
    <w:rsid w:val="00347E08"/>
    <w:rsid w:val="0036537A"/>
    <w:rsid w:val="003726A3"/>
    <w:rsid w:val="00376703"/>
    <w:rsid w:val="00376F58"/>
    <w:rsid w:val="00397982"/>
    <w:rsid w:val="003A53F3"/>
    <w:rsid w:val="003C5137"/>
    <w:rsid w:val="00417400"/>
    <w:rsid w:val="00430906"/>
    <w:rsid w:val="00465BCD"/>
    <w:rsid w:val="00474812"/>
    <w:rsid w:val="00483A3D"/>
    <w:rsid w:val="004864D4"/>
    <w:rsid w:val="004916D7"/>
    <w:rsid w:val="004C4B3E"/>
    <w:rsid w:val="004C6376"/>
    <w:rsid w:val="004C6E73"/>
    <w:rsid w:val="004D6A29"/>
    <w:rsid w:val="004F5740"/>
    <w:rsid w:val="00507C77"/>
    <w:rsid w:val="005204A8"/>
    <w:rsid w:val="005302D7"/>
    <w:rsid w:val="00542D46"/>
    <w:rsid w:val="00546F77"/>
    <w:rsid w:val="00553889"/>
    <w:rsid w:val="00554524"/>
    <w:rsid w:val="00567814"/>
    <w:rsid w:val="00581DAE"/>
    <w:rsid w:val="0059618B"/>
    <w:rsid w:val="005B2BF1"/>
    <w:rsid w:val="005B3FA3"/>
    <w:rsid w:val="005C07E5"/>
    <w:rsid w:val="005E22A3"/>
    <w:rsid w:val="005F686B"/>
    <w:rsid w:val="00610658"/>
    <w:rsid w:val="00611395"/>
    <w:rsid w:val="006146DA"/>
    <w:rsid w:val="006234CE"/>
    <w:rsid w:val="00641022"/>
    <w:rsid w:val="0064639B"/>
    <w:rsid w:val="00671004"/>
    <w:rsid w:val="00673E58"/>
    <w:rsid w:val="00691AC6"/>
    <w:rsid w:val="006C1428"/>
    <w:rsid w:val="006C22B0"/>
    <w:rsid w:val="006C508E"/>
    <w:rsid w:val="006E6491"/>
    <w:rsid w:val="0070010D"/>
    <w:rsid w:val="007030F4"/>
    <w:rsid w:val="0071274E"/>
    <w:rsid w:val="0071413D"/>
    <w:rsid w:val="00715E24"/>
    <w:rsid w:val="007352A9"/>
    <w:rsid w:val="007369BE"/>
    <w:rsid w:val="007E0AFF"/>
    <w:rsid w:val="007E2764"/>
    <w:rsid w:val="00801771"/>
    <w:rsid w:val="008303A5"/>
    <w:rsid w:val="00837B01"/>
    <w:rsid w:val="00843107"/>
    <w:rsid w:val="008501EF"/>
    <w:rsid w:val="00853E99"/>
    <w:rsid w:val="00854256"/>
    <w:rsid w:val="0086737B"/>
    <w:rsid w:val="008679ED"/>
    <w:rsid w:val="00895404"/>
    <w:rsid w:val="008C3954"/>
    <w:rsid w:val="0090511F"/>
    <w:rsid w:val="00911D5A"/>
    <w:rsid w:val="009342F9"/>
    <w:rsid w:val="0094678B"/>
    <w:rsid w:val="00960B26"/>
    <w:rsid w:val="00964B9D"/>
    <w:rsid w:val="00996953"/>
    <w:rsid w:val="009B2428"/>
    <w:rsid w:val="009D0462"/>
    <w:rsid w:val="009D1043"/>
    <w:rsid w:val="009D6D58"/>
    <w:rsid w:val="009E3B49"/>
    <w:rsid w:val="00A03F71"/>
    <w:rsid w:val="00A11867"/>
    <w:rsid w:val="00A31178"/>
    <w:rsid w:val="00A31276"/>
    <w:rsid w:val="00A3188B"/>
    <w:rsid w:val="00A36C75"/>
    <w:rsid w:val="00A40F42"/>
    <w:rsid w:val="00A4261F"/>
    <w:rsid w:val="00A65748"/>
    <w:rsid w:val="00A905C6"/>
    <w:rsid w:val="00A9347E"/>
    <w:rsid w:val="00AA0F45"/>
    <w:rsid w:val="00AB5757"/>
    <w:rsid w:val="00AE32B0"/>
    <w:rsid w:val="00AE3D02"/>
    <w:rsid w:val="00AF74D4"/>
    <w:rsid w:val="00B17BDA"/>
    <w:rsid w:val="00B4060C"/>
    <w:rsid w:val="00B66570"/>
    <w:rsid w:val="00B70E55"/>
    <w:rsid w:val="00B7746F"/>
    <w:rsid w:val="00B95124"/>
    <w:rsid w:val="00B97255"/>
    <w:rsid w:val="00BC008B"/>
    <w:rsid w:val="00BC2F1F"/>
    <w:rsid w:val="00BD09B6"/>
    <w:rsid w:val="00BD58D3"/>
    <w:rsid w:val="00BE62F6"/>
    <w:rsid w:val="00BF2A49"/>
    <w:rsid w:val="00BF3D6A"/>
    <w:rsid w:val="00BF4868"/>
    <w:rsid w:val="00BF6A03"/>
    <w:rsid w:val="00C048BE"/>
    <w:rsid w:val="00C165FC"/>
    <w:rsid w:val="00C222DC"/>
    <w:rsid w:val="00C330B4"/>
    <w:rsid w:val="00C6050B"/>
    <w:rsid w:val="00C66A6E"/>
    <w:rsid w:val="00C85D16"/>
    <w:rsid w:val="00C925FC"/>
    <w:rsid w:val="00C97EA1"/>
    <w:rsid w:val="00CA78FF"/>
    <w:rsid w:val="00CB5977"/>
    <w:rsid w:val="00CD3E97"/>
    <w:rsid w:val="00D22275"/>
    <w:rsid w:val="00D263E5"/>
    <w:rsid w:val="00D60CC8"/>
    <w:rsid w:val="00D618F2"/>
    <w:rsid w:val="00D838FF"/>
    <w:rsid w:val="00D85646"/>
    <w:rsid w:val="00D866B7"/>
    <w:rsid w:val="00DA476A"/>
    <w:rsid w:val="00DA4B5B"/>
    <w:rsid w:val="00DB634D"/>
    <w:rsid w:val="00DC344E"/>
    <w:rsid w:val="00E01FF4"/>
    <w:rsid w:val="00E1110E"/>
    <w:rsid w:val="00E2158B"/>
    <w:rsid w:val="00E3263F"/>
    <w:rsid w:val="00E3297D"/>
    <w:rsid w:val="00E32FDC"/>
    <w:rsid w:val="00E33A6F"/>
    <w:rsid w:val="00E472C4"/>
    <w:rsid w:val="00E76A0E"/>
    <w:rsid w:val="00E8404A"/>
    <w:rsid w:val="00EA24D0"/>
    <w:rsid w:val="00EC0201"/>
    <w:rsid w:val="00EC2CC3"/>
    <w:rsid w:val="00ED27C4"/>
    <w:rsid w:val="00EE6BC1"/>
    <w:rsid w:val="00EF44A4"/>
    <w:rsid w:val="00EF4C7D"/>
    <w:rsid w:val="00F0703D"/>
    <w:rsid w:val="00F10631"/>
    <w:rsid w:val="00F13772"/>
    <w:rsid w:val="00F1456C"/>
    <w:rsid w:val="00F20E05"/>
    <w:rsid w:val="00F21AD8"/>
    <w:rsid w:val="00F24931"/>
    <w:rsid w:val="00F336E2"/>
    <w:rsid w:val="00F51EB0"/>
    <w:rsid w:val="00F64AC1"/>
    <w:rsid w:val="00F8220C"/>
    <w:rsid w:val="00F85B02"/>
    <w:rsid w:val="00FA7F47"/>
    <w:rsid w:val="00FC30AB"/>
    <w:rsid w:val="00FD62E5"/>
    <w:rsid w:val="00FE0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040AEAD-32A7-4154-8818-A6D61516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rsid w:val="00F64AC1"/>
    <w:pPr>
      <w:tabs>
        <w:tab w:val="center" w:pos="4153"/>
        <w:tab w:val="right" w:pos="8306"/>
      </w:tabs>
    </w:pPr>
  </w:style>
  <w:style w:type="paragraph" w:customStyle="1" w:styleId="CharChar">
    <w:name w:val=" Char Char"/>
    <w:basedOn w:val="Normal"/>
    <w:link w:val="DefaultParagraphFont"/>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styleId="CommentReference">
    <w:name w:val="annotation reference"/>
    <w:uiPriority w:val="99"/>
    <w:semiHidden/>
    <w:unhideWhenUsed/>
    <w:rsid w:val="00553889"/>
    <w:rPr>
      <w:sz w:val="16"/>
      <w:szCs w:val="16"/>
    </w:rPr>
  </w:style>
  <w:style w:type="paragraph" w:styleId="CommentText">
    <w:name w:val="annotation text"/>
    <w:basedOn w:val="Normal"/>
    <w:link w:val="CommentTextChar"/>
    <w:uiPriority w:val="99"/>
    <w:semiHidden/>
    <w:unhideWhenUsed/>
    <w:rsid w:val="00553889"/>
  </w:style>
  <w:style w:type="character" w:customStyle="1" w:styleId="CommentTextChar">
    <w:name w:val="Comment Text Char"/>
    <w:basedOn w:val="DefaultParagraphFont"/>
    <w:link w:val="CommentText"/>
    <w:uiPriority w:val="99"/>
    <w:semiHidden/>
    <w:rsid w:val="00553889"/>
  </w:style>
  <w:style w:type="paragraph" w:styleId="CommentSubject">
    <w:name w:val="annotation subject"/>
    <w:basedOn w:val="CommentText"/>
    <w:next w:val="CommentText"/>
    <w:link w:val="CommentSubjectChar"/>
    <w:uiPriority w:val="99"/>
    <w:semiHidden/>
    <w:unhideWhenUsed/>
    <w:rsid w:val="00553889"/>
    <w:rPr>
      <w:b/>
      <w:bCs/>
    </w:rPr>
  </w:style>
  <w:style w:type="character" w:customStyle="1" w:styleId="CommentSubjectChar">
    <w:name w:val="Comment Subject Char"/>
    <w:link w:val="CommentSubject"/>
    <w:uiPriority w:val="99"/>
    <w:semiHidden/>
    <w:rsid w:val="00553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07992">
      <w:bodyDiv w:val="1"/>
      <w:marLeft w:val="0"/>
      <w:marRight w:val="0"/>
      <w:marTop w:val="0"/>
      <w:marBottom w:val="0"/>
      <w:divBdr>
        <w:top w:val="none" w:sz="0" w:space="0" w:color="auto"/>
        <w:left w:val="none" w:sz="0" w:space="0" w:color="auto"/>
        <w:bottom w:val="none" w:sz="0" w:space="0" w:color="auto"/>
        <w:right w:val="none" w:sz="0" w:space="0" w:color="auto"/>
      </w:divBdr>
      <w:divsChild>
        <w:div w:id="461073017">
          <w:marLeft w:val="0"/>
          <w:marRight w:val="0"/>
          <w:marTop w:val="0"/>
          <w:marBottom w:val="0"/>
          <w:divBdr>
            <w:top w:val="none" w:sz="0" w:space="0" w:color="auto"/>
            <w:left w:val="none" w:sz="0" w:space="0" w:color="auto"/>
            <w:bottom w:val="none" w:sz="0" w:space="0" w:color="auto"/>
            <w:right w:val="none" w:sz="0" w:space="0" w:color="auto"/>
          </w:divBdr>
          <w:divsChild>
            <w:div w:id="2005473913">
              <w:marLeft w:val="0"/>
              <w:marRight w:val="0"/>
              <w:marTop w:val="0"/>
              <w:marBottom w:val="0"/>
              <w:divBdr>
                <w:top w:val="none" w:sz="0" w:space="0" w:color="auto"/>
                <w:left w:val="none" w:sz="0" w:space="0" w:color="auto"/>
                <w:bottom w:val="none" w:sz="0" w:space="0" w:color="auto"/>
                <w:right w:val="none" w:sz="0" w:space="0" w:color="auto"/>
              </w:divBdr>
              <w:divsChild>
                <w:div w:id="641691312">
                  <w:marLeft w:val="0"/>
                  <w:marRight w:val="0"/>
                  <w:marTop w:val="0"/>
                  <w:marBottom w:val="0"/>
                  <w:divBdr>
                    <w:top w:val="none" w:sz="0" w:space="0" w:color="auto"/>
                    <w:left w:val="none" w:sz="0" w:space="0" w:color="auto"/>
                    <w:bottom w:val="none" w:sz="0" w:space="0" w:color="auto"/>
                    <w:right w:val="none" w:sz="0" w:space="0" w:color="auto"/>
                  </w:divBdr>
                  <w:divsChild>
                    <w:div w:id="1367294902">
                      <w:marLeft w:val="0"/>
                      <w:marRight w:val="0"/>
                      <w:marTop w:val="0"/>
                      <w:marBottom w:val="0"/>
                      <w:divBdr>
                        <w:top w:val="none" w:sz="0" w:space="0" w:color="auto"/>
                        <w:left w:val="none" w:sz="0" w:space="0" w:color="auto"/>
                        <w:bottom w:val="none" w:sz="0" w:space="0" w:color="auto"/>
                        <w:right w:val="none" w:sz="0" w:space="0" w:color="auto"/>
                      </w:divBdr>
                      <w:divsChild>
                        <w:div w:id="1199392655">
                          <w:marLeft w:val="0"/>
                          <w:marRight w:val="0"/>
                          <w:marTop w:val="0"/>
                          <w:marBottom w:val="0"/>
                          <w:divBdr>
                            <w:top w:val="none" w:sz="0" w:space="0" w:color="auto"/>
                            <w:left w:val="none" w:sz="0" w:space="0" w:color="auto"/>
                            <w:bottom w:val="none" w:sz="0" w:space="0" w:color="auto"/>
                            <w:right w:val="none" w:sz="0" w:space="0" w:color="auto"/>
                          </w:divBdr>
                          <w:divsChild>
                            <w:div w:id="1491142164">
                              <w:marLeft w:val="0"/>
                              <w:marRight w:val="0"/>
                              <w:marTop w:val="0"/>
                              <w:marBottom w:val="0"/>
                              <w:divBdr>
                                <w:top w:val="none" w:sz="0" w:space="0" w:color="auto"/>
                                <w:left w:val="none" w:sz="0" w:space="0" w:color="auto"/>
                                <w:bottom w:val="none" w:sz="0" w:space="0" w:color="auto"/>
                                <w:right w:val="none" w:sz="0" w:space="0" w:color="auto"/>
                              </w:divBdr>
                              <w:divsChild>
                                <w:div w:id="1103376343">
                                  <w:marLeft w:val="0"/>
                                  <w:marRight w:val="0"/>
                                  <w:marTop w:val="0"/>
                                  <w:marBottom w:val="0"/>
                                  <w:divBdr>
                                    <w:top w:val="none" w:sz="0" w:space="0" w:color="auto"/>
                                    <w:left w:val="none" w:sz="0" w:space="0" w:color="auto"/>
                                    <w:bottom w:val="none" w:sz="0" w:space="0" w:color="auto"/>
                                    <w:right w:val="none" w:sz="0" w:space="0" w:color="auto"/>
                                  </w:divBdr>
                                  <w:divsChild>
                                    <w:div w:id="328293571">
                                      <w:marLeft w:val="0"/>
                                      <w:marRight w:val="0"/>
                                      <w:marTop w:val="0"/>
                                      <w:marBottom w:val="0"/>
                                      <w:divBdr>
                                        <w:top w:val="none" w:sz="0" w:space="0" w:color="auto"/>
                                        <w:left w:val="none" w:sz="0" w:space="0" w:color="auto"/>
                                        <w:bottom w:val="none" w:sz="0" w:space="0" w:color="auto"/>
                                        <w:right w:val="none" w:sz="0" w:space="0" w:color="auto"/>
                                      </w:divBdr>
                                      <w:divsChild>
                                        <w:div w:id="659309119">
                                          <w:marLeft w:val="0"/>
                                          <w:marRight w:val="0"/>
                                          <w:marTop w:val="0"/>
                                          <w:marBottom w:val="0"/>
                                          <w:divBdr>
                                            <w:top w:val="none" w:sz="0" w:space="0" w:color="auto"/>
                                            <w:left w:val="none" w:sz="0" w:space="0" w:color="auto"/>
                                            <w:bottom w:val="none" w:sz="0" w:space="0" w:color="auto"/>
                                            <w:right w:val="none" w:sz="0" w:space="0" w:color="auto"/>
                                          </w:divBdr>
                                          <w:divsChild>
                                            <w:div w:id="882445430">
                                              <w:marLeft w:val="0"/>
                                              <w:marRight w:val="0"/>
                                              <w:marTop w:val="0"/>
                                              <w:marBottom w:val="0"/>
                                              <w:divBdr>
                                                <w:top w:val="none" w:sz="0" w:space="0" w:color="auto"/>
                                                <w:left w:val="none" w:sz="0" w:space="0" w:color="auto"/>
                                                <w:bottom w:val="none" w:sz="0" w:space="0" w:color="auto"/>
                                                <w:right w:val="none" w:sz="0" w:space="0" w:color="auto"/>
                                              </w:divBdr>
                                              <w:divsChild>
                                                <w:div w:id="554782947">
                                                  <w:marLeft w:val="0"/>
                                                  <w:marRight w:val="0"/>
                                                  <w:marTop w:val="0"/>
                                                  <w:marBottom w:val="0"/>
                                                  <w:divBdr>
                                                    <w:top w:val="none" w:sz="0" w:space="0" w:color="auto"/>
                                                    <w:left w:val="none" w:sz="0" w:space="0" w:color="auto"/>
                                                    <w:bottom w:val="none" w:sz="0" w:space="0" w:color="auto"/>
                                                    <w:right w:val="none" w:sz="0" w:space="0" w:color="auto"/>
                                                  </w:divBdr>
                                                  <w:divsChild>
                                                    <w:div w:id="919145540">
                                                      <w:marLeft w:val="0"/>
                                                      <w:marRight w:val="0"/>
                                                      <w:marTop w:val="0"/>
                                                      <w:marBottom w:val="0"/>
                                                      <w:divBdr>
                                                        <w:top w:val="none" w:sz="0" w:space="0" w:color="auto"/>
                                                        <w:left w:val="none" w:sz="0" w:space="0" w:color="auto"/>
                                                        <w:bottom w:val="none" w:sz="0" w:space="0" w:color="auto"/>
                                                        <w:right w:val="none" w:sz="0" w:space="0" w:color="auto"/>
                                                      </w:divBdr>
                                                      <w:divsChild>
                                                        <w:div w:id="3089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299500">
      <w:bodyDiv w:val="1"/>
      <w:marLeft w:val="0"/>
      <w:marRight w:val="0"/>
      <w:marTop w:val="0"/>
      <w:marBottom w:val="0"/>
      <w:divBdr>
        <w:top w:val="none" w:sz="0" w:space="0" w:color="auto"/>
        <w:left w:val="none" w:sz="0" w:space="0" w:color="auto"/>
        <w:bottom w:val="none" w:sz="0" w:space="0" w:color="auto"/>
        <w:right w:val="none" w:sz="0" w:space="0" w:color="auto"/>
      </w:divBdr>
    </w:div>
    <w:div w:id="1837921503">
      <w:bodyDiv w:val="1"/>
      <w:marLeft w:val="0"/>
      <w:marRight w:val="0"/>
      <w:marTop w:val="0"/>
      <w:marBottom w:val="0"/>
      <w:divBdr>
        <w:top w:val="none" w:sz="0" w:space="0" w:color="auto"/>
        <w:left w:val="none" w:sz="0" w:space="0" w:color="auto"/>
        <w:bottom w:val="none" w:sz="0" w:space="0" w:color="auto"/>
        <w:right w:val="none" w:sz="0" w:space="0" w:color="auto"/>
      </w:divBdr>
      <w:divsChild>
        <w:div w:id="662929323">
          <w:marLeft w:val="0"/>
          <w:marRight w:val="0"/>
          <w:marTop w:val="0"/>
          <w:marBottom w:val="0"/>
          <w:divBdr>
            <w:top w:val="none" w:sz="0" w:space="0" w:color="auto"/>
            <w:left w:val="none" w:sz="0" w:space="0" w:color="auto"/>
            <w:bottom w:val="none" w:sz="0" w:space="0" w:color="auto"/>
            <w:right w:val="none" w:sz="0" w:space="0" w:color="auto"/>
          </w:divBdr>
          <w:divsChild>
            <w:div w:id="8581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dc:description/>
  <cp:lastModifiedBy>Grace LIM</cp:lastModifiedBy>
  <cp:revision>2</cp:revision>
  <cp:lastPrinted>2019-09-18T00:30:00Z</cp:lastPrinted>
  <dcterms:created xsi:type="dcterms:W3CDTF">2019-10-20T22:43:00Z</dcterms:created>
  <dcterms:modified xsi:type="dcterms:W3CDTF">2019-10-20T22:43:00Z</dcterms:modified>
</cp:coreProperties>
</file>