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E3F5" w14:textId="77777777" w:rsidR="0069295C" w:rsidRDefault="0069295C" w:rsidP="00FB3FCB">
      <w:pPr>
        <w:pStyle w:val="Heading5"/>
        <w:ind w:left="0" w:firstLine="0"/>
        <w:jc w:val="center"/>
      </w:pPr>
      <w:r>
        <w:t>EXPLANATORY STATEMENT</w:t>
      </w:r>
    </w:p>
    <w:p w14:paraId="3147E36E" w14:textId="77777777" w:rsidR="0069295C" w:rsidRDefault="0069295C" w:rsidP="0069295C">
      <w:pPr>
        <w:rPr>
          <w:sz w:val="24"/>
          <w:szCs w:val="24"/>
        </w:rPr>
      </w:pPr>
    </w:p>
    <w:p w14:paraId="2DECB9FF" w14:textId="55FBF779" w:rsidR="0069295C" w:rsidRDefault="0069295C">
      <w:pPr>
        <w:rPr>
          <w:b/>
          <w:sz w:val="28"/>
          <w:szCs w:val="28"/>
        </w:rPr>
      </w:pPr>
      <w:r w:rsidRPr="007E7384">
        <w:rPr>
          <w:b/>
          <w:sz w:val="28"/>
          <w:szCs w:val="28"/>
        </w:rPr>
        <w:t>Veterans’ Entitlements (</w:t>
      </w:r>
      <w:r>
        <w:rPr>
          <w:b/>
          <w:sz w:val="28"/>
          <w:szCs w:val="28"/>
        </w:rPr>
        <w:t xml:space="preserve">Exempt </w:t>
      </w:r>
      <w:r w:rsidR="00127C8B">
        <w:rPr>
          <w:b/>
          <w:sz w:val="28"/>
          <w:szCs w:val="28"/>
        </w:rPr>
        <w:t xml:space="preserve">Lump Sum - </w:t>
      </w:r>
      <w:r w:rsidR="00FB264A" w:rsidRPr="00FB264A">
        <w:rPr>
          <w:b/>
          <w:sz w:val="28"/>
          <w:szCs w:val="28"/>
        </w:rPr>
        <w:t>Compensation Payments by the Commonwealth on Behalf of the ADF for Historical Child Sexual Abuse Claims</w:t>
      </w:r>
      <w:r>
        <w:rPr>
          <w:b/>
          <w:sz w:val="28"/>
          <w:szCs w:val="28"/>
        </w:rPr>
        <w:t xml:space="preserve">) Determination 2019 </w:t>
      </w:r>
    </w:p>
    <w:p w14:paraId="6DA8269A" w14:textId="77777777" w:rsidR="0069295C" w:rsidRDefault="0069295C" w:rsidP="0069295C">
      <w:pPr>
        <w:rPr>
          <w:sz w:val="24"/>
          <w:szCs w:val="24"/>
        </w:rPr>
      </w:pPr>
    </w:p>
    <w:p w14:paraId="66DDE046" w14:textId="77777777" w:rsidR="0069295C" w:rsidRDefault="0069295C" w:rsidP="0069295C">
      <w:pPr>
        <w:rPr>
          <w:sz w:val="24"/>
          <w:szCs w:val="24"/>
        </w:rPr>
      </w:pPr>
      <w:r>
        <w:rPr>
          <w:sz w:val="24"/>
          <w:szCs w:val="24"/>
        </w:rPr>
        <w:t>(Instrument 2019</w:t>
      </w:r>
      <w:r w:rsidRPr="00631E7F">
        <w:rPr>
          <w:sz w:val="24"/>
          <w:szCs w:val="24"/>
        </w:rPr>
        <w:t xml:space="preserve"> </w:t>
      </w:r>
      <w:r>
        <w:rPr>
          <w:sz w:val="24"/>
          <w:szCs w:val="24"/>
        </w:rPr>
        <w:t xml:space="preserve">No. </w:t>
      </w:r>
      <w:r w:rsidRPr="00631E7F">
        <w:rPr>
          <w:sz w:val="24"/>
          <w:szCs w:val="24"/>
        </w:rPr>
        <w:t>R</w:t>
      </w:r>
      <w:r>
        <w:rPr>
          <w:sz w:val="24"/>
          <w:szCs w:val="24"/>
        </w:rPr>
        <w:t>45</w:t>
      </w:r>
      <w:r w:rsidRPr="00631E7F">
        <w:rPr>
          <w:sz w:val="24"/>
          <w:szCs w:val="24"/>
        </w:rPr>
        <w:t>)</w:t>
      </w:r>
    </w:p>
    <w:p w14:paraId="1D809330" w14:textId="77777777" w:rsidR="0069295C" w:rsidRDefault="0069295C" w:rsidP="0069295C">
      <w:pPr>
        <w:ind w:firstLine="22"/>
        <w:rPr>
          <w:rFonts w:ascii="Arial" w:hAnsi="Arial"/>
          <w:sz w:val="24"/>
        </w:rPr>
      </w:pPr>
    </w:p>
    <w:p w14:paraId="689B550D" w14:textId="77777777" w:rsidR="0069295C" w:rsidRPr="000A51A1" w:rsidRDefault="0069295C" w:rsidP="00FB3FCB">
      <w:pPr>
        <w:spacing w:after="120"/>
        <w:rPr>
          <w:b/>
          <w:color w:val="000000"/>
          <w:sz w:val="24"/>
          <w:szCs w:val="24"/>
        </w:rPr>
      </w:pPr>
      <w:r w:rsidRPr="000A51A1">
        <w:rPr>
          <w:b/>
          <w:color w:val="000000"/>
          <w:sz w:val="24"/>
          <w:szCs w:val="24"/>
        </w:rPr>
        <w:t>EMPOWERING PROVISION</w:t>
      </w:r>
    </w:p>
    <w:p w14:paraId="61F36042" w14:textId="77777777" w:rsidR="0069295C" w:rsidRPr="00FB1475" w:rsidRDefault="0069295C" w:rsidP="00592989">
      <w:pPr>
        <w:autoSpaceDE w:val="0"/>
        <w:autoSpaceDN w:val="0"/>
        <w:adjustRightInd w:val="0"/>
        <w:spacing w:after="240"/>
        <w:rPr>
          <w:color w:val="000000"/>
          <w:sz w:val="24"/>
          <w:szCs w:val="24"/>
        </w:rPr>
      </w:pPr>
      <w:r>
        <w:rPr>
          <w:color w:val="000000"/>
          <w:sz w:val="24"/>
          <w:szCs w:val="24"/>
        </w:rPr>
        <w:t xml:space="preserve">Paragraph </w:t>
      </w:r>
      <w:proofErr w:type="gramStart"/>
      <w:r>
        <w:rPr>
          <w:color w:val="000000"/>
          <w:sz w:val="24"/>
          <w:szCs w:val="24"/>
        </w:rPr>
        <w:t>5H(</w:t>
      </w:r>
      <w:proofErr w:type="gramEnd"/>
      <w:r>
        <w:rPr>
          <w:color w:val="000000"/>
          <w:sz w:val="24"/>
          <w:szCs w:val="24"/>
        </w:rPr>
        <w:t xml:space="preserve">12)(c) of the </w:t>
      </w:r>
      <w:r w:rsidRPr="00DF24B6">
        <w:rPr>
          <w:i/>
          <w:color w:val="000000"/>
          <w:sz w:val="24"/>
          <w:szCs w:val="24"/>
        </w:rPr>
        <w:t>Veterans’ Entitlements Act 1986</w:t>
      </w:r>
      <w:r>
        <w:rPr>
          <w:color w:val="000000"/>
          <w:sz w:val="24"/>
          <w:szCs w:val="24"/>
        </w:rPr>
        <w:t xml:space="preserve"> (VEA)</w:t>
      </w:r>
      <w:r w:rsidRPr="00DF24B6">
        <w:rPr>
          <w:i/>
          <w:color w:val="000000"/>
          <w:sz w:val="24"/>
          <w:szCs w:val="24"/>
        </w:rPr>
        <w:t>.</w:t>
      </w:r>
    </w:p>
    <w:p w14:paraId="0D8F11C2" w14:textId="546AA117" w:rsidR="0069295C" w:rsidRDefault="0069295C" w:rsidP="00FB3FCB">
      <w:pPr>
        <w:spacing w:after="120"/>
        <w:rPr>
          <w:b/>
          <w:color w:val="000000"/>
          <w:sz w:val="24"/>
          <w:szCs w:val="24"/>
        </w:rPr>
      </w:pPr>
      <w:r w:rsidRPr="005F4824">
        <w:rPr>
          <w:b/>
          <w:color w:val="000000"/>
          <w:sz w:val="24"/>
          <w:szCs w:val="24"/>
        </w:rPr>
        <w:t>PURPOSE</w:t>
      </w:r>
    </w:p>
    <w:p w14:paraId="19B2C9CC" w14:textId="3922E7BC" w:rsidR="00FB3FCB" w:rsidRPr="00FB3FCB" w:rsidRDefault="00FB3FCB" w:rsidP="00FB3FCB">
      <w:pPr>
        <w:spacing w:after="120"/>
        <w:rPr>
          <w:color w:val="000000"/>
          <w:sz w:val="24"/>
          <w:szCs w:val="24"/>
        </w:rPr>
      </w:pPr>
      <w:r w:rsidRPr="00FB3FCB">
        <w:rPr>
          <w:color w:val="000000"/>
          <w:sz w:val="24"/>
          <w:szCs w:val="24"/>
        </w:rPr>
        <w:t xml:space="preserve">The purpose of the determination is to ensure that compensation payable by the Commonwealth as a result of a court ruling, settlement or similar scenario, in relation to historical child sexual abuse committed against a person whilst they were </w:t>
      </w:r>
      <w:r w:rsidR="00E5677F">
        <w:rPr>
          <w:color w:val="000000"/>
          <w:sz w:val="24"/>
          <w:szCs w:val="24"/>
        </w:rPr>
        <w:t xml:space="preserve">a member of the </w:t>
      </w:r>
      <w:r w:rsidRPr="00FB3FCB">
        <w:rPr>
          <w:color w:val="000000"/>
          <w:sz w:val="24"/>
          <w:szCs w:val="24"/>
        </w:rPr>
        <w:t>Australian Defence Force</w:t>
      </w:r>
      <w:r w:rsidR="001F2D63">
        <w:rPr>
          <w:color w:val="000000"/>
          <w:sz w:val="24"/>
          <w:szCs w:val="24"/>
        </w:rPr>
        <w:t xml:space="preserve"> (ADF)</w:t>
      </w:r>
      <w:r w:rsidRPr="00FB3FCB">
        <w:rPr>
          <w:color w:val="000000"/>
          <w:sz w:val="24"/>
          <w:szCs w:val="24"/>
        </w:rPr>
        <w:t>, will not be regarded as income under the income test provisions of the VEA.</w:t>
      </w:r>
    </w:p>
    <w:p w14:paraId="15896423" w14:textId="6A3D1E7C" w:rsidR="00FB3FCB" w:rsidRPr="00FB3FCB" w:rsidRDefault="00FB3FCB" w:rsidP="00FB3FCB">
      <w:pPr>
        <w:spacing w:after="120"/>
        <w:rPr>
          <w:sz w:val="24"/>
          <w:szCs w:val="24"/>
        </w:rPr>
      </w:pPr>
      <w:r>
        <w:rPr>
          <w:sz w:val="24"/>
          <w:szCs w:val="24"/>
        </w:rPr>
        <w:t xml:space="preserve">The determination will align the treatment of such payments with that of </w:t>
      </w:r>
      <w:r w:rsidRPr="00FB3FCB">
        <w:rPr>
          <w:sz w:val="24"/>
          <w:szCs w:val="24"/>
        </w:rPr>
        <w:t xml:space="preserve">monetary payments made under the National Redress Scheme for Institutional Child Sexual Abuse (“National Redress Scheme”) </w:t>
      </w:r>
      <w:r>
        <w:rPr>
          <w:sz w:val="24"/>
          <w:szCs w:val="24"/>
        </w:rPr>
        <w:t>which commenced from 1 July 2018.</w:t>
      </w:r>
    </w:p>
    <w:p w14:paraId="12298A15" w14:textId="1EFF5722" w:rsidR="00FB3FCB" w:rsidRPr="00FB3FCB" w:rsidRDefault="00FB3FCB" w:rsidP="00FB3FCB">
      <w:pPr>
        <w:spacing w:after="120"/>
        <w:rPr>
          <w:sz w:val="24"/>
          <w:szCs w:val="24"/>
        </w:rPr>
      </w:pPr>
      <w:r w:rsidRPr="00FB3FCB">
        <w:rPr>
          <w:sz w:val="24"/>
          <w:szCs w:val="24"/>
        </w:rPr>
        <w:t>The National Redress Scheme was created in response to recommendations by the Royal Commission into Institutional Responses to Child Sexual Abuse</w:t>
      </w:r>
      <w:r w:rsidR="001F2D63">
        <w:rPr>
          <w:sz w:val="24"/>
          <w:szCs w:val="24"/>
        </w:rPr>
        <w:t xml:space="preserve"> (the Royal Commission)</w:t>
      </w:r>
      <w:r w:rsidRPr="00FB3FCB">
        <w:rPr>
          <w:sz w:val="24"/>
          <w:szCs w:val="24"/>
        </w:rPr>
        <w:t>. The Royal Commission listened to thousands of people about the abuse they experienced as children</w:t>
      </w:r>
      <w:r w:rsidR="001F2D63">
        <w:rPr>
          <w:sz w:val="24"/>
          <w:szCs w:val="24"/>
        </w:rPr>
        <w:t xml:space="preserve"> in </w:t>
      </w:r>
      <w:r w:rsidRPr="00FB3FCB">
        <w:rPr>
          <w:sz w:val="24"/>
          <w:szCs w:val="24"/>
        </w:rPr>
        <w:t>orphanages, Children’s Homes, schools, churches and other religious organisations, sports clubs, hospitals, fos</w:t>
      </w:r>
      <w:r w:rsidR="001F2D63">
        <w:rPr>
          <w:sz w:val="24"/>
          <w:szCs w:val="24"/>
        </w:rPr>
        <w:t>t</w:t>
      </w:r>
      <w:r w:rsidR="008262C6">
        <w:rPr>
          <w:sz w:val="24"/>
          <w:szCs w:val="24"/>
        </w:rPr>
        <w:t xml:space="preserve">er care and other institutions </w:t>
      </w:r>
      <w:r w:rsidR="001F2D63">
        <w:rPr>
          <w:sz w:val="24"/>
          <w:szCs w:val="24"/>
        </w:rPr>
        <w:t>includ</w:t>
      </w:r>
      <w:r w:rsidR="008262C6">
        <w:rPr>
          <w:sz w:val="24"/>
          <w:szCs w:val="24"/>
        </w:rPr>
        <w:t>ing</w:t>
      </w:r>
      <w:r w:rsidR="001F2D63">
        <w:rPr>
          <w:sz w:val="24"/>
          <w:szCs w:val="24"/>
        </w:rPr>
        <w:t xml:space="preserve"> the ADF.</w:t>
      </w:r>
    </w:p>
    <w:p w14:paraId="2F28D9BB" w14:textId="3E1C3C33" w:rsidR="00FB3FCB" w:rsidRPr="00FB3FCB" w:rsidRDefault="00FB3FCB" w:rsidP="00FB3FCB">
      <w:pPr>
        <w:spacing w:after="120"/>
        <w:rPr>
          <w:sz w:val="24"/>
          <w:szCs w:val="24"/>
        </w:rPr>
      </w:pPr>
      <w:r w:rsidRPr="00FB3FCB">
        <w:rPr>
          <w:sz w:val="24"/>
          <w:szCs w:val="24"/>
        </w:rPr>
        <w:t xml:space="preserve">The National Redress Scheme </w:t>
      </w:r>
      <w:r w:rsidR="001F2D63">
        <w:rPr>
          <w:sz w:val="24"/>
          <w:szCs w:val="24"/>
        </w:rPr>
        <w:t>provides a</w:t>
      </w:r>
      <w:r w:rsidRPr="00FB3FCB">
        <w:rPr>
          <w:sz w:val="24"/>
          <w:szCs w:val="24"/>
        </w:rPr>
        <w:t xml:space="preserve">ccess to counselling and psychological services, a direct personal response from the responsible institution, and a redress payment of up to $150,000. </w:t>
      </w:r>
      <w:r w:rsidR="001F2D63">
        <w:rPr>
          <w:sz w:val="24"/>
          <w:szCs w:val="24"/>
        </w:rPr>
        <w:t>The payment is</w:t>
      </w:r>
      <w:r w:rsidR="001F2D63" w:rsidRPr="001F2D63">
        <w:rPr>
          <w:sz w:val="24"/>
          <w:szCs w:val="24"/>
        </w:rPr>
        <w:t xml:space="preserve"> not </w:t>
      </w:r>
      <w:r w:rsidR="00592989">
        <w:rPr>
          <w:sz w:val="24"/>
          <w:szCs w:val="24"/>
        </w:rPr>
        <w:t>subject to income tax and was</w:t>
      </w:r>
      <w:r w:rsidR="001F2D63" w:rsidRPr="001F2D63">
        <w:rPr>
          <w:sz w:val="24"/>
          <w:szCs w:val="24"/>
        </w:rPr>
        <w:t xml:space="preserve"> exempt</w:t>
      </w:r>
      <w:r w:rsidR="00592989">
        <w:rPr>
          <w:sz w:val="24"/>
          <w:szCs w:val="24"/>
        </w:rPr>
        <w:t>ed</w:t>
      </w:r>
      <w:r w:rsidR="001F2D63" w:rsidRPr="001F2D63">
        <w:rPr>
          <w:sz w:val="24"/>
          <w:szCs w:val="24"/>
        </w:rPr>
        <w:t xml:space="preserve"> from incom</w:t>
      </w:r>
      <w:r w:rsidR="00592989">
        <w:rPr>
          <w:sz w:val="24"/>
          <w:szCs w:val="24"/>
        </w:rPr>
        <w:t xml:space="preserve">e tests for the purposes of the VEA by the </w:t>
      </w:r>
      <w:r w:rsidR="00592989" w:rsidRPr="00592989">
        <w:rPr>
          <w:i/>
          <w:sz w:val="24"/>
          <w:szCs w:val="24"/>
        </w:rPr>
        <w:t>Veterans’ Entitlements (Exempt Lump Sum – Redress Payment) Determination 2018</w:t>
      </w:r>
      <w:r w:rsidR="00592989">
        <w:rPr>
          <w:sz w:val="24"/>
          <w:szCs w:val="24"/>
        </w:rPr>
        <w:t xml:space="preserve"> (Instrument 2018 No. R83) [F2018L01141].</w:t>
      </w:r>
    </w:p>
    <w:p w14:paraId="62D60929" w14:textId="5D4D5D53" w:rsidR="001F2D63" w:rsidRDefault="001F2D63" w:rsidP="00FB3FCB">
      <w:pPr>
        <w:spacing w:after="120"/>
        <w:rPr>
          <w:sz w:val="24"/>
          <w:szCs w:val="24"/>
        </w:rPr>
      </w:pPr>
      <w:r>
        <w:rPr>
          <w:sz w:val="24"/>
          <w:szCs w:val="24"/>
        </w:rPr>
        <w:t xml:space="preserve">However, access to the National Redress Scheme </w:t>
      </w:r>
      <w:r w:rsidR="008262C6">
        <w:rPr>
          <w:sz w:val="24"/>
          <w:szCs w:val="24"/>
        </w:rPr>
        <w:t xml:space="preserve">will </w:t>
      </w:r>
      <w:r>
        <w:rPr>
          <w:sz w:val="24"/>
          <w:szCs w:val="24"/>
        </w:rPr>
        <w:t xml:space="preserve">not </w:t>
      </w:r>
      <w:r w:rsidR="008262C6">
        <w:rPr>
          <w:sz w:val="24"/>
          <w:szCs w:val="24"/>
        </w:rPr>
        <w:t xml:space="preserve">be </w:t>
      </w:r>
      <w:r>
        <w:rPr>
          <w:sz w:val="24"/>
          <w:szCs w:val="24"/>
        </w:rPr>
        <w:t>provided where a person has</w:t>
      </w:r>
      <w:r w:rsidRPr="001F2D63">
        <w:rPr>
          <w:sz w:val="24"/>
          <w:szCs w:val="24"/>
        </w:rPr>
        <w:t xml:space="preserve"> already received a court-ordered payment from </w:t>
      </w:r>
      <w:r w:rsidR="008262C6">
        <w:rPr>
          <w:sz w:val="24"/>
          <w:szCs w:val="24"/>
        </w:rPr>
        <w:t xml:space="preserve">or on behalf of </w:t>
      </w:r>
      <w:r w:rsidRPr="001F2D63">
        <w:rPr>
          <w:sz w:val="24"/>
          <w:szCs w:val="24"/>
        </w:rPr>
        <w:t>the institution</w:t>
      </w:r>
      <w:r>
        <w:rPr>
          <w:sz w:val="24"/>
          <w:szCs w:val="24"/>
        </w:rPr>
        <w:t xml:space="preserve">. Such payments are now more likely to be received as some of the other </w:t>
      </w:r>
      <w:r w:rsidRPr="001F2D63">
        <w:rPr>
          <w:sz w:val="24"/>
          <w:szCs w:val="24"/>
        </w:rPr>
        <w:t>recommendations of the Royal Commission</w:t>
      </w:r>
      <w:r>
        <w:rPr>
          <w:sz w:val="24"/>
          <w:szCs w:val="24"/>
        </w:rPr>
        <w:t xml:space="preserve"> resulted in</w:t>
      </w:r>
      <w:r w:rsidRPr="001F2D63">
        <w:rPr>
          <w:sz w:val="24"/>
          <w:szCs w:val="24"/>
        </w:rPr>
        <w:t xml:space="preserve"> various State and Territory governments amend</w:t>
      </w:r>
      <w:r>
        <w:rPr>
          <w:sz w:val="24"/>
          <w:szCs w:val="24"/>
        </w:rPr>
        <w:t>ing</w:t>
      </w:r>
      <w:r w:rsidRPr="001F2D63">
        <w:rPr>
          <w:sz w:val="24"/>
          <w:szCs w:val="24"/>
        </w:rPr>
        <w:t xml:space="preserve"> their civil liability and limitations legislation to enable claims for damages to be more easily </w:t>
      </w:r>
      <w:r w:rsidR="005823DF">
        <w:rPr>
          <w:sz w:val="24"/>
          <w:szCs w:val="24"/>
        </w:rPr>
        <w:t>made</w:t>
      </w:r>
      <w:r w:rsidR="008262C6">
        <w:rPr>
          <w:sz w:val="24"/>
          <w:szCs w:val="24"/>
        </w:rPr>
        <w:t>.</w:t>
      </w:r>
    </w:p>
    <w:p w14:paraId="1A0D829B" w14:textId="6894ACB4" w:rsidR="001F2D63" w:rsidRDefault="001F2D63" w:rsidP="00FB3FCB">
      <w:pPr>
        <w:spacing w:after="120"/>
        <w:rPr>
          <w:sz w:val="24"/>
          <w:szCs w:val="24"/>
        </w:rPr>
      </w:pPr>
      <w:r w:rsidRPr="001F2D63">
        <w:rPr>
          <w:sz w:val="24"/>
          <w:szCs w:val="24"/>
        </w:rPr>
        <w:t>This determination provides that an amount paid to a person or person’s partner on the basis of such a claim where the abuse was suffered while the person</w:t>
      </w:r>
      <w:r w:rsidR="00E5677F">
        <w:rPr>
          <w:sz w:val="24"/>
          <w:szCs w:val="24"/>
        </w:rPr>
        <w:t xml:space="preserve"> </w:t>
      </w:r>
      <w:r w:rsidR="00963336">
        <w:rPr>
          <w:sz w:val="24"/>
          <w:szCs w:val="24"/>
        </w:rPr>
        <w:t>w</w:t>
      </w:r>
      <w:r w:rsidR="00E5677F">
        <w:rPr>
          <w:sz w:val="24"/>
          <w:szCs w:val="24"/>
        </w:rPr>
        <w:t>as a child</w:t>
      </w:r>
      <w:r w:rsidR="00963336">
        <w:rPr>
          <w:sz w:val="24"/>
          <w:szCs w:val="24"/>
        </w:rPr>
        <w:t xml:space="preserve">, and </w:t>
      </w:r>
      <w:r w:rsidRPr="001F2D63">
        <w:rPr>
          <w:sz w:val="24"/>
          <w:szCs w:val="24"/>
        </w:rPr>
        <w:t>was</w:t>
      </w:r>
      <w:r w:rsidR="005823DF">
        <w:rPr>
          <w:sz w:val="24"/>
          <w:szCs w:val="24"/>
        </w:rPr>
        <w:t xml:space="preserve"> </w:t>
      </w:r>
      <w:r w:rsidR="00E5677F">
        <w:rPr>
          <w:sz w:val="24"/>
          <w:szCs w:val="24"/>
        </w:rPr>
        <w:t>a member</w:t>
      </w:r>
      <w:r w:rsidRPr="001F2D63">
        <w:rPr>
          <w:sz w:val="24"/>
          <w:szCs w:val="24"/>
        </w:rPr>
        <w:t xml:space="preserve"> of the A</w:t>
      </w:r>
      <w:r w:rsidR="00963336">
        <w:rPr>
          <w:sz w:val="24"/>
          <w:szCs w:val="24"/>
        </w:rPr>
        <w:t xml:space="preserve">ustralian </w:t>
      </w:r>
      <w:r w:rsidRPr="001F2D63">
        <w:rPr>
          <w:sz w:val="24"/>
          <w:szCs w:val="24"/>
        </w:rPr>
        <w:t>D</w:t>
      </w:r>
      <w:r w:rsidR="00963336">
        <w:rPr>
          <w:sz w:val="24"/>
          <w:szCs w:val="24"/>
        </w:rPr>
        <w:t xml:space="preserve">efence </w:t>
      </w:r>
      <w:r w:rsidRPr="001F2D63">
        <w:rPr>
          <w:sz w:val="24"/>
          <w:szCs w:val="24"/>
        </w:rPr>
        <w:t>F</w:t>
      </w:r>
      <w:r w:rsidR="00963336">
        <w:rPr>
          <w:sz w:val="24"/>
          <w:szCs w:val="24"/>
        </w:rPr>
        <w:t>orce</w:t>
      </w:r>
      <w:r w:rsidRPr="001F2D63">
        <w:rPr>
          <w:sz w:val="24"/>
          <w:szCs w:val="24"/>
        </w:rPr>
        <w:t xml:space="preserve"> </w:t>
      </w:r>
      <w:r w:rsidR="00963336">
        <w:rPr>
          <w:sz w:val="24"/>
          <w:szCs w:val="24"/>
        </w:rPr>
        <w:t xml:space="preserve">(ADF) </w:t>
      </w:r>
      <w:r w:rsidRPr="001F2D63">
        <w:rPr>
          <w:sz w:val="24"/>
          <w:szCs w:val="24"/>
        </w:rPr>
        <w:t>is an exempt lump sum for the purposes of the VEA.</w:t>
      </w:r>
    </w:p>
    <w:p w14:paraId="34CCF690" w14:textId="5C4FC21D" w:rsidR="00752C9D" w:rsidRPr="005F4824" w:rsidRDefault="00752C9D" w:rsidP="00FB3FCB">
      <w:pPr>
        <w:spacing w:after="120"/>
        <w:rPr>
          <w:sz w:val="24"/>
          <w:szCs w:val="24"/>
        </w:rPr>
      </w:pPr>
      <w:r w:rsidRPr="005F4824">
        <w:rPr>
          <w:sz w:val="24"/>
          <w:szCs w:val="24"/>
        </w:rPr>
        <w:t xml:space="preserve">Paragraph </w:t>
      </w:r>
      <w:proofErr w:type="gramStart"/>
      <w:r w:rsidRPr="005F4824">
        <w:rPr>
          <w:sz w:val="24"/>
          <w:szCs w:val="24"/>
        </w:rPr>
        <w:t>5H(</w:t>
      </w:r>
      <w:proofErr w:type="gramEnd"/>
      <w:r w:rsidRPr="005F4824">
        <w:rPr>
          <w:sz w:val="24"/>
          <w:szCs w:val="24"/>
        </w:rPr>
        <w:t>12)(c) of the VEA allows the Repatriation Commission to determine that an amount, or class of amounts, is an exempt lump sum. An exempt lump sum is excluded from the definition of “ordinary income” under subsection </w:t>
      </w:r>
      <w:proofErr w:type="gramStart"/>
      <w:r w:rsidRPr="005F4824">
        <w:rPr>
          <w:sz w:val="24"/>
          <w:szCs w:val="24"/>
        </w:rPr>
        <w:t>5H(</w:t>
      </w:r>
      <w:proofErr w:type="gramEnd"/>
      <w:r w:rsidRPr="005F4824">
        <w:rPr>
          <w:sz w:val="24"/>
          <w:szCs w:val="24"/>
        </w:rPr>
        <w:t xml:space="preserve">1) of the VEA, meaning the lump sum amount is not to be taken into account in determining the </w:t>
      </w:r>
      <w:r w:rsidR="00403544">
        <w:rPr>
          <w:sz w:val="24"/>
          <w:szCs w:val="24"/>
        </w:rPr>
        <w:t xml:space="preserve">rate </w:t>
      </w:r>
      <w:r w:rsidRPr="005F4824">
        <w:rPr>
          <w:sz w:val="24"/>
          <w:szCs w:val="24"/>
        </w:rPr>
        <w:t xml:space="preserve">of income support </w:t>
      </w:r>
      <w:r w:rsidR="00592989">
        <w:rPr>
          <w:sz w:val="24"/>
          <w:szCs w:val="24"/>
        </w:rPr>
        <w:t>under the VEA</w:t>
      </w:r>
      <w:r w:rsidRPr="005F4824">
        <w:rPr>
          <w:sz w:val="24"/>
          <w:szCs w:val="24"/>
        </w:rPr>
        <w:t>.</w:t>
      </w:r>
    </w:p>
    <w:p w14:paraId="6342E809" w14:textId="0467E63F" w:rsidR="00752C9D" w:rsidRPr="0097647D" w:rsidRDefault="00752C9D" w:rsidP="00592989">
      <w:pPr>
        <w:autoSpaceDE w:val="0"/>
        <w:autoSpaceDN w:val="0"/>
        <w:adjustRightInd w:val="0"/>
        <w:spacing w:after="240"/>
        <w:rPr>
          <w:sz w:val="24"/>
          <w:szCs w:val="24"/>
        </w:rPr>
      </w:pPr>
      <w:r w:rsidRPr="005F4824">
        <w:rPr>
          <w:sz w:val="24"/>
          <w:szCs w:val="24"/>
        </w:rPr>
        <w:lastRenderedPageBreak/>
        <w:t>The determination will ensure that if a person or the person’s partner receives an amount</w:t>
      </w:r>
      <w:r w:rsidR="00003003" w:rsidRPr="005F4824">
        <w:rPr>
          <w:sz w:val="24"/>
          <w:szCs w:val="24"/>
        </w:rPr>
        <w:t xml:space="preserve"> </w:t>
      </w:r>
      <w:r w:rsidR="00FB264A">
        <w:rPr>
          <w:sz w:val="24"/>
          <w:szCs w:val="24"/>
        </w:rPr>
        <w:t xml:space="preserve">of compensation </w:t>
      </w:r>
      <w:r w:rsidR="00AB5D3C">
        <w:rPr>
          <w:sz w:val="24"/>
          <w:szCs w:val="24"/>
        </w:rPr>
        <w:t xml:space="preserve">on </w:t>
      </w:r>
      <w:r w:rsidR="00AB5D3C" w:rsidRPr="00AB5D3C">
        <w:rPr>
          <w:sz w:val="24"/>
          <w:szCs w:val="24"/>
        </w:rPr>
        <w:t>the basis</w:t>
      </w:r>
      <w:r w:rsidR="00AB5D3C" w:rsidRPr="00FB3FCB">
        <w:rPr>
          <w:sz w:val="24"/>
          <w:szCs w:val="24"/>
        </w:rPr>
        <w:t xml:space="preserve"> that the payment concerns </w:t>
      </w:r>
      <w:r w:rsidR="00AB5D3C" w:rsidRPr="00AB5D3C">
        <w:rPr>
          <w:sz w:val="24"/>
          <w:szCs w:val="24"/>
        </w:rPr>
        <w:t>historical child sexual abuse committed against the person whil</w:t>
      </w:r>
      <w:r w:rsidR="00963336">
        <w:rPr>
          <w:sz w:val="24"/>
          <w:szCs w:val="24"/>
        </w:rPr>
        <w:t>e</w:t>
      </w:r>
      <w:r w:rsidR="00AB5D3C" w:rsidRPr="00AB5D3C">
        <w:rPr>
          <w:sz w:val="24"/>
          <w:szCs w:val="24"/>
        </w:rPr>
        <w:t xml:space="preserve"> they were </w:t>
      </w:r>
      <w:r w:rsidR="00E5677F">
        <w:rPr>
          <w:sz w:val="24"/>
          <w:szCs w:val="24"/>
        </w:rPr>
        <w:t>a member</w:t>
      </w:r>
      <w:r w:rsidR="00AB5D3C" w:rsidRPr="00AB5D3C">
        <w:rPr>
          <w:sz w:val="24"/>
          <w:szCs w:val="24"/>
        </w:rPr>
        <w:t xml:space="preserve"> of the ADF</w:t>
      </w:r>
      <w:r w:rsidR="00AB5D3C">
        <w:rPr>
          <w:sz w:val="24"/>
          <w:szCs w:val="24"/>
        </w:rPr>
        <w:t xml:space="preserve"> </w:t>
      </w:r>
      <w:r w:rsidRPr="005F4824">
        <w:rPr>
          <w:sz w:val="24"/>
          <w:szCs w:val="24"/>
        </w:rPr>
        <w:t xml:space="preserve">and the person is eligible for, or in receipt of, an income support supplement, a service pension or a veteran payment, then the amount of </w:t>
      </w:r>
      <w:r w:rsidR="00FB264A">
        <w:rPr>
          <w:sz w:val="24"/>
          <w:szCs w:val="24"/>
        </w:rPr>
        <w:t>compensation</w:t>
      </w:r>
      <w:r w:rsidRPr="005F4824">
        <w:rPr>
          <w:sz w:val="24"/>
          <w:szCs w:val="24"/>
        </w:rPr>
        <w:t xml:space="preserve"> received by the person or the person’s partner is an exempt lump sum.</w:t>
      </w:r>
      <w:r>
        <w:rPr>
          <w:sz w:val="24"/>
          <w:szCs w:val="24"/>
        </w:rPr>
        <w:t xml:space="preserve"> </w:t>
      </w:r>
    </w:p>
    <w:p w14:paraId="7C4A5CE9" w14:textId="77777777" w:rsidR="0069295C" w:rsidRPr="000A51A1" w:rsidRDefault="0069295C" w:rsidP="00FB3FCB">
      <w:pPr>
        <w:autoSpaceDE w:val="0"/>
        <w:autoSpaceDN w:val="0"/>
        <w:adjustRightInd w:val="0"/>
        <w:spacing w:after="120"/>
        <w:rPr>
          <w:b/>
          <w:bCs/>
          <w:color w:val="000000"/>
          <w:sz w:val="24"/>
          <w:szCs w:val="24"/>
        </w:rPr>
      </w:pPr>
      <w:r w:rsidRPr="000A51A1">
        <w:rPr>
          <w:b/>
          <w:bCs/>
          <w:color w:val="000000"/>
          <w:sz w:val="24"/>
          <w:szCs w:val="24"/>
        </w:rPr>
        <w:t>CONSULTATION</w:t>
      </w:r>
    </w:p>
    <w:p w14:paraId="39BC27DA" w14:textId="77777777" w:rsidR="0069295C" w:rsidRPr="009063B8" w:rsidRDefault="0069295C" w:rsidP="00FB3FCB">
      <w:pPr>
        <w:spacing w:after="120"/>
        <w:ind w:right="-568"/>
        <w:rPr>
          <w:color w:val="000000"/>
          <w:sz w:val="24"/>
          <w:szCs w:val="24"/>
        </w:rPr>
      </w:pPr>
      <w:r w:rsidRPr="009063B8">
        <w:rPr>
          <w:color w:val="000000"/>
          <w:sz w:val="24"/>
          <w:szCs w:val="24"/>
        </w:rPr>
        <w:t xml:space="preserve">Section 17 of the </w:t>
      </w:r>
      <w:r w:rsidRPr="009063B8">
        <w:rPr>
          <w:i/>
          <w:color w:val="000000"/>
          <w:sz w:val="24"/>
          <w:szCs w:val="24"/>
        </w:rPr>
        <w:t>Legislation Act 2003</w:t>
      </w:r>
      <w:r w:rsidRPr="009063B8">
        <w:rPr>
          <w:color w:val="000000"/>
          <w:sz w:val="24"/>
          <w:szCs w:val="24"/>
        </w:rPr>
        <w:t xml:space="preserve"> requires a rule-maker to be satisfied, before making a legislative instrument that any consultation the rule-maker considered appropriate and reasonably practicable, has been undertaken.  </w:t>
      </w:r>
    </w:p>
    <w:p w14:paraId="113A4DB2" w14:textId="11F085B0" w:rsidR="0069295C" w:rsidRPr="00B8614D" w:rsidRDefault="0069295C" w:rsidP="00FB3FCB">
      <w:pPr>
        <w:autoSpaceDE w:val="0"/>
        <w:autoSpaceDN w:val="0"/>
        <w:adjustRightInd w:val="0"/>
        <w:spacing w:after="120"/>
        <w:rPr>
          <w:bCs/>
          <w:color w:val="000000"/>
          <w:sz w:val="24"/>
          <w:szCs w:val="24"/>
        </w:rPr>
      </w:pPr>
      <w:r w:rsidRPr="00E56E5F">
        <w:rPr>
          <w:bCs/>
          <w:color w:val="000000"/>
          <w:sz w:val="24"/>
          <w:szCs w:val="24"/>
        </w:rPr>
        <w:t xml:space="preserve">This </w:t>
      </w:r>
      <w:r>
        <w:rPr>
          <w:bCs/>
          <w:color w:val="000000"/>
          <w:sz w:val="24"/>
          <w:szCs w:val="24"/>
        </w:rPr>
        <w:t>determination</w:t>
      </w:r>
      <w:r w:rsidRPr="00E56E5F">
        <w:rPr>
          <w:bCs/>
          <w:color w:val="000000"/>
          <w:sz w:val="24"/>
          <w:szCs w:val="24"/>
        </w:rPr>
        <w:t xml:space="preserve"> was made </w:t>
      </w:r>
      <w:r>
        <w:rPr>
          <w:bCs/>
          <w:color w:val="000000"/>
          <w:sz w:val="24"/>
          <w:szCs w:val="24"/>
        </w:rPr>
        <w:t xml:space="preserve">in consultation </w:t>
      </w:r>
      <w:r w:rsidRPr="007B442E">
        <w:rPr>
          <w:bCs/>
          <w:color w:val="000000"/>
          <w:sz w:val="24"/>
          <w:szCs w:val="24"/>
        </w:rPr>
        <w:t>with</w:t>
      </w:r>
      <w:r>
        <w:rPr>
          <w:bCs/>
          <w:color w:val="000000"/>
          <w:sz w:val="24"/>
          <w:szCs w:val="24"/>
        </w:rPr>
        <w:t xml:space="preserve"> </w:t>
      </w:r>
      <w:r w:rsidR="00FC0707">
        <w:rPr>
          <w:bCs/>
          <w:color w:val="000000"/>
          <w:sz w:val="24"/>
          <w:szCs w:val="24"/>
        </w:rPr>
        <w:t xml:space="preserve">policy representatives of </w:t>
      </w:r>
      <w:r w:rsidRPr="007B442E">
        <w:rPr>
          <w:bCs/>
          <w:sz w:val="24"/>
          <w:szCs w:val="24"/>
        </w:rPr>
        <w:t>the Department</w:t>
      </w:r>
      <w:r>
        <w:rPr>
          <w:bCs/>
          <w:sz w:val="24"/>
          <w:szCs w:val="24"/>
        </w:rPr>
        <w:t xml:space="preserve"> of Veterans’ Affairs</w:t>
      </w:r>
      <w:r w:rsidR="005F4824">
        <w:rPr>
          <w:bCs/>
          <w:sz w:val="24"/>
          <w:szCs w:val="24"/>
        </w:rPr>
        <w:t xml:space="preserve"> (DVA)</w:t>
      </w:r>
      <w:r w:rsidRPr="007B442E">
        <w:rPr>
          <w:bCs/>
          <w:sz w:val="24"/>
          <w:szCs w:val="24"/>
        </w:rPr>
        <w:t xml:space="preserve">. </w:t>
      </w:r>
      <w:r w:rsidRPr="004B23BE">
        <w:rPr>
          <w:sz w:val="24"/>
          <w:szCs w:val="24"/>
        </w:rPr>
        <w:t xml:space="preserve">The nature of consultation </w:t>
      </w:r>
      <w:r>
        <w:rPr>
          <w:sz w:val="24"/>
          <w:szCs w:val="24"/>
        </w:rPr>
        <w:t xml:space="preserve">was by way of </w:t>
      </w:r>
      <w:r w:rsidRPr="004B23BE">
        <w:rPr>
          <w:sz w:val="24"/>
          <w:szCs w:val="24"/>
        </w:rPr>
        <w:t>email correspondence.</w:t>
      </w:r>
    </w:p>
    <w:p w14:paraId="587E5D60" w14:textId="50EE0279" w:rsidR="0069295C" w:rsidRDefault="0069295C" w:rsidP="00FB3FCB">
      <w:pPr>
        <w:spacing w:after="120"/>
        <w:ind w:right="-568"/>
        <w:rPr>
          <w:sz w:val="24"/>
          <w:szCs w:val="24"/>
        </w:rPr>
      </w:pPr>
      <w:r w:rsidRPr="009063B8">
        <w:rPr>
          <w:sz w:val="24"/>
          <w:szCs w:val="24"/>
        </w:rPr>
        <w:t xml:space="preserve">Accordingly, it is considered </w:t>
      </w:r>
      <w:r>
        <w:rPr>
          <w:sz w:val="24"/>
          <w:szCs w:val="24"/>
        </w:rPr>
        <w:t xml:space="preserve">that </w:t>
      </w:r>
      <w:r w:rsidRPr="009063B8">
        <w:rPr>
          <w:sz w:val="24"/>
          <w:szCs w:val="24"/>
        </w:rPr>
        <w:t xml:space="preserve">the requirements of section 17 of the </w:t>
      </w:r>
      <w:r w:rsidRPr="009063B8">
        <w:rPr>
          <w:i/>
          <w:sz w:val="24"/>
          <w:szCs w:val="24"/>
        </w:rPr>
        <w:t>Legislation Act 2003</w:t>
      </w:r>
      <w:r w:rsidRPr="009063B8">
        <w:rPr>
          <w:sz w:val="24"/>
          <w:szCs w:val="24"/>
        </w:rPr>
        <w:t xml:space="preserve"> have been met.  </w:t>
      </w:r>
    </w:p>
    <w:p w14:paraId="55E1BDE3" w14:textId="77777777" w:rsidR="00AB5D3C" w:rsidRPr="009063B8" w:rsidRDefault="00AB5D3C" w:rsidP="00FB3FCB">
      <w:pPr>
        <w:spacing w:after="120"/>
        <w:ind w:right="-568"/>
        <w:rPr>
          <w:color w:val="000000"/>
          <w:sz w:val="24"/>
          <w:szCs w:val="24"/>
        </w:rPr>
      </w:pPr>
    </w:p>
    <w:p w14:paraId="2BE5A057" w14:textId="77777777" w:rsidR="0069295C" w:rsidRPr="000A51A1" w:rsidRDefault="0069295C" w:rsidP="00FB3FCB">
      <w:pPr>
        <w:spacing w:after="120"/>
        <w:rPr>
          <w:b/>
          <w:color w:val="000000"/>
          <w:sz w:val="24"/>
          <w:szCs w:val="24"/>
        </w:rPr>
      </w:pPr>
      <w:r w:rsidRPr="000A51A1">
        <w:rPr>
          <w:b/>
          <w:color w:val="000000"/>
          <w:sz w:val="24"/>
          <w:szCs w:val="24"/>
        </w:rPr>
        <w:t>RETROSPECTIVITY</w:t>
      </w:r>
    </w:p>
    <w:p w14:paraId="2477D095" w14:textId="3E17E850" w:rsidR="0069295C" w:rsidRPr="00E82D30" w:rsidRDefault="0069295C" w:rsidP="00FB3FCB">
      <w:pPr>
        <w:pStyle w:val="Default"/>
        <w:autoSpaceDE/>
        <w:autoSpaceDN/>
        <w:adjustRightInd/>
        <w:spacing w:after="120"/>
      </w:pPr>
      <w:r w:rsidRPr="00F5583B">
        <w:t xml:space="preserve">The determination will be taken to have commenced </w:t>
      </w:r>
      <w:r w:rsidRPr="00592989">
        <w:t xml:space="preserve">on </w:t>
      </w:r>
      <w:r w:rsidR="00FB264A" w:rsidRPr="00592989">
        <w:t xml:space="preserve">1 July 2018 </w:t>
      </w:r>
      <w:r w:rsidR="004E7B4F" w:rsidRPr="00592989">
        <w:t>in line</w:t>
      </w:r>
      <w:r w:rsidR="004E7B4F">
        <w:t xml:space="preserve"> with the commencement of the National Redress Scheme </w:t>
      </w:r>
      <w:r w:rsidRPr="00F5583B">
        <w:t xml:space="preserve">and will operate from that date. </w:t>
      </w:r>
    </w:p>
    <w:p w14:paraId="717E3BFC" w14:textId="30DC2A76" w:rsidR="0069295C" w:rsidRPr="00F5583B" w:rsidRDefault="0069295C" w:rsidP="00FB3FCB">
      <w:pPr>
        <w:pStyle w:val="Default"/>
        <w:autoSpaceDE/>
        <w:autoSpaceDN/>
        <w:adjustRightInd/>
        <w:spacing w:after="120"/>
      </w:pPr>
      <w:r w:rsidRPr="00F5583B">
        <w:t xml:space="preserve">The </w:t>
      </w:r>
      <w:r>
        <w:t xml:space="preserve">retrospective </w:t>
      </w:r>
      <w:r w:rsidRPr="00F5583B">
        <w:t xml:space="preserve">commencement </w:t>
      </w:r>
      <w:r>
        <w:t xml:space="preserve">is designed to </w:t>
      </w:r>
      <w:r w:rsidR="00A56123">
        <w:t>support</w:t>
      </w:r>
      <w:r w:rsidRPr="00F5583B">
        <w:t xml:space="preserve"> </w:t>
      </w:r>
      <w:r w:rsidR="00377F9E">
        <w:t xml:space="preserve">clients </w:t>
      </w:r>
      <w:r w:rsidRPr="00F5583B">
        <w:t>and is intended to ensure that</w:t>
      </w:r>
      <w:r>
        <w:t xml:space="preserve"> </w:t>
      </w:r>
      <w:r w:rsidR="00FB264A">
        <w:t xml:space="preserve">compensation </w:t>
      </w:r>
      <w:r w:rsidR="00F21919">
        <w:t xml:space="preserve">already </w:t>
      </w:r>
      <w:r w:rsidR="00FB264A">
        <w:t>pa</w:t>
      </w:r>
      <w:r w:rsidR="00F21919">
        <w:t>id</w:t>
      </w:r>
      <w:r w:rsidR="00FC0707">
        <w:t xml:space="preserve"> </w:t>
      </w:r>
      <w:r w:rsidR="00FB264A">
        <w:t xml:space="preserve">by the Commonwealth on behalf of the ADF </w:t>
      </w:r>
      <w:r w:rsidR="00FC0707">
        <w:t xml:space="preserve">to a person or their partner, </w:t>
      </w:r>
      <w:r w:rsidRPr="00F5583B">
        <w:t>will be treated as exempt income under the VEA.</w:t>
      </w:r>
    </w:p>
    <w:p w14:paraId="5765EB03" w14:textId="77777777" w:rsidR="0069295C" w:rsidRPr="00F5583B" w:rsidRDefault="0069295C" w:rsidP="00592989">
      <w:pPr>
        <w:autoSpaceDE w:val="0"/>
        <w:autoSpaceDN w:val="0"/>
        <w:adjustRightInd w:val="0"/>
        <w:spacing w:after="240"/>
        <w:rPr>
          <w:b/>
          <w:bCs/>
          <w:color w:val="000000"/>
          <w:sz w:val="24"/>
          <w:szCs w:val="24"/>
        </w:rPr>
      </w:pPr>
      <w:r>
        <w:rPr>
          <w:color w:val="000000"/>
          <w:sz w:val="24"/>
          <w:szCs w:val="24"/>
        </w:rPr>
        <w:t xml:space="preserve">The </w:t>
      </w:r>
      <w:r w:rsidRPr="00F5583B">
        <w:rPr>
          <w:color w:val="000000"/>
          <w:sz w:val="24"/>
          <w:szCs w:val="24"/>
        </w:rPr>
        <w:t>retrospective</w:t>
      </w:r>
      <w:r>
        <w:rPr>
          <w:color w:val="000000"/>
          <w:sz w:val="24"/>
          <w:szCs w:val="24"/>
        </w:rPr>
        <w:t xml:space="preserve"> operation of the </w:t>
      </w:r>
      <w:r w:rsidRPr="00F5583B">
        <w:rPr>
          <w:color w:val="000000"/>
          <w:sz w:val="24"/>
          <w:szCs w:val="24"/>
        </w:rPr>
        <w:t xml:space="preserve">instrument will not infringe section 12 of the </w:t>
      </w:r>
      <w:r w:rsidRPr="00F5583B">
        <w:rPr>
          <w:i/>
          <w:iCs/>
          <w:color w:val="000000"/>
          <w:sz w:val="24"/>
          <w:szCs w:val="24"/>
        </w:rPr>
        <w:t>Legislation Act 2003</w:t>
      </w:r>
      <w:r w:rsidRPr="00F5583B">
        <w:rPr>
          <w:color w:val="000000"/>
          <w:sz w:val="24"/>
          <w:szCs w:val="24"/>
        </w:rPr>
        <w:t xml:space="preserve"> because the retrospective operation would not disadvantage any person or impose a liability on a person other than the Commonwealth. </w:t>
      </w:r>
    </w:p>
    <w:p w14:paraId="1B7433FF" w14:textId="77777777" w:rsidR="0069295C" w:rsidRPr="000A51A1" w:rsidRDefault="0069295C" w:rsidP="00FB3FCB">
      <w:pPr>
        <w:spacing w:after="120"/>
        <w:rPr>
          <w:b/>
          <w:color w:val="000000"/>
          <w:sz w:val="24"/>
          <w:szCs w:val="24"/>
        </w:rPr>
      </w:pPr>
      <w:r>
        <w:rPr>
          <w:b/>
          <w:color w:val="000000"/>
          <w:sz w:val="24"/>
          <w:szCs w:val="24"/>
        </w:rPr>
        <w:t xml:space="preserve">DOCUMENTS INCORPORATED BY </w:t>
      </w:r>
      <w:r w:rsidRPr="000A51A1">
        <w:rPr>
          <w:b/>
          <w:color w:val="000000"/>
          <w:sz w:val="24"/>
          <w:szCs w:val="24"/>
        </w:rPr>
        <w:t>REFERENCE</w:t>
      </w:r>
    </w:p>
    <w:p w14:paraId="6F4C216C" w14:textId="77777777" w:rsidR="0069295C" w:rsidRDefault="0069295C" w:rsidP="00592989">
      <w:pPr>
        <w:autoSpaceDE w:val="0"/>
        <w:autoSpaceDN w:val="0"/>
        <w:adjustRightInd w:val="0"/>
        <w:spacing w:after="240"/>
        <w:rPr>
          <w:color w:val="000000"/>
          <w:sz w:val="24"/>
          <w:szCs w:val="24"/>
        </w:rPr>
      </w:pPr>
      <w:r>
        <w:rPr>
          <w:color w:val="000000"/>
          <w:sz w:val="24"/>
          <w:szCs w:val="24"/>
        </w:rPr>
        <w:t>No</w:t>
      </w:r>
      <w:r w:rsidRPr="000A51A1">
        <w:rPr>
          <w:color w:val="000000"/>
          <w:sz w:val="24"/>
          <w:szCs w:val="24"/>
        </w:rPr>
        <w:t>.</w:t>
      </w:r>
    </w:p>
    <w:p w14:paraId="7CCF594B" w14:textId="77777777" w:rsidR="0069295C" w:rsidRPr="005F4824" w:rsidRDefault="0069295C" w:rsidP="00FB3FCB">
      <w:pPr>
        <w:autoSpaceDE w:val="0"/>
        <w:autoSpaceDN w:val="0"/>
        <w:adjustRightInd w:val="0"/>
        <w:spacing w:after="120"/>
        <w:rPr>
          <w:b/>
          <w:bCs/>
          <w:color w:val="000000"/>
          <w:sz w:val="24"/>
          <w:szCs w:val="24"/>
        </w:rPr>
      </w:pPr>
      <w:r w:rsidRPr="005F4824">
        <w:rPr>
          <w:b/>
          <w:bCs/>
          <w:color w:val="000000"/>
          <w:sz w:val="24"/>
          <w:szCs w:val="24"/>
        </w:rPr>
        <w:t>REGULATORY IMPACT</w:t>
      </w:r>
    </w:p>
    <w:p w14:paraId="07E9272E" w14:textId="7459A569" w:rsidR="0069295C" w:rsidRPr="00FB3FCB" w:rsidRDefault="0069295C" w:rsidP="00592989">
      <w:pPr>
        <w:autoSpaceDE w:val="0"/>
        <w:autoSpaceDN w:val="0"/>
        <w:adjustRightInd w:val="0"/>
        <w:spacing w:after="240"/>
        <w:rPr>
          <w:bCs/>
          <w:sz w:val="24"/>
          <w:szCs w:val="24"/>
        </w:rPr>
      </w:pPr>
      <w:r w:rsidRPr="005F4824">
        <w:rPr>
          <w:bCs/>
          <w:color w:val="000000"/>
          <w:sz w:val="24"/>
          <w:szCs w:val="24"/>
        </w:rPr>
        <w:t>None. Office of Best Practice Regulation (</w:t>
      </w:r>
      <w:r w:rsidRPr="005F4824">
        <w:rPr>
          <w:sz w:val="24"/>
          <w:szCs w:val="24"/>
        </w:rPr>
        <w:t>OBPR)</w:t>
      </w:r>
      <w:r w:rsidR="000E6F08" w:rsidRPr="005F4824">
        <w:rPr>
          <w:sz w:val="24"/>
          <w:szCs w:val="24"/>
        </w:rPr>
        <w:t xml:space="preserve"> reference is </w:t>
      </w:r>
      <w:r w:rsidR="00FF3723">
        <w:rPr>
          <w:sz w:val="24"/>
          <w:szCs w:val="24"/>
        </w:rPr>
        <w:t>OBPR ID 25701</w:t>
      </w:r>
      <w:r w:rsidRPr="00FB264A">
        <w:rPr>
          <w:sz w:val="24"/>
          <w:szCs w:val="24"/>
        </w:rPr>
        <w:t>.</w:t>
      </w:r>
    </w:p>
    <w:p w14:paraId="48F08D61" w14:textId="77777777" w:rsidR="0069295C" w:rsidRPr="000A51A1" w:rsidRDefault="0069295C" w:rsidP="00FB3FCB">
      <w:pPr>
        <w:spacing w:after="120"/>
        <w:rPr>
          <w:b/>
          <w:color w:val="000000"/>
          <w:sz w:val="24"/>
          <w:szCs w:val="24"/>
        </w:rPr>
      </w:pPr>
      <w:r w:rsidRPr="000A51A1">
        <w:rPr>
          <w:b/>
          <w:color w:val="000000"/>
          <w:sz w:val="24"/>
          <w:szCs w:val="24"/>
        </w:rPr>
        <w:t>HUMAN RIGHTS STATEMENT</w:t>
      </w:r>
    </w:p>
    <w:p w14:paraId="14A3DD54" w14:textId="77777777" w:rsidR="0069295C" w:rsidRDefault="0069295C" w:rsidP="00FB3FCB">
      <w:pPr>
        <w:pStyle w:val="Default"/>
        <w:spacing w:after="120"/>
      </w:pPr>
      <w:r w:rsidRPr="000A51A1">
        <w:t xml:space="preserve">Prepared in accordance with Part 3 of the </w:t>
      </w:r>
      <w:r w:rsidRPr="00FB3FCB">
        <w:rPr>
          <w:i/>
        </w:rPr>
        <w:t>Human Rights (Parliamentary Scrutiny) Act 2011</w:t>
      </w:r>
      <w:r w:rsidRPr="000A51A1">
        <w:t>.</w:t>
      </w:r>
    </w:p>
    <w:p w14:paraId="47D2F762" w14:textId="77777777" w:rsidR="0069295C" w:rsidRDefault="0069295C" w:rsidP="00FB3FCB">
      <w:pPr>
        <w:pStyle w:val="Default"/>
        <w:spacing w:after="120"/>
      </w:pPr>
      <w:r w:rsidRPr="006914CD">
        <w:t xml:space="preserve">The attached </w:t>
      </w:r>
      <w:r>
        <w:t>instrument</w:t>
      </w:r>
      <w:r w:rsidRPr="006914CD">
        <w:t xml:space="preserve"> engag</w:t>
      </w:r>
      <w:r>
        <w:t>es</w:t>
      </w:r>
      <w:r w:rsidRPr="006914CD">
        <w:t xml:space="preserve"> </w:t>
      </w:r>
      <w:r>
        <w:t xml:space="preserve">the </w:t>
      </w:r>
      <w:hyperlink r:id="rId4" w:history="1">
        <w:r w:rsidRPr="000E6F08">
          <w:t xml:space="preserve">right to social security contained in Article 9 of </w:t>
        </w:r>
        <w:proofErr w:type="gramStart"/>
        <w:r w:rsidRPr="000E6F08">
          <w:t xml:space="preserve">the </w:t>
        </w:r>
        <w:proofErr w:type="gramEnd"/>
        <w:r w:rsidR="0039441F">
          <w:fldChar w:fldCharType="begin"/>
        </w:r>
        <w:r w:rsidR="0039441F">
          <w:instrText xml:space="preserve"> HYPERLINK "http://www.info.dfat.gov.au/Info/Treaties/treaties.nsf/AllDocIDs/CFB1E23A1297FFE8CA256B4C000C26B4" </w:instrText>
        </w:r>
        <w:r w:rsidR="0039441F">
          <w:fldChar w:fldCharType="separate"/>
        </w:r>
        <w:r w:rsidRPr="000E6F08">
          <w:t>International Covenant on Economic Social and Cultural Rights</w:t>
        </w:r>
        <w:r w:rsidR="0039441F">
          <w:fldChar w:fldCharType="end"/>
        </w:r>
      </w:hyperlink>
      <w:r w:rsidRPr="000E6F08">
        <w:t>.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w:t>
      </w:r>
      <w:r w:rsidR="000E6F08" w:rsidRPr="000E6F08">
        <w:t xml:space="preserve"> most basic forms of education.</w:t>
      </w:r>
    </w:p>
    <w:p w14:paraId="77EF3AAB" w14:textId="5EA07316" w:rsidR="0069295C" w:rsidRDefault="0069295C" w:rsidP="00FB3FCB">
      <w:pPr>
        <w:pStyle w:val="Default"/>
        <w:spacing w:after="120"/>
      </w:pPr>
      <w:r>
        <w:t>Under the V</w:t>
      </w:r>
      <w:r w:rsidRPr="0084217B">
        <w:t>EA</w:t>
      </w:r>
      <w:r>
        <w:t>,</w:t>
      </w:r>
      <w:r w:rsidRPr="00366DAB">
        <w:t xml:space="preserve"> </w:t>
      </w:r>
      <w:r w:rsidR="00403544">
        <w:t>income support payments</w:t>
      </w:r>
      <w:r>
        <w:t xml:space="preserve"> are subject to a means test which assesses the income and assets of the pensioner to determine the level of p</w:t>
      </w:r>
      <w:r w:rsidR="00403544">
        <w:t>ayment</w:t>
      </w:r>
      <w:r>
        <w:t xml:space="preserve"> the person is entitled to.  Where a</w:t>
      </w:r>
      <w:r w:rsidR="00403544">
        <w:t xml:space="preserve">n income support recipient </w:t>
      </w:r>
      <w:r>
        <w:t xml:space="preserve">receives a lump sum, the </w:t>
      </w:r>
      <w:r w:rsidR="00403544">
        <w:t xml:space="preserve">whole or part of the </w:t>
      </w:r>
      <w:r>
        <w:t xml:space="preserve">payment is </w:t>
      </w:r>
      <w:r>
        <w:lastRenderedPageBreak/>
        <w:t xml:space="preserve">generally treated as income and would be assessed </w:t>
      </w:r>
      <w:r w:rsidR="00403544">
        <w:t xml:space="preserve">under </w:t>
      </w:r>
      <w:r>
        <w:t>the means test for the p</w:t>
      </w:r>
      <w:r w:rsidR="00403544">
        <w:t>ayment</w:t>
      </w:r>
      <w:r>
        <w:t xml:space="preserve"> which could result in </w:t>
      </w:r>
      <w:r w:rsidR="00403544">
        <w:t>the payment being reduced</w:t>
      </w:r>
      <w:r>
        <w:t xml:space="preserve">.  </w:t>
      </w:r>
    </w:p>
    <w:p w14:paraId="4220708E" w14:textId="25B52330" w:rsidR="0069295C" w:rsidRDefault="0069295C" w:rsidP="00FB3FCB">
      <w:pPr>
        <w:pStyle w:val="Normal1"/>
        <w:spacing w:before="0" w:beforeAutospacing="0" w:after="120" w:afterAutospacing="0"/>
        <w:rPr>
          <w:lang w:val="en-AU" w:eastAsia="en-AU"/>
        </w:rPr>
      </w:pPr>
      <w:r>
        <w:rPr>
          <w:lang w:val="en-AU" w:eastAsia="en-AU"/>
        </w:rPr>
        <w:t xml:space="preserve">The determination will operate beneficially as a </w:t>
      </w:r>
      <w:r w:rsidR="00FB264A">
        <w:rPr>
          <w:lang w:val="en-AU" w:eastAsia="en-AU"/>
        </w:rPr>
        <w:t xml:space="preserve">compensation </w:t>
      </w:r>
      <w:r>
        <w:rPr>
          <w:lang w:val="en-AU" w:eastAsia="en-AU"/>
        </w:rPr>
        <w:t>payment will not be taken into account when assessing a person’s rate of p</w:t>
      </w:r>
      <w:r w:rsidR="00403544">
        <w:rPr>
          <w:lang w:val="en-AU" w:eastAsia="en-AU"/>
        </w:rPr>
        <w:t>ayment</w:t>
      </w:r>
      <w:r>
        <w:rPr>
          <w:lang w:val="en-AU" w:eastAsia="en-AU"/>
        </w:rPr>
        <w:t xml:space="preserve"> under the VEA income test.  If the </w:t>
      </w:r>
      <w:r w:rsidR="00FB264A">
        <w:rPr>
          <w:lang w:val="en-AU" w:eastAsia="en-AU"/>
        </w:rPr>
        <w:t xml:space="preserve">compensation </w:t>
      </w:r>
      <w:r>
        <w:rPr>
          <w:lang w:val="en-AU" w:eastAsia="en-AU"/>
        </w:rPr>
        <w:t xml:space="preserve">payment is not exempted, a person in receipt of </w:t>
      </w:r>
      <w:r w:rsidR="00FB264A">
        <w:rPr>
          <w:lang w:val="en-AU" w:eastAsia="en-AU"/>
        </w:rPr>
        <w:t>that compensation</w:t>
      </w:r>
      <w:r>
        <w:rPr>
          <w:lang w:val="en-AU" w:eastAsia="en-AU"/>
        </w:rPr>
        <w:t xml:space="preserve"> may not be eligible for a</w:t>
      </w:r>
      <w:r w:rsidR="00403544">
        <w:rPr>
          <w:lang w:val="en-AU" w:eastAsia="en-AU"/>
        </w:rPr>
        <w:t>n income support</w:t>
      </w:r>
      <w:r>
        <w:rPr>
          <w:lang w:val="en-AU" w:eastAsia="en-AU"/>
        </w:rPr>
        <w:t xml:space="preserve"> payment under the VEA or, if they are eligible, their rate of payment might be reduced.</w:t>
      </w:r>
    </w:p>
    <w:p w14:paraId="75C7B1CF" w14:textId="00252DC9" w:rsidR="0069295C" w:rsidRDefault="0069295C" w:rsidP="00FB3FCB">
      <w:pPr>
        <w:pStyle w:val="Normal1"/>
        <w:spacing w:before="0" w:beforeAutospacing="0" w:after="120" w:afterAutospacing="0"/>
        <w:rPr>
          <w:i/>
          <w:lang w:val="en-AU" w:eastAsia="en-AU"/>
        </w:rPr>
      </w:pPr>
      <w:r>
        <w:t xml:space="preserve">The right to social security is promoted by the attached instrument in that it ensures </w:t>
      </w:r>
      <w:r w:rsidR="00FB264A">
        <w:t>compensation</w:t>
      </w:r>
      <w:r>
        <w:t xml:space="preserve"> is not treated as income for the purposes of the means test </w:t>
      </w:r>
      <w:r w:rsidRPr="003E4625">
        <w:t xml:space="preserve">for establishing </w:t>
      </w:r>
      <w:r>
        <w:t xml:space="preserve">whether certain pensions and other payments are payable.  </w:t>
      </w:r>
    </w:p>
    <w:p w14:paraId="79044E86" w14:textId="55535025" w:rsidR="0069295C" w:rsidRDefault="0069295C" w:rsidP="00FB3FCB">
      <w:pPr>
        <w:pStyle w:val="Normal1"/>
        <w:spacing w:before="0" w:beforeAutospacing="0" w:after="120" w:afterAutospacing="0"/>
        <w:rPr>
          <w:lang w:val="en-AU" w:eastAsia="en-AU"/>
        </w:rPr>
      </w:pPr>
      <w:r>
        <w:rPr>
          <w:lang w:val="en-AU" w:eastAsia="en-AU"/>
        </w:rPr>
        <w:t xml:space="preserve">The attached instrument is compatible with human rights because it supports a person’s right </w:t>
      </w:r>
      <w:r w:rsidRPr="00A507AA">
        <w:rPr>
          <w:lang w:val="en-AU" w:eastAsia="en-AU"/>
        </w:rPr>
        <w:t xml:space="preserve">to </w:t>
      </w:r>
      <w:r>
        <w:rPr>
          <w:lang w:val="en-AU" w:eastAsia="en-AU"/>
        </w:rPr>
        <w:t>s</w:t>
      </w:r>
      <w:r w:rsidRPr="00A507AA">
        <w:rPr>
          <w:lang w:val="en-AU" w:eastAsia="en-AU"/>
        </w:rPr>
        <w:t xml:space="preserve">ocial </w:t>
      </w:r>
      <w:r>
        <w:rPr>
          <w:lang w:val="en-AU" w:eastAsia="en-AU"/>
        </w:rPr>
        <w:t>s</w:t>
      </w:r>
      <w:r w:rsidRPr="00A507AA">
        <w:rPr>
          <w:lang w:val="en-AU" w:eastAsia="en-AU"/>
        </w:rPr>
        <w:t>ecurity.</w:t>
      </w:r>
    </w:p>
    <w:p w14:paraId="78366E62" w14:textId="5B35A8BA" w:rsidR="00FB264A" w:rsidRDefault="00FB264A" w:rsidP="00FB3FCB">
      <w:pPr>
        <w:pStyle w:val="Normal1"/>
        <w:spacing w:before="0" w:beforeAutospacing="0" w:after="120" w:afterAutospacing="0"/>
        <w:rPr>
          <w:lang w:val="en-AU" w:eastAsia="en-AU"/>
        </w:rPr>
      </w:pPr>
    </w:p>
    <w:p w14:paraId="3496BC9D" w14:textId="77777777" w:rsidR="00FB264A" w:rsidRDefault="00FB264A" w:rsidP="00FB3FCB">
      <w:pPr>
        <w:pStyle w:val="Normal1"/>
        <w:spacing w:before="0" w:beforeAutospacing="0" w:after="120" w:afterAutospacing="0"/>
        <w:rPr>
          <w:lang w:val="en-AU" w:eastAsia="en-AU"/>
        </w:rPr>
      </w:pPr>
    </w:p>
    <w:p w14:paraId="62A27665" w14:textId="77777777" w:rsidR="0069295C" w:rsidRDefault="0069295C" w:rsidP="00FB3FCB">
      <w:pPr>
        <w:pStyle w:val="Default"/>
        <w:spacing w:after="120"/>
        <w:rPr>
          <w:bCs/>
          <w:color w:val="auto"/>
        </w:rPr>
      </w:pPr>
      <w:r>
        <w:rPr>
          <w:bCs/>
          <w:color w:val="auto"/>
        </w:rPr>
        <w:t>Edel Kairouz</w:t>
      </w:r>
    </w:p>
    <w:p w14:paraId="0DA4EE2A" w14:textId="77777777" w:rsidR="0069295C" w:rsidRDefault="0069295C" w:rsidP="00FB3FCB">
      <w:pPr>
        <w:pStyle w:val="Default"/>
        <w:spacing w:after="120"/>
        <w:rPr>
          <w:bCs/>
          <w:color w:val="auto"/>
        </w:rPr>
      </w:pPr>
      <w:r w:rsidRPr="00184E0D">
        <w:rPr>
          <w:bCs/>
          <w:color w:val="auto"/>
        </w:rPr>
        <w:t xml:space="preserve">Assistant Secretary, as delegate of </w:t>
      </w:r>
      <w:r>
        <w:rPr>
          <w:bCs/>
          <w:color w:val="auto"/>
        </w:rPr>
        <w:t>t</w:t>
      </w:r>
      <w:r w:rsidRPr="00184E0D">
        <w:rPr>
          <w:bCs/>
          <w:color w:val="auto"/>
        </w:rPr>
        <w:t>he Repatriation Commission</w:t>
      </w:r>
    </w:p>
    <w:p w14:paraId="5122E902" w14:textId="15CEB319" w:rsidR="0069295C" w:rsidRDefault="0069295C" w:rsidP="00FB3FCB">
      <w:pPr>
        <w:pStyle w:val="Default"/>
        <w:spacing w:after="120"/>
        <w:rPr>
          <w:bCs/>
        </w:rPr>
      </w:pPr>
      <w:r>
        <w:rPr>
          <w:bCs/>
        </w:rPr>
        <w:t>Rule-Maker</w:t>
      </w:r>
    </w:p>
    <w:p w14:paraId="388E9E66" w14:textId="77777777" w:rsidR="0069295C" w:rsidRPr="000A51A1" w:rsidRDefault="0069295C" w:rsidP="00FB3FCB">
      <w:pPr>
        <w:spacing w:after="120"/>
        <w:rPr>
          <w:b/>
          <w:color w:val="000000"/>
          <w:sz w:val="24"/>
          <w:szCs w:val="24"/>
        </w:rPr>
      </w:pPr>
      <w:r w:rsidRPr="000A51A1">
        <w:rPr>
          <w:b/>
          <w:color w:val="000000"/>
          <w:sz w:val="24"/>
          <w:szCs w:val="24"/>
        </w:rPr>
        <w:t>FURTHER EXPLANATION OF PROVISIONS</w:t>
      </w:r>
    </w:p>
    <w:p w14:paraId="35F10C6B" w14:textId="77777777" w:rsidR="0069295C" w:rsidRDefault="0069295C" w:rsidP="00FB3FCB">
      <w:pPr>
        <w:pStyle w:val="Default"/>
        <w:autoSpaceDE/>
        <w:autoSpaceDN/>
        <w:adjustRightInd/>
        <w:spacing w:after="120"/>
        <w:rPr>
          <w:u w:val="single"/>
        </w:rPr>
      </w:pPr>
      <w:r w:rsidRPr="00B32C3A">
        <w:t xml:space="preserve">See: </w:t>
      </w:r>
      <w:r w:rsidRPr="00B32C3A">
        <w:rPr>
          <w:u w:val="single"/>
        </w:rPr>
        <w:t>Attachment A</w:t>
      </w:r>
    </w:p>
    <w:p w14:paraId="7B7622FC" w14:textId="77777777" w:rsidR="0069295C" w:rsidRDefault="0069295C" w:rsidP="00FB3FCB">
      <w:pPr>
        <w:spacing w:after="120"/>
        <w:rPr>
          <w:sz w:val="24"/>
          <w:szCs w:val="24"/>
        </w:rPr>
      </w:pPr>
      <w:r>
        <w:rPr>
          <w:sz w:val="24"/>
          <w:szCs w:val="24"/>
        </w:rPr>
        <w:br w:type="page"/>
      </w:r>
    </w:p>
    <w:p w14:paraId="7E290DA3" w14:textId="77777777" w:rsidR="0069295C" w:rsidRDefault="0069295C" w:rsidP="0069295C">
      <w:pPr>
        <w:rPr>
          <w:sz w:val="24"/>
          <w:szCs w:val="24"/>
        </w:rPr>
      </w:pPr>
    </w:p>
    <w:p w14:paraId="07FD1C3B" w14:textId="77777777" w:rsidR="0069295C" w:rsidRPr="00FB3FCB" w:rsidRDefault="0069295C" w:rsidP="0069295C">
      <w:pPr>
        <w:pStyle w:val="Default"/>
        <w:autoSpaceDE/>
        <w:autoSpaceDN/>
        <w:adjustRightInd/>
        <w:jc w:val="right"/>
        <w:rPr>
          <w:b/>
          <w:u w:val="single"/>
        </w:rPr>
      </w:pPr>
      <w:r w:rsidRPr="00FB3FCB">
        <w:rPr>
          <w:b/>
          <w:u w:val="single"/>
        </w:rPr>
        <w:t>Attachment A</w:t>
      </w:r>
    </w:p>
    <w:p w14:paraId="1430BA36" w14:textId="77777777" w:rsidR="0069295C" w:rsidRDefault="0069295C" w:rsidP="0069295C">
      <w:pPr>
        <w:jc w:val="right"/>
        <w:rPr>
          <w:sz w:val="24"/>
          <w:szCs w:val="24"/>
        </w:rPr>
      </w:pPr>
    </w:p>
    <w:p w14:paraId="15FF479A" w14:textId="623432EB" w:rsidR="0069295C" w:rsidRDefault="0069295C">
      <w:pPr>
        <w:rPr>
          <w:b/>
          <w:color w:val="000000"/>
          <w:sz w:val="24"/>
          <w:szCs w:val="24"/>
        </w:rPr>
      </w:pPr>
      <w:r w:rsidRPr="000A51A1">
        <w:rPr>
          <w:b/>
          <w:color w:val="000000"/>
          <w:sz w:val="24"/>
          <w:szCs w:val="24"/>
        </w:rPr>
        <w:t>FURTHER EXPLANATION OF PROVISIONS</w:t>
      </w:r>
    </w:p>
    <w:p w14:paraId="07925E21" w14:textId="1531DC07" w:rsidR="00FB264A" w:rsidRDefault="00FB264A">
      <w:pPr>
        <w:rPr>
          <w:b/>
          <w:color w:val="000000"/>
          <w:sz w:val="24"/>
          <w:szCs w:val="24"/>
        </w:rPr>
      </w:pPr>
    </w:p>
    <w:p w14:paraId="10B69226"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1  </w:t>
      </w:r>
    </w:p>
    <w:p w14:paraId="471169BC" w14:textId="762FD9FD"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This determination</w:t>
      </w:r>
      <w:r w:rsidRPr="00FB264A">
        <w:rPr>
          <w:b/>
          <w:bCs/>
          <w:color w:val="000000"/>
          <w:sz w:val="24"/>
          <w:szCs w:val="24"/>
        </w:rPr>
        <w:t xml:space="preserve"> </w:t>
      </w:r>
      <w:r w:rsidRPr="00FB264A">
        <w:rPr>
          <w:bCs/>
          <w:color w:val="000000"/>
          <w:sz w:val="24"/>
          <w:szCs w:val="24"/>
        </w:rPr>
        <w:t xml:space="preserve">sets out the name of the instrument – </w:t>
      </w:r>
      <w:r w:rsidRPr="00FB264A">
        <w:rPr>
          <w:i/>
          <w:sz w:val="24"/>
        </w:rPr>
        <w:t xml:space="preserve">Veterans’ Entitlements (Exempt Lump Sum – </w:t>
      </w:r>
      <w:r w:rsidRPr="00FB3FCB">
        <w:rPr>
          <w:i/>
          <w:sz w:val="24"/>
        </w:rPr>
        <w:t>Compensation Payments by the Commonwealth on Behalf of the ADF for Historical Child Sexual Abuse Claims</w:t>
      </w:r>
      <w:r w:rsidRPr="00FB264A">
        <w:rPr>
          <w:i/>
          <w:sz w:val="24"/>
          <w:szCs w:val="24"/>
        </w:rPr>
        <w:t xml:space="preserve">) </w:t>
      </w:r>
      <w:r w:rsidRPr="00FB264A">
        <w:rPr>
          <w:i/>
          <w:sz w:val="24"/>
        </w:rPr>
        <w:t>Determination 201</w:t>
      </w:r>
      <w:r w:rsidR="0039441F">
        <w:rPr>
          <w:i/>
          <w:sz w:val="24"/>
        </w:rPr>
        <w:t>9</w:t>
      </w:r>
      <w:r w:rsidRPr="00FB264A">
        <w:rPr>
          <w:i/>
          <w:sz w:val="24"/>
        </w:rPr>
        <w:t>.</w:t>
      </w:r>
    </w:p>
    <w:p w14:paraId="100A7880"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2  </w:t>
      </w:r>
    </w:p>
    <w:p w14:paraId="7CBD7900" w14:textId="77777777"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This</w:t>
      </w:r>
      <w:r w:rsidRPr="00FB264A">
        <w:rPr>
          <w:b/>
          <w:bCs/>
          <w:color w:val="000000"/>
          <w:sz w:val="24"/>
          <w:szCs w:val="24"/>
        </w:rPr>
        <w:t xml:space="preserve"> </w:t>
      </w:r>
      <w:r w:rsidRPr="00FB264A">
        <w:rPr>
          <w:bCs/>
          <w:color w:val="000000"/>
          <w:sz w:val="24"/>
          <w:szCs w:val="24"/>
        </w:rPr>
        <w:t xml:space="preserve">is the commencement provision. It provides that the determination commenced on 1 July 2018. </w:t>
      </w:r>
    </w:p>
    <w:p w14:paraId="770BFBE1" w14:textId="77777777" w:rsidR="00FB264A" w:rsidRPr="00FB264A" w:rsidRDefault="00FB264A" w:rsidP="00FB3FCB">
      <w:pPr>
        <w:autoSpaceDE w:val="0"/>
        <w:autoSpaceDN w:val="0"/>
        <w:adjustRightInd w:val="0"/>
        <w:spacing w:after="120"/>
        <w:rPr>
          <w:bCs/>
          <w:color w:val="000000"/>
          <w:sz w:val="24"/>
          <w:szCs w:val="24"/>
        </w:rPr>
      </w:pPr>
      <w:r w:rsidRPr="00FB264A">
        <w:rPr>
          <w:b/>
          <w:bCs/>
          <w:color w:val="000000"/>
          <w:sz w:val="24"/>
          <w:szCs w:val="24"/>
        </w:rPr>
        <w:t>Section 3</w:t>
      </w:r>
      <w:r w:rsidRPr="00FB264A">
        <w:rPr>
          <w:bCs/>
          <w:color w:val="000000"/>
          <w:sz w:val="24"/>
          <w:szCs w:val="24"/>
        </w:rPr>
        <w:t xml:space="preserve"> </w:t>
      </w:r>
    </w:p>
    <w:p w14:paraId="21CAD748" w14:textId="70B14A71"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 xml:space="preserve">This section sets out the primary legislation that authorises the making of the determination, namely paragraph </w:t>
      </w:r>
      <w:proofErr w:type="gramStart"/>
      <w:r w:rsidRPr="00FB264A">
        <w:rPr>
          <w:bCs/>
          <w:color w:val="000000"/>
          <w:sz w:val="24"/>
          <w:szCs w:val="24"/>
        </w:rPr>
        <w:t>5H(</w:t>
      </w:r>
      <w:proofErr w:type="gramEnd"/>
      <w:r w:rsidRPr="00FB264A">
        <w:rPr>
          <w:bCs/>
          <w:color w:val="000000"/>
          <w:sz w:val="24"/>
          <w:szCs w:val="24"/>
        </w:rPr>
        <w:t xml:space="preserve">12)(c) of the </w:t>
      </w:r>
      <w:bookmarkStart w:id="0" w:name="_GoBack"/>
      <w:r w:rsidR="00963336" w:rsidRPr="00963336">
        <w:rPr>
          <w:bCs/>
          <w:i/>
          <w:color w:val="000000"/>
          <w:sz w:val="24"/>
          <w:szCs w:val="24"/>
        </w:rPr>
        <w:t>Veterans’ Entitlements Act 1986</w:t>
      </w:r>
      <w:r w:rsidR="00963336">
        <w:rPr>
          <w:bCs/>
          <w:color w:val="000000"/>
          <w:sz w:val="24"/>
          <w:szCs w:val="24"/>
        </w:rPr>
        <w:t xml:space="preserve"> </w:t>
      </w:r>
      <w:bookmarkEnd w:id="0"/>
      <w:r w:rsidR="00963336">
        <w:rPr>
          <w:bCs/>
          <w:color w:val="000000"/>
          <w:sz w:val="24"/>
          <w:szCs w:val="24"/>
        </w:rPr>
        <w:t>(</w:t>
      </w:r>
      <w:r w:rsidRPr="00FB264A">
        <w:rPr>
          <w:bCs/>
          <w:color w:val="000000"/>
          <w:sz w:val="24"/>
          <w:szCs w:val="24"/>
        </w:rPr>
        <w:t>VEA</w:t>
      </w:r>
      <w:r w:rsidR="00963336">
        <w:rPr>
          <w:bCs/>
          <w:color w:val="000000"/>
          <w:sz w:val="24"/>
          <w:szCs w:val="24"/>
        </w:rPr>
        <w:t>)</w:t>
      </w:r>
      <w:r w:rsidRPr="00FB264A">
        <w:rPr>
          <w:bCs/>
          <w:color w:val="000000"/>
          <w:sz w:val="24"/>
          <w:szCs w:val="24"/>
        </w:rPr>
        <w:t>.</w:t>
      </w:r>
    </w:p>
    <w:p w14:paraId="25FC19B1" w14:textId="77777777" w:rsidR="00FB264A" w:rsidRPr="00FB264A" w:rsidRDefault="00FB264A" w:rsidP="00FB3FCB">
      <w:pPr>
        <w:autoSpaceDE w:val="0"/>
        <w:autoSpaceDN w:val="0"/>
        <w:adjustRightInd w:val="0"/>
        <w:spacing w:after="120"/>
        <w:rPr>
          <w:b/>
          <w:bCs/>
          <w:color w:val="000000"/>
          <w:sz w:val="24"/>
          <w:szCs w:val="24"/>
        </w:rPr>
      </w:pPr>
      <w:r w:rsidRPr="00FB264A">
        <w:rPr>
          <w:b/>
          <w:bCs/>
          <w:color w:val="000000"/>
          <w:sz w:val="24"/>
          <w:szCs w:val="24"/>
        </w:rPr>
        <w:t xml:space="preserve">Section 4 </w:t>
      </w:r>
    </w:p>
    <w:p w14:paraId="53725FDC" w14:textId="77777777" w:rsidR="00FB264A" w:rsidRPr="00FB264A" w:rsidRDefault="00FB264A" w:rsidP="00FB3FCB">
      <w:pPr>
        <w:autoSpaceDE w:val="0"/>
        <w:autoSpaceDN w:val="0"/>
        <w:adjustRightInd w:val="0"/>
        <w:spacing w:after="120"/>
        <w:rPr>
          <w:bCs/>
          <w:color w:val="000000"/>
          <w:sz w:val="24"/>
          <w:szCs w:val="24"/>
        </w:rPr>
      </w:pPr>
      <w:r w:rsidRPr="00FB264A">
        <w:rPr>
          <w:bCs/>
          <w:color w:val="000000"/>
          <w:sz w:val="24"/>
          <w:szCs w:val="24"/>
        </w:rPr>
        <w:t>This section defines terms used in section 5 of the determination.</w:t>
      </w:r>
    </w:p>
    <w:p w14:paraId="30D4828F" w14:textId="1C87B7B1" w:rsidR="0039441F" w:rsidRDefault="00FB264A" w:rsidP="0039441F">
      <w:pPr>
        <w:spacing w:after="120"/>
        <w:rPr>
          <w:sz w:val="24"/>
          <w:szCs w:val="24"/>
        </w:rPr>
      </w:pPr>
      <w:r w:rsidRPr="00FB264A">
        <w:rPr>
          <w:sz w:val="24"/>
          <w:szCs w:val="24"/>
        </w:rPr>
        <w:t xml:space="preserve">A </w:t>
      </w:r>
      <w:r w:rsidR="0039441F" w:rsidRPr="00FB3FCB">
        <w:rPr>
          <w:i/>
          <w:sz w:val="24"/>
          <w:szCs w:val="24"/>
        </w:rPr>
        <w:t xml:space="preserve">compensation payment </w:t>
      </w:r>
      <w:r w:rsidR="0099017F">
        <w:rPr>
          <w:i/>
          <w:sz w:val="24"/>
          <w:szCs w:val="24"/>
        </w:rPr>
        <w:t>o</w:t>
      </w:r>
      <w:r w:rsidR="0039441F" w:rsidRPr="00FB3FCB">
        <w:rPr>
          <w:i/>
          <w:sz w:val="24"/>
          <w:szCs w:val="24"/>
        </w:rPr>
        <w:t>n behalf of the ADF</w:t>
      </w:r>
      <w:r w:rsidR="0039441F" w:rsidRPr="0039441F">
        <w:rPr>
          <w:i/>
          <w:sz w:val="24"/>
          <w:szCs w:val="24"/>
        </w:rPr>
        <w:t xml:space="preserve"> </w:t>
      </w:r>
      <w:r w:rsidRPr="00FB264A">
        <w:rPr>
          <w:sz w:val="24"/>
          <w:szCs w:val="24"/>
        </w:rPr>
        <w:t xml:space="preserve">is defined as </w:t>
      </w:r>
      <w:r w:rsidR="0039441F" w:rsidRPr="0039441F">
        <w:rPr>
          <w:sz w:val="24"/>
          <w:szCs w:val="24"/>
        </w:rPr>
        <w:t>a payment of compensation made by the Commonwealth on behalf of the ADF as the consequence of a claim for compensation for historical child sexual abuse as a member of the ADF.</w:t>
      </w:r>
    </w:p>
    <w:p w14:paraId="5A10ACD1" w14:textId="77777777" w:rsidR="00B72F6E" w:rsidRPr="00FB3FCB" w:rsidRDefault="00B72F6E" w:rsidP="00FB3FCB">
      <w:pPr>
        <w:spacing w:after="120"/>
        <w:rPr>
          <w:i/>
          <w:sz w:val="24"/>
          <w:szCs w:val="24"/>
        </w:rPr>
      </w:pPr>
      <w:r>
        <w:rPr>
          <w:sz w:val="24"/>
          <w:szCs w:val="24"/>
        </w:rPr>
        <w:t xml:space="preserve">The other terms that are defined - </w:t>
      </w:r>
      <w:r w:rsidRPr="00FB3FCB">
        <w:rPr>
          <w:i/>
          <w:sz w:val="24"/>
          <w:szCs w:val="24"/>
        </w:rPr>
        <w:t>income support supplement</w:t>
      </w:r>
      <w:r>
        <w:rPr>
          <w:sz w:val="24"/>
          <w:szCs w:val="24"/>
        </w:rPr>
        <w:t xml:space="preserve">, </w:t>
      </w:r>
      <w:r w:rsidRPr="00FB3FCB">
        <w:rPr>
          <w:i/>
          <w:sz w:val="24"/>
          <w:szCs w:val="24"/>
        </w:rPr>
        <w:t xml:space="preserve">service pension </w:t>
      </w:r>
      <w:r w:rsidRPr="00B72F6E">
        <w:rPr>
          <w:sz w:val="24"/>
          <w:szCs w:val="24"/>
        </w:rPr>
        <w:t>and</w:t>
      </w:r>
      <w:r w:rsidRPr="00FB3FCB">
        <w:rPr>
          <w:i/>
          <w:sz w:val="24"/>
          <w:szCs w:val="24"/>
        </w:rPr>
        <w:t xml:space="preserve"> veteran payment </w:t>
      </w:r>
      <w:r w:rsidRPr="00B72F6E">
        <w:rPr>
          <w:sz w:val="24"/>
          <w:szCs w:val="24"/>
        </w:rPr>
        <w:t>all refer to their VEA meanings.</w:t>
      </w:r>
    </w:p>
    <w:p w14:paraId="09F8804C" w14:textId="7B21C85E" w:rsidR="00FB264A" w:rsidRPr="00FB264A" w:rsidRDefault="00FB264A" w:rsidP="00FB3FCB">
      <w:pPr>
        <w:spacing w:after="120"/>
        <w:rPr>
          <w:b/>
          <w:sz w:val="24"/>
          <w:szCs w:val="24"/>
        </w:rPr>
      </w:pPr>
      <w:r w:rsidRPr="00FB264A">
        <w:rPr>
          <w:b/>
          <w:sz w:val="24"/>
          <w:szCs w:val="24"/>
        </w:rPr>
        <w:t xml:space="preserve">Section 5 </w:t>
      </w:r>
    </w:p>
    <w:p w14:paraId="1D5E9DFB" w14:textId="6C71F835" w:rsidR="00FB264A" w:rsidRPr="00FB264A" w:rsidRDefault="00FB264A" w:rsidP="00FB3FCB">
      <w:pPr>
        <w:spacing w:after="120"/>
        <w:rPr>
          <w:sz w:val="24"/>
          <w:szCs w:val="24"/>
        </w:rPr>
      </w:pPr>
      <w:r w:rsidRPr="00FB264A">
        <w:rPr>
          <w:sz w:val="24"/>
          <w:szCs w:val="24"/>
        </w:rPr>
        <w:t xml:space="preserve">This is the operative provision of the determination. It provides that if a person or the person’s partner receives a </w:t>
      </w:r>
      <w:r w:rsidR="0039441F" w:rsidRPr="0039441F">
        <w:rPr>
          <w:i/>
          <w:sz w:val="24"/>
          <w:szCs w:val="24"/>
        </w:rPr>
        <w:t xml:space="preserve">compensation payment </w:t>
      </w:r>
      <w:r w:rsidR="0099017F">
        <w:rPr>
          <w:i/>
          <w:sz w:val="24"/>
          <w:szCs w:val="24"/>
        </w:rPr>
        <w:t>o</w:t>
      </w:r>
      <w:r w:rsidR="0039441F" w:rsidRPr="0039441F">
        <w:rPr>
          <w:i/>
          <w:sz w:val="24"/>
          <w:szCs w:val="24"/>
        </w:rPr>
        <w:t xml:space="preserve">n behalf of the ADF </w:t>
      </w:r>
      <w:r w:rsidRPr="00FB264A">
        <w:rPr>
          <w:sz w:val="24"/>
          <w:szCs w:val="24"/>
        </w:rPr>
        <w:t>and the person is eligible for, or in receipt of, a service pension</w:t>
      </w:r>
      <w:r w:rsidR="0099017F">
        <w:rPr>
          <w:sz w:val="24"/>
          <w:szCs w:val="24"/>
        </w:rPr>
        <w:t>,</w:t>
      </w:r>
      <w:r w:rsidRPr="00FB264A">
        <w:rPr>
          <w:sz w:val="24"/>
          <w:szCs w:val="24"/>
        </w:rPr>
        <w:t xml:space="preserve"> income support supplement</w:t>
      </w:r>
      <w:r w:rsidR="0099017F">
        <w:rPr>
          <w:sz w:val="24"/>
          <w:szCs w:val="24"/>
        </w:rPr>
        <w:t xml:space="preserve"> or veteran payment</w:t>
      </w:r>
      <w:r w:rsidRPr="00FB264A">
        <w:rPr>
          <w:sz w:val="24"/>
          <w:szCs w:val="24"/>
        </w:rPr>
        <w:t xml:space="preserve">, then the amount of the </w:t>
      </w:r>
      <w:r w:rsidR="0039441F" w:rsidRPr="0039441F">
        <w:rPr>
          <w:i/>
          <w:sz w:val="24"/>
          <w:szCs w:val="24"/>
        </w:rPr>
        <w:t xml:space="preserve">compensation payment in behalf of the ADF </w:t>
      </w:r>
      <w:r w:rsidRPr="00FB264A">
        <w:rPr>
          <w:sz w:val="24"/>
          <w:szCs w:val="24"/>
        </w:rPr>
        <w:t xml:space="preserve">received by the person or the person’s partner is an exempt lump sum. </w:t>
      </w:r>
    </w:p>
    <w:p w14:paraId="035C7918" w14:textId="77777777" w:rsidR="00FB264A" w:rsidRPr="00FB264A" w:rsidRDefault="00FB264A" w:rsidP="00FB264A">
      <w:pPr>
        <w:rPr>
          <w:sz w:val="24"/>
          <w:szCs w:val="24"/>
        </w:rPr>
      </w:pPr>
      <w:r w:rsidRPr="00FB264A">
        <w:rPr>
          <w:sz w:val="24"/>
          <w:szCs w:val="24"/>
        </w:rPr>
        <w:t xml:space="preserve">The provision is made under paragraph </w:t>
      </w:r>
      <w:proofErr w:type="gramStart"/>
      <w:r w:rsidRPr="00FB264A">
        <w:rPr>
          <w:sz w:val="24"/>
          <w:szCs w:val="24"/>
        </w:rPr>
        <w:t>5H(</w:t>
      </w:r>
      <w:proofErr w:type="gramEnd"/>
      <w:r w:rsidRPr="00FB264A">
        <w:rPr>
          <w:sz w:val="24"/>
          <w:szCs w:val="24"/>
        </w:rPr>
        <w:t xml:space="preserve">12)(c) of the VEA for the purposes of the definition of “ordinary income” in subsection 5H(1) of the VEA. </w:t>
      </w:r>
    </w:p>
    <w:p w14:paraId="34D2A953" w14:textId="77777777" w:rsidR="00FB264A" w:rsidRDefault="00FB264A">
      <w:pPr>
        <w:rPr>
          <w:b/>
          <w:color w:val="000000"/>
          <w:sz w:val="24"/>
          <w:szCs w:val="24"/>
        </w:rPr>
      </w:pPr>
    </w:p>
    <w:p w14:paraId="2E0E319E" w14:textId="719236F0" w:rsidR="00FB264A" w:rsidRDefault="00FB264A">
      <w:pPr>
        <w:rPr>
          <w:b/>
          <w:color w:val="000000"/>
          <w:sz w:val="24"/>
          <w:szCs w:val="24"/>
        </w:rPr>
      </w:pPr>
    </w:p>
    <w:p w14:paraId="11528C67" w14:textId="77777777" w:rsidR="00FB264A" w:rsidRPr="005F4824" w:rsidRDefault="00FB264A">
      <w:pPr>
        <w:rPr>
          <w:b/>
          <w:color w:val="000000"/>
          <w:sz w:val="24"/>
          <w:szCs w:val="24"/>
        </w:rPr>
      </w:pPr>
    </w:p>
    <w:sectPr w:rsidR="00FB264A" w:rsidRPr="005F4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5C"/>
    <w:rsid w:val="00003003"/>
    <w:rsid w:val="000905D6"/>
    <w:rsid w:val="000E6F08"/>
    <w:rsid w:val="00127C8B"/>
    <w:rsid w:val="001339AB"/>
    <w:rsid w:val="001A4F1F"/>
    <w:rsid w:val="001D1794"/>
    <w:rsid w:val="001F2D63"/>
    <w:rsid w:val="00203994"/>
    <w:rsid w:val="002055A9"/>
    <w:rsid w:val="00294DE0"/>
    <w:rsid w:val="00332617"/>
    <w:rsid w:val="00377F9E"/>
    <w:rsid w:val="0039441F"/>
    <w:rsid w:val="00403544"/>
    <w:rsid w:val="00452F67"/>
    <w:rsid w:val="00477488"/>
    <w:rsid w:val="004E7B4F"/>
    <w:rsid w:val="00541426"/>
    <w:rsid w:val="005823DF"/>
    <w:rsid w:val="00584B54"/>
    <w:rsid w:val="00585304"/>
    <w:rsid w:val="00592989"/>
    <w:rsid w:val="005F23E6"/>
    <w:rsid w:val="005F4824"/>
    <w:rsid w:val="0069295C"/>
    <w:rsid w:val="007526D0"/>
    <w:rsid w:val="00752C9D"/>
    <w:rsid w:val="00755433"/>
    <w:rsid w:val="007A56BE"/>
    <w:rsid w:val="008262C6"/>
    <w:rsid w:val="00921AC5"/>
    <w:rsid w:val="00963336"/>
    <w:rsid w:val="0099017F"/>
    <w:rsid w:val="00990AAB"/>
    <w:rsid w:val="009A3A6C"/>
    <w:rsid w:val="00A16EC6"/>
    <w:rsid w:val="00A56123"/>
    <w:rsid w:val="00AB5D3C"/>
    <w:rsid w:val="00B254F9"/>
    <w:rsid w:val="00B57408"/>
    <w:rsid w:val="00B72F6E"/>
    <w:rsid w:val="00D348EE"/>
    <w:rsid w:val="00D752B3"/>
    <w:rsid w:val="00E5677F"/>
    <w:rsid w:val="00E92DC0"/>
    <w:rsid w:val="00E9411C"/>
    <w:rsid w:val="00F21919"/>
    <w:rsid w:val="00FB264A"/>
    <w:rsid w:val="00FB3FCB"/>
    <w:rsid w:val="00FB7350"/>
    <w:rsid w:val="00FC0707"/>
    <w:rsid w:val="00FF3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EBEB"/>
  <w15:chartTrackingRefBased/>
  <w15:docId w15:val="{E3A7AAB9-A2BA-41E7-AB30-AEF44BB2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5C"/>
    <w:pPr>
      <w:spacing w:after="0" w:line="240" w:lineRule="auto"/>
    </w:pPr>
    <w:rPr>
      <w:rFonts w:ascii="Times New Roman" w:eastAsia="Times New Roman" w:hAnsi="Times New Roman" w:cs="Times New Roman"/>
      <w:sz w:val="20"/>
      <w:szCs w:val="20"/>
      <w:lang w:eastAsia="en-AU"/>
    </w:rPr>
  </w:style>
  <w:style w:type="paragraph" w:styleId="Heading5">
    <w:name w:val="heading 5"/>
    <w:basedOn w:val="Normal"/>
    <w:next w:val="Normal"/>
    <w:link w:val="Heading5Char"/>
    <w:qFormat/>
    <w:rsid w:val="0069295C"/>
    <w:pPr>
      <w:keepNext/>
      <w:ind w:left="720" w:firstLine="840"/>
      <w:outlineLvl w:val="4"/>
    </w:pPr>
    <w:rPr>
      <w:b/>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9295C"/>
    <w:rPr>
      <w:rFonts w:ascii="Times New Roman" w:eastAsia="Times New Roman" w:hAnsi="Times New Roman" w:cs="Times New Roman"/>
      <w:b/>
      <w:color w:val="000000"/>
      <w:sz w:val="32"/>
      <w:szCs w:val="32"/>
      <w:lang w:eastAsia="en-AU"/>
    </w:rPr>
  </w:style>
  <w:style w:type="paragraph" w:styleId="NormalWeb">
    <w:name w:val="Normal (Web)"/>
    <w:basedOn w:val="Normal"/>
    <w:uiPriority w:val="99"/>
    <w:rsid w:val="0069295C"/>
    <w:pPr>
      <w:spacing w:before="100" w:beforeAutospacing="1" w:after="100" w:afterAutospacing="1"/>
    </w:pPr>
    <w:rPr>
      <w:sz w:val="24"/>
      <w:szCs w:val="24"/>
    </w:rPr>
  </w:style>
  <w:style w:type="paragraph" w:customStyle="1" w:styleId="Normal1">
    <w:name w:val="Normal1"/>
    <w:basedOn w:val="Normal"/>
    <w:link w:val="normalChar"/>
    <w:rsid w:val="0069295C"/>
    <w:pPr>
      <w:spacing w:before="100" w:beforeAutospacing="1" w:after="100" w:afterAutospacing="1"/>
    </w:pPr>
    <w:rPr>
      <w:sz w:val="24"/>
      <w:szCs w:val="24"/>
      <w:lang w:val="en-US" w:eastAsia="en-US"/>
    </w:rPr>
  </w:style>
  <w:style w:type="character" w:customStyle="1" w:styleId="normalChar">
    <w:name w:val="normal Char"/>
    <w:link w:val="Normal1"/>
    <w:locked/>
    <w:rsid w:val="0069295C"/>
    <w:rPr>
      <w:rFonts w:ascii="Times New Roman" w:eastAsia="Times New Roman" w:hAnsi="Times New Roman" w:cs="Times New Roman"/>
      <w:sz w:val="24"/>
      <w:szCs w:val="24"/>
      <w:lang w:val="en-US"/>
    </w:rPr>
  </w:style>
  <w:style w:type="paragraph" w:customStyle="1" w:styleId="Default">
    <w:name w:val="Default"/>
    <w:rsid w:val="0069295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rsid w:val="0069295C"/>
    <w:rPr>
      <w:strike w:val="0"/>
      <w:dstrike w:val="0"/>
      <w:color w:val="0072BC"/>
      <w:u w:val="none"/>
      <w:effect w:val="none"/>
    </w:rPr>
  </w:style>
  <w:style w:type="character" w:styleId="CommentReference">
    <w:name w:val="annotation reference"/>
    <w:basedOn w:val="DefaultParagraphFont"/>
    <w:uiPriority w:val="99"/>
    <w:semiHidden/>
    <w:unhideWhenUsed/>
    <w:rsid w:val="000E6F08"/>
    <w:rPr>
      <w:sz w:val="16"/>
      <w:szCs w:val="16"/>
    </w:rPr>
  </w:style>
  <w:style w:type="paragraph" w:styleId="CommentText">
    <w:name w:val="annotation text"/>
    <w:basedOn w:val="Normal"/>
    <w:link w:val="CommentTextChar"/>
    <w:uiPriority w:val="99"/>
    <w:semiHidden/>
    <w:unhideWhenUsed/>
    <w:rsid w:val="000E6F08"/>
  </w:style>
  <w:style w:type="character" w:customStyle="1" w:styleId="CommentTextChar">
    <w:name w:val="Comment Text Char"/>
    <w:basedOn w:val="DefaultParagraphFont"/>
    <w:link w:val="CommentText"/>
    <w:uiPriority w:val="99"/>
    <w:semiHidden/>
    <w:rsid w:val="000E6F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E6F08"/>
    <w:rPr>
      <w:b/>
      <w:bCs/>
    </w:rPr>
  </w:style>
  <w:style w:type="character" w:customStyle="1" w:styleId="CommentSubjectChar">
    <w:name w:val="Comment Subject Char"/>
    <w:basedOn w:val="CommentTextChar"/>
    <w:link w:val="CommentSubject"/>
    <w:uiPriority w:val="99"/>
    <w:semiHidden/>
    <w:rsid w:val="000E6F08"/>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E6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0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dfat.gov.au/Info/Treaties/treaties.nsf/AllDocIDs/CFB1E23A1297FFE8CA256B4C000C26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Halifax</dc:creator>
  <cp:keywords/>
  <dc:description/>
  <cp:lastModifiedBy>Downey, Michael</cp:lastModifiedBy>
  <cp:revision>14</cp:revision>
  <cp:lastPrinted>2019-10-22T23:35:00Z</cp:lastPrinted>
  <dcterms:created xsi:type="dcterms:W3CDTF">2019-10-22T23:38:00Z</dcterms:created>
  <dcterms:modified xsi:type="dcterms:W3CDTF">2019-10-30T01:48:00Z</dcterms:modified>
</cp:coreProperties>
</file>