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F0" w:rsidRPr="00885820" w:rsidRDefault="00C11BF0" w:rsidP="007B6BCF">
      <w:pPr>
        <w:jc w:val="center"/>
        <w:rPr>
          <w:rFonts w:ascii="Times New Roman" w:hAnsi="Times New Roman"/>
          <w:b/>
          <w:bCs/>
          <w:szCs w:val="24"/>
          <w:u w:val="single"/>
        </w:rPr>
      </w:pPr>
      <w:r w:rsidRPr="00885820">
        <w:rPr>
          <w:rFonts w:ascii="Times New Roman" w:hAnsi="Times New Roman"/>
          <w:b/>
          <w:bCs/>
          <w:szCs w:val="24"/>
          <w:u w:val="single"/>
        </w:rPr>
        <w:t>EXPLANATORY STATEMENT</w:t>
      </w:r>
    </w:p>
    <w:p w:rsidR="00C11BF0" w:rsidRPr="007B6BCF" w:rsidRDefault="00C11BF0" w:rsidP="007B6BCF">
      <w:pPr>
        <w:jc w:val="center"/>
        <w:rPr>
          <w:rFonts w:ascii="Times New Roman" w:hAnsi="Times New Roman"/>
          <w:b/>
          <w:sz w:val="22"/>
          <w:szCs w:val="22"/>
        </w:rPr>
      </w:pPr>
    </w:p>
    <w:p w:rsidR="00C11BF0" w:rsidRPr="007B6BCF" w:rsidRDefault="00C11BF0" w:rsidP="007B6BCF">
      <w:pPr>
        <w:jc w:val="center"/>
        <w:rPr>
          <w:rFonts w:ascii="Times New Roman" w:hAnsi="Times New Roman"/>
          <w:bCs/>
          <w:i/>
          <w:iCs/>
          <w:sz w:val="22"/>
          <w:szCs w:val="22"/>
        </w:rPr>
      </w:pPr>
      <w:r w:rsidRPr="007B6BCF">
        <w:rPr>
          <w:rFonts w:ascii="Times New Roman" w:hAnsi="Times New Roman"/>
          <w:bCs/>
          <w:i/>
          <w:iCs/>
          <w:sz w:val="22"/>
          <w:szCs w:val="22"/>
        </w:rPr>
        <w:t>Therapeutic Goods Act 1989</w:t>
      </w:r>
    </w:p>
    <w:p w:rsidR="00C11BF0" w:rsidRPr="007B6BCF" w:rsidRDefault="00C11BF0" w:rsidP="007B6BCF">
      <w:pPr>
        <w:jc w:val="center"/>
        <w:rPr>
          <w:rFonts w:ascii="Times New Roman" w:hAnsi="Times New Roman"/>
          <w:sz w:val="22"/>
          <w:szCs w:val="22"/>
          <w:u w:val="single"/>
        </w:rPr>
      </w:pPr>
    </w:p>
    <w:p w:rsidR="00C11BF0" w:rsidRPr="007B6BCF" w:rsidRDefault="00C11BF0" w:rsidP="007B6BCF">
      <w:pPr>
        <w:jc w:val="center"/>
        <w:rPr>
          <w:rFonts w:ascii="Times New Roman" w:hAnsi="Times New Roman"/>
          <w:i/>
          <w:sz w:val="22"/>
          <w:szCs w:val="22"/>
        </w:rPr>
      </w:pPr>
      <w:r w:rsidRPr="007B6BCF">
        <w:rPr>
          <w:rFonts w:ascii="Times New Roman" w:hAnsi="Times New Roman"/>
          <w:i/>
          <w:sz w:val="22"/>
          <w:szCs w:val="22"/>
        </w:rPr>
        <w:t xml:space="preserve">Therapeutic Goods </w:t>
      </w:r>
      <w:r w:rsidR="003B5C6F" w:rsidRPr="007B6BCF">
        <w:rPr>
          <w:rFonts w:ascii="Times New Roman" w:hAnsi="Times New Roman"/>
          <w:i/>
          <w:sz w:val="22"/>
          <w:szCs w:val="22"/>
        </w:rPr>
        <w:t xml:space="preserve">Amendment </w:t>
      </w:r>
      <w:r w:rsidRPr="007B6BCF">
        <w:rPr>
          <w:rFonts w:ascii="Times New Roman" w:hAnsi="Times New Roman"/>
          <w:i/>
          <w:sz w:val="22"/>
          <w:szCs w:val="22"/>
        </w:rPr>
        <w:t>(Declared Goods) Order 2019</w:t>
      </w:r>
    </w:p>
    <w:p w:rsidR="00C11BF0" w:rsidRPr="007B6BCF" w:rsidRDefault="00C11BF0" w:rsidP="007B6BCF">
      <w:pPr>
        <w:jc w:val="center"/>
        <w:rPr>
          <w:rFonts w:ascii="Times New Roman" w:hAnsi="Times New Roman"/>
          <w:b/>
          <w:sz w:val="22"/>
          <w:szCs w:val="22"/>
        </w:rPr>
      </w:pPr>
    </w:p>
    <w:p w:rsidR="00C11BF0" w:rsidRPr="007B6BCF" w:rsidRDefault="00C11BF0" w:rsidP="007B6BCF">
      <w:pPr>
        <w:autoSpaceDE w:val="0"/>
        <w:autoSpaceDN w:val="0"/>
        <w:adjustRightInd w:val="0"/>
        <w:rPr>
          <w:rFonts w:ascii="Times New Roman" w:hAnsi="Times New Roman"/>
          <w:sz w:val="22"/>
          <w:szCs w:val="22"/>
        </w:rPr>
      </w:pPr>
      <w:r w:rsidRPr="007B6BCF">
        <w:rPr>
          <w:rFonts w:ascii="Times New Roman" w:hAnsi="Times New Roman"/>
          <w:sz w:val="22"/>
          <w:szCs w:val="22"/>
        </w:rPr>
        <w:t xml:space="preserve">The </w:t>
      </w:r>
      <w:r w:rsidRPr="007B6BCF">
        <w:rPr>
          <w:rFonts w:ascii="Times New Roman" w:hAnsi="Times New Roman"/>
          <w:i/>
          <w:sz w:val="22"/>
          <w:szCs w:val="22"/>
        </w:rPr>
        <w:t>Therapeutic Goods Act 1989</w:t>
      </w:r>
      <w:r w:rsidR="00F63AB4" w:rsidRPr="007B6BCF">
        <w:rPr>
          <w:rFonts w:ascii="Times New Roman" w:hAnsi="Times New Roman"/>
          <w:sz w:val="22"/>
          <w:szCs w:val="22"/>
        </w:rPr>
        <w:t xml:space="preserve"> (</w:t>
      </w:r>
      <w:r w:rsidR="00A76703" w:rsidRPr="007B6BCF">
        <w:rPr>
          <w:rFonts w:ascii="Times New Roman" w:hAnsi="Times New Roman"/>
          <w:sz w:val="22"/>
          <w:szCs w:val="22"/>
        </w:rPr>
        <w:t>“</w:t>
      </w:r>
      <w:r w:rsidR="00F63AB4" w:rsidRPr="007B6BCF">
        <w:rPr>
          <w:rFonts w:ascii="Times New Roman" w:hAnsi="Times New Roman"/>
          <w:sz w:val="22"/>
          <w:szCs w:val="22"/>
        </w:rPr>
        <w:t>the Act</w:t>
      </w:r>
      <w:r w:rsidR="00A76703" w:rsidRPr="007B6BCF">
        <w:rPr>
          <w:rFonts w:ascii="Times New Roman" w:hAnsi="Times New Roman"/>
          <w:sz w:val="22"/>
          <w:szCs w:val="22"/>
        </w:rPr>
        <w:t>”</w:t>
      </w:r>
      <w:r w:rsidRPr="007B6BCF">
        <w:rPr>
          <w:rFonts w:ascii="Times New Roman" w:hAnsi="Times New Roman"/>
          <w:sz w:val="22"/>
          <w:szCs w:val="22"/>
        </w:rPr>
        <w:t>) provides for the establishment and maintenance of a national system of controls for the quality, safety, efficacy and timely availability of therapeutic goods that are used in</w:t>
      </w:r>
      <w:r w:rsidR="00A76703" w:rsidRPr="007B6BCF">
        <w:rPr>
          <w:rFonts w:ascii="Times New Roman" w:hAnsi="Times New Roman"/>
          <w:sz w:val="22"/>
          <w:szCs w:val="22"/>
        </w:rPr>
        <w:t>,</w:t>
      </w:r>
      <w:r w:rsidRPr="007B6BCF">
        <w:rPr>
          <w:rFonts w:ascii="Times New Roman" w:hAnsi="Times New Roman"/>
          <w:sz w:val="22"/>
          <w:szCs w:val="22"/>
        </w:rPr>
        <w:t xml:space="preserve"> or exported from</w:t>
      </w:r>
      <w:r w:rsidR="00A76703" w:rsidRPr="007B6BCF">
        <w:rPr>
          <w:rFonts w:ascii="Times New Roman" w:hAnsi="Times New Roman"/>
          <w:sz w:val="22"/>
          <w:szCs w:val="22"/>
        </w:rPr>
        <w:t>,</w:t>
      </w:r>
      <w:r w:rsidRPr="007B6BCF">
        <w:rPr>
          <w:rFonts w:ascii="Times New Roman" w:hAnsi="Times New Roman"/>
          <w:sz w:val="22"/>
          <w:szCs w:val="22"/>
        </w:rPr>
        <w:t xml:space="preserve"> Australia. </w:t>
      </w:r>
      <w:r w:rsidR="00A76703" w:rsidRPr="007B6BCF">
        <w:rPr>
          <w:rFonts w:ascii="Times New Roman" w:hAnsi="Times New Roman"/>
          <w:sz w:val="22"/>
          <w:szCs w:val="22"/>
        </w:rPr>
        <w:t xml:space="preserve"> </w:t>
      </w:r>
      <w:r w:rsidRPr="007B6BCF">
        <w:rPr>
          <w:rFonts w:ascii="Times New Roman" w:hAnsi="Times New Roman"/>
          <w:sz w:val="22"/>
          <w:szCs w:val="22"/>
        </w:rPr>
        <w:t>The Act is administered by the Therapeu</w:t>
      </w:r>
      <w:r w:rsidR="00F63AB4" w:rsidRPr="007B6BCF">
        <w:rPr>
          <w:rFonts w:ascii="Times New Roman" w:hAnsi="Times New Roman"/>
          <w:sz w:val="22"/>
          <w:szCs w:val="22"/>
        </w:rPr>
        <w:t>tic Goods Administration (</w:t>
      </w:r>
      <w:r w:rsidR="00D65E33" w:rsidRPr="00291DE4">
        <w:rPr>
          <w:rFonts w:ascii="Times New Roman" w:hAnsi="Times New Roman"/>
          <w:sz w:val="22"/>
          <w:szCs w:val="22"/>
        </w:rPr>
        <w:t>“</w:t>
      </w:r>
      <w:r w:rsidR="00F63AB4" w:rsidRPr="00291DE4">
        <w:rPr>
          <w:rFonts w:ascii="Times New Roman" w:hAnsi="Times New Roman"/>
          <w:sz w:val="22"/>
          <w:szCs w:val="22"/>
        </w:rPr>
        <w:t>the TGA</w:t>
      </w:r>
      <w:r w:rsidR="00D65E33" w:rsidRPr="00C21B61">
        <w:rPr>
          <w:rFonts w:ascii="Times New Roman" w:hAnsi="Times New Roman"/>
          <w:sz w:val="22"/>
          <w:szCs w:val="22"/>
        </w:rPr>
        <w:t>”</w:t>
      </w:r>
      <w:r w:rsidRPr="00C21B61">
        <w:rPr>
          <w:rFonts w:ascii="Times New Roman" w:hAnsi="Times New Roman"/>
          <w:sz w:val="22"/>
          <w:szCs w:val="22"/>
        </w:rPr>
        <w:t>) within the</w:t>
      </w:r>
      <w:r w:rsidR="00A76703" w:rsidRPr="007B6BCF">
        <w:rPr>
          <w:rFonts w:ascii="Times New Roman" w:hAnsi="Times New Roman"/>
          <w:sz w:val="22"/>
          <w:szCs w:val="22"/>
        </w:rPr>
        <w:t xml:space="preserve"> Australian Government</w:t>
      </w:r>
      <w:r w:rsidRPr="007B6BCF">
        <w:rPr>
          <w:rFonts w:ascii="Times New Roman" w:hAnsi="Times New Roman"/>
          <w:sz w:val="22"/>
          <w:szCs w:val="22"/>
        </w:rPr>
        <w:t xml:space="preserve"> Department of Health.</w:t>
      </w:r>
    </w:p>
    <w:p w:rsidR="00A76703" w:rsidRPr="007B6BCF" w:rsidRDefault="00A76703" w:rsidP="007B6BCF">
      <w:pPr>
        <w:autoSpaceDE w:val="0"/>
        <w:autoSpaceDN w:val="0"/>
        <w:adjustRightInd w:val="0"/>
        <w:rPr>
          <w:rFonts w:ascii="Times New Roman" w:hAnsi="Times New Roman"/>
          <w:sz w:val="22"/>
          <w:szCs w:val="22"/>
        </w:rPr>
      </w:pPr>
    </w:p>
    <w:p w:rsidR="007E4BA1" w:rsidRDefault="007E4BA1" w:rsidP="007E4BA1">
      <w:pPr>
        <w:rPr>
          <w:rFonts w:ascii="Times New Roman" w:hAnsi="Times New Roman"/>
          <w:sz w:val="22"/>
          <w:szCs w:val="22"/>
        </w:rPr>
      </w:pPr>
      <w:r>
        <w:rPr>
          <w:rFonts w:ascii="Times New Roman" w:hAnsi="Times New Roman"/>
          <w:sz w:val="22"/>
          <w:szCs w:val="22"/>
        </w:rPr>
        <w:t xml:space="preserve">Subsection 3(1) </w:t>
      </w:r>
      <w:r w:rsidRPr="00887699">
        <w:rPr>
          <w:rFonts w:ascii="Times New Roman" w:hAnsi="Times New Roman"/>
          <w:sz w:val="22"/>
          <w:szCs w:val="22"/>
        </w:rPr>
        <w:t>of the Act</w:t>
      </w:r>
      <w:r>
        <w:rPr>
          <w:rFonts w:ascii="Times New Roman" w:hAnsi="Times New Roman"/>
          <w:sz w:val="22"/>
          <w:szCs w:val="22"/>
        </w:rPr>
        <w:t xml:space="preserve"> relevantly provides that ‘therapeutic goods’</w:t>
      </w:r>
      <w:r w:rsidRPr="00887699">
        <w:rPr>
          <w:rFonts w:ascii="Times New Roman" w:hAnsi="Times New Roman"/>
          <w:sz w:val="22"/>
          <w:szCs w:val="22"/>
        </w:rPr>
        <w:t xml:space="preserve"> </w:t>
      </w:r>
      <w:r>
        <w:rPr>
          <w:rFonts w:ascii="Times New Roman" w:hAnsi="Times New Roman"/>
          <w:sz w:val="22"/>
          <w:szCs w:val="22"/>
        </w:rPr>
        <w:t>means goods t</w:t>
      </w:r>
      <w:r w:rsidRPr="00887699">
        <w:rPr>
          <w:rFonts w:ascii="Times New Roman" w:hAnsi="Times New Roman"/>
          <w:sz w:val="22"/>
          <w:szCs w:val="22"/>
        </w:rPr>
        <w:t>hat are represented in any way to be, or that are</w:t>
      </w:r>
      <w:r>
        <w:rPr>
          <w:rFonts w:ascii="Times New Roman" w:hAnsi="Times New Roman"/>
          <w:sz w:val="22"/>
          <w:szCs w:val="22"/>
        </w:rPr>
        <w:t xml:space="preserve">, </w:t>
      </w:r>
      <w:r w:rsidRPr="00887699">
        <w:rPr>
          <w:rFonts w:ascii="Times New Roman" w:hAnsi="Times New Roman"/>
          <w:sz w:val="22"/>
          <w:szCs w:val="22"/>
        </w:rPr>
        <w:t>whether because of the way in which the goods are presented or for any other reason</w:t>
      </w:r>
      <w:r>
        <w:rPr>
          <w:rFonts w:ascii="Times New Roman" w:hAnsi="Times New Roman"/>
          <w:sz w:val="22"/>
          <w:szCs w:val="22"/>
        </w:rPr>
        <w:t>,</w:t>
      </w:r>
      <w:r w:rsidRPr="00887699">
        <w:rPr>
          <w:rFonts w:ascii="Times New Roman" w:hAnsi="Times New Roman"/>
          <w:sz w:val="22"/>
          <w:szCs w:val="22"/>
        </w:rPr>
        <w:t xml:space="preserve"> likely to be taken to be for therapeutic use.</w:t>
      </w:r>
      <w:r>
        <w:rPr>
          <w:rFonts w:ascii="Times New Roman" w:hAnsi="Times New Roman"/>
          <w:sz w:val="22"/>
          <w:szCs w:val="22"/>
        </w:rPr>
        <w:t xml:space="preserve">  </w:t>
      </w:r>
      <w:r w:rsidR="00F3629E">
        <w:rPr>
          <w:rFonts w:ascii="Times New Roman" w:hAnsi="Times New Roman"/>
          <w:sz w:val="22"/>
          <w:szCs w:val="22"/>
        </w:rPr>
        <w:t xml:space="preserve">That definition relevantly excludes </w:t>
      </w:r>
      <w:r w:rsidR="00F3629E" w:rsidRPr="00EF782D">
        <w:rPr>
          <w:rFonts w:ascii="Times New Roman" w:hAnsi="Times New Roman"/>
          <w:iCs/>
          <w:sz w:val="22"/>
          <w:szCs w:val="22"/>
        </w:rPr>
        <w:t xml:space="preserve">goods (other than goods declared to be therapeutic goods under an order in force under section 7) for which there is a standard within the meaning of subsection 4(1) of the </w:t>
      </w:r>
      <w:r w:rsidR="00F3629E" w:rsidRPr="00EF782D">
        <w:rPr>
          <w:rFonts w:ascii="Times New Roman" w:hAnsi="Times New Roman"/>
          <w:i/>
          <w:sz w:val="22"/>
          <w:szCs w:val="22"/>
        </w:rPr>
        <w:t>Food Standards Australia New Zealand Act 1991</w:t>
      </w:r>
      <w:r w:rsidR="00F3629E">
        <w:rPr>
          <w:rFonts w:ascii="Times New Roman" w:hAnsi="Times New Roman"/>
          <w:iCs/>
          <w:sz w:val="22"/>
          <w:szCs w:val="22"/>
        </w:rPr>
        <w:t xml:space="preserve"> (paragraph (e) of the definition </w:t>
      </w:r>
      <w:r w:rsidR="00A06DED">
        <w:rPr>
          <w:rFonts w:ascii="Times New Roman" w:hAnsi="Times New Roman"/>
          <w:iCs/>
          <w:sz w:val="22"/>
          <w:szCs w:val="22"/>
        </w:rPr>
        <w:t xml:space="preserve">of therapeutic goods </w:t>
      </w:r>
      <w:r w:rsidR="00F3629E">
        <w:rPr>
          <w:rFonts w:ascii="Times New Roman" w:hAnsi="Times New Roman"/>
          <w:iCs/>
          <w:sz w:val="22"/>
          <w:szCs w:val="22"/>
        </w:rPr>
        <w:t>refers)</w:t>
      </w:r>
      <w:r w:rsidR="00F3629E" w:rsidRPr="00F3629E">
        <w:rPr>
          <w:rFonts w:ascii="Times New Roman" w:hAnsi="Times New Roman"/>
          <w:sz w:val="22"/>
          <w:szCs w:val="22"/>
        </w:rPr>
        <w:t>.</w:t>
      </w:r>
    </w:p>
    <w:p w:rsidR="007E4BA1" w:rsidRDefault="007E4BA1" w:rsidP="007B6BCF">
      <w:pPr>
        <w:autoSpaceDE w:val="0"/>
        <w:autoSpaceDN w:val="0"/>
        <w:adjustRightInd w:val="0"/>
        <w:rPr>
          <w:rFonts w:ascii="Times New Roman" w:hAnsi="Times New Roman"/>
          <w:sz w:val="22"/>
          <w:szCs w:val="22"/>
        </w:rPr>
      </w:pPr>
    </w:p>
    <w:p w:rsidR="007E4BA1" w:rsidRDefault="00A76703" w:rsidP="007B6BCF">
      <w:pPr>
        <w:autoSpaceDE w:val="0"/>
        <w:autoSpaceDN w:val="0"/>
        <w:adjustRightInd w:val="0"/>
        <w:rPr>
          <w:sz w:val="22"/>
          <w:szCs w:val="22"/>
        </w:rPr>
      </w:pPr>
      <w:r w:rsidRPr="007B6BCF">
        <w:rPr>
          <w:rFonts w:ascii="Times New Roman" w:hAnsi="Times New Roman"/>
          <w:sz w:val="22"/>
          <w:szCs w:val="22"/>
        </w:rPr>
        <w:t xml:space="preserve">Subsection 7(1) of the Act confers on the Secretary of the Department a power to declare, by order published in the </w:t>
      </w:r>
      <w:r w:rsidRPr="007B6BCF">
        <w:rPr>
          <w:rFonts w:ascii="Times New Roman" w:hAnsi="Times New Roman"/>
          <w:i/>
          <w:iCs/>
          <w:sz w:val="22"/>
          <w:szCs w:val="22"/>
        </w:rPr>
        <w:t>Gazette</w:t>
      </w:r>
      <w:r w:rsidRPr="007B6BCF">
        <w:rPr>
          <w:rFonts w:ascii="Times New Roman" w:hAnsi="Times New Roman"/>
          <w:sz w:val="22"/>
          <w:szCs w:val="22"/>
        </w:rPr>
        <w:t xml:space="preserve"> or on the Department’s website, that particular goods or classes of goods, or those goods when used, advertised, or presented for supply in a particular way, are or are not therapeutic goods for the purposes of the Act.  In making a declaration that goods</w:t>
      </w:r>
      <w:r>
        <w:rPr>
          <w:sz w:val="22"/>
          <w:szCs w:val="22"/>
        </w:rPr>
        <w:t xml:space="preserve"> are or are not therapeutic goods, the Secretary must be satisfied that the goods are or are not in fact therapeutic goods as defined in the Act.  In short, subsection 7(1) provides a mechanism for clarifying whether particular goods or classes of goods are or are not therapeutic goods, and therefore whether or not those goods are subject to the regulatory scheme established by the Act.</w:t>
      </w:r>
    </w:p>
    <w:p w:rsidR="007E4BA1" w:rsidRDefault="007E4BA1" w:rsidP="007B6BCF">
      <w:pPr>
        <w:autoSpaceDE w:val="0"/>
        <w:autoSpaceDN w:val="0"/>
        <w:adjustRightInd w:val="0"/>
        <w:rPr>
          <w:sz w:val="22"/>
          <w:szCs w:val="22"/>
        </w:rPr>
      </w:pPr>
    </w:p>
    <w:p w:rsidR="00D65E33" w:rsidRDefault="00A76703" w:rsidP="007B6BCF">
      <w:pPr>
        <w:autoSpaceDE w:val="0"/>
        <w:autoSpaceDN w:val="0"/>
        <w:adjustRightInd w:val="0"/>
        <w:rPr>
          <w:sz w:val="22"/>
          <w:szCs w:val="22"/>
        </w:rPr>
      </w:pPr>
      <w:r>
        <w:rPr>
          <w:sz w:val="22"/>
          <w:szCs w:val="22"/>
        </w:rPr>
        <w:t xml:space="preserve">In </w:t>
      </w:r>
      <w:r w:rsidR="00A06DED">
        <w:rPr>
          <w:sz w:val="22"/>
          <w:szCs w:val="22"/>
        </w:rPr>
        <w:t xml:space="preserve">determining whether </w:t>
      </w:r>
      <w:r>
        <w:rPr>
          <w:sz w:val="22"/>
          <w:szCs w:val="22"/>
        </w:rPr>
        <w:t>particular goods or classes of goods, or those goods when used, advertised, or presented for supply in a particular way, are therapeutic goods, subsection 7(1A) of the Act provides that the Secretary must disregard paragraphs (e) and (f) of the definition of ‘therapeutic goods’ in subsection 3(1).</w:t>
      </w:r>
      <w:r w:rsidR="00F3629E">
        <w:rPr>
          <w:sz w:val="22"/>
          <w:szCs w:val="22"/>
        </w:rPr>
        <w:t xml:space="preserve"> </w:t>
      </w:r>
      <w:r>
        <w:rPr>
          <w:sz w:val="22"/>
          <w:szCs w:val="22"/>
        </w:rPr>
        <w:t xml:space="preserve"> </w:t>
      </w:r>
      <w:r w:rsidR="00F3629E">
        <w:rPr>
          <w:sz w:val="22"/>
          <w:szCs w:val="22"/>
        </w:rPr>
        <w:t>As mentioned above, p</w:t>
      </w:r>
      <w:r>
        <w:rPr>
          <w:sz w:val="22"/>
          <w:szCs w:val="22"/>
        </w:rPr>
        <w:t xml:space="preserve">aragraph (e) </w:t>
      </w:r>
      <w:r w:rsidR="00F3629E">
        <w:rPr>
          <w:sz w:val="22"/>
          <w:szCs w:val="22"/>
        </w:rPr>
        <w:t xml:space="preserve">refers to </w:t>
      </w:r>
      <w:r>
        <w:rPr>
          <w:sz w:val="22"/>
          <w:szCs w:val="22"/>
        </w:rPr>
        <w:t xml:space="preserve">goods for which there is a standard under subsection 4(1) of the </w:t>
      </w:r>
      <w:r>
        <w:rPr>
          <w:i/>
          <w:iCs/>
          <w:sz w:val="22"/>
          <w:szCs w:val="22"/>
        </w:rPr>
        <w:t>Food Standards Australia New Zealand Act 1991</w:t>
      </w:r>
      <w:r w:rsidR="00F3629E">
        <w:rPr>
          <w:iCs/>
          <w:sz w:val="22"/>
          <w:szCs w:val="22"/>
        </w:rPr>
        <w:t>, with the effect that those goods are excluded</w:t>
      </w:r>
      <w:r w:rsidR="00F3629E">
        <w:rPr>
          <w:sz w:val="22"/>
          <w:szCs w:val="22"/>
        </w:rPr>
        <w:t xml:space="preserve"> from the definition of ‘therapeutic goods’.  Similarly, p</w:t>
      </w:r>
      <w:r>
        <w:rPr>
          <w:sz w:val="22"/>
          <w:szCs w:val="22"/>
        </w:rPr>
        <w:t xml:space="preserve">aragraph (f) </w:t>
      </w:r>
      <w:r w:rsidR="008E4648">
        <w:rPr>
          <w:sz w:val="22"/>
          <w:szCs w:val="22"/>
        </w:rPr>
        <w:t xml:space="preserve">refers to </w:t>
      </w:r>
      <w:r>
        <w:rPr>
          <w:sz w:val="22"/>
          <w:szCs w:val="22"/>
        </w:rPr>
        <w:t>goods</w:t>
      </w:r>
      <w:r w:rsidR="00330824">
        <w:rPr>
          <w:sz w:val="22"/>
          <w:szCs w:val="22"/>
        </w:rPr>
        <w:t> </w:t>
      </w:r>
      <w:r w:rsidRPr="007E3EF2">
        <w:rPr>
          <w:sz w:val="22"/>
          <w:szCs w:val="22"/>
        </w:rPr>
        <w:t>which have a tradition of use as foods for humans in the for</w:t>
      </w:r>
      <w:r w:rsidR="000F0153" w:rsidRPr="007E3EF2">
        <w:rPr>
          <w:sz w:val="22"/>
          <w:szCs w:val="22"/>
        </w:rPr>
        <w:t>m in which they are presented</w:t>
      </w:r>
      <w:r w:rsidR="00F3629E">
        <w:rPr>
          <w:sz w:val="22"/>
          <w:szCs w:val="22"/>
        </w:rPr>
        <w:t xml:space="preserve">, with the effect of excluding goods </w:t>
      </w:r>
      <w:r w:rsidR="008246C1" w:rsidRPr="00EF782D">
        <w:rPr>
          <w:sz w:val="22"/>
          <w:szCs w:val="22"/>
        </w:rPr>
        <w:t xml:space="preserve">which have </w:t>
      </w:r>
      <w:r w:rsidR="00436B50" w:rsidRPr="00EF782D">
        <w:rPr>
          <w:sz w:val="22"/>
          <w:szCs w:val="22"/>
        </w:rPr>
        <w:t>a tradition of use as foods</w:t>
      </w:r>
      <w:r w:rsidR="001375BD" w:rsidRPr="00EF782D">
        <w:rPr>
          <w:sz w:val="22"/>
          <w:szCs w:val="22"/>
        </w:rPr>
        <w:t xml:space="preserve"> </w:t>
      </w:r>
      <w:r w:rsidR="00330824">
        <w:rPr>
          <w:sz w:val="22"/>
          <w:szCs w:val="22"/>
        </w:rPr>
        <w:t xml:space="preserve">from the definition of </w:t>
      </w:r>
      <w:r w:rsidR="00013B07" w:rsidRPr="00EF782D">
        <w:rPr>
          <w:sz w:val="22"/>
          <w:szCs w:val="22"/>
        </w:rPr>
        <w:t>t</w:t>
      </w:r>
      <w:r w:rsidR="00436B50" w:rsidRPr="00EF782D">
        <w:rPr>
          <w:sz w:val="22"/>
          <w:szCs w:val="22"/>
        </w:rPr>
        <w:t>herapeutic goods.</w:t>
      </w:r>
      <w:r w:rsidR="00436B50" w:rsidRPr="00B93661">
        <w:rPr>
          <w:sz w:val="22"/>
          <w:szCs w:val="22"/>
        </w:rPr>
        <w:t xml:space="preserve">  </w:t>
      </w:r>
      <w:r w:rsidR="00F3629E">
        <w:rPr>
          <w:sz w:val="22"/>
          <w:szCs w:val="22"/>
        </w:rPr>
        <w:t>Accordingly</w:t>
      </w:r>
      <w:r w:rsidR="00F11128" w:rsidRPr="006926B8">
        <w:rPr>
          <w:sz w:val="22"/>
          <w:szCs w:val="22"/>
        </w:rPr>
        <w:t>,</w:t>
      </w:r>
      <w:r w:rsidR="00C610B4">
        <w:rPr>
          <w:sz w:val="22"/>
          <w:szCs w:val="22"/>
        </w:rPr>
        <w:t xml:space="preserve"> subsection 7(1A) </w:t>
      </w:r>
      <w:r w:rsidR="00F3629E">
        <w:rPr>
          <w:sz w:val="22"/>
          <w:szCs w:val="22"/>
        </w:rPr>
        <w:t xml:space="preserve">has the </w:t>
      </w:r>
      <w:r w:rsidR="004758C6">
        <w:rPr>
          <w:sz w:val="22"/>
          <w:szCs w:val="22"/>
        </w:rPr>
        <w:t xml:space="preserve">purpose and </w:t>
      </w:r>
      <w:r w:rsidR="00F3629E">
        <w:rPr>
          <w:sz w:val="22"/>
          <w:szCs w:val="22"/>
        </w:rPr>
        <w:t xml:space="preserve">effect of ensuring that </w:t>
      </w:r>
      <w:r w:rsidR="00C610B4">
        <w:rPr>
          <w:sz w:val="22"/>
          <w:szCs w:val="22"/>
        </w:rPr>
        <w:t>an order declaring goods to be therapeutic goods under section 7</w:t>
      </w:r>
      <w:r w:rsidR="003F4D66">
        <w:rPr>
          <w:sz w:val="22"/>
          <w:szCs w:val="22"/>
        </w:rPr>
        <w:t xml:space="preserve"> </w:t>
      </w:r>
      <w:r w:rsidR="00C610B4">
        <w:rPr>
          <w:sz w:val="22"/>
          <w:szCs w:val="22"/>
        </w:rPr>
        <w:t xml:space="preserve">of the Act </w:t>
      </w:r>
      <w:r w:rsidR="00F3629E">
        <w:rPr>
          <w:sz w:val="22"/>
          <w:szCs w:val="22"/>
        </w:rPr>
        <w:t xml:space="preserve">may bring certain </w:t>
      </w:r>
      <w:r w:rsidR="00C610B4">
        <w:rPr>
          <w:sz w:val="22"/>
          <w:szCs w:val="22"/>
        </w:rPr>
        <w:t xml:space="preserve">goods within the </w:t>
      </w:r>
      <w:r w:rsidR="00A06DED">
        <w:rPr>
          <w:sz w:val="22"/>
          <w:szCs w:val="22"/>
        </w:rPr>
        <w:t xml:space="preserve">scope </w:t>
      </w:r>
      <w:r w:rsidR="00C610B4">
        <w:rPr>
          <w:sz w:val="22"/>
          <w:szCs w:val="22"/>
        </w:rPr>
        <w:t xml:space="preserve">of the Act, notwithstanding any food standard that </w:t>
      </w:r>
      <w:r w:rsidR="00A06DED">
        <w:rPr>
          <w:sz w:val="22"/>
          <w:szCs w:val="22"/>
        </w:rPr>
        <w:t xml:space="preserve">may </w:t>
      </w:r>
      <w:r w:rsidR="00C610B4">
        <w:rPr>
          <w:sz w:val="22"/>
          <w:szCs w:val="22"/>
        </w:rPr>
        <w:t>otherwise apply to those goods, or whether those goods hav</w:t>
      </w:r>
      <w:r w:rsidR="00330824">
        <w:rPr>
          <w:sz w:val="22"/>
          <w:szCs w:val="22"/>
        </w:rPr>
        <w:t>e</w:t>
      </w:r>
      <w:r w:rsidR="00C610B4">
        <w:rPr>
          <w:sz w:val="22"/>
          <w:szCs w:val="22"/>
        </w:rPr>
        <w:t xml:space="preserve"> a tradition of use as foods.</w:t>
      </w:r>
    </w:p>
    <w:p w:rsidR="00D65E33" w:rsidRDefault="00D65E33" w:rsidP="007B6BCF">
      <w:pPr>
        <w:autoSpaceDE w:val="0"/>
        <w:autoSpaceDN w:val="0"/>
        <w:adjustRightInd w:val="0"/>
        <w:rPr>
          <w:sz w:val="22"/>
          <w:szCs w:val="22"/>
        </w:rPr>
      </w:pPr>
    </w:p>
    <w:p w:rsidR="00210AF2" w:rsidRDefault="003B5C6F" w:rsidP="007B6BCF">
      <w:pPr>
        <w:autoSpaceDE w:val="0"/>
        <w:autoSpaceDN w:val="0"/>
        <w:adjustRightInd w:val="0"/>
        <w:rPr>
          <w:rFonts w:ascii="Times New Roman" w:hAnsi="Times New Roman"/>
          <w:sz w:val="22"/>
          <w:szCs w:val="22"/>
        </w:rPr>
      </w:pPr>
      <w:r w:rsidRPr="00D65E33">
        <w:rPr>
          <w:rFonts w:ascii="Times New Roman" w:hAnsi="Times New Roman"/>
          <w:sz w:val="22"/>
          <w:szCs w:val="22"/>
        </w:rPr>
        <w:t xml:space="preserve">The </w:t>
      </w:r>
      <w:r w:rsidRPr="00210AF2">
        <w:rPr>
          <w:rFonts w:ascii="Times New Roman" w:hAnsi="Times New Roman"/>
          <w:i/>
          <w:sz w:val="22"/>
          <w:szCs w:val="22"/>
        </w:rPr>
        <w:t xml:space="preserve">Therapeutic Goods </w:t>
      </w:r>
      <w:r w:rsidR="00816E82" w:rsidRPr="00210AF2">
        <w:rPr>
          <w:rFonts w:ascii="Times New Roman" w:hAnsi="Times New Roman"/>
          <w:i/>
          <w:sz w:val="22"/>
          <w:szCs w:val="22"/>
        </w:rPr>
        <w:t>(Declared</w:t>
      </w:r>
      <w:r w:rsidRPr="00210AF2">
        <w:rPr>
          <w:rFonts w:ascii="Times New Roman" w:hAnsi="Times New Roman"/>
          <w:i/>
          <w:sz w:val="22"/>
          <w:szCs w:val="22"/>
        </w:rPr>
        <w:t xml:space="preserve"> Goods) Order 2019</w:t>
      </w:r>
      <w:r w:rsidR="001B28BE" w:rsidRPr="00210AF2">
        <w:rPr>
          <w:rFonts w:ascii="Times New Roman" w:hAnsi="Times New Roman"/>
          <w:sz w:val="22"/>
          <w:szCs w:val="22"/>
        </w:rPr>
        <w:t xml:space="preserve"> (</w:t>
      </w:r>
      <w:r w:rsidR="00D65E33">
        <w:rPr>
          <w:rFonts w:ascii="Times New Roman" w:hAnsi="Times New Roman"/>
          <w:sz w:val="22"/>
          <w:szCs w:val="22"/>
        </w:rPr>
        <w:t>“</w:t>
      </w:r>
      <w:r w:rsidRPr="00210AF2">
        <w:rPr>
          <w:rFonts w:ascii="Times New Roman" w:hAnsi="Times New Roman"/>
          <w:sz w:val="22"/>
          <w:szCs w:val="22"/>
        </w:rPr>
        <w:t>the Principal</w:t>
      </w:r>
      <w:r w:rsidRPr="00887699">
        <w:rPr>
          <w:rFonts w:ascii="Times New Roman" w:hAnsi="Times New Roman"/>
          <w:sz w:val="22"/>
          <w:szCs w:val="22"/>
        </w:rPr>
        <w:t xml:space="preserve"> </w:t>
      </w:r>
      <w:r w:rsidR="00D65E33">
        <w:rPr>
          <w:rFonts w:ascii="Times New Roman" w:hAnsi="Times New Roman"/>
          <w:sz w:val="22"/>
          <w:szCs w:val="22"/>
        </w:rPr>
        <w:t>Order”</w:t>
      </w:r>
      <w:r w:rsidRPr="00887699">
        <w:rPr>
          <w:rFonts w:ascii="Times New Roman" w:hAnsi="Times New Roman"/>
          <w:sz w:val="22"/>
          <w:szCs w:val="22"/>
        </w:rPr>
        <w:t>) is made under section</w:t>
      </w:r>
      <w:r w:rsidR="00863256">
        <w:rPr>
          <w:rFonts w:ascii="Times New Roman" w:hAnsi="Times New Roman"/>
          <w:sz w:val="22"/>
          <w:szCs w:val="22"/>
        </w:rPr>
        <w:t> </w:t>
      </w:r>
      <w:r w:rsidRPr="00887699">
        <w:rPr>
          <w:rFonts w:ascii="Times New Roman" w:hAnsi="Times New Roman"/>
          <w:sz w:val="22"/>
          <w:szCs w:val="22"/>
        </w:rPr>
        <w:t>7</w:t>
      </w:r>
      <w:r w:rsidR="00210AF2">
        <w:rPr>
          <w:rFonts w:ascii="Times New Roman" w:hAnsi="Times New Roman"/>
          <w:sz w:val="22"/>
          <w:szCs w:val="22"/>
        </w:rPr>
        <w:t xml:space="preserve"> of the Act.  The Principal Order </w:t>
      </w:r>
      <w:r w:rsidR="00863256">
        <w:rPr>
          <w:rFonts w:ascii="Times New Roman" w:hAnsi="Times New Roman"/>
          <w:sz w:val="22"/>
          <w:szCs w:val="22"/>
        </w:rPr>
        <w:t xml:space="preserve">declares particular goods or classes of goods, </w:t>
      </w:r>
      <w:r w:rsidR="00863256">
        <w:rPr>
          <w:rFonts w:ascii="Times New Roman" w:hAnsi="Times New Roman"/>
          <w:sz w:val="22"/>
          <w:szCs w:val="22"/>
        </w:rPr>
        <w:lastRenderedPageBreak/>
        <w:t xml:space="preserve">or those goods when used, advertised, or presented for supply in a particular way, </w:t>
      </w:r>
      <w:r w:rsidR="00330824">
        <w:rPr>
          <w:rFonts w:ascii="Times New Roman" w:hAnsi="Times New Roman"/>
          <w:sz w:val="22"/>
          <w:szCs w:val="22"/>
        </w:rPr>
        <w:t xml:space="preserve">to be therapeutic goods, or not to be </w:t>
      </w:r>
      <w:r w:rsidR="00863256">
        <w:rPr>
          <w:rFonts w:ascii="Times New Roman" w:hAnsi="Times New Roman"/>
          <w:sz w:val="22"/>
          <w:szCs w:val="22"/>
        </w:rPr>
        <w:t>therapeutic goods</w:t>
      </w:r>
      <w:r w:rsidR="00330824">
        <w:rPr>
          <w:rFonts w:ascii="Times New Roman" w:hAnsi="Times New Roman"/>
          <w:sz w:val="22"/>
          <w:szCs w:val="22"/>
        </w:rPr>
        <w:t>,</w:t>
      </w:r>
      <w:r w:rsidR="00863256">
        <w:rPr>
          <w:rFonts w:ascii="Times New Roman" w:hAnsi="Times New Roman"/>
          <w:sz w:val="22"/>
          <w:szCs w:val="22"/>
        </w:rPr>
        <w:t xml:space="preserve"> for the purposes of the Act</w:t>
      </w:r>
      <w:r w:rsidR="00210AF2">
        <w:rPr>
          <w:rFonts w:ascii="Times New Roman" w:hAnsi="Times New Roman"/>
          <w:sz w:val="22"/>
          <w:szCs w:val="22"/>
        </w:rPr>
        <w:t>.</w:t>
      </w:r>
    </w:p>
    <w:p w:rsidR="00210AF2" w:rsidRPr="00887699" w:rsidRDefault="00210AF2" w:rsidP="007B6BCF">
      <w:pPr>
        <w:autoSpaceDE w:val="0"/>
        <w:autoSpaceDN w:val="0"/>
        <w:adjustRightInd w:val="0"/>
        <w:rPr>
          <w:rFonts w:ascii="Times New Roman" w:hAnsi="Times New Roman"/>
          <w:sz w:val="22"/>
          <w:szCs w:val="22"/>
        </w:rPr>
      </w:pPr>
    </w:p>
    <w:p w:rsidR="00F05D9D" w:rsidRDefault="003B5C6F" w:rsidP="007B6BCF">
      <w:pPr>
        <w:autoSpaceDE w:val="0"/>
        <w:autoSpaceDN w:val="0"/>
        <w:adjustRightInd w:val="0"/>
        <w:rPr>
          <w:rFonts w:ascii="Times New Roman" w:hAnsi="Times New Roman"/>
          <w:sz w:val="22"/>
          <w:szCs w:val="22"/>
        </w:rPr>
      </w:pPr>
      <w:r w:rsidRPr="00887699">
        <w:rPr>
          <w:rFonts w:ascii="Times New Roman" w:hAnsi="Times New Roman"/>
          <w:sz w:val="22"/>
          <w:szCs w:val="22"/>
        </w:rPr>
        <w:t xml:space="preserve">The </w:t>
      </w:r>
      <w:r w:rsidRPr="00887699">
        <w:rPr>
          <w:rFonts w:ascii="Times New Roman" w:hAnsi="Times New Roman"/>
          <w:i/>
          <w:sz w:val="22"/>
          <w:szCs w:val="22"/>
        </w:rPr>
        <w:t>Therapeutic Goods Amendment (Declared Goods) Order</w:t>
      </w:r>
      <w:r w:rsidR="00210AF2">
        <w:rPr>
          <w:rFonts w:ascii="Times New Roman" w:hAnsi="Times New Roman"/>
          <w:i/>
          <w:sz w:val="22"/>
          <w:szCs w:val="22"/>
        </w:rPr>
        <w:t xml:space="preserve"> </w:t>
      </w:r>
      <w:r w:rsidRPr="00887699">
        <w:rPr>
          <w:rFonts w:ascii="Times New Roman" w:hAnsi="Times New Roman"/>
          <w:i/>
          <w:sz w:val="22"/>
          <w:szCs w:val="22"/>
        </w:rPr>
        <w:t xml:space="preserve">2019 </w:t>
      </w:r>
      <w:r w:rsidR="001B28BE" w:rsidRPr="00887699">
        <w:rPr>
          <w:rFonts w:ascii="Times New Roman" w:hAnsi="Times New Roman"/>
          <w:sz w:val="22"/>
          <w:szCs w:val="22"/>
        </w:rPr>
        <w:t>(</w:t>
      </w:r>
      <w:r w:rsidR="00210AF2">
        <w:rPr>
          <w:rFonts w:ascii="Times New Roman" w:hAnsi="Times New Roman"/>
          <w:sz w:val="22"/>
          <w:szCs w:val="22"/>
        </w:rPr>
        <w:t>“</w:t>
      </w:r>
      <w:r w:rsidRPr="00887699">
        <w:rPr>
          <w:rFonts w:ascii="Times New Roman" w:hAnsi="Times New Roman"/>
          <w:sz w:val="22"/>
          <w:szCs w:val="22"/>
        </w:rPr>
        <w:t xml:space="preserve">the Amendment </w:t>
      </w:r>
      <w:r w:rsidR="00210AF2">
        <w:rPr>
          <w:rFonts w:ascii="Times New Roman" w:hAnsi="Times New Roman"/>
          <w:sz w:val="22"/>
          <w:szCs w:val="22"/>
        </w:rPr>
        <w:t>Order”</w:t>
      </w:r>
      <w:r w:rsidRPr="00887699">
        <w:rPr>
          <w:rFonts w:ascii="Times New Roman" w:hAnsi="Times New Roman"/>
          <w:sz w:val="22"/>
          <w:szCs w:val="22"/>
        </w:rPr>
        <w:t>) is made under section 7 of the Act</w:t>
      </w:r>
      <w:r w:rsidR="008E4648">
        <w:rPr>
          <w:rFonts w:ascii="Times New Roman" w:hAnsi="Times New Roman"/>
          <w:sz w:val="22"/>
          <w:szCs w:val="22"/>
        </w:rPr>
        <w:t>,</w:t>
      </w:r>
      <w:r w:rsidR="00CB2983">
        <w:rPr>
          <w:rFonts w:ascii="Times New Roman" w:hAnsi="Times New Roman"/>
          <w:sz w:val="22"/>
          <w:szCs w:val="22"/>
        </w:rPr>
        <w:t xml:space="preserve"> read </w:t>
      </w:r>
      <w:r w:rsidR="00A44B5A">
        <w:rPr>
          <w:rFonts w:ascii="Times New Roman" w:hAnsi="Times New Roman"/>
          <w:sz w:val="22"/>
          <w:szCs w:val="22"/>
        </w:rPr>
        <w:t xml:space="preserve">together </w:t>
      </w:r>
      <w:r w:rsidR="00CB2983">
        <w:rPr>
          <w:rFonts w:ascii="Times New Roman" w:hAnsi="Times New Roman"/>
          <w:sz w:val="22"/>
          <w:szCs w:val="22"/>
        </w:rPr>
        <w:t xml:space="preserve">with subsection 33(3) of the </w:t>
      </w:r>
      <w:r w:rsidR="00CB2983" w:rsidRPr="007B6BCF">
        <w:rPr>
          <w:rFonts w:ascii="Times New Roman" w:hAnsi="Times New Roman"/>
          <w:i/>
          <w:sz w:val="22"/>
          <w:szCs w:val="22"/>
        </w:rPr>
        <w:t>Acts Interpretation Act 1901</w:t>
      </w:r>
      <w:r w:rsidR="00210AF2">
        <w:rPr>
          <w:rFonts w:ascii="Times New Roman" w:hAnsi="Times New Roman"/>
          <w:sz w:val="22"/>
          <w:szCs w:val="22"/>
        </w:rPr>
        <w:t xml:space="preserve">.  </w:t>
      </w:r>
      <w:r w:rsidRPr="00887699">
        <w:rPr>
          <w:rFonts w:ascii="Times New Roman" w:hAnsi="Times New Roman"/>
          <w:sz w:val="22"/>
          <w:szCs w:val="22"/>
        </w:rPr>
        <w:t xml:space="preserve">The Amendment </w:t>
      </w:r>
      <w:r w:rsidR="00210AF2">
        <w:rPr>
          <w:rFonts w:ascii="Times New Roman" w:hAnsi="Times New Roman"/>
          <w:sz w:val="22"/>
          <w:szCs w:val="22"/>
        </w:rPr>
        <w:t>Order</w:t>
      </w:r>
      <w:r w:rsidR="00210AF2" w:rsidRPr="00887699">
        <w:rPr>
          <w:rFonts w:ascii="Times New Roman" w:hAnsi="Times New Roman"/>
          <w:sz w:val="22"/>
          <w:szCs w:val="22"/>
        </w:rPr>
        <w:t xml:space="preserve"> </w:t>
      </w:r>
      <w:r w:rsidRPr="00887699">
        <w:rPr>
          <w:rFonts w:ascii="Times New Roman" w:hAnsi="Times New Roman"/>
          <w:sz w:val="22"/>
          <w:szCs w:val="22"/>
        </w:rPr>
        <w:t>amend</w:t>
      </w:r>
      <w:r w:rsidR="0086202A">
        <w:rPr>
          <w:rFonts w:ascii="Times New Roman" w:hAnsi="Times New Roman"/>
          <w:sz w:val="22"/>
          <w:szCs w:val="22"/>
        </w:rPr>
        <w:t>s</w:t>
      </w:r>
      <w:r w:rsidRPr="00887699">
        <w:rPr>
          <w:rFonts w:ascii="Times New Roman" w:hAnsi="Times New Roman"/>
          <w:sz w:val="22"/>
          <w:szCs w:val="22"/>
        </w:rPr>
        <w:t xml:space="preserve"> the Principal </w:t>
      </w:r>
      <w:r w:rsidR="00210AF2">
        <w:rPr>
          <w:rFonts w:ascii="Times New Roman" w:hAnsi="Times New Roman"/>
          <w:sz w:val="22"/>
          <w:szCs w:val="22"/>
        </w:rPr>
        <w:t>Order</w:t>
      </w:r>
      <w:r w:rsidR="00210AF2" w:rsidRPr="00887699">
        <w:rPr>
          <w:rFonts w:ascii="Times New Roman" w:hAnsi="Times New Roman"/>
          <w:sz w:val="22"/>
          <w:szCs w:val="22"/>
        </w:rPr>
        <w:t xml:space="preserve"> </w:t>
      </w:r>
      <w:r w:rsidR="0086202A">
        <w:rPr>
          <w:rFonts w:ascii="Times New Roman" w:hAnsi="Times New Roman"/>
          <w:sz w:val="22"/>
          <w:szCs w:val="22"/>
        </w:rPr>
        <w:t xml:space="preserve">by </w:t>
      </w:r>
      <w:r w:rsidR="006834DB">
        <w:rPr>
          <w:rFonts w:ascii="Times New Roman" w:hAnsi="Times New Roman"/>
          <w:sz w:val="22"/>
          <w:szCs w:val="22"/>
        </w:rPr>
        <w:t xml:space="preserve">declaring </w:t>
      </w:r>
      <w:r w:rsidR="00732A07">
        <w:rPr>
          <w:rFonts w:ascii="Times New Roman" w:hAnsi="Times New Roman"/>
          <w:sz w:val="22"/>
          <w:szCs w:val="22"/>
        </w:rPr>
        <w:t>certain</w:t>
      </w:r>
      <w:r w:rsidR="001F10F7">
        <w:rPr>
          <w:rFonts w:ascii="Times New Roman" w:hAnsi="Times New Roman"/>
          <w:sz w:val="22"/>
          <w:szCs w:val="22"/>
        </w:rPr>
        <w:t xml:space="preserve"> g</w:t>
      </w:r>
      <w:r w:rsidR="00034796" w:rsidRPr="00887699">
        <w:rPr>
          <w:rFonts w:ascii="Times New Roman" w:hAnsi="Times New Roman"/>
          <w:sz w:val="22"/>
          <w:szCs w:val="22"/>
        </w:rPr>
        <w:t xml:space="preserve">oods </w:t>
      </w:r>
      <w:r w:rsidR="004758C6">
        <w:rPr>
          <w:rFonts w:ascii="Times New Roman" w:hAnsi="Times New Roman"/>
          <w:sz w:val="22"/>
          <w:szCs w:val="22"/>
        </w:rPr>
        <w:t xml:space="preserve">containing folate substances (“the relevant goods”) </w:t>
      </w:r>
      <w:r w:rsidR="006834DB">
        <w:rPr>
          <w:rFonts w:ascii="Times New Roman" w:hAnsi="Times New Roman"/>
          <w:sz w:val="22"/>
          <w:szCs w:val="22"/>
        </w:rPr>
        <w:t xml:space="preserve">to be therapeutic goods when used, advertised, or presented for supply </w:t>
      </w:r>
      <w:r w:rsidR="004758C6">
        <w:rPr>
          <w:rFonts w:ascii="Times New Roman" w:hAnsi="Times New Roman"/>
          <w:sz w:val="22"/>
          <w:szCs w:val="22"/>
        </w:rPr>
        <w:t>for therapeutic use, or in a way that is likely to be taken to be for therapeutic use.</w:t>
      </w:r>
    </w:p>
    <w:p w:rsidR="00F05D9D" w:rsidRDefault="00F05D9D" w:rsidP="007B6BCF">
      <w:pPr>
        <w:autoSpaceDE w:val="0"/>
        <w:autoSpaceDN w:val="0"/>
        <w:adjustRightInd w:val="0"/>
        <w:rPr>
          <w:rFonts w:ascii="Times New Roman" w:hAnsi="Times New Roman"/>
          <w:sz w:val="22"/>
          <w:szCs w:val="22"/>
        </w:rPr>
      </w:pPr>
    </w:p>
    <w:p w:rsidR="00FF7BBE" w:rsidRDefault="0086202A" w:rsidP="003B1D37">
      <w:pPr>
        <w:autoSpaceDE w:val="0"/>
        <w:autoSpaceDN w:val="0"/>
        <w:adjustRightInd w:val="0"/>
        <w:rPr>
          <w:rFonts w:ascii="Times New Roman" w:hAnsi="Times New Roman"/>
          <w:sz w:val="22"/>
          <w:szCs w:val="22"/>
        </w:rPr>
      </w:pPr>
      <w:r>
        <w:rPr>
          <w:rFonts w:ascii="Times New Roman" w:hAnsi="Times New Roman"/>
          <w:sz w:val="22"/>
          <w:szCs w:val="22"/>
        </w:rPr>
        <w:t>T</w:t>
      </w:r>
      <w:r w:rsidR="00BD32FB">
        <w:rPr>
          <w:rFonts w:ascii="Times New Roman" w:hAnsi="Times New Roman"/>
          <w:sz w:val="22"/>
          <w:szCs w:val="22"/>
        </w:rPr>
        <w:t xml:space="preserve">he Amendment Order </w:t>
      </w:r>
      <w:r>
        <w:rPr>
          <w:rFonts w:ascii="Times New Roman" w:hAnsi="Times New Roman"/>
          <w:sz w:val="22"/>
          <w:szCs w:val="22"/>
        </w:rPr>
        <w:t>clarif</w:t>
      </w:r>
      <w:r w:rsidR="004758C6">
        <w:rPr>
          <w:rFonts w:ascii="Times New Roman" w:hAnsi="Times New Roman"/>
          <w:sz w:val="22"/>
          <w:szCs w:val="22"/>
        </w:rPr>
        <w:t xml:space="preserve">ies </w:t>
      </w:r>
      <w:r w:rsidR="00DE7E66">
        <w:rPr>
          <w:rFonts w:ascii="Times New Roman" w:hAnsi="Times New Roman"/>
          <w:sz w:val="22"/>
          <w:szCs w:val="22"/>
        </w:rPr>
        <w:t xml:space="preserve">that </w:t>
      </w:r>
      <w:r w:rsidR="00864FFA">
        <w:rPr>
          <w:rFonts w:ascii="Times New Roman" w:hAnsi="Times New Roman"/>
          <w:sz w:val="22"/>
          <w:szCs w:val="22"/>
        </w:rPr>
        <w:t xml:space="preserve">the </w:t>
      </w:r>
      <w:r w:rsidR="00942BBA">
        <w:rPr>
          <w:rFonts w:ascii="Times New Roman" w:hAnsi="Times New Roman"/>
          <w:sz w:val="22"/>
          <w:szCs w:val="22"/>
        </w:rPr>
        <w:t>relevant</w:t>
      </w:r>
      <w:r w:rsidR="00864FFA">
        <w:rPr>
          <w:rFonts w:ascii="Times New Roman" w:hAnsi="Times New Roman"/>
          <w:sz w:val="22"/>
          <w:szCs w:val="22"/>
        </w:rPr>
        <w:t xml:space="preserve"> goods</w:t>
      </w:r>
      <w:r w:rsidR="00DE7E66">
        <w:rPr>
          <w:rFonts w:ascii="Times New Roman" w:hAnsi="Times New Roman"/>
          <w:sz w:val="22"/>
          <w:szCs w:val="22"/>
        </w:rPr>
        <w:t xml:space="preserve"> are</w:t>
      </w:r>
      <w:r w:rsidR="00864FFA">
        <w:rPr>
          <w:rFonts w:ascii="Times New Roman" w:hAnsi="Times New Roman"/>
          <w:sz w:val="22"/>
          <w:szCs w:val="22"/>
        </w:rPr>
        <w:t xml:space="preserve"> indeed</w:t>
      </w:r>
      <w:r w:rsidR="00DE7E66">
        <w:rPr>
          <w:rFonts w:ascii="Times New Roman" w:hAnsi="Times New Roman"/>
          <w:sz w:val="22"/>
          <w:szCs w:val="22"/>
        </w:rPr>
        <w:t xml:space="preserve"> therapeutic goods as defined by the Act and therefore subject to </w:t>
      </w:r>
      <w:r w:rsidR="00864FFA">
        <w:rPr>
          <w:rFonts w:ascii="Times New Roman" w:hAnsi="Times New Roman"/>
          <w:sz w:val="22"/>
          <w:szCs w:val="22"/>
        </w:rPr>
        <w:t xml:space="preserve">the </w:t>
      </w:r>
      <w:r w:rsidR="00DE7E66">
        <w:rPr>
          <w:rFonts w:ascii="Times New Roman" w:hAnsi="Times New Roman"/>
          <w:sz w:val="22"/>
          <w:szCs w:val="22"/>
        </w:rPr>
        <w:t xml:space="preserve">national system of controls established by the Act.  </w:t>
      </w:r>
      <w:r>
        <w:rPr>
          <w:rFonts w:ascii="Times New Roman" w:hAnsi="Times New Roman"/>
          <w:sz w:val="22"/>
          <w:szCs w:val="22"/>
        </w:rPr>
        <w:t>This measure address</w:t>
      </w:r>
      <w:r w:rsidR="00FF173D">
        <w:rPr>
          <w:rFonts w:ascii="Times New Roman" w:hAnsi="Times New Roman"/>
          <w:sz w:val="22"/>
          <w:szCs w:val="22"/>
        </w:rPr>
        <w:t>es</w:t>
      </w:r>
      <w:r>
        <w:rPr>
          <w:rFonts w:ascii="Times New Roman" w:hAnsi="Times New Roman"/>
          <w:sz w:val="22"/>
          <w:szCs w:val="22"/>
        </w:rPr>
        <w:t xml:space="preserve"> </w:t>
      </w:r>
      <w:r w:rsidR="008E4648">
        <w:rPr>
          <w:rFonts w:ascii="Times New Roman" w:hAnsi="Times New Roman"/>
          <w:sz w:val="22"/>
          <w:szCs w:val="22"/>
        </w:rPr>
        <w:t xml:space="preserve">uncertainty </w:t>
      </w:r>
      <w:r w:rsidR="00F23CB6">
        <w:rPr>
          <w:rFonts w:ascii="Times New Roman" w:hAnsi="Times New Roman"/>
          <w:sz w:val="22"/>
          <w:szCs w:val="22"/>
        </w:rPr>
        <w:t xml:space="preserve">about the proper characterisation of the </w:t>
      </w:r>
      <w:r w:rsidR="00942BBA">
        <w:rPr>
          <w:rFonts w:ascii="Times New Roman" w:hAnsi="Times New Roman"/>
          <w:sz w:val="22"/>
          <w:szCs w:val="22"/>
        </w:rPr>
        <w:t>relevant</w:t>
      </w:r>
      <w:r w:rsidR="00F23CB6">
        <w:rPr>
          <w:rFonts w:ascii="Times New Roman" w:hAnsi="Times New Roman"/>
          <w:sz w:val="22"/>
          <w:szCs w:val="22"/>
        </w:rPr>
        <w:t xml:space="preserve"> goods </w:t>
      </w:r>
      <w:r w:rsidR="008E4648">
        <w:rPr>
          <w:rFonts w:ascii="Times New Roman" w:hAnsi="Times New Roman"/>
          <w:sz w:val="22"/>
          <w:szCs w:val="22"/>
        </w:rPr>
        <w:t xml:space="preserve">as a consequence of </w:t>
      </w:r>
      <w:r>
        <w:rPr>
          <w:rFonts w:ascii="Times New Roman" w:hAnsi="Times New Roman"/>
          <w:sz w:val="22"/>
          <w:szCs w:val="22"/>
        </w:rPr>
        <w:t xml:space="preserve">the </w:t>
      </w:r>
      <w:r w:rsidRPr="0086202A">
        <w:rPr>
          <w:rFonts w:ascii="Times New Roman" w:hAnsi="Times New Roman"/>
          <w:i/>
          <w:iCs/>
          <w:sz w:val="22"/>
          <w:szCs w:val="22"/>
        </w:rPr>
        <w:t xml:space="preserve">Australia New Zealand Food Standards Code </w:t>
      </w:r>
      <w:r w:rsidRPr="0086202A">
        <w:rPr>
          <w:rFonts w:ascii="Times New Roman" w:hAnsi="Times New Roman"/>
          <w:sz w:val="22"/>
          <w:szCs w:val="22"/>
        </w:rPr>
        <w:t>– Standard 2.9.5 – Food for special medical purposes</w:t>
      </w:r>
      <w:r>
        <w:rPr>
          <w:rFonts w:ascii="Times New Roman" w:hAnsi="Times New Roman"/>
          <w:sz w:val="22"/>
          <w:szCs w:val="22"/>
        </w:rPr>
        <w:t xml:space="preserve"> (“Food Standard 2.9.5”).</w:t>
      </w:r>
      <w:r w:rsidR="00FD787D">
        <w:rPr>
          <w:rFonts w:ascii="Times New Roman" w:hAnsi="Times New Roman"/>
          <w:sz w:val="22"/>
          <w:szCs w:val="22"/>
        </w:rPr>
        <w:t xml:space="preserve">  </w:t>
      </w:r>
      <w:r w:rsidR="008E4648">
        <w:rPr>
          <w:rFonts w:ascii="Times New Roman" w:hAnsi="Times New Roman"/>
          <w:sz w:val="22"/>
          <w:szCs w:val="22"/>
        </w:rPr>
        <w:t xml:space="preserve">The effect of the Amendment Order is to confirm that the relevant goods are therapeutic goods </w:t>
      </w:r>
      <w:r w:rsidR="00330824">
        <w:rPr>
          <w:rFonts w:ascii="Times New Roman" w:hAnsi="Times New Roman"/>
          <w:sz w:val="22"/>
          <w:szCs w:val="22"/>
        </w:rPr>
        <w:t xml:space="preserve">for the purposes </w:t>
      </w:r>
      <w:r w:rsidR="008E4648">
        <w:rPr>
          <w:rFonts w:ascii="Times New Roman" w:hAnsi="Times New Roman"/>
          <w:sz w:val="22"/>
          <w:szCs w:val="22"/>
        </w:rPr>
        <w:t xml:space="preserve">of the Act, irrespective of any view regarding the application of </w:t>
      </w:r>
      <w:r w:rsidR="00FD787D">
        <w:rPr>
          <w:rFonts w:ascii="Times New Roman" w:hAnsi="Times New Roman"/>
          <w:sz w:val="22"/>
          <w:szCs w:val="22"/>
        </w:rPr>
        <w:t xml:space="preserve">Food Standard 2.9.5 </w:t>
      </w:r>
      <w:r w:rsidR="008E4648">
        <w:rPr>
          <w:rFonts w:ascii="Times New Roman" w:hAnsi="Times New Roman"/>
          <w:sz w:val="22"/>
          <w:szCs w:val="22"/>
        </w:rPr>
        <w:t xml:space="preserve">to </w:t>
      </w:r>
      <w:r w:rsidR="00FD787D">
        <w:rPr>
          <w:rFonts w:ascii="Times New Roman" w:hAnsi="Times New Roman"/>
          <w:sz w:val="22"/>
          <w:szCs w:val="22"/>
        </w:rPr>
        <w:t>the relevant goods</w:t>
      </w:r>
      <w:r w:rsidR="008E4648">
        <w:rPr>
          <w:rFonts w:ascii="Times New Roman" w:hAnsi="Times New Roman"/>
          <w:sz w:val="22"/>
          <w:szCs w:val="22"/>
        </w:rPr>
        <w:t xml:space="preserve"> prior to the making of this Amendment </w:t>
      </w:r>
      <w:r w:rsidR="008E4648" w:rsidRPr="0028245D">
        <w:rPr>
          <w:rFonts w:ascii="Times New Roman" w:hAnsi="Times New Roman"/>
          <w:sz w:val="22"/>
          <w:szCs w:val="22"/>
        </w:rPr>
        <w:t>Order</w:t>
      </w:r>
      <w:r w:rsidR="004758C6">
        <w:rPr>
          <w:rFonts w:ascii="Times New Roman" w:hAnsi="Times New Roman"/>
          <w:sz w:val="22"/>
          <w:szCs w:val="22"/>
        </w:rPr>
        <w:t>.</w:t>
      </w:r>
    </w:p>
    <w:p w:rsidR="00FF7BBE" w:rsidRDefault="00FF7BBE" w:rsidP="003B1D37">
      <w:pPr>
        <w:autoSpaceDE w:val="0"/>
        <w:autoSpaceDN w:val="0"/>
        <w:adjustRightInd w:val="0"/>
        <w:rPr>
          <w:rFonts w:ascii="Times New Roman" w:hAnsi="Times New Roman"/>
          <w:sz w:val="22"/>
          <w:szCs w:val="22"/>
        </w:rPr>
      </w:pPr>
    </w:p>
    <w:p w:rsidR="003B1D37" w:rsidRPr="003B1D37" w:rsidRDefault="003B1D37" w:rsidP="003B1D37">
      <w:pPr>
        <w:autoSpaceDE w:val="0"/>
        <w:autoSpaceDN w:val="0"/>
        <w:adjustRightInd w:val="0"/>
        <w:rPr>
          <w:rFonts w:ascii="Times New Roman" w:hAnsi="Times New Roman"/>
          <w:sz w:val="22"/>
          <w:szCs w:val="22"/>
          <w:lang w:val="en-GB"/>
        </w:rPr>
      </w:pPr>
      <w:r>
        <w:rPr>
          <w:rFonts w:ascii="Times New Roman" w:hAnsi="Times New Roman"/>
          <w:sz w:val="22"/>
          <w:szCs w:val="22"/>
        </w:rPr>
        <w:t xml:space="preserve">The power to declare in subsection 7(1) is a discretionary power to be exercised having regard to the objects of the Act (section 4 </w:t>
      </w:r>
      <w:r w:rsidR="00A06DED">
        <w:rPr>
          <w:rFonts w:ascii="Times New Roman" w:hAnsi="Times New Roman"/>
          <w:sz w:val="22"/>
          <w:szCs w:val="22"/>
        </w:rPr>
        <w:t xml:space="preserve">of the Act </w:t>
      </w:r>
      <w:r>
        <w:rPr>
          <w:rFonts w:ascii="Times New Roman" w:hAnsi="Times New Roman"/>
          <w:sz w:val="22"/>
          <w:szCs w:val="22"/>
        </w:rPr>
        <w:t xml:space="preserve">refers).  </w:t>
      </w:r>
      <w:r w:rsidR="00A06DED">
        <w:rPr>
          <w:rFonts w:ascii="Times New Roman" w:hAnsi="Times New Roman"/>
          <w:sz w:val="22"/>
          <w:szCs w:val="22"/>
        </w:rPr>
        <w:t xml:space="preserve">In this case, the </w:t>
      </w:r>
      <w:r>
        <w:rPr>
          <w:rFonts w:ascii="Times New Roman" w:hAnsi="Times New Roman"/>
          <w:sz w:val="22"/>
          <w:szCs w:val="22"/>
        </w:rPr>
        <w:t xml:space="preserve">exercise of </w:t>
      </w:r>
      <w:r w:rsidR="00FF7BBE">
        <w:rPr>
          <w:rFonts w:ascii="Times New Roman" w:hAnsi="Times New Roman"/>
          <w:sz w:val="22"/>
          <w:szCs w:val="22"/>
        </w:rPr>
        <w:t xml:space="preserve">that </w:t>
      </w:r>
      <w:r>
        <w:rPr>
          <w:rFonts w:ascii="Times New Roman" w:hAnsi="Times New Roman"/>
          <w:sz w:val="22"/>
          <w:szCs w:val="22"/>
        </w:rPr>
        <w:t xml:space="preserve">power is particularly useful </w:t>
      </w:r>
      <w:r w:rsidR="00A06DED">
        <w:rPr>
          <w:rFonts w:ascii="Times New Roman" w:hAnsi="Times New Roman"/>
          <w:sz w:val="22"/>
          <w:szCs w:val="22"/>
        </w:rPr>
        <w:t xml:space="preserve">in resolving </w:t>
      </w:r>
      <w:r>
        <w:rPr>
          <w:rFonts w:ascii="Times New Roman" w:hAnsi="Times New Roman"/>
          <w:sz w:val="22"/>
          <w:szCs w:val="22"/>
        </w:rPr>
        <w:t xml:space="preserve">uncertainty or differences of opinion regarding the proper characterisation of </w:t>
      </w:r>
      <w:r w:rsidR="00A06DED">
        <w:rPr>
          <w:rFonts w:ascii="Times New Roman" w:hAnsi="Times New Roman"/>
          <w:sz w:val="22"/>
          <w:szCs w:val="22"/>
        </w:rPr>
        <w:t xml:space="preserve">certain </w:t>
      </w:r>
      <w:r>
        <w:rPr>
          <w:rFonts w:ascii="Times New Roman" w:hAnsi="Times New Roman"/>
          <w:sz w:val="22"/>
          <w:szCs w:val="22"/>
        </w:rPr>
        <w:t xml:space="preserve">goods at the food medicine interface.  The power to declare therefore provides an appropriate mechanism to </w:t>
      </w:r>
      <w:r w:rsidRPr="003B1D37">
        <w:rPr>
          <w:rFonts w:ascii="Times New Roman" w:hAnsi="Times New Roman"/>
          <w:sz w:val="22"/>
          <w:szCs w:val="22"/>
          <w:lang w:val="en-GB"/>
        </w:rPr>
        <w:t xml:space="preserve">address </w:t>
      </w:r>
      <w:r w:rsidR="00FF7BBE">
        <w:rPr>
          <w:rFonts w:ascii="Times New Roman" w:hAnsi="Times New Roman"/>
          <w:sz w:val="22"/>
          <w:szCs w:val="22"/>
          <w:lang w:val="en-GB"/>
        </w:rPr>
        <w:t xml:space="preserve">regulatory uncertainty by enabling the Secretary </w:t>
      </w:r>
      <w:r w:rsidRPr="003B1D37">
        <w:rPr>
          <w:rFonts w:ascii="Times New Roman" w:hAnsi="Times New Roman"/>
          <w:sz w:val="22"/>
          <w:szCs w:val="22"/>
          <w:lang w:val="en-GB"/>
        </w:rPr>
        <w:t>to declare particular goods to be therapeutic goods</w:t>
      </w:r>
      <w:r w:rsidR="00FF7BBE">
        <w:rPr>
          <w:rFonts w:ascii="Times New Roman" w:hAnsi="Times New Roman"/>
          <w:sz w:val="22"/>
          <w:szCs w:val="22"/>
          <w:lang w:val="en-GB"/>
        </w:rPr>
        <w:t>,</w:t>
      </w:r>
      <w:r w:rsidRPr="003B1D37">
        <w:rPr>
          <w:rFonts w:ascii="Times New Roman" w:hAnsi="Times New Roman"/>
          <w:sz w:val="22"/>
          <w:szCs w:val="22"/>
          <w:lang w:val="en-GB"/>
        </w:rPr>
        <w:t xml:space="preserve"> irrespective of whether </w:t>
      </w:r>
      <w:r w:rsidR="00FF7BBE">
        <w:rPr>
          <w:rFonts w:ascii="Times New Roman" w:hAnsi="Times New Roman"/>
          <w:sz w:val="22"/>
          <w:szCs w:val="22"/>
          <w:lang w:val="en-GB"/>
        </w:rPr>
        <w:t xml:space="preserve">or not those goods are goods </w:t>
      </w:r>
      <w:r w:rsidRPr="003B1D37">
        <w:rPr>
          <w:rFonts w:ascii="Times New Roman" w:hAnsi="Times New Roman"/>
          <w:sz w:val="22"/>
          <w:szCs w:val="22"/>
          <w:lang w:val="en-GB"/>
        </w:rPr>
        <w:t xml:space="preserve">for which there is a </w:t>
      </w:r>
      <w:r w:rsidR="00FF7BBE">
        <w:rPr>
          <w:rFonts w:ascii="Times New Roman" w:hAnsi="Times New Roman"/>
          <w:sz w:val="22"/>
          <w:szCs w:val="22"/>
          <w:lang w:val="en-GB"/>
        </w:rPr>
        <w:t xml:space="preserve">food </w:t>
      </w:r>
      <w:r w:rsidRPr="003B1D37">
        <w:rPr>
          <w:rFonts w:ascii="Times New Roman" w:hAnsi="Times New Roman"/>
          <w:sz w:val="22"/>
          <w:szCs w:val="22"/>
          <w:lang w:val="en-GB"/>
        </w:rPr>
        <w:t>standard.</w:t>
      </w:r>
    </w:p>
    <w:p w:rsidR="00472B94" w:rsidRDefault="00472B94" w:rsidP="00472B94">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b/>
          <w:sz w:val="22"/>
          <w:szCs w:val="22"/>
        </w:rPr>
      </w:pPr>
      <w:r w:rsidRPr="00FF7BBE">
        <w:rPr>
          <w:rFonts w:ascii="Times New Roman" w:hAnsi="Times New Roman"/>
          <w:b/>
          <w:sz w:val="22"/>
          <w:szCs w:val="22"/>
        </w:rPr>
        <w:t>Background</w:t>
      </w:r>
    </w:p>
    <w:p w:rsidR="00FF7BBE" w:rsidRPr="00FF7BBE" w:rsidRDefault="00FF7BBE" w:rsidP="00FF7BBE">
      <w:pPr>
        <w:autoSpaceDE w:val="0"/>
        <w:autoSpaceDN w:val="0"/>
        <w:adjustRightInd w:val="0"/>
        <w:rPr>
          <w:rFonts w:ascii="Times New Roman" w:hAnsi="Times New Roman"/>
          <w:b/>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An understanding of the regulatory frameworks for therapeutic goods and foods, as follows, </w:t>
      </w:r>
      <w:r w:rsidR="00CD6FD1">
        <w:rPr>
          <w:rFonts w:ascii="Times New Roman" w:hAnsi="Times New Roman"/>
          <w:sz w:val="22"/>
          <w:szCs w:val="22"/>
        </w:rPr>
        <w:t xml:space="preserve">necessarily </w:t>
      </w:r>
      <w:r w:rsidRPr="00FF7BBE">
        <w:rPr>
          <w:rFonts w:ascii="Times New Roman" w:hAnsi="Times New Roman"/>
          <w:sz w:val="22"/>
          <w:szCs w:val="22"/>
        </w:rPr>
        <w:t>inform</w:t>
      </w:r>
      <w:r w:rsidR="00CD6FD1">
        <w:rPr>
          <w:rFonts w:ascii="Times New Roman" w:hAnsi="Times New Roman"/>
          <w:sz w:val="22"/>
          <w:szCs w:val="22"/>
        </w:rPr>
        <w:t xml:space="preserve">s </w:t>
      </w:r>
      <w:r w:rsidRPr="00FF7BBE">
        <w:rPr>
          <w:rFonts w:ascii="Times New Roman" w:hAnsi="Times New Roman"/>
          <w:sz w:val="22"/>
          <w:szCs w:val="22"/>
        </w:rPr>
        <w:t xml:space="preserve">the </w:t>
      </w:r>
      <w:r w:rsidR="008766BA">
        <w:rPr>
          <w:rFonts w:ascii="Times New Roman" w:hAnsi="Times New Roman"/>
          <w:sz w:val="22"/>
          <w:szCs w:val="22"/>
        </w:rPr>
        <w:t xml:space="preserve">background for </w:t>
      </w:r>
      <w:r w:rsidR="00CD6FD1">
        <w:rPr>
          <w:rFonts w:ascii="Times New Roman" w:hAnsi="Times New Roman"/>
          <w:sz w:val="22"/>
          <w:szCs w:val="22"/>
        </w:rPr>
        <w:t>making the Amendment Order.</w:t>
      </w:r>
    </w:p>
    <w:p w:rsidR="00FF7BBE" w:rsidRPr="00FF7BBE" w:rsidRDefault="00FF7BBE" w:rsidP="00FF7BBE">
      <w:pPr>
        <w:autoSpaceDE w:val="0"/>
        <w:autoSpaceDN w:val="0"/>
        <w:adjustRightInd w:val="0"/>
        <w:rPr>
          <w:rFonts w:ascii="Times New Roman" w:hAnsi="Times New Roman"/>
          <w:sz w:val="22"/>
          <w:szCs w:val="22"/>
        </w:rPr>
      </w:pPr>
    </w:p>
    <w:p w:rsidR="00FF7BBE" w:rsidRDefault="00FF7BBE" w:rsidP="00FF7BBE">
      <w:pPr>
        <w:autoSpaceDE w:val="0"/>
        <w:autoSpaceDN w:val="0"/>
        <w:adjustRightInd w:val="0"/>
        <w:rPr>
          <w:rFonts w:ascii="Times New Roman" w:hAnsi="Times New Roman"/>
          <w:i/>
          <w:sz w:val="22"/>
          <w:szCs w:val="22"/>
        </w:rPr>
      </w:pPr>
      <w:r w:rsidRPr="00FF7BBE">
        <w:rPr>
          <w:rFonts w:ascii="Times New Roman" w:hAnsi="Times New Roman"/>
          <w:i/>
          <w:sz w:val="22"/>
          <w:szCs w:val="22"/>
        </w:rPr>
        <w:t>Regulation of therapeutic goods in Australia</w:t>
      </w:r>
    </w:p>
    <w:p w:rsidR="00CD6FD1" w:rsidRPr="00FF7BBE" w:rsidRDefault="00CD6FD1" w:rsidP="00FF7BBE">
      <w:pPr>
        <w:autoSpaceDE w:val="0"/>
        <w:autoSpaceDN w:val="0"/>
        <w:adjustRightInd w:val="0"/>
        <w:rPr>
          <w:rFonts w:ascii="Times New Roman" w:hAnsi="Times New Roman"/>
          <w:i/>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The regulation of therapeutic goods in Australia is the </w:t>
      </w:r>
      <w:r w:rsidR="008766BA">
        <w:rPr>
          <w:rFonts w:ascii="Times New Roman" w:hAnsi="Times New Roman"/>
          <w:sz w:val="22"/>
          <w:szCs w:val="22"/>
        </w:rPr>
        <w:t xml:space="preserve">principal </w:t>
      </w:r>
      <w:r w:rsidRPr="00FF7BBE">
        <w:rPr>
          <w:rFonts w:ascii="Times New Roman" w:hAnsi="Times New Roman"/>
          <w:sz w:val="22"/>
          <w:szCs w:val="22"/>
        </w:rPr>
        <w:t xml:space="preserve">responsibility of the </w:t>
      </w:r>
      <w:r>
        <w:rPr>
          <w:rFonts w:ascii="Times New Roman" w:hAnsi="Times New Roman"/>
          <w:sz w:val="22"/>
          <w:szCs w:val="22"/>
        </w:rPr>
        <w:t xml:space="preserve">Australian </w:t>
      </w:r>
      <w:r w:rsidRPr="00FF7BBE">
        <w:rPr>
          <w:rFonts w:ascii="Times New Roman" w:hAnsi="Times New Roman"/>
          <w:sz w:val="22"/>
          <w:szCs w:val="22"/>
        </w:rPr>
        <w:t xml:space="preserve">Government.  </w:t>
      </w:r>
      <w:r>
        <w:rPr>
          <w:rFonts w:ascii="Times New Roman" w:hAnsi="Times New Roman"/>
          <w:sz w:val="22"/>
          <w:szCs w:val="22"/>
        </w:rPr>
        <w:t xml:space="preserve">The purpose </w:t>
      </w:r>
      <w:r w:rsidR="008766BA">
        <w:rPr>
          <w:rFonts w:ascii="Times New Roman" w:hAnsi="Times New Roman"/>
          <w:sz w:val="22"/>
          <w:szCs w:val="22"/>
        </w:rPr>
        <w:t xml:space="preserve">of the Act </w:t>
      </w:r>
      <w:r>
        <w:rPr>
          <w:rFonts w:ascii="Times New Roman" w:hAnsi="Times New Roman"/>
          <w:sz w:val="22"/>
          <w:szCs w:val="22"/>
        </w:rPr>
        <w:t xml:space="preserve">is to provide for the establishment and maintenance of a national system of controls relating to the </w:t>
      </w:r>
      <w:r w:rsidRPr="00FF7BBE">
        <w:rPr>
          <w:rFonts w:ascii="Times New Roman" w:hAnsi="Times New Roman"/>
          <w:sz w:val="22"/>
          <w:szCs w:val="22"/>
        </w:rPr>
        <w:t>quality, safety, effic</w:t>
      </w:r>
      <w:r w:rsidR="00125ACD">
        <w:rPr>
          <w:rFonts w:ascii="Times New Roman" w:hAnsi="Times New Roman"/>
          <w:sz w:val="22"/>
          <w:szCs w:val="22"/>
        </w:rPr>
        <w:t xml:space="preserve">acy </w:t>
      </w:r>
      <w:r w:rsidRPr="00FF7BBE">
        <w:rPr>
          <w:rFonts w:ascii="Times New Roman" w:hAnsi="Times New Roman"/>
          <w:sz w:val="22"/>
          <w:szCs w:val="22"/>
        </w:rPr>
        <w:t xml:space="preserve">and timely availability of therapeutic goods.  The </w:t>
      </w:r>
      <w:r>
        <w:rPr>
          <w:rFonts w:ascii="Times New Roman" w:hAnsi="Times New Roman"/>
          <w:sz w:val="22"/>
          <w:szCs w:val="22"/>
        </w:rPr>
        <w:t xml:space="preserve">controls </w:t>
      </w:r>
      <w:r w:rsidRPr="00FF7BBE">
        <w:rPr>
          <w:rFonts w:ascii="Times New Roman" w:hAnsi="Times New Roman"/>
          <w:sz w:val="22"/>
          <w:szCs w:val="22"/>
        </w:rPr>
        <w:t xml:space="preserve">relate to a range of measures </w:t>
      </w:r>
      <w:r w:rsidR="00A06DED">
        <w:rPr>
          <w:rFonts w:ascii="Times New Roman" w:hAnsi="Times New Roman"/>
          <w:sz w:val="22"/>
          <w:szCs w:val="22"/>
        </w:rPr>
        <w:t xml:space="preserve">that </w:t>
      </w:r>
      <w:r w:rsidRPr="00FF7BBE">
        <w:rPr>
          <w:rFonts w:ascii="Times New Roman" w:hAnsi="Times New Roman"/>
          <w:sz w:val="22"/>
          <w:szCs w:val="22"/>
        </w:rPr>
        <w:t>Parliament has considered appropriate in regulating therapeutic goods</w:t>
      </w:r>
      <w:r>
        <w:rPr>
          <w:rFonts w:ascii="Times New Roman" w:hAnsi="Times New Roman"/>
          <w:sz w:val="22"/>
          <w:szCs w:val="22"/>
        </w:rPr>
        <w:t>, including requirements relating to the lawful supply and advertisement of medicines.</w:t>
      </w:r>
    </w:p>
    <w:p w:rsidR="00FF7BBE" w:rsidRPr="00FF7BBE" w:rsidRDefault="00FF7BBE" w:rsidP="00FF7BBE">
      <w:pPr>
        <w:autoSpaceDE w:val="0"/>
        <w:autoSpaceDN w:val="0"/>
        <w:adjustRightInd w:val="0"/>
        <w:rPr>
          <w:rFonts w:ascii="Times New Roman" w:hAnsi="Times New Roman"/>
          <w:sz w:val="22"/>
          <w:szCs w:val="22"/>
        </w:rPr>
      </w:pPr>
    </w:p>
    <w:p w:rsidR="004A2DF7" w:rsidRDefault="00FF7BBE" w:rsidP="00FF7BBE">
      <w:pPr>
        <w:autoSpaceDE w:val="0"/>
        <w:autoSpaceDN w:val="0"/>
        <w:adjustRightInd w:val="0"/>
        <w:rPr>
          <w:rFonts w:ascii="Times New Roman" w:hAnsi="Times New Roman"/>
          <w:sz w:val="22"/>
          <w:szCs w:val="22"/>
        </w:rPr>
      </w:pPr>
      <w:r w:rsidRPr="00EF782D">
        <w:rPr>
          <w:rFonts w:ascii="Times New Roman" w:hAnsi="Times New Roman"/>
          <w:sz w:val="22"/>
          <w:szCs w:val="22"/>
        </w:rPr>
        <w:t>Therapeutic goods</w:t>
      </w:r>
      <w:r w:rsidRPr="00FF7BBE">
        <w:rPr>
          <w:rFonts w:ascii="Times New Roman" w:hAnsi="Times New Roman"/>
          <w:sz w:val="22"/>
          <w:szCs w:val="22"/>
        </w:rPr>
        <w:t xml:space="preserve"> are </w:t>
      </w:r>
      <w:r>
        <w:rPr>
          <w:rFonts w:ascii="Times New Roman" w:hAnsi="Times New Roman"/>
          <w:sz w:val="22"/>
          <w:szCs w:val="22"/>
        </w:rPr>
        <w:t xml:space="preserve">relevantly </w:t>
      </w:r>
      <w:r w:rsidRPr="00FF7BBE">
        <w:rPr>
          <w:rFonts w:ascii="Times New Roman" w:hAnsi="Times New Roman"/>
          <w:sz w:val="22"/>
          <w:szCs w:val="22"/>
        </w:rPr>
        <w:t xml:space="preserve">defined in subsection 3(1) of the Act to </w:t>
      </w:r>
      <w:r>
        <w:rPr>
          <w:rFonts w:ascii="Times New Roman" w:hAnsi="Times New Roman"/>
          <w:sz w:val="22"/>
          <w:szCs w:val="22"/>
        </w:rPr>
        <w:t xml:space="preserve">mean </w:t>
      </w:r>
      <w:r w:rsidRPr="00FF7BBE">
        <w:rPr>
          <w:rFonts w:ascii="Times New Roman" w:hAnsi="Times New Roman"/>
          <w:sz w:val="22"/>
          <w:szCs w:val="22"/>
        </w:rPr>
        <w:t>goods that are represented in any way to be, or that are</w:t>
      </w:r>
      <w:r>
        <w:rPr>
          <w:rFonts w:ascii="Times New Roman" w:hAnsi="Times New Roman"/>
          <w:sz w:val="22"/>
          <w:szCs w:val="22"/>
        </w:rPr>
        <w:t>,</w:t>
      </w:r>
      <w:r w:rsidRPr="00FF7BBE">
        <w:rPr>
          <w:rFonts w:ascii="Times New Roman" w:hAnsi="Times New Roman"/>
          <w:sz w:val="22"/>
          <w:szCs w:val="22"/>
        </w:rPr>
        <w:t xml:space="preserve"> whether because of the way in which the goods are presented or for any other reason</w:t>
      </w:r>
      <w:r>
        <w:rPr>
          <w:rFonts w:ascii="Times New Roman" w:hAnsi="Times New Roman"/>
          <w:sz w:val="22"/>
          <w:szCs w:val="22"/>
        </w:rPr>
        <w:t>,</w:t>
      </w:r>
      <w:r w:rsidRPr="00FF7BBE">
        <w:rPr>
          <w:rFonts w:ascii="Times New Roman" w:hAnsi="Times New Roman"/>
          <w:sz w:val="22"/>
          <w:szCs w:val="22"/>
        </w:rPr>
        <w:t xml:space="preserve"> likely to be taken to be for therapeutic use.  The </w:t>
      </w:r>
      <w:r>
        <w:rPr>
          <w:rFonts w:ascii="Times New Roman" w:hAnsi="Times New Roman"/>
          <w:sz w:val="22"/>
          <w:szCs w:val="22"/>
        </w:rPr>
        <w:t xml:space="preserve">definition </w:t>
      </w:r>
      <w:r w:rsidR="004A2DF7">
        <w:rPr>
          <w:rFonts w:ascii="Times New Roman" w:hAnsi="Times New Roman"/>
          <w:sz w:val="22"/>
          <w:szCs w:val="22"/>
        </w:rPr>
        <w:t xml:space="preserve">does not </w:t>
      </w:r>
      <w:r w:rsidRPr="00FF7BBE">
        <w:rPr>
          <w:rFonts w:ascii="Times New Roman" w:hAnsi="Times New Roman"/>
          <w:sz w:val="22"/>
          <w:szCs w:val="22"/>
        </w:rPr>
        <w:t>include goods that come within paragraphs (e) and (f) of the definition</w:t>
      </w:r>
      <w:r w:rsidR="004A2DF7">
        <w:rPr>
          <w:rFonts w:ascii="Times New Roman" w:hAnsi="Times New Roman"/>
          <w:sz w:val="22"/>
          <w:szCs w:val="22"/>
        </w:rPr>
        <w:t>,</w:t>
      </w:r>
      <w:r w:rsidRPr="00FF7BBE">
        <w:rPr>
          <w:rFonts w:ascii="Times New Roman" w:hAnsi="Times New Roman"/>
          <w:sz w:val="22"/>
          <w:szCs w:val="22"/>
        </w:rPr>
        <w:t xml:space="preserve"> </w:t>
      </w:r>
      <w:r w:rsidR="004A2DF7">
        <w:rPr>
          <w:rFonts w:ascii="Times New Roman" w:hAnsi="Times New Roman"/>
          <w:sz w:val="22"/>
          <w:szCs w:val="22"/>
        </w:rPr>
        <w:t xml:space="preserve">unless </w:t>
      </w:r>
      <w:r w:rsidR="004A2DF7">
        <w:rPr>
          <w:rFonts w:ascii="Times New Roman" w:hAnsi="Times New Roman"/>
          <w:sz w:val="22"/>
          <w:szCs w:val="22"/>
        </w:rPr>
        <w:lastRenderedPageBreak/>
        <w:t>those goods are declared to be therapeutic goods under an order in force under section 7 of the Act.</w:t>
      </w:r>
    </w:p>
    <w:p w:rsidR="004A2DF7" w:rsidRDefault="004A2DF7" w:rsidP="00FF7BBE">
      <w:pPr>
        <w:autoSpaceDE w:val="0"/>
        <w:autoSpaceDN w:val="0"/>
        <w:adjustRightInd w:val="0"/>
        <w:rPr>
          <w:rFonts w:ascii="Times New Roman" w:hAnsi="Times New Roman"/>
          <w:sz w:val="22"/>
          <w:szCs w:val="22"/>
        </w:rPr>
      </w:pPr>
    </w:p>
    <w:p w:rsidR="00FF7BBE" w:rsidRPr="00FF7BBE" w:rsidRDefault="004A2DF7" w:rsidP="00FF7BBE">
      <w:pPr>
        <w:autoSpaceDE w:val="0"/>
        <w:autoSpaceDN w:val="0"/>
        <w:adjustRightInd w:val="0"/>
        <w:rPr>
          <w:rFonts w:ascii="Times New Roman" w:hAnsi="Times New Roman"/>
          <w:sz w:val="22"/>
          <w:szCs w:val="22"/>
        </w:rPr>
      </w:pPr>
      <w:r>
        <w:rPr>
          <w:rFonts w:ascii="Times New Roman" w:hAnsi="Times New Roman"/>
          <w:sz w:val="22"/>
          <w:szCs w:val="22"/>
        </w:rPr>
        <w:t xml:space="preserve">In making an order under section 7 of the Act, </w:t>
      </w:r>
      <w:r w:rsidR="00FF7BBE" w:rsidRPr="00FF7BBE">
        <w:rPr>
          <w:rFonts w:ascii="Times New Roman" w:hAnsi="Times New Roman"/>
          <w:sz w:val="22"/>
          <w:szCs w:val="22"/>
        </w:rPr>
        <w:t xml:space="preserve">subsection 7(1A) </w:t>
      </w:r>
      <w:r>
        <w:rPr>
          <w:rFonts w:ascii="Times New Roman" w:hAnsi="Times New Roman"/>
          <w:sz w:val="22"/>
          <w:szCs w:val="22"/>
        </w:rPr>
        <w:t xml:space="preserve">provides that the </w:t>
      </w:r>
      <w:r w:rsidR="00CD6FD1">
        <w:rPr>
          <w:rFonts w:ascii="Times New Roman" w:hAnsi="Times New Roman"/>
          <w:sz w:val="22"/>
          <w:szCs w:val="22"/>
        </w:rPr>
        <w:t xml:space="preserve">Secretary </w:t>
      </w:r>
      <w:r>
        <w:rPr>
          <w:rFonts w:ascii="Times New Roman" w:hAnsi="Times New Roman"/>
          <w:sz w:val="22"/>
          <w:szCs w:val="22"/>
        </w:rPr>
        <w:t xml:space="preserve">must </w:t>
      </w:r>
      <w:r w:rsidR="00CD6FD1">
        <w:rPr>
          <w:rFonts w:ascii="Times New Roman" w:hAnsi="Times New Roman"/>
          <w:sz w:val="22"/>
          <w:szCs w:val="22"/>
        </w:rPr>
        <w:t xml:space="preserve">disregard </w:t>
      </w:r>
      <w:r w:rsidR="00FF7BBE" w:rsidRPr="00FF7BBE">
        <w:rPr>
          <w:rFonts w:ascii="Times New Roman" w:hAnsi="Times New Roman"/>
          <w:sz w:val="22"/>
          <w:szCs w:val="22"/>
        </w:rPr>
        <w:t xml:space="preserve">paragraphs (e) and (f) of the definition in </w:t>
      </w:r>
      <w:r w:rsidR="00CD6FD1">
        <w:rPr>
          <w:rFonts w:ascii="Times New Roman" w:hAnsi="Times New Roman"/>
          <w:sz w:val="22"/>
          <w:szCs w:val="22"/>
        </w:rPr>
        <w:t>deciding whether particular goods or classes of goods are therapeutic goods, either generally or when used, advertised or presented for supply in a particular way</w:t>
      </w:r>
      <w:r w:rsidR="00FF7BBE" w:rsidRPr="00FF7BBE">
        <w:rPr>
          <w:rFonts w:ascii="Times New Roman" w:hAnsi="Times New Roman"/>
          <w:sz w:val="22"/>
          <w:szCs w:val="22"/>
        </w:rPr>
        <w:t>.</w:t>
      </w:r>
    </w:p>
    <w:p w:rsidR="00FF7BBE" w:rsidRPr="00FF7BBE" w:rsidRDefault="00FF7BBE" w:rsidP="00FF7BBE">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sz w:val="22"/>
          <w:szCs w:val="22"/>
        </w:rPr>
      </w:pPr>
      <w:r w:rsidRPr="00EF782D">
        <w:rPr>
          <w:rFonts w:ascii="Times New Roman" w:hAnsi="Times New Roman"/>
          <w:sz w:val="22"/>
          <w:szCs w:val="22"/>
        </w:rPr>
        <w:t>Therapeutic use</w:t>
      </w:r>
      <w:r w:rsidRPr="00FF7BBE">
        <w:rPr>
          <w:rFonts w:ascii="Times New Roman" w:hAnsi="Times New Roman"/>
          <w:sz w:val="22"/>
          <w:szCs w:val="22"/>
        </w:rPr>
        <w:t xml:space="preserve"> is defined in subsection 3(1) of the Act, amongst other things, to include use in or in connection with preventing, diagnosing, curing or alleviating a disease, ailment, defect or injury in persons, or use in or in connection with influencing, inhibiting or modifying a physiological process.</w:t>
      </w:r>
    </w:p>
    <w:p w:rsidR="00FF7BBE" w:rsidRPr="00FF7BBE" w:rsidRDefault="00FF7BBE" w:rsidP="00FF7BBE">
      <w:pPr>
        <w:autoSpaceDE w:val="0"/>
        <w:autoSpaceDN w:val="0"/>
        <w:adjustRightInd w:val="0"/>
        <w:rPr>
          <w:rFonts w:ascii="Times New Roman" w:hAnsi="Times New Roman"/>
          <w:b/>
          <w:i/>
          <w:sz w:val="22"/>
          <w:szCs w:val="22"/>
        </w:rPr>
      </w:pPr>
    </w:p>
    <w:p w:rsidR="00FF7BBE" w:rsidRDefault="00FF7BBE" w:rsidP="00FF7BBE">
      <w:pPr>
        <w:autoSpaceDE w:val="0"/>
        <w:autoSpaceDN w:val="0"/>
        <w:adjustRightInd w:val="0"/>
        <w:rPr>
          <w:rFonts w:ascii="Times New Roman" w:hAnsi="Times New Roman"/>
          <w:i/>
          <w:sz w:val="22"/>
          <w:szCs w:val="22"/>
        </w:rPr>
      </w:pPr>
      <w:r w:rsidRPr="00EF782D">
        <w:rPr>
          <w:rFonts w:ascii="Times New Roman" w:hAnsi="Times New Roman"/>
          <w:i/>
          <w:sz w:val="22"/>
          <w:szCs w:val="22"/>
        </w:rPr>
        <w:t>Regulation of foods in Australia</w:t>
      </w:r>
    </w:p>
    <w:p w:rsidR="00CD6FD1" w:rsidRPr="00EF782D" w:rsidRDefault="00CD6FD1" w:rsidP="00FF7BBE">
      <w:pPr>
        <w:autoSpaceDE w:val="0"/>
        <w:autoSpaceDN w:val="0"/>
        <w:adjustRightInd w:val="0"/>
        <w:rPr>
          <w:rFonts w:ascii="Times New Roman" w:hAnsi="Times New Roman"/>
          <w:i/>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The regulation of food in Australia is a joint responsibility of the Commonwealth and the states and territories. </w:t>
      </w:r>
      <w:r w:rsidR="00CD6FD1">
        <w:rPr>
          <w:rFonts w:ascii="Times New Roman" w:hAnsi="Times New Roman"/>
          <w:sz w:val="22"/>
          <w:szCs w:val="22"/>
        </w:rPr>
        <w:t xml:space="preserve"> </w:t>
      </w:r>
      <w:r w:rsidRPr="00FF7BBE">
        <w:rPr>
          <w:rFonts w:ascii="Times New Roman" w:hAnsi="Times New Roman"/>
          <w:sz w:val="22"/>
          <w:szCs w:val="22"/>
        </w:rPr>
        <w:t>Food Standards Australia New Zealand (</w:t>
      </w:r>
      <w:r w:rsidR="00C25743">
        <w:rPr>
          <w:rFonts w:ascii="Times New Roman" w:hAnsi="Times New Roman"/>
          <w:sz w:val="22"/>
          <w:szCs w:val="22"/>
        </w:rPr>
        <w:t>“</w:t>
      </w:r>
      <w:r w:rsidRPr="00FF7BBE">
        <w:rPr>
          <w:rFonts w:ascii="Times New Roman" w:hAnsi="Times New Roman"/>
          <w:sz w:val="22"/>
          <w:szCs w:val="22"/>
        </w:rPr>
        <w:t>FSANZ</w:t>
      </w:r>
      <w:r w:rsidR="00C25743">
        <w:rPr>
          <w:rFonts w:ascii="Times New Roman" w:hAnsi="Times New Roman"/>
          <w:sz w:val="22"/>
          <w:szCs w:val="22"/>
        </w:rPr>
        <w:t>”</w:t>
      </w:r>
      <w:r w:rsidRPr="00FF7BBE">
        <w:rPr>
          <w:rFonts w:ascii="Times New Roman" w:hAnsi="Times New Roman"/>
          <w:sz w:val="22"/>
          <w:szCs w:val="22"/>
        </w:rPr>
        <w:t>) is responsible for the Australia New Zealand Food Standards Code (</w:t>
      </w:r>
      <w:r w:rsidR="00CD6FD1">
        <w:rPr>
          <w:rFonts w:ascii="Times New Roman" w:hAnsi="Times New Roman"/>
          <w:sz w:val="22"/>
          <w:szCs w:val="22"/>
        </w:rPr>
        <w:t>“</w:t>
      </w:r>
      <w:r w:rsidRPr="00FF7BBE">
        <w:rPr>
          <w:rFonts w:ascii="Times New Roman" w:hAnsi="Times New Roman"/>
          <w:sz w:val="22"/>
          <w:szCs w:val="22"/>
        </w:rPr>
        <w:t>the Food Standards Code</w:t>
      </w:r>
      <w:r w:rsidR="00CD6FD1">
        <w:rPr>
          <w:rFonts w:ascii="Times New Roman" w:hAnsi="Times New Roman"/>
          <w:sz w:val="22"/>
          <w:szCs w:val="22"/>
        </w:rPr>
        <w:t>”</w:t>
      </w:r>
      <w:r w:rsidRPr="00FF7BBE">
        <w:rPr>
          <w:rFonts w:ascii="Times New Roman" w:hAnsi="Times New Roman"/>
          <w:sz w:val="22"/>
          <w:szCs w:val="22"/>
        </w:rPr>
        <w:t xml:space="preserve">), a set of national standards for food under the </w:t>
      </w:r>
      <w:r w:rsidRPr="00FF7BBE">
        <w:rPr>
          <w:rFonts w:ascii="Times New Roman" w:hAnsi="Times New Roman"/>
          <w:i/>
          <w:sz w:val="22"/>
          <w:szCs w:val="22"/>
        </w:rPr>
        <w:t>Food Standards Australia New Zealand Act 1991</w:t>
      </w:r>
      <w:r w:rsidR="004A2DF7">
        <w:rPr>
          <w:rFonts w:ascii="Times New Roman" w:hAnsi="Times New Roman"/>
          <w:sz w:val="22"/>
          <w:szCs w:val="22"/>
        </w:rPr>
        <w:t>.</w:t>
      </w:r>
    </w:p>
    <w:p w:rsidR="00FF7BBE" w:rsidRPr="00FF7BBE" w:rsidRDefault="00FF7BBE" w:rsidP="00FF7BBE">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State and territory government food authorities and local councils enforce the </w:t>
      </w:r>
      <w:r w:rsidR="0027270A">
        <w:rPr>
          <w:rFonts w:ascii="Times New Roman" w:hAnsi="Times New Roman"/>
          <w:sz w:val="22"/>
          <w:szCs w:val="22"/>
        </w:rPr>
        <w:t xml:space="preserve">Food Standards </w:t>
      </w:r>
      <w:r w:rsidRPr="00FF7BBE">
        <w:rPr>
          <w:rFonts w:ascii="Times New Roman" w:hAnsi="Times New Roman"/>
          <w:sz w:val="22"/>
          <w:szCs w:val="22"/>
        </w:rPr>
        <w:t>Code through their respective legislation,</w:t>
      </w:r>
      <w:r w:rsidR="00CD6FD1">
        <w:rPr>
          <w:rFonts w:ascii="Times New Roman" w:hAnsi="Times New Roman"/>
          <w:sz w:val="22"/>
          <w:szCs w:val="22"/>
        </w:rPr>
        <w:t xml:space="preserve"> and </w:t>
      </w:r>
      <w:r w:rsidRPr="00FF7BBE">
        <w:rPr>
          <w:rFonts w:ascii="Times New Roman" w:hAnsi="Times New Roman"/>
          <w:sz w:val="22"/>
          <w:szCs w:val="22"/>
        </w:rPr>
        <w:t xml:space="preserve">deal with complaints </w:t>
      </w:r>
      <w:r w:rsidR="00CD6FD1">
        <w:rPr>
          <w:rFonts w:ascii="Times New Roman" w:hAnsi="Times New Roman"/>
          <w:sz w:val="22"/>
          <w:szCs w:val="22"/>
        </w:rPr>
        <w:t xml:space="preserve">regarding </w:t>
      </w:r>
      <w:r w:rsidRPr="00FF7BBE">
        <w:rPr>
          <w:rFonts w:ascii="Times New Roman" w:hAnsi="Times New Roman"/>
          <w:sz w:val="22"/>
          <w:szCs w:val="22"/>
        </w:rPr>
        <w:t xml:space="preserve">food and investigate food safety issues. </w:t>
      </w:r>
      <w:r w:rsidR="00A06DED">
        <w:rPr>
          <w:rFonts w:ascii="Times New Roman" w:hAnsi="Times New Roman"/>
          <w:sz w:val="22"/>
          <w:szCs w:val="22"/>
        </w:rPr>
        <w:t xml:space="preserve"> </w:t>
      </w:r>
      <w:r w:rsidRPr="00FF7BBE">
        <w:rPr>
          <w:rFonts w:ascii="Times New Roman" w:hAnsi="Times New Roman"/>
          <w:sz w:val="22"/>
          <w:szCs w:val="22"/>
        </w:rPr>
        <w:t>The Department of Agriculture enforces food laws at Australia’s borders in relation to imported food.</w:t>
      </w:r>
    </w:p>
    <w:p w:rsidR="00FF7BBE" w:rsidRPr="00FF7BBE" w:rsidRDefault="00FF7BBE" w:rsidP="00FF7BBE">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Foods are permitted to be supplied to consumers without prior regulatory approval by state and territory food authorities. </w:t>
      </w:r>
      <w:r w:rsidR="00CD6FD1">
        <w:rPr>
          <w:rFonts w:ascii="Times New Roman" w:hAnsi="Times New Roman"/>
          <w:sz w:val="22"/>
          <w:szCs w:val="22"/>
        </w:rPr>
        <w:t xml:space="preserve"> </w:t>
      </w:r>
      <w:r w:rsidRPr="00FF7BBE">
        <w:rPr>
          <w:rFonts w:ascii="Times New Roman" w:hAnsi="Times New Roman"/>
          <w:sz w:val="22"/>
          <w:szCs w:val="22"/>
        </w:rPr>
        <w:t xml:space="preserve">Therefore, goods may be brought to market as foods without prior regulatory assessment as to whether those goods are indeed foods or therapeutic goods under law. </w:t>
      </w:r>
    </w:p>
    <w:p w:rsidR="00FF7BBE" w:rsidRPr="00FF7BBE" w:rsidRDefault="00FF7BBE" w:rsidP="00FF7BBE">
      <w:pPr>
        <w:autoSpaceDE w:val="0"/>
        <w:autoSpaceDN w:val="0"/>
        <w:adjustRightInd w:val="0"/>
        <w:rPr>
          <w:rFonts w:ascii="Times New Roman" w:hAnsi="Times New Roman"/>
          <w:b/>
          <w:i/>
          <w:sz w:val="22"/>
          <w:szCs w:val="22"/>
        </w:rPr>
      </w:pPr>
    </w:p>
    <w:p w:rsidR="00FF7BBE" w:rsidRPr="00EF782D" w:rsidRDefault="00CD6FD1" w:rsidP="00FF7BBE">
      <w:pPr>
        <w:autoSpaceDE w:val="0"/>
        <w:autoSpaceDN w:val="0"/>
        <w:adjustRightInd w:val="0"/>
        <w:rPr>
          <w:rFonts w:ascii="Times New Roman" w:hAnsi="Times New Roman"/>
          <w:i/>
          <w:sz w:val="22"/>
          <w:szCs w:val="22"/>
        </w:rPr>
      </w:pPr>
      <w:r>
        <w:rPr>
          <w:rFonts w:ascii="Times New Roman" w:hAnsi="Times New Roman"/>
          <w:i/>
          <w:sz w:val="22"/>
          <w:szCs w:val="22"/>
        </w:rPr>
        <w:t xml:space="preserve">Goods </w:t>
      </w:r>
      <w:r w:rsidR="00FF7BBE" w:rsidRPr="00EF782D">
        <w:rPr>
          <w:rFonts w:ascii="Times New Roman" w:hAnsi="Times New Roman"/>
          <w:i/>
          <w:sz w:val="22"/>
          <w:szCs w:val="22"/>
        </w:rPr>
        <w:t>at the interface of the food and medicines frameworks</w:t>
      </w:r>
    </w:p>
    <w:p w:rsidR="00CD6FD1" w:rsidRDefault="00CD6FD1" w:rsidP="00FF7BBE">
      <w:pPr>
        <w:autoSpaceDE w:val="0"/>
        <w:autoSpaceDN w:val="0"/>
        <w:adjustRightInd w:val="0"/>
        <w:rPr>
          <w:rFonts w:ascii="Times New Roman" w:hAnsi="Times New Roman"/>
          <w:sz w:val="22"/>
          <w:szCs w:val="22"/>
        </w:rPr>
      </w:pPr>
    </w:p>
    <w:p w:rsidR="00FF7BBE" w:rsidRDefault="00A06DED" w:rsidP="00EF782D">
      <w:pPr>
        <w:autoSpaceDE w:val="0"/>
        <w:autoSpaceDN w:val="0"/>
        <w:adjustRightInd w:val="0"/>
        <w:rPr>
          <w:rFonts w:ascii="Times New Roman" w:hAnsi="Times New Roman"/>
          <w:sz w:val="22"/>
          <w:szCs w:val="22"/>
        </w:rPr>
      </w:pPr>
      <w:r>
        <w:rPr>
          <w:rFonts w:ascii="Times New Roman" w:hAnsi="Times New Roman"/>
          <w:sz w:val="22"/>
          <w:szCs w:val="22"/>
        </w:rPr>
        <w:t xml:space="preserve">Goods </w:t>
      </w:r>
      <w:r w:rsidR="004A2DF7">
        <w:rPr>
          <w:rFonts w:ascii="Times New Roman" w:hAnsi="Times New Roman"/>
          <w:sz w:val="22"/>
          <w:szCs w:val="22"/>
        </w:rPr>
        <w:t xml:space="preserve">at the </w:t>
      </w:r>
      <w:r w:rsidR="00FF7BBE" w:rsidRPr="00FF7BBE">
        <w:rPr>
          <w:rFonts w:ascii="Times New Roman" w:hAnsi="Times New Roman"/>
          <w:sz w:val="22"/>
          <w:szCs w:val="22"/>
        </w:rPr>
        <w:t>interface of the food and medicines frameworks</w:t>
      </w:r>
      <w:r>
        <w:rPr>
          <w:rFonts w:ascii="Times New Roman" w:hAnsi="Times New Roman"/>
          <w:sz w:val="22"/>
          <w:szCs w:val="22"/>
        </w:rPr>
        <w:t xml:space="preserve"> give rise to </w:t>
      </w:r>
      <w:r w:rsidR="00FF7BBE" w:rsidRPr="00FF7BBE">
        <w:rPr>
          <w:rFonts w:ascii="Times New Roman" w:hAnsi="Times New Roman"/>
          <w:sz w:val="22"/>
          <w:szCs w:val="22"/>
        </w:rPr>
        <w:t>unc</w:t>
      </w:r>
      <w:r>
        <w:rPr>
          <w:rFonts w:ascii="Times New Roman" w:hAnsi="Times New Roman"/>
          <w:sz w:val="22"/>
          <w:szCs w:val="22"/>
        </w:rPr>
        <w:t>ertainty</w:t>
      </w:r>
      <w:r w:rsidR="00FF7BBE" w:rsidRPr="00FF7BBE">
        <w:rPr>
          <w:rFonts w:ascii="Times New Roman" w:hAnsi="Times New Roman"/>
          <w:sz w:val="22"/>
          <w:szCs w:val="22"/>
        </w:rPr>
        <w:t xml:space="preserve">, or potential </w:t>
      </w:r>
      <w:r>
        <w:rPr>
          <w:rFonts w:ascii="Times New Roman" w:hAnsi="Times New Roman"/>
          <w:sz w:val="22"/>
          <w:szCs w:val="22"/>
        </w:rPr>
        <w:t>uncertainty</w:t>
      </w:r>
      <w:r w:rsidR="00FF7BBE" w:rsidRPr="00FF7BBE">
        <w:rPr>
          <w:rFonts w:ascii="Times New Roman" w:hAnsi="Times New Roman"/>
          <w:sz w:val="22"/>
          <w:szCs w:val="22"/>
        </w:rPr>
        <w:t xml:space="preserve">, as to which of the regulatory frameworks applies </w:t>
      </w:r>
      <w:r w:rsidR="00C25743">
        <w:rPr>
          <w:rFonts w:ascii="Times New Roman" w:hAnsi="Times New Roman"/>
          <w:sz w:val="22"/>
          <w:szCs w:val="22"/>
        </w:rPr>
        <w:t xml:space="preserve">in relation </w:t>
      </w:r>
      <w:r w:rsidR="00FF7BBE" w:rsidRPr="00FF7BBE">
        <w:rPr>
          <w:rFonts w:ascii="Times New Roman" w:hAnsi="Times New Roman"/>
          <w:sz w:val="22"/>
          <w:szCs w:val="22"/>
        </w:rPr>
        <w:t xml:space="preserve">to those goods. </w:t>
      </w:r>
      <w:r w:rsidR="00C25743">
        <w:rPr>
          <w:rFonts w:ascii="Times New Roman" w:hAnsi="Times New Roman"/>
          <w:sz w:val="22"/>
          <w:szCs w:val="22"/>
        </w:rPr>
        <w:t xml:space="preserve"> </w:t>
      </w:r>
      <w:r w:rsidR="00FF7BBE" w:rsidRPr="00FF7BBE">
        <w:rPr>
          <w:rFonts w:ascii="Times New Roman" w:hAnsi="Times New Roman"/>
          <w:sz w:val="22"/>
          <w:szCs w:val="22"/>
        </w:rPr>
        <w:t xml:space="preserve">This </w:t>
      </w:r>
      <w:r>
        <w:rPr>
          <w:rFonts w:ascii="Times New Roman" w:hAnsi="Times New Roman"/>
          <w:sz w:val="22"/>
          <w:szCs w:val="22"/>
        </w:rPr>
        <w:t>stems</w:t>
      </w:r>
      <w:r w:rsidR="00FF7BBE" w:rsidRPr="00FF7BBE">
        <w:rPr>
          <w:rFonts w:ascii="Times New Roman" w:hAnsi="Times New Roman"/>
          <w:sz w:val="22"/>
          <w:szCs w:val="22"/>
        </w:rPr>
        <w:t xml:space="preserve">, in part, </w:t>
      </w:r>
      <w:r>
        <w:rPr>
          <w:rFonts w:ascii="Times New Roman" w:hAnsi="Times New Roman"/>
          <w:sz w:val="22"/>
          <w:szCs w:val="22"/>
        </w:rPr>
        <w:t xml:space="preserve">from </w:t>
      </w:r>
      <w:r w:rsidR="00FF7BBE" w:rsidRPr="00FF7BBE">
        <w:rPr>
          <w:rFonts w:ascii="Times New Roman" w:hAnsi="Times New Roman"/>
          <w:sz w:val="22"/>
          <w:szCs w:val="22"/>
        </w:rPr>
        <w:t xml:space="preserve">the </w:t>
      </w:r>
      <w:r w:rsidR="004A2DF7">
        <w:rPr>
          <w:rFonts w:ascii="Times New Roman" w:hAnsi="Times New Roman"/>
          <w:sz w:val="22"/>
          <w:szCs w:val="22"/>
        </w:rPr>
        <w:t xml:space="preserve">interplay between </w:t>
      </w:r>
      <w:r w:rsidR="00FF7BBE" w:rsidRPr="00FF7BBE">
        <w:rPr>
          <w:rFonts w:ascii="Times New Roman" w:hAnsi="Times New Roman"/>
          <w:sz w:val="22"/>
          <w:szCs w:val="22"/>
        </w:rPr>
        <w:t xml:space="preserve">the definitions of </w:t>
      </w:r>
      <w:r w:rsidR="00FF7BBE" w:rsidRPr="00FF7BBE">
        <w:rPr>
          <w:rFonts w:ascii="Times New Roman" w:hAnsi="Times New Roman"/>
          <w:i/>
          <w:iCs/>
          <w:sz w:val="22"/>
          <w:szCs w:val="22"/>
        </w:rPr>
        <w:t>therapeutic goods</w:t>
      </w:r>
      <w:r w:rsidR="00FF7BBE" w:rsidRPr="00FF7BBE">
        <w:rPr>
          <w:rFonts w:ascii="Times New Roman" w:hAnsi="Times New Roman"/>
          <w:sz w:val="22"/>
          <w:szCs w:val="22"/>
        </w:rPr>
        <w:t xml:space="preserve"> and </w:t>
      </w:r>
      <w:r w:rsidR="00FF7BBE" w:rsidRPr="00FF7BBE">
        <w:rPr>
          <w:rFonts w:ascii="Times New Roman" w:hAnsi="Times New Roman"/>
          <w:i/>
          <w:iCs/>
          <w:sz w:val="22"/>
          <w:szCs w:val="22"/>
        </w:rPr>
        <w:t>therapeutic use</w:t>
      </w:r>
      <w:r w:rsidR="00FF7BBE" w:rsidRPr="00FF7BBE">
        <w:rPr>
          <w:rFonts w:ascii="Times New Roman" w:hAnsi="Times New Roman"/>
          <w:sz w:val="22"/>
          <w:szCs w:val="22"/>
        </w:rPr>
        <w:t xml:space="preserve"> in the Act</w:t>
      </w:r>
      <w:r w:rsidR="00C25743">
        <w:rPr>
          <w:rFonts w:ascii="Times New Roman" w:hAnsi="Times New Roman"/>
          <w:sz w:val="22"/>
          <w:szCs w:val="22"/>
        </w:rPr>
        <w:t>;</w:t>
      </w:r>
      <w:r w:rsidR="00FF7BBE" w:rsidRPr="00FF7BBE">
        <w:rPr>
          <w:rFonts w:ascii="Times New Roman" w:hAnsi="Times New Roman"/>
          <w:sz w:val="22"/>
          <w:szCs w:val="22"/>
        </w:rPr>
        <w:t xml:space="preserve"> and the presentation and health claims made </w:t>
      </w:r>
      <w:r w:rsidR="00C25743">
        <w:rPr>
          <w:rFonts w:ascii="Times New Roman" w:hAnsi="Times New Roman"/>
          <w:sz w:val="22"/>
          <w:szCs w:val="22"/>
        </w:rPr>
        <w:t xml:space="preserve">in relation to </w:t>
      </w:r>
      <w:r w:rsidR="00FF7BBE" w:rsidRPr="00FF7BBE">
        <w:rPr>
          <w:rFonts w:ascii="Times New Roman" w:hAnsi="Times New Roman"/>
          <w:sz w:val="22"/>
          <w:szCs w:val="22"/>
        </w:rPr>
        <w:t xml:space="preserve">some foods, for which permission </w:t>
      </w:r>
      <w:r w:rsidR="00C25743">
        <w:rPr>
          <w:rFonts w:ascii="Times New Roman" w:hAnsi="Times New Roman"/>
          <w:sz w:val="22"/>
          <w:szCs w:val="22"/>
        </w:rPr>
        <w:t xml:space="preserve">may or may not be </w:t>
      </w:r>
      <w:r w:rsidR="00FF7BBE" w:rsidRPr="00FF7BBE">
        <w:rPr>
          <w:rFonts w:ascii="Times New Roman" w:hAnsi="Times New Roman"/>
          <w:sz w:val="22"/>
          <w:szCs w:val="22"/>
        </w:rPr>
        <w:t xml:space="preserve">provided in the </w:t>
      </w:r>
      <w:r w:rsidR="00C25743">
        <w:rPr>
          <w:rFonts w:ascii="Times New Roman" w:hAnsi="Times New Roman"/>
          <w:sz w:val="22"/>
          <w:szCs w:val="22"/>
        </w:rPr>
        <w:t>relevant food standards.</w:t>
      </w:r>
    </w:p>
    <w:p w:rsidR="00C25743" w:rsidRPr="00FF7BBE" w:rsidRDefault="00C25743" w:rsidP="00EF782D">
      <w:pPr>
        <w:autoSpaceDE w:val="0"/>
        <w:autoSpaceDN w:val="0"/>
        <w:adjustRightInd w:val="0"/>
        <w:rPr>
          <w:rFonts w:ascii="Times New Roman" w:hAnsi="Times New Roman"/>
          <w:sz w:val="22"/>
          <w:szCs w:val="22"/>
        </w:rPr>
      </w:pPr>
    </w:p>
    <w:p w:rsidR="00FF7BBE" w:rsidRPr="00C25743" w:rsidRDefault="00FF7BBE" w:rsidP="00C25743">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Goods </w:t>
      </w:r>
      <w:r w:rsidR="00C25743">
        <w:rPr>
          <w:rFonts w:ascii="Times New Roman" w:hAnsi="Times New Roman"/>
          <w:sz w:val="22"/>
          <w:szCs w:val="22"/>
        </w:rPr>
        <w:t xml:space="preserve">that are, or are </w:t>
      </w:r>
      <w:r w:rsidRPr="00FF7BBE">
        <w:rPr>
          <w:rFonts w:ascii="Times New Roman" w:hAnsi="Times New Roman"/>
          <w:sz w:val="22"/>
          <w:szCs w:val="22"/>
        </w:rPr>
        <w:t>likely to be taken to be</w:t>
      </w:r>
      <w:r w:rsidR="00C25743">
        <w:rPr>
          <w:rFonts w:ascii="Times New Roman" w:hAnsi="Times New Roman"/>
          <w:sz w:val="22"/>
          <w:szCs w:val="22"/>
        </w:rPr>
        <w:t>,</w:t>
      </w:r>
      <w:r w:rsidRPr="00FF7BBE">
        <w:rPr>
          <w:rFonts w:ascii="Times New Roman" w:hAnsi="Times New Roman"/>
          <w:sz w:val="22"/>
          <w:szCs w:val="22"/>
        </w:rPr>
        <w:t xml:space="preserve"> for use in </w:t>
      </w:r>
      <w:r w:rsidR="00C25743">
        <w:rPr>
          <w:rFonts w:ascii="Times New Roman" w:hAnsi="Times New Roman"/>
          <w:sz w:val="22"/>
          <w:szCs w:val="22"/>
        </w:rPr>
        <w:t>preventing, diag</w:t>
      </w:r>
      <w:r w:rsidR="00A06DED">
        <w:rPr>
          <w:rFonts w:ascii="Times New Roman" w:hAnsi="Times New Roman"/>
          <w:sz w:val="22"/>
          <w:szCs w:val="22"/>
        </w:rPr>
        <w:t>nosing, curing or alleviating a </w:t>
      </w:r>
      <w:r w:rsidR="00C25743">
        <w:rPr>
          <w:rFonts w:ascii="Times New Roman" w:hAnsi="Times New Roman"/>
          <w:sz w:val="22"/>
          <w:szCs w:val="22"/>
        </w:rPr>
        <w:t>disease, ailment, defect or injury in persons</w:t>
      </w:r>
      <w:r w:rsidR="004A2DF7">
        <w:rPr>
          <w:rFonts w:ascii="Times New Roman" w:hAnsi="Times New Roman"/>
          <w:sz w:val="22"/>
          <w:szCs w:val="22"/>
        </w:rPr>
        <w:t>, or modifying a physiological process,</w:t>
      </w:r>
      <w:r w:rsidR="00C25743">
        <w:rPr>
          <w:rFonts w:ascii="Times New Roman" w:hAnsi="Times New Roman"/>
          <w:sz w:val="22"/>
          <w:szCs w:val="22"/>
        </w:rPr>
        <w:t xml:space="preserve"> are therapeutic goods</w:t>
      </w:r>
      <w:r w:rsidRPr="00FF7BBE">
        <w:rPr>
          <w:rFonts w:ascii="Times New Roman" w:hAnsi="Times New Roman"/>
          <w:sz w:val="22"/>
          <w:szCs w:val="22"/>
        </w:rPr>
        <w:t xml:space="preserve">, </w:t>
      </w:r>
      <w:r w:rsidRPr="00FF7BBE">
        <w:rPr>
          <w:rFonts w:ascii="Times New Roman" w:hAnsi="Times New Roman"/>
          <w:bCs/>
          <w:sz w:val="22"/>
          <w:szCs w:val="22"/>
        </w:rPr>
        <w:t>unless</w:t>
      </w:r>
      <w:r w:rsidRPr="00FF7BBE">
        <w:rPr>
          <w:rFonts w:ascii="Times New Roman" w:hAnsi="Times New Roman"/>
          <w:b/>
          <w:bCs/>
          <w:sz w:val="22"/>
          <w:szCs w:val="22"/>
        </w:rPr>
        <w:t>—</w:t>
      </w:r>
      <w:r w:rsidRPr="00FF7BBE">
        <w:rPr>
          <w:rFonts w:ascii="Times New Roman" w:hAnsi="Times New Roman"/>
          <w:bCs/>
          <w:sz w:val="22"/>
          <w:szCs w:val="22"/>
        </w:rPr>
        <w:t>in the absence of</w:t>
      </w:r>
      <w:r w:rsidRPr="00FF7BBE">
        <w:rPr>
          <w:rFonts w:ascii="Times New Roman" w:hAnsi="Times New Roman"/>
          <w:sz w:val="22"/>
          <w:szCs w:val="22"/>
        </w:rPr>
        <w:t xml:space="preserve"> a relevant </w:t>
      </w:r>
      <w:r w:rsidR="00C25743">
        <w:rPr>
          <w:rFonts w:ascii="Times New Roman" w:hAnsi="Times New Roman"/>
          <w:sz w:val="22"/>
          <w:szCs w:val="22"/>
        </w:rPr>
        <w:t xml:space="preserve">order </w:t>
      </w:r>
      <w:r w:rsidRPr="00FF7BBE">
        <w:rPr>
          <w:rFonts w:ascii="Times New Roman" w:hAnsi="Times New Roman"/>
          <w:sz w:val="22"/>
          <w:szCs w:val="22"/>
        </w:rPr>
        <w:t xml:space="preserve">under section 7 of the Act—there is an existing </w:t>
      </w:r>
      <w:r w:rsidRPr="00FF7BBE">
        <w:rPr>
          <w:rFonts w:ascii="Times New Roman" w:hAnsi="Times New Roman"/>
          <w:bCs/>
          <w:sz w:val="22"/>
          <w:szCs w:val="22"/>
        </w:rPr>
        <w:t>food standard</w:t>
      </w:r>
      <w:r w:rsidR="00C25743">
        <w:rPr>
          <w:rFonts w:ascii="Times New Roman" w:hAnsi="Times New Roman"/>
          <w:sz w:val="22"/>
          <w:szCs w:val="22"/>
        </w:rPr>
        <w:t xml:space="preserve"> applying in relation to </w:t>
      </w:r>
      <w:r w:rsidRPr="00FF7BBE">
        <w:rPr>
          <w:rFonts w:ascii="Times New Roman" w:hAnsi="Times New Roman"/>
          <w:sz w:val="22"/>
          <w:szCs w:val="22"/>
        </w:rPr>
        <w:t>th</w:t>
      </w:r>
      <w:r w:rsidR="008766BA">
        <w:rPr>
          <w:rFonts w:ascii="Times New Roman" w:hAnsi="Times New Roman"/>
          <w:sz w:val="22"/>
          <w:szCs w:val="22"/>
        </w:rPr>
        <w:t>o</w:t>
      </w:r>
      <w:r w:rsidR="004A2DF7">
        <w:rPr>
          <w:rFonts w:ascii="Times New Roman" w:hAnsi="Times New Roman"/>
          <w:sz w:val="22"/>
          <w:szCs w:val="22"/>
        </w:rPr>
        <w:t>se goods.</w:t>
      </w:r>
    </w:p>
    <w:p w:rsidR="00FF7BBE" w:rsidRPr="00FF7BBE" w:rsidRDefault="00FF7BBE" w:rsidP="00FF7BBE">
      <w:pPr>
        <w:autoSpaceDE w:val="0"/>
        <w:autoSpaceDN w:val="0"/>
        <w:adjustRightInd w:val="0"/>
        <w:rPr>
          <w:rFonts w:ascii="Times New Roman" w:hAnsi="Times New Roman"/>
          <w:sz w:val="22"/>
          <w:szCs w:val="22"/>
        </w:rPr>
      </w:pPr>
    </w:p>
    <w:p w:rsidR="00FF7BBE" w:rsidRPr="00EF782D" w:rsidRDefault="00FF7BBE" w:rsidP="00FF7BBE">
      <w:pPr>
        <w:autoSpaceDE w:val="0"/>
        <w:autoSpaceDN w:val="0"/>
        <w:adjustRightInd w:val="0"/>
        <w:rPr>
          <w:rFonts w:ascii="Times New Roman" w:hAnsi="Times New Roman"/>
          <w:sz w:val="22"/>
          <w:szCs w:val="22"/>
        </w:rPr>
      </w:pPr>
      <w:r w:rsidRPr="00EF782D">
        <w:rPr>
          <w:rFonts w:ascii="Times New Roman" w:hAnsi="Times New Roman"/>
          <w:i/>
          <w:sz w:val="22"/>
          <w:szCs w:val="22"/>
        </w:rPr>
        <w:t>Food Standard 2.9.5 – Foods for special medical purposes</w:t>
      </w:r>
    </w:p>
    <w:p w:rsidR="00C25743" w:rsidRDefault="00C25743" w:rsidP="00FF7BBE">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lastRenderedPageBreak/>
        <w:t>Food Standard 2.9.5 applies to foods for special medical purposes.  A food for special medical purposes (</w:t>
      </w:r>
      <w:r w:rsidR="00C25743">
        <w:rPr>
          <w:rFonts w:ascii="Times New Roman" w:hAnsi="Times New Roman"/>
          <w:sz w:val="22"/>
          <w:szCs w:val="22"/>
        </w:rPr>
        <w:t>“</w:t>
      </w:r>
      <w:r w:rsidRPr="00FF7BBE">
        <w:rPr>
          <w:rFonts w:ascii="Times New Roman" w:hAnsi="Times New Roman"/>
          <w:sz w:val="22"/>
          <w:szCs w:val="22"/>
        </w:rPr>
        <w:t>FSMP</w:t>
      </w:r>
      <w:r w:rsidR="00C25743">
        <w:rPr>
          <w:rFonts w:ascii="Times New Roman" w:hAnsi="Times New Roman"/>
          <w:sz w:val="22"/>
          <w:szCs w:val="22"/>
        </w:rPr>
        <w:t>”</w:t>
      </w:r>
      <w:r w:rsidRPr="00FF7BBE">
        <w:rPr>
          <w:rFonts w:ascii="Times New Roman" w:hAnsi="Times New Roman"/>
          <w:sz w:val="22"/>
          <w:szCs w:val="22"/>
        </w:rPr>
        <w:t>) is defined to mean a food that, amongst other requirements, is specially formulated for the dietary management of individuals</w:t>
      </w:r>
      <w:r w:rsidR="000A23A9">
        <w:rPr>
          <w:rFonts w:ascii="Times New Roman" w:hAnsi="Times New Roman"/>
          <w:sz w:val="22"/>
          <w:szCs w:val="22"/>
        </w:rPr>
        <w:t>,</w:t>
      </w:r>
      <w:r w:rsidRPr="00FF7BBE">
        <w:rPr>
          <w:rFonts w:ascii="Times New Roman" w:hAnsi="Times New Roman"/>
          <w:sz w:val="22"/>
          <w:szCs w:val="22"/>
        </w:rPr>
        <w:t xml:space="preserve"> by way of exclusive or partial feeding, </w:t>
      </w:r>
      <w:r w:rsidR="00C25743">
        <w:rPr>
          <w:rFonts w:ascii="Times New Roman" w:hAnsi="Times New Roman"/>
          <w:sz w:val="22"/>
          <w:szCs w:val="22"/>
        </w:rPr>
        <w:t xml:space="preserve">in relation to whom </w:t>
      </w:r>
      <w:r w:rsidR="004A2DF7">
        <w:rPr>
          <w:rFonts w:ascii="Times New Roman" w:hAnsi="Times New Roman"/>
          <w:sz w:val="22"/>
          <w:szCs w:val="22"/>
        </w:rPr>
        <w:t xml:space="preserve">there are </w:t>
      </w:r>
      <w:r w:rsidRPr="00FF7BBE">
        <w:rPr>
          <w:rFonts w:ascii="Times New Roman" w:hAnsi="Times New Roman"/>
          <w:sz w:val="22"/>
          <w:szCs w:val="22"/>
        </w:rPr>
        <w:t>special medically determined nutrient requirements or whose capacity is limited or impaired to take, digest, absorb, metabolise or excrete ordinary food or certain nutrients in ordinary food – and whose dietary management cannot be completely achieved without the use of the food.</w:t>
      </w:r>
      <w:r w:rsidR="004A2DF7">
        <w:rPr>
          <w:rFonts w:ascii="Times New Roman" w:hAnsi="Times New Roman"/>
          <w:sz w:val="22"/>
          <w:szCs w:val="22"/>
        </w:rPr>
        <w:t xml:space="preserve"> </w:t>
      </w:r>
      <w:r w:rsidRPr="00FF7BBE">
        <w:rPr>
          <w:rFonts w:ascii="Times New Roman" w:hAnsi="Times New Roman"/>
          <w:sz w:val="22"/>
          <w:szCs w:val="22"/>
        </w:rPr>
        <w:t xml:space="preserve"> Other requirements include that the food is represented as being a food for special medical purposes, or for the dietary management of a disease, disorder or medical condition.</w:t>
      </w:r>
    </w:p>
    <w:p w:rsidR="00FF7BBE" w:rsidRPr="00FF7BBE" w:rsidRDefault="00FF7BBE" w:rsidP="00FF7BBE">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Food Standard </w:t>
      </w:r>
      <w:r w:rsidR="00C25743">
        <w:rPr>
          <w:rFonts w:ascii="Times New Roman" w:hAnsi="Times New Roman"/>
          <w:sz w:val="22"/>
          <w:szCs w:val="22"/>
        </w:rPr>
        <w:t xml:space="preserve">2.9.5 </w:t>
      </w:r>
      <w:r w:rsidRPr="00FF7BBE">
        <w:rPr>
          <w:rFonts w:ascii="Times New Roman" w:hAnsi="Times New Roman"/>
          <w:sz w:val="22"/>
          <w:szCs w:val="22"/>
        </w:rPr>
        <w:t xml:space="preserve">distinguishes between representations related to </w:t>
      </w:r>
      <w:r w:rsidR="004A2DF7">
        <w:rPr>
          <w:rFonts w:ascii="Times New Roman" w:hAnsi="Times New Roman"/>
          <w:sz w:val="22"/>
          <w:szCs w:val="22"/>
        </w:rPr>
        <w:t xml:space="preserve">food for special medical purposes or </w:t>
      </w:r>
      <w:r w:rsidRPr="00FF7BBE">
        <w:rPr>
          <w:rFonts w:ascii="Times New Roman" w:hAnsi="Times New Roman"/>
          <w:sz w:val="22"/>
          <w:szCs w:val="22"/>
        </w:rPr>
        <w:t>dietary management, which are permitted for good</w:t>
      </w:r>
      <w:r w:rsidR="004A2DF7">
        <w:rPr>
          <w:rFonts w:ascii="Times New Roman" w:hAnsi="Times New Roman"/>
          <w:sz w:val="22"/>
          <w:szCs w:val="22"/>
        </w:rPr>
        <w:t>s in relation</w:t>
      </w:r>
      <w:r w:rsidRPr="00FF7BBE">
        <w:rPr>
          <w:rFonts w:ascii="Times New Roman" w:hAnsi="Times New Roman"/>
          <w:sz w:val="22"/>
          <w:szCs w:val="22"/>
        </w:rPr>
        <w:t xml:space="preserve"> to which the </w:t>
      </w:r>
      <w:r w:rsidR="008766BA">
        <w:rPr>
          <w:rFonts w:ascii="Times New Roman" w:hAnsi="Times New Roman"/>
          <w:sz w:val="22"/>
          <w:szCs w:val="22"/>
        </w:rPr>
        <w:t>s</w:t>
      </w:r>
      <w:r w:rsidRPr="00FF7BBE">
        <w:rPr>
          <w:rFonts w:ascii="Times New Roman" w:hAnsi="Times New Roman"/>
          <w:sz w:val="22"/>
          <w:szCs w:val="22"/>
        </w:rPr>
        <w:t xml:space="preserve">tandard applies, from those related to therapeutic use, which is not </w:t>
      </w:r>
      <w:r w:rsidR="008766BA">
        <w:rPr>
          <w:rFonts w:ascii="Times New Roman" w:hAnsi="Times New Roman"/>
          <w:sz w:val="22"/>
          <w:szCs w:val="22"/>
        </w:rPr>
        <w:t xml:space="preserve">permitted in relation to </w:t>
      </w:r>
      <w:r w:rsidRPr="00FF7BBE">
        <w:rPr>
          <w:rFonts w:ascii="Times New Roman" w:hAnsi="Times New Roman"/>
          <w:sz w:val="22"/>
          <w:szCs w:val="22"/>
        </w:rPr>
        <w:t>food</w:t>
      </w:r>
      <w:r w:rsidR="004A2DF7">
        <w:rPr>
          <w:rFonts w:ascii="Times New Roman" w:hAnsi="Times New Roman"/>
          <w:sz w:val="22"/>
          <w:szCs w:val="22"/>
        </w:rPr>
        <w:t>s</w:t>
      </w:r>
      <w:r w:rsidRPr="00FF7BBE">
        <w:rPr>
          <w:rFonts w:ascii="Times New Roman" w:hAnsi="Times New Roman"/>
          <w:sz w:val="22"/>
          <w:szCs w:val="22"/>
        </w:rPr>
        <w:t xml:space="preserve"> for special medical purposes. </w:t>
      </w:r>
      <w:r w:rsidR="004A2DF7">
        <w:rPr>
          <w:rFonts w:ascii="Times New Roman" w:hAnsi="Times New Roman"/>
          <w:sz w:val="22"/>
          <w:szCs w:val="22"/>
        </w:rPr>
        <w:t xml:space="preserve"> </w:t>
      </w:r>
      <w:r w:rsidRPr="00FF7BBE">
        <w:rPr>
          <w:rFonts w:ascii="Times New Roman" w:hAnsi="Times New Roman"/>
          <w:sz w:val="22"/>
          <w:szCs w:val="22"/>
        </w:rPr>
        <w:t xml:space="preserve">This is consistent with there being separate regulatory regimes in Australia </w:t>
      </w:r>
      <w:r w:rsidR="000A23A9">
        <w:rPr>
          <w:rFonts w:ascii="Times New Roman" w:hAnsi="Times New Roman"/>
          <w:sz w:val="22"/>
          <w:szCs w:val="22"/>
        </w:rPr>
        <w:t>relating to</w:t>
      </w:r>
      <w:r w:rsidRPr="00FF7BBE">
        <w:rPr>
          <w:rFonts w:ascii="Times New Roman" w:hAnsi="Times New Roman"/>
          <w:sz w:val="22"/>
          <w:szCs w:val="22"/>
        </w:rPr>
        <w:t xml:space="preserve"> foods and therapeutic goods. </w:t>
      </w:r>
      <w:r w:rsidR="004A2DF7">
        <w:rPr>
          <w:rFonts w:ascii="Times New Roman" w:hAnsi="Times New Roman"/>
          <w:sz w:val="22"/>
          <w:szCs w:val="22"/>
        </w:rPr>
        <w:t xml:space="preserve"> </w:t>
      </w:r>
      <w:r w:rsidRPr="00FF7BBE">
        <w:rPr>
          <w:rFonts w:ascii="Times New Roman" w:hAnsi="Times New Roman"/>
          <w:sz w:val="22"/>
          <w:szCs w:val="22"/>
        </w:rPr>
        <w:t>In particular, a claim in relation to an FSMP must not refer to the prevention, diagnosis, cure or alleviation of a disease, disorder or condition</w:t>
      </w:r>
      <w:r w:rsidR="007E36BE">
        <w:rPr>
          <w:rFonts w:ascii="Times New Roman" w:hAnsi="Times New Roman"/>
          <w:sz w:val="22"/>
          <w:szCs w:val="22"/>
        </w:rPr>
        <w:t>, or the modification of a physiological process</w:t>
      </w:r>
      <w:r w:rsidRPr="00FF7BBE">
        <w:rPr>
          <w:rFonts w:ascii="Times New Roman" w:hAnsi="Times New Roman"/>
          <w:sz w:val="22"/>
          <w:szCs w:val="22"/>
        </w:rPr>
        <w:t>.  Nor must a claim compare the food with a good that is represented in any way to be for therapeutic use, or likely to be taken to be for therapeutic use</w:t>
      </w:r>
      <w:r w:rsidR="007E36BE">
        <w:rPr>
          <w:rFonts w:ascii="Times New Roman" w:hAnsi="Times New Roman"/>
          <w:sz w:val="22"/>
          <w:szCs w:val="22"/>
        </w:rPr>
        <w:t>,</w:t>
      </w:r>
      <w:r w:rsidRPr="00FF7BBE">
        <w:rPr>
          <w:rFonts w:ascii="Times New Roman" w:hAnsi="Times New Roman"/>
          <w:sz w:val="22"/>
          <w:szCs w:val="22"/>
        </w:rPr>
        <w:t xml:space="preserve"> whether because of the way in which the good is presented or for any other reason</w:t>
      </w:r>
      <w:r w:rsidR="007E36BE">
        <w:rPr>
          <w:rFonts w:ascii="Times New Roman" w:hAnsi="Times New Roman"/>
          <w:sz w:val="22"/>
          <w:szCs w:val="22"/>
        </w:rPr>
        <w:t xml:space="preserve"> (section 2.9.5–4 of Food Standard 2.9.5 refers)</w:t>
      </w:r>
      <w:r w:rsidRPr="00FF7BBE">
        <w:rPr>
          <w:rFonts w:ascii="Times New Roman" w:hAnsi="Times New Roman"/>
          <w:sz w:val="22"/>
          <w:szCs w:val="22"/>
        </w:rPr>
        <w:t>.</w:t>
      </w:r>
    </w:p>
    <w:p w:rsidR="00FF7BBE" w:rsidRPr="00FF7BBE" w:rsidRDefault="00FF7BBE" w:rsidP="00FF7BBE">
      <w:pPr>
        <w:autoSpaceDE w:val="0"/>
        <w:autoSpaceDN w:val="0"/>
        <w:adjustRightInd w:val="0"/>
        <w:rPr>
          <w:rFonts w:ascii="Times New Roman" w:hAnsi="Times New Roman"/>
          <w:sz w:val="22"/>
          <w:szCs w:val="22"/>
        </w:rPr>
      </w:pPr>
    </w:p>
    <w:p w:rsidR="00FF7BBE" w:rsidRPr="00EF782D" w:rsidRDefault="00FF7BBE" w:rsidP="00FF7BBE">
      <w:pPr>
        <w:autoSpaceDE w:val="0"/>
        <w:autoSpaceDN w:val="0"/>
        <w:adjustRightInd w:val="0"/>
        <w:rPr>
          <w:rFonts w:ascii="Times New Roman" w:hAnsi="Times New Roman"/>
          <w:i/>
          <w:sz w:val="22"/>
          <w:szCs w:val="22"/>
        </w:rPr>
      </w:pPr>
      <w:r w:rsidRPr="00EF782D">
        <w:rPr>
          <w:rFonts w:ascii="Times New Roman" w:hAnsi="Times New Roman"/>
          <w:i/>
          <w:sz w:val="22"/>
          <w:szCs w:val="22"/>
        </w:rPr>
        <w:t>Characterisation of foods for special medical purposes</w:t>
      </w:r>
    </w:p>
    <w:p w:rsidR="00C25743" w:rsidRDefault="00C25743" w:rsidP="00FF7BBE">
      <w:pPr>
        <w:autoSpaceDE w:val="0"/>
        <w:autoSpaceDN w:val="0"/>
        <w:adjustRightInd w:val="0"/>
        <w:rPr>
          <w:rFonts w:ascii="Times New Roman" w:hAnsi="Times New Roman"/>
          <w:sz w:val="22"/>
          <w:szCs w:val="22"/>
        </w:rPr>
      </w:pPr>
    </w:p>
    <w:p w:rsidR="00FF7BBE" w:rsidRPr="00FF7BBE" w:rsidRDefault="00FF7BBE" w:rsidP="00FF7BBE">
      <w:pPr>
        <w:autoSpaceDE w:val="0"/>
        <w:autoSpaceDN w:val="0"/>
        <w:adjustRightInd w:val="0"/>
        <w:rPr>
          <w:rFonts w:ascii="Times New Roman" w:hAnsi="Times New Roman"/>
          <w:sz w:val="22"/>
          <w:szCs w:val="22"/>
        </w:rPr>
      </w:pPr>
      <w:r w:rsidRPr="00FF7BBE">
        <w:rPr>
          <w:rFonts w:ascii="Times New Roman" w:hAnsi="Times New Roman"/>
          <w:sz w:val="22"/>
          <w:szCs w:val="22"/>
        </w:rPr>
        <w:t xml:space="preserve">Some goods that are purported to be FSMPs are marketed and supplied to consumers in circumstances </w:t>
      </w:r>
      <w:r w:rsidR="007E36BE">
        <w:rPr>
          <w:rFonts w:ascii="Times New Roman" w:hAnsi="Times New Roman"/>
          <w:sz w:val="22"/>
          <w:szCs w:val="22"/>
        </w:rPr>
        <w:t>where those</w:t>
      </w:r>
      <w:r w:rsidR="00201402">
        <w:rPr>
          <w:rFonts w:ascii="Times New Roman" w:hAnsi="Times New Roman"/>
          <w:sz w:val="22"/>
          <w:szCs w:val="22"/>
        </w:rPr>
        <w:t xml:space="preserve"> goods are represented as being, or likely to be taken to be, for </w:t>
      </w:r>
      <w:r w:rsidR="007E36BE">
        <w:rPr>
          <w:rFonts w:ascii="Times New Roman" w:hAnsi="Times New Roman"/>
          <w:sz w:val="22"/>
          <w:szCs w:val="22"/>
        </w:rPr>
        <w:t>therapeutic use</w:t>
      </w:r>
      <w:r w:rsidRPr="00FF7BBE">
        <w:rPr>
          <w:rFonts w:ascii="Times New Roman" w:hAnsi="Times New Roman"/>
          <w:sz w:val="22"/>
          <w:szCs w:val="22"/>
        </w:rPr>
        <w:t xml:space="preserve">. </w:t>
      </w:r>
      <w:r w:rsidR="00201402">
        <w:rPr>
          <w:rFonts w:ascii="Times New Roman" w:hAnsi="Times New Roman"/>
          <w:sz w:val="22"/>
          <w:szCs w:val="22"/>
        </w:rPr>
        <w:t xml:space="preserve"> </w:t>
      </w:r>
      <w:r w:rsidRPr="00FF7BBE">
        <w:rPr>
          <w:rFonts w:ascii="Times New Roman" w:hAnsi="Times New Roman"/>
          <w:sz w:val="22"/>
          <w:szCs w:val="22"/>
        </w:rPr>
        <w:t xml:space="preserve">This situation may arise due to </w:t>
      </w:r>
      <w:r w:rsidR="000A23A9">
        <w:rPr>
          <w:rFonts w:ascii="Times New Roman" w:hAnsi="Times New Roman"/>
          <w:sz w:val="22"/>
          <w:szCs w:val="22"/>
        </w:rPr>
        <w:t xml:space="preserve">a </w:t>
      </w:r>
      <w:r w:rsidRPr="00FF7BBE">
        <w:rPr>
          <w:rFonts w:ascii="Times New Roman" w:hAnsi="Times New Roman"/>
          <w:sz w:val="22"/>
          <w:szCs w:val="22"/>
        </w:rPr>
        <w:t>misunderstanding regarding the interpretation of the definition of an FSMP in Food Standard 2.9.5</w:t>
      </w:r>
      <w:r w:rsidR="000A23A9">
        <w:rPr>
          <w:rFonts w:ascii="Times New Roman" w:hAnsi="Times New Roman"/>
          <w:sz w:val="22"/>
          <w:szCs w:val="22"/>
        </w:rPr>
        <w:t xml:space="preserve"> and the definition of therapeutic goods in the Act</w:t>
      </w:r>
      <w:r w:rsidRPr="00FF7BBE">
        <w:rPr>
          <w:rFonts w:ascii="Times New Roman" w:hAnsi="Times New Roman"/>
          <w:sz w:val="22"/>
          <w:szCs w:val="22"/>
        </w:rPr>
        <w:t xml:space="preserve">. </w:t>
      </w:r>
      <w:r w:rsidR="00201402">
        <w:rPr>
          <w:rFonts w:ascii="Times New Roman" w:hAnsi="Times New Roman"/>
          <w:sz w:val="22"/>
          <w:szCs w:val="22"/>
        </w:rPr>
        <w:t xml:space="preserve"> </w:t>
      </w:r>
      <w:r w:rsidR="006B2B81">
        <w:rPr>
          <w:rFonts w:ascii="Times New Roman" w:hAnsi="Times New Roman"/>
          <w:sz w:val="22"/>
          <w:szCs w:val="22"/>
        </w:rPr>
        <w:t>Some products are </w:t>
      </w:r>
      <w:r w:rsidRPr="00FF7BBE">
        <w:rPr>
          <w:rFonts w:ascii="Times New Roman" w:hAnsi="Times New Roman"/>
          <w:sz w:val="22"/>
          <w:szCs w:val="22"/>
        </w:rPr>
        <w:t>mistaken for foods because it is assumed that Food Standard 2.9.5 applies.</w:t>
      </w:r>
      <w:r w:rsidR="00201402">
        <w:rPr>
          <w:rFonts w:ascii="Times New Roman" w:hAnsi="Times New Roman"/>
          <w:sz w:val="22"/>
          <w:szCs w:val="22"/>
        </w:rPr>
        <w:t xml:space="preserve">  In any case, the application of Food Standard 2.9.5 is irrelevant for </w:t>
      </w:r>
      <w:r w:rsidR="000A23A9">
        <w:rPr>
          <w:rFonts w:ascii="Times New Roman" w:hAnsi="Times New Roman"/>
          <w:sz w:val="22"/>
          <w:szCs w:val="22"/>
        </w:rPr>
        <w:t xml:space="preserve">the </w:t>
      </w:r>
      <w:r w:rsidR="00201402">
        <w:rPr>
          <w:rFonts w:ascii="Times New Roman" w:hAnsi="Times New Roman"/>
          <w:sz w:val="22"/>
          <w:szCs w:val="22"/>
        </w:rPr>
        <w:t>purposes</w:t>
      </w:r>
      <w:r w:rsidR="000A23A9">
        <w:rPr>
          <w:rFonts w:ascii="Times New Roman" w:hAnsi="Times New Roman"/>
          <w:sz w:val="22"/>
          <w:szCs w:val="22"/>
        </w:rPr>
        <w:t xml:space="preserve"> of making an order under section 7 of the Act</w:t>
      </w:r>
      <w:r w:rsidR="00201402">
        <w:rPr>
          <w:rFonts w:ascii="Times New Roman" w:hAnsi="Times New Roman"/>
          <w:sz w:val="22"/>
          <w:szCs w:val="22"/>
        </w:rPr>
        <w:t>.</w:t>
      </w:r>
    </w:p>
    <w:p w:rsidR="00FF7BBE" w:rsidRPr="00FF7BBE" w:rsidRDefault="00FF7BBE" w:rsidP="00FF7BBE">
      <w:pPr>
        <w:autoSpaceDE w:val="0"/>
        <w:autoSpaceDN w:val="0"/>
        <w:adjustRightInd w:val="0"/>
        <w:rPr>
          <w:rFonts w:ascii="Times New Roman" w:hAnsi="Times New Roman"/>
          <w:sz w:val="22"/>
          <w:szCs w:val="22"/>
        </w:rPr>
      </w:pPr>
    </w:p>
    <w:p w:rsidR="00DD4FD1" w:rsidRPr="00A56D1B" w:rsidRDefault="00DB5A59" w:rsidP="00A56D1B">
      <w:pPr>
        <w:rPr>
          <w:rFonts w:ascii="Times New Roman" w:hAnsi="Times New Roman"/>
          <w:b/>
          <w:sz w:val="22"/>
          <w:szCs w:val="22"/>
        </w:rPr>
      </w:pPr>
      <w:r>
        <w:rPr>
          <w:rFonts w:ascii="Times New Roman" w:hAnsi="Times New Roman"/>
          <w:b/>
          <w:sz w:val="22"/>
          <w:szCs w:val="22"/>
        </w:rPr>
        <w:t>Considerations</w:t>
      </w:r>
    </w:p>
    <w:p w:rsidR="001766ED" w:rsidRDefault="001766ED" w:rsidP="001766ED">
      <w:pPr>
        <w:rPr>
          <w:rFonts w:ascii="Times New Roman" w:hAnsi="Times New Roman"/>
          <w:sz w:val="22"/>
          <w:szCs w:val="22"/>
        </w:rPr>
      </w:pPr>
    </w:p>
    <w:p w:rsidR="00E709B1" w:rsidRDefault="004758C6" w:rsidP="001766ED">
      <w:pPr>
        <w:rPr>
          <w:rFonts w:ascii="Times New Roman" w:hAnsi="Times New Roman"/>
          <w:sz w:val="22"/>
          <w:szCs w:val="22"/>
        </w:rPr>
      </w:pPr>
      <w:r>
        <w:rPr>
          <w:rFonts w:ascii="Times New Roman" w:hAnsi="Times New Roman"/>
          <w:sz w:val="22"/>
          <w:szCs w:val="22"/>
        </w:rPr>
        <w:t xml:space="preserve">In exercising the power under subsection 7(1) to declare certain goods, the Secretary </w:t>
      </w:r>
      <w:r w:rsidR="00E709B1">
        <w:rPr>
          <w:rFonts w:ascii="Times New Roman" w:hAnsi="Times New Roman"/>
          <w:sz w:val="22"/>
          <w:szCs w:val="22"/>
        </w:rPr>
        <w:t xml:space="preserve">must </w:t>
      </w:r>
      <w:r>
        <w:rPr>
          <w:rFonts w:ascii="Times New Roman" w:hAnsi="Times New Roman"/>
          <w:sz w:val="22"/>
          <w:szCs w:val="22"/>
        </w:rPr>
        <w:t>be satisfied that the goods are therapeutic goods within the meaning of the Act.  Whether or not there is a food standard applying in relation to the goods is irrelevant to the exercise of the power</w:t>
      </w:r>
      <w:r w:rsidR="00E709B1">
        <w:rPr>
          <w:rFonts w:ascii="Times New Roman" w:hAnsi="Times New Roman"/>
          <w:sz w:val="22"/>
          <w:szCs w:val="22"/>
        </w:rPr>
        <w:t xml:space="preserve"> (subsection 7(1A) refers)</w:t>
      </w:r>
      <w:r>
        <w:rPr>
          <w:rFonts w:ascii="Times New Roman" w:hAnsi="Times New Roman"/>
          <w:sz w:val="22"/>
          <w:szCs w:val="22"/>
        </w:rPr>
        <w:t xml:space="preserve">.  Ultimately, it is a matter for the Secretary or her delegate to determine whether such goods should be declared to be therapeutic goods under subsection 7(1) because those goods are, in the Secretary’s </w:t>
      </w:r>
      <w:r w:rsidR="00E709B1">
        <w:rPr>
          <w:rFonts w:ascii="Times New Roman" w:hAnsi="Times New Roman"/>
          <w:sz w:val="22"/>
          <w:szCs w:val="22"/>
        </w:rPr>
        <w:t xml:space="preserve">reasonable </w:t>
      </w:r>
      <w:r>
        <w:rPr>
          <w:rFonts w:ascii="Times New Roman" w:hAnsi="Times New Roman"/>
          <w:sz w:val="22"/>
          <w:szCs w:val="22"/>
        </w:rPr>
        <w:t xml:space="preserve">opinion, therapeutic goods </w:t>
      </w:r>
      <w:r w:rsidR="00E709B1">
        <w:rPr>
          <w:rFonts w:ascii="Times New Roman" w:hAnsi="Times New Roman"/>
          <w:sz w:val="22"/>
          <w:szCs w:val="22"/>
        </w:rPr>
        <w:t>within the meaning of the Act.</w:t>
      </w:r>
    </w:p>
    <w:p w:rsidR="00E709B1" w:rsidRDefault="00E709B1" w:rsidP="001766ED">
      <w:pPr>
        <w:rPr>
          <w:rFonts w:ascii="Times New Roman" w:hAnsi="Times New Roman"/>
          <w:sz w:val="22"/>
          <w:szCs w:val="22"/>
        </w:rPr>
      </w:pPr>
    </w:p>
    <w:p w:rsidR="00E709B1" w:rsidRDefault="004758C6" w:rsidP="001766ED">
      <w:pPr>
        <w:rPr>
          <w:rFonts w:ascii="Times New Roman" w:hAnsi="Times New Roman"/>
          <w:sz w:val="22"/>
          <w:szCs w:val="22"/>
        </w:rPr>
      </w:pPr>
      <w:r>
        <w:rPr>
          <w:rFonts w:ascii="Times New Roman" w:hAnsi="Times New Roman"/>
          <w:sz w:val="22"/>
          <w:szCs w:val="22"/>
        </w:rPr>
        <w:t xml:space="preserve">In determining whether goods are therapeutic goods, the Secretary must be satisfied that the definition for ‘therapeutic goods’ in subsection 3(1) applies.  </w:t>
      </w:r>
      <w:r w:rsidR="00E709B1">
        <w:rPr>
          <w:rFonts w:ascii="Times New Roman" w:hAnsi="Times New Roman"/>
          <w:sz w:val="22"/>
          <w:szCs w:val="22"/>
        </w:rPr>
        <w:t>Therapeutic goods are defined with reference to therapeutic use.  Most relevantly, therapeutic goods are goods that are represented in any way to be, or that are, whether because of the way in which the goods are presented or for any other reason, likely to be taken to be for therapeutic use.</w:t>
      </w:r>
    </w:p>
    <w:p w:rsidR="00E709B1" w:rsidRDefault="00E709B1" w:rsidP="001766ED">
      <w:pPr>
        <w:rPr>
          <w:rFonts w:ascii="Times New Roman" w:hAnsi="Times New Roman"/>
          <w:sz w:val="22"/>
          <w:szCs w:val="22"/>
        </w:rPr>
      </w:pPr>
    </w:p>
    <w:p w:rsidR="00201402" w:rsidRDefault="00201402" w:rsidP="001766ED">
      <w:pPr>
        <w:rPr>
          <w:rFonts w:ascii="Times New Roman" w:hAnsi="Times New Roman"/>
          <w:sz w:val="22"/>
          <w:szCs w:val="22"/>
        </w:rPr>
      </w:pPr>
      <w:r>
        <w:rPr>
          <w:rFonts w:ascii="Times New Roman" w:hAnsi="Times New Roman"/>
          <w:sz w:val="22"/>
          <w:szCs w:val="22"/>
        </w:rPr>
        <w:t>For present purposes</w:t>
      </w:r>
      <w:r w:rsidR="00E709B1">
        <w:rPr>
          <w:rFonts w:ascii="Times New Roman" w:hAnsi="Times New Roman"/>
          <w:sz w:val="22"/>
          <w:szCs w:val="22"/>
        </w:rPr>
        <w:t xml:space="preserve">, the </w:t>
      </w:r>
      <w:r>
        <w:rPr>
          <w:rFonts w:ascii="Times New Roman" w:hAnsi="Times New Roman"/>
          <w:sz w:val="22"/>
          <w:szCs w:val="22"/>
        </w:rPr>
        <w:t xml:space="preserve">principal </w:t>
      </w:r>
      <w:r w:rsidR="00E709B1">
        <w:rPr>
          <w:rFonts w:ascii="Times New Roman" w:hAnsi="Times New Roman"/>
          <w:sz w:val="22"/>
          <w:szCs w:val="22"/>
        </w:rPr>
        <w:t xml:space="preserve">aspect of the definition for therapeutic use is use in or in connection with preventing, diagnosing, curing or </w:t>
      </w:r>
      <w:r w:rsidR="00E709B1" w:rsidRPr="00EF782D">
        <w:rPr>
          <w:rFonts w:ascii="Times New Roman" w:hAnsi="Times New Roman"/>
          <w:i/>
          <w:sz w:val="22"/>
          <w:szCs w:val="22"/>
        </w:rPr>
        <w:t>alleviating</w:t>
      </w:r>
      <w:r w:rsidR="00E709B1">
        <w:rPr>
          <w:rFonts w:ascii="Times New Roman" w:hAnsi="Times New Roman"/>
          <w:sz w:val="22"/>
          <w:szCs w:val="22"/>
        </w:rPr>
        <w:t xml:space="preserve"> a disease, </w:t>
      </w:r>
      <w:r w:rsidR="00E709B1" w:rsidRPr="00EF782D">
        <w:rPr>
          <w:rFonts w:ascii="Times New Roman" w:hAnsi="Times New Roman"/>
          <w:i/>
          <w:sz w:val="22"/>
          <w:szCs w:val="22"/>
        </w:rPr>
        <w:t>ailment</w:t>
      </w:r>
      <w:r w:rsidR="00E709B1">
        <w:rPr>
          <w:rFonts w:ascii="Times New Roman" w:hAnsi="Times New Roman"/>
          <w:sz w:val="22"/>
          <w:szCs w:val="22"/>
        </w:rPr>
        <w:t xml:space="preserve">, defect or injury in persons (emphasis added) (paragraph (a) of the definition for ‘therapeutic use’ refers).  Accordingly, the </w:t>
      </w:r>
      <w:r w:rsidR="00484C40">
        <w:rPr>
          <w:rFonts w:ascii="Times New Roman" w:hAnsi="Times New Roman"/>
          <w:sz w:val="22"/>
          <w:szCs w:val="22"/>
        </w:rPr>
        <w:t xml:space="preserve">assessment as to the proper characterisation of the relevant goods is predicated on a reasonable assessment of whether or not the goods </w:t>
      </w:r>
      <w:r w:rsidR="00484C40" w:rsidRPr="00484C40">
        <w:rPr>
          <w:rFonts w:ascii="Times New Roman" w:hAnsi="Times New Roman"/>
          <w:sz w:val="22"/>
          <w:szCs w:val="22"/>
        </w:rPr>
        <w:t>are represented in any way to be, or that are, whether because of the way in which the goods are presented or for any other reason, likely to be taken to be for therapeutic use</w:t>
      </w:r>
      <w:r w:rsidR="00484C40">
        <w:rPr>
          <w:rFonts w:ascii="Times New Roman" w:hAnsi="Times New Roman"/>
          <w:sz w:val="22"/>
          <w:szCs w:val="22"/>
        </w:rPr>
        <w:t>, specifically the alleviation of an ailment.</w:t>
      </w:r>
    </w:p>
    <w:p w:rsidR="00201402" w:rsidRDefault="00201402" w:rsidP="001766ED">
      <w:pPr>
        <w:rPr>
          <w:rFonts w:ascii="Times New Roman" w:hAnsi="Times New Roman"/>
          <w:sz w:val="22"/>
          <w:szCs w:val="22"/>
        </w:rPr>
      </w:pPr>
    </w:p>
    <w:p w:rsidR="00E709B1" w:rsidRDefault="00201402" w:rsidP="001766ED">
      <w:pPr>
        <w:rPr>
          <w:rFonts w:ascii="Times New Roman" w:hAnsi="Times New Roman"/>
          <w:sz w:val="22"/>
          <w:szCs w:val="22"/>
        </w:rPr>
      </w:pPr>
      <w:r>
        <w:rPr>
          <w:rFonts w:ascii="Times New Roman" w:hAnsi="Times New Roman"/>
          <w:sz w:val="22"/>
          <w:szCs w:val="22"/>
        </w:rPr>
        <w:t xml:space="preserve">In the alternative, the assessment </w:t>
      </w:r>
      <w:r w:rsidR="000A23A9">
        <w:rPr>
          <w:rFonts w:ascii="Times New Roman" w:hAnsi="Times New Roman"/>
          <w:sz w:val="22"/>
          <w:szCs w:val="22"/>
        </w:rPr>
        <w:t xml:space="preserve">therapeutic use </w:t>
      </w:r>
      <w:r>
        <w:rPr>
          <w:rFonts w:ascii="Times New Roman" w:hAnsi="Times New Roman"/>
          <w:sz w:val="22"/>
          <w:szCs w:val="22"/>
        </w:rPr>
        <w:t xml:space="preserve">may </w:t>
      </w:r>
      <w:r w:rsidR="000A23A9">
        <w:rPr>
          <w:rFonts w:ascii="Times New Roman" w:hAnsi="Times New Roman"/>
          <w:sz w:val="22"/>
          <w:szCs w:val="22"/>
        </w:rPr>
        <w:t xml:space="preserve">also </w:t>
      </w:r>
      <w:r>
        <w:rPr>
          <w:rFonts w:ascii="Times New Roman" w:hAnsi="Times New Roman"/>
          <w:sz w:val="22"/>
          <w:szCs w:val="22"/>
        </w:rPr>
        <w:t xml:space="preserve">extend to whether or not the relevant goods </w:t>
      </w:r>
      <w:r w:rsidRPr="00201402">
        <w:rPr>
          <w:rFonts w:ascii="Times New Roman" w:hAnsi="Times New Roman"/>
          <w:sz w:val="22"/>
          <w:szCs w:val="22"/>
        </w:rPr>
        <w:t xml:space="preserve">are represented in any way to be, or that are, whether because of the way in which the goods are presented or for any other reason, likely to be taken to </w:t>
      </w:r>
      <w:r>
        <w:rPr>
          <w:rFonts w:ascii="Times New Roman" w:hAnsi="Times New Roman"/>
          <w:sz w:val="22"/>
          <w:szCs w:val="22"/>
        </w:rPr>
        <w:t>modify a physiological process in persons (paragraph (b) of the definition for ‘therapeutic use’ refers).</w:t>
      </w:r>
    </w:p>
    <w:p w:rsidR="00E709B1" w:rsidRDefault="00E709B1" w:rsidP="001766ED">
      <w:pPr>
        <w:rPr>
          <w:rFonts w:ascii="Times New Roman" w:hAnsi="Times New Roman"/>
          <w:sz w:val="22"/>
          <w:szCs w:val="22"/>
        </w:rPr>
      </w:pPr>
    </w:p>
    <w:p w:rsidR="00A94052" w:rsidRPr="007E3EF2" w:rsidRDefault="00484C40" w:rsidP="001766ED">
      <w:pPr>
        <w:rPr>
          <w:rFonts w:ascii="Times New Roman" w:hAnsi="Times New Roman"/>
          <w:sz w:val="22"/>
          <w:szCs w:val="22"/>
        </w:rPr>
      </w:pPr>
      <w:r>
        <w:rPr>
          <w:rFonts w:ascii="Times New Roman" w:hAnsi="Times New Roman"/>
          <w:sz w:val="22"/>
          <w:szCs w:val="22"/>
        </w:rPr>
        <w:t xml:space="preserve">In light of the above, the </w:t>
      </w:r>
      <w:r w:rsidR="00783E1E">
        <w:rPr>
          <w:rFonts w:ascii="Times New Roman" w:hAnsi="Times New Roman"/>
          <w:sz w:val="22"/>
          <w:szCs w:val="22"/>
        </w:rPr>
        <w:t xml:space="preserve">following matters were </w:t>
      </w:r>
      <w:r w:rsidR="00201402">
        <w:rPr>
          <w:rFonts w:ascii="Times New Roman" w:hAnsi="Times New Roman"/>
          <w:sz w:val="22"/>
          <w:szCs w:val="22"/>
        </w:rPr>
        <w:t xml:space="preserve">considered and </w:t>
      </w:r>
      <w:r w:rsidR="000A23A9">
        <w:rPr>
          <w:rFonts w:ascii="Times New Roman" w:hAnsi="Times New Roman"/>
          <w:sz w:val="22"/>
          <w:szCs w:val="22"/>
        </w:rPr>
        <w:t xml:space="preserve">necessarily </w:t>
      </w:r>
      <w:r>
        <w:rPr>
          <w:rFonts w:ascii="Times New Roman" w:hAnsi="Times New Roman"/>
          <w:sz w:val="22"/>
          <w:szCs w:val="22"/>
        </w:rPr>
        <w:t xml:space="preserve">found </w:t>
      </w:r>
      <w:r w:rsidR="00783E1E">
        <w:rPr>
          <w:rFonts w:ascii="Times New Roman" w:hAnsi="Times New Roman"/>
          <w:sz w:val="22"/>
          <w:szCs w:val="22"/>
        </w:rPr>
        <w:t>in making the Amendment Order</w:t>
      </w:r>
      <w:r w:rsidR="00BF2819">
        <w:rPr>
          <w:rFonts w:ascii="Times New Roman" w:hAnsi="Times New Roman"/>
          <w:sz w:val="22"/>
          <w:szCs w:val="22"/>
        </w:rPr>
        <w:t>.</w:t>
      </w:r>
    </w:p>
    <w:p w:rsidR="00642F79" w:rsidRPr="00B93661" w:rsidRDefault="00642F79" w:rsidP="00642F79">
      <w:pPr>
        <w:rPr>
          <w:rFonts w:ascii="Times New Roman" w:hAnsi="Times New Roman"/>
          <w:sz w:val="22"/>
          <w:szCs w:val="22"/>
        </w:rPr>
      </w:pPr>
    </w:p>
    <w:p w:rsidR="00484C40" w:rsidRDefault="0028245D" w:rsidP="0028245D">
      <w:pPr>
        <w:rPr>
          <w:rFonts w:ascii="Times New Roman" w:hAnsi="Times New Roman"/>
          <w:sz w:val="22"/>
          <w:szCs w:val="22"/>
        </w:rPr>
      </w:pPr>
      <w:r w:rsidRPr="00DD7F6C">
        <w:rPr>
          <w:rFonts w:ascii="Times New Roman" w:hAnsi="Times New Roman"/>
          <w:i/>
          <w:sz w:val="22"/>
          <w:szCs w:val="22"/>
        </w:rPr>
        <w:t xml:space="preserve">Depression is an ailment in </w:t>
      </w:r>
      <w:r w:rsidRPr="00EF782D">
        <w:rPr>
          <w:rFonts w:ascii="Times New Roman" w:hAnsi="Times New Roman"/>
          <w:i/>
          <w:sz w:val="22"/>
          <w:szCs w:val="22"/>
        </w:rPr>
        <w:t>persons</w:t>
      </w:r>
    </w:p>
    <w:p w:rsidR="00484C40" w:rsidRDefault="00484C40" w:rsidP="0028245D">
      <w:pPr>
        <w:rPr>
          <w:rFonts w:ascii="Times New Roman" w:hAnsi="Times New Roman"/>
          <w:sz w:val="22"/>
          <w:szCs w:val="22"/>
        </w:rPr>
      </w:pPr>
    </w:p>
    <w:p w:rsidR="0028245D" w:rsidRPr="00DD7F6C" w:rsidRDefault="0028245D" w:rsidP="0028245D">
      <w:pPr>
        <w:rPr>
          <w:rFonts w:ascii="Times New Roman" w:hAnsi="Times New Roman"/>
          <w:sz w:val="22"/>
          <w:szCs w:val="22"/>
        </w:rPr>
      </w:pPr>
      <w:r w:rsidRPr="00EF782D">
        <w:rPr>
          <w:rFonts w:ascii="Times New Roman" w:hAnsi="Times New Roman"/>
          <w:sz w:val="22"/>
          <w:szCs w:val="22"/>
        </w:rPr>
        <w:t>The</w:t>
      </w:r>
      <w:r w:rsidRPr="00DD7F6C">
        <w:rPr>
          <w:rFonts w:ascii="Times New Roman" w:hAnsi="Times New Roman"/>
          <w:sz w:val="22"/>
          <w:szCs w:val="22"/>
        </w:rPr>
        <w:t xml:space="preserve"> ordinary meaning</w:t>
      </w:r>
      <w:r>
        <w:rPr>
          <w:rFonts w:ascii="Times New Roman" w:hAnsi="Times New Roman"/>
          <w:sz w:val="22"/>
          <w:szCs w:val="22"/>
        </w:rPr>
        <w:t xml:space="preserve"> of depression, as defined in the Macquarie Dictionary,</w:t>
      </w:r>
      <w:r w:rsidRPr="00DD7F6C">
        <w:rPr>
          <w:rFonts w:ascii="Times New Roman" w:hAnsi="Times New Roman"/>
          <w:sz w:val="22"/>
          <w:szCs w:val="22"/>
        </w:rPr>
        <w:t xml:space="preserve"> </w:t>
      </w:r>
      <w:r>
        <w:rPr>
          <w:rFonts w:ascii="Times New Roman" w:hAnsi="Times New Roman"/>
          <w:sz w:val="22"/>
          <w:szCs w:val="22"/>
        </w:rPr>
        <w:t>i</w:t>
      </w:r>
      <w:r w:rsidRPr="00DD7F6C">
        <w:rPr>
          <w:rFonts w:ascii="Times New Roman" w:hAnsi="Times New Roman"/>
          <w:sz w:val="22"/>
          <w:szCs w:val="22"/>
        </w:rPr>
        <w:t>s</w:t>
      </w:r>
      <w:r>
        <w:rPr>
          <w:rFonts w:ascii="Times New Roman" w:hAnsi="Times New Roman"/>
          <w:sz w:val="22"/>
          <w:szCs w:val="22"/>
        </w:rPr>
        <w:t xml:space="preserve"> </w:t>
      </w:r>
      <w:r w:rsidRPr="00DD7F6C">
        <w:rPr>
          <w:rFonts w:ascii="Times New Roman" w:hAnsi="Times New Roman"/>
          <w:sz w:val="22"/>
          <w:szCs w:val="22"/>
        </w:rPr>
        <w:t>‘a mental disorder characterised by unresponsiveness to stimuli, self-depreciation, delusions of inadequacy and hopelessness’</w:t>
      </w:r>
      <w:r>
        <w:rPr>
          <w:rFonts w:ascii="Times New Roman" w:hAnsi="Times New Roman"/>
          <w:sz w:val="22"/>
          <w:szCs w:val="22"/>
        </w:rPr>
        <w:t xml:space="preserve">.  </w:t>
      </w:r>
      <w:r w:rsidR="00484C40">
        <w:rPr>
          <w:rFonts w:ascii="Times New Roman" w:hAnsi="Times New Roman"/>
          <w:sz w:val="22"/>
          <w:szCs w:val="22"/>
        </w:rPr>
        <w:t>D</w:t>
      </w:r>
      <w:r>
        <w:rPr>
          <w:rFonts w:ascii="Times New Roman" w:hAnsi="Times New Roman"/>
          <w:sz w:val="22"/>
          <w:szCs w:val="22"/>
        </w:rPr>
        <w:t>epression</w:t>
      </w:r>
      <w:r w:rsidRPr="00DD7F6C">
        <w:rPr>
          <w:rFonts w:ascii="Times New Roman" w:hAnsi="Times New Roman"/>
          <w:sz w:val="22"/>
          <w:szCs w:val="22"/>
        </w:rPr>
        <w:t xml:space="preserve"> is characterised as a disorder that </w:t>
      </w:r>
      <w:r>
        <w:rPr>
          <w:rFonts w:ascii="Times New Roman" w:hAnsi="Times New Roman"/>
          <w:sz w:val="22"/>
          <w:szCs w:val="22"/>
        </w:rPr>
        <w:t>‘</w:t>
      </w:r>
      <w:r w:rsidRPr="00DD7F6C">
        <w:rPr>
          <w:rFonts w:ascii="Times New Roman" w:hAnsi="Times New Roman"/>
          <w:sz w:val="22"/>
          <w:szCs w:val="22"/>
        </w:rPr>
        <w:t>specifically affect[s] the individual’s capacity to function.’</w:t>
      </w:r>
      <w:r w:rsidRPr="00DD7F6C">
        <w:rPr>
          <w:rStyle w:val="FootnoteReference"/>
          <w:rFonts w:ascii="Times New Roman" w:hAnsi="Times New Roman"/>
          <w:sz w:val="22"/>
          <w:szCs w:val="22"/>
        </w:rPr>
        <w:footnoteReference w:id="1"/>
      </w:r>
      <w:r w:rsidR="00484C40">
        <w:rPr>
          <w:rFonts w:ascii="Times New Roman" w:hAnsi="Times New Roman"/>
          <w:sz w:val="22"/>
          <w:szCs w:val="22"/>
        </w:rPr>
        <w:t xml:space="preserve">  As such, it is appropriate to conclude that depression is an ailment in persons.</w:t>
      </w:r>
    </w:p>
    <w:p w:rsidR="0028245D" w:rsidRDefault="0028245D" w:rsidP="0028245D">
      <w:pPr>
        <w:rPr>
          <w:rFonts w:ascii="Times New Roman" w:hAnsi="Times New Roman"/>
          <w:i/>
          <w:szCs w:val="22"/>
        </w:rPr>
      </w:pPr>
    </w:p>
    <w:p w:rsidR="00A94052" w:rsidRPr="00EF782D" w:rsidRDefault="00631348" w:rsidP="00EF782D">
      <w:pPr>
        <w:rPr>
          <w:rFonts w:ascii="Times New Roman" w:hAnsi="Times New Roman"/>
          <w:i/>
          <w:szCs w:val="22"/>
        </w:rPr>
      </w:pPr>
      <w:r>
        <w:rPr>
          <w:rFonts w:ascii="Times New Roman" w:hAnsi="Times New Roman"/>
          <w:i/>
          <w:sz w:val="22"/>
          <w:szCs w:val="22"/>
        </w:rPr>
        <w:t>Folate d</w:t>
      </w:r>
      <w:r w:rsidR="00A94052" w:rsidRPr="00EF782D">
        <w:rPr>
          <w:rFonts w:ascii="Times New Roman" w:hAnsi="Times New Roman"/>
          <w:i/>
          <w:sz w:val="22"/>
          <w:szCs w:val="22"/>
        </w:rPr>
        <w:t>eficiency is an ailment in persons</w:t>
      </w:r>
    </w:p>
    <w:p w:rsidR="00A94052" w:rsidRPr="00EF782D" w:rsidRDefault="00A94052" w:rsidP="00EF782D">
      <w:pPr>
        <w:rPr>
          <w:rFonts w:ascii="Times New Roman" w:hAnsi="Times New Roman"/>
          <w:szCs w:val="22"/>
          <w:u w:val="single"/>
        </w:rPr>
      </w:pPr>
    </w:p>
    <w:p w:rsidR="00A94052" w:rsidRPr="0028245D" w:rsidRDefault="00631348" w:rsidP="00EF782D">
      <w:pPr>
        <w:rPr>
          <w:rFonts w:ascii="Times New Roman" w:hAnsi="Times New Roman"/>
          <w:szCs w:val="22"/>
        </w:rPr>
      </w:pPr>
      <w:r>
        <w:rPr>
          <w:rFonts w:ascii="Times New Roman" w:hAnsi="Times New Roman"/>
          <w:sz w:val="22"/>
          <w:szCs w:val="22"/>
        </w:rPr>
        <w:t>F</w:t>
      </w:r>
      <w:r w:rsidR="00A94052" w:rsidRPr="00EF782D">
        <w:rPr>
          <w:rFonts w:ascii="Times New Roman" w:hAnsi="Times New Roman"/>
          <w:sz w:val="22"/>
          <w:szCs w:val="22"/>
        </w:rPr>
        <w:t>olate substances</w:t>
      </w:r>
      <w:r>
        <w:rPr>
          <w:rFonts w:ascii="Times New Roman" w:hAnsi="Times New Roman"/>
          <w:sz w:val="22"/>
          <w:szCs w:val="22"/>
        </w:rPr>
        <w:t xml:space="preserve"> </w:t>
      </w:r>
      <w:r w:rsidRPr="0028245D">
        <w:rPr>
          <w:rFonts w:ascii="Times New Roman" w:hAnsi="Times New Roman"/>
          <w:sz w:val="22"/>
          <w:szCs w:val="22"/>
        </w:rPr>
        <w:t>encompass</w:t>
      </w:r>
      <w:r w:rsidRPr="00EF782D">
        <w:rPr>
          <w:rFonts w:ascii="Times New Roman" w:hAnsi="Times New Roman"/>
          <w:sz w:val="22"/>
          <w:szCs w:val="22"/>
        </w:rPr>
        <w:t xml:space="preserve"> the substance folic acid and its derivatives with similar biological activity</w:t>
      </w:r>
      <w:r w:rsidR="00484C40">
        <w:rPr>
          <w:rFonts w:ascii="Times New Roman" w:hAnsi="Times New Roman"/>
          <w:sz w:val="22"/>
          <w:szCs w:val="22"/>
        </w:rPr>
        <w:t xml:space="preserve">.  These substances </w:t>
      </w:r>
      <w:r w:rsidR="00A94052" w:rsidRPr="00EF782D">
        <w:rPr>
          <w:rFonts w:ascii="Times New Roman" w:hAnsi="Times New Roman"/>
          <w:sz w:val="22"/>
          <w:szCs w:val="22"/>
        </w:rPr>
        <w:t>are metabolised in the body to derivatives that are essential co-factors for enzymes involved in nucleic acid (DNA and RNA) synthesis</w:t>
      </w:r>
      <w:r w:rsidR="00484C40">
        <w:rPr>
          <w:rFonts w:ascii="Times New Roman" w:hAnsi="Times New Roman"/>
          <w:sz w:val="22"/>
          <w:szCs w:val="22"/>
        </w:rPr>
        <w:t>,</w:t>
      </w:r>
      <w:r w:rsidR="00A94052" w:rsidRPr="00EF782D">
        <w:rPr>
          <w:rFonts w:ascii="Times New Roman" w:hAnsi="Times New Roman"/>
          <w:sz w:val="22"/>
          <w:szCs w:val="22"/>
        </w:rPr>
        <w:t xml:space="preserve"> and are substrates in amino acid synthesis and metabolism, processes that are essential for human life.</w:t>
      </w:r>
      <w:r w:rsidR="003D10FC">
        <w:rPr>
          <w:rFonts w:ascii="Times New Roman" w:hAnsi="Times New Roman"/>
          <w:sz w:val="22"/>
          <w:szCs w:val="22"/>
        </w:rPr>
        <w:t xml:space="preserve"> </w:t>
      </w:r>
      <w:r w:rsidR="00A94052" w:rsidRPr="00EF782D">
        <w:rPr>
          <w:rFonts w:ascii="Times New Roman" w:hAnsi="Times New Roman"/>
          <w:sz w:val="22"/>
          <w:szCs w:val="22"/>
        </w:rPr>
        <w:t xml:space="preserve"> </w:t>
      </w:r>
      <w:r w:rsidR="00484C40">
        <w:rPr>
          <w:rFonts w:ascii="Times New Roman" w:hAnsi="Times New Roman"/>
          <w:sz w:val="22"/>
          <w:szCs w:val="22"/>
        </w:rPr>
        <w:t xml:space="preserve">Folate </w:t>
      </w:r>
      <w:r w:rsidR="00A94052" w:rsidRPr="00EF782D">
        <w:rPr>
          <w:rFonts w:ascii="Times New Roman" w:hAnsi="Times New Roman"/>
          <w:sz w:val="22"/>
          <w:szCs w:val="22"/>
        </w:rPr>
        <w:t xml:space="preserve">substances are particularly important for developmental phases and physiological processes that involve rapid cell replication, such as </w:t>
      </w:r>
      <w:r w:rsidR="00CD4987" w:rsidRPr="007E3EF2">
        <w:rPr>
          <w:rFonts w:ascii="Times New Roman" w:hAnsi="Times New Roman"/>
          <w:sz w:val="22"/>
          <w:szCs w:val="22"/>
        </w:rPr>
        <w:t>foetal</w:t>
      </w:r>
      <w:r w:rsidR="00A94052" w:rsidRPr="00EF782D">
        <w:rPr>
          <w:rFonts w:ascii="Times New Roman" w:hAnsi="Times New Roman"/>
          <w:sz w:val="22"/>
          <w:szCs w:val="22"/>
        </w:rPr>
        <w:t xml:space="preserve"> and red blood cell development.</w:t>
      </w:r>
      <w:r w:rsidR="003D10FC">
        <w:rPr>
          <w:rFonts w:ascii="Times New Roman" w:hAnsi="Times New Roman"/>
          <w:sz w:val="22"/>
          <w:szCs w:val="22"/>
        </w:rPr>
        <w:t xml:space="preserve"> </w:t>
      </w:r>
      <w:r w:rsidR="00A94052" w:rsidRPr="00EF782D">
        <w:rPr>
          <w:rFonts w:ascii="Times New Roman" w:hAnsi="Times New Roman"/>
          <w:sz w:val="22"/>
          <w:szCs w:val="22"/>
        </w:rPr>
        <w:t xml:space="preserve"> Therefore, deficiency in folate is associated with and mechanistically linked to a variety of ailments and defects in persons. </w:t>
      </w:r>
      <w:r w:rsidR="003D10FC">
        <w:rPr>
          <w:rFonts w:ascii="Times New Roman" w:hAnsi="Times New Roman"/>
          <w:sz w:val="22"/>
          <w:szCs w:val="22"/>
        </w:rPr>
        <w:t xml:space="preserve"> </w:t>
      </w:r>
      <w:r w:rsidR="00A94052" w:rsidRPr="00EF782D">
        <w:rPr>
          <w:rFonts w:ascii="Times New Roman" w:hAnsi="Times New Roman"/>
          <w:sz w:val="22"/>
          <w:szCs w:val="22"/>
        </w:rPr>
        <w:t xml:space="preserve">Folate deficiency </w:t>
      </w:r>
      <w:r>
        <w:rPr>
          <w:rFonts w:ascii="Times New Roman" w:hAnsi="Times New Roman"/>
          <w:sz w:val="22"/>
          <w:szCs w:val="22"/>
        </w:rPr>
        <w:t>can result from</w:t>
      </w:r>
      <w:r w:rsidR="00A94052" w:rsidRPr="00EF782D">
        <w:rPr>
          <w:rFonts w:ascii="Times New Roman" w:hAnsi="Times New Roman"/>
          <w:sz w:val="22"/>
          <w:szCs w:val="22"/>
        </w:rPr>
        <w:t xml:space="preserve"> an inborn error of metabolism</w:t>
      </w:r>
      <w:r>
        <w:rPr>
          <w:rFonts w:ascii="Times New Roman" w:hAnsi="Times New Roman"/>
          <w:sz w:val="22"/>
          <w:szCs w:val="22"/>
        </w:rPr>
        <w:t>,</w:t>
      </w:r>
      <w:r w:rsidR="00A94052" w:rsidRPr="00EF782D">
        <w:rPr>
          <w:rFonts w:ascii="Times New Roman" w:hAnsi="Times New Roman"/>
          <w:sz w:val="22"/>
          <w:szCs w:val="22"/>
        </w:rPr>
        <w:t xml:space="preserve"> or a deficiency for another reason, such as insufficient dietary intake.</w:t>
      </w:r>
      <w:r w:rsidR="00484C40">
        <w:rPr>
          <w:rFonts w:ascii="Times New Roman" w:hAnsi="Times New Roman"/>
          <w:sz w:val="22"/>
          <w:szCs w:val="22"/>
        </w:rPr>
        <w:t xml:space="preserve">  Folate deficiency is considered to be an ailment in persons.</w:t>
      </w:r>
    </w:p>
    <w:p w:rsidR="00A94052" w:rsidRPr="00EF782D" w:rsidRDefault="00A94052" w:rsidP="00EF782D">
      <w:pPr>
        <w:rPr>
          <w:rFonts w:ascii="Times New Roman" w:hAnsi="Times New Roman"/>
          <w:i/>
          <w:szCs w:val="22"/>
        </w:rPr>
      </w:pPr>
    </w:p>
    <w:p w:rsidR="00CD4987" w:rsidRPr="00EF782D" w:rsidRDefault="00642F79" w:rsidP="00EF782D">
      <w:pPr>
        <w:rPr>
          <w:rFonts w:ascii="Times New Roman" w:hAnsi="Times New Roman"/>
          <w:i/>
          <w:szCs w:val="22"/>
        </w:rPr>
      </w:pPr>
      <w:r w:rsidRPr="00EF782D">
        <w:rPr>
          <w:rFonts w:ascii="Times New Roman" w:hAnsi="Times New Roman"/>
          <w:i/>
          <w:sz w:val="22"/>
          <w:szCs w:val="22"/>
        </w:rPr>
        <w:t>There is an association and p</w:t>
      </w:r>
      <w:r w:rsidR="00783E1E">
        <w:rPr>
          <w:rFonts w:ascii="Times New Roman" w:hAnsi="Times New Roman"/>
          <w:i/>
          <w:sz w:val="22"/>
          <w:szCs w:val="22"/>
        </w:rPr>
        <w:t xml:space="preserve">lausible </w:t>
      </w:r>
      <w:r w:rsidRPr="00EF782D">
        <w:rPr>
          <w:rFonts w:ascii="Times New Roman" w:hAnsi="Times New Roman"/>
          <w:i/>
          <w:sz w:val="22"/>
          <w:szCs w:val="22"/>
        </w:rPr>
        <w:t xml:space="preserve">causal </w:t>
      </w:r>
      <w:r w:rsidR="00474415">
        <w:rPr>
          <w:rFonts w:ascii="Times New Roman" w:hAnsi="Times New Roman"/>
          <w:i/>
          <w:sz w:val="22"/>
          <w:szCs w:val="22"/>
        </w:rPr>
        <w:t>relationship</w:t>
      </w:r>
      <w:r w:rsidR="00474415" w:rsidRPr="00EF782D">
        <w:rPr>
          <w:rFonts w:ascii="Times New Roman" w:hAnsi="Times New Roman"/>
          <w:i/>
          <w:sz w:val="22"/>
          <w:szCs w:val="22"/>
        </w:rPr>
        <w:t xml:space="preserve"> </w:t>
      </w:r>
      <w:r w:rsidRPr="00EF782D">
        <w:rPr>
          <w:rFonts w:ascii="Times New Roman" w:hAnsi="Times New Roman"/>
          <w:i/>
          <w:sz w:val="22"/>
          <w:szCs w:val="22"/>
        </w:rPr>
        <w:t xml:space="preserve">between folate </w:t>
      </w:r>
      <w:r w:rsidR="00FF474E">
        <w:rPr>
          <w:rFonts w:ascii="Times New Roman" w:hAnsi="Times New Roman"/>
          <w:i/>
          <w:sz w:val="22"/>
          <w:szCs w:val="22"/>
        </w:rPr>
        <w:t xml:space="preserve">deficiency </w:t>
      </w:r>
      <w:r w:rsidRPr="00EF782D">
        <w:rPr>
          <w:rFonts w:ascii="Times New Roman" w:hAnsi="Times New Roman"/>
          <w:i/>
          <w:sz w:val="22"/>
          <w:szCs w:val="22"/>
        </w:rPr>
        <w:t>and depression</w:t>
      </w:r>
    </w:p>
    <w:p w:rsidR="00CD4987" w:rsidRPr="0028245D" w:rsidRDefault="00CD4987" w:rsidP="00EF782D">
      <w:pPr>
        <w:rPr>
          <w:rFonts w:ascii="Times New Roman" w:hAnsi="Times New Roman"/>
          <w:szCs w:val="22"/>
        </w:rPr>
      </w:pPr>
    </w:p>
    <w:p w:rsidR="00642F79" w:rsidRPr="00EF782D" w:rsidRDefault="00642F79" w:rsidP="00EF782D">
      <w:pPr>
        <w:rPr>
          <w:rFonts w:ascii="Times New Roman" w:hAnsi="Times New Roman"/>
          <w:szCs w:val="22"/>
        </w:rPr>
      </w:pPr>
      <w:r w:rsidRPr="00EF782D">
        <w:rPr>
          <w:rFonts w:ascii="Times New Roman" w:hAnsi="Times New Roman"/>
          <w:sz w:val="22"/>
          <w:szCs w:val="22"/>
        </w:rPr>
        <w:lastRenderedPageBreak/>
        <w:t>The level of folate substances in red blood cells, serum and/or cerebrospinal fluid has been found to be significantly altered in a substantial yet variable proportion of patients with major depressive disorder (</w:t>
      </w:r>
      <w:r w:rsidR="00FF474E">
        <w:rPr>
          <w:rFonts w:ascii="Times New Roman" w:hAnsi="Times New Roman"/>
          <w:sz w:val="22"/>
          <w:szCs w:val="22"/>
        </w:rPr>
        <w:t>“</w:t>
      </w:r>
      <w:r w:rsidRPr="00EF782D">
        <w:rPr>
          <w:rFonts w:ascii="Times New Roman" w:hAnsi="Times New Roman"/>
          <w:sz w:val="22"/>
          <w:szCs w:val="22"/>
        </w:rPr>
        <w:t>MDD</w:t>
      </w:r>
      <w:r w:rsidR="00FF474E">
        <w:rPr>
          <w:rFonts w:ascii="Times New Roman" w:hAnsi="Times New Roman"/>
          <w:sz w:val="22"/>
          <w:szCs w:val="22"/>
        </w:rPr>
        <w:t>”</w:t>
      </w:r>
      <w:r w:rsidRPr="00EF782D">
        <w:rPr>
          <w:rFonts w:ascii="Times New Roman" w:hAnsi="Times New Roman"/>
          <w:sz w:val="22"/>
          <w:szCs w:val="22"/>
        </w:rPr>
        <w:t>) compared to control individuals</w:t>
      </w:r>
      <w:bookmarkStart w:id="0" w:name="_Ref22748743"/>
      <w:r w:rsidR="003D10FC">
        <w:rPr>
          <w:rFonts w:ascii="Times New Roman" w:hAnsi="Times New Roman"/>
          <w:sz w:val="22"/>
          <w:szCs w:val="22"/>
        </w:rPr>
        <w:t>.</w:t>
      </w:r>
      <w:r w:rsidRPr="00EF782D">
        <w:rPr>
          <w:rStyle w:val="FootnoteReference"/>
          <w:rFonts w:ascii="Times New Roman" w:hAnsi="Times New Roman"/>
          <w:sz w:val="22"/>
          <w:szCs w:val="22"/>
        </w:rPr>
        <w:footnoteReference w:id="2"/>
      </w:r>
      <w:bookmarkEnd w:id="0"/>
      <w:r w:rsidRPr="00EF782D">
        <w:rPr>
          <w:rFonts w:ascii="Times New Roman" w:hAnsi="Times New Roman"/>
          <w:sz w:val="22"/>
          <w:szCs w:val="22"/>
          <w:vertAlign w:val="superscript"/>
        </w:rPr>
        <w:t>,</w:t>
      </w:r>
      <w:r w:rsidRPr="00EF782D">
        <w:rPr>
          <w:rStyle w:val="FootnoteReference"/>
          <w:rFonts w:ascii="Times New Roman" w:hAnsi="Times New Roman"/>
          <w:sz w:val="22"/>
          <w:szCs w:val="22"/>
        </w:rPr>
        <w:footnoteReference w:id="3"/>
      </w:r>
      <w:r w:rsidRPr="00EF782D">
        <w:rPr>
          <w:rFonts w:ascii="Times New Roman" w:hAnsi="Times New Roman"/>
          <w:sz w:val="22"/>
          <w:szCs w:val="22"/>
        </w:rPr>
        <w:t xml:space="preserve"> </w:t>
      </w:r>
      <w:r w:rsidR="003D10FC">
        <w:rPr>
          <w:rFonts w:ascii="Times New Roman" w:hAnsi="Times New Roman"/>
          <w:sz w:val="22"/>
          <w:szCs w:val="22"/>
        </w:rPr>
        <w:t xml:space="preserve"> </w:t>
      </w:r>
      <w:r w:rsidRPr="00EF782D">
        <w:rPr>
          <w:rFonts w:ascii="Times New Roman" w:hAnsi="Times New Roman"/>
          <w:sz w:val="22"/>
          <w:szCs w:val="22"/>
        </w:rPr>
        <w:t>Folate plays a role in processes that are linked to the synthesis of neurotransmitters, the dysregulation of which is linked to depression.</w:t>
      </w:r>
      <w:r w:rsidR="003D10FC">
        <w:rPr>
          <w:rFonts w:ascii="Times New Roman" w:hAnsi="Times New Roman"/>
          <w:sz w:val="22"/>
          <w:szCs w:val="22"/>
        </w:rPr>
        <w:t xml:space="preserve"> </w:t>
      </w:r>
      <w:r w:rsidRPr="00EF782D">
        <w:rPr>
          <w:rFonts w:ascii="Times New Roman" w:hAnsi="Times New Roman"/>
          <w:sz w:val="22"/>
          <w:szCs w:val="22"/>
        </w:rPr>
        <w:t xml:space="preserve"> This means that there is a biologically plausible molecular mechanism by which folate deficiency in persons</w:t>
      </w:r>
      <w:r w:rsidR="00FF474E">
        <w:rPr>
          <w:rFonts w:ascii="Times New Roman" w:hAnsi="Times New Roman"/>
          <w:sz w:val="22"/>
          <w:szCs w:val="22"/>
        </w:rPr>
        <w:t xml:space="preserve"> (</w:t>
      </w:r>
      <w:r w:rsidRPr="00EF782D">
        <w:rPr>
          <w:rFonts w:ascii="Times New Roman" w:hAnsi="Times New Roman"/>
          <w:sz w:val="22"/>
          <w:szCs w:val="22"/>
        </w:rPr>
        <w:t>evidenced by reduced levels of folate substances in cells, serum and/or cerebrospinal fluid</w:t>
      </w:r>
      <w:r w:rsidR="00FF474E">
        <w:rPr>
          <w:rFonts w:ascii="Times New Roman" w:hAnsi="Times New Roman"/>
          <w:sz w:val="22"/>
          <w:szCs w:val="22"/>
        </w:rPr>
        <w:t xml:space="preserve">) </w:t>
      </w:r>
      <w:r w:rsidRPr="00EF782D">
        <w:rPr>
          <w:rFonts w:ascii="Times New Roman" w:hAnsi="Times New Roman"/>
          <w:sz w:val="22"/>
          <w:szCs w:val="22"/>
        </w:rPr>
        <w:t>dysregulates cellular processes</w:t>
      </w:r>
      <w:r w:rsidR="001A685F" w:rsidRPr="00EF782D">
        <w:rPr>
          <w:rFonts w:ascii="Times New Roman" w:hAnsi="Times New Roman"/>
          <w:sz w:val="22"/>
          <w:szCs w:val="22"/>
        </w:rPr>
        <w:t xml:space="preserve"> in the central nervous system</w:t>
      </w:r>
      <w:r w:rsidRPr="00EF782D">
        <w:rPr>
          <w:rFonts w:ascii="Times New Roman" w:hAnsi="Times New Roman"/>
          <w:sz w:val="22"/>
          <w:szCs w:val="22"/>
        </w:rPr>
        <w:t>, thereby causing or exacerbating the incidence or severity of mental illnesses, including depression</w:t>
      </w:r>
      <w:r w:rsidR="007E6C69">
        <w:rPr>
          <w:rFonts w:ascii="Times New Roman" w:hAnsi="Times New Roman"/>
          <w:sz w:val="22"/>
          <w:szCs w:val="22"/>
        </w:rPr>
        <w:t>.</w:t>
      </w:r>
      <w:r w:rsidRPr="00EF782D">
        <w:rPr>
          <w:rStyle w:val="FootnoteReference"/>
          <w:rFonts w:ascii="Times New Roman" w:hAnsi="Times New Roman"/>
          <w:sz w:val="22"/>
          <w:szCs w:val="22"/>
        </w:rPr>
        <w:footnoteReference w:id="4"/>
      </w:r>
      <w:r w:rsidRPr="00EF782D">
        <w:rPr>
          <w:rFonts w:ascii="Times New Roman" w:hAnsi="Times New Roman"/>
          <w:sz w:val="22"/>
          <w:szCs w:val="22"/>
          <w:vertAlign w:val="superscript"/>
        </w:rPr>
        <w:t>,</w:t>
      </w:r>
      <w:r w:rsidRPr="00EF782D">
        <w:rPr>
          <w:rStyle w:val="FootnoteReference"/>
          <w:rFonts w:ascii="Times New Roman" w:hAnsi="Times New Roman"/>
          <w:sz w:val="22"/>
          <w:szCs w:val="22"/>
        </w:rPr>
        <w:footnoteReference w:id="5"/>
      </w:r>
    </w:p>
    <w:p w:rsidR="00CD4987" w:rsidRPr="0028245D" w:rsidRDefault="00CD4987" w:rsidP="00EF782D">
      <w:pPr>
        <w:rPr>
          <w:rFonts w:ascii="Times New Roman" w:hAnsi="Times New Roman"/>
          <w:szCs w:val="22"/>
          <w:u w:val="single"/>
        </w:rPr>
      </w:pPr>
    </w:p>
    <w:p w:rsidR="00CD4987" w:rsidRPr="00EF782D" w:rsidRDefault="00FF474E" w:rsidP="00EF782D">
      <w:pPr>
        <w:rPr>
          <w:rFonts w:ascii="Times New Roman" w:hAnsi="Times New Roman"/>
          <w:i/>
          <w:szCs w:val="22"/>
        </w:rPr>
      </w:pPr>
      <w:r>
        <w:rPr>
          <w:rFonts w:ascii="Times New Roman" w:hAnsi="Times New Roman"/>
          <w:i/>
          <w:sz w:val="22"/>
          <w:szCs w:val="22"/>
        </w:rPr>
        <w:t>Folate d</w:t>
      </w:r>
      <w:r w:rsidR="00642F79" w:rsidRPr="00EF782D">
        <w:rPr>
          <w:rFonts w:ascii="Times New Roman" w:hAnsi="Times New Roman"/>
          <w:i/>
          <w:sz w:val="22"/>
          <w:szCs w:val="22"/>
        </w:rPr>
        <w:t xml:space="preserve">eficiency in persons can result from an inborn error of </w:t>
      </w:r>
      <w:r>
        <w:rPr>
          <w:rFonts w:ascii="Times New Roman" w:hAnsi="Times New Roman"/>
          <w:i/>
          <w:sz w:val="22"/>
          <w:szCs w:val="22"/>
        </w:rPr>
        <w:t xml:space="preserve">folate </w:t>
      </w:r>
      <w:r w:rsidR="00642F79" w:rsidRPr="00EF782D">
        <w:rPr>
          <w:rFonts w:ascii="Times New Roman" w:hAnsi="Times New Roman"/>
          <w:i/>
          <w:sz w:val="22"/>
          <w:szCs w:val="22"/>
        </w:rPr>
        <w:t>metabolism</w:t>
      </w:r>
    </w:p>
    <w:p w:rsidR="00CD4987" w:rsidRPr="0028245D" w:rsidRDefault="00CD4987" w:rsidP="00EF782D">
      <w:pPr>
        <w:rPr>
          <w:rFonts w:ascii="Times New Roman" w:hAnsi="Times New Roman"/>
          <w:szCs w:val="22"/>
        </w:rPr>
      </w:pPr>
    </w:p>
    <w:p w:rsidR="00642F79" w:rsidRPr="0028245D" w:rsidRDefault="00642F79" w:rsidP="00EF782D">
      <w:pPr>
        <w:rPr>
          <w:rFonts w:ascii="Times New Roman" w:hAnsi="Times New Roman"/>
          <w:szCs w:val="22"/>
        </w:rPr>
      </w:pPr>
      <w:r w:rsidRPr="00EF782D">
        <w:rPr>
          <w:rFonts w:ascii="Times New Roman" w:hAnsi="Times New Roman"/>
          <w:sz w:val="22"/>
          <w:szCs w:val="22"/>
        </w:rPr>
        <w:t>The</w:t>
      </w:r>
      <w:r w:rsidR="00FF474E" w:rsidRPr="00FF474E">
        <w:t xml:space="preserve"> </w:t>
      </w:r>
      <w:r w:rsidR="00FF474E" w:rsidRPr="00FF474E">
        <w:rPr>
          <w:rFonts w:ascii="Times New Roman" w:hAnsi="Times New Roman"/>
          <w:sz w:val="22"/>
          <w:szCs w:val="22"/>
        </w:rPr>
        <w:t>methylenetetr</w:t>
      </w:r>
      <w:r w:rsidR="00FF474E" w:rsidRPr="00EF782D">
        <w:rPr>
          <w:rFonts w:ascii="Times New Roman" w:hAnsi="Times New Roman"/>
          <w:sz w:val="22"/>
          <w:szCs w:val="22"/>
        </w:rPr>
        <w:t>ahydrofolate reductase</w:t>
      </w:r>
      <w:r w:rsidR="00FF474E" w:rsidRPr="00EF782D">
        <w:rPr>
          <w:rFonts w:cs="Arial"/>
          <w:bCs/>
          <w:sz w:val="22"/>
          <w:szCs w:val="22"/>
          <w:lang w:val="en"/>
        </w:rPr>
        <w:t xml:space="preserve"> </w:t>
      </w:r>
      <w:r w:rsidR="00FF474E" w:rsidRPr="00EF782D">
        <w:rPr>
          <w:rFonts w:cs="Arial"/>
          <w:bCs/>
          <w:color w:val="4F4F4F"/>
          <w:sz w:val="22"/>
          <w:szCs w:val="22"/>
          <w:lang w:val="en"/>
        </w:rPr>
        <w:t>(</w:t>
      </w:r>
      <w:r w:rsidR="00FF474E">
        <w:rPr>
          <w:rFonts w:ascii="Times New Roman" w:hAnsi="Times New Roman"/>
          <w:sz w:val="22"/>
          <w:szCs w:val="22"/>
        </w:rPr>
        <w:t>“M</w:t>
      </w:r>
      <w:r w:rsidRPr="00EF782D">
        <w:rPr>
          <w:rFonts w:ascii="Times New Roman" w:hAnsi="Times New Roman"/>
          <w:sz w:val="22"/>
          <w:szCs w:val="22"/>
        </w:rPr>
        <w:t>THFR</w:t>
      </w:r>
      <w:r w:rsidR="00FF474E">
        <w:rPr>
          <w:rFonts w:ascii="Times New Roman" w:hAnsi="Times New Roman"/>
          <w:sz w:val="22"/>
          <w:szCs w:val="22"/>
        </w:rPr>
        <w:t>”)</w:t>
      </w:r>
      <w:r w:rsidRPr="00EF782D">
        <w:rPr>
          <w:rFonts w:ascii="Times New Roman" w:hAnsi="Times New Roman"/>
          <w:sz w:val="22"/>
          <w:szCs w:val="22"/>
        </w:rPr>
        <w:t xml:space="preserve"> </w:t>
      </w:r>
      <w:r w:rsidR="00FF474E">
        <w:rPr>
          <w:rFonts w:ascii="Times New Roman" w:hAnsi="Times New Roman"/>
          <w:sz w:val="22"/>
          <w:szCs w:val="22"/>
        </w:rPr>
        <w:t xml:space="preserve">gene </w:t>
      </w:r>
      <w:r w:rsidRPr="00EF782D">
        <w:rPr>
          <w:rFonts w:ascii="Times New Roman" w:hAnsi="Times New Roman"/>
          <w:sz w:val="22"/>
          <w:szCs w:val="22"/>
        </w:rPr>
        <w:t xml:space="preserve">encodes the cognate protein that is involved in the </w:t>
      </w:r>
      <w:r w:rsidRPr="00EF782D">
        <w:rPr>
          <w:rFonts w:ascii="Times New Roman" w:hAnsi="Times New Roman"/>
          <w:i/>
          <w:sz w:val="22"/>
          <w:szCs w:val="22"/>
        </w:rPr>
        <w:t>in vivo</w:t>
      </w:r>
      <w:r w:rsidRPr="00EF782D">
        <w:rPr>
          <w:rFonts w:ascii="Times New Roman" w:hAnsi="Times New Roman"/>
          <w:sz w:val="22"/>
          <w:szCs w:val="22"/>
        </w:rPr>
        <w:t xml:space="preserve"> metabolism of dietary folate. </w:t>
      </w:r>
      <w:r w:rsidR="007E6C69">
        <w:rPr>
          <w:rFonts w:ascii="Times New Roman" w:hAnsi="Times New Roman"/>
          <w:sz w:val="22"/>
          <w:szCs w:val="22"/>
        </w:rPr>
        <w:t xml:space="preserve"> </w:t>
      </w:r>
      <w:r w:rsidRPr="00EF782D">
        <w:rPr>
          <w:rFonts w:ascii="Times New Roman" w:hAnsi="Times New Roman"/>
          <w:sz w:val="22"/>
          <w:szCs w:val="22"/>
        </w:rPr>
        <w:t xml:space="preserve">In some </w:t>
      </w:r>
      <w:r w:rsidR="007E6C69">
        <w:rPr>
          <w:rFonts w:ascii="Times New Roman" w:hAnsi="Times New Roman"/>
          <w:sz w:val="22"/>
          <w:szCs w:val="22"/>
        </w:rPr>
        <w:t>persons</w:t>
      </w:r>
      <w:r w:rsidRPr="00EF782D">
        <w:rPr>
          <w:rFonts w:ascii="Times New Roman" w:hAnsi="Times New Roman"/>
          <w:sz w:val="22"/>
          <w:szCs w:val="22"/>
        </w:rPr>
        <w:t xml:space="preserve">, the MTHFR gene is mutated at a single base pair and </w:t>
      </w:r>
      <w:r w:rsidR="007E6C69">
        <w:rPr>
          <w:rFonts w:ascii="Times New Roman" w:hAnsi="Times New Roman"/>
          <w:sz w:val="22"/>
          <w:szCs w:val="22"/>
        </w:rPr>
        <w:t>those persons</w:t>
      </w:r>
      <w:r w:rsidR="007E6C69" w:rsidRPr="00EF782D">
        <w:rPr>
          <w:rFonts w:ascii="Times New Roman" w:hAnsi="Times New Roman"/>
          <w:sz w:val="22"/>
          <w:szCs w:val="22"/>
        </w:rPr>
        <w:t xml:space="preserve"> </w:t>
      </w:r>
      <w:r w:rsidRPr="00EF782D">
        <w:rPr>
          <w:rFonts w:ascii="Times New Roman" w:hAnsi="Times New Roman"/>
          <w:sz w:val="22"/>
          <w:szCs w:val="22"/>
        </w:rPr>
        <w:t xml:space="preserve">are therefore said to carry an MTHFR C677T polymorphism, which </w:t>
      </w:r>
      <w:r w:rsidR="00594D52" w:rsidRPr="00EF782D">
        <w:rPr>
          <w:rFonts w:ascii="Times New Roman" w:hAnsi="Times New Roman"/>
          <w:sz w:val="22"/>
          <w:szCs w:val="22"/>
        </w:rPr>
        <w:t xml:space="preserve">impairs </w:t>
      </w:r>
      <w:r w:rsidRPr="00EF782D">
        <w:rPr>
          <w:rFonts w:ascii="Times New Roman" w:hAnsi="Times New Roman"/>
          <w:sz w:val="22"/>
          <w:szCs w:val="22"/>
        </w:rPr>
        <w:t>MTHFR</w:t>
      </w:r>
      <w:r w:rsidR="00594D52" w:rsidRPr="00EF782D">
        <w:rPr>
          <w:rFonts w:ascii="Times New Roman" w:hAnsi="Times New Roman"/>
          <w:sz w:val="22"/>
          <w:szCs w:val="22"/>
        </w:rPr>
        <w:t xml:space="preserve"> activity</w:t>
      </w:r>
      <w:r w:rsidRPr="00EF782D">
        <w:rPr>
          <w:rFonts w:ascii="Times New Roman" w:hAnsi="Times New Roman"/>
          <w:sz w:val="22"/>
          <w:szCs w:val="22"/>
        </w:rPr>
        <w:t xml:space="preserve">. </w:t>
      </w:r>
      <w:r w:rsidR="00FF474E">
        <w:rPr>
          <w:rFonts w:ascii="Times New Roman" w:hAnsi="Times New Roman"/>
          <w:sz w:val="22"/>
          <w:szCs w:val="22"/>
        </w:rPr>
        <w:t xml:space="preserve"> </w:t>
      </w:r>
      <w:r w:rsidRPr="00EF782D">
        <w:rPr>
          <w:rFonts w:ascii="Times New Roman" w:hAnsi="Times New Roman"/>
          <w:sz w:val="22"/>
          <w:szCs w:val="22"/>
        </w:rPr>
        <w:t>It follows that persons</w:t>
      </w:r>
      <w:r w:rsidR="007E6C69">
        <w:rPr>
          <w:rFonts w:ascii="Times New Roman" w:hAnsi="Times New Roman"/>
          <w:sz w:val="22"/>
          <w:szCs w:val="22"/>
        </w:rPr>
        <w:t>,</w:t>
      </w:r>
      <w:r w:rsidRPr="00EF782D">
        <w:rPr>
          <w:rFonts w:ascii="Times New Roman" w:hAnsi="Times New Roman"/>
          <w:sz w:val="22"/>
          <w:szCs w:val="22"/>
        </w:rPr>
        <w:t xml:space="preserve"> who are considered to have a genetic </w:t>
      </w:r>
      <w:r w:rsidR="00FF474E">
        <w:rPr>
          <w:rFonts w:ascii="Times New Roman" w:hAnsi="Times New Roman"/>
          <w:sz w:val="22"/>
          <w:szCs w:val="22"/>
        </w:rPr>
        <w:t>(</w:t>
      </w:r>
      <w:r w:rsidRPr="00EF782D">
        <w:rPr>
          <w:rFonts w:ascii="Times New Roman" w:hAnsi="Times New Roman"/>
          <w:sz w:val="22"/>
          <w:szCs w:val="22"/>
        </w:rPr>
        <w:t>inborn</w:t>
      </w:r>
      <w:r w:rsidR="00FF474E">
        <w:rPr>
          <w:rFonts w:ascii="Times New Roman" w:hAnsi="Times New Roman"/>
          <w:sz w:val="22"/>
          <w:szCs w:val="22"/>
        </w:rPr>
        <w:t>)</w:t>
      </w:r>
      <w:r w:rsidRPr="00EF782D">
        <w:rPr>
          <w:rFonts w:ascii="Times New Roman" w:hAnsi="Times New Roman"/>
          <w:sz w:val="22"/>
          <w:szCs w:val="22"/>
        </w:rPr>
        <w:t xml:space="preserve"> error of folate metabolism, have a defect in </w:t>
      </w:r>
      <w:r w:rsidR="00594D52" w:rsidRPr="00EF782D">
        <w:rPr>
          <w:rFonts w:ascii="Times New Roman" w:hAnsi="Times New Roman"/>
          <w:sz w:val="22"/>
          <w:szCs w:val="22"/>
        </w:rPr>
        <w:t xml:space="preserve">normal </w:t>
      </w:r>
      <w:r w:rsidRPr="00EF782D">
        <w:rPr>
          <w:rFonts w:ascii="Times New Roman" w:hAnsi="Times New Roman"/>
          <w:sz w:val="22"/>
          <w:szCs w:val="22"/>
        </w:rPr>
        <w:t>folate metabolism, which can lead to a deficiency in folate substances.</w:t>
      </w:r>
    </w:p>
    <w:p w:rsidR="00CD4987" w:rsidRPr="00EF782D" w:rsidRDefault="00CD4987" w:rsidP="00EF782D">
      <w:pPr>
        <w:rPr>
          <w:rFonts w:ascii="Times New Roman" w:hAnsi="Times New Roman"/>
          <w:i/>
          <w:szCs w:val="22"/>
        </w:rPr>
      </w:pPr>
    </w:p>
    <w:p w:rsidR="00CD4987" w:rsidRPr="00EF782D" w:rsidRDefault="00642F79" w:rsidP="00EF782D">
      <w:pPr>
        <w:rPr>
          <w:rFonts w:ascii="Times New Roman" w:hAnsi="Times New Roman"/>
          <w:i/>
          <w:szCs w:val="22"/>
        </w:rPr>
      </w:pPr>
      <w:r w:rsidRPr="00EF782D">
        <w:rPr>
          <w:rFonts w:ascii="Times New Roman" w:hAnsi="Times New Roman"/>
          <w:i/>
          <w:sz w:val="22"/>
          <w:szCs w:val="22"/>
        </w:rPr>
        <w:t xml:space="preserve">There is an association between an inborn error </w:t>
      </w:r>
      <w:r w:rsidR="007E6C69">
        <w:rPr>
          <w:rFonts w:ascii="Times New Roman" w:hAnsi="Times New Roman"/>
          <w:i/>
          <w:sz w:val="22"/>
          <w:szCs w:val="22"/>
        </w:rPr>
        <w:t>of</w:t>
      </w:r>
      <w:r w:rsidR="007E6C69" w:rsidRPr="00EF782D">
        <w:rPr>
          <w:rFonts w:ascii="Times New Roman" w:hAnsi="Times New Roman"/>
          <w:i/>
          <w:sz w:val="22"/>
          <w:szCs w:val="22"/>
        </w:rPr>
        <w:t xml:space="preserve"> </w:t>
      </w:r>
      <w:r w:rsidRPr="00EF782D">
        <w:rPr>
          <w:rFonts w:ascii="Times New Roman" w:hAnsi="Times New Roman"/>
          <w:i/>
          <w:sz w:val="22"/>
          <w:szCs w:val="22"/>
        </w:rPr>
        <w:t xml:space="preserve">folate metabolism due to the MTHFR C677T polymorphism and depression </w:t>
      </w:r>
    </w:p>
    <w:p w:rsidR="00CD4987" w:rsidRPr="0028245D" w:rsidRDefault="00CD4987" w:rsidP="00EF782D">
      <w:pPr>
        <w:rPr>
          <w:rFonts w:ascii="Times New Roman" w:hAnsi="Times New Roman"/>
          <w:szCs w:val="22"/>
        </w:rPr>
      </w:pPr>
    </w:p>
    <w:p w:rsidR="00642F79" w:rsidRPr="00EF782D" w:rsidRDefault="00642F79" w:rsidP="00EF782D">
      <w:pPr>
        <w:rPr>
          <w:rFonts w:ascii="Times New Roman" w:hAnsi="Times New Roman"/>
          <w:sz w:val="22"/>
          <w:szCs w:val="22"/>
        </w:rPr>
      </w:pPr>
      <w:r w:rsidRPr="00EF782D">
        <w:rPr>
          <w:rFonts w:ascii="Times New Roman" w:hAnsi="Times New Roman"/>
          <w:sz w:val="22"/>
          <w:szCs w:val="22"/>
        </w:rPr>
        <w:t xml:space="preserve">It has been reported in several meta-analyses that individuals with depression are more likely to carry </w:t>
      </w:r>
      <w:r w:rsidR="00FF474E" w:rsidRPr="00EF782D">
        <w:rPr>
          <w:rFonts w:ascii="Times New Roman" w:hAnsi="Times New Roman"/>
          <w:sz w:val="22"/>
          <w:szCs w:val="22"/>
        </w:rPr>
        <w:t xml:space="preserve">the MTHFR C677T </w:t>
      </w:r>
      <w:r w:rsidRPr="00EF782D">
        <w:rPr>
          <w:rFonts w:ascii="Times New Roman" w:hAnsi="Times New Roman"/>
          <w:sz w:val="22"/>
          <w:szCs w:val="22"/>
        </w:rPr>
        <w:t>polymorphism than those without</w:t>
      </w:r>
      <w:r w:rsidR="009C1FCE">
        <w:rPr>
          <w:rFonts w:ascii="Times New Roman" w:hAnsi="Times New Roman"/>
          <w:sz w:val="22"/>
          <w:szCs w:val="22"/>
        </w:rPr>
        <w:t>.</w:t>
      </w:r>
      <w:r w:rsidRPr="00EF782D">
        <w:rPr>
          <w:rStyle w:val="FootnoteReference"/>
          <w:rFonts w:ascii="Times New Roman" w:hAnsi="Times New Roman"/>
          <w:sz w:val="22"/>
          <w:szCs w:val="22"/>
        </w:rPr>
        <w:footnoteReference w:id="6"/>
      </w:r>
      <w:r w:rsidR="00484C40">
        <w:rPr>
          <w:rFonts w:ascii="Times New Roman" w:hAnsi="Times New Roman"/>
          <w:sz w:val="22"/>
          <w:szCs w:val="22"/>
        </w:rPr>
        <w:t xml:space="preserve">  It is reasonable to conclude that there is </w:t>
      </w:r>
      <w:r w:rsidR="00484C40" w:rsidRPr="00EF782D">
        <w:rPr>
          <w:rFonts w:ascii="Times New Roman" w:hAnsi="Times New Roman"/>
          <w:sz w:val="22"/>
          <w:szCs w:val="22"/>
        </w:rPr>
        <w:t xml:space="preserve">an association between an inborn error of folate metabolism </w:t>
      </w:r>
      <w:r w:rsidR="00484C40">
        <w:rPr>
          <w:rFonts w:ascii="Times New Roman" w:hAnsi="Times New Roman"/>
          <w:sz w:val="22"/>
          <w:szCs w:val="22"/>
        </w:rPr>
        <w:t xml:space="preserve">as a consequence of </w:t>
      </w:r>
      <w:r w:rsidR="00484C40" w:rsidRPr="00EF782D">
        <w:rPr>
          <w:rFonts w:ascii="Times New Roman" w:hAnsi="Times New Roman"/>
          <w:sz w:val="22"/>
          <w:szCs w:val="22"/>
        </w:rPr>
        <w:t>the MTHFR C677T polymorphism and depression</w:t>
      </w:r>
      <w:r w:rsidR="00484C40">
        <w:rPr>
          <w:rFonts w:ascii="Times New Roman" w:hAnsi="Times New Roman"/>
          <w:sz w:val="22"/>
          <w:szCs w:val="22"/>
        </w:rPr>
        <w:t>.</w:t>
      </w:r>
    </w:p>
    <w:p w:rsidR="00CD4987" w:rsidRPr="00EF782D" w:rsidRDefault="00CD4987" w:rsidP="00EF782D">
      <w:pPr>
        <w:rPr>
          <w:rFonts w:ascii="Times New Roman" w:hAnsi="Times New Roman"/>
          <w:i/>
          <w:szCs w:val="22"/>
        </w:rPr>
      </w:pPr>
    </w:p>
    <w:p w:rsidR="00CD4987" w:rsidRPr="00EF782D" w:rsidRDefault="00642F79" w:rsidP="00EF782D">
      <w:pPr>
        <w:rPr>
          <w:rFonts w:ascii="Times New Roman" w:hAnsi="Times New Roman"/>
          <w:i/>
          <w:szCs w:val="22"/>
        </w:rPr>
      </w:pPr>
      <w:r w:rsidRPr="00EF782D">
        <w:rPr>
          <w:rFonts w:ascii="Times New Roman" w:hAnsi="Times New Roman"/>
          <w:i/>
          <w:sz w:val="22"/>
          <w:szCs w:val="22"/>
        </w:rPr>
        <w:t xml:space="preserve">There is a plausible causal </w:t>
      </w:r>
      <w:r w:rsidR="00474415">
        <w:rPr>
          <w:rFonts w:ascii="Times New Roman" w:hAnsi="Times New Roman"/>
          <w:i/>
          <w:sz w:val="22"/>
          <w:szCs w:val="22"/>
        </w:rPr>
        <w:t>relationship</w:t>
      </w:r>
      <w:r w:rsidRPr="00EF782D">
        <w:rPr>
          <w:rFonts w:ascii="Times New Roman" w:hAnsi="Times New Roman"/>
          <w:i/>
          <w:sz w:val="22"/>
          <w:szCs w:val="22"/>
        </w:rPr>
        <w:t xml:space="preserve"> between an inborn error of folate metabolism</w:t>
      </w:r>
      <w:r w:rsidR="009C1FCE">
        <w:rPr>
          <w:rFonts w:ascii="Times New Roman" w:hAnsi="Times New Roman"/>
          <w:i/>
          <w:sz w:val="22"/>
          <w:szCs w:val="22"/>
        </w:rPr>
        <w:t>,</w:t>
      </w:r>
      <w:r w:rsidRPr="00EF782D">
        <w:rPr>
          <w:rFonts w:ascii="Times New Roman" w:hAnsi="Times New Roman"/>
          <w:i/>
          <w:sz w:val="22"/>
          <w:szCs w:val="22"/>
        </w:rPr>
        <w:t xml:space="preserve"> depression</w:t>
      </w:r>
      <w:r w:rsidR="009C1FCE">
        <w:rPr>
          <w:rFonts w:ascii="Times New Roman" w:hAnsi="Times New Roman"/>
          <w:i/>
          <w:sz w:val="22"/>
          <w:szCs w:val="22"/>
        </w:rPr>
        <w:t xml:space="preserve">, </w:t>
      </w:r>
      <w:r w:rsidRPr="00EF782D">
        <w:rPr>
          <w:rFonts w:ascii="Times New Roman" w:hAnsi="Times New Roman"/>
          <w:i/>
          <w:sz w:val="22"/>
          <w:szCs w:val="22"/>
        </w:rPr>
        <w:t>and other ailments or defects in persons</w:t>
      </w:r>
    </w:p>
    <w:p w:rsidR="00CD4987" w:rsidRPr="0028245D" w:rsidRDefault="00CD4987" w:rsidP="00EF782D">
      <w:pPr>
        <w:rPr>
          <w:rFonts w:ascii="Times New Roman" w:hAnsi="Times New Roman"/>
          <w:szCs w:val="22"/>
        </w:rPr>
      </w:pPr>
    </w:p>
    <w:p w:rsidR="00E912CB" w:rsidRDefault="009C1FCE" w:rsidP="00EF782D">
      <w:pPr>
        <w:rPr>
          <w:rFonts w:ascii="Times New Roman" w:hAnsi="Times New Roman"/>
          <w:szCs w:val="22"/>
        </w:rPr>
      </w:pPr>
      <w:r>
        <w:rPr>
          <w:rFonts w:ascii="Times New Roman" w:hAnsi="Times New Roman"/>
          <w:sz w:val="22"/>
          <w:szCs w:val="22"/>
        </w:rPr>
        <w:t>An i</w:t>
      </w:r>
      <w:r w:rsidR="00642F79" w:rsidRPr="00EF782D">
        <w:rPr>
          <w:rFonts w:ascii="Times New Roman" w:hAnsi="Times New Roman"/>
          <w:sz w:val="22"/>
          <w:szCs w:val="22"/>
        </w:rPr>
        <w:t xml:space="preserve">nborn error </w:t>
      </w:r>
      <w:r>
        <w:rPr>
          <w:rFonts w:ascii="Times New Roman" w:hAnsi="Times New Roman"/>
          <w:sz w:val="22"/>
          <w:szCs w:val="22"/>
        </w:rPr>
        <w:t>of</w:t>
      </w:r>
      <w:r w:rsidRPr="00EF782D">
        <w:rPr>
          <w:rFonts w:ascii="Times New Roman" w:hAnsi="Times New Roman"/>
          <w:sz w:val="22"/>
          <w:szCs w:val="22"/>
        </w:rPr>
        <w:t xml:space="preserve"> </w:t>
      </w:r>
      <w:r w:rsidR="00642F79" w:rsidRPr="00EF782D">
        <w:rPr>
          <w:rFonts w:ascii="Times New Roman" w:hAnsi="Times New Roman"/>
          <w:sz w:val="22"/>
          <w:szCs w:val="22"/>
        </w:rPr>
        <w:t xml:space="preserve">folate metabolism can lead to folate deficiency in persons, which in turn can cause ailments or defects in persons such as abnormal </w:t>
      </w:r>
      <w:r w:rsidRPr="007E3EF2">
        <w:rPr>
          <w:rFonts w:ascii="Times New Roman" w:hAnsi="Times New Roman"/>
          <w:sz w:val="22"/>
          <w:szCs w:val="22"/>
        </w:rPr>
        <w:t>foetal</w:t>
      </w:r>
      <w:r w:rsidR="00642F79" w:rsidRPr="00EF782D">
        <w:rPr>
          <w:rFonts w:ascii="Times New Roman" w:hAnsi="Times New Roman"/>
          <w:sz w:val="22"/>
          <w:szCs w:val="22"/>
        </w:rPr>
        <w:t xml:space="preserve"> development or depression for the reasons stated above. </w:t>
      </w:r>
      <w:r>
        <w:rPr>
          <w:rFonts w:ascii="Times New Roman" w:hAnsi="Times New Roman"/>
          <w:sz w:val="22"/>
          <w:szCs w:val="22"/>
        </w:rPr>
        <w:t xml:space="preserve"> </w:t>
      </w:r>
      <w:r w:rsidR="00FF474E">
        <w:rPr>
          <w:rFonts w:ascii="Times New Roman" w:hAnsi="Times New Roman"/>
          <w:sz w:val="22"/>
          <w:szCs w:val="22"/>
        </w:rPr>
        <w:t>As such</w:t>
      </w:r>
      <w:r w:rsidR="00642F79" w:rsidRPr="00EF782D">
        <w:rPr>
          <w:rFonts w:ascii="Times New Roman" w:hAnsi="Times New Roman"/>
          <w:sz w:val="22"/>
          <w:szCs w:val="22"/>
        </w:rPr>
        <w:t xml:space="preserve">, the </w:t>
      </w:r>
      <w:r w:rsidR="003563BB" w:rsidRPr="00EF782D">
        <w:rPr>
          <w:rFonts w:ascii="Times New Roman" w:hAnsi="Times New Roman"/>
          <w:sz w:val="22"/>
          <w:szCs w:val="22"/>
        </w:rPr>
        <w:t xml:space="preserve">association between the </w:t>
      </w:r>
      <w:r w:rsidR="00642F79" w:rsidRPr="00EF782D">
        <w:rPr>
          <w:rFonts w:ascii="Times New Roman" w:hAnsi="Times New Roman"/>
          <w:sz w:val="22"/>
          <w:szCs w:val="22"/>
        </w:rPr>
        <w:t xml:space="preserve">MTHFR C677T polymorphism </w:t>
      </w:r>
      <w:r w:rsidR="003563BB" w:rsidRPr="00EF782D">
        <w:rPr>
          <w:rFonts w:ascii="Times New Roman" w:hAnsi="Times New Roman"/>
          <w:sz w:val="22"/>
          <w:szCs w:val="22"/>
        </w:rPr>
        <w:t xml:space="preserve">and </w:t>
      </w:r>
      <w:r w:rsidR="00642F79" w:rsidRPr="00EF782D">
        <w:rPr>
          <w:rFonts w:ascii="Times New Roman" w:hAnsi="Times New Roman"/>
          <w:sz w:val="22"/>
          <w:szCs w:val="22"/>
        </w:rPr>
        <w:t xml:space="preserve">depression suggests that folate deficiency secondary to the inborn error </w:t>
      </w:r>
      <w:r>
        <w:rPr>
          <w:rFonts w:ascii="Times New Roman" w:hAnsi="Times New Roman"/>
          <w:sz w:val="22"/>
          <w:szCs w:val="22"/>
        </w:rPr>
        <w:t>of</w:t>
      </w:r>
      <w:r w:rsidRPr="00EF782D">
        <w:rPr>
          <w:rFonts w:ascii="Times New Roman" w:hAnsi="Times New Roman"/>
          <w:sz w:val="22"/>
          <w:szCs w:val="22"/>
        </w:rPr>
        <w:t xml:space="preserve"> </w:t>
      </w:r>
      <w:r w:rsidR="00FF474E">
        <w:rPr>
          <w:rFonts w:ascii="Times New Roman" w:hAnsi="Times New Roman"/>
          <w:sz w:val="22"/>
          <w:szCs w:val="22"/>
        </w:rPr>
        <w:t xml:space="preserve">folate </w:t>
      </w:r>
      <w:r w:rsidR="00642F79" w:rsidRPr="00EF782D">
        <w:rPr>
          <w:rFonts w:ascii="Times New Roman" w:hAnsi="Times New Roman"/>
          <w:sz w:val="22"/>
          <w:szCs w:val="22"/>
        </w:rPr>
        <w:lastRenderedPageBreak/>
        <w:t>metabolism is involved in the pathogenesis of depressio</w:t>
      </w:r>
      <w:r>
        <w:rPr>
          <w:rFonts w:ascii="Times New Roman" w:hAnsi="Times New Roman"/>
          <w:sz w:val="22"/>
          <w:szCs w:val="22"/>
        </w:rPr>
        <w:t>n.</w:t>
      </w:r>
      <w:r w:rsidR="0068162C">
        <w:rPr>
          <w:rStyle w:val="FootnoteReference"/>
          <w:rFonts w:ascii="Times New Roman" w:hAnsi="Times New Roman"/>
          <w:sz w:val="22"/>
          <w:szCs w:val="22"/>
        </w:rPr>
        <w:footnoteReference w:id="7"/>
      </w:r>
      <w:r w:rsidR="00642F79" w:rsidRPr="00EF782D">
        <w:rPr>
          <w:rFonts w:ascii="Times New Roman" w:hAnsi="Times New Roman"/>
          <w:sz w:val="22"/>
          <w:szCs w:val="22"/>
        </w:rPr>
        <w:t xml:space="preserve"> </w:t>
      </w:r>
      <w:r>
        <w:rPr>
          <w:rFonts w:ascii="Times New Roman" w:hAnsi="Times New Roman"/>
          <w:sz w:val="22"/>
          <w:szCs w:val="22"/>
        </w:rPr>
        <w:t xml:space="preserve"> </w:t>
      </w:r>
      <w:r w:rsidR="00642F79" w:rsidRPr="00EF782D">
        <w:rPr>
          <w:rFonts w:ascii="Times New Roman" w:hAnsi="Times New Roman"/>
          <w:sz w:val="22"/>
          <w:szCs w:val="22"/>
        </w:rPr>
        <w:t xml:space="preserve">The </w:t>
      </w:r>
      <w:r w:rsidR="00783E1E">
        <w:rPr>
          <w:rFonts w:ascii="Times New Roman" w:hAnsi="Times New Roman"/>
          <w:sz w:val="22"/>
          <w:szCs w:val="22"/>
        </w:rPr>
        <w:t>plausible</w:t>
      </w:r>
      <w:r w:rsidR="00783E1E" w:rsidRPr="00EF782D">
        <w:rPr>
          <w:rFonts w:ascii="Times New Roman" w:hAnsi="Times New Roman"/>
          <w:sz w:val="22"/>
          <w:szCs w:val="22"/>
        </w:rPr>
        <w:t xml:space="preserve"> </w:t>
      </w:r>
      <w:r w:rsidR="00642F79" w:rsidRPr="00EF782D">
        <w:rPr>
          <w:rFonts w:ascii="Times New Roman" w:hAnsi="Times New Roman"/>
          <w:sz w:val="22"/>
          <w:szCs w:val="22"/>
        </w:rPr>
        <w:t>causal relationship between an inborn error of folate metabolism and depression gives rise to the</w:t>
      </w:r>
      <w:r w:rsidR="00CD663E">
        <w:rPr>
          <w:rFonts w:ascii="Times New Roman" w:hAnsi="Times New Roman"/>
          <w:sz w:val="22"/>
          <w:szCs w:val="22"/>
        </w:rPr>
        <w:t xml:space="preserve"> possibility</w:t>
      </w:r>
      <w:r w:rsidR="00642F79" w:rsidRPr="00EF782D">
        <w:rPr>
          <w:rFonts w:ascii="Times New Roman" w:hAnsi="Times New Roman"/>
          <w:sz w:val="22"/>
          <w:szCs w:val="22"/>
        </w:rPr>
        <w:t xml:space="preserve"> </w:t>
      </w:r>
      <w:r w:rsidR="002D2EDE">
        <w:rPr>
          <w:rFonts w:ascii="Times New Roman" w:hAnsi="Times New Roman"/>
          <w:sz w:val="22"/>
          <w:szCs w:val="22"/>
        </w:rPr>
        <w:t xml:space="preserve">that consumption of folate substances may alleviate depression </w:t>
      </w:r>
      <w:r w:rsidR="00642F79" w:rsidRPr="00EF782D">
        <w:rPr>
          <w:rFonts w:ascii="Times New Roman" w:hAnsi="Times New Roman"/>
          <w:sz w:val="22"/>
          <w:szCs w:val="22"/>
        </w:rPr>
        <w:t xml:space="preserve">in </w:t>
      </w:r>
      <w:r w:rsidR="002D2EDE">
        <w:rPr>
          <w:rFonts w:ascii="Times New Roman" w:hAnsi="Times New Roman"/>
          <w:sz w:val="22"/>
          <w:szCs w:val="22"/>
        </w:rPr>
        <w:t>persons</w:t>
      </w:r>
      <w:r w:rsidR="002D2EDE" w:rsidRPr="00EF782D">
        <w:rPr>
          <w:rFonts w:ascii="Times New Roman" w:hAnsi="Times New Roman"/>
          <w:sz w:val="22"/>
          <w:szCs w:val="22"/>
        </w:rPr>
        <w:t xml:space="preserve"> </w:t>
      </w:r>
      <w:r w:rsidR="002D2EDE">
        <w:rPr>
          <w:rFonts w:ascii="Times New Roman" w:hAnsi="Times New Roman"/>
          <w:sz w:val="22"/>
          <w:szCs w:val="22"/>
        </w:rPr>
        <w:t>with folate deficiency</w:t>
      </w:r>
      <w:r w:rsidR="00642F79" w:rsidRPr="00EF782D">
        <w:rPr>
          <w:rFonts w:ascii="Times New Roman" w:hAnsi="Times New Roman"/>
          <w:sz w:val="22"/>
          <w:szCs w:val="22"/>
        </w:rPr>
        <w:t>.</w:t>
      </w:r>
    </w:p>
    <w:p w:rsidR="009C1FCE" w:rsidRPr="00EF782D" w:rsidRDefault="009C1FCE" w:rsidP="00642F79">
      <w:pPr>
        <w:rPr>
          <w:rFonts w:ascii="Times New Roman" w:hAnsi="Times New Roman"/>
          <w:sz w:val="22"/>
          <w:szCs w:val="22"/>
        </w:rPr>
      </w:pPr>
    </w:p>
    <w:p w:rsidR="009C1FCE" w:rsidRPr="00EF782D" w:rsidRDefault="009C1FCE" w:rsidP="00642F79">
      <w:pPr>
        <w:rPr>
          <w:rFonts w:ascii="Times New Roman" w:hAnsi="Times New Roman"/>
          <w:b/>
          <w:sz w:val="22"/>
          <w:szCs w:val="22"/>
        </w:rPr>
      </w:pPr>
      <w:r w:rsidRPr="00EF782D">
        <w:rPr>
          <w:rFonts w:ascii="Times New Roman" w:hAnsi="Times New Roman"/>
          <w:b/>
          <w:sz w:val="22"/>
          <w:szCs w:val="22"/>
        </w:rPr>
        <w:t>Conclusions</w:t>
      </w:r>
    </w:p>
    <w:p w:rsidR="000A23A9" w:rsidRPr="00E912CB" w:rsidRDefault="000A23A9" w:rsidP="00642F79">
      <w:pPr>
        <w:rPr>
          <w:rFonts w:ascii="Times New Roman" w:hAnsi="Times New Roman"/>
          <w:sz w:val="22"/>
          <w:szCs w:val="22"/>
        </w:rPr>
      </w:pPr>
    </w:p>
    <w:p w:rsidR="00E912CB" w:rsidRPr="00EF782D" w:rsidRDefault="000A23A9" w:rsidP="00EF782D">
      <w:pPr>
        <w:rPr>
          <w:rFonts w:ascii="Times New Roman" w:hAnsi="Times New Roman"/>
          <w:szCs w:val="22"/>
        </w:rPr>
      </w:pPr>
      <w:r>
        <w:rPr>
          <w:rFonts w:ascii="Times New Roman" w:hAnsi="Times New Roman"/>
          <w:sz w:val="22"/>
          <w:szCs w:val="22"/>
        </w:rPr>
        <w:t xml:space="preserve">Noting </w:t>
      </w:r>
      <w:r w:rsidR="00484C40">
        <w:rPr>
          <w:rFonts w:ascii="Times New Roman" w:hAnsi="Times New Roman"/>
          <w:sz w:val="22"/>
          <w:szCs w:val="22"/>
        </w:rPr>
        <w:t xml:space="preserve">the </w:t>
      </w:r>
      <w:r w:rsidR="003B1D37">
        <w:rPr>
          <w:rFonts w:ascii="Times New Roman" w:hAnsi="Times New Roman"/>
          <w:sz w:val="22"/>
          <w:szCs w:val="22"/>
        </w:rPr>
        <w:t xml:space="preserve">above, </w:t>
      </w:r>
      <w:r w:rsidR="00201402">
        <w:rPr>
          <w:rFonts w:ascii="Times New Roman" w:hAnsi="Times New Roman"/>
          <w:sz w:val="22"/>
          <w:szCs w:val="22"/>
        </w:rPr>
        <w:t xml:space="preserve">it is appropriate that </w:t>
      </w:r>
      <w:r w:rsidR="003B1D37">
        <w:rPr>
          <w:rFonts w:ascii="Times New Roman" w:hAnsi="Times New Roman"/>
          <w:sz w:val="22"/>
          <w:szCs w:val="22"/>
        </w:rPr>
        <w:t xml:space="preserve">the </w:t>
      </w:r>
      <w:r w:rsidR="00642F79" w:rsidRPr="00EF782D">
        <w:rPr>
          <w:rFonts w:ascii="Times New Roman" w:hAnsi="Times New Roman"/>
          <w:sz w:val="22"/>
          <w:szCs w:val="22"/>
        </w:rPr>
        <w:t xml:space="preserve">relevant goods </w:t>
      </w:r>
      <w:r w:rsidR="00783E1E" w:rsidRPr="00EF782D">
        <w:rPr>
          <w:rFonts w:ascii="Times New Roman" w:hAnsi="Times New Roman"/>
          <w:sz w:val="22"/>
          <w:szCs w:val="22"/>
        </w:rPr>
        <w:t xml:space="preserve">are characterised as </w:t>
      </w:r>
      <w:r w:rsidR="00642F79" w:rsidRPr="00EF782D">
        <w:rPr>
          <w:rFonts w:ascii="Times New Roman" w:hAnsi="Times New Roman"/>
          <w:sz w:val="22"/>
          <w:szCs w:val="22"/>
        </w:rPr>
        <w:t>therapeutic goods</w:t>
      </w:r>
      <w:r w:rsidR="00E912CB">
        <w:rPr>
          <w:rFonts w:ascii="Times New Roman" w:hAnsi="Times New Roman"/>
          <w:sz w:val="22"/>
          <w:szCs w:val="22"/>
        </w:rPr>
        <w:t xml:space="preserve"> for the following reasons.</w:t>
      </w:r>
    </w:p>
    <w:p w:rsidR="00E912CB" w:rsidRDefault="00E912CB" w:rsidP="00EF782D">
      <w:pPr>
        <w:rPr>
          <w:rFonts w:ascii="Times New Roman" w:hAnsi="Times New Roman"/>
          <w:szCs w:val="22"/>
          <w:highlight w:val="yellow"/>
        </w:rPr>
      </w:pPr>
    </w:p>
    <w:p w:rsidR="002142B9" w:rsidRPr="00EF782D" w:rsidRDefault="00783E1E" w:rsidP="00EF782D">
      <w:pPr>
        <w:rPr>
          <w:rFonts w:ascii="Times New Roman" w:hAnsi="Times New Roman"/>
          <w:szCs w:val="22"/>
        </w:rPr>
      </w:pPr>
      <w:r w:rsidRPr="00EF782D">
        <w:rPr>
          <w:rFonts w:ascii="Times New Roman" w:hAnsi="Times New Roman"/>
          <w:sz w:val="22"/>
          <w:szCs w:val="22"/>
        </w:rPr>
        <w:t>T</w:t>
      </w:r>
      <w:r w:rsidR="002142B9" w:rsidRPr="00EF782D">
        <w:rPr>
          <w:rFonts w:ascii="Times New Roman" w:hAnsi="Times New Roman"/>
          <w:sz w:val="22"/>
          <w:szCs w:val="22"/>
        </w:rPr>
        <w:t>he</w:t>
      </w:r>
      <w:r w:rsidR="00E912CB">
        <w:rPr>
          <w:rFonts w:ascii="Times New Roman" w:hAnsi="Times New Roman"/>
          <w:sz w:val="22"/>
          <w:szCs w:val="22"/>
        </w:rPr>
        <w:t xml:space="preserve"> </w:t>
      </w:r>
      <w:r w:rsidR="00CD663E">
        <w:rPr>
          <w:rFonts w:ascii="Times New Roman" w:hAnsi="Times New Roman"/>
          <w:sz w:val="22"/>
          <w:szCs w:val="22"/>
        </w:rPr>
        <w:t>relationship</w:t>
      </w:r>
      <w:r w:rsidR="002142B9" w:rsidRPr="00EF782D">
        <w:rPr>
          <w:rFonts w:ascii="Times New Roman" w:hAnsi="Times New Roman"/>
          <w:sz w:val="22"/>
          <w:szCs w:val="22"/>
        </w:rPr>
        <w:t xml:space="preserve"> between an inborn error </w:t>
      </w:r>
      <w:r w:rsidR="009C1FCE" w:rsidRPr="00EF782D">
        <w:rPr>
          <w:rFonts w:ascii="Times New Roman" w:hAnsi="Times New Roman"/>
          <w:sz w:val="22"/>
          <w:szCs w:val="22"/>
        </w:rPr>
        <w:t>of</w:t>
      </w:r>
      <w:r w:rsidR="002142B9" w:rsidRPr="00EF782D">
        <w:rPr>
          <w:rFonts w:ascii="Times New Roman" w:hAnsi="Times New Roman"/>
          <w:sz w:val="22"/>
          <w:szCs w:val="22"/>
        </w:rPr>
        <w:t xml:space="preserve"> folate metabolism and folate deficiency, </w:t>
      </w:r>
      <w:r w:rsidR="00CD663E">
        <w:rPr>
          <w:rFonts w:ascii="Times New Roman" w:hAnsi="Times New Roman"/>
          <w:sz w:val="22"/>
          <w:szCs w:val="22"/>
        </w:rPr>
        <w:t>together with</w:t>
      </w:r>
      <w:r w:rsidR="002142B9" w:rsidRPr="00EF782D">
        <w:rPr>
          <w:rFonts w:ascii="Times New Roman" w:hAnsi="Times New Roman"/>
          <w:sz w:val="22"/>
          <w:szCs w:val="22"/>
        </w:rPr>
        <w:t xml:space="preserve"> </w:t>
      </w:r>
      <w:r w:rsidR="00CD663E">
        <w:rPr>
          <w:rFonts w:ascii="Times New Roman" w:hAnsi="Times New Roman"/>
          <w:sz w:val="22"/>
          <w:szCs w:val="22"/>
        </w:rPr>
        <w:t xml:space="preserve">the plausible causal relationship between </w:t>
      </w:r>
      <w:r w:rsidR="002142B9" w:rsidRPr="00EF782D">
        <w:rPr>
          <w:rFonts w:ascii="Times New Roman" w:hAnsi="Times New Roman"/>
          <w:sz w:val="22"/>
          <w:szCs w:val="22"/>
        </w:rPr>
        <w:t xml:space="preserve">folate deficiency and depression, </w:t>
      </w:r>
      <w:r w:rsidRPr="00EF782D">
        <w:rPr>
          <w:rFonts w:ascii="Times New Roman" w:hAnsi="Times New Roman"/>
          <w:sz w:val="22"/>
          <w:szCs w:val="22"/>
        </w:rPr>
        <w:t xml:space="preserve">means that </w:t>
      </w:r>
      <w:r w:rsidR="00E912CB" w:rsidRPr="00EF782D">
        <w:rPr>
          <w:rFonts w:ascii="Times New Roman" w:hAnsi="Times New Roman"/>
          <w:sz w:val="22"/>
          <w:szCs w:val="22"/>
        </w:rPr>
        <w:t xml:space="preserve">folate is or is </w:t>
      </w:r>
      <w:r w:rsidRPr="00EF782D">
        <w:rPr>
          <w:rFonts w:ascii="Times New Roman" w:hAnsi="Times New Roman"/>
          <w:sz w:val="22"/>
          <w:szCs w:val="22"/>
        </w:rPr>
        <w:t xml:space="preserve">likely to be taken to be for therapeutic use </w:t>
      </w:r>
      <w:r w:rsidR="002142B9" w:rsidRPr="00EF782D">
        <w:rPr>
          <w:rFonts w:ascii="Times New Roman" w:hAnsi="Times New Roman"/>
          <w:sz w:val="22"/>
          <w:szCs w:val="22"/>
        </w:rPr>
        <w:t xml:space="preserve">in or in connection with preventing, curing or alleviating the ailment of folate deficiency or </w:t>
      </w:r>
      <w:r w:rsidR="000A23A9">
        <w:rPr>
          <w:rFonts w:ascii="Times New Roman" w:hAnsi="Times New Roman"/>
          <w:sz w:val="22"/>
          <w:szCs w:val="22"/>
        </w:rPr>
        <w:t>depression, or alternatively modifying a physiological process</w:t>
      </w:r>
      <w:r w:rsidR="002142B9" w:rsidRPr="00EF782D">
        <w:rPr>
          <w:rFonts w:ascii="Times New Roman" w:hAnsi="Times New Roman"/>
          <w:sz w:val="22"/>
          <w:szCs w:val="22"/>
        </w:rPr>
        <w:t>.</w:t>
      </w:r>
    </w:p>
    <w:p w:rsidR="009C1FCE" w:rsidRPr="00EF782D" w:rsidRDefault="009C1FCE" w:rsidP="00EF782D">
      <w:pPr>
        <w:rPr>
          <w:rFonts w:ascii="Times New Roman" w:hAnsi="Times New Roman"/>
          <w:szCs w:val="22"/>
        </w:rPr>
      </w:pPr>
    </w:p>
    <w:p w:rsidR="002142B9" w:rsidRPr="00EF782D" w:rsidRDefault="002142B9" w:rsidP="00EF782D">
      <w:pPr>
        <w:rPr>
          <w:rFonts w:ascii="Times New Roman" w:hAnsi="Times New Roman"/>
          <w:sz w:val="22"/>
          <w:szCs w:val="22"/>
        </w:rPr>
      </w:pPr>
      <w:r w:rsidRPr="00EF782D">
        <w:rPr>
          <w:rFonts w:ascii="Times New Roman" w:hAnsi="Times New Roman"/>
          <w:sz w:val="22"/>
          <w:szCs w:val="22"/>
        </w:rPr>
        <w:t xml:space="preserve">The consumption of </w:t>
      </w:r>
      <w:r w:rsidR="00CD663E" w:rsidRPr="00EF782D">
        <w:rPr>
          <w:rFonts w:ascii="Times New Roman" w:hAnsi="Times New Roman"/>
          <w:sz w:val="22"/>
          <w:szCs w:val="22"/>
        </w:rPr>
        <w:t xml:space="preserve">goods containing </w:t>
      </w:r>
      <w:r w:rsidRPr="00EF782D">
        <w:rPr>
          <w:rFonts w:ascii="Times New Roman" w:hAnsi="Times New Roman"/>
          <w:sz w:val="22"/>
          <w:szCs w:val="22"/>
        </w:rPr>
        <w:t>folate can increase folate levels in persons, meaning th</w:t>
      </w:r>
      <w:r w:rsidR="000320BC" w:rsidRPr="00EF782D">
        <w:rPr>
          <w:rFonts w:ascii="Times New Roman" w:hAnsi="Times New Roman"/>
          <w:sz w:val="22"/>
          <w:szCs w:val="22"/>
        </w:rPr>
        <w:t xml:space="preserve">at those </w:t>
      </w:r>
      <w:r w:rsidR="00CD663E" w:rsidRPr="00EF782D">
        <w:rPr>
          <w:rFonts w:ascii="Times New Roman" w:hAnsi="Times New Roman"/>
          <w:sz w:val="22"/>
          <w:szCs w:val="22"/>
        </w:rPr>
        <w:t>goods</w:t>
      </w:r>
      <w:r w:rsidR="000320BC" w:rsidRPr="00EF782D">
        <w:rPr>
          <w:rFonts w:ascii="Times New Roman" w:hAnsi="Times New Roman"/>
          <w:sz w:val="22"/>
          <w:szCs w:val="22"/>
        </w:rPr>
        <w:t xml:space="preserve"> </w:t>
      </w:r>
      <w:r w:rsidRPr="00EF782D">
        <w:rPr>
          <w:rFonts w:ascii="Times New Roman" w:hAnsi="Times New Roman"/>
          <w:sz w:val="22"/>
          <w:szCs w:val="22"/>
        </w:rPr>
        <w:t xml:space="preserve">may be used in or in connection with </w:t>
      </w:r>
      <w:r w:rsidR="00201402">
        <w:rPr>
          <w:rFonts w:ascii="Times New Roman" w:hAnsi="Times New Roman"/>
          <w:sz w:val="22"/>
          <w:szCs w:val="22"/>
        </w:rPr>
        <w:t xml:space="preserve">preventing, </w:t>
      </w:r>
      <w:r w:rsidRPr="00EF782D">
        <w:rPr>
          <w:rFonts w:ascii="Times New Roman" w:hAnsi="Times New Roman"/>
          <w:sz w:val="22"/>
          <w:szCs w:val="22"/>
        </w:rPr>
        <w:t xml:space="preserve">curing or alleviating the ailment of folate deficiency </w:t>
      </w:r>
      <w:r w:rsidR="00201402">
        <w:rPr>
          <w:rFonts w:ascii="Times New Roman" w:hAnsi="Times New Roman"/>
          <w:sz w:val="22"/>
          <w:szCs w:val="22"/>
        </w:rPr>
        <w:t xml:space="preserve">or curing or alleviating an inborn error folate metabolism; </w:t>
      </w:r>
      <w:r w:rsidRPr="00EF782D">
        <w:rPr>
          <w:rFonts w:ascii="Times New Roman" w:hAnsi="Times New Roman"/>
          <w:sz w:val="22"/>
          <w:szCs w:val="22"/>
        </w:rPr>
        <w:t xml:space="preserve">and such use </w:t>
      </w:r>
      <w:r w:rsidR="00CD663E" w:rsidRPr="00EF782D">
        <w:rPr>
          <w:rFonts w:ascii="Times New Roman" w:hAnsi="Times New Roman"/>
          <w:sz w:val="22"/>
          <w:szCs w:val="22"/>
        </w:rPr>
        <w:t xml:space="preserve">is </w:t>
      </w:r>
      <w:r w:rsidRPr="00EF782D">
        <w:rPr>
          <w:rFonts w:ascii="Times New Roman" w:hAnsi="Times New Roman"/>
          <w:sz w:val="22"/>
          <w:szCs w:val="22"/>
        </w:rPr>
        <w:t xml:space="preserve">therapeutic use </w:t>
      </w:r>
      <w:r w:rsidR="00CD663E" w:rsidRPr="00EF782D">
        <w:rPr>
          <w:rFonts w:ascii="Times New Roman" w:hAnsi="Times New Roman"/>
          <w:sz w:val="22"/>
          <w:szCs w:val="22"/>
        </w:rPr>
        <w:t xml:space="preserve">within the meaning of </w:t>
      </w:r>
      <w:r w:rsidR="00C61068">
        <w:rPr>
          <w:rFonts w:ascii="Times New Roman" w:hAnsi="Times New Roman"/>
          <w:sz w:val="22"/>
          <w:szCs w:val="22"/>
        </w:rPr>
        <w:t>the Act.</w:t>
      </w:r>
    </w:p>
    <w:p w:rsidR="009C1FCE" w:rsidRPr="00EF782D" w:rsidRDefault="009C1FCE" w:rsidP="00B93661">
      <w:pPr>
        <w:rPr>
          <w:rFonts w:ascii="Times New Roman" w:hAnsi="Times New Roman"/>
          <w:sz w:val="22"/>
          <w:szCs w:val="22"/>
        </w:rPr>
      </w:pPr>
    </w:p>
    <w:p w:rsidR="002142B9" w:rsidRPr="00EF782D" w:rsidRDefault="002142B9" w:rsidP="00EF782D">
      <w:pPr>
        <w:rPr>
          <w:sz w:val="22"/>
          <w:szCs w:val="22"/>
          <w:highlight w:val="yellow"/>
        </w:rPr>
      </w:pPr>
      <w:r w:rsidRPr="00EF782D">
        <w:rPr>
          <w:rFonts w:ascii="Times New Roman" w:hAnsi="Times New Roman"/>
          <w:sz w:val="22"/>
          <w:szCs w:val="22"/>
        </w:rPr>
        <w:t xml:space="preserve">Folate substances </w:t>
      </w:r>
      <w:r w:rsidR="003B1D37">
        <w:rPr>
          <w:rFonts w:ascii="Times New Roman" w:hAnsi="Times New Roman"/>
          <w:sz w:val="22"/>
          <w:szCs w:val="22"/>
        </w:rPr>
        <w:t xml:space="preserve">are likely to be taken to be for </w:t>
      </w:r>
      <w:r w:rsidRPr="00EF782D">
        <w:rPr>
          <w:rFonts w:ascii="Times New Roman" w:hAnsi="Times New Roman"/>
          <w:sz w:val="22"/>
          <w:szCs w:val="22"/>
        </w:rPr>
        <w:t xml:space="preserve">use in or in connection with alleviating the ailment of depression and such use </w:t>
      </w:r>
      <w:r w:rsidR="00CD663E" w:rsidRPr="00EF782D">
        <w:rPr>
          <w:rFonts w:ascii="Times New Roman" w:hAnsi="Times New Roman"/>
          <w:sz w:val="22"/>
          <w:szCs w:val="22"/>
        </w:rPr>
        <w:t>is</w:t>
      </w:r>
      <w:r w:rsidRPr="00EF782D">
        <w:rPr>
          <w:rFonts w:ascii="Times New Roman" w:hAnsi="Times New Roman"/>
          <w:sz w:val="22"/>
          <w:szCs w:val="22"/>
        </w:rPr>
        <w:t xml:space="preserve"> therapeutic use </w:t>
      </w:r>
      <w:r w:rsidR="00201402">
        <w:rPr>
          <w:rFonts w:ascii="Times New Roman" w:hAnsi="Times New Roman"/>
          <w:sz w:val="22"/>
          <w:szCs w:val="22"/>
        </w:rPr>
        <w:t xml:space="preserve">within the meaning of </w:t>
      </w:r>
      <w:r w:rsidRPr="00EF782D">
        <w:rPr>
          <w:rFonts w:ascii="Times New Roman" w:hAnsi="Times New Roman"/>
          <w:sz w:val="22"/>
          <w:szCs w:val="22"/>
        </w:rPr>
        <w:t>the Act.</w:t>
      </w:r>
      <w:r w:rsidR="000A23A9">
        <w:rPr>
          <w:rFonts w:ascii="Times New Roman" w:hAnsi="Times New Roman"/>
          <w:sz w:val="22"/>
          <w:szCs w:val="22"/>
        </w:rPr>
        <w:t xml:space="preserve"> </w:t>
      </w:r>
      <w:r w:rsidRPr="00EF782D">
        <w:rPr>
          <w:rFonts w:ascii="Times New Roman" w:hAnsi="Times New Roman"/>
          <w:sz w:val="22"/>
          <w:szCs w:val="22"/>
        </w:rPr>
        <w:t xml:space="preserve"> A review of meta-analyses of clinical trials in persons concludes that the administration of folate substances is beneficial in the treatment of depression</w:t>
      </w:r>
      <w:r w:rsidR="0027270A">
        <w:rPr>
          <w:rFonts w:ascii="Times New Roman" w:hAnsi="Times New Roman"/>
          <w:sz w:val="22"/>
          <w:szCs w:val="22"/>
        </w:rPr>
        <w:t>.</w:t>
      </w:r>
      <w:r w:rsidRPr="00EF782D">
        <w:rPr>
          <w:rStyle w:val="FootnoteReference"/>
          <w:rFonts w:ascii="Times New Roman" w:hAnsi="Times New Roman"/>
          <w:sz w:val="22"/>
          <w:szCs w:val="22"/>
        </w:rPr>
        <w:footnoteReference w:id="8"/>
      </w:r>
    </w:p>
    <w:p w:rsidR="00642F79" w:rsidRPr="00EF782D" w:rsidRDefault="00642F79" w:rsidP="00EF782D">
      <w:pPr>
        <w:rPr>
          <w:color w:val="000000"/>
          <w:sz w:val="22"/>
          <w:szCs w:val="22"/>
        </w:rPr>
      </w:pPr>
    </w:p>
    <w:p w:rsidR="00642F79" w:rsidRPr="00EF782D" w:rsidRDefault="003B1D37" w:rsidP="00EF782D">
      <w:pPr>
        <w:rPr>
          <w:rFonts w:ascii="Times New Roman" w:hAnsi="Times New Roman"/>
          <w:sz w:val="22"/>
          <w:szCs w:val="22"/>
        </w:rPr>
      </w:pPr>
      <w:r w:rsidRPr="00EF782D">
        <w:rPr>
          <w:rFonts w:ascii="Times New Roman" w:hAnsi="Times New Roman"/>
          <w:sz w:val="22"/>
          <w:szCs w:val="22"/>
        </w:rPr>
        <w:t xml:space="preserve">Whether or not such goods may be </w:t>
      </w:r>
      <w:r w:rsidR="00642F79" w:rsidRPr="00EF782D">
        <w:rPr>
          <w:rFonts w:ascii="Times New Roman" w:hAnsi="Times New Roman"/>
          <w:sz w:val="22"/>
          <w:szCs w:val="22"/>
        </w:rPr>
        <w:t>characterised as FSMP</w:t>
      </w:r>
      <w:r w:rsidR="00201402">
        <w:rPr>
          <w:rFonts w:ascii="Times New Roman" w:hAnsi="Times New Roman"/>
          <w:sz w:val="22"/>
          <w:szCs w:val="22"/>
        </w:rPr>
        <w:t>s</w:t>
      </w:r>
      <w:r w:rsidR="00642F79" w:rsidRPr="00EF782D">
        <w:rPr>
          <w:rFonts w:ascii="Times New Roman" w:hAnsi="Times New Roman"/>
          <w:sz w:val="22"/>
          <w:szCs w:val="22"/>
        </w:rPr>
        <w:t xml:space="preserve"> within the meaning of Food Standard 2.9.5 (including because the relevant goods are represented as being for the dietary management of a disease, disorder or medical condition) </w:t>
      </w:r>
      <w:r w:rsidRPr="00EF782D">
        <w:rPr>
          <w:rFonts w:ascii="Times New Roman" w:hAnsi="Times New Roman"/>
          <w:sz w:val="22"/>
          <w:szCs w:val="22"/>
        </w:rPr>
        <w:t xml:space="preserve">is irrelevant to the exercise of the power to declare the </w:t>
      </w:r>
      <w:r w:rsidR="00642F79" w:rsidRPr="00EF782D">
        <w:rPr>
          <w:rFonts w:ascii="Times New Roman" w:hAnsi="Times New Roman"/>
          <w:sz w:val="22"/>
          <w:szCs w:val="22"/>
        </w:rPr>
        <w:t xml:space="preserve">relevant goods </w:t>
      </w:r>
      <w:r w:rsidR="00201402">
        <w:rPr>
          <w:rFonts w:ascii="Times New Roman" w:hAnsi="Times New Roman"/>
          <w:sz w:val="22"/>
          <w:szCs w:val="22"/>
        </w:rPr>
        <w:t xml:space="preserve">to be </w:t>
      </w:r>
      <w:r w:rsidR="00642F79" w:rsidRPr="00EF782D">
        <w:rPr>
          <w:rFonts w:ascii="Times New Roman" w:hAnsi="Times New Roman"/>
          <w:sz w:val="22"/>
          <w:szCs w:val="22"/>
        </w:rPr>
        <w:t xml:space="preserve">therapeutic goods under section 7 of the Act.  In fact, </w:t>
      </w:r>
      <w:r w:rsidR="00B93661" w:rsidRPr="00EF782D">
        <w:rPr>
          <w:rFonts w:ascii="Times New Roman" w:hAnsi="Times New Roman"/>
          <w:sz w:val="22"/>
          <w:szCs w:val="22"/>
        </w:rPr>
        <w:t xml:space="preserve">the effect of </w:t>
      </w:r>
      <w:r w:rsidR="00642F79" w:rsidRPr="00EF782D">
        <w:rPr>
          <w:rFonts w:ascii="Times New Roman" w:hAnsi="Times New Roman"/>
          <w:sz w:val="22"/>
          <w:szCs w:val="22"/>
        </w:rPr>
        <w:t>subsection 7(1A) of the Act</w:t>
      </w:r>
      <w:r w:rsidR="00B93661" w:rsidRPr="00EF782D">
        <w:rPr>
          <w:rFonts w:ascii="Times New Roman" w:hAnsi="Times New Roman"/>
          <w:sz w:val="22"/>
          <w:szCs w:val="22"/>
        </w:rPr>
        <w:t xml:space="preserve"> </w:t>
      </w:r>
      <w:r w:rsidRPr="00EF782D">
        <w:rPr>
          <w:rFonts w:ascii="Times New Roman" w:hAnsi="Times New Roman"/>
          <w:sz w:val="22"/>
          <w:szCs w:val="22"/>
        </w:rPr>
        <w:t xml:space="preserve">expressly obliges </w:t>
      </w:r>
      <w:r w:rsidR="007E4657">
        <w:rPr>
          <w:rFonts w:ascii="Times New Roman" w:hAnsi="Times New Roman"/>
          <w:sz w:val="22"/>
          <w:szCs w:val="22"/>
        </w:rPr>
        <w:t xml:space="preserve">the </w:t>
      </w:r>
      <w:r w:rsidR="00642F79" w:rsidRPr="00EF782D">
        <w:rPr>
          <w:rFonts w:ascii="Times New Roman" w:hAnsi="Times New Roman"/>
          <w:sz w:val="22"/>
          <w:szCs w:val="22"/>
        </w:rPr>
        <w:t xml:space="preserve">Secretary to disregard whether </w:t>
      </w:r>
      <w:r w:rsidRPr="00EF782D">
        <w:rPr>
          <w:rFonts w:ascii="Times New Roman" w:hAnsi="Times New Roman"/>
          <w:sz w:val="22"/>
          <w:szCs w:val="22"/>
        </w:rPr>
        <w:t xml:space="preserve">or not a food standard applies in relation to </w:t>
      </w:r>
      <w:r w:rsidR="00642F79" w:rsidRPr="00EF782D">
        <w:rPr>
          <w:rFonts w:ascii="Times New Roman" w:hAnsi="Times New Roman"/>
          <w:sz w:val="22"/>
          <w:szCs w:val="22"/>
        </w:rPr>
        <w:t>the goods.</w:t>
      </w:r>
    </w:p>
    <w:p w:rsidR="00642F79" w:rsidRPr="00EF782D" w:rsidRDefault="00642F79" w:rsidP="00EF782D">
      <w:pPr>
        <w:rPr>
          <w:rFonts w:ascii="Times New Roman" w:hAnsi="Times New Roman"/>
          <w:sz w:val="22"/>
          <w:szCs w:val="22"/>
        </w:rPr>
      </w:pPr>
    </w:p>
    <w:p w:rsidR="00642F79" w:rsidRPr="00EF782D" w:rsidRDefault="00642F79" w:rsidP="00EF782D">
      <w:pPr>
        <w:rPr>
          <w:rFonts w:ascii="Times New Roman" w:hAnsi="Times New Roman"/>
          <w:sz w:val="22"/>
          <w:szCs w:val="22"/>
        </w:rPr>
      </w:pPr>
      <w:r w:rsidRPr="00EF782D">
        <w:rPr>
          <w:rFonts w:ascii="Times New Roman" w:hAnsi="Times New Roman"/>
          <w:sz w:val="22"/>
          <w:szCs w:val="22"/>
        </w:rPr>
        <w:t xml:space="preserve">Whether a recommended single dose of the goods contains sufficient macronutrients to feed, either exclusively or partially, the person for whom the dose is intended does not affect </w:t>
      </w:r>
      <w:r w:rsidR="003B1D37" w:rsidRPr="00EF782D">
        <w:rPr>
          <w:rFonts w:ascii="Times New Roman" w:hAnsi="Times New Roman"/>
          <w:sz w:val="22"/>
          <w:szCs w:val="22"/>
        </w:rPr>
        <w:t xml:space="preserve">the characterisation of </w:t>
      </w:r>
      <w:r w:rsidRPr="00EF782D">
        <w:rPr>
          <w:rFonts w:ascii="Times New Roman" w:hAnsi="Times New Roman"/>
          <w:sz w:val="22"/>
          <w:szCs w:val="22"/>
        </w:rPr>
        <w:t xml:space="preserve">whether </w:t>
      </w:r>
      <w:r w:rsidR="003B1D37" w:rsidRPr="00EF782D">
        <w:rPr>
          <w:rFonts w:ascii="Times New Roman" w:hAnsi="Times New Roman"/>
          <w:sz w:val="22"/>
          <w:szCs w:val="22"/>
        </w:rPr>
        <w:t xml:space="preserve">or not </w:t>
      </w:r>
      <w:r w:rsidRPr="00EF782D">
        <w:rPr>
          <w:rFonts w:ascii="Times New Roman" w:hAnsi="Times New Roman"/>
          <w:sz w:val="22"/>
          <w:szCs w:val="22"/>
        </w:rPr>
        <w:t>the relevant goods are therapeutic goods.</w:t>
      </w:r>
    </w:p>
    <w:p w:rsidR="00642F79" w:rsidRPr="00EF782D" w:rsidRDefault="00642F79" w:rsidP="00EF782D">
      <w:pPr>
        <w:rPr>
          <w:rFonts w:ascii="Times New Roman" w:hAnsi="Times New Roman"/>
          <w:sz w:val="22"/>
          <w:szCs w:val="22"/>
        </w:rPr>
      </w:pPr>
    </w:p>
    <w:p w:rsidR="001317C9" w:rsidRDefault="00642F79" w:rsidP="00EF782D">
      <w:pPr>
        <w:rPr>
          <w:rFonts w:ascii="Times New Roman" w:hAnsi="Times New Roman"/>
          <w:sz w:val="22"/>
          <w:szCs w:val="22"/>
        </w:rPr>
      </w:pPr>
      <w:r w:rsidRPr="00EF782D">
        <w:rPr>
          <w:rFonts w:ascii="Times New Roman" w:hAnsi="Times New Roman"/>
          <w:sz w:val="22"/>
          <w:szCs w:val="22"/>
        </w:rPr>
        <w:t xml:space="preserve">The fact that the relevant goods contain only folate substances that are found in food (within the ordinary meaning of the word), or that are ordinarily obtained from food, and restore levels of folate that are required for normal function, does not </w:t>
      </w:r>
      <w:r w:rsidR="003B1D37" w:rsidRPr="00EF782D">
        <w:rPr>
          <w:rFonts w:ascii="Times New Roman" w:hAnsi="Times New Roman"/>
          <w:sz w:val="22"/>
          <w:szCs w:val="22"/>
        </w:rPr>
        <w:t xml:space="preserve">preclude the Secretary from declaring those goods to be </w:t>
      </w:r>
      <w:r w:rsidRPr="00EF782D">
        <w:rPr>
          <w:rFonts w:ascii="Times New Roman" w:hAnsi="Times New Roman"/>
          <w:sz w:val="22"/>
          <w:szCs w:val="22"/>
        </w:rPr>
        <w:t xml:space="preserve">therapeutic goods when used, advertised or presented for supply for therapeutic use or in a </w:t>
      </w:r>
      <w:r w:rsidR="00201402">
        <w:rPr>
          <w:rFonts w:ascii="Times New Roman" w:hAnsi="Times New Roman"/>
          <w:sz w:val="22"/>
          <w:szCs w:val="22"/>
        </w:rPr>
        <w:t xml:space="preserve">particular </w:t>
      </w:r>
      <w:r w:rsidRPr="00EF782D">
        <w:rPr>
          <w:rFonts w:ascii="Times New Roman" w:hAnsi="Times New Roman"/>
          <w:sz w:val="22"/>
          <w:szCs w:val="22"/>
        </w:rPr>
        <w:t>way that is likely to be taken to be for therapeutic use.</w:t>
      </w:r>
    </w:p>
    <w:p w:rsidR="001317C9" w:rsidRDefault="001317C9" w:rsidP="00EF782D">
      <w:pPr>
        <w:rPr>
          <w:rFonts w:ascii="Times New Roman" w:hAnsi="Times New Roman"/>
          <w:sz w:val="22"/>
          <w:szCs w:val="22"/>
        </w:rPr>
      </w:pPr>
    </w:p>
    <w:p w:rsidR="000A23A9" w:rsidRDefault="00641DDE" w:rsidP="00EF782D">
      <w:pPr>
        <w:rPr>
          <w:rFonts w:ascii="Times New Roman" w:hAnsi="Times New Roman"/>
          <w:sz w:val="22"/>
          <w:szCs w:val="22"/>
        </w:rPr>
      </w:pPr>
      <w:r>
        <w:rPr>
          <w:rFonts w:ascii="Times New Roman" w:hAnsi="Times New Roman"/>
          <w:sz w:val="22"/>
          <w:szCs w:val="22"/>
        </w:rPr>
        <w:t>T</w:t>
      </w:r>
      <w:r w:rsidR="001317C9">
        <w:rPr>
          <w:rFonts w:ascii="Times New Roman" w:hAnsi="Times New Roman"/>
          <w:sz w:val="22"/>
          <w:szCs w:val="22"/>
        </w:rPr>
        <w:t xml:space="preserve">he power to declare </w:t>
      </w:r>
      <w:r>
        <w:rPr>
          <w:rFonts w:ascii="Times New Roman" w:hAnsi="Times New Roman"/>
          <w:sz w:val="22"/>
          <w:szCs w:val="22"/>
        </w:rPr>
        <w:t xml:space="preserve">goods to be therapeutic goods </w:t>
      </w:r>
      <w:r w:rsidR="001317C9">
        <w:rPr>
          <w:rFonts w:ascii="Times New Roman" w:hAnsi="Times New Roman"/>
          <w:sz w:val="22"/>
          <w:szCs w:val="22"/>
        </w:rPr>
        <w:t xml:space="preserve">does not require an assessment as to whether or not </w:t>
      </w:r>
      <w:r>
        <w:rPr>
          <w:rFonts w:ascii="Times New Roman" w:hAnsi="Times New Roman"/>
          <w:sz w:val="22"/>
          <w:szCs w:val="22"/>
        </w:rPr>
        <w:t xml:space="preserve">those </w:t>
      </w:r>
      <w:r w:rsidR="001317C9">
        <w:rPr>
          <w:rFonts w:ascii="Times New Roman" w:hAnsi="Times New Roman"/>
          <w:sz w:val="22"/>
          <w:szCs w:val="22"/>
        </w:rPr>
        <w:t xml:space="preserve">goods </w:t>
      </w:r>
      <w:r w:rsidR="009132D7">
        <w:rPr>
          <w:rFonts w:ascii="Times New Roman" w:hAnsi="Times New Roman"/>
          <w:sz w:val="22"/>
          <w:szCs w:val="22"/>
        </w:rPr>
        <w:t xml:space="preserve">pose </w:t>
      </w:r>
      <w:r w:rsidR="001317C9">
        <w:rPr>
          <w:rFonts w:ascii="Times New Roman" w:hAnsi="Times New Roman"/>
          <w:sz w:val="22"/>
          <w:szCs w:val="22"/>
        </w:rPr>
        <w:t>an unacceptable risk to human health</w:t>
      </w:r>
      <w:r w:rsidR="009132D7">
        <w:rPr>
          <w:rFonts w:ascii="Times New Roman" w:hAnsi="Times New Roman"/>
          <w:sz w:val="22"/>
          <w:szCs w:val="22"/>
        </w:rPr>
        <w:t xml:space="preserve"> if regulated as foods</w:t>
      </w:r>
      <w:r w:rsidR="001317C9">
        <w:rPr>
          <w:rFonts w:ascii="Times New Roman" w:hAnsi="Times New Roman"/>
          <w:sz w:val="22"/>
          <w:szCs w:val="22"/>
        </w:rPr>
        <w:t xml:space="preserve">.  </w:t>
      </w:r>
      <w:r w:rsidR="009132D7">
        <w:rPr>
          <w:rFonts w:ascii="Times New Roman" w:hAnsi="Times New Roman"/>
          <w:sz w:val="22"/>
          <w:szCs w:val="22"/>
        </w:rPr>
        <w:t>However, the effect of the Amendment Order necessarily ensure</w:t>
      </w:r>
      <w:r w:rsidR="000A23A9">
        <w:rPr>
          <w:rFonts w:ascii="Times New Roman" w:hAnsi="Times New Roman"/>
          <w:sz w:val="22"/>
          <w:szCs w:val="22"/>
        </w:rPr>
        <w:t>s</w:t>
      </w:r>
      <w:r w:rsidR="009132D7">
        <w:rPr>
          <w:rFonts w:ascii="Times New Roman" w:hAnsi="Times New Roman"/>
          <w:sz w:val="22"/>
          <w:szCs w:val="22"/>
        </w:rPr>
        <w:t xml:space="preserve"> that the relevant goods will be regulated under the Act </w:t>
      </w:r>
      <w:r>
        <w:rPr>
          <w:rFonts w:ascii="Times New Roman" w:hAnsi="Times New Roman"/>
          <w:sz w:val="22"/>
          <w:szCs w:val="22"/>
        </w:rPr>
        <w:t xml:space="preserve">as therapeutic goods – principally medicines, that may be required to be registered or listed </w:t>
      </w:r>
      <w:r w:rsidR="009132D7">
        <w:rPr>
          <w:rFonts w:ascii="Times New Roman" w:hAnsi="Times New Roman"/>
          <w:sz w:val="22"/>
          <w:szCs w:val="22"/>
        </w:rPr>
        <w:t>in accordance with the Act and instruments made thereunder</w:t>
      </w:r>
      <w:r>
        <w:rPr>
          <w:rFonts w:ascii="Times New Roman" w:hAnsi="Times New Roman"/>
          <w:sz w:val="22"/>
          <w:szCs w:val="22"/>
        </w:rPr>
        <w:t xml:space="preserve">, having regard to the </w:t>
      </w:r>
      <w:r w:rsidR="000A23A9">
        <w:rPr>
          <w:rFonts w:ascii="Times New Roman" w:hAnsi="Times New Roman"/>
          <w:sz w:val="22"/>
          <w:szCs w:val="22"/>
        </w:rPr>
        <w:t xml:space="preserve">relevant </w:t>
      </w:r>
      <w:r>
        <w:rPr>
          <w:rFonts w:ascii="Times New Roman" w:hAnsi="Times New Roman"/>
          <w:sz w:val="22"/>
          <w:szCs w:val="22"/>
        </w:rPr>
        <w:t xml:space="preserve">risk.  This ultimately </w:t>
      </w:r>
      <w:r w:rsidR="009132D7">
        <w:rPr>
          <w:rFonts w:ascii="Times New Roman" w:hAnsi="Times New Roman"/>
          <w:sz w:val="22"/>
          <w:szCs w:val="22"/>
        </w:rPr>
        <w:t>depend</w:t>
      </w:r>
      <w:r w:rsidR="0084668F">
        <w:rPr>
          <w:rFonts w:ascii="Times New Roman" w:hAnsi="Times New Roman"/>
          <w:sz w:val="22"/>
          <w:szCs w:val="22"/>
        </w:rPr>
        <w:t>s</w:t>
      </w:r>
      <w:r w:rsidR="009132D7">
        <w:rPr>
          <w:rFonts w:ascii="Times New Roman" w:hAnsi="Times New Roman"/>
          <w:sz w:val="22"/>
          <w:szCs w:val="22"/>
        </w:rPr>
        <w:t xml:space="preserve"> on the amount of folate </w:t>
      </w:r>
      <w:r>
        <w:rPr>
          <w:rFonts w:ascii="Times New Roman" w:hAnsi="Times New Roman"/>
          <w:sz w:val="22"/>
          <w:szCs w:val="22"/>
        </w:rPr>
        <w:t xml:space="preserve">in </w:t>
      </w:r>
      <w:r w:rsidR="009132D7">
        <w:rPr>
          <w:rFonts w:ascii="Times New Roman" w:hAnsi="Times New Roman"/>
          <w:sz w:val="22"/>
          <w:szCs w:val="22"/>
        </w:rPr>
        <w:t>the goods and the</w:t>
      </w:r>
      <w:r>
        <w:rPr>
          <w:rFonts w:ascii="Times New Roman" w:hAnsi="Times New Roman"/>
          <w:sz w:val="22"/>
          <w:szCs w:val="22"/>
        </w:rPr>
        <w:t xml:space="preserve"> </w:t>
      </w:r>
      <w:r w:rsidR="009132D7">
        <w:rPr>
          <w:rFonts w:ascii="Times New Roman" w:hAnsi="Times New Roman"/>
          <w:sz w:val="22"/>
          <w:szCs w:val="22"/>
        </w:rPr>
        <w:t>associated therapeutic claims.</w:t>
      </w:r>
    </w:p>
    <w:p w:rsidR="000A23A9" w:rsidRDefault="000A23A9" w:rsidP="00EF782D">
      <w:pPr>
        <w:rPr>
          <w:rFonts w:ascii="Times New Roman" w:hAnsi="Times New Roman"/>
          <w:sz w:val="22"/>
          <w:szCs w:val="22"/>
        </w:rPr>
      </w:pPr>
    </w:p>
    <w:p w:rsidR="00641DDE" w:rsidRDefault="00641DDE" w:rsidP="00EF782D">
      <w:pPr>
        <w:rPr>
          <w:rFonts w:ascii="Times New Roman" w:hAnsi="Times New Roman"/>
          <w:sz w:val="22"/>
          <w:szCs w:val="22"/>
        </w:rPr>
      </w:pPr>
      <w:r>
        <w:rPr>
          <w:rFonts w:ascii="Times New Roman" w:hAnsi="Times New Roman"/>
          <w:sz w:val="22"/>
          <w:szCs w:val="22"/>
        </w:rPr>
        <w:t xml:space="preserve">The fact that such goods may be used as </w:t>
      </w:r>
      <w:r w:rsidR="00542D9D" w:rsidRPr="00542D9D">
        <w:rPr>
          <w:rFonts w:ascii="Times New Roman" w:hAnsi="Times New Roman"/>
          <w:sz w:val="22"/>
          <w:szCs w:val="22"/>
        </w:rPr>
        <w:t>adjunct therap</w:t>
      </w:r>
      <w:r w:rsidR="0084668F">
        <w:rPr>
          <w:rFonts w:ascii="Times New Roman" w:hAnsi="Times New Roman"/>
          <w:sz w:val="22"/>
          <w:szCs w:val="22"/>
        </w:rPr>
        <w:t>ies</w:t>
      </w:r>
      <w:r w:rsidR="00542D9D" w:rsidRPr="00542D9D">
        <w:rPr>
          <w:rFonts w:ascii="Times New Roman" w:hAnsi="Times New Roman"/>
          <w:sz w:val="22"/>
          <w:szCs w:val="22"/>
        </w:rPr>
        <w:t xml:space="preserve"> for conditions such as depression (working in conjunction with prescription medicines), and contain</w:t>
      </w:r>
      <w:r>
        <w:rPr>
          <w:rFonts w:ascii="Times New Roman" w:hAnsi="Times New Roman"/>
          <w:sz w:val="22"/>
          <w:szCs w:val="22"/>
        </w:rPr>
        <w:t>ing</w:t>
      </w:r>
      <w:r w:rsidR="00542D9D" w:rsidRPr="00542D9D">
        <w:rPr>
          <w:rFonts w:ascii="Times New Roman" w:hAnsi="Times New Roman"/>
          <w:sz w:val="22"/>
          <w:szCs w:val="22"/>
        </w:rPr>
        <w:t xml:space="preserve"> substances ordinarily consumed from diet, does not mean </w:t>
      </w:r>
      <w:r>
        <w:rPr>
          <w:rFonts w:ascii="Times New Roman" w:hAnsi="Times New Roman"/>
          <w:sz w:val="22"/>
          <w:szCs w:val="22"/>
        </w:rPr>
        <w:t xml:space="preserve">that these goods </w:t>
      </w:r>
      <w:r w:rsidR="00542D9D" w:rsidRPr="00542D9D">
        <w:rPr>
          <w:rFonts w:ascii="Times New Roman" w:hAnsi="Times New Roman"/>
          <w:sz w:val="22"/>
          <w:szCs w:val="22"/>
        </w:rPr>
        <w:t>are not themselves medicines</w:t>
      </w:r>
      <w:r>
        <w:rPr>
          <w:rFonts w:ascii="Times New Roman" w:hAnsi="Times New Roman"/>
          <w:sz w:val="22"/>
          <w:szCs w:val="22"/>
        </w:rPr>
        <w:t xml:space="preserve">.  Indeed, it is appropriate in the circumstances that the </w:t>
      </w:r>
      <w:r w:rsidR="0084668F">
        <w:rPr>
          <w:rFonts w:ascii="Times New Roman" w:hAnsi="Times New Roman"/>
          <w:sz w:val="22"/>
          <w:szCs w:val="22"/>
        </w:rPr>
        <w:t xml:space="preserve">relevant </w:t>
      </w:r>
      <w:r>
        <w:rPr>
          <w:rFonts w:ascii="Times New Roman" w:hAnsi="Times New Roman"/>
          <w:sz w:val="22"/>
          <w:szCs w:val="22"/>
        </w:rPr>
        <w:t xml:space="preserve">goods are subject to the national system of controls </w:t>
      </w:r>
      <w:r w:rsidR="0084668F">
        <w:rPr>
          <w:rFonts w:ascii="Times New Roman" w:hAnsi="Times New Roman"/>
          <w:sz w:val="22"/>
          <w:szCs w:val="22"/>
        </w:rPr>
        <w:t xml:space="preserve">relating to </w:t>
      </w:r>
      <w:r>
        <w:rPr>
          <w:rFonts w:ascii="Times New Roman" w:hAnsi="Times New Roman"/>
          <w:sz w:val="22"/>
          <w:szCs w:val="22"/>
        </w:rPr>
        <w:t xml:space="preserve">therapeutic goods </w:t>
      </w:r>
      <w:r w:rsidR="0084668F">
        <w:rPr>
          <w:rFonts w:ascii="Times New Roman" w:hAnsi="Times New Roman"/>
          <w:sz w:val="22"/>
          <w:szCs w:val="22"/>
        </w:rPr>
        <w:t xml:space="preserve">which may be described as </w:t>
      </w:r>
      <w:r>
        <w:rPr>
          <w:rFonts w:ascii="Times New Roman" w:hAnsi="Times New Roman"/>
          <w:sz w:val="22"/>
          <w:szCs w:val="22"/>
        </w:rPr>
        <w:t>complementary medicines.</w:t>
      </w:r>
    </w:p>
    <w:p w:rsidR="00642F79" w:rsidRPr="00EF782D" w:rsidRDefault="00642F79" w:rsidP="001766ED">
      <w:pPr>
        <w:rPr>
          <w:rFonts w:ascii="Times New Roman" w:hAnsi="Times New Roman"/>
          <w:sz w:val="22"/>
          <w:szCs w:val="22"/>
          <w:highlight w:val="yellow"/>
        </w:rPr>
      </w:pPr>
    </w:p>
    <w:p w:rsidR="008766BA" w:rsidRPr="00EF782D" w:rsidRDefault="008766BA" w:rsidP="008766BA">
      <w:pPr>
        <w:rPr>
          <w:rFonts w:ascii="Times New Roman" w:hAnsi="Times New Roman"/>
          <w:sz w:val="22"/>
          <w:szCs w:val="22"/>
        </w:rPr>
      </w:pPr>
      <w:r w:rsidRPr="00EF782D">
        <w:rPr>
          <w:rFonts w:ascii="Times New Roman" w:hAnsi="Times New Roman"/>
          <w:b/>
          <w:sz w:val="22"/>
          <w:szCs w:val="22"/>
        </w:rPr>
        <w:t>Consultation</w:t>
      </w:r>
    </w:p>
    <w:p w:rsidR="008766BA" w:rsidRPr="00EF782D" w:rsidRDefault="008766BA" w:rsidP="008766BA">
      <w:pPr>
        <w:rPr>
          <w:rFonts w:ascii="Times New Roman" w:hAnsi="Times New Roman"/>
          <w:sz w:val="22"/>
          <w:szCs w:val="22"/>
        </w:rPr>
      </w:pPr>
    </w:p>
    <w:p w:rsidR="00DF5AF5" w:rsidRPr="00DF5AF5" w:rsidRDefault="008766BA" w:rsidP="00DF5AF5">
      <w:pPr>
        <w:rPr>
          <w:rFonts w:ascii="Times New Roman" w:hAnsi="Times New Roman"/>
          <w:sz w:val="22"/>
          <w:szCs w:val="22"/>
        </w:rPr>
      </w:pPr>
      <w:r w:rsidRPr="00EF782D">
        <w:rPr>
          <w:rFonts w:ascii="Times New Roman" w:hAnsi="Times New Roman"/>
          <w:sz w:val="22"/>
          <w:szCs w:val="22"/>
        </w:rPr>
        <w:t xml:space="preserve">The TGA undertook public consultation in September 2019 regarding the proposal to make an order under subsection 7(1) of the Act to declare a particular class of goods containing folate substances to be therapeutic goods.  As part of the public consultation, the TGA published the proposed declaration, which is in largely similar terms to the Amendment Order.  </w:t>
      </w:r>
      <w:r w:rsidR="00DF5AF5" w:rsidRPr="00DF5AF5">
        <w:rPr>
          <w:rFonts w:ascii="Times New Roman" w:hAnsi="Times New Roman"/>
          <w:sz w:val="22"/>
          <w:szCs w:val="22"/>
        </w:rPr>
        <w:t xml:space="preserve">Twenty-five submissions were received from a range of respondents including investors, consumers, academics, health professionals, health-related organisations and persons associated with corporate entities that may be affected by the proposed declaration, including manufacturers </w:t>
      </w:r>
      <w:r w:rsidR="001505C6">
        <w:rPr>
          <w:rFonts w:ascii="Times New Roman" w:hAnsi="Times New Roman"/>
          <w:sz w:val="22"/>
          <w:szCs w:val="22"/>
        </w:rPr>
        <w:t>and</w:t>
      </w:r>
      <w:r w:rsidR="00DF5AF5" w:rsidRPr="00DF5AF5">
        <w:rPr>
          <w:rFonts w:ascii="Times New Roman" w:hAnsi="Times New Roman"/>
          <w:sz w:val="22"/>
          <w:szCs w:val="22"/>
        </w:rPr>
        <w:t xml:space="preserve"> suppliers.</w:t>
      </w:r>
    </w:p>
    <w:p w:rsidR="00DF5AF5" w:rsidRPr="00DF5AF5" w:rsidRDefault="00DF5AF5" w:rsidP="00DF5AF5">
      <w:pPr>
        <w:rPr>
          <w:rFonts w:ascii="Times New Roman" w:hAnsi="Times New Roman"/>
          <w:sz w:val="22"/>
          <w:szCs w:val="22"/>
        </w:rPr>
      </w:pPr>
    </w:p>
    <w:p w:rsidR="008766BA" w:rsidRPr="00EF782D" w:rsidRDefault="008766BA" w:rsidP="008766BA">
      <w:pPr>
        <w:rPr>
          <w:rFonts w:ascii="Times New Roman" w:hAnsi="Times New Roman"/>
          <w:sz w:val="22"/>
          <w:szCs w:val="22"/>
        </w:rPr>
      </w:pPr>
      <w:r w:rsidRPr="00EF782D">
        <w:rPr>
          <w:rFonts w:ascii="Times New Roman" w:hAnsi="Times New Roman"/>
          <w:sz w:val="22"/>
          <w:szCs w:val="22"/>
        </w:rPr>
        <w:t xml:space="preserve">Following the public consultation, the TGA provided further relevant information in October 2019 to the </w:t>
      </w:r>
      <w:r w:rsidR="00DF5AF5">
        <w:rPr>
          <w:rFonts w:ascii="Times New Roman" w:hAnsi="Times New Roman"/>
          <w:sz w:val="22"/>
          <w:szCs w:val="22"/>
        </w:rPr>
        <w:t>persons</w:t>
      </w:r>
      <w:r w:rsidRPr="00EF782D">
        <w:rPr>
          <w:rFonts w:ascii="Times New Roman" w:hAnsi="Times New Roman"/>
          <w:sz w:val="22"/>
          <w:szCs w:val="22"/>
        </w:rPr>
        <w:t xml:space="preserve"> who had made submissions </w:t>
      </w:r>
      <w:r w:rsidR="00542D9D">
        <w:rPr>
          <w:rFonts w:ascii="Times New Roman" w:hAnsi="Times New Roman"/>
          <w:sz w:val="22"/>
          <w:szCs w:val="22"/>
        </w:rPr>
        <w:t xml:space="preserve">to the public consultation </w:t>
      </w:r>
      <w:r w:rsidRPr="00EF782D">
        <w:rPr>
          <w:rFonts w:ascii="Times New Roman" w:hAnsi="Times New Roman"/>
          <w:sz w:val="22"/>
          <w:szCs w:val="22"/>
        </w:rPr>
        <w:t>(being information before the TGA</w:t>
      </w:r>
      <w:r w:rsidR="00542D9D">
        <w:rPr>
          <w:rFonts w:ascii="Times New Roman" w:hAnsi="Times New Roman"/>
          <w:sz w:val="22"/>
          <w:szCs w:val="22"/>
        </w:rPr>
        <w:t>,</w:t>
      </w:r>
      <w:r w:rsidRPr="00EF782D">
        <w:rPr>
          <w:rFonts w:ascii="Times New Roman" w:hAnsi="Times New Roman"/>
          <w:sz w:val="22"/>
          <w:szCs w:val="22"/>
        </w:rPr>
        <w:t xml:space="preserve"> including information provided by other parties) and invited </w:t>
      </w:r>
      <w:r w:rsidR="00DF5AF5">
        <w:rPr>
          <w:rFonts w:ascii="Times New Roman" w:hAnsi="Times New Roman"/>
          <w:sz w:val="22"/>
          <w:szCs w:val="22"/>
        </w:rPr>
        <w:t xml:space="preserve">supplementary </w:t>
      </w:r>
      <w:r w:rsidRPr="00EF782D">
        <w:rPr>
          <w:rFonts w:ascii="Times New Roman" w:hAnsi="Times New Roman"/>
          <w:sz w:val="22"/>
          <w:szCs w:val="22"/>
        </w:rPr>
        <w:t>comment.</w:t>
      </w:r>
    </w:p>
    <w:p w:rsidR="008766BA" w:rsidRPr="00EF782D" w:rsidRDefault="008766BA" w:rsidP="008766BA">
      <w:pPr>
        <w:rPr>
          <w:rFonts w:ascii="Times New Roman" w:hAnsi="Times New Roman"/>
          <w:sz w:val="22"/>
          <w:szCs w:val="22"/>
        </w:rPr>
      </w:pPr>
    </w:p>
    <w:p w:rsidR="008766BA" w:rsidRPr="00EF782D" w:rsidRDefault="008766BA" w:rsidP="008766BA">
      <w:pPr>
        <w:rPr>
          <w:rFonts w:ascii="Times New Roman" w:hAnsi="Times New Roman"/>
          <w:sz w:val="22"/>
          <w:szCs w:val="22"/>
        </w:rPr>
      </w:pPr>
      <w:r w:rsidRPr="00EF782D">
        <w:rPr>
          <w:rFonts w:ascii="Times New Roman" w:hAnsi="Times New Roman"/>
          <w:sz w:val="22"/>
          <w:szCs w:val="22"/>
        </w:rPr>
        <w:t>A number of submissions objected to the terms of the proposed declaration on the basis of the anticipated financial and other impact</w:t>
      </w:r>
      <w:r w:rsidR="00DF5AF5">
        <w:rPr>
          <w:rFonts w:ascii="Times New Roman" w:hAnsi="Times New Roman"/>
          <w:sz w:val="22"/>
          <w:szCs w:val="22"/>
        </w:rPr>
        <w:t>s</w:t>
      </w:r>
      <w:r w:rsidRPr="00EF782D">
        <w:rPr>
          <w:rFonts w:ascii="Times New Roman" w:hAnsi="Times New Roman"/>
          <w:sz w:val="22"/>
          <w:szCs w:val="22"/>
        </w:rPr>
        <w:t xml:space="preserve"> </w:t>
      </w:r>
      <w:r w:rsidR="00DF5AF5">
        <w:rPr>
          <w:rFonts w:ascii="Times New Roman" w:hAnsi="Times New Roman"/>
          <w:sz w:val="22"/>
          <w:szCs w:val="22"/>
        </w:rPr>
        <w:t xml:space="preserve">that the proposed declaration </w:t>
      </w:r>
      <w:r w:rsidRPr="00EF782D">
        <w:rPr>
          <w:rFonts w:ascii="Times New Roman" w:hAnsi="Times New Roman"/>
          <w:sz w:val="22"/>
          <w:szCs w:val="22"/>
        </w:rPr>
        <w:t xml:space="preserve">would have on </w:t>
      </w:r>
      <w:r w:rsidR="00DF5AF5">
        <w:rPr>
          <w:rFonts w:ascii="Times New Roman" w:hAnsi="Times New Roman"/>
          <w:sz w:val="22"/>
          <w:szCs w:val="22"/>
        </w:rPr>
        <w:t xml:space="preserve">a particular </w:t>
      </w:r>
      <w:r w:rsidRPr="00EF782D">
        <w:rPr>
          <w:rFonts w:ascii="Times New Roman" w:hAnsi="Times New Roman"/>
          <w:sz w:val="22"/>
          <w:szCs w:val="22"/>
        </w:rPr>
        <w:t>entity</w:t>
      </w:r>
      <w:r w:rsidR="00542D9D">
        <w:rPr>
          <w:rFonts w:ascii="Times New Roman" w:hAnsi="Times New Roman"/>
          <w:sz w:val="22"/>
          <w:szCs w:val="22"/>
        </w:rPr>
        <w:t>,</w:t>
      </w:r>
      <w:r w:rsidRPr="00EF782D">
        <w:rPr>
          <w:rFonts w:ascii="Times New Roman" w:hAnsi="Times New Roman"/>
          <w:sz w:val="22"/>
          <w:szCs w:val="22"/>
        </w:rPr>
        <w:t xml:space="preserve"> </w:t>
      </w:r>
      <w:r w:rsidR="00DF5AF5">
        <w:rPr>
          <w:rFonts w:ascii="Times New Roman" w:hAnsi="Times New Roman"/>
          <w:sz w:val="22"/>
          <w:szCs w:val="22"/>
        </w:rPr>
        <w:t xml:space="preserve">including </w:t>
      </w:r>
      <w:r w:rsidRPr="00EF782D">
        <w:rPr>
          <w:rFonts w:ascii="Times New Roman" w:hAnsi="Times New Roman"/>
          <w:sz w:val="22"/>
          <w:szCs w:val="22"/>
        </w:rPr>
        <w:t>its investors and staff</w:t>
      </w:r>
      <w:r w:rsidR="00542D9D">
        <w:rPr>
          <w:rFonts w:ascii="Times New Roman" w:hAnsi="Times New Roman"/>
          <w:sz w:val="22"/>
          <w:szCs w:val="22"/>
        </w:rPr>
        <w:t>.  That entity is</w:t>
      </w:r>
      <w:r w:rsidRPr="00EF782D">
        <w:rPr>
          <w:rFonts w:ascii="Times New Roman" w:hAnsi="Times New Roman"/>
          <w:sz w:val="22"/>
          <w:szCs w:val="22"/>
        </w:rPr>
        <w:t xml:space="preserve"> presently supply</w:t>
      </w:r>
      <w:r w:rsidR="00DF5AF5">
        <w:rPr>
          <w:rFonts w:ascii="Times New Roman" w:hAnsi="Times New Roman"/>
          <w:sz w:val="22"/>
          <w:szCs w:val="22"/>
        </w:rPr>
        <w:t xml:space="preserve">ing </w:t>
      </w:r>
      <w:r w:rsidR="001505C6">
        <w:rPr>
          <w:rFonts w:ascii="Times New Roman" w:hAnsi="Times New Roman"/>
          <w:sz w:val="22"/>
          <w:szCs w:val="22"/>
        </w:rPr>
        <w:t xml:space="preserve">goods </w:t>
      </w:r>
      <w:r w:rsidR="00DF5AF5">
        <w:rPr>
          <w:rFonts w:ascii="Times New Roman" w:hAnsi="Times New Roman"/>
          <w:sz w:val="22"/>
          <w:szCs w:val="22"/>
        </w:rPr>
        <w:t xml:space="preserve">that would appear to fall </w:t>
      </w:r>
      <w:r w:rsidRPr="00EF782D">
        <w:rPr>
          <w:rFonts w:ascii="Times New Roman" w:hAnsi="Times New Roman"/>
          <w:sz w:val="22"/>
          <w:szCs w:val="22"/>
        </w:rPr>
        <w:t>within the terms of the declaration</w:t>
      </w:r>
      <w:r w:rsidR="00542D9D">
        <w:rPr>
          <w:rFonts w:ascii="Times New Roman" w:hAnsi="Times New Roman"/>
          <w:sz w:val="22"/>
          <w:szCs w:val="22"/>
        </w:rPr>
        <w:t xml:space="preserve">; and the impacts would </w:t>
      </w:r>
      <w:r w:rsidR="000A23A9">
        <w:rPr>
          <w:rFonts w:ascii="Times New Roman" w:hAnsi="Times New Roman"/>
          <w:sz w:val="22"/>
          <w:szCs w:val="22"/>
        </w:rPr>
        <w:t xml:space="preserve">therefore </w:t>
      </w:r>
      <w:r w:rsidR="00542D9D">
        <w:rPr>
          <w:rFonts w:ascii="Times New Roman" w:hAnsi="Times New Roman"/>
          <w:sz w:val="22"/>
          <w:szCs w:val="22"/>
        </w:rPr>
        <w:t xml:space="preserve">include </w:t>
      </w:r>
      <w:r w:rsidRPr="00EF782D">
        <w:rPr>
          <w:rFonts w:ascii="Times New Roman" w:hAnsi="Times New Roman"/>
          <w:sz w:val="22"/>
          <w:szCs w:val="22"/>
        </w:rPr>
        <w:t xml:space="preserve">the practical requirements for </w:t>
      </w:r>
      <w:r w:rsidR="00542D9D">
        <w:rPr>
          <w:rFonts w:ascii="Times New Roman" w:hAnsi="Times New Roman"/>
          <w:sz w:val="22"/>
          <w:szCs w:val="22"/>
        </w:rPr>
        <w:t xml:space="preserve">registering or listing </w:t>
      </w:r>
      <w:r w:rsidR="000A23A9">
        <w:rPr>
          <w:rFonts w:ascii="Times New Roman" w:hAnsi="Times New Roman"/>
          <w:sz w:val="22"/>
          <w:szCs w:val="22"/>
        </w:rPr>
        <w:t xml:space="preserve">the </w:t>
      </w:r>
      <w:r w:rsidR="00542D9D">
        <w:rPr>
          <w:rFonts w:ascii="Times New Roman" w:hAnsi="Times New Roman"/>
          <w:sz w:val="22"/>
          <w:szCs w:val="22"/>
        </w:rPr>
        <w:t xml:space="preserve">goods on </w:t>
      </w:r>
      <w:r w:rsidRPr="00EF782D">
        <w:rPr>
          <w:rFonts w:ascii="Times New Roman" w:hAnsi="Times New Roman"/>
          <w:sz w:val="22"/>
          <w:szCs w:val="22"/>
        </w:rPr>
        <w:t xml:space="preserve">the Australian </w:t>
      </w:r>
      <w:r w:rsidR="00DF5AF5" w:rsidRPr="00EF782D">
        <w:rPr>
          <w:rFonts w:ascii="Times New Roman" w:hAnsi="Times New Roman"/>
          <w:sz w:val="22"/>
          <w:szCs w:val="22"/>
        </w:rPr>
        <w:t>Register of Therapeutic Goods (</w:t>
      </w:r>
      <w:r w:rsidR="00DF5AF5">
        <w:rPr>
          <w:rFonts w:ascii="Times New Roman" w:hAnsi="Times New Roman"/>
          <w:sz w:val="22"/>
          <w:szCs w:val="22"/>
        </w:rPr>
        <w:t>“</w:t>
      </w:r>
      <w:r w:rsidRPr="00EF782D">
        <w:rPr>
          <w:rFonts w:ascii="Times New Roman" w:hAnsi="Times New Roman"/>
          <w:sz w:val="22"/>
          <w:szCs w:val="22"/>
        </w:rPr>
        <w:t>the</w:t>
      </w:r>
      <w:r w:rsidR="00542D9D" w:rsidRPr="00EF782D">
        <w:rPr>
          <w:rFonts w:ascii="Times New Roman" w:hAnsi="Times New Roman"/>
          <w:sz w:val="22"/>
          <w:szCs w:val="22"/>
        </w:rPr>
        <w:t> </w:t>
      </w:r>
      <w:r w:rsidR="00DF5AF5">
        <w:rPr>
          <w:rFonts w:ascii="Times New Roman" w:hAnsi="Times New Roman"/>
          <w:sz w:val="22"/>
          <w:szCs w:val="22"/>
        </w:rPr>
        <w:t>Register”</w:t>
      </w:r>
      <w:r w:rsidR="00542D9D" w:rsidRPr="00EF782D">
        <w:rPr>
          <w:rFonts w:ascii="Times New Roman" w:hAnsi="Times New Roman"/>
          <w:sz w:val="22"/>
          <w:szCs w:val="22"/>
        </w:rPr>
        <w:t>).</w:t>
      </w:r>
    </w:p>
    <w:p w:rsidR="008766BA" w:rsidRPr="00EF782D" w:rsidRDefault="008766BA" w:rsidP="008766BA">
      <w:pPr>
        <w:rPr>
          <w:rFonts w:ascii="Times New Roman" w:hAnsi="Times New Roman"/>
          <w:sz w:val="22"/>
          <w:szCs w:val="22"/>
        </w:rPr>
      </w:pPr>
    </w:p>
    <w:p w:rsidR="001505C6" w:rsidRPr="00EF782D" w:rsidRDefault="008766BA" w:rsidP="001505C6">
      <w:pPr>
        <w:rPr>
          <w:rFonts w:ascii="Times New Roman" w:hAnsi="Times New Roman"/>
          <w:sz w:val="22"/>
          <w:szCs w:val="22"/>
        </w:rPr>
      </w:pPr>
      <w:r w:rsidRPr="00EF782D">
        <w:rPr>
          <w:rFonts w:ascii="Times New Roman" w:hAnsi="Times New Roman"/>
          <w:sz w:val="22"/>
          <w:szCs w:val="22"/>
        </w:rPr>
        <w:t xml:space="preserve">A related issue raised by some </w:t>
      </w:r>
      <w:r w:rsidR="00DF5AF5">
        <w:rPr>
          <w:rFonts w:ascii="Times New Roman" w:hAnsi="Times New Roman"/>
          <w:sz w:val="22"/>
          <w:szCs w:val="22"/>
        </w:rPr>
        <w:t xml:space="preserve">respondents </w:t>
      </w:r>
      <w:r w:rsidR="001505C6">
        <w:rPr>
          <w:rFonts w:ascii="Times New Roman" w:hAnsi="Times New Roman"/>
          <w:sz w:val="22"/>
          <w:szCs w:val="22"/>
        </w:rPr>
        <w:t xml:space="preserve">was </w:t>
      </w:r>
      <w:r w:rsidRPr="00EF782D">
        <w:rPr>
          <w:rFonts w:ascii="Times New Roman" w:hAnsi="Times New Roman"/>
          <w:sz w:val="22"/>
          <w:szCs w:val="22"/>
        </w:rPr>
        <w:t xml:space="preserve">the potential loss of access by </w:t>
      </w:r>
      <w:r w:rsidR="00DF5AF5">
        <w:rPr>
          <w:rFonts w:ascii="Times New Roman" w:hAnsi="Times New Roman"/>
          <w:sz w:val="22"/>
          <w:szCs w:val="22"/>
        </w:rPr>
        <w:t xml:space="preserve">consumers </w:t>
      </w:r>
      <w:r w:rsidRPr="00EF782D">
        <w:rPr>
          <w:rFonts w:ascii="Times New Roman" w:hAnsi="Times New Roman"/>
          <w:sz w:val="22"/>
          <w:szCs w:val="22"/>
        </w:rPr>
        <w:t xml:space="preserve">of </w:t>
      </w:r>
      <w:r w:rsidR="00DF5AF5">
        <w:rPr>
          <w:rFonts w:ascii="Times New Roman" w:hAnsi="Times New Roman"/>
          <w:sz w:val="22"/>
          <w:szCs w:val="22"/>
        </w:rPr>
        <w:t xml:space="preserve">the </w:t>
      </w:r>
      <w:r w:rsidRPr="00EF782D">
        <w:rPr>
          <w:rFonts w:ascii="Times New Roman" w:hAnsi="Times New Roman"/>
          <w:sz w:val="22"/>
          <w:szCs w:val="22"/>
        </w:rPr>
        <w:t xml:space="preserve">affected </w:t>
      </w:r>
      <w:r w:rsidR="00DF5AF5">
        <w:rPr>
          <w:rFonts w:ascii="Times New Roman" w:hAnsi="Times New Roman"/>
          <w:sz w:val="22"/>
          <w:szCs w:val="22"/>
        </w:rPr>
        <w:t>goods</w:t>
      </w:r>
      <w:r w:rsidR="00495B46">
        <w:rPr>
          <w:rFonts w:ascii="Times New Roman" w:hAnsi="Times New Roman"/>
          <w:sz w:val="22"/>
          <w:szCs w:val="22"/>
        </w:rPr>
        <w:t>,</w:t>
      </w:r>
      <w:r w:rsidR="00DF5AF5">
        <w:rPr>
          <w:rFonts w:ascii="Times New Roman" w:hAnsi="Times New Roman"/>
          <w:sz w:val="22"/>
          <w:szCs w:val="22"/>
        </w:rPr>
        <w:t xml:space="preserve"> </w:t>
      </w:r>
      <w:r w:rsidRPr="00EF782D">
        <w:rPr>
          <w:rFonts w:ascii="Times New Roman" w:hAnsi="Times New Roman"/>
          <w:sz w:val="22"/>
          <w:szCs w:val="22"/>
        </w:rPr>
        <w:t xml:space="preserve">which have been </w:t>
      </w:r>
      <w:r w:rsidR="00DF5AF5">
        <w:rPr>
          <w:rFonts w:ascii="Times New Roman" w:hAnsi="Times New Roman"/>
          <w:sz w:val="22"/>
          <w:szCs w:val="22"/>
        </w:rPr>
        <w:t xml:space="preserve">manufactured and supplied </w:t>
      </w:r>
      <w:r w:rsidRPr="00EF782D">
        <w:rPr>
          <w:rFonts w:ascii="Times New Roman" w:hAnsi="Times New Roman"/>
          <w:sz w:val="22"/>
          <w:szCs w:val="22"/>
        </w:rPr>
        <w:t xml:space="preserve">as if </w:t>
      </w:r>
      <w:r w:rsidR="001505C6">
        <w:rPr>
          <w:rFonts w:ascii="Times New Roman" w:hAnsi="Times New Roman"/>
          <w:sz w:val="22"/>
          <w:szCs w:val="22"/>
        </w:rPr>
        <w:t xml:space="preserve">those goods </w:t>
      </w:r>
      <w:r w:rsidR="001317C9">
        <w:rPr>
          <w:rFonts w:ascii="Times New Roman" w:hAnsi="Times New Roman"/>
          <w:sz w:val="22"/>
          <w:szCs w:val="22"/>
        </w:rPr>
        <w:t xml:space="preserve">were </w:t>
      </w:r>
      <w:r w:rsidR="006E7063">
        <w:rPr>
          <w:rFonts w:ascii="Times New Roman" w:hAnsi="Times New Roman"/>
          <w:sz w:val="22"/>
          <w:szCs w:val="22"/>
        </w:rPr>
        <w:t>not subject to the </w:t>
      </w:r>
      <w:bookmarkStart w:id="1" w:name="_GoBack"/>
      <w:bookmarkEnd w:id="1"/>
      <w:r w:rsidRPr="00EF782D">
        <w:rPr>
          <w:rFonts w:ascii="Times New Roman" w:hAnsi="Times New Roman"/>
          <w:sz w:val="22"/>
          <w:szCs w:val="22"/>
        </w:rPr>
        <w:t>therapeutic goods framework but, following the making of the declaration, would clearly be so regulated</w:t>
      </w:r>
      <w:r w:rsidR="001505C6">
        <w:rPr>
          <w:rFonts w:ascii="Times New Roman" w:hAnsi="Times New Roman"/>
          <w:sz w:val="22"/>
          <w:szCs w:val="22"/>
        </w:rPr>
        <w:t xml:space="preserve">.  These respondents made submissions regarding the </w:t>
      </w:r>
      <w:r w:rsidRPr="00EF782D">
        <w:rPr>
          <w:rFonts w:ascii="Times New Roman" w:hAnsi="Times New Roman"/>
          <w:sz w:val="22"/>
          <w:szCs w:val="22"/>
        </w:rPr>
        <w:t xml:space="preserve">consequent hardship </w:t>
      </w:r>
      <w:r w:rsidR="001505C6">
        <w:rPr>
          <w:rFonts w:ascii="Times New Roman" w:hAnsi="Times New Roman"/>
          <w:sz w:val="22"/>
          <w:szCs w:val="22"/>
        </w:rPr>
        <w:t>on consumers</w:t>
      </w:r>
      <w:r w:rsidRPr="00EF782D">
        <w:rPr>
          <w:rFonts w:ascii="Times New Roman" w:hAnsi="Times New Roman"/>
          <w:sz w:val="22"/>
          <w:szCs w:val="22"/>
        </w:rPr>
        <w:t xml:space="preserve"> if </w:t>
      </w:r>
      <w:r w:rsidR="001505C6">
        <w:rPr>
          <w:rFonts w:ascii="Times New Roman" w:hAnsi="Times New Roman"/>
          <w:sz w:val="22"/>
          <w:szCs w:val="22"/>
        </w:rPr>
        <w:t xml:space="preserve">the proposed declaration </w:t>
      </w:r>
      <w:r w:rsidR="001317C9">
        <w:rPr>
          <w:rFonts w:ascii="Times New Roman" w:hAnsi="Times New Roman"/>
          <w:sz w:val="22"/>
          <w:szCs w:val="22"/>
        </w:rPr>
        <w:t xml:space="preserve">were to be </w:t>
      </w:r>
      <w:r w:rsidR="001505C6">
        <w:rPr>
          <w:rFonts w:ascii="Times New Roman" w:hAnsi="Times New Roman"/>
          <w:sz w:val="22"/>
          <w:szCs w:val="22"/>
        </w:rPr>
        <w:t>made</w:t>
      </w:r>
      <w:r w:rsidRPr="00EF782D">
        <w:rPr>
          <w:rFonts w:ascii="Times New Roman" w:hAnsi="Times New Roman"/>
          <w:sz w:val="22"/>
          <w:szCs w:val="22"/>
        </w:rPr>
        <w:t xml:space="preserve">. </w:t>
      </w:r>
      <w:r w:rsidR="001505C6">
        <w:rPr>
          <w:rFonts w:ascii="Times New Roman" w:hAnsi="Times New Roman"/>
          <w:sz w:val="22"/>
          <w:szCs w:val="22"/>
        </w:rPr>
        <w:t xml:space="preserve"> A number of respondents </w:t>
      </w:r>
      <w:r w:rsidRPr="00EF782D">
        <w:rPr>
          <w:rFonts w:ascii="Times New Roman" w:hAnsi="Times New Roman"/>
          <w:sz w:val="22"/>
          <w:szCs w:val="22"/>
        </w:rPr>
        <w:t xml:space="preserve">were concerned that </w:t>
      </w:r>
      <w:r w:rsidR="001505C6" w:rsidRPr="00EF782D">
        <w:rPr>
          <w:rFonts w:ascii="Times New Roman" w:hAnsi="Times New Roman"/>
          <w:sz w:val="22"/>
          <w:szCs w:val="22"/>
        </w:rPr>
        <w:t xml:space="preserve">relevant schemes under the Act relating to alternative </w:t>
      </w:r>
      <w:r w:rsidR="001505C6" w:rsidRPr="00EF782D">
        <w:rPr>
          <w:rFonts w:ascii="Times New Roman" w:hAnsi="Times New Roman"/>
          <w:sz w:val="22"/>
          <w:szCs w:val="22"/>
        </w:rPr>
        <w:lastRenderedPageBreak/>
        <w:t xml:space="preserve">access (that is, the Authorised Prescriber Scheme and </w:t>
      </w:r>
      <w:r w:rsidR="001317C9">
        <w:rPr>
          <w:rFonts w:ascii="Times New Roman" w:hAnsi="Times New Roman"/>
          <w:sz w:val="22"/>
          <w:szCs w:val="22"/>
        </w:rPr>
        <w:t xml:space="preserve">the </w:t>
      </w:r>
      <w:r w:rsidR="001505C6" w:rsidRPr="00EF782D">
        <w:rPr>
          <w:rFonts w:ascii="Times New Roman" w:hAnsi="Times New Roman"/>
          <w:sz w:val="22"/>
          <w:szCs w:val="22"/>
        </w:rPr>
        <w:t>Special Access Scheme) would not be effective.</w:t>
      </w:r>
    </w:p>
    <w:p w:rsidR="008766BA" w:rsidRPr="00EF782D" w:rsidRDefault="008766BA" w:rsidP="008766BA">
      <w:pPr>
        <w:rPr>
          <w:rFonts w:ascii="Times New Roman" w:hAnsi="Times New Roman"/>
          <w:sz w:val="22"/>
          <w:szCs w:val="22"/>
        </w:rPr>
      </w:pPr>
    </w:p>
    <w:p w:rsidR="008766BA" w:rsidRPr="00EF782D" w:rsidRDefault="00495B46" w:rsidP="008766BA">
      <w:pPr>
        <w:rPr>
          <w:rFonts w:ascii="Times New Roman" w:hAnsi="Times New Roman"/>
          <w:sz w:val="22"/>
          <w:szCs w:val="22"/>
        </w:rPr>
      </w:pPr>
      <w:r>
        <w:rPr>
          <w:rFonts w:ascii="Times New Roman" w:hAnsi="Times New Roman"/>
          <w:sz w:val="22"/>
          <w:szCs w:val="22"/>
        </w:rPr>
        <w:t xml:space="preserve">The relevant </w:t>
      </w:r>
      <w:r w:rsidR="001505C6">
        <w:rPr>
          <w:rFonts w:ascii="Times New Roman" w:hAnsi="Times New Roman"/>
          <w:sz w:val="22"/>
          <w:szCs w:val="22"/>
        </w:rPr>
        <w:t xml:space="preserve">goods </w:t>
      </w:r>
      <w:r w:rsidR="008766BA" w:rsidRPr="00EF782D">
        <w:rPr>
          <w:rFonts w:ascii="Times New Roman" w:hAnsi="Times New Roman"/>
          <w:sz w:val="22"/>
          <w:szCs w:val="22"/>
        </w:rPr>
        <w:t xml:space="preserve">affected by the declaration may continue to be </w:t>
      </w:r>
      <w:r w:rsidR="001505C6">
        <w:rPr>
          <w:rFonts w:ascii="Times New Roman" w:hAnsi="Times New Roman"/>
          <w:sz w:val="22"/>
          <w:szCs w:val="22"/>
        </w:rPr>
        <w:t xml:space="preserve">supplied to consumers </w:t>
      </w:r>
      <w:r w:rsidR="008766BA" w:rsidRPr="00EF782D">
        <w:rPr>
          <w:rFonts w:ascii="Times New Roman" w:hAnsi="Times New Roman"/>
          <w:sz w:val="22"/>
          <w:szCs w:val="22"/>
        </w:rPr>
        <w:t xml:space="preserve">under </w:t>
      </w:r>
      <w:r w:rsidR="00C47D8D">
        <w:rPr>
          <w:rFonts w:ascii="Times New Roman" w:hAnsi="Times New Roman"/>
          <w:sz w:val="22"/>
          <w:szCs w:val="22"/>
        </w:rPr>
        <w:t xml:space="preserve">the </w:t>
      </w:r>
      <w:r w:rsidR="001317C9">
        <w:rPr>
          <w:rFonts w:ascii="Times New Roman" w:hAnsi="Times New Roman"/>
          <w:sz w:val="22"/>
          <w:szCs w:val="22"/>
        </w:rPr>
        <w:t xml:space="preserve">alternative access </w:t>
      </w:r>
      <w:r w:rsidR="001505C6">
        <w:rPr>
          <w:rFonts w:ascii="Times New Roman" w:hAnsi="Times New Roman"/>
          <w:sz w:val="22"/>
          <w:szCs w:val="22"/>
        </w:rPr>
        <w:t>schemes</w:t>
      </w:r>
      <w:r w:rsidR="008766BA" w:rsidRPr="00EF782D">
        <w:rPr>
          <w:rFonts w:ascii="Times New Roman" w:hAnsi="Times New Roman"/>
          <w:sz w:val="22"/>
          <w:szCs w:val="22"/>
        </w:rPr>
        <w:t xml:space="preserve"> </w:t>
      </w:r>
      <w:r w:rsidR="001505C6">
        <w:rPr>
          <w:rFonts w:ascii="Times New Roman" w:hAnsi="Times New Roman"/>
          <w:sz w:val="22"/>
          <w:szCs w:val="22"/>
        </w:rPr>
        <w:t xml:space="preserve">until such time </w:t>
      </w:r>
      <w:r w:rsidR="001317C9">
        <w:rPr>
          <w:rFonts w:ascii="Times New Roman" w:hAnsi="Times New Roman"/>
          <w:sz w:val="22"/>
          <w:szCs w:val="22"/>
        </w:rPr>
        <w:t xml:space="preserve">as those goods are registered or listed on the Register.  </w:t>
      </w:r>
      <w:r w:rsidR="008766BA" w:rsidRPr="00EF782D">
        <w:rPr>
          <w:rFonts w:ascii="Times New Roman" w:hAnsi="Times New Roman"/>
          <w:sz w:val="22"/>
          <w:szCs w:val="22"/>
        </w:rPr>
        <w:t>Th</w:t>
      </w:r>
      <w:r w:rsidR="00C47D8D">
        <w:rPr>
          <w:rFonts w:ascii="Times New Roman" w:hAnsi="Times New Roman"/>
          <w:sz w:val="22"/>
          <w:szCs w:val="22"/>
        </w:rPr>
        <w:t>e</w:t>
      </w:r>
      <w:r>
        <w:rPr>
          <w:rFonts w:ascii="Times New Roman" w:hAnsi="Times New Roman"/>
          <w:sz w:val="22"/>
          <w:szCs w:val="22"/>
        </w:rPr>
        <w:t> alternative access</w:t>
      </w:r>
      <w:r w:rsidR="00AD1877">
        <w:rPr>
          <w:rFonts w:ascii="Times New Roman" w:hAnsi="Times New Roman"/>
          <w:sz w:val="22"/>
          <w:szCs w:val="22"/>
        </w:rPr>
        <w:t xml:space="preserve"> </w:t>
      </w:r>
      <w:r w:rsidR="001317C9">
        <w:rPr>
          <w:rFonts w:ascii="Times New Roman" w:hAnsi="Times New Roman"/>
          <w:sz w:val="22"/>
          <w:szCs w:val="22"/>
        </w:rPr>
        <w:t>scheme</w:t>
      </w:r>
      <w:r w:rsidR="0084668F">
        <w:rPr>
          <w:rFonts w:ascii="Times New Roman" w:hAnsi="Times New Roman"/>
          <w:sz w:val="22"/>
          <w:szCs w:val="22"/>
        </w:rPr>
        <w:t xml:space="preserve">s </w:t>
      </w:r>
      <w:r w:rsidR="008766BA" w:rsidRPr="00EF782D">
        <w:rPr>
          <w:rFonts w:ascii="Times New Roman" w:hAnsi="Times New Roman"/>
          <w:sz w:val="22"/>
          <w:szCs w:val="22"/>
        </w:rPr>
        <w:t xml:space="preserve">are means by which the impact on affected entities currently supplying </w:t>
      </w:r>
      <w:r w:rsidR="0084668F">
        <w:rPr>
          <w:rFonts w:ascii="Times New Roman" w:hAnsi="Times New Roman"/>
          <w:sz w:val="22"/>
          <w:szCs w:val="22"/>
        </w:rPr>
        <w:t xml:space="preserve">goods </w:t>
      </w:r>
      <w:r w:rsidR="008766BA" w:rsidRPr="00EF782D">
        <w:rPr>
          <w:rFonts w:ascii="Times New Roman" w:hAnsi="Times New Roman"/>
          <w:sz w:val="22"/>
          <w:szCs w:val="22"/>
        </w:rPr>
        <w:t xml:space="preserve">within the terms of the declaration and </w:t>
      </w:r>
      <w:r w:rsidR="0084668F">
        <w:rPr>
          <w:rFonts w:ascii="Times New Roman" w:hAnsi="Times New Roman"/>
          <w:sz w:val="22"/>
          <w:szCs w:val="22"/>
        </w:rPr>
        <w:t xml:space="preserve">consumers </w:t>
      </w:r>
      <w:r w:rsidR="008766BA" w:rsidRPr="00EF782D">
        <w:rPr>
          <w:rFonts w:ascii="Times New Roman" w:hAnsi="Times New Roman"/>
          <w:sz w:val="22"/>
          <w:szCs w:val="22"/>
        </w:rPr>
        <w:t xml:space="preserve">using </w:t>
      </w:r>
      <w:r w:rsidR="0084668F">
        <w:rPr>
          <w:rFonts w:ascii="Times New Roman" w:hAnsi="Times New Roman"/>
          <w:sz w:val="22"/>
          <w:szCs w:val="22"/>
        </w:rPr>
        <w:t xml:space="preserve">those goods </w:t>
      </w:r>
      <w:r w:rsidR="008766BA" w:rsidRPr="00EF782D">
        <w:rPr>
          <w:rFonts w:ascii="Times New Roman" w:hAnsi="Times New Roman"/>
          <w:sz w:val="22"/>
          <w:szCs w:val="22"/>
        </w:rPr>
        <w:t xml:space="preserve">may be managed. </w:t>
      </w:r>
      <w:r w:rsidR="0084668F">
        <w:rPr>
          <w:rFonts w:ascii="Times New Roman" w:hAnsi="Times New Roman"/>
          <w:sz w:val="22"/>
          <w:szCs w:val="22"/>
        </w:rPr>
        <w:t xml:space="preserve"> </w:t>
      </w:r>
      <w:r w:rsidR="008766BA" w:rsidRPr="00EF782D">
        <w:rPr>
          <w:rFonts w:ascii="Times New Roman" w:hAnsi="Times New Roman"/>
          <w:sz w:val="22"/>
          <w:szCs w:val="22"/>
        </w:rPr>
        <w:t xml:space="preserve">The schemes involve health practitioners </w:t>
      </w:r>
      <w:r w:rsidR="004B5EC2">
        <w:rPr>
          <w:rFonts w:ascii="Times New Roman" w:hAnsi="Times New Roman"/>
          <w:sz w:val="22"/>
          <w:szCs w:val="22"/>
        </w:rPr>
        <w:t xml:space="preserve">facilitating </w:t>
      </w:r>
      <w:r w:rsidR="008766BA" w:rsidRPr="00EF782D">
        <w:rPr>
          <w:rFonts w:ascii="Times New Roman" w:hAnsi="Times New Roman"/>
          <w:sz w:val="22"/>
          <w:szCs w:val="22"/>
        </w:rPr>
        <w:t>access</w:t>
      </w:r>
      <w:r w:rsidR="004B5EC2">
        <w:rPr>
          <w:rFonts w:ascii="Times New Roman" w:hAnsi="Times New Roman"/>
          <w:sz w:val="22"/>
          <w:szCs w:val="22"/>
        </w:rPr>
        <w:t xml:space="preserve"> to goods</w:t>
      </w:r>
      <w:r w:rsidR="00AD1877">
        <w:rPr>
          <w:rFonts w:ascii="Times New Roman" w:hAnsi="Times New Roman"/>
          <w:sz w:val="22"/>
          <w:szCs w:val="22"/>
        </w:rPr>
        <w:t xml:space="preserve"> which are not presently approved for general marketing in Australia.  This </w:t>
      </w:r>
      <w:r w:rsidR="004B5EC2">
        <w:rPr>
          <w:rFonts w:ascii="Times New Roman" w:hAnsi="Times New Roman"/>
          <w:sz w:val="22"/>
          <w:szCs w:val="22"/>
        </w:rPr>
        <w:t xml:space="preserve">is reasonable in the </w:t>
      </w:r>
      <w:r w:rsidR="00C47D8D">
        <w:rPr>
          <w:rFonts w:ascii="Times New Roman" w:hAnsi="Times New Roman"/>
          <w:sz w:val="22"/>
          <w:szCs w:val="22"/>
        </w:rPr>
        <w:t xml:space="preserve">circumstances given that the goods are, whether because of the way in which the goods are presented or for any other reason, likely to be taken to be, for </w:t>
      </w:r>
      <w:r w:rsidR="004B5EC2">
        <w:rPr>
          <w:rFonts w:ascii="Times New Roman" w:hAnsi="Times New Roman"/>
          <w:sz w:val="22"/>
          <w:szCs w:val="22"/>
        </w:rPr>
        <w:t>therapeutic use</w:t>
      </w:r>
      <w:r w:rsidR="008766BA" w:rsidRPr="00EF782D">
        <w:rPr>
          <w:rFonts w:ascii="Times New Roman" w:hAnsi="Times New Roman"/>
          <w:sz w:val="22"/>
          <w:szCs w:val="22"/>
        </w:rPr>
        <w:t>.</w:t>
      </w:r>
    </w:p>
    <w:p w:rsidR="008766BA" w:rsidRPr="00EF782D" w:rsidRDefault="008766BA" w:rsidP="008766BA">
      <w:pPr>
        <w:rPr>
          <w:rFonts w:ascii="Times New Roman" w:hAnsi="Times New Roman"/>
          <w:sz w:val="22"/>
          <w:szCs w:val="22"/>
        </w:rPr>
      </w:pPr>
    </w:p>
    <w:p w:rsidR="008766BA" w:rsidRPr="00EF782D" w:rsidRDefault="008766BA" w:rsidP="008766BA">
      <w:pPr>
        <w:rPr>
          <w:rFonts w:ascii="Times New Roman" w:hAnsi="Times New Roman"/>
          <w:sz w:val="22"/>
          <w:szCs w:val="22"/>
        </w:rPr>
      </w:pPr>
      <w:r w:rsidRPr="00EF782D">
        <w:rPr>
          <w:rFonts w:ascii="Times New Roman" w:hAnsi="Times New Roman"/>
          <w:sz w:val="22"/>
          <w:szCs w:val="22"/>
        </w:rPr>
        <w:t xml:space="preserve">Another </w:t>
      </w:r>
      <w:r w:rsidR="00AD1877">
        <w:rPr>
          <w:rFonts w:ascii="Times New Roman" w:hAnsi="Times New Roman"/>
          <w:sz w:val="22"/>
          <w:szCs w:val="22"/>
        </w:rPr>
        <w:t>issue raised in submissions</w:t>
      </w:r>
      <w:r w:rsidRPr="00EF782D">
        <w:rPr>
          <w:rFonts w:ascii="Times New Roman" w:hAnsi="Times New Roman"/>
          <w:sz w:val="22"/>
          <w:szCs w:val="22"/>
        </w:rPr>
        <w:t xml:space="preserve"> </w:t>
      </w:r>
      <w:r w:rsidR="00C47D8D">
        <w:rPr>
          <w:rFonts w:ascii="Times New Roman" w:hAnsi="Times New Roman"/>
          <w:sz w:val="22"/>
          <w:szCs w:val="22"/>
        </w:rPr>
        <w:t xml:space="preserve">received in response to the public consultation </w:t>
      </w:r>
      <w:r w:rsidRPr="00EF782D">
        <w:rPr>
          <w:rFonts w:ascii="Times New Roman" w:hAnsi="Times New Roman"/>
          <w:sz w:val="22"/>
          <w:szCs w:val="22"/>
        </w:rPr>
        <w:t>was that the declaration would preclude dietary management of patients with inborn error</w:t>
      </w:r>
      <w:r w:rsidR="00C47D8D">
        <w:rPr>
          <w:rFonts w:ascii="Times New Roman" w:hAnsi="Times New Roman"/>
          <w:sz w:val="22"/>
          <w:szCs w:val="22"/>
        </w:rPr>
        <w:t>s</w:t>
      </w:r>
      <w:r w:rsidRPr="00EF782D">
        <w:rPr>
          <w:rFonts w:ascii="Times New Roman" w:hAnsi="Times New Roman"/>
          <w:sz w:val="22"/>
          <w:szCs w:val="22"/>
        </w:rPr>
        <w:t xml:space="preserve"> of metabolism.  That is</w:t>
      </w:r>
      <w:r w:rsidR="00C47D8D">
        <w:rPr>
          <w:rFonts w:ascii="Times New Roman" w:hAnsi="Times New Roman"/>
          <w:sz w:val="22"/>
          <w:szCs w:val="22"/>
        </w:rPr>
        <w:t>,</w:t>
      </w:r>
      <w:r w:rsidRPr="00EF782D">
        <w:rPr>
          <w:rFonts w:ascii="Times New Roman" w:hAnsi="Times New Roman"/>
          <w:sz w:val="22"/>
          <w:szCs w:val="22"/>
        </w:rPr>
        <w:t xml:space="preserve"> that dietary requirements in this regard would no longer be able to be </w:t>
      </w:r>
      <w:r w:rsidR="00C47D8D">
        <w:rPr>
          <w:rFonts w:ascii="Times New Roman" w:hAnsi="Times New Roman"/>
          <w:sz w:val="22"/>
          <w:szCs w:val="22"/>
        </w:rPr>
        <w:t xml:space="preserve">addressed </w:t>
      </w:r>
      <w:r w:rsidRPr="00EF782D">
        <w:rPr>
          <w:rFonts w:ascii="Times New Roman" w:hAnsi="Times New Roman"/>
          <w:sz w:val="22"/>
          <w:szCs w:val="22"/>
        </w:rPr>
        <w:t>by FSMP</w:t>
      </w:r>
      <w:r w:rsidR="00C47D8D">
        <w:rPr>
          <w:rFonts w:ascii="Times New Roman" w:hAnsi="Times New Roman"/>
          <w:sz w:val="22"/>
          <w:szCs w:val="22"/>
        </w:rPr>
        <w:t>s</w:t>
      </w:r>
      <w:r w:rsidRPr="00EF782D">
        <w:rPr>
          <w:rFonts w:ascii="Times New Roman" w:hAnsi="Times New Roman"/>
          <w:sz w:val="22"/>
          <w:szCs w:val="22"/>
        </w:rPr>
        <w:t xml:space="preserve">.  However, the possibility of dietary management, including of a disease, disorder or medical condition, </w:t>
      </w:r>
      <w:r w:rsidR="00C47D8D">
        <w:rPr>
          <w:rFonts w:ascii="Times New Roman" w:hAnsi="Times New Roman"/>
          <w:sz w:val="22"/>
          <w:szCs w:val="22"/>
        </w:rPr>
        <w:t xml:space="preserve">would </w:t>
      </w:r>
      <w:r w:rsidRPr="00EF782D">
        <w:rPr>
          <w:rFonts w:ascii="Times New Roman" w:hAnsi="Times New Roman"/>
          <w:sz w:val="22"/>
          <w:szCs w:val="22"/>
        </w:rPr>
        <w:t xml:space="preserve">remain if </w:t>
      </w:r>
      <w:r w:rsidR="00C47D8D">
        <w:rPr>
          <w:rFonts w:ascii="Times New Roman" w:hAnsi="Times New Roman"/>
          <w:sz w:val="22"/>
          <w:szCs w:val="22"/>
        </w:rPr>
        <w:t xml:space="preserve">goods </w:t>
      </w:r>
      <w:r w:rsidRPr="00EF782D">
        <w:rPr>
          <w:rFonts w:ascii="Times New Roman" w:hAnsi="Times New Roman"/>
          <w:sz w:val="22"/>
          <w:szCs w:val="22"/>
        </w:rPr>
        <w:t xml:space="preserve">containing folate substances are not used, advertised or presented for supply in any way that is likely to be taken to be for therapeutic use.  This was recognised in one of the submissions.  For example, in individuals whose capacity to take folate substances from ordinary food is impaired </w:t>
      </w:r>
      <w:r w:rsidR="00495B46">
        <w:rPr>
          <w:rFonts w:ascii="Times New Roman" w:hAnsi="Times New Roman"/>
          <w:sz w:val="22"/>
          <w:szCs w:val="22"/>
        </w:rPr>
        <w:t xml:space="preserve">due to </w:t>
      </w:r>
      <w:r w:rsidRPr="00EF782D">
        <w:rPr>
          <w:rFonts w:ascii="Times New Roman" w:hAnsi="Times New Roman"/>
          <w:sz w:val="22"/>
          <w:szCs w:val="22"/>
        </w:rPr>
        <w:t xml:space="preserve">a disorder that precludes the consumption of foods </w:t>
      </w:r>
      <w:r w:rsidR="00C47D8D">
        <w:rPr>
          <w:rFonts w:ascii="Times New Roman" w:hAnsi="Times New Roman"/>
          <w:sz w:val="22"/>
          <w:szCs w:val="22"/>
        </w:rPr>
        <w:t xml:space="preserve">containing </w:t>
      </w:r>
      <w:r w:rsidRPr="00EF782D">
        <w:rPr>
          <w:rFonts w:ascii="Times New Roman" w:hAnsi="Times New Roman"/>
          <w:sz w:val="22"/>
          <w:szCs w:val="22"/>
        </w:rPr>
        <w:t xml:space="preserve">normal dietary sources of folate, then </w:t>
      </w:r>
      <w:r w:rsidR="00495B46">
        <w:rPr>
          <w:rFonts w:ascii="Times New Roman" w:hAnsi="Times New Roman"/>
          <w:sz w:val="22"/>
          <w:szCs w:val="22"/>
        </w:rPr>
        <w:t xml:space="preserve">the dietary management of </w:t>
      </w:r>
      <w:r w:rsidRPr="00EF782D">
        <w:rPr>
          <w:rFonts w:ascii="Times New Roman" w:hAnsi="Times New Roman"/>
          <w:sz w:val="22"/>
          <w:szCs w:val="22"/>
        </w:rPr>
        <w:t xml:space="preserve">those individuals may require use of </w:t>
      </w:r>
      <w:r w:rsidR="00C47D8D">
        <w:rPr>
          <w:rFonts w:ascii="Times New Roman" w:hAnsi="Times New Roman"/>
          <w:sz w:val="22"/>
          <w:szCs w:val="22"/>
        </w:rPr>
        <w:t xml:space="preserve">goods </w:t>
      </w:r>
      <w:r w:rsidRPr="00EF782D">
        <w:rPr>
          <w:rFonts w:ascii="Times New Roman" w:hAnsi="Times New Roman"/>
          <w:sz w:val="22"/>
          <w:szCs w:val="22"/>
        </w:rPr>
        <w:t>containing folate substances (folate being an essential vitamin in persons).</w:t>
      </w:r>
    </w:p>
    <w:p w:rsidR="008766BA" w:rsidRPr="00EF782D" w:rsidRDefault="008766BA" w:rsidP="008766BA">
      <w:pPr>
        <w:rPr>
          <w:rFonts w:ascii="Times New Roman" w:hAnsi="Times New Roman"/>
          <w:sz w:val="22"/>
          <w:szCs w:val="22"/>
        </w:rPr>
      </w:pPr>
    </w:p>
    <w:p w:rsidR="00C47D8D" w:rsidRPr="00EF782D" w:rsidRDefault="008766BA" w:rsidP="008766BA">
      <w:pPr>
        <w:rPr>
          <w:rFonts w:ascii="Times New Roman" w:hAnsi="Times New Roman"/>
          <w:sz w:val="22"/>
          <w:szCs w:val="22"/>
        </w:rPr>
      </w:pPr>
      <w:r w:rsidRPr="00EF782D">
        <w:rPr>
          <w:rFonts w:ascii="Times New Roman" w:hAnsi="Times New Roman"/>
          <w:sz w:val="22"/>
          <w:szCs w:val="22"/>
        </w:rPr>
        <w:t>A number of submissions questioned the need for</w:t>
      </w:r>
      <w:r w:rsidR="00C47D8D">
        <w:rPr>
          <w:rFonts w:ascii="Times New Roman" w:hAnsi="Times New Roman"/>
          <w:sz w:val="22"/>
          <w:szCs w:val="22"/>
        </w:rPr>
        <w:t xml:space="preserve">, and the </w:t>
      </w:r>
      <w:r w:rsidRPr="00EF782D">
        <w:rPr>
          <w:rFonts w:ascii="Times New Roman" w:hAnsi="Times New Roman"/>
          <w:sz w:val="22"/>
          <w:szCs w:val="22"/>
        </w:rPr>
        <w:t>scope of</w:t>
      </w:r>
      <w:r w:rsidR="00C47D8D">
        <w:rPr>
          <w:rFonts w:ascii="Times New Roman" w:hAnsi="Times New Roman"/>
          <w:sz w:val="22"/>
          <w:szCs w:val="22"/>
        </w:rPr>
        <w:t>,</w:t>
      </w:r>
      <w:r w:rsidRPr="00EF782D">
        <w:rPr>
          <w:rFonts w:ascii="Times New Roman" w:hAnsi="Times New Roman"/>
          <w:sz w:val="22"/>
          <w:szCs w:val="22"/>
        </w:rPr>
        <w:t xml:space="preserve"> the declaration. </w:t>
      </w:r>
      <w:r w:rsidR="00C47D8D">
        <w:rPr>
          <w:rFonts w:ascii="Times New Roman" w:hAnsi="Times New Roman"/>
          <w:sz w:val="22"/>
          <w:szCs w:val="22"/>
        </w:rPr>
        <w:t xml:space="preserve"> </w:t>
      </w:r>
      <w:r w:rsidRPr="00EF782D">
        <w:rPr>
          <w:rFonts w:ascii="Times New Roman" w:hAnsi="Times New Roman"/>
          <w:sz w:val="22"/>
          <w:szCs w:val="22"/>
        </w:rPr>
        <w:t xml:space="preserve">The view of some </w:t>
      </w:r>
      <w:r w:rsidR="00C47D8D">
        <w:rPr>
          <w:rFonts w:ascii="Times New Roman" w:hAnsi="Times New Roman"/>
          <w:sz w:val="22"/>
          <w:szCs w:val="22"/>
        </w:rPr>
        <w:t xml:space="preserve">respondents </w:t>
      </w:r>
      <w:r w:rsidRPr="00EF782D">
        <w:rPr>
          <w:rFonts w:ascii="Times New Roman" w:hAnsi="Times New Roman"/>
          <w:sz w:val="22"/>
          <w:szCs w:val="22"/>
        </w:rPr>
        <w:t xml:space="preserve">was that Food Standard 2.9.5 deals with goods that are within the scope of the declaration adequately. </w:t>
      </w:r>
      <w:r w:rsidR="00C47D8D">
        <w:rPr>
          <w:rFonts w:ascii="Times New Roman" w:hAnsi="Times New Roman"/>
          <w:sz w:val="22"/>
          <w:szCs w:val="22"/>
        </w:rPr>
        <w:t xml:space="preserve"> </w:t>
      </w:r>
      <w:r w:rsidRPr="00EF782D">
        <w:rPr>
          <w:rFonts w:ascii="Times New Roman" w:hAnsi="Times New Roman"/>
          <w:sz w:val="22"/>
          <w:szCs w:val="22"/>
        </w:rPr>
        <w:t xml:space="preserve">This view appeared to be on the basis that goods containing only substances ordinarily consumed from the diet </w:t>
      </w:r>
      <w:r w:rsidR="00C47D8D">
        <w:rPr>
          <w:rFonts w:ascii="Times New Roman" w:hAnsi="Times New Roman"/>
          <w:sz w:val="22"/>
          <w:szCs w:val="22"/>
        </w:rPr>
        <w:t>(</w:t>
      </w:r>
      <w:r w:rsidRPr="00EF782D">
        <w:rPr>
          <w:rFonts w:ascii="Times New Roman" w:hAnsi="Times New Roman"/>
          <w:sz w:val="22"/>
          <w:szCs w:val="22"/>
        </w:rPr>
        <w:t>which is the case for some folate substances</w:t>
      </w:r>
      <w:r w:rsidR="00C47D8D">
        <w:rPr>
          <w:rFonts w:ascii="Times New Roman" w:hAnsi="Times New Roman"/>
          <w:sz w:val="22"/>
          <w:szCs w:val="22"/>
        </w:rPr>
        <w:t>)</w:t>
      </w:r>
      <w:r w:rsidRPr="00EF782D">
        <w:rPr>
          <w:rFonts w:ascii="Times New Roman" w:hAnsi="Times New Roman"/>
          <w:sz w:val="22"/>
          <w:szCs w:val="22"/>
        </w:rPr>
        <w:t xml:space="preserve"> are appropriately characterised FSMPs.  Further, a number of </w:t>
      </w:r>
      <w:r w:rsidR="00C47D8D">
        <w:rPr>
          <w:rFonts w:ascii="Times New Roman" w:hAnsi="Times New Roman"/>
          <w:sz w:val="22"/>
          <w:szCs w:val="22"/>
        </w:rPr>
        <w:t xml:space="preserve">respondents considered </w:t>
      </w:r>
      <w:r w:rsidRPr="00EF782D">
        <w:rPr>
          <w:rFonts w:ascii="Times New Roman" w:hAnsi="Times New Roman"/>
          <w:sz w:val="22"/>
          <w:szCs w:val="22"/>
        </w:rPr>
        <w:t xml:space="preserve">there was no indication that folate </w:t>
      </w:r>
      <w:r w:rsidR="00C47D8D">
        <w:rPr>
          <w:rFonts w:ascii="Times New Roman" w:hAnsi="Times New Roman"/>
          <w:sz w:val="22"/>
          <w:szCs w:val="22"/>
        </w:rPr>
        <w:t xml:space="preserve">should </w:t>
      </w:r>
      <w:r w:rsidRPr="00EF782D">
        <w:rPr>
          <w:rFonts w:ascii="Times New Roman" w:hAnsi="Times New Roman"/>
          <w:sz w:val="22"/>
          <w:szCs w:val="22"/>
        </w:rPr>
        <w:t xml:space="preserve">be considered a therapeutic treatment, or no evidence of safety or efficacy issues with products that may be affected by the declaration. </w:t>
      </w:r>
      <w:r w:rsidR="00C47D8D">
        <w:rPr>
          <w:rFonts w:ascii="Times New Roman" w:hAnsi="Times New Roman"/>
          <w:sz w:val="22"/>
          <w:szCs w:val="22"/>
        </w:rPr>
        <w:t xml:space="preserve"> These respondents </w:t>
      </w:r>
      <w:r w:rsidRPr="00EF782D">
        <w:rPr>
          <w:rFonts w:ascii="Times New Roman" w:hAnsi="Times New Roman"/>
          <w:sz w:val="22"/>
          <w:szCs w:val="22"/>
        </w:rPr>
        <w:t xml:space="preserve">also indicated that, if the declaration was to be made, it could be narrowed </w:t>
      </w:r>
      <w:r w:rsidR="00C47D8D" w:rsidRPr="00EF782D">
        <w:rPr>
          <w:rFonts w:ascii="Times New Roman" w:hAnsi="Times New Roman"/>
          <w:sz w:val="22"/>
          <w:szCs w:val="22"/>
        </w:rPr>
        <w:t>or made clearer.</w:t>
      </w:r>
    </w:p>
    <w:p w:rsidR="00C47D8D" w:rsidRDefault="00C47D8D" w:rsidP="008766BA">
      <w:pPr>
        <w:rPr>
          <w:rFonts w:ascii="Times New Roman" w:hAnsi="Times New Roman"/>
          <w:sz w:val="22"/>
          <w:szCs w:val="22"/>
        </w:rPr>
      </w:pPr>
    </w:p>
    <w:p w:rsidR="008766BA" w:rsidRPr="00EF782D" w:rsidRDefault="008766BA" w:rsidP="008766BA">
      <w:pPr>
        <w:rPr>
          <w:rFonts w:ascii="Times New Roman" w:hAnsi="Times New Roman"/>
          <w:sz w:val="22"/>
          <w:szCs w:val="22"/>
        </w:rPr>
      </w:pPr>
      <w:r w:rsidRPr="00EF782D">
        <w:rPr>
          <w:rFonts w:ascii="Times New Roman" w:hAnsi="Times New Roman"/>
          <w:sz w:val="22"/>
          <w:szCs w:val="22"/>
        </w:rPr>
        <w:t>It is evident from the consultation that there are differing views as to w</w:t>
      </w:r>
      <w:r w:rsidR="00495B46" w:rsidRPr="00EF782D">
        <w:rPr>
          <w:rFonts w:ascii="Times New Roman" w:hAnsi="Times New Roman"/>
          <w:sz w:val="22"/>
          <w:szCs w:val="22"/>
        </w:rPr>
        <w:t>hether affected products are to </w:t>
      </w:r>
      <w:r w:rsidRPr="00EF782D">
        <w:rPr>
          <w:rFonts w:ascii="Times New Roman" w:hAnsi="Times New Roman"/>
          <w:sz w:val="22"/>
          <w:szCs w:val="22"/>
        </w:rPr>
        <w:t xml:space="preserve">be seen as FSMPs or therapeutic goods.  The evidence for the association between folate and therapeutic use has been referred to above. </w:t>
      </w:r>
      <w:r w:rsidR="00C47D8D">
        <w:rPr>
          <w:rFonts w:ascii="Times New Roman" w:hAnsi="Times New Roman"/>
          <w:sz w:val="22"/>
          <w:szCs w:val="22"/>
        </w:rPr>
        <w:t xml:space="preserve"> While </w:t>
      </w:r>
      <w:r w:rsidRPr="00EF782D">
        <w:rPr>
          <w:rFonts w:ascii="Times New Roman" w:hAnsi="Times New Roman"/>
          <w:sz w:val="22"/>
          <w:szCs w:val="22"/>
        </w:rPr>
        <w:t xml:space="preserve">affected </w:t>
      </w:r>
      <w:r w:rsidR="00C47D8D">
        <w:rPr>
          <w:rFonts w:ascii="Times New Roman" w:hAnsi="Times New Roman"/>
          <w:sz w:val="22"/>
          <w:szCs w:val="22"/>
        </w:rPr>
        <w:t xml:space="preserve">goods </w:t>
      </w:r>
      <w:r w:rsidRPr="00EF782D">
        <w:rPr>
          <w:rFonts w:ascii="Times New Roman" w:hAnsi="Times New Roman"/>
          <w:sz w:val="22"/>
          <w:szCs w:val="22"/>
        </w:rPr>
        <w:t xml:space="preserve">may simply be an adjunct therapy for conditions such as depression (working in conjunction with any prescription medicines), and contain substances ordinarily consumed from the diet, </w:t>
      </w:r>
      <w:r w:rsidR="00687119">
        <w:rPr>
          <w:rFonts w:ascii="Times New Roman" w:hAnsi="Times New Roman"/>
          <w:sz w:val="22"/>
          <w:szCs w:val="22"/>
        </w:rPr>
        <w:t xml:space="preserve">as mentioned above, </w:t>
      </w:r>
      <w:r w:rsidRPr="00EF782D">
        <w:rPr>
          <w:rFonts w:ascii="Times New Roman" w:hAnsi="Times New Roman"/>
          <w:sz w:val="22"/>
          <w:szCs w:val="22"/>
        </w:rPr>
        <w:t xml:space="preserve">this does not mean those </w:t>
      </w:r>
      <w:r w:rsidR="00687119">
        <w:rPr>
          <w:rFonts w:ascii="Times New Roman" w:hAnsi="Times New Roman"/>
          <w:sz w:val="22"/>
          <w:szCs w:val="22"/>
        </w:rPr>
        <w:t xml:space="preserve">goods </w:t>
      </w:r>
      <w:r w:rsidRPr="00EF782D">
        <w:rPr>
          <w:rFonts w:ascii="Times New Roman" w:hAnsi="Times New Roman"/>
          <w:sz w:val="22"/>
          <w:szCs w:val="22"/>
        </w:rPr>
        <w:t xml:space="preserve">are not themselves medicines. </w:t>
      </w:r>
      <w:r w:rsidR="00687119">
        <w:rPr>
          <w:rFonts w:ascii="Times New Roman" w:hAnsi="Times New Roman"/>
          <w:sz w:val="22"/>
          <w:szCs w:val="22"/>
        </w:rPr>
        <w:t xml:space="preserve"> Indeed, g</w:t>
      </w:r>
      <w:r w:rsidRPr="00EF782D">
        <w:rPr>
          <w:rFonts w:ascii="Times New Roman" w:hAnsi="Times New Roman"/>
          <w:sz w:val="22"/>
          <w:szCs w:val="22"/>
        </w:rPr>
        <w:t>oods captured by the declaration would be regulated as complementary medicines</w:t>
      </w:r>
      <w:r w:rsidR="00687119">
        <w:rPr>
          <w:rFonts w:ascii="Times New Roman" w:hAnsi="Times New Roman"/>
          <w:sz w:val="22"/>
          <w:szCs w:val="22"/>
        </w:rPr>
        <w:t>,</w:t>
      </w:r>
      <w:r w:rsidRPr="00EF782D">
        <w:rPr>
          <w:rFonts w:ascii="Times New Roman" w:hAnsi="Times New Roman"/>
          <w:sz w:val="22"/>
          <w:szCs w:val="22"/>
        </w:rPr>
        <w:t xml:space="preserve"> whether or not </w:t>
      </w:r>
      <w:r w:rsidR="00687119">
        <w:rPr>
          <w:rFonts w:ascii="Times New Roman" w:hAnsi="Times New Roman"/>
          <w:sz w:val="22"/>
          <w:szCs w:val="22"/>
        </w:rPr>
        <w:t xml:space="preserve">those goods may </w:t>
      </w:r>
      <w:r w:rsidRPr="00EF782D">
        <w:rPr>
          <w:rFonts w:ascii="Times New Roman" w:hAnsi="Times New Roman"/>
          <w:sz w:val="22"/>
          <w:szCs w:val="22"/>
        </w:rPr>
        <w:t xml:space="preserve">fall to be registered </w:t>
      </w:r>
      <w:r w:rsidR="00687119">
        <w:rPr>
          <w:rFonts w:ascii="Times New Roman" w:hAnsi="Times New Roman"/>
          <w:sz w:val="22"/>
          <w:szCs w:val="22"/>
        </w:rPr>
        <w:t xml:space="preserve">or listed </w:t>
      </w:r>
      <w:r w:rsidRPr="00EF782D">
        <w:rPr>
          <w:rFonts w:ascii="Times New Roman" w:hAnsi="Times New Roman"/>
          <w:sz w:val="22"/>
          <w:szCs w:val="22"/>
        </w:rPr>
        <w:t xml:space="preserve">on the Register.  To narrow the scope of the declaration would detract from the purpose of ensuring relevant goods are regulated by the most appropriate regulatory scheme.  It is appropriate that the declaration </w:t>
      </w:r>
      <w:r w:rsidR="00495B46">
        <w:rPr>
          <w:rFonts w:ascii="Times New Roman" w:hAnsi="Times New Roman"/>
          <w:sz w:val="22"/>
          <w:szCs w:val="22"/>
        </w:rPr>
        <w:t xml:space="preserve">therefore </w:t>
      </w:r>
      <w:r w:rsidRPr="00EF782D">
        <w:rPr>
          <w:rFonts w:ascii="Times New Roman" w:hAnsi="Times New Roman"/>
          <w:sz w:val="22"/>
          <w:szCs w:val="22"/>
        </w:rPr>
        <w:t>provide clarification at the interface of the food and medicine frameworks</w:t>
      </w:r>
      <w:r w:rsidR="00495B46">
        <w:rPr>
          <w:rFonts w:ascii="Times New Roman" w:hAnsi="Times New Roman"/>
          <w:sz w:val="22"/>
          <w:szCs w:val="22"/>
        </w:rPr>
        <w:t xml:space="preserve"> in relation to these goods</w:t>
      </w:r>
      <w:r w:rsidRPr="00EF782D">
        <w:rPr>
          <w:rFonts w:ascii="Times New Roman" w:hAnsi="Times New Roman"/>
          <w:sz w:val="22"/>
          <w:szCs w:val="22"/>
        </w:rPr>
        <w:t>.</w:t>
      </w:r>
    </w:p>
    <w:p w:rsidR="008766BA" w:rsidRPr="00EF782D" w:rsidRDefault="008766BA" w:rsidP="008766BA">
      <w:pPr>
        <w:rPr>
          <w:rFonts w:ascii="Times New Roman" w:hAnsi="Times New Roman"/>
          <w:sz w:val="22"/>
          <w:szCs w:val="22"/>
        </w:rPr>
      </w:pPr>
    </w:p>
    <w:p w:rsidR="008766BA" w:rsidRPr="00EF782D" w:rsidRDefault="008766BA" w:rsidP="008766BA">
      <w:pPr>
        <w:rPr>
          <w:rFonts w:ascii="Times New Roman" w:hAnsi="Times New Roman"/>
          <w:sz w:val="22"/>
          <w:szCs w:val="22"/>
        </w:rPr>
      </w:pPr>
      <w:r w:rsidRPr="00EF782D">
        <w:rPr>
          <w:rFonts w:ascii="Times New Roman" w:hAnsi="Times New Roman"/>
          <w:sz w:val="22"/>
          <w:szCs w:val="22"/>
        </w:rPr>
        <w:t xml:space="preserve">There was </w:t>
      </w:r>
      <w:r w:rsidR="00495B46">
        <w:rPr>
          <w:rFonts w:ascii="Times New Roman" w:hAnsi="Times New Roman"/>
          <w:sz w:val="22"/>
          <w:szCs w:val="22"/>
        </w:rPr>
        <w:t xml:space="preserve">also a specific </w:t>
      </w:r>
      <w:r w:rsidRPr="00EF782D">
        <w:rPr>
          <w:rFonts w:ascii="Times New Roman" w:hAnsi="Times New Roman"/>
          <w:sz w:val="22"/>
          <w:szCs w:val="22"/>
        </w:rPr>
        <w:t xml:space="preserve">concern raised in </w:t>
      </w:r>
      <w:r w:rsidR="0027270A">
        <w:rPr>
          <w:rFonts w:ascii="Times New Roman" w:hAnsi="Times New Roman"/>
          <w:sz w:val="22"/>
          <w:szCs w:val="22"/>
        </w:rPr>
        <w:t xml:space="preserve">two </w:t>
      </w:r>
      <w:r w:rsidRPr="00EF782D">
        <w:rPr>
          <w:rFonts w:ascii="Times New Roman" w:hAnsi="Times New Roman"/>
          <w:sz w:val="22"/>
          <w:szCs w:val="22"/>
        </w:rPr>
        <w:t>submission</w:t>
      </w:r>
      <w:r w:rsidR="0027270A">
        <w:rPr>
          <w:rFonts w:ascii="Times New Roman" w:hAnsi="Times New Roman"/>
          <w:sz w:val="22"/>
          <w:szCs w:val="22"/>
        </w:rPr>
        <w:t>s</w:t>
      </w:r>
      <w:r w:rsidRPr="00EF782D">
        <w:rPr>
          <w:rFonts w:ascii="Times New Roman" w:hAnsi="Times New Roman"/>
          <w:sz w:val="22"/>
          <w:szCs w:val="22"/>
        </w:rPr>
        <w:t xml:space="preserve"> that the general reference to ‘inborn error of metabolism</w:t>
      </w:r>
      <w:r w:rsidR="00495B46">
        <w:rPr>
          <w:rFonts w:ascii="Times New Roman" w:hAnsi="Times New Roman"/>
          <w:sz w:val="22"/>
          <w:szCs w:val="22"/>
        </w:rPr>
        <w:t>’</w:t>
      </w:r>
      <w:r w:rsidRPr="00EF782D">
        <w:rPr>
          <w:rFonts w:ascii="Times New Roman" w:hAnsi="Times New Roman"/>
          <w:sz w:val="22"/>
          <w:szCs w:val="22"/>
        </w:rPr>
        <w:t xml:space="preserve"> in paragraph (d) </w:t>
      </w:r>
      <w:r w:rsidR="00687119">
        <w:rPr>
          <w:rFonts w:ascii="Times New Roman" w:hAnsi="Times New Roman"/>
          <w:sz w:val="22"/>
          <w:szCs w:val="22"/>
        </w:rPr>
        <w:t xml:space="preserve">of column 3 </w:t>
      </w:r>
      <w:r w:rsidRPr="00EF782D">
        <w:rPr>
          <w:rFonts w:ascii="Times New Roman" w:hAnsi="Times New Roman"/>
          <w:sz w:val="22"/>
          <w:szCs w:val="22"/>
        </w:rPr>
        <w:t>of the</w:t>
      </w:r>
      <w:r w:rsidR="00687119">
        <w:rPr>
          <w:rFonts w:ascii="Times New Roman" w:hAnsi="Times New Roman"/>
          <w:sz w:val="22"/>
          <w:szCs w:val="22"/>
        </w:rPr>
        <w:t xml:space="preserve"> proposed</w:t>
      </w:r>
      <w:r w:rsidRPr="00EF782D">
        <w:rPr>
          <w:rFonts w:ascii="Times New Roman" w:hAnsi="Times New Roman"/>
          <w:sz w:val="22"/>
          <w:szCs w:val="22"/>
        </w:rPr>
        <w:t xml:space="preserve"> declaration would be interpreted too broadly</w:t>
      </w:r>
      <w:r w:rsidR="00687119">
        <w:rPr>
          <w:rFonts w:ascii="Times New Roman" w:hAnsi="Times New Roman"/>
          <w:sz w:val="22"/>
          <w:szCs w:val="22"/>
        </w:rPr>
        <w:t xml:space="preserve">, and should </w:t>
      </w:r>
      <w:r w:rsidR="00495B46">
        <w:rPr>
          <w:rFonts w:ascii="Times New Roman" w:hAnsi="Times New Roman"/>
          <w:sz w:val="22"/>
          <w:szCs w:val="22"/>
        </w:rPr>
        <w:t xml:space="preserve">therefore </w:t>
      </w:r>
      <w:r w:rsidR="00687119">
        <w:rPr>
          <w:rFonts w:ascii="Times New Roman" w:hAnsi="Times New Roman"/>
          <w:sz w:val="22"/>
          <w:szCs w:val="22"/>
        </w:rPr>
        <w:t>be specified with reference to folate metabolism</w:t>
      </w:r>
      <w:r w:rsidRPr="00EF782D">
        <w:rPr>
          <w:rFonts w:ascii="Times New Roman" w:hAnsi="Times New Roman"/>
          <w:sz w:val="22"/>
          <w:szCs w:val="22"/>
        </w:rPr>
        <w:t xml:space="preserve">.  </w:t>
      </w:r>
      <w:r w:rsidR="00687119">
        <w:rPr>
          <w:rFonts w:ascii="Times New Roman" w:hAnsi="Times New Roman"/>
          <w:sz w:val="22"/>
          <w:szCs w:val="22"/>
        </w:rPr>
        <w:t>Th</w:t>
      </w:r>
      <w:r w:rsidR="0027270A">
        <w:rPr>
          <w:rFonts w:ascii="Times New Roman" w:hAnsi="Times New Roman"/>
          <w:sz w:val="22"/>
          <w:szCs w:val="22"/>
        </w:rPr>
        <w:t>ese</w:t>
      </w:r>
      <w:r w:rsidR="00687119">
        <w:rPr>
          <w:rFonts w:ascii="Times New Roman" w:hAnsi="Times New Roman"/>
          <w:sz w:val="22"/>
          <w:szCs w:val="22"/>
        </w:rPr>
        <w:t xml:space="preserve"> submission</w:t>
      </w:r>
      <w:r w:rsidR="0027270A">
        <w:rPr>
          <w:rFonts w:ascii="Times New Roman" w:hAnsi="Times New Roman"/>
          <w:sz w:val="22"/>
          <w:szCs w:val="22"/>
        </w:rPr>
        <w:t>s</w:t>
      </w:r>
      <w:r w:rsidR="00687119">
        <w:rPr>
          <w:rFonts w:ascii="Times New Roman" w:hAnsi="Times New Roman"/>
          <w:sz w:val="22"/>
          <w:szCs w:val="22"/>
        </w:rPr>
        <w:t xml:space="preserve"> resulted in an amendment being made to the proposed declaration (now reflected in </w:t>
      </w:r>
      <w:r w:rsidR="00495B46">
        <w:rPr>
          <w:rFonts w:ascii="Times New Roman" w:hAnsi="Times New Roman"/>
          <w:sz w:val="22"/>
          <w:szCs w:val="22"/>
        </w:rPr>
        <w:t xml:space="preserve">this </w:t>
      </w:r>
      <w:r w:rsidR="00687119">
        <w:rPr>
          <w:rFonts w:ascii="Times New Roman" w:hAnsi="Times New Roman"/>
          <w:sz w:val="22"/>
          <w:szCs w:val="22"/>
        </w:rPr>
        <w:t>Amendment Order) duly referencing folate metabolism.</w:t>
      </w:r>
    </w:p>
    <w:p w:rsidR="008766BA" w:rsidRPr="00EF782D" w:rsidRDefault="008766BA" w:rsidP="008766BA">
      <w:pPr>
        <w:rPr>
          <w:rFonts w:ascii="Times New Roman" w:hAnsi="Times New Roman"/>
          <w:sz w:val="22"/>
          <w:szCs w:val="22"/>
        </w:rPr>
      </w:pPr>
    </w:p>
    <w:p w:rsidR="008766BA" w:rsidRPr="00EF782D" w:rsidRDefault="0027270A" w:rsidP="008766BA">
      <w:pPr>
        <w:rPr>
          <w:rFonts w:ascii="Times New Roman" w:hAnsi="Times New Roman"/>
          <w:sz w:val="22"/>
          <w:szCs w:val="22"/>
        </w:rPr>
      </w:pPr>
      <w:r>
        <w:rPr>
          <w:rFonts w:ascii="Times New Roman" w:hAnsi="Times New Roman"/>
          <w:sz w:val="22"/>
          <w:szCs w:val="22"/>
        </w:rPr>
        <w:t xml:space="preserve">Further, one of these </w:t>
      </w:r>
      <w:r w:rsidR="008766BA" w:rsidRPr="00EF782D">
        <w:rPr>
          <w:rFonts w:ascii="Times New Roman" w:hAnsi="Times New Roman"/>
          <w:sz w:val="22"/>
          <w:szCs w:val="22"/>
        </w:rPr>
        <w:t>submission</w:t>
      </w:r>
      <w:r>
        <w:rPr>
          <w:rFonts w:ascii="Times New Roman" w:hAnsi="Times New Roman"/>
          <w:sz w:val="22"/>
          <w:szCs w:val="22"/>
        </w:rPr>
        <w:t>s</w:t>
      </w:r>
      <w:r w:rsidR="008766BA" w:rsidRPr="00EF782D">
        <w:rPr>
          <w:rFonts w:ascii="Times New Roman" w:hAnsi="Times New Roman"/>
          <w:sz w:val="22"/>
          <w:szCs w:val="22"/>
        </w:rPr>
        <w:t xml:space="preserve">, although raising some issues about the scope of the </w:t>
      </w:r>
      <w:r w:rsidR="00687119">
        <w:rPr>
          <w:rFonts w:ascii="Times New Roman" w:hAnsi="Times New Roman"/>
          <w:sz w:val="22"/>
          <w:szCs w:val="22"/>
        </w:rPr>
        <w:t xml:space="preserve">proposed </w:t>
      </w:r>
      <w:r w:rsidR="008766BA" w:rsidRPr="00EF782D">
        <w:rPr>
          <w:rFonts w:ascii="Times New Roman" w:hAnsi="Times New Roman"/>
          <w:sz w:val="22"/>
          <w:szCs w:val="22"/>
        </w:rPr>
        <w:t>declaration discussed above, supported the clarifying intent that when good</w:t>
      </w:r>
      <w:r w:rsidR="00687119">
        <w:rPr>
          <w:rFonts w:ascii="Times New Roman" w:hAnsi="Times New Roman"/>
          <w:sz w:val="22"/>
          <w:szCs w:val="22"/>
        </w:rPr>
        <w:t>s</w:t>
      </w:r>
      <w:r w:rsidR="008766BA" w:rsidRPr="00EF782D">
        <w:rPr>
          <w:rFonts w:ascii="Times New Roman" w:hAnsi="Times New Roman"/>
          <w:sz w:val="22"/>
          <w:szCs w:val="22"/>
        </w:rPr>
        <w:t xml:space="preserve"> </w:t>
      </w:r>
      <w:r w:rsidR="00687119">
        <w:rPr>
          <w:rFonts w:ascii="Times New Roman" w:hAnsi="Times New Roman"/>
          <w:sz w:val="22"/>
          <w:szCs w:val="22"/>
        </w:rPr>
        <w:t xml:space="preserve">claiming </w:t>
      </w:r>
      <w:r w:rsidR="008766BA" w:rsidRPr="00EF782D">
        <w:rPr>
          <w:rFonts w:ascii="Times New Roman" w:hAnsi="Times New Roman"/>
          <w:sz w:val="22"/>
          <w:szCs w:val="22"/>
        </w:rPr>
        <w:t xml:space="preserve">to be food for special medical purposes, </w:t>
      </w:r>
      <w:r w:rsidR="00687119">
        <w:rPr>
          <w:rFonts w:ascii="Times New Roman" w:hAnsi="Times New Roman"/>
          <w:sz w:val="22"/>
          <w:szCs w:val="22"/>
        </w:rPr>
        <w:t xml:space="preserve">are </w:t>
      </w:r>
      <w:r w:rsidR="008766BA" w:rsidRPr="00EF782D">
        <w:rPr>
          <w:rFonts w:ascii="Times New Roman" w:hAnsi="Times New Roman"/>
          <w:sz w:val="22"/>
          <w:szCs w:val="22"/>
        </w:rPr>
        <w:t xml:space="preserve">presented for therapeutic use, </w:t>
      </w:r>
      <w:r w:rsidR="00687119">
        <w:rPr>
          <w:rFonts w:ascii="Times New Roman" w:hAnsi="Times New Roman"/>
          <w:sz w:val="22"/>
          <w:szCs w:val="22"/>
        </w:rPr>
        <w:t xml:space="preserve">those goods </w:t>
      </w:r>
      <w:r w:rsidR="008766BA" w:rsidRPr="00EF782D">
        <w:rPr>
          <w:rFonts w:ascii="Times New Roman" w:hAnsi="Times New Roman"/>
          <w:sz w:val="22"/>
          <w:szCs w:val="22"/>
        </w:rPr>
        <w:t>should be regulated as therapeutic good</w:t>
      </w:r>
      <w:r w:rsidR="00687119">
        <w:rPr>
          <w:rFonts w:ascii="Times New Roman" w:hAnsi="Times New Roman"/>
          <w:sz w:val="22"/>
          <w:szCs w:val="22"/>
        </w:rPr>
        <w:t>s</w:t>
      </w:r>
      <w:r w:rsidR="00687119" w:rsidRPr="00EF782D">
        <w:rPr>
          <w:rFonts w:ascii="Times New Roman" w:hAnsi="Times New Roman"/>
          <w:sz w:val="22"/>
          <w:szCs w:val="22"/>
        </w:rPr>
        <w:t xml:space="preserve"> with </w:t>
      </w:r>
      <w:r w:rsidR="008766BA" w:rsidRPr="00EF782D">
        <w:rPr>
          <w:rFonts w:ascii="Times New Roman" w:hAnsi="Times New Roman"/>
          <w:sz w:val="22"/>
          <w:szCs w:val="22"/>
        </w:rPr>
        <w:t>the appropriate quality</w:t>
      </w:r>
      <w:r w:rsidR="00687119" w:rsidRPr="00EF782D">
        <w:rPr>
          <w:rFonts w:ascii="Times New Roman" w:hAnsi="Times New Roman"/>
          <w:sz w:val="22"/>
          <w:szCs w:val="22"/>
        </w:rPr>
        <w:t>, safety and efficacy controls.</w:t>
      </w:r>
    </w:p>
    <w:p w:rsidR="008766BA" w:rsidRPr="00EF782D" w:rsidRDefault="008766BA" w:rsidP="008766BA">
      <w:pPr>
        <w:rPr>
          <w:rFonts w:ascii="Times New Roman" w:hAnsi="Times New Roman"/>
          <w:sz w:val="22"/>
          <w:szCs w:val="22"/>
        </w:rPr>
      </w:pPr>
    </w:p>
    <w:p w:rsidR="008766BA" w:rsidRPr="00EF782D" w:rsidRDefault="008766BA" w:rsidP="008766BA">
      <w:pPr>
        <w:rPr>
          <w:rFonts w:ascii="Times New Roman" w:hAnsi="Times New Roman"/>
          <w:sz w:val="22"/>
          <w:szCs w:val="22"/>
        </w:rPr>
      </w:pPr>
      <w:r w:rsidRPr="00EF782D">
        <w:rPr>
          <w:rFonts w:ascii="Times New Roman" w:hAnsi="Times New Roman"/>
          <w:sz w:val="22"/>
          <w:szCs w:val="22"/>
        </w:rPr>
        <w:t xml:space="preserve">On balance, it is appropriate </w:t>
      </w:r>
      <w:r w:rsidR="00495B46">
        <w:rPr>
          <w:rFonts w:ascii="Times New Roman" w:hAnsi="Times New Roman"/>
          <w:sz w:val="22"/>
          <w:szCs w:val="22"/>
        </w:rPr>
        <w:t xml:space="preserve">that the power under subsection 7(1) of the Act is exercised </w:t>
      </w:r>
      <w:r w:rsidRPr="00EF782D">
        <w:rPr>
          <w:rFonts w:ascii="Times New Roman" w:hAnsi="Times New Roman"/>
          <w:sz w:val="22"/>
          <w:szCs w:val="22"/>
        </w:rPr>
        <w:t xml:space="preserve">to provide clarity and certainty </w:t>
      </w:r>
      <w:r w:rsidR="00687119">
        <w:rPr>
          <w:rFonts w:ascii="Times New Roman" w:hAnsi="Times New Roman"/>
          <w:sz w:val="22"/>
          <w:szCs w:val="22"/>
        </w:rPr>
        <w:t xml:space="preserve">regarding the </w:t>
      </w:r>
      <w:r w:rsidRPr="00EF782D">
        <w:rPr>
          <w:rFonts w:ascii="Times New Roman" w:hAnsi="Times New Roman"/>
          <w:sz w:val="22"/>
          <w:szCs w:val="22"/>
        </w:rPr>
        <w:t xml:space="preserve">regulation of goods </w:t>
      </w:r>
      <w:r w:rsidR="00687119">
        <w:rPr>
          <w:rFonts w:ascii="Times New Roman" w:hAnsi="Times New Roman"/>
          <w:sz w:val="22"/>
          <w:szCs w:val="22"/>
        </w:rPr>
        <w:t>within the terms of the Amendment Order</w:t>
      </w:r>
      <w:r w:rsidRPr="00EF782D">
        <w:rPr>
          <w:rFonts w:ascii="Times New Roman" w:hAnsi="Times New Roman"/>
          <w:sz w:val="22"/>
          <w:szCs w:val="22"/>
        </w:rPr>
        <w:t>.</w:t>
      </w:r>
      <w:r w:rsidR="00687119" w:rsidRPr="00687119">
        <w:rPr>
          <w:rFonts w:ascii="Times New Roman" w:hAnsi="Times New Roman"/>
          <w:sz w:val="22"/>
          <w:szCs w:val="22"/>
        </w:rPr>
        <w:t xml:space="preserve"> </w:t>
      </w:r>
      <w:r w:rsidR="00687119">
        <w:rPr>
          <w:rFonts w:ascii="Times New Roman" w:hAnsi="Times New Roman"/>
          <w:sz w:val="22"/>
          <w:szCs w:val="22"/>
        </w:rPr>
        <w:t xml:space="preserve"> These goods</w:t>
      </w:r>
      <w:r w:rsidR="00495B46">
        <w:rPr>
          <w:rFonts w:ascii="Times New Roman" w:hAnsi="Times New Roman"/>
          <w:sz w:val="22"/>
          <w:szCs w:val="22"/>
        </w:rPr>
        <w:t>,</w:t>
      </w:r>
      <w:r w:rsidR="00687119">
        <w:rPr>
          <w:rFonts w:ascii="Times New Roman" w:hAnsi="Times New Roman"/>
          <w:sz w:val="22"/>
          <w:szCs w:val="22"/>
        </w:rPr>
        <w:t xml:space="preserve"> when </w:t>
      </w:r>
      <w:r w:rsidR="00687119" w:rsidRPr="00DF2AC3">
        <w:rPr>
          <w:rFonts w:ascii="Times New Roman" w:hAnsi="Times New Roman"/>
          <w:sz w:val="22"/>
          <w:szCs w:val="22"/>
        </w:rPr>
        <w:t xml:space="preserve">represented </w:t>
      </w:r>
      <w:r w:rsidR="00687119">
        <w:rPr>
          <w:rFonts w:ascii="Times New Roman" w:hAnsi="Times New Roman"/>
          <w:sz w:val="22"/>
          <w:szCs w:val="22"/>
        </w:rPr>
        <w:t xml:space="preserve">in any way </w:t>
      </w:r>
      <w:r w:rsidR="00687119" w:rsidRPr="00DF2AC3">
        <w:rPr>
          <w:rFonts w:ascii="Times New Roman" w:hAnsi="Times New Roman"/>
          <w:sz w:val="22"/>
          <w:szCs w:val="22"/>
        </w:rPr>
        <w:t xml:space="preserve">to be, </w:t>
      </w:r>
      <w:r w:rsidR="00687119">
        <w:rPr>
          <w:rFonts w:ascii="Times New Roman" w:hAnsi="Times New Roman"/>
          <w:sz w:val="22"/>
          <w:szCs w:val="22"/>
        </w:rPr>
        <w:t xml:space="preserve">or are (whether because of the way in which the goods are presented or for any other reason) </w:t>
      </w:r>
      <w:r w:rsidR="00687119" w:rsidRPr="00DF2AC3">
        <w:rPr>
          <w:rFonts w:ascii="Times New Roman" w:hAnsi="Times New Roman"/>
          <w:sz w:val="22"/>
          <w:szCs w:val="22"/>
        </w:rPr>
        <w:t>likely to be taken to be for therapeutic use</w:t>
      </w:r>
      <w:r w:rsidR="00495B46">
        <w:rPr>
          <w:rFonts w:ascii="Times New Roman" w:hAnsi="Times New Roman"/>
          <w:sz w:val="22"/>
          <w:szCs w:val="22"/>
        </w:rPr>
        <w:t>,</w:t>
      </w:r>
      <w:r w:rsidR="00687119" w:rsidRPr="00DF2AC3">
        <w:rPr>
          <w:rFonts w:ascii="Times New Roman" w:hAnsi="Times New Roman"/>
          <w:sz w:val="22"/>
          <w:szCs w:val="22"/>
        </w:rPr>
        <w:t xml:space="preserve"> are </w:t>
      </w:r>
      <w:r w:rsidR="00687119">
        <w:rPr>
          <w:rFonts w:ascii="Times New Roman" w:hAnsi="Times New Roman"/>
          <w:sz w:val="22"/>
          <w:szCs w:val="22"/>
        </w:rPr>
        <w:t xml:space="preserve">appropriately characterised as therapeutic goods, and </w:t>
      </w:r>
      <w:r w:rsidR="00687119" w:rsidRPr="00DF2AC3">
        <w:rPr>
          <w:rFonts w:ascii="Times New Roman" w:hAnsi="Times New Roman"/>
          <w:sz w:val="22"/>
          <w:szCs w:val="22"/>
        </w:rPr>
        <w:t xml:space="preserve">should </w:t>
      </w:r>
      <w:r w:rsidR="00687119">
        <w:rPr>
          <w:rFonts w:ascii="Times New Roman" w:hAnsi="Times New Roman"/>
          <w:sz w:val="22"/>
          <w:szCs w:val="22"/>
        </w:rPr>
        <w:t xml:space="preserve">therefore </w:t>
      </w:r>
      <w:r w:rsidR="00687119" w:rsidRPr="00DF2AC3">
        <w:rPr>
          <w:rFonts w:ascii="Times New Roman" w:hAnsi="Times New Roman"/>
          <w:sz w:val="22"/>
          <w:szCs w:val="22"/>
        </w:rPr>
        <w:t xml:space="preserve">be subject to the national system of controls </w:t>
      </w:r>
      <w:r w:rsidR="00495B46">
        <w:rPr>
          <w:rFonts w:ascii="Times New Roman" w:hAnsi="Times New Roman"/>
          <w:sz w:val="22"/>
          <w:szCs w:val="22"/>
        </w:rPr>
        <w:t xml:space="preserve">under the Act </w:t>
      </w:r>
      <w:r w:rsidR="00687119">
        <w:rPr>
          <w:rFonts w:ascii="Times New Roman" w:hAnsi="Times New Roman"/>
          <w:sz w:val="22"/>
          <w:szCs w:val="22"/>
        </w:rPr>
        <w:t>for therapeutic goods.</w:t>
      </w:r>
    </w:p>
    <w:p w:rsidR="001766ED" w:rsidRPr="00887699" w:rsidRDefault="001766ED" w:rsidP="001766ED">
      <w:pPr>
        <w:rPr>
          <w:rFonts w:ascii="Times New Roman" w:hAnsi="Times New Roman"/>
          <w:sz w:val="22"/>
          <w:szCs w:val="22"/>
        </w:rPr>
      </w:pPr>
    </w:p>
    <w:p w:rsidR="001766ED" w:rsidRPr="00887699" w:rsidRDefault="001766ED" w:rsidP="001766ED">
      <w:pPr>
        <w:rPr>
          <w:rFonts w:ascii="Times New Roman" w:hAnsi="Times New Roman"/>
          <w:sz w:val="22"/>
          <w:szCs w:val="22"/>
        </w:rPr>
      </w:pPr>
      <w:r w:rsidRPr="00887699">
        <w:rPr>
          <w:rFonts w:ascii="Times New Roman" w:hAnsi="Times New Roman"/>
          <w:sz w:val="22"/>
          <w:szCs w:val="22"/>
        </w:rPr>
        <w:t xml:space="preserve">Details of the Amendment </w:t>
      </w:r>
      <w:r>
        <w:rPr>
          <w:rFonts w:ascii="Times New Roman" w:hAnsi="Times New Roman"/>
          <w:sz w:val="22"/>
          <w:szCs w:val="22"/>
        </w:rPr>
        <w:t>Order</w:t>
      </w:r>
      <w:r w:rsidRPr="00887699">
        <w:rPr>
          <w:rFonts w:ascii="Times New Roman" w:hAnsi="Times New Roman"/>
          <w:sz w:val="22"/>
          <w:szCs w:val="22"/>
        </w:rPr>
        <w:t xml:space="preserve"> are set out in </w:t>
      </w:r>
      <w:r w:rsidRPr="00887699">
        <w:rPr>
          <w:rFonts w:ascii="Times New Roman" w:hAnsi="Times New Roman"/>
          <w:b/>
          <w:sz w:val="22"/>
          <w:szCs w:val="22"/>
        </w:rPr>
        <w:t>Attachment A.</w:t>
      </w:r>
    </w:p>
    <w:p w:rsidR="001766ED" w:rsidRPr="00887699" w:rsidRDefault="001766ED" w:rsidP="001766ED">
      <w:pPr>
        <w:rPr>
          <w:rFonts w:ascii="Times New Roman" w:hAnsi="Times New Roman"/>
          <w:sz w:val="22"/>
          <w:szCs w:val="22"/>
        </w:rPr>
      </w:pPr>
    </w:p>
    <w:p w:rsidR="001766ED" w:rsidRPr="00887699" w:rsidRDefault="001766ED" w:rsidP="001766ED">
      <w:pPr>
        <w:rPr>
          <w:rFonts w:ascii="Times New Roman" w:hAnsi="Times New Roman"/>
          <w:sz w:val="22"/>
          <w:szCs w:val="22"/>
        </w:rPr>
      </w:pPr>
      <w:r w:rsidRPr="00887699">
        <w:rPr>
          <w:rFonts w:ascii="Times New Roman" w:hAnsi="Times New Roman"/>
          <w:sz w:val="22"/>
          <w:szCs w:val="22"/>
        </w:rPr>
        <w:t xml:space="preserve">The Amendment </w:t>
      </w:r>
      <w:r>
        <w:rPr>
          <w:rFonts w:ascii="Times New Roman" w:hAnsi="Times New Roman"/>
          <w:sz w:val="22"/>
          <w:szCs w:val="22"/>
        </w:rPr>
        <w:t>Order</w:t>
      </w:r>
      <w:r w:rsidRPr="00887699">
        <w:rPr>
          <w:rFonts w:ascii="Times New Roman" w:hAnsi="Times New Roman"/>
          <w:sz w:val="22"/>
          <w:szCs w:val="22"/>
        </w:rPr>
        <w:t xml:space="preserve"> is compatible with human rights and freedoms recognised or declared under section 3 of the </w:t>
      </w:r>
      <w:r w:rsidRPr="00887699">
        <w:rPr>
          <w:rFonts w:ascii="Times New Roman" w:hAnsi="Times New Roman"/>
          <w:i/>
          <w:sz w:val="22"/>
          <w:szCs w:val="22"/>
        </w:rPr>
        <w:t>Human Rights (Parliamentary Scrutiny) Act 2011</w:t>
      </w:r>
      <w:r w:rsidRPr="00887699">
        <w:rPr>
          <w:rFonts w:ascii="Times New Roman" w:hAnsi="Times New Roman"/>
          <w:sz w:val="22"/>
          <w:szCs w:val="22"/>
        </w:rPr>
        <w:t>.</w:t>
      </w:r>
      <w:r>
        <w:rPr>
          <w:rFonts w:ascii="Times New Roman" w:hAnsi="Times New Roman"/>
          <w:sz w:val="22"/>
          <w:szCs w:val="22"/>
        </w:rPr>
        <w:t xml:space="preserve"> </w:t>
      </w:r>
      <w:r w:rsidRPr="00887699">
        <w:rPr>
          <w:rFonts w:ascii="Times New Roman" w:hAnsi="Times New Roman"/>
          <w:sz w:val="22"/>
          <w:szCs w:val="22"/>
        </w:rPr>
        <w:t xml:space="preserve"> A full statement of compatibility is set out in </w:t>
      </w:r>
      <w:r w:rsidRPr="00887699">
        <w:rPr>
          <w:rFonts w:ascii="Times New Roman" w:hAnsi="Times New Roman"/>
          <w:b/>
          <w:sz w:val="22"/>
          <w:szCs w:val="22"/>
        </w:rPr>
        <w:t>Attachment B.</w:t>
      </w:r>
    </w:p>
    <w:p w:rsidR="001766ED" w:rsidRPr="00887699" w:rsidRDefault="001766ED" w:rsidP="001766ED">
      <w:pPr>
        <w:rPr>
          <w:rFonts w:ascii="Times New Roman" w:hAnsi="Times New Roman"/>
          <w:sz w:val="22"/>
          <w:szCs w:val="22"/>
        </w:rPr>
      </w:pPr>
    </w:p>
    <w:p w:rsidR="001766ED" w:rsidRPr="00887699" w:rsidRDefault="001766ED" w:rsidP="001766ED">
      <w:pPr>
        <w:rPr>
          <w:rFonts w:ascii="Times New Roman" w:hAnsi="Times New Roman"/>
          <w:sz w:val="22"/>
          <w:szCs w:val="22"/>
        </w:rPr>
      </w:pPr>
      <w:r w:rsidRPr="00887699">
        <w:rPr>
          <w:rFonts w:ascii="Times New Roman" w:hAnsi="Times New Roman"/>
          <w:sz w:val="22"/>
          <w:szCs w:val="22"/>
        </w:rPr>
        <w:t xml:space="preserve">The Amendment </w:t>
      </w:r>
      <w:r>
        <w:rPr>
          <w:rFonts w:ascii="Times New Roman" w:hAnsi="Times New Roman"/>
          <w:sz w:val="22"/>
          <w:szCs w:val="22"/>
        </w:rPr>
        <w:t>Order</w:t>
      </w:r>
      <w:r w:rsidRPr="00887699">
        <w:rPr>
          <w:rFonts w:ascii="Times New Roman" w:hAnsi="Times New Roman"/>
          <w:sz w:val="22"/>
          <w:szCs w:val="22"/>
        </w:rPr>
        <w:t xml:space="preserve"> is a disallowable legislative instrument</w:t>
      </w:r>
      <w:r w:rsidRPr="00887699">
        <w:rPr>
          <w:rFonts w:ascii="Times New Roman" w:hAnsi="Times New Roman"/>
          <w:i/>
          <w:sz w:val="22"/>
          <w:szCs w:val="22"/>
        </w:rPr>
        <w:t xml:space="preserve"> </w:t>
      </w:r>
      <w:r w:rsidRPr="00887699">
        <w:rPr>
          <w:rFonts w:ascii="Times New Roman" w:hAnsi="Times New Roman"/>
          <w:sz w:val="22"/>
          <w:szCs w:val="22"/>
        </w:rPr>
        <w:t xml:space="preserve">for the purposes of the </w:t>
      </w:r>
      <w:r w:rsidRPr="00887699">
        <w:rPr>
          <w:rFonts w:ascii="Times New Roman" w:hAnsi="Times New Roman"/>
          <w:i/>
          <w:sz w:val="22"/>
          <w:szCs w:val="22"/>
        </w:rPr>
        <w:t xml:space="preserve">Legislation Act 2003 </w:t>
      </w:r>
      <w:r w:rsidRPr="00CC35B2">
        <w:rPr>
          <w:rFonts w:ascii="Times New Roman" w:hAnsi="Times New Roman"/>
          <w:sz w:val="22"/>
          <w:szCs w:val="22"/>
        </w:rPr>
        <w:t>(</w:t>
      </w:r>
      <w:r>
        <w:rPr>
          <w:rFonts w:ascii="Times New Roman" w:hAnsi="Times New Roman"/>
          <w:sz w:val="22"/>
          <w:szCs w:val="22"/>
        </w:rPr>
        <w:t>“</w:t>
      </w:r>
      <w:r w:rsidRPr="00CC35B2">
        <w:rPr>
          <w:rFonts w:ascii="Times New Roman" w:hAnsi="Times New Roman"/>
          <w:sz w:val="22"/>
          <w:szCs w:val="22"/>
        </w:rPr>
        <w:t>Legislation Act”)</w:t>
      </w:r>
      <w:r>
        <w:rPr>
          <w:rFonts w:ascii="Times New Roman" w:hAnsi="Times New Roman"/>
          <w:i/>
          <w:sz w:val="22"/>
          <w:szCs w:val="22"/>
        </w:rPr>
        <w:t xml:space="preserve"> </w:t>
      </w:r>
      <w:r w:rsidRPr="00887699">
        <w:rPr>
          <w:rFonts w:ascii="Times New Roman" w:hAnsi="Times New Roman"/>
          <w:sz w:val="22"/>
          <w:szCs w:val="22"/>
        </w:rPr>
        <w:t>and commences on the day after it is registered on the Federal Register of Legislation.</w:t>
      </w:r>
      <w:r>
        <w:rPr>
          <w:rFonts w:ascii="Times New Roman" w:hAnsi="Times New Roman"/>
          <w:sz w:val="22"/>
          <w:szCs w:val="22"/>
        </w:rPr>
        <w:t xml:space="preserve">  Under subsection 56(1) of the </w:t>
      </w:r>
      <w:r w:rsidRPr="00CC35B2">
        <w:rPr>
          <w:rFonts w:ascii="Times New Roman" w:hAnsi="Times New Roman"/>
          <w:sz w:val="22"/>
          <w:szCs w:val="22"/>
        </w:rPr>
        <w:t>Legislation Act</w:t>
      </w:r>
      <w:r>
        <w:rPr>
          <w:rFonts w:ascii="Times New Roman" w:hAnsi="Times New Roman"/>
          <w:sz w:val="22"/>
          <w:szCs w:val="22"/>
        </w:rPr>
        <w:t xml:space="preserve">, the requirement for the Amendment Order to be published in the </w:t>
      </w:r>
      <w:r w:rsidRPr="004042AE">
        <w:rPr>
          <w:rFonts w:ascii="Times New Roman" w:hAnsi="Times New Roman"/>
          <w:i/>
          <w:sz w:val="22"/>
          <w:szCs w:val="22"/>
        </w:rPr>
        <w:t>Gazette</w:t>
      </w:r>
      <w:r>
        <w:rPr>
          <w:rFonts w:ascii="Times New Roman" w:hAnsi="Times New Roman"/>
          <w:sz w:val="22"/>
          <w:szCs w:val="22"/>
        </w:rPr>
        <w:t xml:space="preserve"> under section 7 of the Act, is satisfied by registration of the Amendment Order as a legislative instrument.</w:t>
      </w:r>
    </w:p>
    <w:p w:rsidR="001766ED" w:rsidRPr="00887699" w:rsidRDefault="001766ED" w:rsidP="001766ED">
      <w:pPr>
        <w:rPr>
          <w:rFonts w:ascii="Times New Roman" w:hAnsi="Times New Roman"/>
          <w:sz w:val="22"/>
          <w:szCs w:val="22"/>
        </w:rPr>
      </w:pPr>
      <w:r w:rsidRPr="00887699">
        <w:rPr>
          <w:rFonts w:ascii="Times New Roman" w:hAnsi="Times New Roman"/>
          <w:sz w:val="22"/>
          <w:szCs w:val="22"/>
        </w:rPr>
        <w:br w:type="page"/>
      </w:r>
    </w:p>
    <w:p w:rsidR="001766ED" w:rsidRDefault="001766ED" w:rsidP="007B6BCF">
      <w:pPr>
        <w:rPr>
          <w:rFonts w:ascii="Times New Roman" w:hAnsi="Times New Roman"/>
          <w:sz w:val="22"/>
          <w:szCs w:val="22"/>
        </w:rPr>
      </w:pPr>
    </w:p>
    <w:p w:rsidR="001766ED" w:rsidRDefault="001766ED" w:rsidP="007B6BCF">
      <w:pPr>
        <w:rPr>
          <w:rFonts w:ascii="Times New Roman" w:hAnsi="Times New Roman"/>
          <w:sz w:val="22"/>
          <w:szCs w:val="22"/>
        </w:rPr>
      </w:pPr>
    </w:p>
    <w:p w:rsidR="00034796" w:rsidRPr="00887699" w:rsidRDefault="00034796" w:rsidP="007B6BCF">
      <w:pPr>
        <w:autoSpaceDE w:val="0"/>
        <w:autoSpaceDN w:val="0"/>
        <w:adjustRightInd w:val="0"/>
        <w:rPr>
          <w:rFonts w:ascii="Times New Roman" w:hAnsi="Times New Roman"/>
          <w:sz w:val="22"/>
          <w:szCs w:val="22"/>
        </w:rPr>
      </w:pPr>
    </w:p>
    <w:p w:rsidR="00926CE9" w:rsidRPr="00887699" w:rsidRDefault="00926CE9" w:rsidP="007B6BCF">
      <w:pPr>
        <w:jc w:val="right"/>
        <w:rPr>
          <w:rFonts w:ascii="Times New Roman" w:hAnsi="Times New Roman"/>
          <w:b/>
          <w:bCs/>
          <w:sz w:val="22"/>
          <w:szCs w:val="22"/>
        </w:rPr>
      </w:pPr>
      <w:r w:rsidRPr="00887699">
        <w:rPr>
          <w:rFonts w:ascii="Times New Roman" w:hAnsi="Times New Roman"/>
          <w:b/>
          <w:bCs/>
          <w:sz w:val="22"/>
          <w:szCs w:val="22"/>
        </w:rPr>
        <w:t>Attachment A</w:t>
      </w:r>
    </w:p>
    <w:p w:rsidR="00926CE9" w:rsidRPr="00887699" w:rsidRDefault="00926CE9" w:rsidP="007B6BCF">
      <w:pPr>
        <w:rPr>
          <w:rFonts w:ascii="Times New Roman" w:hAnsi="Times New Roman"/>
          <w:b/>
          <w:bCs/>
          <w:sz w:val="22"/>
          <w:szCs w:val="22"/>
        </w:rPr>
      </w:pPr>
    </w:p>
    <w:p w:rsidR="00926CE9" w:rsidRPr="007B6BCF" w:rsidRDefault="00926CE9" w:rsidP="007B6BCF">
      <w:pPr>
        <w:rPr>
          <w:rFonts w:ascii="Times New Roman" w:hAnsi="Times New Roman"/>
          <w:sz w:val="22"/>
          <w:szCs w:val="22"/>
        </w:rPr>
      </w:pPr>
      <w:r w:rsidRPr="00887699">
        <w:rPr>
          <w:rFonts w:ascii="Times New Roman" w:hAnsi="Times New Roman"/>
          <w:b/>
          <w:bCs/>
          <w:sz w:val="22"/>
          <w:szCs w:val="22"/>
        </w:rPr>
        <w:t xml:space="preserve">Details of the </w:t>
      </w:r>
      <w:r w:rsidRPr="00887699">
        <w:rPr>
          <w:rFonts w:ascii="Times New Roman" w:hAnsi="Times New Roman"/>
          <w:b/>
          <w:i/>
          <w:sz w:val="22"/>
          <w:szCs w:val="22"/>
        </w:rPr>
        <w:t>Therapeutic Goods Amendment (Declared Goods) Order 2019</w:t>
      </w:r>
    </w:p>
    <w:p w:rsidR="00926CE9" w:rsidRPr="00885820" w:rsidRDefault="00926CE9" w:rsidP="007B6BCF">
      <w:pPr>
        <w:rPr>
          <w:rFonts w:ascii="Times New Roman" w:hAnsi="Times New Roman"/>
          <w:b/>
          <w:bCs/>
          <w:i/>
          <w:sz w:val="22"/>
          <w:szCs w:val="22"/>
        </w:rPr>
      </w:pPr>
    </w:p>
    <w:p w:rsidR="00926CE9" w:rsidRPr="00887699" w:rsidRDefault="00926CE9" w:rsidP="007B6BCF">
      <w:pPr>
        <w:rPr>
          <w:rFonts w:ascii="Times New Roman" w:hAnsi="Times New Roman"/>
          <w:b/>
          <w:bCs/>
          <w:sz w:val="22"/>
          <w:szCs w:val="22"/>
        </w:rPr>
      </w:pPr>
      <w:r w:rsidRPr="00887699">
        <w:rPr>
          <w:rFonts w:ascii="Times New Roman" w:hAnsi="Times New Roman"/>
          <w:b/>
          <w:bCs/>
          <w:sz w:val="22"/>
          <w:szCs w:val="22"/>
        </w:rPr>
        <w:t>Section 1 – Name</w:t>
      </w:r>
    </w:p>
    <w:p w:rsidR="007B6BCF" w:rsidRDefault="007B6BCF" w:rsidP="007B6BCF">
      <w:pPr>
        <w:rPr>
          <w:rFonts w:ascii="Times New Roman" w:hAnsi="Times New Roman"/>
          <w:sz w:val="22"/>
          <w:szCs w:val="22"/>
        </w:rPr>
      </w:pPr>
    </w:p>
    <w:p w:rsidR="00926CE9" w:rsidRPr="00885820" w:rsidRDefault="00926CE9" w:rsidP="007B6BCF">
      <w:pPr>
        <w:rPr>
          <w:rFonts w:ascii="Times New Roman" w:hAnsi="Times New Roman"/>
          <w:sz w:val="22"/>
          <w:szCs w:val="22"/>
        </w:rPr>
      </w:pPr>
      <w:r w:rsidRPr="00887699">
        <w:rPr>
          <w:rFonts w:ascii="Times New Roman" w:hAnsi="Times New Roman"/>
          <w:sz w:val="22"/>
          <w:szCs w:val="22"/>
        </w:rPr>
        <w:t xml:space="preserve">This section provides that the name of the instrument is the </w:t>
      </w:r>
      <w:r w:rsidRPr="00887699">
        <w:rPr>
          <w:rFonts w:ascii="Times New Roman" w:hAnsi="Times New Roman"/>
          <w:i/>
          <w:sz w:val="22"/>
          <w:szCs w:val="22"/>
        </w:rPr>
        <w:t xml:space="preserve">Therapeutic Goods Amendment (Declared Goods) Order 2019 </w:t>
      </w:r>
      <w:r w:rsidRPr="007B6BCF">
        <w:rPr>
          <w:sz w:val="22"/>
          <w:szCs w:val="22"/>
        </w:rPr>
        <w:t xml:space="preserve">(“the Amendment </w:t>
      </w:r>
      <w:r w:rsidR="006926B8">
        <w:rPr>
          <w:sz w:val="22"/>
          <w:szCs w:val="22"/>
        </w:rPr>
        <w:t>Order</w:t>
      </w:r>
      <w:r w:rsidRPr="007B6BCF">
        <w:rPr>
          <w:sz w:val="22"/>
          <w:szCs w:val="22"/>
        </w:rPr>
        <w:t>”)</w:t>
      </w:r>
      <w:r w:rsidRPr="00885820">
        <w:rPr>
          <w:rFonts w:ascii="Times New Roman" w:hAnsi="Times New Roman"/>
          <w:sz w:val="22"/>
          <w:szCs w:val="22"/>
        </w:rPr>
        <w:t>.</w:t>
      </w:r>
    </w:p>
    <w:p w:rsidR="00926CE9" w:rsidRPr="00887699" w:rsidRDefault="00926CE9" w:rsidP="007B6BCF">
      <w:pPr>
        <w:rPr>
          <w:rFonts w:ascii="Times New Roman" w:hAnsi="Times New Roman"/>
          <w:bCs/>
          <w:sz w:val="22"/>
          <w:szCs w:val="22"/>
        </w:rPr>
      </w:pPr>
    </w:p>
    <w:p w:rsidR="00926CE9" w:rsidRPr="00887699" w:rsidRDefault="00926CE9" w:rsidP="007B6BCF">
      <w:pPr>
        <w:rPr>
          <w:rFonts w:ascii="Times New Roman" w:hAnsi="Times New Roman"/>
          <w:bCs/>
          <w:sz w:val="22"/>
          <w:szCs w:val="22"/>
        </w:rPr>
      </w:pPr>
      <w:r w:rsidRPr="00887699">
        <w:rPr>
          <w:rFonts w:ascii="Times New Roman" w:hAnsi="Times New Roman"/>
          <w:b/>
          <w:bCs/>
          <w:sz w:val="22"/>
          <w:szCs w:val="22"/>
        </w:rPr>
        <w:t>Section 2 – Commencement</w:t>
      </w:r>
    </w:p>
    <w:p w:rsidR="007B6BCF" w:rsidRDefault="007B6BCF" w:rsidP="007B6BCF">
      <w:pPr>
        <w:rPr>
          <w:rFonts w:ascii="Times New Roman" w:hAnsi="Times New Roman"/>
          <w:bCs/>
          <w:sz w:val="22"/>
          <w:szCs w:val="22"/>
        </w:rPr>
      </w:pPr>
    </w:p>
    <w:p w:rsidR="00926CE9" w:rsidRPr="00887699" w:rsidRDefault="00926CE9" w:rsidP="007B6BCF">
      <w:pPr>
        <w:rPr>
          <w:rFonts w:ascii="Times New Roman" w:hAnsi="Times New Roman"/>
          <w:bCs/>
          <w:sz w:val="22"/>
          <w:szCs w:val="22"/>
        </w:rPr>
      </w:pPr>
      <w:r w:rsidRPr="00887699">
        <w:rPr>
          <w:rFonts w:ascii="Times New Roman" w:hAnsi="Times New Roman"/>
          <w:bCs/>
          <w:sz w:val="22"/>
          <w:szCs w:val="22"/>
        </w:rPr>
        <w:t xml:space="preserve">This section provides that the Amendment </w:t>
      </w:r>
      <w:r w:rsidR="006926B8">
        <w:rPr>
          <w:rFonts w:ascii="Times New Roman" w:hAnsi="Times New Roman"/>
          <w:bCs/>
          <w:sz w:val="22"/>
          <w:szCs w:val="22"/>
        </w:rPr>
        <w:t>Order</w:t>
      </w:r>
      <w:r w:rsidR="006926B8" w:rsidRPr="00887699">
        <w:rPr>
          <w:rFonts w:ascii="Times New Roman" w:hAnsi="Times New Roman"/>
          <w:bCs/>
          <w:sz w:val="22"/>
          <w:szCs w:val="22"/>
        </w:rPr>
        <w:t xml:space="preserve"> </w:t>
      </w:r>
      <w:r w:rsidRPr="00887699">
        <w:rPr>
          <w:rFonts w:ascii="Times New Roman" w:hAnsi="Times New Roman"/>
          <w:bCs/>
          <w:sz w:val="22"/>
          <w:szCs w:val="22"/>
        </w:rPr>
        <w:t>commences on the day after it is registered on the Federal Register of Legislation.</w:t>
      </w:r>
    </w:p>
    <w:p w:rsidR="00926CE9" w:rsidRPr="00887699" w:rsidRDefault="00926CE9" w:rsidP="007B6BCF">
      <w:pPr>
        <w:rPr>
          <w:rFonts w:ascii="Times New Roman" w:hAnsi="Times New Roman"/>
          <w:bCs/>
          <w:sz w:val="22"/>
          <w:szCs w:val="22"/>
        </w:rPr>
      </w:pPr>
    </w:p>
    <w:p w:rsidR="00926CE9" w:rsidRPr="00887699" w:rsidRDefault="00926CE9" w:rsidP="007B6BCF">
      <w:pPr>
        <w:rPr>
          <w:rFonts w:ascii="Times New Roman" w:hAnsi="Times New Roman"/>
          <w:b/>
          <w:bCs/>
          <w:sz w:val="22"/>
          <w:szCs w:val="22"/>
        </w:rPr>
      </w:pPr>
      <w:r w:rsidRPr="00887699">
        <w:rPr>
          <w:rFonts w:ascii="Times New Roman" w:hAnsi="Times New Roman"/>
          <w:b/>
          <w:bCs/>
          <w:sz w:val="22"/>
          <w:szCs w:val="22"/>
        </w:rPr>
        <w:t>Section 3 – Authority</w:t>
      </w:r>
    </w:p>
    <w:p w:rsidR="007B6BCF" w:rsidRDefault="007B6BCF" w:rsidP="007B6BCF">
      <w:pPr>
        <w:rPr>
          <w:rFonts w:ascii="Times New Roman" w:hAnsi="Times New Roman"/>
          <w:bCs/>
          <w:sz w:val="22"/>
          <w:szCs w:val="22"/>
        </w:rPr>
      </w:pPr>
    </w:p>
    <w:p w:rsidR="00926CE9" w:rsidRPr="00887699" w:rsidRDefault="00926CE9" w:rsidP="007B6BCF">
      <w:pPr>
        <w:rPr>
          <w:rFonts w:ascii="Times New Roman" w:hAnsi="Times New Roman"/>
          <w:bCs/>
          <w:sz w:val="22"/>
          <w:szCs w:val="22"/>
        </w:rPr>
      </w:pPr>
      <w:r w:rsidRPr="00887699">
        <w:rPr>
          <w:rFonts w:ascii="Times New Roman" w:hAnsi="Times New Roman"/>
          <w:bCs/>
          <w:sz w:val="22"/>
          <w:szCs w:val="22"/>
        </w:rPr>
        <w:t xml:space="preserve">This section provides that the legislative authority for making the Amendment </w:t>
      </w:r>
      <w:r w:rsidR="006926B8">
        <w:rPr>
          <w:rFonts w:ascii="Times New Roman" w:hAnsi="Times New Roman"/>
          <w:bCs/>
          <w:sz w:val="22"/>
          <w:szCs w:val="22"/>
        </w:rPr>
        <w:t>Order</w:t>
      </w:r>
      <w:r w:rsidR="006926B8" w:rsidRPr="00887699">
        <w:rPr>
          <w:rFonts w:ascii="Times New Roman" w:hAnsi="Times New Roman"/>
          <w:bCs/>
          <w:sz w:val="22"/>
          <w:szCs w:val="22"/>
        </w:rPr>
        <w:t xml:space="preserve"> </w:t>
      </w:r>
      <w:r w:rsidRPr="00887699">
        <w:rPr>
          <w:rFonts w:ascii="Times New Roman" w:hAnsi="Times New Roman"/>
          <w:bCs/>
          <w:sz w:val="22"/>
          <w:szCs w:val="22"/>
        </w:rPr>
        <w:t xml:space="preserve">is section </w:t>
      </w:r>
      <w:r w:rsidR="007B7F41" w:rsidRPr="00887699">
        <w:rPr>
          <w:rFonts w:ascii="Times New Roman" w:hAnsi="Times New Roman"/>
          <w:bCs/>
          <w:sz w:val="22"/>
          <w:szCs w:val="22"/>
        </w:rPr>
        <w:t>7</w:t>
      </w:r>
      <w:r w:rsidRPr="00887699">
        <w:rPr>
          <w:rFonts w:ascii="Times New Roman" w:hAnsi="Times New Roman"/>
          <w:bCs/>
          <w:sz w:val="22"/>
          <w:szCs w:val="22"/>
        </w:rPr>
        <w:t xml:space="preserve"> of the </w:t>
      </w:r>
      <w:r w:rsidRPr="00887699">
        <w:rPr>
          <w:rFonts w:ascii="Times New Roman" w:hAnsi="Times New Roman"/>
          <w:bCs/>
          <w:i/>
          <w:sz w:val="22"/>
          <w:szCs w:val="22"/>
        </w:rPr>
        <w:t xml:space="preserve">Therapeutic Goods Act 1989 </w:t>
      </w:r>
      <w:r w:rsidRPr="00887699">
        <w:rPr>
          <w:rFonts w:ascii="Times New Roman" w:hAnsi="Times New Roman"/>
          <w:bCs/>
          <w:sz w:val="22"/>
          <w:szCs w:val="22"/>
        </w:rPr>
        <w:t>(“the Act”).</w:t>
      </w:r>
    </w:p>
    <w:p w:rsidR="00926CE9" w:rsidRPr="00887699" w:rsidRDefault="00926CE9" w:rsidP="007B6BCF">
      <w:pPr>
        <w:rPr>
          <w:rFonts w:ascii="Times New Roman" w:hAnsi="Times New Roman"/>
          <w:bCs/>
          <w:sz w:val="22"/>
          <w:szCs w:val="22"/>
        </w:rPr>
      </w:pPr>
    </w:p>
    <w:p w:rsidR="00926CE9" w:rsidRPr="00887699" w:rsidRDefault="00926CE9" w:rsidP="007B6BCF">
      <w:pPr>
        <w:rPr>
          <w:rFonts w:ascii="Times New Roman" w:hAnsi="Times New Roman"/>
          <w:bCs/>
          <w:sz w:val="22"/>
          <w:szCs w:val="22"/>
        </w:rPr>
      </w:pPr>
      <w:r w:rsidRPr="00887699">
        <w:rPr>
          <w:rFonts w:ascii="Times New Roman" w:hAnsi="Times New Roman"/>
          <w:bCs/>
          <w:sz w:val="22"/>
          <w:szCs w:val="22"/>
        </w:rPr>
        <w:t xml:space="preserve">Subsection 33(3) of the </w:t>
      </w:r>
      <w:r w:rsidRPr="00887699">
        <w:rPr>
          <w:rFonts w:ascii="Times New Roman" w:hAnsi="Times New Roman"/>
          <w:bCs/>
          <w:i/>
          <w:sz w:val="22"/>
          <w:szCs w:val="22"/>
        </w:rPr>
        <w:t>Acts Interpretation Act 1901</w:t>
      </w:r>
      <w:r w:rsidRPr="00887699">
        <w:rPr>
          <w:rFonts w:ascii="Times New Roman" w:hAnsi="Times New Roman"/>
          <w:bCs/>
          <w:sz w:val="22"/>
          <w:szCs w:val="22"/>
        </w:rPr>
        <w:t xml:space="preserve"> relevantly provides that, where an Act confers a</w:t>
      </w:r>
      <w:r w:rsidR="000C7CC9">
        <w:rPr>
          <w:rFonts w:ascii="Times New Roman" w:hAnsi="Times New Roman"/>
          <w:bCs/>
          <w:sz w:val="22"/>
          <w:szCs w:val="22"/>
        </w:rPr>
        <w:t> </w:t>
      </w:r>
      <w:r w:rsidRPr="00887699">
        <w:rPr>
          <w:rFonts w:ascii="Times New Roman" w:hAnsi="Times New Roman"/>
          <w:bCs/>
          <w:sz w:val="22"/>
          <w:szCs w:val="22"/>
        </w:rPr>
        <w:t>power to make, grant or issue any instrument of a legislative or administrative character, the power shall be construed as including a power exercisable in the like manner and subject to the like conditions (if any) to repeal, rescind, revoke, amend, or vary any such instrument. This instrument is</w:t>
      </w:r>
      <w:r w:rsidR="000C7CC9">
        <w:rPr>
          <w:rFonts w:ascii="Times New Roman" w:hAnsi="Times New Roman"/>
          <w:bCs/>
          <w:sz w:val="22"/>
          <w:szCs w:val="22"/>
        </w:rPr>
        <w:t> </w:t>
      </w:r>
      <w:r w:rsidRPr="00887699">
        <w:rPr>
          <w:rFonts w:ascii="Times New Roman" w:hAnsi="Times New Roman"/>
          <w:bCs/>
          <w:sz w:val="22"/>
          <w:szCs w:val="22"/>
        </w:rPr>
        <w:t>made in accordance with that provision.</w:t>
      </w:r>
    </w:p>
    <w:p w:rsidR="00926CE9" w:rsidRPr="00887699" w:rsidRDefault="00926CE9" w:rsidP="007B6BCF">
      <w:pPr>
        <w:rPr>
          <w:rFonts w:ascii="Times New Roman" w:hAnsi="Times New Roman"/>
          <w:bCs/>
          <w:sz w:val="22"/>
          <w:szCs w:val="22"/>
        </w:rPr>
      </w:pPr>
    </w:p>
    <w:p w:rsidR="00926CE9" w:rsidRPr="00887699" w:rsidRDefault="00926CE9" w:rsidP="007B6BCF">
      <w:pPr>
        <w:rPr>
          <w:rFonts w:ascii="Times New Roman" w:hAnsi="Times New Roman"/>
          <w:bCs/>
          <w:sz w:val="22"/>
          <w:szCs w:val="22"/>
        </w:rPr>
      </w:pPr>
      <w:r w:rsidRPr="00887699">
        <w:rPr>
          <w:rFonts w:ascii="Times New Roman" w:hAnsi="Times New Roman"/>
          <w:b/>
          <w:bCs/>
          <w:sz w:val="22"/>
          <w:szCs w:val="22"/>
        </w:rPr>
        <w:t>Section 4 – Schedules</w:t>
      </w:r>
    </w:p>
    <w:p w:rsidR="007B6BCF" w:rsidRDefault="007B6BCF" w:rsidP="007B6BCF">
      <w:pPr>
        <w:rPr>
          <w:rFonts w:ascii="Times New Roman" w:hAnsi="Times New Roman"/>
          <w:bCs/>
          <w:sz w:val="22"/>
          <w:szCs w:val="22"/>
        </w:rPr>
      </w:pPr>
    </w:p>
    <w:p w:rsidR="00926CE9" w:rsidRPr="00887699" w:rsidRDefault="00926CE9" w:rsidP="007B6BCF">
      <w:pPr>
        <w:rPr>
          <w:rFonts w:ascii="Times New Roman" w:hAnsi="Times New Roman"/>
          <w:bCs/>
          <w:sz w:val="22"/>
          <w:szCs w:val="22"/>
        </w:rPr>
      </w:pPr>
      <w:r w:rsidRPr="00887699">
        <w:rPr>
          <w:rFonts w:ascii="Times New Roman" w:hAnsi="Times New Roman"/>
          <w:bCs/>
          <w:sz w:val="22"/>
          <w:szCs w:val="22"/>
        </w:rPr>
        <w:t xml:space="preserve">This section provides that each instrument that is specified in a Schedule to the Amendment </w:t>
      </w:r>
      <w:r w:rsidR="00737947">
        <w:rPr>
          <w:rFonts w:ascii="Times New Roman" w:hAnsi="Times New Roman"/>
          <w:bCs/>
          <w:sz w:val="22"/>
          <w:szCs w:val="22"/>
        </w:rPr>
        <w:t>Order</w:t>
      </w:r>
      <w:r w:rsidR="00737947" w:rsidRPr="00887699">
        <w:rPr>
          <w:rFonts w:ascii="Times New Roman" w:hAnsi="Times New Roman"/>
          <w:bCs/>
          <w:sz w:val="22"/>
          <w:szCs w:val="22"/>
        </w:rPr>
        <w:t xml:space="preserve"> </w:t>
      </w:r>
      <w:r w:rsidRPr="00887699">
        <w:rPr>
          <w:rFonts w:ascii="Times New Roman" w:hAnsi="Times New Roman"/>
          <w:bCs/>
          <w:sz w:val="22"/>
          <w:szCs w:val="22"/>
        </w:rPr>
        <w:t>is amended or repealed as set out in the applicable items in the Schedule concerned, and that any other item in a Schedule to the instrument has effect according to its terms.</w:t>
      </w:r>
    </w:p>
    <w:p w:rsidR="00926CE9" w:rsidRPr="00887699" w:rsidRDefault="00926CE9" w:rsidP="007B6BCF">
      <w:pPr>
        <w:rPr>
          <w:rFonts w:ascii="Times New Roman" w:hAnsi="Times New Roman"/>
          <w:bCs/>
          <w:sz w:val="22"/>
          <w:szCs w:val="22"/>
        </w:rPr>
      </w:pPr>
    </w:p>
    <w:p w:rsidR="00926CE9" w:rsidRPr="00885820" w:rsidRDefault="00926CE9" w:rsidP="007B6BCF">
      <w:pPr>
        <w:rPr>
          <w:rFonts w:ascii="Times New Roman" w:hAnsi="Times New Roman"/>
          <w:b/>
          <w:bCs/>
          <w:sz w:val="22"/>
          <w:szCs w:val="22"/>
        </w:rPr>
      </w:pPr>
      <w:r w:rsidRPr="00887699">
        <w:rPr>
          <w:rFonts w:ascii="Times New Roman" w:hAnsi="Times New Roman"/>
          <w:b/>
          <w:bCs/>
          <w:sz w:val="22"/>
          <w:szCs w:val="22"/>
        </w:rPr>
        <w:t>Schedule 1</w:t>
      </w:r>
      <w:r w:rsidRPr="00885820">
        <w:rPr>
          <w:rFonts w:ascii="Times New Roman" w:hAnsi="Times New Roman"/>
          <w:b/>
          <w:bCs/>
          <w:sz w:val="22"/>
          <w:szCs w:val="22"/>
        </w:rPr>
        <w:sym w:font="Symbol" w:char="F0BE"/>
      </w:r>
      <w:r w:rsidRPr="00885820">
        <w:rPr>
          <w:rFonts w:ascii="Times New Roman" w:hAnsi="Times New Roman"/>
          <w:b/>
          <w:bCs/>
          <w:sz w:val="22"/>
          <w:szCs w:val="22"/>
        </w:rPr>
        <w:t>Amendments</w:t>
      </w:r>
    </w:p>
    <w:p w:rsidR="007B6BCF" w:rsidRDefault="007B6BCF" w:rsidP="007B6BCF">
      <w:pPr>
        <w:rPr>
          <w:rFonts w:ascii="Times New Roman" w:hAnsi="Times New Roman"/>
          <w:bCs/>
          <w:sz w:val="22"/>
          <w:szCs w:val="22"/>
        </w:rPr>
      </w:pPr>
    </w:p>
    <w:p w:rsidR="00F0298E" w:rsidRPr="001A313B" w:rsidRDefault="00737947" w:rsidP="007B6BCF">
      <w:pPr>
        <w:rPr>
          <w:rFonts w:ascii="Times New Roman" w:hAnsi="Times New Roman"/>
          <w:bCs/>
          <w:sz w:val="22"/>
          <w:szCs w:val="22"/>
        </w:rPr>
      </w:pPr>
      <w:r w:rsidRPr="001A313B">
        <w:rPr>
          <w:rFonts w:ascii="Times New Roman" w:hAnsi="Times New Roman"/>
          <w:bCs/>
          <w:sz w:val="22"/>
          <w:szCs w:val="22"/>
        </w:rPr>
        <w:t xml:space="preserve">This Schedule </w:t>
      </w:r>
      <w:r>
        <w:rPr>
          <w:rFonts w:ascii="Times New Roman" w:hAnsi="Times New Roman"/>
          <w:bCs/>
          <w:sz w:val="22"/>
          <w:szCs w:val="22"/>
        </w:rPr>
        <w:t xml:space="preserve">amends the </w:t>
      </w:r>
      <w:r w:rsidRPr="001A313B">
        <w:rPr>
          <w:rFonts w:ascii="Times New Roman" w:hAnsi="Times New Roman"/>
          <w:bCs/>
          <w:i/>
          <w:sz w:val="22"/>
          <w:szCs w:val="22"/>
        </w:rPr>
        <w:t>Therapeutic Goods (Declared Goods) Order 2019</w:t>
      </w:r>
      <w:r>
        <w:rPr>
          <w:rFonts w:ascii="Times New Roman" w:hAnsi="Times New Roman"/>
          <w:bCs/>
          <w:sz w:val="22"/>
          <w:szCs w:val="22"/>
        </w:rPr>
        <w:t xml:space="preserve"> (“the Principal Order”).  Item 1 of</w:t>
      </w:r>
      <w:r w:rsidRPr="001A313B">
        <w:rPr>
          <w:rFonts w:ascii="Times New Roman" w:hAnsi="Times New Roman"/>
          <w:bCs/>
          <w:sz w:val="22"/>
          <w:szCs w:val="22"/>
        </w:rPr>
        <w:t xml:space="preserve"> </w:t>
      </w:r>
      <w:r>
        <w:rPr>
          <w:rFonts w:ascii="Times New Roman" w:hAnsi="Times New Roman"/>
          <w:bCs/>
          <w:sz w:val="22"/>
          <w:szCs w:val="22"/>
        </w:rPr>
        <w:t>this Schedule inserts a new item 1A into</w:t>
      </w:r>
      <w:r w:rsidR="002D0AC0">
        <w:rPr>
          <w:rFonts w:ascii="Times New Roman" w:hAnsi="Times New Roman"/>
          <w:bCs/>
          <w:sz w:val="22"/>
          <w:szCs w:val="22"/>
        </w:rPr>
        <w:t xml:space="preserve"> the table in Part 2 of Schedule 1 to</w:t>
      </w:r>
      <w:r>
        <w:rPr>
          <w:rFonts w:ascii="Times New Roman" w:hAnsi="Times New Roman"/>
          <w:bCs/>
          <w:sz w:val="22"/>
          <w:szCs w:val="22"/>
        </w:rPr>
        <w:t xml:space="preserve"> the Principal Order</w:t>
      </w:r>
      <w:r w:rsidR="002D0AC0">
        <w:rPr>
          <w:rFonts w:ascii="Times New Roman" w:hAnsi="Times New Roman"/>
          <w:bCs/>
          <w:sz w:val="22"/>
          <w:szCs w:val="22"/>
        </w:rPr>
        <w:t xml:space="preserve">.  The effect of this amendment is to </w:t>
      </w:r>
      <w:r w:rsidR="002D0AC0">
        <w:rPr>
          <w:rFonts w:ascii="Times New Roman" w:hAnsi="Times New Roman"/>
          <w:sz w:val="22"/>
          <w:szCs w:val="22"/>
        </w:rPr>
        <w:t>declare certain g</w:t>
      </w:r>
      <w:r w:rsidR="002D0AC0" w:rsidRPr="00887699">
        <w:rPr>
          <w:rFonts w:ascii="Times New Roman" w:hAnsi="Times New Roman"/>
          <w:sz w:val="22"/>
          <w:szCs w:val="22"/>
        </w:rPr>
        <w:t xml:space="preserve">oods </w:t>
      </w:r>
      <w:r w:rsidR="002D0AC0">
        <w:rPr>
          <w:rFonts w:ascii="Times New Roman" w:hAnsi="Times New Roman"/>
          <w:sz w:val="22"/>
          <w:szCs w:val="22"/>
        </w:rPr>
        <w:t>containing</w:t>
      </w:r>
      <w:r w:rsidR="002D0AC0" w:rsidRPr="00887699">
        <w:rPr>
          <w:rFonts w:ascii="Times New Roman" w:hAnsi="Times New Roman"/>
          <w:sz w:val="22"/>
          <w:szCs w:val="22"/>
        </w:rPr>
        <w:t xml:space="preserve"> folate substances </w:t>
      </w:r>
      <w:r w:rsidR="002D0AC0">
        <w:rPr>
          <w:rFonts w:ascii="Times New Roman" w:hAnsi="Times New Roman"/>
          <w:sz w:val="22"/>
          <w:szCs w:val="22"/>
        </w:rPr>
        <w:t>that are represented as being food for special medical purposes, or being for the dietary management of a disease, disorder or medical condition to be therapeutic goods when used, advertised, or presented for supply for therapeutic use.</w:t>
      </w:r>
      <w:r w:rsidR="002D0AC0">
        <w:rPr>
          <w:rFonts w:ascii="Times New Roman" w:hAnsi="Times New Roman"/>
          <w:bCs/>
          <w:sz w:val="22"/>
          <w:szCs w:val="22"/>
        </w:rPr>
        <w:t xml:space="preserve"> </w:t>
      </w:r>
    </w:p>
    <w:p w:rsidR="00F0298E" w:rsidRPr="001A313B" w:rsidRDefault="00F0298E" w:rsidP="00A56D1B">
      <w:pPr>
        <w:spacing w:line="360" w:lineRule="auto"/>
        <w:rPr>
          <w:rFonts w:ascii="Times New Roman" w:hAnsi="Times New Roman"/>
          <w:bCs/>
          <w:sz w:val="22"/>
          <w:szCs w:val="22"/>
        </w:rPr>
      </w:pPr>
      <w:r w:rsidRPr="001A313B">
        <w:rPr>
          <w:rFonts w:ascii="Times New Roman" w:hAnsi="Times New Roman"/>
          <w:bCs/>
          <w:sz w:val="22"/>
          <w:szCs w:val="22"/>
        </w:rPr>
        <w:br w:type="page"/>
      </w:r>
    </w:p>
    <w:p w:rsidR="00F0298E" w:rsidRPr="00CF219B" w:rsidRDefault="00F0298E" w:rsidP="00F0298E">
      <w:pPr>
        <w:spacing w:line="276" w:lineRule="auto"/>
        <w:jc w:val="right"/>
        <w:rPr>
          <w:rFonts w:ascii="Times New Roman" w:hAnsi="Times New Roman"/>
          <w:b/>
          <w:bCs/>
          <w:sz w:val="22"/>
          <w:szCs w:val="22"/>
        </w:rPr>
      </w:pPr>
      <w:r w:rsidRPr="00CF219B">
        <w:rPr>
          <w:rFonts w:ascii="Times New Roman" w:hAnsi="Times New Roman"/>
          <w:b/>
          <w:bCs/>
          <w:sz w:val="22"/>
          <w:szCs w:val="22"/>
        </w:rPr>
        <w:lastRenderedPageBreak/>
        <w:t>Attachment B</w:t>
      </w:r>
    </w:p>
    <w:p w:rsidR="00F0298E" w:rsidRPr="00855E30" w:rsidRDefault="00F0298E" w:rsidP="00F0298E">
      <w:pPr>
        <w:shd w:val="clear" w:color="auto" w:fill="FFFFFF"/>
        <w:spacing w:before="100" w:beforeAutospacing="1" w:after="120"/>
        <w:jc w:val="center"/>
        <w:rPr>
          <w:rFonts w:ascii="Times New Roman" w:hAnsi="Times New Roman"/>
          <w:b/>
          <w:bCs/>
          <w:sz w:val="22"/>
          <w:szCs w:val="22"/>
        </w:rPr>
      </w:pPr>
      <w:r w:rsidRPr="00855E30">
        <w:rPr>
          <w:rFonts w:ascii="Times New Roman" w:hAnsi="Times New Roman"/>
          <w:b/>
          <w:bCs/>
          <w:sz w:val="22"/>
          <w:szCs w:val="22"/>
        </w:rPr>
        <w:t>Statement of Compatibility with Human Rights</w:t>
      </w:r>
    </w:p>
    <w:p w:rsidR="00F0298E" w:rsidRPr="00855E30" w:rsidRDefault="00F0298E" w:rsidP="00F0298E">
      <w:pPr>
        <w:shd w:val="clear" w:color="auto" w:fill="FFFFFF"/>
        <w:spacing w:before="100" w:beforeAutospacing="1"/>
        <w:ind w:right="-142"/>
        <w:jc w:val="center"/>
        <w:rPr>
          <w:sz w:val="22"/>
          <w:szCs w:val="22"/>
        </w:rPr>
      </w:pPr>
      <w:r w:rsidRPr="00855E30">
        <w:rPr>
          <w:sz w:val="22"/>
          <w:szCs w:val="22"/>
        </w:rPr>
        <w:t>Prepared in accordance with Part 3 of the</w:t>
      </w:r>
      <w:r w:rsidRPr="00855E30">
        <w:rPr>
          <w:iCs/>
          <w:sz w:val="22"/>
          <w:szCs w:val="22"/>
        </w:rPr>
        <w:t xml:space="preserve"> </w:t>
      </w:r>
      <w:r w:rsidRPr="00855E30">
        <w:rPr>
          <w:i/>
          <w:iCs/>
          <w:sz w:val="22"/>
          <w:szCs w:val="22"/>
        </w:rPr>
        <w:t>Human Rights (Parliamentary Scrutiny) Act 2011</w:t>
      </w:r>
    </w:p>
    <w:p w:rsidR="00F0298E" w:rsidRPr="00855E30" w:rsidRDefault="00F0298E" w:rsidP="00F0298E">
      <w:pPr>
        <w:spacing w:before="60"/>
        <w:jc w:val="center"/>
        <w:rPr>
          <w:rFonts w:ascii="Times New Roman" w:hAnsi="Times New Roman"/>
          <w:b/>
          <w:i/>
          <w:sz w:val="22"/>
          <w:szCs w:val="22"/>
        </w:rPr>
      </w:pPr>
    </w:p>
    <w:p w:rsidR="00F0298E" w:rsidRPr="00855E30" w:rsidRDefault="00F0298E" w:rsidP="00F0298E">
      <w:pPr>
        <w:jc w:val="center"/>
        <w:rPr>
          <w:rFonts w:ascii="Times New Roman" w:hAnsi="Times New Roman"/>
          <w:b/>
          <w:sz w:val="22"/>
          <w:szCs w:val="22"/>
        </w:rPr>
      </w:pPr>
      <w:r w:rsidRPr="0073434F">
        <w:rPr>
          <w:rFonts w:ascii="Times New Roman" w:hAnsi="Times New Roman"/>
          <w:b/>
          <w:i/>
          <w:sz w:val="22"/>
          <w:szCs w:val="22"/>
        </w:rPr>
        <w:t xml:space="preserve">Therapeutic Goods </w:t>
      </w:r>
      <w:r>
        <w:rPr>
          <w:rFonts w:ascii="Times New Roman" w:hAnsi="Times New Roman"/>
          <w:b/>
          <w:i/>
          <w:sz w:val="22"/>
          <w:szCs w:val="22"/>
        </w:rPr>
        <w:t xml:space="preserve">Amendment </w:t>
      </w:r>
      <w:r w:rsidRPr="0073434F">
        <w:rPr>
          <w:rFonts w:ascii="Times New Roman" w:hAnsi="Times New Roman"/>
          <w:b/>
          <w:i/>
          <w:sz w:val="22"/>
          <w:szCs w:val="22"/>
        </w:rPr>
        <w:t>(</w:t>
      </w:r>
      <w:r>
        <w:rPr>
          <w:rFonts w:ascii="Times New Roman" w:hAnsi="Times New Roman"/>
          <w:b/>
          <w:i/>
          <w:sz w:val="22"/>
          <w:szCs w:val="22"/>
        </w:rPr>
        <w:t>Declared Goods) Order</w:t>
      </w:r>
      <w:r w:rsidRPr="0073434F">
        <w:rPr>
          <w:rFonts w:ascii="Times New Roman" w:hAnsi="Times New Roman"/>
          <w:b/>
          <w:i/>
          <w:sz w:val="22"/>
          <w:szCs w:val="22"/>
        </w:rPr>
        <w:t xml:space="preserve"> 2019</w:t>
      </w:r>
    </w:p>
    <w:p w:rsidR="00F0298E" w:rsidRDefault="00F0298E" w:rsidP="00F0298E">
      <w:pPr>
        <w:rPr>
          <w:rFonts w:ascii="Times New Roman" w:hAnsi="Times New Roman"/>
          <w:sz w:val="22"/>
          <w:szCs w:val="22"/>
        </w:rPr>
      </w:pPr>
    </w:p>
    <w:p w:rsidR="00F0298E" w:rsidRPr="00CF219B" w:rsidRDefault="00F0298E" w:rsidP="00F0298E">
      <w:pPr>
        <w:rPr>
          <w:rFonts w:ascii="Times New Roman" w:hAnsi="Times New Roman"/>
          <w:sz w:val="22"/>
          <w:szCs w:val="22"/>
        </w:rPr>
      </w:pPr>
      <w:r w:rsidRPr="00CF219B">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p>
    <w:p w:rsidR="00F0298E" w:rsidRPr="00CF219B" w:rsidRDefault="00F0298E" w:rsidP="00F0298E">
      <w:pPr>
        <w:rPr>
          <w:rFonts w:ascii="Times New Roman" w:hAnsi="Times New Roman"/>
          <w:sz w:val="22"/>
          <w:szCs w:val="22"/>
        </w:rPr>
      </w:pPr>
    </w:p>
    <w:p w:rsidR="00F0298E" w:rsidRPr="00CF219B" w:rsidRDefault="00F0298E" w:rsidP="00F0298E">
      <w:pPr>
        <w:rPr>
          <w:rFonts w:ascii="Times New Roman" w:hAnsi="Times New Roman"/>
          <w:b/>
          <w:sz w:val="22"/>
          <w:szCs w:val="22"/>
        </w:rPr>
      </w:pPr>
      <w:r w:rsidRPr="00CF219B">
        <w:rPr>
          <w:rFonts w:ascii="Times New Roman" w:hAnsi="Times New Roman"/>
          <w:b/>
          <w:sz w:val="22"/>
          <w:szCs w:val="22"/>
        </w:rPr>
        <w:t>Overview of legislative instrument</w:t>
      </w:r>
    </w:p>
    <w:p w:rsidR="00F0298E" w:rsidRPr="00CF219B" w:rsidRDefault="00F0298E" w:rsidP="00F0298E">
      <w:pPr>
        <w:rPr>
          <w:rFonts w:ascii="Times New Roman" w:hAnsi="Times New Roman"/>
          <w:sz w:val="22"/>
          <w:szCs w:val="22"/>
        </w:rPr>
      </w:pPr>
    </w:p>
    <w:p w:rsidR="00F0298E" w:rsidRPr="0073434F" w:rsidRDefault="00F0298E" w:rsidP="00F0298E">
      <w:pPr>
        <w:autoSpaceDE w:val="0"/>
        <w:autoSpaceDN w:val="0"/>
        <w:adjustRightInd w:val="0"/>
        <w:rPr>
          <w:rFonts w:ascii="Times New Roman" w:hAnsi="Times New Roman"/>
          <w:sz w:val="22"/>
          <w:szCs w:val="22"/>
        </w:rPr>
      </w:pPr>
      <w:r w:rsidRPr="0073434F">
        <w:rPr>
          <w:rFonts w:ascii="Times New Roman" w:hAnsi="Times New Roman"/>
          <w:sz w:val="22"/>
          <w:szCs w:val="22"/>
        </w:rPr>
        <w:t xml:space="preserve">The </w:t>
      </w:r>
      <w:r w:rsidRPr="0073434F">
        <w:rPr>
          <w:rFonts w:ascii="Times New Roman" w:hAnsi="Times New Roman"/>
          <w:i/>
          <w:sz w:val="22"/>
          <w:szCs w:val="22"/>
        </w:rPr>
        <w:t xml:space="preserve">Therapeutic Goods </w:t>
      </w:r>
      <w:r>
        <w:rPr>
          <w:rFonts w:ascii="Times New Roman" w:hAnsi="Times New Roman"/>
          <w:i/>
          <w:sz w:val="22"/>
          <w:szCs w:val="22"/>
        </w:rPr>
        <w:t xml:space="preserve">Amendment </w:t>
      </w:r>
      <w:r w:rsidRPr="0073434F">
        <w:rPr>
          <w:rFonts w:ascii="Times New Roman" w:hAnsi="Times New Roman"/>
          <w:i/>
          <w:sz w:val="22"/>
          <w:szCs w:val="22"/>
        </w:rPr>
        <w:t>(</w:t>
      </w:r>
      <w:r>
        <w:rPr>
          <w:rFonts w:ascii="Times New Roman" w:hAnsi="Times New Roman"/>
          <w:i/>
          <w:sz w:val="22"/>
          <w:szCs w:val="22"/>
        </w:rPr>
        <w:t>Declared Goods</w:t>
      </w:r>
      <w:r w:rsidRPr="0073434F">
        <w:rPr>
          <w:rFonts w:ascii="Times New Roman" w:hAnsi="Times New Roman"/>
          <w:i/>
          <w:sz w:val="22"/>
          <w:szCs w:val="22"/>
        </w:rPr>
        <w:t xml:space="preserve">) </w:t>
      </w:r>
      <w:r>
        <w:rPr>
          <w:rFonts w:ascii="Times New Roman" w:hAnsi="Times New Roman"/>
          <w:i/>
          <w:sz w:val="22"/>
          <w:szCs w:val="22"/>
        </w:rPr>
        <w:t>Order</w:t>
      </w:r>
      <w:r w:rsidRPr="0073434F">
        <w:rPr>
          <w:rFonts w:ascii="Times New Roman" w:hAnsi="Times New Roman"/>
          <w:i/>
          <w:sz w:val="22"/>
          <w:szCs w:val="22"/>
        </w:rPr>
        <w:t xml:space="preserve"> 2019 </w:t>
      </w:r>
      <w:r>
        <w:rPr>
          <w:sz w:val="22"/>
          <w:szCs w:val="22"/>
        </w:rPr>
        <w:t>(“</w:t>
      </w:r>
      <w:r w:rsidRPr="0073434F">
        <w:rPr>
          <w:sz w:val="22"/>
          <w:szCs w:val="22"/>
        </w:rPr>
        <w:t>the instrument”)</w:t>
      </w:r>
      <w:r w:rsidRPr="0073434F">
        <w:rPr>
          <w:rFonts w:ascii="Times New Roman" w:hAnsi="Times New Roman"/>
          <w:sz w:val="22"/>
          <w:szCs w:val="22"/>
        </w:rPr>
        <w:t xml:space="preserve"> is made under </w:t>
      </w:r>
      <w:r>
        <w:rPr>
          <w:rFonts w:ascii="Times New Roman" w:hAnsi="Times New Roman"/>
          <w:sz w:val="22"/>
          <w:szCs w:val="22"/>
        </w:rPr>
        <w:t>section</w:t>
      </w:r>
      <w:r w:rsidRPr="0073434F">
        <w:rPr>
          <w:rFonts w:ascii="Times New Roman" w:hAnsi="Times New Roman"/>
          <w:sz w:val="22"/>
          <w:szCs w:val="22"/>
        </w:rPr>
        <w:t xml:space="preserve"> </w:t>
      </w:r>
      <w:r>
        <w:rPr>
          <w:rFonts w:ascii="Times New Roman" w:hAnsi="Times New Roman"/>
          <w:sz w:val="22"/>
          <w:szCs w:val="22"/>
        </w:rPr>
        <w:t xml:space="preserve">7 </w:t>
      </w:r>
      <w:r w:rsidRPr="0073434F">
        <w:rPr>
          <w:rFonts w:ascii="Times New Roman" w:hAnsi="Times New Roman"/>
          <w:sz w:val="22"/>
          <w:szCs w:val="22"/>
        </w:rPr>
        <w:t xml:space="preserve">of the </w:t>
      </w:r>
      <w:r w:rsidRPr="0073434F">
        <w:rPr>
          <w:rFonts w:ascii="Times New Roman" w:hAnsi="Times New Roman"/>
          <w:i/>
          <w:sz w:val="22"/>
          <w:szCs w:val="22"/>
        </w:rPr>
        <w:t xml:space="preserve">Therapeutic Goods Act 1989 </w:t>
      </w:r>
      <w:r>
        <w:rPr>
          <w:rFonts w:ascii="Times New Roman" w:hAnsi="Times New Roman"/>
          <w:sz w:val="22"/>
          <w:szCs w:val="22"/>
        </w:rPr>
        <w:t>(“</w:t>
      </w:r>
      <w:r w:rsidR="00695A12">
        <w:rPr>
          <w:rFonts w:ascii="Times New Roman" w:hAnsi="Times New Roman"/>
          <w:sz w:val="22"/>
          <w:szCs w:val="22"/>
        </w:rPr>
        <w:t>the Act”).</w:t>
      </w:r>
    </w:p>
    <w:p w:rsidR="00F0298E" w:rsidRDefault="00F0298E" w:rsidP="00F0298E">
      <w:pPr>
        <w:autoSpaceDE w:val="0"/>
        <w:autoSpaceDN w:val="0"/>
        <w:adjustRightInd w:val="0"/>
        <w:rPr>
          <w:rFonts w:ascii="Times New Roman" w:hAnsi="Times New Roman"/>
          <w:sz w:val="22"/>
          <w:szCs w:val="22"/>
        </w:rPr>
      </w:pPr>
    </w:p>
    <w:p w:rsidR="000C7CC9" w:rsidRPr="000C7CC9" w:rsidRDefault="000C7CC9" w:rsidP="000C7CC9">
      <w:pPr>
        <w:autoSpaceDE w:val="0"/>
        <w:autoSpaceDN w:val="0"/>
        <w:adjustRightInd w:val="0"/>
        <w:rPr>
          <w:rFonts w:ascii="Times New Roman" w:hAnsi="Times New Roman"/>
          <w:sz w:val="22"/>
          <w:szCs w:val="22"/>
        </w:rPr>
      </w:pPr>
      <w:r w:rsidRPr="000C7CC9">
        <w:rPr>
          <w:rFonts w:ascii="Times New Roman" w:hAnsi="Times New Roman"/>
          <w:sz w:val="22"/>
          <w:szCs w:val="22"/>
        </w:rPr>
        <w:t xml:space="preserve">Subsection 7(1) of the Act confers on the Secretary of the Department a power to declare, by order published in the </w:t>
      </w:r>
      <w:r w:rsidRPr="000C7CC9">
        <w:rPr>
          <w:rFonts w:ascii="Times New Roman" w:hAnsi="Times New Roman"/>
          <w:i/>
          <w:iCs/>
          <w:sz w:val="22"/>
          <w:szCs w:val="22"/>
        </w:rPr>
        <w:t>Gazette</w:t>
      </w:r>
      <w:r w:rsidRPr="000C7CC9">
        <w:rPr>
          <w:rFonts w:ascii="Times New Roman" w:hAnsi="Times New Roman"/>
          <w:sz w:val="22"/>
          <w:szCs w:val="22"/>
        </w:rPr>
        <w:t xml:space="preserve"> or on the Department’s website, that particular goods or classes of goods, or those goods when used, advertised, or presented for supply in a particular way, are or are not therapeutic goods for the purposes of the Act.  In making a declaration that goods are or are not therapeutic goods, the Secretary must be satisfied that the goods are or are not in fact therapeutic goods as defined in the Act.  In short, subsection 7(1) provides a mechanism for clarifying whether particular goods or classes of goods are or are not therapeutic goods, and therefore whether or not those goods are subject to the regulatory scheme established by the Act.</w:t>
      </w:r>
    </w:p>
    <w:p w:rsidR="000C7CC9" w:rsidRPr="000C7CC9" w:rsidRDefault="000C7CC9" w:rsidP="000C7CC9">
      <w:pPr>
        <w:autoSpaceDE w:val="0"/>
        <w:autoSpaceDN w:val="0"/>
        <w:adjustRightInd w:val="0"/>
        <w:rPr>
          <w:rFonts w:ascii="Times New Roman" w:hAnsi="Times New Roman"/>
          <w:sz w:val="22"/>
          <w:szCs w:val="22"/>
        </w:rPr>
      </w:pPr>
    </w:p>
    <w:p w:rsidR="000C7CC9" w:rsidRPr="000C7CC9" w:rsidRDefault="000C7CC9" w:rsidP="000C7CC9">
      <w:pPr>
        <w:autoSpaceDE w:val="0"/>
        <w:autoSpaceDN w:val="0"/>
        <w:adjustRightInd w:val="0"/>
        <w:rPr>
          <w:rFonts w:ascii="Times New Roman" w:hAnsi="Times New Roman"/>
          <w:sz w:val="22"/>
          <w:szCs w:val="22"/>
        </w:rPr>
      </w:pPr>
      <w:r w:rsidRPr="000C7CC9">
        <w:rPr>
          <w:rFonts w:ascii="Times New Roman" w:hAnsi="Times New Roman"/>
          <w:sz w:val="22"/>
          <w:szCs w:val="22"/>
        </w:rPr>
        <w:t xml:space="preserve">In </w:t>
      </w:r>
      <w:r>
        <w:rPr>
          <w:rFonts w:ascii="Times New Roman" w:hAnsi="Times New Roman"/>
          <w:sz w:val="22"/>
          <w:szCs w:val="22"/>
        </w:rPr>
        <w:t xml:space="preserve">determining whether </w:t>
      </w:r>
      <w:r w:rsidRPr="000C7CC9">
        <w:rPr>
          <w:rFonts w:ascii="Times New Roman" w:hAnsi="Times New Roman"/>
          <w:sz w:val="22"/>
          <w:szCs w:val="22"/>
        </w:rPr>
        <w:t xml:space="preserve">particular goods or classes of goods, or those goods when used, advertised, or presented for supply in a particular way, are therapeutic goods, subsection 7(1A) of the Act provides that the Secretary must disregard paragraphs (e) and (f) of the definition of ‘therapeutic goods’ in subsection 3(1).  </w:t>
      </w:r>
      <w:r>
        <w:rPr>
          <w:rFonts w:ascii="Times New Roman" w:hAnsi="Times New Roman"/>
          <w:sz w:val="22"/>
          <w:szCs w:val="22"/>
        </w:rPr>
        <w:t xml:space="preserve">Paragraph </w:t>
      </w:r>
      <w:r w:rsidRPr="000C7CC9">
        <w:rPr>
          <w:rFonts w:ascii="Times New Roman" w:hAnsi="Times New Roman"/>
          <w:sz w:val="22"/>
          <w:szCs w:val="22"/>
        </w:rPr>
        <w:t xml:space="preserve">(e) refers to goods for which there is a standard under subsection 4(1) of the </w:t>
      </w:r>
      <w:r w:rsidRPr="000C7CC9">
        <w:rPr>
          <w:rFonts w:ascii="Times New Roman" w:hAnsi="Times New Roman"/>
          <w:i/>
          <w:iCs/>
          <w:sz w:val="22"/>
          <w:szCs w:val="22"/>
        </w:rPr>
        <w:t>Food Standards Australia New Zealand Act 1991</w:t>
      </w:r>
      <w:r w:rsidRPr="000C7CC9">
        <w:rPr>
          <w:rFonts w:ascii="Times New Roman" w:hAnsi="Times New Roman"/>
          <w:iCs/>
          <w:sz w:val="22"/>
          <w:szCs w:val="22"/>
        </w:rPr>
        <w:t>, with the effect that those goods are excluded</w:t>
      </w:r>
      <w:r w:rsidRPr="000C7CC9">
        <w:rPr>
          <w:rFonts w:ascii="Times New Roman" w:hAnsi="Times New Roman"/>
          <w:sz w:val="22"/>
          <w:szCs w:val="22"/>
        </w:rPr>
        <w:t xml:space="preserve"> from the definition of therapeutic goods</w:t>
      </w:r>
      <w:r>
        <w:rPr>
          <w:rFonts w:ascii="Times New Roman" w:hAnsi="Times New Roman"/>
          <w:sz w:val="22"/>
          <w:szCs w:val="22"/>
        </w:rPr>
        <w:t xml:space="preserve"> </w:t>
      </w:r>
      <w:r w:rsidR="00A06DED">
        <w:rPr>
          <w:rFonts w:ascii="Times New Roman" w:hAnsi="Times New Roman"/>
          <w:sz w:val="22"/>
          <w:szCs w:val="22"/>
        </w:rPr>
        <w:t xml:space="preserve">for the purposes of </w:t>
      </w:r>
      <w:r>
        <w:rPr>
          <w:rFonts w:ascii="Times New Roman" w:hAnsi="Times New Roman"/>
          <w:sz w:val="22"/>
          <w:szCs w:val="22"/>
        </w:rPr>
        <w:t>the Act</w:t>
      </w:r>
      <w:r w:rsidRPr="000C7CC9">
        <w:rPr>
          <w:rFonts w:ascii="Times New Roman" w:hAnsi="Times New Roman"/>
          <w:sz w:val="22"/>
          <w:szCs w:val="22"/>
        </w:rPr>
        <w:t xml:space="preserve">.  Similarly, paragraph (f) refers to goods which have a tradition of use as foods for humans in the form in which they are presented, with the effect of excluding goods which have a tradition of use as foods from the definition of therapeutic goods for the purposes of the Act.  Accordingly, subsection 7(1A) has the purpose and effect of ensuring that an order declaring goods to be therapeutic goods under section 7 of the Act may bring certain goods within the </w:t>
      </w:r>
      <w:r w:rsidR="00A06DED">
        <w:rPr>
          <w:rFonts w:ascii="Times New Roman" w:hAnsi="Times New Roman"/>
          <w:sz w:val="22"/>
          <w:szCs w:val="22"/>
        </w:rPr>
        <w:t>scope</w:t>
      </w:r>
      <w:r w:rsidRPr="000C7CC9">
        <w:rPr>
          <w:rFonts w:ascii="Times New Roman" w:hAnsi="Times New Roman"/>
          <w:sz w:val="22"/>
          <w:szCs w:val="22"/>
        </w:rPr>
        <w:t xml:space="preserve"> of the Act, notwithstanding any food standard that </w:t>
      </w:r>
      <w:r w:rsidR="00A06DED">
        <w:rPr>
          <w:rFonts w:ascii="Times New Roman" w:hAnsi="Times New Roman"/>
          <w:sz w:val="22"/>
          <w:szCs w:val="22"/>
        </w:rPr>
        <w:t xml:space="preserve">may </w:t>
      </w:r>
      <w:r w:rsidRPr="000C7CC9">
        <w:rPr>
          <w:rFonts w:ascii="Times New Roman" w:hAnsi="Times New Roman"/>
          <w:sz w:val="22"/>
          <w:szCs w:val="22"/>
        </w:rPr>
        <w:t>otherwise apply to those goods, or whether those goods have a tradition of use as foods.</w:t>
      </w:r>
    </w:p>
    <w:p w:rsidR="000C7CC9" w:rsidRPr="000C7CC9" w:rsidRDefault="000C7CC9" w:rsidP="000C7CC9">
      <w:pPr>
        <w:autoSpaceDE w:val="0"/>
        <w:autoSpaceDN w:val="0"/>
        <w:adjustRightInd w:val="0"/>
        <w:rPr>
          <w:rFonts w:ascii="Times New Roman" w:hAnsi="Times New Roman"/>
          <w:sz w:val="22"/>
          <w:szCs w:val="22"/>
        </w:rPr>
      </w:pPr>
    </w:p>
    <w:p w:rsidR="000C7CC9" w:rsidRPr="000C7CC9" w:rsidRDefault="000C7CC9" w:rsidP="000C7CC9">
      <w:pPr>
        <w:autoSpaceDE w:val="0"/>
        <w:autoSpaceDN w:val="0"/>
        <w:adjustRightInd w:val="0"/>
        <w:rPr>
          <w:rFonts w:ascii="Times New Roman" w:hAnsi="Times New Roman"/>
          <w:sz w:val="22"/>
          <w:szCs w:val="22"/>
        </w:rPr>
      </w:pPr>
      <w:r w:rsidRPr="000C7CC9">
        <w:rPr>
          <w:rFonts w:ascii="Times New Roman" w:hAnsi="Times New Roman"/>
          <w:sz w:val="22"/>
          <w:szCs w:val="22"/>
        </w:rPr>
        <w:t xml:space="preserve">The </w:t>
      </w:r>
      <w:r>
        <w:rPr>
          <w:rFonts w:ascii="Times New Roman" w:hAnsi="Times New Roman"/>
          <w:sz w:val="22"/>
          <w:szCs w:val="22"/>
        </w:rPr>
        <w:t xml:space="preserve">instrument </w:t>
      </w:r>
      <w:r w:rsidRPr="000C7CC9">
        <w:rPr>
          <w:rFonts w:ascii="Times New Roman" w:hAnsi="Times New Roman"/>
          <w:sz w:val="22"/>
          <w:szCs w:val="22"/>
        </w:rPr>
        <w:t xml:space="preserve">amends </w:t>
      </w:r>
      <w:r>
        <w:rPr>
          <w:rFonts w:ascii="Times New Roman" w:hAnsi="Times New Roman"/>
          <w:sz w:val="22"/>
          <w:szCs w:val="22"/>
        </w:rPr>
        <w:t xml:space="preserve">the </w:t>
      </w:r>
      <w:r w:rsidRPr="000C7CC9">
        <w:rPr>
          <w:rFonts w:ascii="Times New Roman" w:hAnsi="Times New Roman"/>
          <w:i/>
          <w:sz w:val="22"/>
          <w:szCs w:val="22"/>
        </w:rPr>
        <w:t>Therapeutic Goods (Declared Goods) Order 2019</w:t>
      </w:r>
      <w:r>
        <w:rPr>
          <w:rFonts w:ascii="Times New Roman" w:hAnsi="Times New Roman"/>
          <w:i/>
          <w:sz w:val="22"/>
          <w:szCs w:val="22"/>
        </w:rPr>
        <w:t xml:space="preserve"> </w:t>
      </w:r>
      <w:r w:rsidRPr="000C7CC9">
        <w:rPr>
          <w:rFonts w:ascii="Times New Roman" w:hAnsi="Times New Roman"/>
          <w:sz w:val="22"/>
          <w:szCs w:val="22"/>
        </w:rPr>
        <w:t>by declaring certain goods containing folate substances (“the relevant goods”) to be therapeutic goods when used, advertised, or presented for supply for therapeutic use, or in a way that is likely to be taken to be for therapeutic use.</w:t>
      </w:r>
    </w:p>
    <w:p w:rsidR="000C7CC9" w:rsidRPr="000C7CC9" w:rsidRDefault="000C7CC9" w:rsidP="000C7CC9">
      <w:pPr>
        <w:autoSpaceDE w:val="0"/>
        <w:autoSpaceDN w:val="0"/>
        <w:adjustRightInd w:val="0"/>
        <w:rPr>
          <w:rFonts w:ascii="Times New Roman" w:hAnsi="Times New Roman"/>
          <w:sz w:val="22"/>
          <w:szCs w:val="22"/>
        </w:rPr>
      </w:pPr>
    </w:p>
    <w:p w:rsidR="00F0298E" w:rsidRDefault="000C7CC9" w:rsidP="00EF782D">
      <w:pPr>
        <w:autoSpaceDE w:val="0"/>
        <w:autoSpaceDN w:val="0"/>
        <w:adjustRightInd w:val="0"/>
        <w:rPr>
          <w:rFonts w:ascii="Times New Roman" w:hAnsi="Times New Roman"/>
          <w:b/>
          <w:sz w:val="22"/>
          <w:szCs w:val="22"/>
        </w:rPr>
      </w:pPr>
      <w:r w:rsidRPr="000C7CC9">
        <w:rPr>
          <w:rFonts w:ascii="Times New Roman" w:hAnsi="Times New Roman"/>
          <w:sz w:val="22"/>
          <w:szCs w:val="22"/>
        </w:rPr>
        <w:t xml:space="preserve">The </w:t>
      </w:r>
      <w:r>
        <w:rPr>
          <w:rFonts w:ascii="Times New Roman" w:hAnsi="Times New Roman"/>
          <w:sz w:val="22"/>
          <w:szCs w:val="22"/>
        </w:rPr>
        <w:t xml:space="preserve">instrument </w:t>
      </w:r>
      <w:r w:rsidRPr="000C7CC9">
        <w:rPr>
          <w:rFonts w:ascii="Times New Roman" w:hAnsi="Times New Roman"/>
          <w:sz w:val="22"/>
          <w:szCs w:val="22"/>
        </w:rPr>
        <w:t xml:space="preserve">clarifies that the relevant goods are therapeutic goods as defined by the Act and therefore subject to the national system of controls established by the Act.  This measure addresses uncertainty about the proper characterisation of the relevant goods as a consequence of the </w:t>
      </w:r>
      <w:r w:rsidRPr="000C7CC9">
        <w:rPr>
          <w:rFonts w:ascii="Times New Roman" w:hAnsi="Times New Roman"/>
          <w:i/>
          <w:iCs/>
          <w:sz w:val="22"/>
          <w:szCs w:val="22"/>
        </w:rPr>
        <w:t xml:space="preserve">Australia New Zealand Food Standards Code </w:t>
      </w:r>
      <w:r w:rsidRPr="000C7CC9">
        <w:rPr>
          <w:rFonts w:ascii="Times New Roman" w:hAnsi="Times New Roman"/>
          <w:sz w:val="22"/>
          <w:szCs w:val="22"/>
        </w:rPr>
        <w:t xml:space="preserve">– Standard 2.9.5 – Food for special medical purposes (“Food Standard 2.9.5”).  The effect of the </w:t>
      </w:r>
      <w:r>
        <w:rPr>
          <w:rFonts w:ascii="Times New Roman" w:hAnsi="Times New Roman"/>
          <w:sz w:val="22"/>
          <w:szCs w:val="22"/>
        </w:rPr>
        <w:t xml:space="preserve">instrument </w:t>
      </w:r>
      <w:r w:rsidRPr="000C7CC9">
        <w:rPr>
          <w:rFonts w:ascii="Times New Roman" w:hAnsi="Times New Roman"/>
          <w:sz w:val="22"/>
          <w:szCs w:val="22"/>
        </w:rPr>
        <w:t xml:space="preserve">is to confirm that the relevant goods are therapeutic goods for the purposes of the Act, irrespective of any view regarding the application of Food Standard 2.9.5 to the relevant goods prior to the making of </w:t>
      </w:r>
      <w:r>
        <w:rPr>
          <w:rFonts w:ascii="Times New Roman" w:hAnsi="Times New Roman"/>
          <w:sz w:val="22"/>
          <w:szCs w:val="22"/>
        </w:rPr>
        <w:t>this instrument</w:t>
      </w:r>
      <w:r w:rsidRPr="000C7CC9">
        <w:rPr>
          <w:rFonts w:ascii="Times New Roman" w:hAnsi="Times New Roman"/>
          <w:sz w:val="22"/>
          <w:szCs w:val="22"/>
        </w:rPr>
        <w:t>.</w:t>
      </w:r>
    </w:p>
    <w:p w:rsidR="00F0298E" w:rsidRPr="00CF219B" w:rsidRDefault="00F0298E" w:rsidP="00F0298E">
      <w:pPr>
        <w:keepNext/>
        <w:rPr>
          <w:rFonts w:ascii="Times New Roman" w:hAnsi="Times New Roman"/>
          <w:b/>
          <w:sz w:val="22"/>
          <w:szCs w:val="22"/>
        </w:rPr>
      </w:pPr>
      <w:r w:rsidRPr="00CF219B">
        <w:rPr>
          <w:rFonts w:ascii="Times New Roman" w:hAnsi="Times New Roman"/>
          <w:b/>
          <w:sz w:val="22"/>
          <w:szCs w:val="22"/>
        </w:rPr>
        <w:t>Human rights implications</w:t>
      </w:r>
    </w:p>
    <w:p w:rsidR="00F0298E" w:rsidRPr="00CF219B" w:rsidRDefault="00F0298E" w:rsidP="00F0298E">
      <w:pPr>
        <w:keepNext/>
        <w:rPr>
          <w:rFonts w:ascii="Times New Roman" w:hAnsi="Times New Roman"/>
          <w:sz w:val="22"/>
          <w:szCs w:val="22"/>
        </w:rPr>
      </w:pPr>
    </w:p>
    <w:p w:rsidR="00F0298E" w:rsidRPr="00082513" w:rsidRDefault="00F0298E" w:rsidP="00F0298E">
      <w:pPr>
        <w:rPr>
          <w:rFonts w:ascii="Times New Roman" w:hAnsi="Times New Roman"/>
          <w:sz w:val="22"/>
          <w:szCs w:val="22"/>
        </w:rPr>
      </w:pPr>
      <w:r w:rsidRPr="00082513">
        <w:rPr>
          <w:rFonts w:ascii="Times New Roman" w:hAnsi="Times New Roman"/>
          <w:sz w:val="22"/>
          <w:szCs w:val="22"/>
        </w:rPr>
        <w:t xml:space="preserve">The instrument engages the right to health in Article 12 of the International Covenant on Economic, Social and Cultural rights (“ICESCR”). </w:t>
      </w:r>
      <w:r>
        <w:rPr>
          <w:rFonts w:ascii="Times New Roman" w:hAnsi="Times New Roman"/>
          <w:sz w:val="22"/>
          <w:szCs w:val="22"/>
        </w:rPr>
        <w:t xml:space="preserve"> </w:t>
      </w:r>
      <w:r w:rsidRPr="00082513">
        <w:rPr>
          <w:rFonts w:ascii="Times New Roman" w:hAnsi="Times New Roman"/>
          <w:sz w:val="22"/>
          <w:szCs w:val="22"/>
        </w:rPr>
        <w:t>Article 12 of the ICESCR promotes the right of all individuals to enjoy the highest attainable standards of physical and mental health.</w:t>
      </w:r>
    </w:p>
    <w:p w:rsidR="00F0298E" w:rsidRPr="00082513" w:rsidRDefault="00F0298E" w:rsidP="00F0298E">
      <w:pPr>
        <w:rPr>
          <w:rFonts w:ascii="Times New Roman" w:hAnsi="Times New Roman"/>
          <w:sz w:val="22"/>
          <w:szCs w:val="22"/>
        </w:rPr>
      </w:pPr>
    </w:p>
    <w:p w:rsidR="00F0298E" w:rsidRDefault="00F0298E" w:rsidP="00F0298E">
      <w:pPr>
        <w:rPr>
          <w:rFonts w:ascii="Times New Roman" w:hAnsi="Times New Roman"/>
          <w:sz w:val="22"/>
          <w:szCs w:val="22"/>
        </w:rPr>
      </w:pPr>
      <w:r w:rsidRPr="00082513">
        <w:rPr>
          <w:rFonts w:ascii="Times New Roman" w:hAnsi="Times New Roman"/>
          <w:sz w:val="22"/>
          <w:szCs w:val="22"/>
        </w:rPr>
        <w:t>In General Comment No. 14: The Right to the Highest Attainable Standard of Health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r>
        <w:rPr>
          <w:rFonts w:ascii="Times New Roman" w:hAnsi="Times New Roman"/>
          <w:sz w:val="22"/>
          <w:szCs w:val="22"/>
        </w:rPr>
        <w:t xml:space="preserve">. </w:t>
      </w:r>
    </w:p>
    <w:p w:rsidR="00F0298E" w:rsidRDefault="00F0298E" w:rsidP="00F0298E">
      <w:pPr>
        <w:rPr>
          <w:rFonts w:ascii="Times New Roman" w:hAnsi="Times New Roman"/>
          <w:sz w:val="22"/>
          <w:szCs w:val="22"/>
        </w:rPr>
      </w:pPr>
    </w:p>
    <w:p w:rsidR="00F0298E" w:rsidRPr="00A63E9D" w:rsidRDefault="00F0298E" w:rsidP="00F0298E">
      <w:pPr>
        <w:rPr>
          <w:rFonts w:ascii="Times New Roman" w:hAnsi="Times New Roman"/>
          <w:sz w:val="22"/>
          <w:szCs w:val="22"/>
        </w:rPr>
      </w:pPr>
      <w:r w:rsidRPr="00A63E9D">
        <w:rPr>
          <w:rFonts w:ascii="Times New Roman" w:hAnsi="Times New Roman"/>
          <w:sz w:val="22"/>
          <w:szCs w:val="22"/>
        </w:rPr>
        <w:t xml:space="preserve">The instrument takes positive steps to promote the right to health by </w:t>
      </w:r>
      <w:r w:rsidR="00695A12">
        <w:rPr>
          <w:rFonts w:ascii="Times New Roman" w:hAnsi="Times New Roman"/>
          <w:sz w:val="22"/>
          <w:szCs w:val="22"/>
        </w:rPr>
        <w:t xml:space="preserve">clarifying </w:t>
      </w:r>
      <w:r w:rsidR="004042AE">
        <w:rPr>
          <w:rFonts w:ascii="Times New Roman" w:hAnsi="Times New Roman"/>
          <w:sz w:val="22"/>
          <w:szCs w:val="22"/>
        </w:rPr>
        <w:t xml:space="preserve">that </w:t>
      </w:r>
      <w:r w:rsidR="00695A12">
        <w:rPr>
          <w:rFonts w:ascii="Times New Roman" w:hAnsi="Times New Roman"/>
          <w:sz w:val="22"/>
          <w:szCs w:val="22"/>
        </w:rPr>
        <w:t xml:space="preserve">the </w:t>
      </w:r>
      <w:r w:rsidR="00942BBA">
        <w:rPr>
          <w:rFonts w:ascii="Times New Roman" w:hAnsi="Times New Roman"/>
          <w:sz w:val="22"/>
          <w:szCs w:val="22"/>
        </w:rPr>
        <w:t>relevant</w:t>
      </w:r>
      <w:r w:rsidR="004042AE">
        <w:rPr>
          <w:rFonts w:ascii="Times New Roman" w:hAnsi="Times New Roman"/>
          <w:sz w:val="22"/>
          <w:szCs w:val="22"/>
        </w:rPr>
        <w:t xml:space="preserve"> goods are </w:t>
      </w:r>
      <w:r w:rsidR="000C7CC9">
        <w:rPr>
          <w:rFonts w:ascii="Times New Roman" w:hAnsi="Times New Roman"/>
          <w:sz w:val="22"/>
          <w:szCs w:val="22"/>
        </w:rPr>
        <w:t xml:space="preserve">indeed </w:t>
      </w:r>
      <w:r w:rsidR="004042AE">
        <w:rPr>
          <w:rFonts w:ascii="Times New Roman" w:hAnsi="Times New Roman"/>
          <w:sz w:val="22"/>
          <w:szCs w:val="22"/>
        </w:rPr>
        <w:t>therapeutic goods appr</w:t>
      </w:r>
      <w:r w:rsidR="00695A12">
        <w:rPr>
          <w:rFonts w:ascii="Times New Roman" w:hAnsi="Times New Roman"/>
          <w:sz w:val="22"/>
          <w:szCs w:val="22"/>
        </w:rPr>
        <w:t>opriately regulated under the Act</w:t>
      </w:r>
      <w:r w:rsidR="00210639">
        <w:rPr>
          <w:rFonts w:ascii="Times New Roman" w:hAnsi="Times New Roman"/>
          <w:sz w:val="22"/>
          <w:szCs w:val="22"/>
        </w:rPr>
        <w:t>.  As a consequence, the instrument promotes public health and safety by ensuring</w:t>
      </w:r>
      <w:r w:rsidR="004042AE">
        <w:rPr>
          <w:rFonts w:ascii="Times New Roman" w:hAnsi="Times New Roman"/>
          <w:sz w:val="22"/>
          <w:szCs w:val="22"/>
        </w:rPr>
        <w:t xml:space="preserve"> the </w:t>
      </w:r>
      <w:r w:rsidR="00942BBA">
        <w:rPr>
          <w:rFonts w:ascii="Times New Roman" w:hAnsi="Times New Roman"/>
          <w:sz w:val="22"/>
          <w:szCs w:val="22"/>
        </w:rPr>
        <w:t>relevant</w:t>
      </w:r>
      <w:r w:rsidR="004042AE">
        <w:rPr>
          <w:rFonts w:ascii="Times New Roman" w:hAnsi="Times New Roman"/>
          <w:sz w:val="22"/>
          <w:szCs w:val="22"/>
        </w:rPr>
        <w:t xml:space="preserve"> goods are subject to </w:t>
      </w:r>
      <w:r w:rsidR="00210639">
        <w:rPr>
          <w:rFonts w:ascii="Times New Roman" w:hAnsi="Times New Roman"/>
          <w:sz w:val="22"/>
          <w:szCs w:val="22"/>
        </w:rPr>
        <w:t>the</w:t>
      </w:r>
      <w:r w:rsidR="004042AE">
        <w:rPr>
          <w:rFonts w:ascii="Times New Roman" w:hAnsi="Times New Roman"/>
          <w:sz w:val="22"/>
          <w:szCs w:val="22"/>
        </w:rPr>
        <w:t xml:space="preserve"> </w:t>
      </w:r>
      <w:r w:rsidR="000C7CC9">
        <w:rPr>
          <w:rFonts w:ascii="Times New Roman" w:hAnsi="Times New Roman"/>
          <w:sz w:val="22"/>
          <w:szCs w:val="22"/>
        </w:rPr>
        <w:t xml:space="preserve">national </w:t>
      </w:r>
      <w:r w:rsidR="004042AE">
        <w:rPr>
          <w:rFonts w:ascii="Times New Roman" w:hAnsi="Times New Roman"/>
          <w:sz w:val="22"/>
          <w:szCs w:val="22"/>
        </w:rPr>
        <w:t xml:space="preserve">system of controls </w:t>
      </w:r>
      <w:r w:rsidR="000C7CC9">
        <w:rPr>
          <w:rFonts w:ascii="Times New Roman" w:hAnsi="Times New Roman"/>
          <w:sz w:val="22"/>
          <w:szCs w:val="22"/>
        </w:rPr>
        <w:t xml:space="preserve">provided under the Act </w:t>
      </w:r>
      <w:r w:rsidR="00695A12">
        <w:rPr>
          <w:rFonts w:ascii="Times New Roman" w:hAnsi="Times New Roman"/>
          <w:sz w:val="22"/>
          <w:szCs w:val="22"/>
        </w:rPr>
        <w:t xml:space="preserve">relating to the quality, safety, and efficacy </w:t>
      </w:r>
      <w:r w:rsidR="00210639">
        <w:rPr>
          <w:rFonts w:ascii="Times New Roman" w:hAnsi="Times New Roman"/>
          <w:sz w:val="22"/>
          <w:szCs w:val="22"/>
        </w:rPr>
        <w:t>of therapeutic goods</w:t>
      </w:r>
      <w:r w:rsidR="004042AE">
        <w:rPr>
          <w:rFonts w:ascii="Times New Roman" w:hAnsi="Times New Roman"/>
          <w:sz w:val="22"/>
          <w:szCs w:val="22"/>
        </w:rPr>
        <w:t>.</w:t>
      </w:r>
    </w:p>
    <w:p w:rsidR="00F0298E" w:rsidRDefault="00F0298E" w:rsidP="00F0298E">
      <w:pPr>
        <w:rPr>
          <w:rFonts w:ascii="Times New Roman" w:hAnsi="Times New Roman"/>
          <w:b/>
          <w:sz w:val="22"/>
          <w:szCs w:val="22"/>
        </w:rPr>
      </w:pPr>
    </w:p>
    <w:p w:rsidR="00F0298E" w:rsidRPr="00CF219B" w:rsidRDefault="00F0298E" w:rsidP="00F0298E">
      <w:pPr>
        <w:rPr>
          <w:rFonts w:ascii="Times New Roman" w:hAnsi="Times New Roman"/>
          <w:b/>
          <w:sz w:val="22"/>
          <w:szCs w:val="22"/>
        </w:rPr>
      </w:pPr>
      <w:r w:rsidRPr="00CF219B">
        <w:rPr>
          <w:rFonts w:ascii="Times New Roman" w:hAnsi="Times New Roman"/>
          <w:b/>
          <w:sz w:val="22"/>
          <w:szCs w:val="22"/>
        </w:rPr>
        <w:t>Conclusion</w:t>
      </w:r>
    </w:p>
    <w:p w:rsidR="00F0298E" w:rsidRPr="00CF219B" w:rsidRDefault="00F0298E" w:rsidP="00F0298E">
      <w:pPr>
        <w:rPr>
          <w:rFonts w:ascii="Times New Roman" w:hAnsi="Times New Roman"/>
          <w:sz w:val="22"/>
          <w:szCs w:val="22"/>
        </w:rPr>
      </w:pPr>
    </w:p>
    <w:p w:rsidR="00F0298E" w:rsidRPr="00082513" w:rsidRDefault="00F0298E" w:rsidP="00F0298E">
      <w:pPr>
        <w:rPr>
          <w:rFonts w:ascii="Times New Roman" w:hAnsi="Times New Roman"/>
          <w:sz w:val="22"/>
          <w:szCs w:val="22"/>
        </w:rPr>
      </w:pPr>
      <w:r w:rsidRPr="00082513">
        <w:rPr>
          <w:rFonts w:ascii="Times New Roman" w:hAnsi="Times New Roman"/>
          <w:sz w:val="22"/>
          <w:szCs w:val="22"/>
        </w:rPr>
        <w:t>This instrument is compatible with human rights because it promotes the right to health in Article 12 of the ICESCR and otherwise does not raise any other human rights issues.</w:t>
      </w:r>
    </w:p>
    <w:p w:rsidR="00F0298E" w:rsidRDefault="00F0298E" w:rsidP="00F0298E">
      <w:pPr>
        <w:rPr>
          <w:rFonts w:ascii="Times New Roman" w:hAnsi="Times New Roman"/>
          <w:b/>
          <w:sz w:val="22"/>
          <w:szCs w:val="22"/>
        </w:rPr>
      </w:pPr>
    </w:p>
    <w:p w:rsidR="00F0298E" w:rsidRPr="004042AE" w:rsidRDefault="00F0298E" w:rsidP="004042AE">
      <w:r>
        <w:rPr>
          <w:rFonts w:ascii="Times New Roman" w:hAnsi="Times New Roman"/>
          <w:b/>
          <w:sz w:val="22"/>
          <w:szCs w:val="22"/>
        </w:rPr>
        <w:t>Dr Jane Cook</w:t>
      </w:r>
      <w:r w:rsidRPr="009D621F">
        <w:rPr>
          <w:rFonts w:ascii="Times New Roman" w:hAnsi="Times New Roman"/>
          <w:b/>
          <w:sz w:val="22"/>
          <w:szCs w:val="22"/>
        </w:rPr>
        <w:t xml:space="preserve">, delegate of the </w:t>
      </w:r>
      <w:r>
        <w:rPr>
          <w:rFonts w:ascii="Times New Roman" w:hAnsi="Times New Roman"/>
          <w:b/>
          <w:sz w:val="22"/>
          <w:szCs w:val="22"/>
        </w:rPr>
        <w:t>Secretary of the Department of Health</w:t>
      </w:r>
    </w:p>
    <w:sectPr w:rsidR="00F0298E" w:rsidRPr="004042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40" w:rsidRDefault="00CB0D40" w:rsidP="00112709">
      <w:r>
        <w:separator/>
      </w:r>
    </w:p>
  </w:endnote>
  <w:endnote w:type="continuationSeparator" w:id="0">
    <w:p w:rsidR="00CB0D40" w:rsidRDefault="00CB0D40" w:rsidP="0011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44362"/>
      <w:docPartObj>
        <w:docPartGallery w:val="Page Numbers (Bottom of Page)"/>
        <w:docPartUnique/>
      </w:docPartObj>
    </w:sdtPr>
    <w:sdtEndPr>
      <w:rPr>
        <w:noProof/>
        <w:sz w:val="22"/>
        <w:szCs w:val="22"/>
      </w:rPr>
    </w:sdtEndPr>
    <w:sdtContent>
      <w:p w:rsidR="00CB0D40" w:rsidRPr="007E4657" w:rsidRDefault="00CB0D40" w:rsidP="007E4657">
        <w:pPr>
          <w:pStyle w:val="Footer"/>
          <w:jc w:val="right"/>
          <w:rPr>
            <w:sz w:val="22"/>
            <w:szCs w:val="22"/>
          </w:rPr>
        </w:pPr>
        <w:r w:rsidRPr="007E4657">
          <w:rPr>
            <w:sz w:val="22"/>
            <w:szCs w:val="22"/>
          </w:rPr>
          <w:fldChar w:fldCharType="begin"/>
        </w:r>
        <w:r w:rsidRPr="007E4657">
          <w:rPr>
            <w:sz w:val="22"/>
            <w:szCs w:val="22"/>
          </w:rPr>
          <w:instrText xml:space="preserve"> PAGE   \* MERGEFORMAT </w:instrText>
        </w:r>
        <w:r w:rsidRPr="007E4657">
          <w:rPr>
            <w:sz w:val="22"/>
            <w:szCs w:val="22"/>
          </w:rPr>
          <w:fldChar w:fldCharType="separate"/>
        </w:r>
        <w:r w:rsidR="006E7063">
          <w:rPr>
            <w:noProof/>
            <w:sz w:val="22"/>
            <w:szCs w:val="22"/>
          </w:rPr>
          <w:t>7</w:t>
        </w:r>
        <w:r w:rsidRPr="007E4657">
          <w:rPr>
            <w:noProof/>
            <w:sz w:val="22"/>
            <w:szCs w:val="22"/>
          </w:rPr>
          <w:fldChar w:fldCharType="end"/>
        </w:r>
      </w:p>
    </w:sdtContent>
  </w:sdt>
  <w:p w:rsidR="00CB0D40" w:rsidRDefault="00CB0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40" w:rsidRDefault="00CB0D40" w:rsidP="00112709">
      <w:r>
        <w:separator/>
      </w:r>
    </w:p>
  </w:footnote>
  <w:footnote w:type="continuationSeparator" w:id="0">
    <w:p w:rsidR="00CB0D40" w:rsidRDefault="00CB0D40" w:rsidP="00112709">
      <w:r>
        <w:continuationSeparator/>
      </w:r>
    </w:p>
  </w:footnote>
  <w:footnote w:id="1">
    <w:p w:rsidR="00CB0D40" w:rsidRPr="00DD7F6C" w:rsidRDefault="00CB0D40" w:rsidP="0028245D">
      <w:pPr>
        <w:pStyle w:val="FootnoteText"/>
        <w:rPr>
          <w:rFonts w:ascii="Times New Roman" w:hAnsi="Times New Roman"/>
        </w:rPr>
      </w:pPr>
      <w:r w:rsidRPr="00DD7F6C">
        <w:rPr>
          <w:rStyle w:val="FootnoteReference"/>
          <w:rFonts w:ascii="Times New Roman" w:hAnsi="Times New Roman"/>
        </w:rPr>
        <w:footnoteRef/>
      </w:r>
      <w:r w:rsidRPr="00DD7F6C">
        <w:rPr>
          <w:rFonts w:ascii="Times New Roman" w:hAnsi="Times New Roman"/>
        </w:rPr>
        <w:t xml:space="preserve"> </w:t>
      </w:r>
      <w:r w:rsidRPr="00953DE4">
        <w:rPr>
          <w:rFonts w:ascii="Times New Roman" w:hAnsi="Times New Roman"/>
          <w:i/>
          <w:iCs/>
        </w:rPr>
        <w:t>Diagnostic and Statistical Manual of Mental Disorders</w:t>
      </w:r>
      <w:r w:rsidRPr="00953DE4">
        <w:rPr>
          <w:rFonts w:ascii="Times New Roman" w:hAnsi="Times New Roman"/>
        </w:rPr>
        <w:t xml:space="preserve"> </w:t>
      </w:r>
      <w:r w:rsidRPr="00953DE4">
        <w:rPr>
          <w:rFonts w:ascii="Times New Roman" w:hAnsi="Times New Roman"/>
          <w:i/>
          <w:iCs/>
        </w:rPr>
        <w:t>DSM-5</w:t>
      </w:r>
      <w:r w:rsidRPr="00953DE4">
        <w:rPr>
          <w:rFonts w:ascii="Times New Roman" w:hAnsi="Times New Roman"/>
        </w:rPr>
        <w:t xml:space="preserve"> (American Psychiatric Association, 5</w:t>
      </w:r>
      <w:r w:rsidRPr="00953DE4">
        <w:rPr>
          <w:rFonts w:ascii="Times New Roman" w:hAnsi="Times New Roman"/>
          <w:vertAlign w:val="superscript"/>
        </w:rPr>
        <w:t>th</w:t>
      </w:r>
      <w:r w:rsidRPr="00953DE4">
        <w:rPr>
          <w:rFonts w:ascii="Times New Roman" w:hAnsi="Times New Roman"/>
        </w:rPr>
        <w:t xml:space="preserve"> </w:t>
      </w:r>
      <w:proofErr w:type="spellStart"/>
      <w:r w:rsidRPr="00953DE4">
        <w:rPr>
          <w:rFonts w:ascii="Times New Roman" w:hAnsi="Times New Roman"/>
        </w:rPr>
        <w:t>ed</w:t>
      </w:r>
      <w:proofErr w:type="spellEnd"/>
      <w:r w:rsidRPr="00953DE4">
        <w:rPr>
          <w:rFonts w:ascii="Times New Roman" w:hAnsi="Times New Roman"/>
        </w:rPr>
        <w:t>, 2013)</w:t>
      </w:r>
      <w:r w:rsidRPr="00B93661">
        <w:rPr>
          <w:rFonts w:ascii="Times New Roman" w:hAnsi="Times New Roman"/>
        </w:rPr>
        <w:t>.</w:t>
      </w:r>
    </w:p>
  </w:footnote>
  <w:footnote w:id="2">
    <w:p w:rsidR="00CB0D40" w:rsidRPr="00EF782D" w:rsidRDefault="00CB0D40" w:rsidP="00642F79">
      <w:pPr>
        <w:pStyle w:val="FootnoteText"/>
        <w:rPr>
          <w:rFonts w:ascii="Times New Roman" w:hAnsi="Times New Roman"/>
        </w:rPr>
      </w:pPr>
      <w:r w:rsidRPr="00EF782D">
        <w:rPr>
          <w:rStyle w:val="FootnoteReference"/>
          <w:rFonts w:ascii="Times New Roman" w:hAnsi="Times New Roman"/>
        </w:rPr>
        <w:footnoteRef/>
      </w:r>
      <w:r w:rsidRPr="00EF782D">
        <w:rPr>
          <w:rFonts w:ascii="Times New Roman" w:hAnsi="Times New Roman"/>
        </w:rPr>
        <w:t xml:space="preserve"> </w:t>
      </w:r>
      <w:r w:rsidR="0068162C">
        <w:rPr>
          <w:rFonts w:ascii="Times New Roman" w:hAnsi="Times New Roman"/>
        </w:rPr>
        <w:t xml:space="preserve">Simon </w:t>
      </w:r>
      <w:proofErr w:type="spellStart"/>
      <w:r w:rsidR="0068162C">
        <w:rPr>
          <w:rFonts w:ascii="Times New Roman" w:hAnsi="Times New Roman"/>
        </w:rPr>
        <w:t>Gilbody</w:t>
      </w:r>
      <w:proofErr w:type="spellEnd"/>
      <w:r w:rsidR="0068162C">
        <w:rPr>
          <w:rFonts w:ascii="Times New Roman" w:hAnsi="Times New Roman"/>
        </w:rPr>
        <w:t>, Tracy Lightfoot and</w:t>
      </w:r>
      <w:r w:rsidRPr="00953DE4">
        <w:rPr>
          <w:rFonts w:ascii="Times New Roman" w:hAnsi="Times New Roman"/>
        </w:rPr>
        <w:t xml:space="preserve"> Trevor Sheldon, ‘Is low folate a risk factor for depression? A meta-analysis and exploration of heterogeneity’ (2007) 61 </w:t>
      </w:r>
      <w:r w:rsidRPr="00953DE4">
        <w:rPr>
          <w:rFonts w:ascii="Times New Roman" w:hAnsi="Times New Roman"/>
          <w:i/>
          <w:iCs/>
        </w:rPr>
        <w:t xml:space="preserve">Journal of Epidemiology and Community Health </w:t>
      </w:r>
      <w:r w:rsidRPr="00953DE4">
        <w:rPr>
          <w:rFonts w:ascii="Times New Roman" w:hAnsi="Times New Roman"/>
        </w:rPr>
        <w:t>631.</w:t>
      </w:r>
    </w:p>
  </w:footnote>
  <w:footnote w:id="3">
    <w:p w:rsidR="00CB0D40" w:rsidRPr="00EF782D" w:rsidRDefault="00CB0D40" w:rsidP="00642F79">
      <w:pPr>
        <w:pStyle w:val="FootnoteText"/>
        <w:rPr>
          <w:rFonts w:ascii="Times New Roman" w:hAnsi="Times New Roman"/>
        </w:rPr>
      </w:pPr>
      <w:r w:rsidRPr="00EF782D">
        <w:rPr>
          <w:rStyle w:val="FootnoteReference"/>
          <w:rFonts w:ascii="Times New Roman" w:hAnsi="Times New Roman"/>
        </w:rPr>
        <w:footnoteRef/>
      </w:r>
      <w:r w:rsidRPr="00EF782D">
        <w:rPr>
          <w:rFonts w:ascii="Times New Roman" w:hAnsi="Times New Roman"/>
        </w:rPr>
        <w:t xml:space="preserve"> </w:t>
      </w:r>
      <w:r w:rsidRPr="00953DE4">
        <w:rPr>
          <w:rFonts w:ascii="Times New Roman" w:hAnsi="Times New Roman"/>
        </w:rPr>
        <w:t>Ansley Bender, Kelsey Hagan</w:t>
      </w:r>
      <w:r w:rsidR="0068162C">
        <w:rPr>
          <w:rFonts w:ascii="Times New Roman" w:hAnsi="Times New Roman"/>
        </w:rPr>
        <w:t xml:space="preserve"> and</w:t>
      </w:r>
      <w:r w:rsidRPr="00953DE4">
        <w:rPr>
          <w:rFonts w:ascii="Times New Roman" w:hAnsi="Times New Roman"/>
        </w:rPr>
        <w:t xml:space="preserve"> Neal Kingston, ‘The association of folate and depression: A meta-analysis’ (2017) 95 </w:t>
      </w:r>
      <w:r w:rsidRPr="00953DE4">
        <w:rPr>
          <w:rFonts w:ascii="Times New Roman" w:hAnsi="Times New Roman"/>
          <w:i/>
          <w:iCs/>
        </w:rPr>
        <w:t>Journal of Psychiatric Research</w:t>
      </w:r>
      <w:r w:rsidRPr="00953DE4">
        <w:rPr>
          <w:rFonts w:ascii="Times New Roman" w:hAnsi="Times New Roman"/>
        </w:rPr>
        <w:t xml:space="preserve"> 9</w:t>
      </w:r>
      <w:r w:rsidRPr="00EF782D">
        <w:rPr>
          <w:rFonts w:ascii="Times New Roman" w:hAnsi="Times New Roman"/>
        </w:rPr>
        <w:t>.</w:t>
      </w:r>
    </w:p>
  </w:footnote>
  <w:footnote w:id="4">
    <w:p w:rsidR="00CB0D40" w:rsidRPr="00EF782D" w:rsidRDefault="00CB0D40" w:rsidP="00642F79">
      <w:pPr>
        <w:pStyle w:val="FootnoteText"/>
        <w:rPr>
          <w:rFonts w:ascii="Times New Roman" w:hAnsi="Times New Roman"/>
        </w:rPr>
      </w:pPr>
      <w:r w:rsidRPr="00EF782D">
        <w:rPr>
          <w:rStyle w:val="FootnoteReference"/>
          <w:rFonts w:ascii="Times New Roman" w:hAnsi="Times New Roman"/>
        </w:rPr>
        <w:footnoteRef/>
      </w:r>
      <w:r w:rsidRPr="00EF782D">
        <w:rPr>
          <w:rFonts w:ascii="Times New Roman" w:hAnsi="Times New Roman"/>
        </w:rPr>
        <w:t xml:space="preserve"> </w:t>
      </w:r>
      <w:r w:rsidRPr="00953DE4">
        <w:rPr>
          <w:rFonts w:ascii="Times New Roman" w:hAnsi="Times New Roman"/>
        </w:rPr>
        <w:t xml:space="preserve">Marshal </w:t>
      </w:r>
      <w:proofErr w:type="spellStart"/>
      <w:r w:rsidRPr="00953DE4">
        <w:rPr>
          <w:rFonts w:ascii="Times New Roman" w:hAnsi="Times New Roman"/>
        </w:rPr>
        <w:t>Folstein</w:t>
      </w:r>
      <w:proofErr w:type="spellEnd"/>
      <w:r w:rsidRPr="00953DE4">
        <w:rPr>
          <w:rFonts w:ascii="Times New Roman" w:hAnsi="Times New Roman"/>
        </w:rPr>
        <w:t xml:space="preserve"> et al, ‘The Homocysteine Hypothesis of Depression’ (2007) 164(6) </w:t>
      </w:r>
      <w:r w:rsidRPr="00953DE4">
        <w:rPr>
          <w:rFonts w:ascii="Times New Roman" w:hAnsi="Times New Roman"/>
          <w:i/>
          <w:iCs/>
        </w:rPr>
        <w:t>American Journal of Psychiatry</w:t>
      </w:r>
      <w:r w:rsidRPr="00953DE4">
        <w:rPr>
          <w:rFonts w:ascii="Times New Roman" w:hAnsi="Times New Roman"/>
        </w:rPr>
        <w:t xml:space="preserve"> 861</w:t>
      </w:r>
      <w:r w:rsidRPr="00EF782D">
        <w:rPr>
          <w:rFonts w:ascii="Times New Roman" w:hAnsi="Times New Roman"/>
        </w:rPr>
        <w:t>.</w:t>
      </w:r>
    </w:p>
  </w:footnote>
  <w:footnote w:id="5">
    <w:p w:rsidR="00CB0D40" w:rsidRPr="00EF782D" w:rsidRDefault="00CB0D40" w:rsidP="00953DE4">
      <w:pPr>
        <w:pStyle w:val="FootnoteText"/>
        <w:rPr>
          <w:rFonts w:ascii="Times New Roman" w:hAnsi="Times New Roman"/>
        </w:rPr>
      </w:pPr>
      <w:r w:rsidRPr="00EF782D">
        <w:rPr>
          <w:rStyle w:val="FootnoteReference"/>
          <w:rFonts w:ascii="Times New Roman" w:hAnsi="Times New Roman"/>
        </w:rPr>
        <w:footnoteRef/>
      </w:r>
      <w:r w:rsidRPr="00EF782D">
        <w:rPr>
          <w:rFonts w:ascii="Times New Roman" w:hAnsi="Times New Roman"/>
        </w:rPr>
        <w:t xml:space="preserve"> </w:t>
      </w:r>
      <w:r>
        <w:rPr>
          <w:rFonts w:ascii="Times New Roman" w:hAnsi="Times New Roman"/>
        </w:rPr>
        <w:t xml:space="preserve">Alan L Miller, ‘The Methylation, Neurotransmitter, and Antioxidant Connections Between Folate and Depression’ (2008) 13(3) </w:t>
      </w:r>
      <w:r>
        <w:rPr>
          <w:rFonts w:ascii="Times New Roman" w:hAnsi="Times New Roman"/>
          <w:i/>
          <w:iCs/>
        </w:rPr>
        <w:t>Alternative Medicine Review</w:t>
      </w:r>
      <w:r>
        <w:rPr>
          <w:rFonts w:ascii="Times New Roman" w:hAnsi="Times New Roman"/>
        </w:rPr>
        <w:t xml:space="preserve"> 216.</w:t>
      </w:r>
    </w:p>
  </w:footnote>
  <w:footnote w:id="6">
    <w:p w:rsidR="00CB0D40" w:rsidRPr="00B93661" w:rsidRDefault="00CB0D40" w:rsidP="00642F79">
      <w:pPr>
        <w:pStyle w:val="FootnoteText"/>
      </w:pPr>
      <w:r w:rsidRPr="007E3EF2">
        <w:rPr>
          <w:rStyle w:val="FootnoteReference"/>
        </w:rPr>
        <w:footnoteRef/>
      </w:r>
      <w:r w:rsidRPr="007E3EF2">
        <w:t xml:space="preserve"> </w:t>
      </w:r>
      <w:proofErr w:type="spellStart"/>
      <w:r w:rsidRPr="00DB5A59">
        <w:t>Vandana</w:t>
      </w:r>
      <w:proofErr w:type="spellEnd"/>
      <w:r w:rsidRPr="00DB5A59">
        <w:t xml:space="preserve"> Rai, ‘</w:t>
      </w:r>
      <w:r w:rsidRPr="00DB5A59">
        <w:rPr>
          <w:lang w:val="en"/>
        </w:rPr>
        <w:t xml:space="preserve">Association of C677T polymorphism (rs1801133) in MTHFR gene with depression’ (2017) 63(6) </w:t>
      </w:r>
      <w:r w:rsidRPr="00DB5A59">
        <w:rPr>
          <w:i/>
          <w:iCs/>
          <w:lang w:val="en"/>
        </w:rPr>
        <w:t xml:space="preserve">Cellular and Molecular Biology </w:t>
      </w:r>
      <w:r w:rsidRPr="00DB5A59">
        <w:rPr>
          <w:lang w:val="en"/>
        </w:rPr>
        <w:t>60</w:t>
      </w:r>
      <w:r w:rsidRPr="00B93661">
        <w:t>.</w:t>
      </w:r>
    </w:p>
  </w:footnote>
  <w:footnote w:id="7">
    <w:p w:rsidR="0068162C" w:rsidRDefault="0068162C">
      <w:pPr>
        <w:pStyle w:val="FootnoteText"/>
      </w:pPr>
      <w:r>
        <w:rPr>
          <w:rStyle w:val="FootnoteReference"/>
        </w:rPr>
        <w:footnoteRef/>
      </w:r>
      <w:r>
        <w:t xml:space="preserve"> </w:t>
      </w:r>
      <w:proofErr w:type="spellStart"/>
      <w:r w:rsidRPr="0068162C">
        <w:t>Gilbody</w:t>
      </w:r>
      <w:proofErr w:type="spellEnd"/>
      <w:r>
        <w:t>, Lightfoot and Sheldon, above n 2.</w:t>
      </w:r>
    </w:p>
  </w:footnote>
  <w:footnote w:id="8">
    <w:p w:rsidR="00CB0D40" w:rsidRPr="00B93661" w:rsidRDefault="00CB0D40" w:rsidP="002142B9">
      <w:pPr>
        <w:pStyle w:val="FootnoteText"/>
      </w:pPr>
      <w:r w:rsidRPr="007E3EF2">
        <w:rPr>
          <w:rStyle w:val="FootnoteReference"/>
        </w:rPr>
        <w:footnoteRef/>
      </w:r>
      <w:r w:rsidRPr="007E3EF2">
        <w:t xml:space="preserve"> </w:t>
      </w:r>
      <w:proofErr w:type="spellStart"/>
      <w:r>
        <w:rPr>
          <w:rFonts w:ascii="Times New Roman" w:hAnsi="Times New Roman"/>
        </w:rPr>
        <w:t>Joesph</w:t>
      </w:r>
      <w:proofErr w:type="spellEnd"/>
      <w:r>
        <w:rPr>
          <w:rFonts w:ascii="Times New Roman" w:hAnsi="Times New Roman"/>
        </w:rPr>
        <w:t xml:space="preserve"> Firth et al, ‘The efficacy and safety of nutrient supplements in the treatment of mental disorders: a meta-review of meta-analyses of randomized controlled trials’ (2019) 18</w:t>
      </w:r>
      <w:r>
        <w:t xml:space="preserve"> </w:t>
      </w:r>
      <w:r>
        <w:rPr>
          <w:rFonts w:ascii="Times New Roman" w:hAnsi="Times New Roman"/>
          <w:i/>
          <w:iCs/>
        </w:rPr>
        <w:t>World Psychiatry</w:t>
      </w:r>
      <w:r>
        <w:rPr>
          <w:i/>
          <w:iCs/>
        </w:rPr>
        <w:t xml:space="preserve"> </w:t>
      </w:r>
      <w:r>
        <w:rPr>
          <w:rFonts w:ascii="Times New Roman" w:hAnsi="Times New Roman"/>
        </w:rPr>
        <w:t>308.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78F"/>
    <w:multiLevelType w:val="hybridMultilevel"/>
    <w:tmpl w:val="AA2854CE"/>
    <w:lvl w:ilvl="0" w:tplc="3AAE820A">
      <w:start w:val="1"/>
      <w:numFmt w:val="lowerLetter"/>
      <w:lvlText w:val="(%1)"/>
      <w:lvlJc w:val="left"/>
      <w:pPr>
        <w:ind w:left="1080" w:hanging="720"/>
      </w:pPr>
      <w:rPr>
        <w:rFonts w:hint="default"/>
      </w:rPr>
    </w:lvl>
    <w:lvl w:ilvl="1" w:tplc="248ED48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421F9"/>
    <w:multiLevelType w:val="hybridMultilevel"/>
    <w:tmpl w:val="2D08F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CB32B508"/>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921368D"/>
    <w:multiLevelType w:val="hybridMultilevel"/>
    <w:tmpl w:val="E0B28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3269C"/>
    <w:multiLevelType w:val="hybridMultilevel"/>
    <w:tmpl w:val="E2AC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6131F"/>
    <w:multiLevelType w:val="hybridMultilevel"/>
    <w:tmpl w:val="57E206E6"/>
    <w:lvl w:ilvl="0" w:tplc="248ED4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34C55"/>
    <w:multiLevelType w:val="hybridMultilevel"/>
    <w:tmpl w:val="22DE0D4A"/>
    <w:lvl w:ilvl="0" w:tplc="83E8F3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D6B22DE"/>
    <w:multiLevelType w:val="hybridMultilevel"/>
    <w:tmpl w:val="8E5024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2DC348B7"/>
    <w:multiLevelType w:val="hybridMultilevel"/>
    <w:tmpl w:val="929AA5A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3AB735FD"/>
    <w:multiLevelType w:val="hybridMultilevel"/>
    <w:tmpl w:val="BD363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42FBD"/>
    <w:multiLevelType w:val="hybridMultilevel"/>
    <w:tmpl w:val="5052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685245"/>
    <w:multiLevelType w:val="hybridMultilevel"/>
    <w:tmpl w:val="EC5AF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9"/>
  </w:num>
  <w:num w:numId="5">
    <w:abstractNumId w:val="5"/>
  </w:num>
  <w:num w:numId="6">
    <w:abstractNumId w:val="4"/>
  </w:num>
  <w:num w:numId="7">
    <w:abstractNumId w:val="3"/>
  </w:num>
  <w:num w:numId="8">
    <w:abstractNumId w:val="8"/>
  </w:num>
  <w:num w:numId="9">
    <w:abstractNumId w:val="11"/>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F0"/>
    <w:rsid w:val="00001278"/>
    <w:rsid w:val="0000530E"/>
    <w:rsid w:val="00013B07"/>
    <w:rsid w:val="00014FFA"/>
    <w:rsid w:val="000320BC"/>
    <w:rsid w:val="00034796"/>
    <w:rsid w:val="00057D55"/>
    <w:rsid w:val="00060A2E"/>
    <w:rsid w:val="0006532B"/>
    <w:rsid w:val="0006654D"/>
    <w:rsid w:val="00067958"/>
    <w:rsid w:val="000A07EB"/>
    <w:rsid w:val="000A23A9"/>
    <w:rsid w:val="000A43BA"/>
    <w:rsid w:val="000B2913"/>
    <w:rsid w:val="000B5298"/>
    <w:rsid w:val="000C7CC9"/>
    <w:rsid w:val="000D083D"/>
    <w:rsid w:val="000D79D4"/>
    <w:rsid w:val="000E5B37"/>
    <w:rsid w:val="000F0153"/>
    <w:rsid w:val="0010080C"/>
    <w:rsid w:val="00103D88"/>
    <w:rsid w:val="00107409"/>
    <w:rsid w:val="00112709"/>
    <w:rsid w:val="0011466B"/>
    <w:rsid w:val="00122E7B"/>
    <w:rsid w:val="00125ACD"/>
    <w:rsid w:val="00127A5E"/>
    <w:rsid w:val="00130FA4"/>
    <w:rsid w:val="001317C9"/>
    <w:rsid w:val="00135076"/>
    <w:rsid w:val="001375BD"/>
    <w:rsid w:val="001505C6"/>
    <w:rsid w:val="001557D9"/>
    <w:rsid w:val="0016227A"/>
    <w:rsid w:val="00162B59"/>
    <w:rsid w:val="001641F1"/>
    <w:rsid w:val="001766ED"/>
    <w:rsid w:val="001A313B"/>
    <w:rsid w:val="001A685F"/>
    <w:rsid w:val="001B28BE"/>
    <w:rsid w:val="001B5293"/>
    <w:rsid w:val="001F10F7"/>
    <w:rsid w:val="001F4F40"/>
    <w:rsid w:val="00201402"/>
    <w:rsid w:val="0020563E"/>
    <w:rsid w:val="00207AB8"/>
    <w:rsid w:val="00210639"/>
    <w:rsid w:val="00210AF2"/>
    <w:rsid w:val="002142B9"/>
    <w:rsid w:val="002316D3"/>
    <w:rsid w:val="00237F43"/>
    <w:rsid w:val="00250C77"/>
    <w:rsid w:val="00260403"/>
    <w:rsid w:val="00263555"/>
    <w:rsid w:val="0027270A"/>
    <w:rsid w:val="00280050"/>
    <w:rsid w:val="0028245D"/>
    <w:rsid w:val="002829D7"/>
    <w:rsid w:val="00291DE4"/>
    <w:rsid w:val="002B0900"/>
    <w:rsid w:val="002B7078"/>
    <w:rsid w:val="002C1F4E"/>
    <w:rsid w:val="002D0AC0"/>
    <w:rsid w:val="002D2EDE"/>
    <w:rsid w:val="002E2D10"/>
    <w:rsid w:val="002F3A78"/>
    <w:rsid w:val="003011D5"/>
    <w:rsid w:val="003104CF"/>
    <w:rsid w:val="00314060"/>
    <w:rsid w:val="00330824"/>
    <w:rsid w:val="0033144D"/>
    <w:rsid w:val="0034215F"/>
    <w:rsid w:val="00346B82"/>
    <w:rsid w:val="003563BB"/>
    <w:rsid w:val="00383565"/>
    <w:rsid w:val="0038564E"/>
    <w:rsid w:val="003B1D37"/>
    <w:rsid w:val="003B5C6F"/>
    <w:rsid w:val="003D10FC"/>
    <w:rsid w:val="003E5BE9"/>
    <w:rsid w:val="003F4D66"/>
    <w:rsid w:val="0040407F"/>
    <w:rsid w:val="004042AE"/>
    <w:rsid w:val="00406EE8"/>
    <w:rsid w:val="00407F7A"/>
    <w:rsid w:val="00417666"/>
    <w:rsid w:val="00426407"/>
    <w:rsid w:val="004326CB"/>
    <w:rsid w:val="00436486"/>
    <w:rsid w:val="00436B50"/>
    <w:rsid w:val="00472B94"/>
    <w:rsid w:val="00474415"/>
    <w:rsid w:val="00474D4F"/>
    <w:rsid w:val="004758C6"/>
    <w:rsid w:val="00484B88"/>
    <w:rsid w:val="00484C40"/>
    <w:rsid w:val="00495526"/>
    <w:rsid w:val="00495B46"/>
    <w:rsid w:val="004A133E"/>
    <w:rsid w:val="004A2DF7"/>
    <w:rsid w:val="004B24B1"/>
    <w:rsid w:val="004B5EC2"/>
    <w:rsid w:val="004D00E7"/>
    <w:rsid w:val="004D3FBA"/>
    <w:rsid w:val="004D513E"/>
    <w:rsid w:val="004E2397"/>
    <w:rsid w:val="004E459B"/>
    <w:rsid w:val="004F3D00"/>
    <w:rsid w:val="004F5CEF"/>
    <w:rsid w:val="00523728"/>
    <w:rsid w:val="00537BF8"/>
    <w:rsid w:val="00542D9D"/>
    <w:rsid w:val="00547EA1"/>
    <w:rsid w:val="005901B7"/>
    <w:rsid w:val="00591CDE"/>
    <w:rsid w:val="00594D52"/>
    <w:rsid w:val="005B60F4"/>
    <w:rsid w:val="005D5768"/>
    <w:rsid w:val="005E39E5"/>
    <w:rsid w:val="005E7928"/>
    <w:rsid w:val="005F5385"/>
    <w:rsid w:val="00620616"/>
    <w:rsid w:val="00621846"/>
    <w:rsid w:val="00631348"/>
    <w:rsid w:val="0063390E"/>
    <w:rsid w:val="00637A01"/>
    <w:rsid w:val="00641DDE"/>
    <w:rsid w:val="00642F79"/>
    <w:rsid w:val="00653445"/>
    <w:rsid w:val="00654C30"/>
    <w:rsid w:val="00666E7F"/>
    <w:rsid w:val="0068162C"/>
    <w:rsid w:val="006834DB"/>
    <w:rsid w:val="006849D9"/>
    <w:rsid w:val="00684A5D"/>
    <w:rsid w:val="00685382"/>
    <w:rsid w:val="00687119"/>
    <w:rsid w:val="00687DCF"/>
    <w:rsid w:val="00692292"/>
    <w:rsid w:val="006926B8"/>
    <w:rsid w:val="00695A12"/>
    <w:rsid w:val="006A15FD"/>
    <w:rsid w:val="006A30A5"/>
    <w:rsid w:val="006B2B81"/>
    <w:rsid w:val="006B30A4"/>
    <w:rsid w:val="006B464E"/>
    <w:rsid w:val="006B7188"/>
    <w:rsid w:val="006E11CF"/>
    <w:rsid w:val="006E2FF0"/>
    <w:rsid w:val="006E35C1"/>
    <w:rsid w:val="006E55BD"/>
    <w:rsid w:val="006E7063"/>
    <w:rsid w:val="006F3ACE"/>
    <w:rsid w:val="007011F0"/>
    <w:rsid w:val="00713364"/>
    <w:rsid w:val="00725F41"/>
    <w:rsid w:val="0073226E"/>
    <w:rsid w:val="00732A07"/>
    <w:rsid w:val="00737947"/>
    <w:rsid w:val="007446EE"/>
    <w:rsid w:val="00746857"/>
    <w:rsid w:val="0076236E"/>
    <w:rsid w:val="00770EF1"/>
    <w:rsid w:val="00781943"/>
    <w:rsid w:val="00783E1E"/>
    <w:rsid w:val="007921D0"/>
    <w:rsid w:val="007958E1"/>
    <w:rsid w:val="0079619A"/>
    <w:rsid w:val="007A3C30"/>
    <w:rsid w:val="007B1513"/>
    <w:rsid w:val="007B45DE"/>
    <w:rsid w:val="007B6BCF"/>
    <w:rsid w:val="007B7F41"/>
    <w:rsid w:val="007C2BC4"/>
    <w:rsid w:val="007E36BE"/>
    <w:rsid w:val="007E3EF2"/>
    <w:rsid w:val="007E4657"/>
    <w:rsid w:val="007E4BA1"/>
    <w:rsid w:val="007E6C69"/>
    <w:rsid w:val="007F0CEA"/>
    <w:rsid w:val="007F732D"/>
    <w:rsid w:val="00800FDC"/>
    <w:rsid w:val="00801DDA"/>
    <w:rsid w:val="00816E82"/>
    <w:rsid w:val="00816EE0"/>
    <w:rsid w:val="008246C1"/>
    <w:rsid w:val="008254D0"/>
    <w:rsid w:val="008300D5"/>
    <w:rsid w:val="00842E66"/>
    <w:rsid w:val="00845DCE"/>
    <w:rsid w:val="00846403"/>
    <w:rsid w:val="0084668F"/>
    <w:rsid w:val="00851D64"/>
    <w:rsid w:val="0086202A"/>
    <w:rsid w:val="00863256"/>
    <w:rsid w:val="00864FFA"/>
    <w:rsid w:val="00867139"/>
    <w:rsid w:val="008766BA"/>
    <w:rsid w:val="00885820"/>
    <w:rsid w:val="00887699"/>
    <w:rsid w:val="008946AB"/>
    <w:rsid w:val="008B5BC2"/>
    <w:rsid w:val="008B785A"/>
    <w:rsid w:val="008C52CB"/>
    <w:rsid w:val="008D2DAF"/>
    <w:rsid w:val="008D2F51"/>
    <w:rsid w:val="008D3D23"/>
    <w:rsid w:val="008D5ED8"/>
    <w:rsid w:val="008E4648"/>
    <w:rsid w:val="008F0376"/>
    <w:rsid w:val="008F512E"/>
    <w:rsid w:val="00911989"/>
    <w:rsid w:val="009132D7"/>
    <w:rsid w:val="00926CE9"/>
    <w:rsid w:val="00942BBA"/>
    <w:rsid w:val="00953DE4"/>
    <w:rsid w:val="00956597"/>
    <w:rsid w:val="009670A6"/>
    <w:rsid w:val="00970DC4"/>
    <w:rsid w:val="00972943"/>
    <w:rsid w:val="00972A5C"/>
    <w:rsid w:val="00996373"/>
    <w:rsid w:val="009A3D3E"/>
    <w:rsid w:val="009C1FCE"/>
    <w:rsid w:val="009D7609"/>
    <w:rsid w:val="009D7BFA"/>
    <w:rsid w:val="009E2A3E"/>
    <w:rsid w:val="00A00161"/>
    <w:rsid w:val="00A06DED"/>
    <w:rsid w:val="00A206FB"/>
    <w:rsid w:val="00A23B55"/>
    <w:rsid w:val="00A44B5A"/>
    <w:rsid w:val="00A551B6"/>
    <w:rsid w:val="00A56D1B"/>
    <w:rsid w:val="00A76703"/>
    <w:rsid w:val="00A8682A"/>
    <w:rsid w:val="00A904DD"/>
    <w:rsid w:val="00A94052"/>
    <w:rsid w:val="00AB28A0"/>
    <w:rsid w:val="00AC1538"/>
    <w:rsid w:val="00AC31F3"/>
    <w:rsid w:val="00AD14BA"/>
    <w:rsid w:val="00AD1877"/>
    <w:rsid w:val="00AD3183"/>
    <w:rsid w:val="00AD42BB"/>
    <w:rsid w:val="00AD44E4"/>
    <w:rsid w:val="00AD6EF6"/>
    <w:rsid w:val="00AE7998"/>
    <w:rsid w:val="00AF1FEB"/>
    <w:rsid w:val="00AF3EF0"/>
    <w:rsid w:val="00AF784D"/>
    <w:rsid w:val="00B073AF"/>
    <w:rsid w:val="00B12334"/>
    <w:rsid w:val="00B12C5C"/>
    <w:rsid w:val="00B162D0"/>
    <w:rsid w:val="00B22686"/>
    <w:rsid w:val="00B26EA7"/>
    <w:rsid w:val="00B304C7"/>
    <w:rsid w:val="00B313BD"/>
    <w:rsid w:val="00B47627"/>
    <w:rsid w:val="00B63D22"/>
    <w:rsid w:val="00B85390"/>
    <w:rsid w:val="00B86B94"/>
    <w:rsid w:val="00B93661"/>
    <w:rsid w:val="00B94B9B"/>
    <w:rsid w:val="00B960CC"/>
    <w:rsid w:val="00BA0EE1"/>
    <w:rsid w:val="00BA4058"/>
    <w:rsid w:val="00BD32FB"/>
    <w:rsid w:val="00BE5928"/>
    <w:rsid w:val="00BF2819"/>
    <w:rsid w:val="00C010D2"/>
    <w:rsid w:val="00C015E5"/>
    <w:rsid w:val="00C11BF0"/>
    <w:rsid w:val="00C13A0F"/>
    <w:rsid w:val="00C21B61"/>
    <w:rsid w:val="00C25743"/>
    <w:rsid w:val="00C26BC8"/>
    <w:rsid w:val="00C31996"/>
    <w:rsid w:val="00C428A1"/>
    <w:rsid w:val="00C45886"/>
    <w:rsid w:val="00C47D8D"/>
    <w:rsid w:val="00C53605"/>
    <w:rsid w:val="00C61068"/>
    <w:rsid w:val="00C610B4"/>
    <w:rsid w:val="00C62126"/>
    <w:rsid w:val="00C8220E"/>
    <w:rsid w:val="00C8655A"/>
    <w:rsid w:val="00C93BFB"/>
    <w:rsid w:val="00CB0D40"/>
    <w:rsid w:val="00CB2983"/>
    <w:rsid w:val="00CC6841"/>
    <w:rsid w:val="00CD4987"/>
    <w:rsid w:val="00CD663E"/>
    <w:rsid w:val="00CD6FD1"/>
    <w:rsid w:val="00D2732C"/>
    <w:rsid w:val="00D30486"/>
    <w:rsid w:val="00D37C13"/>
    <w:rsid w:val="00D52C87"/>
    <w:rsid w:val="00D54ADB"/>
    <w:rsid w:val="00D62EA8"/>
    <w:rsid w:val="00D65E33"/>
    <w:rsid w:val="00D8066E"/>
    <w:rsid w:val="00D80BFE"/>
    <w:rsid w:val="00DB5A59"/>
    <w:rsid w:val="00DC3171"/>
    <w:rsid w:val="00DC4C9E"/>
    <w:rsid w:val="00DD4FD1"/>
    <w:rsid w:val="00DE7D57"/>
    <w:rsid w:val="00DE7E66"/>
    <w:rsid w:val="00DF04DB"/>
    <w:rsid w:val="00DF5AF5"/>
    <w:rsid w:val="00E0357C"/>
    <w:rsid w:val="00E261A8"/>
    <w:rsid w:val="00E44BE4"/>
    <w:rsid w:val="00E553B0"/>
    <w:rsid w:val="00E60D68"/>
    <w:rsid w:val="00E65285"/>
    <w:rsid w:val="00E709B1"/>
    <w:rsid w:val="00E912CB"/>
    <w:rsid w:val="00E955DD"/>
    <w:rsid w:val="00E971F0"/>
    <w:rsid w:val="00EB4620"/>
    <w:rsid w:val="00EB50EB"/>
    <w:rsid w:val="00EC082B"/>
    <w:rsid w:val="00ED0AEE"/>
    <w:rsid w:val="00EE00FD"/>
    <w:rsid w:val="00EE1593"/>
    <w:rsid w:val="00EE5298"/>
    <w:rsid w:val="00EF429B"/>
    <w:rsid w:val="00EF782D"/>
    <w:rsid w:val="00F0298E"/>
    <w:rsid w:val="00F05D9D"/>
    <w:rsid w:val="00F11128"/>
    <w:rsid w:val="00F14D6C"/>
    <w:rsid w:val="00F15186"/>
    <w:rsid w:val="00F16C89"/>
    <w:rsid w:val="00F23CB6"/>
    <w:rsid w:val="00F328B3"/>
    <w:rsid w:val="00F3629E"/>
    <w:rsid w:val="00F41B21"/>
    <w:rsid w:val="00F63AB4"/>
    <w:rsid w:val="00F67C2B"/>
    <w:rsid w:val="00F85C72"/>
    <w:rsid w:val="00F93A53"/>
    <w:rsid w:val="00FA7C4A"/>
    <w:rsid w:val="00FB6620"/>
    <w:rsid w:val="00FB68A8"/>
    <w:rsid w:val="00FC1C54"/>
    <w:rsid w:val="00FC63AC"/>
    <w:rsid w:val="00FD03B6"/>
    <w:rsid w:val="00FD6683"/>
    <w:rsid w:val="00FD787D"/>
    <w:rsid w:val="00FE2AC9"/>
    <w:rsid w:val="00FF173D"/>
    <w:rsid w:val="00FF474E"/>
    <w:rsid w:val="00FF7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7C17"/>
  <w15:chartTrackingRefBased/>
  <w15:docId w15:val="{CCDEE748-550B-4C96-885F-AEB861A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C40"/>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796"/>
    <w:pPr>
      <w:spacing w:before="100" w:beforeAutospacing="1" w:after="100" w:afterAutospacing="1"/>
    </w:pPr>
    <w:rPr>
      <w:rFonts w:ascii="Times New Roman" w:hAnsi="Times New Roman"/>
      <w:szCs w:val="24"/>
    </w:rPr>
  </w:style>
  <w:style w:type="character" w:styleId="HTMLCite">
    <w:name w:val="HTML Cite"/>
    <w:basedOn w:val="DefaultParagraphFont"/>
    <w:uiPriority w:val="99"/>
    <w:semiHidden/>
    <w:unhideWhenUsed/>
    <w:rsid w:val="00034796"/>
    <w:rPr>
      <w:i/>
      <w:iCs/>
    </w:rPr>
  </w:style>
  <w:style w:type="character" w:styleId="Hyperlink">
    <w:name w:val="Hyperlink"/>
    <w:basedOn w:val="DefaultParagraphFont"/>
    <w:uiPriority w:val="99"/>
    <w:unhideWhenUsed/>
    <w:rsid w:val="00B960CC"/>
    <w:rPr>
      <w:color w:val="0000FF"/>
      <w:u w:val="single"/>
    </w:rPr>
  </w:style>
  <w:style w:type="paragraph" w:styleId="ListBullet">
    <w:name w:val="List Bullet"/>
    <w:basedOn w:val="Normal"/>
    <w:uiPriority w:val="1"/>
    <w:qFormat/>
    <w:rsid w:val="00B960CC"/>
    <w:pPr>
      <w:numPr>
        <w:numId w:val="1"/>
      </w:numPr>
      <w:spacing w:before="120" w:after="180" w:line="240" w:lineRule="atLeast"/>
    </w:pPr>
    <w:rPr>
      <w:rFonts w:ascii="Cambria" w:eastAsia="Cambria" w:hAnsi="Cambria"/>
      <w:sz w:val="22"/>
      <w:lang w:eastAsia="en-US"/>
    </w:rPr>
  </w:style>
  <w:style w:type="paragraph" w:styleId="ListBullet2">
    <w:name w:val="List Bullet 2"/>
    <w:basedOn w:val="Normal"/>
    <w:uiPriority w:val="1"/>
    <w:qFormat/>
    <w:rsid w:val="00B960CC"/>
    <w:pPr>
      <w:numPr>
        <w:ilvl w:val="1"/>
        <w:numId w:val="1"/>
      </w:numPr>
      <w:spacing w:before="120" w:after="180" w:line="240" w:lineRule="atLeast"/>
    </w:pPr>
    <w:rPr>
      <w:rFonts w:ascii="Cambria" w:eastAsia="Cambria" w:hAnsi="Cambria"/>
      <w:sz w:val="22"/>
      <w:lang w:eastAsia="en-US"/>
    </w:rPr>
  </w:style>
  <w:style w:type="numbering" w:customStyle="1" w:styleId="ListBullets">
    <w:name w:val="ListBullets"/>
    <w:uiPriority w:val="99"/>
    <w:locked/>
    <w:rsid w:val="00B960CC"/>
    <w:pPr>
      <w:numPr>
        <w:numId w:val="1"/>
      </w:numPr>
    </w:pPr>
  </w:style>
  <w:style w:type="paragraph" w:styleId="ListParagraph">
    <w:name w:val="List Paragraph"/>
    <w:basedOn w:val="Normal"/>
    <w:uiPriority w:val="34"/>
    <w:qFormat/>
    <w:rsid w:val="00B960CC"/>
    <w:pPr>
      <w:spacing w:before="120" w:after="180" w:line="240" w:lineRule="atLeast"/>
      <w:ind w:left="720"/>
      <w:contextualSpacing/>
    </w:pPr>
    <w:rPr>
      <w:rFonts w:ascii="Cambria" w:eastAsia="Cambria" w:hAnsi="Cambria"/>
      <w:sz w:val="22"/>
      <w:lang w:eastAsia="en-US"/>
    </w:rPr>
  </w:style>
  <w:style w:type="table" w:styleId="TableGrid">
    <w:name w:val="Table Grid"/>
    <w:basedOn w:val="TableNormal"/>
    <w:uiPriority w:val="59"/>
    <w:rsid w:val="00C53605"/>
    <w:pPr>
      <w:spacing w:after="0" w:line="240" w:lineRule="auto"/>
    </w:pPr>
    <w:rPr>
      <w:rFonts w:ascii="Cambria" w:eastAsia="Cambria" w:hAnsi="Cambria"/>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7C4A"/>
    <w:rPr>
      <w:sz w:val="16"/>
      <w:szCs w:val="16"/>
    </w:rPr>
  </w:style>
  <w:style w:type="paragraph" w:styleId="CommentText">
    <w:name w:val="annotation text"/>
    <w:basedOn w:val="Normal"/>
    <w:link w:val="CommentTextChar"/>
    <w:uiPriority w:val="99"/>
    <w:semiHidden/>
    <w:unhideWhenUsed/>
    <w:rsid w:val="00FA7C4A"/>
    <w:rPr>
      <w:sz w:val="20"/>
    </w:rPr>
  </w:style>
  <w:style w:type="character" w:customStyle="1" w:styleId="CommentTextChar">
    <w:name w:val="Comment Text Char"/>
    <w:basedOn w:val="DefaultParagraphFont"/>
    <w:link w:val="CommentText"/>
    <w:uiPriority w:val="99"/>
    <w:semiHidden/>
    <w:rsid w:val="00FA7C4A"/>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FA7C4A"/>
    <w:rPr>
      <w:b/>
      <w:bCs/>
    </w:rPr>
  </w:style>
  <w:style w:type="character" w:customStyle="1" w:styleId="CommentSubjectChar">
    <w:name w:val="Comment Subject Char"/>
    <w:basedOn w:val="CommentTextChar"/>
    <w:link w:val="CommentSubject"/>
    <w:uiPriority w:val="99"/>
    <w:semiHidden/>
    <w:rsid w:val="00FA7C4A"/>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FA7C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C4A"/>
    <w:rPr>
      <w:rFonts w:ascii="Segoe UI" w:eastAsia="Times New Roman" w:hAnsi="Segoe UI" w:cs="Segoe UI"/>
      <w:sz w:val="18"/>
      <w:szCs w:val="18"/>
      <w:lang w:eastAsia="en-AU"/>
    </w:rPr>
  </w:style>
  <w:style w:type="paragraph" w:styleId="FootnoteText">
    <w:name w:val="footnote text"/>
    <w:basedOn w:val="Normal"/>
    <w:link w:val="FootnoteTextChar"/>
    <w:uiPriority w:val="99"/>
    <w:unhideWhenUsed/>
    <w:rsid w:val="00112709"/>
    <w:rPr>
      <w:sz w:val="20"/>
    </w:rPr>
  </w:style>
  <w:style w:type="character" w:customStyle="1" w:styleId="FootnoteTextChar">
    <w:name w:val="Footnote Text Char"/>
    <w:basedOn w:val="DefaultParagraphFont"/>
    <w:link w:val="FootnoteText"/>
    <w:uiPriority w:val="99"/>
    <w:rsid w:val="00112709"/>
    <w:rPr>
      <w:rFonts w:ascii="Tms Rmn" w:eastAsia="Times New Roman" w:hAnsi="Tms Rmn"/>
      <w:sz w:val="20"/>
      <w:szCs w:val="20"/>
      <w:lang w:eastAsia="en-AU"/>
    </w:rPr>
  </w:style>
  <w:style w:type="character" w:styleId="FootnoteReference">
    <w:name w:val="footnote reference"/>
    <w:basedOn w:val="DefaultParagraphFont"/>
    <w:uiPriority w:val="99"/>
    <w:semiHidden/>
    <w:unhideWhenUsed/>
    <w:rsid w:val="00112709"/>
    <w:rPr>
      <w:vertAlign w:val="superscript"/>
    </w:rPr>
  </w:style>
  <w:style w:type="paragraph" w:customStyle="1" w:styleId="Definition">
    <w:name w:val="Definition"/>
    <w:aliases w:val="dd"/>
    <w:basedOn w:val="Normal"/>
    <w:link w:val="DefinitionChar"/>
    <w:rsid w:val="00AD14BA"/>
    <w:pPr>
      <w:spacing w:before="180"/>
      <w:ind w:left="1134"/>
    </w:pPr>
    <w:rPr>
      <w:rFonts w:ascii="Times New Roman" w:hAnsi="Times New Roman"/>
      <w:sz w:val="22"/>
    </w:rPr>
  </w:style>
  <w:style w:type="paragraph" w:customStyle="1" w:styleId="paragraph">
    <w:name w:val="paragraph"/>
    <w:aliases w:val="a"/>
    <w:basedOn w:val="Normal"/>
    <w:link w:val="paragraphChar"/>
    <w:rsid w:val="00AD14BA"/>
    <w:pPr>
      <w:tabs>
        <w:tab w:val="right" w:pos="1531"/>
      </w:tabs>
      <w:spacing w:before="40"/>
      <w:ind w:left="1644" w:hanging="1644"/>
    </w:pPr>
    <w:rPr>
      <w:rFonts w:ascii="Times New Roman" w:hAnsi="Times New Roman"/>
      <w:sz w:val="22"/>
    </w:rPr>
  </w:style>
  <w:style w:type="paragraph" w:customStyle="1" w:styleId="paragraphsub">
    <w:name w:val="paragraph(sub)"/>
    <w:aliases w:val="aa"/>
    <w:basedOn w:val="Normal"/>
    <w:rsid w:val="00AD14BA"/>
    <w:pPr>
      <w:tabs>
        <w:tab w:val="right" w:pos="1985"/>
      </w:tabs>
      <w:spacing w:before="40"/>
      <w:ind w:left="2098" w:hanging="2098"/>
    </w:pPr>
    <w:rPr>
      <w:rFonts w:ascii="Times New Roman" w:hAnsi="Times New Roman"/>
      <w:sz w:val="22"/>
    </w:rPr>
  </w:style>
  <w:style w:type="paragraph" w:customStyle="1" w:styleId="subsection2">
    <w:name w:val="subsection2"/>
    <w:aliases w:val="ss2"/>
    <w:basedOn w:val="Normal"/>
    <w:next w:val="Normal"/>
    <w:rsid w:val="00AD14BA"/>
    <w:pPr>
      <w:spacing w:before="40"/>
      <w:ind w:left="1134"/>
    </w:pPr>
    <w:rPr>
      <w:rFonts w:ascii="Times New Roman" w:hAnsi="Times New Roman"/>
      <w:sz w:val="22"/>
    </w:rPr>
  </w:style>
  <w:style w:type="character" w:customStyle="1" w:styleId="paragraphChar">
    <w:name w:val="paragraph Char"/>
    <w:aliases w:val="a Char"/>
    <w:basedOn w:val="DefaultParagraphFont"/>
    <w:link w:val="paragraph"/>
    <w:rsid w:val="00AD14BA"/>
    <w:rPr>
      <w:rFonts w:eastAsia="Times New Roman"/>
      <w:sz w:val="22"/>
      <w:szCs w:val="20"/>
      <w:lang w:eastAsia="en-AU"/>
    </w:rPr>
  </w:style>
  <w:style w:type="character" w:customStyle="1" w:styleId="DefinitionChar">
    <w:name w:val="Definition Char"/>
    <w:aliases w:val="dd Char"/>
    <w:link w:val="Definition"/>
    <w:rsid w:val="00AD14BA"/>
    <w:rPr>
      <w:rFonts w:eastAsia="Times New Roman"/>
      <w:sz w:val="22"/>
      <w:szCs w:val="20"/>
      <w:lang w:eastAsia="en-AU"/>
    </w:rPr>
  </w:style>
  <w:style w:type="paragraph" w:styleId="Revision">
    <w:name w:val="Revision"/>
    <w:hidden/>
    <w:uiPriority w:val="99"/>
    <w:semiHidden/>
    <w:rsid w:val="00CB2983"/>
    <w:pPr>
      <w:spacing w:after="0" w:line="240" w:lineRule="auto"/>
    </w:pPr>
    <w:rPr>
      <w:rFonts w:ascii="Tms Rmn" w:eastAsia="Times New Roman" w:hAnsi="Tms Rmn"/>
      <w:szCs w:val="20"/>
      <w:lang w:eastAsia="en-AU"/>
    </w:rPr>
  </w:style>
  <w:style w:type="paragraph" w:customStyle="1" w:styleId="ActHead4">
    <w:name w:val="ActHead 4"/>
    <w:aliases w:val="sd"/>
    <w:basedOn w:val="Normal"/>
    <w:next w:val="Normal"/>
    <w:qFormat/>
    <w:rsid w:val="00291DE4"/>
    <w:pPr>
      <w:keepNext/>
      <w:keepLines/>
      <w:spacing w:before="220"/>
      <w:ind w:left="1134" w:hanging="1134"/>
      <w:outlineLvl w:val="3"/>
    </w:pPr>
    <w:rPr>
      <w:rFonts w:ascii="Times New Roman" w:hAnsi="Times New Roman"/>
      <w:b/>
      <w:kern w:val="28"/>
      <w:sz w:val="26"/>
    </w:rPr>
  </w:style>
  <w:style w:type="paragraph" w:customStyle="1" w:styleId="Tabletext">
    <w:name w:val="Tabletext"/>
    <w:aliases w:val="tt"/>
    <w:basedOn w:val="Normal"/>
    <w:rsid w:val="00291DE4"/>
    <w:pPr>
      <w:spacing w:before="60" w:line="240" w:lineRule="atLeast"/>
    </w:pPr>
    <w:rPr>
      <w:rFonts w:ascii="Times New Roman" w:hAnsi="Times New Roman"/>
      <w:sz w:val="20"/>
    </w:rPr>
  </w:style>
  <w:style w:type="paragraph" w:styleId="Header">
    <w:name w:val="header"/>
    <w:basedOn w:val="Normal"/>
    <w:link w:val="HeaderChar"/>
    <w:uiPriority w:val="99"/>
    <w:unhideWhenUsed/>
    <w:rsid w:val="007E4657"/>
    <w:pPr>
      <w:tabs>
        <w:tab w:val="center" w:pos="4513"/>
        <w:tab w:val="right" w:pos="9026"/>
      </w:tabs>
    </w:pPr>
  </w:style>
  <w:style w:type="character" w:customStyle="1" w:styleId="HeaderChar">
    <w:name w:val="Header Char"/>
    <w:basedOn w:val="DefaultParagraphFont"/>
    <w:link w:val="Header"/>
    <w:uiPriority w:val="99"/>
    <w:rsid w:val="007E4657"/>
    <w:rPr>
      <w:rFonts w:ascii="Tms Rmn" w:eastAsia="Times New Roman" w:hAnsi="Tms Rmn"/>
      <w:szCs w:val="20"/>
      <w:lang w:eastAsia="en-AU"/>
    </w:rPr>
  </w:style>
  <w:style w:type="paragraph" w:styleId="Footer">
    <w:name w:val="footer"/>
    <w:basedOn w:val="Normal"/>
    <w:link w:val="FooterChar"/>
    <w:uiPriority w:val="99"/>
    <w:unhideWhenUsed/>
    <w:rsid w:val="007E4657"/>
    <w:pPr>
      <w:tabs>
        <w:tab w:val="center" w:pos="4513"/>
        <w:tab w:val="right" w:pos="9026"/>
      </w:tabs>
    </w:pPr>
  </w:style>
  <w:style w:type="character" w:customStyle="1" w:styleId="FooterChar">
    <w:name w:val="Footer Char"/>
    <w:basedOn w:val="DefaultParagraphFont"/>
    <w:link w:val="Footer"/>
    <w:uiPriority w:val="99"/>
    <w:rsid w:val="007E4657"/>
    <w:rPr>
      <w:rFonts w:ascii="Tms Rmn" w:eastAsia="Times New Roman" w:hAnsi="Tms Rmn"/>
      <w:szCs w:val="20"/>
      <w:lang w:eastAsia="en-AU"/>
    </w:rPr>
  </w:style>
  <w:style w:type="paragraph" w:styleId="EndnoteText">
    <w:name w:val="endnote text"/>
    <w:basedOn w:val="Normal"/>
    <w:link w:val="EndnoteTextChar"/>
    <w:uiPriority w:val="99"/>
    <w:semiHidden/>
    <w:unhideWhenUsed/>
    <w:rsid w:val="0068162C"/>
    <w:rPr>
      <w:sz w:val="20"/>
    </w:rPr>
  </w:style>
  <w:style w:type="character" w:customStyle="1" w:styleId="EndnoteTextChar">
    <w:name w:val="Endnote Text Char"/>
    <w:basedOn w:val="DefaultParagraphFont"/>
    <w:link w:val="EndnoteText"/>
    <w:uiPriority w:val="99"/>
    <w:semiHidden/>
    <w:rsid w:val="0068162C"/>
    <w:rPr>
      <w:rFonts w:ascii="Tms Rmn" w:eastAsia="Times New Roman" w:hAnsi="Tms Rmn"/>
      <w:sz w:val="20"/>
      <w:szCs w:val="20"/>
      <w:lang w:eastAsia="en-AU"/>
    </w:rPr>
  </w:style>
  <w:style w:type="character" w:styleId="EndnoteReference">
    <w:name w:val="endnote reference"/>
    <w:basedOn w:val="DefaultParagraphFont"/>
    <w:uiPriority w:val="99"/>
    <w:semiHidden/>
    <w:unhideWhenUsed/>
    <w:rsid w:val="00681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926">
      <w:bodyDiv w:val="1"/>
      <w:marLeft w:val="0"/>
      <w:marRight w:val="0"/>
      <w:marTop w:val="0"/>
      <w:marBottom w:val="0"/>
      <w:divBdr>
        <w:top w:val="none" w:sz="0" w:space="0" w:color="auto"/>
        <w:left w:val="none" w:sz="0" w:space="0" w:color="auto"/>
        <w:bottom w:val="none" w:sz="0" w:space="0" w:color="auto"/>
        <w:right w:val="none" w:sz="0" w:space="0" w:color="auto"/>
      </w:divBdr>
      <w:divsChild>
        <w:div w:id="384107510">
          <w:marLeft w:val="0"/>
          <w:marRight w:val="0"/>
          <w:marTop w:val="0"/>
          <w:marBottom w:val="0"/>
          <w:divBdr>
            <w:top w:val="none" w:sz="0" w:space="0" w:color="auto"/>
            <w:left w:val="none" w:sz="0" w:space="0" w:color="auto"/>
            <w:bottom w:val="none" w:sz="0" w:space="0" w:color="auto"/>
            <w:right w:val="none" w:sz="0" w:space="0" w:color="auto"/>
          </w:divBdr>
          <w:divsChild>
            <w:div w:id="1117483100">
              <w:marLeft w:val="0"/>
              <w:marRight w:val="0"/>
              <w:marTop w:val="0"/>
              <w:marBottom w:val="0"/>
              <w:divBdr>
                <w:top w:val="none" w:sz="0" w:space="0" w:color="auto"/>
                <w:left w:val="none" w:sz="0" w:space="0" w:color="auto"/>
                <w:bottom w:val="none" w:sz="0" w:space="0" w:color="auto"/>
                <w:right w:val="none" w:sz="0" w:space="0" w:color="auto"/>
              </w:divBdr>
              <w:divsChild>
                <w:div w:id="1402874414">
                  <w:marLeft w:val="0"/>
                  <w:marRight w:val="0"/>
                  <w:marTop w:val="0"/>
                  <w:marBottom w:val="0"/>
                  <w:divBdr>
                    <w:top w:val="none" w:sz="0" w:space="0" w:color="auto"/>
                    <w:left w:val="none" w:sz="0" w:space="0" w:color="auto"/>
                    <w:bottom w:val="none" w:sz="0" w:space="0" w:color="auto"/>
                    <w:right w:val="none" w:sz="0" w:space="0" w:color="auto"/>
                  </w:divBdr>
                  <w:divsChild>
                    <w:div w:id="1902207175">
                      <w:marLeft w:val="0"/>
                      <w:marRight w:val="0"/>
                      <w:marTop w:val="0"/>
                      <w:marBottom w:val="0"/>
                      <w:divBdr>
                        <w:top w:val="none" w:sz="0" w:space="0" w:color="auto"/>
                        <w:left w:val="none" w:sz="0" w:space="0" w:color="auto"/>
                        <w:bottom w:val="none" w:sz="0" w:space="0" w:color="auto"/>
                        <w:right w:val="none" w:sz="0" w:space="0" w:color="auto"/>
                      </w:divBdr>
                      <w:divsChild>
                        <w:div w:id="1544563875">
                          <w:marLeft w:val="0"/>
                          <w:marRight w:val="0"/>
                          <w:marTop w:val="0"/>
                          <w:marBottom w:val="0"/>
                          <w:divBdr>
                            <w:top w:val="none" w:sz="0" w:space="0" w:color="auto"/>
                            <w:left w:val="none" w:sz="0" w:space="0" w:color="auto"/>
                            <w:bottom w:val="none" w:sz="0" w:space="0" w:color="auto"/>
                            <w:right w:val="none" w:sz="0" w:space="0" w:color="auto"/>
                          </w:divBdr>
                          <w:divsChild>
                            <w:div w:id="441656308">
                              <w:marLeft w:val="0"/>
                              <w:marRight w:val="0"/>
                              <w:marTop w:val="0"/>
                              <w:marBottom w:val="0"/>
                              <w:divBdr>
                                <w:top w:val="none" w:sz="0" w:space="0" w:color="auto"/>
                                <w:left w:val="none" w:sz="0" w:space="0" w:color="auto"/>
                                <w:bottom w:val="none" w:sz="0" w:space="0" w:color="auto"/>
                                <w:right w:val="none" w:sz="0" w:space="0" w:color="auto"/>
                              </w:divBdr>
                              <w:divsChild>
                                <w:div w:id="734931982">
                                  <w:marLeft w:val="0"/>
                                  <w:marRight w:val="0"/>
                                  <w:marTop w:val="0"/>
                                  <w:marBottom w:val="0"/>
                                  <w:divBdr>
                                    <w:top w:val="none" w:sz="0" w:space="0" w:color="auto"/>
                                    <w:left w:val="none" w:sz="0" w:space="0" w:color="auto"/>
                                    <w:bottom w:val="none" w:sz="0" w:space="0" w:color="auto"/>
                                    <w:right w:val="none" w:sz="0" w:space="0" w:color="auto"/>
                                  </w:divBdr>
                                  <w:divsChild>
                                    <w:div w:id="626468040">
                                      <w:marLeft w:val="0"/>
                                      <w:marRight w:val="0"/>
                                      <w:marTop w:val="0"/>
                                      <w:marBottom w:val="0"/>
                                      <w:divBdr>
                                        <w:top w:val="none" w:sz="0" w:space="0" w:color="auto"/>
                                        <w:left w:val="none" w:sz="0" w:space="0" w:color="auto"/>
                                        <w:bottom w:val="none" w:sz="0" w:space="0" w:color="auto"/>
                                        <w:right w:val="none" w:sz="0" w:space="0" w:color="auto"/>
                                      </w:divBdr>
                                      <w:divsChild>
                                        <w:div w:id="264458270">
                                          <w:marLeft w:val="0"/>
                                          <w:marRight w:val="0"/>
                                          <w:marTop w:val="0"/>
                                          <w:marBottom w:val="0"/>
                                          <w:divBdr>
                                            <w:top w:val="none" w:sz="0" w:space="0" w:color="auto"/>
                                            <w:left w:val="none" w:sz="0" w:space="0" w:color="auto"/>
                                            <w:bottom w:val="none" w:sz="0" w:space="0" w:color="auto"/>
                                            <w:right w:val="none" w:sz="0" w:space="0" w:color="auto"/>
                                          </w:divBdr>
                                          <w:divsChild>
                                            <w:div w:id="728963361">
                                              <w:marLeft w:val="0"/>
                                              <w:marRight w:val="0"/>
                                              <w:marTop w:val="0"/>
                                              <w:marBottom w:val="0"/>
                                              <w:divBdr>
                                                <w:top w:val="none" w:sz="0" w:space="0" w:color="auto"/>
                                                <w:left w:val="none" w:sz="0" w:space="0" w:color="auto"/>
                                                <w:bottom w:val="none" w:sz="0" w:space="0" w:color="auto"/>
                                                <w:right w:val="none" w:sz="0" w:space="0" w:color="auto"/>
                                              </w:divBdr>
                                              <w:divsChild>
                                                <w:div w:id="750279147">
                                                  <w:marLeft w:val="0"/>
                                                  <w:marRight w:val="0"/>
                                                  <w:marTop w:val="0"/>
                                                  <w:marBottom w:val="0"/>
                                                  <w:divBdr>
                                                    <w:top w:val="none" w:sz="0" w:space="0" w:color="auto"/>
                                                    <w:left w:val="none" w:sz="0" w:space="0" w:color="auto"/>
                                                    <w:bottom w:val="none" w:sz="0" w:space="0" w:color="auto"/>
                                                    <w:right w:val="none" w:sz="0" w:space="0" w:color="auto"/>
                                                  </w:divBdr>
                                                  <w:divsChild>
                                                    <w:div w:id="96609514">
                                                      <w:marLeft w:val="0"/>
                                                      <w:marRight w:val="0"/>
                                                      <w:marTop w:val="0"/>
                                                      <w:marBottom w:val="0"/>
                                                      <w:divBdr>
                                                        <w:top w:val="none" w:sz="0" w:space="0" w:color="auto"/>
                                                        <w:left w:val="none" w:sz="0" w:space="0" w:color="auto"/>
                                                        <w:bottom w:val="none" w:sz="0" w:space="0" w:color="auto"/>
                                                        <w:right w:val="none" w:sz="0" w:space="0" w:color="auto"/>
                                                      </w:divBdr>
                                                      <w:divsChild>
                                                        <w:div w:id="21022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227290">
      <w:bodyDiv w:val="1"/>
      <w:marLeft w:val="0"/>
      <w:marRight w:val="0"/>
      <w:marTop w:val="0"/>
      <w:marBottom w:val="0"/>
      <w:divBdr>
        <w:top w:val="none" w:sz="0" w:space="0" w:color="auto"/>
        <w:left w:val="none" w:sz="0" w:space="0" w:color="auto"/>
        <w:bottom w:val="none" w:sz="0" w:space="0" w:color="auto"/>
        <w:right w:val="none" w:sz="0" w:space="0" w:color="auto"/>
      </w:divBdr>
    </w:div>
    <w:div w:id="906303194">
      <w:bodyDiv w:val="1"/>
      <w:marLeft w:val="0"/>
      <w:marRight w:val="0"/>
      <w:marTop w:val="0"/>
      <w:marBottom w:val="0"/>
      <w:divBdr>
        <w:top w:val="none" w:sz="0" w:space="0" w:color="auto"/>
        <w:left w:val="none" w:sz="0" w:space="0" w:color="auto"/>
        <w:bottom w:val="none" w:sz="0" w:space="0" w:color="auto"/>
        <w:right w:val="none" w:sz="0" w:space="0" w:color="auto"/>
      </w:divBdr>
      <w:divsChild>
        <w:div w:id="2102144625">
          <w:marLeft w:val="0"/>
          <w:marRight w:val="0"/>
          <w:marTop w:val="0"/>
          <w:marBottom w:val="0"/>
          <w:divBdr>
            <w:top w:val="none" w:sz="0" w:space="0" w:color="auto"/>
            <w:left w:val="none" w:sz="0" w:space="0" w:color="auto"/>
            <w:bottom w:val="none" w:sz="0" w:space="0" w:color="auto"/>
            <w:right w:val="none" w:sz="0" w:space="0" w:color="auto"/>
          </w:divBdr>
          <w:divsChild>
            <w:div w:id="564026948">
              <w:marLeft w:val="0"/>
              <w:marRight w:val="0"/>
              <w:marTop w:val="0"/>
              <w:marBottom w:val="0"/>
              <w:divBdr>
                <w:top w:val="none" w:sz="0" w:space="0" w:color="auto"/>
                <w:left w:val="none" w:sz="0" w:space="0" w:color="auto"/>
                <w:bottom w:val="none" w:sz="0" w:space="0" w:color="auto"/>
                <w:right w:val="none" w:sz="0" w:space="0" w:color="auto"/>
              </w:divBdr>
              <w:divsChild>
                <w:div w:id="579173549">
                  <w:marLeft w:val="0"/>
                  <w:marRight w:val="0"/>
                  <w:marTop w:val="0"/>
                  <w:marBottom w:val="0"/>
                  <w:divBdr>
                    <w:top w:val="none" w:sz="0" w:space="0" w:color="auto"/>
                    <w:left w:val="none" w:sz="0" w:space="0" w:color="auto"/>
                    <w:bottom w:val="none" w:sz="0" w:space="0" w:color="auto"/>
                    <w:right w:val="none" w:sz="0" w:space="0" w:color="auto"/>
                  </w:divBdr>
                  <w:divsChild>
                    <w:div w:id="263536425">
                      <w:marLeft w:val="0"/>
                      <w:marRight w:val="0"/>
                      <w:marTop w:val="0"/>
                      <w:marBottom w:val="0"/>
                      <w:divBdr>
                        <w:top w:val="none" w:sz="0" w:space="0" w:color="auto"/>
                        <w:left w:val="none" w:sz="0" w:space="0" w:color="auto"/>
                        <w:bottom w:val="none" w:sz="0" w:space="0" w:color="auto"/>
                        <w:right w:val="none" w:sz="0" w:space="0" w:color="auto"/>
                      </w:divBdr>
                      <w:divsChild>
                        <w:div w:id="1387603364">
                          <w:marLeft w:val="0"/>
                          <w:marRight w:val="0"/>
                          <w:marTop w:val="0"/>
                          <w:marBottom w:val="0"/>
                          <w:divBdr>
                            <w:top w:val="none" w:sz="0" w:space="0" w:color="auto"/>
                            <w:left w:val="none" w:sz="0" w:space="0" w:color="auto"/>
                            <w:bottom w:val="none" w:sz="0" w:space="0" w:color="auto"/>
                            <w:right w:val="none" w:sz="0" w:space="0" w:color="auto"/>
                          </w:divBdr>
                          <w:divsChild>
                            <w:div w:id="1774322400">
                              <w:marLeft w:val="0"/>
                              <w:marRight w:val="0"/>
                              <w:marTop w:val="0"/>
                              <w:marBottom w:val="0"/>
                              <w:divBdr>
                                <w:top w:val="none" w:sz="0" w:space="0" w:color="auto"/>
                                <w:left w:val="none" w:sz="0" w:space="0" w:color="auto"/>
                                <w:bottom w:val="none" w:sz="0" w:space="0" w:color="auto"/>
                                <w:right w:val="none" w:sz="0" w:space="0" w:color="auto"/>
                              </w:divBdr>
                              <w:divsChild>
                                <w:div w:id="1799713826">
                                  <w:marLeft w:val="0"/>
                                  <w:marRight w:val="0"/>
                                  <w:marTop w:val="0"/>
                                  <w:marBottom w:val="0"/>
                                  <w:divBdr>
                                    <w:top w:val="none" w:sz="0" w:space="0" w:color="auto"/>
                                    <w:left w:val="none" w:sz="0" w:space="0" w:color="auto"/>
                                    <w:bottom w:val="none" w:sz="0" w:space="0" w:color="auto"/>
                                    <w:right w:val="none" w:sz="0" w:space="0" w:color="auto"/>
                                  </w:divBdr>
                                  <w:divsChild>
                                    <w:div w:id="221839786">
                                      <w:marLeft w:val="0"/>
                                      <w:marRight w:val="0"/>
                                      <w:marTop w:val="0"/>
                                      <w:marBottom w:val="0"/>
                                      <w:divBdr>
                                        <w:top w:val="none" w:sz="0" w:space="0" w:color="auto"/>
                                        <w:left w:val="none" w:sz="0" w:space="0" w:color="auto"/>
                                        <w:bottom w:val="none" w:sz="0" w:space="0" w:color="auto"/>
                                        <w:right w:val="none" w:sz="0" w:space="0" w:color="auto"/>
                                      </w:divBdr>
                                      <w:divsChild>
                                        <w:div w:id="951085974">
                                          <w:marLeft w:val="0"/>
                                          <w:marRight w:val="0"/>
                                          <w:marTop w:val="0"/>
                                          <w:marBottom w:val="0"/>
                                          <w:divBdr>
                                            <w:top w:val="none" w:sz="0" w:space="0" w:color="auto"/>
                                            <w:left w:val="none" w:sz="0" w:space="0" w:color="auto"/>
                                            <w:bottom w:val="none" w:sz="0" w:space="0" w:color="auto"/>
                                            <w:right w:val="none" w:sz="0" w:space="0" w:color="auto"/>
                                          </w:divBdr>
                                          <w:divsChild>
                                            <w:div w:id="2127263870">
                                              <w:marLeft w:val="0"/>
                                              <w:marRight w:val="0"/>
                                              <w:marTop w:val="0"/>
                                              <w:marBottom w:val="0"/>
                                              <w:divBdr>
                                                <w:top w:val="none" w:sz="0" w:space="0" w:color="auto"/>
                                                <w:left w:val="none" w:sz="0" w:space="0" w:color="auto"/>
                                                <w:bottom w:val="none" w:sz="0" w:space="0" w:color="auto"/>
                                                <w:right w:val="none" w:sz="0" w:space="0" w:color="auto"/>
                                              </w:divBdr>
                                              <w:divsChild>
                                                <w:div w:id="1827162881">
                                                  <w:marLeft w:val="0"/>
                                                  <w:marRight w:val="0"/>
                                                  <w:marTop w:val="0"/>
                                                  <w:marBottom w:val="0"/>
                                                  <w:divBdr>
                                                    <w:top w:val="none" w:sz="0" w:space="0" w:color="auto"/>
                                                    <w:left w:val="none" w:sz="0" w:space="0" w:color="auto"/>
                                                    <w:bottom w:val="none" w:sz="0" w:space="0" w:color="auto"/>
                                                    <w:right w:val="none" w:sz="0" w:space="0" w:color="auto"/>
                                                  </w:divBdr>
                                                  <w:divsChild>
                                                    <w:div w:id="124350438">
                                                      <w:marLeft w:val="0"/>
                                                      <w:marRight w:val="0"/>
                                                      <w:marTop w:val="0"/>
                                                      <w:marBottom w:val="0"/>
                                                      <w:divBdr>
                                                        <w:top w:val="none" w:sz="0" w:space="0" w:color="auto"/>
                                                        <w:left w:val="none" w:sz="0" w:space="0" w:color="auto"/>
                                                        <w:bottom w:val="none" w:sz="0" w:space="0" w:color="auto"/>
                                                        <w:right w:val="none" w:sz="0" w:space="0" w:color="auto"/>
                                                      </w:divBdr>
                                                      <w:divsChild>
                                                        <w:div w:id="2847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410334">
      <w:bodyDiv w:val="1"/>
      <w:marLeft w:val="0"/>
      <w:marRight w:val="0"/>
      <w:marTop w:val="0"/>
      <w:marBottom w:val="0"/>
      <w:divBdr>
        <w:top w:val="none" w:sz="0" w:space="0" w:color="auto"/>
        <w:left w:val="none" w:sz="0" w:space="0" w:color="auto"/>
        <w:bottom w:val="none" w:sz="0" w:space="0" w:color="auto"/>
        <w:right w:val="none" w:sz="0" w:space="0" w:color="auto"/>
      </w:divBdr>
    </w:div>
    <w:div w:id="1087849613">
      <w:bodyDiv w:val="1"/>
      <w:marLeft w:val="0"/>
      <w:marRight w:val="0"/>
      <w:marTop w:val="0"/>
      <w:marBottom w:val="0"/>
      <w:divBdr>
        <w:top w:val="none" w:sz="0" w:space="0" w:color="auto"/>
        <w:left w:val="none" w:sz="0" w:space="0" w:color="auto"/>
        <w:bottom w:val="none" w:sz="0" w:space="0" w:color="auto"/>
        <w:right w:val="none" w:sz="0" w:space="0" w:color="auto"/>
      </w:divBdr>
    </w:div>
    <w:div w:id="1126660881">
      <w:bodyDiv w:val="1"/>
      <w:marLeft w:val="0"/>
      <w:marRight w:val="0"/>
      <w:marTop w:val="0"/>
      <w:marBottom w:val="0"/>
      <w:divBdr>
        <w:top w:val="none" w:sz="0" w:space="0" w:color="auto"/>
        <w:left w:val="none" w:sz="0" w:space="0" w:color="auto"/>
        <w:bottom w:val="none" w:sz="0" w:space="0" w:color="auto"/>
        <w:right w:val="none" w:sz="0" w:space="0" w:color="auto"/>
      </w:divBdr>
    </w:div>
    <w:div w:id="20277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2CB3-B73C-4AA9-B6FC-6E4B7A7E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Jenny</dc:creator>
  <cp:keywords/>
  <dc:description/>
  <cp:lastModifiedBy>Edlington, Mandy</cp:lastModifiedBy>
  <cp:revision>3</cp:revision>
  <cp:lastPrinted>2019-10-29T00:56:00Z</cp:lastPrinted>
  <dcterms:created xsi:type="dcterms:W3CDTF">2019-11-01T00:43:00Z</dcterms:created>
  <dcterms:modified xsi:type="dcterms:W3CDTF">2019-11-01T00:44:00Z</dcterms:modified>
</cp:coreProperties>
</file>