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5919F5" w14:textId="77777777" w:rsidTr="00A22E0D">
        <w:tc>
          <w:tcPr>
            <w:tcW w:w="4661" w:type="dxa"/>
          </w:tcPr>
          <w:p w14:paraId="3F91F50F" w14:textId="4982DCFA" w:rsidR="00090A6F" w:rsidRPr="0000292B" w:rsidRDefault="00364B30">
            <w:pPr>
              <w:pStyle w:val="CoverStandard"/>
            </w:pPr>
            <w:bookmarkStart w:id="0" w:name="_GoBack"/>
            <w:bookmarkEnd w:id="0"/>
            <w:r>
              <w:t>AASB</w:t>
            </w:r>
            <w:r w:rsidR="00831497">
              <w:t xml:space="preserve"> Standard</w:t>
            </w:r>
          </w:p>
        </w:tc>
        <w:tc>
          <w:tcPr>
            <w:tcW w:w="4661" w:type="dxa"/>
          </w:tcPr>
          <w:p w14:paraId="5D73199D" w14:textId="43BC9A13" w:rsidR="00090A6F" w:rsidRPr="0000292B" w:rsidRDefault="00831497">
            <w:pPr>
              <w:pStyle w:val="CoverNumber"/>
            </w:pPr>
            <w:r>
              <w:t>AASB</w:t>
            </w:r>
            <w:r w:rsidR="00090A6F" w:rsidRPr="0000292B">
              <w:t xml:space="preserve"> </w:t>
            </w:r>
            <w:bookmarkStart w:id="1" w:name="DocNo"/>
            <w:r w:rsidR="004A3747">
              <w:t>201</w:t>
            </w:r>
            <w:r w:rsidR="005654E2">
              <w:t>9</w:t>
            </w:r>
            <w:r w:rsidR="0020560B">
              <w:t>-</w:t>
            </w:r>
            <w:r w:rsidR="00E42E75">
              <w:t>2</w:t>
            </w:r>
            <w:bookmarkEnd w:id="1"/>
          </w:p>
          <w:p w14:paraId="23AA7BB8" w14:textId="7D2BEF0F" w:rsidR="00090A6F" w:rsidRPr="0000292B" w:rsidRDefault="00515CC2" w:rsidP="0020560B">
            <w:pPr>
              <w:pStyle w:val="CoverDate"/>
            </w:pPr>
            <w:bookmarkStart w:id="2" w:name="DocDate"/>
            <w:r>
              <w:t>Septem</w:t>
            </w:r>
            <w:r w:rsidR="00E42E75">
              <w:t>ber</w:t>
            </w:r>
            <w:r w:rsidR="004A3747">
              <w:t xml:space="preserve"> 20</w:t>
            </w:r>
            <w:r w:rsidR="0020560B">
              <w:t>19</w:t>
            </w:r>
            <w:bookmarkEnd w:id="2"/>
          </w:p>
        </w:tc>
      </w:tr>
    </w:tbl>
    <w:p w14:paraId="1B45BD39" w14:textId="74FFE5ED" w:rsidR="00090A6F" w:rsidRDefault="004A3747" w:rsidP="003C6B24">
      <w:pPr>
        <w:pStyle w:val="CoverTitle"/>
        <w:jc w:val="left"/>
      </w:pPr>
      <w:bookmarkStart w:id="3" w:name="DocTitle"/>
      <w:r>
        <w:t>Amendments to Australian Accounting Standard</w:t>
      </w:r>
      <w:r w:rsidR="0020560B">
        <w:t>s – Implementation of AASB 105</w:t>
      </w:r>
      <w:r w:rsidR="004B4319">
        <w:t>9</w:t>
      </w:r>
      <w:bookmarkEnd w:id="3"/>
    </w:p>
    <w:p w14:paraId="48BD2D72" w14:textId="6AF4E584" w:rsidR="00892DE1" w:rsidRPr="004D4FDA" w:rsidRDefault="00892DE1" w:rsidP="00892DE1">
      <w:pPr>
        <w:pStyle w:val="CoverTitle"/>
        <w:jc w:val="left"/>
        <w:rPr>
          <w:sz w:val="40"/>
          <w:szCs w:val="40"/>
        </w:rPr>
      </w:pPr>
      <w:r>
        <w:rPr>
          <w:sz w:val="40"/>
          <w:szCs w:val="40"/>
        </w:rPr>
        <w:t>[</w:t>
      </w:r>
      <w:r w:rsidRPr="004D4FDA">
        <w:rPr>
          <w:sz w:val="40"/>
          <w:szCs w:val="40"/>
        </w:rPr>
        <w:t>AASB 16</w:t>
      </w:r>
      <w:r>
        <w:rPr>
          <w:sz w:val="40"/>
          <w:szCs w:val="40"/>
        </w:rPr>
        <w:t xml:space="preserve"> and</w:t>
      </w:r>
      <w:r w:rsidRPr="004D4FDA">
        <w:rPr>
          <w:sz w:val="40"/>
          <w:szCs w:val="40"/>
        </w:rPr>
        <w:t xml:space="preserve"> </w:t>
      </w:r>
      <w:r w:rsidR="001E09E1">
        <w:rPr>
          <w:sz w:val="40"/>
          <w:szCs w:val="40"/>
        </w:rPr>
        <w:t>AASB 1059</w:t>
      </w:r>
      <w:r w:rsidRPr="004D4FDA">
        <w:rPr>
          <w:sz w:val="40"/>
          <w:szCs w:val="40"/>
        </w:rPr>
        <w:t>]</w:t>
      </w:r>
    </w:p>
    <w:p w14:paraId="7E100C84" w14:textId="77777777" w:rsidR="00892DE1" w:rsidRPr="0000292B" w:rsidRDefault="00892DE1" w:rsidP="003C6B24">
      <w:pPr>
        <w:pStyle w:val="CoverTitle"/>
        <w:jc w:val="left"/>
      </w:pPr>
    </w:p>
    <w:p w14:paraId="5D78F8CA" w14:textId="77777777" w:rsidR="00737714" w:rsidRPr="0000292B" w:rsidRDefault="00737714" w:rsidP="00737714"/>
    <w:p w14:paraId="04ED495C" w14:textId="77777777" w:rsidR="00090A6F" w:rsidRPr="0000292B" w:rsidRDefault="008B643A">
      <w:pPr>
        <w:sectPr w:rsidR="00090A6F" w:rsidRPr="0000292B" w:rsidSect="00D74C6A">
          <w:headerReference w:type="default" r:id="rId11"/>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485854B1" wp14:editId="7FB5E7BC">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3F81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4F1172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012A8C9" w14:textId="77777777" w:rsidR="00895809" w:rsidRPr="0000292B" w:rsidRDefault="00895809" w:rsidP="00895809">
      <w:r w:rsidRPr="0000292B">
        <w:t>Australian Accounting Standards Board</w:t>
      </w:r>
    </w:p>
    <w:p w14:paraId="36E1EA88" w14:textId="77777777" w:rsidR="00895809" w:rsidRPr="0000292B" w:rsidRDefault="00895809" w:rsidP="00895809">
      <w:r>
        <w:t>PO Box 204</w:t>
      </w:r>
    </w:p>
    <w:p w14:paraId="13EF3023" w14:textId="77777777" w:rsidR="00895809" w:rsidRPr="0000292B" w:rsidRDefault="00895809" w:rsidP="00895809">
      <w:r>
        <w:t>Collins Street West</w:t>
      </w:r>
    </w:p>
    <w:p w14:paraId="5A166230" w14:textId="77777777" w:rsidR="00895809" w:rsidRPr="0000292B" w:rsidRDefault="00895809" w:rsidP="00895809">
      <w:r>
        <w:t>Victoria   8007</w:t>
      </w:r>
    </w:p>
    <w:p w14:paraId="27C1C379" w14:textId="77777777" w:rsidR="00895809" w:rsidRDefault="00895809" w:rsidP="00895809">
      <w:pPr>
        <w:pStyle w:val="CoverContact"/>
        <w:spacing w:after="200"/>
      </w:pPr>
      <w:r w:rsidRPr="0000292B">
        <w:t>AUSTRALIA</w:t>
      </w:r>
    </w:p>
    <w:p w14:paraId="4F74D259" w14:textId="77777777" w:rsidR="00737714" w:rsidRDefault="00BF0190" w:rsidP="00B82F15">
      <w:pPr>
        <w:pStyle w:val="CoverContact"/>
      </w:pPr>
      <w:r>
        <w:t>Phone:</w:t>
      </w:r>
      <w:r>
        <w:tab/>
        <w:t>(03) 9617 7600</w:t>
      </w:r>
    </w:p>
    <w:p w14:paraId="4FB66E8E" w14:textId="77777777" w:rsidR="00E96D45" w:rsidRDefault="00DB00CD" w:rsidP="00DB00CD">
      <w:pPr>
        <w:pStyle w:val="CoverContact"/>
      </w:pPr>
      <w:r>
        <w:t>E-mail:</w:t>
      </w:r>
      <w:r>
        <w:tab/>
      </w:r>
      <w:r w:rsidR="00BF0190">
        <w:t>standard</w:t>
      </w:r>
      <w:r>
        <w:t>@aasb.gov</w:t>
      </w:r>
      <w:r w:rsidRPr="00C5022C">
        <w:t>.au</w:t>
      </w:r>
    </w:p>
    <w:p w14:paraId="24BC2FB4" w14:textId="77777777" w:rsidR="00E96D45" w:rsidRPr="00E96D45" w:rsidRDefault="00DB00CD" w:rsidP="00DB00CD">
      <w:pPr>
        <w:pStyle w:val="CoverContact"/>
        <w:spacing w:after="240"/>
      </w:pPr>
      <w:r>
        <w:t>Website:</w:t>
      </w:r>
      <w:r>
        <w:tab/>
        <w:t>www.aasb.gov.au</w:t>
      </w:r>
    </w:p>
    <w:p w14:paraId="627ED85E" w14:textId="77777777" w:rsidR="00090A6F" w:rsidRPr="0000292B" w:rsidRDefault="00090A6F" w:rsidP="00F13C5A">
      <w:pPr>
        <w:pStyle w:val="Heading1"/>
      </w:pPr>
      <w:r w:rsidRPr="0000292B">
        <w:t xml:space="preserve">Other </w:t>
      </w:r>
      <w:r w:rsidR="005655CE" w:rsidRPr="0000292B">
        <w:t>enquiries</w:t>
      </w:r>
    </w:p>
    <w:p w14:paraId="373F6F0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7935A6E" w14:textId="77777777" w:rsidR="00EB16BA" w:rsidRDefault="00923261" w:rsidP="00EB16BA">
      <w:pPr>
        <w:pStyle w:val="CoverContact"/>
      </w:pPr>
      <w:r>
        <w:t>E-mail:</w:t>
      </w:r>
      <w:r>
        <w:tab/>
      </w:r>
      <w:bookmarkStart w:id="4" w:name="CopyrightText"/>
      <w:r w:rsidR="00A211C9">
        <w:t>standard@aasb.gov</w:t>
      </w:r>
      <w:r w:rsidR="00A211C9" w:rsidRPr="00C5022C">
        <w:t>.au</w:t>
      </w:r>
    </w:p>
    <w:p w14:paraId="0B00DD3F" w14:textId="77777777" w:rsidR="00276BC5" w:rsidRDefault="00276BC5" w:rsidP="008E1F5F">
      <w:pPr>
        <w:pStyle w:val="CoverContact"/>
        <w:spacing w:before="7440"/>
      </w:pPr>
      <w:r>
        <w:t>COPYRIGHT</w:t>
      </w:r>
    </w:p>
    <w:p w14:paraId="3B345E9A" w14:textId="52C3313B" w:rsidR="00276BC5" w:rsidRDefault="00276BC5" w:rsidP="00276BC5">
      <w:pPr>
        <w:pStyle w:val="NoNumPlain1"/>
      </w:pPr>
      <w:r>
        <w:t>© Com</w:t>
      </w:r>
      <w:bookmarkStart w:id="5" w:name="CopyrightDomestic"/>
      <w:bookmarkEnd w:id="5"/>
      <w:r>
        <w:t xml:space="preserve">monwealth of Australia </w:t>
      </w:r>
      <w:bookmarkStart w:id="6" w:name="Year"/>
      <w:r w:rsidR="004A3747">
        <w:t>20</w:t>
      </w:r>
      <w:r w:rsidR="0020560B">
        <w:t>19</w:t>
      </w:r>
      <w:bookmarkEnd w:id="6"/>
    </w:p>
    <w:p w14:paraId="631E13EF" w14:textId="0D38DB9C" w:rsidR="00276BC5" w:rsidRPr="00DE4E67" w:rsidRDefault="00E46988" w:rsidP="00895809">
      <w:pPr>
        <w:spacing w:after="200"/>
      </w:pPr>
      <w:r w:rsidRPr="00E46988">
        <w:t>This work is copyright</w:t>
      </w:r>
      <w:r w:rsidR="00C552A3">
        <w:t xml:space="preserve">. </w:t>
      </w:r>
      <w:r w:rsidRPr="00E46988">
        <w:t xml:space="preserve">Apart from any use as permitted under the </w:t>
      </w:r>
      <w:r w:rsidRPr="00F311FB">
        <w:rPr>
          <w:i/>
        </w:rPr>
        <w:t>Copyright Act 1968</w:t>
      </w:r>
      <w:r w:rsidRPr="00E46988">
        <w:t>, no part may be reproduced by any process without prior written permission</w:t>
      </w:r>
      <w:r w:rsidR="00C552A3">
        <w:t xml:space="preserve">. </w:t>
      </w:r>
      <w:r w:rsidRPr="00E46988">
        <w:t xml:space="preserve">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4"/>
    <w:p w14:paraId="13EF9770" w14:textId="77777777" w:rsidR="007455F0" w:rsidRPr="0000292B" w:rsidRDefault="006D4700" w:rsidP="006D4700">
      <w:r>
        <w:t xml:space="preserve">ISSN </w:t>
      </w:r>
      <w:bookmarkStart w:id="7" w:name="ISSN"/>
      <w:r w:rsidR="004A3747">
        <w:t>1036-4803</w:t>
      </w:r>
      <w:bookmarkEnd w:id="7"/>
    </w:p>
    <w:p w14:paraId="69914E78" w14:textId="77777777" w:rsidR="00090A6F" w:rsidRPr="0000292B" w:rsidRDefault="00090A6F">
      <w:pPr>
        <w:sectPr w:rsidR="00090A6F" w:rsidRPr="0000292B" w:rsidSect="00D74C6A">
          <w:footerReference w:type="default" r:id="rId13"/>
          <w:pgSz w:w="11907" w:h="16840" w:code="9"/>
          <w:pgMar w:top="1418" w:right="1418" w:bottom="1418" w:left="1418" w:header="709" w:footer="709" w:gutter="0"/>
          <w:paperSrc w:first="7" w:other="7"/>
          <w:cols w:space="720"/>
        </w:sectPr>
      </w:pPr>
    </w:p>
    <w:p w14:paraId="067C46EF" w14:textId="77777777" w:rsidR="00090A6F" w:rsidRPr="0000292B" w:rsidRDefault="005655CE">
      <w:pPr>
        <w:pStyle w:val="Heading1"/>
      </w:pPr>
      <w:r w:rsidRPr="0000292B">
        <w:lastRenderedPageBreak/>
        <w:t>Contents</w:t>
      </w:r>
    </w:p>
    <w:p w14:paraId="68BA0388" w14:textId="77777777" w:rsidR="00090A6F" w:rsidRPr="0000292B" w:rsidRDefault="00A5122D" w:rsidP="003F6ED6">
      <w:pPr>
        <w:pStyle w:val="ContentsCapsPlain"/>
        <w:spacing w:before="400"/>
      </w:pPr>
      <w:r w:rsidRPr="0000292B">
        <w:t>PREFACE</w:t>
      </w:r>
    </w:p>
    <w:p w14:paraId="432667E6" w14:textId="77777777" w:rsidR="00090A6F" w:rsidRPr="0000292B" w:rsidRDefault="00A5122D">
      <w:pPr>
        <w:pStyle w:val="ContentsCapsBold"/>
      </w:pPr>
      <w:r w:rsidRPr="0000292B">
        <w:t>ACCOUNTING STANDARD</w:t>
      </w:r>
    </w:p>
    <w:p w14:paraId="6F222DBD" w14:textId="32A31A7B" w:rsidR="002B7803" w:rsidRPr="00223A79" w:rsidRDefault="00A5122D" w:rsidP="009146EF">
      <w:pPr>
        <w:pStyle w:val="ContentsCapsBold"/>
        <w:rPr>
          <w:i/>
        </w:rPr>
      </w:pPr>
      <w:r w:rsidRPr="0000292B">
        <w:t xml:space="preserve">AASB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3E0D5C" w:rsidRPr="003E0D5C">
        <w:rPr>
          <w:iCs/>
        </w:rPr>
        <w:t>2019-2</w:t>
      </w:r>
      <w:r w:rsidR="009C2479" w:rsidRPr="00BC0D5D">
        <w:rPr>
          <w:iCs/>
        </w:rPr>
        <w:fldChar w:fldCharType="end"/>
      </w:r>
      <w:r w:rsidRPr="0000292B">
        <w:t xml:space="preserve"> </w:t>
      </w:r>
      <w:r w:rsidR="000D582D" w:rsidRPr="00223A79">
        <w:rPr>
          <w:i/>
        </w:rPr>
        <w:t>AMENDMENTS TO AUSTRALIAN ACCOUNTING STANDARDS – IMPLEMENTATION OF AASB</w:t>
      </w:r>
      <w:r w:rsidR="002C78A4" w:rsidRPr="00223A79">
        <w:rPr>
          <w:i/>
        </w:rPr>
        <w:t xml:space="preserve"> </w:t>
      </w:r>
      <w:r w:rsidR="000D582D" w:rsidRPr="00223A79">
        <w:rPr>
          <w:i/>
        </w:rPr>
        <w:t>1059</w:t>
      </w:r>
    </w:p>
    <w:p w14:paraId="0D41996F" w14:textId="77777777" w:rsidR="00090A6F" w:rsidRPr="00D253C7" w:rsidRDefault="00D253C7">
      <w:pPr>
        <w:pStyle w:val="ContentsParaHead"/>
      </w:pPr>
      <w:r w:rsidRPr="00D253C7">
        <w:t>f</w:t>
      </w:r>
      <w:r w:rsidR="00E55F2F" w:rsidRPr="00D253C7">
        <w:t>rom paragraph</w:t>
      </w:r>
    </w:p>
    <w:p w14:paraId="28A7EED9" w14:textId="77777777" w:rsidR="00090A6F" w:rsidRPr="00A5122D" w:rsidRDefault="00A5122D" w:rsidP="009E2F6C">
      <w:pPr>
        <w:pStyle w:val="ContentsLevel1"/>
        <w:ind w:right="-1"/>
        <w:jc w:val="right"/>
        <w:rPr>
          <w:b/>
        </w:rPr>
      </w:pPr>
      <w:bookmarkStart w:id="8" w:name="TOCRange"/>
      <w:r w:rsidRPr="00A5122D">
        <w:rPr>
          <w:b/>
        </w:rPr>
        <w:t>OBJECTIVE</w:t>
      </w:r>
      <w:r w:rsidRPr="00A5122D">
        <w:rPr>
          <w:b/>
        </w:rPr>
        <w:tab/>
        <w:t>1</w:t>
      </w:r>
    </w:p>
    <w:p w14:paraId="4D82C529" w14:textId="77777777" w:rsidR="00090A6F" w:rsidRPr="00A5122D" w:rsidRDefault="00A5122D" w:rsidP="009E2F6C">
      <w:pPr>
        <w:pStyle w:val="ContentsLevel1"/>
        <w:ind w:right="-1"/>
        <w:rPr>
          <w:b/>
        </w:rPr>
      </w:pPr>
      <w:r w:rsidRPr="00A5122D">
        <w:rPr>
          <w:b/>
        </w:rPr>
        <w:t>APPLICATION</w:t>
      </w:r>
      <w:r w:rsidRPr="00A5122D">
        <w:rPr>
          <w:b/>
        </w:rPr>
        <w:tab/>
        <w:t>2</w:t>
      </w:r>
    </w:p>
    <w:p w14:paraId="6228757C" w14:textId="6B85AC00" w:rsidR="00957F05" w:rsidRPr="00A5122D" w:rsidRDefault="00957F05" w:rsidP="00957F05">
      <w:pPr>
        <w:pStyle w:val="ContentsLevel1"/>
        <w:ind w:right="-143"/>
        <w:rPr>
          <w:b/>
        </w:rPr>
      </w:pPr>
      <w:r>
        <w:rPr>
          <w:b/>
        </w:rPr>
        <w:t>AMENDMENTS TO AASB 16</w:t>
      </w:r>
      <w:r>
        <w:rPr>
          <w:b/>
        </w:rPr>
        <w:tab/>
      </w:r>
      <w:r w:rsidR="00FF7AA5">
        <w:rPr>
          <w:b/>
        </w:rPr>
        <w:t>5</w:t>
      </w:r>
    </w:p>
    <w:p w14:paraId="2CD296EE" w14:textId="4A64E3BE" w:rsidR="004A3747" w:rsidRPr="00A5122D" w:rsidRDefault="00E866DA" w:rsidP="009E2F6C">
      <w:pPr>
        <w:pStyle w:val="ContentsLevel1"/>
        <w:ind w:right="-143"/>
        <w:rPr>
          <w:b/>
        </w:rPr>
      </w:pPr>
      <w:r>
        <w:rPr>
          <w:b/>
        </w:rPr>
        <w:t>AMENDMENTS TO AASB 1059</w:t>
      </w:r>
      <w:r w:rsidR="004C4BAD">
        <w:rPr>
          <w:b/>
        </w:rPr>
        <w:tab/>
      </w:r>
      <w:r w:rsidR="00FF7AA5">
        <w:rPr>
          <w:b/>
        </w:rPr>
        <w:t>6</w:t>
      </w:r>
    </w:p>
    <w:p w14:paraId="25F4E48E" w14:textId="5C07B905"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9" w:name="ContentsMarker"/>
      <w:bookmarkEnd w:id="9"/>
      <w:r w:rsidR="00FF7AA5">
        <w:rPr>
          <w:b/>
        </w:rPr>
        <w:t>7</w:t>
      </w:r>
    </w:p>
    <w:p w14:paraId="3EF0E8FD" w14:textId="77777777" w:rsidR="00D253C7" w:rsidRDefault="00D253C7" w:rsidP="00E55F2F">
      <w:pPr>
        <w:tabs>
          <w:tab w:val="right" w:pos="9071"/>
        </w:tabs>
        <w:rPr>
          <w:b/>
        </w:rPr>
      </w:pPr>
    </w:p>
    <w:p w14:paraId="5FAA3921" w14:textId="77777777" w:rsidR="007A6F5D" w:rsidRDefault="007A6F5D" w:rsidP="007A6F5D">
      <w:pPr>
        <w:tabs>
          <w:tab w:val="right" w:pos="9071"/>
        </w:tabs>
        <w:rPr>
          <w:b/>
        </w:rPr>
      </w:pPr>
      <w:r>
        <w:rPr>
          <w:b/>
        </w:rPr>
        <w:t>BASIS FOR CONCLUSIONS</w:t>
      </w:r>
    </w:p>
    <w:p w14:paraId="3AF85A45" w14:textId="77777777" w:rsidR="007A6F5D" w:rsidRDefault="007A6F5D" w:rsidP="00E55F2F">
      <w:pPr>
        <w:tabs>
          <w:tab w:val="right" w:pos="9071"/>
        </w:tabs>
        <w:rPr>
          <w:b/>
        </w:rPr>
      </w:pPr>
    </w:p>
    <w:p w14:paraId="3B26FDBD" w14:textId="77777777" w:rsidR="00E55F2F" w:rsidRPr="0000292B" w:rsidRDefault="00E55F2F"/>
    <w:bookmarkEnd w:id="8"/>
    <w:p w14:paraId="61E10E9B" w14:textId="7D4098B2" w:rsidR="00090A6F" w:rsidRPr="0000292B" w:rsidRDefault="00F56BB3">
      <w:pPr>
        <w:pStyle w:val="ContentsBox"/>
      </w:pPr>
      <w:r>
        <w:t>Australian Accounting S</w:t>
      </w:r>
      <w:r w:rsidRPr="0000292B">
        <w:t xml:space="preserve">tandard </w:t>
      </w:r>
      <w:r>
        <w:t>AASB</w:t>
      </w:r>
      <w:r w:rsidRPr="0000292B">
        <w:t xml:space="preserve"> </w:t>
      </w:r>
      <w:r w:rsidR="0076791F" w:rsidRPr="00BC0D5D">
        <w:rPr>
          <w:iCs/>
        </w:rPr>
        <w:fldChar w:fldCharType="begin"/>
      </w:r>
      <w:r w:rsidR="0076791F" w:rsidRPr="00BC0D5D">
        <w:rPr>
          <w:iCs/>
        </w:rPr>
        <w:instrText xml:space="preserve"> REF </w:instrText>
      </w:r>
      <w:r w:rsidR="0076791F">
        <w:rPr>
          <w:iCs/>
        </w:rPr>
        <w:instrText>Doc</w:instrText>
      </w:r>
      <w:r w:rsidR="0076791F" w:rsidRPr="00BC0D5D">
        <w:rPr>
          <w:iCs/>
        </w:rPr>
        <w:instrText xml:space="preserve">No \* charformat </w:instrText>
      </w:r>
      <w:r w:rsidR="0076791F" w:rsidRPr="00BC0D5D">
        <w:rPr>
          <w:iCs/>
        </w:rPr>
        <w:fldChar w:fldCharType="separate"/>
      </w:r>
      <w:r w:rsidR="003E0D5C" w:rsidRPr="003E0D5C">
        <w:rPr>
          <w:iCs/>
        </w:rPr>
        <w:t>2019-2</w:t>
      </w:r>
      <w:r w:rsidR="0076791F" w:rsidRPr="00BC0D5D">
        <w:rPr>
          <w:iCs/>
        </w:rPr>
        <w:fldChar w:fldCharType="end"/>
      </w:r>
      <w:r w:rsidR="0076791F">
        <w:rPr>
          <w:iCs/>
        </w:rPr>
        <w:t xml:space="preserve"> </w:t>
      </w:r>
      <w:r w:rsidR="0076791F" w:rsidRPr="0076791F">
        <w:rPr>
          <w:i/>
        </w:rPr>
        <w:fldChar w:fldCharType="begin"/>
      </w:r>
      <w:r w:rsidR="0076791F" w:rsidRPr="0076791F">
        <w:rPr>
          <w:i/>
        </w:rPr>
        <w:instrText xml:space="preserve"> REF \* charformat DocTitle  \* MERGEFORMAT </w:instrText>
      </w:r>
      <w:r w:rsidR="0076791F" w:rsidRPr="0076791F">
        <w:rPr>
          <w:i/>
        </w:rPr>
        <w:fldChar w:fldCharType="separate"/>
      </w:r>
      <w:r w:rsidR="003E0D5C" w:rsidRPr="003E0D5C">
        <w:rPr>
          <w:i/>
        </w:rPr>
        <w:t>Amendments to Australian Accounting Standards – Implementation of AASB 1059</w:t>
      </w:r>
      <w:r w:rsidR="0076791F" w:rsidRPr="0076791F">
        <w:rPr>
          <w:i/>
        </w:rPr>
        <w:fldChar w:fldCharType="end"/>
      </w:r>
      <w:r w:rsidR="00223A79">
        <w:rPr>
          <w:i/>
        </w:rPr>
        <w:t xml:space="preserve"> </w:t>
      </w:r>
      <w:r w:rsidRPr="0000292B">
        <w:t xml:space="preserve">is set out </w:t>
      </w:r>
      <w:r w:rsidRPr="0020560B">
        <w:t>in paragraphs</w:t>
      </w:r>
      <w:r w:rsidR="00A5122D" w:rsidRPr="0020560B">
        <w:t xml:space="preserve"> 1 – </w:t>
      </w:r>
      <w:r w:rsidR="00FF7AA5" w:rsidRPr="0020560B">
        <w:t>7</w:t>
      </w:r>
      <w:r w:rsidRPr="0020560B">
        <w:t>.</w:t>
      </w:r>
      <w:r w:rsidRPr="0000292B">
        <w:t xml:space="preserve"> All the pa</w:t>
      </w:r>
      <w:r>
        <w:t>ragraphs have equal authority.</w:t>
      </w:r>
    </w:p>
    <w:p w14:paraId="11FA2D13"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59FE06F"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2171D473" w14:textId="77777777" w:rsidR="00090A6F" w:rsidRPr="0000292B" w:rsidRDefault="00090A6F">
      <w:pPr>
        <w:pStyle w:val="Heading1"/>
      </w:pPr>
      <w:r w:rsidRPr="0000292B">
        <w:lastRenderedPageBreak/>
        <w:t>Preface</w:t>
      </w:r>
    </w:p>
    <w:p w14:paraId="26EFF641" w14:textId="51C7979A" w:rsidR="000F64CC" w:rsidRPr="0000292B" w:rsidRDefault="00CA61C5">
      <w:pPr>
        <w:pStyle w:val="Heading2"/>
      </w:pPr>
      <w:r>
        <w:t xml:space="preserve">Standards amended by AASB </w:t>
      </w:r>
      <w:r>
        <w:fldChar w:fldCharType="begin"/>
      </w:r>
      <w:r>
        <w:instrText xml:space="preserve"> REF DocNo \* charformat</w:instrText>
      </w:r>
      <w:r>
        <w:fldChar w:fldCharType="separate"/>
      </w:r>
      <w:r w:rsidR="003E0D5C">
        <w:t>2019-2</w:t>
      </w:r>
      <w:r>
        <w:fldChar w:fldCharType="end"/>
      </w:r>
    </w:p>
    <w:p w14:paraId="5EC6D11C" w14:textId="77777777" w:rsidR="00ED3777" w:rsidRDefault="009C2479" w:rsidP="00E55F2F">
      <w:pPr>
        <w:pStyle w:val="NoNumPlain1"/>
      </w:pPr>
      <w:r>
        <w:t>This S</w:t>
      </w:r>
      <w:r w:rsidR="00E55F2F">
        <w:t xml:space="preserve">tandard makes amendments to </w:t>
      </w:r>
      <w:r w:rsidR="0028759D">
        <w:t xml:space="preserve">AASB 16 </w:t>
      </w:r>
      <w:r w:rsidR="0028759D" w:rsidRPr="0028759D">
        <w:rPr>
          <w:i/>
        </w:rPr>
        <w:t>Leases</w:t>
      </w:r>
      <w:r w:rsidR="0028759D">
        <w:t xml:space="preserve"> </w:t>
      </w:r>
      <w:r w:rsidR="00C41B48">
        <w:t xml:space="preserve">(February 2016) </w:t>
      </w:r>
      <w:r w:rsidR="0028759D">
        <w:t xml:space="preserve">and </w:t>
      </w:r>
      <w:r w:rsidR="0063418D">
        <w:t xml:space="preserve">AASB 1059 </w:t>
      </w:r>
      <w:r w:rsidR="0063418D" w:rsidRPr="0063418D">
        <w:rPr>
          <w:i/>
        </w:rPr>
        <w:t>Service Concession Arrangements: Grantors</w:t>
      </w:r>
      <w:r w:rsidR="0063418D">
        <w:t xml:space="preserve"> (July</w:t>
      </w:r>
      <w:r w:rsidR="00A5122D">
        <w:t xml:space="preserve"> 201</w:t>
      </w:r>
      <w:r w:rsidR="0063418D">
        <w:t>7</w:t>
      </w:r>
      <w:r w:rsidR="00A5122D">
        <w:t>)</w:t>
      </w:r>
      <w:r w:rsidR="002862EE">
        <w:t>.</w:t>
      </w:r>
    </w:p>
    <w:p w14:paraId="2F4BEB57" w14:textId="65746213" w:rsidR="003F6ED6" w:rsidRDefault="00ED3777" w:rsidP="00E55F2F">
      <w:pPr>
        <w:pStyle w:val="NoNumPlain1"/>
      </w:pPr>
      <w:r>
        <w:t>The AASB</w:t>
      </w:r>
      <w:r w:rsidRPr="00ED3777">
        <w:t xml:space="preserve"> received feedback from </w:t>
      </w:r>
      <w:r>
        <w:t xml:space="preserve">some </w:t>
      </w:r>
      <w:r w:rsidRPr="00ED3777">
        <w:t xml:space="preserve">public sector </w:t>
      </w:r>
      <w:r>
        <w:t>stakeholders</w:t>
      </w:r>
      <w:r w:rsidRPr="00ED3777">
        <w:t xml:space="preserve"> </w:t>
      </w:r>
      <w:r w:rsidR="0010515C">
        <w:t>regarding</w:t>
      </w:r>
      <w:r>
        <w:t xml:space="preserve"> issues </w:t>
      </w:r>
      <w:r w:rsidRPr="00ED3777">
        <w:t>applying the modified retrospective method stated in paragraph C4 of AASB 1059</w:t>
      </w:r>
      <w:r w:rsidR="00490C6F">
        <w:t xml:space="preserve">. </w:t>
      </w:r>
      <w:r w:rsidR="0010515C">
        <w:t>S</w:t>
      </w:r>
      <w:r w:rsidR="001D46F3">
        <w:t xml:space="preserve">takeholders </w:t>
      </w:r>
      <w:r w:rsidR="00226F32">
        <w:t xml:space="preserve">also </w:t>
      </w:r>
      <w:r w:rsidR="001D46F3">
        <w:t>commented that,</w:t>
      </w:r>
      <w:r w:rsidR="00D63D80" w:rsidRPr="00D63D80">
        <w:t xml:space="preserve"> since </w:t>
      </w:r>
      <w:r w:rsidR="0096317D">
        <w:t xml:space="preserve">mandatory application of </w:t>
      </w:r>
      <w:r w:rsidR="00D55616">
        <w:t>AASB </w:t>
      </w:r>
      <w:r w:rsidR="00D63D80" w:rsidRPr="00D63D80">
        <w:t xml:space="preserve">1059 has been deferred by </w:t>
      </w:r>
      <w:r w:rsidR="002A7C3D">
        <w:t>one year</w:t>
      </w:r>
      <w:r w:rsidR="00D63D80" w:rsidRPr="00D63D80">
        <w:t xml:space="preserve"> to </w:t>
      </w:r>
      <w:r w:rsidR="0010515C">
        <w:t xml:space="preserve">annual </w:t>
      </w:r>
      <w:r w:rsidR="00D63D80" w:rsidRPr="00D63D80">
        <w:t>periods beginning o</w:t>
      </w:r>
      <w:r w:rsidR="001D46F3">
        <w:t>n or after 1 January 2020, it would be</w:t>
      </w:r>
      <w:r w:rsidR="00D63D80" w:rsidRPr="00D63D80">
        <w:t xml:space="preserve"> possible for some service concession arrangements to be captured by AASB 16 prior to the application of AASB 1059</w:t>
      </w:r>
      <w:r w:rsidR="00C552A3">
        <w:t xml:space="preserve">. </w:t>
      </w:r>
      <w:r w:rsidR="00C41B48">
        <w:t xml:space="preserve">Stakeholders expressed a view that </w:t>
      </w:r>
      <w:r w:rsidR="0096317D">
        <w:t>applying AASB 16 for one year to service concession arrangements could be onerous</w:t>
      </w:r>
      <w:r w:rsidR="00C552A3">
        <w:t xml:space="preserve">. </w:t>
      </w:r>
    </w:p>
    <w:p w14:paraId="0C51138A" w14:textId="3CE35F19" w:rsidR="00A5122D" w:rsidRDefault="00534BAD" w:rsidP="00E55F2F">
      <w:pPr>
        <w:pStyle w:val="NoNumPlain1"/>
      </w:pPr>
      <w:r>
        <w:t xml:space="preserve">The </w:t>
      </w:r>
      <w:r w:rsidR="0096317D">
        <w:t>AASB</w:t>
      </w:r>
      <w:r>
        <w:t xml:space="preserve"> </w:t>
      </w:r>
      <w:r w:rsidR="001B342F">
        <w:t xml:space="preserve">considered stakeholders’ feedback </w:t>
      </w:r>
      <w:r w:rsidR="00C22B7D">
        <w:t xml:space="preserve">and decided to amend </w:t>
      </w:r>
      <w:r w:rsidR="00C41B48">
        <w:t xml:space="preserve">AASB 16 and </w:t>
      </w:r>
      <w:r w:rsidR="00C22B7D">
        <w:t>AASB 1059</w:t>
      </w:r>
      <w:r w:rsidR="00275490">
        <w:t xml:space="preserve"> </w:t>
      </w:r>
      <w:r w:rsidR="00C22B7D">
        <w:t xml:space="preserve">to address </w:t>
      </w:r>
      <w:r w:rsidR="001B342F">
        <w:t>these</w:t>
      </w:r>
      <w:r w:rsidR="00490C6F">
        <w:t xml:space="preserve"> issues</w:t>
      </w:r>
      <w:r w:rsidR="00C552A3">
        <w:t xml:space="preserve">. </w:t>
      </w:r>
      <w:r w:rsidR="001B342F">
        <w:t xml:space="preserve">The </w:t>
      </w:r>
      <w:r w:rsidR="0096317D">
        <w:t>AASB</w:t>
      </w:r>
      <w:r w:rsidR="001B342F">
        <w:t xml:space="preserve"> also decided to </w:t>
      </w:r>
      <w:r w:rsidR="0010515C">
        <w:t>make</w:t>
      </w:r>
      <w:r w:rsidR="001B342F">
        <w:t xml:space="preserve"> editorial amendments </w:t>
      </w:r>
      <w:r w:rsidR="001C7365">
        <w:t>t</w:t>
      </w:r>
      <w:r w:rsidR="0010515C">
        <w:t xml:space="preserve">o </w:t>
      </w:r>
      <w:r w:rsidR="00FA5B0C">
        <w:t>the</w:t>
      </w:r>
      <w:r w:rsidR="00FA5B0C" w:rsidRPr="00FA5B0C">
        <w:t xml:space="preserve"> application guidance and implementation guidance</w:t>
      </w:r>
      <w:r w:rsidR="00FA5B0C">
        <w:t xml:space="preserve"> accompanying AASB 1059</w:t>
      </w:r>
      <w:r w:rsidR="001B342F">
        <w:t>.</w:t>
      </w:r>
    </w:p>
    <w:p w14:paraId="1D674BFC" w14:textId="77777777" w:rsidR="00090A6F" w:rsidRDefault="00F22AF2" w:rsidP="00F22AF2">
      <w:pPr>
        <w:pStyle w:val="Heading2"/>
      </w:pPr>
      <w:r>
        <w:t>Main features of this Standard</w:t>
      </w:r>
    </w:p>
    <w:p w14:paraId="1EDAB487" w14:textId="77777777" w:rsidR="00F22AF2" w:rsidRDefault="00F22AF2" w:rsidP="0096317D">
      <w:pPr>
        <w:pStyle w:val="Heading2Indent1"/>
      </w:pPr>
      <w:r>
        <w:t>Main requirements</w:t>
      </w:r>
    </w:p>
    <w:p w14:paraId="474C5870" w14:textId="7E3A3ACB" w:rsidR="00275490" w:rsidRDefault="00804D25" w:rsidP="00F22AF2">
      <w:pPr>
        <w:pStyle w:val="NoNumPlain1"/>
      </w:pPr>
      <w:r>
        <w:t xml:space="preserve">This Standard </w:t>
      </w:r>
      <w:r w:rsidR="00916EFA">
        <w:t>makes amendme</w:t>
      </w:r>
      <w:r w:rsidR="00275490">
        <w:t>nts to AASB </w:t>
      </w:r>
      <w:r w:rsidR="003A60C1">
        <w:t>16 and AASB</w:t>
      </w:r>
      <w:r w:rsidR="00945F15">
        <w:t xml:space="preserve"> </w:t>
      </w:r>
      <w:r w:rsidR="00275490">
        <w:t>1059 to:</w:t>
      </w:r>
    </w:p>
    <w:p w14:paraId="70C2FEB8" w14:textId="1577F9DB" w:rsidR="003D5269" w:rsidRDefault="003D5269" w:rsidP="0096317D">
      <w:pPr>
        <w:pStyle w:val="NoNumPlain1"/>
        <w:numPr>
          <w:ilvl w:val="0"/>
          <w:numId w:val="17"/>
        </w:numPr>
        <w:ind w:left="510" w:hanging="510"/>
      </w:pPr>
      <w:r>
        <w:t xml:space="preserve">amend the modified retrospective method </w:t>
      </w:r>
      <w:r w:rsidR="008F6788">
        <w:t xml:space="preserve">set out in paragraph C4 of AASB 1059 </w:t>
      </w:r>
      <w:r>
        <w:t>as follows:</w:t>
      </w:r>
    </w:p>
    <w:p w14:paraId="3B5C9E93" w14:textId="48DA28EC" w:rsidR="001F58C0" w:rsidRDefault="00870C92" w:rsidP="000D1D58">
      <w:pPr>
        <w:pStyle w:val="NoNumPlain1"/>
        <w:numPr>
          <w:ilvl w:val="1"/>
          <w:numId w:val="28"/>
        </w:numPr>
        <w:ind w:left="1020" w:hanging="510"/>
      </w:pPr>
      <w:r>
        <w:t xml:space="preserve">specify </w:t>
      </w:r>
      <w:r w:rsidR="00D46374">
        <w:t>the financial liability should be recognised at fair value at the date of initial application</w:t>
      </w:r>
      <w:r w:rsidR="00A564A9">
        <w:t>;</w:t>
      </w:r>
    </w:p>
    <w:p w14:paraId="56E99FC5" w14:textId="17358348" w:rsidR="00275490" w:rsidRDefault="0067100B" w:rsidP="000D1D58">
      <w:pPr>
        <w:pStyle w:val="NoNumPlain1"/>
        <w:numPr>
          <w:ilvl w:val="1"/>
          <w:numId w:val="28"/>
        </w:numPr>
        <w:ind w:left="1020" w:hanging="510"/>
      </w:pPr>
      <w:r>
        <w:t>initially</w:t>
      </w:r>
      <w:r w:rsidR="00275490">
        <w:t xml:space="preserve"> measur</w:t>
      </w:r>
      <w:r>
        <w:t>e</w:t>
      </w:r>
      <w:r w:rsidR="00275490">
        <w:t xml:space="preserve"> the Grant of a Right to the Operator (GORTO) liability </w:t>
      </w:r>
      <w:r w:rsidR="00BA28AD">
        <w:t xml:space="preserve">representing the </w:t>
      </w:r>
      <w:r w:rsidR="00BA28AD" w:rsidRPr="00BA28AD">
        <w:t>unearned portion of any revenue arising from the receipt of a service concession asset</w:t>
      </w:r>
      <w:r w:rsidR="00E62FBA">
        <w:t xml:space="preserve"> </w:t>
      </w:r>
      <w:r w:rsidR="003F6ED6">
        <w:t>based on</w:t>
      </w:r>
      <w:r w:rsidR="00275490">
        <w:t xml:space="preserve"> the current replacement cost of the service concession asset at the date of initial application adjusted to reflect the remaining concession period relative to the total period of the arrangement, rather than relative to the remaining economic life of the service concession asset;</w:t>
      </w:r>
    </w:p>
    <w:p w14:paraId="7E23419D" w14:textId="62D9FB71" w:rsidR="00573849" w:rsidRDefault="00B430E5" w:rsidP="000D1D58">
      <w:pPr>
        <w:pStyle w:val="NoNumPlain1"/>
        <w:numPr>
          <w:ilvl w:val="1"/>
          <w:numId w:val="28"/>
        </w:numPr>
        <w:ind w:left="1020" w:hanging="510"/>
      </w:pPr>
      <w:r>
        <w:t>measure a liability representing any</w:t>
      </w:r>
      <w:r w:rsidR="00CD7D64">
        <w:t xml:space="preserve"> </w:t>
      </w:r>
      <w:r w:rsidR="00A21F21">
        <w:t xml:space="preserve">third-party </w:t>
      </w:r>
      <w:r w:rsidR="00CD7D64">
        <w:t>unearned</w:t>
      </w:r>
      <w:r w:rsidR="00D553FE" w:rsidRPr="00D553FE">
        <w:t xml:space="preserve"> revenue arising from the receipt of additional consideration from the operator for access to an existing asset of the grantor that has been reclassified as a service concession asset at the proceeds received, adjusted to reflect the remaining period of the service concession arrangement relative to the total period of the arrangement</w:t>
      </w:r>
      <w:r w:rsidR="00BA28AD">
        <w:t>;</w:t>
      </w:r>
    </w:p>
    <w:p w14:paraId="5BA335A9" w14:textId="31E76540" w:rsidR="00275490" w:rsidRDefault="003F6ED6" w:rsidP="0096317D">
      <w:pPr>
        <w:pStyle w:val="NoNumPlain1"/>
        <w:numPr>
          <w:ilvl w:val="0"/>
          <w:numId w:val="17"/>
        </w:numPr>
        <w:ind w:left="510" w:hanging="510"/>
      </w:pPr>
      <w:r>
        <w:t>modify AASB </w:t>
      </w:r>
      <w:r w:rsidR="00275490">
        <w:t>16 to provide a practical expedient to grantors of service concession arrangements so that AASB</w:t>
      </w:r>
      <w:r>
        <w:t> </w:t>
      </w:r>
      <w:r w:rsidR="00275490">
        <w:t>16 would not need to be applied to assets that would be recognised as servi</w:t>
      </w:r>
      <w:r>
        <w:t>ce concession assets under AASB </w:t>
      </w:r>
      <w:r w:rsidR="00275490">
        <w:t>1059; and</w:t>
      </w:r>
    </w:p>
    <w:p w14:paraId="1F4E8038" w14:textId="3B55CE19" w:rsidR="00F22AF2" w:rsidRDefault="00275490" w:rsidP="0096317D">
      <w:pPr>
        <w:pStyle w:val="NoNumPlain1"/>
        <w:numPr>
          <w:ilvl w:val="0"/>
          <w:numId w:val="17"/>
        </w:numPr>
        <w:ind w:left="510" w:hanging="510"/>
      </w:pPr>
      <w:r>
        <w:t>include editorial</w:t>
      </w:r>
      <w:r w:rsidR="003F6ED6">
        <w:t xml:space="preserve"> amendments to</w:t>
      </w:r>
      <w:r>
        <w:t xml:space="preserve"> the </w:t>
      </w:r>
      <w:r w:rsidR="00A765C9">
        <w:t xml:space="preserve">application guidance and </w:t>
      </w:r>
      <w:r>
        <w:t>implementation guidance</w:t>
      </w:r>
      <w:r w:rsidR="009579E3">
        <w:t xml:space="preserve"> </w:t>
      </w:r>
      <w:r w:rsidR="00597745">
        <w:t>accompanying</w:t>
      </w:r>
      <w:r w:rsidR="009579E3">
        <w:t xml:space="preserve"> AASB</w:t>
      </w:r>
      <w:r w:rsidR="00597745">
        <w:t> </w:t>
      </w:r>
      <w:r w:rsidR="009579E3">
        <w:t>1059</w:t>
      </w:r>
      <w:r>
        <w:t>.</w:t>
      </w:r>
    </w:p>
    <w:p w14:paraId="2199A66F" w14:textId="77777777" w:rsidR="00F22AF2" w:rsidRDefault="00F22AF2" w:rsidP="0096317D">
      <w:pPr>
        <w:pStyle w:val="Heading2Indent1"/>
      </w:pPr>
      <w:r>
        <w:t>Application date</w:t>
      </w:r>
    </w:p>
    <w:p w14:paraId="1E92ABBF" w14:textId="3483CA3E" w:rsidR="00F22AF2" w:rsidRPr="00F22AF2" w:rsidRDefault="00B16904" w:rsidP="00F73284">
      <w:pPr>
        <w:pStyle w:val="IASBNormal"/>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4A3747">
        <w:t>1 January 2</w:t>
      </w:r>
      <w:r w:rsidR="0096317D">
        <w:t>020</w:t>
      </w:r>
      <w:bookmarkEnd w:id="11"/>
      <w:r w:rsidR="00804D25">
        <w:t xml:space="preserve">, </w:t>
      </w:r>
      <w:r w:rsidR="009E0595" w:rsidRPr="00766E15">
        <w:t>with earl</w:t>
      </w:r>
      <w:r w:rsidR="009E0595">
        <w:t>ier</w:t>
      </w:r>
      <w:r w:rsidR="009E0595" w:rsidRPr="00766E15">
        <w:t xml:space="preserve"> </w:t>
      </w:r>
      <w:r w:rsidR="009E0595">
        <w:t>application</w:t>
      </w:r>
      <w:r w:rsidR="009E0595" w:rsidRPr="00766E15">
        <w:t xml:space="preserve"> permitted. </w:t>
      </w:r>
    </w:p>
    <w:p w14:paraId="7BD3736F" w14:textId="77777777" w:rsidR="00F22AF2" w:rsidRPr="0000292B" w:rsidRDefault="00F22AF2"/>
    <w:p w14:paraId="7A005A3D" w14:textId="77777777" w:rsidR="00090A6F" w:rsidRPr="0000292B" w:rsidRDefault="00090A6F">
      <w:pPr>
        <w:sectPr w:rsidR="00090A6F" w:rsidRPr="0000292B" w:rsidSect="00D74C6A">
          <w:footerReference w:type="default" r:id="rId15"/>
          <w:pgSz w:w="11907" w:h="16840" w:code="9"/>
          <w:pgMar w:top="1418" w:right="1418" w:bottom="1418" w:left="1418" w:header="709" w:footer="709" w:gutter="0"/>
          <w:paperSrc w:first="7" w:other="7"/>
          <w:cols w:space="720"/>
        </w:sectPr>
      </w:pPr>
    </w:p>
    <w:p w14:paraId="7A92CC2B" w14:textId="2F0455DE"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3E0D5C" w:rsidRPr="003E0D5C">
        <w:rPr>
          <w:iCs/>
        </w:rPr>
        <w:t>2019-2</w:t>
      </w:r>
      <w:r w:rsidR="001662B8" w:rsidRPr="00BC0D5D">
        <w:rPr>
          <w:iCs/>
        </w:rPr>
        <w:fldChar w:fldCharType="end"/>
      </w:r>
    </w:p>
    <w:p w14:paraId="6CAF911E" w14:textId="55A5FDFC" w:rsidR="001662B8" w:rsidRDefault="001662B8" w:rsidP="003E1900">
      <w:pPr>
        <w:pStyle w:val="NoNumPlain1"/>
      </w:pPr>
      <w:r>
        <w:t>The Australian Accounting Standards Board makes Accounting Standard AASB </w:t>
      </w:r>
      <w:fldSimple w:instr=" REF DocNo  \* charformat ">
        <w:r w:rsidR="003E0D5C">
          <w:t>2019-2</w:t>
        </w:r>
      </w:fldSimple>
      <w:r>
        <w:t xml:space="preserve"> </w:t>
      </w:r>
      <w:r w:rsidR="00CC1DF4" w:rsidRPr="00CC1DF4">
        <w:rPr>
          <w:i/>
        </w:rPr>
        <w:fldChar w:fldCharType="begin"/>
      </w:r>
      <w:r w:rsidR="00CC1DF4" w:rsidRPr="00CC1DF4">
        <w:rPr>
          <w:i/>
        </w:rPr>
        <w:instrText xml:space="preserve"> REF DocTitle \* charformat </w:instrText>
      </w:r>
      <w:r w:rsidR="00CC1DF4" w:rsidRPr="00CC1DF4">
        <w:rPr>
          <w:i/>
        </w:rPr>
        <w:fldChar w:fldCharType="separate"/>
      </w:r>
      <w:r w:rsidR="003E0D5C" w:rsidRPr="003E0D5C">
        <w:rPr>
          <w:i/>
        </w:rPr>
        <w:t>Amendments to Australian Accounting Standards – Implementation of AASB 1059</w:t>
      </w:r>
      <w:r w:rsidR="00CC1DF4" w:rsidRPr="00CC1DF4">
        <w:rPr>
          <w:i/>
        </w:rPr>
        <w:fldChar w:fldCharType="end"/>
      </w:r>
      <w:bookmarkStart w:id="12" w:name="CorpsAct"/>
      <w:r w:rsidR="00074CB7">
        <w:rPr>
          <w:i/>
        </w:rPr>
        <w:t xml:space="preserve"> </w:t>
      </w:r>
      <w:r>
        <w:t xml:space="preserve">under section 334 of the </w:t>
      </w:r>
      <w:r>
        <w:rPr>
          <w:i/>
          <w:iCs/>
        </w:rPr>
        <w:t>Corporations Act 2001</w:t>
      </w:r>
      <w:bookmarkEnd w:id="12"/>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64B7EB67" w14:textId="77777777" w:rsidTr="001A4E74">
        <w:tc>
          <w:tcPr>
            <w:tcW w:w="4361" w:type="dxa"/>
          </w:tcPr>
          <w:p w14:paraId="265F23B6" w14:textId="77777777" w:rsidR="00C03C7B" w:rsidRDefault="00C03C7B" w:rsidP="0048155F"/>
        </w:tc>
        <w:tc>
          <w:tcPr>
            <w:tcW w:w="4711" w:type="dxa"/>
          </w:tcPr>
          <w:p w14:paraId="2AE9C1AE" w14:textId="77777777" w:rsidR="00C03C7B" w:rsidRDefault="008F3EBA" w:rsidP="0048155F">
            <w:pPr>
              <w:jc w:val="right"/>
            </w:pPr>
            <w:r>
              <w:t>Kris Peach</w:t>
            </w:r>
          </w:p>
        </w:tc>
      </w:tr>
      <w:tr w:rsidR="00C03C7B" w14:paraId="356A72EC" w14:textId="77777777" w:rsidTr="001A4E74">
        <w:tc>
          <w:tcPr>
            <w:tcW w:w="4361" w:type="dxa"/>
          </w:tcPr>
          <w:p w14:paraId="7ECEBB49" w14:textId="30878466" w:rsidR="00C03C7B" w:rsidRDefault="00F34813" w:rsidP="001A4E74">
            <w:pPr>
              <w:ind w:left="-108"/>
            </w:pPr>
            <w:r>
              <w:t xml:space="preserve">Dated </w:t>
            </w:r>
            <w:r w:rsidR="0078758C">
              <w:t>18 September 2019</w:t>
            </w:r>
          </w:p>
        </w:tc>
        <w:tc>
          <w:tcPr>
            <w:tcW w:w="4711" w:type="dxa"/>
          </w:tcPr>
          <w:p w14:paraId="5BF3DCCC" w14:textId="77777777" w:rsidR="00C03C7B" w:rsidRDefault="00C03C7B" w:rsidP="0048155F">
            <w:pPr>
              <w:jc w:val="right"/>
            </w:pPr>
            <w:r>
              <w:t>Chair – AASB</w:t>
            </w:r>
          </w:p>
        </w:tc>
      </w:tr>
    </w:tbl>
    <w:p w14:paraId="4FC7A864" w14:textId="293AE0F2"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3E0D5C" w:rsidRPr="003E0D5C">
        <w:rPr>
          <w:iCs/>
        </w:rPr>
        <w:t>2019-2</w:t>
      </w:r>
      <w:r w:rsidR="00BC0D5D" w:rsidRPr="00BC0D5D">
        <w:rPr>
          <w:iCs/>
        </w:rPr>
        <w:fldChar w:fldCharType="end"/>
      </w:r>
    </w:p>
    <w:p w14:paraId="3993EA4E" w14:textId="672918FF" w:rsidR="00090A6F" w:rsidRPr="00BF3DA7" w:rsidRDefault="00830773" w:rsidP="003E1900">
      <w:pPr>
        <w:pStyle w:val="Heading1Italic"/>
        <w:spacing w:before="0"/>
      </w:pPr>
      <w:fldSimple w:instr=" REF \* charformat DocTitle  \* MERGEFORMAT ">
        <w:r w:rsidR="003E0D5C">
          <w:t>Amendments to Australian Accounting Standards – Implementation of AASB 1059</w:t>
        </w:r>
      </w:fldSimple>
    </w:p>
    <w:p w14:paraId="7A909457" w14:textId="77777777" w:rsidR="00090A6F" w:rsidRPr="0000292B" w:rsidRDefault="00090A6F" w:rsidP="00FC30DA">
      <w:pPr>
        <w:pStyle w:val="Heading2"/>
      </w:pPr>
      <w:bookmarkStart w:id="13" w:name="TOCStart"/>
      <w:bookmarkEnd w:id="13"/>
      <w:r w:rsidRPr="0000292B">
        <w:t>Objective</w:t>
      </w:r>
    </w:p>
    <w:p w14:paraId="6D9EF78B" w14:textId="58E54BC3" w:rsidR="003A60C1" w:rsidRDefault="00867FB0" w:rsidP="009E0595">
      <w:pPr>
        <w:pStyle w:val="NumPlain1"/>
      </w:pPr>
      <w:r>
        <w:t>This</w:t>
      </w:r>
      <w:r w:rsidR="001662B8">
        <w:t xml:space="preserve"> Standard </w:t>
      </w:r>
      <w:r>
        <w:t>amends</w:t>
      </w:r>
      <w:r w:rsidR="00E96457">
        <w:t xml:space="preserve"> </w:t>
      </w:r>
      <w:r w:rsidR="00DF111F">
        <w:t xml:space="preserve">AASB 16 </w:t>
      </w:r>
      <w:r w:rsidR="00DF111F" w:rsidRPr="00DF111F">
        <w:rPr>
          <w:i/>
        </w:rPr>
        <w:t>Leases</w:t>
      </w:r>
      <w:r w:rsidR="00DF111F">
        <w:t xml:space="preserve"> </w:t>
      </w:r>
      <w:r w:rsidR="00E21AE9">
        <w:t xml:space="preserve">(February 2016) </w:t>
      </w:r>
      <w:r w:rsidR="004A3C2F">
        <w:t xml:space="preserve">and AASB 1059 </w:t>
      </w:r>
      <w:r w:rsidR="004A3C2F" w:rsidRPr="00E96457">
        <w:rPr>
          <w:i/>
        </w:rPr>
        <w:t>Service Concession Arrangements: Grantors</w:t>
      </w:r>
      <w:r w:rsidR="004A3C2F">
        <w:t xml:space="preserve"> (July 2017) </w:t>
      </w:r>
      <w:r w:rsidR="00E21AE9">
        <w:t>to</w:t>
      </w:r>
      <w:r w:rsidR="009E0595">
        <w:t xml:space="preserve"> amend transitional relief relating to service concession arrangements and incorporate editorial amendments.</w:t>
      </w:r>
    </w:p>
    <w:p w14:paraId="068B93AC" w14:textId="77777777" w:rsidR="00090A6F" w:rsidRPr="0000292B" w:rsidRDefault="00090A6F">
      <w:pPr>
        <w:pStyle w:val="Heading2"/>
      </w:pPr>
      <w:bookmarkStart w:id="14" w:name="StndObj"/>
      <w:bookmarkStart w:id="15" w:name="ArisingDate"/>
      <w:bookmarkEnd w:id="14"/>
      <w:bookmarkEnd w:id="15"/>
      <w:r w:rsidRPr="0000292B">
        <w:t>Application</w:t>
      </w:r>
    </w:p>
    <w:p w14:paraId="33ACF0D9" w14:textId="6F986F33" w:rsidR="005A6AC7" w:rsidRPr="00920B8B" w:rsidRDefault="005A6AC7" w:rsidP="00B22833">
      <w:pPr>
        <w:pStyle w:val="NumBold1"/>
        <w:rPr>
          <w:b w:val="0"/>
        </w:rPr>
      </w:pPr>
      <w:r w:rsidRPr="00920B8B">
        <w:rPr>
          <w:b w:val="0"/>
        </w:rPr>
        <w:t xml:space="preserve">The amendments set out in this Standard apply to entities and financial statements in accordance with the application of </w:t>
      </w:r>
      <w:r w:rsidR="00534BAD">
        <w:rPr>
          <w:b w:val="0"/>
        </w:rPr>
        <w:t>AASB </w:t>
      </w:r>
      <w:r w:rsidR="004A3C2F">
        <w:rPr>
          <w:b w:val="0"/>
        </w:rPr>
        <w:t>16 an</w:t>
      </w:r>
      <w:r w:rsidR="009E0595">
        <w:rPr>
          <w:b w:val="0"/>
        </w:rPr>
        <w:t>d</w:t>
      </w:r>
      <w:r w:rsidR="004A3C2F">
        <w:rPr>
          <w:b w:val="0"/>
        </w:rPr>
        <w:t xml:space="preserve"> AASB </w:t>
      </w:r>
      <w:r w:rsidR="00534BAD">
        <w:rPr>
          <w:b w:val="0"/>
        </w:rPr>
        <w:t>1059</w:t>
      </w:r>
      <w:r w:rsidRPr="00920B8B">
        <w:rPr>
          <w:b w:val="0"/>
        </w:rPr>
        <w:t xml:space="preserve"> set out in AASB 1057 </w:t>
      </w:r>
      <w:r w:rsidRPr="00920B8B">
        <w:rPr>
          <w:b w:val="0"/>
          <w:i/>
        </w:rPr>
        <w:t>Application of Australian Accounting Standards</w:t>
      </w:r>
      <w:r w:rsidRPr="00920B8B">
        <w:rPr>
          <w:b w:val="0"/>
        </w:rPr>
        <w:t xml:space="preserve"> (as amende</w:t>
      </w:r>
      <w:r w:rsidRPr="00870A13">
        <w:rPr>
          <w:b w:val="0"/>
        </w:rPr>
        <w:t>d).</w:t>
      </w:r>
    </w:p>
    <w:p w14:paraId="1A08C7F5" w14:textId="2B9774CD" w:rsidR="009E0595" w:rsidRPr="009E0595" w:rsidRDefault="00090A6F" w:rsidP="009E0595">
      <w:pPr>
        <w:pStyle w:val="NumBold1"/>
        <w:rPr>
          <w:b w:val="0"/>
        </w:rPr>
      </w:pPr>
      <w:r w:rsidRPr="00920B8B">
        <w:rPr>
          <w:b w:val="0"/>
        </w:rPr>
        <w:t xml:space="preserve">This Standard applies to annual periods </w:t>
      </w:r>
      <w:r w:rsidR="005A6AC7" w:rsidRPr="00920B8B">
        <w:rPr>
          <w:b w:val="0"/>
        </w:rPr>
        <w:fldChar w:fldCharType="begin"/>
      </w:r>
      <w:r w:rsidR="005A6AC7" w:rsidRPr="00920B8B">
        <w:rPr>
          <w:b w:val="0"/>
        </w:rPr>
        <w:instrText xml:space="preserve"> REF ApplyText \* charformat</w:instrText>
      </w:r>
      <w:r w:rsidR="00920B8B">
        <w:rPr>
          <w:b w:val="0"/>
        </w:rPr>
        <w:instrText xml:space="preserve"> \* MERGEFORMAT </w:instrText>
      </w:r>
      <w:r w:rsidR="005A6AC7" w:rsidRPr="00920B8B">
        <w:rPr>
          <w:b w:val="0"/>
        </w:rPr>
        <w:fldChar w:fldCharType="separate"/>
      </w:r>
      <w:r w:rsidR="003E0D5C" w:rsidRPr="003E0D5C">
        <w:rPr>
          <w:b w:val="0"/>
        </w:rPr>
        <w:t>beginning</w:t>
      </w:r>
      <w:r w:rsidR="005A6AC7" w:rsidRPr="00920B8B">
        <w:rPr>
          <w:b w:val="0"/>
        </w:rPr>
        <w:fldChar w:fldCharType="end"/>
      </w:r>
      <w:r w:rsidRPr="00920B8B">
        <w:rPr>
          <w:b w:val="0"/>
        </w:rPr>
        <w:t xml:space="preserve"> on or after </w:t>
      </w:r>
      <w:r w:rsidR="005A6AC7" w:rsidRPr="00920B8B">
        <w:rPr>
          <w:b w:val="0"/>
        </w:rPr>
        <w:fldChar w:fldCharType="begin"/>
      </w:r>
      <w:r w:rsidR="005A6AC7" w:rsidRPr="00920B8B">
        <w:rPr>
          <w:b w:val="0"/>
        </w:rPr>
        <w:instrText xml:space="preserve"> REF ApplyDate \* charformat</w:instrText>
      </w:r>
      <w:r w:rsidR="00920B8B">
        <w:rPr>
          <w:b w:val="0"/>
        </w:rPr>
        <w:instrText xml:space="preserve"> \* MERGEFORMAT </w:instrText>
      </w:r>
      <w:r w:rsidR="005A6AC7" w:rsidRPr="00920B8B">
        <w:rPr>
          <w:b w:val="0"/>
        </w:rPr>
        <w:fldChar w:fldCharType="separate"/>
      </w:r>
      <w:r w:rsidR="003E0D5C" w:rsidRPr="003E0D5C">
        <w:rPr>
          <w:b w:val="0"/>
        </w:rPr>
        <w:t>1 January 2020</w:t>
      </w:r>
      <w:r w:rsidR="005A6AC7" w:rsidRPr="00920B8B">
        <w:rPr>
          <w:b w:val="0"/>
        </w:rPr>
        <w:fldChar w:fldCharType="end"/>
      </w:r>
      <w:r w:rsidR="00C552A3">
        <w:rPr>
          <w:b w:val="0"/>
        </w:rPr>
        <w:t xml:space="preserve">. </w:t>
      </w:r>
      <w:r w:rsidR="009E0595" w:rsidRPr="009E0595">
        <w:rPr>
          <w:b w:val="0"/>
        </w:rPr>
        <w:t>Earlier application of this Standard is permitted.</w:t>
      </w:r>
    </w:p>
    <w:p w14:paraId="32E50A98" w14:textId="385E7A94" w:rsidR="009E0595" w:rsidRPr="00920B8B" w:rsidRDefault="009E0595" w:rsidP="009E0595">
      <w:pPr>
        <w:pStyle w:val="NumBold1"/>
      </w:pPr>
      <w:r w:rsidRPr="009E0595">
        <w:rPr>
          <w:b w:val="0"/>
        </w:rP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rsidRPr="009E0595">
        <w:rPr>
          <w:b w:val="0"/>
        </w:rPr>
        <w:t>and also</w:t>
      </w:r>
      <w:proofErr w:type="gramEnd"/>
      <w:r w:rsidRPr="009E0595">
        <w:rPr>
          <w:b w:val="0"/>
        </w:rPr>
        <w:t xml:space="preserve"> to indicate text that is not amended.</w:t>
      </w:r>
    </w:p>
    <w:p w14:paraId="02807CD9" w14:textId="77777777" w:rsidR="004A3747" w:rsidRDefault="004A3C2F">
      <w:pPr>
        <w:pStyle w:val="Heading2"/>
      </w:pPr>
      <w:r>
        <w:t>Amendments to AASB 16</w:t>
      </w:r>
    </w:p>
    <w:p w14:paraId="2C954EA0" w14:textId="77777777" w:rsidR="002927A3" w:rsidRDefault="002927A3" w:rsidP="002927A3">
      <w:pPr>
        <w:pStyle w:val="NumPlain1"/>
      </w:pPr>
      <w:r>
        <w:t>Paragraph AusC4.1 is added as follows:</w:t>
      </w:r>
    </w:p>
    <w:p w14:paraId="76F615BB" w14:textId="687A4508" w:rsidR="002927A3" w:rsidRDefault="002927A3" w:rsidP="002927A3">
      <w:pPr>
        <w:pStyle w:val="NumPlain1"/>
        <w:numPr>
          <w:ilvl w:val="0"/>
          <w:numId w:val="0"/>
        </w:numPr>
        <w:ind w:left="1440" w:hanging="930"/>
      </w:pPr>
      <w:r>
        <w:rPr>
          <w:szCs w:val="19"/>
        </w:rPr>
        <w:t>AusC4.1</w:t>
      </w:r>
      <w:r w:rsidRPr="001672C9">
        <w:rPr>
          <w:szCs w:val="19"/>
        </w:rPr>
        <w:tab/>
      </w:r>
      <w:r>
        <w:rPr>
          <w:szCs w:val="19"/>
        </w:rPr>
        <w:t xml:space="preserve">Notwithstanding paragraphs C3 and C4, a public sector entity is not required to apply this Standard to assets that would be classified as service concession assets in accordance with AASB 1059 </w:t>
      </w:r>
      <w:r w:rsidRPr="000217DB">
        <w:rPr>
          <w:i/>
          <w:szCs w:val="19"/>
        </w:rPr>
        <w:t>Service Concession Arrangements: Grantors</w:t>
      </w:r>
      <w:r w:rsidR="00C552A3">
        <w:t xml:space="preserve">. </w:t>
      </w:r>
      <w:r>
        <w:t>The entity shall continue to apply its existing accounting policy to these assets until AASB 1059 is applied.</w:t>
      </w:r>
    </w:p>
    <w:p w14:paraId="7B805FE9" w14:textId="77777777" w:rsidR="004A3C2F" w:rsidRDefault="004A3C2F" w:rsidP="004A3C2F">
      <w:pPr>
        <w:pStyle w:val="Heading2"/>
      </w:pPr>
      <w:r>
        <w:t>Amendments to AASB 1059</w:t>
      </w:r>
    </w:p>
    <w:p w14:paraId="285B9B79" w14:textId="77777777" w:rsidR="007F49DA" w:rsidRDefault="007F49DA" w:rsidP="007F49DA">
      <w:pPr>
        <w:pStyle w:val="NumPlain1"/>
      </w:pPr>
      <w:r>
        <w:t>Paragraphs B76 and C4, paragraphs IG10 and IG13 in the accompanying implementation guidance and paragraphs IE42–IE43 in the accompanying illustrative examples are amended as follows:</w:t>
      </w:r>
    </w:p>
    <w:p w14:paraId="5D682D93" w14:textId="2A96E4A6" w:rsidR="007F49DA" w:rsidRDefault="007F49DA" w:rsidP="007F49DA">
      <w:pPr>
        <w:pStyle w:val="NumPlain1"/>
        <w:numPr>
          <w:ilvl w:val="0"/>
          <w:numId w:val="0"/>
        </w:numPr>
        <w:ind w:left="1440" w:hanging="930"/>
      </w:pPr>
      <w:r>
        <w:t>B76</w:t>
      </w:r>
      <w:r>
        <w:tab/>
      </w:r>
      <w:r w:rsidRPr="00E060E0">
        <w:t>The grantor determines whether</w:t>
      </w:r>
      <w:r>
        <w:t xml:space="preserve"> </w:t>
      </w:r>
      <w:r w:rsidRPr="00E060E0">
        <w:t xml:space="preserve">guarantees provided by the grantor as part of a service concession arrangement meet the definition of a financial guarantee contract. If so, the grantor applies AASB 7, AASB 9 and AASB 132 in accounting for the </w:t>
      </w:r>
      <w:r w:rsidRPr="00E060E0">
        <w:rPr>
          <w:u w:val="single"/>
        </w:rPr>
        <w:t>financial</w:t>
      </w:r>
      <w:r>
        <w:t xml:space="preserve"> </w:t>
      </w:r>
      <w:r w:rsidRPr="00E060E0">
        <w:t xml:space="preserve">guarantee. Where the </w:t>
      </w:r>
      <w:r w:rsidR="00C223C7" w:rsidRPr="00E060E0">
        <w:rPr>
          <w:u w:val="single"/>
        </w:rPr>
        <w:t>financial</w:t>
      </w:r>
      <w:r w:rsidR="00C223C7" w:rsidRPr="00E060E0">
        <w:t xml:space="preserve"> </w:t>
      </w:r>
      <w:r w:rsidRPr="00E060E0">
        <w:t xml:space="preserve">guarantee is regarded as an insurance contract, the grantor can elect to apply AASB 4 </w:t>
      </w:r>
      <w:r w:rsidRPr="00E060E0">
        <w:rPr>
          <w:i/>
        </w:rPr>
        <w:t>Insurance Contracts</w:t>
      </w:r>
      <w:r w:rsidRPr="00E060E0">
        <w:t xml:space="preserve"> or AASB 1023 </w:t>
      </w:r>
      <w:r w:rsidRPr="00E060E0">
        <w:rPr>
          <w:i/>
        </w:rPr>
        <w:t>General Insurance Contracts</w:t>
      </w:r>
      <w:r w:rsidRPr="00E060E0">
        <w:t xml:space="preserve"> instead if it has previously used accounting applicable to insurance contracts for such guarantees</w:t>
      </w:r>
      <w:r w:rsidRPr="00716C27">
        <w:t>.</w:t>
      </w:r>
    </w:p>
    <w:p w14:paraId="00A93839" w14:textId="77777777" w:rsidR="007F49DA" w:rsidRDefault="007F49DA" w:rsidP="007F49DA">
      <w:pPr>
        <w:pStyle w:val="NumPlain1"/>
        <w:numPr>
          <w:ilvl w:val="0"/>
          <w:numId w:val="0"/>
        </w:numPr>
        <w:ind w:left="1440"/>
      </w:pPr>
      <w:r>
        <w:t>…</w:t>
      </w:r>
    </w:p>
    <w:p w14:paraId="76DE91AF" w14:textId="77777777" w:rsidR="007F49DA" w:rsidRDefault="007F49DA" w:rsidP="007F49DA">
      <w:pPr>
        <w:pStyle w:val="NumPlain1"/>
        <w:keepNext/>
        <w:numPr>
          <w:ilvl w:val="0"/>
          <w:numId w:val="0"/>
        </w:numPr>
        <w:ind w:left="1440" w:hanging="930"/>
      </w:pPr>
      <w:r>
        <w:lastRenderedPageBreak/>
        <w:t>C4</w:t>
      </w:r>
      <w:r>
        <w:tab/>
        <w:t xml:space="preserve">If a grantor elects to apply this Standard retrospectively in accordance with paragraph C3(b), the grantor shall: </w:t>
      </w:r>
    </w:p>
    <w:p w14:paraId="5387E282" w14:textId="77777777" w:rsidR="007F49DA" w:rsidRDefault="007F49DA" w:rsidP="007F49DA">
      <w:pPr>
        <w:pStyle w:val="NumPlain1"/>
        <w:numPr>
          <w:ilvl w:val="0"/>
          <w:numId w:val="0"/>
        </w:numPr>
        <w:ind w:left="1950" w:hanging="510"/>
      </w:pPr>
      <w:r>
        <w:t>(a)</w:t>
      </w:r>
      <w:r>
        <w:tab/>
        <w:t>…</w:t>
      </w:r>
    </w:p>
    <w:p w14:paraId="1F0964E1" w14:textId="1DD588F6" w:rsidR="007F49DA" w:rsidRDefault="007F49DA" w:rsidP="007F49DA">
      <w:pPr>
        <w:pStyle w:val="NumPlain1"/>
        <w:numPr>
          <w:ilvl w:val="0"/>
          <w:numId w:val="0"/>
        </w:numPr>
        <w:ind w:left="1950" w:hanging="510"/>
      </w:pPr>
      <w:r>
        <w:t>(b)</w:t>
      </w:r>
      <w:r>
        <w:tab/>
      </w:r>
      <w:r w:rsidRPr="00036AD0">
        <w:t xml:space="preserve">measure a financial liability arising under a service concession arrangement </w:t>
      </w:r>
      <w:r w:rsidRPr="00C223C7">
        <w:rPr>
          <w:strike/>
        </w:rPr>
        <w:t xml:space="preserve">in accordance with </w:t>
      </w:r>
      <w:r w:rsidRPr="00036AD0">
        <w:rPr>
          <w:strike/>
        </w:rPr>
        <w:t>this Standard</w:t>
      </w:r>
      <w:r w:rsidRPr="00036AD0">
        <w:t xml:space="preserve"> </w:t>
      </w:r>
      <w:r w:rsidR="00C223C7">
        <w:rPr>
          <w:u w:val="single"/>
        </w:rPr>
        <w:t>at fair value</w:t>
      </w:r>
      <w:r>
        <w:t xml:space="preserve"> </w:t>
      </w:r>
      <w:r w:rsidRPr="00036AD0">
        <w:t>at the date of initial application;</w:t>
      </w:r>
    </w:p>
    <w:p w14:paraId="466FC270" w14:textId="77777777" w:rsidR="007F49DA" w:rsidRDefault="007F49DA" w:rsidP="007F49DA">
      <w:pPr>
        <w:pStyle w:val="NumPlain1"/>
        <w:numPr>
          <w:ilvl w:val="0"/>
          <w:numId w:val="0"/>
        </w:numPr>
        <w:ind w:left="1950" w:hanging="510"/>
      </w:pPr>
      <w:r>
        <w:t>(c)</w:t>
      </w:r>
      <w:r>
        <w:tab/>
        <w:t xml:space="preserve">measure a liability representing the unearned portion of any revenue arising from the receipt of a service concession asset under the grant of a right to the operator model at the fair value (current replacement cost) of the related service concession asset at the date of initial application, adjusted to reflect the remaining period of the service concession arrangement relative to </w:t>
      </w:r>
      <w:r w:rsidRPr="009E0595">
        <w:t xml:space="preserve">the </w:t>
      </w:r>
      <w:r w:rsidRPr="009E0595">
        <w:rPr>
          <w:strike/>
        </w:rPr>
        <w:t>remaining economic life of the asset</w:t>
      </w:r>
      <w:r>
        <w:t xml:space="preserve"> </w:t>
      </w:r>
      <w:r w:rsidRPr="009E0595">
        <w:rPr>
          <w:u w:val="single"/>
        </w:rPr>
        <w:t>total period of the arrangement</w:t>
      </w:r>
      <w:r>
        <w:t>, less any related financial liabilities measured in accordance with paragraph (b);</w:t>
      </w:r>
    </w:p>
    <w:p w14:paraId="48830D17" w14:textId="77777777" w:rsidR="007F49DA" w:rsidRDefault="007F49DA" w:rsidP="007F49DA">
      <w:pPr>
        <w:pStyle w:val="NumPlain1"/>
        <w:numPr>
          <w:ilvl w:val="0"/>
          <w:numId w:val="0"/>
        </w:numPr>
        <w:spacing w:after="0"/>
        <w:ind w:left="1950" w:hanging="510"/>
      </w:pPr>
      <w:r w:rsidRPr="001D5B1E">
        <w:rPr>
          <w:u w:val="single"/>
        </w:rPr>
        <w:t>(d)</w:t>
      </w:r>
      <w:r>
        <w:tab/>
      </w:r>
      <w:r w:rsidRPr="009B75C0">
        <w:rPr>
          <w:u w:val="single"/>
        </w:rPr>
        <w:t xml:space="preserve">measure a liability representing the unearned portion of any revenue arising from the receipt of additional consideration from the operator for </w:t>
      </w:r>
      <w:r>
        <w:rPr>
          <w:u w:val="single"/>
        </w:rPr>
        <w:t xml:space="preserve">access to </w:t>
      </w:r>
      <w:r w:rsidRPr="009B75C0">
        <w:rPr>
          <w:u w:val="single"/>
        </w:rPr>
        <w:t>an existin</w:t>
      </w:r>
      <w:r>
        <w:rPr>
          <w:u w:val="single"/>
        </w:rPr>
        <w:t>g asset of the grantor that has</w:t>
      </w:r>
      <w:r w:rsidRPr="009B75C0">
        <w:rPr>
          <w:u w:val="single"/>
        </w:rPr>
        <w:t xml:space="preserve"> been reclassified as a service concession asset at the proceeds received</w:t>
      </w:r>
      <w:r>
        <w:rPr>
          <w:u w:val="single"/>
        </w:rPr>
        <w:t>,</w:t>
      </w:r>
      <w:r w:rsidRPr="009B75C0">
        <w:rPr>
          <w:u w:val="single"/>
        </w:rPr>
        <w:t xml:space="preserve"> adjusted to reflect the remaining period of the service concession arrangement relative to the total period of the arrangement</w:t>
      </w:r>
      <w:r w:rsidRPr="009B75C0">
        <w:t>;</w:t>
      </w:r>
    </w:p>
    <w:p w14:paraId="669A135B" w14:textId="77777777" w:rsidR="007F49DA" w:rsidRDefault="007F49DA" w:rsidP="007F49DA">
      <w:pPr>
        <w:pStyle w:val="NumPlain1"/>
        <w:numPr>
          <w:ilvl w:val="0"/>
          <w:numId w:val="0"/>
        </w:numPr>
        <w:spacing w:after="0"/>
        <w:ind w:left="1950" w:hanging="510"/>
      </w:pPr>
      <w:r w:rsidRPr="00FD2086">
        <w:t>(</w:t>
      </w:r>
      <w:r w:rsidRPr="00FD2086">
        <w:rPr>
          <w:strike/>
        </w:rPr>
        <w:t>d</w:t>
      </w:r>
      <w:r w:rsidRPr="00031C1C">
        <w:rPr>
          <w:u w:val="single"/>
        </w:rPr>
        <w:t>e</w:t>
      </w:r>
      <w:r w:rsidRPr="00FD2086">
        <w:t>)</w:t>
      </w:r>
      <w:r w:rsidRPr="00FD2086">
        <w:tab/>
        <w:t>recognise any net adjustments to the amounts of assets and liabilities as an adjustment to the opening balance of accumulated surplus (deficiency) at the date of initial application</w:t>
      </w:r>
      <w:r w:rsidRPr="007D3758">
        <w:t>;</w:t>
      </w:r>
      <w:r>
        <w:t xml:space="preserve"> and</w:t>
      </w:r>
    </w:p>
    <w:p w14:paraId="3FE56865" w14:textId="77777777" w:rsidR="007F49DA" w:rsidRDefault="007F49DA" w:rsidP="007F49DA">
      <w:pPr>
        <w:pStyle w:val="NumPlain1"/>
        <w:numPr>
          <w:ilvl w:val="0"/>
          <w:numId w:val="0"/>
        </w:numPr>
        <w:spacing w:after="0"/>
        <w:ind w:left="1950" w:hanging="510"/>
      </w:pPr>
      <w:r>
        <w:t>(</w:t>
      </w:r>
      <w:proofErr w:type="spellStart"/>
      <w:r w:rsidRPr="00FD2086">
        <w:rPr>
          <w:strike/>
        </w:rPr>
        <w:t>e</w:t>
      </w:r>
      <w:r w:rsidRPr="00FD2086">
        <w:rPr>
          <w:u w:val="single"/>
        </w:rPr>
        <w:t>f</w:t>
      </w:r>
      <w:proofErr w:type="spellEnd"/>
      <w:r>
        <w:t>)</w:t>
      </w:r>
      <w:r>
        <w:tab/>
        <w:t>disclose that it has applied this transition approach and information relating to the measurement of the assets and liabilities in support of the disclosure objective in paragraph 28.</w:t>
      </w:r>
    </w:p>
    <w:p w14:paraId="5EE2B877" w14:textId="77777777" w:rsidR="007F49DA" w:rsidRDefault="007F49DA" w:rsidP="007F49DA">
      <w:pPr>
        <w:pStyle w:val="NumPlain1"/>
        <w:numPr>
          <w:ilvl w:val="0"/>
          <w:numId w:val="0"/>
        </w:numPr>
        <w:ind w:left="1440"/>
      </w:pPr>
      <w:r>
        <w:t>…</w:t>
      </w:r>
    </w:p>
    <w:p w14:paraId="780BAF97" w14:textId="77777777" w:rsidR="006B7A7C" w:rsidRDefault="001A4E74" w:rsidP="005D349A">
      <w:pPr>
        <w:pStyle w:val="NumPlain1"/>
        <w:numPr>
          <w:ilvl w:val="0"/>
          <w:numId w:val="0"/>
        </w:numPr>
        <w:ind w:left="1440" w:hanging="930"/>
      </w:pPr>
      <w:r>
        <w:t>IG10</w:t>
      </w:r>
      <w:r w:rsidR="00AE1E99" w:rsidRPr="00B27792">
        <w:tab/>
      </w:r>
      <w:r w:rsidR="006B7A7C" w:rsidRPr="00B27792">
        <w:t xml:space="preserve">The </w:t>
      </w:r>
      <w:r w:rsidR="006B7A7C" w:rsidRPr="00CF6128">
        <w:t xml:space="preserve">diagram below summarises the </w:t>
      </w:r>
      <w:r w:rsidR="006B7A7C" w:rsidRPr="000B3B49">
        <w:rPr>
          <w:strike/>
        </w:rPr>
        <w:t>accounting</w:t>
      </w:r>
      <w:r w:rsidR="006B7A7C" w:rsidRPr="00CF6128">
        <w:t xml:space="preserve"> </w:t>
      </w:r>
      <w:r w:rsidR="006B7A7C" w:rsidRPr="000B3B49">
        <w:rPr>
          <w:u w:val="single"/>
        </w:rPr>
        <w:t>recognition and measurement</w:t>
      </w:r>
      <w:r w:rsidR="006B7A7C">
        <w:rPr>
          <w:u w:val="single"/>
        </w:rPr>
        <w:t xml:space="preserve"> requirements</w:t>
      </w:r>
      <w:r w:rsidR="006B7A7C" w:rsidRPr="00CF6128">
        <w:t xml:space="preserve"> for </w:t>
      </w:r>
      <w:r w:rsidR="006B7A7C" w:rsidRPr="000B3B49">
        <w:rPr>
          <w:u w:val="single"/>
        </w:rPr>
        <w:t>assets (other than goodwill) and</w:t>
      </w:r>
      <w:r w:rsidR="006B7A7C" w:rsidRPr="00CF6128">
        <w:t xml:space="preserve"> service concession arrangements </w:t>
      </w:r>
      <w:r w:rsidR="006B7A7C" w:rsidRPr="000B3B49">
        <w:rPr>
          <w:strike/>
        </w:rPr>
        <w:t>in accordance with</w:t>
      </w:r>
      <w:r w:rsidR="006B7A7C" w:rsidRPr="00CF6128">
        <w:t xml:space="preserve"> </w:t>
      </w:r>
      <w:r w:rsidR="006B7A7C">
        <w:rPr>
          <w:u w:val="single"/>
        </w:rPr>
        <w:t>subject to</w:t>
      </w:r>
      <w:r w:rsidR="006B7A7C" w:rsidRPr="00CC3B6B">
        <w:t xml:space="preserve"> </w:t>
      </w:r>
      <w:r w:rsidR="006B7A7C" w:rsidRPr="00CF6128">
        <w:t>AASB 1059</w:t>
      </w:r>
      <w:r w:rsidR="006B7A7C">
        <w:t>.</w:t>
      </w:r>
    </w:p>
    <w:p w14:paraId="6E65D0B7" w14:textId="0135555E" w:rsidR="00AE1E99" w:rsidRDefault="00FA7611" w:rsidP="001651E2">
      <w:pPr>
        <w:pStyle w:val="NumPlain1"/>
        <w:numPr>
          <w:ilvl w:val="0"/>
          <w:numId w:val="0"/>
        </w:numPr>
        <w:ind w:left="510" w:firstLine="908"/>
      </w:pPr>
      <w:r w:rsidRPr="0094275E">
        <w:rPr>
          <w:noProof/>
          <w:lang w:eastAsia="en-AU"/>
        </w:rPr>
        <mc:AlternateContent>
          <mc:Choice Requires="wps">
            <w:drawing>
              <wp:anchor distT="0" distB="0" distL="114300" distR="114300" simplePos="0" relativeHeight="251658241" behindDoc="0" locked="0" layoutInCell="1" allowOverlap="1" wp14:anchorId="116A2590" wp14:editId="03F95817">
                <wp:simplePos x="0" y="0"/>
                <wp:positionH relativeFrom="column">
                  <wp:posOffset>906424</wp:posOffset>
                </wp:positionH>
                <wp:positionV relativeFrom="paragraph">
                  <wp:posOffset>3880891</wp:posOffset>
                </wp:positionV>
                <wp:extent cx="2499995" cy="219456"/>
                <wp:effectExtent l="0" t="0" r="14605" b="28575"/>
                <wp:wrapNone/>
                <wp:docPr id="2" name="Rectangle 2" descr="The asset is a service concession asset&#10;&#10;The asset is a service concession asset"/>
                <wp:cNvGraphicFramePr/>
                <a:graphic xmlns:a="http://schemas.openxmlformats.org/drawingml/2006/main">
                  <a:graphicData uri="http://schemas.microsoft.com/office/word/2010/wordprocessingShape">
                    <wps:wsp>
                      <wps:cNvSpPr/>
                      <wps:spPr>
                        <a:xfrm>
                          <a:off x="0" y="0"/>
                          <a:ext cx="2499995" cy="219456"/>
                        </a:xfrm>
                        <a:prstGeom prst="rect">
                          <a:avLst/>
                        </a:prstGeom>
                        <a:noFill/>
                        <a:ln w="12700" cap="flat" cmpd="sng" algn="ctr">
                          <a:solidFill>
                            <a:schemeClr val="tx1"/>
                          </a:solidFill>
                          <a:prstDash val="solid"/>
                        </a:ln>
                        <a:effectLst/>
                      </wps:spPr>
                      <wps:txbx>
                        <w:txbxContent>
                          <w:p w14:paraId="0FCD366F" w14:textId="6AB5EAB6" w:rsidR="00074CB7" w:rsidRPr="00FA7611" w:rsidRDefault="00074CB7" w:rsidP="0094275E">
                            <w:pPr>
                              <w:jc w:val="center"/>
                              <w:rPr>
                                <w:sz w:val="16"/>
                                <w:szCs w:val="16"/>
                                <w:u w:val="single"/>
                              </w:rPr>
                            </w:pPr>
                            <w:r w:rsidRPr="00FA7611">
                              <w:rPr>
                                <w:sz w:val="16"/>
                                <w:szCs w:val="16"/>
                                <w:u w:val="single"/>
                              </w:rPr>
                              <w:t>The asset is a service concession asset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A2590" id="Rectangle 2" o:spid="_x0000_s1026" alt="The asset is a service concession asset&#10;&#10;The asset is a service concession asset" style="position:absolute;left:0;text-align:left;margin-left:71.35pt;margin-top:305.6pt;width:196.85pt;height:17.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" filled="f" strokecolor="black [3213]" strokeweight="1pt">
                <v:textbox>
                  <w:txbxContent>
                    <w:p w14:paraId="0FCD366F" w14:textId="6AB5EAB6" w:rsidR="00074CB7" w:rsidRPr="00FA7611" w:rsidRDefault="00074CB7" w:rsidP="0094275E">
                      <w:pPr>
                        <w:jc w:val="center"/>
                        <w:rPr>
                          <w:sz w:val="16"/>
                          <w:szCs w:val="16"/>
                          <w:u w:val="single"/>
                        </w:rPr>
                      </w:pPr>
                      <w:r w:rsidRPr="00FA7611">
                        <w:rPr>
                          <w:sz w:val="16"/>
                          <w:szCs w:val="16"/>
                          <w:u w:val="single"/>
                        </w:rPr>
                        <w:t>The asset is a service concession asset</w:t>
                      </w:r>
                    </w:p>
                  </w:txbxContent>
                </v:textbox>
              </v:rect>
            </w:pict>
          </mc:Fallback>
        </mc:AlternateContent>
      </w:r>
      <w:r w:rsidR="000B496F" w:rsidRPr="0094275E">
        <w:rPr>
          <w:noProof/>
          <w:lang w:eastAsia="en-AU"/>
        </w:rPr>
        <mc:AlternateContent>
          <mc:Choice Requires="wps">
            <w:drawing>
              <wp:anchor distT="0" distB="0" distL="114300" distR="114300" simplePos="0" relativeHeight="251658242" behindDoc="0" locked="0" layoutInCell="1" allowOverlap="1" wp14:anchorId="310A97FB" wp14:editId="26E4ED21">
                <wp:simplePos x="0" y="0"/>
                <wp:positionH relativeFrom="column">
                  <wp:posOffset>2129155</wp:posOffset>
                </wp:positionH>
                <wp:positionV relativeFrom="paragraph">
                  <wp:posOffset>4099865</wp:posOffset>
                </wp:positionV>
                <wp:extent cx="635" cy="294005"/>
                <wp:effectExtent l="76200" t="0" r="75565" b="48895"/>
                <wp:wrapNone/>
                <wp:docPr id="4" name="Straight Arrow Connector 4" descr="Arrow down" title="Arrow down"/>
                <wp:cNvGraphicFramePr/>
                <a:graphic xmlns:a="http://schemas.openxmlformats.org/drawingml/2006/main">
                  <a:graphicData uri="http://schemas.microsoft.com/office/word/2010/wordprocessingShape">
                    <wps:wsp>
                      <wps:cNvCnPr/>
                      <wps:spPr>
                        <a:xfrm>
                          <a:off x="0" y="0"/>
                          <a:ext cx="635" cy="29400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w14:anchorId="03D02BF3">
              <v:shapetype w14:anchorId="23F410E8" id="_x0000_t32" coordsize="21600,21600" o:spt="32" o:oned="t" path="m,l21600,21600e" filled="f">
                <v:path arrowok="t" fillok="f" o:connecttype="none"/>
                <o:lock v:ext="edit" shapetype="t"/>
              </v:shapetype>
              <v:shape id="Straight Arrow Connector 4" o:spid="_x0000_s1026" type="#_x0000_t32" alt="Title: Arrow down - Description: Arrow down" style="position:absolute;margin-left:167.65pt;margin-top:322.8pt;width:.05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" strokeweight="1pt">
                <v:stroke endarrow="block"/>
              </v:shape>
            </w:pict>
          </mc:Fallback>
        </mc:AlternateContent>
      </w:r>
      <w:r w:rsidR="00D841CC">
        <w:rPr>
          <w:noProof/>
          <w:lang w:eastAsia="en-AU"/>
        </w:rPr>
        <mc:AlternateContent>
          <mc:Choice Requires="wps">
            <w:drawing>
              <wp:anchor distT="0" distB="0" distL="114300" distR="114300" simplePos="0" relativeHeight="251658243" behindDoc="0" locked="0" layoutInCell="1" allowOverlap="1" wp14:anchorId="64379B0F" wp14:editId="3769CBA7">
                <wp:simplePos x="0" y="0"/>
                <wp:positionH relativeFrom="column">
                  <wp:posOffset>4963795</wp:posOffset>
                </wp:positionH>
                <wp:positionV relativeFrom="paragraph">
                  <wp:posOffset>945819</wp:posOffset>
                </wp:positionV>
                <wp:extent cx="4445" cy="487680"/>
                <wp:effectExtent l="76200" t="0" r="71755" b="64770"/>
                <wp:wrapNone/>
                <wp:docPr id="8" name="Straight Arrow Connector 8" descr="Arrow down" title="Arrow down"/>
                <wp:cNvGraphicFramePr/>
                <a:graphic xmlns:a="http://schemas.openxmlformats.org/drawingml/2006/main">
                  <a:graphicData uri="http://schemas.microsoft.com/office/word/2010/wordprocessingShape">
                    <wps:wsp>
                      <wps:cNvCnPr/>
                      <wps:spPr>
                        <a:xfrm>
                          <a:off x="0" y="0"/>
                          <a:ext cx="4445" cy="48768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xmlns:w16cex="http://schemas.microsoft.com/office/word/2018/wordml/cex" xmlns:w16="http://schemas.microsoft.com/office/word/2018/wordml" xmlns:arto="http://schemas.microsoft.com/office/word/2006/arto">
            <w:pict w14:anchorId="066682C6">
              <v:shape w14:anchorId="1CFD6BF9" id="Straight Arrow Connector 8" o:spid="_x0000_s1026" type="#_x0000_t32" alt="Title: Arrow down - Description: Arrow down" style="position:absolute;margin-left:390.85pt;margin-top:74.45pt;width:.35pt;height:38.4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" strokeweight="1pt">
                <v:stroke endarrow="block"/>
              </v:shape>
            </w:pict>
          </mc:Fallback>
        </mc:AlternateContent>
      </w:r>
      <w:r w:rsidR="0094275E" w:rsidRPr="003D2010">
        <w:rPr>
          <w:noProof/>
          <w:szCs w:val="19"/>
          <w:lang w:eastAsia="en-AU"/>
        </w:rPr>
        <mc:AlternateContent>
          <mc:Choice Requires="wpc">
            <w:drawing>
              <wp:inline distT="0" distB="0" distL="0" distR="0" wp14:anchorId="43CCD1D1" wp14:editId="72534380">
                <wp:extent cx="5246370" cy="4959706"/>
                <wp:effectExtent l="0" t="0" r="0" b="0"/>
                <wp:docPr id="3" name="Canvas 3" descr="Flowchart identifies and summarises the accounting for service concession assets" title="Accounting for service concession arrangement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Straight Arrow Connector 57"/>
                        <wps:cNvCnPr/>
                        <wps:spPr>
                          <a:xfrm flipH="1">
                            <a:off x="1236479" y="2452358"/>
                            <a:ext cx="317" cy="316865"/>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54" name="Rectangle 54"/>
                        <wps:cNvSpPr/>
                        <wps:spPr>
                          <a:xfrm>
                            <a:off x="3" y="1998029"/>
                            <a:ext cx="2490102" cy="467193"/>
                          </a:xfrm>
                          <a:prstGeom prst="rect">
                            <a:avLst/>
                          </a:prstGeom>
                          <a:noFill/>
                          <a:ln w="12700" cap="flat" cmpd="sng" algn="ctr">
                            <a:solidFill>
                              <a:sysClr val="windowText" lastClr="000000"/>
                            </a:solidFill>
                            <a:prstDash val="solid"/>
                          </a:ln>
                          <a:effectLst/>
                        </wps:spPr>
                        <wps:txbx>
                          <w:txbxContent>
                            <w:p w14:paraId="473FC338" w14:textId="77777777" w:rsidR="00074CB7" w:rsidRPr="00D755C1" w:rsidRDefault="00074CB7" w:rsidP="0094275E">
                              <w:pPr>
                                <w:pStyle w:val="NormalWeb"/>
                                <w:jc w:val="center"/>
                                <w:rPr>
                                  <w:sz w:val="16"/>
                                  <w:szCs w:val="16"/>
                                </w:rPr>
                              </w:pPr>
                              <w:r w:rsidRPr="00D755C1">
                                <w:rPr>
                                  <w:color w:val="000000"/>
                                  <w:sz w:val="16"/>
                                  <w:szCs w:val="16"/>
                                </w:rPr>
                                <w:t xml:space="preserve">Does the grantor control or regulate what </w:t>
                              </w:r>
                              <w:r w:rsidRPr="00D755C1">
                                <w:rPr>
                                  <w:color w:val="000000"/>
                                  <w:sz w:val="16"/>
                                  <w:szCs w:val="16"/>
                                  <w:u w:val="single"/>
                                </w:rPr>
                                <w:t>public</w:t>
                              </w:r>
                              <w:r w:rsidRPr="00D755C1">
                                <w:rPr>
                                  <w:color w:val="000000"/>
                                  <w:sz w:val="16"/>
                                  <w:szCs w:val="16"/>
                                </w:rPr>
                                <w:t xml:space="preserve"> services the operator must provide with the asset, to whom it must provide them, and at what price?</w:t>
                              </w:r>
                            </w:p>
                            <w:p w14:paraId="743114E1" w14:textId="77777777" w:rsidR="00074CB7" w:rsidRPr="00D755C1" w:rsidRDefault="00074CB7" w:rsidP="0094275E">
                              <w:pPr>
                                <w:pStyle w:val="NormalWeb"/>
                                <w:rPr>
                                  <w:sz w:val="16"/>
                                  <w:szCs w:val="16"/>
                                </w:rPr>
                              </w:pPr>
                              <w:r w:rsidRPr="00D755C1">
                                <w:rPr>
                                  <w:color w:val="000000"/>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a:off x="1235795" y="1705057"/>
                            <a:ext cx="684" cy="293452"/>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56" name="Rectangle 56"/>
                        <wps:cNvSpPr/>
                        <wps:spPr>
                          <a:xfrm>
                            <a:off x="10409" y="2762743"/>
                            <a:ext cx="2490212" cy="815382"/>
                          </a:xfrm>
                          <a:prstGeom prst="rect">
                            <a:avLst/>
                          </a:prstGeom>
                          <a:noFill/>
                          <a:ln w="12700" cap="flat" cmpd="sng" algn="ctr">
                            <a:solidFill>
                              <a:sysClr val="windowText" lastClr="000000"/>
                            </a:solidFill>
                            <a:prstDash val="solid"/>
                          </a:ln>
                          <a:effectLst/>
                        </wps:spPr>
                        <wps:txbx>
                          <w:txbxContent>
                            <w:p w14:paraId="19FAFE44" w14:textId="77777777" w:rsidR="00074CB7" w:rsidRPr="00D755C1" w:rsidRDefault="00074CB7" w:rsidP="0094275E">
                              <w:pPr>
                                <w:pStyle w:val="NormalWeb"/>
                                <w:jc w:val="center"/>
                                <w:rPr>
                                  <w:sz w:val="16"/>
                                  <w:szCs w:val="16"/>
                                </w:rPr>
                              </w:pPr>
                              <w:r w:rsidRPr="00D755C1">
                                <w:rPr>
                                  <w:color w:val="000000"/>
                                  <w:sz w:val="16"/>
                                  <w:szCs w:val="16"/>
                                </w:rPr>
                                <w:t xml:space="preserve">Does the grantor control, through ownership, beneficial entitlement or otherwise, any significant residual interest in the </w:t>
                              </w:r>
                              <w:r w:rsidRPr="00D755C1">
                                <w:rPr>
                                  <w:strike/>
                                  <w:color w:val="000000"/>
                                  <w:sz w:val="16"/>
                                  <w:szCs w:val="16"/>
                                </w:rPr>
                                <w:t>service concession</w:t>
                              </w:r>
                              <w:r w:rsidRPr="00D755C1">
                                <w:rPr>
                                  <w:color w:val="000000"/>
                                  <w:sz w:val="16"/>
                                  <w:szCs w:val="16"/>
                                </w:rPr>
                                <w:t xml:space="preserve"> asset at the end of the </w:t>
                              </w:r>
                              <w:r w:rsidRPr="00D755C1">
                                <w:rPr>
                                  <w:strike/>
                                  <w:color w:val="000000"/>
                                  <w:sz w:val="16"/>
                                  <w:szCs w:val="16"/>
                                </w:rPr>
                                <w:t>service concession</w:t>
                              </w:r>
                              <w:r w:rsidRPr="00D755C1">
                                <w:rPr>
                                  <w:color w:val="000000"/>
                                  <w:sz w:val="16"/>
                                  <w:szCs w:val="16"/>
                                </w:rPr>
                                <w:t xml:space="preserve"> arrangement? Or is the </w:t>
                              </w:r>
                              <w:r w:rsidRPr="00D755C1">
                                <w:rPr>
                                  <w:strike/>
                                  <w:color w:val="000000"/>
                                  <w:sz w:val="16"/>
                                  <w:szCs w:val="16"/>
                                </w:rPr>
                                <w:t>service concession</w:t>
                              </w:r>
                              <w:r w:rsidRPr="00D755C1">
                                <w:rPr>
                                  <w:color w:val="000000"/>
                                  <w:sz w:val="16"/>
                                  <w:szCs w:val="16"/>
                                </w:rPr>
                                <w:t xml:space="preserve"> asset used in the arrangement for its entire economic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87" y="0"/>
                            <a:ext cx="2490157" cy="962108"/>
                          </a:xfrm>
                          <a:prstGeom prst="rect">
                            <a:avLst/>
                          </a:prstGeom>
                          <a:noFill/>
                          <a:ln w="12700" cap="flat" cmpd="sng" algn="ctr">
                            <a:solidFill>
                              <a:sysClr val="windowText" lastClr="000000"/>
                            </a:solidFill>
                            <a:prstDash val="solid"/>
                          </a:ln>
                          <a:effectLst/>
                        </wps:spPr>
                        <wps:txbx>
                          <w:txbxContent>
                            <w:p w14:paraId="4CF93A5D" w14:textId="77777777" w:rsidR="00074CB7" w:rsidRPr="00D755C1" w:rsidRDefault="00074CB7" w:rsidP="0094275E">
                              <w:pPr>
                                <w:pStyle w:val="NormalWeb"/>
                                <w:jc w:val="center"/>
                                <w:rPr>
                                  <w:sz w:val="16"/>
                                  <w:szCs w:val="16"/>
                                </w:rPr>
                              </w:pPr>
                              <w:r w:rsidRPr="00D755C1">
                                <w:rPr>
                                  <w:color w:val="000000"/>
                                  <w:sz w:val="16"/>
                                  <w:szCs w:val="16"/>
                                </w:rPr>
                                <w:t xml:space="preserve">Is the </w:t>
                              </w:r>
                              <w:r w:rsidRPr="00D755C1">
                                <w:rPr>
                                  <w:strike/>
                                  <w:color w:val="000000"/>
                                  <w:sz w:val="16"/>
                                  <w:szCs w:val="16"/>
                                </w:rPr>
                                <w:t>service concession</w:t>
                              </w:r>
                              <w:r w:rsidRPr="00D755C1">
                                <w:rPr>
                                  <w:color w:val="000000"/>
                                  <w:sz w:val="16"/>
                                  <w:szCs w:val="16"/>
                                </w:rPr>
                                <w:t xml:space="preserve"> asset constructed, developed, acquired by the operator from a third party, or an upgrade or a major component replacement, </w:t>
                              </w:r>
                              <w:r w:rsidRPr="00D755C1">
                                <w:rPr>
                                  <w:strike/>
                                  <w:color w:val="000000"/>
                                  <w:sz w:val="16"/>
                                  <w:szCs w:val="16"/>
                                </w:rPr>
                                <w:t>for the purpose of the service concession arrangement,</w:t>
                              </w:r>
                              <w:r w:rsidRPr="00D755C1">
                                <w:rPr>
                                  <w:color w:val="000000"/>
                                  <w:sz w:val="16"/>
                                  <w:szCs w:val="16"/>
                                </w:rPr>
                                <w:t xml:space="preserve"> or is the asset an existing asset of the operator </w:t>
                              </w:r>
                              <w:r w:rsidRPr="00D755C1">
                                <w:rPr>
                                  <w:strike/>
                                  <w:color w:val="000000"/>
                                  <w:sz w:val="16"/>
                                  <w:szCs w:val="16"/>
                                </w:rPr>
                                <w:t>which becomes a service concession asset as part of the service concession arrangement</w:t>
                              </w:r>
                              <w:r w:rsidRPr="00D755C1">
                                <w:rPr>
                                  <w:color w:val="000000"/>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V="1">
                            <a:off x="2489839" y="2222699"/>
                            <a:ext cx="671830" cy="0"/>
                          </a:xfrm>
                          <a:prstGeom prst="straightConnector1">
                            <a:avLst/>
                          </a:prstGeom>
                          <a:noFill/>
                          <a:ln w="12700" cap="flat" cmpd="sng" algn="ctr">
                            <a:solidFill>
                              <a:sysClr val="windowText" lastClr="000000"/>
                            </a:solidFill>
                            <a:prstDash val="solid"/>
                            <a:tailEnd type="triangle"/>
                          </a:ln>
                          <a:effectLst/>
                        </wps:spPr>
                        <wps:bodyPr/>
                      </wps:wsp>
                      <wps:wsp>
                        <wps:cNvPr id="60" name="Straight Arrow Connector 60"/>
                        <wps:cNvCnPr/>
                        <wps:spPr>
                          <a:xfrm>
                            <a:off x="2490270" y="3167354"/>
                            <a:ext cx="674370" cy="6350"/>
                          </a:xfrm>
                          <a:prstGeom prst="straightConnector1">
                            <a:avLst/>
                          </a:prstGeom>
                          <a:noFill/>
                          <a:ln w="9525" cap="flat" cmpd="sng" algn="ctr">
                            <a:solidFill>
                              <a:sysClr val="windowText" lastClr="000000"/>
                            </a:solidFill>
                            <a:prstDash val="solid"/>
                            <a:tailEnd type="triangle"/>
                          </a:ln>
                          <a:effectLst/>
                        </wps:spPr>
                        <wps:bodyPr/>
                      </wps:wsp>
                      <wps:wsp>
                        <wps:cNvPr id="61" name="Rectangle 61"/>
                        <wps:cNvSpPr/>
                        <wps:spPr>
                          <a:xfrm>
                            <a:off x="3164180" y="0"/>
                            <a:ext cx="1805305" cy="929738"/>
                          </a:xfrm>
                          <a:prstGeom prst="rect">
                            <a:avLst/>
                          </a:prstGeom>
                          <a:noFill/>
                          <a:ln w="12700" cap="flat" cmpd="sng" algn="ctr">
                            <a:solidFill>
                              <a:sysClr val="windowText" lastClr="000000"/>
                            </a:solidFill>
                            <a:prstDash val="solid"/>
                          </a:ln>
                          <a:effectLst/>
                        </wps:spPr>
                        <wps:txbx>
                          <w:txbxContent>
                            <w:p w14:paraId="1040DC74" w14:textId="77777777" w:rsidR="00074CB7" w:rsidRPr="00D755C1" w:rsidRDefault="00074CB7" w:rsidP="0094275E">
                              <w:pPr>
                                <w:pStyle w:val="NormalWeb"/>
                                <w:jc w:val="center"/>
                                <w:rPr>
                                  <w:sz w:val="16"/>
                                  <w:szCs w:val="16"/>
                                </w:rPr>
                              </w:pPr>
                              <w:r w:rsidRPr="00D755C1">
                                <w:rPr>
                                  <w:color w:val="000000"/>
                                  <w:sz w:val="16"/>
                                  <w:szCs w:val="16"/>
                                </w:rPr>
                                <w:t xml:space="preserve">Is the </w:t>
                              </w:r>
                              <w:r w:rsidRPr="00D755C1">
                                <w:rPr>
                                  <w:strike/>
                                  <w:color w:val="000000"/>
                                  <w:sz w:val="16"/>
                                  <w:szCs w:val="16"/>
                                </w:rPr>
                                <w:t>service concession</w:t>
                              </w:r>
                              <w:r w:rsidRPr="00D755C1">
                                <w:rPr>
                                  <w:color w:val="000000"/>
                                  <w:sz w:val="16"/>
                                  <w:szCs w:val="16"/>
                                </w:rPr>
                                <w:t xml:space="preserve"> asset an existing asset of the grantor </w:t>
                              </w:r>
                              <w:r w:rsidRPr="00D755C1">
                                <w:rPr>
                                  <w:color w:val="000000"/>
                                  <w:sz w:val="16"/>
                                  <w:szCs w:val="16"/>
                                  <w:u w:val="single"/>
                                </w:rPr>
                                <w:t>or an upgrade or a major component replacement</w:t>
                              </w:r>
                              <w:r w:rsidRPr="00D755C1">
                                <w:rPr>
                                  <w:color w:val="000000"/>
                                  <w:sz w:val="16"/>
                                  <w:szCs w:val="16"/>
                                </w:rPr>
                                <w:t xml:space="preserve"> to which the operator is given access </w:t>
                              </w:r>
                              <w:r w:rsidRPr="00D755C1">
                                <w:rPr>
                                  <w:strike/>
                                  <w:color w:val="000000"/>
                                  <w:sz w:val="16"/>
                                  <w:szCs w:val="16"/>
                                </w:rPr>
                                <w:t>for the purpose of the service concession arrangement</w:t>
                              </w:r>
                              <w:r w:rsidRPr="00D755C1">
                                <w:rPr>
                                  <w:color w:val="000000"/>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3180332" y="1431305"/>
                            <a:ext cx="1804670" cy="2162685"/>
                          </a:xfrm>
                          <a:prstGeom prst="rect">
                            <a:avLst/>
                          </a:prstGeom>
                          <a:noFill/>
                          <a:ln w="12700" cap="flat" cmpd="sng" algn="ctr">
                            <a:solidFill>
                              <a:sysClr val="windowText" lastClr="000000"/>
                            </a:solidFill>
                            <a:prstDash val="solid"/>
                          </a:ln>
                          <a:effectLst/>
                        </wps:spPr>
                        <wps:txbx>
                          <w:txbxContent>
                            <w:p w14:paraId="2355F960" w14:textId="77777777" w:rsidR="00074CB7" w:rsidRPr="00D755C1" w:rsidRDefault="00074CB7" w:rsidP="0094275E">
                              <w:pPr>
                                <w:pStyle w:val="NormalWeb"/>
                                <w:jc w:val="center"/>
                                <w:rPr>
                                  <w:sz w:val="16"/>
                                  <w:szCs w:val="16"/>
                                </w:rPr>
                              </w:pPr>
                              <w:r w:rsidRPr="00D755C1">
                                <w:rPr>
                                  <w:b/>
                                  <w:color w:val="000000"/>
                                  <w:sz w:val="16"/>
                                  <w:szCs w:val="16"/>
                                </w:rPr>
                                <w:t>OUTSIDE THE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a:off x="1247008" y="3582309"/>
                            <a:ext cx="635" cy="294062"/>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65" name="Straight Arrow Connector 65"/>
                        <wps:cNvCnPr/>
                        <wps:spPr>
                          <a:xfrm flipH="1">
                            <a:off x="1239251" y="1218869"/>
                            <a:ext cx="2057747"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66" name="Rectangle 66"/>
                        <wps:cNvSpPr/>
                        <wps:spPr>
                          <a:xfrm>
                            <a:off x="8629" y="4396638"/>
                            <a:ext cx="5014736" cy="475285"/>
                          </a:xfrm>
                          <a:prstGeom prst="rect">
                            <a:avLst/>
                          </a:prstGeom>
                          <a:noFill/>
                          <a:ln w="12700" cap="flat" cmpd="sng" algn="ctr">
                            <a:solidFill>
                              <a:sysClr val="windowText" lastClr="000000"/>
                            </a:solidFill>
                            <a:prstDash val="solid"/>
                          </a:ln>
                          <a:effectLst/>
                        </wps:spPr>
                        <wps:txbx>
                          <w:txbxContent>
                            <w:p w14:paraId="344CAA4C" w14:textId="77777777" w:rsidR="00074CB7" w:rsidRPr="006105BF" w:rsidRDefault="00074CB7" w:rsidP="0094275E">
                              <w:pPr>
                                <w:pStyle w:val="NormalWeb"/>
                                <w:jc w:val="center"/>
                                <w:rPr>
                                  <w:b/>
                                  <w:sz w:val="16"/>
                                  <w:szCs w:val="16"/>
                                </w:rPr>
                              </w:pPr>
                              <w:r w:rsidRPr="006105BF">
                                <w:rPr>
                                  <w:b/>
                                  <w:color w:val="000000"/>
                                  <w:sz w:val="16"/>
                                  <w:szCs w:val="16"/>
                                </w:rPr>
                                <w:t>ACCOUNTING UNDER THE STANDARD</w:t>
                              </w:r>
                            </w:p>
                            <w:p w14:paraId="7C2DF7F4" w14:textId="77777777" w:rsidR="00074CB7" w:rsidRPr="006105BF" w:rsidRDefault="00074CB7" w:rsidP="0094275E">
                              <w:pPr>
                                <w:pStyle w:val="NormalWeb"/>
                                <w:rPr>
                                  <w:sz w:val="16"/>
                                  <w:szCs w:val="16"/>
                                </w:rPr>
                              </w:pPr>
                            </w:p>
                            <w:p w14:paraId="4CB8EE71" w14:textId="176B4C82" w:rsidR="00E76618" w:rsidRPr="00E76618" w:rsidRDefault="008C5414" w:rsidP="00AD5C2B">
                              <w:pPr>
                                <w:pStyle w:val="ListParagraph"/>
                                <w:numPr>
                                  <w:ilvl w:val="0"/>
                                  <w:numId w:val="26"/>
                                </w:numPr>
                                <w:rPr>
                                  <w:color w:val="000000"/>
                                  <w:sz w:val="16"/>
                                  <w:szCs w:val="16"/>
                                </w:rPr>
                              </w:pPr>
                              <w:r w:rsidRPr="008C5414">
                                <w:rPr>
                                  <w:color w:val="000000"/>
                                  <w:sz w:val="16"/>
                                  <w:szCs w:val="16"/>
                                </w:rPr>
                                <w:t xml:space="preserve">Grantor initially recognises a service concession asset, or reclassifies an existing asset as </w:t>
                              </w:r>
                              <w:r w:rsidR="00757D07" w:rsidRPr="00643AA2">
                                <w:rPr>
                                  <w:color w:val="000000"/>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Text Box 20"/>
                        <wps:cNvSpPr txBox="1"/>
                        <wps:spPr>
                          <a:xfrm>
                            <a:off x="4082516" y="1102873"/>
                            <a:ext cx="387985" cy="208915"/>
                          </a:xfrm>
                          <a:prstGeom prst="rect">
                            <a:avLst/>
                          </a:prstGeom>
                          <a:noFill/>
                          <a:ln w="6350">
                            <a:noFill/>
                          </a:ln>
                          <a:effectLst/>
                        </wps:spPr>
                        <wps:txbx>
                          <w:txbxContent>
                            <w:p w14:paraId="045C306E" w14:textId="77777777" w:rsidR="00074CB7" w:rsidRPr="00D755C1" w:rsidRDefault="00074CB7" w:rsidP="0094275E">
                              <w:pPr>
                                <w:pStyle w:val="NormalWeb"/>
                                <w:rPr>
                                  <w:sz w:val="16"/>
                                  <w:szCs w:val="16"/>
                                </w:rPr>
                              </w:pPr>
                              <w:r w:rsidRPr="00D755C1">
                                <w:rPr>
                                  <w:sz w:val="16"/>
                                  <w:szCs w:val="16"/>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20"/>
                        <wps:cNvSpPr txBox="1"/>
                        <wps:spPr>
                          <a:xfrm>
                            <a:off x="2653374" y="2014348"/>
                            <a:ext cx="387350" cy="208280"/>
                          </a:xfrm>
                          <a:prstGeom prst="rect">
                            <a:avLst/>
                          </a:prstGeom>
                          <a:noFill/>
                          <a:ln w="6350">
                            <a:noFill/>
                          </a:ln>
                          <a:effectLst/>
                        </wps:spPr>
                        <wps:txbx>
                          <w:txbxContent>
                            <w:p w14:paraId="5FBA91E0" w14:textId="77777777" w:rsidR="00074CB7" w:rsidRPr="00D755C1" w:rsidRDefault="00074CB7" w:rsidP="0094275E">
                              <w:pPr>
                                <w:pStyle w:val="NormalWeb"/>
                                <w:rPr>
                                  <w:sz w:val="16"/>
                                  <w:szCs w:val="16"/>
                                </w:rPr>
                              </w:pPr>
                              <w:r w:rsidRPr="00D755C1">
                                <w:rPr>
                                  <w:sz w:val="16"/>
                                  <w:szCs w:val="16"/>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20"/>
                        <wps:cNvSpPr txBox="1"/>
                        <wps:spPr>
                          <a:xfrm>
                            <a:off x="2643129" y="2959014"/>
                            <a:ext cx="387350" cy="208280"/>
                          </a:xfrm>
                          <a:prstGeom prst="rect">
                            <a:avLst/>
                          </a:prstGeom>
                          <a:noFill/>
                          <a:ln w="6350">
                            <a:noFill/>
                          </a:ln>
                          <a:effectLst/>
                        </wps:spPr>
                        <wps:txbx>
                          <w:txbxContent>
                            <w:p w14:paraId="137B14C5" w14:textId="77777777" w:rsidR="00074CB7" w:rsidRPr="00D755C1" w:rsidRDefault="00074CB7" w:rsidP="0094275E">
                              <w:pPr>
                                <w:pStyle w:val="NormalWeb"/>
                                <w:rPr>
                                  <w:sz w:val="16"/>
                                  <w:szCs w:val="16"/>
                                </w:rPr>
                              </w:pPr>
                              <w:r w:rsidRPr="00D755C1">
                                <w:rPr>
                                  <w:sz w:val="16"/>
                                  <w:szCs w:val="16"/>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20"/>
                        <wps:cNvSpPr txBox="1"/>
                        <wps:spPr>
                          <a:xfrm>
                            <a:off x="3308082" y="989864"/>
                            <a:ext cx="386080" cy="207010"/>
                          </a:xfrm>
                          <a:prstGeom prst="rect">
                            <a:avLst/>
                          </a:prstGeom>
                          <a:noFill/>
                          <a:ln w="6350">
                            <a:noFill/>
                          </a:ln>
                          <a:effectLst/>
                        </wps:spPr>
                        <wps:txbx>
                          <w:txbxContent>
                            <w:p w14:paraId="73D88D99" w14:textId="77777777" w:rsidR="00074CB7" w:rsidRPr="00D755C1" w:rsidRDefault="00074CB7" w:rsidP="0094275E">
                              <w:pPr>
                                <w:pStyle w:val="NormalWeb"/>
                                <w:rPr>
                                  <w:sz w:val="16"/>
                                  <w:szCs w:val="16"/>
                                </w:rPr>
                              </w:pPr>
                              <w:r w:rsidRPr="00D755C1">
                                <w:rPr>
                                  <w:sz w:val="16"/>
                                  <w:szCs w:val="16"/>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20"/>
                        <wps:cNvSpPr txBox="1"/>
                        <wps:spPr>
                          <a:xfrm>
                            <a:off x="1235795" y="1755245"/>
                            <a:ext cx="385445" cy="206375"/>
                          </a:xfrm>
                          <a:prstGeom prst="rect">
                            <a:avLst/>
                          </a:prstGeom>
                          <a:noFill/>
                          <a:ln w="6350">
                            <a:noFill/>
                          </a:ln>
                          <a:effectLst/>
                        </wps:spPr>
                        <wps:txbx>
                          <w:txbxContent>
                            <w:p w14:paraId="55BD2416" w14:textId="77777777" w:rsidR="00074CB7" w:rsidRPr="00D755C1" w:rsidRDefault="00074CB7" w:rsidP="0094275E">
                              <w:pPr>
                                <w:pStyle w:val="NormalWeb"/>
                                <w:rPr>
                                  <w:strike/>
                                  <w:sz w:val="16"/>
                                  <w:szCs w:val="16"/>
                                </w:rPr>
                              </w:pPr>
                              <w:r w:rsidRPr="00D755C1">
                                <w:rPr>
                                  <w:strike/>
                                  <w:sz w:val="16"/>
                                  <w:szCs w:val="16"/>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20"/>
                        <wps:cNvSpPr txBox="1"/>
                        <wps:spPr>
                          <a:xfrm>
                            <a:off x="1236480" y="2497933"/>
                            <a:ext cx="384810" cy="205740"/>
                          </a:xfrm>
                          <a:prstGeom prst="rect">
                            <a:avLst/>
                          </a:prstGeom>
                          <a:noFill/>
                          <a:ln w="6350">
                            <a:noFill/>
                          </a:ln>
                          <a:effectLst/>
                        </wps:spPr>
                        <wps:txbx>
                          <w:txbxContent>
                            <w:p w14:paraId="541E436C" w14:textId="77777777" w:rsidR="00074CB7" w:rsidRPr="00D755C1" w:rsidRDefault="00074CB7" w:rsidP="0094275E">
                              <w:pPr>
                                <w:pStyle w:val="NormalWeb"/>
                                <w:rPr>
                                  <w:sz w:val="16"/>
                                  <w:szCs w:val="16"/>
                                </w:rPr>
                              </w:pPr>
                              <w:r w:rsidRPr="00D755C1">
                                <w:rPr>
                                  <w:sz w:val="16"/>
                                  <w:szCs w:val="16"/>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20"/>
                        <wps:cNvSpPr txBox="1"/>
                        <wps:spPr>
                          <a:xfrm>
                            <a:off x="1238459" y="3617366"/>
                            <a:ext cx="384810" cy="205740"/>
                          </a:xfrm>
                          <a:prstGeom prst="rect">
                            <a:avLst/>
                          </a:prstGeom>
                          <a:noFill/>
                          <a:ln w="6350">
                            <a:noFill/>
                          </a:ln>
                          <a:effectLst/>
                        </wps:spPr>
                        <wps:txbx>
                          <w:txbxContent>
                            <w:p w14:paraId="280D6180" w14:textId="77777777" w:rsidR="00074CB7" w:rsidRPr="00D755C1" w:rsidRDefault="00074CB7" w:rsidP="0094275E">
                              <w:pPr>
                                <w:pStyle w:val="NormalWeb"/>
                                <w:rPr>
                                  <w:sz w:val="16"/>
                                  <w:szCs w:val="16"/>
                                </w:rPr>
                              </w:pPr>
                              <w:r w:rsidRPr="00D755C1">
                                <w:rPr>
                                  <w:sz w:val="16"/>
                                  <w:szCs w:val="16"/>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Rectangle 100"/>
                        <wps:cNvSpPr/>
                        <wps:spPr>
                          <a:xfrm>
                            <a:off x="4" y="1449928"/>
                            <a:ext cx="2500526" cy="243700"/>
                          </a:xfrm>
                          <a:prstGeom prst="rect">
                            <a:avLst/>
                          </a:prstGeom>
                          <a:noFill/>
                          <a:ln w="12700" cap="flat" cmpd="sng" algn="ctr">
                            <a:solidFill>
                              <a:sysClr val="windowText" lastClr="000000"/>
                            </a:solidFill>
                            <a:prstDash val="solid"/>
                          </a:ln>
                          <a:effectLst/>
                        </wps:spPr>
                        <wps:txbx>
                          <w:txbxContent>
                            <w:p w14:paraId="2462281E" w14:textId="77777777" w:rsidR="00074CB7" w:rsidRPr="00D755C1" w:rsidRDefault="00074CB7" w:rsidP="0094275E">
                              <w:pPr>
                                <w:pStyle w:val="NormalWeb"/>
                                <w:jc w:val="center"/>
                                <w:rPr>
                                  <w:strike/>
                                  <w:sz w:val="16"/>
                                  <w:szCs w:val="16"/>
                                </w:rPr>
                              </w:pPr>
                              <w:r w:rsidRPr="00D755C1">
                                <w:rPr>
                                  <w:strike/>
                                  <w:color w:val="000000"/>
                                  <w:sz w:val="16"/>
                                  <w:szCs w:val="16"/>
                                </w:rPr>
                                <w:t>Service concession arrangement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flipV="1">
                            <a:off x="2500622" y="509856"/>
                            <a:ext cx="671195" cy="0"/>
                          </a:xfrm>
                          <a:prstGeom prst="straightConnector1">
                            <a:avLst/>
                          </a:prstGeom>
                          <a:noFill/>
                          <a:ln w="12700" cap="flat" cmpd="sng" algn="ctr">
                            <a:solidFill>
                              <a:sysClr val="windowText" lastClr="000000"/>
                            </a:solidFill>
                            <a:prstDash val="solid"/>
                            <a:tailEnd type="triangle"/>
                          </a:ln>
                          <a:effectLst/>
                        </wps:spPr>
                        <wps:bodyPr/>
                      </wps:wsp>
                      <wps:wsp>
                        <wps:cNvPr id="102" name="Text Box 20"/>
                        <wps:cNvSpPr txBox="1"/>
                        <wps:spPr>
                          <a:xfrm>
                            <a:off x="2642862" y="318255"/>
                            <a:ext cx="386715" cy="207645"/>
                          </a:xfrm>
                          <a:prstGeom prst="rect">
                            <a:avLst/>
                          </a:prstGeom>
                          <a:noFill/>
                          <a:ln w="6350">
                            <a:noFill/>
                          </a:ln>
                          <a:effectLst/>
                        </wps:spPr>
                        <wps:txbx>
                          <w:txbxContent>
                            <w:p w14:paraId="64A9DEB6" w14:textId="77777777" w:rsidR="00074CB7" w:rsidRPr="00D755C1" w:rsidRDefault="00074CB7" w:rsidP="0094275E">
                              <w:pPr>
                                <w:pStyle w:val="NormalWeb"/>
                                <w:rPr>
                                  <w:sz w:val="16"/>
                                  <w:szCs w:val="16"/>
                                </w:rPr>
                              </w:pPr>
                              <w:r w:rsidRPr="00D755C1">
                                <w:rPr>
                                  <w:sz w:val="16"/>
                                  <w:szCs w:val="16"/>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Straight Arrow Connector 103"/>
                        <wps:cNvCnPr>
                          <a:stCxn id="58" idx="2"/>
                          <a:endCxn id="100" idx="0"/>
                        </wps:cNvCnPr>
                        <wps:spPr>
                          <a:xfrm>
                            <a:off x="1245366" y="962108"/>
                            <a:ext cx="4901" cy="4878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104" name="Text Box 20"/>
                        <wps:cNvSpPr txBox="1"/>
                        <wps:spPr>
                          <a:xfrm>
                            <a:off x="1180095" y="1005156"/>
                            <a:ext cx="384810" cy="205740"/>
                          </a:xfrm>
                          <a:prstGeom prst="rect">
                            <a:avLst/>
                          </a:prstGeom>
                          <a:noFill/>
                          <a:ln w="6350">
                            <a:noFill/>
                          </a:ln>
                          <a:effectLst/>
                        </wps:spPr>
                        <wps:txbx>
                          <w:txbxContent>
                            <w:p w14:paraId="63D1E7D2" w14:textId="77777777" w:rsidR="00074CB7" w:rsidRPr="00D755C1" w:rsidRDefault="00074CB7" w:rsidP="0094275E">
                              <w:pPr>
                                <w:pStyle w:val="NormalWeb"/>
                                <w:rPr>
                                  <w:sz w:val="16"/>
                                  <w:szCs w:val="16"/>
                                </w:rPr>
                              </w:pPr>
                              <w:r w:rsidRPr="00D755C1">
                                <w:rPr>
                                  <w:sz w:val="16"/>
                                  <w:szCs w:val="16"/>
                                  <w:lang w:val="en-US"/>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flipH="1">
                            <a:off x="3307541" y="943043"/>
                            <a:ext cx="686" cy="282057"/>
                          </a:xfrm>
                          <a:prstGeom prst="line">
                            <a:avLst/>
                          </a:prstGeom>
                          <a:noFill/>
                          <a:ln w="12700" cap="flat" cmpd="sng" algn="ctr">
                            <a:solidFill>
                              <a:sysClr val="windowText" lastClr="000000"/>
                            </a:solidFill>
                            <a:prstDash val="solid"/>
                          </a:ln>
                          <a:effectLst/>
                        </wps:spPr>
                        <wps:bodyPr/>
                      </wps:wsp>
                    </wpc:wpc>
                  </a:graphicData>
                </a:graphic>
              </wp:inline>
            </w:drawing>
          </mc:Choice>
          <mc:Fallback>
            <w:pict>
              <v:group w14:anchorId="43CCD1D1" id="Canvas 3" o:spid="_x0000_s1027" editas="canvas" alt="Title: Accounting for service concession arrangements - Description: Flowchart identifies and summarises the accounting for service concession assets" style="width:413.1pt;height:390.55pt;mso-position-horizontal-relative:char;mso-position-vertical-relative:line" coordsize="52463,4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owchart identifies and summarises the accounting for service concession assets" style="position:absolute;width:52463;height:49593;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57" o:spid="_x0000_s1029" type="#_x0000_t32" style="position:absolute;left:12364;top:24523;width:3;height:31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" strokeweight="1pt">
                  <v:stroke endarrow="block"/>
                </v:shape>
                <v:rect id="Rectangle 54" o:spid="_x0000_s1030" style="position:absolute;top:19980;width:24901;height:4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" filled="f" strokecolor="windowText" strokeweight="1pt">
                  <v:textbox>
                    <w:txbxContent>
                      <w:p w14:paraId="473FC338" w14:textId="77777777" w:rsidR="00074CB7" w:rsidRPr="00D755C1" w:rsidRDefault="00074CB7" w:rsidP="0094275E">
                        <w:pPr>
                          <w:pStyle w:val="NormalWeb"/>
                          <w:jc w:val="center"/>
                          <w:rPr>
                            <w:sz w:val="16"/>
                            <w:szCs w:val="16"/>
                          </w:rPr>
                        </w:pPr>
                        <w:r w:rsidRPr="00D755C1">
                          <w:rPr>
                            <w:color w:val="000000"/>
                            <w:sz w:val="16"/>
                            <w:szCs w:val="16"/>
                          </w:rPr>
                          <w:t xml:space="preserve">Does the grantor control or regulate what </w:t>
                        </w:r>
                        <w:r w:rsidRPr="00D755C1">
                          <w:rPr>
                            <w:color w:val="000000"/>
                            <w:sz w:val="16"/>
                            <w:szCs w:val="16"/>
                            <w:u w:val="single"/>
                          </w:rPr>
                          <w:t>public</w:t>
                        </w:r>
                        <w:r w:rsidRPr="00D755C1">
                          <w:rPr>
                            <w:color w:val="000000"/>
                            <w:sz w:val="16"/>
                            <w:szCs w:val="16"/>
                          </w:rPr>
                          <w:t xml:space="preserve"> services the operator must provide with the asset, to whom it must provide them, and at what price?</w:t>
                        </w:r>
                      </w:p>
                      <w:p w14:paraId="743114E1" w14:textId="77777777" w:rsidR="00074CB7" w:rsidRPr="00D755C1" w:rsidRDefault="00074CB7" w:rsidP="0094275E">
                        <w:pPr>
                          <w:pStyle w:val="NormalWeb"/>
                          <w:rPr>
                            <w:sz w:val="16"/>
                            <w:szCs w:val="16"/>
                          </w:rPr>
                        </w:pPr>
                        <w:r w:rsidRPr="00D755C1">
                          <w:rPr>
                            <w:color w:val="000000"/>
                            <w:sz w:val="16"/>
                            <w:szCs w:val="16"/>
                          </w:rPr>
                          <w:t> </w:t>
                        </w:r>
                      </w:p>
                    </w:txbxContent>
                  </v:textbox>
                </v:rect>
                <v:shape id="Straight Arrow Connector 55" o:spid="_x0000_s1031" type="#_x0000_t32" style="position:absolute;left:12357;top:17050;width:7;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" strokeweight="1pt">
                  <v:stroke endarrow="block"/>
                </v:shape>
                <v:rect id="Rectangle 56" o:spid="_x0000_s1032" style="position:absolute;left:104;top:27627;width:24902;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textbox>
                    <w:txbxContent>
                      <w:p w14:paraId="19FAFE44" w14:textId="77777777" w:rsidR="00074CB7" w:rsidRPr="00D755C1" w:rsidRDefault="00074CB7" w:rsidP="0094275E">
                        <w:pPr>
                          <w:pStyle w:val="NormalWeb"/>
                          <w:jc w:val="center"/>
                          <w:rPr>
                            <w:sz w:val="16"/>
                            <w:szCs w:val="16"/>
                          </w:rPr>
                        </w:pPr>
                        <w:r w:rsidRPr="00D755C1">
                          <w:rPr>
                            <w:color w:val="000000"/>
                            <w:sz w:val="16"/>
                            <w:szCs w:val="16"/>
                          </w:rPr>
                          <w:t xml:space="preserve">Does the grantor control, through ownership, beneficial entitlement or otherwise, any significant residual interest in the </w:t>
                        </w:r>
                        <w:r w:rsidRPr="00D755C1">
                          <w:rPr>
                            <w:strike/>
                            <w:color w:val="000000"/>
                            <w:sz w:val="16"/>
                            <w:szCs w:val="16"/>
                          </w:rPr>
                          <w:t>service concession</w:t>
                        </w:r>
                        <w:r w:rsidRPr="00D755C1">
                          <w:rPr>
                            <w:color w:val="000000"/>
                            <w:sz w:val="16"/>
                            <w:szCs w:val="16"/>
                          </w:rPr>
                          <w:t xml:space="preserve"> asset at the end of the </w:t>
                        </w:r>
                        <w:r w:rsidRPr="00D755C1">
                          <w:rPr>
                            <w:strike/>
                            <w:color w:val="000000"/>
                            <w:sz w:val="16"/>
                            <w:szCs w:val="16"/>
                          </w:rPr>
                          <w:t>service concession</w:t>
                        </w:r>
                        <w:r w:rsidRPr="00D755C1">
                          <w:rPr>
                            <w:color w:val="000000"/>
                            <w:sz w:val="16"/>
                            <w:szCs w:val="16"/>
                          </w:rPr>
                          <w:t xml:space="preserve"> arrangement? Or is the </w:t>
                        </w:r>
                        <w:r w:rsidRPr="00D755C1">
                          <w:rPr>
                            <w:strike/>
                            <w:color w:val="000000"/>
                            <w:sz w:val="16"/>
                            <w:szCs w:val="16"/>
                          </w:rPr>
                          <w:t>service concession</w:t>
                        </w:r>
                        <w:r w:rsidRPr="00D755C1">
                          <w:rPr>
                            <w:color w:val="000000"/>
                            <w:sz w:val="16"/>
                            <w:szCs w:val="16"/>
                          </w:rPr>
                          <w:t xml:space="preserve"> asset used in the arrangement for its entire economic life?</w:t>
                        </w:r>
                      </w:p>
                    </w:txbxContent>
                  </v:textbox>
                </v:rect>
                <v:rect id="Rectangle 58" o:spid="_x0000_s1033" style="position:absolute;left:2;width:24902;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tLwQAAANsAAAAPAAAAZHJzL2Rvd25yZXYueG1sRE/Pa8Iw&#10;FL4L+x/CG3jTxI2N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KAEW0vBAAAA2wAAAA8AAAAA&#10;AAAAAAAAAAAABwIAAGRycy9kb3ducmV2LnhtbFBLBQYAAAAAAwADALcAAAD1AgAAAAA=&#10;" filled="f" strokecolor="windowText" strokeweight="1pt">
                  <v:textbox>
                    <w:txbxContent>
                      <w:p w14:paraId="4CF93A5D" w14:textId="77777777" w:rsidR="00074CB7" w:rsidRPr="00D755C1" w:rsidRDefault="00074CB7" w:rsidP="0094275E">
                        <w:pPr>
                          <w:pStyle w:val="NormalWeb"/>
                          <w:jc w:val="center"/>
                          <w:rPr>
                            <w:sz w:val="16"/>
                            <w:szCs w:val="16"/>
                          </w:rPr>
                        </w:pPr>
                        <w:r w:rsidRPr="00D755C1">
                          <w:rPr>
                            <w:color w:val="000000"/>
                            <w:sz w:val="16"/>
                            <w:szCs w:val="16"/>
                          </w:rPr>
                          <w:t xml:space="preserve">Is the </w:t>
                        </w:r>
                        <w:r w:rsidRPr="00D755C1">
                          <w:rPr>
                            <w:strike/>
                            <w:color w:val="000000"/>
                            <w:sz w:val="16"/>
                            <w:szCs w:val="16"/>
                          </w:rPr>
                          <w:t>service concession</w:t>
                        </w:r>
                        <w:r w:rsidRPr="00D755C1">
                          <w:rPr>
                            <w:color w:val="000000"/>
                            <w:sz w:val="16"/>
                            <w:szCs w:val="16"/>
                          </w:rPr>
                          <w:t xml:space="preserve"> asset constructed, developed, acquired by the operator from a third party, or an upgrade or a major component replacement, </w:t>
                        </w:r>
                        <w:r w:rsidRPr="00D755C1">
                          <w:rPr>
                            <w:strike/>
                            <w:color w:val="000000"/>
                            <w:sz w:val="16"/>
                            <w:szCs w:val="16"/>
                          </w:rPr>
                          <w:t>for the purpose of the service concession arrangement,</w:t>
                        </w:r>
                        <w:r w:rsidRPr="00D755C1">
                          <w:rPr>
                            <w:color w:val="000000"/>
                            <w:sz w:val="16"/>
                            <w:szCs w:val="16"/>
                          </w:rPr>
                          <w:t xml:space="preserve"> or is the asset an existing asset of the operator </w:t>
                        </w:r>
                        <w:r w:rsidRPr="00D755C1">
                          <w:rPr>
                            <w:strike/>
                            <w:color w:val="000000"/>
                            <w:sz w:val="16"/>
                            <w:szCs w:val="16"/>
                          </w:rPr>
                          <w:t>which becomes a service concession asset as part of the service concession arrangement</w:t>
                        </w:r>
                        <w:r w:rsidRPr="00D755C1">
                          <w:rPr>
                            <w:color w:val="000000"/>
                            <w:sz w:val="16"/>
                            <w:szCs w:val="16"/>
                          </w:rPr>
                          <w:t>?</w:t>
                        </w:r>
                      </w:p>
                    </w:txbxContent>
                  </v:textbox>
                </v:rect>
                <v:shape id="Straight Arrow Connector 59" o:spid="_x0000_s1034" type="#_x0000_t32" style="position:absolute;left:24898;top:22226;width:67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" strokecolor="windowText" strokeweight="1pt">
                  <v:stroke endarrow="block"/>
                </v:shape>
                <v:shape id="Straight Arrow Connector 60" o:spid="_x0000_s1035" type="#_x0000_t32" style="position:absolute;left:24902;top:31673;width:6744;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" strokecolor="windowText">
                  <v:stroke endarrow="block"/>
                </v:shape>
                <v:rect id="Rectangle 61" o:spid="_x0000_s1036" style="position:absolute;left:31641;width:18053;height:9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" filled="f" strokecolor="windowText" strokeweight="1pt">
                  <v:textbox>
                    <w:txbxContent>
                      <w:p w14:paraId="1040DC74" w14:textId="77777777" w:rsidR="00074CB7" w:rsidRPr="00D755C1" w:rsidRDefault="00074CB7" w:rsidP="0094275E">
                        <w:pPr>
                          <w:pStyle w:val="NormalWeb"/>
                          <w:jc w:val="center"/>
                          <w:rPr>
                            <w:sz w:val="16"/>
                            <w:szCs w:val="16"/>
                          </w:rPr>
                        </w:pPr>
                        <w:r w:rsidRPr="00D755C1">
                          <w:rPr>
                            <w:color w:val="000000"/>
                            <w:sz w:val="16"/>
                            <w:szCs w:val="16"/>
                          </w:rPr>
                          <w:t xml:space="preserve">Is the </w:t>
                        </w:r>
                        <w:r w:rsidRPr="00D755C1">
                          <w:rPr>
                            <w:strike/>
                            <w:color w:val="000000"/>
                            <w:sz w:val="16"/>
                            <w:szCs w:val="16"/>
                          </w:rPr>
                          <w:t>service concession</w:t>
                        </w:r>
                        <w:r w:rsidRPr="00D755C1">
                          <w:rPr>
                            <w:color w:val="000000"/>
                            <w:sz w:val="16"/>
                            <w:szCs w:val="16"/>
                          </w:rPr>
                          <w:t xml:space="preserve"> asset an existing asset of the grantor </w:t>
                        </w:r>
                        <w:r w:rsidRPr="00D755C1">
                          <w:rPr>
                            <w:color w:val="000000"/>
                            <w:sz w:val="16"/>
                            <w:szCs w:val="16"/>
                            <w:u w:val="single"/>
                          </w:rPr>
                          <w:t>or an upgrade or a major component replacement</w:t>
                        </w:r>
                        <w:r w:rsidRPr="00D755C1">
                          <w:rPr>
                            <w:color w:val="000000"/>
                            <w:sz w:val="16"/>
                            <w:szCs w:val="16"/>
                          </w:rPr>
                          <w:t xml:space="preserve"> to which the operator is given access </w:t>
                        </w:r>
                        <w:r w:rsidRPr="00D755C1">
                          <w:rPr>
                            <w:strike/>
                            <w:color w:val="000000"/>
                            <w:sz w:val="16"/>
                            <w:szCs w:val="16"/>
                          </w:rPr>
                          <w:t>for the purpose of the service concession arrangement</w:t>
                        </w:r>
                        <w:r w:rsidRPr="00D755C1">
                          <w:rPr>
                            <w:color w:val="000000"/>
                            <w:sz w:val="16"/>
                            <w:szCs w:val="16"/>
                          </w:rPr>
                          <w:t>?</w:t>
                        </w:r>
                      </w:p>
                    </w:txbxContent>
                  </v:textbox>
                </v:rect>
                <v:rect id="Rectangle 63" o:spid="_x0000_s1037" style="position:absolute;left:31803;top:14313;width:18047;height:2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" filled="f" strokecolor="windowText" strokeweight="1pt">
                  <v:textbox>
                    <w:txbxContent>
                      <w:p w14:paraId="2355F960" w14:textId="77777777" w:rsidR="00074CB7" w:rsidRPr="00D755C1" w:rsidRDefault="00074CB7" w:rsidP="0094275E">
                        <w:pPr>
                          <w:pStyle w:val="NormalWeb"/>
                          <w:jc w:val="center"/>
                          <w:rPr>
                            <w:sz w:val="16"/>
                            <w:szCs w:val="16"/>
                          </w:rPr>
                        </w:pPr>
                        <w:r w:rsidRPr="00D755C1">
                          <w:rPr>
                            <w:b/>
                            <w:color w:val="000000"/>
                            <w:sz w:val="16"/>
                            <w:szCs w:val="16"/>
                          </w:rPr>
                          <w:t>OUTSIDE THE STANDARD</w:t>
                        </w:r>
                      </w:p>
                    </w:txbxContent>
                  </v:textbox>
                </v:rect>
                <v:shape id="Straight Arrow Connector 64" o:spid="_x0000_s1038" type="#_x0000_t32" style="position:absolute;left:12470;top:35823;width:6;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" strokeweight="1pt">
                  <v:stroke endarrow="block"/>
                </v:shape>
                <v:shape id="Straight Arrow Connector 65" o:spid="_x0000_s1039" type="#_x0000_t32" style="position:absolute;left:12392;top:12188;width:205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" strokeweight="1pt">
                  <v:stroke endarrow="block"/>
                </v:shape>
                <v:rect id="Rectangle 66" o:spid="_x0000_s1040" style="position:absolute;left:86;top:43966;width:50147;height:4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" filled="f" strokecolor="windowText" strokeweight="1pt">
                  <v:textbox>
                    <w:txbxContent>
                      <w:p w14:paraId="344CAA4C" w14:textId="77777777" w:rsidR="00074CB7" w:rsidRPr="006105BF" w:rsidRDefault="00074CB7" w:rsidP="0094275E">
                        <w:pPr>
                          <w:pStyle w:val="NormalWeb"/>
                          <w:jc w:val="center"/>
                          <w:rPr>
                            <w:b/>
                            <w:sz w:val="16"/>
                            <w:szCs w:val="16"/>
                          </w:rPr>
                        </w:pPr>
                        <w:r w:rsidRPr="006105BF">
                          <w:rPr>
                            <w:b/>
                            <w:color w:val="000000"/>
                            <w:sz w:val="16"/>
                            <w:szCs w:val="16"/>
                          </w:rPr>
                          <w:t>ACCOUNTING UNDER THE STANDARD</w:t>
                        </w:r>
                      </w:p>
                      <w:p w14:paraId="7C2DF7F4" w14:textId="77777777" w:rsidR="00074CB7" w:rsidRPr="006105BF" w:rsidRDefault="00074CB7" w:rsidP="0094275E">
                        <w:pPr>
                          <w:pStyle w:val="NormalWeb"/>
                          <w:rPr>
                            <w:sz w:val="16"/>
                            <w:szCs w:val="16"/>
                          </w:rPr>
                        </w:pPr>
                      </w:p>
                      <w:p w14:paraId="4CB8EE71" w14:textId="176B4C82" w:rsidR="00E76618" w:rsidRPr="00E76618" w:rsidRDefault="008C5414" w:rsidP="00AD5C2B">
                        <w:pPr>
                          <w:pStyle w:val="ListParagraph"/>
                          <w:numPr>
                            <w:ilvl w:val="0"/>
                            <w:numId w:val="26"/>
                          </w:numPr>
                          <w:rPr>
                            <w:color w:val="000000"/>
                            <w:sz w:val="16"/>
                            <w:szCs w:val="16"/>
                          </w:rPr>
                        </w:pPr>
                        <w:r w:rsidRPr="008C5414">
                          <w:rPr>
                            <w:color w:val="000000"/>
                            <w:sz w:val="16"/>
                            <w:szCs w:val="16"/>
                          </w:rPr>
                          <w:t xml:space="preserve">Grantor initially recognises a service concession asset, or reclassifies an existing asset as </w:t>
                        </w:r>
                        <w:r w:rsidR="00757D07" w:rsidRPr="00643AA2">
                          <w:rPr>
                            <w:color w:val="000000"/>
                            <w:sz w:val="16"/>
                            <w:szCs w:val="16"/>
                          </w:rPr>
                          <w:t>…</w:t>
                        </w:r>
                      </w:p>
                    </w:txbxContent>
                  </v:textbox>
                </v:rect>
                <v:shapetype id="_x0000_t202" coordsize="21600,21600" o:spt="202" path="m,l,21600r21600,l21600,xe">
                  <v:stroke joinstyle="miter"/>
                  <v:path gradientshapeok="t" o:connecttype="rect"/>
                </v:shapetype>
                <v:shape id="Text Box 20" o:spid="_x0000_s1041" type="#_x0000_t202" style="position:absolute;left:40825;top:11028;width:3880;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45C306E" w14:textId="77777777" w:rsidR="00074CB7" w:rsidRPr="00D755C1" w:rsidRDefault="00074CB7" w:rsidP="0094275E">
                        <w:pPr>
                          <w:pStyle w:val="NormalWeb"/>
                          <w:rPr>
                            <w:sz w:val="16"/>
                            <w:szCs w:val="16"/>
                          </w:rPr>
                        </w:pPr>
                        <w:r w:rsidRPr="00D755C1">
                          <w:rPr>
                            <w:sz w:val="16"/>
                            <w:szCs w:val="16"/>
                            <w:lang w:val="en-US"/>
                          </w:rPr>
                          <w:t>No</w:t>
                        </w:r>
                      </w:p>
                    </w:txbxContent>
                  </v:textbox>
                </v:shape>
                <v:shape id="Text Box 20" o:spid="_x0000_s1042" type="#_x0000_t202" style="position:absolute;left:26533;top:20143;width:387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FBA91E0" w14:textId="77777777" w:rsidR="00074CB7" w:rsidRPr="00D755C1" w:rsidRDefault="00074CB7" w:rsidP="0094275E">
                        <w:pPr>
                          <w:pStyle w:val="NormalWeb"/>
                          <w:rPr>
                            <w:sz w:val="16"/>
                            <w:szCs w:val="16"/>
                          </w:rPr>
                        </w:pPr>
                        <w:r w:rsidRPr="00D755C1">
                          <w:rPr>
                            <w:sz w:val="16"/>
                            <w:szCs w:val="16"/>
                            <w:lang w:val="en-US"/>
                          </w:rPr>
                          <w:t>No</w:t>
                        </w:r>
                      </w:p>
                    </w:txbxContent>
                  </v:textbox>
                </v:shape>
                <v:shape id="Text Box 20" o:spid="_x0000_s1043" type="#_x0000_t202" style="position:absolute;left:26431;top:29590;width:387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137B14C5" w14:textId="77777777" w:rsidR="00074CB7" w:rsidRPr="00D755C1" w:rsidRDefault="00074CB7" w:rsidP="0094275E">
                        <w:pPr>
                          <w:pStyle w:val="NormalWeb"/>
                          <w:rPr>
                            <w:sz w:val="16"/>
                            <w:szCs w:val="16"/>
                          </w:rPr>
                        </w:pPr>
                        <w:r w:rsidRPr="00D755C1">
                          <w:rPr>
                            <w:sz w:val="16"/>
                            <w:szCs w:val="16"/>
                            <w:lang w:val="en-US"/>
                          </w:rPr>
                          <w:t>No</w:t>
                        </w:r>
                      </w:p>
                    </w:txbxContent>
                  </v:textbox>
                </v:shape>
                <v:shape id="Text Box 20" o:spid="_x0000_s1044" type="#_x0000_t202" style="position:absolute;left:33080;top:9898;width:386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3D88D99" w14:textId="77777777" w:rsidR="00074CB7" w:rsidRPr="00D755C1" w:rsidRDefault="00074CB7" w:rsidP="0094275E">
                        <w:pPr>
                          <w:pStyle w:val="NormalWeb"/>
                          <w:rPr>
                            <w:sz w:val="16"/>
                            <w:szCs w:val="16"/>
                          </w:rPr>
                        </w:pPr>
                        <w:r w:rsidRPr="00D755C1">
                          <w:rPr>
                            <w:sz w:val="16"/>
                            <w:szCs w:val="16"/>
                            <w:lang w:val="en-US"/>
                          </w:rPr>
                          <w:t>Yes</w:t>
                        </w:r>
                      </w:p>
                    </w:txbxContent>
                  </v:textbox>
                </v:shape>
                <v:shape id="Text Box 20" o:spid="_x0000_s1045" type="#_x0000_t202" style="position:absolute;left:12357;top:17552;width:38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55BD2416" w14:textId="77777777" w:rsidR="00074CB7" w:rsidRPr="00D755C1" w:rsidRDefault="00074CB7" w:rsidP="0094275E">
                        <w:pPr>
                          <w:pStyle w:val="NormalWeb"/>
                          <w:rPr>
                            <w:strike/>
                            <w:sz w:val="16"/>
                            <w:szCs w:val="16"/>
                          </w:rPr>
                        </w:pPr>
                        <w:r w:rsidRPr="00D755C1">
                          <w:rPr>
                            <w:strike/>
                            <w:sz w:val="16"/>
                            <w:szCs w:val="16"/>
                            <w:lang w:val="en-US"/>
                          </w:rPr>
                          <w:t>Yes</w:t>
                        </w:r>
                      </w:p>
                    </w:txbxContent>
                  </v:textbox>
                </v:shape>
                <v:shape id="Text Box 20" o:spid="_x0000_s1046" type="#_x0000_t202" style="position:absolute;left:12364;top:24979;width:384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541E436C" w14:textId="77777777" w:rsidR="00074CB7" w:rsidRPr="00D755C1" w:rsidRDefault="00074CB7" w:rsidP="0094275E">
                        <w:pPr>
                          <w:pStyle w:val="NormalWeb"/>
                          <w:rPr>
                            <w:sz w:val="16"/>
                            <w:szCs w:val="16"/>
                          </w:rPr>
                        </w:pPr>
                        <w:r w:rsidRPr="00D755C1">
                          <w:rPr>
                            <w:sz w:val="16"/>
                            <w:szCs w:val="16"/>
                            <w:lang w:val="en-US"/>
                          </w:rPr>
                          <w:t>Yes</w:t>
                        </w:r>
                      </w:p>
                    </w:txbxContent>
                  </v:textbox>
                </v:shape>
                <v:shape id="Text Box 20" o:spid="_x0000_s1047" type="#_x0000_t202" style="position:absolute;left:12384;top:36173;width:384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80D6180" w14:textId="77777777" w:rsidR="00074CB7" w:rsidRPr="00D755C1" w:rsidRDefault="00074CB7" w:rsidP="0094275E">
                        <w:pPr>
                          <w:pStyle w:val="NormalWeb"/>
                          <w:rPr>
                            <w:sz w:val="16"/>
                            <w:szCs w:val="16"/>
                          </w:rPr>
                        </w:pPr>
                        <w:r w:rsidRPr="00D755C1">
                          <w:rPr>
                            <w:sz w:val="16"/>
                            <w:szCs w:val="16"/>
                            <w:lang w:val="en-US"/>
                          </w:rPr>
                          <w:t>Yes</w:t>
                        </w:r>
                      </w:p>
                    </w:txbxContent>
                  </v:textbox>
                </v:shape>
                <v:rect id="Rectangle 100" o:spid="_x0000_s1048" style="position:absolute;top:14499;width:25005;height: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" filled="f" strokecolor="windowText" strokeweight="1pt">
                  <v:textbox>
                    <w:txbxContent>
                      <w:p w14:paraId="2462281E" w14:textId="77777777" w:rsidR="00074CB7" w:rsidRPr="00D755C1" w:rsidRDefault="00074CB7" w:rsidP="0094275E">
                        <w:pPr>
                          <w:pStyle w:val="NormalWeb"/>
                          <w:jc w:val="center"/>
                          <w:rPr>
                            <w:strike/>
                            <w:sz w:val="16"/>
                            <w:szCs w:val="16"/>
                          </w:rPr>
                        </w:pPr>
                        <w:r w:rsidRPr="00D755C1">
                          <w:rPr>
                            <w:strike/>
                            <w:color w:val="000000"/>
                            <w:sz w:val="16"/>
                            <w:szCs w:val="16"/>
                          </w:rPr>
                          <w:t>Service concession arrangement</w:t>
                        </w:r>
                      </w:p>
                    </w:txbxContent>
                  </v:textbox>
                </v:rect>
                <v:shape id="Straight Arrow Connector 101" o:spid="_x0000_s1049" type="#_x0000_t32" style="position:absolute;left:25006;top:5098;width:67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" strokecolor="windowText" strokeweight="1pt">
                  <v:stroke endarrow="block"/>
                </v:shape>
                <v:shape id="Text Box 20" o:spid="_x0000_s1050" type="#_x0000_t202" style="position:absolute;left:26428;top:3182;width:386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64A9DEB6" w14:textId="77777777" w:rsidR="00074CB7" w:rsidRPr="00D755C1" w:rsidRDefault="00074CB7" w:rsidP="0094275E">
                        <w:pPr>
                          <w:pStyle w:val="NormalWeb"/>
                          <w:rPr>
                            <w:sz w:val="16"/>
                            <w:szCs w:val="16"/>
                          </w:rPr>
                        </w:pPr>
                        <w:r w:rsidRPr="00D755C1">
                          <w:rPr>
                            <w:sz w:val="16"/>
                            <w:szCs w:val="16"/>
                            <w:lang w:val="en-US"/>
                          </w:rPr>
                          <w:t>No</w:t>
                        </w:r>
                      </w:p>
                    </w:txbxContent>
                  </v:textbox>
                </v:shape>
                <v:shape id="Straight Arrow Connector 103" o:spid="_x0000_s1051" type="#_x0000_t32" style="position:absolute;left:12453;top:9621;width:49;height:4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" strokeweight="1pt">
                  <v:stroke endarrow="block"/>
                </v:shape>
                <v:shape id="Text Box 20" o:spid="_x0000_s1052" type="#_x0000_t202" style="position:absolute;left:11800;top:10051;width:384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3D1E7D2" w14:textId="77777777" w:rsidR="00074CB7" w:rsidRPr="00D755C1" w:rsidRDefault="00074CB7" w:rsidP="0094275E">
                        <w:pPr>
                          <w:pStyle w:val="NormalWeb"/>
                          <w:rPr>
                            <w:sz w:val="16"/>
                            <w:szCs w:val="16"/>
                          </w:rPr>
                        </w:pPr>
                        <w:r w:rsidRPr="00D755C1">
                          <w:rPr>
                            <w:sz w:val="16"/>
                            <w:szCs w:val="16"/>
                            <w:lang w:val="en-US"/>
                          </w:rPr>
                          <w:t>Yes</w:t>
                        </w:r>
                      </w:p>
                    </w:txbxContent>
                  </v:textbox>
                </v:shape>
                <v:line id="Straight Connector 1" o:spid="_x0000_s1053" style="position:absolute;flip:x;visibility:visible;mso-wrap-style:square" from="33075,9430" to="33082,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" strokecolor="windowText" strokeweight="1pt"/>
                <w10:anchorlock/>
              </v:group>
            </w:pict>
          </mc:Fallback>
        </mc:AlternateContent>
      </w:r>
    </w:p>
    <w:p w14:paraId="53050047" w14:textId="03FD07CC" w:rsidR="00C8083E" w:rsidRPr="00662611" w:rsidRDefault="00C8083E" w:rsidP="004453D4">
      <w:pPr>
        <w:pStyle w:val="IGpara1"/>
        <w:numPr>
          <w:ilvl w:val="0"/>
          <w:numId w:val="0"/>
        </w:numPr>
        <w:spacing w:before="100"/>
        <w:ind w:left="1440" w:hanging="930"/>
      </w:pPr>
      <w:bookmarkStart w:id="16" w:name="_Ref486087154"/>
      <w:r>
        <w:lastRenderedPageBreak/>
        <w:t>IG13</w:t>
      </w:r>
      <w:r>
        <w:tab/>
      </w:r>
      <w:r w:rsidRPr="00662611">
        <w:t xml:space="preserve">The table below compares the key features of various common types of arrangements for private sector participation in the provision of public services. This table presents simple arrangements, however the classification of an arrangement as a construction contract with a service </w:t>
      </w:r>
      <w:r>
        <w:t>outsourcing</w:t>
      </w:r>
      <w:r w:rsidRPr="00662611">
        <w:t xml:space="preserve"> contract, lease, service concession arrangement, or sale or privatisation will depend on the specific terms and conditions of the arrangement.</w:t>
      </w:r>
      <w:bookmarkEnd w:id="16"/>
    </w:p>
    <w:tbl>
      <w:tblPr>
        <w:tblStyle w:val="TableGrid"/>
        <w:tblW w:w="8505" w:type="dxa"/>
        <w:tblInd w:w="562" w:type="dxa"/>
        <w:tblLayout w:type="fixed"/>
        <w:tblLook w:val="04A0" w:firstRow="1" w:lastRow="0" w:firstColumn="1" w:lastColumn="0" w:noHBand="0" w:noVBand="1"/>
        <w:tblCaption w:val="Key features of common types of arrangements"/>
        <w:tblDescription w:val="Table covers construction contracts with service outsourcing contract, leases, service concession arrangements and sales/privatisations."/>
      </w:tblPr>
      <w:tblGrid>
        <w:gridCol w:w="1701"/>
        <w:gridCol w:w="1701"/>
        <w:gridCol w:w="1701"/>
        <w:gridCol w:w="1701"/>
        <w:gridCol w:w="1701"/>
      </w:tblGrid>
      <w:tr w:rsidR="00B60A6D" w:rsidRPr="002C674E" w14:paraId="14620338" w14:textId="77777777" w:rsidTr="00B60A6D">
        <w:trPr>
          <w:tblHead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1E8911E" w14:textId="77777777" w:rsidR="00B60A6D" w:rsidRPr="002C674E" w:rsidRDefault="00B60A6D" w:rsidP="00C41B48">
            <w:pPr>
              <w:pStyle w:val="NumPlain1"/>
              <w:numPr>
                <w:ilvl w:val="0"/>
                <w:numId w:val="0"/>
              </w:numPr>
              <w:spacing w:before="60" w:after="60"/>
              <w:rPr>
                <w:b/>
                <w:sz w:val="16"/>
                <w:szCs w:val="16"/>
              </w:rPr>
            </w:pPr>
            <w:r w:rsidRPr="002C674E">
              <w:rPr>
                <w:b/>
                <w:sz w:val="16"/>
                <w:szCs w:val="16"/>
              </w:rPr>
              <w:t>Features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13DFE6" w14:textId="77777777" w:rsidR="00B60A6D" w:rsidRPr="002C674E" w:rsidRDefault="00B60A6D" w:rsidP="00C41B48">
            <w:pPr>
              <w:pStyle w:val="NumPlain1"/>
              <w:numPr>
                <w:ilvl w:val="0"/>
                <w:numId w:val="0"/>
              </w:numPr>
              <w:spacing w:before="60" w:after="60"/>
              <w:jc w:val="center"/>
              <w:rPr>
                <w:b/>
                <w:sz w:val="16"/>
                <w:szCs w:val="16"/>
                <w:vertAlign w:val="superscript"/>
              </w:rPr>
            </w:pPr>
            <w:r w:rsidRPr="002C674E">
              <w:rPr>
                <w:b/>
                <w:sz w:val="16"/>
                <w:szCs w:val="16"/>
              </w:rPr>
              <w:t>Construction contract with service outsourcing contract</w:t>
            </w:r>
            <w:r w:rsidRPr="002C674E">
              <w:rPr>
                <w:b/>
                <w:sz w:val="16"/>
                <w:szCs w:val="16"/>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8156A4" w14:textId="76E33F63" w:rsidR="00B60A6D" w:rsidRPr="002C674E" w:rsidRDefault="00B60A6D" w:rsidP="00C41B48">
            <w:pPr>
              <w:pStyle w:val="NumPlain1"/>
              <w:numPr>
                <w:ilvl w:val="0"/>
                <w:numId w:val="0"/>
              </w:numPr>
              <w:spacing w:before="60" w:after="60"/>
              <w:jc w:val="center"/>
              <w:rPr>
                <w:b/>
                <w:sz w:val="16"/>
                <w:szCs w:val="16"/>
                <w:vertAlign w:val="superscript"/>
              </w:rPr>
            </w:pPr>
            <w:r w:rsidRPr="002C674E">
              <w:rPr>
                <w:b/>
                <w:sz w:val="16"/>
                <w:szCs w:val="16"/>
              </w:rPr>
              <w:t>Lease</w:t>
            </w:r>
            <w:r w:rsidRPr="002C674E">
              <w:rPr>
                <w:b/>
                <w:sz w:val="16"/>
                <w:szCs w:val="16"/>
                <w:vertAlign w:val="superscript"/>
              </w:rPr>
              <w:t>2</w:t>
            </w:r>
          </w:p>
          <w:p w14:paraId="7FE5CB7C" w14:textId="77777777" w:rsidR="00B60A6D" w:rsidRPr="002C674E" w:rsidRDefault="00B60A6D" w:rsidP="00C41B48">
            <w:pPr>
              <w:pStyle w:val="NumPlain1"/>
              <w:numPr>
                <w:ilvl w:val="0"/>
                <w:numId w:val="0"/>
              </w:numPr>
              <w:spacing w:before="60" w:after="60"/>
              <w:jc w:val="center"/>
              <w:rPr>
                <w:sz w:val="16"/>
                <w:szCs w:val="16"/>
              </w:rPr>
            </w:pPr>
            <w:r w:rsidRPr="002C674E">
              <w:rPr>
                <w:sz w:val="16"/>
                <w:szCs w:val="16"/>
              </w:rPr>
              <w:t>(grantor is lessor)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C4231" w14:textId="77777777" w:rsidR="00B60A6D" w:rsidRPr="002C674E" w:rsidRDefault="00B60A6D" w:rsidP="00C41B48">
            <w:pPr>
              <w:pStyle w:val="NumPlain1"/>
              <w:numPr>
                <w:ilvl w:val="0"/>
                <w:numId w:val="0"/>
              </w:numPr>
              <w:spacing w:before="60" w:after="60"/>
              <w:jc w:val="center"/>
              <w:rPr>
                <w:b/>
                <w:sz w:val="16"/>
                <w:szCs w:val="16"/>
                <w:vertAlign w:val="superscript"/>
              </w:rPr>
            </w:pPr>
            <w:r w:rsidRPr="002C674E">
              <w:rPr>
                <w:b/>
                <w:sz w:val="16"/>
                <w:szCs w:val="16"/>
              </w:rPr>
              <w:t>Service concession arrangement</w:t>
            </w:r>
            <w:r w:rsidRPr="002C674E">
              <w:rPr>
                <w:b/>
                <w:sz w:val="16"/>
                <w:szCs w:val="16"/>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42C3E" w14:textId="77777777" w:rsidR="00B60A6D" w:rsidRPr="002C674E" w:rsidRDefault="00B60A6D" w:rsidP="00C41B48">
            <w:pPr>
              <w:pStyle w:val="NumPlain1"/>
              <w:numPr>
                <w:ilvl w:val="0"/>
                <w:numId w:val="0"/>
              </w:numPr>
              <w:spacing w:before="60" w:after="60"/>
              <w:jc w:val="center"/>
              <w:rPr>
                <w:b/>
                <w:sz w:val="16"/>
                <w:szCs w:val="16"/>
              </w:rPr>
            </w:pPr>
            <w:r w:rsidRPr="002C674E">
              <w:rPr>
                <w:b/>
                <w:sz w:val="16"/>
                <w:szCs w:val="16"/>
              </w:rPr>
              <w:t>Sale/Privatisation</w:t>
            </w:r>
            <w:r w:rsidRPr="002C674E">
              <w:rPr>
                <w:b/>
                <w:sz w:val="16"/>
                <w:szCs w:val="16"/>
                <w:vertAlign w:val="superscript"/>
              </w:rPr>
              <w:t>4</w:t>
            </w:r>
          </w:p>
        </w:tc>
      </w:tr>
      <w:tr w:rsidR="00B60A6D" w:rsidRPr="002C674E" w14:paraId="0F991E68" w14:textId="77777777" w:rsidTr="00B60A6D">
        <w:tc>
          <w:tcPr>
            <w:tcW w:w="1701" w:type="dxa"/>
            <w:tcBorders>
              <w:top w:val="single" w:sz="4" w:space="0" w:color="auto"/>
              <w:left w:val="single" w:sz="4" w:space="0" w:color="auto"/>
              <w:right w:val="single" w:sz="4" w:space="0" w:color="auto"/>
            </w:tcBorders>
            <w:shd w:val="clear" w:color="auto" w:fill="auto"/>
          </w:tcPr>
          <w:p w14:paraId="0F2233C5" w14:textId="77777777" w:rsidR="00B60A6D" w:rsidRPr="00844F07" w:rsidRDefault="00B60A6D" w:rsidP="00844F07">
            <w:pPr>
              <w:pStyle w:val="NumPlain1"/>
              <w:numPr>
                <w:ilvl w:val="0"/>
                <w:numId w:val="0"/>
              </w:numPr>
              <w:spacing w:before="60" w:after="60"/>
              <w:jc w:val="left"/>
              <w:rPr>
                <w:b/>
                <w:sz w:val="16"/>
                <w:szCs w:val="16"/>
              </w:rPr>
            </w:pPr>
            <w:r w:rsidRPr="00844F07">
              <w:rPr>
                <w:b/>
                <w:sz w:val="16"/>
                <w:szCs w:val="16"/>
              </w:rPr>
              <w:t>Determining whether arrangement is within the scope of AASB 1059 (paragraphs 2, IG2)</w:t>
            </w:r>
          </w:p>
        </w:tc>
        <w:tc>
          <w:tcPr>
            <w:tcW w:w="1701" w:type="dxa"/>
            <w:tcBorders>
              <w:top w:val="single" w:sz="4" w:space="0" w:color="auto"/>
              <w:left w:val="single" w:sz="4" w:space="0" w:color="auto"/>
              <w:bottom w:val="single" w:sz="4" w:space="0" w:color="auto"/>
              <w:right w:val="single" w:sz="4" w:space="0" w:color="auto"/>
            </w:tcBorders>
          </w:tcPr>
          <w:p w14:paraId="2E28B76D" w14:textId="77777777" w:rsidR="00B60A6D" w:rsidRPr="002C674E" w:rsidRDefault="00B60A6D" w:rsidP="00844F07">
            <w:pPr>
              <w:pStyle w:val="NumPlain1"/>
              <w:numPr>
                <w:ilvl w:val="0"/>
                <w:numId w:val="0"/>
              </w:numPr>
              <w:spacing w:before="60" w:after="60"/>
              <w:jc w:val="left"/>
              <w:rPr>
                <w:sz w:val="16"/>
                <w:szCs w:val="16"/>
              </w:rPr>
            </w:pPr>
            <w:r w:rsidRPr="002C674E">
              <w:rPr>
                <w:i/>
                <w:sz w:val="16"/>
                <w:szCs w:val="16"/>
              </w:rPr>
              <w:t>Conclusion</w:t>
            </w:r>
            <w:r w:rsidRPr="002C674E">
              <w:rPr>
                <w:sz w:val="16"/>
                <w:szCs w:val="16"/>
              </w:rPr>
              <w:t xml:space="preserve"> (based on analysis below) –</w:t>
            </w:r>
          </w:p>
          <w:p w14:paraId="6B11A68A" w14:textId="77777777" w:rsidR="00B60A6D" w:rsidRPr="002C674E" w:rsidRDefault="00B60A6D" w:rsidP="00844F07">
            <w:pPr>
              <w:pStyle w:val="NumPlain1"/>
              <w:numPr>
                <w:ilvl w:val="0"/>
                <w:numId w:val="0"/>
              </w:numPr>
              <w:spacing w:before="60" w:after="60"/>
              <w:jc w:val="left"/>
              <w:rPr>
                <w:sz w:val="16"/>
                <w:szCs w:val="16"/>
              </w:rPr>
            </w:pPr>
            <w:r w:rsidRPr="002C674E">
              <w:rPr>
                <w:b/>
                <w:sz w:val="16"/>
                <w:szCs w:val="16"/>
              </w:rPr>
              <w:t>Outside</w:t>
            </w:r>
            <w:r w:rsidRPr="002C674E">
              <w:rPr>
                <w:sz w:val="16"/>
                <w:szCs w:val="16"/>
              </w:rPr>
              <w:t xml:space="preserve"> the scope of AASB </w:t>
            </w:r>
            <w:r>
              <w:rPr>
                <w:sz w:val="16"/>
                <w:szCs w:val="16"/>
              </w:rPr>
              <w:t>1059</w:t>
            </w:r>
            <w:r w:rsidRPr="002C674E">
              <w:rPr>
                <w:sz w:val="16"/>
                <w:szCs w:val="16"/>
              </w:rPr>
              <w:t xml:space="preserve"> and grantor controls the asset.</w:t>
            </w:r>
          </w:p>
        </w:tc>
        <w:tc>
          <w:tcPr>
            <w:tcW w:w="1701" w:type="dxa"/>
            <w:tcBorders>
              <w:top w:val="single" w:sz="4" w:space="0" w:color="auto"/>
              <w:left w:val="single" w:sz="4" w:space="0" w:color="auto"/>
              <w:bottom w:val="single" w:sz="4" w:space="0" w:color="auto"/>
              <w:right w:val="single" w:sz="4" w:space="0" w:color="auto"/>
            </w:tcBorders>
          </w:tcPr>
          <w:p w14:paraId="1F2EE316" w14:textId="36000BA4" w:rsidR="00B60A6D" w:rsidRPr="002C674E" w:rsidRDefault="00B60A6D" w:rsidP="00844F07">
            <w:pPr>
              <w:pStyle w:val="NumPlain1"/>
              <w:numPr>
                <w:ilvl w:val="0"/>
                <w:numId w:val="0"/>
              </w:numPr>
              <w:spacing w:before="60" w:after="60"/>
              <w:jc w:val="left"/>
              <w:rPr>
                <w:sz w:val="16"/>
                <w:szCs w:val="16"/>
              </w:rPr>
            </w:pPr>
            <w:r w:rsidRPr="002C674E">
              <w:rPr>
                <w:i/>
                <w:sz w:val="16"/>
                <w:szCs w:val="16"/>
              </w:rPr>
              <w:t>Conclusion</w:t>
            </w:r>
            <w:r w:rsidRPr="002C674E">
              <w:rPr>
                <w:sz w:val="16"/>
                <w:szCs w:val="16"/>
              </w:rPr>
              <w:t xml:space="preserve"> (based on analysis below) –</w:t>
            </w:r>
          </w:p>
          <w:p w14:paraId="64CA8CA5" w14:textId="77777777" w:rsidR="00B60A6D" w:rsidRPr="002C674E" w:rsidRDefault="00B60A6D" w:rsidP="00844F07">
            <w:pPr>
              <w:pStyle w:val="NumPlain1"/>
              <w:numPr>
                <w:ilvl w:val="0"/>
                <w:numId w:val="0"/>
              </w:numPr>
              <w:spacing w:before="60" w:after="60"/>
              <w:jc w:val="left"/>
              <w:rPr>
                <w:sz w:val="16"/>
                <w:szCs w:val="16"/>
              </w:rPr>
            </w:pPr>
            <w:r w:rsidRPr="002C674E">
              <w:rPr>
                <w:b/>
                <w:sz w:val="16"/>
                <w:szCs w:val="16"/>
              </w:rPr>
              <w:t>Depending</w:t>
            </w:r>
            <w:r w:rsidRPr="002C674E">
              <w:rPr>
                <w:sz w:val="16"/>
                <w:szCs w:val="16"/>
              </w:rPr>
              <w:t xml:space="preserve"> on terms of arrangement, can be outside or within the scope of AASB </w:t>
            </w:r>
            <w:r>
              <w:rPr>
                <w:sz w:val="16"/>
                <w:szCs w:val="16"/>
              </w:rPr>
              <w:t>1059</w:t>
            </w:r>
            <w:r w:rsidRPr="002C674E">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284FC" w14:textId="77777777" w:rsidR="00B60A6D" w:rsidRPr="002C674E" w:rsidRDefault="00B60A6D" w:rsidP="00844F07">
            <w:pPr>
              <w:pStyle w:val="NumPlain1"/>
              <w:numPr>
                <w:ilvl w:val="0"/>
                <w:numId w:val="0"/>
              </w:numPr>
              <w:spacing w:before="60" w:after="60"/>
              <w:jc w:val="left"/>
              <w:rPr>
                <w:sz w:val="16"/>
                <w:szCs w:val="16"/>
              </w:rPr>
            </w:pPr>
            <w:r w:rsidRPr="002C674E">
              <w:rPr>
                <w:i/>
                <w:sz w:val="16"/>
                <w:szCs w:val="16"/>
              </w:rPr>
              <w:t>Conclusion</w:t>
            </w:r>
            <w:r w:rsidRPr="002C674E">
              <w:rPr>
                <w:sz w:val="16"/>
                <w:szCs w:val="16"/>
              </w:rPr>
              <w:t xml:space="preserve"> (based on analysis below) –</w:t>
            </w:r>
          </w:p>
          <w:p w14:paraId="2F3498BB" w14:textId="77777777" w:rsidR="00B60A6D" w:rsidRPr="002C674E" w:rsidRDefault="00B60A6D" w:rsidP="00844F07">
            <w:pPr>
              <w:pStyle w:val="NumPlain1"/>
              <w:numPr>
                <w:ilvl w:val="0"/>
                <w:numId w:val="0"/>
              </w:numPr>
              <w:spacing w:before="60" w:after="60"/>
              <w:jc w:val="left"/>
              <w:rPr>
                <w:color w:val="006600"/>
                <w:sz w:val="16"/>
                <w:szCs w:val="16"/>
              </w:rPr>
            </w:pPr>
            <w:r w:rsidRPr="002C674E">
              <w:rPr>
                <w:b/>
                <w:sz w:val="16"/>
                <w:szCs w:val="16"/>
              </w:rPr>
              <w:t>Within</w:t>
            </w:r>
            <w:r w:rsidRPr="002C674E">
              <w:rPr>
                <w:sz w:val="16"/>
                <w:szCs w:val="16"/>
              </w:rPr>
              <w:t xml:space="preserve"> the scope of AASB </w:t>
            </w:r>
            <w:r>
              <w:rPr>
                <w:sz w:val="16"/>
                <w:szCs w:val="16"/>
              </w:rPr>
              <w:t>1059</w:t>
            </w:r>
            <w:r w:rsidRPr="002C674E">
              <w:rPr>
                <w:sz w:val="16"/>
                <w:szCs w:val="16"/>
              </w:rPr>
              <w:t xml:space="preserve"> and grantor controls the asset.</w:t>
            </w:r>
          </w:p>
        </w:tc>
        <w:tc>
          <w:tcPr>
            <w:tcW w:w="1701" w:type="dxa"/>
            <w:tcBorders>
              <w:top w:val="single" w:sz="4" w:space="0" w:color="auto"/>
              <w:left w:val="single" w:sz="4" w:space="0" w:color="auto"/>
              <w:bottom w:val="single" w:sz="4" w:space="0" w:color="auto"/>
              <w:right w:val="single" w:sz="4" w:space="0" w:color="auto"/>
            </w:tcBorders>
          </w:tcPr>
          <w:p w14:paraId="0FD407F7" w14:textId="77777777" w:rsidR="00B60A6D" w:rsidRPr="002C674E" w:rsidRDefault="00B60A6D" w:rsidP="00844F07">
            <w:pPr>
              <w:pStyle w:val="NumPlain1"/>
              <w:numPr>
                <w:ilvl w:val="0"/>
                <w:numId w:val="0"/>
              </w:numPr>
              <w:spacing w:before="60" w:after="60"/>
              <w:jc w:val="left"/>
              <w:rPr>
                <w:sz w:val="16"/>
                <w:szCs w:val="16"/>
              </w:rPr>
            </w:pPr>
            <w:r w:rsidRPr="002C674E">
              <w:rPr>
                <w:i/>
                <w:sz w:val="16"/>
                <w:szCs w:val="16"/>
              </w:rPr>
              <w:t>Conclusion</w:t>
            </w:r>
            <w:r w:rsidRPr="002C674E">
              <w:rPr>
                <w:sz w:val="16"/>
                <w:szCs w:val="16"/>
              </w:rPr>
              <w:t xml:space="preserve"> (based on analysis below) –</w:t>
            </w:r>
          </w:p>
          <w:p w14:paraId="544253E3" w14:textId="77777777" w:rsidR="00B60A6D" w:rsidRPr="002C674E" w:rsidRDefault="00B60A6D" w:rsidP="00844F07">
            <w:pPr>
              <w:pStyle w:val="NumPlain1"/>
              <w:numPr>
                <w:ilvl w:val="0"/>
                <w:numId w:val="0"/>
              </w:numPr>
              <w:spacing w:before="60" w:after="60"/>
              <w:jc w:val="left"/>
              <w:rPr>
                <w:sz w:val="16"/>
                <w:szCs w:val="16"/>
              </w:rPr>
            </w:pPr>
            <w:r w:rsidRPr="002C674E">
              <w:rPr>
                <w:b/>
                <w:sz w:val="16"/>
                <w:szCs w:val="16"/>
              </w:rPr>
              <w:t>Outside</w:t>
            </w:r>
            <w:r w:rsidRPr="002C674E">
              <w:rPr>
                <w:sz w:val="16"/>
                <w:szCs w:val="16"/>
              </w:rPr>
              <w:t xml:space="preserve"> the scope of AASB </w:t>
            </w:r>
            <w:r>
              <w:rPr>
                <w:sz w:val="16"/>
                <w:szCs w:val="16"/>
              </w:rPr>
              <w:t>1059</w:t>
            </w:r>
            <w:r w:rsidRPr="002C674E">
              <w:rPr>
                <w:sz w:val="16"/>
                <w:szCs w:val="16"/>
              </w:rPr>
              <w:t xml:space="preserve"> and grantor does not control the asset.</w:t>
            </w:r>
          </w:p>
        </w:tc>
      </w:tr>
      <w:tr w:rsidR="00B60A6D" w:rsidRPr="002C674E" w14:paraId="31E01EFA" w14:textId="77777777" w:rsidTr="00B60A6D">
        <w:tc>
          <w:tcPr>
            <w:tcW w:w="1701" w:type="dxa"/>
            <w:tcBorders>
              <w:top w:val="single" w:sz="4" w:space="0" w:color="auto"/>
              <w:left w:val="single" w:sz="4" w:space="0" w:color="auto"/>
              <w:bottom w:val="single" w:sz="4" w:space="0" w:color="auto"/>
              <w:right w:val="single" w:sz="4" w:space="0" w:color="auto"/>
            </w:tcBorders>
            <w:shd w:val="clear" w:color="auto" w:fill="auto"/>
          </w:tcPr>
          <w:p w14:paraId="003047B0" w14:textId="6174BF40" w:rsidR="00B60A6D" w:rsidRPr="00844F07" w:rsidRDefault="00B60A6D" w:rsidP="00844F07">
            <w:pPr>
              <w:pStyle w:val="NumPlain1"/>
              <w:numPr>
                <w:ilvl w:val="0"/>
                <w:numId w:val="0"/>
              </w:numPr>
              <w:spacing w:before="60" w:after="60"/>
              <w:jc w:val="left"/>
              <w:rPr>
                <w:sz w:val="16"/>
                <w:szCs w:val="16"/>
              </w:rPr>
            </w:pPr>
            <w:r w:rsidRPr="00844F07">
              <w:rPr>
                <w:sz w:val="16"/>
                <w:szCs w:val="16"/>
              </w:rPr>
              <w:t xml:space="preserve">Operator provides public services related to the asset on behalf of the grantor and is responsible for </w:t>
            </w:r>
            <w:r w:rsidRPr="00844F07">
              <w:rPr>
                <w:strike/>
                <w:sz w:val="16"/>
                <w:szCs w:val="16"/>
              </w:rPr>
              <w:t>at least some of the management of the asset</w:t>
            </w:r>
            <w:r w:rsidRPr="00844F07">
              <w:rPr>
                <w:sz w:val="16"/>
                <w:szCs w:val="16"/>
              </w:rPr>
              <w:t xml:space="preserve"> </w:t>
            </w:r>
            <w:r w:rsidRPr="00844F07">
              <w:rPr>
                <w:sz w:val="16"/>
                <w:szCs w:val="16"/>
                <w:u w:val="single"/>
              </w:rPr>
              <w:t>the management of at least some of the public services</w:t>
            </w:r>
            <w:r w:rsidRPr="00844F07">
              <w:rPr>
                <w:sz w:val="16"/>
                <w:szCs w:val="16"/>
              </w:rPr>
              <w:t xml:space="preserve"> (paragraph B10)?</w:t>
            </w:r>
          </w:p>
        </w:tc>
        <w:tc>
          <w:tcPr>
            <w:tcW w:w="1701" w:type="dxa"/>
            <w:tcBorders>
              <w:top w:val="single" w:sz="4" w:space="0" w:color="auto"/>
              <w:left w:val="single" w:sz="4" w:space="0" w:color="auto"/>
              <w:bottom w:val="single" w:sz="4" w:space="0" w:color="auto"/>
              <w:right w:val="single" w:sz="4" w:space="0" w:color="auto"/>
            </w:tcBorders>
          </w:tcPr>
          <w:p w14:paraId="66261333" w14:textId="2D689A60" w:rsidR="009A4FD5" w:rsidRPr="002C674E" w:rsidRDefault="009A4FD5" w:rsidP="009A4FD5">
            <w:pPr>
              <w:pStyle w:val="NumPlain1"/>
              <w:numPr>
                <w:ilvl w:val="0"/>
                <w:numId w:val="0"/>
              </w:numPr>
              <w:spacing w:before="60" w:after="60"/>
              <w:jc w:val="left"/>
              <w:rPr>
                <w:sz w:val="16"/>
                <w:szCs w:val="16"/>
              </w:rPr>
            </w:pPr>
            <w:r w:rsidRPr="002C674E">
              <w:rPr>
                <w:sz w:val="16"/>
                <w:szCs w:val="16"/>
              </w:rPr>
              <w:t>Operator provides construction services</w:t>
            </w:r>
            <w:r w:rsidRPr="004B05FD">
              <w:rPr>
                <w:strike/>
                <w:sz w:val="16"/>
                <w:szCs w:val="16"/>
              </w:rPr>
              <w:t xml:space="preserve">, </w:t>
            </w:r>
            <w:r w:rsidRPr="004B05FD">
              <w:rPr>
                <w:b/>
                <w:strike/>
                <w:sz w:val="16"/>
                <w:szCs w:val="16"/>
              </w:rPr>
              <w:t>not public services</w:t>
            </w:r>
            <w:r w:rsidRPr="002C674E">
              <w:rPr>
                <w:sz w:val="16"/>
                <w:szCs w:val="16"/>
              </w:rPr>
              <w:t>.</w:t>
            </w:r>
          </w:p>
          <w:p w14:paraId="08763A0E" w14:textId="5DBB6AE9" w:rsidR="00B60A6D" w:rsidRPr="002C674E" w:rsidRDefault="009A4FD5" w:rsidP="009A4FD5">
            <w:pPr>
              <w:pStyle w:val="NumPlain1"/>
              <w:numPr>
                <w:ilvl w:val="0"/>
                <w:numId w:val="0"/>
              </w:numPr>
              <w:spacing w:before="60" w:after="60"/>
              <w:jc w:val="left"/>
              <w:rPr>
                <w:sz w:val="16"/>
                <w:szCs w:val="16"/>
              </w:rPr>
            </w:pPr>
            <w:r w:rsidRPr="002C674E">
              <w:rPr>
                <w:sz w:val="16"/>
                <w:szCs w:val="16"/>
              </w:rPr>
              <w:t xml:space="preserve">Operator </w:t>
            </w:r>
            <w:r w:rsidRPr="004B05FD">
              <w:rPr>
                <w:strike/>
                <w:sz w:val="16"/>
                <w:szCs w:val="16"/>
              </w:rPr>
              <w:t>provides management of asset</w:t>
            </w:r>
            <w:r w:rsidRPr="002C674E">
              <w:rPr>
                <w:sz w:val="16"/>
                <w:szCs w:val="16"/>
              </w:rPr>
              <w:t xml:space="preserve"> </w:t>
            </w:r>
            <w:r w:rsidRPr="004B05FD">
              <w:rPr>
                <w:sz w:val="16"/>
                <w:szCs w:val="16"/>
                <w:u w:val="single"/>
              </w:rPr>
              <w:t>acts as an agent in providing public services</w:t>
            </w:r>
            <w:r>
              <w:rPr>
                <w:sz w:val="16"/>
                <w:szCs w:val="16"/>
              </w:rPr>
              <w:t xml:space="preserve"> </w:t>
            </w:r>
            <w:r w:rsidRPr="002C674E">
              <w:rPr>
                <w:sz w:val="16"/>
                <w:szCs w:val="16"/>
              </w:rPr>
              <w:t xml:space="preserve">and related services as </w:t>
            </w:r>
            <w:r w:rsidRPr="002C674E">
              <w:rPr>
                <w:b/>
                <w:sz w:val="16"/>
                <w:szCs w:val="16"/>
              </w:rPr>
              <w:t>predetermined by the grantor</w:t>
            </w:r>
          </w:p>
        </w:tc>
        <w:tc>
          <w:tcPr>
            <w:tcW w:w="1701" w:type="dxa"/>
            <w:tcBorders>
              <w:top w:val="single" w:sz="4" w:space="0" w:color="auto"/>
              <w:left w:val="single" w:sz="4" w:space="0" w:color="auto"/>
              <w:bottom w:val="single" w:sz="4" w:space="0" w:color="auto"/>
              <w:right w:val="single" w:sz="4" w:space="0" w:color="auto"/>
            </w:tcBorders>
          </w:tcPr>
          <w:p w14:paraId="3A9DE861" w14:textId="276A494C" w:rsidR="00B60A6D" w:rsidRPr="002C674E" w:rsidRDefault="00B60A6D" w:rsidP="00844F07">
            <w:pPr>
              <w:pStyle w:val="NumPlain1"/>
              <w:numPr>
                <w:ilvl w:val="0"/>
                <w:numId w:val="0"/>
              </w:numPr>
              <w:spacing w:before="60" w:after="60"/>
              <w:jc w:val="left"/>
              <w:rPr>
                <w:sz w:val="16"/>
                <w:szCs w:val="16"/>
              </w:rPr>
            </w:pPr>
            <w:r w:rsidRPr="002C674E">
              <w:rPr>
                <w:sz w:val="16"/>
                <w:szCs w:val="16"/>
              </w:rPr>
              <w:t xml:space="preserve">Operator involvement in the management of the </w:t>
            </w:r>
            <w:r w:rsidRPr="006E65DF">
              <w:rPr>
                <w:strike/>
                <w:sz w:val="16"/>
                <w:szCs w:val="16"/>
              </w:rPr>
              <w:t>asset</w:t>
            </w:r>
            <w:r w:rsidRPr="002C674E">
              <w:rPr>
                <w:sz w:val="16"/>
                <w:szCs w:val="16"/>
              </w:rPr>
              <w:t xml:space="preserve"> </w:t>
            </w:r>
            <w:r w:rsidRPr="006E65DF">
              <w:rPr>
                <w:sz w:val="16"/>
                <w:szCs w:val="16"/>
                <w:u w:val="single"/>
              </w:rPr>
              <w:t>public service</w:t>
            </w:r>
            <w:r>
              <w:rPr>
                <w:sz w:val="16"/>
                <w:szCs w:val="16"/>
                <w:u w:val="single"/>
              </w:rPr>
              <w:t>s</w:t>
            </w:r>
            <w:r>
              <w:rPr>
                <w:sz w:val="16"/>
                <w:szCs w:val="16"/>
              </w:rPr>
              <w:t xml:space="preserve"> </w:t>
            </w:r>
            <w:r w:rsidRPr="002C674E">
              <w:rPr>
                <w:sz w:val="16"/>
                <w:szCs w:val="16"/>
              </w:rPr>
              <w:t xml:space="preserve">and related services </w:t>
            </w:r>
            <w:r w:rsidRPr="002C674E">
              <w:rPr>
                <w:b/>
                <w:sz w:val="16"/>
                <w:szCs w:val="16"/>
              </w:rPr>
              <w:t>varies</w:t>
            </w:r>
            <w:r w:rsidRPr="002C674E">
              <w:rPr>
                <w:sz w:val="16"/>
                <w:szCs w:val="16"/>
              </w:rPr>
              <w:t>, depending on the lease terms (</w:t>
            </w:r>
            <w:proofErr w:type="spellStart"/>
            <w:r w:rsidRPr="002C674E">
              <w:rPr>
                <w:sz w:val="16"/>
                <w:szCs w:val="16"/>
              </w:rPr>
              <w:t>ie</w:t>
            </w:r>
            <w:proofErr w:type="spellEnd"/>
            <w:r w:rsidRPr="002C674E">
              <w:rPr>
                <w:sz w:val="16"/>
                <w:szCs w:val="16"/>
              </w:rPr>
              <w:t xml:space="preserve"> operator may have </w:t>
            </w:r>
            <w:r w:rsidRPr="002C674E">
              <w:rPr>
                <w:b/>
                <w:sz w:val="16"/>
                <w:szCs w:val="16"/>
              </w:rPr>
              <w:t>full involvement or be limited</w:t>
            </w:r>
            <w:r w:rsidRPr="002C674E">
              <w:rPr>
                <w:sz w:val="16"/>
                <w:szCs w:val="16"/>
              </w:rPr>
              <w:t xml:space="preserve"> to facility management </w:t>
            </w:r>
            <w:r w:rsidRPr="006E65DF">
              <w:rPr>
                <w:strike/>
                <w:sz w:val="16"/>
                <w:szCs w:val="16"/>
              </w:rPr>
              <w:t>pre-determined by the grantor</w:t>
            </w:r>
            <w:r>
              <w:rPr>
                <w:sz w:val="16"/>
                <w:szCs w:val="16"/>
              </w:rPr>
              <w:t xml:space="preserve"> </w:t>
            </w:r>
            <w:r w:rsidRPr="006E65DF">
              <w:rPr>
                <w:sz w:val="16"/>
                <w:szCs w:val="16"/>
                <w:u w:val="single"/>
              </w:rPr>
              <w:t>that is not a significant component of the public services provided by the asset</w:t>
            </w:r>
            <w:r w:rsidRPr="002C674E">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89B0B" w14:textId="7B35BF04" w:rsidR="00B60A6D" w:rsidRPr="002C674E" w:rsidRDefault="00B60A6D" w:rsidP="00540308">
            <w:pPr>
              <w:pStyle w:val="NumPlain1"/>
              <w:numPr>
                <w:ilvl w:val="0"/>
                <w:numId w:val="0"/>
              </w:numPr>
              <w:spacing w:before="60" w:after="60"/>
              <w:jc w:val="left"/>
              <w:rPr>
                <w:sz w:val="16"/>
                <w:szCs w:val="16"/>
              </w:rPr>
            </w:pPr>
            <w:r w:rsidRPr="002C674E">
              <w:rPr>
                <w:sz w:val="16"/>
                <w:szCs w:val="16"/>
              </w:rPr>
              <w:t xml:space="preserve">Operator involved in management of </w:t>
            </w:r>
            <w:r w:rsidRPr="006E65DF">
              <w:rPr>
                <w:strike/>
                <w:sz w:val="16"/>
                <w:szCs w:val="16"/>
              </w:rPr>
              <w:t>service concession asset</w:t>
            </w:r>
            <w:r w:rsidRPr="002C674E">
              <w:rPr>
                <w:sz w:val="16"/>
                <w:szCs w:val="16"/>
              </w:rPr>
              <w:t xml:space="preserve"> </w:t>
            </w:r>
            <w:r w:rsidRPr="006E65DF">
              <w:rPr>
                <w:sz w:val="16"/>
                <w:szCs w:val="16"/>
                <w:u w:val="single"/>
              </w:rPr>
              <w:t>public service</w:t>
            </w:r>
            <w:r>
              <w:rPr>
                <w:sz w:val="16"/>
                <w:szCs w:val="16"/>
                <w:u w:val="single"/>
              </w:rPr>
              <w:t>s provided</w:t>
            </w:r>
            <w:r w:rsidRPr="006E65DF">
              <w:rPr>
                <w:sz w:val="16"/>
                <w:szCs w:val="16"/>
                <w:u w:val="single"/>
              </w:rPr>
              <w:t xml:space="preserve"> by the asset</w:t>
            </w:r>
            <w:r>
              <w:rPr>
                <w:sz w:val="16"/>
                <w:szCs w:val="16"/>
              </w:rPr>
              <w:t xml:space="preserve"> </w:t>
            </w:r>
            <w:r w:rsidRPr="002C674E">
              <w:rPr>
                <w:sz w:val="16"/>
                <w:szCs w:val="16"/>
              </w:rPr>
              <w:t xml:space="preserve">that is </w:t>
            </w:r>
            <w:r w:rsidRPr="002C674E">
              <w:rPr>
                <w:b/>
                <w:sz w:val="16"/>
                <w:szCs w:val="16"/>
              </w:rPr>
              <w:t xml:space="preserve">not predetermined by grantor </w:t>
            </w:r>
            <w:r w:rsidRPr="002C674E">
              <w:rPr>
                <w:sz w:val="16"/>
                <w:szCs w:val="16"/>
              </w:rPr>
              <w:t>(</w:t>
            </w:r>
            <w:proofErr w:type="spellStart"/>
            <w:r w:rsidRPr="002C674E">
              <w:rPr>
                <w:sz w:val="16"/>
                <w:szCs w:val="16"/>
              </w:rPr>
              <w:t>ie</w:t>
            </w:r>
            <w:proofErr w:type="spellEnd"/>
            <w:r w:rsidRPr="002C674E">
              <w:rPr>
                <w:sz w:val="16"/>
                <w:szCs w:val="16"/>
              </w:rPr>
              <w:t xml:space="preserve"> operator has discretion </w:t>
            </w:r>
            <w:r w:rsidRPr="006E65DF">
              <w:rPr>
                <w:sz w:val="16"/>
                <w:szCs w:val="16"/>
                <w:u w:val="single"/>
              </w:rPr>
              <w:t>as to</w:t>
            </w:r>
            <w:r>
              <w:rPr>
                <w:sz w:val="16"/>
                <w:szCs w:val="16"/>
              </w:rPr>
              <w:t xml:space="preserve"> </w:t>
            </w:r>
            <w:r w:rsidRPr="002C674E">
              <w:rPr>
                <w:sz w:val="16"/>
                <w:szCs w:val="16"/>
              </w:rPr>
              <w:t xml:space="preserve">how </w:t>
            </w:r>
            <w:r w:rsidRPr="006E65DF">
              <w:rPr>
                <w:strike/>
                <w:sz w:val="16"/>
                <w:szCs w:val="16"/>
              </w:rPr>
              <w:t>the asset is managed</w:t>
            </w:r>
            <w:r>
              <w:rPr>
                <w:sz w:val="16"/>
                <w:szCs w:val="16"/>
              </w:rPr>
              <w:t xml:space="preserve"> </w:t>
            </w:r>
            <w:r w:rsidRPr="002265EE">
              <w:rPr>
                <w:sz w:val="16"/>
                <w:szCs w:val="16"/>
                <w:u w:val="single"/>
              </w:rPr>
              <w:t>the public services are provided and managed</w:t>
            </w:r>
            <w:r w:rsidRPr="002C674E">
              <w:rPr>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3490CB9D" w14:textId="77777777" w:rsidR="00B60A6D" w:rsidRPr="002C674E" w:rsidRDefault="00B60A6D" w:rsidP="00844F07">
            <w:pPr>
              <w:pStyle w:val="NumPlain1"/>
              <w:numPr>
                <w:ilvl w:val="0"/>
                <w:numId w:val="0"/>
              </w:numPr>
              <w:spacing w:before="60" w:after="60"/>
              <w:jc w:val="left"/>
              <w:rPr>
                <w:sz w:val="16"/>
                <w:szCs w:val="16"/>
              </w:rPr>
            </w:pPr>
            <w:r w:rsidRPr="002C674E">
              <w:rPr>
                <w:sz w:val="16"/>
                <w:szCs w:val="16"/>
              </w:rPr>
              <w:t xml:space="preserve">Operator </w:t>
            </w:r>
            <w:r w:rsidRPr="002C674E">
              <w:rPr>
                <w:b/>
                <w:sz w:val="16"/>
                <w:szCs w:val="16"/>
              </w:rPr>
              <w:t>does not</w:t>
            </w:r>
            <w:r w:rsidRPr="002C674E">
              <w:rPr>
                <w:sz w:val="16"/>
                <w:szCs w:val="16"/>
              </w:rPr>
              <w:t xml:space="preserve"> provide public services</w:t>
            </w:r>
            <w:r w:rsidRPr="002C674E">
              <w:rPr>
                <w:b/>
                <w:sz w:val="16"/>
                <w:szCs w:val="16"/>
              </w:rPr>
              <w:t xml:space="preserve"> on behalf of the grantor</w:t>
            </w:r>
            <w:r w:rsidRPr="002C674E">
              <w:rPr>
                <w:sz w:val="16"/>
                <w:szCs w:val="16"/>
              </w:rPr>
              <w:t>, despite any protective rights of the grantor.</w:t>
            </w:r>
          </w:p>
        </w:tc>
      </w:tr>
      <w:tr w:rsidR="00B60A6D" w:rsidRPr="002C674E" w14:paraId="6095DD5C" w14:textId="77777777" w:rsidTr="00B60A6D">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E112798" w14:textId="1FECDA43" w:rsidR="00B60A6D" w:rsidRPr="002C674E" w:rsidRDefault="00B60A6D" w:rsidP="00844F07">
            <w:pPr>
              <w:pStyle w:val="NumPlain1"/>
              <w:numPr>
                <w:ilvl w:val="0"/>
                <w:numId w:val="0"/>
              </w:numPr>
              <w:spacing w:before="60" w:after="60"/>
              <w:jc w:val="left"/>
              <w:rPr>
                <w:b/>
                <w:sz w:val="16"/>
                <w:szCs w:val="16"/>
              </w:rPr>
            </w:pPr>
            <w:r>
              <w:rPr>
                <w:b/>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7328FD0F" w14:textId="77777777" w:rsidR="00B60A6D" w:rsidRPr="002C674E" w:rsidRDefault="00B60A6D" w:rsidP="00844F07">
            <w:pPr>
              <w:pStyle w:val="NumPlain1"/>
              <w:numPr>
                <w:ilvl w:val="0"/>
                <w:numId w:val="0"/>
              </w:numPr>
              <w:spacing w:before="60" w:after="60"/>
              <w:jc w:val="left"/>
              <w:rPr>
                <w:color w:val="006600"/>
                <w:sz w:val="16"/>
                <w:szCs w:val="16"/>
              </w:rPr>
            </w:pPr>
            <w:r>
              <w:rPr>
                <w:color w:val="006600"/>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0681189F" w14:textId="6AD18449" w:rsidR="00B60A6D" w:rsidRPr="002C674E" w:rsidRDefault="00B60A6D" w:rsidP="00844F07">
            <w:pPr>
              <w:pStyle w:val="NumPlain1"/>
              <w:numPr>
                <w:ilvl w:val="0"/>
                <w:numId w:val="0"/>
              </w:numPr>
              <w:spacing w:before="60" w:after="60"/>
              <w:jc w:val="left"/>
              <w:rPr>
                <w:sz w:val="16"/>
                <w:szCs w:val="16"/>
              </w:rPr>
            </w:pPr>
            <w:r>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A3C18" w14:textId="77777777" w:rsidR="00B60A6D" w:rsidRPr="002C674E" w:rsidRDefault="00B60A6D" w:rsidP="00844F07">
            <w:pPr>
              <w:pStyle w:val="NumPlain1"/>
              <w:numPr>
                <w:ilvl w:val="0"/>
                <w:numId w:val="0"/>
              </w:numPr>
              <w:spacing w:before="60" w:after="60"/>
              <w:jc w:val="left"/>
              <w:rPr>
                <w:sz w:val="16"/>
                <w:szCs w:val="16"/>
              </w:rPr>
            </w:pPr>
            <w:r>
              <w:rPr>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35001E44" w14:textId="77777777" w:rsidR="00B60A6D" w:rsidRPr="002C674E" w:rsidRDefault="00B60A6D" w:rsidP="00844F07">
            <w:pPr>
              <w:pStyle w:val="NumPlain1"/>
              <w:numPr>
                <w:ilvl w:val="0"/>
                <w:numId w:val="0"/>
              </w:numPr>
              <w:spacing w:before="60" w:after="60"/>
              <w:jc w:val="left"/>
              <w:rPr>
                <w:sz w:val="16"/>
                <w:szCs w:val="16"/>
              </w:rPr>
            </w:pPr>
            <w:r>
              <w:rPr>
                <w:sz w:val="16"/>
                <w:szCs w:val="16"/>
              </w:rPr>
              <w:t>…</w:t>
            </w:r>
          </w:p>
        </w:tc>
      </w:tr>
    </w:tbl>
    <w:p w14:paraId="18499A2C" w14:textId="48067977" w:rsidR="004037F5" w:rsidRPr="004037F5" w:rsidRDefault="004037F5" w:rsidP="00D23559">
      <w:pPr>
        <w:pStyle w:val="IGpara1"/>
        <w:numPr>
          <w:ilvl w:val="0"/>
          <w:numId w:val="0"/>
        </w:numPr>
        <w:spacing w:before="360"/>
        <w:ind w:left="510"/>
        <w:rPr>
          <w:b/>
          <w:sz w:val="26"/>
          <w:szCs w:val="26"/>
        </w:rPr>
      </w:pPr>
      <w:r w:rsidRPr="004037F5">
        <w:rPr>
          <w:b/>
          <w:sz w:val="26"/>
          <w:szCs w:val="26"/>
        </w:rPr>
        <w:t>Example 10: Transition – measuring the liability under the grant of a right to the operator model at the date of initial application</w:t>
      </w:r>
    </w:p>
    <w:p w14:paraId="102F7E90" w14:textId="4FBD72FA" w:rsidR="004037F5" w:rsidRPr="004037F5" w:rsidRDefault="00B84486" w:rsidP="006105BF">
      <w:pPr>
        <w:pStyle w:val="IGpara1"/>
        <w:numPr>
          <w:ilvl w:val="0"/>
          <w:numId w:val="0"/>
        </w:numPr>
        <w:ind w:left="510"/>
      </w:pPr>
      <w:r>
        <w:t>…</w:t>
      </w:r>
    </w:p>
    <w:p w14:paraId="216A97C1" w14:textId="774A7BC0" w:rsidR="004037F5" w:rsidRDefault="004037F5" w:rsidP="007A6F5D">
      <w:pPr>
        <w:pStyle w:val="IGpara1"/>
        <w:numPr>
          <w:ilvl w:val="0"/>
          <w:numId w:val="0"/>
        </w:numPr>
        <w:spacing w:before="100"/>
        <w:ind w:left="1440" w:hanging="930"/>
      </w:pPr>
      <w:r w:rsidRPr="004037F5">
        <w:t>IE42</w:t>
      </w:r>
      <w:r w:rsidRPr="004037F5">
        <w:tab/>
        <w:t xml:space="preserve">This example illustrates the approach set out in paragraph C4(c) to measuring a liability under the grant of a right to the operator model at the date of initial application. The liability related to the grant of a right to the operator is required to be measured at the fair value (current replacement cost) of the related service concession asset at the date of initial application, adjusted to reflect the remaining period of the service concession arrangement relative to the </w:t>
      </w:r>
      <w:r w:rsidRPr="00F015EE">
        <w:rPr>
          <w:strike/>
        </w:rPr>
        <w:t>remaining economic life of the asset</w:t>
      </w:r>
      <w:r w:rsidR="00F015EE" w:rsidRPr="00F015EE">
        <w:t xml:space="preserve"> </w:t>
      </w:r>
      <w:r w:rsidR="00F015EE" w:rsidRPr="00F015EE">
        <w:rPr>
          <w:u w:val="single"/>
        </w:rPr>
        <w:t>total period of the arrangement</w:t>
      </w:r>
      <w:r w:rsidRPr="004037F5">
        <w:t>, less any related financial liabilities.</w:t>
      </w:r>
    </w:p>
    <w:p w14:paraId="65D252F4" w14:textId="77777777" w:rsidR="00C20C07" w:rsidRDefault="00C20C07" w:rsidP="00B60A6D">
      <w:pPr>
        <w:pStyle w:val="IGpara1"/>
        <w:numPr>
          <w:ilvl w:val="0"/>
          <w:numId w:val="0"/>
        </w:numPr>
        <w:ind w:left="1440" w:hanging="930"/>
      </w:pPr>
      <w:r>
        <w:t>IE43</w:t>
      </w:r>
      <w:r>
        <w:tab/>
        <w:t>Assuming that the service concession arrangement in this example does not also give rise to a financial liability for the grantor, the information needed for measuring the liability is illustrated in the following table:</w:t>
      </w:r>
    </w:p>
    <w:p w14:paraId="79A7EB4B" w14:textId="50C53A66" w:rsidR="00C20C07" w:rsidRDefault="00C20C07" w:rsidP="00B84486">
      <w:pPr>
        <w:pStyle w:val="IGpara1"/>
        <w:numPr>
          <w:ilvl w:val="0"/>
          <w:numId w:val="0"/>
        </w:numPr>
        <w:ind w:left="720" w:firstLine="720"/>
        <w:rPr>
          <w:b/>
        </w:rPr>
      </w:pPr>
      <w:r w:rsidRPr="00C20C07">
        <w:rPr>
          <w:b/>
        </w:rPr>
        <w:t xml:space="preserve">Table </w:t>
      </w:r>
      <w:proofErr w:type="gramStart"/>
      <w:r w:rsidRPr="00C20C07">
        <w:rPr>
          <w:b/>
        </w:rPr>
        <w:t>10  Estimates</w:t>
      </w:r>
      <w:proofErr w:type="gramEnd"/>
      <w:r w:rsidRPr="00C20C07">
        <w:rPr>
          <w:b/>
        </w:rPr>
        <w:t xml:space="preserve"> at the date of initial application</w:t>
      </w: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asuring the GORTO liability on transition"/>
        <w:tblDescription w:val="Table 10: Estimates at the date of initial application&#10;Fair value (current replacement cost) of the service concession asset&#10;Remaining economic life of the asset&#10;Remaining service concession period&#10;Apportionment for the liability re grant of rights to the operator&#10;"/>
      </w:tblPr>
      <w:tblGrid>
        <w:gridCol w:w="4678"/>
        <w:gridCol w:w="2976"/>
      </w:tblGrid>
      <w:tr w:rsidR="00B84486" w:rsidRPr="00662611" w14:paraId="2EAEBDE2" w14:textId="77777777" w:rsidTr="0010453C">
        <w:trPr>
          <w:trHeight w:val="181"/>
        </w:trPr>
        <w:tc>
          <w:tcPr>
            <w:tcW w:w="4678" w:type="dxa"/>
            <w:tcBorders>
              <w:bottom w:val="single" w:sz="4" w:space="0" w:color="auto"/>
            </w:tcBorders>
          </w:tcPr>
          <w:p w14:paraId="6FCB48A7" w14:textId="0A6F94BF" w:rsidR="00B84486" w:rsidRPr="00662611" w:rsidRDefault="00B84486" w:rsidP="00FF7AA5">
            <w:pPr>
              <w:pStyle w:val="Default"/>
              <w:spacing w:after="100"/>
              <w:rPr>
                <w:b/>
                <w:sz w:val="19"/>
                <w:szCs w:val="19"/>
              </w:rPr>
            </w:pPr>
            <w:r w:rsidRPr="00662611">
              <w:rPr>
                <w:b/>
                <w:sz w:val="19"/>
                <w:szCs w:val="19"/>
              </w:rPr>
              <w:t>Parameter</w:t>
            </w:r>
          </w:p>
        </w:tc>
        <w:tc>
          <w:tcPr>
            <w:tcW w:w="2976" w:type="dxa"/>
            <w:tcBorders>
              <w:bottom w:val="single" w:sz="4" w:space="0" w:color="auto"/>
            </w:tcBorders>
          </w:tcPr>
          <w:p w14:paraId="64AF286D" w14:textId="77777777" w:rsidR="00B84486" w:rsidRPr="00662611" w:rsidRDefault="00B84486" w:rsidP="00FF7AA5">
            <w:pPr>
              <w:pStyle w:val="Default"/>
              <w:spacing w:after="100"/>
              <w:jc w:val="center"/>
              <w:rPr>
                <w:b/>
                <w:sz w:val="19"/>
                <w:szCs w:val="19"/>
              </w:rPr>
            </w:pPr>
            <w:r w:rsidRPr="00662611">
              <w:rPr>
                <w:b/>
                <w:sz w:val="19"/>
                <w:szCs w:val="19"/>
              </w:rPr>
              <w:t>Amount or period</w:t>
            </w:r>
          </w:p>
        </w:tc>
      </w:tr>
      <w:tr w:rsidR="00B84486" w:rsidRPr="00662611" w14:paraId="4BD9423A" w14:textId="77777777" w:rsidTr="006105BF">
        <w:trPr>
          <w:trHeight w:val="130"/>
        </w:trPr>
        <w:tc>
          <w:tcPr>
            <w:tcW w:w="4678" w:type="dxa"/>
            <w:tcBorders>
              <w:top w:val="nil"/>
              <w:bottom w:val="nil"/>
            </w:tcBorders>
          </w:tcPr>
          <w:p w14:paraId="00B74A3E" w14:textId="77777777" w:rsidR="00B84486" w:rsidRPr="00662611" w:rsidRDefault="00B84486" w:rsidP="00FF7AA5">
            <w:pPr>
              <w:pStyle w:val="Default"/>
              <w:spacing w:after="100"/>
              <w:rPr>
                <w:sz w:val="19"/>
                <w:szCs w:val="19"/>
              </w:rPr>
            </w:pPr>
            <w:r w:rsidRPr="00662611">
              <w:rPr>
                <w:sz w:val="19"/>
                <w:szCs w:val="19"/>
              </w:rPr>
              <w:t xml:space="preserve">Fair value (current replacement cost) of the </w:t>
            </w:r>
            <w:r w:rsidRPr="00662611">
              <w:rPr>
                <w:sz w:val="19"/>
                <w:szCs w:val="19"/>
              </w:rPr>
              <w:br/>
              <w:t>service concession asset</w:t>
            </w:r>
          </w:p>
        </w:tc>
        <w:tc>
          <w:tcPr>
            <w:tcW w:w="2976" w:type="dxa"/>
            <w:tcBorders>
              <w:top w:val="nil"/>
              <w:bottom w:val="nil"/>
            </w:tcBorders>
            <w:vAlign w:val="center"/>
          </w:tcPr>
          <w:p w14:paraId="12A7D669" w14:textId="77777777" w:rsidR="00B84486" w:rsidRPr="00662611" w:rsidRDefault="00B84486" w:rsidP="00FF7AA5">
            <w:pPr>
              <w:pStyle w:val="Default"/>
              <w:spacing w:after="100"/>
              <w:ind w:left="176" w:right="175"/>
              <w:jc w:val="center"/>
              <w:rPr>
                <w:sz w:val="19"/>
                <w:szCs w:val="19"/>
              </w:rPr>
            </w:pPr>
            <w:r w:rsidRPr="00662611">
              <w:rPr>
                <w:sz w:val="19"/>
                <w:szCs w:val="19"/>
              </w:rPr>
              <w:t>CU1,200</w:t>
            </w:r>
          </w:p>
        </w:tc>
      </w:tr>
      <w:tr w:rsidR="00B84486" w:rsidRPr="00662611" w14:paraId="35506D9F" w14:textId="77777777" w:rsidTr="006105BF">
        <w:trPr>
          <w:trHeight w:val="130"/>
        </w:trPr>
        <w:tc>
          <w:tcPr>
            <w:tcW w:w="4678" w:type="dxa"/>
            <w:tcBorders>
              <w:top w:val="nil"/>
              <w:bottom w:val="nil"/>
            </w:tcBorders>
          </w:tcPr>
          <w:p w14:paraId="68CE865E" w14:textId="77777777" w:rsidR="00B84486" w:rsidRPr="0098396A" w:rsidRDefault="00B84486" w:rsidP="00FF7AA5">
            <w:pPr>
              <w:pStyle w:val="Default"/>
              <w:spacing w:after="100"/>
              <w:rPr>
                <w:strike/>
                <w:sz w:val="19"/>
                <w:szCs w:val="19"/>
              </w:rPr>
            </w:pPr>
            <w:r w:rsidRPr="0098396A">
              <w:rPr>
                <w:strike/>
                <w:sz w:val="19"/>
                <w:szCs w:val="19"/>
              </w:rPr>
              <w:t>Remaining economic life of the asset</w:t>
            </w:r>
            <w:r w:rsidRPr="0098396A">
              <w:rPr>
                <w:sz w:val="19"/>
                <w:szCs w:val="19"/>
              </w:rPr>
              <w:t xml:space="preserve"> </w:t>
            </w:r>
            <w:r w:rsidRPr="0098396A">
              <w:rPr>
                <w:sz w:val="19"/>
                <w:szCs w:val="19"/>
                <w:u w:val="single"/>
              </w:rPr>
              <w:t>Total period of the arrangement</w:t>
            </w:r>
          </w:p>
        </w:tc>
        <w:tc>
          <w:tcPr>
            <w:tcW w:w="2976" w:type="dxa"/>
            <w:tcBorders>
              <w:top w:val="nil"/>
              <w:bottom w:val="nil"/>
            </w:tcBorders>
          </w:tcPr>
          <w:p w14:paraId="5605BDD5" w14:textId="77777777" w:rsidR="00B84486" w:rsidRPr="0098396A" w:rsidRDefault="00B84486" w:rsidP="00FF7AA5">
            <w:pPr>
              <w:pStyle w:val="Default"/>
              <w:spacing w:after="100"/>
              <w:ind w:left="176" w:right="175"/>
              <w:jc w:val="center"/>
              <w:rPr>
                <w:sz w:val="19"/>
                <w:szCs w:val="19"/>
              </w:rPr>
            </w:pPr>
            <w:r w:rsidRPr="0098396A">
              <w:rPr>
                <w:sz w:val="19"/>
                <w:szCs w:val="19"/>
              </w:rPr>
              <w:t>20 years</w:t>
            </w:r>
          </w:p>
        </w:tc>
      </w:tr>
      <w:tr w:rsidR="00B84486" w:rsidRPr="00662611" w14:paraId="14A0A113" w14:textId="77777777" w:rsidTr="006105BF">
        <w:trPr>
          <w:trHeight w:val="130"/>
        </w:trPr>
        <w:tc>
          <w:tcPr>
            <w:tcW w:w="4678" w:type="dxa"/>
            <w:tcBorders>
              <w:top w:val="nil"/>
              <w:bottom w:val="nil"/>
            </w:tcBorders>
          </w:tcPr>
          <w:p w14:paraId="698A2D0C" w14:textId="77777777" w:rsidR="00B84486" w:rsidRPr="00662611" w:rsidRDefault="00B84486" w:rsidP="00FF7AA5">
            <w:pPr>
              <w:pStyle w:val="Default"/>
              <w:spacing w:after="100"/>
              <w:rPr>
                <w:sz w:val="19"/>
                <w:szCs w:val="19"/>
              </w:rPr>
            </w:pPr>
            <w:r w:rsidRPr="00662611">
              <w:rPr>
                <w:sz w:val="19"/>
                <w:szCs w:val="19"/>
              </w:rPr>
              <w:t>Remaining service concession period</w:t>
            </w:r>
          </w:p>
        </w:tc>
        <w:tc>
          <w:tcPr>
            <w:tcW w:w="2976" w:type="dxa"/>
            <w:tcBorders>
              <w:top w:val="nil"/>
              <w:bottom w:val="nil"/>
            </w:tcBorders>
          </w:tcPr>
          <w:p w14:paraId="74EF1FB7" w14:textId="77777777" w:rsidR="00B84486" w:rsidRPr="00662611" w:rsidRDefault="00B84486" w:rsidP="00FF7AA5">
            <w:pPr>
              <w:pStyle w:val="Default"/>
              <w:spacing w:after="100"/>
              <w:ind w:left="176" w:right="175"/>
              <w:jc w:val="center"/>
              <w:rPr>
                <w:sz w:val="19"/>
                <w:szCs w:val="19"/>
              </w:rPr>
            </w:pPr>
            <w:r w:rsidRPr="00662611">
              <w:rPr>
                <w:sz w:val="19"/>
                <w:szCs w:val="19"/>
              </w:rPr>
              <w:t>10 years</w:t>
            </w:r>
          </w:p>
        </w:tc>
      </w:tr>
      <w:tr w:rsidR="00B84486" w:rsidRPr="00662611" w14:paraId="44AD4AA1" w14:textId="77777777" w:rsidTr="006105BF">
        <w:trPr>
          <w:trHeight w:val="130"/>
        </w:trPr>
        <w:tc>
          <w:tcPr>
            <w:tcW w:w="4678" w:type="dxa"/>
            <w:tcBorders>
              <w:top w:val="nil"/>
              <w:bottom w:val="single" w:sz="4" w:space="0" w:color="auto"/>
            </w:tcBorders>
          </w:tcPr>
          <w:p w14:paraId="71501776" w14:textId="77777777" w:rsidR="00B84486" w:rsidRPr="00662611" w:rsidRDefault="00B84486" w:rsidP="00FF7AA5">
            <w:pPr>
              <w:pStyle w:val="Default"/>
              <w:spacing w:after="100"/>
              <w:rPr>
                <w:sz w:val="19"/>
                <w:szCs w:val="19"/>
              </w:rPr>
            </w:pPr>
            <w:r w:rsidRPr="00662611">
              <w:rPr>
                <w:sz w:val="19"/>
                <w:szCs w:val="19"/>
              </w:rPr>
              <w:t xml:space="preserve">Apportionment for the liability re grant of rights </w:t>
            </w:r>
            <w:r w:rsidRPr="00662611">
              <w:rPr>
                <w:sz w:val="19"/>
                <w:szCs w:val="19"/>
              </w:rPr>
              <w:br/>
              <w:t>to the operator</w:t>
            </w:r>
          </w:p>
        </w:tc>
        <w:tc>
          <w:tcPr>
            <w:tcW w:w="2976" w:type="dxa"/>
            <w:tcBorders>
              <w:top w:val="nil"/>
              <w:bottom w:val="single" w:sz="4" w:space="0" w:color="auto"/>
            </w:tcBorders>
            <w:vAlign w:val="center"/>
          </w:tcPr>
          <w:p w14:paraId="28A10799" w14:textId="77777777" w:rsidR="00B84486" w:rsidRPr="00662611" w:rsidRDefault="00B84486" w:rsidP="00FF7AA5">
            <w:pPr>
              <w:pStyle w:val="Default"/>
              <w:spacing w:after="100"/>
              <w:ind w:left="176" w:right="175"/>
              <w:jc w:val="center"/>
              <w:rPr>
                <w:sz w:val="19"/>
                <w:szCs w:val="19"/>
              </w:rPr>
            </w:pPr>
            <w:r w:rsidRPr="00662611">
              <w:rPr>
                <w:sz w:val="19"/>
                <w:szCs w:val="19"/>
              </w:rPr>
              <w:t>CU1,200 x 10/20 = CU600</w:t>
            </w:r>
          </w:p>
        </w:tc>
      </w:tr>
    </w:tbl>
    <w:p w14:paraId="7059F746" w14:textId="77777777" w:rsidR="004A3747" w:rsidRDefault="004A3747" w:rsidP="003331D1">
      <w:pPr>
        <w:pStyle w:val="Heading2"/>
        <w:keepNext w:val="0"/>
      </w:pPr>
      <w:r>
        <w:t>Commencement of the legislative instrument</w:t>
      </w:r>
    </w:p>
    <w:p w14:paraId="7449A553" w14:textId="1C9D9D16" w:rsidR="00FC73E4" w:rsidRPr="00730CF7" w:rsidRDefault="004A3747" w:rsidP="00AD5C2B">
      <w:pPr>
        <w:pStyle w:val="NumBold1"/>
        <w:widowControl w:val="0"/>
        <w:tabs>
          <w:tab w:val="left" w:pos="783"/>
        </w:tabs>
      </w:pPr>
      <w:r w:rsidRPr="003331D1">
        <w:rPr>
          <w:b w:val="0"/>
        </w:rPr>
        <w:t xml:space="preserve">For legal purposes, this legislative instrument commences on </w:t>
      </w:r>
      <w:bookmarkStart w:id="17" w:name="CommenceDate"/>
      <w:r w:rsidRPr="003331D1">
        <w:rPr>
          <w:b w:val="0"/>
        </w:rPr>
        <w:t>31 December 20</w:t>
      </w:r>
      <w:r w:rsidR="0025497B" w:rsidRPr="003331D1">
        <w:rPr>
          <w:b w:val="0"/>
        </w:rPr>
        <w:t>19</w:t>
      </w:r>
      <w:bookmarkEnd w:id="17"/>
      <w:r w:rsidRPr="003331D1">
        <w:rPr>
          <w:b w:val="0"/>
        </w:rPr>
        <w:t>.</w:t>
      </w:r>
    </w:p>
    <w:p w14:paraId="3370DB0C" w14:textId="77777777" w:rsidR="00AA54E9" w:rsidRDefault="00AA54E9" w:rsidP="00730CF7">
      <w:pPr>
        <w:pStyle w:val="NumBold1"/>
        <w:widowControl w:val="0"/>
        <w:numPr>
          <w:ilvl w:val="0"/>
          <w:numId w:val="0"/>
        </w:numPr>
        <w:tabs>
          <w:tab w:val="left" w:pos="783"/>
        </w:tabs>
        <w:ind w:left="510"/>
        <w:sectPr w:rsidR="00AA54E9" w:rsidSect="00D74C6A">
          <w:footerReference w:type="default" r:id="rId16"/>
          <w:pgSz w:w="11907" w:h="16840" w:code="9"/>
          <w:pgMar w:top="1418" w:right="1418" w:bottom="1418" w:left="1418" w:header="709" w:footer="709" w:gutter="0"/>
          <w:paperSrc w:first="7" w:other="7"/>
          <w:cols w:space="720"/>
          <w:docGrid w:linePitch="65"/>
        </w:sectPr>
      </w:pPr>
    </w:p>
    <w:p w14:paraId="5C64CAA1" w14:textId="77777777" w:rsidR="001824AA" w:rsidRPr="00766E15" w:rsidRDefault="001824AA" w:rsidP="001824AA">
      <w:pPr>
        <w:pStyle w:val="ConvSectionTitle"/>
        <w:jc w:val="both"/>
      </w:pPr>
      <w:r w:rsidRPr="00766E15">
        <w:lastRenderedPageBreak/>
        <w:t xml:space="preserve">Basis for Conclusions </w:t>
      </w:r>
    </w:p>
    <w:p w14:paraId="21BE70C9" w14:textId="6EB7DB54" w:rsidR="001824AA" w:rsidRPr="00766E15" w:rsidRDefault="001824AA" w:rsidP="001824AA">
      <w:pPr>
        <w:pStyle w:val="AppendixNote"/>
        <w:spacing w:after="100"/>
      </w:pPr>
      <w:r w:rsidRPr="00766E15">
        <w:t xml:space="preserve">This Basis for Conclusions accompanies, but is not part of, </w:t>
      </w:r>
      <w:r>
        <w:t>AASB </w:t>
      </w:r>
      <w:fldSimple w:instr=" REF \* charformat DocNo ">
        <w:r w:rsidR="003E0D5C">
          <w:t>2019-2</w:t>
        </w:r>
      </w:fldSimple>
      <w:r w:rsidRPr="00766E15">
        <w:t>.</w:t>
      </w:r>
    </w:p>
    <w:p w14:paraId="21F990E2" w14:textId="77777777" w:rsidR="001824AA" w:rsidRPr="00766E15" w:rsidRDefault="001824AA" w:rsidP="001824AA">
      <w:pPr>
        <w:pStyle w:val="IASBSectionTitle1NonInd"/>
        <w:jc w:val="both"/>
      </w:pPr>
      <w:r w:rsidRPr="00766E15">
        <w:t>Introduction</w:t>
      </w:r>
    </w:p>
    <w:p w14:paraId="7E37FAF9" w14:textId="1DE0E883" w:rsidR="001824AA" w:rsidRPr="00766E15" w:rsidRDefault="001824AA" w:rsidP="001824AA">
      <w:pPr>
        <w:pStyle w:val="NumBC1"/>
        <w:numPr>
          <w:ilvl w:val="0"/>
          <w:numId w:val="24"/>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00C552A3">
        <w:t xml:space="preserve">. </w:t>
      </w:r>
      <w:r w:rsidRPr="00766E15">
        <w:t xml:space="preserve">It sets out the reasons why the Board developed the </w:t>
      </w:r>
      <w:r>
        <w:t>Standard</w:t>
      </w:r>
      <w:r w:rsidRPr="00766E15">
        <w:t xml:space="preserve">, the approach taken to developing the </w:t>
      </w:r>
      <w:r>
        <w:t>Standard</w:t>
      </w:r>
      <w:r w:rsidRPr="00766E15">
        <w:t xml:space="preserve"> and the key decisions made</w:t>
      </w:r>
      <w:r w:rsidR="00C552A3">
        <w:t xml:space="preserve">. </w:t>
      </w:r>
      <w:r w:rsidRPr="00766E15">
        <w:t xml:space="preserve">In making decisions, individual Board members gave greater weight to some factors than to others. </w:t>
      </w:r>
    </w:p>
    <w:p w14:paraId="44A43099" w14:textId="3961ED65" w:rsidR="001824AA" w:rsidRPr="00766E15" w:rsidRDefault="00F437B3" w:rsidP="001824AA">
      <w:pPr>
        <w:pStyle w:val="IASBSectionTitle1NonInd"/>
        <w:jc w:val="both"/>
        <w:rPr>
          <w:iCs/>
        </w:rPr>
      </w:pPr>
      <w:r>
        <w:t>Background</w:t>
      </w:r>
    </w:p>
    <w:p w14:paraId="46E66738" w14:textId="10A6A605" w:rsidR="00F437B3" w:rsidRDefault="005D2913" w:rsidP="005D2913">
      <w:pPr>
        <w:pStyle w:val="IASBSectionTitle2Ind"/>
        <w:jc w:val="both"/>
      </w:pPr>
      <w:r>
        <w:t>Reasons for issuing this Standard</w:t>
      </w:r>
    </w:p>
    <w:p w14:paraId="10598758" w14:textId="44CF7B0B" w:rsidR="00ED4227" w:rsidRDefault="00ED4227" w:rsidP="00ED4227">
      <w:pPr>
        <w:pStyle w:val="NoNumPlain1"/>
        <w:numPr>
          <w:ilvl w:val="0"/>
          <w:numId w:val="24"/>
        </w:numPr>
      </w:pPr>
      <w:r w:rsidRPr="00534E7B">
        <w:t xml:space="preserve">The </w:t>
      </w:r>
      <w:r>
        <w:t>Board</w:t>
      </w:r>
      <w:r w:rsidRPr="00741B1B">
        <w:t xml:space="preserve"> received feedback from some public sector stakeholders regarding issues applying the modified retrospective method to measure the Grant of a Right to the Operator (GORTO) liability stated in paragraph C4(c) of AASB 1059</w:t>
      </w:r>
      <w:r>
        <w:t xml:space="preserve"> </w:t>
      </w:r>
      <w:r w:rsidRPr="00741B1B">
        <w:rPr>
          <w:i/>
        </w:rPr>
        <w:t>Service Concession Arrangements: Grantors</w:t>
      </w:r>
      <w:r w:rsidR="00C552A3">
        <w:t xml:space="preserve">. </w:t>
      </w:r>
      <w:r w:rsidRPr="00741B1B">
        <w:t>Stakeholders also commented that, since mandatory application of AASB 1059 has been deferred by</w:t>
      </w:r>
      <w:r w:rsidR="00B62932">
        <w:t xml:space="preserve"> one year</w:t>
      </w:r>
      <w:r w:rsidRPr="00741B1B">
        <w:t xml:space="preserve"> to annual periods beginning on or after 1 January 2020, it would be possible for some service concession arrangements to be captured by AASB</w:t>
      </w:r>
      <w:r>
        <w:t xml:space="preserve"> 16 </w:t>
      </w:r>
      <w:r w:rsidRPr="00741B1B">
        <w:rPr>
          <w:i/>
        </w:rPr>
        <w:t>Leases</w:t>
      </w:r>
      <w:r>
        <w:t xml:space="preserve"> </w:t>
      </w:r>
      <w:r w:rsidRPr="00741B1B">
        <w:t>prior to the application of AASB 1059</w:t>
      </w:r>
      <w:r w:rsidR="00C552A3">
        <w:t xml:space="preserve">. </w:t>
      </w:r>
      <w:r w:rsidRPr="00741B1B">
        <w:t>Stakeholders expr</w:t>
      </w:r>
      <w:r>
        <w:t>essed a view that applying AASB </w:t>
      </w:r>
      <w:r w:rsidRPr="00741B1B">
        <w:t>16 for one year to service concession arrangements could be</w:t>
      </w:r>
      <w:r>
        <w:t xml:space="preserve"> onerous</w:t>
      </w:r>
      <w:r w:rsidR="00C552A3">
        <w:t xml:space="preserve">. </w:t>
      </w:r>
      <w:r>
        <w:t xml:space="preserve">The </w:t>
      </w:r>
      <w:r w:rsidRPr="00741B1B">
        <w:t>B</w:t>
      </w:r>
      <w:r>
        <w:t>oard</w:t>
      </w:r>
      <w:r w:rsidRPr="00741B1B">
        <w:t xml:space="preserve"> considered stakeholders’ feedback and decided to </w:t>
      </w:r>
      <w:r w:rsidR="00C86750">
        <w:t>propose amendments to</w:t>
      </w:r>
      <w:r w:rsidRPr="00741B1B">
        <w:t xml:space="preserve"> AASB 16 and AASB 1059 to address these issues</w:t>
      </w:r>
      <w:r w:rsidR="00C552A3">
        <w:t xml:space="preserve">. </w:t>
      </w:r>
      <w:r w:rsidRPr="00741B1B">
        <w:t xml:space="preserve">The </w:t>
      </w:r>
      <w:r>
        <w:t>Board</w:t>
      </w:r>
      <w:r w:rsidRPr="00741B1B">
        <w:t xml:space="preserve"> also decided to make editorial amendments to the implementation guidance accompanying AASB 1059.</w:t>
      </w:r>
      <w:r w:rsidRPr="00534E7B">
        <w:t xml:space="preserve"> </w:t>
      </w:r>
    </w:p>
    <w:p w14:paraId="6980D83F" w14:textId="71380578" w:rsidR="009C2D48" w:rsidRDefault="009C2D48" w:rsidP="009C2D48">
      <w:pPr>
        <w:pStyle w:val="IASBSectionTitle2Ind"/>
        <w:jc w:val="both"/>
      </w:pPr>
      <w:r>
        <w:t xml:space="preserve">Issue of Fatal-Flaw Review </w:t>
      </w:r>
      <w:r w:rsidR="00906A71">
        <w:t>version of the S</w:t>
      </w:r>
      <w:r w:rsidR="003D0E1B">
        <w:t>tandard</w:t>
      </w:r>
    </w:p>
    <w:p w14:paraId="371F4D08" w14:textId="232415CD" w:rsidR="004D3780" w:rsidRPr="00065F5A" w:rsidRDefault="003627D0" w:rsidP="000D1D58">
      <w:pPr>
        <w:pStyle w:val="NoNumPlain1"/>
        <w:numPr>
          <w:ilvl w:val="0"/>
          <w:numId w:val="24"/>
        </w:numPr>
      </w:pPr>
      <w:r>
        <w:rPr>
          <w:szCs w:val="19"/>
        </w:rPr>
        <w:t xml:space="preserve">In June 2019, the Board issued a Fatal-Flaw Review version of the Standard for public comment. Submissions were received from four </w:t>
      </w:r>
      <w:r w:rsidR="00C86750">
        <w:rPr>
          <w:szCs w:val="19"/>
        </w:rPr>
        <w:t>stakeholders</w:t>
      </w:r>
      <w:r>
        <w:rPr>
          <w:szCs w:val="19"/>
        </w:rPr>
        <w:t xml:space="preserve">. </w:t>
      </w:r>
      <w:r w:rsidR="004657EE">
        <w:rPr>
          <w:szCs w:val="19"/>
        </w:rPr>
        <w:t xml:space="preserve">All </w:t>
      </w:r>
      <w:r w:rsidRPr="00F17840">
        <w:t xml:space="preserve">respondents were supportive of the </w:t>
      </w:r>
      <w:r>
        <w:t>Board</w:t>
      </w:r>
      <w:r w:rsidRPr="00F17840">
        <w:t xml:space="preserve"> </w:t>
      </w:r>
      <w:r w:rsidR="008B675D">
        <w:t>changing the</w:t>
      </w:r>
      <w:r w:rsidR="008B675D" w:rsidRPr="008B675D">
        <w:t xml:space="preserve"> </w:t>
      </w:r>
      <w:r w:rsidR="008B675D" w:rsidRPr="00741B1B">
        <w:t>modified retrospective method to measure the GORTO liability stated in paragraph C4(c) of AASB</w:t>
      </w:r>
      <w:r w:rsidR="008B675D">
        <w:t> </w:t>
      </w:r>
      <w:r w:rsidR="008B675D" w:rsidRPr="00741B1B">
        <w:t>1059</w:t>
      </w:r>
      <w:r w:rsidR="004735B8">
        <w:t xml:space="preserve"> and </w:t>
      </w:r>
      <w:r w:rsidR="00C86750">
        <w:t>provid</w:t>
      </w:r>
      <w:r w:rsidR="00C42AC2">
        <w:t>ing</w:t>
      </w:r>
      <w:r w:rsidR="00C86750">
        <w:t xml:space="preserve"> a</w:t>
      </w:r>
      <w:r w:rsidR="004735B8">
        <w:t xml:space="preserve"> practical expedient</w:t>
      </w:r>
      <w:r w:rsidR="00067013">
        <w:t xml:space="preserve"> </w:t>
      </w:r>
      <w:r w:rsidR="0075456E" w:rsidRPr="0075456E">
        <w:t xml:space="preserve">to grantors of service concession arrangements </w:t>
      </w:r>
      <w:r w:rsidR="00F66A07">
        <w:t xml:space="preserve">to not </w:t>
      </w:r>
      <w:r w:rsidR="00465162">
        <w:t>apply</w:t>
      </w:r>
      <w:r w:rsidR="0075456E" w:rsidRPr="0075456E">
        <w:t xml:space="preserve"> AASB 16 to assets that would be recognised as service concession assets under AASB 1059</w:t>
      </w:r>
      <w:r w:rsidR="00C552A3">
        <w:t xml:space="preserve">. </w:t>
      </w:r>
    </w:p>
    <w:p w14:paraId="69E92716" w14:textId="3A651B8F" w:rsidR="001824AA" w:rsidRDefault="002A1599" w:rsidP="001824AA">
      <w:pPr>
        <w:pStyle w:val="NoNumPlain1"/>
        <w:numPr>
          <w:ilvl w:val="0"/>
          <w:numId w:val="24"/>
        </w:numPr>
      </w:pPr>
      <w:r>
        <w:t>These</w:t>
      </w:r>
      <w:r w:rsidR="008B44F3">
        <w:t xml:space="preserve"> r</w:t>
      </w:r>
      <w:r w:rsidR="00371196">
        <w:t xml:space="preserve">espondents </w:t>
      </w:r>
      <w:r>
        <w:t xml:space="preserve">also </w:t>
      </w:r>
      <w:r w:rsidR="00CA4743">
        <w:t>provided feedback on</w:t>
      </w:r>
      <w:r w:rsidR="000136C5">
        <w:t xml:space="preserve"> additional issues </w:t>
      </w:r>
      <w:r w:rsidR="00CA4743">
        <w:t>in applying</w:t>
      </w:r>
      <w:r w:rsidR="001824AA" w:rsidRPr="00741B1B">
        <w:t xml:space="preserve"> the modified retrospective method stated in paragraph C4 of AASB 1059</w:t>
      </w:r>
      <w:r w:rsidR="001824AA">
        <w:t xml:space="preserve"> in relation to:</w:t>
      </w:r>
    </w:p>
    <w:p w14:paraId="3979A082" w14:textId="126EC77F" w:rsidR="001824AA" w:rsidRDefault="001824AA" w:rsidP="006144E8">
      <w:pPr>
        <w:pStyle w:val="NoNumPlain1"/>
        <w:numPr>
          <w:ilvl w:val="0"/>
          <w:numId w:val="27"/>
        </w:numPr>
      </w:pPr>
      <w:r>
        <w:t>measurement of the financial liability set out in paragraph C4(b);</w:t>
      </w:r>
      <w:r w:rsidR="006144E8">
        <w:t xml:space="preserve"> </w:t>
      </w:r>
      <w:r>
        <w:t>and</w:t>
      </w:r>
    </w:p>
    <w:p w14:paraId="0A0F6483" w14:textId="7FAE6BE2" w:rsidR="001824AA" w:rsidRDefault="001824AA" w:rsidP="001824AA">
      <w:pPr>
        <w:pStyle w:val="NoNumPlain1"/>
        <w:numPr>
          <w:ilvl w:val="0"/>
          <w:numId w:val="27"/>
        </w:numPr>
      </w:pPr>
      <w:r>
        <w:t xml:space="preserve">measurement of the liability </w:t>
      </w:r>
      <w:r w:rsidR="00852BA2">
        <w:t xml:space="preserve">representing the unearned revenue arising </w:t>
      </w:r>
      <w:r>
        <w:t xml:space="preserve">from </w:t>
      </w:r>
      <w:r w:rsidR="00852BA2">
        <w:t xml:space="preserve">the receipt of </w:t>
      </w:r>
      <w:r>
        <w:t xml:space="preserve">additional consideration </w:t>
      </w:r>
      <w:r w:rsidR="00A964C6">
        <w:t>from the</w:t>
      </w:r>
      <w:r>
        <w:t xml:space="preserve"> operator </w:t>
      </w:r>
      <w:r w:rsidR="00A964C6">
        <w:t xml:space="preserve">for access to an </w:t>
      </w:r>
      <w:r w:rsidRPr="00D55616">
        <w:t xml:space="preserve">existing asset </w:t>
      </w:r>
      <w:r w:rsidR="00A964C6">
        <w:t xml:space="preserve">of the grantor </w:t>
      </w:r>
      <w:r w:rsidRPr="00D55616">
        <w:t>that ha</w:t>
      </w:r>
      <w:r w:rsidR="00D17995">
        <w:t>s</w:t>
      </w:r>
      <w:r w:rsidRPr="00D55616">
        <w:t xml:space="preserve"> been reclassified as a service concession asset</w:t>
      </w:r>
      <w:r w:rsidR="00C552A3">
        <w:t xml:space="preserve">. </w:t>
      </w:r>
    </w:p>
    <w:p w14:paraId="0B8F9B6F" w14:textId="5D9CE52C" w:rsidR="001824AA" w:rsidRDefault="001824AA" w:rsidP="001824AA">
      <w:pPr>
        <w:pStyle w:val="NoNumPlain1"/>
        <w:numPr>
          <w:ilvl w:val="0"/>
          <w:numId w:val="24"/>
        </w:numPr>
      </w:pPr>
      <w:r>
        <w:t xml:space="preserve">The </w:t>
      </w:r>
      <w:r w:rsidRPr="00741B1B">
        <w:t>B</w:t>
      </w:r>
      <w:r>
        <w:t>oard</w:t>
      </w:r>
      <w:r w:rsidRPr="00741B1B">
        <w:t xml:space="preserve"> considered stakeholders’ feedback and decided to amend AASB 16 and AASB 1059 to address these issues</w:t>
      </w:r>
      <w:r w:rsidR="00C552A3">
        <w:t xml:space="preserve">. </w:t>
      </w:r>
    </w:p>
    <w:p w14:paraId="58E16E36" w14:textId="76D87CD5" w:rsidR="00E349CC" w:rsidRPr="00766E15" w:rsidRDefault="00E349CC" w:rsidP="00E349CC">
      <w:pPr>
        <w:pStyle w:val="IASBSectionTitle1NonInd"/>
        <w:jc w:val="both"/>
        <w:rPr>
          <w:iCs/>
        </w:rPr>
      </w:pPr>
      <w:r>
        <w:t>Modified retrospective method to measure the financial liability</w:t>
      </w:r>
    </w:p>
    <w:p w14:paraId="626CBA49" w14:textId="25249C98" w:rsidR="00E349CC" w:rsidRPr="00E65A08" w:rsidRDefault="00F53EC5" w:rsidP="00AD5C2B">
      <w:pPr>
        <w:pStyle w:val="NoNumPlain1"/>
        <w:numPr>
          <w:ilvl w:val="0"/>
          <w:numId w:val="24"/>
        </w:numPr>
      </w:pPr>
      <w:r>
        <w:t xml:space="preserve">The Board received </w:t>
      </w:r>
      <w:r w:rsidR="002A294D">
        <w:t>comment</w:t>
      </w:r>
      <w:r>
        <w:t>s from stakeholders</w:t>
      </w:r>
      <w:r w:rsidR="002A294D">
        <w:t xml:space="preserve"> </w:t>
      </w:r>
      <w:r w:rsidR="00E349CC">
        <w:t xml:space="preserve">that </w:t>
      </w:r>
      <w:r w:rsidR="00D04B98">
        <w:t>AASB 1059</w:t>
      </w:r>
      <w:r w:rsidR="00E349CC">
        <w:t xml:space="preserve"> </w:t>
      </w:r>
      <w:r w:rsidR="00760E05">
        <w:t>was</w:t>
      </w:r>
      <w:r w:rsidR="00E349CC">
        <w:t xml:space="preserve"> not clear whether</w:t>
      </w:r>
      <w:r w:rsidR="00E349CC" w:rsidRPr="00F2357B">
        <w:t xml:space="preserve"> the financial liability </w:t>
      </w:r>
      <w:r w:rsidR="00DD711B">
        <w:t>s</w:t>
      </w:r>
      <w:r w:rsidR="00E349CC" w:rsidRPr="00F2357B">
        <w:t xml:space="preserve">hould be measured </w:t>
      </w:r>
      <w:r w:rsidR="004F79E0" w:rsidRPr="00F2357B">
        <w:t xml:space="preserve">under the modified retrospective approach </w:t>
      </w:r>
      <w:r w:rsidR="00E349CC" w:rsidRPr="00F2357B">
        <w:t xml:space="preserve">at </w:t>
      </w:r>
      <w:r w:rsidR="00E349CC">
        <w:t xml:space="preserve">the same </w:t>
      </w:r>
      <w:r w:rsidR="00BE5368">
        <w:t>amount</w:t>
      </w:r>
      <w:r w:rsidR="00E349CC">
        <w:t xml:space="preserve"> as the </w:t>
      </w:r>
      <w:r w:rsidR="00BE5368">
        <w:t>fair value (</w:t>
      </w:r>
      <w:r w:rsidR="00E349CC">
        <w:t>current replacement cost</w:t>
      </w:r>
      <w:r w:rsidR="00BE5368">
        <w:t>)</w:t>
      </w:r>
      <w:r w:rsidR="00E349CC">
        <w:t xml:space="preserve"> of the service concession asset received</w:t>
      </w:r>
      <w:r w:rsidR="00C1027A">
        <w:t xml:space="preserve"> </w:t>
      </w:r>
      <w:r w:rsidR="004764F9">
        <w:t>(</w:t>
      </w:r>
      <w:r w:rsidR="00E349CC">
        <w:t xml:space="preserve">similar to </w:t>
      </w:r>
      <w:r w:rsidR="00B40CE8">
        <w:t xml:space="preserve">the </w:t>
      </w:r>
      <w:r w:rsidR="00E349CC">
        <w:t>initial recognition requirement</w:t>
      </w:r>
      <w:r w:rsidR="004764F9">
        <w:t>)</w:t>
      </w:r>
      <w:r w:rsidR="00E349CC">
        <w:t xml:space="preserve">; or </w:t>
      </w:r>
      <w:r w:rsidR="004764F9">
        <w:t xml:space="preserve">in accordance with AASB 9 </w:t>
      </w:r>
      <w:r w:rsidR="004764F9" w:rsidRPr="00FB5BD2">
        <w:rPr>
          <w:i/>
          <w:iCs/>
        </w:rPr>
        <w:t>Financial Instruments</w:t>
      </w:r>
      <w:r w:rsidR="004764F9" w:rsidRPr="00E65A08">
        <w:t xml:space="preserve"> </w:t>
      </w:r>
      <w:r w:rsidR="004764F9">
        <w:t>(</w:t>
      </w:r>
      <w:r w:rsidR="00E349CC">
        <w:t>similar to the subsequent measurement requirement</w:t>
      </w:r>
      <w:r w:rsidR="00D85D60">
        <w:t>)</w:t>
      </w:r>
      <w:r w:rsidR="00E349CC">
        <w:t xml:space="preserve">. The Board decided to amend paragraph C4(b) to clarify the </w:t>
      </w:r>
      <w:r w:rsidR="00E349CC" w:rsidRPr="00E65A08">
        <w:t xml:space="preserve">measurement </w:t>
      </w:r>
      <w:r w:rsidR="00BE66DD" w:rsidRPr="00E65A08">
        <w:t>of the financial liability at fair value on the date of initial application</w:t>
      </w:r>
      <w:r w:rsidR="00E349CC" w:rsidRPr="00E65A08">
        <w:t xml:space="preserve">. </w:t>
      </w:r>
    </w:p>
    <w:p w14:paraId="5B4DEC07" w14:textId="55A02C52" w:rsidR="00E349CC" w:rsidRPr="00F201DA" w:rsidRDefault="00BA0C10" w:rsidP="00AD5C2B">
      <w:pPr>
        <w:pStyle w:val="NoNumPlain1"/>
        <w:numPr>
          <w:ilvl w:val="0"/>
          <w:numId w:val="24"/>
        </w:numPr>
      </w:pPr>
      <w:r w:rsidRPr="00E65A08">
        <w:t xml:space="preserve">The Board noted that </w:t>
      </w:r>
      <w:r w:rsidR="00E94665" w:rsidRPr="00E65A08">
        <w:t>paragraph</w:t>
      </w:r>
      <w:r w:rsidR="00C959BB" w:rsidRPr="00E65A08">
        <w:t>s</w:t>
      </w:r>
      <w:r w:rsidR="00E94665" w:rsidRPr="00E65A08">
        <w:t xml:space="preserve"> </w:t>
      </w:r>
      <w:r w:rsidR="002C4D3C" w:rsidRPr="00E65A08">
        <w:t xml:space="preserve">5.1.1A </w:t>
      </w:r>
      <w:r w:rsidR="00C959BB" w:rsidRPr="00E65A08">
        <w:t xml:space="preserve">and B5.1.2A of AASB 9 require entities to </w:t>
      </w:r>
      <w:r w:rsidR="00A216DC">
        <w:t xml:space="preserve">recognise </w:t>
      </w:r>
      <w:r w:rsidR="008F1B04">
        <w:t xml:space="preserve">a financial liability at fair value </w:t>
      </w:r>
      <w:r w:rsidR="00CB4E4A">
        <w:t xml:space="preserve">at initial recognition </w:t>
      </w:r>
      <w:r w:rsidR="008F1B04">
        <w:t xml:space="preserve">and </w:t>
      </w:r>
      <w:r w:rsidR="00A216DC">
        <w:t xml:space="preserve">the </w:t>
      </w:r>
      <w:r w:rsidR="005726CD" w:rsidRPr="00F201DA">
        <w:t xml:space="preserve">difference between </w:t>
      </w:r>
      <w:r w:rsidR="002A25B5" w:rsidRPr="00F201DA">
        <w:t xml:space="preserve">the </w:t>
      </w:r>
      <w:r w:rsidR="005726CD" w:rsidRPr="00F201DA">
        <w:t xml:space="preserve">fair value </w:t>
      </w:r>
      <w:r w:rsidR="00FB5BD2" w:rsidRPr="00F201DA">
        <w:t xml:space="preserve">at initial recognition </w:t>
      </w:r>
      <w:r w:rsidR="005726CD" w:rsidRPr="00F201DA">
        <w:t>and the transaction price</w:t>
      </w:r>
      <w:r w:rsidR="00E349CC" w:rsidRPr="00F201DA">
        <w:t>.</w:t>
      </w:r>
      <w:r w:rsidR="00F201DA">
        <w:t xml:space="preserve"> The Board considered </w:t>
      </w:r>
      <w:r w:rsidR="00D956ED">
        <w:t xml:space="preserve">that, </w:t>
      </w:r>
      <w:r w:rsidR="005D1A7F">
        <w:t>for the purpose of</w:t>
      </w:r>
      <w:r w:rsidR="003420C3">
        <w:t xml:space="preserve"> </w:t>
      </w:r>
      <w:r w:rsidR="00D956ED">
        <w:t xml:space="preserve">the modified retrospective </w:t>
      </w:r>
      <w:r w:rsidR="00090151">
        <w:t>method</w:t>
      </w:r>
      <w:r w:rsidR="003420C3">
        <w:t xml:space="preserve">, </w:t>
      </w:r>
      <w:r w:rsidR="00F201DA">
        <w:t xml:space="preserve">the grantor of a </w:t>
      </w:r>
      <w:r w:rsidR="00B31019">
        <w:t xml:space="preserve">service concession arrangement </w:t>
      </w:r>
      <w:r w:rsidR="00D956ED">
        <w:t xml:space="preserve">would not be required </w:t>
      </w:r>
      <w:r w:rsidR="00B31019">
        <w:t xml:space="preserve">to </w:t>
      </w:r>
      <w:r w:rsidR="0067567F">
        <w:t xml:space="preserve">identify </w:t>
      </w:r>
      <w:r w:rsidR="00BB48BD">
        <w:t>the difference between the fair value of the financial liability on the date of initial recognition</w:t>
      </w:r>
      <w:r w:rsidR="005364CE">
        <w:t xml:space="preserve"> </w:t>
      </w:r>
      <w:r w:rsidR="00E708B0">
        <w:t>and the historical transaction price</w:t>
      </w:r>
      <w:r w:rsidR="00172820">
        <w:t xml:space="preserve">, and so referred directly to measurement </w:t>
      </w:r>
      <w:r w:rsidR="0097749F">
        <w:t>at fair value rather than in accordance with AASB 9</w:t>
      </w:r>
      <w:r w:rsidR="009C1B81">
        <w:t>.</w:t>
      </w:r>
    </w:p>
    <w:p w14:paraId="1F4A9A63" w14:textId="2AAD94D8" w:rsidR="001824AA" w:rsidRPr="00766E15" w:rsidRDefault="001824AA" w:rsidP="001824AA">
      <w:pPr>
        <w:pStyle w:val="IASBSectionTitle1NonInd"/>
        <w:jc w:val="both"/>
        <w:rPr>
          <w:iCs/>
        </w:rPr>
      </w:pPr>
      <w:r>
        <w:lastRenderedPageBreak/>
        <w:t>Modified retrospective method to measure the GORTO liability</w:t>
      </w:r>
      <w:r w:rsidRPr="00BE0F7C">
        <w:t xml:space="preserve"> resulting from receipt of a service concession asset</w:t>
      </w:r>
    </w:p>
    <w:p w14:paraId="0C119020" w14:textId="7CD11882" w:rsidR="001824AA" w:rsidRDefault="001824AA" w:rsidP="001824AA">
      <w:pPr>
        <w:pStyle w:val="NoNumPlain1"/>
        <w:numPr>
          <w:ilvl w:val="0"/>
          <w:numId w:val="24"/>
        </w:numPr>
      </w:pPr>
      <w:r w:rsidRPr="00BD240D">
        <w:t>Under the modified retrospective method in AASB 1059 paragraph C4(c), a grantor measure</w:t>
      </w:r>
      <w:r>
        <w:t>s</w:t>
      </w:r>
      <w:r w:rsidRPr="00BD240D">
        <w:t xml:space="preserve"> a GORTO liability</w:t>
      </w:r>
      <w:r w:rsidRPr="00DB4371">
        <w:t xml:space="preserve"> </w:t>
      </w:r>
      <w:r>
        <w:t>resulting from receipt of a service concession asset</w:t>
      </w:r>
      <w:r w:rsidRPr="00BD240D">
        <w:t xml:space="preserve"> </w:t>
      </w:r>
      <w:r>
        <w:t>based on the</w:t>
      </w:r>
      <w:r w:rsidRPr="00BD240D">
        <w:t xml:space="preserve"> “fair value (current replacement cost) of the related service concession asset </w:t>
      </w:r>
      <w:r>
        <w:t xml:space="preserve">received </w:t>
      </w:r>
      <w:r w:rsidRPr="00BD240D">
        <w:t xml:space="preserve">at the date of initial application, adjusted to reflect the remaining period of the service concession arrangement </w:t>
      </w:r>
      <w:r w:rsidRPr="00957F05">
        <w:rPr>
          <w:b/>
        </w:rPr>
        <w:t>relative to the remaining economic life of the asset</w:t>
      </w:r>
      <w:r>
        <w:rPr>
          <w:b/>
        </w:rPr>
        <w:t xml:space="preserve"> </w:t>
      </w:r>
      <w:r w:rsidRPr="00BD240D">
        <w:t>…”</w:t>
      </w:r>
      <w:r>
        <w:t xml:space="preserve"> </w:t>
      </w:r>
      <w:r w:rsidRPr="00BD240D">
        <w:t>(emphasis added)</w:t>
      </w:r>
      <w:bookmarkStart w:id="18" w:name="_Ref8048188"/>
      <w:r w:rsidR="00C552A3">
        <w:t xml:space="preserve">. </w:t>
      </w:r>
      <w:r>
        <w:t>Stakeholders indicated two issues in applying the calculation: (1) anomalous outcomes when a service concession asset has an indefinite economic life; and (2) a significantly lower GORTO liability compared to the asset if the remaining economic life of the service concession asset is significantly greater than the remaining concession period on transition to AASB 1059.</w:t>
      </w:r>
      <w:bookmarkEnd w:id="18"/>
    </w:p>
    <w:p w14:paraId="18D2CC08" w14:textId="77777777" w:rsidR="001824AA" w:rsidRPr="008775C5" w:rsidRDefault="001824AA" w:rsidP="001824AA">
      <w:pPr>
        <w:pStyle w:val="IASBSectionTitle2Ind"/>
        <w:jc w:val="both"/>
        <w:rPr>
          <w:i/>
        </w:rPr>
      </w:pPr>
      <w:r w:rsidRPr="008775C5">
        <w:t xml:space="preserve">Extent of the issues and </w:t>
      </w:r>
      <w:r w:rsidRPr="008775C5">
        <w:rPr>
          <w:i/>
        </w:rPr>
        <w:t>The AASB’s Not-for-Profit Entity Standard-Setting Framework</w:t>
      </w:r>
    </w:p>
    <w:p w14:paraId="69EA0F6B" w14:textId="4E63255E" w:rsidR="001824AA" w:rsidRDefault="001824AA" w:rsidP="001824AA">
      <w:pPr>
        <w:pStyle w:val="NoNumPlain1"/>
        <w:numPr>
          <w:ilvl w:val="0"/>
          <w:numId w:val="24"/>
        </w:numPr>
      </w:pPr>
      <w:r>
        <w:t xml:space="preserve">In discussions with the Treasury/Finance departments and/or Audit Offices in four jurisdictions, it was noted that some agencies in two States and some local councils in one State are experiencing the issues described in paragraph </w:t>
      </w:r>
      <w:r>
        <w:fldChar w:fldCharType="begin"/>
      </w:r>
      <w:r>
        <w:instrText xml:space="preserve"> REF _Ref8048188 \r \h </w:instrText>
      </w:r>
      <w:r>
        <w:fldChar w:fldCharType="separate"/>
      </w:r>
      <w:r w:rsidR="003E0D5C">
        <w:t>BC8</w:t>
      </w:r>
      <w:r>
        <w:fldChar w:fldCharType="end"/>
      </w:r>
      <w:r w:rsidR="00C552A3">
        <w:t xml:space="preserve">. </w:t>
      </w:r>
      <w:r>
        <w:t>Representatives of these jurisdictions also commented that there would likely be a significant number of service concession assets with an indefinite useful life, such as earthworks</w:t>
      </w:r>
      <w:r w:rsidR="00C552A3">
        <w:t xml:space="preserve">. </w:t>
      </w:r>
      <w:r>
        <w:t>They also suggested that the GORTO liability calculated under paragraph C4(c) would be significantly small</w:t>
      </w:r>
      <w:r w:rsidR="005924E6">
        <w:t>er</w:t>
      </w:r>
      <w:r>
        <w:t xml:space="preserve"> compared to the asset in some arrangements, particularly those in the early stages</w:t>
      </w:r>
      <w:r w:rsidR="00C552A3">
        <w:t xml:space="preserve">. </w:t>
      </w:r>
      <w:r>
        <w:t xml:space="preserve">Moreover, they believe the full retrospective method (the only alternative method) could not be applied as some agencies might not be able to obtain </w:t>
      </w:r>
      <w:proofErr w:type="gramStart"/>
      <w:r>
        <w:t>sufficient</w:t>
      </w:r>
      <w:proofErr w:type="gramEnd"/>
      <w:r>
        <w:t xml:space="preserve"> historical data to perform the full retrospective calculations.</w:t>
      </w:r>
    </w:p>
    <w:p w14:paraId="535E64C5" w14:textId="656A5584" w:rsidR="001824AA" w:rsidRDefault="001824AA" w:rsidP="001824AA">
      <w:pPr>
        <w:pStyle w:val="NoNumPlain1"/>
        <w:numPr>
          <w:ilvl w:val="0"/>
          <w:numId w:val="24"/>
        </w:numPr>
      </w:pPr>
      <w:r>
        <w:t>The Board consider</w:t>
      </w:r>
      <w:r w:rsidR="009C1DF9">
        <w:t>ed</w:t>
      </w:r>
      <w:r>
        <w:t xml:space="preserve"> there is merit in changing the modified retrospective GORTO liability calculation method set out in paragraph C4(c)</w:t>
      </w:r>
      <w:r w:rsidR="00C552A3">
        <w:t xml:space="preserve">. </w:t>
      </w:r>
      <w:r>
        <w:t xml:space="preserve">Even if entities could choose to apply the full retrospective model – if the necessary historical information was available – the Board </w:t>
      </w:r>
      <w:r w:rsidR="008747D1">
        <w:t xml:space="preserve">was </w:t>
      </w:r>
      <w:r>
        <w:t>of the view that it would not be appropriate to completely remove the modified retrospective method at this stage of implementation of the Standard</w:t>
      </w:r>
      <w:r w:rsidR="00685EFB">
        <w:t xml:space="preserve">, </w:t>
      </w:r>
      <w:r w:rsidR="00A26E93">
        <w:t>as such</w:t>
      </w:r>
      <w:r>
        <w:t xml:space="preserve"> </w:t>
      </w:r>
      <w:r w:rsidR="00B50264">
        <w:t xml:space="preserve">an </w:t>
      </w:r>
      <w:r>
        <w:t xml:space="preserve">approach would require entities to apply the full retrospective method. </w:t>
      </w:r>
    </w:p>
    <w:p w14:paraId="674CBECB" w14:textId="4F574339" w:rsidR="001824AA" w:rsidRDefault="001824AA" w:rsidP="001824AA">
      <w:pPr>
        <w:pStyle w:val="NoNumPlain1"/>
        <w:numPr>
          <w:ilvl w:val="0"/>
          <w:numId w:val="24"/>
        </w:numPr>
      </w:pPr>
      <w:r>
        <w:t>The Board also consider</w:t>
      </w:r>
      <w:r w:rsidR="009C1DF9">
        <w:t>ed</w:t>
      </w:r>
      <w:r>
        <w:t xml:space="preserve"> that changing the modified retrospective method is justified under </w:t>
      </w:r>
      <w:r w:rsidRPr="001748C1">
        <w:rPr>
          <w:i/>
        </w:rPr>
        <w:t xml:space="preserve">The AASB’s Not-for-Profit Entity Standard-Setting Framework </w:t>
      </w:r>
      <w:r>
        <w:t>paragraph 28(a)</w:t>
      </w:r>
      <w:r>
        <w:rPr>
          <w:rStyle w:val="FootnoteReference"/>
        </w:rPr>
        <w:footnoteReference w:id="2"/>
      </w:r>
      <w:r>
        <w:t xml:space="preserve">, as the existing modified retrospective GORTO liability calculation would appear to result in reported performance or financial position not reflecting economic reality, particularly when the service concession asset has an indefinite useful life. </w:t>
      </w:r>
    </w:p>
    <w:p w14:paraId="06405ACD" w14:textId="77777777" w:rsidR="001824AA" w:rsidRPr="009C54B8" w:rsidRDefault="001824AA" w:rsidP="001824AA">
      <w:pPr>
        <w:pStyle w:val="IASBSectionTitle2Ind"/>
        <w:jc w:val="both"/>
      </w:pPr>
      <w:r>
        <w:t>Options for addressing the issues</w:t>
      </w:r>
    </w:p>
    <w:p w14:paraId="6DE810E9" w14:textId="77777777" w:rsidR="001824AA" w:rsidRDefault="001824AA" w:rsidP="001824AA">
      <w:pPr>
        <w:pStyle w:val="NoNumPlain1"/>
        <w:numPr>
          <w:ilvl w:val="0"/>
          <w:numId w:val="24"/>
        </w:numPr>
      </w:pPr>
      <w:r>
        <w:t xml:space="preserve">The Board considered four possible options for resolving the issues: </w:t>
      </w:r>
    </w:p>
    <w:p w14:paraId="7ADD9B73" w14:textId="6A7DB5CD" w:rsidR="001824AA" w:rsidRDefault="001824AA" w:rsidP="001824AA">
      <w:pPr>
        <w:pStyle w:val="NoNumPlain1"/>
        <w:numPr>
          <w:ilvl w:val="0"/>
          <w:numId w:val="25"/>
        </w:numPr>
        <w:ind w:left="1139" w:hanging="357"/>
      </w:pPr>
      <w:r>
        <w:t>Option 1 – change the modified retrospective GORTO liability calculation method</w:t>
      </w:r>
      <w:r w:rsidRPr="006C1524">
        <w:t xml:space="preserve"> </w:t>
      </w:r>
      <w:r>
        <w:t>so that the liability is</w:t>
      </w:r>
      <w:r w:rsidRPr="006C1524">
        <w:t xml:space="preserve"> initially measured </w:t>
      </w:r>
      <w:r>
        <w:t>based on</w:t>
      </w:r>
      <w:r w:rsidRPr="006C1524">
        <w:t xml:space="preserve"> the current replacement cost of the service concession asset </w:t>
      </w:r>
      <w:r>
        <w:t xml:space="preserve">received </w:t>
      </w:r>
      <w:r w:rsidRPr="006C1524">
        <w:t xml:space="preserve">at the date of initial application adjusted to reflect the remaining concession period </w:t>
      </w:r>
      <w:r w:rsidRPr="006C1524">
        <w:rPr>
          <w:b/>
        </w:rPr>
        <w:t>relative to the total period of the arrangement</w:t>
      </w:r>
      <w:r w:rsidRPr="006C1524">
        <w:t>, rather than relative to the remaining economic life of the service concession asset</w:t>
      </w:r>
      <w:r w:rsidR="00C552A3">
        <w:t xml:space="preserve">. </w:t>
      </w:r>
      <w:r>
        <w:t xml:space="preserve">Since this approach does not </w:t>
      </w:r>
      <w:r w:rsidRPr="00537456">
        <w:t>consider the economic life of the asset</w:t>
      </w:r>
      <w:r>
        <w:t xml:space="preserve">, this option would address the two issues noted in paragraph </w:t>
      </w:r>
      <w:r>
        <w:fldChar w:fldCharType="begin"/>
      </w:r>
      <w:r>
        <w:instrText xml:space="preserve"> REF _Ref8048188 \r \h </w:instrText>
      </w:r>
      <w:r>
        <w:fldChar w:fldCharType="separate"/>
      </w:r>
      <w:r w:rsidR="003E0D5C">
        <w:t>BC8</w:t>
      </w:r>
      <w:r>
        <w:fldChar w:fldCharType="end"/>
      </w:r>
      <w:r>
        <w:t>;</w:t>
      </w:r>
    </w:p>
    <w:p w14:paraId="22A17EB2" w14:textId="2DAE9BEE" w:rsidR="001824AA" w:rsidRDefault="001824AA" w:rsidP="001824AA">
      <w:pPr>
        <w:pStyle w:val="NoNumPlain1"/>
        <w:numPr>
          <w:ilvl w:val="0"/>
          <w:numId w:val="25"/>
        </w:numPr>
        <w:ind w:left="1139" w:hanging="357"/>
      </w:pPr>
      <w:r>
        <w:t>Option 2 – amend AASB 1059 to introduce a proxy for the ‘remaining economic life’ of the asset, for example 99 years, to use in the existing modified retrospective GORTO liability calculation for assets with an indefinite economic life</w:t>
      </w:r>
      <w:r w:rsidR="00C552A3">
        <w:t xml:space="preserve">. </w:t>
      </w:r>
      <w:r>
        <w:t>The Board considered that d</w:t>
      </w:r>
      <w:r w:rsidRPr="006C1524">
        <w:t xml:space="preserve">etermining a proxy would be difficult and </w:t>
      </w:r>
      <w:r>
        <w:t xml:space="preserve">could </w:t>
      </w:r>
      <w:r w:rsidRPr="006C1524">
        <w:t>result in a rule-of-thumb that might not be a faithful representation of the substance of an arrangement</w:t>
      </w:r>
      <w:r w:rsidR="00C552A3">
        <w:t xml:space="preserve">. </w:t>
      </w:r>
      <w:r>
        <w:t xml:space="preserve">Moreover, this option would not address the issue that for some arrangements the </w:t>
      </w:r>
      <w:r w:rsidRPr="00C45A4F">
        <w:t>GORTO liability calculated under the m</w:t>
      </w:r>
      <w:r>
        <w:t>odified retrospective approach might be</w:t>
      </w:r>
      <w:r w:rsidRPr="00C45A4F">
        <w:t xml:space="preserve"> significantly small</w:t>
      </w:r>
      <w:r w:rsidR="005924E6">
        <w:t>er</w:t>
      </w:r>
      <w:r w:rsidRPr="00C45A4F">
        <w:t xml:space="preserve"> compared to the asset</w:t>
      </w:r>
      <w:r>
        <w:t xml:space="preserve">; </w:t>
      </w:r>
    </w:p>
    <w:p w14:paraId="28862624" w14:textId="068EDEA3" w:rsidR="001824AA" w:rsidRPr="009317F6" w:rsidRDefault="001824AA" w:rsidP="001824AA">
      <w:pPr>
        <w:pStyle w:val="NoNumPlain1"/>
        <w:numPr>
          <w:ilvl w:val="0"/>
          <w:numId w:val="25"/>
        </w:numPr>
        <w:ind w:left="1139" w:hanging="357"/>
        <w:rPr>
          <w:szCs w:val="19"/>
        </w:rPr>
      </w:pPr>
      <w:r>
        <w:t xml:space="preserve">Option 3 – include the calculation proposed in Option 1 as </w:t>
      </w:r>
      <w:r w:rsidR="00F56273">
        <w:t xml:space="preserve">an accounting policy </w:t>
      </w:r>
      <w:r>
        <w:t>choice for entities</w:t>
      </w:r>
      <w:r w:rsidR="00C552A3">
        <w:t xml:space="preserve">. </w:t>
      </w:r>
      <w:r>
        <w:t xml:space="preserve">That is, make available </w:t>
      </w:r>
      <w:r w:rsidR="006E472C">
        <w:t xml:space="preserve">both </w:t>
      </w:r>
      <w:r>
        <w:t xml:space="preserve">the current </w:t>
      </w:r>
      <w:r w:rsidR="006E472C">
        <w:t xml:space="preserve">modified </w:t>
      </w:r>
      <w:r>
        <w:t>retrospective method and the calculation proposed in Option 1, and provide guidance to illustrate which option to apply under which circumstances</w:t>
      </w:r>
      <w:r w:rsidR="00C552A3">
        <w:t xml:space="preserve">. </w:t>
      </w:r>
      <w:r>
        <w:t>The Board noted that in finalising AASB 1059 it had mandated one calculation method so that the modified retrospective method would be applied consistently across entities</w:t>
      </w:r>
      <w:r w:rsidR="00C552A3">
        <w:t xml:space="preserve">. </w:t>
      </w:r>
      <w:r>
        <w:t xml:space="preserve">Introducing an optional alternative for the modified </w:t>
      </w:r>
      <w:r>
        <w:lastRenderedPageBreak/>
        <w:t xml:space="preserve">retrospective method could remove that consistency and permit entities to choose a method for the purpose of achieving better budget or actual results rather than the method </w:t>
      </w:r>
      <w:r w:rsidRPr="009317F6">
        <w:rPr>
          <w:szCs w:val="19"/>
        </w:rPr>
        <w:t>that best reflects the economic substance of the transaction; and</w:t>
      </w:r>
    </w:p>
    <w:p w14:paraId="3D7204C0" w14:textId="3C1AD57C" w:rsidR="001824AA" w:rsidRPr="009317F6" w:rsidRDefault="001824AA" w:rsidP="001824AA">
      <w:pPr>
        <w:pStyle w:val="ListParagraph"/>
        <w:numPr>
          <w:ilvl w:val="0"/>
          <w:numId w:val="25"/>
        </w:numPr>
        <w:ind w:left="1139" w:hanging="357"/>
        <w:jc w:val="both"/>
        <w:rPr>
          <w:sz w:val="19"/>
          <w:szCs w:val="19"/>
          <w:lang w:eastAsia="en-US"/>
        </w:rPr>
      </w:pPr>
      <w:r w:rsidRPr="009317F6">
        <w:rPr>
          <w:sz w:val="19"/>
          <w:szCs w:val="19"/>
        </w:rPr>
        <w:t>Option 4 – to recognise a GORTO liability at the same amount as the current replacement cost</w:t>
      </w:r>
      <w:r>
        <w:rPr>
          <w:sz w:val="19"/>
          <w:szCs w:val="19"/>
        </w:rPr>
        <w:t xml:space="preserve"> of the asset received on transition to</w:t>
      </w:r>
      <w:r w:rsidRPr="009317F6">
        <w:rPr>
          <w:sz w:val="19"/>
          <w:szCs w:val="19"/>
        </w:rPr>
        <w:t xml:space="preserve"> AASB 1059</w:t>
      </w:r>
      <w:r w:rsidR="00C552A3">
        <w:rPr>
          <w:sz w:val="19"/>
          <w:szCs w:val="19"/>
        </w:rPr>
        <w:t xml:space="preserve">. </w:t>
      </w:r>
      <w:r w:rsidRPr="009317F6">
        <w:rPr>
          <w:sz w:val="19"/>
          <w:szCs w:val="19"/>
          <w:lang w:eastAsia="en-US"/>
        </w:rPr>
        <w:t xml:space="preserve">This method is </w:t>
      </w:r>
      <w:proofErr w:type="gramStart"/>
      <w:r w:rsidRPr="009317F6">
        <w:rPr>
          <w:sz w:val="19"/>
          <w:szCs w:val="19"/>
          <w:lang w:eastAsia="en-US"/>
        </w:rPr>
        <w:t>similar to</w:t>
      </w:r>
      <w:proofErr w:type="gramEnd"/>
      <w:r w:rsidRPr="009317F6">
        <w:rPr>
          <w:sz w:val="19"/>
          <w:szCs w:val="19"/>
          <w:lang w:eastAsia="en-US"/>
        </w:rPr>
        <w:t xml:space="preserve"> the modified transitional approach in transitioning operating leases under AASB 117 </w:t>
      </w:r>
      <w:r w:rsidR="0060687B" w:rsidRPr="000D1D58">
        <w:rPr>
          <w:i/>
          <w:iCs/>
          <w:sz w:val="19"/>
          <w:szCs w:val="19"/>
          <w:lang w:eastAsia="en-US"/>
        </w:rPr>
        <w:t>Leases</w:t>
      </w:r>
      <w:r w:rsidR="0060687B">
        <w:rPr>
          <w:sz w:val="19"/>
          <w:szCs w:val="19"/>
          <w:lang w:eastAsia="en-US"/>
        </w:rPr>
        <w:t xml:space="preserve"> </w:t>
      </w:r>
      <w:r w:rsidRPr="009317F6">
        <w:rPr>
          <w:sz w:val="19"/>
          <w:szCs w:val="19"/>
          <w:lang w:eastAsia="en-US"/>
        </w:rPr>
        <w:t>to AAS</w:t>
      </w:r>
      <w:r>
        <w:rPr>
          <w:sz w:val="19"/>
          <w:szCs w:val="19"/>
          <w:lang w:eastAsia="en-US"/>
        </w:rPr>
        <w:t>B 16</w:t>
      </w:r>
      <w:r w:rsidRPr="009317F6">
        <w:rPr>
          <w:sz w:val="19"/>
          <w:szCs w:val="19"/>
          <w:lang w:eastAsia="en-US"/>
        </w:rPr>
        <w:t>. Under paragraph C8 of AASB</w:t>
      </w:r>
      <w:r w:rsidR="00515CC2">
        <w:rPr>
          <w:sz w:val="19"/>
          <w:szCs w:val="19"/>
          <w:lang w:eastAsia="en-US"/>
        </w:rPr>
        <w:t> </w:t>
      </w:r>
      <w:r w:rsidRPr="009317F6">
        <w:rPr>
          <w:sz w:val="19"/>
          <w:szCs w:val="19"/>
          <w:lang w:eastAsia="en-US"/>
        </w:rPr>
        <w:t>16, a lessee recognises a lease liability under the Standard and has an option to recognise a right-of-use asset based on the amount of the lease liab</w:t>
      </w:r>
      <w:r>
        <w:rPr>
          <w:sz w:val="19"/>
          <w:szCs w:val="19"/>
          <w:lang w:eastAsia="en-US"/>
        </w:rPr>
        <w:t>ility on transition to AASB 16</w:t>
      </w:r>
      <w:r w:rsidR="00C552A3">
        <w:rPr>
          <w:sz w:val="19"/>
          <w:szCs w:val="19"/>
          <w:lang w:eastAsia="en-US"/>
        </w:rPr>
        <w:t xml:space="preserve">. </w:t>
      </w:r>
      <w:r>
        <w:rPr>
          <w:sz w:val="19"/>
          <w:szCs w:val="19"/>
          <w:lang w:eastAsia="en-US"/>
        </w:rPr>
        <w:t>However, the Board consider</w:t>
      </w:r>
      <w:r w:rsidR="0060687B">
        <w:rPr>
          <w:sz w:val="19"/>
          <w:szCs w:val="19"/>
          <w:lang w:eastAsia="en-US"/>
        </w:rPr>
        <w:t>ed</w:t>
      </w:r>
      <w:r>
        <w:rPr>
          <w:sz w:val="19"/>
          <w:szCs w:val="19"/>
          <w:lang w:eastAsia="en-US"/>
        </w:rPr>
        <w:t xml:space="preserve"> that the modified retrospective method should reflect that part of the service concession period has already passed. </w:t>
      </w:r>
    </w:p>
    <w:p w14:paraId="5A2D1323" w14:textId="77777777" w:rsidR="001824AA" w:rsidRDefault="001824AA" w:rsidP="001824AA">
      <w:pPr>
        <w:pStyle w:val="NoNumPlain1"/>
        <w:numPr>
          <w:ilvl w:val="0"/>
          <w:numId w:val="24"/>
        </w:numPr>
      </w:pPr>
      <w:r>
        <w:t xml:space="preserve">The Board considered the advantages and disadvantages of each option and decided to adopt Option </w:t>
      </w:r>
      <w:r w:rsidRPr="002C736F">
        <w:t xml:space="preserve">1 </w:t>
      </w:r>
      <w:r>
        <w:t>– change the modified retrospective GORTO liability calculation method</w:t>
      </w:r>
      <w:r w:rsidRPr="006C1524">
        <w:t xml:space="preserve"> </w:t>
      </w:r>
      <w:r>
        <w:t>so that it is</w:t>
      </w:r>
      <w:r w:rsidRPr="006C1524">
        <w:t xml:space="preserve"> initially measured </w:t>
      </w:r>
      <w:r>
        <w:t>based on</w:t>
      </w:r>
      <w:r w:rsidRPr="006C1524">
        <w:t xml:space="preserve"> the current replacement cost of the service concession asset at the date of initial application adjusted to reflect the remaining concession period </w:t>
      </w:r>
      <w:r w:rsidRPr="006C1524">
        <w:rPr>
          <w:b/>
        </w:rPr>
        <w:t>relative to the total period of the arrangement</w:t>
      </w:r>
      <w:r w:rsidRPr="006C1524">
        <w:t>, rather than relative to the remaining economic life of the service concession asset</w:t>
      </w:r>
      <w:r>
        <w:t>.</w:t>
      </w:r>
    </w:p>
    <w:p w14:paraId="0E441A4E" w14:textId="22395882" w:rsidR="001824AA" w:rsidRDefault="001824AA" w:rsidP="001824AA">
      <w:pPr>
        <w:pStyle w:val="NoNumPlain1"/>
        <w:numPr>
          <w:ilvl w:val="0"/>
          <w:numId w:val="24"/>
        </w:numPr>
      </w:pPr>
      <w:r>
        <w:t>Option 1 w</w:t>
      </w:r>
      <w:r w:rsidRPr="00957F05">
        <w:t xml:space="preserve">ould result in a larger GORTO liability compared to </w:t>
      </w:r>
      <w:r>
        <w:t>the current modified retrospective calculation</w:t>
      </w:r>
      <w:r w:rsidRPr="00957F05">
        <w:t xml:space="preserve"> </w:t>
      </w:r>
      <w:r>
        <w:t xml:space="preserve">method </w:t>
      </w:r>
      <w:r w:rsidRPr="00957F05">
        <w:t xml:space="preserve">when the service concession asset has a remaining economic life longer than the </w:t>
      </w:r>
      <w:r>
        <w:t>total concession period</w:t>
      </w:r>
      <w:r w:rsidR="00C552A3">
        <w:t xml:space="preserve">. </w:t>
      </w:r>
      <w:r>
        <w:t xml:space="preserve">The Board considered that </w:t>
      </w:r>
      <w:r w:rsidRPr="00957F05">
        <w:t>this larger GORTO liability</w:t>
      </w:r>
      <w:r>
        <w:t xml:space="preserve"> calculated under Option 1</w:t>
      </w:r>
      <w:r w:rsidRPr="00957F05">
        <w:t xml:space="preserve"> better reflects the grantor’s unearned revenue on transition date, </w:t>
      </w:r>
      <w:r>
        <w:t>under</w:t>
      </w:r>
      <w:r w:rsidRPr="00957F05">
        <w:t xml:space="preserve"> a short-cut method</w:t>
      </w:r>
      <w:r>
        <w:t>, compared to the current calculation method</w:t>
      </w:r>
      <w:r w:rsidR="00C552A3">
        <w:t xml:space="preserve">. </w:t>
      </w:r>
      <w:r w:rsidRPr="00957F05">
        <w:t xml:space="preserve">This is because the grantor would be able to continue to benefit from the asset after the </w:t>
      </w:r>
      <w:r>
        <w:t xml:space="preserve">service concession </w:t>
      </w:r>
      <w:r w:rsidRPr="00957F05">
        <w:t xml:space="preserve">arrangement has </w:t>
      </w:r>
      <w:proofErr w:type="gramStart"/>
      <w:r w:rsidRPr="00957F05">
        <w:t>ended, and</w:t>
      </w:r>
      <w:proofErr w:type="gramEnd"/>
      <w:r w:rsidRPr="00957F05">
        <w:t xml:space="preserve"> would then recognise income based on the grantor’s future use of the asset</w:t>
      </w:r>
      <w:r w:rsidR="00C552A3">
        <w:t xml:space="preserve">. </w:t>
      </w:r>
      <w:r w:rsidRPr="00957F05">
        <w:t>The unearned revenue to be recognised under the service concession arrangement at the date of transition in the form of the GORTO liability therefore relates to the remaining service concession period and should be recognised as revenue over that period</w:t>
      </w:r>
      <w:r>
        <w:t>.</w:t>
      </w:r>
    </w:p>
    <w:p w14:paraId="65B1EE16" w14:textId="2310DFBB" w:rsidR="001824AA" w:rsidRDefault="001824AA" w:rsidP="001824AA">
      <w:pPr>
        <w:pStyle w:val="IASBSectionTitle1NonInd"/>
        <w:pBdr>
          <w:bottom w:val="single" w:sz="4" w:space="1" w:color="auto"/>
        </w:pBdr>
        <w:jc w:val="both"/>
      </w:pPr>
      <w:r>
        <w:t xml:space="preserve">Modified retrospective method to measure the </w:t>
      </w:r>
      <w:r w:rsidR="003122A3">
        <w:t>liability</w:t>
      </w:r>
      <w:r w:rsidRPr="00BE0F7C">
        <w:t xml:space="preserve"> </w:t>
      </w:r>
      <w:r w:rsidR="000501CF" w:rsidRPr="000501CF">
        <w:t xml:space="preserve">arising from the receipt of additional consideration from the operator for access to an existing asset of the grantor </w:t>
      </w:r>
    </w:p>
    <w:p w14:paraId="7607B454" w14:textId="6F9C4208" w:rsidR="001824AA" w:rsidRDefault="00085057" w:rsidP="001824AA">
      <w:pPr>
        <w:pStyle w:val="NoNumPlain1"/>
        <w:numPr>
          <w:ilvl w:val="0"/>
          <w:numId w:val="24"/>
        </w:numPr>
      </w:pPr>
      <w:r>
        <w:t xml:space="preserve">Some stakeholders commented that </w:t>
      </w:r>
      <w:r w:rsidR="001824AA" w:rsidRPr="004E4906">
        <w:t xml:space="preserve">AASB 1059 </w:t>
      </w:r>
      <w:r w:rsidR="001824AA">
        <w:t>d</w:t>
      </w:r>
      <w:r w:rsidR="008E764B">
        <w:t>id</w:t>
      </w:r>
      <w:r w:rsidR="001824AA">
        <w:t xml:space="preserve"> not specify </w:t>
      </w:r>
      <w:r w:rsidR="001824AA" w:rsidRPr="00DC30D1">
        <w:t xml:space="preserve">the recognition and measurement of additional consideration given by the operator </w:t>
      </w:r>
      <w:r w:rsidR="000E6C15">
        <w:t xml:space="preserve">to the grantor </w:t>
      </w:r>
      <w:r w:rsidR="001824AA" w:rsidRPr="00DC30D1">
        <w:t xml:space="preserve">for </w:t>
      </w:r>
      <w:r w:rsidR="004E0502">
        <w:t>access to an</w:t>
      </w:r>
      <w:r w:rsidR="001824AA" w:rsidRPr="00DC30D1">
        <w:t xml:space="preserve"> existing asset</w:t>
      </w:r>
      <w:r w:rsidR="004E0502">
        <w:t xml:space="preserve"> of the grantor</w:t>
      </w:r>
      <w:r w:rsidR="001824AA" w:rsidRPr="00DC30D1">
        <w:t xml:space="preserve"> that ha</w:t>
      </w:r>
      <w:r w:rsidR="004E0502">
        <w:t>s</w:t>
      </w:r>
      <w:r w:rsidR="001824AA" w:rsidRPr="00DC30D1">
        <w:t xml:space="preserve"> been reclassified as a service concession asset, on transition </w:t>
      </w:r>
      <w:r w:rsidR="001824AA">
        <w:t xml:space="preserve">to the Standard </w:t>
      </w:r>
      <w:r w:rsidR="001824AA" w:rsidRPr="00DC30D1">
        <w:t>under the modified retrospective approach</w:t>
      </w:r>
      <w:r w:rsidR="001824AA">
        <w:t>.</w:t>
      </w:r>
    </w:p>
    <w:p w14:paraId="68B66A6F" w14:textId="54FBBA29" w:rsidR="001824AA" w:rsidRPr="002D6528" w:rsidRDefault="001824AA" w:rsidP="00AD5C2B">
      <w:pPr>
        <w:pStyle w:val="NoNumPlain1"/>
        <w:numPr>
          <w:ilvl w:val="0"/>
          <w:numId w:val="24"/>
        </w:numPr>
      </w:pPr>
      <w:r>
        <w:t>Consistent with p</w:t>
      </w:r>
      <w:r w:rsidRPr="00DC30D1">
        <w:t>aragraph 11 of AASB 1059</w:t>
      </w:r>
      <w:r>
        <w:t xml:space="preserve">, the Board considered that </w:t>
      </w:r>
      <w:r w:rsidRPr="00DC30D1">
        <w:t xml:space="preserve">a liability should be recognised by the grantor where additional consideration is provided by the operator for </w:t>
      </w:r>
      <w:r w:rsidR="00E47D91">
        <w:t>access to</w:t>
      </w:r>
      <w:r w:rsidRPr="00DC30D1">
        <w:t xml:space="preserve"> </w:t>
      </w:r>
      <w:r w:rsidR="00631C75">
        <w:t>an</w:t>
      </w:r>
      <w:r w:rsidR="00631C75" w:rsidRPr="00DC30D1">
        <w:t xml:space="preserve"> existing asset</w:t>
      </w:r>
      <w:r w:rsidR="00631C75">
        <w:t xml:space="preserve"> of the grantor</w:t>
      </w:r>
      <w:r w:rsidR="00631C75" w:rsidRPr="00DC30D1">
        <w:t xml:space="preserve"> </w:t>
      </w:r>
      <w:r w:rsidR="003F7E68">
        <w:t xml:space="preserve">that </w:t>
      </w:r>
      <w:r w:rsidRPr="00DC30D1">
        <w:t>h</w:t>
      </w:r>
      <w:r w:rsidR="00631C75">
        <w:t>as</w:t>
      </w:r>
      <w:r w:rsidRPr="00DC30D1">
        <w:t xml:space="preserve"> been reclassified as a ser</w:t>
      </w:r>
      <w:r>
        <w:t>vice concession asset. Consequently</w:t>
      </w:r>
      <w:r w:rsidRPr="00DC30D1">
        <w:t>,</w:t>
      </w:r>
      <w:r>
        <w:t xml:space="preserve"> a new paragraph C4(d) </w:t>
      </w:r>
      <w:r w:rsidR="00C40F28">
        <w:t>was</w:t>
      </w:r>
      <w:r>
        <w:t xml:space="preserve"> added to specify the measurement requirement.</w:t>
      </w:r>
      <w:r w:rsidR="00CB444A">
        <w:t xml:space="preserve"> </w:t>
      </w:r>
      <w:r w:rsidR="00E24C01">
        <w:t>For consistency, t</w:t>
      </w:r>
      <w:r>
        <w:t xml:space="preserve">he Board decided that the same proportion used </w:t>
      </w:r>
      <w:r w:rsidR="00CB444A">
        <w:t xml:space="preserve">in </w:t>
      </w:r>
      <w:r>
        <w:t>measur</w:t>
      </w:r>
      <w:r w:rsidR="00CB444A">
        <w:t>ing</w:t>
      </w:r>
      <w:r>
        <w:t xml:space="preserve"> the GORTO liability resulting from rece</w:t>
      </w:r>
      <w:r w:rsidR="00C6597A">
        <w:t>ipt of</w:t>
      </w:r>
      <w:r>
        <w:t xml:space="preserve"> a service concession asset</w:t>
      </w:r>
      <w:r w:rsidR="00117E02">
        <w:t xml:space="preserve"> </w:t>
      </w:r>
      <w:r w:rsidR="00117E02" w:rsidRPr="00117E02">
        <w:rPr>
          <w:iCs/>
        </w:rPr>
        <w:t xml:space="preserve">– </w:t>
      </w:r>
      <w:r w:rsidR="00C40F28">
        <w:rPr>
          <w:iCs/>
        </w:rPr>
        <w:t xml:space="preserve">the </w:t>
      </w:r>
      <w:r w:rsidR="003B1663" w:rsidRPr="003B1663">
        <w:rPr>
          <w:iCs/>
        </w:rPr>
        <w:t xml:space="preserve">remaining period of the service concession arrangement relative to </w:t>
      </w:r>
      <w:r w:rsidR="003B1663">
        <w:rPr>
          <w:iCs/>
        </w:rPr>
        <w:t xml:space="preserve">the </w:t>
      </w:r>
      <w:r w:rsidR="003B1663" w:rsidRPr="003B1663">
        <w:rPr>
          <w:iCs/>
        </w:rPr>
        <w:t>total period of the arrangement</w:t>
      </w:r>
      <w:r w:rsidR="00FF7F6E">
        <w:rPr>
          <w:iCs/>
        </w:rPr>
        <w:t xml:space="preserve"> </w:t>
      </w:r>
      <w:r w:rsidR="00FF7F6E" w:rsidRPr="00117E02">
        <w:rPr>
          <w:iCs/>
        </w:rPr>
        <w:t>–</w:t>
      </w:r>
      <w:r w:rsidR="00FF7F6E">
        <w:rPr>
          <w:iCs/>
        </w:rPr>
        <w:t xml:space="preserve"> </w:t>
      </w:r>
      <w:r>
        <w:t xml:space="preserve">should be applied to </w:t>
      </w:r>
      <w:r w:rsidR="00B448CF">
        <w:t>the amount of the proceeds received in measuring</w:t>
      </w:r>
      <w:r w:rsidR="00FF7F6E">
        <w:t xml:space="preserve"> </w:t>
      </w:r>
      <w:r>
        <w:t xml:space="preserve">this liability under the modified retrospective approach. </w:t>
      </w:r>
    </w:p>
    <w:p w14:paraId="391E00F0" w14:textId="77777777" w:rsidR="001824AA" w:rsidRPr="00766E15" w:rsidRDefault="001824AA" w:rsidP="001824AA">
      <w:pPr>
        <w:pStyle w:val="IASBSectionTitle1NonInd"/>
        <w:pBdr>
          <w:bottom w:val="single" w:sz="4" w:space="1" w:color="auto"/>
        </w:pBdr>
        <w:jc w:val="both"/>
        <w:rPr>
          <w:iCs/>
        </w:rPr>
      </w:pPr>
      <w:r>
        <w:t>Non-application of AASB 16 to assets that would be recognised as service concession assets</w:t>
      </w:r>
    </w:p>
    <w:p w14:paraId="4F16BE25" w14:textId="58218CD6" w:rsidR="001824AA" w:rsidRDefault="001824AA" w:rsidP="001824AA">
      <w:pPr>
        <w:pStyle w:val="NoNumPlain1"/>
        <w:numPr>
          <w:ilvl w:val="0"/>
          <w:numId w:val="24"/>
        </w:numPr>
      </w:pPr>
      <w:r>
        <w:t>AASB 1059 was originally effective for annual reporting periods beginning on or after 1 January 2019, which was the same effective date as AASB 16</w:t>
      </w:r>
      <w:r w:rsidR="00C552A3">
        <w:t xml:space="preserve">. </w:t>
      </w:r>
      <w:r w:rsidR="00077B0E">
        <w:t>Subsequently</w:t>
      </w:r>
      <w:r>
        <w:t xml:space="preserve">, the mandatory effective date of AASB 1059 was deferred by </w:t>
      </w:r>
      <w:r w:rsidR="00091BBB">
        <w:t>one year</w:t>
      </w:r>
      <w:r>
        <w:t xml:space="preserve"> to reporting periods beginning on or after 1 January 2020 </w:t>
      </w:r>
      <w:r w:rsidR="00077B0E">
        <w:t xml:space="preserve">by </w:t>
      </w:r>
      <w:r>
        <w:t xml:space="preserve">AASB 2018-5 </w:t>
      </w:r>
      <w:r w:rsidRPr="00EF5917">
        <w:rPr>
          <w:i/>
        </w:rPr>
        <w:t>Amendments to Australian Accounting Standards – Deferral of AASB 1059</w:t>
      </w:r>
      <w:r w:rsidR="00C552A3">
        <w:t xml:space="preserve">. </w:t>
      </w:r>
      <w:r>
        <w:t>Stakeholders noted that it would be possible for some service concession arrangements to be captured by AASB 16 prior to the application of AASB 1059</w:t>
      </w:r>
      <w:r w:rsidR="00C552A3">
        <w:t xml:space="preserve">. </w:t>
      </w:r>
      <w:r w:rsidRPr="00534E7B">
        <w:t xml:space="preserve">Stakeholders expressed a view that </w:t>
      </w:r>
      <w:r>
        <w:t xml:space="preserve">applying </w:t>
      </w:r>
      <w:r w:rsidRPr="00534E7B">
        <w:t>AASB 16</w:t>
      </w:r>
      <w:r>
        <w:t xml:space="preserve"> for one year could be onerous, requiring another change in accounting policy for service concession assets in the following year. </w:t>
      </w:r>
    </w:p>
    <w:p w14:paraId="36896BCE" w14:textId="12007A2C" w:rsidR="001824AA" w:rsidRPr="008D2CAF" w:rsidRDefault="001824AA" w:rsidP="001824AA">
      <w:pPr>
        <w:pStyle w:val="ListParagraph"/>
        <w:numPr>
          <w:ilvl w:val="0"/>
          <w:numId w:val="24"/>
        </w:numPr>
        <w:jc w:val="both"/>
        <w:rPr>
          <w:sz w:val="19"/>
          <w:szCs w:val="20"/>
          <w:lang w:eastAsia="en-US"/>
        </w:rPr>
      </w:pPr>
      <w:r>
        <w:rPr>
          <w:sz w:val="19"/>
          <w:szCs w:val="20"/>
          <w:lang w:eastAsia="en-US"/>
        </w:rPr>
        <w:t xml:space="preserve">The Board considered whether changing the date of initial application of AASB 1059 – from the </w:t>
      </w:r>
      <w:r w:rsidRPr="001B2092">
        <w:rPr>
          <w:sz w:val="19"/>
          <w:szCs w:val="20"/>
          <w:lang w:eastAsia="en-US"/>
        </w:rPr>
        <w:t>beginning of the earliest reporting period for which comparative information is presen</w:t>
      </w:r>
      <w:r>
        <w:rPr>
          <w:sz w:val="19"/>
          <w:szCs w:val="20"/>
          <w:lang w:eastAsia="en-US"/>
        </w:rPr>
        <w:t>ted in the financial statements to the beginning of the</w:t>
      </w:r>
      <w:r w:rsidRPr="001B2092">
        <w:rPr>
          <w:sz w:val="19"/>
          <w:szCs w:val="20"/>
          <w:lang w:eastAsia="en-US"/>
        </w:rPr>
        <w:t xml:space="preserve"> annual reporting period in which an entity first applies </w:t>
      </w:r>
      <w:r>
        <w:rPr>
          <w:sz w:val="19"/>
          <w:szCs w:val="20"/>
          <w:lang w:eastAsia="en-US"/>
        </w:rPr>
        <w:t>AASB 1059 – would a</w:t>
      </w:r>
      <w:r w:rsidRPr="008D2CAF">
        <w:rPr>
          <w:sz w:val="19"/>
          <w:szCs w:val="20"/>
          <w:lang w:eastAsia="en-US"/>
        </w:rPr>
        <w:t xml:space="preserve">void applying AASB 16 for one year </w:t>
      </w:r>
      <w:r>
        <w:rPr>
          <w:sz w:val="19"/>
          <w:szCs w:val="20"/>
          <w:lang w:eastAsia="en-US"/>
        </w:rPr>
        <w:t xml:space="preserve">to </w:t>
      </w:r>
      <w:r w:rsidRPr="008D2CAF">
        <w:rPr>
          <w:sz w:val="19"/>
          <w:szCs w:val="20"/>
          <w:lang w:eastAsia="en-US"/>
        </w:rPr>
        <w:t>service concession arrangements</w:t>
      </w:r>
      <w:r w:rsidR="00C552A3">
        <w:rPr>
          <w:sz w:val="19"/>
          <w:szCs w:val="20"/>
          <w:lang w:eastAsia="en-US"/>
        </w:rPr>
        <w:t xml:space="preserve">. </w:t>
      </w:r>
      <w:r w:rsidR="00D71389">
        <w:rPr>
          <w:sz w:val="19"/>
          <w:szCs w:val="20"/>
          <w:lang w:eastAsia="en-US"/>
        </w:rPr>
        <w:t>However, t</w:t>
      </w:r>
      <w:r>
        <w:rPr>
          <w:sz w:val="19"/>
          <w:szCs w:val="20"/>
          <w:lang w:eastAsia="en-US"/>
        </w:rPr>
        <w:t xml:space="preserve">he Board noted that </w:t>
      </w:r>
      <w:r w:rsidRPr="008D2CAF">
        <w:rPr>
          <w:sz w:val="19"/>
          <w:szCs w:val="20"/>
          <w:lang w:eastAsia="en-US"/>
        </w:rPr>
        <w:t xml:space="preserve">an entity </w:t>
      </w:r>
      <w:r>
        <w:rPr>
          <w:sz w:val="19"/>
          <w:szCs w:val="20"/>
          <w:lang w:eastAsia="en-US"/>
        </w:rPr>
        <w:t>would need</w:t>
      </w:r>
      <w:r w:rsidRPr="008D2CAF">
        <w:rPr>
          <w:sz w:val="19"/>
          <w:szCs w:val="20"/>
          <w:lang w:eastAsia="en-US"/>
        </w:rPr>
        <w:t xml:space="preserve"> to early adopt AASB 1059</w:t>
      </w:r>
      <w:r>
        <w:rPr>
          <w:sz w:val="19"/>
          <w:szCs w:val="20"/>
          <w:lang w:eastAsia="en-US"/>
        </w:rPr>
        <w:t xml:space="preserve"> in order to avoid applying AASB 16 to</w:t>
      </w:r>
      <w:r w:rsidRPr="008D2CAF">
        <w:rPr>
          <w:sz w:val="19"/>
          <w:szCs w:val="20"/>
          <w:lang w:eastAsia="en-US"/>
        </w:rPr>
        <w:t xml:space="preserve"> service concession arrangements</w:t>
      </w:r>
      <w:r w:rsidR="00C552A3">
        <w:rPr>
          <w:sz w:val="19"/>
          <w:szCs w:val="20"/>
          <w:lang w:eastAsia="en-US"/>
        </w:rPr>
        <w:t xml:space="preserve">. </w:t>
      </w:r>
      <w:r>
        <w:rPr>
          <w:sz w:val="19"/>
          <w:szCs w:val="20"/>
          <w:lang w:eastAsia="en-US"/>
        </w:rPr>
        <w:t>C</w:t>
      </w:r>
      <w:r w:rsidRPr="009D49C9">
        <w:rPr>
          <w:sz w:val="19"/>
          <w:szCs w:val="20"/>
          <w:lang w:eastAsia="en-US"/>
        </w:rPr>
        <w:t xml:space="preserve">hanging the date of initial application </w:t>
      </w:r>
      <w:r w:rsidR="00ED5BBD">
        <w:rPr>
          <w:sz w:val="19"/>
          <w:szCs w:val="20"/>
          <w:lang w:eastAsia="en-US"/>
        </w:rPr>
        <w:t>as indicated</w:t>
      </w:r>
      <w:r w:rsidR="00FB135D">
        <w:rPr>
          <w:sz w:val="19"/>
          <w:szCs w:val="20"/>
          <w:lang w:eastAsia="en-US"/>
        </w:rPr>
        <w:t xml:space="preserve"> </w:t>
      </w:r>
      <w:r w:rsidRPr="009D49C9">
        <w:rPr>
          <w:sz w:val="19"/>
          <w:szCs w:val="20"/>
          <w:lang w:eastAsia="en-US"/>
        </w:rPr>
        <w:t xml:space="preserve">would not change this </w:t>
      </w:r>
      <w:proofErr w:type="gramStart"/>
      <w:r w:rsidRPr="009D49C9">
        <w:rPr>
          <w:sz w:val="19"/>
          <w:szCs w:val="20"/>
          <w:lang w:eastAsia="en-US"/>
        </w:rPr>
        <w:t>need</w:t>
      </w:r>
      <w:r w:rsidR="00682762">
        <w:rPr>
          <w:sz w:val="19"/>
          <w:szCs w:val="20"/>
          <w:lang w:eastAsia="en-US"/>
        </w:rPr>
        <w:t>,</w:t>
      </w:r>
      <w:r w:rsidR="00C729D9">
        <w:rPr>
          <w:sz w:val="19"/>
          <w:szCs w:val="20"/>
          <w:lang w:eastAsia="en-US"/>
        </w:rPr>
        <w:t xml:space="preserve"> but</w:t>
      </w:r>
      <w:proofErr w:type="gramEnd"/>
      <w:r w:rsidR="00C729D9">
        <w:rPr>
          <w:sz w:val="19"/>
          <w:szCs w:val="20"/>
          <w:lang w:eastAsia="en-US"/>
        </w:rPr>
        <w:t xml:space="preserve"> could make</w:t>
      </w:r>
      <w:r>
        <w:rPr>
          <w:sz w:val="19"/>
          <w:szCs w:val="20"/>
          <w:lang w:eastAsia="en-US"/>
        </w:rPr>
        <w:t xml:space="preserve"> it more feasible for entities to early adopt AASB 1059</w:t>
      </w:r>
      <w:r w:rsidRPr="008D2CAF">
        <w:rPr>
          <w:sz w:val="19"/>
          <w:szCs w:val="20"/>
          <w:lang w:eastAsia="en-US"/>
        </w:rPr>
        <w:t xml:space="preserve">. </w:t>
      </w:r>
    </w:p>
    <w:p w14:paraId="50F999EC" w14:textId="65A64685" w:rsidR="001824AA" w:rsidRDefault="001824AA" w:rsidP="001824AA">
      <w:pPr>
        <w:pStyle w:val="NoNumPlain1"/>
        <w:numPr>
          <w:ilvl w:val="0"/>
          <w:numId w:val="24"/>
        </w:numPr>
      </w:pPr>
      <w:r>
        <w:lastRenderedPageBreak/>
        <w:t xml:space="preserve">The Board decided </w:t>
      </w:r>
      <w:r w:rsidR="00B95D00">
        <w:t xml:space="preserve">instead </w:t>
      </w:r>
      <w:r>
        <w:t xml:space="preserve">to </w:t>
      </w:r>
      <w:r w:rsidRPr="004E1023">
        <w:t xml:space="preserve">modify AASB 16 to provide a practical expedient to </w:t>
      </w:r>
      <w:r>
        <w:t xml:space="preserve">public sector </w:t>
      </w:r>
      <w:r w:rsidRPr="004E1023">
        <w:t>grantors of service concession arrangements so that AASB 16 would not need to be applied to assets that would be recognised as service concession assets under AASB 1059</w:t>
      </w:r>
      <w:r w:rsidR="00C552A3">
        <w:t xml:space="preserve">. </w:t>
      </w:r>
      <w:r>
        <w:t xml:space="preserve">Entities would be permitted to </w:t>
      </w:r>
      <w:r w:rsidRPr="009D49C9">
        <w:t>continue apply</w:t>
      </w:r>
      <w:r>
        <w:t>ing their</w:t>
      </w:r>
      <w:r w:rsidRPr="009D49C9">
        <w:t xml:space="preserve"> existing accounting policy to these assets until AASB 1059 is applied.</w:t>
      </w:r>
      <w:r w:rsidR="00BC128F">
        <w:t xml:space="preserve"> The Board had proposed </w:t>
      </w:r>
      <w:r w:rsidR="002560C6">
        <w:t>i</w:t>
      </w:r>
      <w:r w:rsidR="00BC128F">
        <w:t xml:space="preserve">n the </w:t>
      </w:r>
      <w:r w:rsidR="003A2261" w:rsidRPr="003A2261">
        <w:t>Fatal-Flaw Review version</w:t>
      </w:r>
      <w:r w:rsidR="003A2261">
        <w:t xml:space="preserve"> limiting this practical expedient to assets recognised under AASB 117, but extended the scope to all assets that would be recognised under AASB 1059 following comments from </w:t>
      </w:r>
      <w:r w:rsidR="00DD7869">
        <w:t>respondents that some assets might be subject to AASB 16 without having been accounted for explicitly under AASB 117.</w:t>
      </w:r>
    </w:p>
    <w:p w14:paraId="1292D5A5" w14:textId="77777777" w:rsidR="001824AA" w:rsidRPr="00766E15" w:rsidRDefault="001824AA" w:rsidP="001824AA">
      <w:pPr>
        <w:pStyle w:val="IASBSectionTitle1NonInd"/>
        <w:jc w:val="both"/>
        <w:rPr>
          <w:iCs/>
        </w:rPr>
      </w:pPr>
      <w:r>
        <w:t>Editorial amendments</w:t>
      </w:r>
    </w:p>
    <w:p w14:paraId="1036AB87" w14:textId="2B2BF0D5" w:rsidR="00BB62EF" w:rsidRDefault="001824AA" w:rsidP="00BB62EF">
      <w:pPr>
        <w:pStyle w:val="NoNumPlain1"/>
        <w:numPr>
          <w:ilvl w:val="0"/>
          <w:numId w:val="24"/>
        </w:numPr>
      </w:pPr>
      <w:r>
        <w:t xml:space="preserve">The Board decided to </w:t>
      </w:r>
      <w:r w:rsidR="00AA3E68">
        <w:t xml:space="preserve">amend </w:t>
      </w:r>
      <w:r>
        <w:t>paragraph B7</w:t>
      </w:r>
      <w:r w:rsidR="00AA3E68">
        <w:t xml:space="preserve">6 of </w:t>
      </w:r>
      <w:r w:rsidR="00B44D36">
        <w:t xml:space="preserve">the application guidance </w:t>
      </w:r>
      <w:r w:rsidR="00193585" w:rsidRPr="00193585">
        <w:t xml:space="preserve">to clarify that the grantor’s policy choice </w:t>
      </w:r>
      <w:r w:rsidR="004D1B50">
        <w:t>of</w:t>
      </w:r>
      <w:r w:rsidR="00193585" w:rsidRPr="00193585">
        <w:t xml:space="preserve"> continu</w:t>
      </w:r>
      <w:r w:rsidR="004D1B50">
        <w:t>ing to</w:t>
      </w:r>
      <w:r w:rsidR="00193585" w:rsidRPr="00193585">
        <w:t xml:space="preserve"> apply insurance accounting is limited to contracts that meet the definition of a financial guarantee under AASB 9, if they ha</w:t>
      </w:r>
      <w:r w:rsidR="00200AFB">
        <w:t>d</w:t>
      </w:r>
      <w:r w:rsidR="00193585" w:rsidRPr="00193585">
        <w:t xml:space="preserve"> previously been accounted for as insurance contracts</w:t>
      </w:r>
      <w:r w:rsidR="00193585">
        <w:t>.</w:t>
      </w:r>
      <w:r>
        <w:t xml:space="preserve"> </w:t>
      </w:r>
      <w:r w:rsidR="00BB62EF">
        <w:t xml:space="preserve">The Board considered </w:t>
      </w:r>
      <w:r w:rsidR="00CA55A1">
        <w:t xml:space="preserve">that </w:t>
      </w:r>
      <w:r w:rsidR="00BB62EF">
        <w:t>compensation of revenue shortfalls in the context of AASB 1059 paragraph 16(b) would not meet the definition of a financial guarantee under AASB 9 for the grantor where the grantor is guaranteeing payments to the operator to cover lower usage of service concession assets than expected. Therefore, insurance accounting would not be appropriate in measuring the liability to the operator in the case of such revenue shortfalls. On the other hand, if the grantor guarantees to make payments to the operator in the event of users of the service concession assets defaulting on usage payments to the operator, then the grantor would assess whether it has a financial guarantee contract and would be eligible for continued insurance accounting</w:t>
      </w:r>
      <w:r w:rsidR="00A15E81">
        <w:t>,</w:t>
      </w:r>
      <w:r w:rsidR="00BB62EF">
        <w:t xml:space="preserve"> if previously applied.</w:t>
      </w:r>
    </w:p>
    <w:p w14:paraId="7318FB01" w14:textId="7A6D040F" w:rsidR="001824AA" w:rsidRDefault="001824AA" w:rsidP="001824AA">
      <w:pPr>
        <w:pStyle w:val="NoNumPlain1"/>
        <w:numPr>
          <w:ilvl w:val="0"/>
          <w:numId w:val="24"/>
        </w:numPr>
      </w:pPr>
      <w:r>
        <w:t>A stakeholder expressed the vi</w:t>
      </w:r>
      <w:r w:rsidRPr="006E37A9">
        <w:t xml:space="preserve">ew that the flowchart </w:t>
      </w:r>
      <w:r>
        <w:t xml:space="preserve">in paragraph IG10 of the implementation guidance </w:t>
      </w:r>
      <w:r w:rsidRPr="006E37A9">
        <w:t>in its current form c</w:t>
      </w:r>
      <w:r w:rsidR="00A15E81">
        <w:t>ould</w:t>
      </w:r>
      <w:r w:rsidRPr="006E37A9">
        <w:t xml:space="preserve"> be misinterpreted – if either of the top two boxes is ‘Yes’, then the arrangement </w:t>
      </w:r>
      <w:r w:rsidR="00894984">
        <w:t>would</w:t>
      </w:r>
      <w:r w:rsidRPr="006E37A9">
        <w:t xml:space="preserve"> automatically </w:t>
      </w:r>
      <w:r w:rsidR="00894984">
        <w:t xml:space="preserve">be </w:t>
      </w:r>
      <w:r w:rsidRPr="006E37A9">
        <w:t xml:space="preserve">a service concession arrangement without considering the two </w:t>
      </w:r>
      <w:r>
        <w:t>criteria in paragraph 2 of AASB </w:t>
      </w:r>
      <w:r w:rsidRPr="006E37A9">
        <w:t xml:space="preserve">1059: whether the operator provides public services on behalf </w:t>
      </w:r>
      <w:r>
        <w:t>of the</w:t>
      </w:r>
      <w:r w:rsidRPr="006E37A9">
        <w:t xml:space="preserve"> grantor, and whether the operator manages at least some of those services under its own discretion</w:t>
      </w:r>
      <w:r w:rsidR="00C552A3">
        <w:t xml:space="preserve">. </w:t>
      </w:r>
      <w:r>
        <w:t xml:space="preserve">The Board decided to amend the flowchart </w:t>
      </w:r>
      <w:r w:rsidR="00D36A8D">
        <w:t xml:space="preserve">for </w:t>
      </w:r>
      <w:r w:rsidR="00894984">
        <w:t xml:space="preserve">the </w:t>
      </w:r>
      <w:r w:rsidR="00D36A8D">
        <w:t xml:space="preserve">avoidance of </w:t>
      </w:r>
      <w:r w:rsidR="00E042BC">
        <w:t>doubt</w:t>
      </w:r>
      <w:r>
        <w:t>.</w:t>
      </w:r>
    </w:p>
    <w:p w14:paraId="65A0290F" w14:textId="634F60F1" w:rsidR="00730CF7" w:rsidRDefault="001824AA" w:rsidP="00EC38FA">
      <w:pPr>
        <w:pStyle w:val="NoNumPlain1"/>
        <w:numPr>
          <w:ilvl w:val="0"/>
          <w:numId w:val="24"/>
        </w:numPr>
      </w:pPr>
      <w:r>
        <w:t>The Board also decided to amend the table in</w:t>
      </w:r>
      <w:r w:rsidRPr="007010F2">
        <w:t xml:space="preserve"> paragraph IG13</w:t>
      </w:r>
      <w:r w:rsidR="00EC38FA" w:rsidRPr="00EC38FA">
        <w:t xml:space="preserve"> </w:t>
      </w:r>
      <w:r w:rsidR="00EC38FA">
        <w:t>of the implementation guidance</w:t>
      </w:r>
      <w:r w:rsidRPr="007010F2">
        <w:t xml:space="preserve"> to be more consistent w</w:t>
      </w:r>
      <w:r>
        <w:t>ith paragraph B10, to indicate that</w:t>
      </w:r>
      <w:r w:rsidRPr="007010F2">
        <w:t xml:space="preserve"> the operator must be responsible for managing at least some of the public services provided through the asset, </w:t>
      </w:r>
      <w:r>
        <w:t>rather than</w:t>
      </w:r>
      <w:r w:rsidRPr="007010F2">
        <w:t xml:space="preserve"> being responsible for at least some of the management of the asset</w:t>
      </w:r>
      <w:r>
        <w:t xml:space="preserve">, for </w:t>
      </w:r>
      <w:r w:rsidR="00E36C3F">
        <w:t>a transaction</w:t>
      </w:r>
      <w:r>
        <w:t xml:space="preserve"> to be a service concessio</w:t>
      </w:r>
      <w:r w:rsidR="00E36C3F">
        <w:t>n arrangement.</w:t>
      </w:r>
    </w:p>
    <w:sectPr w:rsidR="00730CF7" w:rsidSect="00D74C6A">
      <w:footerReference w:type="default" r:id="rId17"/>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B303" w14:textId="77777777" w:rsidR="00023BC7" w:rsidRDefault="00023BC7">
      <w:r>
        <w:separator/>
      </w:r>
    </w:p>
  </w:endnote>
  <w:endnote w:type="continuationSeparator" w:id="0">
    <w:p w14:paraId="3D09049D" w14:textId="77777777" w:rsidR="00023BC7" w:rsidRDefault="00023BC7">
      <w:r>
        <w:continuationSeparator/>
      </w:r>
    </w:p>
  </w:endnote>
  <w:endnote w:type="continuationNotice" w:id="1">
    <w:p w14:paraId="6B9C7ED7" w14:textId="77777777" w:rsidR="00023BC7" w:rsidRDefault="00023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D074" w14:textId="17B69026"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3E0D5C" w:rsidRPr="003E0D5C">
      <w:rPr>
        <w:b/>
      </w:rPr>
      <w:t>2019-2</w:t>
    </w:r>
    <w:r>
      <w:rPr>
        <w:b/>
      </w:rPr>
      <w:fldChar w:fldCharType="end"/>
    </w:r>
    <w:r>
      <w:rPr>
        <w:b/>
      </w:rPr>
      <w:tab/>
    </w:r>
    <w:r>
      <w:fldChar w:fldCharType="begin"/>
    </w:r>
    <w:r>
      <w:instrText>PAGE</w:instrText>
    </w:r>
    <w:r>
      <w:fldChar w:fldCharType="separate"/>
    </w:r>
    <w:r w:rsidR="00DC30D1">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C217" w14:textId="299381F9" w:rsidR="00074CB7" w:rsidRDefault="00074CB7">
    <w:pPr>
      <w:pStyle w:val="Footer"/>
      <w:rPr>
        <w:b/>
      </w:rPr>
    </w:pPr>
    <w:r>
      <w:rPr>
        <w:b/>
      </w:rPr>
      <w:t>AASB</w:t>
    </w:r>
    <w:r w:rsidR="00A025D2">
      <w:rPr>
        <w:b/>
      </w:rPr>
      <w:t xml:space="preserve"> </w:t>
    </w:r>
    <w:r w:rsidR="00A025D2">
      <w:rPr>
        <w:b/>
      </w:rPr>
      <w:fldChar w:fldCharType="begin"/>
    </w:r>
    <w:r w:rsidR="00A025D2">
      <w:rPr>
        <w:b/>
      </w:rPr>
      <w:instrText xml:space="preserve"> REF DocNo  \* charformat </w:instrText>
    </w:r>
    <w:r w:rsidR="00A025D2">
      <w:rPr>
        <w:b/>
      </w:rPr>
      <w:fldChar w:fldCharType="separate"/>
    </w:r>
    <w:r w:rsidR="003E0D5C" w:rsidRPr="003E0D5C">
      <w:rPr>
        <w:b/>
      </w:rPr>
      <w:t>2019-2</w:t>
    </w:r>
    <w:r w:rsidR="00A025D2">
      <w:rPr>
        <w:b/>
      </w:rPr>
      <w:fldChar w:fldCharType="end"/>
    </w:r>
    <w:r>
      <w:rPr>
        <w:b/>
      </w:rPr>
      <w:tab/>
    </w:r>
    <w:r>
      <w:fldChar w:fldCharType="begin"/>
    </w:r>
    <w:r>
      <w:instrText>PAGE</w:instrText>
    </w:r>
    <w:r>
      <w:fldChar w:fldCharType="separate"/>
    </w:r>
    <w:r w:rsidR="00DC30D1">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D1F4" w14:textId="30254D07"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3E0D5C" w:rsidRPr="003E0D5C">
      <w:rPr>
        <w:b/>
      </w:rPr>
      <w:t>2019-2</w:t>
    </w:r>
    <w:r>
      <w:rPr>
        <w:b/>
      </w:rPr>
      <w:fldChar w:fldCharType="end"/>
    </w:r>
    <w:r>
      <w:rPr>
        <w:b/>
      </w:rPr>
      <w:tab/>
    </w:r>
    <w:r>
      <w:fldChar w:fldCharType="begin"/>
    </w:r>
    <w:r>
      <w:instrText>PAGE</w:instrText>
    </w:r>
    <w:r>
      <w:fldChar w:fldCharType="separate"/>
    </w:r>
    <w:r w:rsidR="00DC30D1">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2647" w14:textId="45F5BBDE"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3E0D5C" w:rsidRPr="003E0D5C">
      <w:rPr>
        <w:b/>
      </w:rPr>
      <w:t>2019-2</w:t>
    </w:r>
    <w:r>
      <w:rPr>
        <w:b/>
      </w:rPr>
      <w:fldChar w:fldCharType="end"/>
    </w:r>
    <w:r>
      <w:rPr>
        <w:b/>
      </w:rPr>
      <w:tab/>
    </w:r>
    <w:r>
      <w:fldChar w:fldCharType="begin"/>
    </w:r>
    <w:r>
      <w:instrText>PAGE</w:instrText>
    </w:r>
    <w:r>
      <w:fldChar w:fldCharType="separate"/>
    </w:r>
    <w:r w:rsidR="00F90605">
      <w:rPr>
        <w:noProof/>
      </w:rPr>
      <w:t>12</w:t>
    </w:r>
    <w:r>
      <w:fldChar w:fldCharType="end"/>
    </w:r>
    <w:r>
      <w:tab/>
    </w:r>
    <w:r w:rsidR="00E10D67">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95C6" w14:textId="6F746982" w:rsidR="001824AA" w:rsidRDefault="001824AA">
    <w:pPr>
      <w:pStyle w:val="Footer"/>
      <w:rPr>
        <w:b/>
      </w:rPr>
    </w:pPr>
    <w:r>
      <w:rPr>
        <w:b/>
      </w:rPr>
      <w:t xml:space="preserve">AASB </w:t>
    </w:r>
    <w:r>
      <w:rPr>
        <w:b/>
      </w:rPr>
      <w:fldChar w:fldCharType="begin"/>
    </w:r>
    <w:r>
      <w:rPr>
        <w:b/>
      </w:rPr>
      <w:instrText xml:space="preserve"> REF DocNo  \* charformat </w:instrText>
    </w:r>
    <w:r>
      <w:rPr>
        <w:b/>
      </w:rPr>
      <w:fldChar w:fldCharType="separate"/>
    </w:r>
    <w:r w:rsidR="003E0D5C" w:rsidRPr="003E0D5C">
      <w:rPr>
        <w:b/>
      </w:rPr>
      <w:t>2019-2</w:t>
    </w:r>
    <w:r>
      <w:rPr>
        <w:b/>
      </w:rPr>
      <w:fldChar w:fldCharType="end"/>
    </w:r>
    <w:r>
      <w:rPr>
        <w:b/>
      </w:rPr>
      <w:tab/>
    </w:r>
    <w:r>
      <w:fldChar w:fldCharType="begin"/>
    </w:r>
    <w:r>
      <w:instrText>PAGE</w:instrText>
    </w:r>
    <w:r>
      <w:fldChar w:fldCharType="separate"/>
    </w:r>
    <w:r>
      <w:rPr>
        <w:noProof/>
      </w:rPr>
      <w:t>12</w:t>
    </w:r>
    <w:r>
      <w:fldChar w:fldCharType="end"/>
    </w:r>
    <w:r>
      <w:tab/>
    </w:r>
    <w:r w:rsidR="002A5EBD">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2B74" w14:textId="77777777" w:rsidR="00023BC7" w:rsidRDefault="00023BC7">
      <w:r>
        <w:separator/>
      </w:r>
    </w:p>
  </w:footnote>
  <w:footnote w:type="continuationSeparator" w:id="0">
    <w:p w14:paraId="77FB4AEC" w14:textId="77777777" w:rsidR="00023BC7" w:rsidRDefault="00023BC7">
      <w:r>
        <w:continuationSeparator/>
      </w:r>
    </w:p>
  </w:footnote>
  <w:footnote w:type="continuationNotice" w:id="1">
    <w:p w14:paraId="1A9C3F35" w14:textId="77777777" w:rsidR="00023BC7" w:rsidRDefault="00023BC7"/>
  </w:footnote>
  <w:footnote w:id="2">
    <w:p w14:paraId="74C1CCB7" w14:textId="77777777" w:rsidR="001824AA" w:rsidRDefault="001824AA" w:rsidP="001824AA">
      <w:pPr>
        <w:pStyle w:val="FootnoteText"/>
        <w:spacing w:line="240" w:lineRule="auto"/>
      </w:pPr>
      <w:r w:rsidRPr="0074018D">
        <w:rPr>
          <w:rStyle w:val="FootnoteReference"/>
          <w:vertAlign w:val="baseline"/>
        </w:rPr>
        <w:footnoteRef/>
      </w:r>
      <w:r>
        <w:t xml:space="preserve"> </w:t>
      </w:r>
      <w:r>
        <w:tab/>
      </w:r>
      <w:r w:rsidRPr="00490C6F">
        <w:t xml:space="preserve">Note that there are two paragraphs 28(a) </w:t>
      </w:r>
      <w:r>
        <w:t xml:space="preserve">in </w:t>
      </w:r>
      <w:r w:rsidRPr="00490C6F">
        <w:rPr>
          <w:i/>
        </w:rPr>
        <w:t>The AASB’s Not-for-Profit Entity Standard-Setting Framework</w:t>
      </w:r>
      <w:r w:rsidRPr="00324B05">
        <w:t xml:space="preserve">.  </w:t>
      </w:r>
      <w:r>
        <w:t>T</w:t>
      </w:r>
      <w:r w:rsidRPr="00490C6F">
        <w:t>he reference here is to the second paragraph 28(a</w:t>
      </w:r>
      <w:r>
        <w:t xml:space="preserve">), which </w:t>
      </w:r>
      <w:r w:rsidRPr="00490C6F">
        <w:t>states “the prevalence and magnitude of NFP-specific transactions, circumstances and events results in NFP entities’ reported performance or financial position not reflecting economic reality (eg transfers of assets at significantly less than fair value primarily to enable a NFP entity to achieve its objectives, and for public sector entities, the provision of social benefits and related sustainability and sovereign power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1037" w14:textId="77777777" w:rsidR="00074CB7" w:rsidRDefault="00074CB7">
    <w:pPr>
      <w:pStyle w:val="Header"/>
    </w:pPr>
  </w:p>
  <w:p w14:paraId="2EC263DA" w14:textId="77777777" w:rsidR="00074CB7" w:rsidRDefault="00074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871AB"/>
    <w:multiLevelType w:val="hybridMultilevel"/>
    <w:tmpl w:val="3DE49FEC"/>
    <w:lvl w:ilvl="0" w:tplc="E4A2CEE2">
      <w:start w:val="1"/>
      <w:numFmt w:val="lowerLetter"/>
      <w:lvlText w:val="(%1)"/>
      <w:lvlJc w:val="left"/>
      <w:pPr>
        <w:ind w:left="366" w:hanging="720"/>
      </w:pPr>
      <w:rPr>
        <w:rFonts w:hint="default"/>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 w15:restartNumberingAfterBreak="0">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EC74DA"/>
    <w:multiLevelType w:val="hybridMultilevel"/>
    <w:tmpl w:val="3DE49FEC"/>
    <w:lvl w:ilvl="0" w:tplc="E4A2CE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07C613A"/>
    <w:multiLevelType w:val="multilevel"/>
    <w:tmpl w:val="78BAEC18"/>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2"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3"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4" w15:restartNumberingAfterBreak="0">
    <w:nsid w:val="41FF24D0"/>
    <w:multiLevelType w:val="hybridMultilevel"/>
    <w:tmpl w:val="DA8CB9D0"/>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5"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0DF307B"/>
    <w:multiLevelType w:val="hybridMultilevel"/>
    <w:tmpl w:val="1AAA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F60789"/>
    <w:multiLevelType w:val="hybridMultilevel"/>
    <w:tmpl w:val="7BB06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C606FA"/>
    <w:multiLevelType w:val="hybridMultilevel"/>
    <w:tmpl w:val="C63ECE88"/>
    <w:lvl w:ilvl="0" w:tplc="E4A2CEE2">
      <w:start w:val="1"/>
      <w:numFmt w:val="lowerLetter"/>
      <w:lvlText w:val="(%1)"/>
      <w:lvlJc w:val="left"/>
      <w:pPr>
        <w:ind w:left="366" w:hanging="720"/>
      </w:pPr>
      <w:rPr>
        <w:rFonts w:hint="default"/>
      </w:rPr>
    </w:lvl>
    <w:lvl w:ilvl="1" w:tplc="005048D2">
      <w:start w:val="1"/>
      <w:numFmt w:val="lowerRoman"/>
      <w:lvlText w:val="(%2)"/>
      <w:lvlJc w:val="left"/>
      <w:pPr>
        <w:ind w:left="726" w:hanging="360"/>
      </w:pPr>
      <w:rPr>
        <w:rFonts w:hint="default"/>
      </w:rPr>
    </w:lvl>
    <w:lvl w:ilvl="2" w:tplc="0C09001B">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0" w15:restartNumberingAfterBreak="0">
    <w:nsid w:val="61542243"/>
    <w:multiLevelType w:val="multilevel"/>
    <w:tmpl w:val="C868E5B4"/>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1"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3" w15:restartNumberingAfterBreak="0">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10"/>
  </w:num>
  <w:num w:numId="6">
    <w:abstractNumId w:val="22"/>
  </w:num>
  <w:num w:numId="7">
    <w:abstractNumId w:val="11"/>
  </w:num>
  <w:num w:numId="8">
    <w:abstractNumId w:val="13"/>
  </w:num>
  <w:num w:numId="9">
    <w:abstractNumId w:val="1"/>
  </w:num>
  <w:num w:numId="10">
    <w:abstractNumId w:val="0"/>
  </w:num>
  <w:num w:numId="11">
    <w:abstractNumId w:val="18"/>
  </w:num>
  <w:num w:numId="12">
    <w:abstractNumId w:val="21"/>
  </w:num>
  <w:num w:numId="13">
    <w:abstractNumId w:val="12"/>
  </w:num>
  <w:num w:numId="14">
    <w:abstractNumId w:val="20"/>
  </w:num>
  <w:num w:numId="15">
    <w:abstractNumId w:val="11"/>
  </w:num>
  <w:num w:numId="16">
    <w:abstractNumId w:val="16"/>
  </w:num>
  <w:num w:numId="17">
    <w:abstractNumId w:val="3"/>
  </w:num>
  <w:num w:numId="18">
    <w:abstractNumId w:val="7"/>
  </w:num>
  <w:num w:numId="19">
    <w:abstractNumId w:val="20"/>
  </w:num>
  <w:num w:numId="20">
    <w:abstractNumId w:val="6"/>
  </w:num>
  <w:num w:numId="21">
    <w:abstractNumId w:val="2"/>
  </w:num>
  <w:num w:numId="22">
    <w:abstractNumId w:val="4"/>
  </w:num>
  <w:num w:numId="23">
    <w:abstractNumId w:val="23"/>
  </w:num>
  <w:num w:numId="24">
    <w:abstractNumId w:val="8"/>
  </w:num>
  <w:num w:numId="25">
    <w:abstractNumId w:val="15"/>
  </w:num>
  <w:num w:numId="26">
    <w:abstractNumId w:val="17"/>
  </w:num>
  <w:num w:numId="27">
    <w:abstractNumId w:val="14"/>
  </w:num>
  <w:num w:numId="28">
    <w:abstractNumId w:val="19"/>
  </w:num>
  <w:num w:numId="29">
    <w:abstractNumId w:val="9"/>
  </w:num>
  <w:num w:numId="30">
    <w:abstractNumId w:val="9"/>
    <w:lvlOverride w:ilvl="0">
      <w:lvl w:ilvl="0">
        <w:start w:val="1"/>
        <w:numFmt w:val="decimal"/>
        <w:pStyle w:val="IE1"/>
        <w:lvlText w:val="BC%1"/>
        <w:lvlJc w:val="left"/>
        <w:pPr>
          <w:tabs>
            <w:tab w:val="num" w:pos="624"/>
          </w:tabs>
          <w:ind w:left="624" w:hanging="624"/>
        </w:pPr>
        <w:rPr>
          <w:rFonts w:hint="default"/>
          <w:b w:val="0"/>
          <w:bCs w:val="0"/>
          <w:u w:val="none"/>
        </w:rPr>
      </w:lvl>
    </w:lvlOverride>
    <w:lvlOverride w:ilvl="1">
      <w:lvl w:ilvl="1">
        <w:start w:val="1"/>
        <w:numFmt w:val="lowerLetter"/>
        <w:pStyle w:val="IE2"/>
        <w:lvlText w:val="(%2)"/>
        <w:lvlJc w:val="left"/>
        <w:pPr>
          <w:tabs>
            <w:tab w:val="num" w:pos="1247"/>
          </w:tabs>
          <w:ind w:left="1247" w:hanging="623"/>
        </w:pPr>
        <w:rPr>
          <w:rFonts w:hint="default"/>
          <w:b w:val="0"/>
          <w:bCs w:val="0"/>
          <w:u w:val="none"/>
        </w:rPr>
      </w:lvl>
    </w:lvlOverride>
    <w:lvlOverride w:ilvl="2">
      <w:lvl w:ilvl="2">
        <w:start w:val="1"/>
        <w:numFmt w:val="lowerRoman"/>
        <w:pStyle w:val="IE3"/>
        <w:lvlText w:val="(%3)"/>
        <w:lvlJc w:val="left"/>
        <w:pPr>
          <w:tabs>
            <w:tab w:val="num" w:pos="1871"/>
          </w:tabs>
          <w:ind w:left="1871" w:hanging="624"/>
        </w:pPr>
        <w:rPr>
          <w:rFonts w:hint="default"/>
          <w:b w:val="0"/>
          <w:bCs w:val="0"/>
          <w:u w:val="none"/>
        </w:rPr>
      </w:lvl>
    </w:lvlOverride>
    <w:lvlOverride w:ilvl="3">
      <w:lvl w:ilvl="3">
        <w:start w:val="1"/>
        <w:numFmt w:val="upperLetter"/>
        <w:lvlText w:val="(%4)"/>
        <w:lvlJc w:val="left"/>
        <w:pPr>
          <w:tabs>
            <w:tab w:val="num" w:pos="2495"/>
          </w:tabs>
          <w:ind w:left="2495" w:hanging="624"/>
        </w:pPr>
        <w:rPr>
          <w:rFonts w:hint="default"/>
          <w:b w:val="0"/>
          <w:bCs w:val="0"/>
          <w:u w:val="none"/>
        </w:rPr>
      </w:lvl>
    </w:lvlOverride>
    <w:lvlOverride w:ilvl="4">
      <w:lvl w:ilvl="4">
        <w:start w:val="1"/>
        <w:numFmt w:val="upperRoman"/>
        <w:lvlText w:val="%5"/>
        <w:lvlJc w:val="left"/>
        <w:pPr>
          <w:tabs>
            <w:tab w:val="num" w:pos="3543"/>
          </w:tabs>
          <w:ind w:left="3543" w:hanging="708"/>
        </w:pPr>
        <w:rPr>
          <w:rFonts w:hint="default"/>
          <w:b w:val="0"/>
          <w:bCs w:val="0"/>
          <w:u w:val="none"/>
        </w:rPr>
      </w:lvl>
    </w:lvlOverride>
    <w:lvlOverride w:ilvl="5">
      <w:lvl w:ilvl="5">
        <w:start w:val="1"/>
        <w:numFmt w:val="decimal"/>
        <w:lvlText w:val="%6"/>
        <w:lvlJc w:val="left"/>
        <w:pPr>
          <w:tabs>
            <w:tab w:val="num" w:pos="4253"/>
          </w:tabs>
          <w:ind w:left="4253" w:hanging="709"/>
        </w:pPr>
        <w:rPr>
          <w:rFonts w:hint="default"/>
        </w:rPr>
      </w:lvl>
    </w:lvlOverride>
    <w:lvlOverride w:ilvl="6">
      <w:lvl w:ilvl="6">
        <w:start w:val="1"/>
        <w:numFmt w:val="lowerLetter"/>
        <w:lvlText w:val="%7)"/>
        <w:lvlJc w:val="left"/>
        <w:pPr>
          <w:tabs>
            <w:tab w:val="num" w:pos="4961"/>
          </w:tabs>
          <w:ind w:left="4961" w:hanging="708"/>
        </w:pPr>
        <w:rPr>
          <w:rFonts w:hint="default"/>
        </w:rPr>
      </w:lvl>
    </w:lvlOverride>
    <w:lvlOverride w:ilvl="7">
      <w:lvl w:ilvl="7">
        <w:start w:val="1"/>
        <w:numFmt w:val="lowerRoman"/>
        <w:lvlText w:val="%8)"/>
        <w:lvlJc w:val="left"/>
        <w:pPr>
          <w:tabs>
            <w:tab w:val="num" w:pos="5670"/>
          </w:tabs>
          <w:ind w:left="5670" w:hanging="709"/>
        </w:pPr>
        <w:rPr>
          <w:rFonts w:hint="default"/>
        </w:rPr>
      </w:lvl>
    </w:lvlOverride>
    <w:lvlOverride w:ilvl="8">
      <w:lvl w:ilvl="8">
        <w:start w:val="1"/>
        <w:numFmt w:val="lowerRoman"/>
        <w:lvlText w:val="%9)"/>
        <w:lvlJc w:val="left"/>
        <w:pPr>
          <w:tabs>
            <w:tab w:val="num" w:pos="6379"/>
          </w:tabs>
          <w:ind w:left="6379" w:hanging="709"/>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10"/>
  <w:doNotHyphenateCaps/>
  <w:drawingGridHorizontalSpacing w:val="24"/>
  <w:displayHorizontalDrawingGridEvery w:val="0"/>
  <w:displayVerticalDrawingGridEvery w:val="0"/>
  <w:doNotShadeFormData/>
  <w:noPunctuationKerning/>
  <w:characterSpacingControl w:val="doNotCompress"/>
  <w:hdrShapeDefaults>
    <o:shapedefaults v:ext="edit" spidmax="12289">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47"/>
    <w:rsid w:val="000012B4"/>
    <w:rsid w:val="0000292B"/>
    <w:rsid w:val="00002EEF"/>
    <w:rsid w:val="0000407A"/>
    <w:rsid w:val="00010171"/>
    <w:rsid w:val="000129CB"/>
    <w:rsid w:val="000136C5"/>
    <w:rsid w:val="00015AD5"/>
    <w:rsid w:val="00016990"/>
    <w:rsid w:val="000217DB"/>
    <w:rsid w:val="00023BC7"/>
    <w:rsid w:val="000249B4"/>
    <w:rsid w:val="00027294"/>
    <w:rsid w:val="00027E8B"/>
    <w:rsid w:val="00027EFC"/>
    <w:rsid w:val="000338B5"/>
    <w:rsid w:val="0003692E"/>
    <w:rsid w:val="00036AD0"/>
    <w:rsid w:val="00043291"/>
    <w:rsid w:val="00043A2E"/>
    <w:rsid w:val="0004455B"/>
    <w:rsid w:val="00044DD4"/>
    <w:rsid w:val="00046196"/>
    <w:rsid w:val="000478B3"/>
    <w:rsid w:val="000501CF"/>
    <w:rsid w:val="000621BE"/>
    <w:rsid w:val="000625F2"/>
    <w:rsid w:val="00065B29"/>
    <w:rsid w:val="00067013"/>
    <w:rsid w:val="00067E4A"/>
    <w:rsid w:val="00074133"/>
    <w:rsid w:val="00074CB7"/>
    <w:rsid w:val="00076084"/>
    <w:rsid w:val="00077B0E"/>
    <w:rsid w:val="000812F8"/>
    <w:rsid w:val="00081745"/>
    <w:rsid w:val="0008378B"/>
    <w:rsid w:val="00084AB4"/>
    <w:rsid w:val="00085057"/>
    <w:rsid w:val="00090151"/>
    <w:rsid w:val="00090A6F"/>
    <w:rsid w:val="00091916"/>
    <w:rsid w:val="00091BBB"/>
    <w:rsid w:val="0009417B"/>
    <w:rsid w:val="00096027"/>
    <w:rsid w:val="00096ED1"/>
    <w:rsid w:val="000A08C9"/>
    <w:rsid w:val="000A14D2"/>
    <w:rsid w:val="000A16DD"/>
    <w:rsid w:val="000A368D"/>
    <w:rsid w:val="000A368E"/>
    <w:rsid w:val="000A4A2A"/>
    <w:rsid w:val="000B0BD9"/>
    <w:rsid w:val="000B2AD3"/>
    <w:rsid w:val="000B3B49"/>
    <w:rsid w:val="000B4818"/>
    <w:rsid w:val="000B496F"/>
    <w:rsid w:val="000B733C"/>
    <w:rsid w:val="000C3EB0"/>
    <w:rsid w:val="000D07CF"/>
    <w:rsid w:val="000D1D58"/>
    <w:rsid w:val="000D4A03"/>
    <w:rsid w:val="000D5643"/>
    <w:rsid w:val="000D582D"/>
    <w:rsid w:val="000D7B40"/>
    <w:rsid w:val="000E3443"/>
    <w:rsid w:val="000E3E92"/>
    <w:rsid w:val="000E4A0B"/>
    <w:rsid w:val="000E6C15"/>
    <w:rsid w:val="000F0599"/>
    <w:rsid w:val="000F2088"/>
    <w:rsid w:val="000F58BB"/>
    <w:rsid w:val="000F64CC"/>
    <w:rsid w:val="0010099F"/>
    <w:rsid w:val="00101FCB"/>
    <w:rsid w:val="00104477"/>
    <w:rsid w:val="0010453C"/>
    <w:rsid w:val="0010515C"/>
    <w:rsid w:val="00110B96"/>
    <w:rsid w:val="00114C6C"/>
    <w:rsid w:val="001162C5"/>
    <w:rsid w:val="00117E02"/>
    <w:rsid w:val="001202CF"/>
    <w:rsid w:val="001206CF"/>
    <w:rsid w:val="0012107D"/>
    <w:rsid w:val="00125501"/>
    <w:rsid w:val="0013016C"/>
    <w:rsid w:val="0013149F"/>
    <w:rsid w:val="0013564B"/>
    <w:rsid w:val="001505C8"/>
    <w:rsid w:val="0015248E"/>
    <w:rsid w:val="001536E5"/>
    <w:rsid w:val="00154483"/>
    <w:rsid w:val="00163A32"/>
    <w:rsid w:val="001651E2"/>
    <w:rsid w:val="001662B8"/>
    <w:rsid w:val="00166951"/>
    <w:rsid w:val="001672C9"/>
    <w:rsid w:val="001715E4"/>
    <w:rsid w:val="00171F51"/>
    <w:rsid w:val="00172820"/>
    <w:rsid w:val="00173F2A"/>
    <w:rsid w:val="001748C1"/>
    <w:rsid w:val="001761C6"/>
    <w:rsid w:val="001824AA"/>
    <w:rsid w:val="001835CC"/>
    <w:rsid w:val="001864D4"/>
    <w:rsid w:val="00191F2A"/>
    <w:rsid w:val="0019263D"/>
    <w:rsid w:val="0019286F"/>
    <w:rsid w:val="00192E71"/>
    <w:rsid w:val="00193585"/>
    <w:rsid w:val="001A25B1"/>
    <w:rsid w:val="001A4E74"/>
    <w:rsid w:val="001A5641"/>
    <w:rsid w:val="001A5750"/>
    <w:rsid w:val="001B042A"/>
    <w:rsid w:val="001B2092"/>
    <w:rsid w:val="001B276A"/>
    <w:rsid w:val="001B28E4"/>
    <w:rsid w:val="001B33A5"/>
    <w:rsid w:val="001B342F"/>
    <w:rsid w:val="001B6C75"/>
    <w:rsid w:val="001C0868"/>
    <w:rsid w:val="001C1016"/>
    <w:rsid w:val="001C16F0"/>
    <w:rsid w:val="001C1D40"/>
    <w:rsid w:val="001C225F"/>
    <w:rsid w:val="001C272A"/>
    <w:rsid w:val="001C49AC"/>
    <w:rsid w:val="001C4D20"/>
    <w:rsid w:val="001C723E"/>
    <w:rsid w:val="001C7365"/>
    <w:rsid w:val="001D46F3"/>
    <w:rsid w:val="001E09E1"/>
    <w:rsid w:val="001E0CED"/>
    <w:rsid w:val="001E351E"/>
    <w:rsid w:val="001E6CDF"/>
    <w:rsid w:val="001E7F0E"/>
    <w:rsid w:val="001F20FE"/>
    <w:rsid w:val="001F2B35"/>
    <w:rsid w:val="001F2DBC"/>
    <w:rsid w:val="001F50CB"/>
    <w:rsid w:val="001F58C0"/>
    <w:rsid w:val="001F78DF"/>
    <w:rsid w:val="00200AFB"/>
    <w:rsid w:val="00201A99"/>
    <w:rsid w:val="0020560B"/>
    <w:rsid w:val="002109E3"/>
    <w:rsid w:val="00210A3E"/>
    <w:rsid w:val="0021170F"/>
    <w:rsid w:val="00212E65"/>
    <w:rsid w:val="0022012F"/>
    <w:rsid w:val="0022022E"/>
    <w:rsid w:val="00223A79"/>
    <w:rsid w:val="002265EE"/>
    <w:rsid w:val="00226986"/>
    <w:rsid w:val="00226F32"/>
    <w:rsid w:val="0023026B"/>
    <w:rsid w:val="002305C8"/>
    <w:rsid w:val="0023225D"/>
    <w:rsid w:val="0023353E"/>
    <w:rsid w:val="00233915"/>
    <w:rsid w:val="00244B61"/>
    <w:rsid w:val="002472F4"/>
    <w:rsid w:val="00250CDC"/>
    <w:rsid w:val="0025497B"/>
    <w:rsid w:val="00254B16"/>
    <w:rsid w:val="002550D2"/>
    <w:rsid w:val="00255B5C"/>
    <w:rsid w:val="002560C6"/>
    <w:rsid w:val="00263CF5"/>
    <w:rsid w:val="00265A50"/>
    <w:rsid w:val="0027167F"/>
    <w:rsid w:val="002723A6"/>
    <w:rsid w:val="00273B7F"/>
    <w:rsid w:val="00275490"/>
    <w:rsid w:val="00276BC5"/>
    <w:rsid w:val="0028086D"/>
    <w:rsid w:val="00283110"/>
    <w:rsid w:val="00283482"/>
    <w:rsid w:val="002862EE"/>
    <w:rsid w:val="0028759D"/>
    <w:rsid w:val="002927A3"/>
    <w:rsid w:val="0029647E"/>
    <w:rsid w:val="002A1599"/>
    <w:rsid w:val="002A201D"/>
    <w:rsid w:val="002A25B5"/>
    <w:rsid w:val="002A294D"/>
    <w:rsid w:val="002A2FD2"/>
    <w:rsid w:val="002A3230"/>
    <w:rsid w:val="002A5EBD"/>
    <w:rsid w:val="002A7C3D"/>
    <w:rsid w:val="002A7DE9"/>
    <w:rsid w:val="002B0636"/>
    <w:rsid w:val="002B27B6"/>
    <w:rsid w:val="002B3229"/>
    <w:rsid w:val="002B4063"/>
    <w:rsid w:val="002B515A"/>
    <w:rsid w:val="002B5A0A"/>
    <w:rsid w:val="002B5F4B"/>
    <w:rsid w:val="002B7803"/>
    <w:rsid w:val="002C4D3C"/>
    <w:rsid w:val="002C5641"/>
    <w:rsid w:val="002C736F"/>
    <w:rsid w:val="002C78A4"/>
    <w:rsid w:val="002D1541"/>
    <w:rsid w:val="002D3E44"/>
    <w:rsid w:val="002D5B2A"/>
    <w:rsid w:val="002D6528"/>
    <w:rsid w:val="002E0AAB"/>
    <w:rsid w:val="002E765E"/>
    <w:rsid w:val="002E791E"/>
    <w:rsid w:val="002F1CD0"/>
    <w:rsid w:val="002F32ED"/>
    <w:rsid w:val="00300723"/>
    <w:rsid w:val="00307500"/>
    <w:rsid w:val="00307F26"/>
    <w:rsid w:val="003122A3"/>
    <w:rsid w:val="00324B05"/>
    <w:rsid w:val="003251D8"/>
    <w:rsid w:val="003331D1"/>
    <w:rsid w:val="0033581C"/>
    <w:rsid w:val="003420C3"/>
    <w:rsid w:val="00346CA3"/>
    <w:rsid w:val="003514A7"/>
    <w:rsid w:val="00355911"/>
    <w:rsid w:val="003605F6"/>
    <w:rsid w:val="00361BDD"/>
    <w:rsid w:val="003627D0"/>
    <w:rsid w:val="00364B30"/>
    <w:rsid w:val="00367C1D"/>
    <w:rsid w:val="00367DC9"/>
    <w:rsid w:val="00371196"/>
    <w:rsid w:val="00374315"/>
    <w:rsid w:val="00375C72"/>
    <w:rsid w:val="00377B8D"/>
    <w:rsid w:val="00380CDD"/>
    <w:rsid w:val="00382796"/>
    <w:rsid w:val="00387A81"/>
    <w:rsid w:val="0039009E"/>
    <w:rsid w:val="003909CA"/>
    <w:rsid w:val="00391430"/>
    <w:rsid w:val="003A1858"/>
    <w:rsid w:val="003A2261"/>
    <w:rsid w:val="003A488F"/>
    <w:rsid w:val="003A60C1"/>
    <w:rsid w:val="003B0CAA"/>
    <w:rsid w:val="003B0E71"/>
    <w:rsid w:val="003B1663"/>
    <w:rsid w:val="003B5C46"/>
    <w:rsid w:val="003B6633"/>
    <w:rsid w:val="003C284A"/>
    <w:rsid w:val="003C6B24"/>
    <w:rsid w:val="003D0E1B"/>
    <w:rsid w:val="003D168C"/>
    <w:rsid w:val="003D1DA4"/>
    <w:rsid w:val="003D1DD4"/>
    <w:rsid w:val="003D5269"/>
    <w:rsid w:val="003E0A68"/>
    <w:rsid w:val="003E0D5C"/>
    <w:rsid w:val="003E1900"/>
    <w:rsid w:val="003F48DC"/>
    <w:rsid w:val="003F6ED6"/>
    <w:rsid w:val="003F7E68"/>
    <w:rsid w:val="00401A4D"/>
    <w:rsid w:val="00401ECA"/>
    <w:rsid w:val="004037F5"/>
    <w:rsid w:val="004113EE"/>
    <w:rsid w:val="00411BD0"/>
    <w:rsid w:val="004150BD"/>
    <w:rsid w:val="00416A82"/>
    <w:rsid w:val="00417655"/>
    <w:rsid w:val="00422E4D"/>
    <w:rsid w:val="004235AF"/>
    <w:rsid w:val="00426556"/>
    <w:rsid w:val="00426876"/>
    <w:rsid w:val="00427179"/>
    <w:rsid w:val="00427EA5"/>
    <w:rsid w:val="00433FC5"/>
    <w:rsid w:val="00434D86"/>
    <w:rsid w:val="00435728"/>
    <w:rsid w:val="00436A2D"/>
    <w:rsid w:val="00437654"/>
    <w:rsid w:val="00441E1B"/>
    <w:rsid w:val="004453D4"/>
    <w:rsid w:val="00445F7F"/>
    <w:rsid w:val="0044702C"/>
    <w:rsid w:val="00453B43"/>
    <w:rsid w:val="00456D0C"/>
    <w:rsid w:val="00460FBB"/>
    <w:rsid w:val="004615EC"/>
    <w:rsid w:val="00462A56"/>
    <w:rsid w:val="00465162"/>
    <w:rsid w:val="004655A9"/>
    <w:rsid w:val="004657EE"/>
    <w:rsid w:val="00466431"/>
    <w:rsid w:val="00466C8B"/>
    <w:rsid w:val="004674A4"/>
    <w:rsid w:val="0047071F"/>
    <w:rsid w:val="00470CE9"/>
    <w:rsid w:val="00472D30"/>
    <w:rsid w:val="004735B8"/>
    <w:rsid w:val="004742FB"/>
    <w:rsid w:val="004764F9"/>
    <w:rsid w:val="0047683E"/>
    <w:rsid w:val="0048155F"/>
    <w:rsid w:val="00485481"/>
    <w:rsid w:val="00486FD8"/>
    <w:rsid w:val="00487CF6"/>
    <w:rsid w:val="00490C6F"/>
    <w:rsid w:val="00491083"/>
    <w:rsid w:val="004961F8"/>
    <w:rsid w:val="004A3747"/>
    <w:rsid w:val="004A3BB8"/>
    <w:rsid w:val="004A3C2F"/>
    <w:rsid w:val="004A417F"/>
    <w:rsid w:val="004A651D"/>
    <w:rsid w:val="004A79B7"/>
    <w:rsid w:val="004B038C"/>
    <w:rsid w:val="004B05FD"/>
    <w:rsid w:val="004B4319"/>
    <w:rsid w:val="004B6B0C"/>
    <w:rsid w:val="004B736C"/>
    <w:rsid w:val="004C171F"/>
    <w:rsid w:val="004C28A9"/>
    <w:rsid w:val="004C4BAD"/>
    <w:rsid w:val="004C5BDE"/>
    <w:rsid w:val="004C61B7"/>
    <w:rsid w:val="004C6BB6"/>
    <w:rsid w:val="004D1B50"/>
    <w:rsid w:val="004D3780"/>
    <w:rsid w:val="004D3809"/>
    <w:rsid w:val="004D4D1C"/>
    <w:rsid w:val="004D5AD1"/>
    <w:rsid w:val="004E0502"/>
    <w:rsid w:val="004E1023"/>
    <w:rsid w:val="004E20BC"/>
    <w:rsid w:val="004E3B24"/>
    <w:rsid w:val="004E4906"/>
    <w:rsid w:val="004F152C"/>
    <w:rsid w:val="004F2F0C"/>
    <w:rsid w:val="004F46A9"/>
    <w:rsid w:val="004F4BEE"/>
    <w:rsid w:val="004F55FE"/>
    <w:rsid w:val="004F79E0"/>
    <w:rsid w:val="00500479"/>
    <w:rsid w:val="00500E80"/>
    <w:rsid w:val="00501CEA"/>
    <w:rsid w:val="00507971"/>
    <w:rsid w:val="00511C34"/>
    <w:rsid w:val="00515CC2"/>
    <w:rsid w:val="005161CB"/>
    <w:rsid w:val="005166B2"/>
    <w:rsid w:val="00517873"/>
    <w:rsid w:val="0052076B"/>
    <w:rsid w:val="00521A3B"/>
    <w:rsid w:val="00532102"/>
    <w:rsid w:val="00533F9C"/>
    <w:rsid w:val="0053452C"/>
    <w:rsid w:val="00534BAD"/>
    <w:rsid w:val="00534E7B"/>
    <w:rsid w:val="00535EC5"/>
    <w:rsid w:val="005364CE"/>
    <w:rsid w:val="00537456"/>
    <w:rsid w:val="00540308"/>
    <w:rsid w:val="0054223F"/>
    <w:rsid w:val="00544AF9"/>
    <w:rsid w:val="00546583"/>
    <w:rsid w:val="00554D12"/>
    <w:rsid w:val="005612D6"/>
    <w:rsid w:val="0056274D"/>
    <w:rsid w:val="00564C0B"/>
    <w:rsid w:val="005654E2"/>
    <w:rsid w:val="005655CE"/>
    <w:rsid w:val="005726CD"/>
    <w:rsid w:val="00572D8E"/>
    <w:rsid w:val="00573849"/>
    <w:rsid w:val="00577065"/>
    <w:rsid w:val="00577DF9"/>
    <w:rsid w:val="0058004D"/>
    <w:rsid w:val="00580BC4"/>
    <w:rsid w:val="00581AE9"/>
    <w:rsid w:val="005834BF"/>
    <w:rsid w:val="005871C2"/>
    <w:rsid w:val="00590051"/>
    <w:rsid w:val="005924E6"/>
    <w:rsid w:val="005929C7"/>
    <w:rsid w:val="0059506D"/>
    <w:rsid w:val="00596C26"/>
    <w:rsid w:val="00597745"/>
    <w:rsid w:val="005A2514"/>
    <w:rsid w:val="005A6AC7"/>
    <w:rsid w:val="005A7519"/>
    <w:rsid w:val="005B0717"/>
    <w:rsid w:val="005B146F"/>
    <w:rsid w:val="005B1AD7"/>
    <w:rsid w:val="005B1B67"/>
    <w:rsid w:val="005B1D5B"/>
    <w:rsid w:val="005B624C"/>
    <w:rsid w:val="005B63F2"/>
    <w:rsid w:val="005C070D"/>
    <w:rsid w:val="005C5C16"/>
    <w:rsid w:val="005D1A7F"/>
    <w:rsid w:val="005D2913"/>
    <w:rsid w:val="005D349A"/>
    <w:rsid w:val="005D607A"/>
    <w:rsid w:val="005D7B82"/>
    <w:rsid w:val="005E275A"/>
    <w:rsid w:val="005E4FC3"/>
    <w:rsid w:val="005E6BE4"/>
    <w:rsid w:val="005E6CD2"/>
    <w:rsid w:val="005F40C9"/>
    <w:rsid w:val="005F458F"/>
    <w:rsid w:val="005F6A5A"/>
    <w:rsid w:val="00601772"/>
    <w:rsid w:val="00602261"/>
    <w:rsid w:val="00604F10"/>
    <w:rsid w:val="0060687B"/>
    <w:rsid w:val="00607D02"/>
    <w:rsid w:val="006105BF"/>
    <w:rsid w:val="006144E8"/>
    <w:rsid w:val="00620F3D"/>
    <w:rsid w:val="00631C75"/>
    <w:rsid w:val="0063418D"/>
    <w:rsid w:val="006403F7"/>
    <w:rsid w:val="00641282"/>
    <w:rsid w:val="00643AA2"/>
    <w:rsid w:val="006442E1"/>
    <w:rsid w:val="006448BA"/>
    <w:rsid w:val="00652DF8"/>
    <w:rsid w:val="0065356F"/>
    <w:rsid w:val="00661CFD"/>
    <w:rsid w:val="0067100B"/>
    <w:rsid w:val="0067567F"/>
    <w:rsid w:val="00677F61"/>
    <w:rsid w:val="0068154A"/>
    <w:rsid w:val="00682762"/>
    <w:rsid w:val="006828F6"/>
    <w:rsid w:val="00685EFB"/>
    <w:rsid w:val="0068657D"/>
    <w:rsid w:val="006914C1"/>
    <w:rsid w:val="006935BC"/>
    <w:rsid w:val="006A1429"/>
    <w:rsid w:val="006A3AE9"/>
    <w:rsid w:val="006A40E5"/>
    <w:rsid w:val="006A6967"/>
    <w:rsid w:val="006B0CD6"/>
    <w:rsid w:val="006B118E"/>
    <w:rsid w:val="006B15C8"/>
    <w:rsid w:val="006B2801"/>
    <w:rsid w:val="006B2A4D"/>
    <w:rsid w:val="006B5778"/>
    <w:rsid w:val="006B7A7C"/>
    <w:rsid w:val="006C1524"/>
    <w:rsid w:val="006C1AF8"/>
    <w:rsid w:val="006C2E37"/>
    <w:rsid w:val="006D04C0"/>
    <w:rsid w:val="006D055E"/>
    <w:rsid w:val="006D134A"/>
    <w:rsid w:val="006D21F8"/>
    <w:rsid w:val="006D4700"/>
    <w:rsid w:val="006D7679"/>
    <w:rsid w:val="006E1037"/>
    <w:rsid w:val="006E2C39"/>
    <w:rsid w:val="006E37A9"/>
    <w:rsid w:val="006E472C"/>
    <w:rsid w:val="006E4986"/>
    <w:rsid w:val="006E4D19"/>
    <w:rsid w:val="006E65DF"/>
    <w:rsid w:val="006E6C5D"/>
    <w:rsid w:val="006F0887"/>
    <w:rsid w:val="006F1BB6"/>
    <w:rsid w:val="006F1ED2"/>
    <w:rsid w:val="006F608F"/>
    <w:rsid w:val="006F6367"/>
    <w:rsid w:val="007010F2"/>
    <w:rsid w:val="00701C65"/>
    <w:rsid w:val="0070794E"/>
    <w:rsid w:val="00710BFD"/>
    <w:rsid w:val="00710E6C"/>
    <w:rsid w:val="007124EA"/>
    <w:rsid w:val="00713792"/>
    <w:rsid w:val="00714340"/>
    <w:rsid w:val="00716C27"/>
    <w:rsid w:val="007174A1"/>
    <w:rsid w:val="007219F7"/>
    <w:rsid w:val="007228EA"/>
    <w:rsid w:val="00722990"/>
    <w:rsid w:val="00725AAA"/>
    <w:rsid w:val="00730CF7"/>
    <w:rsid w:val="007328ED"/>
    <w:rsid w:val="007333C2"/>
    <w:rsid w:val="00737714"/>
    <w:rsid w:val="0074018D"/>
    <w:rsid w:val="007403CF"/>
    <w:rsid w:val="00741B1B"/>
    <w:rsid w:val="00741CF3"/>
    <w:rsid w:val="00742E4B"/>
    <w:rsid w:val="00743492"/>
    <w:rsid w:val="007455F0"/>
    <w:rsid w:val="00751F6A"/>
    <w:rsid w:val="007525F2"/>
    <w:rsid w:val="007530C3"/>
    <w:rsid w:val="0075456E"/>
    <w:rsid w:val="007554ED"/>
    <w:rsid w:val="00755E40"/>
    <w:rsid w:val="0075667A"/>
    <w:rsid w:val="00756FF6"/>
    <w:rsid w:val="00757D07"/>
    <w:rsid w:val="00760E05"/>
    <w:rsid w:val="0076127E"/>
    <w:rsid w:val="00764472"/>
    <w:rsid w:val="00765404"/>
    <w:rsid w:val="0076791F"/>
    <w:rsid w:val="007702F8"/>
    <w:rsid w:val="0077083B"/>
    <w:rsid w:val="00771905"/>
    <w:rsid w:val="0078116B"/>
    <w:rsid w:val="0078758C"/>
    <w:rsid w:val="00797C56"/>
    <w:rsid w:val="007A155F"/>
    <w:rsid w:val="007A283F"/>
    <w:rsid w:val="007A5C8C"/>
    <w:rsid w:val="007A6BC3"/>
    <w:rsid w:val="007A6F5D"/>
    <w:rsid w:val="007B10F8"/>
    <w:rsid w:val="007B2BD9"/>
    <w:rsid w:val="007B4F11"/>
    <w:rsid w:val="007B511B"/>
    <w:rsid w:val="007B6BC5"/>
    <w:rsid w:val="007B7BC6"/>
    <w:rsid w:val="007D0E72"/>
    <w:rsid w:val="007D255B"/>
    <w:rsid w:val="007D679F"/>
    <w:rsid w:val="007E56CD"/>
    <w:rsid w:val="007F03AF"/>
    <w:rsid w:val="007F0594"/>
    <w:rsid w:val="007F1D3D"/>
    <w:rsid w:val="007F49DA"/>
    <w:rsid w:val="007F6A41"/>
    <w:rsid w:val="008000B6"/>
    <w:rsid w:val="008009CB"/>
    <w:rsid w:val="0080338B"/>
    <w:rsid w:val="008048DD"/>
    <w:rsid w:val="00804D25"/>
    <w:rsid w:val="008073BA"/>
    <w:rsid w:val="00812637"/>
    <w:rsid w:val="00813227"/>
    <w:rsid w:val="00813282"/>
    <w:rsid w:val="00814B1C"/>
    <w:rsid w:val="0081632E"/>
    <w:rsid w:val="00816494"/>
    <w:rsid w:val="00820794"/>
    <w:rsid w:val="0082655E"/>
    <w:rsid w:val="0082691F"/>
    <w:rsid w:val="00830773"/>
    <w:rsid w:val="00831497"/>
    <w:rsid w:val="008367FB"/>
    <w:rsid w:val="00841999"/>
    <w:rsid w:val="00844F07"/>
    <w:rsid w:val="0084545C"/>
    <w:rsid w:val="008459E8"/>
    <w:rsid w:val="00851C59"/>
    <w:rsid w:val="00852BA2"/>
    <w:rsid w:val="0085770B"/>
    <w:rsid w:val="00864ADE"/>
    <w:rsid w:val="00866C24"/>
    <w:rsid w:val="008676AE"/>
    <w:rsid w:val="00867A9A"/>
    <w:rsid w:val="00867FB0"/>
    <w:rsid w:val="008704A5"/>
    <w:rsid w:val="00870A13"/>
    <w:rsid w:val="00870C92"/>
    <w:rsid w:val="00871A12"/>
    <w:rsid w:val="008747D1"/>
    <w:rsid w:val="008775C5"/>
    <w:rsid w:val="00881BBE"/>
    <w:rsid w:val="00886D51"/>
    <w:rsid w:val="00887E6E"/>
    <w:rsid w:val="00887FEC"/>
    <w:rsid w:val="00891E39"/>
    <w:rsid w:val="00892DE1"/>
    <w:rsid w:val="0089316E"/>
    <w:rsid w:val="0089435A"/>
    <w:rsid w:val="00894984"/>
    <w:rsid w:val="00894F06"/>
    <w:rsid w:val="00895809"/>
    <w:rsid w:val="00895AC5"/>
    <w:rsid w:val="0089620B"/>
    <w:rsid w:val="0089775A"/>
    <w:rsid w:val="008A0071"/>
    <w:rsid w:val="008A064C"/>
    <w:rsid w:val="008A16EB"/>
    <w:rsid w:val="008A2ADD"/>
    <w:rsid w:val="008A3BC7"/>
    <w:rsid w:val="008A40AE"/>
    <w:rsid w:val="008A6182"/>
    <w:rsid w:val="008B1D94"/>
    <w:rsid w:val="008B44F3"/>
    <w:rsid w:val="008B4C8D"/>
    <w:rsid w:val="008B4F78"/>
    <w:rsid w:val="008B5A2D"/>
    <w:rsid w:val="008B6376"/>
    <w:rsid w:val="008B643A"/>
    <w:rsid w:val="008B675D"/>
    <w:rsid w:val="008C1C4A"/>
    <w:rsid w:val="008C375E"/>
    <w:rsid w:val="008C5414"/>
    <w:rsid w:val="008C5F7F"/>
    <w:rsid w:val="008C60B1"/>
    <w:rsid w:val="008C6BD0"/>
    <w:rsid w:val="008D0682"/>
    <w:rsid w:val="008D18B8"/>
    <w:rsid w:val="008D2A63"/>
    <w:rsid w:val="008D2CAF"/>
    <w:rsid w:val="008D2EBD"/>
    <w:rsid w:val="008E1F5F"/>
    <w:rsid w:val="008E5AAA"/>
    <w:rsid w:val="008E764B"/>
    <w:rsid w:val="008F0274"/>
    <w:rsid w:val="008F0A81"/>
    <w:rsid w:val="008F1B04"/>
    <w:rsid w:val="008F3EBA"/>
    <w:rsid w:val="008F4AC5"/>
    <w:rsid w:val="008F5963"/>
    <w:rsid w:val="008F65A3"/>
    <w:rsid w:val="008F6788"/>
    <w:rsid w:val="009056F6"/>
    <w:rsid w:val="00906A71"/>
    <w:rsid w:val="009110F6"/>
    <w:rsid w:val="009146EF"/>
    <w:rsid w:val="00915DCC"/>
    <w:rsid w:val="00916AC3"/>
    <w:rsid w:val="00916EFA"/>
    <w:rsid w:val="00920B8B"/>
    <w:rsid w:val="00921F34"/>
    <w:rsid w:val="00923261"/>
    <w:rsid w:val="009256B7"/>
    <w:rsid w:val="009317F6"/>
    <w:rsid w:val="00932605"/>
    <w:rsid w:val="00937180"/>
    <w:rsid w:val="009375CE"/>
    <w:rsid w:val="0094275E"/>
    <w:rsid w:val="00945F15"/>
    <w:rsid w:val="00952EDF"/>
    <w:rsid w:val="009532B5"/>
    <w:rsid w:val="009579E3"/>
    <w:rsid w:val="00957F05"/>
    <w:rsid w:val="0096317D"/>
    <w:rsid w:val="009643CF"/>
    <w:rsid w:val="00970C7A"/>
    <w:rsid w:val="00970CA5"/>
    <w:rsid w:val="009721DB"/>
    <w:rsid w:val="00972BFA"/>
    <w:rsid w:val="0097749F"/>
    <w:rsid w:val="0098396A"/>
    <w:rsid w:val="00985D72"/>
    <w:rsid w:val="009965BA"/>
    <w:rsid w:val="00997450"/>
    <w:rsid w:val="009A1705"/>
    <w:rsid w:val="009A3990"/>
    <w:rsid w:val="009A4FD5"/>
    <w:rsid w:val="009A5A52"/>
    <w:rsid w:val="009A715A"/>
    <w:rsid w:val="009B6535"/>
    <w:rsid w:val="009B75C0"/>
    <w:rsid w:val="009C0F44"/>
    <w:rsid w:val="009C1B81"/>
    <w:rsid w:val="009C1DF9"/>
    <w:rsid w:val="009C2479"/>
    <w:rsid w:val="009C2D48"/>
    <w:rsid w:val="009C54B8"/>
    <w:rsid w:val="009C7927"/>
    <w:rsid w:val="009C7C8B"/>
    <w:rsid w:val="009D06F8"/>
    <w:rsid w:val="009D4281"/>
    <w:rsid w:val="009D49C9"/>
    <w:rsid w:val="009D73F1"/>
    <w:rsid w:val="009E0595"/>
    <w:rsid w:val="009E24EC"/>
    <w:rsid w:val="009E2F6C"/>
    <w:rsid w:val="009F035A"/>
    <w:rsid w:val="009F0388"/>
    <w:rsid w:val="009F138F"/>
    <w:rsid w:val="009F594E"/>
    <w:rsid w:val="00A025D2"/>
    <w:rsid w:val="00A05041"/>
    <w:rsid w:val="00A13F82"/>
    <w:rsid w:val="00A15E81"/>
    <w:rsid w:val="00A16664"/>
    <w:rsid w:val="00A211C9"/>
    <w:rsid w:val="00A216DC"/>
    <w:rsid w:val="00A21F21"/>
    <w:rsid w:val="00A22E0D"/>
    <w:rsid w:val="00A26E93"/>
    <w:rsid w:val="00A32B91"/>
    <w:rsid w:val="00A3365D"/>
    <w:rsid w:val="00A336B2"/>
    <w:rsid w:val="00A36CED"/>
    <w:rsid w:val="00A41ED3"/>
    <w:rsid w:val="00A43148"/>
    <w:rsid w:val="00A47FA2"/>
    <w:rsid w:val="00A509F3"/>
    <w:rsid w:val="00A5122D"/>
    <w:rsid w:val="00A51A7E"/>
    <w:rsid w:val="00A55F4F"/>
    <w:rsid w:val="00A564A9"/>
    <w:rsid w:val="00A57D8C"/>
    <w:rsid w:val="00A65361"/>
    <w:rsid w:val="00A70CFB"/>
    <w:rsid w:val="00A70E27"/>
    <w:rsid w:val="00A732D5"/>
    <w:rsid w:val="00A748BA"/>
    <w:rsid w:val="00A765C9"/>
    <w:rsid w:val="00A77C40"/>
    <w:rsid w:val="00A834A5"/>
    <w:rsid w:val="00A83862"/>
    <w:rsid w:val="00A8486C"/>
    <w:rsid w:val="00A8623A"/>
    <w:rsid w:val="00A935DD"/>
    <w:rsid w:val="00A964C6"/>
    <w:rsid w:val="00A96702"/>
    <w:rsid w:val="00A97EB2"/>
    <w:rsid w:val="00AA14A9"/>
    <w:rsid w:val="00AA23D4"/>
    <w:rsid w:val="00AA24CD"/>
    <w:rsid w:val="00AA3E68"/>
    <w:rsid w:val="00AA54E9"/>
    <w:rsid w:val="00AA6320"/>
    <w:rsid w:val="00AA78AF"/>
    <w:rsid w:val="00AB069B"/>
    <w:rsid w:val="00AB3146"/>
    <w:rsid w:val="00AB3BD4"/>
    <w:rsid w:val="00AB780A"/>
    <w:rsid w:val="00AC1003"/>
    <w:rsid w:val="00AC1AAE"/>
    <w:rsid w:val="00AC4315"/>
    <w:rsid w:val="00AC47A5"/>
    <w:rsid w:val="00AD1C97"/>
    <w:rsid w:val="00AD42DA"/>
    <w:rsid w:val="00AD5C2B"/>
    <w:rsid w:val="00AE1E99"/>
    <w:rsid w:val="00AE6FA3"/>
    <w:rsid w:val="00AF17A2"/>
    <w:rsid w:val="00AF3FBD"/>
    <w:rsid w:val="00AF61B8"/>
    <w:rsid w:val="00B000EA"/>
    <w:rsid w:val="00B02D38"/>
    <w:rsid w:val="00B02D7A"/>
    <w:rsid w:val="00B07E83"/>
    <w:rsid w:val="00B110AD"/>
    <w:rsid w:val="00B11716"/>
    <w:rsid w:val="00B162DD"/>
    <w:rsid w:val="00B16904"/>
    <w:rsid w:val="00B1716B"/>
    <w:rsid w:val="00B177B9"/>
    <w:rsid w:val="00B22833"/>
    <w:rsid w:val="00B22865"/>
    <w:rsid w:val="00B271BA"/>
    <w:rsid w:val="00B27792"/>
    <w:rsid w:val="00B31019"/>
    <w:rsid w:val="00B31991"/>
    <w:rsid w:val="00B31DD6"/>
    <w:rsid w:val="00B33028"/>
    <w:rsid w:val="00B3429E"/>
    <w:rsid w:val="00B3514A"/>
    <w:rsid w:val="00B40CE8"/>
    <w:rsid w:val="00B430E5"/>
    <w:rsid w:val="00B4474A"/>
    <w:rsid w:val="00B448CF"/>
    <w:rsid w:val="00B44D36"/>
    <w:rsid w:val="00B45C7A"/>
    <w:rsid w:val="00B4649F"/>
    <w:rsid w:val="00B50264"/>
    <w:rsid w:val="00B60A6D"/>
    <w:rsid w:val="00B62932"/>
    <w:rsid w:val="00B63D10"/>
    <w:rsid w:val="00B6764A"/>
    <w:rsid w:val="00B74237"/>
    <w:rsid w:val="00B7532F"/>
    <w:rsid w:val="00B76ACA"/>
    <w:rsid w:val="00B82AFB"/>
    <w:rsid w:val="00B82F15"/>
    <w:rsid w:val="00B8312F"/>
    <w:rsid w:val="00B84486"/>
    <w:rsid w:val="00B90A1F"/>
    <w:rsid w:val="00B92155"/>
    <w:rsid w:val="00B9234E"/>
    <w:rsid w:val="00B95D00"/>
    <w:rsid w:val="00BA04EF"/>
    <w:rsid w:val="00BA0C10"/>
    <w:rsid w:val="00BA28AD"/>
    <w:rsid w:val="00BA3AB4"/>
    <w:rsid w:val="00BA4622"/>
    <w:rsid w:val="00BB48BD"/>
    <w:rsid w:val="00BB4B7B"/>
    <w:rsid w:val="00BB4C9F"/>
    <w:rsid w:val="00BB62EF"/>
    <w:rsid w:val="00BC0794"/>
    <w:rsid w:val="00BC0D5D"/>
    <w:rsid w:val="00BC128F"/>
    <w:rsid w:val="00BC273C"/>
    <w:rsid w:val="00BC3A19"/>
    <w:rsid w:val="00BC41C9"/>
    <w:rsid w:val="00BC4F75"/>
    <w:rsid w:val="00BD240D"/>
    <w:rsid w:val="00BD3AAA"/>
    <w:rsid w:val="00BD5411"/>
    <w:rsid w:val="00BD6F89"/>
    <w:rsid w:val="00BE0F7C"/>
    <w:rsid w:val="00BE2F68"/>
    <w:rsid w:val="00BE38FC"/>
    <w:rsid w:val="00BE41C1"/>
    <w:rsid w:val="00BE5368"/>
    <w:rsid w:val="00BE66DD"/>
    <w:rsid w:val="00BF0190"/>
    <w:rsid w:val="00BF1134"/>
    <w:rsid w:val="00BF3DA7"/>
    <w:rsid w:val="00BF7945"/>
    <w:rsid w:val="00BF7E8C"/>
    <w:rsid w:val="00C03C7B"/>
    <w:rsid w:val="00C0730D"/>
    <w:rsid w:val="00C1027A"/>
    <w:rsid w:val="00C10B6F"/>
    <w:rsid w:val="00C176A8"/>
    <w:rsid w:val="00C20C07"/>
    <w:rsid w:val="00C21982"/>
    <w:rsid w:val="00C223C7"/>
    <w:rsid w:val="00C22B7D"/>
    <w:rsid w:val="00C22C25"/>
    <w:rsid w:val="00C23E4E"/>
    <w:rsid w:val="00C24DB0"/>
    <w:rsid w:val="00C262A5"/>
    <w:rsid w:val="00C30A43"/>
    <w:rsid w:val="00C32FA6"/>
    <w:rsid w:val="00C3362D"/>
    <w:rsid w:val="00C33E45"/>
    <w:rsid w:val="00C343A9"/>
    <w:rsid w:val="00C3493B"/>
    <w:rsid w:val="00C36925"/>
    <w:rsid w:val="00C37458"/>
    <w:rsid w:val="00C37D4C"/>
    <w:rsid w:val="00C40F28"/>
    <w:rsid w:val="00C41B48"/>
    <w:rsid w:val="00C41CB5"/>
    <w:rsid w:val="00C42AC2"/>
    <w:rsid w:val="00C438DD"/>
    <w:rsid w:val="00C43CD1"/>
    <w:rsid w:val="00C442F0"/>
    <w:rsid w:val="00C45020"/>
    <w:rsid w:val="00C45A4F"/>
    <w:rsid w:val="00C5022C"/>
    <w:rsid w:val="00C511B9"/>
    <w:rsid w:val="00C52911"/>
    <w:rsid w:val="00C52C95"/>
    <w:rsid w:val="00C534B9"/>
    <w:rsid w:val="00C552A3"/>
    <w:rsid w:val="00C552FD"/>
    <w:rsid w:val="00C621C6"/>
    <w:rsid w:val="00C63573"/>
    <w:rsid w:val="00C6597A"/>
    <w:rsid w:val="00C729D9"/>
    <w:rsid w:val="00C75FB8"/>
    <w:rsid w:val="00C8083E"/>
    <w:rsid w:val="00C86750"/>
    <w:rsid w:val="00C876C0"/>
    <w:rsid w:val="00C91BD3"/>
    <w:rsid w:val="00C924FC"/>
    <w:rsid w:val="00C94804"/>
    <w:rsid w:val="00C959BB"/>
    <w:rsid w:val="00C95D8A"/>
    <w:rsid w:val="00CA231C"/>
    <w:rsid w:val="00CA4743"/>
    <w:rsid w:val="00CA55A1"/>
    <w:rsid w:val="00CA61C5"/>
    <w:rsid w:val="00CA641E"/>
    <w:rsid w:val="00CB444A"/>
    <w:rsid w:val="00CB4E4A"/>
    <w:rsid w:val="00CB719A"/>
    <w:rsid w:val="00CC1DF4"/>
    <w:rsid w:val="00CC276B"/>
    <w:rsid w:val="00CC38EA"/>
    <w:rsid w:val="00CC3B81"/>
    <w:rsid w:val="00CC44B5"/>
    <w:rsid w:val="00CC5596"/>
    <w:rsid w:val="00CC5913"/>
    <w:rsid w:val="00CC6FCD"/>
    <w:rsid w:val="00CD16AA"/>
    <w:rsid w:val="00CD5D1C"/>
    <w:rsid w:val="00CD6E40"/>
    <w:rsid w:val="00CD7D64"/>
    <w:rsid w:val="00CE1C85"/>
    <w:rsid w:val="00CE2F8C"/>
    <w:rsid w:val="00CE61A6"/>
    <w:rsid w:val="00CF3C23"/>
    <w:rsid w:val="00CF5EBC"/>
    <w:rsid w:val="00CF6128"/>
    <w:rsid w:val="00CF75CA"/>
    <w:rsid w:val="00CF7B67"/>
    <w:rsid w:val="00D00FD5"/>
    <w:rsid w:val="00D01A0A"/>
    <w:rsid w:val="00D032C8"/>
    <w:rsid w:val="00D041F2"/>
    <w:rsid w:val="00D04B98"/>
    <w:rsid w:val="00D05901"/>
    <w:rsid w:val="00D17995"/>
    <w:rsid w:val="00D23559"/>
    <w:rsid w:val="00D24765"/>
    <w:rsid w:val="00D24D5B"/>
    <w:rsid w:val="00D253C7"/>
    <w:rsid w:val="00D257F6"/>
    <w:rsid w:val="00D33BF0"/>
    <w:rsid w:val="00D33C46"/>
    <w:rsid w:val="00D36A8D"/>
    <w:rsid w:val="00D46374"/>
    <w:rsid w:val="00D52086"/>
    <w:rsid w:val="00D54F5C"/>
    <w:rsid w:val="00D553FE"/>
    <w:rsid w:val="00D55616"/>
    <w:rsid w:val="00D63D80"/>
    <w:rsid w:val="00D67336"/>
    <w:rsid w:val="00D71389"/>
    <w:rsid w:val="00D73DA3"/>
    <w:rsid w:val="00D74038"/>
    <w:rsid w:val="00D74C6A"/>
    <w:rsid w:val="00D755C1"/>
    <w:rsid w:val="00D76F6F"/>
    <w:rsid w:val="00D80FFB"/>
    <w:rsid w:val="00D841CC"/>
    <w:rsid w:val="00D85D60"/>
    <w:rsid w:val="00D900DA"/>
    <w:rsid w:val="00D942EB"/>
    <w:rsid w:val="00D94E0E"/>
    <w:rsid w:val="00D956ED"/>
    <w:rsid w:val="00D96A64"/>
    <w:rsid w:val="00D97394"/>
    <w:rsid w:val="00DA2A7B"/>
    <w:rsid w:val="00DA2B44"/>
    <w:rsid w:val="00DA3B2B"/>
    <w:rsid w:val="00DB00CD"/>
    <w:rsid w:val="00DB193B"/>
    <w:rsid w:val="00DB2CB8"/>
    <w:rsid w:val="00DB2CB9"/>
    <w:rsid w:val="00DB4371"/>
    <w:rsid w:val="00DB495C"/>
    <w:rsid w:val="00DB565F"/>
    <w:rsid w:val="00DC1B43"/>
    <w:rsid w:val="00DC30D1"/>
    <w:rsid w:val="00DC4E37"/>
    <w:rsid w:val="00DC7E1B"/>
    <w:rsid w:val="00DD0395"/>
    <w:rsid w:val="00DD119D"/>
    <w:rsid w:val="00DD18F5"/>
    <w:rsid w:val="00DD1DDC"/>
    <w:rsid w:val="00DD2C49"/>
    <w:rsid w:val="00DD30E6"/>
    <w:rsid w:val="00DD711B"/>
    <w:rsid w:val="00DD7869"/>
    <w:rsid w:val="00DD7E7A"/>
    <w:rsid w:val="00DE5E59"/>
    <w:rsid w:val="00DF111F"/>
    <w:rsid w:val="00DF346F"/>
    <w:rsid w:val="00DF39E3"/>
    <w:rsid w:val="00DF5522"/>
    <w:rsid w:val="00DF5914"/>
    <w:rsid w:val="00DF6B7B"/>
    <w:rsid w:val="00DF6DD0"/>
    <w:rsid w:val="00E033B7"/>
    <w:rsid w:val="00E042BC"/>
    <w:rsid w:val="00E04F68"/>
    <w:rsid w:val="00E06A1A"/>
    <w:rsid w:val="00E06C2F"/>
    <w:rsid w:val="00E10D67"/>
    <w:rsid w:val="00E16D77"/>
    <w:rsid w:val="00E2152D"/>
    <w:rsid w:val="00E21AE9"/>
    <w:rsid w:val="00E22471"/>
    <w:rsid w:val="00E22C26"/>
    <w:rsid w:val="00E24399"/>
    <w:rsid w:val="00E24C01"/>
    <w:rsid w:val="00E24C45"/>
    <w:rsid w:val="00E274C6"/>
    <w:rsid w:val="00E349CC"/>
    <w:rsid w:val="00E36C3F"/>
    <w:rsid w:val="00E41399"/>
    <w:rsid w:val="00E42E75"/>
    <w:rsid w:val="00E4571D"/>
    <w:rsid w:val="00E46988"/>
    <w:rsid w:val="00E47D91"/>
    <w:rsid w:val="00E52CE2"/>
    <w:rsid w:val="00E55F2F"/>
    <w:rsid w:val="00E61199"/>
    <w:rsid w:val="00E62FBA"/>
    <w:rsid w:val="00E63279"/>
    <w:rsid w:val="00E63891"/>
    <w:rsid w:val="00E65A08"/>
    <w:rsid w:val="00E708B0"/>
    <w:rsid w:val="00E74BD5"/>
    <w:rsid w:val="00E7592A"/>
    <w:rsid w:val="00E76618"/>
    <w:rsid w:val="00E7700D"/>
    <w:rsid w:val="00E839DA"/>
    <w:rsid w:val="00E866DA"/>
    <w:rsid w:val="00E90B4F"/>
    <w:rsid w:val="00E915E3"/>
    <w:rsid w:val="00E9203B"/>
    <w:rsid w:val="00E94665"/>
    <w:rsid w:val="00E94DA2"/>
    <w:rsid w:val="00E95789"/>
    <w:rsid w:val="00E96457"/>
    <w:rsid w:val="00E96D45"/>
    <w:rsid w:val="00E97B4B"/>
    <w:rsid w:val="00EA4266"/>
    <w:rsid w:val="00EA45A5"/>
    <w:rsid w:val="00EA626B"/>
    <w:rsid w:val="00EB16BA"/>
    <w:rsid w:val="00EB4197"/>
    <w:rsid w:val="00EB4756"/>
    <w:rsid w:val="00EB558A"/>
    <w:rsid w:val="00EB78EB"/>
    <w:rsid w:val="00EC2896"/>
    <w:rsid w:val="00EC38FA"/>
    <w:rsid w:val="00EC4AFD"/>
    <w:rsid w:val="00ED0067"/>
    <w:rsid w:val="00ED06E4"/>
    <w:rsid w:val="00ED0AA7"/>
    <w:rsid w:val="00ED3777"/>
    <w:rsid w:val="00ED4227"/>
    <w:rsid w:val="00ED4848"/>
    <w:rsid w:val="00ED5BBD"/>
    <w:rsid w:val="00ED602F"/>
    <w:rsid w:val="00EE2509"/>
    <w:rsid w:val="00EE3D03"/>
    <w:rsid w:val="00EE434F"/>
    <w:rsid w:val="00EE740D"/>
    <w:rsid w:val="00EF5917"/>
    <w:rsid w:val="00EF7818"/>
    <w:rsid w:val="00EF7A1D"/>
    <w:rsid w:val="00EF7A7F"/>
    <w:rsid w:val="00F015EE"/>
    <w:rsid w:val="00F02950"/>
    <w:rsid w:val="00F03F7B"/>
    <w:rsid w:val="00F0723D"/>
    <w:rsid w:val="00F13C5A"/>
    <w:rsid w:val="00F14BDB"/>
    <w:rsid w:val="00F201DA"/>
    <w:rsid w:val="00F2263E"/>
    <w:rsid w:val="00F22A9B"/>
    <w:rsid w:val="00F22AF2"/>
    <w:rsid w:val="00F2357B"/>
    <w:rsid w:val="00F2677A"/>
    <w:rsid w:val="00F27D29"/>
    <w:rsid w:val="00F311FB"/>
    <w:rsid w:val="00F34813"/>
    <w:rsid w:val="00F36F23"/>
    <w:rsid w:val="00F424C9"/>
    <w:rsid w:val="00F42E09"/>
    <w:rsid w:val="00F437B3"/>
    <w:rsid w:val="00F46813"/>
    <w:rsid w:val="00F5253D"/>
    <w:rsid w:val="00F53EC5"/>
    <w:rsid w:val="00F56273"/>
    <w:rsid w:val="00F5682D"/>
    <w:rsid w:val="00F56BB3"/>
    <w:rsid w:val="00F56EFB"/>
    <w:rsid w:val="00F64440"/>
    <w:rsid w:val="00F65C4F"/>
    <w:rsid w:val="00F66585"/>
    <w:rsid w:val="00F66A07"/>
    <w:rsid w:val="00F66B41"/>
    <w:rsid w:val="00F677EF"/>
    <w:rsid w:val="00F73284"/>
    <w:rsid w:val="00F73C36"/>
    <w:rsid w:val="00F77456"/>
    <w:rsid w:val="00F82A0E"/>
    <w:rsid w:val="00F84195"/>
    <w:rsid w:val="00F8582A"/>
    <w:rsid w:val="00F90599"/>
    <w:rsid w:val="00F90605"/>
    <w:rsid w:val="00F95EF3"/>
    <w:rsid w:val="00F970FB"/>
    <w:rsid w:val="00F97BD2"/>
    <w:rsid w:val="00FA0485"/>
    <w:rsid w:val="00FA0E13"/>
    <w:rsid w:val="00FA3A44"/>
    <w:rsid w:val="00FA3B71"/>
    <w:rsid w:val="00FA5B0C"/>
    <w:rsid w:val="00FA7611"/>
    <w:rsid w:val="00FA777E"/>
    <w:rsid w:val="00FA7B0A"/>
    <w:rsid w:val="00FB135D"/>
    <w:rsid w:val="00FB2452"/>
    <w:rsid w:val="00FB39CB"/>
    <w:rsid w:val="00FB42D3"/>
    <w:rsid w:val="00FB4EE7"/>
    <w:rsid w:val="00FB597C"/>
    <w:rsid w:val="00FB59F1"/>
    <w:rsid w:val="00FB5BD2"/>
    <w:rsid w:val="00FB73F2"/>
    <w:rsid w:val="00FC2254"/>
    <w:rsid w:val="00FC2310"/>
    <w:rsid w:val="00FC3002"/>
    <w:rsid w:val="00FC30DA"/>
    <w:rsid w:val="00FC64EE"/>
    <w:rsid w:val="00FC73E4"/>
    <w:rsid w:val="00FD0C82"/>
    <w:rsid w:val="00FD210A"/>
    <w:rsid w:val="00FD798F"/>
    <w:rsid w:val="00FE51EB"/>
    <w:rsid w:val="00FF2DF2"/>
    <w:rsid w:val="00FF4DB8"/>
    <w:rsid w:val="00FF7AA5"/>
    <w:rsid w:val="00FF7F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silver,#eaeaea"/>
    </o:shapedefaults>
    <o:shapelayout v:ext="edit">
      <o:idmap v:ext="edit" data="1"/>
    </o:shapelayout>
  </w:shapeDefaults>
  <w:decimalSymbol w:val="."/>
  <w:listSeparator w:val=","/>
  <w14:docId w14:val="1BCF4817"/>
  <w15:docId w15:val="{F1475FB9-D456-414E-BE2D-23FED90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6"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uiPriority w:val="99"/>
    <w:rsid w:val="00EB16BA"/>
    <w:rPr>
      <w:sz w:val="19"/>
      <w:lang w:eastAsia="en-US"/>
    </w:rPr>
  </w:style>
  <w:style w:type="character" w:styleId="CommentReference">
    <w:name w:val="annotation reference"/>
    <w:basedOn w:val="DefaultParagraphFont"/>
    <w:semiHidden/>
    <w:unhideWhenUsed/>
    <w:rsid w:val="00A65361"/>
    <w:rPr>
      <w:sz w:val="16"/>
      <w:szCs w:val="16"/>
    </w:rPr>
  </w:style>
  <w:style w:type="paragraph" w:styleId="CommentText">
    <w:name w:val="annotation text"/>
    <w:basedOn w:val="Normal"/>
    <w:link w:val="CommentTextChar"/>
    <w:semiHidden/>
    <w:unhideWhenUsed/>
    <w:rsid w:val="00A65361"/>
    <w:rPr>
      <w:sz w:val="20"/>
    </w:rPr>
  </w:style>
  <w:style w:type="character" w:customStyle="1" w:styleId="CommentTextChar">
    <w:name w:val="Comment Text Char"/>
    <w:basedOn w:val="DefaultParagraphFont"/>
    <w:link w:val="CommentText"/>
    <w:semiHidden/>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paragraph" w:styleId="ListParagraph">
    <w:name w:val="List Paragraph"/>
    <w:basedOn w:val="Normal"/>
    <w:uiPriority w:val="34"/>
    <w:rsid w:val="00BC3A19"/>
    <w:pPr>
      <w:ind w:left="720"/>
      <w:contextualSpacing/>
      <w:jc w:val="left"/>
    </w:pPr>
    <w:rPr>
      <w:sz w:val="24"/>
      <w:szCs w:val="24"/>
      <w:lang w:eastAsia="en-AU"/>
    </w:rPr>
  </w:style>
  <w:style w:type="paragraph" w:styleId="NormalWeb">
    <w:name w:val="Normal (Web)"/>
    <w:basedOn w:val="Normal"/>
    <w:uiPriority w:val="6"/>
    <w:semiHidden/>
    <w:rsid w:val="00BC3A19"/>
    <w:pPr>
      <w:jc w:val="left"/>
    </w:pPr>
    <w:rPr>
      <w:sz w:val="24"/>
      <w:szCs w:val="24"/>
      <w:lang w:eastAsia="en-AU"/>
    </w:rPr>
  </w:style>
  <w:style w:type="paragraph" w:customStyle="1" w:styleId="IGpara1">
    <w:name w:val="IG para 1"/>
    <w:basedOn w:val="Normal"/>
    <w:uiPriority w:val="9"/>
    <w:qFormat/>
    <w:rsid w:val="00C8083E"/>
    <w:pPr>
      <w:numPr>
        <w:numId w:val="21"/>
      </w:numPr>
      <w:spacing w:after="100"/>
    </w:pPr>
    <w:rPr>
      <w:szCs w:val="19"/>
    </w:rPr>
  </w:style>
  <w:style w:type="paragraph" w:customStyle="1" w:styleId="IASBNote">
    <w:name w:val="IASB Note"/>
    <w:basedOn w:val="Normal"/>
    <w:uiPriority w:val="8"/>
    <w:rsid w:val="00C8083E"/>
    <w:pPr>
      <w:tabs>
        <w:tab w:val="left" w:pos="4253"/>
      </w:tabs>
      <w:spacing w:before="100" w:after="100"/>
    </w:pPr>
    <w:rPr>
      <w:i/>
    </w:rPr>
  </w:style>
  <w:style w:type="paragraph" w:customStyle="1" w:styleId="NumBoldA2">
    <w:name w:val="Num BoldA2"/>
    <w:basedOn w:val="NumPlain2"/>
    <w:uiPriority w:val="9"/>
    <w:qFormat/>
    <w:rsid w:val="00C8083E"/>
    <w:pPr>
      <w:numPr>
        <w:ilvl w:val="0"/>
        <w:numId w:val="0"/>
      </w:numPr>
      <w:tabs>
        <w:tab w:val="num" w:pos="1021"/>
      </w:tabs>
      <w:spacing w:before="0"/>
      <w:ind w:left="1021" w:hanging="511"/>
    </w:pPr>
    <w:rPr>
      <w:b/>
      <w:szCs w:val="24"/>
      <w:lang w:eastAsia="en-AU"/>
    </w:rPr>
  </w:style>
  <w:style w:type="paragraph" w:customStyle="1" w:styleId="IASBSectionTitle1NonInd">
    <w:name w:val="IASB Section Title 1 NonInd"/>
    <w:basedOn w:val="Normal"/>
    <w:link w:val="IASBSectionTitle1NonIndChar"/>
    <w:uiPriority w:val="8"/>
    <w:rsid w:val="004D5AD1"/>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D5AD1"/>
    <w:rPr>
      <w:rFonts w:ascii="Arial" w:hAnsi="Arial" w:cs="Arial"/>
      <w:b/>
      <w:sz w:val="26"/>
      <w:lang w:eastAsia="en-US"/>
    </w:rPr>
  </w:style>
  <w:style w:type="paragraph" w:customStyle="1" w:styleId="ConvSectionTitle">
    <w:name w:val="Conv Section Title"/>
    <w:basedOn w:val="IASBSectionTitle1NonInd"/>
    <w:uiPriority w:val="9"/>
    <w:qFormat/>
    <w:rsid w:val="004D5AD1"/>
    <w:pPr>
      <w:pBdr>
        <w:bottom w:val="none" w:sz="0" w:space="0" w:color="auto"/>
      </w:pBdr>
    </w:pPr>
  </w:style>
  <w:style w:type="paragraph" w:customStyle="1" w:styleId="IASBSectionTitle2Ind">
    <w:name w:val="IASB Section Title 2 Ind"/>
    <w:basedOn w:val="Normal"/>
    <w:uiPriority w:val="8"/>
    <w:rsid w:val="009C54B8"/>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semiHidden/>
    <w:unhideWhenUsed/>
    <w:rsid w:val="00490C6F"/>
    <w:rPr>
      <w:vertAlign w:val="superscript"/>
    </w:rPr>
  </w:style>
  <w:style w:type="paragraph" w:customStyle="1" w:styleId="IASBNormal">
    <w:name w:val="IASB Normal"/>
    <w:link w:val="IASBNormalChar"/>
    <w:uiPriority w:val="8"/>
    <w:rsid w:val="009E059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E0595"/>
    <w:rPr>
      <w:sz w:val="19"/>
      <w:lang w:eastAsia="en-US"/>
    </w:rPr>
  </w:style>
  <w:style w:type="paragraph" w:styleId="TOC7">
    <w:name w:val="toc 7"/>
    <w:basedOn w:val="Normal"/>
    <w:next w:val="Normal"/>
    <w:autoRedefine/>
    <w:semiHidden/>
    <w:unhideWhenUsed/>
    <w:rsid w:val="004B05FD"/>
    <w:pPr>
      <w:spacing w:after="100"/>
      <w:ind w:left="1140"/>
    </w:pPr>
  </w:style>
  <w:style w:type="paragraph" w:customStyle="1" w:styleId="IASBRubricL1">
    <w:name w:val="IASB RubricL1"/>
    <w:basedOn w:val="Normal"/>
    <w:uiPriority w:val="8"/>
    <w:rsid w:val="004B05FD"/>
    <w:pPr>
      <w:pBdr>
        <w:top w:val="single" w:sz="2" w:space="8" w:color="auto"/>
        <w:left w:val="single" w:sz="2" w:space="5" w:color="auto"/>
        <w:bottom w:val="single" w:sz="2" w:space="5" w:color="auto"/>
        <w:right w:val="single" w:sz="2" w:space="5" w:color="auto"/>
      </w:pBdr>
      <w:tabs>
        <w:tab w:val="left" w:pos="4253"/>
      </w:tabs>
      <w:spacing w:before="100" w:after="100"/>
      <w:ind w:left="782" w:hanging="782"/>
      <w:jc w:val="left"/>
    </w:pPr>
    <w:rPr>
      <w:lang w:eastAsia="en-GB"/>
    </w:rPr>
  </w:style>
  <w:style w:type="paragraph" w:customStyle="1" w:styleId="IE1">
    <w:name w:val="IE1"/>
    <w:basedOn w:val="Normal"/>
    <w:uiPriority w:val="1"/>
    <w:qFormat/>
    <w:rsid w:val="003627D0"/>
    <w:pPr>
      <w:numPr>
        <w:numId w:val="29"/>
      </w:numPr>
      <w:spacing w:after="200" w:line="200" w:lineRule="exact"/>
      <w:jc w:val="left"/>
    </w:pPr>
    <w:rPr>
      <w:sz w:val="20"/>
    </w:rPr>
  </w:style>
  <w:style w:type="paragraph" w:customStyle="1" w:styleId="IE2">
    <w:name w:val="IE2"/>
    <w:basedOn w:val="PlainHanging2"/>
    <w:uiPriority w:val="1"/>
    <w:qFormat/>
    <w:rsid w:val="003627D0"/>
    <w:pPr>
      <w:numPr>
        <w:ilvl w:val="1"/>
        <w:numId w:val="29"/>
      </w:numPr>
      <w:spacing w:before="0" w:after="200" w:line="200" w:lineRule="exact"/>
      <w:jc w:val="left"/>
    </w:pPr>
    <w:rPr>
      <w:sz w:val="20"/>
    </w:rPr>
  </w:style>
  <w:style w:type="paragraph" w:customStyle="1" w:styleId="IE3">
    <w:name w:val="IE3"/>
    <w:basedOn w:val="Normal"/>
    <w:uiPriority w:val="1"/>
    <w:qFormat/>
    <w:rsid w:val="003627D0"/>
    <w:pPr>
      <w:numPr>
        <w:ilvl w:val="2"/>
        <w:numId w:val="29"/>
      </w:numPr>
      <w:spacing w:after="200" w:line="200" w:lineRule="exact"/>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46006CD627C4DAB0A5D920EA18588" ma:contentTypeVersion="6" ma:contentTypeDescription="Create a new document." ma:contentTypeScope="" ma:versionID="a5c467a797fd38bd9bf385284a2519d6">
  <xsd:schema xmlns:xsd="http://www.w3.org/2001/XMLSchema" xmlns:xs="http://www.w3.org/2001/XMLSchema" xmlns:p="http://schemas.microsoft.com/office/2006/metadata/properties" xmlns:ns3="5d3f9470-a3c7-46bb-8005-97f4844b7de8" targetNamespace="http://schemas.microsoft.com/office/2006/metadata/properties" ma:root="true" ma:fieldsID="1550d0a484ff46390040f959997f7d68" ns3:_="">
    <xsd:import namespace="5d3f9470-a3c7-46bb-8005-97f4844b7d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9470-a3c7-46bb-8005-97f4844b7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96D6-BAE1-45C1-8E8D-3659C0787516}">
  <ds:schemaRefs>
    <ds:schemaRef ds:uri="http://purl.org/dc/terms/"/>
    <ds:schemaRef ds:uri="http://schemas.microsoft.com/office/2006/documentManagement/types"/>
    <ds:schemaRef ds:uri="http://purl.org/dc/dcmitype/"/>
    <ds:schemaRef ds:uri="http://schemas.microsoft.com/office/2006/metadata/properties"/>
    <ds:schemaRef ds:uri="5d3f9470-a3c7-46bb-8005-97f4844b7de8"/>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4C3683-8418-4726-9BCE-DD91EA15560E}">
  <ds:schemaRefs>
    <ds:schemaRef ds:uri="http://schemas.microsoft.com/sharepoint/v3/contenttype/forms"/>
  </ds:schemaRefs>
</ds:datastoreItem>
</file>

<file path=customXml/itemProps3.xml><?xml version="1.0" encoding="utf-8"?>
<ds:datastoreItem xmlns:ds="http://schemas.openxmlformats.org/officeDocument/2006/customXml" ds:itemID="{0893A2C7-F58E-4D3B-AE59-84D575EF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9470-a3c7-46bb-8005-97f4844b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E80D3-6874-4825-95AC-4902A5B1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4373</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cp:lastModifiedBy>Kathleen John</cp:lastModifiedBy>
  <cp:revision>4</cp:revision>
  <cp:lastPrinted>2019-10-09T21:34:00Z</cp:lastPrinted>
  <dcterms:created xsi:type="dcterms:W3CDTF">2019-10-09T05:49:00Z</dcterms:created>
  <dcterms:modified xsi:type="dcterms:W3CDTF">2019-10-09T21:35:00Z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0x010100EDC46006CD627C4DAB0A5D920EA18588</vt:lpwstr>
  </property>
</Properties>
</file>