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2C354" w14:textId="77777777" w:rsidR="00414BC3" w:rsidRDefault="00414BC3" w:rsidP="00A94F2A">
      <w:pPr>
        <w:pStyle w:val="CoverTitle"/>
        <w:spacing w:after="600"/>
        <w:jc w:val="center"/>
      </w:pPr>
      <w:bookmarkStart w:id="0" w:name="_GoBack"/>
      <w:bookmarkEnd w:id="0"/>
      <w:r>
        <w:t>Explanatory Statement</w:t>
      </w:r>
    </w:p>
    <w:p w14:paraId="595C4FD2" w14:textId="08297D3B" w:rsidR="00414BC3" w:rsidRDefault="00396BCD" w:rsidP="006B1B4A">
      <w:pPr>
        <w:pStyle w:val="CoverTitle"/>
        <w:spacing w:after="120"/>
        <w:jc w:val="center"/>
        <w:rPr>
          <w:i/>
          <w:sz w:val="36"/>
          <w:szCs w:val="36"/>
        </w:rPr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0B3A72">
        <w:rPr>
          <w:sz w:val="36"/>
          <w:szCs w:val="36"/>
        </w:rPr>
        <w:t>2019-3</w:t>
      </w:r>
      <w:r w:rsidR="00347521">
        <w:rPr>
          <w:sz w:val="36"/>
          <w:szCs w:val="36"/>
        </w:rPr>
        <w:br/>
      </w:r>
      <w:r w:rsidR="00C61FC9">
        <w:rPr>
          <w:i/>
          <w:sz w:val="36"/>
          <w:szCs w:val="36"/>
        </w:rPr>
        <w:t xml:space="preserve">Amendments to Australian Accounting Standards </w:t>
      </w:r>
      <w:r w:rsidR="00EA0280">
        <w:rPr>
          <w:i/>
          <w:sz w:val="36"/>
          <w:szCs w:val="36"/>
        </w:rPr>
        <w:br/>
      </w:r>
      <w:r w:rsidR="00A94F2A">
        <w:rPr>
          <w:i/>
          <w:sz w:val="36"/>
          <w:szCs w:val="36"/>
        </w:rPr>
        <w:t xml:space="preserve">– </w:t>
      </w:r>
      <w:r w:rsidR="001574A3" w:rsidRPr="001574A3">
        <w:rPr>
          <w:i/>
          <w:sz w:val="36"/>
          <w:szCs w:val="36"/>
        </w:rPr>
        <w:t>Interest Rate Benchmark Reform</w:t>
      </w:r>
    </w:p>
    <w:p w14:paraId="456F111E" w14:textId="77777777" w:rsidR="006776BD" w:rsidRPr="006776BD" w:rsidRDefault="006776BD" w:rsidP="006776BD">
      <w:pPr>
        <w:pStyle w:val="CoverSubtitle"/>
        <w:spacing w:after="3120"/>
        <w:rPr>
          <w:sz w:val="32"/>
          <w:szCs w:val="32"/>
        </w:rPr>
      </w:pPr>
    </w:p>
    <w:p w14:paraId="50F07FF8" w14:textId="1F31D48E" w:rsidR="00414BC3" w:rsidRPr="00F62F5C" w:rsidRDefault="001574A3" w:rsidP="001574A3">
      <w:pPr>
        <w:pStyle w:val="CoverDate"/>
        <w:tabs>
          <w:tab w:val="left" w:pos="3794"/>
          <w:tab w:val="left" w:pos="6232"/>
        </w:tabs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C61FC9">
        <w:rPr>
          <w:b/>
          <w:sz w:val="28"/>
          <w:szCs w:val="28"/>
        </w:rPr>
        <w:t xml:space="preserve"> </w:t>
      </w:r>
      <w:r w:rsidR="00225101">
        <w:rPr>
          <w:b/>
          <w:sz w:val="28"/>
          <w:szCs w:val="28"/>
        </w:rPr>
        <w:t>20</w:t>
      </w:r>
      <w:r w:rsidR="00391D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</w:p>
    <w:p w14:paraId="356A1F4B" w14:textId="77777777" w:rsidR="00414BC3" w:rsidRDefault="003E04D5">
      <w:pPr>
        <w:sectPr w:rsidR="00414BC3" w:rsidSect="00B93CE4">
          <w:headerReference w:type="default" r:id="rId10"/>
          <w:pgSz w:w="11907" w:h="16840"/>
          <w:pgMar w:top="1134" w:right="1134" w:bottom="1134" w:left="1134" w:header="720" w:footer="720" w:gutter="0"/>
          <w:cols w:space="720"/>
        </w:sectPr>
      </w:pPr>
      <w:r>
        <w:rPr>
          <w:noProof/>
          <w:lang w:val="en-US"/>
        </w:rPr>
        <w:object w:dxaOrig="1440" w:dyaOrig="1440" w14:anchorId="10A8E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Government - Australian Accounting Standards Board" style="position:absolute;margin-left:0;margin-top:0;width:123.05pt;height:95.75pt;z-index:251658240;visibility:visible;mso-wrap-edited:f;mso-position-horizontal:left;mso-position-horizontal-relative:margin;mso-position-vertical:bottom;mso-position-vertical-relative:margin">
            <v:imagedata r:id="rId11" o:title=""/>
            <w10:wrap anchorx="margin" anchory="margin"/>
            <w10:anchorlock/>
          </v:shape>
          <o:OLEObject Type="Embed" ProgID="Word.Picture.8" ShapeID="_x0000_s1026" DrawAspect="Content" ObjectID="_1632821071" r:id="rId12"/>
        </w:object>
      </w:r>
    </w:p>
    <w:p w14:paraId="433F3DB0" w14:textId="77777777" w:rsidR="00414BC3" w:rsidRDefault="00414BC3">
      <w:pPr>
        <w:pStyle w:val="Heading1"/>
      </w:pPr>
      <w:r>
        <w:lastRenderedPageBreak/>
        <w:t>EXPLANATORY STATEMENT</w:t>
      </w:r>
    </w:p>
    <w:p w14:paraId="6C2E60AD" w14:textId="2B24E5AD" w:rsidR="00FD4C0C" w:rsidRDefault="006B1B4A" w:rsidP="00FD4C0C">
      <w:pPr>
        <w:pStyle w:val="Heading2"/>
      </w:pPr>
      <w:r>
        <w:t>Standards Amended by</w:t>
      </w:r>
      <w:r w:rsidR="00FD4C0C">
        <w:t xml:space="preserve"> AASB </w:t>
      </w:r>
      <w:r w:rsidR="000B3A72">
        <w:t>2019-3</w:t>
      </w:r>
    </w:p>
    <w:p w14:paraId="0AF27156" w14:textId="7A70AE9A" w:rsidR="00A33757" w:rsidRPr="00AE3464" w:rsidRDefault="006B1B4A" w:rsidP="00A33757">
      <w:pPr>
        <w:pStyle w:val="NoNumPlain1"/>
        <w:rPr>
          <w:i/>
          <w:iCs/>
        </w:rPr>
      </w:pPr>
      <w:r>
        <w:t>This Standard makes amendments to</w:t>
      </w:r>
      <w:r w:rsidR="00A33757">
        <w:t xml:space="preserve"> </w:t>
      </w:r>
      <w:r>
        <w:t>Australian Accounting Standards</w:t>
      </w:r>
      <w:r w:rsidR="001574A3">
        <w:t xml:space="preserve"> </w:t>
      </w:r>
      <w:r w:rsidR="001574A3" w:rsidRPr="001574A3">
        <w:t xml:space="preserve">AASB 7 </w:t>
      </w:r>
      <w:r w:rsidR="001574A3" w:rsidRPr="001574A3">
        <w:rPr>
          <w:i/>
          <w:iCs/>
        </w:rPr>
        <w:t xml:space="preserve">Financial Instruments: Disclosures </w:t>
      </w:r>
      <w:r w:rsidR="001574A3" w:rsidRPr="001574A3">
        <w:t xml:space="preserve">(August 2015), AASB 9 </w:t>
      </w:r>
      <w:r w:rsidR="001574A3" w:rsidRPr="001574A3">
        <w:rPr>
          <w:i/>
          <w:iCs/>
        </w:rPr>
        <w:t>Financial Instruments</w:t>
      </w:r>
      <w:r w:rsidR="001574A3" w:rsidRPr="001574A3">
        <w:t xml:space="preserve"> (August 2015) and AASB 139 </w:t>
      </w:r>
      <w:r w:rsidR="001574A3" w:rsidRPr="001574A3">
        <w:rPr>
          <w:i/>
          <w:iCs/>
        </w:rPr>
        <w:t>Financial Instruments: Recognition and Measurement</w:t>
      </w:r>
      <w:r w:rsidR="001574A3" w:rsidRPr="001574A3">
        <w:t xml:space="preserve"> (August 2015).</w:t>
      </w:r>
      <w:r w:rsidR="006E6C9B">
        <w:t xml:space="preserve"> These amendments </w:t>
      </w:r>
      <w:r w:rsidR="00B10A0A">
        <w:t xml:space="preserve">arise from the issuance of International Financial Reporting Standard </w:t>
      </w:r>
      <w:r w:rsidR="00C57520" w:rsidRPr="00AE3464">
        <w:rPr>
          <w:i/>
          <w:iCs/>
        </w:rPr>
        <w:t>Interest Rate Benchmark Reform</w:t>
      </w:r>
      <w:r w:rsidR="00C57520" w:rsidRPr="00C57520">
        <w:t xml:space="preserve"> (Amendments to IFRS 9</w:t>
      </w:r>
      <w:r w:rsidR="005B6EE8">
        <w:t xml:space="preserve">, </w:t>
      </w:r>
      <w:r w:rsidR="00C57520" w:rsidRPr="00C57520">
        <w:t>IAS 39</w:t>
      </w:r>
      <w:r w:rsidR="005B6EE8">
        <w:t xml:space="preserve"> and</w:t>
      </w:r>
      <w:r w:rsidR="005B6EE8" w:rsidRPr="005B6EE8">
        <w:t xml:space="preserve"> </w:t>
      </w:r>
      <w:r w:rsidR="005B6EE8" w:rsidRPr="00C57520">
        <w:t>IFRS</w:t>
      </w:r>
      <w:r w:rsidR="005B6EE8">
        <w:t xml:space="preserve"> 7</w:t>
      </w:r>
      <w:r w:rsidR="00C57520" w:rsidRPr="00C57520">
        <w:t>) by the International Accounting Standards Board in September 2019</w:t>
      </w:r>
      <w:r w:rsidR="001A3883">
        <w:t>.</w:t>
      </w:r>
    </w:p>
    <w:p w14:paraId="11F29B8E" w14:textId="2F10971C" w:rsidR="00A94F2A" w:rsidRDefault="00A94F2A" w:rsidP="00A94F2A">
      <w:pPr>
        <w:pStyle w:val="Heading3"/>
      </w:pPr>
      <w:r>
        <w:t>Power to Make Amendments</w:t>
      </w:r>
      <w:r w:rsidR="007676C0">
        <w:t xml:space="preserve"> </w:t>
      </w:r>
    </w:p>
    <w:p w14:paraId="2346499D" w14:textId="40EBC395" w:rsidR="00A94F2A" w:rsidRPr="007261ED" w:rsidRDefault="00B223A3" w:rsidP="00A33757">
      <w:pPr>
        <w:pStyle w:val="NoNumPlain1"/>
      </w:pPr>
      <w:r w:rsidRPr="00E35D4F">
        <w:t xml:space="preserve">Under </w:t>
      </w:r>
      <w:r w:rsidR="00A94F2A" w:rsidRPr="00E35D4F">
        <w:t xml:space="preserve">subsection 33(3) of the </w:t>
      </w:r>
      <w:r w:rsidR="00A94F2A" w:rsidRPr="00D66E0A">
        <w:rPr>
          <w:i/>
        </w:rPr>
        <w:t>Acts Interpretation Act 1901</w:t>
      </w:r>
      <w:r w:rsidR="00A94F2A" w:rsidRPr="00E35D4F"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</w:t>
      </w:r>
      <w:r w:rsidR="00A94F2A">
        <w:t>.</w:t>
      </w:r>
      <w:r w:rsidR="00B93CE4">
        <w:t xml:space="preserve">  Accordingly, the </w:t>
      </w:r>
      <w:r w:rsidR="004B3420">
        <w:t>Australian Accounting Standards Board (</w:t>
      </w:r>
      <w:r w:rsidR="00B93CE4">
        <w:t>AASB</w:t>
      </w:r>
      <w:r w:rsidR="004B3420">
        <w:t>)</w:t>
      </w:r>
      <w:r w:rsidR="00B93CE4">
        <w:t xml:space="preserve"> has the power to amend the Accounting Standards that are made by the AASB as legislative instruments under the </w:t>
      </w:r>
      <w:r w:rsidR="00B93CE4" w:rsidRPr="00B93CE4">
        <w:rPr>
          <w:i/>
        </w:rPr>
        <w:t>Corporations Act 2001</w:t>
      </w:r>
      <w:r w:rsidR="00B93CE4">
        <w:t>.</w:t>
      </w:r>
    </w:p>
    <w:p w14:paraId="5A82DA42" w14:textId="62D2C2A0" w:rsidR="00FD4C0C" w:rsidRDefault="00FD4C0C" w:rsidP="00FD4C0C">
      <w:pPr>
        <w:pStyle w:val="Heading2"/>
      </w:pPr>
      <w:r>
        <w:t xml:space="preserve">Main Features of AASB </w:t>
      </w:r>
      <w:r w:rsidR="000B3A72">
        <w:t>2019-3</w:t>
      </w:r>
    </w:p>
    <w:p w14:paraId="35E20AC6" w14:textId="38B1086E" w:rsidR="00751DDF" w:rsidRDefault="00751DDF" w:rsidP="00751DDF">
      <w:pPr>
        <w:pStyle w:val="Heading3"/>
      </w:pPr>
      <w:r>
        <w:t>Main Requirements</w:t>
      </w:r>
    </w:p>
    <w:p w14:paraId="68FC0817" w14:textId="02D3A9CA" w:rsidR="006D6B35" w:rsidRDefault="001574A3" w:rsidP="00A33757">
      <w:pPr>
        <w:pStyle w:val="NoNumPlain1"/>
      </w:pPr>
      <w:r w:rsidRPr="001574A3">
        <w:t xml:space="preserve">The Standard amends AASB 7, AASB 9 and AASB 139 to modify some specific hedge accounting requirements to provide relief from </w:t>
      </w:r>
      <w:r w:rsidR="00751DDF">
        <w:t xml:space="preserve">the </w:t>
      </w:r>
      <w:r w:rsidRPr="001574A3">
        <w:t xml:space="preserve">potential effects of the uncertainty caused by the interest rate benchmark reform. In addition, the amendments require entities to provide additional information about their hedging relationships </w:t>
      </w:r>
      <w:r w:rsidR="00751DDF">
        <w:t>that</w:t>
      </w:r>
      <w:r w:rsidRPr="001574A3">
        <w:t xml:space="preserve"> are directly affected by these uncertainties.</w:t>
      </w:r>
    </w:p>
    <w:p w14:paraId="27CF4CB3" w14:textId="77777777" w:rsidR="00FD4C0C" w:rsidRDefault="00FD4C0C" w:rsidP="006B1B4A">
      <w:pPr>
        <w:pStyle w:val="Heading3"/>
      </w:pPr>
      <w:r>
        <w:t>Application Date</w:t>
      </w:r>
    </w:p>
    <w:p w14:paraId="6D79DA8C" w14:textId="4A816557" w:rsidR="001574A3" w:rsidRDefault="001A3883" w:rsidP="007676C0">
      <w:pPr>
        <w:pStyle w:val="Heading3"/>
        <w:rPr>
          <w:rFonts w:cs="Times New Roman"/>
          <w:b w:val="0"/>
          <w:bCs w:val="0"/>
          <w:iCs w:val="0"/>
          <w:sz w:val="20"/>
          <w:szCs w:val="20"/>
          <w:lang w:val="en-US"/>
        </w:rPr>
      </w:pPr>
      <w:r>
        <w:rPr>
          <w:rFonts w:cs="Times New Roman"/>
          <w:b w:val="0"/>
          <w:bCs w:val="0"/>
          <w:iCs w:val="0"/>
          <w:sz w:val="20"/>
          <w:szCs w:val="20"/>
          <w:lang w:val="en-US"/>
        </w:rPr>
        <w:t>AASB 2019-3</w:t>
      </w:r>
      <w:r w:rsidR="001574A3" w:rsidRPr="001574A3">
        <w:rPr>
          <w:rFonts w:cs="Times New Roman"/>
          <w:b w:val="0"/>
          <w:bCs w:val="0"/>
          <w:iCs w:val="0"/>
          <w:sz w:val="20"/>
          <w:szCs w:val="20"/>
          <w:lang w:val="en-US"/>
        </w:rPr>
        <w:t xml:space="preserve"> applies to annual reporting periods beginning on or after 1 January 2020.  Earlier application is permitted.</w:t>
      </w:r>
    </w:p>
    <w:p w14:paraId="584CB461" w14:textId="7024EB58" w:rsidR="007676C0" w:rsidRDefault="007676C0" w:rsidP="007676C0">
      <w:pPr>
        <w:pStyle w:val="Heading3"/>
        <w:rPr>
          <w:lang w:val="en-US"/>
        </w:rPr>
      </w:pPr>
      <w:r>
        <w:rPr>
          <w:lang w:val="en-US"/>
        </w:rPr>
        <w:t>References to Other AASB Standards</w:t>
      </w:r>
      <w:r>
        <w:t xml:space="preserve"> </w:t>
      </w:r>
    </w:p>
    <w:p w14:paraId="11B0C2E2" w14:textId="77777777" w:rsidR="007676C0" w:rsidRDefault="007676C0" w:rsidP="00A92FFA">
      <w:pPr>
        <w:pStyle w:val="NoNumPlain1"/>
        <w:rPr>
          <w:lang w:val="en-US"/>
        </w:rPr>
      </w:pPr>
      <w:r>
        <w:rPr>
          <w:lang w:val="en-US"/>
        </w:rPr>
        <w:t xml:space="preserve">References in this Standard to </w:t>
      </w:r>
      <w:r w:rsidR="006628B2">
        <w:rPr>
          <w:lang w:val="en-US"/>
        </w:rPr>
        <w:t xml:space="preserve">the titles of </w:t>
      </w:r>
      <w:r>
        <w:rPr>
          <w:lang w:val="en-US"/>
        </w:rPr>
        <w:t>other AASB Standards that are legislative ins</w:t>
      </w:r>
      <w:r w:rsidRPr="006628B2">
        <w:rPr>
          <w:lang w:val="en-US"/>
        </w:rPr>
        <w:t xml:space="preserve">truments are to be construed as </w:t>
      </w:r>
      <w:r w:rsidR="006628B2" w:rsidRPr="006628B2">
        <w:t>references to those other Standards as originally made and as amended from time to time and incorporate provisions of those Standards as in force from time to time.</w:t>
      </w:r>
    </w:p>
    <w:p w14:paraId="4531232E" w14:textId="77777777" w:rsidR="00EA0A87" w:rsidRPr="001D1FFA" w:rsidRDefault="00EA0A87" w:rsidP="00EA0A87">
      <w:pPr>
        <w:pStyle w:val="Heading2"/>
      </w:pPr>
      <w:r w:rsidRPr="001D1FFA">
        <w:t>Consultation Prior to Issuing this Standard</w:t>
      </w:r>
    </w:p>
    <w:p w14:paraId="0FC63B28" w14:textId="5BB572B4" w:rsidR="00881A41" w:rsidRPr="00AF7122" w:rsidRDefault="00EE0DF8" w:rsidP="00AF7122">
      <w:pPr>
        <w:pStyle w:val="NoNumPlain1"/>
        <w:rPr>
          <w:lang w:val="en-US"/>
        </w:rPr>
      </w:pPr>
      <w:r w:rsidRPr="00AF7122">
        <w:rPr>
          <w:lang w:val="en-US"/>
        </w:rPr>
        <w:t xml:space="preserve">The AASB issued Exposure Draft ED 288 Interest Rate Benchmark Reform in May 2019 for comment by 31 May 2019. ED 288 incorporated IASB Exposure Draft ED/2019/1 Interest Rate Benchmark Reform. No </w:t>
      </w:r>
      <w:r w:rsidR="00705CB2" w:rsidRPr="00AF7122">
        <w:rPr>
          <w:lang w:val="en-US"/>
        </w:rPr>
        <w:t xml:space="preserve">formal </w:t>
      </w:r>
      <w:r w:rsidRPr="00AF7122">
        <w:rPr>
          <w:lang w:val="en-US"/>
        </w:rPr>
        <w:t>submissions were received by the AASB in respect of the proposals in ED 288</w:t>
      </w:r>
      <w:r w:rsidR="00863F03" w:rsidRPr="00AF7122">
        <w:rPr>
          <w:lang w:val="en-US"/>
        </w:rPr>
        <w:t xml:space="preserve">, however informal feedback was obtained via targeted outreach with </w:t>
      </w:r>
      <w:r w:rsidR="00705CB2" w:rsidRPr="00AF7122">
        <w:rPr>
          <w:lang w:val="en-US"/>
        </w:rPr>
        <w:t>stakeholders</w:t>
      </w:r>
      <w:r w:rsidR="00863F03" w:rsidRPr="00AF7122">
        <w:rPr>
          <w:lang w:val="en-US"/>
        </w:rPr>
        <w:t xml:space="preserve">, including Australian banks and </w:t>
      </w:r>
      <w:r w:rsidR="00D572F5" w:rsidRPr="00AF7122">
        <w:rPr>
          <w:lang w:val="en-US"/>
        </w:rPr>
        <w:t>accounting firms</w:t>
      </w:r>
      <w:r w:rsidR="000E04E9" w:rsidRPr="00AF7122">
        <w:rPr>
          <w:lang w:val="en-US"/>
        </w:rPr>
        <w:t xml:space="preserve">, </w:t>
      </w:r>
      <w:r w:rsidR="00705CB2" w:rsidRPr="00AF7122">
        <w:rPr>
          <w:lang w:val="en-US"/>
        </w:rPr>
        <w:t>which</w:t>
      </w:r>
      <w:r w:rsidR="000E04E9" w:rsidRPr="00AF7122">
        <w:rPr>
          <w:lang w:val="en-US"/>
        </w:rPr>
        <w:t xml:space="preserve"> broadly supported the proposed amendments</w:t>
      </w:r>
      <w:r w:rsidRPr="00AF7122">
        <w:rPr>
          <w:lang w:val="en-US"/>
        </w:rPr>
        <w:t>. The AASB made a submission to the IASB on ED/201</w:t>
      </w:r>
      <w:r w:rsidR="00AE71D1" w:rsidRPr="00AF7122">
        <w:rPr>
          <w:lang w:val="en-US"/>
        </w:rPr>
        <w:t>9</w:t>
      </w:r>
      <w:r w:rsidRPr="00AF7122">
        <w:rPr>
          <w:lang w:val="en-US"/>
        </w:rPr>
        <w:t xml:space="preserve">/1 </w:t>
      </w:r>
      <w:r w:rsidR="00AE71D1" w:rsidRPr="00AF7122">
        <w:rPr>
          <w:lang w:val="en-US"/>
        </w:rPr>
        <w:t xml:space="preserve">generally agreeing with the proposals. </w:t>
      </w:r>
      <w:r w:rsidR="00404AD6" w:rsidRPr="00AF7122">
        <w:rPr>
          <w:lang w:val="en-US"/>
        </w:rPr>
        <w:t xml:space="preserve">Two </w:t>
      </w:r>
      <w:r w:rsidRPr="00AF7122">
        <w:rPr>
          <w:lang w:val="en-US"/>
        </w:rPr>
        <w:t xml:space="preserve">Australian </w:t>
      </w:r>
      <w:r w:rsidR="00705CB2" w:rsidRPr="00AF7122">
        <w:rPr>
          <w:lang w:val="en-US"/>
        </w:rPr>
        <w:t>stakeholders</w:t>
      </w:r>
      <w:r w:rsidRPr="00AF7122">
        <w:rPr>
          <w:lang w:val="en-US"/>
        </w:rPr>
        <w:t xml:space="preserve"> made</w:t>
      </w:r>
      <w:r w:rsidR="004D249D" w:rsidRPr="00AF7122">
        <w:rPr>
          <w:lang w:val="en-US"/>
        </w:rPr>
        <w:t xml:space="preserve"> </w:t>
      </w:r>
      <w:r w:rsidRPr="00AF7122">
        <w:rPr>
          <w:lang w:val="en-US"/>
        </w:rPr>
        <w:t>submission</w:t>
      </w:r>
      <w:r w:rsidR="00404AD6" w:rsidRPr="00AF7122">
        <w:rPr>
          <w:lang w:val="en-US"/>
        </w:rPr>
        <w:t>s</w:t>
      </w:r>
      <w:r w:rsidR="00721152" w:rsidRPr="00AF7122">
        <w:rPr>
          <w:lang w:val="en-US"/>
        </w:rPr>
        <w:t xml:space="preserve"> directly</w:t>
      </w:r>
      <w:r w:rsidRPr="00AF7122">
        <w:rPr>
          <w:lang w:val="en-US"/>
        </w:rPr>
        <w:t xml:space="preserve"> to the IASB on ED/201</w:t>
      </w:r>
      <w:r w:rsidR="00916D5E" w:rsidRPr="00AF7122">
        <w:rPr>
          <w:lang w:val="en-US"/>
        </w:rPr>
        <w:t>9</w:t>
      </w:r>
      <w:r w:rsidRPr="00AF7122">
        <w:rPr>
          <w:lang w:val="en-US"/>
        </w:rPr>
        <w:t xml:space="preserve">/1, broadly supporting the IASB’s proposed amendments. </w:t>
      </w:r>
    </w:p>
    <w:p w14:paraId="1FE18520" w14:textId="3AA1B402" w:rsidR="003E74B9" w:rsidRPr="00AF7122" w:rsidRDefault="00EE0DF8" w:rsidP="00AF7122">
      <w:pPr>
        <w:pStyle w:val="NoNumPlain1"/>
        <w:rPr>
          <w:lang w:val="en-US"/>
        </w:rPr>
      </w:pPr>
      <w:r w:rsidRPr="00AF7122">
        <w:rPr>
          <w:lang w:val="en-US"/>
        </w:rPr>
        <w:t xml:space="preserve">The IASB analysed the feedback it received on the proposed amendments </w:t>
      </w:r>
      <w:r w:rsidR="002F1A2E" w:rsidRPr="00AF7122">
        <w:rPr>
          <w:lang w:val="en-US"/>
        </w:rPr>
        <w:t xml:space="preserve">and decided to finalise </w:t>
      </w:r>
      <w:r w:rsidR="00881A41" w:rsidRPr="00AF7122">
        <w:rPr>
          <w:lang w:val="en-US"/>
        </w:rPr>
        <w:t xml:space="preserve">those amendments </w:t>
      </w:r>
      <w:r w:rsidRPr="00AF7122">
        <w:rPr>
          <w:lang w:val="en-US"/>
        </w:rPr>
        <w:t>with no substantive changes.</w:t>
      </w:r>
      <w:r w:rsidR="00E578F2" w:rsidRPr="00AF7122">
        <w:rPr>
          <w:lang w:val="en-US"/>
        </w:rPr>
        <w:t xml:space="preserve"> </w:t>
      </w:r>
      <w:r w:rsidRPr="00AF7122">
        <w:rPr>
          <w:lang w:val="en-US"/>
        </w:rPr>
        <w:t xml:space="preserve">The IASB set an effective date of annual periods beginning on or after 1 January 2020, with earlier application permitted. The AASB considered the amendments made by the IASB to IFRS </w:t>
      </w:r>
      <w:r w:rsidR="00F41BEF" w:rsidRPr="00AF7122">
        <w:rPr>
          <w:lang w:val="en-US"/>
        </w:rPr>
        <w:t>7, IFRS 9 and IAS 39</w:t>
      </w:r>
      <w:r w:rsidRPr="00AF7122">
        <w:rPr>
          <w:lang w:val="en-US"/>
        </w:rPr>
        <w:t xml:space="preserve"> in finalising AASB </w:t>
      </w:r>
      <w:r w:rsidR="000B3A72" w:rsidRPr="00AF7122">
        <w:rPr>
          <w:lang w:val="en-US"/>
        </w:rPr>
        <w:t>2019-3</w:t>
      </w:r>
      <w:r w:rsidRPr="00AF7122">
        <w:rPr>
          <w:lang w:val="en-US"/>
        </w:rPr>
        <w:t xml:space="preserve"> and the amendments to AASB </w:t>
      </w:r>
      <w:r w:rsidR="0027445E" w:rsidRPr="00AF7122">
        <w:rPr>
          <w:lang w:val="en-US"/>
        </w:rPr>
        <w:t>7, AASB 9 and AASB 139</w:t>
      </w:r>
      <w:r w:rsidRPr="00AF7122">
        <w:rPr>
          <w:lang w:val="en-US"/>
        </w:rPr>
        <w:t xml:space="preserve">. </w:t>
      </w:r>
    </w:p>
    <w:p w14:paraId="0B10C55E" w14:textId="59660D69" w:rsidR="00A94F2A" w:rsidRDefault="00EE0DF8" w:rsidP="00AF7122">
      <w:pPr>
        <w:pStyle w:val="NoNumPlain1"/>
        <w:rPr>
          <w:rFonts w:cs="Arial"/>
          <w:b/>
          <w:iCs/>
          <w:sz w:val="28"/>
          <w:szCs w:val="28"/>
        </w:rPr>
      </w:pPr>
      <w:r w:rsidRPr="00AF7122">
        <w:rPr>
          <w:lang w:val="en-US"/>
        </w:rPr>
        <w:t xml:space="preserve">A Regulation Impact Statement (RIS) has not been prepared in connection with the issue of AASB </w:t>
      </w:r>
      <w:r w:rsidR="000B3A72" w:rsidRPr="00AF7122">
        <w:rPr>
          <w:lang w:val="en-US"/>
        </w:rPr>
        <w:t>2019-3</w:t>
      </w:r>
      <w:r w:rsidRPr="00AF7122">
        <w:rPr>
          <w:lang w:val="en-US"/>
        </w:rPr>
        <w:t xml:space="preserve"> as the amendments made do not have a substantial direct or indirect impact on business or competition.</w:t>
      </w:r>
      <w:r w:rsidR="00A94F2A">
        <w:br w:type="page"/>
      </w:r>
    </w:p>
    <w:p w14:paraId="1D704FC3" w14:textId="77777777" w:rsidR="00AD44F9" w:rsidRDefault="00CD0A54" w:rsidP="00A30A30">
      <w:pPr>
        <w:pStyle w:val="Heading2"/>
        <w:spacing w:before="720"/>
        <w:jc w:val="center"/>
      </w:pPr>
      <w:r>
        <w:lastRenderedPageBreak/>
        <w:t>Statement of Compatibility with Human Rights</w:t>
      </w:r>
    </w:p>
    <w:p w14:paraId="78B0B08C" w14:textId="77777777" w:rsidR="00E770E5" w:rsidRDefault="00E770E5" w:rsidP="00E770E5">
      <w:pPr>
        <w:pStyle w:val="NoNumPlain1"/>
        <w:jc w:val="center"/>
      </w:pPr>
      <w:r>
        <w:t xml:space="preserve">Prepared in accordance with Part </w:t>
      </w:r>
      <w:r w:rsidRPr="00E4135E">
        <w:t xml:space="preserve">3 of the </w:t>
      </w:r>
      <w:r>
        <w:br/>
      </w:r>
      <w:r w:rsidRPr="00E4135E">
        <w:rPr>
          <w:i/>
        </w:rPr>
        <w:t>Human Rights (Parliamentary Scrutiny) Act 2011</w:t>
      </w:r>
    </w:p>
    <w:p w14:paraId="2D71DA5B" w14:textId="17B26F59" w:rsidR="00E770E5" w:rsidRDefault="00A90A3D" w:rsidP="00A90A3D">
      <w:pPr>
        <w:pStyle w:val="Heading3"/>
        <w:spacing w:after="360"/>
        <w:jc w:val="center"/>
      </w:pPr>
      <w:r w:rsidRPr="00347521">
        <w:t xml:space="preserve">Accounting Standard AASB </w:t>
      </w:r>
      <w:r w:rsidR="000B3A72">
        <w:t>2019-3</w:t>
      </w:r>
      <w:r>
        <w:br/>
      </w:r>
      <w:r w:rsidRPr="00A30A30">
        <w:rPr>
          <w:i/>
          <w:iCs w:val="0"/>
        </w:rPr>
        <w:t xml:space="preserve">Amendments to Australian Accounting Standards </w:t>
      </w:r>
      <w:r w:rsidR="00B223A3" w:rsidRPr="00A30A30">
        <w:rPr>
          <w:i/>
          <w:iCs w:val="0"/>
        </w:rPr>
        <w:t xml:space="preserve">– </w:t>
      </w:r>
      <w:r w:rsidR="00A30A30" w:rsidRPr="00A30A30">
        <w:rPr>
          <w:i/>
          <w:iCs w:val="0"/>
        </w:rPr>
        <w:t>Interest Rate Benchmark Reform</w:t>
      </w:r>
    </w:p>
    <w:p w14:paraId="03D29354" w14:textId="06CF9A65" w:rsidR="00A90A3D" w:rsidRDefault="00A90A3D" w:rsidP="00A90A3D">
      <w:pPr>
        <w:pStyle w:val="Heading3"/>
      </w:pPr>
      <w:r>
        <w:t>Overview of the Accounting Standard</w:t>
      </w:r>
    </w:p>
    <w:p w14:paraId="3E927C76" w14:textId="024BC3B9" w:rsidR="00A30A30" w:rsidRDefault="00A30A30" w:rsidP="00A30A30">
      <w:pPr>
        <w:pStyle w:val="NoNumPlain1"/>
      </w:pPr>
      <w:r>
        <w:t>This Standard amends</w:t>
      </w:r>
      <w:r w:rsidR="00FE5BE6">
        <w:t xml:space="preserve"> </w:t>
      </w:r>
      <w:r>
        <w:t xml:space="preserve">Australian Accounting Standards </w:t>
      </w:r>
      <w:r w:rsidRPr="001574A3">
        <w:t xml:space="preserve">AASB 7 </w:t>
      </w:r>
      <w:r w:rsidRPr="001574A3">
        <w:rPr>
          <w:i/>
          <w:iCs/>
        </w:rPr>
        <w:t xml:space="preserve">Financial Instruments: Disclosures </w:t>
      </w:r>
      <w:r w:rsidRPr="001574A3">
        <w:t xml:space="preserve">(August 2015), AASB 9 </w:t>
      </w:r>
      <w:r w:rsidRPr="001574A3">
        <w:rPr>
          <w:i/>
          <w:iCs/>
        </w:rPr>
        <w:t>Financial Instruments</w:t>
      </w:r>
      <w:r w:rsidRPr="001574A3">
        <w:t xml:space="preserve"> (August 2015) and AASB 139 </w:t>
      </w:r>
      <w:r w:rsidRPr="001574A3">
        <w:rPr>
          <w:i/>
          <w:iCs/>
        </w:rPr>
        <w:t>Financial Instruments: Recognition and Measurement</w:t>
      </w:r>
      <w:r w:rsidRPr="001574A3">
        <w:t xml:space="preserve"> (August 2015).</w:t>
      </w:r>
    </w:p>
    <w:p w14:paraId="621146E2" w14:textId="594A7B17" w:rsidR="00A30A30" w:rsidRDefault="00A30A30" w:rsidP="00A30A30">
      <w:pPr>
        <w:spacing w:after="200"/>
      </w:pPr>
      <w:r w:rsidRPr="001574A3">
        <w:t xml:space="preserve">The Standard amends AASB 7, AASB 9 and AASB 139 to modify some specific hedge accounting requirements to provide relief from </w:t>
      </w:r>
      <w:r w:rsidR="004E4D5A">
        <w:t xml:space="preserve">the </w:t>
      </w:r>
      <w:r w:rsidRPr="001574A3">
        <w:t xml:space="preserve">potential effects of the uncertainty caused by the interest rate benchmark reform. In addition, the amendments require entities to provide additional information about their hedging relationships </w:t>
      </w:r>
      <w:r w:rsidR="004E4D5A">
        <w:t>that</w:t>
      </w:r>
      <w:r w:rsidRPr="001574A3">
        <w:t xml:space="preserve"> are directly affected by these uncertainties</w:t>
      </w:r>
      <w:r>
        <w:t>.</w:t>
      </w:r>
    </w:p>
    <w:p w14:paraId="57C175B2" w14:textId="5201AFCB" w:rsidR="00A90A3D" w:rsidRDefault="00A90A3D" w:rsidP="00A30A30">
      <w:pPr>
        <w:pStyle w:val="Heading3"/>
      </w:pPr>
      <w:r>
        <w:t>Human Rights Implications</w:t>
      </w:r>
    </w:p>
    <w:p w14:paraId="33CD0B7A" w14:textId="77777777" w:rsidR="00A90A3D" w:rsidRDefault="00F62F5C" w:rsidP="00C068D8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</w:t>
      </w:r>
      <w:r>
        <w:t xml:space="preserve">is issued by the AASB in furtherance of the objective of facilitating the Australian economy.  It </w:t>
      </w:r>
      <w:r w:rsidRPr="00E4135E">
        <w:t xml:space="preserve">does not </w:t>
      </w:r>
      <w:r>
        <w:t xml:space="preserve">diminish or limit </w:t>
      </w:r>
      <w:r w:rsidRPr="00E4135E">
        <w:t xml:space="preserve">any of the applicable </w:t>
      </w:r>
      <w:r>
        <w:t xml:space="preserve">human </w:t>
      </w:r>
      <w:r w:rsidRPr="00E4135E">
        <w:t>rights or freedoms</w:t>
      </w:r>
      <w:r>
        <w:t>, and thus does not raise any human rights issues</w:t>
      </w:r>
      <w:r w:rsidRPr="00E4135E">
        <w:t>.</w:t>
      </w:r>
    </w:p>
    <w:p w14:paraId="5C3E0AAE" w14:textId="77777777" w:rsidR="00F62F5C" w:rsidRDefault="00F62F5C" w:rsidP="00F62F5C">
      <w:pPr>
        <w:pStyle w:val="Heading3"/>
      </w:pPr>
      <w:r>
        <w:t>Conclusion</w:t>
      </w:r>
    </w:p>
    <w:p w14:paraId="532C9A5D" w14:textId="77777777" w:rsidR="00CD0A54" w:rsidRDefault="00CD0A54" w:rsidP="00C068D8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is compatible with the human rights and freedoms recognised or declared in the international instruments listed in section 3 of the </w:t>
      </w:r>
      <w:r w:rsidRPr="00E4135E">
        <w:rPr>
          <w:i/>
        </w:rPr>
        <w:t>Human Rights (Parliamentary Scrutiny) Act 2011</w:t>
      </w:r>
      <w:r w:rsidRPr="00E4135E">
        <w:t>.</w:t>
      </w:r>
    </w:p>
    <w:p w14:paraId="712AC3DD" w14:textId="77777777" w:rsidR="00F62F5C" w:rsidRDefault="00F62F5C" w:rsidP="00C068D8">
      <w:pPr>
        <w:pStyle w:val="NoNumPlain1"/>
      </w:pPr>
    </w:p>
    <w:sectPr w:rsidR="00F62F5C" w:rsidSect="00B93CE4">
      <w:headerReference w:type="even" r:id="rId13"/>
      <w:footerReference w:type="default" r:id="rId14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8A0DA" w14:textId="77777777" w:rsidR="0086289C" w:rsidRDefault="0086289C">
      <w:r>
        <w:separator/>
      </w:r>
    </w:p>
  </w:endnote>
  <w:endnote w:type="continuationSeparator" w:id="0">
    <w:p w14:paraId="455E4247" w14:textId="77777777" w:rsidR="0086289C" w:rsidRDefault="0086289C">
      <w:r>
        <w:continuationSeparator/>
      </w:r>
    </w:p>
  </w:endnote>
  <w:endnote w:type="continuationNotice" w:id="1">
    <w:p w14:paraId="3C6A22D7" w14:textId="77777777" w:rsidR="0086289C" w:rsidRDefault="008628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B101" w14:textId="408CFB0D" w:rsidR="006B1B4A" w:rsidRDefault="006B1B4A" w:rsidP="00B93CE4">
    <w:pPr>
      <w:pStyle w:val="Footer"/>
      <w:tabs>
        <w:tab w:val="clear" w:pos="3119"/>
        <w:tab w:val="clear" w:pos="6237"/>
        <w:tab w:val="center" w:pos="4820"/>
        <w:tab w:val="right" w:pos="9639"/>
      </w:tabs>
      <w:rPr>
        <w:b/>
      </w:rPr>
    </w:pPr>
    <w:r>
      <w:rPr>
        <w:b/>
      </w:rPr>
      <w:t>A</w:t>
    </w:r>
    <w:r w:rsidR="00C068D8">
      <w:rPr>
        <w:b/>
      </w:rPr>
      <w:t xml:space="preserve">ASB </w:t>
    </w:r>
    <w:r w:rsidR="000B3A72">
      <w:rPr>
        <w:b/>
      </w:rPr>
      <w:t>2019-3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AB2137">
      <w:rPr>
        <w:noProof/>
      </w:rPr>
      <w:t>2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31D7" w14:textId="77777777" w:rsidR="0086289C" w:rsidRDefault="0086289C">
      <w:r>
        <w:separator/>
      </w:r>
    </w:p>
  </w:footnote>
  <w:footnote w:type="continuationSeparator" w:id="0">
    <w:p w14:paraId="658FB043" w14:textId="77777777" w:rsidR="0086289C" w:rsidRDefault="0086289C">
      <w:r>
        <w:continuationSeparator/>
      </w:r>
    </w:p>
  </w:footnote>
  <w:footnote w:type="continuationNotice" w:id="1">
    <w:p w14:paraId="7B009A40" w14:textId="77777777" w:rsidR="0086289C" w:rsidRDefault="008628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60C9" w14:textId="77777777" w:rsidR="006B1B4A" w:rsidRPr="00B259A2" w:rsidRDefault="006B1B4A" w:rsidP="00B25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A85FF" w14:textId="77777777" w:rsidR="006B1B4A" w:rsidRDefault="006B1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 w15:restartNumberingAfterBreak="0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 fillcolor="white">
      <v:fill color="white"/>
      <o:colormru v:ext="edit" colors="#ddd,silver,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C8"/>
    <w:rsid w:val="000018C8"/>
    <w:rsid w:val="00005371"/>
    <w:rsid w:val="0001484E"/>
    <w:rsid w:val="00031DBC"/>
    <w:rsid w:val="0004439B"/>
    <w:rsid w:val="00044898"/>
    <w:rsid w:val="00055755"/>
    <w:rsid w:val="000623C8"/>
    <w:rsid w:val="00075626"/>
    <w:rsid w:val="00080331"/>
    <w:rsid w:val="0008234F"/>
    <w:rsid w:val="0008242C"/>
    <w:rsid w:val="00085B62"/>
    <w:rsid w:val="00090D77"/>
    <w:rsid w:val="000920D3"/>
    <w:rsid w:val="000936C7"/>
    <w:rsid w:val="000A2A30"/>
    <w:rsid w:val="000B3A72"/>
    <w:rsid w:val="000D41A4"/>
    <w:rsid w:val="000D428B"/>
    <w:rsid w:val="000E04E9"/>
    <w:rsid w:val="000E6E09"/>
    <w:rsid w:val="000E7F81"/>
    <w:rsid w:val="000F281A"/>
    <w:rsid w:val="000F2911"/>
    <w:rsid w:val="000F4C2A"/>
    <w:rsid w:val="00111680"/>
    <w:rsid w:val="00117E4E"/>
    <w:rsid w:val="001218DE"/>
    <w:rsid w:val="00121C54"/>
    <w:rsid w:val="0012730F"/>
    <w:rsid w:val="00131465"/>
    <w:rsid w:val="00131C3F"/>
    <w:rsid w:val="00144CC0"/>
    <w:rsid w:val="0015670A"/>
    <w:rsid w:val="001574A3"/>
    <w:rsid w:val="001639EB"/>
    <w:rsid w:val="001A3883"/>
    <w:rsid w:val="001A3A3D"/>
    <w:rsid w:val="001D1FFA"/>
    <w:rsid w:val="001D7DA0"/>
    <w:rsid w:val="001E0872"/>
    <w:rsid w:val="001E0EA2"/>
    <w:rsid w:val="001E4107"/>
    <w:rsid w:val="001F3ED4"/>
    <w:rsid w:val="00200047"/>
    <w:rsid w:val="0020218F"/>
    <w:rsid w:val="0020261B"/>
    <w:rsid w:val="00206A47"/>
    <w:rsid w:val="00225101"/>
    <w:rsid w:val="00230E6D"/>
    <w:rsid w:val="0023104C"/>
    <w:rsid w:val="00236896"/>
    <w:rsid w:val="00237809"/>
    <w:rsid w:val="00243728"/>
    <w:rsid w:val="00267D86"/>
    <w:rsid w:val="0027445E"/>
    <w:rsid w:val="00284D8D"/>
    <w:rsid w:val="002D6D7A"/>
    <w:rsid w:val="002E14A5"/>
    <w:rsid w:val="002E6E68"/>
    <w:rsid w:val="002F1A2E"/>
    <w:rsid w:val="002F724F"/>
    <w:rsid w:val="00304E9C"/>
    <w:rsid w:val="0032467B"/>
    <w:rsid w:val="003329B8"/>
    <w:rsid w:val="00347521"/>
    <w:rsid w:val="00352568"/>
    <w:rsid w:val="0035730D"/>
    <w:rsid w:val="00361D4A"/>
    <w:rsid w:val="00384832"/>
    <w:rsid w:val="00385E62"/>
    <w:rsid w:val="0039164A"/>
    <w:rsid w:val="00391DC5"/>
    <w:rsid w:val="00396BCD"/>
    <w:rsid w:val="003A5EC1"/>
    <w:rsid w:val="003E04D5"/>
    <w:rsid w:val="003E715D"/>
    <w:rsid w:val="003E74B9"/>
    <w:rsid w:val="00404AD6"/>
    <w:rsid w:val="00414BC3"/>
    <w:rsid w:val="00416FE6"/>
    <w:rsid w:val="004179BF"/>
    <w:rsid w:val="004209B2"/>
    <w:rsid w:val="00422DE3"/>
    <w:rsid w:val="00423609"/>
    <w:rsid w:val="00442527"/>
    <w:rsid w:val="00443ED9"/>
    <w:rsid w:val="00457DCC"/>
    <w:rsid w:val="00493DD4"/>
    <w:rsid w:val="004A06E0"/>
    <w:rsid w:val="004A78A4"/>
    <w:rsid w:val="004B3420"/>
    <w:rsid w:val="004C1746"/>
    <w:rsid w:val="004C62D2"/>
    <w:rsid w:val="004D249D"/>
    <w:rsid w:val="004D2BDB"/>
    <w:rsid w:val="004E4D5A"/>
    <w:rsid w:val="00512F90"/>
    <w:rsid w:val="00520E9E"/>
    <w:rsid w:val="00526DA0"/>
    <w:rsid w:val="00540E70"/>
    <w:rsid w:val="00565477"/>
    <w:rsid w:val="00574C5C"/>
    <w:rsid w:val="005B238F"/>
    <w:rsid w:val="005B6EE8"/>
    <w:rsid w:val="005B7BB7"/>
    <w:rsid w:val="005C6DC5"/>
    <w:rsid w:val="005E2BBE"/>
    <w:rsid w:val="005F0581"/>
    <w:rsid w:val="005F1173"/>
    <w:rsid w:val="005F3AA4"/>
    <w:rsid w:val="005F4451"/>
    <w:rsid w:val="006104FA"/>
    <w:rsid w:val="00616B47"/>
    <w:rsid w:val="00626AC2"/>
    <w:rsid w:val="00635FA2"/>
    <w:rsid w:val="006628B2"/>
    <w:rsid w:val="00666164"/>
    <w:rsid w:val="0067195B"/>
    <w:rsid w:val="00672100"/>
    <w:rsid w:val="006776BD"/>
    <w:rsid w:val="00684668"/>
    <w:rsid w:val="00686B7C"/>
    <w:rsid w:val="006A01D2"/>
    <w:rsid w:val="006A0C7C"/>
    <w:rsid w:val="006A2A04"/>
    <w:rsid w:val="006A56D8"/>
    <w:rsid w:val="006B1B4A"/>
    <w:rsid w:val="006C34F1"/>
    <w:rsid w:val="006C39D1"/>
    <w:rsid w:val="006C5EB8"/>
    <w:rsid w:val="006D5858"/>
    <w:rsid w:val="006D6B35"/>
    <w:rsid w:val="006E6C9B"/>
    <w:rsid w:val="006F217C"/>
    <w:rsid w:val="006F46DE"/>
    <w:rsid w:val="00705CB2"/>
    <w:rsid w:val="00711664"/>
    <w:rsid w:val="00717627"/>
    <w:rsid w:val="00720919"/>
    <w:rsid w:val="00721152"/>
    <w:rsid w:val="007231BD"/>
    <w:rsid w:val="007261ED"/>
    <w:rsid w:val="007322D6"/>
    <w:rsid w:val="007328C0"/>
    <w:rsid w:val="00736FE7"/>
    <w:rsid w:val="00741AD2"/>
    <w:rsid w:val="00751DDF"/>
    <w:rsid w:val="00755B4C"/>
    <w:rsid w:val="00755D8C"/>
    <w:rsid w:val="007676C0"/>
    <w:rsid w:val="00781C08"/>
    <w:rsid w:val="00783BEC"/>
    <w:rsid w:val="00787825"/>
    <w:rsid w:val="00791279"/>
    <w:rsid w:val="007B02E3"/>
    <w:rsid w:val="007B3132"/>
    <w:rsid w:val="007B323F"/>
    <w:rsid w:val="007B539D"/>
    <w:rsid w:val="007C13D0"/>
    <w:rsid w:val="007C1E39"/>
    <w:rsid w:val="007C2A76"/>
    <w:rsid w:val="007C2B04"/>
    <w:rsid w:val="007E548A"/>
    <w:rsid w:val="007F4E20"/>
    <w:rsid w:val="00802C2B"/>
    <w:rsid w:val="00822659"/>
    <w:rsid w:val="0082668C"/>
    <w:rsid w:val="00826FE1"/>
    <w:rsid w:val="008377FF"/>
    <w:rsid w:val="00843BF6"/>
    <w:rsid w:val="00854BCD"/>
    <w:rsid w:val="00861618"/>
    <w:rsid w:val="0086289C"/>
    <w:rsid w:val="00863F03"/>
    <w:rsid w:val="00881A41"/>
    <w:rsid w:val="00881EC6"/>
    <w:rsid w:val="0089073B"/>
    <w:rsid w:val="00896AE0"/>
    <w:rsid w:val="008A09A4"/>
    <w:rsid w:val="008B63BA"/>
    <w:rsid w:val="008B66C2"/>
    <w:rsid w:val="008C00EE"/>
    <w:rsid w:val="008C5B82"/>
    <w:rsid w:val="008C6501"/>
    <w:rsid w:val="008D3E1A"/>
    <w:rsid w:val="008E4294"/>
    <w:rsid w:val="008F344A"/>
    <w:rsid w:val="00916B64"/>
    <w:rsid w:val="00916D5E"/>
    <w:rsid w:val="00930915"/>
    <w:rsid w:val="00936AD7"/>
    <w:rsid w:val="009839D3"/>
    <w:rsid w:val="009A0B47"/>
    <w:rsid w:val="009C5C89"/>
    <w:rsid w:val="009D5CEF"/>
    <w:rsid w:val="009D6119"/>
    <w:rsid w:val="00A07B58"/>
    <w:rsid w:val="00A14C37"/>
    <w:rsid w:val="00A30A30"/>
    <w:rsid w:val="00A33757"/>
    <w:rsid w:val="00A41EF3"/>
    <w:rsid w:val="00A46379"/>
    <w:rsid w:val="00A61CB2"/>
    <w:rsid w:val="00A8344C"/>
    <w:rsid w:val="00A90590"/>
    <w:rsid w:val="00A90A3D"/>
    <w:rsid w:val="00A92FFA"/>
    <w:rsid w:val="00A9484D"/>
    <w:rsid w:val="00A94F2A"/>
    <w:rsid w:val="00A97B77"/>
    <w:rsid w:val="00AB2137"/>
    <w:rsid w:val="00AB61AB"/>
    <w:rsid w:val="00AC2063"/>
    <w:rsid w:val="00AC2CA9"/>
    <w:rsid w:val="00AD44F9"/>
    <w:rsid w:val="00AE1F8A"/>
    <w:rsid w:val="00AE3464"/>
    <w:rsid w:val="00AE71D1"/>
    <w:rsid w:val="00AF7122"/>
    <w:rsid w:val="00B00C1B"/>
    <w:rsid w:val="00B10A0A"/>
    <w:rsid w:val="00B10AB1"/>
    <w:rsid w:val="00B127B5"/>
    <w:rsid w:val="00B223A3"/>
    <w:rsid w:val="00B259A2"/>
    <w:rsid w:val="00B25CF3"/>
    <w:rsid w:val="00B44EFA"/>
    <w:rsid w:val="00B50A3C"/>
    <w:rsid w:val="00B5196B"/>
    <w:rsid w:val="00B64D4A"/>
    <w:rsid w:val="00B67434"/>
    <w:rsid w:val="00B81972"/>
    <w:rsid w:val="00B85DBC"/>
    <w:rsid w:val="00B864F5"/>
    <w:rsid w:val="00B93CE4"/>
    <w:rsid w:val="00BB2459"/>
    <w:rsid w:val="00BD0B5B"/>
    <w:rsid w:val="00BE66D4"/>
    <w:rsid w:val="00C068D8"/>
    <w:rsid w:val="00C119CC"/>
    <w:rsid w:val="00C11DB3"/>
    <w:rsid w:val="00C14CCB"/>
    <w:rsid w:val="00C21F45"/>
    <w:rsid w:val="00C35A20"/>
    <w:rsid w:val="00C546C0"/>
    <w:rsid w:val="00C57520"/>
    <w:rsid w:val="00C61FC9"/>
    <w:rsid w:val="00C634BB"/>
    <w:rsid w:val="00C661A8"/>
    <w:rsid w:val="00C80CE0"/>
    <w:rsid w:val="00C82A8C"/>
    <w:rsid w:val="00CA20FA"/>
    <w:rsid w:val="00CA518E"/>
    <w:rsid w:val="00CB74B0"/>
    <w:rsid w:val="00CC546B"/>
    <w:rsid w:val="00CC7E3C"/>
    <w:rsid w:val="00CD0A54"/>
    <w:rsid w:val="00CD50A4"/>
    <w:rsid w:val="00CF4D2F"/>
    <w:rsid w:val="00CF72F6"/>
    <w:rsid w:val="00D03547"/>
    <w:rsid w:val="00D07B39"/>
    <w:rsid w:val="00D24634"/>
    <w:rsid w:val="00D27E14"/>
    <w:rsid w:val="00D32B39"/>
    <w:rsid w:val="00D40502"/>
    <w:rsid w:val="00D429C8"/>
    <w:rsid w:val="00D43163"/>
    <w:rsid w:val="00D5323B"/>
    <w:rsid w:val="00D572F5"/>
    <w:rsid w:val="00D67C43"/>
    <w:rsid w:val="00D71916"/>
    <w:rsid w:val="00D71B35"/>
    <w:rsid w:val="00D850DE"/>
    <w:rsid w:val="00DA2E07"/>
    <w:rsid w:val="00DB5798"/>
    <w:rsid w:val="00DD0D86"/>
    <w:rsid w:val="00DD1167"/>
    <w:rsid w:val="00DD3FDF"/>
    <w:rsid w:val="00DE2BF2"/>
    <w:rsid w:val="00DF13BF"/>
    <w:rsid w:val="00E00D64"/>
    <w:rsid w:val="00E079C1"/>
    <w:rsid w:val="00E11F07"/>
    <w:rsid w:val="00E1658F"/>
    <w:rsid w:val="00E34411"/>
    <w:rsid w:val="00E41E4F"/>
    <w:rsid w:val="00E4487C"/>
    <w:rsid w:val="00E578F2"/>
    <w:rsid w:val="00E770E5"/>
    <w:rsid w:val="00E7777B"/>
    <w:rsid w:val="00E80A41"/>
    <w:rsid w:val="00EA0280"/>
    <w:rsid w:val="00EA0A87"/>
    <w:rsid w:val="00EA56FD"/>
    <w:rsid w:val="00EE0DF8"/>
    <w:rsid w:val="00F041AA"/>
    <w:rsid w:val="00F04EBC"/>
    <w:rsid w:val="00F12DF8"/>
    <w:rsid w:val="00F23826"/>
    <w:rsid w:val="00F23FEF"/>
    <w:rsid w:val="00F41BEF"/>
    <w:rsid w:val="00F62F5C"/>
    <w:rsid w:val="00F63F3B"/>
    <w:rsid w:val="00F71510"/>
    <w:rsid w:val="00F720C6"/>
    <w:rsid w:val="00F81F26"/>
    <w:rsid w:val="00F8246A"/>
    <w:rsid w:val="00FA30CB"/>
    <w:rsid w:val="00FA7C5C"/>
    <w:rsid w:val="00FB0CFC"/>
    <w:rsid w:val="00FC6232"/>
    <w:rsid w:val="00FD4C0C"/>
    <w:rsid w:val="00FE5BE6"/>
    <w:rsid w:val="00FF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  <w14:docId w14:val="5D0049BA"/>
  <w15:docId w15:val="{23A95B3B-6B7F-4241-911D-CBC35240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CoverSubtitle">
    <w:name w:val="Cover Subtitle"/>
    <w:basedOn w:val="CoverTitle"/>
    <w:rsid w:val="006776BD"/>
    <w:rPr>
      <w:sz w:val="40"/>
      <w:szCs w:val="40"/>
    </w:rPr>
  </w:style>
  <w:style w:type="character" w:styleId="CommentReference">
    <w:name w:val="annotation reference"/>
    <w:basedOn w:val="DefaultParagraphFont"/>
    <w:semiHidden/>
    <w:unhideWhenUsed/>
    <w:rsid w:val="008907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073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8907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0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7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339FA69B11245AD281B0E2B3FC488" ma:contentTypeVersion="11" ma:contentTypeDescription="Create a new document." ma:contentTypeScope="" ma:versionID="b210083834865384f7270d33f03c1eff">
  <xsd:schema xmlns:xsd="http://www.w3.org/2001/XMLSchema" xmlns:xs="http://www.w3.org/2001/XMLSchema" xmlns:p="http://schemas.microsoft.com/office/2006/metadata/properties" xmlns:ns3="080c8875-fd1d-42a4-ba7f-5e50bd24bc11" xmlns:ns4="88d128d4-b6a7-479b-8f9f-a864f02efd2a" targetNamespace="http://schemas.microsoft.com/office/2006/metadata/properties" ma:root="true" ma:fieldsID="dba6098da064c02ff8e1ec7b037e7e83" ns3:_="" ns4:_="">
    <xsd:import namespace="080c8875-fd1d-42a4-ba7f-5e50bd24bc11"/>
    <xsd:import namespace="88d128d4-b6a7-479b-8f9f-a864f02ef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8875-fd1d-42a4-ba7f-5e50bd24b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28d4-b6a7-479b-8f9f-a864f02ef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3050B-0EC7-430D-B7E3-89CC7673C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E1629-C0A6-4817-A3EA-9C7FEF0F7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8875-fd1d-42a4-ba7f-5e50bd24bc11"/>
    <ds:schemaRef ds:uri="88d128d4-b6a7-479b-8f9f-a864f02ef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0EC13-3252-4F97-AAB9-54FEFDBFCD75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8d128d4-b6a7-479b-8f9f-a864f02efd2a"/>
    <ds:schemaRef ds:uri="080c8875-fd1d-42a4-ba7f-5e50bd24b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AASB2019-3_ES_10-19</vt:lpstr>
    </vt:vector>
  </TitlesOfParts>
  <Company>AASB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AASB2019-3_ES_10-19</dc:title>
  <dc:creator>.</dc:creator>
  <cp:lastModifiedBy>Kathleen John</cp:lastModifiedBy>
  <cp:revision>3</cp:revision>
  <cp:lastPrinted>2019-10-17T01:38:00Z</cp:lastPrinted>
  <dcterms:created xsi:type="dcterms:W3CDTF">2019-10-17T01:33:00Z</dcterms:created>
  <dcterms:modified xsi:type="dcterms:W3CDTF">2019-10-17T01:38:00Z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0x010100B5B339FA69B11245AD281B0E2B3FC488</vt:lpwstr>
  </property>
</Properties>
</file>