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82EC7" w14:textId="77777777" w:rsidR="005C07E5" w:rsidRPr="00FD2348" w:rsidRDefault="005C07E5">
      <w:pPr>
        <w:pStyle w:val="Heading1"/>
        <w:spacing w:line="360" w:lineRule="auto"/>
      </w:pPr>
      <w:r w:rsidRPr="00FD2348">
        <w:t>EXPLANATORY STATEMENT</w:t>
      </w:r>
    </w:p>
    <w:p w14:paraId="03C771DF" w14:textId="77777777" w:rsidR="001D091B" w:rsidRPr="00FD2348" w:rsidRDefault="001D091B" w:rsidP="001D091B">
      <w:pPr>
        <w:pStyle w:val="Heading2"/>
        <w:spacing w:before="120" w:after="360" w:line="360" w:lineRule="auto"/>
        <w:ind w:left="0" w:firstLine="0"/>
      </w:pPr>
      <w:r w:rsidRPr="00FD2348">
        <w:rPr>
          <w:i/>
        </w:rPr>
        <w:t>Migration Act 1958</w:t>
      </w:r>
    </w:p>
    <w:p w14:paraId="156828DE" w14:textId="1BA57FE1" w:rsidR="001D091B" w:rsidRPr="00FD2348" w:rsidRDefault="00FD2348" w:rsidP="001D091B">
      <w:pPr>
        <w:spacing w:after="120" w:line="360" w:lineRule="auto"/>
        <w:ind w:hanging="23"/>
        <w:jc w:val="center"/>
        <w:rPr>
          <w:i/>
          <w:sz w:val="24"/>
        </w:rPr>
      </w:pPr>
      <w:r w:rsidRPr="00FD2348">
        <w:rPr>
          <w:b/>
          <w:sz w:val="24"/>
        </w:rPr>
        <w:t xml:space="preserve">Migration (LIN 19/268: Period, </w:t>
      </w:r>
      <w:r w:rsidR="002A7B40">
        <w:rPr>
          <w:b/>
          <w:sz w:val="24"/>
        </w:rPr>
        <w:t>M</w:t>
      </w:r>
      <w:r w:rsidRPr="00FD2348">
        <w:rPr>
          <w:b/>
          <w:sz w:val="24"/>
        </w:rPr>
        <w:t xml:space="preserve">anner and </w:t>
      </w:r>
      <w:r w:rsidR="002A7B40">
        <w:rPr>
          <w:b/>
          <w:sz w:val="24"/>
        </w:rPr>
        <w:t>E</w:t>
      </w:r>
      <w:r w:rsidRPr="00FD2348">
        <w:rPr>
          <w:b/>
          <w:sz w:val="24"/>
        </w:rPr>
        <w:t xml:space="preserve">vidence of </w:t>
      </w:r>
      <w:r w:rsidR="002A7B40">
        <w:rPr>
          <w:b/>
          <w:sz w:val="24"/>
        </w:rPr>
        <w:t>L</w:t>
      </w:r>
      <w:r w:rsidRPr="00FD2348">
        <w:rPr>
          <w:b/>
          <w:sz w:val="24"/>
        </w:rPr>
        <w:t xml:space="preserve">abour </w:t>
      </w:r>
      <w:r w:rsidR="002A7B40">
        <w:rPr>
          <w:b/>
          <w:sz w:val="24"/>
        </w:rPr>
        <w:t>M</w:t>
      </w:r>
      <w:r w:rsidRPr="00FD2348">
        <w:rPr>
          <w:b/>
          <w:sz w:val="24"/>
        </w:rPr>
        <w:t xml:space="preserve">arket </w:t>
      </w:r>
      <w:r w:rsidR="002A7B40">
        <w:rPr>
          <w:b/>
          <w:sz w:val="24"/>
        </w:rPr>
        <w:t>T</w:t>
      </w:r>
      <w:r w:rsidRPr="00FD2348">
        <w:rPr>
          <w:b/>
          <w:sz w:val="24"/>
        </w:rPr>
        <w:t>esting) Amendment Instrument 2019</w:t>
      </w:r>
    </w:p>
    <w:p w14:paraId="57F4909B" w14:textId="5CAE25AE" w:rsidR="001D091B" w:rsidRPr="00FD2348" w:rsidRDefault="001D091B" w:rsidP="001D091B">
      <w:pPr>
        <w:spacing w:after="480" w:line="360" w:lineRule="auto"/>
        <w:ind w:hanging="23"/>
        <w:jc w:val="center"/>
        <w:rPr>
          <w:i/>
          <w:sz w:val="24"/>
        </w:rPr>
      </w:pPr>
      <w:r w:rsidRPr="00FD2348">
        <w:rPr>
          <w:i/>
          <w:sz w:val="24"/>
        </w:rPr>
        <w:t>(</w:t>
      </w:r>
      <w:proofErr w:type="gramStart"/>
      <w:r w:rsidR="003A3093">
        <w:rPr>
          <w:i/>
          <w:sz w:val="24"/>
        </w:rPr>
        <w:t>subsections</w:t>
      </w:r>
      <w:proofErr w:type="gramEnd"/>
      <w:r w:rsidR="003A3093">
        <w:rPr>
          <w:i/>
          <w:sz w:val="24"/>
        </w:rPr>
        <w:t xml:space="preserve"> 140GBA(4), (5) and</w:t>
      </w:r>
      <w:r w:rsidR="00FD2348" w:rsidRPr="00FD2348">
        <w:rPr>
          <w:i/>
          <w:sz w:val="24"/>
        </w:rPr>
        <w:t xml:space="preserve"> (6A)</w:t>
      </w:r>
      <w:r w:rsidRPr="00FD2348">
        <w:rPr>
          <w:i/>
          <w:sz w:val="24"/>
        </w:rPr>
        <w:t>)</w:t>
      </w:r>
    </w:p>
    <w:p w14:paraId="5C5C80D8" w14:textId="77777777" w:rsidR="00952690" w:rsidRPr="00952690" w:rsidRDefault="00AB5757" w:rsidP="00952690">
      <w:pPr>
        <w:numPr>
          <w:ilvl w:val="0"/>
          <w:numId w:val="9"/>
        </w:numPr>
        <w:spacing w:line="360" w:lineRule="auto"/>
        <w:ind w:left="567" w:hanging="567"/>
        <w:jc w:val="both"/>
        <w:rPr>
          <w:sz w:val="24"/>
        </w:rPr>
      </w:pPr>
      <w:r w:rsidRPr="00FD2348">
        <w:rPr>
          <w:sz w:val="24"/>
        </w:rPr>
        <w:t>The</w:t>
      </w:r>
      <w:r w:rsidR="00DB634D" w:rsidRPr="00FD2348">
        <w:rPr>
          <w:sz w:val="24"/>
        </w:rPr>
        <w:t xml:space="preserve"> i</w:t>
      </w:r>
      <w:r w:rsidR="001D091B" w:rsidRPr="00FD2348">
        <w:rPr>
          <w:sz w:val="24"/>
        </w:rPr>
        <w:t>nstrument</w:t>
      </w:r>
      <w:r w:rsidR="00DB634D" w:rsidRPr="00FD2348">
        <w:rPr>
          <w:sz w:val="24"/>
        </w:rPr>
        <w:t>,</w:t>
      </w:r>
      <w:r w:rsidR="001D091B" w:rsidRPr="00FD2348">
        <w:rPr>
          <w:sz w:val="24"/>
        </w:rPr>
        <w:t xml:space="preserve"> </w:t>
      </w:r>
      <w:r w:rsidR="00FD2348" w:rsidRPr="00FD2348">
        <w:rPr>
          <w:sz w:val="24"/>
        </w:rPr>
        <w:t>LIN 19/268</w:t>
      </w:r>
      <w:r w:rsidR="00DB634D" w:rsidRPr="00FD2348">
        <w:rPr>
          <w:sz w:val="24"/>
        </w:rPr>
        <w:t>,</w:t>
      </w:r>
      <w:r w:rsidR="001D091B" w:rsidRPr="00FD2348">
        <w:rPr>
          <w:sz w:val="24"/>
        </w:rPr>
        <w:t xml:space="preserve"> is made under </w:t>
      </w:r>
      <w:r w:rsidR="00FD2348" w:rsidRPr="0056083E">
        <w:rPr>
          <w:sz w:val="24"/>
        </w:rPr>
        <w:t xml:space="preserve">subsections </w:t>
      </w:r>
      <w:proofErr w:type="gramStart"/>
      <w:r w:rsidR="00FD2348" w:rsidRPr="0056083E">
        <w:rPr>
          <w:sz w:val="24"/>
        </w:rPr>
        <w:t>140GBA(</w:t>
      </w:r>
      <w:proofErr w:type="gramEnd"/>
      <w:r w:rsidR="00FD2348" w:rsidRPr="0056083E">
        <w:rPr>
          <w:sz w:val="24"/>
        </w:rPr>
        <w:t>4), (5) and  (6A)</w:t>
      </w:r>
      <w:r w:rsidR="001D091B" w:rsidRPr="00FD2348">
        <w:rPr>
          <w:sz w:val="24"/>
        </w:rPr>
        <w:t xml:space="preserve"> of the </w:t>
      </w:r>
      <w:r w:rsidR="001D091B" w:rsidRPr="00FD2348">
        <w:rPr>
          <w:i/>
          <w:sz w:val="24"/>
        </w:rPr>
        <w:t xml:space="preserve">Migration Act 1958 </w:t>
      </w:r>
      <w:r w:rsidR="001D091B" w:rsidRPr="00FD2348">
        <w:rPr>
          <w:sz w:val="24"/>
        </w:rPr>
        <w:t>(the Act</w:t>
      </w:r>
      <w:r w:rsidR="00FD2348" w:rsidRPr="00FD2348">
        <w:rPr>
          <w:sz w:val="24"/>
        </w:rPr>
        <w:t>)</w:t>
      </w:r>
      <w:r w:rsidR="001D091B" w:rsidRPr="00FD2348">
        <w:rPr>
          <w:sz w:val="24"/>
        </w:rPr>
        <w:t>.</w:t>
      </w:r>
    </w:p>
    <w:p w14:paraId="63C7C5F1" w14:textId="0181CF8D" w:rsidR="00952690" w:rsidRPr="00952690" w:rsidRDefault="00952690" w:rsidP="00231B41">
      <w:pPr>
        <w:numPr>
          <w:ilvl w:val="0"/>
          <w:numId w:val="9"/>
        </w:numPr>
        <w:spacing w:before="360" w:line="360" w:lineRule="auto"/>
        <w:ind w:left="567" w:hanging="567"/>
        <w:jc w:val="both"/>
        <w:rPr>
          <w:sz w:val="24"/>
        </w:rPr>
      </w:pPr>
      <w:r w:rsidRPr="00952690">
        <w:rPr>
          <w:sz w:val="24"/>
        </w:rPr>
        <w:t xml:space="preserve">The instrument </w:t>
      </w:r>
      <w:r w:rsidR="00A45665">
        <w:rPr>
          <w:sz w:val="24"/>
        </w:rPr>
        <w:t>amends</w:t>
      </w:r>
      <w:r w:rsidRPr="00952690">
        <w:rPr>
          <w:sz w:val="24"/>
        </w:rPr>
        <w:t xml:space="preserve"> </w:t>
      </w:r>
      <w:r w:rsidR="00D507FC" w:rsidRPr="00D507FC">
        <w:rPr>
          <w:i/>
          <w:sz w:val="24"/>
        </w:rPr>
        <w:t>Migration (LIN 18/036: Period, manner and evidence of labour market testing) Instrument 2018</w:t>
      </w:r>
      <w:r w:rsidRPr="00952690">
        <w:rPr>
          <w:sz w:val="24"/>
        </w:rPr>
        <w:t xml:space="preserve"> (</w:t>
      </w:r>
      <w:r w:rsidRPr="00952690">
        <w:rPr>
          <w:bCs/>
          <w:sz w:val="24"/>
        </w:rPr>
        <w:t>F2018L01108</w:t>
      </w:r>
      <w:r w:rsidRPr="00952690">
        <w:rPr>
          <w:sz w:val="24"/>
        </w:rPr>
        <w:t xml:space="preserve">) made under subsections </w:t>
      </w:r>
      <w:proofErr w:type="gramStart"/>
      <w:r w:rsidRPr="00952690">
        <w:rPr>
          <w:sz w:val="24"/>
        </w:rPr>
        <w:t>140GBA(</w:t>
      </w:r>
      <w:proofErr w:type="gramEnd"/>
      <w:r w:rsidRPr="00952690">
        <w:rPr>
          <w:sz w:val="24"/>
        </w:rPr>
        <w:t>4), 140G</w:t>
      </w:r>
      <w:r>
        <w:rPr>
          <w:sz w:val="24"/>
        </w:rPr>
        <w:t>BA(5) and 140GBA(6A) of the Act</w:t>
      </w:r>
      <w:r w:rsidRPr="00952690">
        <w:rPr>
          <w:sz w:val="24"/>
        </w:rPr>
        <w:t xml:space="preserve">, in accordance with subsection 33(3) of the </w:t>
      </w:r>
      <w:r w:rsidRPr="00952690">
        <w:rPr>
          <w:i/>
          <w:iCs/>
          <w:sz w:val="24"/>
        </w:rPr>
        <w:t xml:space="preserve">Acts Interpretation Act 1901 </w:t>
      </w:r>
      <w:r w:rsidRPr="00952690">
        <w:rPr>
          <w:sz w:val="24"/>
        </w:rPr>
        <w:t>(the AIA). S</w:t>
      </w:r>
      <w:bookmarkStart w:id="0" w:name="_GoBack"/>
      <w:bookmarkEnd w:id="0"/>
      <w:r w:rsidRPr="00952690">
        <w:rPr>
          <w:sz w:val="24"/>
        </w:rPr>
        <w:t xml:space="preserve">ubsection 33(3) of the AIA states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w:t>
      </w:r>
    </w:p>
    <w:p w14:paraId="0201A8D6" w14:textId="14A06D84" w:rsidR="001D091B" w:rsidRPr="00EF1768" w:rsidRDefault="00EF1768" w:rsidP="001D091B">
      <w:pPr>
        <w:numPr>
          <w:ilvl w:val="0"/>
          <w:numId w:val="9"/>
        </w:numPr>
        <w:spacing w:before="360" w:line="360" w:lineRule="auto"/>
        <w:ind w:left="567" w:hanging="567"/>
        <w:jc w:val="both"/>
        <w:rPr>
          <w:sz w:val="24"/>
        </w:rPr>
      </w:pPr>
      <w:r>
        <w:rPr>
          <w:sz w:val="24"/>
        </w:rPr>
        <w:t>LIN 18/036</w:t>
      </w:r>
      <w:r w:rsidRPr="00EF1768">
        <w:rPr>
          <w:sz w:val="24"/>
        </w:rPr>
        <w:t xml:space="preserve"> operates to determine the </w:t>
      </w:r>
      <w:r w:rsidR="004B3240">
        <w:rPr>
          <w:sz w:val="24"/>
        </w:rPr>
        <w:t xml:space="preserve">conditions and </w:t>
      </w:r>
      <w:r w:rsidRPr="00EF1768">
        <w:rPr>
          <w:sz w:val="24"/>
        </w:rPr>
        <w:t>evidence of labour</w:t>
      </w:r>
      <w:r w:rsidR="00124B3C">
        <w:rPr>
          <w:sz w:val="24"/>
        </w:rPr>
        <w:t xml:space="preserve"> market testing. In particular</w:t>
      </w:r>
      <w:r w:rsidRPr="00EF1768">
        <w:rPr>
          <w:sz w:val="24"/>
        </w:rPr>
        <w:t xml:space="preserve">, </w:t>
      </w:r>
      <w:r>
        <w:rPr>
          <w:sz w:val="24"/>
        </w:rPr>
        <w:t xml:space="preserve">LIN 18/036 </w:t>
      </w:r>
      <w:r w:rsidR="001D091B" w:rsidRPr="00EF1768">
        <w:rPr>
          <w:sz w:val="24"/>
        </w:rPr>
        <w:t xml:space="preserve">operates to </w:t>
      </w:r>
      <w:r w:rsidRPr="00EF1768">
        <w:rPr>
          <w:sz w:val="24"/>
        </w:rPr>
        <w:t>specify:</w:t>
      </w:r>
    </w:p>
    <w:p w14:paraId="14B6DE01" w14:textId="78B3A03E" w:rsidR="00EF1768" w:rsidRPr="00EF1768" w:rsidRDefault="004B3240" w:rsidP="00EF1768">
      <w:pPr>
        <w:numPr>
          <w:ilvl w:val="1"/>
          <w:numId w:val="9"/>
        </w:numPr>
        <w:spacing w:line="360" w:lineRule="auto"/>
        <w:ind w:left="1434" w:hanging="357"/>
        <w:jc w:val="both"/>
        <w:rPr>
          <w:sz w:val="24"/>
        </w:rPr>
      </w:pPr>
      <w:r>
        <w:rPr>
          <w:sz w:val="24"/>
        </w:rPr>
        <w:t xml:space="preserve">for the purposes of paragraph 140GBA(3)(a), </w:t>
      </w:r>
      <w:r w:rsidR="00EF1768" w:rsidRPr="00EF1768">
        <w:rPr>
          <w:sz w:val="24"/>
        </w:rPr>
        <w:t>the period within which labour market testing is required, in relation to a nominated occupation; and</w:t>
      </w:r>
    </w:p>
    <w:p w14:paraId="466F920D" w14:textId="0D5C2B8F" w:rsidR="00EF1768" w:rsidRPr="00EF1768" w:rsidRDefault="004B3240" w:rsidP="004B3240">
      <w:pPr>
        <w:numPr>
          <w:ilvl w:val="1"/>
          <w:numId w:val="9"/>
        </w:numPr>
        <w:spacing w:line="360" w:lineRule="auto"/>
        <w:jc w:val="both"/>
        <w:rPr>
          <w:sz w:val="24"/>
        </w:rPr>
      </w:pPr>
      <w:r w:rsidRPr="004B3240">
        <w:rPr>
          <w:sz w:val="24"/>
        </w:rPr>
        <w:t xml:space="preserve">for the purposes of paragraph 140GBA(3)(aa), </w:t>
      </w:r>
      <w:r w:rsidR="00EF1768" w:rsidRPr="00EF1768">
        <w:rPr>
          <w:sz w:val="24"/>
        </w:rPr>
        <w:t>the manner in which labour market testing is required to be undertaken, in relation to a nominated position; and</w:t>
      </w:r>
    </w:p>
    <w:p w14:paraId="4142C45B" w14:textId="77777777" w:rsidR="00EF1768" w:rsidRDefault="00EF1768" w:rsidP="00EF1768">
      <w:pPr>
        <w:numPr>
          <w:ilvl w:val="1"/>
          <w:numId w:val="9"/>
        </w:numPr>
        <w:spacing w:line="360" w:lineRule="auto"/>
        <w:ind w:left="1434" w:hanging="357"/>
        <w:jc w:val="both"/>
        <w:rPr>
          <w:sz w:val="24"/>
        </w:rPr>
      </w:pPr>
      <w:proofErr w:type="gramStart"/>
      <w:r w:rsidRPr="00EF1768">
        <w:rPr>
          <w:sz w:val="24"/>
        </w:rPr>
        <w:t>for</w:t>
      </w:r>
      <w:proofErr w:type="gramEnd"/>
      <w:r w:rsidRPr="00EF1768">
        <w:rPr>
          <w:sz w:val="24"/>
        </w:rPr>
        <w:t xml:space="preserve"> the purposes of subparagraph 140GBA(3)(b)(</w:t>
      </w:r>
      <w:proofErr w:type="spellStart"/>
      <w:r w:rsidRPr="00EF1768">
        <w:rPr>
          <w:sz w:val="24"/>
        </w:rPr>
        <w:t>i</w:t>
      </w:r>
      <w:proofErr w:type="spellEnd"/>
      <w:r w:rsidRPr="00EF1768">
        <w:rPr>
          <w:sz w:val="24"/>
        </w:rPr>
        <w:t>), the kinds of evidence that must accompany a nomination.</w:t>
      </w:r>
    </w:p>
    <w:p w14:paraId="3973A369" w14:textId="39FD6986" w:rsidR="00EF1768" w:rsidRDefault="00EF1768" w:rsidP="00EF1768">
      <w:pPr>
        <w:numPr>
          <w:ilvl w:val="0"/>
          <w:numId w:val="9"/>
        </w:numPr>
        <w:spacing w:before="360" w:line="360" w:lineRule="auto"/>
        <w:ind w:left="567" w:hanging="567"/>
        <w:jc w:val="both"/>
        <w:rPr>
          <w:sz w:val="24"/>
        </w:rPr>
      </w:pPr>
      <w:r>
        <w:rPr>
          <w:sz w:val="24"/>
        </w:rPr>
        <w:t xml:space="preserve">LIN 18/036 also specifies </w:t>
      </w:r>
      <w:r w:rsidR="005C3ECF" w:rsidRPr="005C3ECF">
        <w:rPr>
          <w:sz w:val="24"/>
        </w:rPr>
        <w:t>certain</w:t>
      </w:r>
      <w:r w:rsidR="00B97A83" w:rsidRPr="005C3ECF">
        <w:rPr>
          <w:sz w:val="24"/>
        </w:rPr>
        <w:t xml:space="preserve"> </w:t>
      </w:r>
      <w:r w:rsidRPr="005C3ECF">
        <w:rPr>
          <w:sz w:val="24"/>
        </w:rPr>
        <w:t>occupations</w:t>
      </w:r>
      <w:r>
        <w:rPr>
          <w:sz w:val="24"/>
        </w:rPr>
        <w:t xml:space="preserve"> and </w:t>
      </w:r>
      <w:r w:rsidRPr="005C3ECF">
        <w:rPr>
          <w:sz w:val="24"/>
        </w:rPr>
        <w:t>positions</w:t>
      </w:r>
      <w:r>
        <w:rPr>
          <w:sz w:val="24"/>
        </w:rPr>
        <w:t xml:space="preserve"> that are exempt from </w:t>
      </w:r>
      <w:r w:rsidR="0076792A">
        <w:rPr>
          <w:sz w:val="24"/>
        </w:rPr>
        <w:t xml:space="preserve">some of </w:t>
      </w:r>
      <w:r>
        <w:rPr>
          <w:sz w:val="24"/>
        </w:rPr>
        <w:t>th</w:t>
      </w:r>
      <w:r w:rsidR="0076792A">
        <w:rPr>
          <w:sz w:val="24"/>
        </w:rPr>
        <w:t>ose</w:t>
      </w:r>
      <w:r>
        <w:rPr>
          <w:sz w:val="24"/>
        </w:rPr>
        <w:t xml:space="preserve"> specified requirements</w:t>
      </w:r>
      <w:r w:rsidR="002D281A">
        <w:rPr>
          <w:sz w:val="24"/>
        </w:rPr>
        <w:t xml:space="preserve">, as </w:t>
      </w:r>
      <w:r>
        <w:rPr>
          <w:sz w:val="24"/>
        </w:rPr>
        <w:t xml:space="preserve">contained in the definitions of </w:t>
      </w:r>
      <w:r>
        <w:rPr>
          <w:b/>
          <w:i/>
          <w:sz w:val="24"/>
        </w:rPr>
        <w:t>select occupation</w:t>
      </w:r>
      <w:r>
        <w:rPr>
          <w:sz w:val="24"/>
        </w:rPr>
        <w:t xml:space="preserve"> and </w:t>
      </w:r>
      <w:r>
        <w:rPr>
          <w:b/>
          <w:i/>
          <w:sz w:val="24"/>
        </w:rPr>
        <w:t>select position</w:t>
      </w:r>
      <w:r>
        <w:rPr>
          <w:sz w:val="24"/>
        </w:rPr>
        <w:t xml:space="preserve"> in section 4 of LIN 18/036.</w:t>
      </w:r>
    </w:p>
    <w:p w14:paraId="5E05E817" w14:textId="0127E27B" w:rsidR="00A206F6" w:rsidRPr="00A206F6" w:rsidRDefault="00A206F6" w:rsidP="00A206F6">
      <w:pPr>
        <w:numPr>
          <w:ilvl w:val="0"/>
          <w:numId w:val="9"/>
        </w:numPr>
        <w:spacing w:before="360" w:line="360" w:lineRule="auto"/>
        <w:ind w:left="567" w:hanging="567"/>
        <w:jc w:val="both"/>
        <w:rPr>
          <w:sz w:val="24"/>
        </w:rPr>
      </w:pPr>
      <w:r w:rsidRPr="00A206F6">
        <w:rPr>
          <w:sz w:val="24"/>
        </w:rPr>
        <w:lastRenderedPageBreak/>
        <w:t>The</w:t>
      </w:r>
      <w:r w:rsidRPr="00A206F6">
        <w:rPr>
          <w:sz w:val="24"/>
          <w:szCs w:val="24"/>
        </w:rPr>
        <w:t xml:space="preserve"> purpose of this instrument is to address the changes to the Regulations by the </w:t>
      </w:r>
      <w:r w:rsidRPr="00A206F6">
        <w:rPr>
          <w:i/>
          <w:sz w:val="24"/>
          <w:szCs w:val="24"/>
        </w:rPr>
        <w:t>Migration Amendment (New Skilled Regional Visas) Regulations 2019</w:t>
      </w:r>
      <w:r w:rsidRPr="00A206F6">
        <w:rPr>
          <w:sz w:val="24"/>
          <w:szCs w:val="24"/>
        </w:rPr>
        <w:t>, which among other things, will introduce the Subclass 494 (Skilled Employer Sponsored Regional) (Provis</w:t>
      </w:r>
      <w:r>
        <w:rPr>
          <w:sz w:val="24"/>
          <w:szCs w:val="24"/>
        </w:rPr>
        <w:t xml:space="preserve">ional)) visa (Subclass 494 visa). The instrument </w:t>
      </w:r>
      <w:r w:rsidRPr="00A206F6">
        <w:rPr>
          <w:sz w:val="24"/>
          <w:szCs w:val="24"/>
        </w:rPr>
        <w:t>amend</w:t>
      </w:r>
      <w:r>
        <w:rPr>
          <w:sz w:val="24"/>
          <w:szCs w:val="24"/>
        </w:rPr>
        <w:t>s</w:t>
      </w:r>
      <w:r w:rsidRPr="00A206F6">
        <w:rPr>
          <w:sz w:val="24"/>
          <w:szCs w:val="24"/>
        </w:rPr>
        <w:t xml:space="preserve"> the current definitions of </w:t>
      </w:r>
      <w:r w:rsidRPr="00A206F6">
        <w:rPr>
          <w:b/>
          <w:i/>
          <w:sz w:val="24"/>
          <w:szCs w:val="24"/>
        </w:rPr>
        <w:t>select occupation</w:t>
      </w:r>
      <w:r w:rsidRPr="00A206F6">
        <w:rPr>
          <w:sz w:val="24"/>
          <w:szCs w:val="24"/>
        </w:rPr>
        <w:t xml:space="preserve"> and </w:t>
      </w:r>
      <w:r w:rsidRPr="00A206F6">
        <w:rPr>
          <w:b/>
          <w:i/>
          <w:sz w:val="24"/>
          <w:szCs w:val="24"/>
        </w:rPr>
        <w:t>select position</w:t>
      </w:r>
      <w:r w:rsidRPr="00A206F6">
        <w:rPr>
          <w:sz w:val="24"/>
          <w:szCs w:val="24"/>
        </w:rPr>
        <w:t xml:space="preserve"> in section 4 of LIN 18/036. </w:t>
      </w:r>
    </w:p>
    <w:p w14:paraId="2450D082" w14:textId="51BA574D" w:rsidR="00EF1768" w:rsidRPr="00ED6DEB" w:rsidRDefault="00D65127" w:rsidP="00A206F6">
      <w:pPr>
        <w:numPr>
          <w:ilvl w:val="0"/>
          <w:numId w:val="9"/>
        </w:numPr>
        <w:spacing w:before="360" w:line="360" w:lineRule="auto"/>
        <w:ind w:left="567" w:hanging="567"/>
        <w:jc w:val="both"/>
        <w:rPr>
          <w:sz w:val="24"/>
        </w:rPr>
      </w:pPr>
      <w:r w:rsidRPr="00A206F6">
        <w:rPr>
          <w:sz w:val="24"/>
          <w:szCs w:val="24"/>
        </w:rPr>
        <w:t>Specifically</w:t>
      </w:r>
      <w:r w:rsidRPr="00D65127">
        <w:rPr>
          <w:sz w:val="24"/>
        </w:rPr>
        <w:t xml:space="preserve">, it amends the definition of </w:t>
      </w:r>
      <w:r w:rsidRPr="0085276B">
        <w:rPr>
          <w:b/>
          <w:i/>
          <w:sz w:val="24"/>
        </w:rPr>
        <w:t>select occupation</w:t>
      </w:r>
      <w:r w:rsidRPr="00D65127">
        <w:rPr>
          <w:sz w:val="24"/>
        </w:rPr>
        <w:t xml:space="preserve"> to state that a nominated occupation is a </w:t>
      </w:r>
      <w:r w:rsidRPr="0085276B">
        <w:rPr>
          <w:b/>
          <w:i/>
          <w:sz w:val="24"/>
        </w:rPr>
        <w:t>select occupation</w:t>
      </w:r>
      <w:r w:rsidRPr="00D65127">
        <w:rPr>
          <w:sz w:val="24"/>
        </w:rPr>
        <w:t xml:space="preserve"> if the position associated with the occupation is a </w:t>
      </w:r>
      <w:r w:rsidRPr="0085276B">
        <w:rPr>
          <w:b/>
          <w:i/>
          <w:sz w:val="24"/>
        </w:rPr>
        <w:t>select position</w:t>
      </w:r>
      <w:r w:rsidRPr="00D65127">
        <w:rPr>
          <w:sz w:val="24"/>
        </w:rPr>
        <w:t xml:space="preserve">. This amendment is to ensure that the two definitions are closely aligned when changes are made to the definition of </w:t>
      </w:r>
      <w:r w:rsidRPr="0085276B">
        <w:rPr>
          <w:b/>
          <w:i/>
          <w:sz w:val="24"/>
        </w:rPr>
        <w:t>select position</w:t>
      </w:r>
      <w:r w:rsidRPr="00D65127">
        <w:rPr>
          <w:sz w:val="24"/>
        </w:rPr>
        <w:t>.</w:t>
      </w:r>
      <w:r w:rsidR="00A206F6">
        <w:rPr>
          <w:sz w:val="24"/>
        </w:rPr>
        <w:t xml:space="preserve"> </w:t>
      </w:r>
      <w:r w:rsidR="00A206F6" w:rsidRPr="00A206F6">
        <w:rPr>
          <w:sz w:val="24"/>
        </w:rPr>
        <w:t xml:space="preserve">It also amends </w:t>
      </w:r>
      <w:r w:rsidR="00715417">
        <w:rPr>
          <w:sz w:val="24"/>
        </w:rPr>
        <w:t xml:space="preserve">paragraph (c) of </w:t>
      </w:r>
      <w:r w:rsidR="00A206F6" w:rsidRPr="00A206F6">
        <w:rPr>
          <w:sz w:val="24"/>
        </w:rPr>
        <w:t xml:space="preserve">the current definition of </w:t>
      </w:r>
      <w:r w:rsidR="00A206F6" w:rsidRPr="00A206F6">
        <w:rPr>
          <w:b/>
          <w:i/>
          <w:sz w:val="24"/>
        </w:rPr>
        <w:t>select position</w:t>
      </w:r>
      <w:r w:rsidR="00A206F6" w:rsidRPr="00A206F6">
        <w:rPr>
          <w:sz w:val="24"/>
        </w:rPr>
        <w:t xml:space="preserve"> in section 4 of LIN 18/036 to include positions held by holders of a Subclass 494 visa.</w:t>
      </w:r>
    </w:p>
    <w:p w14:paraId="2D600AA7" w14:textId="77777777" w:rsidR="00A206F6" w:rsidRDefault="00A206F6" w:rsidP="00A206F6">
      <w:pPr>
        <w:numPr>
          <w:ilvl w:val="0"/>
          <w:numId w:val="9"/>
        </w:numPr>
        <w:spacing w:before="360" w:line="360" w:lineRule="auto"/>
        <w:ind w:left="567" w:hanging="567"/>
        <w:jc w:val="both"/>
        <w:rPr>
          <w:sz w:val="24"/>
          <w:szCs w:val="24"/>
        </w:rPr>
      </w:pPr>
      <w:r>
        <w:rPr>
          <w:sz w:val="24"/>
          <w:szCs w:val="24"/>
        </w:rPr>
        <w:t xml:space="preserve">The instrument </w:t>
      </w:r>
      <w:r w:rsidRPr="00A206F6">
        <w:rPr>
          <w:sz w:val="24"/>
          <w:szCs w:val="24"/>
        </w:rPr>
        <w:t>also clarifies the circumstances in which a standard business sponsor, or an associated entity of the standard business sponsor</w:t>
      </w:r>
      <w:r>
        <w:rPr>
          <w:sz w:val="24"/>
          <w:szCs w:val="24"/>
        </w:rPr>
        <w:t>,</w:t>
      </w:r>
      <w:r w:rsidRPr="00A206F6">
        <w:rPr>
          <w:sz w:val="24"/>
          <w:szCs w:val="24"/>
        </w:rPr>
        <w:t xml:space="preserve"> is considered exempt from meeting certain labou</w:t>
      </w:r>
      <w:r>
        <w:rPr>
          <w:sz w:val="24"/>
          <w:szCs w:val="24"/>
        </w:rPr>
        <w:t>r market testing requirements. The exemption will apply i</w:t>
      </w:r>
      <w:r w:rsidRPr="00A206F6">
        <w:rPr>
          <w:sz w:val="24"/>
          <w:szCs w:val="24"/>
        </w:rPr>
        <w:t>f</w:t>
      </w:r>
      <w:r>
        <w:rPr>
          <w:sz w:val="24"/>
          <w:szCs w:val="24"/>
        </w:rPr>
        <w:t>:</w:t>
      </w:r>
    </w:p>
    <w:p w14:paraId="2A12315A" w14:textId="77777777" w:rsidR="00A206F6" w:rsidRDefault="00A206F6" w:rsidP="00A206F6">
      <w:pPr>
        <w:numPr>
          <w:ilvl w:val="1"/>
          <w:numId w:val="9"/>
        </w:numPr>
        <w:spacing w:line="360" w:lineRule="auto"/>
        <w:ind w:left="1434" w:hanging="357"/>
        <w:jc w:val="both"/>
        <w:rPr>
          <w:sz w:val="24"/>
          <w:szCs w:val="24"/>
        </w:rPr>
      </w:pPr>
      <w:r w:rsidRPr="00A206F6">
        <w:rPr>
          <w:sz w:val="24"/>
          <w:szCs w:val="24"/>
        </w:rPr>
        <w:t xml:space="preserve">a </w:t>
      </w:r>
      <w:r w:rsidRPr="00A206F6">
        <w:rPr>
          <w:sz w:val="24"/>
        </w:rPr>
        <w:t>new</w:t>
      </w:r>
      <w:r w:rsidRPr="00A206F6">
        <w:rPr>
          <w:sz w:val="24"/>
          <w:szCs w:val="24"/>
        </w:rPr>
        <w:t xml:space="preserve"> nomination has been lodged in relation to a position held by </w:t>
      </w:r>
      <w:r>
        <w:rPr>
          <w:sz w:val="24"/>
          <w:szCs w:val="24"/>
        </w:rPr>
        <w:t>a holder</w:t>
      </w:r>
      <w:r w:rsidRPr="00A206F6">
        <w:rPr>
          <w:sz w:val="24"/>
          <w:szCs w:val="24"/>
        </w:rPr>
        <w:t xml:space="preserve"> of </w:t>
      </w:r>
      <w:r>
        <w:rPr>
          <w:sz w:val="24"/>
          <w:szCs w:val="24"/>
        </w:rPr>
        <w:t xml:space="preserve">a </w:t>
      </w:r>
      <w:r w:rsidRPr="00A206F6">
        <w:rPr>
          <w:sz w:val="24"/>
          <w:szCs w:val="24"/>
        </w:rPr>
        <w:t>Subclass 494 visa, Subclass 482 (Temporary Skill Shortage) visa or Subclass 457 (Temporary Work (Skilled)) visa</w:t>
      </w:r>
      <w:r>
        <w:rPr>
          <w:sz w:val="24"/>
          <w:szCs w:val="24"/>
        </w:rPr>
        <w:t>; and</w:t>
      </w:r>
    </w:p>
    <w:p w14:paraId="73CA2889" w14:textId="12DEE2FF" w:rsidR="00A206F6" w:rsidRDefault="00A206F6" w:rsidP="00A206F6">
      <w:pPr>
        <w:numPr>
          <w:ilvl w:val="1"/>
          <w:numId w:val="9"/>
        </w:numPr>
        <w:spacing w:line="360" w:lineRule="auto"/>
        <w:ind w:left="1434" w:hanging="357"/>
        <w:jc w:val="both"/>
        <w:rPr>
          <w:sz w:val="24"/>
          <w:szCs w:val="24"/>
        </w:rPr>
      </w:pPr>
      <w:proofErr w:type="gramStart"/>
      <w:r w:rsidRPr="00A206F6">
        <w:rPr>
          <w:sz w:val="24"/>
        </w:rPr>
        <w:t>that</w:t>
      </w:r>
      <w:proofErr w:type="gramEnd"/>
      <w:r>
        <w:rPr>
          <w:sz w:val="24"/>
          <w:szCs w:val="24"/>
        </w:rPr>
        <w:t xml:space="preserve"> nomination was lodged </w:t>
      </w:r>
      <w:r w:rsidRPr="00A206F6">
        <w:rPr>
          <w:sz w:val="24"/>
          <w:szCs w:val="24"/>
        </w:rPr>
        <w:t xml:space="preserve">solely because </w:t>
      </w:r>
      <w:r>
        <w:rPr>
          <w:sz w:val="24"/>
          <w:szCs w:val="24"/>
        </w:rPr>
        <w:t xml:space="preserve">the visa holder </w:t>
      </w:r>
      <w:r w:rsidRPr="00A206F6">
        <w:rPr>
          <w:sz w:val="24"/>
          <w:szCs w:val="24"/>
        </w:rPr>
        <w:t>is no longer employed b</w:t>
      </w:r>
      <w:r>
        <w:rPr>
          <w:sz w:val="24"/>
          <w:szCs w:val="24"/>
        </w:rPr>
        <w:t>y the standard business sponsor</w:t>
      </w:r>
      <w:r w:rsidRPr="00A206F6">
        <w:rPr>
          <w:sz w:val="24"/>
          <w:szCs w:val="24"/>
        </w:rPr>
        <w:t xml:space="preserve"> </w:t>
      </w:r>
      <w:r>
        <w:rPr>
          <w:sz w:val="24"/>
          <w:szCs w:val="24"/>
        </w:rPr>
        <w:t>(</w:t>
      </w:r>
      <w:r w:rsidRPr="00A206F6">
        <w:rPr>
          <w:sz w:val="24"/>
          <w:szCs w:val="24"/>
        </w:rPr>
        <w:t>or an associated entity of the sponsor</w:t>
      </w:r>
      <w:r>
        <w:rPr>
          <w:sz w:val="24"/>
          <w:szCs w:val="24"/>
        </w:rPr>
        <w:t>)</w:t>
      </w:r>
      <w:r w:rsidRPr="00A206F6">
        <w:rPr>
          <w:sz w:val="24"/>
          <w:szCs w:val="24"/>
        </w:rPr>
        <w:t xml:space="preserve"> due to</w:t>
      </w:r>
      <w:r>
        <w:rPr>
          <w:sz w:val="24"/>
          <w:szCs w:val="24"/>
        </w:rPr>
        <w:t xml:space="preserve"> a change in business structure.</w:t>
      </w:r>
    </w:p>
    <w:p w14:paraId="6CC112E7" w14:textId="31B1244B" w:rsidR="00952690" w:rsidRPr="006313B4" w:rsidRDefault="00952690" w:rsidP="00A206F6">
      <w:pPr>
        <w:numPr>
          <w:ilvl w:val="0"/>
          <w:numId w:val="9"/>
        </w:numPr>
        <w:spacing w:before="360" w:line="360" w:lineRule="auto"/>
        <w:ind w:left="567" w:hanging="567"/>
        <w:jc w:val="both"/>
        <w:rPr>
          <w:sz w:val="24"/>
          <w:szCs w:val="24"/>
        </w:rPr>
      </w:pPr>
      <w:r w:rsidRPr="006313B4">
        <w:rPr>
          <w:sz w:val="24"/>
          <w:szCs w:val="24"/>
        </w:rPr>
        <w:t>The subject of this instrument is part of a package introducing new regional visas designed to deliver a migration program that can respond more effectively to the needs of regional Australia. These changes will also assist with governmental priorities to attract highly skilled migrants to regional areas and ease population pressure in major cities.</w:t>
      </w:r>
    </w:p>
    <w:p w14:paraId="45FF141D" w14:textId="77777777" w:rsidR="00952690" w:rsidRPr="006313B4" w:rsidRDefault="00952690" w:rsidP="00952690">
      <w:pPr>
        <w:numPr>
          <w:ilvl w:val="0"/>
          <w:numId w:val="9"/>
        </w:numPr>
        <w:tabs>
          <w:tab w:val="left" w:pos="567"/>
        </w:tabs>
        <w:spacing w:before="360" w:line="360" w:lineRule="auto"/>
        <w:ind w:left="567" w:hanging="567"/>
        <w:jc w:val="both"/>
        <w:rPr>
          <w:sz w:val="24"/>
          <w:szCs w:val="24"/>
        </w:rPr>
      </w:pPr>
      <w:r w:rsidRPr="006313B4">
        <w:rPr>
          <w:sz w:val="24"/>
          <w:szCs w:val="24"/>
        </w:rPr>
        <w:t xml:space="preserve">Pursuant to the frequency and volume of the legislative amendments that are required to maintain a dynamic and responsive immigration </w:t>
      </w:r>
      <w:r>
        <w:rPr>
          <w:sz w:val="24"/>
          <w:szCs w:val="24"/>
        </w:rPr>
        <w:t>program</w:t>
      </w:r>
      <w:r w:rsidRPr="006313B4">
        <w:rPr>
          <w:sz w:val="24"/>
          <w:szCs w:val="24"/>
        </w:rPr>
        <w:t xml:space="preserve">, it has been a consistent practice to include certain criteria and conditions in delegated legislation. The criteria for the new </w:t>
      </w:r>
      <w:r>
        <w:rPr>
          <w:sz w:val="24"/>
          <w:szCs w:val="24"/>
        </w:rPr>
        <w:t>Subclass 494 visa</w:t>
      </w:r>
      <w:r w:rsidRPr="006313B4">
        <w:rPr>
          <w:sz w:val="24"/>
          <w:szCs w:val="24"/>
        </w:rPr>
        <w:t xml:space="preserve"> </w:t>
      </w:r>
      <w:r>
        <w:rPr>
          <w:sz w:val="24"/>
          <w:szCs w:val="24"/>
        </w:rPr>
        <w:t xml:space="preserve">has </w:t>
      </w:r>
      <w:r w:rsidRPr="006313B4">
        <w:rPr>
          <w:sz w:val="24"/>
          <w:szCs w:val="24"/>
        </w:rPr>
        <w:t>been included in delegated legislation rather than primary legislation to give the Government oversight and the ability to respond in a timely and transparent manner to emerging situations which may include changes in the labour market</w:t>
      </w:r>
      <w:r>
        <w:rPr>
          <w:sz w:val="24"/>
          <w:szCs w:val="24"/>
        </w:rPr>
        <w:t xml:space="preserve"> and the economy. In addition, i</w:t>
      </w:r>
      <w:r w:rsidRPr="006313B4">
        <w:rPr>
          <w:sz w:val="24"/>
          <w:szCs w:val="24"/>
        </w:rPr>
        <w:t xml:space="preserve">nstruments made under delegated legislation are </w:t>
      </w:r>
      <w:r w:rsidRPr="006313B4">
        <w:rPr>
          <w:sz w:val="24"/>
          <w:szCs w:val="24"/>
        </w:rPr>
        <w:lastRenderedPageBreak/>
        <w:t xml:space="preserve">subject to the scrutiny framework out in the </w:t>
      </w:r>
      <w:r w:rsidRPr="006313B4">
        <w:rPr>
          <w:i/>
          <w:iCs/>
          <w:sz w:val="24"/>
          <w:szCs w:val="24"/>
        </w:rPr>
        <w:t>Legislation Act 2003</w:t>
      </w:r>
      <w:r w:rsidRPr="006313B4">
        <w:rPr>
          <w:sz w:val="24"/>
          <w:szCs w:val="24"/>
        </w:rPr>
        <w:t>, and oversight of the amendments is available to the Parliament under the same legislation.</w:t>
      </w:r>
    </w:p>
    <w:p w14:paraId="65B38176" w14:textId="77777777" w:rsidR="00952690" w:rsidRPr="00952690" w:rsidRDefault="00952690" w:rsidP="00952690">
      <w:pPr>
        <w:numPr>
          <w:ilvl w:val="0"/>
          <w:numId w:val="9"/>
        </w:numPr>
        <w:tabs>
          <w:tab w:val="left" w:pos="567"/>
        </w:tabs>
        <w:spacing w:before="360" w:line="360" w:lineRule="auto"/>
        <w:ind w:left="567" w:hanging="567"/>
        <w:jc w:val="both"/>
        <w:rPr>
          <w:i/>
          <w:sz w:val="24"/>
          <w:szCs w:val="24"/>
        </w:rPr>
      </w:pPr>
      <w:r w:rsidRPr="00C222DC">
        <w:rPr>
          <w:sz w:val="24"/>
        </w:rPr>
        <w:t>Section</w:t>
      </w:r>
      <w:r w:rsidRPr="00C222DC">
        <w:rPr>
          <w:sz w:val="24"/>
          <w:szCs w:val="24"/>
        </w:rPr>
        <w:t xml:space="preserve"> 17 of the </w:t>
      </w:r>
      <w:r w:rsidRPr="00C222DC">
        <w:rPr>
          <w:i/>
          <w:iCs/>
          <w:sz w:val="24"/>
          <w:szCs w:val="24"/>
        </w:rPr>
        <w:t>Legislation Act 2003</w:t>
      </w:r>
      <w:r w:rsidRPr="00C222DC">
        <w:rPr>
          <w:sz w:val="24"/>
          <w:szCs w:val="24"/>
        </w:rPr>
        <w:t xml:space="preserve"> requires consultations which are appropriate and reasonably practicable to be undertaken. The following Commonwealth government agencies were consulted in relation to the instrument: the Department of the Prime Minister and Cabinet; the Department of Foreign Affairs and Trade; the Attorney</w:t>
      </w:r>
      <w:r w:rsidRPr="00C222DC">
        <w:rPr>
          <w:sz w:val="24"/>
          <w:szCs w:val="24"/>
        </w:rPr>
        <w:noBreakHyphen/>
        <w:t xml:space="preserve">General’s Department; the Department of the Treasury; the Department of Finance; the Department of Social Services; the Department of Education; the Department of Employment, Skills, Small and Family Business; the Department of Industry, Innovation and Science; the Department of Infrastructure, Transport, Cities and Regional Development; the Department of Health; and </w:t>
      </w:r>
      <w:r>
        <w:rPr>
          <w:sz w:val="24"/>
          <w:szCs w:val="24"/>
        </w:rPr>
        <w:t>the Department of Human Services</w:t>
      </w:r>
      <w:r w:rsidRPr="00C222DC">
        <w:rPr>
          <w:sz w:val="24"/>
          <w:szCs w:val="24"/>
        </w:rPr>
        <w:t>.</w:t>
      </w:r>
    </w:p>
    <w:p w14:paraId="327A7F68" w14:textId="77777777" w:rsidR="00193A68" w:rsidRPr="00D71FB9" w:rsidRDefault="00546F77" w:rsidP="00952690">
      <w:pPr>
        <w:numPr>
          <w:ilvl w:val="0"/>
          <w:numId w:val="9"/>
        </w:numPr>
        <w:tabs>
          <w:tab w:val="left" w:pos="567"/>
        </w:tabs>
        <w:spacing w:before="360" w:line="360" w:lineRule="auto"/>
        <w:ind w:left="567" w:hanging="567"/>
        <w:jc w:val="both"/>
        <w:rPr>
          <w:sz w:val="24"/>
          <w:szCs w:val="24"/>
        </w:rPr>
      </w:pPr>
      <w:r w:rsidRPr="00193A68">
        <w:rPr>
          <w:sz w:val="24"/>
          <w:szCs w:val="24"/>
        </w:rPr>
        <w:t xml:space="preserve">The Office of Best Practice Regulation </w:t>
      </w:r>
      <w:r w:rsidR="000D246E">
        <w:rPr>
          <w:sz w:val="24"/>
          <w:szCs w:val="24"/>
        </w:rPr>
        <w:t xml:space="preserve">(OBPR) </w:t>
      </w:r>
      <w:r w:rsidRPr="00193A68">
        <w:rPr>
          <w:sz w:val="24"/>
          <w:szCs w:val="24"/>
        </w:rPr>
        <w:t>has advised that a Regulat</w:t>
      </w:r>
      <w:r w:rsidR="00911D5A" w:rsidRPr="00193A68">
        <w:rPr>
          <w:sz w:val="24"/>
          <w:szCs w:val="24"/>
        </w:rPr>
        <w:t>ory</w:t>
      </w:r>
      <w:r w:rsidRPr="00193A68">
        <w:rPr>
          <w:sz w:val="24"/>
          <w:szCs w:val="24"/>
        </w:rPr>
        <w:t xml:space="preserve"> Impact Statement </w:t>
      </w:r>
      <w:r w:rsidRPr="00D71FB9">
        <w:rPr>
          <w:sz w:val="24"/>
          <w:szCs w:val="24"/>
        </w:rPr>
        <w:t>is</w:t>
      </w:r>
      <w:r w:rsidRPr="00193A68">
        <w:rPr>
          <w:sz w:val="24"/>
          <w:szCs w:val="24"/>
        </w:rPr>
        <w:t xml:space="preserve"> </w:t>
      </w:r>
      <w:r w:rsidRPr="00D71FB9">
        <w:rPr>
          <w:sz w:val="24"/>
          <w:szCs w:val="24"/>
        </w:rPr>
        <w:t>not</w:t>
      </w:r>
      <w:r w:rsidRPr="00193A68">
        <w:rPr>
          <w:sz w:val="24"/>
          <w:szCs w:val="24"/>
        </w:rPr>
        <w:t xml:space="preserve"> required (OBPR Reference </w:t>
      </w:r>
      <w:r w:rsidR="00D71FB9" w:rsidRPr="00D71FB9">
        <w:rPr>
          <w:sz w:val="24"/>
          <w:szCs w:val="24"/>
        </w:rPr>
        <w:t>25045</w:t>
      </w:r>
      <w:r w:rsidRPr="00D71FB9">
        <w:rPr>
          <w:sz w:val="24"/>
          <w:szCs w:val="24"/>
        </w:rPr>
        <w:t>)</w:t>
      </w:r>
      <w:r w:rsidR="000B29BF" w:rsidRPr="00D71FB9">
        <w:rPr>
          <w:sz w:val="24"/>
          <w:szCs w:val="24"/>
        </w:rPr>
        <w:t>.</w:t>
      </w:r>
    </w:p>
    <w:p w14:paraId="20769612" w14:textId="22B8C2F5" w:rsidR="00FD2348" w:rsidRPr="00A04D3B" w:rsidRDefault="002A06A8" w:rsidP="00FD2348">
      <w:pPr>
        <w:numPr>
          <w:ilvl w:val="0"/>
          <w:numId w:val="9"/>
        </w:numPr>
        <w:tabs>
          <w:tab w:val="left" w:pos="567"/>
        </w:tabs>
        <w:spacing w:before="360" w:line="360" w:lineRule="auto"/>
        <w:ind w:left="567" w:hanging="567"/>
        <w:jc w:val="both"/>
        <w:rPr>
          <w:i/>
          <w:sz w:val="24"/>
          <w:szCs w:val="24"/>
        </w:rPr>
      </w:pPr>
      <w:r w:rsidRPr="00A04D3B">
        <w:rPr>
          <w:sz w:val="24"/>
          <w:szCs w:val="24"/>
        </w:rPr>
        <w:t xml:space="preserve">Under </w:t>
      </w:r>
      <w:r w:rsidR="00155299">
        <w:rPr>
          <w:sz w:val="24"/>
          <w:szCs w:val="24"/>
        </w:rPr>
        <w:t xml:space="preserve">paragraph (a) of </w:t>
      </w:r>
      <w:r w:rsidR="002D281A">
        <w:rPr>
          <w:sz w:val="24"/>
          <w:szCs w:val="24"/>
        </w:rPr>
        <w:t xml:space="preserve">item 20 </w:t>
      </w:r>
      <w:r w:rsidR="00155299">
        <w:rPr>
          <w:sz w:val="24"/>
          <w:szCs w:val="24"/>
        </w:rPr>
        <w:t xml:space="preserve">of the table in </w:t>
      </w:r>
      <w:r w:rsidRPr="00A04D3B">
        <w:rPr>
          <w:sz w:val="24"/>
          <w:szCs w:val="24"/>
        </w:rPr>
        <w:t xml:space="preserve">section 10 of the </w:t>
      </w:r>
      <w:r w:rsidRPr="00A04D3B">
        <w:rPr>
          <w:i/>
          <w:sz w:val="24"/>
          <w:szCs w:val="24"/>
        </w:rPr>
        <w:t>Legislation (Exemptions and Other Matters) Regulation 2015</w:t>
      </w:r>
      <w:r w:rsidRPr="00A04D3B">
        <w:rPr>
          <w:sz w:val="24"/>
          <w:szCs w:val="24"/>
        </w:rPr>
        <w:t xml:space="preserve">, the </w:t>
      </w:r>
      <w:r w:rsidR="005F686B" w:rsidRPr="00A04D3B">
        <w:rPr>
          <w:sz w:val="24"/>
          <w:szCs w:val="24"/>
        </w:rPr>
        <w:t>i</w:t>
      </w:r>
      <w:r w:rsidRPr="00A04D3B">
        <w:rPr>
          <w:sz w:val="24"/>
          <w:szCs w:val="24"/>
        </w:rPr>
        <w:t>nstrument is exempt from disallowance and therefore a Statement of Compatibility with Human Rights is not required.</w:t>
      </w:r>
    </w:p>
    <w:p w14:paraId="0067E97D" w14:textId="77777777" w:rsidR="005C07E5" w:rsidRPr="00A04D3B" w:rsidRDefault="00A04D3B" w:rsidP="00A04D3B">
      <w:pPr>
        <w:numPr>
          <w:ilvl w:val="0"/>
          <w:numId w:val="9"/>
        </w:numPr>
        <w:spacing w:before="360" w:line="360" w:lineRule="auto"/>
        <w:ind w:left="567" w:hanging="567"/>
        <w:jc w:val="both"/>
        <w:rPr>
          <w:sz w:val="24"/>
          <w:szCs w:val="24"/>
        </w:rPr>
      </w:pPr>
      <w:r w:rsidRPr="00103A9A">
        <w:rPr>
          <w:sz w:val="24"/>
        </w:rPr>
        <w:t>The</w:t>
      </w:r>
      <w:r w:rsidRPr="00103A9A">
        <w:rPr>
          <w:sz w:val="24"/>
          <w:szCs w:val="24"/>
        </w:rPr>
        <w:t xml:space="preserve"> instrument commences at the same time as the commencement of Schedule 2 to the </w:t>
      </w:r>
      <w:r w:rsidRPr="00103A9A">
        <w:rPr>
          <w:i/>
          <w:sz w:val="24"/>
          <w:szCs w:val="24"/>
        </w:rPr>
        <w:t>Migration Amendment (New Skilled Regional Visas) Regulations 2019</w:t>
      </w:r>
      <w:r w:rsidRPr="00103A9A">
        <w:rPr>
          <w:sz w:val="24"/>
          <w:szCs w:val="24"/>
        </w:rPr>
        <w:t>.</w:t>
      </w:r>
    </w:p>
    <w:sectPr w:rsidR="005C07E5" w:rsidRPr="00A04D3B" w:rsidSect="00C85D16">
      <w:headerReference w:type="default" r:id="rId7"/>
      <w:pgSz w:w="11906" w:h="16838"/>
      <w:pgMar w:top="1560" w:right="1416" w:bottom="1134" w:left="1418" w:header="426"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AB9F9" w14:textId="77777777" w:rsidR="00F21AD8" w:rsidRDefault="00F21AD8">
      <w:r>
        <w:separator/>
      </w:r>
    </w:p>
  </w:endnote>
  <w:endnote w:type="continuationSeparator" w:id="0">
    <w:p w14:paraId="6323B416" w14:textId="77777777" w:rsidR="00F21AD8" w:rsidRDefault="00F2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05BC1" w14:textId="77777777" w:rsidR="00F21AD8" w:rsidRDefault="00F21AD8">
      <w:r>
        <w:separator/>
      </w:r>
    </w:p>
  </w:footnote>
  <w:footnote w:type="continuationSeparator" w:id="0">
    <w:p w14:paraId="7B39442B" w14:textId="77777777" w:rsidR="00F21AD8" w:rsidRDefault="00F21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01C7D" w14:textId="294D6038" w:rsidR="001D091B" w:rsidRPr="006C22B0" w:rsidRDefault="00FD2348" w:rsidP="001D091B">
    <w:pPr>
      <w:pStyle w:val="Header"/>
      <w:jc w:val="right"/>
      <w:rPr>
        <w:rFonts w:ascii="Times New Roman" w:hAnsi="Times New Roman"/>
        <w:sz w:val="22"/>
        <w:szCs w:val="22"/>
      </w:rPr>
    </w:pPr>
    <w:r>
      <w:rPr>
        <w:rFonts w:ascii="Times New Roman" w:hAnsi="Times New Roman"/>
        <w:sz w:val="22"/>
        <w:szCs w:val="22"/>
      </w:rPr>
      <w:t>LIN 19/268</w:t>
    </w:r>
  </w:p>
  <w:p w14:paraId="1A81CF7D" w14:textId="77777777" w:rsidR="00546F77" w:rsidRPr="001D091B" w:rsidRDefault="00546F77" w:rsidP="001D0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1FFC"/>
    <w:multiLevelType w:val="hybridMultilevel"/>
    <w:tmpl w:val="40A20E04"/>
    <w:lvl w:ilvl="0" w:tplc="0C09000F">
      <w:start w:val="1"/>
      <w:numFmt w:val="decimal"/>
      <w:lvlText w:val="%1."/>
      <w:lvlJc w:val="left"/>
      <w:pPr>
        <w:tabs>
          <w:tab w:val="num" w:pos="720"/>
        </w:tabs>
        <w:ind w:left="720" w:hanging="360"/>
      </w:pPr>
    </w:lvl>
    <w:lvl w:ilvl="1" w:tplc="FFB2E388">
      <w:start w:val="1"/>
      <w:numFmt w:val="lowerLetter"/>
      <w:lvlText w:val="%2."/>
      <w:lvlJc w:val="left"/>
      <w:pPr>
        <w:tabs>
          <w:tab w:val="num" w:pos="1440"/>
        </w:tabs>
        <w:ind w:left="1440" w:hanging="360"/>
      </w:pPr>
      <w:rPr>
        <w:rFonts w:hint="default"/>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E532FA0"/>
    <w:multiLevelType w:val="multilevel"/>
    <w:tmpl w:val="688402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0F3EB4"/>
    <w:multiLevelType w:val="hybridMultilevel"/>
    <w:tmpl w:val="5D18D96A"/>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75B3044"/>
    <w:multiLevelType w:val="hybridMultilevel"/>
    <w:tmpl w:val="070E1FB8"/>
    <w:lvl w:ilvl="0" w:tplc="EEB68044">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0C0A8D"/>
    <w:multiLevelType w:val="hybridMultilevel"/>
    <w:tmpl w:val="038C5F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6A4E24"/>
    <w:multiLevelType w:val="hybridMultilevel"/>
    <w:tmpl w:val="F20AF5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730128"/>
    <w:multiLevelType w:val="hybridMultilevel"/>
    <w:tmpl w:val="FC4EDDB6"/>
    <w:lvl w:ilvl="0" w:tplc="0C09000F">
      <w:start w:val="1"/>
      <w:numFmt w:val="decimal"/>
      <w:lvlText w:val="%1."/>
      <w:lvlJc w:val="left"/>
      <w:pPr>
        <w:tabs>
          <w:tab w:val="num" w:pos="698"/>
        </w:tabs>
        <w:ind w:left="698" w:hanging="360"/>
      </w:pPr>
    </w:lvl>
    <w:lvl w:ilvl="1" w:tplc="0C090019" w:tentative="1">
      <w:start w:val="1"/>
      <w:numFmt w:val="lowerLetter"/>
      <w:lvlText w:val="%2."/>
      <w:lvlJc w:val="left"/>
      <w:pPr>
        <w:tabs>
          <w:tab w:val="num" w:pos="1418"/>
        </w:tabs>
        <w:ind w:left="1418" w:hanging="360"/>
      </w:pPr>
    </w:lvl>
    <w:lvl w:ilvl="2" w:tplc="0C09001B" w:tentative="1">
      <w:start w:val="1"/>
      <w:numFmt w:val="lowerRoman"/>
      <w:lvlText w:val="%3."/>
      <w:lvlJc w:val="right"/>
      <w:pPr>
        <w:tabs>
          <w:tab w:val="num" w:pos="2138"/>
        </w:tabs>
        <w:ind w:left="2138" w:hanging="180"/>
      </w:pPr>
    </w:lvl>
    <w:lvl w:ilvl="3" w:tplc="0C09000F" w:tentative="1">
      <w:start w:val="1"/>
      <w:numFmt w:val="decimal"/>
      <w:lvlText w:val="%4."/>
      <w:lvlJc w:val="left"/>
      <w:pPr>
        <w:tabs>
          <w:tab w:val="num" w:pos="2858"/>
        </w:tabs>
        <w:ind w:left="2858" w:hanging="360"/>
      </w:pPr>
    </w:lvl>
    <w:lvl w:ilvl="4" w:tplc="0C090019" w:tentative="1">
      <w:start w:val="1"/>
      <w:numFmt w:val="lowerLetter"/>
      <w:lvlText w:val="%5."/>
      <w:lvlJc w:val="left"/>
      <w:pPr>
        <w:tabs>
          <w:tab w:val="num" w:pos="3578"/>
        </w:tabs>
        <w:ind w:left="3578" w:hanging="360"/>
      </w:pPr>
    </w:lvl>
    <w:lvl w:ilvl="5" w:tplc="0C09001B" w:tentative="1">
      <w:start w:val="1"/>
      <w:numFmt w:val="lowerRoman"/>
      <w:lvlText w:val="%6."/>
      <w:lvlJc w:val="right"/>
      <w:pPr>
        <w:tabs>
          <w:tab w:val="num" w:pos="4298"/>
        </w:tabs>
        <w:ind w:left="4298" w:hanging="180"/>
      </w:pPr>
    </w:lvl>
    <w:lvl w:ilvl="6" w:tplc="0C09000F" w:tentative="1">
      <w:start w:val="1"/>
      <w:numFmt w:val="decimal"/>
      <w:lvlText w:val="%7."/>
      <w:lvlJc w:val="left"/>
      <w:pPr>
        <w:tabs>
          <w:tab w:val="num" w:pos="5018"/>
        </w:tabs>
        <w:ind w:left="5018" w:hanging="360"/>
      </w:pPr>
    </w:lvl>
    <w:lvl w:ilvl="7" w:tplc="0C090019" w:tentative="1">
      <w:start w:val="1"/>
      <w:numFmt w:val="lowerLetter"/>
      <w:lvlText w:val="%8."/>
      <w:lvlJc w:val="left"/>
      <w:pPr>
        <w:tabs>
          <w:tab w:val="num" w:pos="5738"/>
        </w:tabs>
        <w:ind w:left="5738" w:hanging="360"/>
      </w:pPr>
    </w:lvl>
    <w:lvl w:ilvl="8" w:tplc="0C09001B" w:tentative="1">
      <w:start w:val="1"/>
      <w:numFmt w:val="lowerRoman"/>
      <w:lvlText w:val="%9."/>
      <w:lvlJc w:val="right"/>
      <w:pPr>
        <w:tabs>
          <w:tab w:val="num" w:pos="6458"/>
        </w:tabs>
        <w:ind w:left="6458" w:hanging="180"/>
      </w:pPr>
    </w:lvl>
  </w:abstractNum>
  <w:abstractNum w:abstractNumId="7" w15:restartNumberingAfterBreak="0">
    <w:nsid w:val="4E513158"/>
    <w:multiLevelType w:val="hybridMultilevel"/>
    <w:tmpl w:val="99ACD52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1D92E6A"/>
    <w:multiLevelType w:val="hybridMultilevel"/>
    <w:tmpl w:val="A1E8D5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8D7949"/>
    <w:multiLevelType w:val="hybridMultilevel"/>
    <w:tmpl w:val="8DC07B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3CE1E26"/>
    <w:multiLevelType w:val="hybridMultilevel"/>
    <w:tmpl w:val="85048458"/>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 w15:restartNumberingAfterBreak="0">
    <w:nsid w:val="6CB7796A"/>
    <w:multiLevelType w:val="singleLevel"/>
    <w:tmpl w:val="3E6ACC2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F2D692E"/>
    <w:multiLevelType w:val="hybridMultilevel"/>
    <w:tmpl w:val="A42E21F4"/>
    <w:lvl w:ilvl="0" w:tplc="0C090019">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F619F9"/>
    <w:multiLevelType w:val="hybridMultilevel"/>
    <w:tmpl w:val="53D68F3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D69723E"/>
    <w:multiLevelType w:val="singleLevel"/>
    <w:tmpl w:val="0ED8E5EC"/>
    <w:lvl w:ilvl="0">
      <w:start w:val="4"/>
      <w:numFmt w:val="decimal"/>
      <w:lvlText w:val="(%1)"/>
      <w:lvlJc w:val="left"/>
      <w:pPr>
        <w:tabs>
          <w:tab w:val="num" w:pos="720"/>
        </w:tabs>
        <w:ind w:left="720" w:hanging="720"/>
      </w:pPr>
      <w:rPr>
        <w:rFonts w:hint="default"/>
      </w:rPr>
    </w:lvl>
  </w:abstractNum>
  <w:num w:numId="1">
    <w:abstractNumId w:val="14"/>
  </w:num>
  <w:num w:numId="2">
    <w:abstractNumId w:val="11"/>
  </w:num>
  <w:num w:numId="3">
    <w:abstractNumId w:val="6"/>
  </w:num>
  <w:num w:numId="4">
    <w:abstractNumId w:val="0"/>
  </w:num>
  <w:num w:numId="5">
    <w:abstractNumId w:val="1"/>
  </w:num>
  <w:num w:numId="6">
    <w:abstractNumId w:val="7"/>
  </w:num>
  <w:num w:numId="7">
    <w:abstractNumId w:val="12"/>
  </w:num>
  <w:num w:numId="8">
    <w:abstractNumId w:val="2"/>
  </w:num>
  <w:num w:numId="9">
    <w:abstractNumId w:val="3"/>
  </w:num>
  <w:num w:numId="10">
    <w:abstractNumId w:val="10"/>
  </w:num>
  <w:num w:numId="11">
    <w:abstractNumId w:val="9"/>
  </w:num>
  <w:num w:numId="12">
    <w:abstractNumId w:val="8"/>
  </w:num>
  <w:num w:numId="13">
    <w:abstractNumId w:val="13"/>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D6A"/>
    <w:rsid w:val="00005DC2"/>
    <w:rsid w:val="00012DE8"/>
    <w:rsid w:val="00025B5D"/>
    <w:rsid w:val="000371B3"/>
    <w:rsid w:val="0008110A"/>
    <w:rsid w:val="000904AF"/>
    <w:rsid w:val="000B29BF"/>
    <w:rsid w:val="000D1E10"/>
    <w:rsid w:val="000D246E"/>
    <w:rsid w:val="000D6E8E"/>
    <w:rsid w:val="000E442C"/>
    <w:rsid w:val="000F0A84"/>
    <w:rsid w:val="000F4BFC"/>
    <w:rsid w:val="00110AC0"/>
    <w:rsid w:val="00115919"/>
    <w:rsid w:val="00124B3C"/>
    <w:rsid w:val="00155299"/>
    <w:rsid w:val="00162BD5"/>
    <w:rsid w:val="001841F7"/>
    <w:rsid w:val="00193A68"/>
    <w:rsid w:val="001C5BF3"/>
    <w:rsid w:val="001D091B"/>
    <w:rsid w:val="001D0DD5"/>
    <w:rsid w:val="001D2FBD"/>
    <w:rsid w:val="001E219C"/>
    <w:rsid w:val="001F04E7"/>
    <w:rsid w:val="001F3A41"/>
    <w:rsid w:val="001F4EC7"/>
    <w:rsid w:val="00215DF3"/>
    <w:rsid w:val="00231B41"/>
    <w:rsid w:val="00231FFD"/>
    <w:rsid w:val="00236827"/>
    <w:rsid w:val="00244AA0"/>
    <w:rsid w:val="002537E4"/>
    <w:rsid w:val="00253CAF"/>
    <w:rsid w:val="0026747D"/>
    <w:rsid w:val="0027119B"/>
    <w:rsid w:val="002A06A8"/>
    <w:rsid w:val="002A7B40"/>
    <w:rsid w:val="002B7AF6"/>
    <w:rsid w:val="002C1AFB"/>
    <w:rsid w:val="002C53C4"/>
    <w:rsid w:val="002D281A"/>
    <w:rsid w:val="00302251"/>
    <w:rsid w:val="00330F55"/>
    <w:rsid w:val="003348B8"/>
    <w:rsid w:val="0036537A"/>
    <w:rsid w:val="00397982"/>
    <w:rsid w:val="003A3093"/>
    <w:rsid w:val="003A53F3"/>
    <w:rsid w:val="003C5137"/>
    <w:rsid w:val="00417400"/>
    <w:rsid w:val="00430906"/>
    <w:rsid w:val="00465BCD"/>
    <w:rsid w:val="00474812"/>
    <w:rsid w:val="00475D5B"/>
    <w:rsid w:val="004B3240"/>
    <w:rsid w:val="004C4B3E"/>
    <w:rsid w:val="004C6E73"/>
    <w:rsid w:val="004D6A29"/>
    <w:rsid w:val="004F5740"/>
    <w:rsid w:val="00542D46"/>
    <w:rsid w:val="00546F77"/>
    <w:rsid w:val="00554524"/>
    <w:rsid w:val="0056083E"/>
    <w:rsid w:val="00567814"/>
    <w:rsid w:val="005B2BF1"/>
    <w:rsid w:val="005C07E5"/>
    <w:rsid w:val="005C3ECF"/>
    <w:rsid w:val="005E22A3"/>
    <w:rsid w:val="005F686B"/>
    <w:rsid w:val="00610658"/>
    <w:rsid w:val="006146DA"/>
    <w:rsid w:val="00641022"/>
    <w:rsid w:val="0064639B"/>
    <w:rsid w:val="00671004"/>
    <w:rsid w:val="006A58C8"/>
    <w:rsid w:val="006C1428"/>
    <w:rsid w:val="006C22B0"/>
    <w:rsid w:val="006C4709"/>
    <w:rsid w:val="006C508E"/>
    <w:rsid w:val="0070010D"/>
    <w:rsid w:val="007030F4"/>
    <w:rsid w:val="0071413D"/>
    <w:rsid w:val="00715417"/>
    <w:rsid w:val="00715E24"/>
    <w:rsid w:val="007369BE"/>
    <w:rsid w:val="0076792A"/>
    <w:rsid w:val="007A678D"/>
    <w:rsid w:val="007D59D0"/>
    <w:rsid w:val="007E0AFF"/>
    <w:rsid w:val="0082787B"/>
    <w:rsid w:val="00843107"/>
    <w:rsid w:val="0085276B"/>
    <w:rsid w:val="00854256"/>
    <w:rsid w:val="008712E0"/>
    <w:rsid w:val="008C3954"/>
    <w:rsid w:val="00911D5A"/>
    <w:rsid w:val="0094678B"/>
    <w:rsid w:val="00952690"/>
    <w:rsid w:val="00987948"/>
    <w:rsid w:val="009B2428"/>
    <w:rsid w:val="009D0462"/>
    <w:rsid w:val="009E3B49"/>
    <w:rsid w:val="009F455E"/>
    <w:rsid w:val="00A03F71"/>
    <w:rsid w:val="00A04D3B"/>
    <w:rsid w:val="00A206F6"/>
    <w:rsid w:val="00A31178"/>
    <w:rsid w:val="00A31276"/>
    <w:rsid w:val="00A40F42"/>
    <w:rsid w:val="00A4261F"/>
    <w:rsid w:val="00A45665"/>
    <w:rsid w:val="00A905C6"/>
    <w:rsid w:val="00A9347E"/>
    <w:rsid w:val="00AB5757"/>
    <w:rsid w:val="00AD7531"/>
    <w:rsid w:val="00AE32B0"/>
    <w:rsid w:val="00AE3D02"/>
    <w:rsid w:val="00B202B4"/>
    <w:rsid w:val="00B70E55"/>
    <w:rsid w:val="00B95124"/>
    <w:rsid w:val="00B97255"/>
    <w:rsid w:val="00B97A83"/>
    <w:rsid w:val="00BC008B"/>
    <w:rsid w:val="00BE62F6"/>
    <w:rsid w:val="00BF2A49"/>
    <w:rsid w:val="00BF3D6A"/>
    <w:rsid w:val="00BF4868"/>
    <w:rsid w:val="00BF6A03"/>
    <w:rsid w:val="00C048BE"/>
    <w:rsid w:val="00C6050B"/>
    <w:rsid w:val="00C77094"/>
    <w:rsid w:val="00C85D16"/>
    <w:rsid w:val="00CB5977"/>
    <w:rsid w:val="00CD3E97"/>
    <w:rsid w:val="00D22275"/>
    <w:rsid w:val="00D263E5"/>
    <w:rsid w:val="00D331C5"/>
    <w:rsid w:val="00D507FC"/>
    <w:rsid w:val="00D60CC8"/>
    <w:rsid w:val="00D65127"/>
    <w:rsid w:val="00D71FB9"/>
    <w:rsid w:val="00D838FF"/>
    <w:rsid w:val="00D85646"/>
    <w:rsid w:val="00DA476A"/>
    <w:rsid w:val="00DA4B5B"/>
    <w:rsid w:val="00DB634D"/>
    <w:rsid w:val="00DC344E"/>
    <w:rsid w:val="00E1110E"/>
    <w:rsid w:val="00E2158B"/>
    <w:rsid w:val="00E3263F"/>
    <w:rsid w:val="00E3297D"/>
    <w:rsid w:val="00E32FDC"/>
    <w:rsid w:val="00E472C4"/>
    <w:rsid w:val="00E8404A"/>
    <w:rsid w:val="00EB14E8"/>
    <w:rsid w:val="00EC0201"/>
    <w:rsid w:val="00EC2CC3"/>
    <w:rsid w:val="00ED27C4"/>
    <w:rsid w:val="00ED6DEB"/>
    <w:rsid w:val="00EF1768"/>
    <w:rsid w:val="00EF4C7D"/>
    <w:rsid w:val="00F20E05"/>
    <w:rsid w:val="00F21AD8"/>
    <w:rsid w:val="00F336E2"/>
    <w:rsid w:val="00F64AC1"/>
    <w:rsid w:val="00F85B02"/>
    <w:rsid w:val="00FB4BEE"/>
    <w:rsid w:val="00FD2348"/>
    <w:rsid w:val="00FE0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88451D8"/>
  <w15:chartTrackingRefBased/>
  <w15:docId w15:val="{A39686E2-DC2C-4AA0-BB2E-986E4478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4"/>
      <w:u w:val="single"/>
    </w:rPr>
  </w:style>
  <w:style w:type="paragraph" w:styleId="Heading2">
    <w:name w:val="heading 2"/>
    <w:basedOn w:val="Normal"/>
    <w:next w:val="Normal"/>
    <w:qFormat/>
    <w:pPr>
      <w:keepNext/>
      <w:ind w:left="1440" w:hanging="1440"/>
      <w:jc w:val="center"/>
      <w:outlineLvl w:val="1"/>
    </w:pPr>
    <w:rPr>
      <w:sz w:val="24"/>
    </w:rPr>
  </w:style>
  <w:style w:type="paragraph" w:styleId="Heading3">
    <w:name w:val="heading 3"/>
    <w:basedOn w:val="Normal"/>
    <w:next w:val="Normal"/>
    <w:qFormat/>
    <w:pPr>
      <w:keepNext/>
      <w:ind w:left="1440" w:hanging="1440"/>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hanging="22"/>
      <w:jc w:val="both"/>
    </w:pPr>
    <w:rPr>
      <w:sz w:val="24"/>
    </w:rPr>
  </w:style>
  <w:style w:type="paragraph" w:styleId="BodyTextIndent2">
    <w:name w:val="Body Text Indent 2"/>
    <w:basedOn w:val="Normal"/>
    <w:pPr>
      <w:ind w:left="1134" w:hanging="1134"/>
      <w:jc w:val="both"/>
    </w:pPr>
    <w:rPr>
      <w:sz w:val="24"/>
    </w:rPr>
  </w:style>
  <w:style w:type="paragraph" w:styleId="BodyText">
    <w:name w:val="Body Text"/>
    <w:basedOn w:val="Normal"/>
    <w:pPr>
      <w:jc w:val="both"/>
    </w:pPr>
    <w:rPr>
      <w:sz w:val="24"/>
    </w:rPr>
  </w:style>
  <w:style w:type="paragraph" w:styleId="BodyTextIndent3">
    <w:name w:val="Body Text Indent 3"/>
    <w:basedOn w:val="Normal"/>
    <w:pPr>
      <w:ind w:left="1843" w:hanging="1843"/>
      <w:jc w:val="both"/>
    </w:pPr>
    <w:rPr>
      <w:sz w:val="24"/>
    </w:rPr>
  </w:style>
  <w:style w:type="paragraph" w:styleId="Header">
    <w:name w:val="header"/>
    <w:basedOn w:val="Normal"/>
    <w:link w:val="HeaderChar"/>
    <w:pPr>
      <w:tabs>
        <w:tab w:val="center" w:pos="4320"/>
        <w:tab w:val="right" w:pos="8640"/>
      </w:tabs>
    </w:pPr>
    <w:rPr>
      <w:rFonts w:ascii="Arial" w:hAnsi="Arial"/>
      <w:sz w:val="24"/>
    </w:rPr>
  </w:style>
  <w:style w:type="paragraph" w:styleId="BalloonText">
    <w:name w:val="Balloon Text"/>
    <w:basedOn w:val="Normal"/>
    <w:semiHidden/>
    <w:rsid w:val="001D0DD5"/>
    <w:rPr>
      <w:rFonts w:ascii="Tahoma" w:hAnsi="Tahoma" w:cs="Tahoma"/>
      <w:sz w:val="16"/>
      <w:szCs w:val="16"/>
    </w:rPr>
  </w:style>
  <w:style w:type="paragraph" w:styleId="Footer">
    <w:name w:val="footer"/>
    <w:basedOn w:val="Normal"/>
    <w:rsid w:val="00F64AC1"/>
    <w:pPr>
      <w:tabs>
        <w:tab w:val="center" w:pos="4153"/>
        <w:tab w:val="right" w:pos="8306"/>
      </w:tabs>
    </w:pPr>
  </w:style>
  <w:style w:type="paragraph" w:customStyle="1" w:styleId="CharChar">
    <w:name w:val="Char Char"/>
    <w:basedOn w:val="Normal"/>
    <w:rsid w:val="00E8404A"/>
    <w:pPr>
      <w:spacing w:before="120" w:after="120"/>
    </w:pPr>
    <w:rPr>
      <w:rFonts w:ascii="Arial" w:hAnsi="Arial"/>
      <w:sz w:val="22"/>
      <w:lang w:eastAsia="en-US"/>
    </w:rPr>
  </w:style>
  <w:style w:type="paragraph" w:customStyle="1" w:styleId="DefaultParagraphFont1CharChar1">
    <w:name w:val="Default Paragraph Font1 Char Char1"/>
    <w:aliases w:val=" Char Char1 Char Char1, Char1 Char Char Char Char Char Char"/>
    <w:basedOn w:val="Normal"/>
    <w:rsid w:val="00BF4868"/>
    <w:pPr>
      <w:spacing w:after="160" w:line="240" w:lineRule="exact"/>
    </w:pPr>
    <w:rPr>
      <w:rFonts w:ascii="Arial" w:hAnsi="Arial"/>
      <w:sz w:val="22"/>
      <w:lang w:val="en-US" w:eastAsia="en-US"/>
    </w:rPr>
  </w:style>
  <w:style w:type="character" w:customStyle="1" w:styleId="HeaderChar">
    <w:name w:val="Header Char"/>
    <w:link w:val="Header"/>
    <w:rsid w:val="001D091B"/>
    <w:rPr>
      <w:rFonts w:ascii="Arial" w:hAnsi="Arial"/>
      <w:sz w:val="24"/>
    </w:rPr>
  </w:style>
  <w:style w:type="character" w:styleId="CommentReference">
    <w:name w:val="annotation reference"/>
    <w:basedOn w:val="DefaultParagraphFont"/>
    <w:uiPriority w:val="99"/>
    <w:semiHidden/>
    <w:unhideWhenUsed/>
    <w:rsid w:val="002A7B40"/>
    <w:rPr>
      <w:sz w:val="16"/>
      <w:szCs w:val="16"/>
    </w:rPr>
  </w:style>
  <w:style w:type="paragraph" w:styleId="CommentText">
    <w:name w:val="annotation text"/>
    <w:basedOn w:val="Normal"/>
    <w:link w:val="CommentTextChar"/>
    <w:uiPriority w:val="99"/>
    <w:semiHidden/>
    <w:unhideWhenUsed/>
    <w:rsid w:val="002A7B40"/>
  </w:style>
  <w:style w:type="character" w:customStyle="1" w:styleId="CommentTextChar">
    <w:name w:val="Comment Text Char"/>
    <w:basedOn w:val="DefaultParagraphFont"/>
    <w:link w:val="CommentText"/>
    <w:uiPriority w:val="99"/>
    <w:semiHidden/>
    <w:rsid w:val="002A7B40"/>
  </w:style>
  <w:style w:type="paragraph" w:styleId="CommentSubject">
    <w:name w:val="annotation subject"/>
    <w:basedOn w:val="CommentText"/>
    <w:next w:val="CommentText"/>
    <w:link w:val="CommentSubjectChar"/>
    <w:uiPriority w:val="99"/>
    <w:semiHidden/>
    <w:unhideWhenUsed/>
    <w:rsid w:val="002A7B40"/>
    <w:rPr>
      <w:b/>
      <w:bCs/>
    </w:rPr>
  </w:style>
  <w:style w:type="character" w:customStyle="1" w:styleId="CommentSubjectChar">
    <w:name w:val="Comment Subject Char"/>
    <w:basedOn w:val="CommentTextChar"/>
    <w:link w:val="CommentSubject"/>
    <w:uiPriority w:val="99"/>
    <w:semiHidden/>
    <w:rsid w:val="002A7B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42907">
      <w:bodyDiv w:val="1"/>
      <w:marLeft w:val="0"/>
      <w:marRight w:val="0"/>
      <w:marTop w:val="0"/>
      <w:marBottom w:val="0"/>
      <w:divBdr>
        <w:top w:val="none" w:sz="0" w:space="0" w:color="auto"/>
        <w:left w:val="none" w:sz="0" w:space="0" w:color="auto"/>
        <w:bottom w:val="none" w:sz="0" w:space="0" w:color="auto"/>
        <w:right w:val="none" w:sz="0" w:space="0" w:color="auto"/>
      </w:divBdr>
    </w:div>
    <w:div w:id="629089504">
      <w:bodyDiv w:val="1"/>
      <w:marLeft w:val="0"/>
      <w:marRight w:val="0"/>
      <w:marTop w:val="0"/>
      <w:marBottom w:val="0"/>
      <w:divBdr>
        <w:top w:val="none" w:sz="0" w:space="0" w:color="auto"/>
        <w:left w:val="none" w:sz="0" w:space="0" w:color="auto"/>
        <w:bottom w:val="none" w:sz="0" w:space="0" w:color="auto"/>
        <w:right w:val="none" w:sz="0" w:space="0" w:color="auto"/>
      </w:divBdr>
    </w:div>
    <w:div w:id="86567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870</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Cluster 3</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Rachael Aeschlimann</dc:creator>
  <cp:keywords/>
  <cp:lastModifiedBy>Grace LIM</cp:lastModifiedBy>
  <cp:revision>16</cp:revision>
  <cp:lastPrinted>2019-11-06T04:15:00Z</cp:lastPrinted>
  <dcterms:created xsi:type="dcterms:W3CDTF">2019-10-31T06:22:00Z</dcterms:created>
  <dcterms:modified xsi:type="dcterms:W3CDTF">2019-11-06T04:18:00Z</dcterms:modified>
</cp:coreProperties>
</file>