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EC" w:rsidRPr="002531C5" w:rsidRDefault="008A0C22" w:rsidP="00A74CEC">
      <w:pPr>
        <w:rPr>
          <w:rFonts w:ascii="Arial" w:hAnsi="Arial" w:cs="Arial"/>
          <w:color w:val="000000"/>
        </w:rPr>
      </w:pPr>
      <w:r w:rsidRPr="002531C5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2531C5" w:rsidRDefault="00971F0C" w:rsidP="00F33A28">
      <w:pPr>
        <w:pStyle w:val="LDTitle"/>
        <w:rPr>
          <w:rStyle w:val="LDCitation"/>
        </w:rPr>
      </w:pPr>
      <w:r w:rsidRPr="002531C5">
        <w:t xml:space="preserve">AMSA MO </w:t>
      </w:r>
      <w:r w:rsidR="00631841" w:rsidRPr="002531C5">
        <w:t>201</w:t>
      </w:r>
      <w:r w:rsidR="00213BAF" w:rsidRPr="002531C5">
        <w:t>9</w:t>
      </w:r>
      <w:r w:rsidR="00F52BD5">
        <w:t>/7</w:t>
      </w:r>
    </w:p>
    <w:p w:rsidR="00F54C84" w:rsidRPr="002531C5" w:rsidRDefault="00F54C84" w:rsidP="00F54C84">
      <w:pPr>
        <w:pStyle w:val="LDDescription"/>
      </w:pPr>
      <w:bookmarkStart w:id="0" w:name="Citation"/>
      <w:r w:rsidRPr="002531C5">
        <w:t>Marine Order</w:t>
      </w:r>
      <w:r w:rsidR="00C129D7" w:rsidRPr="002531C5">
        <w:t xml:space="preserve"> </w:t>
      </w:r>
      <w:r w:rsidR="00213BAF" w:rsidRPr="002531C5">
        <w:t xml:space="preserve">27 </w:t>
      </w:r>
      <w:r w:rsidR="00C129D7" w:rsidRPr="002531C5">
        <w:t>(</w:t>
      </w:r>
      <w:r w:rsidR="00213BAF" w:rsidRPr="002531C5">
        <w:t>Safety of navigation and radio equipment</w:t>
      </w:r>
      <w:r w:rsidR="00C129D7" w:rsidRPr="002531C5">
        <w:t>)</w:t>
      </w:r>
      <w:r w:rsidRPr="002531C5">
        <w:t xml:space="preserve"> Amendment </w:t>
      </w:r>
      <w:r w:rsidR="001A650F" w:rsidRPr="002531C5">
        <w:t xml:space="preserve">Order </w:t>
      </w:r>
      <w:r w:rsidR="00C129D7" w:rsidRPr="002531C5">
        <w:t>201</w:t>
      </w:r>
      <w:r w:rsidR="001A650F" w:rsidRPr="002531C5">
        <w:t>9</w:t>
      </w:r>
      <w:bookmarkEnd w:id="0"/>
    </w:p>
    <w:p w:rsidR="002320F6" w:rsidRPr="002531C5" w:rsidRDefault="002320F6" w:rsidP="00F33A28">
      <w:pPr>
        <w:pStyle w:val="LDBodytext"/>
      </w:pPr>
      <w:r w:rsidRPr="002531C5">
        <w:t xml:space="preserve">I, </w:t>
      </w:r>
      <w:r w:rsidR="009E30FA" w:rsidRPr="002531C5">
        <w:t>Michael</w:t>
      </w:r>
      <w:r w:rsidR="00990D26" w:rsidRPr="002531C5">
        <w:t xml:space="preserve"> Kinley</w:t>
      </w:r>
      <w:r w:rsidRPr="002531C5">
        <w:t xml:space="preserve">, </w:t>
      </w:r>
      <w:r w:rsidR="009D5332" w:rsidRPr="002531C5">
        <w:t>Chief Executive Officer</w:t>
      </w:r>
      <w:r w:rsidR="00971F0C" w:rsidRPr="002531C5">
        <w:t xml:space="preserve"> of the Australian Maritime Safety Authority, make this</w:t>
      </w:r>
      <w:r w:rsidRPr="002531C5">
        <w:t xml:space="preserve"> </w:t>
      </w:r>
      <w:r w:rsidR="006C51CB" w:rsidRPr="002531C5">
        <w:t xml:space="preserve">Marine </w:t>
      </w:r>
      <w:r w:rsidRPr="002531C5">
        <w:t xml:space="preserve">Order under </w:t>
      </w:r>
      <w:r w:rsidR="00587B31" w:rsidRPr="002531C5">
        <w:t>subsection </w:t>
      </w:r>
      <w:r w:rsidR="00094FBA" w:rsidRPr="002531C5">
        <w:t>342</w:t>
      </w:r>
      <w:r w:rsidR="00971F0C" w:rsidRPr="002531C5">
        <w:t xml:space="preserve">(1) of </w:t>
      </w:r>
      <w:r w:rsidR="009D5332" w:rsidRPr="002531C5">
        <w:t xml:space="preserve">the </w:t>
      </w:r>
      <w:r w:rsidR="00094FBA" w:rsidRPr="002531C5">
        <w:rPr>
          <w:i/>
        </w:rPr>
        <w:t>Navigation Act 2012</w:t>
      </w:r>
      <w:r w:rsidRPr="002531C5">
        <w:t>.</w:t>
      </w:r>
    </w:p>
    <w:p w:rsidR="00641705" w:rsidRPr="002531C5" w:rsidRDefault="00C34989" w:rsidP="00641705">
      <w:pPr>
        <w:pStyle w:val="LDDate"/>
      </w:pPr>
      <w:r>
        <w:t xml:space="preserve">7 November </w:t>
      </w:r>
      <w:r w:rsidR="00641705" w:rsidRPr="002531C5">
        <w:t>201</w:t>
      </w:r>
      <w:r w:rsidR="00D2432B" w:rsidRPr="002531C5">
        <w:t>9</w:t>
      </w:r>
    </w:p>
    <w:p w:rsidR="005F6E40" w:rsidRPr="002531C5" w:rsidRDefault="00C34989" w:rsidP="00641705">
      <w:pPr>
        <w:pStyle w:val="LDSignatory"/>
      </w:pPr>
      <w:r w:rsidRPr="00C34989">
        <w:rPr>
          <w:rStyle w:val="StyleLDSignatoryBoldChar"/>
        </w:rPr>
        <w:t>Michael Kinley</w:t>
      </w:r>
      <w:r w:rsidR="00F33A28" w:rsidRPr="002531C5">
        <w:rPr>
          <w:rStyle w:val="StyleLDSignatoryBoldChar"/>
        </w:rPr>
        <w:br/>
      </w:r>
      <w:r w:rsidR="00F33A28" w:rsidRPr="002531C5">
        <w:t>Chief Executive Officer</w:t>
      </w:r>
    </w:p>
    <w:p w:rsidR="00E156DE" w:rsidRPr="002531C5" w:rsidRDefault="00E156DE" w:rsidP="00E156DE">
      <w:pPr>
        <w:pStyle w:val="LDBodytext"/>
      </w:pPr>
    </w:p>
    <w:p w:rsidR="00C01056" w:rsidRPr="002531C5" w:rsidRDefault="00C01056" w:rsidP="00E156DE">
      <w:pPr>
        <w:pStyle w:val="SigningPageBreak"/>
        <w:sectPr w:rsidR="00C01056" w:rsidRPr="002531C5" w:rsidSect="00E156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1" w:name="_Toc298239777"/>
      <w:bookmarkStart w:id="2" w:name="_Toc298239791"/>
    </w:p>
    <w:p w:rsidR="004C6E70" w:rsidRPr="002531C5" w:rsidRDefault="002320F6" w:rsidP="00CE5AD0">
      <w:pPr>
        <w:pStyle w:val="LDClauseHeading"/>
        <w:tabs>
          <w:tab w:val="left" w:pos="360"/>
        </w:tabs>
      </w:pPr>
      <w:r w:rsidRPr="002531C5">
        <w:rPr>
          <w:rStyle w:val="CharSectNo"/>
        </w:rPr>
        <w:lastRenderedPageBreak/>
        <w:t>1</w:t>
      </w:r>
      <w:r w:rsidRPr="002531C5">
        <w:tab/>
      </w:r>
      <w:r w:rsidR="00CE5AD0" w:rsidRPr="002531C5">
        <w:tab/>
      </w:r>
      <w:r w:rsidRPr="002531C5">
        <w:t xml:space="preserve">Name of </w:t>
      </w:r>
      <w:r w:rsidR="00F51324" w:rsidRPr="002531C5">
        <w:t xml:space="preserve">Marine </w:t>
      </w:r>
      <w:r w:rsidRPr="002531C5">
        <w:t>Order</w:t>
      </w:r>
      <w:bookmarkEnd w:id="1"/>
      <w:bookmarkEnd w:id="2"/>
    </w:p>
    <w:p w:rsidR="002320F6" w:rsidRPr="002531C5" w:rsidRDefault="002320F6" w:rsidP="00692F9E">
      <w:pPr>
        <w:pStyle w:val="LDClause"/>
      </w:pPr>
      <w:r w:rsidRPr="002531C5">
        <w:tab/>
      </w:r>
      <w:r w:rsidRPr="002531C5">
        <w:tab/>
        <w:t>Th</w:t>
      </w:r>
      <w:r w:rsidR="00F33A28" w:rsidRPr="002531C5">
        <w:t>is</w:t>
      </w:r>
      <w:r w:rsidRPr="002531C5">
        <w:t xml:space="preserve"> </w:t>
      </w:r>
      <w:r w:rsidR="00F51324" w:rsidRPr="002531C5">
        <w:t xml:space="preserve">Marine </w:t>
      </w:r>
      <w:r w:rsidRPr="002531C5">
        <w:t>Ord</w:t>
      </w:r>
      <w:r w:rsidR="0043276E" w:rsidRPr="002531C5">
        <w:t>er</w:t>
      </w:r>
      <w:r w:rsidRPr="002531C5">
        <w:t xml:space="preserve"> </w:t>
      </w:r>
      <w:r w:rsidR="00F33A28" w:rsidRPr="002531C5">
        <w:t>is</w:t>
      </w:r>
      <w:r w:rsidRPr="002531C5">
        <w:t xml:space="preserve"> </w:t>
      </w:r>
      <w:r w:rsidR="00F52BD5" w:rsidRPr="00F52BD5">
        <w:rPr>
          <w:i/>
        </w:rPr>
        <w:t>Marine Order 27 (Safety of navigation</w:t>
      </w:r>
      <w:bookmarkStart w:id="3" w:name="_GoBack"/>
      <w:bookmarkEnd w:id="3"/>
      <w:r w:rsidR="00F52BD5" w:rsidRPr="00F52BD5">
        <w:rPr>
          <w:i/>
        </w:rPr>
        <w:t xml:space="preserve"> and radio equipment) Amendment Order 2019</w:t>
      </w:r>
      <w:r w:rsidRPr="002531C5">
        <w:t>.</w:t>
      </w:r>
    </w:p>
    <w:p w:rsidR="002320F6" w:rsidRPr="002531C5" w:rsidRDefault="002320F6" w:rsidP="00692F9E">
      <w:pPr>
        <w:pStyle w:val="LDClauseHeading"/>
      </w:pPr>
      <w:bookmarkStart w:id="4" w:name="_Toc298239778"/>
      <w:bookmarkStart w:id="5" w:name="_Toc298239792"/>
      <w:r w:rsidRPr="002531C5">
        <w:rPr>
          <w:rStyle w:val="CharSectNo"/>
        </w:rPr>
        <w:t>2</w:t>
      </w:r>
      <w:r w:rsidRPr="002531C5">
        <w:tab/>
        <w:t>Commencement</w:t>
      </w:r>
      <w:bookmarkEnd w:id="4"/>
      <w:bookmarkEnd w:id="5"/>
    </w:p>
    <w:p w:rsidR="002320F6" w:rsidRPr="002531C5" w:rsidRDefault="0043276E" w:rsidP="00692F9E">
      <w:pPr>
        <w:pStyle w:val="LDClause"/>
      </w:pPr>
      <w:r w:rsidRPr="002531C5">
        <w:tab/>
      </w:r>
      <w:r w:rsidRPr="002531C5">
        <w:tab/>
        <w:t>This</w:t>
      </w:r>
      <w:r w:rsidR="002320F6" w:rsidRPr="002531C5">
        <w:t xml:space="preserve"> </w:t>
      </w:r>
      <w:r w:rsidR="00F51324" w:rsidRPr="002531C5">
        <w:t xml:space="preserve">Marine </w:t>
      </w:r>
      <w:r w:rsidR="002320F6" w:rsidRPr="002531C5">
        <w:t>Ord</w:t>
      </w:r>
      <w:r w:rsidRPr="002531C5">
        <w:t>er</w:t>
      </w:r>
      <w:r w:rsidR="002320F6" w:rsidRPr="002531C5">
        <w:t xml:space="preserve"> commence</w:t>
      </w:r>
      <w:r w:rsidRPr="002531C5">
        <w:t>s</w:t>
      </w:r>
      <w:r w:rsidR="002320F6" w:rsidRPr="002531C5">
        <w:t xml:space="preserve"> on</w:t>
      </w:r>
      <w:r w:rsidR="006B6EBF" w:rsidRPr="002531C5">
        <w:t xml:space="preserve"> </w:t>
      </w:r>
      <w:r w:rsidR="005D3261" w:rsidRPr="002531C5">
        <w:t>1 January 2020</w:t>
      </w:r>
      <w:r w:rsidR="002320F6" w:rsidRPr="002531C5">
        <w:t>.</w:t>
      </w:r>
    </w:p>
    <w:p w:rsidR="007B6407" w:rsidRPr="002531C5" w:rsidRDefault="002320F6" w:rsidP="007B6407">
      <w:pPr>
        <w:pStyle w:val="LDClauseHeading"/>
        <w:rPr>
          <w:i/>
        </w:rPr>
      </w:pPr>
      <w:bookmarkStart w:id="6" w:name="_Toc298239779"/>
      <w:bookmarkStart w:id="7" w:name="_Toc298239793"/>
      <w:r w:rsidRPr="002531C5">
        <w:rPr>
          <w:rStyle w:val="CharSectNo"/>
        </w:rPr>
        <w:t>3</w:t>
      </w:r>
      <w:r w:rsidRPr="002531C5">
        <w:tab/>
        <w:t xml:space="preserve">Amendment of </w:t>
      </w:r>
      <w:r w:rsidR="009D5332" w:rsidRPr="002531C5">
        <w:rPr>
          <w:i/>
        </w:rPr>
        <w:t>Marine</w:t>
      </w:r>
      <w:r w:rsidRPr="002531C5">
        <w:rPr>
          <w:i/>
        </w:rPr>
        <w:t xml:space="preserve"> Order</w:t>
      </w:r>
      <w:bookmarkEnd w:id="6"/>
      <w:bookmarkEnd w:id="7"/>
    </w:p>
    <w:p w:rsidR="006F6039" w:rsidRPr="002531C5" w:rsidRDefault="002320F6" w:rsidP="007B6407">
      <w:pPr>
        <w:pStyle w:val="LDClause"/>
      </w:pPr>
      <w:r w:rsidRPr="002531C5">
        <w:tab/>
      </w:r>
      <w:r w:rsidRPr="002531C5">
        <w:tab/>
        <w:t xml:space="preserve">Schedule 1 amends </w:t>
      </w:r>
      <w:r w:rsidR="009D5332" w:rsidRPr="002531C5">
        <w:rPr>
          <w:i/>
        </w:rPr>
        <w:t>Marine</w:t>
      </w:r>
      <w:r w:rsidRPr="002531C5">
        <w:rPr>
          <w:i/>
        </w:rPr>
        <w:t xml:space="preserve"> Order</w:t>
      </w:r>
      <w:r w:rsidR="00E4450B" w:rsidRPr="002531C5">
        <w:rPr>
          <w:i/>
        </w:rPr>
        <w:t xml:space="preserve"> 27</w:t>
      </w:r>
      <w:r w:rsidR="00D31BFF" w:rsidRPr="002531C5">
        <w:rPr>
          <w:i/>
        </w:rPr>
        <w:t xml:space="preserve"> (</w:t>
      </w:r>
      <w:r w:rsidR="00213BAF" w:rsidRPr="002531C5">
        <w:rPr>
          <w:i/>
        </w:rPr>
        <w:t>Safety of navigation and radio equipment</w:t>
      </w:r>
      <w:r w:rsidR="00D31BFF" w:rsidRPr="002531C5">
        <w:rPr>
          <w:i/>
        </w:rPr>
        <w:t>)</w:t>
      </w:r>
      <w:r w:rsidR="00213BAF" w:rsidRPr="002531C5">
        <w:rPr>
          <w:i/>
        </w:rPr>
        <w:t xml:space="preserve"> 2016</w:t>
      </w:r>
      <w:r w:rsidRPr="002531C5">
        <w:t>.</w:t>
      </w:r>
    </w:p>
    <w:p w:rsidR="00800009" w:rsidRPr="002531C5" w:rsidRDefault="00800009" w:rsidP="00094FBA">
      <w:pPr>
        <w:pStyle w:val="MainBodySectionBreak"/>
        <w:sectPr w:rsidR="00800009" w:rsidRPr="002531C5" w:rsidSect="00800009">
          <w:headerReference w:type="even" r:id="rId14"/>
          <w:headerReference w:type="default" r:id="rId15"/>
          <w:headerReference w:type="first" r:id="rId16"/>
          <w:footerReference w:type="first" r:id="rId17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2320F6" w:rsidRPr="002531C5" w:rsidRDefault="002320F6" w:rsidP="00DA7E93">
      <w:pPr>
        <w:pStyle w:val="LDScheduleheading"/>
      </w:pPr>
      <w:bookmarkStart w:id="8" w:name="_Toc298239780"/>
      <w:bookmarkStart w:id="9" w:name="_Toc298239794"/>
      <w:r w:rsidRPr="002531C5">
        <w:lastRenderedPageBreak/>
        <w:t>Schedule 1</w:t>
      </w:r>
      <w:r w:rsidRPr="002531C5">
        <w:tab/>
        <w:t>Amendment</w:t>
      </w:r>
      <w:bookmarkEnd w:id="8"/>
      <w:bookmarkEnd w:id="9"/>
    </w:p>
    <w:p w:rsidR="0067574C" w:rsidRPr="002531C5" w:rsidRDefault="0067574C" w:rsidP="0067574C">
      <w:pPr>
        <w:pStyle w:val="LDAmendHeading"/>
      </w:pPr>
      <w:r w:rsidRPr="002531C5">
        <w:t>[</w:t>
      </w:r>
      <w:r w:rsidR="00555B42">
        <w:rPr>
          <w:noProof/>
        </w:rPr>
        <w:t>1</w:t>
      </w:r>
      <w:r w:rsidRPr="002531C5">
        <w:t>]</w:t>
      </w:r>
      <w:r w:rsidRPr="002531C5">
        <w:tab/>
        <w:t xml:space="preserve">Section 4, definition of </w:t>
      </w:r>
      <w:r w:rsidRPr="002531C5">
        <w:rPr>
          <w:i/>
        </w:rPr>
        <w:t>Radio Regulations</w:t>
      </w:r>
      <w:r w:rsidRPr="002531C5">
        <w:t>, note</w:t>
      </w:r>
    </w:p>
    <w:p w:rsidR="0067574C" w:rsidRPr="002531C5" w:rsidRDefault="0067574C" w:rsidP="0067574C">
      <w:pPr>
        <w:pStyle w:val="LDAmendInstruction"/>
      </w:pPr>
      <w:proofErr w:type="gramStart"/>
      <w:r w:rsidRPr="002531C5">
        <w:t>omit</w:t>
      </w:r>
      <w:proofErr w:type="gramEnd"/>
    </w:p>
    <w:p w:rsidR="0067574C" w:rsidRPr="002531C5" w:rsidRDefault="00A2479F" w:rsidP="0067574C">
      <w:pPr>
        <w:pStyle w:val="LDAmendText"/>
      </w:pPr>
      <w:r w:rsidRPr="002531C5">
        <w:t>Telecommunications</w:t>
      </w:r>
    </w:p>
    <w:p w:rsidR="00A2479F" w:rsidRPr="002531C5" w:rsidRDefault="00A2479F" w:rsidP="00A2479F">
      <w:pPr>
        <w:pStyle w:val="LDAmendInstruction"/>
      </w:pPr>
      <w:proofErr w:type="gramStart"/>
      <w:r w:rsidRPr="002531C5">
        <w:t>insert</w:t>
      </w:r>
      <w:proofErr w:type="gramEnd"/>
    </w:p>
    <w:p w:rsidR="00A2479F" w:rsidRPr="002531C5" w:rsidRDefault="00A2479F" w:rsidP="00A2479F">
      <w:pPr>
        <w:pStyle w:val="LDAmendText"/>
      </w:pPr>
      <w:r w:rsidRPr="002531C5">
        <w:t>Telecommunication</w:t>
      </w:r>
    </w:p>
    <w:p w:rsidR="004C6E70" w:rsidRPr="002531C5" w:rsidRDefault="000F64D6" w:rsidP="000E0CA3">
      <w:pPr>
        <w:pStyle w:val="LDAmendHeading"/>
      </w:pPr>
      <w:r w:rsidRPr="002531C5">
        <w:t>[</w:t>
      </w:r>
      <w:r w:rsidR="00555B42">
        <w:rPr>
          <w:noProof/>
        </w:rPr>
        <w:t>2</w:t>
      </w:r>
      <w:r w:rsidRPr="002531C5">
        <w:t>]</w:t>
      </w:r>
      <w:r w:rsidRPr="002531C5">
        <w:tab/>
      </w:r>
      <w:r w:rsidR="000473C7" w:rsidRPr="002531C5">
        <w:t xml:space="preserve">Section 4, after definition of </w:t>
      </w:r>
      <w:r w:rsidR="000473C7" w:rsidRPr="002531C5">
        <w:rPr>
          <w:i/>
        </w:rPr>
        <w:t>radio station</w:t>
      </w:r>
    </w:p>
    <w:p w:rsidR="004C6E70" w:rsidRPr="002531C5" w:rsidRDefault="000473C7" w:rsidP="004C6E70">
      <w:pPr>
        <w:pStyle w:val="LDAmendInstruction"/>
      </w:pPr>
      <w:proofErr w:type="gramStart"/>
      <w:r w:rsidRPr="002531C5">
        <w:t>insert</w:t>
      </w:r>
      <w:proofErr w:type="gramEnd"/>
    </w:p>
    <w:p w:rsidR="009611BF" w:rsidRPr="002531C5" w:rsidRDefault="009611BF" w:rsidP="009611BF">
      <w:pPr>
        <w:pStyle w:val="LDdefinition"/>
      </w:pPr>
      <w:proofErr w:type="gramStart"/>
      <w:r w:rsidRPr="002531C5">
        <w:rPr>
          <w:b/>
          <w:i/>
        </w:rPr>
        <w:t>recognised</w:t>
      </w:r>
      <w:proofErr w:type="gramEnd"/>
      <w:r w:rsidRPr="002531C5">
        <w:rPr>
          <w:b/>
          <w:i/>
        </w:rPr>
        <w:t xml:space="preserve"> mobile satellite service</w:t>
      </w:r>
      <w:r w:rsidRPr="002531C5">
        <w:t xml:space="preserve"> means any service which operates through a satellite system that is </w:t>
      </w:r>
      <w:r w:rsidR="000E0CA3" w:rsidRPr="002531C5">
        <w:t xml:space="preserve">for </w:t>
      </w:r>
      <w:r w:rsidRPr="002531C5">
        <w:t>use in the global maritime distress and safety system (GMDSS) and recognised by the IMO.</w:t>
      </w:r>
    </w:p>
    <w:p w:rsidR="007F3374" w:rsidRPr="002531C5" w:rsidRDefault="007F3374" w:rsidP="007F3374">
      <w:pPr>
        <w:pStyle w:val="LDAmendHeading"/>
      </w:pPr>
      <w:r w:rsidRPr="002531C5">
        <w:t>[</w:t>
      </w:r>
      <w:r w:rsidR="00555B42">
        <w:rPr>
          <w:noProof/>
        </w:rPr>
        <w:t>3</w:t>
      </w:r>
      <w:r w:rsidRPr="002531C5">
        <w:t>]</w:t>
      </w:r>
      <w:r w:rsidRPr="002531C5">
        <w:tab/>
        <w:t>Section 4, note</w:t>
      </w:r>
      <w:r w:rsidR="00A319EE" w:rsidRPr="002531C5">
        <w:t>s</w:t>
      </w:r>
      <w:r w:rsidRPr="002531C5">
        <w:t xml:space="preserve"> 1</w:t>
      </w:r>
      <w:r w:rsidR="00A319EE" w:rsidRPr="002531C5">
        <w:t xml:space="preserve"> and 2</w:t>
      </w:r>
    </w:p>
    <w:p w:rsidR="007F3374" w:rsidRPr="002531C5" w:rsidRDefault="007F3374" w:rsidP="007F3374">
      <w:pPr>
        <w:pStyle w:val="LDAmendInstruction"/>
      </w:pPr>
      <w:proofErr w:type="gramStart"/>
      <w:r w:rsidRPr="002531C5">
        <w:t>substitute</w:t>
      </w:r>
      <w:proofErr w:type="gramEnd"/>
    </w:p>
    <w:p w:rsidR="00A319EE" w:rsidRPr="002531C5" w:rsidRDefault="00A319EE" w:rsidP="00A319EE">
      <w:pPr>
        <w:pStyle w:val="LDNote"/>
        <w:keepNext/>
      </w:pPr>
      <w:r w:rsidRPr="002531C5">
        <w:rPr>
          <w:i/>
        </w:rPr>
        <w:t>Note 1</w:t>
      </w:r>
      <w:r w:rsidRPr="002531C5">
        <w:t xml:space="preserve">   Some terms used in this Order are defined in </w:t>
      </w:r>
      <w:r w:rsidRPr="002531C5">
        <w:rPr>
          <w:i/>
        </w:rPr>
        <w:t>Marine Order 1 (Administration) 2013</w:t>
      </w:r>
      <w:r w:rsidRPr="002531C5">
        <w:t>, including:</w:t>
      </w:r>
    </w:p>
    <w:p w:rsidR="00A319EE" w:rsidRPr="002531C5" w:rsidRDefault="00A319EE" w:rsidP="00A319EE">
      <w:pPr>
        <w:pStyle w:val="LDNote"/>
        <w:numPr>
          <w:ilvl w:val="0"/>
          <w:numId w:val="25"/>
        </w:numPr>
      </w:pPr>
      <w:r w:rsidRPr="002531C5">
        <w:t>IMO</w:t>
      </w:r>
    </w:p>
    <w:p w:rsidR="00A319EE" w:rsidRPr="002531C5" w:rsidRDefault="00A319EE" w:rsidP="00A319EE">
      <w:pPr>
        <w:pStyle w:val="LDNote"/>
        <w:numPr>
          <w:ilvl w:val="0"/>
          <w:numId w:val="25"/>
        </w:numPr>
      </w:pPr>
      <w:r w:rsidRPr="002531C5">
        <w:t>SOLAS</w:t>
      </w:r>
    </w:p>
    <w:p w:rsidR="00A319EE" w:rsidRPr="002531C5" w:rsidRDefault="00A319EE" w:rsidP="00A319EE">
      <w:pPr>
        <w:pStyle w:val="LDNote"/>
        <w:numPr>
          <w:ilvl w:val="0"/>
          <w:numId w:val="25"/>
        </w:numPr>
      </w:pPr>
      <w:r w:rsidRPr="002531C5">
        <w:t>STCW Code.</w:t>
      </w:r>
    </w:p>
    <w:p w:rsidR="00A319EE" w:rsidRPr="002531C5" w:rsidRDefault="00A319EE" w:rsidP="00A319EE">
      <w:pPr>
        <w:pStyle w:val="LDNote"/>
        <w:keepNext/>
      </w:pPr>
      <w:r w:rsidRPr="002531C5">
        <w:rPr>
          <w:i/>
        </w:rPr>
        <w:t>Note 2</w:t>
      </w:r>
      <w:r w:rsidRPr="002531C5">
        <w:t>   Other terms used in this Order are defined in the Navigation Act, including:</w:t>
      </w:r>
    </w:p>
    <w:p w:rsidR="00A319EE" w:rsidRPr="002531C5" w:rsidRDefault="009D1D48" w:rsidP="00A319EE">
      <w:pPr>
        <w:pStyle w:val="LDNote"/>
        <w:numPr>
          <w:ilvl w:val="0"/>
          <w:numId w:val="25"/>
        </w:numPr>
      </w:pPr>
      <w:r w:rsidRPr="002531C5">
        <w:t>AMSA</w:t>
      </w:r>
    </w:p>
    <w:p w:rsidR="00A319EE" w:rsidRPr="002531C5" w:rsidRDefault="009D1D48" w:rsidP="00A319EE">
      <w:pPr>
        <w:pStyle w:val="LDNote"/>
        <w:numPr>
          <w:ilvl w:val="0"/>
          <w:numId w:val="25"/>
        </w:numPr>
      </w:pPr>
      <w:r w:rsidRPr="002531C5">
        <w:t>GT</w:t>
      </w:r>
    </w:p>
    <w:p w:rsidR="00A319EE" w:rsidRPr="002531C5" w:rsidRDefault="009D1D48" w:rsidP="00A319EE">
      <w:pPr>
        <w:pStyle w:val="LDNote"/>
        <w:numPr>
          <w:ilvl w:val="0"/>
          <w:numId w:val="25"/>
        </w:numPr>
      </w:pPr>
      <w:r w:rsidRPr="002531C5">
        <w:t>inspector</w:t>
      </w:r>
    </w:p>
    <w:p w:rsidR="009D1D48" w:rsidRPr="002531C5" w:rsidRDefault="009D1D48" w:rsidP="00A319EE">
      <w:pPr>
        <w:pStyle w:val="LDNote"/>
        <w:numPr>
          <w:ilvl w:val="0"/>
          <w:numId w:val="25"/>
        </w:numPr>
      </w:pPr>
      <w:r w:rsidRPr="002531C5">
        <w:t>owner</w:t>
      </w:r>
    </w:p>
    <w:p w:rsidR="009D1D48" w:rsidRPr="002531C5" w:rsidRDefault="009D1D48" w:rsidP="00A319EE">
      <w:pPr>
        <w:pStyle w:val="LDNote"/>
        <w:numPr>
          <w:ilvl w:val="0"/>
          <w:numId w:val="25"/>
        </w:numPr>
      </w:pPr>
      <w:r w:rsidRPr="002531C5">
        <w:t>Prevention of Collisions Convention</w:t>
      </w:r>
    </w:p>
    <w:p w:rsidR="00A319EE" w:rsidRPr="002531C5" w:rsidRDefault="00A319EE" w:rsidP="00A319EE">
      <w:pPr>
        <w:pStyle w:val="LDNote"/>
        <w:numPr>
          <w:ilvl w:val="0"/>
          <w:numId w:val="25"/>
        </w:numPr>
      </w:pPr>
      <w:r w:rsidRPr="002531C5">
        <w:t>regulated Australian vessel</w:t>
      </w:r>
    </w:p>
    <w:p w:rsidR="00154BC5" w:rsidRPr="002531C5" w:rsidRDefault="009D1D48" w:rsidP="00154BC5">
      <w:pPr>
        <w:pStyle w:val="LDNote"/>
        <w:numPr>
          <w:ilvl w:val="0"/>
          <w:numId w:val="25"/>
        </w:numPr>
      </w:pPr>
      <w:r w:rsidRPr="002531C5">
        <w:t>STCW Convention.</w:t>
      </w:r>
    </w:p>
    <w:p w:rsidR="00A2479F" w:rsidRPr="002531C5" w:rsidRDefault="00A2479F" w:rsidP="00A2479F">
      <w:pPr>
        <w:pStyle w:val="LDAmendHeading"/>
      </w:pPr>
      <w:r w:rsidRPr="002531C5">
        <w:t>[</w:t>
      </w:r>
      <w:r w:rsidR="00555B42">
        <w:rPr>
          <w:noProof/>
        </w:rPr>
        <w:t>4</w:t>
      </w:r>
      <w:r w:rsidRPr="002531C5">
        <w:t>]</w:t>
      </w:r>
      <w:r w:rsidRPr="002531C5">
        <w:tab/>
        <w:t>Subsection 24(1), note</w:t>
      </w:r>
    </w:p>
    <w:p w:rsidR="00A2479F" w:rsidRPr="002531C5" w:rsidRDefault="004E52B1" w:rsidP="00A2479F">
      <w:pPr>
        <w:pStyle w:val="LDAmendInstruction"/>
      </w:pPr>
      <w:proofErr w:type="gramStart"/>
      <w:r w:rsidRPr="002531C5">
        <w:t>o</w:t>
      </w:r>
      <w:r w:rsidR="00A2479F" w:rsidRPr="002531C5">
        <w:t>mit</w:t>
      </w:r>
      <w:proofErr w:type="gramEnd"/>
    </w:p>
    <w:p w:rsidR="00E15548" w:rsidRPr="002531C5" w:rsidRDefault="00E15548" w:rsidP="00E15548">
      <w:pPr>
        <w:pStyle w:val="LDAmendHeading"/>
      </w:pPr>
      <w:r w:rsidRPr="002531C5">
        <w:t>[</w:t>
      </w:r>
      <w:r w:rsidR="00555B42">
        <w:rPr>
          <w:noProof/>
        </w:rPr>
        <w:t>5</w:t>
      </w:r>
      <w:r w:rsidRPr="002531C5">
        <w:t>]</w:t>
      </w:r>
      <w:r w:rsidRPr="002531C5">
        <w:tab/>
        <w:t>Subsection 40(1)</w:t>
      </w:r>
    </w:p>
    <w:p w:rsidR="00E15548" w:rsidRPr="002531C5" w:rsidRDefault="00E15548" w:rsidP="00E15548">
      <w:pPr>
        <w:pStyle w:val="LDAmendInstruction"/>
      </w:pPr>
      <w:proofErr w:type="gramStart"/>
      <w:r w:rsidRPr="002531C5">
        <w:t>omit</w:t>
      </w:r>
      <w:proofErr w:type="gramEnd"/>
    </w:p>
    <w:p w:rsidR="00E15548" w:rsidRPr="002531C5" w:rsidRDefault="00E15548" w:rsidP="00E15548">
      <w:pPr>
        <w:pStyle w:val="LDAmendText"/>
      </w:pPr>
      <w:r w:rsidRPr="002531C5">
        <w:t>Inmarsat</w:t>
      </w:r>
    </w:p>
    <w:p w:rsidR="000E29B1" w:rsidRPr="002531C5" w:rsidRDefault="000E29B1" w:rsidP="000E29B1">
      <w:pPr>
        <w:pStyle w:val="LDAmendHeading"/>
      </w:pPr>
      <w:r w:rsidRPr="002531C5">
        <w:t>[</w:t>
      </w:r>
      <w:r w:rsidR="00555B42">
        <w:rPr>
          <w:noProof/>
        </w:rPr>
        <w:t>6</w:t>
      </w:r>
      <w:r w:rsidRPr="002531C5">
        <w:t>]</w:t>
      </w:r>
      <w:r w:rsidRPr="002531C5">
        <w:tab/>
        <w:t>Schedule 2, table</w:t>
      </w:r>
    </w:p>
    <w:p w:rsidR="000E29B1" w:rsidRPr="002531C5" w:rsidRDefault="000E29B1" w:rsidP="000E29B1">
      <w:pPr>
        <w:pStyle w:val="LDAmendInstruction"/>
      </w:pPr>
      <w:proofErr w:type="gramStart"/>
      <w:r w:rsidRPr="002531C5">
        <w:t>omit</w:t>
      </w:r>
      <w:proofErr w:type="gramEnd"/>
    </w:p>
    <w:tbl>
      <w:tblPr>
        <w:tblW w:w="4500" w:type="pct"/>
        <w:tblInd w:w="6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6031"/>
      </w:tblGrid>
      <w:tr w:rsidR="000E29B1" w:rsidRPr="002531C5" w:rsidTr="000E29B1"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B1" w:rsidRPr="002531C5" w:rsidRDefault="000E29B1" w:rsidP="000E29B1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color w:val="000000"/>
                <w:lang w:eastAsia="en-AU"/>
              </w:rPr>
              <w:t>A.694(17)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B1" w:rsidRPr="002531C5" w:rsidRDefault="000E29B1" w:rsidP="000E29B1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i/>
                <w:iCs/>
                <w:color w:val="000000"/>
                <w:lang w:eastAsia="en-AU"/>
              </w:rPr>
              <w:t>General requirements for shipborne radio equipment forming part of the global maritime distress and safety systems (GMDSS) and for electronic navigational aids</w:t>
            </w:r>
          </w:p>
        </w:tc>
      </w:tr>
    </w:tbl>
    <w:p w:rsidR="000E29B1" w:rsidRPr="002531C5" w:rsidRDefault="000E29B1" w:rsidP="000E29B1">
      <w:pPr>
        <w:pStyle w:val="LDAmendInstruction"/>
      </w:pPr>
      <w:proofErr w:type="gramStart"/>
      <w:r w:rsidRPr="002531C5">
        <w:lastRenderedPageBreak/>
        <w:t>insert</w:t>
      </w:r>
      <w:proofErr w:type="gramEnd"/>
    </w:p>
    <w:tbl>
      <w:tblPr>
        <w:tblW w:w="4500" w:type="pct"/>
        <w:tblInd w:w="6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6031"/>
      </w:tblGrid>
      <w:tr w:rsidR="000E29B1" w:rsidRPr="002531C5" w:rsidTr="0096147C"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B1" w:rsidRPr="002531C5" w:rsidRDefault="000E29B1" w:rsidP="0096147C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color w:val="000000"/>
                <w:lang w:eastAsia="en-AU"/>
              </w:rPr>
              <w:t>A.694(17)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B1" w:rsidRPr="002531C5" w:rsidRDefault="000E29B1" w:rsidP="0096147C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i/>
                <w:iCs/>
                <w:color w:val="000000"/>
                <w:lang w:eastAsia="en-AU"/>
              </w:rPr>
              <w:t>General requirements for shipborne radio equipment forming part of the global mari</w:t>
            </w:r>
            <w:r w:rsidR="00BC58EC" w:rsidRPr="002531C5">
              <w:rPr>
                <w:rFonts w:ascii="Times New Roman" w:hAnsi="Times New Roman"/>
                <w:i/>
                <w:iCs/>
                <w:color w:val="000000"/>
                <w:lang w:eastAsia="en-AU"/>
              </w:rPr>
              <w:t>time distress and safety system</w:t>
            </w:r>
            <w:r w:rsidRPr="002531C5">
              <w:rPr>
                <w:rFonts w:ascii="Times New Roman" w:hAnsi="Times New Roman"/>
                <w:i/>
                <w:iCs/>
                <w:color w:val="000000"/>
                <w:lang w:eastAsia="en-AU"/>
              </w:rPr>
              <w:t xml:space="preserve"> (GMDSS) and for electronic navigational aids</w:t>
            </w:r>
          </w:p>
        </w:tc>
      </w:tr>
      <w:tr w:rsidR="000E29B1" w:rsidRPr="002531C5" w:rsidTr="0096147C"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2531C5" w:rsidRDefault="000E29B1" w:rsidP="0096147C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color w:val="000000"/>
                <w:lang w:eastAsia="en-AU"/>
              </w:rPr>
              <w:t>MSC.434(98)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9B1" w:rsidRPr="002531C5" w:rsidRDefault="000E29B1" w:rsidP="0096147C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i/>
                <w:iCs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i/>
                <w:iCs/>
                <w:color w:val="000000"/>
                <w:lang w:eastAsia="en-AU"/>
              </w:rPr>
              <w:t>Performance standards for a ship earth station for use in the GMDSS</w:t>
            </w:r>
          </w:p>
        </w:tc>
      </w:tr>
    </w:tbl>
    <w:p w:rsidR="00855475" w:rsidRPr="002531C5" w:rsidRDefault="00855475" w:rsidP="00855475">
      <w:pPr>
        <w:pStyle w:val="LDAmendHeading"/>
      </w:pPr>
      <w:r w:rsidRPr="002531C5">
        <w:t>[</w:t>
      </w:r>
      <w:r w:rsidR="00555B42">
        <w:rPr>
          <w:noProof/>
        </w:rPr>
        <w:t>7</w:t>
      </w:r>
      <w:r w:rsidRPr="002531C5">
        <w:t>]</w:t>
      </w:r>
      <w:r w:rsidRPr="002531C5">
        <w:tab/>
        <w:t>Schedule 2, table</w:t>
      </w:r>
    </w:p>
    <w:p w:rsidR="00855475" w:rsidRPr="002531C5" w:rsidRDefault="00855475" w:rsidP="00855475">
      <w:pPr>
        <w:pStyle w:val="LDAmendInstruction"/>
      </w:pPr>
      <w:proofErr w:type="gramStart"/>
      <w:r w:rsidRPr="002531C5">
        <w:t>omit</w:t>
      </w:r>
      <w:proofErr w:type="gramEnd"/>
    </w:p>
    <w:tbl>
      <w:tblPr>
        <w:tblW w:w="4500" w:type="pct"/>
        <w:tblInd w:w="6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6031"/>
      </w:tblGrid>
      <w:tr w:rsidR="00855475" w:rsidRPr="002531C5" w:rsidTr="0096147C"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75" w:rsidRPr="002531C5" w:rsidRDefault="00855475" w:rsidP="0096147C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color w:val="000000"/>
                <w:lang w:eastAsia="en-AU"/>
              </w:rPr>
              <w:t>A.819(19)</w:t>
            </w:r>
          </w:p>
        </w:tc>
        <w:tc>
          <w:tcPr>
            <w:tcW w:w="39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75" w:rsidRPr="002531C5" w:rsidRDefault="00855475" w:rsidP="0096147C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i/>
                <w:iCs/>
                <w:color w:val="000000"/>
                <w:lang w:eastAsia="en-AU"/>
              </w:rPr>
              <w:t>Performance standards for shipborne global positioning system (GPS) receiver equipment</w:t>
            </w:r>
          </w:p>
          <w:p w:rsidR="00855475" w:rsidRPr="002531C5" w:rsidRDefault="00855475" w:rsidP="0096147C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531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AU"/>
              </w:rPr>
              <w:t>Note</w:t>
            </w:r>
            <w:r w:rsidRPr="002531C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   This resolution applies if GPS receiver equipment was installed before 1 July 2003.</w:t>
            </w:r>
          </w:p>
        </w:tc>
      </w:tr>
      <w:tr w:rsidR="00855475" w:rsidRPr="002531C5" w:rsidTr="0096147C"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75" w:rsidRPr="002531C5" w:rsidRDefault="00855475" w:rsidP="00855475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color w:val="000000"/>
                <w:lang w:eastAsia="en-AU"/>
              </w:rPr>
              <w:t>MSC.53(66)</w:t>
            </w:r>
          </w:p>
        </w:tc>
        <w:tc>
          <w:tcPr>
            <w:tcW w:w="39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75" w:rsidRPr="002531C5" w:rsidRDefault="00855475" w:rsidP="00855475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144"/>
              <w:textAlignment w:val="auto"/>
              <w:rPr>
                <w:rFonts w:cs="Arial"/>
                <w:color w:val="000000"/>
                <w:lang w:eastAsia="en-AU"/>
              </w:rPr>
            </w:pPr>
            <w:r w:rsidRPr="002531C5">
              <w:rPr>
                <w:rFonts w:cs="Arial"/>
                <w:i/>
                <w:iCs/>
                <w:color w:val="000000"/>
                <w:lang w:eastAsia="en-AU"/>
              </w:rPr>
              <w:t>Performance standards for shipborne GLONASS receiver equipment</w:t>
            </w:r>
          </w:p>
          <w:p w:rsidR="00855475" w:rsidRPr="002531C5" w:rsidRDefault="00855475" w:rsidP="00855475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531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AU"/>
              </w:rPr>
              <w:t>Note</w:t>
            </w:r>
            <w:r w:rsidRPr="002531C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   This resolution applies if GPS receiver equipment was installed after 30 June 2003.</w:t>
            </w:r>
          </w:p>
        </w:tc>
      </w:tr>
    </w:tbl>
    <w:p w:rsidR="009A75F4" w:rsidRPr="002531C5" w:rsidRDefault="002E096B" w:rsidP="009A75F4">
      <w:pPr>
        <w:pStyle w:val="LDAmendInstruction"/>
      </w:pPr>
      <w:proofErr w:type="gramStart"/>
      <w:r w:rsidRPr="002531C5">
        <w:t>insert</w:t>
      </w:r>
      <w:proofErr w:type="gramEnd"/>
    </w:p>
    <w:tbl>
      <w:tblPr>
        <w:tblW w:w="4500" w:type="pct"/>
        <w:tblInd w:w="6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6031"/>
      </w:tblGrid>
      <w:tr w:rsidR="00855475" w:rsidRPr="002531C5" w:rsidTr="00D85D15"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75" w:rsidRPr="002531C5" w:rsidRDefault="00855475" w:rsidP="00855475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color w:val="000000"/>
                <w:lang w:eastAsia="en-AU"/>
              </w:rPr>
              <w:t>A.819(19)</w:t>
            </w:r>
          </w:p>
        </w:tc>
        <w:tc>
          <w:tcPr>
            <w:tcW w:w="39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75" w:rsidRPr="002531C5" w:rsidRDefault="00855475" w:rsidP="00855475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i/>
                <w:iCs/>
                <w:color w:val="000000"/>
                <w:lang w:eastAsia="en-AU"/>
              </w:rPr>
              <w:t>Performance standards for shipborne global positioning system (GPS) receiver equipment</w:t>
            </w:r>
          </w:p>
          <w:p w:rsidR="00855475" w:rsidRPr="002531C5" w:rsidRDefault="00855475" w:rsidP="00855475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531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AU"/>
              </w:rPr>
              <w:t>Note</w:t>
            </w:r>
            <w:r w:rsidRPr="002531C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   This resolution applies if GPS receiver equipment was installed before 1 July 2003.</w:t>
            </w:r>
          </w:p>
        </w:tc>
      </w:tr>
      <w:tr w:rsidR="00855475" w:rsidRPr="002531C5" w:rsidTr="00D85D15"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75" w:rsidRPr="002531C5" w:rsidRDefault="00855475" w:rsidP="00855475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color w:val="000000"/>
                <w:lang w:eastAsia="en-AU"/>
              </w:rPr>
              <w:t>MSC.112(73)</w:t>
            </w:r>
          </w:p>
        </w:tc>
        <w:tc>
          <w:tcPr>
            <w:tcW w:w="39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75" w:rsidRPr="002531C5" w:rsidRDefault="00855475" w:rsidP="00855475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i/>
                <w:iCs/>
                <w:color w:val="000000"/>
                <w:lang w:eastAsia="en-AU"/>
              </w:rPr>
              <w:t>Adoption of the revised performance standards for shipborne global positioning system (GPS) receiver equipment</w:t>
            </w:r>
          </w:p>
          <w:p w:rsidR="00855475" w:rsidRPr="002531C5" w:rsidRDefault="00855475" w:rsidP="00855475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531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AU"/>
              </w:rPr>
              <w:t>Note</w:t>
            </w:r>
            <w:r w:rsidRPr="002531C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   This resolution applies if GPS receiver equipment was installed after 30 June 2003.</w:t>
            </w:r>
          </w:p>
        </w:tc>
      </w:tr>
      <w:tr w:rsidR="009A75F4" w:rsidRPr="002531C5" w:rsidTr="00D85D15"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F4" w:rsidRPr="002531C5" w:rsidRDefault="009A75F4" w:rsidP="009A75F4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color w:val="000000"/>
                <w:lang w:eastAsia="en-AU"/>
              </w:rPr>
              <w:t>MSC.53(66)</w:t>
            </w:r>
          </w:p>
        </w:tc>
        <w:tc>
          <w:tcPr>
            <w:tcW w:w="39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F4" w:rsidRPr="002531C5" w:rsidRDefault="009A75F4" w:rsidP="009A75F4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144"/>
              <w:textAlignment w:val="auto"/>
              <w:rPr>
                <w:rFonts w:cs="Arial"/>
                <w:color w:val="000000"/>
                <w:lang w:eastAsia="en-AU"/>
              </w:rPr>
            </w:pPr>
            <w:r w:rsidRPr="002531C5">
              <w:rPr>
                <w:rFonts w:cs="Arial"/>
                <w:i/>
                <w:iCs/>
                <w:color w:val="000000"/>
                <w:lang w:eastAsia="en-AU"/>
              </w:rPr>
              <w:t>Performance standards for shipborne GLONASS receiver equipment</w:t>
            </w:r>
          </w:p>
          <w:p w:rsidR="009A75F4" w:rsidRPr="002531C5" w:rsidRDefault="009A75F4" w:rsidP="009A75F4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2531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AU"/>
              </w:rPr>
              <w:t>Note</w:t>
            </w:r>
            <w:r w:rsidRPr="002531C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   This resolution applies if GLONASS receiver equipment was installed before 1 July 2003.</w:t>
            </w:r>
          </w:p>
        </w:tc>
      </w:tr>
      <w:tr w:rsidR="000F60DE" w:rsidRPr="002531C5" w:rsidTr="00D85D15"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0DE" w:rsidRPr="002531C5" w:rsidRDefault="000F60DE" w:rsidP="009A75F4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color w:val="000000"/>
                <w:lang w:eastAsia="en-AU"/>
              </w:rPr>
              <w:t>MSC.113(73)</w:t>
            </w:r>
          </w:p>
        </w:tc>
        <w:tc>
          <w:tcPr>
            <w:tcW w:w="39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0DE" w:rsidRPr="002531C5" w:rsidRDefault="000F60DE" w:rsidP="000F60DE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144"/>
              <w:textAlignment w:val="auto"/>
              <w:rPr>
                <w:rFonts w:cs="Arial"/>
                <w:i/>
                <w:iCs/>
                <w:color w:val="000000"/>
                <w:lang w:eastAsia="en-AU"/>
              </w:rPr>
            </w:pPr>
            <w:r w:rsidRPr="002531C5">
              <w:rPr>
                <w:rFonts w:cs="Arial"/>
                <w:i/>
                <w:iCs/>
                <w:color w:val="000000"/>
                <w:lang w:eastAsia="en-AU"/>
              </w:rPr>
              <w:t>Adoption of the revised performance standards for shipborne GLONASS receiver equipment</w:t>
            </w:r>
          </w:p>
          <w:p w:rsidR="000F60DE" w:rsidRPr="002531C5" w:rsidRDefault="000F60DE" w:rsidP="000F60DE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60" w:after="144"/>
              <w:textAlignment w:val="auto"/>
              <w:rPr>
                <w:rFonts w:cs="Arial"/>
                <w:i/>
                <w:iCs/>
                <w:color w:val="000000"/>
                <w:lang w:eastAsia="en-AU"/>
              </w:rPr>
            </w:pPr>
            <w:r w:rsidRPr="002531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AU"/>
              </w:rPr>
              <w:t>Note</w:t>
            </w:r>
            <w:r w:rsidRPr="002531C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   This resolution applies if GLONASS receiver equipment was installed after 30 June 2003.</w:t>
            </w:r>
          </w:p>
        </w:tc>
      </w:tr>
    </w:tbl>
    <w:p w:rsidR="00EE3964" w:rsidRPr="002531C5" w:rsidRDefault="00EE3964" w:rsidP="009A75F4">
      <w:pPr>
        <w:pStyle w:val="LDAmendHeading"/>
      </w:pPr>
      <w:r w:rsidRPr="002531C5">
        <w:t>[</w:t>
      </w:r>
      <w:r w:rsidR="00555B42">
        <w:rPr>
          <w:noProof/>
        </w:rPr>
        <w:t>8</w:t>
      </w:r>
      <w:r w:rsidRPr="002531C5">
        <w:t>]</w:t>
      </w:r>
      <w:r w:rsidRPr="002531C5">
        <w:tab/>
        <w:t>Schedule 2, table</w:t>
      </w:r>
    </w:p>
    <w:p w:rsidR="00EE3964" w:rsidRPr="002531C5" w:rsidRDefault="00EE3964" w:rsidP="00EE3964">
      <w:pPr>
        <w:pStyle w:val="LDAmendInstruction"/>
      </w:pPr>
      <w:proofErr w:type="gramStart"/>
      <w:r w:rsidRPr="002531C5">
        <w:t>omit</w:t>
      </w:r>
      <w:proofErr w:type="gramEnd"/>
    </w:p>
    <w:tbl>
      <w:tblPr>
        <w:tblW w:w="4500" w:type="pct"/>
        <w:tblInd w:w="6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6031"/>
      </w:tblGrid>
      <w:tr w:rsidR="00EE3964" w:rsidRPr="002531C5" w:rsidTr="0096147C">
        <w:tc>
          <w:tcPr>
            <w:tcW w:w="1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964" w:rsidRPr="002531C5" w:rsidRDefault="00EE3964" w:rsidP="0096147C">
            <w:pPr>
              <w:pStyle w:val="LDTabletext"/>
              <w:rPr>
                <w:lang w:eastAsia="en-AU"/>
              </w:rPr>
            </w:pPr>
            <w:r w:rsidRPr="002531C5">
              <w:rPr>
                <w:lang w:eastAsia="en-AU"/>
              </w:rPr>
              <w:t>MSC.252(83)</w:t>
            </w:r>
          </w:p>
        </w:tc>
        <w:tc>
          <w:tcPr>
            <w:tcW w:w="3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964" w:rsidRPr="002531C5" w:rsidRDefault="00EE3964" w:rsidP="0096147C">
            <w:pPr>
              <w:pStyle w:val="LDTabletext"/>
              <w:rPr>
                <w:lang w:eastAsia="en-AU"/>
              </w:rPr>
            </w:pPr>
            <w:r w:rsidRPr="002531C5">
              <w:rPr>
                <w:i/>
                <w:iCs/>
                <w:lang w:eastAsia="en-AU"/>
              </w:rPr>
              <w:t>Adoption of the revised performance standards for integrated navigation systems (INS)</w:t>
            </w:r>
          </w:p>
          <w:p w:rsidR="00EE3964" w:rsidRPr="002531C5" w:rsidRDefault="00EE3964" w:rsidP="0096147C">
            <w:pPr>
              <w:pStyle w:val="LDTabletext"/>
              <w:rPr>
                <w:sz w:val="20"/>
                <w:szCs w:val="20"/>
                <w:lang w:eastAsia="en-AU"/>
              </w:rPr>
            </w:pPr>
            <w:r w:rsidRPr="002531C5">
              <w:rPr>
                <w:i/>
                <w:iCs/>
                <w:sz w:val="20"/>
                <w:szCs w:val="20"/>
                <w:lang w:eastAsia="en-AU"/>
              </w:rPr>
              <w:t>Note</w:t>
            </w:r>
            <w:r w:rsidRPr="002531C5">
              <w:rPr>
                <w:sz w:val="20"/>
                <w:szCs w:val="20"/>
                <w:lang w:eastAsia="en-AU"/>
              </w:rPr>
              <w:t xml:space="preserve">   An INS installed after 31 December 2010 must conform to performance standards mentioned in </w:t>
            </w:r>
            <w:proofErr w:type="gramStart"/>
            <w:r w:rsidRPr="002531C5">
              <w:rPr>
                <w:sz w:val="20"/>
                <w:szCs w:val="20"/>
                <w:lang w:eastAsia="en-AU"/>
              </w:rPr>
              <w:t>MSC.252(</w:t>
            </w:r>
            <w:proofErr w:type="gramEnd"/>
            <w:r w:rsidRPr="002531C5">
              <w:rPr>
                <w:sz w:val="20"/>
                <w:szCs w:val="20"/>
                <w:lang w:eastAsia="en-AU"/>
              </w:rPr>
              <w:t>83).</w:t>
            </w:r>
          </w:p>
        </w:tc>
      </w:tr>
    </w:tbl>
    <w:p w:rsidR="00EE3964" w:rsidRPr="002531C5" w:rsidRDefault="00EE3964" w:rsidP="00EE3964">
      <w:pPr>
        <w:pStyle w:val="LDAmendInstruction"/>
      </w:pPr>
      <w:proofErr w:type="gramStart"/>
      <w:r w:rsidRPr="002531C5">
        <w:lastRenderedPageBreak/>
        <w:t>insert</w:t>
      </w:r>
      <w:proofErr w:type="gramEnd"/>
    </w:p>
    <w:tbl>
      <w:tblPr>
        <w:tblW w:w="4500" w:type="pct"/>
        <w:tblInd w:w="6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6031"/>
      </w:tblGrid>
      <w:tr w:rsidR="00EE3964" w:rsidRPr="002531C5" w:rsidTr="0096147C">
        <w:tc>
          <w:tcPr>
            <w:tcW w:w="1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964" w:rsidRPr="002531C5" w:rsidRDefault="00EE3964" w:rsidP="0096147C">
            <w:pPr>
              <w:pStyle w:val="LDTabletext"/>
              <w:rPr>
                <w:lang w:eastAsia="en-AU"/>
              </w:rPr>
            </w:pPr>
            <w:r w:rsidRPr="002531C5">
              <w:rPr>
                <w:lang w:eastAsia="en-AU"/>
              </w:rPr>
              <w:t>MSC.252(83)</w:t>
            </w:r>
          </w:p>
        </w:tc>
        <w:tc>
          <w:tcPr>
            <w:tcW w:w="3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964" w:rsidRPr="002531C5" w:rsidRDefault="00EE3964" w:rsidP="0096147C">
            <w:pPr>
              <w:pStyle w:val="LDTabletext"/>
              <w:rPr>
                <w:lang w:eastAsia="en-AU"/>
              </w:rPr>
            </w:pPr>
            <w:r w:rsidRPr="002531C5">
              <w:rPr>
                <w:i/>
                <w:iCs/>
                <w:lang w:eastAsia="en-AU"/>
              </w:rPr>
              <w:t>Adoption of the revised performance standards for integrated navigation systems (INS)</w:t>
            </w:r>
          </w:p>
          <w:p w:rsidR="00EE3964" w:rsidRPr="002531C5" w:rsidRDefault="00EE3964" w:rsidP="0096147C">
            <w:pPr>
              <w:pStyle w:val="LDTabletext"/>
              <w:rPr>
                <w:sz w:val="20"/>
                <w:szCs w:val="20"/>
                <w:lang w:eastAsia="en-AU"/>
              </w:rPr>
            </w:pPr>
            <w:r w:rsidRPr="002531C5">
              <w:rPr>
                <w:i/>
                <w:iCs/>
                <w:sz w:val="20"/>
                <w:szCs w:val="20"/>
                <w:lang w:eastAsia="en-AU"/>
              </w:rPr>
              <w:t>Note 1</w:t>
            </w:r>
            <w:r w:rsidRPr="002531C5">
              <w:rPr>
                <w:sz w:val="20"/>
                <w:szCs w:val="20"/>
                <w:lang w:eastAsia="en-AU"/>
              </w:rPr>
              <w:t xml:space="preserve">   An INS installed after 31 December 2010 must conform to performance standards mentioned in </w:t>
            </w:r>
            <w:proofErr w:type="gramStart"/>
            <w:r w:rsidRPr="002531C5">
              <w:rPr>
                <w:sz w:val="20"/>
                <w:szCs w:val="20"/>
                <w:lang w:eastAsia="en-AU"/>
              </w:rPr>
              <w:t>MSC.252(</w:t>
            </w:r>
            <w:proofErr w:type="gramEnd"/>
            <w:r w:rsidRPr="002531C5">
              <w:rPr>
                <w:sz w:val="20"/>
                <w:szCs w:val="20"/>
                <w:lang w:eastAsia="en-AU"/>
              </w:rPr>
              <w:t>83).</w:t>
            </w:r>
          </w:p>
          <w:p w:rsidR="00EE3964" w:rsidRPr="002531C5" w:rsidRDefault="00EE3964" w:rsidP="0096147C">
            <w:pPr>
              <w:pStyle w:val="LDTabletext"/>
              <w:rPr>
                <w:sz w:val="20"/>
                <w:szCs w:val="20"/>
                <w:lang w:eastAsia="en-AU"/>
              </w:rPr>
            </w:pPr>
            <w:r w:rsidRPr="002531C5">
              <w:rPr>
                <w:i/>
                <w:sz w:val="20"/>
                <w:szCs w:val="20"/>
                <w:lang w:eastAsia="en-AU"/>
              </w:rPr>
              <w:t>Note 2   </w:t>
            </w:r>
            <w:r w:rsidRPr="002531C5">
              <w:rPr>
                <w:sz w:val="20"/>
                <w:szCs w:val="20"/>
                <w:lang w:eastAsia="en-AU"/>
              </w:rPr>
              <w:t>Regulation 18 of Chapter V of SOLAS requires type approved navigation systems that conform to appropriate performance standards.</w:t>
            </w:r>
          </w:p>
        </w:tc>
      </w:tr>
      <w:tr w:rsidR="00EE3964" w:rsidRPr="002531C5" w:rsidTr="0096147C">
        <w:tc>
          <w:tcPr>
            <w:tcW w:w="1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964" w:rsidRPr="002531C5" w:rsidRDefault="00EE3964" w:rsidP="0096147C">
            <w:pPr>
              <w:pStyle w:val="LDTabletext"/>
              <w:rPr>
                <w:lang w:eastAsia="en-AU"/>
              </w:rPr>
            </w:pPr>
            <w:r w:rsidRPr="002531C5">
              <w:rPr>
                <w:lang w:eastAsia="en-AU"/>
              </w:rPr>
              <w:t>MSC.452(99)</w:t>
            </w:r>
          </w:p>
        </w:tc>
        <w:tc>
          <w:tcPr>
            <w:tcW w:w="3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964" w:rsidRPr="002531C5" w:rsidRDefault="00EE3964" w:rsidP="0096147C">
            <w:pPr>
              <w:pStyle w:val="LDTabletext"/>
              <w:rPr>
                <w:i/>
                <w:iCs/>
                <w:lang w:eastAsia="en-AU"/>
              </w:rPr>
            </w:pPr>
            <w:r w:rsidRPr="002531C5">
              <w:rPr>
                <w:i/>
                <w:iCs/>
                <w:lang w:eastAsia="en-AU"/>
              </w:rPr>
              <w:t>Revised performance standards for integrated navigation systems (INS) (Resolution MSC.252(83))</w:t>
            </w:r>
          </w:p>
        </w:tc>
      </w:tr>
    </w:tbl>
    <w:p w:rsidR="00920CC1" w:rsidRPr="002531C5" w:rsidRDefault="00C70285" w:rsidP="00920CC1">
      <w:pPr>
        <w:pStyle w:val="LDAmendHeading"/>
      </w:pPr>
      <w:r w:rsidRPr="002531C5">
        <w:t>[</w:t>
      </w:r>
      <w:r w:rsidR="00555B42">
        <w:rPr>
          <w:noProof/>
        </w:rPr>
        <w:t>9</w:t>
      </w:r>
      <w:r w:rsidRPr="002531C5">
        <w:t>]</w:t>
      </w:r>
      <w:r w:rsidRPr="002531C5">
        <w:tab/>
      </w:r>
      <w:r w:rsidR="00920CC1" w:rsidRPr="002531C5">
        <w:t>Schedule 4, item A.1 of table</w:t>
      </w:r>
    </w:p>
    <w:p w:rsidR="00920CC1" w:rsidRPr="002531C5" w:rsidRDefault="00DA4C22" w:rsidP="00920CC1">
      <w:pPr>
        <w:pStyle w:val="LDAmendInstruction"/>
      </w:pPr>
      <w:proofErr w:type="gramStart"/>
      <w:r w:rsidRPr="002531C5">
        <w:t>omit</w:t>
      </w:r>
      <w:proofErr w:type="gramEnd"/>
    </w:p>
    <w:tbl>
      <w:tblPr>
        <w:tblW w:w="9096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2410"/>
        <w:gridCol w:w="1701"/>
        <w:gridCol w:w="3980"/>
      </w:tblGrid>
      <w:tr w:rsidR="00DA4C22" w:rsidRPr="002531C5" w:rsidTr="00436A91">
        <w:trPr>
          <w:cantSplit/>
          <w:jc w:val="center"/>
        </w:trPr>
        <w:tc>
          <w:tcPr>
            <w:tcW w:w="1005" w:type="dxa"/>
          </w:tcPr>
          <w:p w:rsidR="00DA4C22" w:rsidRPr="002531C5" w:rsidRDefault="00DA4C22">
            <w:pPr>
              <w:pStyle w:val="LDTabletext"/>
              <w:rPr>
                <w:rFonts w:ascii="CG Times" w:hAnsi="CG Times"/>
              </w:rPr>
            </w:pPr>
          </w:p>
        </w:tc>
        <w:tc>
          <w:tcPr>
            <w:tcW w:w="2410" w:type="dxa"/>
            <w:hideMark/>
          </w:tcPr>
          <w:p w:rsidR="00DA4C22" w:rsidRPr="002531C5" w:rsidRDefault="00DA4C22">
            <w:pPr>
              <w:pStyle w:val="TableText"/>
            </w:pPr>
            <w:r w:rsidRPr="002531C5">
              <w:t>2182 kHz</w:t>
            </w:r>
          </w:p>
        </w:tc>
        <w:tc>
          <w:tcPr>
            <w:tcW w:w="1701" w:type="dxa"/>
            <w:hideMark/>
          </w:tcPr>
          <w:p w:rsidR="00DA4C22" w:rsidRPr="002531C5" w:rsidRDefault="00DA4C22">
            <w:pPr>
              <w:pStyle w:val="TableText"/>
            </w:pPr>
            <w:r w:rsidRPr="002531C5">
              <w:t>2182 kHz</w:t>
            </w:r>
          </w:p>
        </w:tc>
        <w:tc>
          <w:tcPr>
            <w:tcW w:w="3980" w:type="dxa"/>
          </w:tcPr>
          <w:p w:rsidR="00DA4C22" w:rsidRPr="002531C5" w:rsidRDefault="00DA4C22">
            <w:pPr>
              <w:pStyle w:val="TableText"/>
            </w:pPr>
          </w:p>
        </w:tc>
      </w:tr>
    </w:tbl>
    <w:p w:rsidR="00DA4C22" w:rsidRPr="002531C5" w:rsidRDefault="00DA4C22" w:rsidP="00DA4C22">
      <w:pPr>
        <w:pStyle w:val="LDAmendInstruction"/>
      </w:pPr>
      <w:proofErr w:type="gramStart"/>
      <w:r w:rsidRPr="002531C5">
        <w:t>insert</w:t>
      </w:r>
      <w:proofErr w:type="gramEnd"/>
    </w:p>
    <w:tbl>
      <w:tblPr>
        <w:tblW w:w="9096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2410"/>
        <w:gridCol w:w="1701"/>
        <w:gridCol w:w="3980"/>
      </w:tblGrid>
      <w:tr w:rsidR="00DA4C22" w:rsidRPr="002531C5" w:rsidTr="00436A91">
        <w:trPr>
          <w:cantSplit/>
          <w:jc w:val="center"/>
        </w:trPr>
        <w:tc>
          <w:tcPr>
            <w:tcW w:w="1005" w:type="dxa"/>
          </w:tcPr>
          <w:p w:rsidR="00DA4C22" w:rsidRPr="002531C5" w:rsidRDefault="00DA4C22">
            <w:pPr>
              <w:pStyle w:val="LDTabletext"/>
              <w:rPr>
                <w:rFonts w:ascii="CG Times" w:hAnsi="CG Times"/>
              </w:rPr>
            </w:pPr>
          </w:p>
        </w:tc>
        <w:tc>
          <w:tcPr>
            <w:tcW w:w="2410" w:type="dxa"/>
            <w:hideMark/>
          </w:tcPr>
          <w:p w:rsidR="00DA4C22" w:rsidRPr="002531C5" w:rsidRDefault="00DA4C22">
            <w:pPr>
              <w:pStyle w:val="TableText"/>
            </w:pPr>
            <w:r w:rsidRPr="002531C5">
              <w:t>2182 kHz</w:t>
            </w:r>
          </w:p>
        </w:tc>
        <w:tc>
          <w:tcPr>
            <w:tcW w:w="1701" w:type="dxa"/>
            <w:hideMark/>
          </w:tcPr>
          <w:p w:rsidR="00DA4C22" w:rsidRPr="002531C5" w:rsidRDefault="00DA4C22">
            <w:pPr>
              <w:pStyle w:val="TableText"/>
            </w:pPr>
            <w:r w:rsidRPr="002531C5">
              <w:t>2182 kHz</w:t>
            </w:r>
          </w:p>
        </w:tc>
        <w:tc>
          <w:tcPr>
            <w:tcW w:w="3980" w:type="dxa"/>
          </w:tcPr>
          <w:p w:rsidR="00DA4C22" w:rsidRPr="002531C5" w:rsidRDefault="00BB1382" w:rsidP="0096147C">
            <w:pPr>
              <w:pStyle w:val="TableText"/>
            </w:pPr>
            <w:r w:rsidRPr="002531C5">
              <w:rPr>
                <w:rFonts w:cs="Arial"/>
                <w:bCs/>
                <w:lang w:eastAsia="en-AU"/>
              </w:rPr>
              <w:t>T</w:t>
            </w:r>
            <w:r w:rsidR="0096147C" w:rsidRPr="002531C5">
              <w:rPr>
                <w:rFonts w:cs="Arial"/>
                <w:bCs/>
                <w:lang w:eastAsia="en-AU"/>
              </w:rPr>
              <w:t>he IMO no longer recommends the monitoring of MF frequency</w:t>
            </w:r>
            <w:r w:rsidRPr="002531C5">
              <w:rPr>
                <w:rFonts w:cs="Arial"/>
                <w:bCs/>
                <w:lang w:eastAsia="en-AU"/>
              </w:rPr>
              <w:t xml:space="preserve"> </w:t>
            </w:r>
            <w:r w:rsidR="00DA4C22" w:rsidRPr="002531C5">
              <w:rPr>
                <w:rFonts w:cs="Arial"/>
                <w:bCs/>
                <w:lang w:eastAsia="en-AU"/>
              </w:rPr>
              <w:t xml:space="preserve">2182 kHz </w:t>
            </w:r>
            <w:r w:rsidRPr="002531C5">
              <w:rPr>
                <w:rFonts w:cs="Arial"/>
                <w:bCs/>
                <w:lang w:eastAsia="en-AU"/>
              </w:rPr>
              <w:t xml:space="preserve">by international sea going vessels for </w:t>
            </w:r>
            <w:r w:rsidR="00DA4C22" w:rsidRPr="002531C5">
              <w:rPr>
                <w:rFonts w:cs="Arial"/>
                <w:bCs/>
                <w:lang w:eastAsia="en-AU"/>
              </w:rPr>
              <w:t>distress and sa</w:t>
            </w:r>
            <w:r w:rsidRPr="002531C5">
              <w:rPr>
                <w:rFonts w:cs="Arial"/>
                <w:bCs/>
                <w:lang w:eastAsia="en-AU"/>
              </w:rPr>
              <w:t>fety</w:t>
            </w:r>
            <w:r w:rsidR="00DA4C22" w:rsidRPr="002531C5">
              <w:rPr>
                <w:rFonts w:cs="Arial"/>
                <w:bCs/>
                <w:lang w:eastAsia="en-AU"/>
              </w:rPr>
              <w:t xml:space="preserve">. </w:t>
            </w:r>
            <w:r w:rsidR="00205009" w:rsidRPr="002531C5">
              <w:rPr>
                <w:rFonts w:cs="Arial"/>
                <w:bCs/>
                <w:lang w:eastAsia="en-AU"/>
              </w:rPr>
              <w:t>I</w:t>
            </w:r>
            <w:r w:rsidRPr="002531C5">
              <w:rPr>
                <w:rFonts w:cs="Arial"/>
                <w:bCs/>
                <w:lang w:eastAsia="en-AU"/>
              </w:rPr>
              <w:t>n Australia</w:t>
            </w:r>
            <w:r w:rsidR="00634585" w:rsidRPr="002531C5">
              <w:rPr>
                <w:rFonts w:cs="Arial"/>
                <w:bCs/>
                <w:lang w:eastAsia="en-AU"/>
              </w:rPr>
              <w:t>,</w:t>
            </w:r>
            <w:r w:rsidRPr="002531C5">
              <w:rPr>
                <w:rFonts w:cs="Arial"/>
                <w:bCs/>
                <w:lang w:eastAsia="en-AU"/>
              </w:rPr>
              <w:t xml:space="preserve"> </w:t>
            </w:r>
            <w:r w:rsidR="00634585" w:rsidRPr="002531C5">
              <w:rPr>
                <w:rFonts w:cs="Arial"/>
                <w:bCs/>
                <w:lang w:eastAsia="en-AU"/>
              </w:rPr>
              <w:t xml:space="preserve">coast </w:t>
            </w:r>
            <w:r w:rsidR="0096147C" w:rsidRPr="002531C5">
              <w:rPr>
                <w:rFonts w:cs="Arial"/>
                <w:bCs/>
                <w:lang w:eastAsia="en-AU"/>
              </w:rPr>
              <w:t xml:space="preserve">radio </w:t>
            </w:r>
            <w:r w:rsidR="00634585" w:rsidRPr="002531C5">
              <w:rPr>
                <w:rFonts w:cs="Arial"/>
                <w:bCs/>
                <w:lang w:eastAsia="en-AU"/>
              </w:rPr>
              <w:t>station</w:t>
            </w:r>
            <w:r w:rsidR="00CD2B94" w:rsidRPr="002531C5">
              <w:rPr>
                <w:rFonts w:cs="Arial"/>
                <w:bCs/>
                <w:lang w:eastAsia="en-AU"/>
              </w:rPr>
              <w:t>s</w:t>
            </w:r>
            <w:r w:rsidR="00634585" w:rsidRPr="002531C5">
              <w:rPr>
                <w:rFonts w:cs="Arial"/>
                <w:bCs/>
                <w:lang w:eastAsia="en-AU"/>
              </w:rPr>
              <w:t xml:space="preserve"> </w:t>
            </w:r>
            <w:r w:rsidR="0096147C" w:rsidRPr="002531C5">
              <w:rPr>
                <w:rFonts w:cs="Arial"/>
                <w:bCs/>
                <w:lang w:eastAsia="en-AU"/>
              </w:rPr>
              <w:t>and volunteer marine rescue</w:t>
            </w:r>
            <w:r w:rsidR="00FB7334" w:rsidRPr="002531C5">
              <w:rPr>
                <w:rFonts w:cs="Arial"/>
                <w:bCs/>
                <w:lang w:eastAsia="en-AU"/>
              </w:rPr>
              <w:t xml:space="preserve"> organisations</w:t>
            </w:r>
            <w:r w:rsidR="0096147C" w:rsidRPr="002531C5">
              <w:rPr>
                <w:rFonts w:cs="Arial"/>
                <w:bCs/>
                <w:lang w:eastAsia="en-AU"/>
              </w:rPr>
              <w:t xml:space="preserve"> </w:t>
            </w:r>
            <w:r w:rsidR="00634585" w:rsidRPr="002531C5">
              <w:rPr>
                <w:rFonts w:cs="Arial"/>
                <w:bCs/>
                <w:lang w:eastAsia="en-AU"/>
              </w:rPr>
              <w:t xml:space="preserve">do </w:t>
            </w:r>
            <w:r w:rsidR="00205009" w:rsidRPr="002531C5">
              <w:rPr>
                <w:rFonts w:cs="Arial"/>
                <w:bCs/>
                <w:lang w:eastAsia="en-AU"/>
              </w:rPr>
              <w:t xml:space="preserve">not </w:t>
            </w:r>
            <w:r w:rsidR="00DA4C22" w:rsidRPr="002531C5">
              <w:rPr>
                <w:rFonts w:cs="Arial"/>
                <w:bCs/>
                <w:lang w:eastAsia="en-AU"/>
              </w:rPr>
              <w:t>continuously monitor</w:t>
            </w:r>
            <w:r w:rsidR="00634585" w:rsidRPr="002531C5">
              <w:rPr>
                <w:rFonts w:cs="Arial"/>
                <w:bCs/>
                <w:lang w:eastAsia="en-AU"/>
              </w:rPr>
              <w:t xml:space="preserve"> 2182 kHz.</w:t>
            </w:r>
          </w:p>
        </w:tc>
      </w:tr>
    </w:tbl>
    <w:p w:rsidR="00920CC1" w:rsidRPr="002531C5" w:rsidRDefault="00920CC1" w:rsidP="00920CC1">
      <w:pPr>
        <w:pStyle w:val="LDAmendHeading"/>
      </w:pPr>
      <w:r w:rsidRPr="002531C5">
        <w:t>[</w:t>
      </w:r>
      <w:r w:rsidR="00555B42">
        <w:rPr>
          <w:noProof/>
        </w:rPr>
        <w:t>10</w:t>
      </w:r>
      <w:r w:rsidRPr="002531C5">
        <w:t>]</w:t>
      </w:r>
      <w:r w:rsidRPr="002531C5">
        <w:tab/>
        <w:t>S</w:t>
      </w:r>
      <w:r w:rsidR="00D2474B" w:rsidRPr="002531C5">
        <w:t>chedule 4, item A.6</w:t>
      </w:r>
      <w:r w:rsidRPr="002531C5">
        <w:t xml:space="preserve"> of table</w:t>
      </w:r>
    </w:p>
    <w:p w:rsidR="00920CC1" w:rsidRPr="002531C5" w:rsidRDefault="00920CC1" w:rsidP="00920CC1">
      <w:pPr>
        <w:pStyle w:val="LDAmendInstruction"/>
      </w:pPr>
      <w:proofErr w:type="gramStart"/>
      <w:r w:rsidRPr="002531C5">
        <w:t>omit</w:t>
      </w:r>
      <w:proofErr w:type="gramEnd"/>
    </w:p>
    <w:tbl>
      <w:tblPr>
        <w:tblW w:w="9096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2410"/>
        <w:gridCol w:w="2126"/>
        <w:gridCol w:w="3555"/>
      </w:tblGrid>
      <w:tr w:rsidR="001B28A6" w:rsidRPr="002531C5" w:rsidTr="00436A91">
        <w:trPr>
          <w:cantSplit/>
          <w:trHeight w:val="559"/>
          <w:jc w:val="center"/>
        </w:trPr>
        <w:tc>
          <w:tcPr>
            <w:tcW w:w="1005" w:type="dxa"/>
          </w:tcPr>
          <w:p w:rsidR="001B28A6" w:rsidRPr="002531C5" w:rsidRDefault="001B28A6">
            <w:pPr>
              <w:pStyle w:val="TableText"/>
            </w:pPr>
          </w:p>
        </w:tc>
        <w:tc>
          <w:tcPr>
            <w:tcW w:w="2410" w:type="dxa"/>
            <w:hideMark/>
          </w:tcPr>
          <w:p w:rsidR="001B28A6" w:rsidRPr="002531C5" w:rsidRDefault="001B28A6">
            <w:pPr>
              <w:pStyle w:val="TableText"/>
            </w:pPr>
            <w:r w:rsidRPr="002531C5">
              <w:t xml:space="preserve">1626.5 </w:t>
            </w:r>
            <w:r w:rsidR="008D3A9D" w:rsidRPr="002531C5">
              <w:t xml:space="preserve">– </w:t>
            </w:r>
            <w:r w:rsidRPr="002531C5">
              <w:t>1660.5 MHz</w:t>
            </w:r>
          </w:p>
        </w:tc>
        <w:tc>
          <w:tcPr>
            <w:tcW w:w="2126" w:type="dxa"/>
            <w:hideMark/>
          </w:tcPr>
          <w:p w:rsidR="001B28A6" w:rsidRPr="002531C5" w:rsidRDefault="001B28A6">
            <w:pPr>
              <w:pStyle w:val="TableText"/>
            </w:pPr>
            <w:r w:rsidRPr="002531C5">
              <w:t>1525 – 1559 MHz</w:t>
            </w:r>
          </w:p>
        </w:tc>
        <w:tc>
          <w:tcPr>
            <w:tcW w:w="3555" w:type="dxa"/>
          </w:tcPr>
          <w:p w:rsidR="001B28A6" w:rsidRPr="002531C5" w:rsidRDefault="001B28A6" w:rsidP="003E6D7E">
            <w:pPr>
              <w:pStyle w:val="LDTabletext"/>
            </w:pPr>
          </w:p>
        </w:tc>
      </w:tr>
    </w:tbl>
    <w:p w:rsidR="001B28A6" w:rsidRPr="002531C5" w:rsidRDefault="001B28A6" w:rsidP="001B28A6">
      <w:pPr>
        <w:pStyle w:val="LDAmendInstruction"/>
      </w:pPr>
      <w:proofErr w:type="gramStart"/>
      <w:r w:rsidRPr="002531C5">
        <w:t>insert</w:t>
      </w:r>
      <w:proofErr w:type="gramEnd"/>
    </w:p>
    <w:tbl>
      <w:tblPr>
        <w:tblW w:w="9096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2410"/>
        <w:gridCol w:w="2126"/>
        <w:gridCol w:w="3555"/>
      </w:tblGrid>
      <w:tr w:rsidR="001B28A6" w:rsidRPr="002531C5" w:rsidTr="00436A91">
        <w:trPr>
          <w:cantSplit/>
          <w:trHeight w:val="559"/>
          <w:jc w:val="center"/>
        </w:trPr>
        <w:tc>
          <w:tcPr>
            <w:tcW w:w="1005" w:type="dxa"/>
          </w:tcPr>
          <w:p w:rsidR="001B28A6" w:rsidRPr="002531C5" w:rsidRDefault="001B28A6">
            <w:pPr>
              <w:pStyle w:val="TableText"/>
            </w:pPr>
          </w:p>
        </w:tc>
        <w:tc>
          <w:tcPr>
            <w:tcW w:w="2410" w:type="dxa"/>
            <w:hideMark/>
          </w:tcPr>
          <w:p w:rsidR="001B28A6" w:rsidRPr="002531C5" w:rsidRDefault="001B28A6">
            <w:pPr>
              <w:pStyle w:val="TableText"/>
            </w:pPr>
            <w:r w:rsidRPr="002531C5">
              <w:rPr>
                <w:rFonts w:cs="Arial"/>
                <w:bCs/>
                <w:lang w:eastAsia="en-AU"/>
              </w:rPr>
              <w:t xml:space="preserve">1626.5 – 1645.4 </w:t>
            </w:r>
            <w:r w:rsidRPr="002531C5">
              <w:t>MHz</w:t>
            </w:r>
          </w:p>
        </w:tc>
        <w:tc>
          <w:tcPr>
            <w:tcW w:w="2126" w:type="dxa"/>
            <w:hideMark/>
          </w:tcPr>
          <w:p w:rsidR="001B28A6" w:rsidRPr="002531C5" w:rsidRDefault="001B28A6">
            <w:pPr>
              <w:pStyle w:val="TableText"/>
            </w:pPr>
            <w:r w:rsidRPr="002531C5">
              <w:rPr>
                <w:rFonts w:cs="Arial"/>
                <w:bCs/>
                <w:lang w:eastAsia="en-AU"/>
              </w:rPr>
              <w:t xml:space="preserve">1530 – 1544 </w:t>
            </w:r>
            <w:r w:rsidRPr="002531C5">
              <w:t>MHz</w:t>
            </w:r>
          </w:p>
        </w:tc>
        <w:tc>
          <w:tcPr>
            <w:tcW w:w="3555" w:type="dxa"/>
          </w:tcPr>
          <w:p w:rsidR="001B28A6" w:rsidRPr="002531C5" w:rsidRDefault="001B28A6" w:rsidP="003E6D7E">
            <w:pPr>
              <w:pStyle w:val="LDTabletext"/>
            </w:pPr>
          </w:p>
        </w:tc>
      </w:tr>
    </w:tbl>
    <w:p w:rsidR="008D3A9D" w:rsidRPr="002531C5" w:rsidRDefault="008D3A9D" w:rsidP="008D3A9D">
      <w:pPr>
        <w:pStyle w:val="LDAmendHeading"/>
      </w:pPr>
      <w:r w:rsidRPr="002531C5">
        <w:t>[</w:t>
      </w:r>
      <w:r w:rsidR="00555B42">
        <w:rPr>
          <w:noProof/>
        </w:rPr>
        <w:t>11</w:t>
      </w:r>
      <w:r w:rsidRPr="002531C5">
        <w:t>]</w:t>
      </w:r>
      <w:r w:rsidRPr="002531C5">
        <w:tab/>
        <w:t>Schedule 4, item B.3 of table</w:t>
      </w:r>
    </w:p>
    <w:p w:rsidR="008D3A9D" w:rsidRPr="002531C5" w:rsidRDefault="008D3A9D" w:rsidP="008D3A9D">
      <w:pPr>
        <w:pStyle w:val="LDAmendInstruction"/>
      </w:pPr>
      <w:proofErr w:type="gramStart"/>
      <w:r w:rsidRPr="002531C5">
        <w:t>omit</w:t>
      </w:r>
      <w:proofErr w:type="gramEnd"/>
    </w:p>
    <w:tbl>
      <w:tblPr>
        <w:tblW w:w="9096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2410"/>
        <w:gridCol w:w="2126"/>
        <w:gridCol w:w="3555"/>
      </w:tblGrid>
      <w:tr w:rsidR="008D3A9D" w:rsidRPr="002531C5" w:rsidTr="00436A91">
        <w:trPr>
          <w:cantSplit/>
          <w:trHeight w:val="559"/>
          <w:jc w:val="center"/>
        </w:trPr>
        <w:tc>
          <w:tcPr>
            <w:tcW w:w="1005" w:type="dxa"/>
          </w:tcPr>
          <w:p w:rsidR="008D3A9D" w:rsidRPr="002531C5" w:rsidRDefault="008D3A9D" w:rsidP="0096147C">
            <w:pPr>
              <w:pStyle w:val="TableText"/>
            </w:pPr>
          </w:p>
        </w:tc>
        <w:tc>
          <w:tcPr>
            <w:tcW w:w="2410" w:type="dxa"/>
            <w:hideMark/>
          </w:tcPr>
          <w:p w:rsidR="008D3A9D" w:rsidRPr="002531C5" w:rsidRDefault="008D3A9D" w:rsidP="0096147C">
            <w:pPr>
              <w:pStyle w:val="TableText"/>
            </w:pPr>
            <w:r w:rsidRPr="002531C5">
              <w:t>1626.5 – 1660.5 MHz</w:t>
            </w:r>
          </w:p>
        </w:tc>
        <w:tc>
          <w:tcPr>
            <w:tcW w:w="2126" w:type="dxa"/>
            <w:hideMark/>
          </w:tcPr>
          <w:p w:rsidR="008D3A9D" w:rsidRPr="002531C5" w:rsidRDefault="008D3A9D" w:rsidP="0096147C">
            <w:pPr>
              <w:pStyle w:val="TableText"/>
            </w:pPr>
            <w:r w:rsidRPr="002531C5">
              <w:t>1525 – 1559 MHz</w:t>
            </w:r>
          </w:p>
        </w:tc>
        <w:tc>
          <w:tcPr>
            <w:tcW w:w="3555" w:type="dxa"/>
          </w:tcPr>
          <w:p w:rsidR="008D3A9D" w:rsidRPr="002531C5" w:rsidRDefault="008D3A9D" w:rsidP="003E6D7E">
            <w:pPr>
              <w:pStyle w:val="LDTabletext"/>
            </w:pPr>
          </w:p>
        </w:tc>
      </w:tr>
    </w:tbl>
    <w:p w:rsidR="008D3A9D" w:rsidRPr="002531C5" w:rsidRDefault="008D3A9D" w:rsidP="008D3A9D">
      <w:pPr>
        <w:pStyle w:val="LDAmendInstruction"/>
      </w:pPr>
      <w:proofErr w:type="gramStart"/>
      <w:r w:rsidRPr="002531C5">
        <w:t>insert</w:t>
      </w:r>
      <w:proofErr w:type="gramEnd"/>
    </w:p>
    <w:tbl>
      <w:tblPr>
        <w:tblW w:w="9096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2410"/>
        <w:gridCol w:w="2126"/>
        <w:gridCol w:w="3555"/>
      </w:tblGrid>
      <w:tr w:rsidR="008D3A9D" w:rsidRPr="002531C5" w:rsidTr="00436A91">
        <w:trPr>
          <w:cantSplit/>
          <w:trHeight w:val="559"/>
          <w:jc w:val="center"/>
        </w:trPr>
        <w:tc>
          <w:tcPr>
            <w:tcW w:w="1005" w:type="dxa"/>
          </w:tcPr>
          <w:p w:rsidR="008D3A9D" w:rsidRPr="002531C5" w:rsidRDefault="008D3A9D" w:rsidP="0096147C">
            <w:pPr>
              <w:pStyle w:val="TableText"/>
            </w:pPr>
          </w:p>
        </w:tc>
        <w:tc>
          <w:tcPr>
            <w:tcW w:w="2410" w:type="dxa"/>
            <w:hideMark/>
          </w:tcPr>
          <w:p w:rsidR="008D3A9D" w:rsidRPr="002531C5" w:rsidRDefault="008D3A9D" w:rsidP="0096147C">
            <w:pPr>
              <w:pStyle w:val="TableText"/>
            </w:pPr>
            <w:r w:rsidRPr="002531C5">
              <w:t xml:space="preserve">1626.5 </w:t>
            </w:r>
            <w:r w:rsidR="00865DAF" w:rsidRPr="002531C5">
              <w:t xml:space="preserve">– </w:t>
            </w:r>
            <w:r w:rsidRPr="002531C5">
              <w:t>1645.5 MHz</w:t>
            </w:r>
          </w:p>
        </w:tc>
        <w:tc>
          <w:tcPr>
            <w:tcW w:w="2126" w:type="dxa"/>
            <w:hideMark/>
          </w:tcPr>
          <w:p w:rsidR="008D3A9D" w:rsidRPr="002531C5" w:rsidRDefault="008D3A9D" w:rsidP="0096147C">
            <w:pPr>
              <w:pStyle w:val="TableText"/>
            </w:pPr>
            <w:r w:rsidRPr="002531C5">
              <w:t>1530 – 1544 MHz</w:t>
            </w:r>
          </w:p>
        </w:tc>
        <w:tc>
          <w:tcPr>
            <w:tcW w:w="3555" w:type="dxa"/>
          </w:tcPr>
          <w:p w:rsidR="008D3A9D" w:rsidRPr="002531C5" w:rsidRDefault="008D3A9D" w:rsidP="003E6D7E">
            <w:pPr>
              <w:pStyle w:val="LDTabletext"/>
            </w:pPr>
          </w:p>
        </w:tc>
      </w:tr>
    </w:tbl>
    <w:p w:rsidR="00FC7940" w:rsidRPr="002531C5" w:rsidRDefault="00920CC1" w:rsidP="00E4142C">
      <w:pPr>
        <w:pStyle w:val="LDAmendHeading"/>
      </w:pPr>
      <w:r w:rsidRPr="002531C5">
        <w:t>[</w:t>
      </w:r>
      <w:r w:rsidR="00555B42">
        <w:rPr>
          <w:noProof/>
        </w:rPr>
        <w:t>12</w:t>
      </w:r>
      <w:r w:rsidRPr="002531C5">
        <w:t>]</w:t>
      </w:r>
      <w:r w:rsidRPr="002531C5">
        <w:tab/>
      </w:r>
      <w:r w:rsidR="008E1F95" w:rsidRPr="002531C5">
        <w:t>Other amendments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58"/>
        <w:gridCol w:w="3495"/>
      </w:tblGrid>
      <w:tr w:rsidR="008E1F95" w:rsidRPr="002531C5" w:rsidTr="00E4142C">
        <w:trPr>
          <w:tblHeader/>
        </w:trPr>
        <w:tc>
          <w:tcPr>
            <w:tcW w:w="2552" w:type="dxa"/>
            <w:tcBorders>
              <w:bottom w:val="single" w:sz="4" w:space="0" w:color="auto"/>
            </w:tcBorders>
          </w:tcPr>
          <w:p w:rsidR="008E1F95" w:rsidRPr="002531C5" w:rsidRDefault="008E1F95" w:rsidP="0096147C">
            <w:pPr>
              <w:pStyle w:val="LDTableheading"/>
              <w:rPr>
                <w:rFonts w:ascii="Times New Roman" w:hAnsi="Times New Roman"/>
                <w:b w:val="0"/>
                <w:i/>
              </w:rPr>
            </w:pPr>
            <w:r w:rsidRPr="002531C5">
              <w:rPr>
                <w:rFonts w:ascii="Times New Roman" w:hAnsi="Times New Roman"/>
                <w:b w:val="0"/>
                <w:i/>
              </w:rPr>
              <w:t>provision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E1F95" w:rsidRPr="002531C5" w:rsidRDefault="008E1F95" w:rsidP="008E1F95">
            <w:pPr>
              <w:pStyle w:val="LDTableheading"/>
              <w:rPr>
                <w:rFonts w:ascii="Times New Roman" w:hAnsi="Times New Roman"/>
                <w:b w:val="0"/>
                <w:i/>
              </w:rPr>
            </w:pPr>
            <w:r w:rsidRPr="002531C5">
              <w:rPr>
                <w:rFonts w:ascii="Times New Roman" w:hAnsi="Times New Roman"/>
                <w:b w:val="0"/>
                <w:i/>
              </w:rPr>
              <w:t>omit mention of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8E1F95" w:rsidRPr="002531C5" w:rsidRDefault="008E1F95" w:rsidP="0096147C">
            <w:pPr>
              <w:pStyle w:val="LDTableheading"/>
              <w:rPr>
                <w:rFonts w:ascii="Times New Roman" w:hAnsi="Times New Roman"/>
                <w:b w:val="0"/>
                <w:i/>
              </w:rPr>
            </w:pPr>
            <w:r w:rsidRPr="002531C5">
              <w:rPr>
                <w:rFonts w:ascii="Times New Roman" w:hAnsi="Times New Roman"/>
                <w:b w:val="0"/>
                <w:i/>
              </w:rPr>
              <w:t>insert</w:t>
            </w:r>
          </w:p>
        </w:tc>
      </w:tr>
      <w:tr w:rsidR="00E4142C" w:rsidRPr="002531C5" w:rsidTr="00E4142C">
        <w:tc>
          <w:tcPr>
            <w:tcW w:w="2552" w:type="dxa"/>
            <w:tcBorders>
              <w:top w:val="single" w:sz="4" w:space="0" w:color="auto"/>
            </w:tcBorders>
          </w:tcPr>
          <w:p w:rsidR="00E4142C" w:rsidRPr="002531C5" w:rsidRDefault="00E4142C" w:rsidP="00C37E6E">
            <w:pPr>
              <w:pStyle w:val="LDTabletext"/>
            </w:pPr>
            <w:r w:rsidRPr="002531C5">
              <w:t>Paragraph 26(8)(</w:t>
            </w:r>
            <w:proofErr w:type="spellStart"/>
            <w:r w:rsidRPr="002531C5">
              <w:t>i</w:t>
            </w:r>
            <w:proofErr w:type="spellEnd"/>
            <w:r w:rsidRPr="002531C5">
              <w:t>)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E4142C" w:rsidRPr="002531C5" w:rsidRDefault="00E4142C" w:rsidP="00E4142C">
            <w:pPr>
              <w:pStyle w:val="LDTabletext"/>
            </w:pPr>
            <w:r w:rsidRPr="002531C5">
              <w:t>Telecommunications</w:t>
            </w: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E4142C" w:rsidRPr="002531C5" w:rsidRDefault="00E4142C" w:rsidP="00E4142C">
            <w:pPr>
              <w:pStyle w:val="LDTabletext"/>
            </w:pPr>
            <w:r w:rsidRPr="002531C5">
              <w:t>Telecommunication</w:t>
            </w:r>
          </w:p>
        </w:tc>
      </w:tr>
      <w:tr w:rsidR="00C37E6E" w:rsidRPr="002531C5" w:rsidTr="00E4142C">
        <w:tc>
          <w:tcPr>
            <w:tcW w:w="2552" w:type="dxa"/>
          </w:tcPr>
          <w:p w:rsidR="00C37E6E" w:rsidRPr="002531C5" w:rsidRDefault="00C37E6E" w:rsidP="00C37E6E">
            <w:pPr>
              <w:pStyle w:val="LDTabletext"/>
            </w:pPr>
            <w:r w:rsidRPr="002531C5">
              <w:lastRenderedPageBreak/>
              <w:t>Subsection 26(3)</w:t>
            </w:r>
          </w:p>
        </w:tc>
        <w:tc>
          <w:tcPr>
            <w:tcW w:w="2458" w:type="dxa"/>
          </w:tcPr>
          <w:p w:rsidR="00C37E6E" w:rsidRPr="002531C5" w:rsidRDefault="00C37E6E" w:rsidP="0096147C">
            <w:pPr>
              <w:pStyle w:val="LDTabletext"/>
            </w:pPr>
            <w:r w:rsidRPr="002531C5">
              <w:t>equipment and VHF equipment</w:t>
            </w:r>
          </w:p>
        </w:tc>
        <w:tc>
          <w:tcPr>
            <w:tcW w:w="3495" w:type="dxa"/>
          </w:tcPr>
          <w:p w:rsidR="00C37E6E" w:rsidRPr="002531C5" w:rsidRDefault="00C37E6E" w:rsidP="0096147C">
            <w:pPr>
              <w:pStyle w:val="LDTabletext"/>
            </w:pPr>
            <w:r w:rsidRPr="002531C5">
              <w:t>equipment, VHF equipment and satellite communications equipment</w:t>
            </w:r>
          </w:p>
        </w:tc>
      </w:tr>
      <w:tr w:rsidR="005B77DD" w:rsidRPr="002531C5" w:rsidTr="00E4142C">
        <w:tc>
          <w:tcPr>
            <w:tcW w:w="2552" w:type="dxa"/>
          </w:tcPr>
          <w:p w:rsidR="005B77DD" w:rsidRPr="002531C5" w:rsidRDefault="005B77DD" w:rsidP="0096147C">
            <w:pPr>
              <w:pStyle w:val="LDTabletext"/>
            </w:pPr>
            <w:r w:rsidRPr="002531C5">
              <w:t>Subsection 26(4)</w:t>
            </w:r>
          </w:p>
        </w:tc>
        <w:tc>
          <w:tcPr>
            <w:tcW w:w="2458" w:type="dxa"/>
          </w:tcPr>
          <w:p w:rsidR="005B77DD" w:rsidRPr="002531C5" w:rsidRDefault="005B77DD" w:rsidP="0096147C">
            <w:pPr>
              <w:pStyle w:val="LDTabletext"/>
              <w:rPr>
                <w:i/>
              </w:rPr>
            </w:pPr>
            <w:r w:rsidRPr="002531C5">
              <w:rPr>
                <w:i/>
              </w:rPr>
              <w:t>test results</w:t>
            </w:r>
          </w:p>
        </w:tc>
        <w:tc>
          <w:tcPr>
            <w:tcW w:w="3495" w:type="dxa"/>
          </w:tcPr>
          <w:p w:rsidR="005B77DD" w:rsidRPr="002531C5" w:rsidRDefault="005B77DD" w:rsidP="0096147C">
            <w:pPr>
              <w:pStyle w:val="LDTabletext"/>
            </w:pPr>
            <w:r w:rsidRPr="002531C5">
              <w:rPr>
                <w:i/>
              </w:rPr>
              <w:t>test results</w:t>
            </w:r>
            <w:r w:rsidRPr="002531C5">
              <w:t xml:space="preserve"> as amended from time to time</w:t>
            </w:r>
          </w:p>
        </w:tc>
      </w:tr>
      <w:tr w:rsidR="008E1F95" w:rsidRPr="002531C5" w:rsidTr="00E4142C">
        <w:tc>
          <w:tcPr>
            <w:tcW w:w="2552" w:type="dxa"/>
          </w:tcPr>
          <w:p w:rsidR="008E1F95" w:rsidRPr="002531C5" w:rsidRDefault="008E1F95" w:rsidP="0096147C">
            <w:pPr>
              <w:pStyle w:val="LDTabletext"/>
            </w:pPr>
            <w:r w:rsidRPr="002531C5">
              <w:t>S</w:t>
            </w:r>
            <w:r w:rsidR="00202C0E" w:rsidRPr="002531C5">
              <w:t>ubs</w:t>
            </w:r>
            <w:r w:rsidRPr="002531C5">
              <w:t>ection 28</w:t>
            </w:r>
            <w:r w:rsidR="00202C0E" w:rsidRPr="002531C5">
              <w:t>(1)</w:t>
            </w:r>
            <w:r w:rsidRPr="002531C5">
              <w:t xml:space="preserve"> note</w:t>
            </w:r>
          </w:p>
          <w:p w:rsidR="00B92742" w:rsidRPr="002531C5" w:rsidRDefault="00B92742" w:rsidP="0096147C">
            <w:pPr>
              <w:pStyle w:val="LDTabletext"/>
            </w:pPr>
            <w:r w:rsidRPr="002531C5">
              <w:t>Subsection 33(1)</w:t>
            </w:r>
          </w:p>
          <w:p w:rsidR="00B92742" w:rsidRPr="002531C5" w:rsidRDefault="00B92742" w:rsidP="0096147C">
            <w:pPr>
              <w:pStyle w:val="LDTabletext"/>
            </w:pPr>
            <w:r w:rsidRPr="002531C5">
              <w:t>Subsection 36, note</w:t>
            </w:r>
          </w:p>
        </w:tc>
        <w:tc>
          <w:tcPr>
            <w:tcW w:w="2458" w:type="dxa"/>
          </w:tcPr>
          <w:p w:rsidR="008E1F95" w:rsidRPr="002531C5" w:rsidRDefault="008E1F95" w:rsidP="0096147C">
            <w:pPr>
              <w:pStyle w:val="LDTabletext"/>
            </w:pPr>
            <w:r w:rsidRPr="002531C5">
              <w:t>Inmarsat</w:t>
            </w:r>
          </w:p>
        </w:tc>
        <w:tc>
          <w:tcPr>
            <w:tcW w:w="3495" w:type="dxa"/>
          </w:tcPr>
          <w:p w:rsidR="008E1F95" w:rsidRPr="002531C5" w:rsidRDefault="008E1F95" w:rsidP="0096147C">
            <w:pPr>
              <w:pStyle w:val="LDTabletext"/>
            </w:pPr>
            <w:r w:rsidRPr="002531C5">
              <w:t>an</w:t>
            </w:r>
          </w:p>
        </w:tc>
      </w:tr>
      <w:tr w:rsidR="00046C37" w:rsidRPr="002531C5" w:rsidTr="00E4142C">
        <w:tc>
          <w:tcPr>
            <w:tcW w:w="2552" w:type="dxa"/>
          </w:tcPr>
          <w:p w:rsidR="00046C37" w:rsidRPr="002531C5" w:rsidRDefault="00046C37" w:rsidP="00046C37">
            <w:pPr>
              <w:pStyle w:val="LDTabletext"/>
            </w:pPr>
            <w:r w:rsidRPr="002531C5">
              <w:t>Section 36, heading</w:t>
            </w:r>
          </w:p>
        </w:tc>
        <w:tc>
          <w:tcPr>
            <w:tcW w:w="2458" w:type="dxa"/>
          </w:tcPr>
          <w:p w:rsidR="00046C37" w:rsidRPr="002531C5" w:rsidRDefault="00046C37" w:rsidP="00046C37">
            <w:pPr>
              <w:pStyle w:val="LDTabletext"/>
            </w:pPr>
            <w:r w:rsidRPr="002531C5">
              <w:t>Signals of distress</w:t>
            </w:r>
          </w:p>
        </w:tc>
        <w:tc>
          <w:tcPr>
            <w:tcW w:w="3495" w:type="dxa"/>
          </w:tcPr>
          <w:p w:rsidR="00046C37" w:rsidRPr="002531C5" w:rsidRDefault="00046C37" w:rsidP="00046C37">
            <w:pPr>
              <w:pStyle w:val="LDTabletext"/>
            </w:pPr>
            <w:r w:rsidRPr="002531C5">
              <w:t>Distress signals</w:t>
            </w:r>
          </w:p>
        </w:tc>
      </w:tr>
      <w:tr w:rsidR="008E1F95" w:rsidRPr="002531C5" w:rsidTr="00E4142C">
        <w:tc>
          <w:tcPr>
            <w:tcW w:w="2552" w:type="dxa"/>
          </w:tcPr>
          <w:p w:rsidR="008E1F95" w:rsidRPr="002531C5" w:rsidRDefault="000D6296" w:rsidP="0096147C">
            <w:pPr>
              <w:pStyle w:val="LDTabletext"/>
            </w:pPr>
            <w:r w:rsidRPr="002531C5">
              <w:t>Subsection 28(2)</w:t>
            </w:r>
          </w:p>
        </w:tc>
        <w:tc>
          <w:tcPr>
            <w:tcW w:w="2458" w:type="dxa"/>
          </w:tcPr>
          <w:p w:rsidR="008E1F95" w:rsidRPr="002531C5" w:rsidRDefault="00202C0E" w:rsidP="0096147C">
            <w:pPr>
              <w:pStyle w:val="LDTabletext"/>
            </w:pPr>
            <w:r w:rsidRPr="002531C5">
              <w:t>Rescue Coordination Centre Australia</w:t>
            </w:r>
          </w:p>
        </w:tc>
        <w:tc>
          <w:tcPr>
            <w:tcW w:w="3495" w:type="dxa"/>
          </w:tcPr>
          <w:p w:rsidR="008E1F95" w:rsidRPr="002531C5" w:rsidRDefault="00202C0E" w:rsidP="0096147C">
            <w:pPr>
              <w:pStyle w:val="LDTabletext"/>
            </w:pPr>
            <w:r w:rsidRPr="002531C5">
              <w:t>Joint Rescue Coordination Centre</w:t>
            </w:r>
          </w:p>
        </w:tc>
      </w:tr>
      <w:tr w:rsidR="00B15600" w:rsidRPr="002531C5" w:rsidTr="00E4142C">
        <w:tc>
          <w:tcPr>
            <w:tcW w:w="2552" w:type="dxa"/>
          </w:tcPr>
          <w:p w:rsidR="00B15600" w:rsidRPr="002531C5" w:rsidRDefault="00D2432B" w:rsidP="0096147C">
            <w:pPr>
              <w:pStyle w:val="LDTabletext"/>
            </w:pPr>
            <w:r w:rsidRPr="002531C5">
              <w:t>Subsection 43(2)</w:t>
            </w:r>
          </w:p>
        </w:tc>
        <w:tc>
          <w:tcPr>
            <w:tcW w:w="2458" w:type="dxa"/>
          </w:tcPr>
          <w:p w:rsidR="00B15600" w:rsidRPr="002531C5" w:rsidRDefault="00B15600" w:rsidP="0096147C">
            <w:pPr>
              <w:pStyle w:val="LDTabletext"/>
            </w:pPr>
            <w:r w:rsidRPr="002531C5">
              <w:t>RCC</w:t>
            </w:r>
          </w:p>
        </w:tc>
        <w:tc>
          <w:tcPr>
            <w:tcW w:w="3495" w:type="dxa"/>
          </w:tcPr>
          <w:p w:rsidR="00B15600" w:rsidRPr="002531C5" w:rsidRDefault="00B15600" w:rsidP="0096147C">
            <w:pPr>
              <w:pStyle w:val="LDTabletext"/>
            </w:pPr>
            <w:r w:rsidRPr="002531C5">
              <w:t>JRCC</w:t>
            </w:r>
          </w:p>
        </w:tc>
      </w:tr>
      <w:tr w:rsidR="008E1F95" w:rsidRPr="002531C5" w:rsidTr="00E4142C">
        <w:tc>
          <w:tcPr>
            <w:tcW w:w="2552" w:type="dxa"/>
          </w:tcPr>
          <w:p w:rsidR="008E1F95" w:rsidRPr="002531C5" w:rsidRDefault="009C7779" w:rsidP="0096147C">
            <w:pPr>
              <w:pStyle w:val="LDTabletext"/>
            </w:pPr>
            <w:r w:rsidRPr="002531C5">
              <w:t>Schedule 3, clause 1 Example A(e) and Example B(e)</w:t>
            </w:r>
          </w:p>
        </w:tc>
        <w:tc>
          <w:tcPr>
            <w:tcW w:w="2458" w:type="dxa"/>
          </w:tcPr>
          <w:p w:rsidR="00F50148" w:rsidRPr="002531C5" w:rsidRDefault="00F441A1" w:rsidP="00F50148">
            <w:pPr>
              <w:pStyle w:val="LDTabletext"/>
            </w:pPr>
            <w:r w:rsidRPr="002531C5">
              <w:t xml:space="preserve">An </w:t>
            </w:r>
            <w:r w:rsidR="009C7779" w:rsidRPr="002531C5">
              <w:t>INMARSAT</w:t>
            </w:r>
            <w:r w:rsidR="00E15548" w:rsidRPr="002531C5">
              <w:t xml:space="preserve"> ship earth station</w:t>
            </w:r>
          </w:p>
        </w:tc>
        <w:tc>
          <w:tcPr>
            <w:tcW w:w="3495" w:type="dxa"/>
          </w:tcPr>
          <w:p w:rsidR="00F50148" w:rsidRPr="002531C5" w:rsidRDefault="00F50148" w:rsidP="0096147C">
            <w:pPr>
              <w:pStyle w:val="LDTabletext"/>
            </w:pPr>
            <w:r w:rsidRPr="002531C5">
              <w:t>Ship earth station for a recognised mobile satellite service</w:t>
            </w:r>
          </w:p>
        </w:tc>
      </w:tr>
      <w:tr w:rsidR="00E4142C" w:rsidRPr="002531C5" w:rsidTr="00E4142C">
        <w:tc>
          <w:tcPr>
            <w:tcW w:w="2552" w:type="dxa"/>
          </w:tcPr>
          <w:p w:rsidR="00E4142C" w:rsidRPr="002531C5" w:rsidRDefault="00E4142C" w:rsidP="0096147C">
            <w:pPr>
              <w:pStyle w:val="LDTabletext"/>
            </w:pPr>
            <w:r w:rsidRPr="002531C5">
              <w:t>Schedule 3, clause 3, paragraph (b)</w:t>
            </w:r>
          </w:p>
        </w:tc>
        <w:tc>
          <w:tcPr>
            <w:tcW w:w="2458" w:type="dxa"/>
          </w:tcPr>
          <w:p w:rsidR="00E4142C" w:rsidRPr="002531C5" w:rsidRDefault="00E4142C" w:rsidP="00F50148">
            <w:pPr>
              <w:pStyle w:val="LDTabletext"/>
            </w:pPr>
            <w:r w:rsidRPr="002531C5">
              <w:t>narrow band</w:t>
            </w:r>
          </w:p>
        </w:tc>
        <w:tc>
          <w:tcPr>
            <w:tcW w:w="3495" w:type="dxa"/>
          </w:tcPr>
          <w:p w:rsidR="00E4142C" w:rsidRPr="002531C5" w:rsidRDefault="00E4142C" w:rsidP="0096147C">
            <w:pPr>
              <w:pStyle w:val="LDTabletext"/>
            </w:pPr>
            <w:r w:rsidRPr="002531C5">
              <w:t>narrow-band</w:t>
            </w:r>
          </w:p>
        </w:tc>
      </w:tr>
      <w:tr w:rsidR="00E4142C" w:rsidRPr="002531C5" w:rsidTr="00E4142C">
        <w:tc>
          <w:tcPr>
            <w:tcW w:w="2552" w:type="dxa"/>
          </w:tcPr>
          <w:p w:rsidR="00E4142C" w:rsidRPr="002531C5" w:rsidRDefault="00E4142C" w:rsidP="0096147C">
            <w:pPr>
              <w:pStyle w:val="LDTabletext"/>
            </w:pPr>
            <w:r w:rsidRPr="002531C5">
              <w:t>Schedule 4, heading</w:t>
            </w:r>
          </w:p>
        </w:tc>
        <w:tc>
          <w:tcPr>
            <w:tcW w:w="2458" w:type="dxa"/>
          </w:tcPr>
          <w:p w:rsidR="00E4142C" w:rsidRPr="002531C5" w:rsidRDefault="0096147C" w:rsidP="00F50148">
            <w:pPr>
              <w:pStyle w:val="LDTabletext"/>
            </w:pPr>
            <w:r w:rsidRPr="002531C5">
              <w:t>communications</w:t>
            </w:r>
          </w:p>
        </w:tc>
        <w:tc>
          <w:tcPr>
            <w:tcW w:w="3495" w:type="dxa"/>
          </w:tcPr>
          <w:p w:rsidR="00E4142C" w:rsidRPr="002531C5" w:rsidRDefault="0096147C" w:rsidP="0096147C">
            <w:pPr>
              <w:pStyle w:val="LDTabletext"/>
            </w:pPr>
            <w:r w:rsidRPr="002531C5">
              <w:t>distress and safety communications</w:t>
            </w:r>
          </w:p>
        </w:tc>
      </w:tr>
      <w:tr w:rsidR="0096147C" w:rsidRPr="002531C5" w:rsidTr="00E4142C">
        <w:tc>
          <w:tcPr>
            <w:tcW w:w="2552" w:type="dxa"/>
          </w:tcPr>
          <w:p w:rsidR="0096147C" w:rsidRPr="002531C5" w:rsidRDefault="0096147C" w:rsidP="0096147C">
            <w:pPr>
              <w:pStyle w:val="LDTabletext"/>
            </w:pPr>
            <w:r w:rsidRPr="002531C5">
              <w:t>Schedule 4, item A.3 of table, heading</w:t>
            </w:r>
          </w:p>
        </w:tc>
        <w:tc>
          <w:tcPr>
            <w:tcW w:w="2458" w:type="dxa"/>
          </w:tcPr>
          <w:p w:rsidR="0096147C" w:rsidRPr="002531C5" w:rsidRDefault="0096147C" w:rsidP="00F50148">
            <w:pPr>
              <w:pStyle w:val="LDTabletext"/>
            </w:pPr>
            <w:r w:rsidRPr="002531C5">
              <w:t>Narrow Band Direct Printing</w:t>
            </w:r>
          </w:p>
        </w:tc>
        <w:tc>
          <w:tcPr>
            <w:tcW w:w="3495" w:type="dxa"/>
          </w:tcPr>
          <w:p w:rsidR="0096147C" w:rsidRPr="002531C5" w:rsidRDefault="0096147C" w:rsidP="0096147C">
            <w:pPr>
              <w:pStyle w:val="LDTabletext"/>
            </w:pPr>
            <w:r w:rsidRPr="002531C5">
              <w:t>Narrow-Band Direct-Printing</w:t>
            </w:r>
          </w:p>
        </w:tc>
      </w:tr>
      <w:tr w:rsidR="0096147C" w:rsidRPr="002531C5" w:rsidTr="00E4142C">
        <w:tc>
          <w:tcPr>
            <w:tcW w:w="2552" w:type="dxa"/>
          </w:tcPr>
          <w:p w:rsidR="0096147C" w:rsidRPr="002531C5" w:rsidRDefault="0096147C" w:rsidP="0096147C">
            <w:pPr>
              <w:pStyle w:val="LDTabletext"/>
            </w:pPr>
            <w:r w:rsidRPr="002531C5">
              <w:t>Schedule 4, item B.1 of table, heading</w:t>
            </w:r>
          </w:p>
        </w:tc>
        <w:tc>
          <w:tcPr>
            <w:tcW w:w="2458" w:type="dxa"/>
          </w:tcPr>
          <w:p w:rsidR="0096147C" w:rsidRPr="002531C5" w:rsidRDefault="0096147C" w:rsidP="00F50148">
            <w:pPr>
              <w:pStyle w:val="LDTabletext"/>
            </w:pPr>
            <w:r w:rsidRPr="002531C5">
              <w:t>HF Narrow Band direct Printing Telegraphy (NBDP) frequencies</w:t>
            </w:r>
          </w:p>
        </w:tc>
        <w:tc>
          <w:tcPr>
            <w:tcW w:w="3495" w:type="dxa"/>
          </w:tcPr>
          <w:p w:rsidR="0096147C" w:rsidRPr="002531C5" w:rsidRDefault="0096147C" w:rsidP="0096147C">
            <w:pPr>
              <w:pStyle w:val="LDTabletext"/>
            </w:pPr>
            <w:r w:rsidRPr="002531C5">
              <w:t>HF Narrow-Band Direct-Printing Telegraphy (NBDP) (not used in Australia for MSI)</w:t>
            </w:r>
          </w:p>
        </w:tc>
      </w:tr>
    </w:tbl>
    <w:p w:rsidR="00E874CD" w:rsidRPr="002531C5" w:rsidRDefault="00E874CD" w:rsidP="009611BF">
      <w:pPr>
        <w:pStyle w:val="LDdefinition"/>
      </w:pPr>
    </w:p>
    <w:p w:rsidR="00877BC4" w:rsidRPr="002531C5" w:rsidRDefault="00877BC4" w:rsidP="00877BC4">
      <w:pPr>
        <w:pStyle w:val="SchedSectionBreak"/>
        <w:sectPr w:rsidR="00877BC4" w:rsidRPr="002531C5" w:rsidSect="00800009">
          <w:headerReference w:type="even" r:id="rId18"/>
          <w:headerReference w:type="default" r:id="rId19"/>
          <w:headerReference w:type="first" r:id="rId20"/>
          <w:footerReference w:type="first" r:id="rId21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Pr="002531C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 w:rsidRPr="002531C5"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 w:rsidRPr="002531C5">
        <w:rPr>
          <w:color w:val="000000"/>
        </w:rPr>
        <w:t>1.</w:t>
      </w:r>
      <w:r w:rsidRPr="002531C5">
        <w:rPr>
          <w:color w:val="000000"/>
        </w:rPr>
        <w:tab/>
        <w:t xml:space="preserve">All legislative instruments and compilations </w:t>
      </w:r>
      <w:r w:rsidR="002D01E3" w:rsidRPr="002531C5">
        <w:rPr>
          <w:color w:val="000000"/>
        </w:rPr>
        <w:t xml:space="preserve">of legislative instruments </w:t>
      </w:r>
      <w:r w:rsidRPr="002531C5">
        <w:rPr>
          <w:color w:val="000000"/>
        </w:rPr>
        <w:t>are registered on the Federal Register</w:t>
      </w:r>
      <w:r w:rsidR="002D01E3" w:rsidRPr="002531C5">
        <w:rPr>
          <w:color w:val="000000"/>
        </w:rPr>
        <w:t xml:space="preserve"> of Legislation</w:t>
      </w:r>
      <w:r w:rsidRPr="002531C5">
        <w:rPr>
          <w:color w:val="000000"/>
        </w:rPr>
        <w:t xml:space="preserve"> under the </w:t>
      </w:r>
      <w:r w:rsidR="002D01E3" w:rsidRPr="002531C5">
        <w:rPr>
          <w:i/>
          <w:color w:val="000000"/>
        </w:rPr>
        <w:t xml:space="preserve">Legislation </w:t>
      </w:r>
      <w:r w:rsidRPr="002531C5">
        <w:rPr>
          <w:i/>
          <w:color w:val="000000"/>
        </w:rPr>
        <w:t xml:space="preserve">Act 2003. </w:t>
      </w:r>
      <w:r w:rsidRPr="002531C5">
        <w:rPr>
          <w:color w:val="000000"/>
        </w:rPr>
        <w:t xml:space="preserve">See </w:t>
      </w:r>
      <w:r w:rsidRPr="002531C5">
        <w:rPr>
          <w:color w:val="000000"/>
          <w:u w:val="single"/>
        </w:rPr>
        <w:t>http</w:t>
      </w:r>
      <w:r w:rsidR="00070827" w:rsidRPr="002531C5">
        <w:rPr>
          <w:color w:val="000000"/>
          <w:u w:val="single"/>
        </w:rPr>
        <w:t>s</w:t>
      </w:r>
      <w:r w:rsidRPr="002531C5">
        <w:rPr>
          <w:color w:val="000000"/>
          <w:u w:val="single"/>
        </w:rPr>
        <w:t>://www.</w:t>
      </w:r>
      <w:r w:rsidR="002D01E3" w:rsidRPr="002531C5">
        <w:rPr>
          <w:color w:val="000000"/>
          <w:u w:val="single"/>
        </w:rPr>
        <w:t>legislation</w:t>
      </w:r>
      <w:r w:rsidRPr="002531C5">
        <w:rPr>
          <w:color w:val="000000"/>
          <w:u w:val="single"/>
        </w:rPr>
        <w:t>.gov.au</w:t>
      </w:r>
      <w:r w:rsidRPr="002531C5"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CB4A00">
          <w:headerReference w:type="even" r:id="rId22"/>
          <w:head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7C" w:rsidRDefault="0096147C">
      <w:r>
        <w:separator/>
      </w:r>
    </w:p>
  </w:endnote>
  <w:endnote w:type="continuationSeparator" w:id="0">
    <w:p w:rsidR="0096147C" w:rsidRDefault="0096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7C" w:rsidRPr="00CA5F5B" w:rsidRDefault="0096147C" w:rsidP="00E12D9D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22"/>
      <w:gridCol w:w="853"/>
    </w:tblGrid>
    <w:tr w:rsidR="0096147C" w:rsidRPr="00634585" w:rsidTr="00213BAF">
      <w:tc>
        <w:tcPr>
          <w:tcW w:w="675" w:type="dxa"/>
          <w:shd w:val="clear" w:color="auto" w:fill="auto"/>
        </w:tcPr>
        <w:p w:rsidR="0096147C" w:rsidRPr="00634585" w:rsidRDefault="0096147C" w:rsidP="0096147C">
          <w:pPr>
            <w:pStyle w:val="Footer"/>
            <w:spacing w:before="20"/>
            <w:rPr>
              <w:rStyle w:val="PageNumber"/>
            </w:rPr>
          </w:pPr>
          <w:r w:rsidRPr="00634585">
            <w:rPr>
              <w:rStyle w:val="PageNumber"/>
            </w:rPr>
            <w:fldChar w:fldCharType="begin"/>
          </w:r>
          <w:r w:rsidRPr="00634585">
            <w:rPr>
              <w:rStyle w:val="PageNumber"/>
            </w:rPr>
            <w:instrText xml:space="preserve"> PAGE </w:instrText>
          </w:r>
          <w:r w:rsidRPr="00634585">
            <w:rPr>
              <w:rStyle w:val="PageNumber"/>
            </w:rPr>
            <w:fldChar w:fldCharType="separate"/>
          </w:r>
          <w:r w:rsidR="00C34989">
            <w:rPr>
              <w:rStyle w:val="PageNumber"/>
              <w:noProof/>
            </w:rPr>
            <w:t>2</w:t>
          </w:r>
          <w:r w:rsidRPr="00634585">
            <w:rPr>
              <w:rStyle w:val="PageNumber"/>
            </w:rPr>
            <w:fldChar w:fldCharType="end"/>
          </w:r>
        </w:p>
      </w:tc>
      <w:tc>
        <w:tcPr>
          <w:tcW w:w="7122" w:type="dxa"/>
          <w:shd w:val="clear" w:color="auto" w:fill="auto"/>
        </w:tcPr>
        <w:p w:rsidR="0096147C" w:rsidRPr="00634585" w:rsidRDefault="00F52BD5" w:rsidP="0096147C">
          <w:pPr>
            <w:pStyle w:val="FooterCitation"/>
          </w:pPr>
          <w:r w:rsidRPr="002531C5">
            <w:t>Marine Order 27 (Safety of navigation and radio equipment) Amendment Order 2019</w:t>
          </w:r>
        </w:p>
      </w:tc>
      <w:tc>
        <w:tcPr>
          <w:tcW w:w="853" w:type="dxa"/>
          <w:shd w:val="clear" w:color="auto" w:fill="auto"/>
        </w:tcPr>
        <w:p w:rsidR="0096147C" w:rsidRPr="00634585" w:rsidRDefault="0096147C" w:rsidP="0096147C">
          <w:pPr>
            <w:pStyle w:val="Footer"/>
            <w:spacing w:before="20"/>
            <w:jc w:val="right"/>
          </w:pPr>
        </w:p>
      </w:tc>
    </w:tr>
  </w:tbl>
  <w:p w:rsidR="0096147C" w:rsidRPr="00C17FF5" w:rsidRDefault="00F52BD5" w:rsidP="00C17FF5">
    <w:pPr>
      <w:pStyle w:val="Footer"/>
    </w:pPr>
    <w:r>
      <w:rPr>
        <w:noProof/>
        <w:sz w:val="16"/>
        <w:szCs w:val="16"/>
      </w:rPr>
      <w:t>MO 27 amend 191028Z</w:t>
    </w:r>
    <w:r w:rsidR="0096147C" w:rsidRPr="0063458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B2198E" wp14:editId="698B2171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47C" w:rsidRDefault="0096147C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2198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96147C" w:rsidRDefault="0096147C" w:rsidP="00C17FF5"/>
                </w:txbxContent>
              </v:textbox>
            </v:shape>
          </w:pict>
        </mc:Fallback>
      </mc:AlternateContent>
    </w:r>
    <w:r w:rsidR="0096147C" w:rsidRPr="0063458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98EE97C" wp14:editId="1A9FF013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47C" w:rsidRDefault="0096147C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EE97C" id="Text Box 19" o:spid="_x0000_s1027" type="#_x0000_t202" style="position:absolute;margin-left:-36pt;margin-top:188.55pt;width:349.5pt;height: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96147C" w:rsidRDefault="0096147C" w:rsidP="00C17FF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7C" w:rsidRPr="002531C5" w:rsidRDefault="0096147C" w:rsidP="00E12D9D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980"/>
      <w:gridCol w:w="995"/>
    </w:tblGrid>
    <w:tr w:rsidR="0096147C" w:rsidRPr="002531C5" w:rsidTr="00213BAF">
      <w:tc>
        <w:tcPr>
          <w:tcW w:w="675" w:type="dxa"/>
          <w:shd w:val="clear" w:color="auto" w:fill="auto"/>
        </w:tcPr>
        <w:p w:rsidR="0096147C" w:rsidRPr="002531C5" w:rsidRDefault="0096147C" w:rsidP="0096147C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6980" w:type="dxa"/>
          <w:shd w:val="clear" w:color="auto" w:fill="auto"/>
        </w:tcPr>
        <w:p w:rsidR="0096147C" w:rsidRPr="002531C5" w:rsidRDefault="00F52BD5" w:rsidP="0096147C">
          <w:pPr>
            <w:pStyle w:val="FooterCitation"/>
          </w:pPr>
          <w:r w:rsidRPr="002531C5">
            <w:t>Marine Order 27 (Safety of navigation and radio equipment) Amendment Order 2019</w:t>
          </w:r>
        </w:p>
      </w:tc>
      <w:tc>
        <w:tcPr>
          <w:tcW w:w="995" w:type="dxa"/>
          <w:shd w:val="clear" w:color="auto" w:fill="auto"/>
        </w:tcPr>
        <w:p w:rsidR="0096147C" w:rsidRPr="002531C5" w:rsidRDefault="0096147C" w:rsidP="0096147C">
          <w:pPr>
            <w:pStyle w:val="Footer"/>
            <w:spacing w:before="20"/>
            <w:jc w:val="right"/>
          </w:pPr>
          <w:r w:rsidRPr="002531C5">
            <w:rPr>
              <w:rStyle w:val="PageNumber"/>
            </w:rPr>
            <w:fldChar w:fldCharType="begin"/>
          </w:r>
          <w:r w:rsidRPr="002531C5">
            <w:rPr>
              <w:rStyle w:val="PageNumber"/>
            </w:rPr>
            <w:instrText xml:space="preserve"> PAGE </w:instrText>
          </w:r>
          <w:r w:rsidRPr="002531C5">
            <w:rPr>
              <w:rStyle w:val="PageNumber"/>
            </w:rPr>
            <w:fldChar w:fldCharType="separate"/>
          </w:r>
          <w:r w:rsidR="00C34989">
            <w:rPr>
              <w:rStyle w:val="PageNumber"/>
              <w:noProof/>
            </w:rPr>
            <w:t>3</w:t>
          </w:r>
          <w:r w:rsidRPr="002531C5">
            <w:rPr>
              <w:rStyle w:val="PageNumber"/>
            </w:rPr>
            <w:fldChar w:fldCharType="end"/>
          </w:r>
        </w:p>
      </w:tc>
    </w:tr>
  </w:tbl>
  <w:p w:rsidR="0096147C" w:rsidRPr="00C17FF5" w:rsidRDefault="00F52BD5" w:rsidP="00C17FF5">
    <w:pPr>
      <w:pStyle w:val="Footer"/>
    </w:pPr>
    <w:r>
      <w:rPr>
        <w:noProof/>
        <w:sz w:val="16"/>
        <w:szCs w:val="16"/>
      </w:rPr>
      <w:t>MO 27 amend 191028Z</w:t>
    </w:r>
    <w:r w:rsidR="0096147C" w:rsidRPr="002531C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86757" wp14:editId="6B0164B2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47C" w:rsidRDefault="0096147C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8675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96147C" w:rsidRDefault="0096147C" w:rsidP="00C17FF5"/>
                </w:txbxContent>
              </v:textbox>
            </v:shape>
          </w:pict>
        </mc:Fallback>
      </mc:AlternateContent>
    </w:r>
    <w:r w:rsidR="0096147C" w:rsidRPr="002531C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80F6AD" wp14:editId="018427FD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47C" w:rsidRDefault="0096147C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0F6AD" id="_x0000_s1029" type="#_x0000_t202" style="position:absolute;margin-left:-36pt;margin-top:188.55pt;width:349.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96147C" w:rsidRDefault="0096147C" w:rsidP="00C17FF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7C" w:rsidRPr="00CA5F5B" w:rsidRDefault="0096147C" w:rsidP="00E14409">
    <w:pPr>
      <w:jc w:val="center"/>
      <w:rPr>
        <w:rFonts w:ascii="Arial" w:hAnsi="Arial" w:cs="Arial"/>
        <w:sz w:val="28"/>
        <w:szCs w:val="28"/>
      </w:rPr>
    </w:pPr>
  </w:p>
  <w:p w:rsidR="0096147C" w:rsidRPr="00CA5F5B" w:rsidRDefault="00F52BD5">
    <w:pPr>
      <w:rPr>
        <w:sz w:val="16"/>
        <w:szCs w:val="16"/>
      </w:rPr>
    </w:pPr>
    <w:r>
      <w:rPr>
        <w:noProof/>
        <w:sz w:val="16"/>
        <w:szCs w:val="16"/>
      </w:rPr>
      <w:t>MO 27 amend 191028Z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7C" w:rsidRPr="00556EB9" w:rsidRDefault="00F52BD5" w:rsidP="00CB4A00">
    <w:pPr>
      <w:pStyle w:val="FooterCitation"/>
    </w:pPr>
    <w:fldSimple w:instr=" filename \p \*charformat ">
      <w:r>
        <w:rPr>
          <w:noProof/>
        </w:rPr>
        <w:t>R:\8118 Maritime Regulation\Legislative Drafting\drafts-Nav Act\MO27 amend\Drafts\MO 27 amend 191028Z.docx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7C" w:rsidRPr="00556EB9" w:rsidRDefault="00F52BD5" w:rsidP="00CB4A00">
    <w:pPr>
      <w:pStyle w:val="FooterCitation"/>
    </w:pPr>
    <w:fldSimple w:instr=" filename \p \*charformat ">
      <w:r>
        <w:rPr>
          <w:noProof/>
        </w:rPr>
        <w:t>R:\8118 Maritime Regulation\Legislative Drafting\drafts-Nav Act\MO27 amend\Drafts\MO 27 amend 191028Z.docx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7C" w:rsidRPr="00556EB9" w:rsidRDefault="00F52BD5" w:rsidP="00CB4A00">
    <w:pPr>
      <w:pStyle w:val="FooterCitation"/>
    </w:pPr>
    <w:fldSimple w:instr=" filename \p \*charformat ">
      <w:r>
        <w:rPr>
          <w:noProof/>
        </w:rPr>
        <w:t>R:\8118 Maritime Regulation\Legislative Drafting\drafts-Nav Act\MO27 amend\Drafts\MO 27 amend 191028Z.docx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7C" w:rsidRDefault="0096147C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6147C">
      <w:tc>
        <w:tcPr>
          <w:tcW w:w="1134" w:type="dxa"/>
        </w:tcPr>
        <w:p w:rsidR="0096147C" w:rsidRPr="003D7214" w:rsidRDefault="0096147C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6147C" w:rsidRPr="004F5D6D" w:rsidRDefault="00F52BD5" w:rsidP="00BD545A">
          <w:pPr>
            <w:spacing w:before="20" w:line="240" w:lineRule="exact"/>
          </w:pPr>
          <w:fldSimple w:instr=" REF  Citation ">
            <w:r w:rsidRPr="002531C5">
              <w:t>Marine Order 27 (Safety of navigation and radio equipment) Amendment Order 2019</w:t>
            </w:r>
          </w:fldSimple>
        </w:p>
      </w:tc>
      <w:tc>
        <w:tcPr>
          <w:tcW w:w="1134" w:type="dxa"/>
        </w:tcPr>
        <w:p w:rsidR="0096147C" w:rsidRPr="00451BF5" w:rsidRDefault="0096147C" w:rsidP="00BD545A">
          <w:pPr>
            <w:spacing w:line="240" w:lineRule="exact"/>
            <w:jc w:val="right"/>
          </w:pPr>
        </w:p>
      </w:tc>
    </w:tr>
  </w:tbl>
  <w:p w:rsidR="0096147C" w:rsidRDefault="0096147C" w:rsidP="00BD545A">
    <w:pPr>
      <w:ind w:right="360" w:firstLine="360"/>
    </w:pPr>
    <w:r>
      <w:t>DRAFT ONLY</w:t>
    </w:r>
  </w:p>
  <w:p w:rsidR="0096147C" w:rsidRDefault="00F52BD5" w:rsidP="00BD545A">
    <w:fldSimple w:instr=" FILENAME   \* MERGEFORMAT ">
      <w:r>
        <w:rPr>
          <w:noProof/>
        </w:rPr>
        <w:t>MO 27 amend 191028Z</w:t>
      </w:r>
    </w:fldSimple>
    <w:r w:rsidR="0096147C" w:rsidRPr="00974D8C">
      <w:t xml:space="preserve"> </w:t>
    </w:r>
    <w:r w:rsidR="0096147C">
      <w:fldChar w:fldCharType="begin"/>
    </w:r>
    <w:r w:rsidR="0096147C">
      <w:instrText xml:space="preserve"> DATE  \@ "D/MM/YYYY"  \* MERGEFORMAT </w:instrText>
    </w:r>
    <w:r w:rsidR="0096147C">
      <w:fldChar w:fldCharType="separate"/>
    </w:r>
    <w:r w:rsidR="00763F89">
      <w:rPr>
        <w:noProof/>
      </w:rPr>
      <w:t>13/11/2019</w:t>
    </w:r>
    <w:r w:rsidR="0096147C">
      <w:fldChar w:fldCharType="end"/>
    </w:r>
    <w:r w:rsidR="0096147C">
      <w:t xml:space="preserve"> </w:t>
    </w:r>
    <w:r w:rsidR="0096147C">
      <w:fldChar w:fldCharType="begin"/>
    </w:r>
    <w:r w:rsidR="0096147C">
      <w:instrText xml:space="preserve"> TIME  \@ "h:mm am/pm"  \* MERGEFORMAT </w:instrText>
    </w:r>
    <w:r w:rsidR="0096147C">
      <w:fldChar w:fldCharType="separate"/>
    </w:r>
    <w:r w:rsidR="00763F89">
      <w:rPr>
        <w:noProof/>
      </w:rPr>
      <w:t>2:56 PM</w:t>
    </w:r>
    <w:r w:rsidR="0096147C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7C" w:rsidRDefault="0096147C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6147C">
      <w:tc>
        <w:tcPr>
          <w:tcW w:w="1134" w:type="dxa"/>
        </w:tcPr>
        <w:p w:rsidR="0096147C" w:rsidRDefault="0096147C" w:rsidP="00BD545A">
          <w:pPr>
            <w:spacing w:line="240" w:lineRule="exact"/>
          </w:pPr>
        </w:p>
      </w:tc>
      <w:tc>
        <w:tcPr>
          <w:tcW w:w="6095" w:type="dxa"/>
        </w:tcPr>
        <w:p w:rsidR="0096147C" w:rsidRPr="004F5D6D" w:rsidRDefault="00F52BD5" w:rsidP="00BD545A">
          <w:fldSimple w:instr=" REF  Citation ">
            <w:r w:rsidRPr="002531C5">
              <w:t>Marine Order 27 (Safety of navigation and radio equipment) Amendment Order 2019</w:t>
            </w:r>
          </w:fldSimple>
        </w:p>
      </w:tc>
      <w:tc>
        <w:tcPr>
          <w:tcW w:w="1134" w:type="dxa"/>
        </w:tcPr>
        <w:p w:rsidR="0096147C" w:rsidRPr="003D7214" w:rsidRDefault="0096147C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6147C" w:rsidRDefault="0096147C" w:rsidP="00BD545A">
    <w:r>
      <w:t>DRAFT ONLY</w:t>
    </w:r>
  </w:p>
  <w:p w:rsidR="0096147C" w:rsidRDefault="00F52BD5" w:rsidP="00BD545A">
    <w:fldSimple w:instr=" FILENAME   \* MERGEFORMAT ">
      <w:r>
        <w:rPr>
          <w:noProof/>
        </w:rPr>
        <w:t>MO 27 amend 191028Z</w:t>
      </w:r>
    </w:fldSimple>
    <w:r w:rsidR="0096147C" w:rsidRPr="00974D8C">
      <w:t xml:space="preserve"> </w:t>
    </w:r>
    <w:r w:rsidR="0096147C">
      <w:fldChar w:fldCharType="begin"/>
    </w:r>
    <w:r w:rsidR="0096147C">
      <w:instrText xml:space="preserve"> DATE  \@ "D/MM/YYYY"  \* MERGEFORMAT </w:instrText>
    </w:r>
    <w:r w:rsidR="0096147C">
      <w:fldChar w:fldCharType="separate"/>
    </w:r>
    <w:r w:rsidR="00763F89">
      <w:rPr>
        <w:noProof/>
      </w:rPr>
      <w:t>13/11/2019</w:t>
    </w:r>
    <w:r w:rsidR="0096147C">
      <w:fldChar w:fldCharType="end"/>
    </w:r>
    <w:r w:rsidR="0096147C">
      <w:t xml:space="preserve"> </w:t>
    </w:r>
    <w:r w:rsidR="0096147C">
      <w:fldChar w:fldCharType="begin"/>
    </w:r>
    <w:r w:rsidR="0096147C">
      <w:instrText xml:space="preserve"> TIME  \@ "h:mm am/pm"  \* MERGEFORMAT </w:instrText>
    </w:r>
    <w:r w:rsidR="0096147C">
      <w:fldChar w:fldCharType="separate"/>
    </w:r>
    <w:r w:rsidR="00763F89">
      <w:rPr>
        <w:noProof/>
      </w:rPr>
      <w:t>2:56 PM</w:t>
    </w:r>
    <w:r w:rsidR="0096147C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7C" w:rsidRDefault="0096147C">
    <w:r>
      <w:t>DRAFT ONLY</w:t>
    </w:r>
  </w:p>
  <w:p w:rsidR="0096147C" w:rsidRPr="00974D8C" w:rsidRDefault="00F52BD5">
    <w:fldSimple w:instr=" FILENAME   \* MERGEFORMAT ">
      <w:r>
        <w:rPr>
          <w:noProof/>
        </w:rPr>
        <w:t>MO 27 amend 191028Z</w:t>
      </w:r>
    </w:fldSimple>
    <w:r w:rsidR="0096147C" w:rsidRPr="00974D8C">
      <w:t xml:space="preserve"> </w:t>
    </w:r>
    <w:r w:rsidR="0096147C">
      <w:fldChar w:fldCharType="begin"/>
    </w:r>
    <w:r w:rsidR="0096147C">
      <w:instrText xml:space="preserve"> DATE  \@ "D/MM/YYYY"  \* MERGEFORMAT </w:instrText>
    </w:r>
    <w:r w:rsidR="0096147C">
      <w:fldChar w:fldCharType="separate"/>
    </w:r>
    <w:r w:rsidR="00763F89">
      <w:rPr>
        <w:noProof/>
      </w:rPr>
      <w:t>13/11/2019</w:t>
    </w:r>
    <w:r w:rsidR="0096147C">
      <w:fldChar w:fldCharType="end"/>
    </w:r>
    <w:r w:rsidR="0096147C">
      <w:t xml:space="preserve"> </w:t>
    </w:r>
    <w:r w:rsidR="0096147C">
      <w:fldChar w:fldCharType="begin"/>
    </w:r>
    <w:r w:rsidR="0096147C">
      <w:instrText xml:space="preserve"> TIME  \@ "h:mm am/pm"  \* MERGEFORMAT </w:instrText>
    </w:r>
    <w:r w:rsidR="0096147C">
      <w:fldChar w:fldCharType="separate"/>
    </w:r>
    <w:r w:rsidR="00763F89">
      <w:rPr>
        <w:noProof/>
      </w:rPr>
      <w:t>2:56 PM</w:t>
    </w:r>
    <w:r w:rsidR="0096147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7C" w:rsidRDefault="0096147C">
      <w:r>
        <w:separator/>
      </w:r>
    </w:p>
  </w:footnote>
  <w:footnote w:type="continuationSeparator" w:id="0">
    <w:p w:rsidR="0096147C" w:rsidRDefault="00961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6147C">
      <w:tc>
        <w:tcPr>
          <w:tcW w:w="1494" w:type="dxa"/>
        </w:tcPr>
        <w:p w:rsidR="0096147C" w:rsidRDefault="0096147C" w:rsidP="00BD545A"/>
      </w:tc>
      <w:tc>
        <w:tcPr>
          <w:tcW w:w="6891" w:type="dxa"/>
        </w:tcPr>
        <w:p w:rsidR="0096147C" w:rsidRDefault="0096147C" w:rsidP="00BD545A"/>
      </w:tc>
    </w:tr>
    <w:tr w:rsidR="0096147C">
      <w:tc>
        <w:tcPr>
          <w:tcW w:w="1494" w:type="dxa"/>
        </w:tcPr>
        <w:p w:rsidR="0096147C" w:rsidRDefault="0096147C" w:rsidP="00BD545A"/>
      </w:tc>
      <w:tc>
        <w:tcPr>
          <w:tcW w:w="6891" w:type="dxa"/>
        </w:tcPr>
        <w:p w:rsidR="0096147C" w:rsidRDefault="0096147C" w:rsidP="00BD545A"/>
      </w:tc>
    </w:tr>
    <w:tr w:rsidR="0096147C">
      <w:tc>
        <w:tcPr>
          <w:tcW w:w="8385" w:type="dxa"/>
          <w:gridSpan w:val="2"/>
          <w:tcBorders>
            <w:bottom w:val="single" w:sz="4" w:space="0" w:color="auto"/>
          </w:tcBorders>
        </w:tcPr>
        <w:p w:rsidR="0096147C" w:rsidRDefault="0096147C" w:rsidP="00BD545A"/>
      </w:tc>
    </w:tr>
  </w:tbl>
  <w:p w:rsidR="0096147C" w:rsidRDefault="0096147C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96147C">
      <w:tc>
        <w:tcPr>
          <w:tcW w:w="7167" w:type="dxa"/>
        </w:tcPr>
        <w:p w:rsidR="0096147C" w:rsidRDefault="0096147C">
          <w:pPr>
            <w:pStyle w:val="HeaderLiteOdd"/>
          </w:pPr>
          <w:r>
            <w:t>Note</w:t>
          </w:r>
        </w:p>
      </w:tc>
    </w:tr>
    <w:tr w:rsidR="0096147C">
      <w:tc>
        <w:tcPr>
          <w:tcW w:w="7167" w:type="dxa"/>
        </w:tcPr>
        <w:p w:rsidR="0096147C" w:rsidRDefault="0096147C">
          <w:pPr>
            <w:pStyle w:val="HeaderLiteOdd"/>
          </w:pPr>
        </w:p>
      </w:tc>
    </w:tr>
    <w:tr w:rsidR="0096147C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96147C" w:rsidRDefault="0096147C">
          <w:pPr>
            <w:pStyle w:val="HeaderBoldOdd"/>
          </w:pPr>
        </w:p>
      </w:tc>
    </w:tr>
  </w:tbl>
  <w:p w:rsidR="0096147C" w:rsidRDefault="0096147C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7C" w:rsidRDefault="0096147C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6147C">
      <w:tc>
        <w:tcPr>
          <w:tcW w:w="1494" w:type="dxa"/>
        </w:tcPr>
        <w:p w:rsidR="0096147C" w:rsidRDefault="0096147C" w:rsidP="00BD545A"/>
      </w:tc>
      <w:tc>
        <w:tcPr>
          <w:tcW w:w="6891" w:type="dxa"/>
        </w:tcPr>
        <w:p w:rsidR="0096147C" w:rsidRDefault="0096147C" w:rsidP="00BD545A"/>
      </w:tc>
    </w:tr>
    <w:tr w:rsidR="0096147C">
      <w:tc>
        <w:tcPr>
          <w:tcW w:w="1494" w:type="dxa"/>
        </w:tcPr>
        <w:p w:rsidR="0096147C" w:rsidRDefault="0096147C" w:rsidP="00BD545A"/>
      </w:tc>
      <w:tc>
        <w:tcPr>
          <w:tcW w:w="6891" w:type="dxa"/>
        </w:tcPr>
        <w:p w:rsidR="0096147C" w:rsidRDefault="0096147C" w:rsidP="00BD545A"/>
      </w:tc>
    </w:tr>
    <w:tr w:rsidR="0096147C">
      <w:tc>
        <w:tcPr>
          <w:tcW w:w="8385" w:type="dxa"/>
          <w:gridSpan w:val="2"/>
          <w:tcBorders>
            <w:bottom w:val="single" w:sz="4" w:space="0" w:color="auto"/>
          </w:tcBorders>
        </w:tcPr>
        <w:p w:rsidR="0096147C" w:rsidRDefault="0096147C" w:rsidP="00BD545A"/>
      </w:tc>
    </w:tr>
  </w:tbl>
  <w:p w:rsidR="0096147C" w:rsidRDefault="0096147C" w:rsidP="00BD545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6147C">
      <w:tc>
        <w:tcPr>
          <w:tcW w:w="6914" w:type="dxa"/>
        </w:tcPr>
        <w:p w:rsidR="0096147C" w:rsidRDefault="0096147C" w:rsidP="00BD545A"/>
      </w:tc>
      <w:tc>
        <w:tcPr>
          <w:tcW w:w="1471" w:type="dxa"/>
        </w:tcPr>
        <w:p w:rsidR="0096147C" w:rsidRDefault="0096147C" w:rsidP="00BD545A"/>
      </w:tc>
    </w:tr>
    <w:tr w:rsidR="0096147C">
      <w:tc>
        <w:tcPr>
          <w:tcW w:w="6914" w:type="dxa"/>
        </w:tcPr>
        <w:p w:rsidR="0096147C" w:rsidRDefault="0096147C" w:rsidP="00BD545A"/>
      </w:tc>
      <w:tc>
        <w:tcPr>
          <w:tcW w:w="1471" w:type="dxa"/>
        </w:tcPr>
        <w:p w:rsidR="0096147C" w:rsidRDefault="0096147C" w:rsidP="00BD545A"/>
      </w:tc>
    </w:tr>
    <w:tr w:rsidR="0096147C">
      <w:tc>
        <w:tcPr>
          <w:tcW w:w="8385" w:type="dxa"/>
          <w:gridSpan w:val="2"/>
          <w:tcBorders>
            <w:bottom w:val="single" w:sz="4" w:space="0" w:color="auto"/>
          </w:tcBorders>
        </w:tcPr>
        <w:p w:rsidR="0096147C" w:rsidRDefault="0096147C" w:rsidP="00BD545A"/>
      </w:tc>
    </w:tr>
  </w:tbl>
  <w:p w:rsidR="0096147C" w:rsidRDefault="0096147C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6147C">
      <w:tc>
        <w:tcPr>
          <w:tcW w:w="6914" w:type="dxa"/>
        </w:tcPr>
        <w:p w:rsidR="0096147C" w:rsidRDefault="0096147C" w:rsidP="00BD545A"/>
      </w:tc>
      <w:tc>
        <w:tcPr>
          <w:tcW w:w="1471" w:type="dxa"/>
        </w:tcPr>
        <w:p w:rsidR="0096147C" w:rsidRDefault="0096147C" w:rsidP="00BD545A"/>
      </w:tc>
    </w:tr>
    <w:tr w:rsidR="0096147C">
      <w:tc>
        <w:tcPr>
          <w:tcW w:w="6914" w:type="dxa"/>
        </w:tcPr>
        <w:p w:rsidR="0096147C" w:rsidRDefault="0096147C" w:rsidP="00BD545A"/>
      </w:tc>
      <w:tc>
        <w:tcPr>
          <w:tcW w:w="1471" w:type="dxa"/>
        </w:tcPr>
        <w:p w:rsidR="0096147C" w:rsidRDefault="0096147C" w:rsidP="00BD545A"/>
      </w:tc>
    </w:tr>
    <w:tr w:rsidR="0096147C">
      <w:tc>
        <w:tcPr>
          <w:tcW w:w="8385" w:type="dxa"/>
          <w:gridSpan w:val="2"/>
          <w:tcBorders>
            <w:bottom w:val="single" w:sz="4" w:space="0" w:color="auto"/>
          </w:tcBorders>
        </w:tcPr>
        <w:p w:rsidR="0096147C" w:rsidRDefault="0096147C" w:rsidP="00BD545A"/>
      </w:tc>
    </w:tr>
  </w:tbl>
  <w:p w:rsidR="0096147C" w:rsidRDefault="0096147C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96147C" w:rsidTr="00CB4A00">
      <w:tc>
        <w:tcPr>
          <w:tcW w:w="1531" w:type="dxa"/>
        </w:tcPr>
        <w:p w:rsidR="0096147C" w:rsidRDefault="0096147C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C3498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96147C" w:rsidRDefault="0096147C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C3498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96147C" w:rsidTr="00CB4A00">
      <w:tc>
        <w:tcPr>
          <w:tcW w:w="1531" w:type="dxa"/>
        </w:tcPr>
        <w:p w:rsidR="0096147C" w:rsidRDefault="0096147C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C3498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96147C" w:rsidRDefault="0096147C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C3498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96147C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96147C" w:rsidRPr="006D2A45" w:rsidRDefault="0096147C" w:rsidP="00CB4A00">
          <w:pPr>
            <w:pStyle w:val="HeaderBoldEven"/>
          </w:pPr>
          <w:r>
            <w:t xml:space="preserve">Section  </w:t>
          </w:r>
          <w:r w:rsidRPr="006D2A45">
            <w:fldChar w:fldCharType="begin"/>
          </w:r>
          <w:r w:rsidRPr="006D2A45">
            <w:instrText xml:space="preserve"> If </w:instrText>
          </w:r>
          <w:fldSimple w:instr=" STYLEREF CharSectno \*Charformat ">
            <w:r w:rsidR="00C34989">
              <w:rPr>
                <w:noProof/>
              </w:rPr>
              <w:instrText>1</w:instrText>
            </w:r>
          </w:fldSimple>
          <w:r w:rsidRPr="006D2A45">
            <w:instrText xml:space="preserve"> &lt;&gt; "Error*" </w:instrText>
          </w:r>
          <w:fldSimple w:instr=" STYLEREF CharSectno \*Charformat ">
            <w:r w:rsidR="00C34989">
              <w:rPr>
                <w:noProof/>
              </w:rPr>
              <w:instrText>1</w:instrText>
            </w:r>
          </w:fldSimple>
          <w:r w:rsidRPr="006D2A45">
            <w:instrText xml:space="preserve"> </w:instrText>
          </w:r>
          <w:r w:rsidRPr="006D2A45">
            <w:fldChar w:fldCharType="separate"/>
          </w:r>
          <w:r w:rsidR="00C34989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96147C" w:rsidRDefault="0096147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96147C" w:rsidTr="00CB4A00">
      <w:tc>
        <w:tcPr>
          <w:tcW w:w="6828" w:type="dxa"/>
          <w:vAlign w:val="bottom"/>
        </w:tcPr>
        <w:p w:rsidR="0096147C" w:rsidRDefault="0096147C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F52BD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:rsidR="0096147C" w:rsidRDefault="0096147C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F52BD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96147C" w:rsidTr="00CB4A00">
      <w:tc>
        <w:tcPr>
          <w:tcW w:w="6828" w:type="dxa"/>
        </w:tcPr>
        <w:p w:rsidR="0096147C" w:rsidRDefault="0096147C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F52BD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:rsidR="0096147C" w:rsidRDefault="0096147C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F52BD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96147C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96147C" w:rsidRPr="006D2A45" w:rsidRDefault="0096147C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fldSimple w:instr=" STYLEREF CharSectno \*Charformat \l ">
            <w:r w:rsidR="00F52BD5">
              <w:rPr>
                <w:noProof/>
              </w:rPr>
              <w:instrText>1</w:instrText>
            </w:r>
          </w:fldSimple>
          <w:r w:rsidRPr="006D2A45">
            <w:instrText xml:space="preserve"> &lt;&gt; "Error*" </w:instrText>
          </w:r>
          <w:fldSimple w:instr=" STYLEREF CharSectno \*Charformat \l ">
            <w:r w:rsidR="00F52BD5">
              <w:rPr>
                <w:noProof/>
              </w:rPr>
              <w:instrText>1</w:instrText>
            </w:r>
          </w:fldSimple>
          <w:r w:rsidRPr="006D2A45">
            <w:instrText xml:space="preserve"> </w:instrText>
          </w:r>
          <w:r w:rsidRPr="006D2A45">
            <w:fldChar w:fldCharType="separate"/>
          </w:r>
          <w:r w:rsidR="00F52BD5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96147C" w:rsidRDefault="009614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7C" w:rsidRDefault="0096147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96147C" w:rsidTr="00CB4A00">
      <w:tc>
        <w:tcPr>
          <w:tcW w:w="1531" w:type="dxa"/>
        </w:tcPr>
        <w:p w:rsidR="0096147C" w:rsidRDefault="0096147C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C3498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96147C" w:rsidRDefault="0096147C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C3498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96147C" w:rsidTr="00CB4A00">
      <w:tc>
        <w:tcPr>
          <w:tcW w:w="1531" w:type="dxa"/>
        </w:tcPr>
        <w:p w:rsidR="0096147C" w:rsidRDefault="0096147C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C3498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96147C" w:rsidRDefault="0096147C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C3498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96147C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96147C" w:rsidRDefault="0096147C" w:rsidP="00CB4A00">
          <w:pPr>
            <w:pStyle w:val="HeaderBoldEven"/>
          </w:pPr>
        </w:p>
      </w:tc>
    </w:tr>
  </w:tbl>
  <w:p w:rsidR="0096147C" w:rsidRDefault="0096147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96147C" w:rsidTr="00CB4A00">
      <w:tc>
        <w:tcPr>
          <w:tcW w:w="6948" w:type="dxa"/>
        </w:tcPr>
        <w:p w:rsidR="0096147C" w:rsidRDefault="0096147C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C3498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96147C" w:rsidRDefault="0096147C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C3498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96147C" w:rsidTr="00CB4A00">
      <w:tc>
        <w:tcPr>
          <w:tcW w:w="6948" w:type="dxa"/>
        </w:tcPr>
        <w:p w:rsidR="0096147C" w:rsidRDefault="0096147C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C3498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96147C" w:rsidRDefault="0096147C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C3498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96147C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96147C" w:rsidRDefault="0096147C" w:rsidP="00CB4A00">
          <w:pPr>
            <w:pStyle w:val="HeaderBoldOdd"/>
          </w:pPr>
        </w:p>
      </w:tc>
    </w:tr>
  </w:tbl>
  <w:p w:rsidR="0096147C" w:rsidRDefault="0096147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7C" w:rsidRDefault="0096147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96147C" w:rsidTr="00641705">
      <w:tc>
        <w:tcPr>
          <w:tcW w:w="8628" w:type="dxa"/>
        </w:tcPr>
        <w:p w:rsidR="0096147C" w:rsidRDefault="0096147C">
          <w:pPr>
            <w:pStyle w:val="HeaderLiteEven"/>
          </w:pPr>
          <w:r>
            <w:t>Note</w:t>
          </w:r>
        </w:p>
      </w:tc>
    </w:tr>
    <w:tr w:rsidR="0096147C" w:rsidTr="00641705">
      <w:tc>
        <w:tcPr>
          <w:tcW w:w="8628" w:type="dxa"/>
        </w:tcPr>
        <w:p w:rsidR="0096147C" w:rsidRDefault="0096147C">
          <w:pPr>
            <w:pStyle w:val="HeaderLiteEven"/>
          </w:pPr>
        </w:p>
      </w:tc>
    </w:tr>
    <w:tr w:rsidR="0096147C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96147C" w:rsidRDefault="0096147C">
          <w:pPr>
            <w:pStyle w:val="HeaderBoldEven"/>
          </w:pPr>
        </w:p>
      </w:tc>
    </w:tr>
  </w:tbl>
  <w:p w:rsidR="0096147C" w:rsidRDefault="009614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7382E26"/>
    <w:multiLevelType w:val="hybridMultilevel"/>
    <w:tmpl w:val="7A7E956A"/>
    <w:lvl w:ilvl="0" w:tplc="0C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681CCE"/>
    <w:rsid w:val="00002F16"/>
    <w:rsid w:val="000038A0"/>
    <w:rsid w:val="00012F8A"/>
    <w:rsid w:val="0001662A"/>
    <w:rsid w:val="00020108"/>
    <w:rsid w:val="0002353A"/>
    <w:rsid w:val="00032F2C"/>
    <w:rsid w:val="00036D03"/>
    <w:rsid w:val="00040090"/>
    <w:rsid w:val="000403D5"/>
    <w:rsid w:val="000427E4"/>
    <w:rsid w:val="0004456C"/>
    <w:rsid w:val="00045BA4"/>
    <w:rsid w:val="00045F1B"/>
    <w:rsid w:val="00046C37"/>
    <w:rsid w:val="000473C7"/>
    <w:rsid w:val="000521B7"/>
    <w:rsid w:val="0005339D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7FB3"/>
    <w:rsid w:val="000D1916"/>
    <w:rsid w:val="000D6296"/>
    <w:rsid w:val="000D75A2"/>
    <w:rsid w:val="000E0CA3"/>
    <w:rsid w:val="000E16EC"/>
    <w:rsid w:val="000E27E3"/>
    <w:rsid w:val="000E29B1"/>
    <w:rsid w:val="000E48BD"/>
    <w:rsid w:val="000E7494"/>
    <w:rsid w:val="000F2967"/>
    <w:rsid w:val="000F60DE"/>
    <w:rsid w:val="000F64D6"/>
    <w:rsid w:val="00102F9D"/>
    <w:rsid w:val="00103F01"/>
    <w:rsid w:val="00105BB8"/>
    <w:rsid w:val="00111D90"/>
    <w:rsid w:val="00116989"/>
    <w:rsid w:val="00125657"/>
    <w:rsid w:val="00126056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54BC5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50F"/>
    <w:rsid w:val="001A6C59"/>
    <w:rsid w:val="001B195B"/>
    <w:rsid w:val="001B28A6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2015B2"/>
    <w:rsid w:val="00202C0E"/>
    <w:rsid w:val="00203232"/>
    <w:rsid w:val="00205009"/>
    <w:rsid w:val="00210652"/>
    <w:rsid w:val="00211F9D"/>
    <w:rsid w:val="00213BAF"/>
    <w:rsid w:val="00214C3B"/>
    <w:rsid w:val="00221073"/>
    <w:rsid w:val="002221BB"/>
    <w:rsid w:val="00222FD0"/>
    <w:rsid w:val="002252C7"/>
    <w:rsid w:val="0022734F"/>
    <w:rsid w:val="002320F6"/>
    <w:rsid w:val="00233C57"/>
    <w:rsid w:val="0023489C"/>
    <w:rsid w:val="00234E9A"/>
    <w:rsid w:val="00240D04"/>
    <w:rsid w:val="0024222C"/>
    <w:rsid w:val="00243601"/>
    <w:rsid w:val="00244C01"/>
    <w:rsid w:val="00246042"/>
    <w:rsid w:val="00252F17"/>
    <w:rsid w:val="002531C5"/>
    <w:rsid w:val="00253DDD"/>
    <w:rsid w:val="00254D0C"/>
    <w:rsid w:val="00260876"/>
    <w:rsid w:val="00260912"/>
    <w:rsid w:val="0027241C"/>
    <w:rsid w:val="00275245"/>
    <w:rsid w:val="00281E63"/>
    <w:rsid w:val="0028609E"/>
    <w:rsid w:val="00286CEA"/>
    <w:rsid w:val="00291826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01E3"/>
    <w:rsid w:val="002D417A"/>
    <w:rsid w:val="002D4558"/>
    <w:rsid w:val="002D635B"/>
    <w:rsid w:val="002D71AC"/>
    <w:rsid w:val="002D7932"/>
    <w:rsid w:val="002E096B"/>
    <w:rsid w:val="002E2552"/>
    <w:rsid w:val="002E4553"/>
    <w:rsid w:val="002E5749"/>
    <w:rsid w:val="002E5DA4"/>
    <w:rsid w:val="002F2BE6"/>
    <w:rsid w:val="002F353D"/>
    <w:rsid w:val="002F78D5"/>
    <w:rsid w:val="00301592"/>
    <w:rsid w:val="00306194"/>
    <w:rsid w:val="003072E7"/>
    <w:rsid w:val="003151F5"/>
    <w:rsid w:val="003226E7"/>
    <w:rsid w:val="003231FF"/>
    <w:rsid w:val="003258B8"/>
    <w:rsid w:val="00327199"/>
    <w:rsid w:val="00327D17"/>
    <w:rsid w:val="00333426"/>
    <w:rsid w:val="0033573E"/>
    <w:rsid w:val="00336724"/>
    <w:rsid w:val="003404B4"/>
    <w:rsid w:val="00343B24"/>
    <w:rsid w:val="003469E3"/>
    <w:rsid w:val="0035001E"/>
    <w:rsid w:val="00353F3B"/>
    <w:rsid w:val="00357657"/>
    <w:rsid w:val="00367E3F"/>
    <w:rsid w:val="00370DD7"/>
    <w:rsid w:val="0037255F"/>
    <w:rsid w:val="003772AE"/>
    <w:rsid w:val="0038199B"/>
    <w:rsid w:val="00386F67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E6D7E"/>
    <w:rsid w:val="003F64F2"/>
    <w:rsid w:val="003F6833"/>
    <w:rsid w:val="004005D4"/>
    <w:rsid w:val="004032A0"/>
    <w:rsid w:val="00403F78"/>
    <w:rsid w:val="00421964"/>
    <w:rsid w:val="00422522"/>
    <w:rsid w:val="004255DD"/>
    <w:rsid w:val="004311E3"/>
    <w:rsid w:val="0043276E"/>
    <w:rsid w:val="00433B06"/>
    <w:rsid w:val="004361A5"/>
    <w:rsid w:val="00436A91"/>
    <w:rsid w:val="00440B24"/>
    <w:rsid w:val="00442AA3"/>
    <w:rsid w:val="00443890"/>
    <w:rsid w:val="0044430D"/>
    <w:rsid w:val="004447F9"/>
    <w:rsid w:val="00444F77"/>
    <w:rsid w:val="004459DE"/>
    <w:rsid w:val="00446E81"/>
    <w:rsid w:val="00450DE1"/>
    <w:rsid w:val="004533FC"/>
    <w:rsid w:val="004624D8"/>
    <w:rsid w:val="00464092"/>
    <w:rsid w:val="004640EA"/>
    <w:rsid w:val="00464AD1"/>
    <w:rsid w:val="00465D6A"/>
    <w:rsid w:val="00466DBA"/>
    <w:rsid w:val="004839A4"/>
    <w:rsid w:val="004852C6"/>
    <w:rsid w:val="004879CB"/>
    <w:rsid w:val="0049172E"/>
    <w:rsid w:val="004A20E2"/>
    <w:rsid w:val="004A7713"/>
    <w:rsid w:val="004A7AA7"/>
    <w:rsid w:val="004B1AC1"/>
    <w:rsid w:val="004B1B8B"/>
    <w:rsid w:val="004B2D6C"/>
    <w:rsid w:val="004B6C4F"/>
    <w:rsid w:val="004B770A"/>
    <w:rsid w:val="004C3987"/>
    <w:rsid w:val="004C5710"/>
    <w:rsid w:val="004C6E70"/>
    <w:rsid w:val="004D2382"/>
    <w:rsid w:val="004D32C2"/>
    <w:rsid w:val="004D5EAB"/>
    <w:rsid w:val="004D6045"/>
    <w:rsid w:val="004E0619"/>
    <w:rsid w:val="004E1636"/>
    <w:rsid w:val="004E1C75"/>
    <w:rsid w:val="004E2FEB"/>
    <w:rsid w:val="004E52B1"/>
    <w:rsid w:val="004E7590"/>
    <w:rsid w:val="004F5C68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55B42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4031"/>
    <w:rsid w:val="005B3143"/>
    <w:rsid w:val="005B5BAF"/>
    <w:rsid w:val="005B6923"/>
    <w:rsid w:val="005B77DD"/>
    <w:rsid w:val="005B7B02"/>
    <w:rsid w:val="005C4A85"/>
    <w:rsid w:val="005D0D39"/>
    <w:rsid w:val="005D2F97"/>
    <w:rsid w:val="005D3261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04EBB"/>
    <w:rsid w:val="00612BD7"/>
    <w:rsid w:val="006156C1"/>
    <w:rsid w:val="00621915"/>
    <w:rsid w:val="00624074"/>
    <w:rsid w:val="0062769F"/>
    <w:rsid w:val="00631841"/>
    <w:rsid w:val="00634585"/>
    <w:rsid w:val="00634BAF"/>
    <w:rsid w:val="006375A7"/>
    <w:rsid w:val="00641664"/>
    <w:rsid w:val="00641705"/>
    <w:rsid w:val="0065001E"/>
    <w:rsid w:val="006533B7"/>
    <w:rsid w:val="00665E85"/>
    <w:rsid w:val="00670CD9"/>
    <w:rsid w:val="00674B00"/>
    <w:rsid w:val="0067574C"/>
    <w:rsid w:val="00681CCE"/>
    <w:rsid w:val="006921DC"/>
    <w:rsid w:val="00692F9E"/>
    <w:rsid w:val="006A1ABA"/>
    <w:rsid w:val="006B6EBF"/>
    <w:rsid w:val="006C2616"/>
    <w:rsid w:val="006C51CB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05BE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4001"/>
    <w:rsid w:val="00756001"/>
    <w:rsid w:val="00756F9E"/>
    <w:rsid w:val="00763F89"/>
    <w:rsid w:val="00770AF1"/>
    <w:rsid w:val="00771E75"/>
    <w:rsid w:val="00772ADE"/>
    <w:rsid w:val="00777F3F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A3064"/>
    <w:rsid w:val="007B0709"/>
    <w:rsid w:val="007B6407"/>
    <w:rsid w:val="007C7959"/>
    <w:rsid w:val="007D1A1E"/>
    <w:rsid w:val="007D2760"/>
    <w:rsid w:val="007E231D"/>
    <w:rsid w:val="007E3AA5"/>
    <w:rsid w:val="007F3374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158FE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5475"/>
    <w:rsid w:val="00856EB5"/>
    <w:rsid w:val="00863597"/>
    <w:rsid w:val="008636FD"/>
    <w:rsid w:val="00865DAF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3A9D"/>
    <w:rsid w:val="008D3F0C"/>
    <w:rsid w:val="008D4B65"/>
    <w:rsid w:val="008D5B3D"/>
    <w:rsid w:val="008E1F95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4E4E"/>
    <w:rsid w:val="00915D96"/>
    <w:rsid w:val="00920CC1"/>
    <w:rsid w:val="00923412"/>
    <w:rsid w:val="00927849"/>
    <w:rsid w:val="00930919"/>
    <w:rsid w:val="00937ED5"/>
    <w:rsid w:val="00943CEA"/>
    <w:rsid w:val="00945A5E"/>
    <w:rsid w:val="00945B6B"/>
    <w:rsid w:val="00946C37"/>
    <w:rsid w:val="00950B8F"/>
    <w:rsid w:val="009611BF"/>
    <w:rsid w:val="009612A7"/>
    <w:rsid w:val="0096147C"/>
    <w:rsid w:val="009625BB"/>
    <w:rsid w:val="00963ADB"/>
    <w:rsid w:val="00966CC5"/>
    <w:rsid w:val="00967444"/>
    <w:rsid w:val="00971F0C"/>
    <w:rsid w:val="00976374"/>
    <w:rsid w:val="00977E4D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A75F4"/>
    <w:rsid w:val="009B303B"/>
    <w:rsid w:val="009B3BDA"/>
    <w:rsid w:val="009B76D8"/>
    <w:rsid w:val="009B785F"/>
    <w:rsid w:val="009C0398"/>
    <w:rsid w:val="009C5167"/>
    <w:rsid w:val="009C7779"/>
    <w:rsid w:val="009D1D48"/>
    <w:rsid w:val="009D5332"/>
    <w:rsid w:val="009D6B2A"/>
    <w:rsid w:val="009D7BDF"/>
    <w:rsid w:val="009E1C06"/>
    <w:rsid w:val="009E28DB"/>
    <w:rsid w:val="009E2D2F"/>
    <w:rsid w:val="009E30FA"/>
    <w:rsid w:val="009F09A2"/>
    <w:rsid w:val="009F0DF4"/>
    <w:rsid w:val="009F3F7B"/>
    <w:rsid w:val="009F5C6B"/>
    <w:rsid w:val="00A00C88"/>
    <w:rsid w:val="00A01386"/>
    <w:rsid w:val="00A046F7"/>
    <w:rsid w:val="00A10B39"/>
    <w:rsid w:val="00A13BD8"/>
    <w:rsid w:val="00A13F63"/>
    <w:rsid w:val="00A15843"/>
    <w:rsid w:val="00A15B2B"/>
    <w:rsid w:val="00A21D2D"/>
    <w:rsid w:val="00A223AA"/>
    <w:rsid w:val="00A2479F"/>
    <w:rsid w:val="00A24F06"/>
    <w:rsid w:val="00A250C7"/>
    <w:rsid w:val="00A266F5"/>
    <w:rsid w:val="00A305B1"/>
    <w:rsid w:val="00A30ABA"/>
    <w:rsid w:val="00A314B9"/>
    <w:rsid w:val="00A319EE"/>
    <w:rsid w:val="00A31BC2"/>
    <w:rsid w:val="00A33D5D"/>
    <w:rsid w:val="00A41885"/>
    <w:rsid w:val="00A41B45"/>
    <w:rsid w:val="00A5068F"/>
    <w:rsid w:val="00A52515"/>
    <w:rsid w:val="00A526B6"/>
    <w:rsid w:val="00A54B37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5A8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00"/>
    <w:rsid w:val="00B156E1"/>
    <w:rsid w:val="00B25433"/>
    <w:rsid w:val="00B2626C"/>
    <w:rsid w:val="00B32D47"/>
    <w:rsid w:val="00B36324"/>
    <w:rsid w:val="00B3694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2742"/>
    <w:rsid w:val="00B95BB4"/>
    <w:rsid w:val="00BA34AD"/>
    <w:rsid w:val="00BA4B2A"/>
    <w:rsid w:val="00BB1382"/>
    <w:rsid w:val="00BB69FF"/>
    <w:rsid w:val="00BC1F63"/>
    <w:rsid w:val="00BC58EC"/>
    <w:rsid w:val="00BC639D"/>
    <w:rsid w:val="00BD545A"/>
    <w:rsid w:val="00BE4C6E"/>
    <w:rsid w:val="00BF1C2D"/>
    <w:rsid w:val="00BF2735"/>
    <w:rsid w:val="00BF30CA"/>
    <w:rsid w:val="00BF738E"/>
    <w:rsid w:val="00C01056"/>
    <w:rsid w:val="00C02CFA"/>
    <w:rsid w:val="00C036DE"/>
    <w:rsid w:val="00C0402F"/>
    <w:rsid w:val="00C05969"/>
    <w:rsid w:val="00C07AE0"/>
    <w:rsid w:val="00C129D7"/>
    <w:rsid w:val="00C14CE5"/>
    <w:rsid w:val="00C17FF5"/>
    <w:rsid w:val="00C24D41"/>
    <w:rsid w:val="00C30025"/>
    <w:rsid w:val="00C3254A"/>
    <w:rsid w:val="00C329A2"/>
    <w:rsid w:val="00C34989"/>
    <w:rsid w:val="00C35EC8"/>
    <w:rsid w:val="00C37937"/>
    <w:rsid w:val="00C37E6E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0285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B7E62"/>
    <w:rsid w:val="00CC3524"/>
    <w:rsid w:val="00CC68F7"/>
    <w:rsid w:val="00CD2696"/>
    <w:rsid w:val="00CD2B94"/>
    <w:rsid w:val="00CD3C04"/>
    <w:rsid w:val="00CD3C3C"/>
    <w:rsid w:val="00CE5AD0"/>
    <w:rsid w:val="00CE662A"/>
    <w:rsid w:val="00CF17E4"/>
    <w:rsid w:val="00CF73A6"/>
    <w:rsid w:val="00D05575"/>
    <w:rsid w:val="00D118BD"/>
    <w:rsid w:val="00D13C76"/>
    <w:rsid w:val="00D15738"/>
    <w:rsid w:val="00D2157E"/>
    <w:rsid w:val="00D22AE7"/>
    <w:rsid w:val="00D2432B"/>
    <w:rsid w:val="00D2474B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03F1"/>
    <w:rsid w:val="00D50E1F"/>
    <w:rsid w:val="00D57D13"/>
    <w:rsid w:val="00D6243F"/>
    <w:rsid w:val="00D6403A"/>
    <w:rsid w:val="00D65189"/>
    <w:rsid w:val="00D70518"/>
    <w:rsid w:val="00D774C6"/>
    <w:rsid w:val="00D7795F"/>
    <w:rsid w:val="00D80163"/>
    <w:rsid w:val="00D84CCB"/>
    <w:rsid w:val="00D84E18"/>
    <w:rsid w:val="00D85D15"/>
    <w:rsid w:val="00D86C8D"/>
    <w:rsid w:val="00D95125"/>
    <w:rsid w:val="00DA4C22"/>
    <w:rsid w:val="00DA7E93"/>
    <w:rsid w:val="00DB2470"/>
    <w:rsid w:val="00DC7FB4"/>
    <w:rsid w:val="00DE12C9"/>
    <w:rsid w:val="00DE5043"/>
    <w:rsid w:val="00DE7476"/>
    <w:rsid w:val="00DF2AEA"/>
    <w:rsid w:val="00DF44BE"/>
    <w:rsid w:val="00DF45D4"/>
    <w:rsid w:val="00DF51DA"/>
    <w:rsid w:val="00DF64FD"/>
    <w:rsid w:val="00E05AF6"/>
    <w:rsid w:val="00E10958"/>
    <w:rsid w:val="00E116C0"/>
    <w:rsid w:val="00E127AC"/>
    <w:rsid w:val="00E12D9D"/>
    <w:rsid w:val="00E14318"/>
    <w:rsid w:val="00E14409"/>
    <w:rsid w:val="00E15548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4142C"/>
    <w:rsid w:val="00E424C0"/>
    <w:rsid w:val="00E44149"/>
    <w:rsid w:val="00E4450B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8CF"/>
    <w:rsid w:val="00E7293B"/>
    <w:rsid w:val="00E74109"/>
    <w:rsid w:val="00E750F1"/>
    <w:rsid w:val="00E75FD4"/>
    <w:rsid w:val="00E814E3"/>
    <w:rsid w:val="00E83542"/>
    <w:rsid w:val="00E874CD"/>
    <w:rsid w:val="00E9172F"/>
    <w:rsid w:val="00E97BD0"/>
    <w:rsid w:val="00EA0DE3"/>
    <w:rsid w:val="00EA0E4D"/>
    <w:rsid w:val="00EB1E0E"/>
    <w:rsid w:val="00EB3EB2"/>
    <w:rsid w:val="00EB77D8"/>
    <w:rsid w:val="00EB7CEA"/>
    <w:rsid w:val="00EC100A"/>
    <w:rsid w:val="00EC58E7"/>
    <w:rsid w:val="00EC6F84"/>
    <w:rsid w:val="00ED1C66"/>
    <w:rsid w:val="00ED1FB9"/>
    <w:rsid w:val="00EE081F"/>
    <w:rsid w:val="00EE3964"/>
    <w:rsid w:val="00EE4BF8"/>
    <w:rsid w:val="00EE739D"/>
    <w:rsid w:val="00EF15F7"/>
    <w:rsid w:val="00EF1EE8"/>
    <w:rsid w:val="00EF63BE"/>
    <w:rsid w:val="00EF69B2"/>
    <w:rsid w:val="00F02170"/>
    <w:rsid w:val="00F02711"/>
    <w:rsid w:val="00F02993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41A1"/>
    <w:rsid w:val="00F445EF"/>
    <w:rsid w:val="00F45C39"/>
    <w:rsid w:val="00F50148"/>
    <w:rsid w:val="00F511C0"/>
    <w:rsid w:val="00F51324"/>
    <w:rsid w:val="00F52BD5"/>
    <w:rsid w:val="00F54C84"/>
    <w:rsid w:val="00F70A61"/>
    <w:rsid w:val="00F719EC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B1906"/>
    <w:rsid w:val="00FB7334"/>
    <w:rsid w:val="00FC2DC6"/>
    <w:rsid w:val="00FC61FD"/>
    <w:rsid w:val="00FC7940"/>
    <w:rsid w:val="00FD119D"/>
    <w:rsid w:val="00FD5433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0ED43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table" w:styleId="TableGrid">
    <w:name w:val="Table Grid"/>
    <w:basedOn w:val="TableNormal"/>
    <w:uiPriority w:val="59"/>
    <w:rsid w:val="008E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tabletext0">
    <w:name w:val="ldtabletext"/>
    <w:basedOn w:val="Normal"/>
    <w:rsid w:val="00E728CF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note0">
    <w:name w:val="ldnote"/>
    <w:basedOn w:val="Normal"/>
    <w:rsid w:val="00E728CF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8118%20Maritime%20Regulation\Legislative%20Drafting\templates\MO%20amen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D689-73F7-400B-8AE2-7CD46B60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 amend template</Template>
  <TotalTime>0</TotalTime>
  <Pages>6</Pages>
  <Words>801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2019-11-13T03:56:00Z</dcterms:created>
  <dcterms:modified xsi:type="dcterms:W3CDTF">2019-11-13T03:59:00Z</dcterms:modified>
</cp:coreProperties>
</file>