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61CF" w14:textId="77777777" w:rsidR="00A419EA" w:rsidRDefault="00ED081D" w:rsidP="009A530B">
      <w:pPr>
        <w:spacing w:before="100" w:beforeAutospacing="1" w:after="100" w:afterAutospacing="1"/>
        <w:jc w:val="center"/>
        <w:rPr>
          <w:rFonts w:ascii="Times New Roman" w:eastAsia="Times New Roman" w:hAnsi="Times New Roman" w:cs="Times New Roman"/>
          <w:b/>
          <w:bCs/>
          <w:sz w:val="24"/>
          <w:szCs w:val="24"/>
          <w:u w:val="single"/>
          <w:lang w:eastAsia="en-AU"/>
        </w:rPr>
      </w:pPr>
      <w:bookmarkStart w:id="0" w:name="_GoBack"/>
      <w:bookmarkEnd w:id="0"/>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7A143476" w14:textId="77777777" w:rsidR="00B60F0C" w:rsidRPr="00625284" w:rsidRDefault="00B60F0C" w:rsidP="00B60F0C">
      <w:pPr>
        <w:jc w:val="center"/>
        <w:rPr>
          <w:rFonts w:ascii="Times New Roman" w:hAnsi="Times New Roman"/>
          <w:bCs/>
          <w:i/>
          <w:iCs/>
          <w:szCs w:val="24"/>
        </w:rPr>
      </w:pPr>
      <w:r w:rsidRPr="00625284">
        <w:rPr>
          <w:rFonts w:ascii="Times New Roman" w:hAnsi="Times New Roman"/>
          <w:bCs/>
          <w:i/>
          <w:iCs/>
          <w:szCs w:val="24"/>
        </w:rPr>
        <w:t>Therapeutic Goods Act 1989</w:t>
      </w:r>
    </w:p>
    <w:p w14:paraId="742D9337" w14:textId="7AC35D17" w:rsidR="00EF1F18" w:rsidRPr="008727AB" w:rsidRDefault="00EF1F18" w:rsidP="009A530B">
      <w:pPr>
        <w:spacing w:before="100" w:beforeAutospacing="1" w:after="100" w:afterAutospacing="1"/>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1C38AF">
        <w:rPr>
          <w:rFonts w:ascii="Times New Roman" w:eastAsia="Times New Roman" w:hAnsi="Times New Roman" w:cs="Times New Roman"/>
          <w:bCs/>
          <w:i/>
          <w:sz w:val="24"/>
          <w:szCs w:val="24"/>
          <w:lang w:eastAsia="en-AU"/>
        </w:rPr>
        <w:t>3</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2019</w:t>
      </w:r>
    </w:p>
    <w:p w14:paraId="1375AB08"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of Health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3CE3868D" w:rsidR="004E05C9" w:rsidRDefault="0052033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Determination</w:t>
      </w:r>
      <w:r w:rsidR="004E05C9">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sidR="004E05C9">
        <w:rPr>
          <w:rFonts w:ascii="Times New Roman" w:eastAsia="Times New Roman" w:hAnsi="Times New Roman" w:cs="Times New Roman"/>
          <w:sz w:val="24"/>
          <w:szCs w:val="24"/>
          <w:lang w:eastAsia="en-AU"/>
        </w:rPr>
        <w:t xml:space="preserve">the </w:t>
      </w:r>
      <w:r w:rsidR="004E05C9"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004E05C9"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4E05C9" w:rsidRPr="004E05C9">
        <w:rPr>
          <w:rFonts w:ascii="Times New Roman" w:eastAsia="Times New Roman" w:hAnsi="Times New Roman" w:cs="Times New Roman"/>
          <w:i/>
          <w:sz w:val="24"/>
          <w:szCs w:val="24"/>
          <w:lang w:eastAsia="en-AU"/>
        </w:rPr>
        <w:t>2) 2019</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 xml:space="preserve">. </w:t>
      </w:r>
    </w:p>
    <w:p w14:paraId="013E1782" w14:textId="77777777" w:rsidR="00EF1F18" w:rsidRPr="00B028DC" w:rsidRDefault="00EF1F18" w:rsidP="009A530B">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46189311"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37CEDFE6"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 26A and 26AE may only contain ingredients from an approved list of ingredients that have been evaluated in relation to their quality and safety and suitability for use in such medicines. Sponsors of such medicines may </w:t>
      </w:r>
      <w:r w:rsidR="008E082F">
        <w:rPr>
          <w:rFonts w:ascii="Times New Roman" w:eastAsia="Times New Roman" w:hAnsi="Times New Roman" w:cs="Times New Roman"/>
          <w:sz w:val="24"/>
          <w:szCs w:val="24"/>
          <w:lang w:eastAsia="en-AU"/>
        </w:rPr>
        <w:lastRenderedPageBreak/>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 level indications to ensure that these products do not overstate their therapeutic benefits.</w:t>
      </w:r>
    </w:p>
    <w:p w14:paraId="16704F00"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Paragraphs 26AB(2)(d) and (e) contain equivalent certification requirements for applicants seeking marketing approval in relation to assessed listed medicines. A listed (or assessed listed) medicine may be cancelled from the Register if it appears to the Secretary that such a certification is incorrect.</w:t>
      </w:r>
    </w:p>
    <w:p w14:paraId="6D9381AC" w14:textId="77777777"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EE2990C" w14:textId="5BA6F8D4" w:rsidR="00D4773E" w:rsidRDefault="00226F3C" w:rsidP="00D4773E">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2B026CDA" w14:textId="33F8974E" w:rsidR="00A4560C" w:rsidRPr="00A4560C" w:rsidRDefault="00A4560C" w:rsidP="00AF44AF">
      <w:pPr>
        <w:spacing w:before="100" w:beforeAutospacing="1" w:after="100" w:afterAutospacing="1"/>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w:t>
      </w:r>
      <w:r w:rsidR="007C503B">
        <w:rPr>
          <w:rFonts w:ascii="Times New Roman" w:eastAsia="Times New Roman" w:hAnsi="Times New Roman" w:cs="Times New Roman"/>
          <w:sz w:val="24"/>
          <w:szCs w:val="24"/>
          <w:lang w:eastAsia="en-AU"/>
        </w:rPr>
        <w:t xml:space="preserve"> to</w:t>
      </w:r>
      <w:r w:rsidRPr="00A4560C">
        <w:rPr>
          <w:rFonts w:ascii="Times New Roman" w:eastAsia="Times New Roman" w:hAnsi="Times New Roman" w:cs="Times New Roman"/>
          <w:sz w:val="24"/>
          <w:szCs w:val="24"/>
          <w:lang w:eastAsia="en-AU"/>
        </w:rPr>
        <w:t>, for example:</w:t>
      </w:r>
    </w:p>
    <w:p w14:paraId="1716BFC3" w14:textId="62D153A4"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5B4C9B44" w14:textId="77777777" w:rsidR="007445FE" w:rsidRDefault="007445FE" w:rsidP="00DF0880">
      <w:pPr>
        <w:spacing w:after="0"/>
        <w:contextualSpacing/>
        <w:rPr>
          <w:rFonts w:ascii="Times New Roman" w:eastAsia="Times New Roman" w:hAnsi="Times New Roman" w:cs="Times New Roman"/>
          <w:sz w:val="24"/>
          <w:szCs w:val="24"/>
          <w:lang w:eastAsia="en-AU"/>
        </w:rPr>
      </w:pPr>
    </w:p>
    <w:p w14:paraId="1C9706BC" w14:textId="7B66142D" w:rsidR="006D4AB8" w:rsidRDefault="006D4AB8" w:rsidP="004761AE">
      <w:pPr>
        <w:keepNext/>
        <w:spacing w:before="100" w:beforeAutospacing="1" w:after="100" w:afterAutospacing="1"/>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7AFB2559" w14:textId="0D379848" w:rsidR="008957CE" w:rsidRDefault="007C503B" w:rsidP="00917AD5">
      <w:pPr>
        <w:pStyle w:val="ListParagraph"/>
        <w:keepNext/>
        <w:numPr>
          <w:ilvl w:val="0"/>
          <w:numId w:val="10"/>
        </w:numPr>
        <w:spacing w:before="120" w:beforeAutospacing="0" w:after="120" w:afterAutospacing="0" w:line="276" w:lineRule="auto"/>
        <w:ind w:left="714" w:hanging="357"/>
      </w:pPr>
      <w:r>
        <w:t xml:space="preserve">the introduction of </w:t>
      </w:r>
      <w:r w:rsidR="001F063F">
        <w:t>6</w:t>
      </w:r>
      <w:r w:rsidR="00AF3859">
        <w:t xml:space="preserve"> new ingredients </w:t>
      </w:r>
      <w:r w:rsidR="008957CE">
        <w:t xml:space="preserve">following </w:t>
      </w:r>
      <w:r>
        <w:t>the e</w:t>
      </w:r>
      <w:r w:rsidR="008957CE">
        <w:t xml:space="preserve">valuation </w:t>
      </w:r>
      <w:r>
        <w:t xml:space="preserve">of those ingredients </w:t>
      </w:r>
      <w:r w:rsidR="008957CE">
        <w:t>by the TGA</w:t>
      </w:r>
      <w:r>
        <w:t xml:space="preserve"> for their suitability for use in listed medicines</w:t>
      </w:r>
      <w:r w:rsidR="008957CE">
        <w:t xml:space="preserve"> </w:t>
      </w:r>
      <w:r w:rsidR="00AF3859">
        <w:t xml:space="preserve">(palmidrol, nicotinamide </w:t>
      </w:r>
      <w:r w:rsidR="00AF3859">
        <w:lastRenderedPageBreak/>
        <w:t>riboside chloride, styrallyl propionate, 2-ethyl-N-methyl-N-(3-methylphenyl) butanamide, 2,5-dimethyl-4-ethoxy-3(2H)-furanone</w:t>
      </w:r>
      <w:r w:rsidR="001F063F">
        <w:t xml:space="preserve"> and hexyl resorcinol</w:t>
      </w:r>
      <w:r w:rsidR="00AF3859">
        <w:t>)</w:t>
      </w:r>
      <w:r w:rsidR="008957CE">
        <w:t>;</w:t>
      </w:r>
      <w:r w:rsidR="00AF3859">
        <w:t xml:space="preserve"> </w:t>
      </w:r>
    </w:p>
    <w:p w14:paraId="645680BB" w14:textId="5F6217E7" w:rsidR="001F063F" w:rsidRDefault="007C503B" w:rsidP="001F063F">
      <w:pPr>
        <w:pStyle w:val="ListParagraph"/>
        <w:keepNext/>
        <w:numPr>
          <w:ilvl w:val="0"/>
          <w:numId w:val="10"/>
        </w:numPr>
        <w:spacing w:before="120" w:beforeAutospacing="0" w:after="120" w:afterAutospacing="0" w:line="276" w:lineRule="auto"/>
        <w:ind w:left="714" w:hanging="357"/>
      </w:pPr>
      <w:r>
        <w:t xml:space="preserve">changes to the applicable requirements </w:t>
      </w:r>
      <w:r w:rsidR="008F25EE">
        <w:t>for</w:t>
      </w:r>
      <w:r w:rsidR="0034672A">
        <w:t xml:space="preserve"> </w:t>
      </w:r>
      <w:r w:rsidR="001F063F">
        <w:t>7</w:t>
      </w:r>
      <w:r w:rsidR="0034672A">
        <w:t xml:space="preserve"> ingredients </w:t>
      </w:r>
      <w:r>
        <w:t xml:space="preserve">to reduce the level of regulation associated with the use of those ingredients in listed medicines </w:t>
      </w:r>
      <w:r w:rsidR="006D4AB8">
        <w:t>(</w:t>
      </w:r>
      <w:r w:rsidR="0034672A">
        <w:t>sodium chondroitin sulfate, bovine sodium chrondroitin sulfate, shark sodium chondroitin sulfate</w:t>
      </w:r>
      <w:r w:rsidR="00DE0E9F">
        <w:t xml:space="preserve">, </w:t>
      </w:r>
      <w:r w:rsidR="008F25EE">
        <w:t>shark chondroitin sulfate</w:t>
      </w:r>
      <w:r w:rsidR="001F063F">
        <w:t>,</w:t>
      </w:r>
      <w:r w:rsidR="008F25EE">
        <w:t xml:space="preserve"> </w:t>
      </w:r>
      <w:r w:rsidR="0034672A" w:rsidRPr="0034672A">
        <w:rPr>
          <w:i/>
        </w:rPr>
        <w:t>Candida utilis</w:t>
      </w:r>
      <w:r w:rsidR="001F063F">
        <w:t>, benzyl alcohol and cetylpyridinium chloride</w:t>
      </w:r>
      <w:r w:rsidR="0034672A">
        <w:t>)</w:t>
      </w:r>
      <w:r w:rsidR="0050197A">
        <w:t>;</w:t>
      </w:r>
    </w:p>
    <w:p w14:paraId="4FE8E030" w14:textId="7B0BCC86" w:rsidR="00917AD5" w:rsidRDefault="00917AD5" w:rsidP="00917AD5">
      <w:pPr>
        <w:pStyle w:val="ListParagraph"/>
        <w:keepNext/>
        <w:numPr>
          <w:ilvl w:val="0"/>
          <w:numId w:val="10"/>
        </w:numPr>
        <w:spacing w:before="120" w:beforeAutospacing="0" w:after="120" w:afterAutospacing="0" w:line="276" w:lineRule="auto"/>
        <w:ind w:left="714" w:hanging="357"/>
      </w:pPr>
      <w:r>
        <w:t xml:space="preserve">removal of  </w:t>
      </w:r>
      <w:r w:rsidR="007C503B">
        <w:t xml:space="preserve">a </w:t>
      </w:r>
      <w:r>
        <w:t xml:space="preserve">requirement </w:t>
      </w:r>
      <w:r w:rsidR="007C503B">
        <w:t xml:space="preserve">relating </w:t>
      </w:r>
      <w:r>
        <w:t>to</w:t>
      </w:r>
      <w:r w:rsidR="007C503B">
        <w:t xml:space="preserve"> the use of </w:t>
      </w:r>
      <w:r>
        <w:t xml:space="preserve">gluten, </w:t>
      </w:r>
      <w:r w:rsidR="00E715AB">
        <w:t>to ensure consistency with applicable standards relating to medicine labelling</w:t>
      </w:r>
      <w:r>
        <w:t>;</w:t>
      </w:r>
      <w:r w:rsidR="00E715AB">
        <w:t xml:space="preserve"> and</w:t>
      </w:r>
    </w:p>
    <w:p w14:paraId="79834F8B" w14:textId="74B2C58B" w:rsidR="0050197A" w:rsidRPr="006D4AB8" w:rsidRDefault="0050197A" w:rsidP="008F25EE">
      <w:pPr>
        <w:pStyle w:val="ListParagraph"/>
        <w:keepNext/>
        <w:numPr>
          <w:ilvl w:val="0"/>
          <w:numId w:val="10"/>
        </w:numPr>
        <w:spacing w:before="120" w:beforeAutospacing="0" w:after="120" w:afterAutospacing="0" w:line="276" w:lineRule="auto"/>
        <w:ind w:left="714" w:hanging="357"/>
      </w:pPr>
      <w:r>
        <w:t xml:space="preserve">minor changes to </w:t>
      </w:r>
      <w:r w:rsidR="008F25EE">
        <w:t>3 ingredients</w:t>
      </w:r>
      <w:r w:rsidR="00917AD5">
        <w:t xml:space="preserve"> to </w:t>
      </w:r>
      <w:r w:rsidR="008957CE">
        <w:t xml:space="preserve">correct errors and </w:t>
      </w:r>
      <w:r w:rsidR="00E715AB">
        <w:t xml:space="preserve">improve </w:t>
      </w:r>
      <w:r w:rsidR="008957CE">
        <w:t>clari</w:t>
      </w:r>
      <w:r w:rsidR="00E715AB">
        <w:t>ty</w:t>
      </w:r>
      <w:r w:rsidR="008F25EE">
        <w:t>.</w:t>
      </w:r>
    </w:p>
    <w:p w14:paraId="43BACDC7" w14:textId="77777777" w:rsidR="00EF1F18" w:rsidRPr="007313BA" w:rsidRDefault="00EF1F18" w:rsidP="0015421F">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C</w:t>
      </w:r>
      <w:r w:rsidR="00E1152E" w:rsidRPr="00B028DC">
        <w:rPr>
          <w:rFonts w:ascii="Times New Roman" w:eastAsia="Times New Roman" w:hAnsi="Times New Roman" w:cs="Times New Roman"/>
          <w:b/>
          <w:bCs/>
          <w:sz w:val="24"/>
          <w:szCs w:val="24"/>
          <w:lang w:eastAsia="en-AU"/>
        </w:rPr>
        <w:t>onsultation</w:t>
      </w:r>
      <w:r w:rsidRPr="00B028DC">
        <w:rPr>
          <w:rFonts w:ascii="Times New Roman" w:eastAsia="Times New Roman" w:hAnsi="Times New Roman" w:cs="Times New Roman"/>
          <w:sz w:val="24"/>
          <w:szCs w:val="24"/>
          <w:lang w:eastAsia="en-AU"/>
        </w:rPr>
        <w:t> </w:t>
      </w:r>
    </w:p>
    <w:p w14:paraId="5ACC8296" w14:textId="6E667C59" w:rsidR="001F063F" w:rsidRPr="00E715AB" w:rsidRDefault="001F063F">
      <w:pPr>
        <w:spacing w:before="100" w:beforeAutospacing="1" w:after="100" w:afterAutospacing="1"/>
        <w:rPr>
          <w:rFonts w:ascii="Times New Roman" w:eastAsia="Times New Roman" w:hAnsi="Times New Roman" w:cs="Times New Roman"/>
          <w:sz w:val="24"/>
          <w:szCs w:val="24"/>
          <w:lang w:eastAsia="en-AU"/>
        </w:rPr>
      </w:pPr>
      <w:r w:rsidRPr="00E715AB">
        <w:rPr>
          <w:rFonts w:ascii="Times New Roman" w:eastAsia="Times New Roman" w:hAnsi="Times New Roman" w:cs="Times New Roman"/>
          <w:sz w:val="24"/>
          <w:szCs w:val="24"/>
          <w:lang w:eastAsia="en-AU"/>
        </w:rPr>
        <w:t xml:space="preserve">One of the new ingredients (hexylresorcinol) and 2 of the existing ingredients (benzyl alcohol and cetylpyridinium chloride) evaluated by the TGA were </w:t>
      </w:r>
      <w:r w:rsidRPr="00DC56A0">
        <w:rPr>
          <w:rFonts w:ascii="Times New Roman" w:eastAsia="Times New Roman" w:hAnsi="Times New Roman" w:cs="Times New Roman"/>
          <w:sz w:val="24"/>
          <w:szCs w:val="24"/>
          <w:lang w:eastAsia="en-AU"/>
        </w:rPr>
        <w:t xml:space="preserve">considered </w:t>
      </w:r>
      <w:r w:rsidR="00850146" w:rsidRPr="00EF6D39">
        <w:rPr>
          <w:rFonts w:ascii="Times New Roman" w:eastAsia="Times New Roman" w:hAnsi="Times New Roman" w:cs="Times New Roman"/>
          <w:sz w:val="24"/>
          <w:szCs w:val="24"/>
          <w:lang w:eastAsia="en-AU"/>
        </w:rPr>
        <w:t xml:space="preserve">following consultation </w:t>
      </w:r>
      <w:r w:rsidR="00E715AB" w:rsidRPr="00E715AB">
        <w:rPr>
          <w:rFonts w:ascii="Times New Roman" w:eastAsia="Times New Roman" w:hAnsi="Times New Roman" w:cs="Times New Roman"/>
          <w:sz w:val="24"/>
          <w:szCs w:val="24"/>
          <w:lang w:eastAsia="en-AU"/>
        </w:rPr>
        <w:t>as part of</w:t>
      </w:r>
      <w:r w:rsidRPr="00E715AB">
        <w:rPr>
          <w:rFonts w:ascii="Times New Roman" w:eastAsia="Times New Roman" w:hAnsi="Times New Roman" w:cs="Times New Roman"/>
          <w:sz w:val="24"/>
          <w:szCs w:val="24"/>
          <w:lang w:eastAsia="en-AU"/>
        </w:rPr>
        <w:t xml:space="preserve"> the </w:t>
      </w:r>
      <w:hyperlink r:id="rId8" w:history="1">
        <w:r w:rsidRPr="00E715AB">
          <w:rPr>
            <w:rStyle w:val="Hyperlink"/>
            <w:rFonts w:ascii="Times New Roman" w:eastAsia="Times New Roman" w:hAnsi="Times New Roman" w:cs="Times New Roman"/>
            <w:sz w:val="24"/>
            <w:szCs w:val="24"/>
            <w:lang w:eastAsia="en-AU"/>
          </w:rPr>
          <w:t>low risk products review</w:t>
        </w:r>
      </w:hyperlink>
      <w:r w:rsidR="00850146" w:rsidRPr="0074493B">
        <w:rPr>
          <w:rFonts w:ascii="Times New Roman" w:hAnsi="Times New Roman" w:cs="Times New Roman"/>
          <w:sz w:val="24"/>
          <w:szCs w:val="24"/>
        </w:rPr>
        <w:t xml:space="preserve"> </w:t>
      </w:r>
      <w:r w:rsidR="00E715AB" w:rsidRPr="00E715AB">
        <w:rPr>
          <w:rFonts w:ascii="Times New Roman" w:hAnsi="Times New Roman" w:cs="Times New Roman"/>
          <w:sz w:val="24"/>
          <w:szCs w:val="24"/>
        </w:rPr>
        <w:t xml:space="preserve">conducted </w:t>
      </w:r>
      <w:r w:rsidR="00E715AB" w:rsidRPr="00D31199">
        <w:rPr>
          <w:rFonts w:ascii="Times New Roman" w:hAnsi="Times New Roman" w:cs="Times New Roman"/>
          <w:sz w:val="24"/>
          <w:szCs w:val="24"/>
        </w:rPr>
        <w:t xml:space="preserve">by the TGA </w:t>
      </w:r>
      <w:r w:rsidR="006F49F6" w:rsidRPr="00D31199">
        <w:rPr>
          <w:rFonts w:ascii="Times New Roman" w:hAnsi="Times New Roman" w:cs="Times New Roman"/>
          <w:sz w:val="24"/>
          <w:szCs w:val="24"/>
        </w:rPr>
        <w:t>from 31 March 2017;</w:t>
      </w:r>
      <w:r w:rsidR="00E715AB" w:rsidRPr="00D31199">
        <w:rPr>
          <w:rFonts w:ascii="Times New Roman" w:hAnsi="Times New Roman" w:cs="Times New Roman"/>
          <w:sz w:val="24"/>
          <w:szCs w:val="24"/>
        </w:rPr>
        <w:t xml:space="preserve"> following</w:t>
      </w:r>
      <w:r w:rsidR="00850146" w:rsidRPr="00D31199">
        <w:rPr>
          <w:rFonts w:ascii="Times New Roman" w:hAnsi="Times New Roman" w:cs="Times New Roman"/>
          <w:sz w:val="24"/>
          <w:szCs w:val="24"/>
        </w:rPr>
        <w:t xml:space="preserve"> the </w:t>
      </w:r>
      <w:r w:rsidR="00850146" w:rsidRPr="00D31199">
        <w:rPr>
          <w:rFonts w:ascii="Times New Roman" w:eastAsia="Times New Roman" w:hAnsi="Times New Roman" w:cs="Times New Roman"/>
          <w:sz w:val="24"/>
          <w:szCs w:val="24"/>
          <w:lang w:eastAsia="en-AU"/>
        </w:rPr>
        <w:t>Government</w:t>
      </w:r>
      <w:r w:rsidR="00E715AB" w:rsidRPr="00D31199">
        <w:rPr>
          <w:rFonts w:ascii="Times New Roman" w:eastAsia="Times New Roman" w:hAnsi="Times New Roman" w:cs="Times New Roman"/>
          <w:sz w:val="24"/>
          <w:szCs w:val="24"/>
          <w:lang w:eastAsia="en-AU"/>
        </w:rPr>
        <w:t>’s</w:t>
      </w:r>
      <w:r w:rsidR="00850146" w:rsidRPr="00D31199">
        <w:rPr>
          <w:rFonts w:ascii="Times New Roman" w:eastAsia="Times New Roman" w:hAnsi="Times New Roman" w:cs="Times New Roman"/>
          <w:sz w:val="24"/>
          <w:szCs w:val="24"/>
          <w:lang w:eastAsia="en-AU"/>
        </w:rPr>
        <w:t xml:space="preserve">  </w:t>
      </w:r>
      <w:r w:rsidR="00E715AB" w:rsidRPr="00D31199">
        <w:rPr>
          <w:rFonts w:ascii="Times New Roman" w:eastAsia="Times New Roman" w:hAnsi="Times New Roman" w:cs="Times New Roman"/>
          <w:sz w:val="24"/>
          <w:szCs w:val="24"/>
          <w:lang w:eastAsia="en-AU"/>
        </w:rPr>
        <w:t xml:space="preserve">response to </w:t>
      </w:r>
      <w:r w:rsidR="00850146" w:rsidRPr="00D31199">
        <w:rPr>
          <w:rFonts w:ascii="Times New Roman" w:eastAsia="Times New Roman" w:hAnsi="Times New Roman" w:cs="Times New Roman"/>
          <w:sz w:val="24"/>
          <w:szCs w:val="24"/>
          <w:lang w:eastAsia="en-AU"/>
        </w:rPr>
        <w:t xml:space="preserve">the </w:t>
      </w:r>
      <w:r w:rsidR="00E715AB" w:rsidRPr="00D31199">
        <w:rPr>
          <w:rFonts w:ascii="Times New Roman" w:eastAsia="Times New Roman" w:hAnsi="Times New Roman" w:cs="Times New Roman"/>
          <w:sz w:val="24"/>
          <w:szCs w:val="24"/>
          <w:lang w:eastAsia="en-AU"/>
        </w:rPr>
        <w:t xml:space="preserve">Expert Panel </w:t>
      </w:r>
      <w:hyperlink r:id="rId9" w:history="1">
        <w:r w:rsidR="00850146" w:rsidRPr="00D31199">
          <w:rPr>
            <w:rStyle w:val="Hyperlink"/>
            <w:rFonts w:ascii="Times New Roman" w:hAnsi="Times New Roman" w:cs="Times New Roman"/>
            <w:sz w:val="24"/>
            <w:szCs w:val="24"/>
          </w:rPr>
          <w:t>Review of Medicines and Medical Devices Regulation</w:t>
        </w:r>
      </w:hyperlink>
      <w:r w:rsidR="00850146" w:rsidRPr="00D31199">
        <w:rPr>
          <w:rFonts w:ascii="Times New Roman" w:eastAsia="Times New Roman" w:hAnsi="Times New Roman" w:cs="Times New Roman"/>
          <w:sz w:val="24"/>
          <w:szCs w:val="24"/>
          <w:lang w:eastAsia="en-AU"/>
        </w:rPr>
        <w:t>.</w:t>
      </w:r>
      <w:r w:rsidR="00850146" w:rsidRPr="00E715AB">
        <w:rPr>
          <w:rFonts w:ascii="Times New Roman" w:eastAsia="Times New Roman" w:hAnsi="Times New Roman" w:cs="Times New Roman"/>
          <w:sz w:val="24"/>
          <w:szCs w:val="24"/>
          <w:lang w:eastAsia="en-AU"/>
        </w:rPr>
        <w:t xml:space="preserve"> </w:t>
      </w:r>
    </w:p>
    <w:p w14:paraId="67FAA302" w14:textId="2739F5E1" w:rsidR="00C10BAC" w:rsidRDefault="0050197A">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850146">
        <w:rPr>
          <w:rFonts w:ascii="Times New Roman" w:eastAsia="Times New Roman" w:hAnsi="Times New Roman" w:cs="Times New Roman"/>
          <w:sz w:val="24"/>
          <w:szCs w:val="24"/>
          <w:lang w:eastAsia="en-AU"/>
        </w:rPr>
        <w:t xml:space="preserve">remaining </w:t>
      </w:r>
      <w:r w:rsidR="00C10BAC">
        <w:rPr>
          <w:rFonts w:ascii="Times New Roman" w:eastAsia="Times New Roman" w:hAnsi="Times New Roman" w:cs="Times New Roman"/>
          <w:sz w:val="24"/>
          <w:szCs w:val="24"/>
          <w:lang w:eastAsia="en-AU"/>
        </w:rPr>
        <w:t>5 new</w:t>
      </w:r>
      <w:r w:rsidR="008F25E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ingredients</w:t>
      </w:r>
      <w:r w:rsidR="00C10BAC">
        <w:rPr>
          <w:rFonts w:ascii="Times New Roman" w:eastAsia="Times New Roman" w:hAnsi="Times New Roman" w:cs="Times New Roman"/>
          <w:sz w:val="24"/>
          <w:szCs w:val="24"/>
          <w:lang w:eastAsia="en-AU"/>
        </w:rPr>
        <w:t xml:space="preserve"> and </w:t>
      </w:r>
      <w:r w:rsidR="00E715AB">
        <w:rPr>
          <w:rFonts w:ascii="Times New Roman" w:eastAsia="Times New Roman" w:hAnsi="Times New Roman" w:cs="Times New Roman"/>
          <w:sz w:val="24"/>
          <w:szCs w:val="24"/>
          <w:lang w:eastAsia="en-AU"/>
        </w:rPr>
        <w:t xml:space="preserve">changes to make the applicable requirements for </w:t>
      </w:r>
      <w:r w:rsidR="00C10BAC">
        <w:rPr>
          <w:rFonts w:ascii="Times New Roman" w:eastAsia="Times New Roman" w:hAnsi="Times New Roman" w:cs="Times New Roman"/>
          <w:sz w:val="24"/>
          <w:szCs w:val="24"/>
          <w:lang w:eastAsia="en-AU"/>
        </w:rPr>
        <w:t>existing ingredients</w:t>
      </w:r>
      <w:r w:rsidR="00E715AB">
        <w:rPr>
          <w:rFonts w:ascii="Times New Roman" w:eastAsia="Times New Roman" w:hAnsi="Times New Roman" w:cs="Times New Roman"/>
          <w:sz w:val="24"/>
          <w:szCs w:val="24"/>
          <w:lang w:eastAsia="en-AU"/>
        </w:rPr>
        <w:t xml:space="preserve"> more flexible</w:t>
      </w:r>
      <w:r w:rsidR="00C10BAC">
        <w:rPr>
          <w:rFonts w:ascii="Times New Roman" w:eastAsia="Times New Roman" w:hAnsi="Times New Roman" w:cs="Times New Roman"/>
          <w:sz w:val="24"/>
          <w:szCs w:val="24"/>
          <w:lang w:eastAsia="en-AU"/>
        </w:rPr>
        <w:t xml:space="preserve"> which</w:t>
      </w:r>
      <w:r w:rsidR="008F25EE">
        <w:rPr>
          <w:rFonts w:ascii="Times New Roman" w:eastAsia="Times New Roman" w:hAnsi="Times New Roman" w:cs="Times New Roman"/>
          <w:sz w:val="24"/>
          <w:szCs w:val="24"/>
          <w:lang w:eastAsia="en-AU"/>
        </w:rPr>
        <w:t xml:space="preserve"> </w:t>
      </w:r>
      <w:r w:rsidR="00E715AB">
        <w:rPr>
          <w:rFonts w:ascii="Times New Roman" w:eastAsia="Times New Roman" w:hAnsi="Times New Roman" w:cs="Times New Roman"/>
          <w:sz w:val="24"/>
          <w:szCs w:val="24"/>
          <w:lang w:eastAsia="en-AU"/>
        </w:rPr>
        <w:t xml:space="preserve">in the Determination were the subject of engagement </w:t>
      </w:r>
      <w:r>
        <w:rPr>
          <w:rFonts w:ascii="Times New Roman" w:eastAsia="Times New Roman" w:hAnsi="Times New Roman" w:cs="Times New Roman"/>
          <w:sz w:val="24"/>
          <w:szCs w:val="24"/>
          <w:lang w:eastAsia="en-AU"/>
        </w:rPr>
        <w:t xml:space="preserve">with the </w:t>
      </w:r>
      <w:r w:rsidR="00E715AB">
        <w:rPr>
          <w:rFonts w:ascii="Times New Roman" w:eastAsia="Times New Roman" w:hAnsi="Times New Roman" w:cs="Times New Roman"/>
          <w:sz w:val="24"/>
          <w:szCs w:val="24"/>
          <w:lang w:eastAsia="en-AU"/>
        </w:rPr>
        <w:t>sponsors who applied to the Secretary for those variations</w:t>
      </w:r>
      <w:r>
        <w:rPr>
          <w:rFonts w:ascii="Times New Roman" w:eastAsia="Times New Roman" w:hAnsi="Times New Roman" w:cs="Times New Roman"/>
          <w:sz w:val="24"/>
          <w:szCs w:val="24"/>
          <w:lang w:eastAsia="en-AU"/>
        </w:rPr>
        <w:t>.</w:t>
      </w:r>
    </w:p>
    <w:p w14:paraId="5B851EAA" w14:textId="4315A7B9" w:rsidR="0050197A" w:rsidRDefault="00807896">
      <w:pPr>
        <w:spacing w:before="100" w:beforeAutospacing="1" w:after="100" w:afterAutospacing="1"/>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The Office of Best Practice has previously advised that a regulatory impact statement is not required for updates to determinations made under section 26BB of the Act that are minor or machinery in nature</w:t>
      </w:r>
      <w:r w:rsidR="00E715AB">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or the outcomes of TGA safety evaluations where the regulatory impacts are minor or machinery in nature (OBPR references 14416, 20999 and 21645).</w:t>
      </w:r>
    </w:p>
    <w:p w14:paraId="7A00BF75" w14:textId="77777777" w:rsidR="0050197A" w:rsidRPr="00B94E86" w:rsidRDefault="0050197A" w:rsidP="001F063F">
      <w:pPr>
        <w:keepNext/>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09BDDD8C"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53E90904"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The intention in this Determination is therefore to adopt the defined meaning of the pharmacopoeia as set out in subsection 3(1) of the Act (an approach permitted by subsection 10(4) of the Act). That pharmacopoeia may be accessed from </w:t>
      </w:r>
      <w:hyperlink r:id="rId10"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11" w:history="1">
        <w:r w:rsidRPr="00BB66B5">
          <w:rPr>
            <w:rStyle w:val="Hyperlink"/>
            <w:rFonts w:ascii="Times New Roman" w:hAnsi="Times New Roman" w:cs="Times New Roman"/>
            <w:sz w:val="24"/>
            <w:szCs w:val="24"/>
          </w:rPr>
          <w:t>www.edqm.eu/en/european-pharmacopoeia-ph-eur-9th-edition</w:t>
        </w:r>
      </w:hyperlink>
      <w:r>
        <w:rPr>
          <w:rFonts w:ascii="Times New Roman" w:hAnsi="Times New Roman" w:cs="Times New Roman"/>
          <w:sz w:val="24"/>
          <w:szCs w:val="24"/>
        </w:rPr>
        <w:t xml:space="preserve"> and </w:t>
      </w:r>
      <w:hyperlink r:id="rId12"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 xml:space="preserve">. </w:t>
      </w:r>
    </w:p>
    <w:p w14:paraId="2E0BD165" w14:textId="77777777" w:rsidR="0050197A" w:rsidRPr="00D35938"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3" w:history="1">
        <w:r w:rsidRPr="00BB66B5">
          <w:rPr>
            <w:rStyle w:val="Hyperlink"/>
            <w:rFonts w:ascii="Times New Roman" w:hAnsi="Times New Roman" w:cs="Times New Roman"/>
            <w:sz w:val="24"/>
            <w:szCs w:val="24"/>
          </w:rPr>
          <w:t>www.online.foodchemicalscodex.org</w:t>
        </w:r>
      </w:hyperlink>
      <w:r>
        <w:rPr>
          <w:rFonts w:ascii="Times New Roman" w:hAnsi="Times New Roman" w:cs="Times New Roman"/>
          <w:sz w:val="24"/>
          <w:szCs w:val="24"/>
        </w:rPr>
        <w:t xml:space="preserve">). The intended manner of adoption of the FCC is also as it is in force or existing from time to time.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CF10D9">
        <w:rPr>
          <w:rStyle w:val="Hyperlink"/>
          <w:rFonts w:ascii="Times New Roman" w:hAnsi="Times New Roman" w:cs="Times New Roman"/>
          <w:i/>
          <w:sz w:val="24"/>
          <w:szCs w:val="24"/>
        </w:rPr>
        <w:t>Animal Products Act 1999</w:t>
      </w:r>
      <w:r>
        <w:rPr>
          <w:rStyle w:val="Hyperlink"/>
        </w:rPr>
        <w:t xml:space="preserve"> </w:t>
      </w:r>
      <w:r w:rsidRPr="00CF10D9">
        <w:rPr>
          <w:rStyle w:val="Hyperlink"/>
          <w:rFonts w:ascii="Times New Roman" w:hAnsi="Times New Roman" w:cs="Times New Roman"/>
          <w:sz w:val="24"/>
          <w:szCs w:val="24"/>
        </w:rPr>
        <w:t xml:space="preserve">and the </w:t>
      </w:r>
      <w:r w:rsidRPr="00CF10D9">
        <w:rPr>
          <w:rStyle w:val="Hyperlink"/>
          <w:rFonts w:ascii="Times New Roman" w:hAnsi="Times New Roman" w:cs="Times New Roman"/>
          <w:i/>
          <w:sz w:val="24"/>
          <w:szCs w:val="24"/>
        </w:rPr>
        <w:t>Animal Welfare Act 1999</w:t>
      </w:r>
      <w:r>
        <w:rPr>
          <w:rStyle w:val="Hyperlink"/>
          <w:rFonts w:ascii="Times New Roman" w:hAnsi="Times New Roman" w:cs="Times New Roman"/>
          <w:sz w:val="24"/>
          <w:szCs w:val="24"/>
        </w:rPr>
        <w:t xml:space="preserve"> </w:t>
      </w:r>
      <w:r>
        <w:rPr>
          <w:rFonts w:ascii="Times New Roman" w:hAnsi="Times New Roman" w:cs="Times New Roman"/>
          <w:sz w:val="24"/>
          <w:szCs w:val="24"/>
          <w:lang w:eastAsia="en-AU"/>
        </w:rPr>
        <w:t xml:space="preserve">of New Zealand on the same basis. These Acts are available for free from </w:t>
      </w:r>
      <w:hyperlink r:id="rId14" w:history="1">
        <w:r w:rsidRPr="00BB66B5">
          <w:rPr>
            <w:rStyle w:val="Hyperlink"/>
            <w:rFonts w:ascii="Times New Roman" w:hAnsi="Times New Roman" w:cs="Times New Roman"/>
            <w:sz w:val="24"/>
            <w:szCs w:val="24"/>
          </w:rPr>
          <w:t>www.legislation.govt.nz/</w:t>
        </w:r>
      </w:hyperlink>
      <w:r>
        <w:rPr>
          <w:rStyle w:val="Hyperlink"/>
        </w:rPr>
        <w:t>.</w:t>
      </w:r>
    </w:p>
    <w:p w14:paraId="166CDB99" w14:textId="77777777" w:rsidR="0050197A" w:rsidRPr="00950D68" w:rsidRDefault="0050197A" w:rsidP="0034672A">
      <w:pPr>
        <w:spacing w:before="100" w:beforeAutospacing="1" w:after="100" w:afterAutospacing="1"/>
        <w:rPr>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 This document is available for free from</w:t>
      </w:r>
      <w:r w:rsidRPr="00CC73D8">
        <w:rPr>
          <w:rFonts w:ascii="Times New Roman" w:hAnsi="Times New Roman" w:cs="Times New Roman"/>
          <w:sz w:val="24"/>
          <w:szCs w:val="24"/>
          <w:lang w:eastAsia="en-AU"/>
        </w:rPr>
        <w:t xml:space="preserve"> </w:t>
      </w:r>
      <w:hyperlink r:id="rId15"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69313021" w14:textId="2F359116"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Pr="009C06D8">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350BBCA7" w14:textId="69F28153" w:rsidR="00E715AB" w:rsidRPr="00B13B06" w:rsidRDefault="00E715AB" w:rsidP="00E715AB">
      <w:pPr>
        <w:spacing w:before="120" w:line="240" w:lineRule="auto"/>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1F1060FE" w14:textId="6D02EC35" w:rsidR="0050197A" w:rsidRDefault="0050197A" w:rsidP="0034672A">
      <w:pPr>
        <w:spacing w:before="100" w:beforeAutospacing="1" w:after="100" w:afterAutospacing="1"/>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6"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
    <w:p w14:paraId="5265C58B" w14:textId="77777777" w:rsidR="0050197A" w:rsidRDefault="0050197A" w:rsidP="003467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7"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 </w:t>
      </w:r>
    </w:p>
    <w:p w14:paraId="25583419" w14:textId="77777777" w:rsidR="0050197A" w:rsidRPr="00953BDD" w:rsidRDefault="0050197A" w:rsidP="0034672A">
      <w:pPr>
        <w:spacing w:before="100" w:beforeAutospacing="1" w:after="100" w:afterAutospacing="1"/>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43D36B50" w14:textId="77777777" w:rsidR="0050197A" w:rsidRPr="00953BDD" w:rsidRDefault="0050197A" w:rsidP="0034672A">
      <w:pPr>
        <w:spacing w:before="100" w:beforeAutospacing="1" w:after="100" w:afterAutospacing="1"/>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4F8CA9DD" w14:textId="3CF7C5FC" w:rsidR="0029115B" w:rsidRDefault="0050197A" w:rsidP="0034672A">
      <w:pPr>
        <w:spacing w:before="100" w:beforeAutospacing="1" w:after="100" w:afterAutospacing="1" w:line="240" w:lineRule="auto"/>
        <w:jc w:val="both"/>
        <w:rPr>
          <w:rFonts w:ascii="Times New Roman" w:eastAsia="Times New Roman" w:hAnsi="Times New Roman" w:cs="Times New Roman"/>
          <w:b/>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and commences </w:t>
      </w:r>
      <w:r w:rsidR="0073245E">
        <w:rPr>
          <w:rFonts w:ascii="Times New Roman" w:eastAsia="Times New Roman" w:hAnsi="Times New Roman" w:cs="Times New Roman"/>
          <w:sz w:val="24"/>
          <w:szCs w:val="24"/>
          <w:lang w:eastAsia="en-AU"/>
        </w:rPr>
        <w:t>the day after registration</w:t>
      </w:r>
      <w:r>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t>Attachment A</w:t>
      </w:r>
    </w:p>
    <w:p w14:paraId="625D6C8F" w14:textId="66E0E0A2"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50197A">
        <w:rPr>
          <w:rFonts w:ascii="Times New Roman" w:eastAsia="Times New Roman" w:hAnsi="Times New Roman" w:cs="Times New Roman"/>
          <w:b/>
          <w:i/>
          <w:sz w:val="24"/>
          <w:szCs w:val="24"/>
          <w:lang w:eastAsia="en-AU"/>
        </w:rPr>
        <w:t>3</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2019</w:t>
      </w:r>
    </w:p>
    <w:p w14:paraId="351A8BA8" w14:textId="77777777" w:rsid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1 Name</w:t>
      </w:r>
    </w:p>
    <w:p w14:paraId="566C8079" w14:textId="4351F361"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50197A">
        <w:rPr>
          <w:rFonts w:ascii="Times New Roman" w:eastAsia="Times New Roman" w:hAnsi="Times New Roman" w:cs="Times New Roman"/>
          <w:i/>
          <w:sz w:val="24"/>
          <w:szCs w:val="24"/>
          <w:lang w:eastAsia="en-AU"/>
        </w:rPr>
        <w:t>3</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2019</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1B8996FF" w14:textId="77777777"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 Commencement</w:t>
      </w:r>
    </w:p>
    <w:p w14:paraId="087283D7" w14:textId="5911B6A3" w:rsidR="0050197A" w:rsidRDefault="0050197A" w:rsidP="0050197A">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Determination </w:t>
      </w:r>
      <w:r w:rsidR="00FB4355">
        <w:rPr>
          <w:rFonts w:ascii="Times New Roman" w:eastAsia="Times New Roman" w:hAnsi="Times New Roman" w:cs="Times New Roman"/>
          <w:sz w:val="24"/>
          <w:szCs w:val="24"/>
          <w:lang w:eastAsia="en-AU"/>
        </w:rPr>
        <w:t xml:space="preserve">commences </w:t>
      </w:r>
      <w:r w:rsidR="0073245E">
        <w:rPr>
          <w:rFonts w:ascii="Times New Roman" w:eastAsia="Times New Roman" w:hAnsi="Times New Roman" w:cs="Times New Roman"/>
          <w:sz w:val="24"/>
          <w:szCs w:val="24"/>
          <w:lang w:eastAsia="en-AU"/>
        </w:rPr>
        <w:t>the day after registration</w:t>
      </w:r>
      <w:r w:rsidRPr="0022707A">
        <w:rPr>
          <w:rFonts w:ascii="Times New Roman" w:eastAsia="Times New Roman" w:hAnsi="Times New Roman" w:cs="Times New Roman"/>
          <w:sz w:val="24"/>
          <w:szCs w:val="24"/>
          <w:lang w:eastAsia="en-AU"/>
        </w:rPr>
        <w:t>.</w:t>
      </w:r>
    </w:p>
    <w:p w14:paraId="0EEDC031" w14:textId="77777777"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3 Authority</w:t>
      </w:r>
    </w:p>
    <w:p w14:paraId="51F2D730" w14:textId="7CF74916"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C363FE6" w14:textId="77777777" w:rsidR="0040312B" w:rsidRPr="00AE2E87"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Interpretation</w:t>
      </w:r>
    </w:p>
    <w:p w14:paraId="0D82FB5D" w14:textId="383CE956" w:rsidR="0091180B" w:rsidRPr="0091180B"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DCB529C" w14:textId="77777777" w:rsidR="0091180B" w:rsidRPr="0091180B"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783E573B" w14:textId="6B1AAD65" w:rsidR="00AE2E87" w:rsidRDefault="0091180B" w:rsidP="0091180B">
      <w:pPr>
        <w:spacing w:before="100" w:beforeAutospacing="1" w:after="100" w:afterAutospacing="1"/>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‘Indications’ or ‘Product Warning’, and are not required to be included on the label of the medicine.</w:t>
      </w:r>
    </w:p>
    <w:p w14:paraId="0AA57C3B" w14:textId="77777777" w:rsidR="001B7ED3" w:rsidRPr="007B443E" w:rsidRDefault="001B7ED3" w:rsidP="001B7ED3">
      <w:pPr>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Permissible ingredients </w:t>
      </w:r>
    </w:p>
    <w:p w14:paraId="099B9869"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ingredients specified in column 2 of the table in Schedule 1 to the Determination are specified for the purposes of paragraph 26BB(1)(a) of the Act. </w:t>
      </w:r>
    </w:p>
    <w:p w14:paraId="3132B7BB" w14:textId="77777777" w:rsidR="001B7ED3" w:rsidRPr="006B644D" w:rsidRDefault="001B7ED3" w:rsidP="001B7ED3">
      <w:pPr>
        <w:spacing w:before="240"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 Requirements in relation to permissible ingredients being contained in medicine</w:t>
      </w:r>
    </w:p>
    <w:p w14:paraId="01BF54A2"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for an ingredient mentioned in column 2 of an item in the table in Schedule 1 to the Determination, the requirements in paragraphs 6(a) to (c) are specified for the purposes of paragraph 26BB(1)(b) of the Act. These include, for example, that the ingredient must only be used in a medicine for a purpose specified in relation to the ingredient in column 3 of that item.</w:t>
      </w:r>
    </w:p>
    <w:p w14:paraId="241E7A35" w14:textId="77777777" w:rsidR="001B7ED3" w:rsidRPr="007B443E" w:rsidRDefault="001B7ED3" w:rsidP="001B7ED3">
      <w:pPr>
        <w:keepNext/>
        <w:spacing w:before="240"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Repeals</w:t>
      </w:r>
    </w:p>
    <w:p w14:paraId="4043154E" w14:textId="77777777" w:rsidR="001B7ED3" w:rsidRDefault="001B7ED3" w:rsidP="001B7ED3">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Schedule 2 to the Determination is repealed as set out in the applicable items in that Schedule.</w:t>
      </w:r>
    </w:p>
    <w:p w14:paraId="3AC09063" w14:textId="13D0598B" w:rsidR="00AE2E87" w:rsidRDefault="00AE2E87">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086FF46B" w14:textId="34C0F3D5" w:rsidR="00045C71" w:rsidRDefault="00CA2F70" w:rsidP="005F1175">
      <w:pPr>
        <w:spacing w:before="100" w:beforeAutospacing="1" w:after="100" w:afterAutospacing="1"/>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r>
        <w:rPr>
          <w:rFonts w:ascii="Times New Roman" w:eastAsia="Times New Roman" w:hAnsi="Times New Roman" w:cs="Times New Roman"/>
          <w:sz w:val="24"/>
          <w:szCs w:val="24"/>
          <w:lang w:eastAsia="en-AU"/>
        </w:rPr>
        <w:t xml:space="preserve"> </w:t>
      </w:r>
    </w:p>
    <w:p w14:paraId="023BE486" w14:textId="2EC5EE95" w:rsidR="00CA2F70" w:rsidRPr="00CA2F70" w:rsidRDefault="00CA2F70" w:rsidP="00CA2F70">
      <w:pPr>
        <w:spacing w:before="100" w:beforeAutospacing="1" w:after="100" w:afterAutospacing="1"/>
        <w:rPr>
          <w:rFonts w:ascii="Times New Roman" w:eastAsia="Times New Roman" w:hAnsi="Times New Roman" w:cs="Times New Roman"/>
          <w:sz w:val="24"/>
          <w:szCs w:val="24"/>
          <w:lang w:val="en-US" w:eastAsia="en-AU"/>
        </w:rPr>
      </w:pPr>
      <w:r w:rsidRPr="00CA2F70">
        <w:rPr>
          <w:rFonts w:ascii="Times New Roman" w:eastAsia="Times New Roman" w:hAnsi="Times New Roman" w:cs="Times New Roman"/>
          <w:b/>
          <w:bCs/>
          <w:sz w:val="24"/>
          <w:szCs w:val="24"/>
          <w:lang w:eastAsia="en-AU"/>
        </w:rPr>
        <w:t>Schedule 2 – Repeals</w:t>
      </w:r>
    </w:p>
    <w:p w14:paraId="4EBA8EBE" w14:textId="707C48BC" w:rsidR="00CA2F70" w:rsidRPr="00CA2F70" w:rsidRDefault="00CA2F70" w:rsidP="00CA2F70">
      <w:pPr>
        <w:spacing w:before="100" w:beforeAutospacing="1" w:after="100" w:afterAutospacing="1"/>
        <w:rPr>
          <w:rFonts w:ascii="Times New Roman" w:eastAsia="Times New Roman" w:hAnsi="Times New Roman" w:cs="Times New Roman"/>
          <w:sz w:val="24"/>
          <w:szCs w:val="24"/>
          <w:lang w:val="en-US" w:eastAsia="en-AU"/>
        </w:rPr>
      </w:pPr>
      <w:r w:rsidRPr="00CA2F70">
        <w:rPr>
          <w:rFonts w:ascii="Times New Roman" w:eastAsia="Times New Roman" w:hAnsi="Times New Roman" w:cs="Times New Roman"/>
          <w:sz w:val="24"/>
          <w:szCs w:val="24"/>
          <w:lang w:eastAsia="en-AU"/>
        </w:rPr>
        <w:t xml:space="preserve">This Schedule repeals the </w:t>
      </w:r>
      <w:r w:rsidRPr="00CA2F70">
        <w:rPr>
          <w:rFonts w:ascii="Times New Roman" w:eastAsia="Times New Roman" w:hAnsi="Times New Roman" w:cs="Times New Roman"/>
          <w:i/>
          <w:iCs/>
          <w:sz w:val="24"/>
          <w:szCs w:val="24"/>
          <w:lang w:eastAsia="en-AU"/>
        </w:rPr>
        <w:t>Therapeutic Goods (Permissible Ingredients) Determination (No. </w:t>
      </w:r>
      <w:r>
        <w:rPr>
          <w:rFonts w:ascii="Times New Roman" w:eastAsia="Times New Roman" w:hAnsi="Times New Roman" w:cs="Times New Roman"/>
          <w:i/>
          <w:iCs/>
          <w:sz w:val="24"/>
          <w:szCs w:val="24"/>
          <w:lang w:eastAsia="en-AU"/>
        </w:rPr>
        <w:t>2</w:t>
      </w:r>
      <w:r w:rsidRPr="00CA2F70">
        <w:rPr>
          <w:rFonts w:ascii="Times New Roman" w:eastAsia="Times New Roman" w:hAnsi="Times New Roman" w:cs="Times New Roman"/>
          <w:i/>
          <w:iCs/>
          <w:sz w:val="24"/>
          <w:szCs w:val="24"/>
          <w:lang w:eastAsia="en-AU"/>
        </w:rPr>
        <w:t>) 2019.</w:t>
      </w:r>
    </w:p>
    <w:p w14:paraId="5520322D" w14:textId="77777777" w:rsidR="00CA2F70" w:rsidRDefault="00CA2F70" w:rsidP="00CA2F70">
      <w:pPr>
        <w:spacing w:before="100" w:beforeAutospacing="1" w:after="100" w:afterAutospacing="1"/>
        <w:rPr>
          <w:rFonts w:ascii="Times New Roman" w:eastAsia="Times New Roman" w:hAnsi="Times New Roman" w:cs="Times New Roman"/>
          <w:sz w:val="24"/>
          <w:szCs w:val="24"/>
          <w:lang w:eastAsia="en-AU"/>
        </w:rPr>
      </w:pPr>
    </w:p>
    <w:p w14:paraId="09B08BCF" w14:textId="77777777" w:rsidR="00045C71" w:rsidRDefault="00045C71" w:rsidP="008D3A14">
      <w:pPr>
        <w:spacing w:before="100" w:beforeAutospacing="1" w:after="100" w:afterAutospacing="1"/>
        <w:ind w:left="284"/>
        <w:contextualSpacing/>
        <w:rPr>
          <w:rFonts w:ascii="Times New Roman" w:eastAsia="Times New Roman" w:hAnsi="Times New Roman" w:cs="Times New Roman"/>
          <w:sz w:val="24"/>
          <w:szCs w:val="24"/>
          <w:lang w:eastAsia="en-AU"/>
        </w:rPr>
      </w:pP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34672A">
      <w:pPr>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77777777" w:rsidR="00510EB5" w:rsidRDefault="00EF1F18" w:rsidP="00510EB5">
      <w:pPr>
        <w:spacing w:after="0"/>
        <w:jc w:val="center"/>
        <w:rPr>
          <w:rFonts w:ascii="Times New Roman" w:eastAsia="Times New Roman" w:hAnsi="Times New Roman" w:cs="Times New Roman"/>
          <w:sz w:val="24"/>
          <w:szCs w:val="24"/>
          <w:lang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1BED70F5"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1B7ED3">
        <w:rPr>
          <w:rFonts w:ascii="Times New Roman" w:eastAsia="Times New Roman" w:hAnsi="Times New Roman" w:cs="Times New Roman"/>
          <w:b/>
          <w:i/>
          <w:sz w:val="24"/>
          <w:szCs w:val="24"/>
          <w:lang w:eastAsia="en-AU"/>
        </w:rPr>
        <w:t>3</w:t>
      </w:r>
      <w:r w:rsidRPr="005F2423">
        <w:rPr>
          <w:rFonts w:ascii="Times New Roman" w:eastAsia="Times New Roman" w:hAnsi="Times New Roman" w:cs="Times New Roman"/>
          <w:b/>
          <w:i/>
          <w:sz w:val="24"/>
          <w:szCs w:val="24"/>
          <w:lang w:eastAsia="en-AU"/>
        </w:rPr>
        <w:t>) 2019</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77777777"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07914A09"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1B7ED3">
        <w:rPr>
          <w:rFonts w:ascii="Times New Roman" w:eastAsia="Times New Roman" w:hAnsi="Times New Roman" w:cs="Times New Roman"/>
          <w:i/>
          <w:sz w:val="24"/>
          <w:szCs w:val="24"/>
          <w:lang w:eastAsia="en-AU"/>
        </w:rPr>
        <w:t>3</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2019</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r w:rsidRPr="00A419EA">
        <w:rPr>
          <w:rFonts w:ascii="Times New Roman" w:eastAsia="Times New Roman" w:hAnsi="Times New Roman" w:cs="Times New Roman"/>
          <w:sz w:val="24"/>
          <w:szCs w:val="24"/>
          <w:lang w:eastAsia="en-AU"/>
        </w:rPr>
        <w:t xml:space="preserve"> </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7978AF5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The instrument also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ngredients) Determination (No. 2</w:t>
      </w:r>
      <w:r w:rsidRPr="00D731D4">
        <w:rPr>
          <w:rFonts w:ascii="Times New Roman" w:eastAsia="Times New Roman" w:hAnsi="Times New Roman" w:cs="Times New Roman"/>
          <w:i/>
          <w:iCs/>
          <w:sz w:val="24"/>
          <w:szCs w:val="24"/>
          <w:lang w:eastAsia="en-AU"/>
        </w:rPr>
        <w:t xml:space="preserve">) </w:t>
      </w:r>
      <w:r w:rsidRPr="00D731D4">
        <w:rPr>
          <w:rFonts w:ascii="Times New Roman" w:eastAsia="Times New Roman" w:hAnsi="Times New Roman" w:cs="Times New Roman"/>
          <w:sz w:val="24"/>
          <w:szCs w:val="24"/>
          <w:lang w:eastAsia="en-AU"/>
        </w:rPr>
        <w:t>2019 (“the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4E3871AC"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they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4C210DB6"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320CED50"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Paragraphs 26AB(2)(d) and (e) set out equivalent certification requirements for applicants seeking marketing approval for an assessed listed medicine. A listed (or 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67EE0D69"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7FAED2B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requirements imposed under the instrument principally relate to ensuring the quality and safety of the ingredient when used. Requirements may relate, for example, to:</w:t>
      </w:r>
    </w:p>
    <w:p w14:paraId="3E1BC56F" w14:textId="6C8A965F"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28D541C1" w14:textId="1992F33A"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repeals and replaces the former instrument, and incorporates a number of changes in comparison to the former instrument, including in particular:</w:t>
      </w:r>
    </w:p>
    <w:p w14:paraId="6AA74AFE" w14:textId="7FAD9AE6" w:rsidR="002751D3" w:rsidRDefault="002751D3" w:rsidP="002751D3">
      <w:pPr>
        <w:pStyle w:val="ListParagraph"/>
        <w:keepNext/>
        <w:numPr>
          <w:ilvl w:val="0"/>
          <w:numId w:val="13"/>
        </w:numPr>
        <w:spacing w:before="120" w:beforeAutospacing="0" w:after="120" w:afterAutospacing="0" w:line="276" w:lineRule="auto"/>
      </w:pPr>
      <w:r>
        <w:t xml:space="preserve">including </w:t>
      </w:r>
      <w:r w:rsidR="007313BA">
        <w:t>6</w:t>
      </w:r>
      <w:r>
        <w:t xml:space="preserve"> new ingredients and </w:t>
      </w:r>
      <w:r w:rsidR="00EF6D39">
        <w:t xml:space="preserve">changes to the applicable requirements for 7 ingredients to reduce the level of regulation associated with the use of those ingredients in listed </w:t>
      </w:r>
      <w:r w:rsidR="0052033B">
        <w:t>medicines,</w:t>
      </w:r>
      <w:r>
        <w:t xml:space="preserve"> following evaluation by the TGA;</w:t>
      </w:r>
    </w:p>
    <w:p w14:paraId="05718AB9" w14:textId="5E19C357" w:rsidR="002751D3" w:rsidRPr="006D4AB8" w:rsidRDefault="002751D3" w:rsidP="002751D3">
      <w:pPr>
        <w:pStyle w:val="ListParagraph"/>
        <w:keepNext/>
        <w:numPr>
          <w:ilvl w:val="0"/>
          <w:numId w:val="13"/>
        </w:numPr>
        <w:spacing w:before="120" w:beforeAutospacing="0" w:after="120" w:afterAutospacing="0" w:line="276" w:lineRule="auto"/>
      </w:pPr>
      <w:r>
        <w:t xml:space="preserve">minor changes to 26 ingredients to </w:t>
      </w:r>
      <w:r w:rsidR="00EF6D39">
        <w:t>ensure consistency with applicable standards relating to labelling for such medicines</w:t>
      </w:r>
      <w:r>
        <w:t>.</w:t>
      </w:r>
    </w:p>
    <w:p w14:paraId="1C579E21" w14:textId="3D92626C" w:rsidR="00E1152E" w:rsidRDefault="00E1152E" w:rsidP="001F063F">
      <w:pPr>
        <w:pStyle w:val="ListParagraph"/>
      </w:pPr>
    </w:p>
    <w:p w14:paraId="685A0A7D"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720518">
      <w:pPr>
        <w:spacing w:after="0"/>
        <w:rPr>
          <w:rFonts w:ascii="Times New Roman" w:eastAsia="Times New Roman" w:hAnsi="Times New Roman" w:cs="Times New Roman"/>
          <w:sz w:val="24"/>
          <w:szCs w:val="24"/>
          <w:lang w:val="en-US" w:eastAsia="en-AU"/>
        </w:rPr>
      </w:pPr>
    </w:p>
    <w:p w14:paraId="063407BC" w14:textId="1F8E43D7"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77777777"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The instrument takes positive steps to promote the right to health by ensuring the safety and quality of therapeutic goods that are listed medicines. 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510EB5">
      <w:pPr>
        <w:spacing w:after="0"/>
        <w:contextualSpacing/>
        <w:rPr>
          <w:rFonts w:ascii="Times New Roman" w:eastAsia="Times New Roman" w:hAnsi="Times New Roman" w:cs="Times New Roman"/>
          <w:sz w:val="24"/>
          <w:szCs w:val="24"/>
          <w:lang w:eastAsia="en-AU"/>
        </w:rPr>
      </w:pPr>
    </w:p>
    <w:p w14:paraId="04806E92" w14:textId="77777777" w:rsidR="00EF1F18" w:rsidRPr="00A419EA" w:rsidRDefault="00EF1F18" w:rsidP="00720518">
      <w:pPr>
        <w:keepNext/>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t>Conclusion</w:t>
      </w:r>
    </w:p>
    <w:p w14:paraId="4E1E7F6D" w14:textId="77777777" w:rsidR="00EF1F18" w:rsidRPr="0034672A" w:rsidRDefault="00EF1F18" w:rsidP="0034672A">
      <w:pPr>
        <w:spacing w:after="0"/>
        <w:contextualSpacing/>
        <w:rPr>
          <w:rFonts w:ascii="Times New Roman" w:hAnsi="Times New Roman" w:cs="Times New Roman"/>
          <w:sz w:val="24"/>
          <w:szCs w:val="24"/>
        </w:rPr>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p w14:paraId="030B4EC5" w14:textId="77777777" w:rsidR="004761AE" w:rsidRDefault="004761AE">
      <w:pPr>
        <w:spacing w:before="120" w:after="120"/>
        <w:rPr>
          <w:rFonts w:ascii="Times New Roman" w:eastAsia="Times New Roman" w:hAnsi="Times New Roman" w:cs="Times New Roman"/>
          <w:b/>
          <w:bCs/>
          <w:sz w:val="24"/>
          <w:szCs w:val="24"/>
          <w:lang w:eastAsia="en-AU"/>
        </w:rPr>
      </w:pPr>
    </w:p>
    <w:p w14:paraId="63D98AB2" w14:textId="77777777" w:rsidR="008C0845" w:rsidRDefault="00E36564">
      <w:pPr>
        <w:spacing w:before="120" w:after="120"/>
      </w:pPr>
      <w:r>
        <w:rPr>
          <w:rFonts w:ascii="Times New Roman" w:eastAsia="Times New Roman" w:hAnsi="Times New Roman" w:cs="Times New Roman"/>
          <w:b/>
          <w:bCs/>
          <w:sz w:val="24"/>
          <w:szCs w:val="24"/>
          <w:lang w:eastAsia="en-AU"/>
        </w:rPr>
        <w:t>Cheryl McRae</w:t>
      </w:r>
      <w:r w:rsidR="00EF1F18" w:rsidRPr="00A419EA">
        <w:rPr>
          <w:rFonts w:ascii="Times New Roman" w:eastAsia="Times New Roman" w:hAnsi="Times New Roman" w:cs="Times New Roman"/>
          <w:b/>
          <w:bCs/>
          <w:sz w:val="24"/>
          <w:szCs w:val="24"/>
          <w:lang w:eastAsia="en-AU"/>
        </w:rPr>
        <w:t xml:space="preserve">, </w:t>
      </w:r>
      <w:r w:rsidR="00EF1F18" w:rsidRPr="00456FF8">
        <w:rPr>
          <w:rFonts w:ascii="Times New Roman" w:eastAsia="Times New Roman" w:hAnsi="Times New Roman" w:cs="Times New Roman"/>
          <w:b/>
          <w:bCs/>
          <w:sz w:val="24"/>
          <w:szCs w:val="24"/>
          <w:lang w:eastAsia="en-AU"/>
        </w:rPr>
        <w:t>delegate of the Minister for Health</w:t>
      </w:r>
      <w:r w:rsidR="00EF1F18">
        <w:rPr>
          <w:rFonts w:ascii="Times New Roman" w:eastAsia="Times New Roman" w:hAnsi="Times New Roman" w:cs="Times New Roman"/>
          <w:b/>
          <w:bCs/>
          <w:sz w:val="24"/>
          <w:szCs w:val="24"/>
          <w:lang w:eastAsia="en-AU"/>
        </w:rPr>
        <w:t xml:space="preserve"> </w:t>
      </w:r>
    </w:p>
    <w:sectPr w:rsidR="008C0845" w:rsidSect="00680B2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D9FC" w14:textId="77777777" w:rsidR="00201DC1" w:rsidRDefault="00201DC1" w:rsidP="008939B1">
      <w:pPr>
        <w:spacing w:after="0" w:line="240" w:lineRule="auto"/>
      </w:pPr>
      <w:r>
        <w:separator/>
      </w:r>
    </w:p>
  </w:endnote>
  <w:endnote w:type="continuationSeparator" w:id="0">
    <w:p w14:paraId="5911F7C5" w14:textId="77777777" w:rsidR="00201DC1" w:rsidRDefault="00201DC1"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3EDE" w14:textId="77777777" w:rsidR="00201DC1" w:rsidRDefault="00201DC1" w:rsidP="008939B1">
      <w:pPr>
        <w:spacing w:after="0" w:line="240" w:lineRule="auto"/>
      </w:pPr>
      <w:r>
        <w:separator/>
      </w:r>
    </w:p>
  </w:footnote>
  <w:footnote w:type="continuationSeparator" w:id="0">
    <w:p w14:paraId="15FEDFBC" w14:textId="77777777" w:rsidR="00201DC1" w:rsidRDefault="00201DC1" w:rsidP="0089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8167AC"/>
    <w:multiLevelType w:val="hybridMultilevel"/>
    <w:tmpl w:val="1B2A6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3762D3"/>
    <w:multiLevelType w:val="hybridMultilevel"/>
    <w:tmpl w:val="0C74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0"/>
  </w:num>
  <w:num w:numId="5">
    <w:abstractNumId w:val="2"/>
  </w:num>
  <w:num w:numId="6">
    <w:abstractNumId w:val="5"/>
  </w:num>
  <w:num w:numId="7">
    <w:abstractNumId w:val="9"/>
  </w:num>
  <w:num w:numId="8">
    <w:abstractNumId w:val="8"/>
  </w:num>
  <w:num w:numId="9">
    <w:abstractNumId w:val="3"/>
  </w:num>
  <w:num w:numId="10">
    <w:abstractNumId w:val="6"/>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45"/>
    <w:rsid w:val="00005653"/>
    <w:rsid w:val="00007539"/>
    <w:rsid w:val="00014A86"/>
    <w:rsid w:val="000253EC"/>
    <w:rsid w:val="00042274"/>
    <w:rsid w:val="00045C71"/>
    <w:rsid w:val="00050B0F"/>
    <w:rsid w:val="00055505"/>
    <w:rsid w:val="0006051F"/>
    <w:rsid w:val="00066B2F"/>
    <w:rsid w:val="00072A36"/>
    <w:rsid w:val="00073166"/>
    <w:rsid w:val="00073AFE"/>
    <w:rsid w:val="000743AA"/>
    <w:rsid w:val="000805C8"/>
    <w:rsid w:val="00083EC1"/>
    <w:rsid w:val="0009412D"/>
    <w:rsid w:val="000A7327"/>
    <w:rsid w:val="000E1C1C"/>
    <w:rsid w:val="000E3020"/>
    <w:rsid w:val="000F4D51"/>
    <w:rsid w:val="00113AE2"/>
    <w:rsid w:val="00123510"/>
    <w:rsid w:val="001260D9"/>
    <w:rsid w:val="0013266B"/>
    <w:rsid w:val="00142FE8"/>
    <w:rsid w:val="00143BEC"/>
    <w:rsid w:val="00145ED6"/>
    <w:rsid w:val="00151C11"/>
    <w:rsid w:val="0015421F"/>
    <w:rsid w:val="00180117"/>
    <w:rsid w:val="00187288"/>
    <w:rsid w:val="00187B3D"/>
    <w:rsid w:val="00192658"/>
    <w:rsid w:val="0019281D"/>
    <w:rsid w:val="00197C3F"/>
    <w:rsid w:val="001A1891"/>
    <w:rsid w:val="001B7ED3"/>
    <w:rsid w:val="001C38AF"/>
    <w:rsid w:val="001C5A13"/>
    <w:rsid w:val="001D15A8"/>
    <w:rsid w:val="001D3782"/>
    <w:rsid w:val="001D6B26"/>
    <w:rsid w:val="001D75F6"/>
    <w:rsid w:val="001F063F"/>
    <w:rsid w:val="001F1830"/>
    <w:rsid w:val="001F626E"/>
    <w:rsid w:val="00201DC1"/>
    <w:rsid w:val="0020404A"/>
    <w:rsid w:val="00207B8A"/>
    <w:rsid w:val="00210E3C"/>
    <w:rsid w:val="00216B37"/>
    <w:rsid w:val="00226F3C"/>
    <w:rsid w:val="002323CF"/>
    <w:rsid w:val="00232972"/>
    <w:rsid w:val="00236ECD"/>
    <w:rsid w:val="0023720D"/>
    <w:rsid w:val="002374AC"/>
    <w:rsid w:val="00254970"/>
    <w:rsid w:val="0025627C"/>
    <w:rsid w:val="0026142F"/>
    <w:rsid w:val="002751D3"/>
    <w:rsid w:val="00275D92"/>
    <w:rsid w:val="00284FF6"/>
    <w:rsid w:val="00287D9F"/>
    <w:rsid w:val="0029115B"/>
    <w:rsid w:val="00293C0C"/>
    <w:rsid w:val="002968E0"/>
    <w:rsid w:val="0029743B"/>
    <w:rsid w:val="002B741E"/>
    <w:rsid w:val="002B7A34"/>
    <w:rsid w:val="002C1322"/>
    <w:rsid w:val="002C4652"/>
    <w:rsid w:val="002D1160"/>
    <w:rsid w:val="002D3CD4"/>
    <w:rsid w:val="002D67DA"/>
    <w:rsid w:val="002E2975"/>
    <w:rsid w:val="002E6160"/>
    <w:rsid w:val="002F5583"/>
    <w:rsid w:val="002F6548"/>
    <w:rsid w:val="00316B98"/>
    <w:rsid w:val="00322EC3"/>
    <w:rsid w:val="0032369E"/>
    <w:rsid w:val="003260F5"/>
    <w:rsid w:val="003307B8"/>
    <w:rsid w:val="003327D3"/>
    <w:rsid w:val="00337FDB"/>
    <w:rsid w:val="00340F3C"/>
    <w:rsid w:val="00345822"/>
    <w:rsid w:val="0034672A"/>
    <w:rsid w:val="003811C0"/>
    <w:rsid w:val="0038203D"/>
    <w:rsid w:val="003A0BFB"/>
    <w:rsid w:val="003A20C5"/>
    <w:rsid w:val="003A2811"/>
    <w:rsid w:val="003A3E75"/>
    <w:rsid w:val="003A4D8C"/>
    <w:rsid w:val="003A59EA"/>
    <w:rsid w:val="003B4F23"/>
    <w:rsid w:val="003B7DAB"/>
    <w:rsid w:val="003C6D6E"/>
    <w:rsid w:val="003C7446"/>
    <w:rsid w:val="003D20CE"/>
    <w:rsid w:val="003D610C"/>
    <w:rsid w:val="003F01C5"/>
    <w:rsid w:val="00402AD7"/>
    <w:rsid w:val="0040312B"/>
    <w:rsid w:val="004031E5"/>
    <w:rsid w:val="00403263"/>
    <w:rsid w:val="0040482D"/>
    <w:rsid w:val="00406749"/>
    <w:rsid w:val="00410EC3"/>
    <w:rsid w:val="00414CD9"/>
    <w:rsid w:val="0042665D"/>
    <w:rsid w:val="004325B5"/>
    <w:rsid w:val="00432CF7"/>
    <w:rsid w:val="00437C00"/>
    <w:rsid w:val="00437C42"/>
    <w:rsid w:val="00444741"/>
    <w:rsid w:val="0044599A"/>
    <w:rsid w:val="00446EA8"/>
    <w:rsid w:val="00456FF8"/>
    <w:rsid w:val="00461ED8"/>
    <w:rsid w:val="0046549C"/>
    <w:rsid w:val="004761AE"/>
    <w:rsid w:val="00477283"/>
    <w:rsid w:val="00495C5F"/>
    <w:rsid w:val="0049672B"/>
    <w:rsid w:val="004A68BB"/>
    <w:rsid w:val="004A7F16"/>
    <w:rsid w:val="004B4DF3"/>
    <w:rsid w:val="004C6EFE"/>
    <w:rsid w:val="004D7D5D"/>
    <w:rsid w:val="004E05C9"/>
    <w:rsid w:val="004F11F8"/>
    <w:rsid w:val="004F52D9"/>
    <w:rsid w:val="004F5754"/>
    <w:rsid w:val="004F601B"/>
    <w:rsid w:val="0050197A"/>
    <w:rsid w:val="00503A36"/>
    <w:rsid w:val="00504F4D"/>
    <w:rsid w:val="00510EB5"/>
    <w:rsid w:val="005110EF"/>
    <w:rsid w:val="00511E85"/>
    <w:rsid w:val="00516446"/>
    <w:rsid w:val="0052033B"/>
    <w:rsid w:val="00522A66"/>
    <w:rsid w:val="005300AF"/>
    <w:rsid w:val="00530B7D"/>
    <w:rsid w:val="00543F77"/>
    <w:rsid w:val="00546044"/>
    <w:rsid w:val="00546C0E"/>
    <w:rsid w:val="0055006E"/>
    <w:rsid w:val="00553D8E"/>
    <w:rsid w:val="005647D9"/>
    <w:rsid w:val="00567C3B"/>
    <w:rsid w:val="00567F6F"/>
    <w:rsid w:val="00571AF3"/>
    <w:rsid w:val="00576EB4"/>
    <w:rsid w:val="0058050E"/>
    <w:rsid w:val="00587C76"/>
    <w:rsid w:val="005A5867"/>
    <w:rsid w:val="005A5B1A"/>
    <w:rsid w:val="005C1E01"/>
    <w:rsid w:val="005C30DC"/>
    <w:rsid w:val="005C3927"/>
    <w:rsid w:val="005C475C"/>
    <w:rsid w:val="005D2839"/>
    <w:rsid w:val="005D7A92"/>
    <w:rsid w:val="005E1A47"/>
    <w:rsid w:val="005F1175"/>
    <w:rsid w:val="005F192D"/>
    <w:rsid w:val="005F2423"/>
    <w:rsid w:val="005F516E"/>
    <w:rsid w:val="005F524B"/>
    <w:rsid w:val="006003F5"/>
    <w:rsid w:val="00603428"/>
    <w:rsid w:val="006068A0"/>
    <w:rsid w:val="0062190F"/>
    <w:rsid w:val="00622033"/>
    <w:rsid w:val="006320B2"/>
    <w:rsid w:val="00632A23"/>
    <w:rsid w:val="00633529"/>
    <w:rsid w:val="0063789C"/>
    <w:rsid w:val="00644F7C"/>
    <w:rsid w:val="00652960"/>
    <w:rsid w:val="00653B08"/>
    <w:rsid w:val="00665E71"/>
    <w:rsid w:val="00673DE0"/>
    <w:rsid w:val="00680B29"/>
    <w:rsid w:val="006850DB"/>
    <w:rsid w:val="00685980"/>
    <w:rsid w:val="00686884"/>
    <w:rsid w:val="0069146E"/>
    <w:rsid w:val="006A3A8C"/>
    <w:rsid w:val="006A63BE"/>
    <w:rsid w:val="006B6D92"/>
    <w:rsid w:val="006C1D61"/>
    <w:rsid w:val="006C6DF0"/>
    <w:rsid w:val="006D48D4"/>
    <w:rsid w:val="006D4AB8"/>
    <w:rsid w:val="006D5E19"/>
    <w:rsid w:val="006D768D"/>
    <w:rsid w:val="006E787D"/>
    <w:rsid w:val="006F0BA2"/>
    <w:rsid w:val="006F49F6"/>
    <w:rsid w:val="006F4A40"/>
    <w:rsid w:val="006F6F98"/>
    <w:rsid w:val="007040CD"/>
    <w:rsid w:val="0070680E"/>
    <w:rsid w:val="00706B96"/>
    <w:rsid w:val="007075E6"/>
    <w:rsid w:val="00716D98"/>
    <w:rsid w:val="00720518"/>
    <w:rsid w:val="00730B3D"/>
    <w:rsid w:val="007313BA"/>
    <w:rsid w:val="0073245E"/>
    <w:rsid w:val="00737E1D"/>
    <w:rsid w:val="0074268C"/>
    <w:rsid w:val="007445FE"/>
    <w:rsid w:val="0074493B"/>
    <w:rsid w:val="0075281F"/>
    <w:rsid w:val="007537FC"/>
    <w:rsid w:val="00753C5B"/>
    <w:rsid w:val="007541DC"/>
    <w:rsid w:val="0077454E"/>
    <w:rsid w:val="00786056"/>
    <w:rsid w:val="007925F3"/>
    <w:rsid w:val="00794D3C"/>
    <w:rsid w:val="007A251F"/>
    <w:rsid w:val="007B019E"/>
    <w:rsid w:val="007B1478"/>
    <w:rsid w:val="007C503B"/>
    <w:rsid w:val="007C6937"/>
    <w:rsid w:val="007C7B0A"/>
    <w:rsid w:val="007D161A"/>
    <w:rsid w:val="007E62AA"/>
    <w:rsid w:val="007F6345"/>
    <w:rsid w:val="00804BAA"/>
    <w:rsid w:val="00807896"/>
    <w:rsid w:val="00810BFB"/>
    <w:rsid w:val="00814F7B"/>
    <w:rsid w:val="00815399"/>
    <w:rsid w:val="00822DF8"/>
    <w:rsid w:val="008238B7"/>
    <w:rsid w:val="008403C0"/>
    <w:rsid w:val="008416DD"/>
    <w:rsid w:val="008452B5"/>
    <w:rsid w:val="00845A4E"/>
    <w:rsid w:val="00850146"/>
    <w:rsid w:val="008501F3"/>
    <w:rsid w:val="008666FC"/>
    <w:rsid w:val="008727AB"/>
    <w:rsid w:val="00873CEF"/>
    <w:rsid w:val="008833F0"/>
    <w:rsid w:val="00887720"/>
    <w:rsid w:val="00890B01"/>
    <w:rsid w:val="008939B1"/>
    <w:rsid w:val="00893D80"/>
    <w:rsid w:val="00894393"/>
    <w:rsid w:val="00895420"/>
    <w:rsid w:val="008957CE"/>
    <w:rsid w:val="008B20FC"/>
    <w:rsid w:val="008B341F"/>
    <w:rsid w:val="008C0845"/>
    <w:rsid w:val="008C1892"/>
    <w:rsid w:val="008C64E0"/>
    <w:rsid w:val="008C7CA5"/>
    <w:rsid w:val="008D2E76"/>
    <w:rsid w:val="008D3A14"/>
    <w:rsid w:val="008D4189"/>
    <w:rsid w:val="008E082F"/>
    <w:rsid w:val="008E298E"/>
    <w:rsid w:val="008E5682"/>
    <w:rsid w:val="008E6A84"/>
    <w:rsid w:val="008E75B9"/>
    <w:rsid w:val="008F25EE"/>
    <w:rsid w:val="008F596A"/>
    <w:rsid w:val="008F5C4E"/>
    <w:rsid w:val="00903A99"/>
    <w:rsid w:val="00905BC7"/>
    <w:rsid w:val="00907B73"/>
    <w:rsid w:val="0091180B"/>
    <w:rsid w:val="009127C8"/>
    <w:rsid w:val="00913CF7"/>
    <w:rsid w:val="00916D96"/>
    <w:rsid w:val="00917AD5"/>
    <w:rsid w:val="009357A3"/>
    <w:rsid w:val="0094113C"/>
    <w:rsid w:val="00945858"/>
    <w:rsid w:val="00955B2F"/>
    <w:rsid w:val="00955E93"/>
    <w:rsid w:val="00960091"/>
    <w:rsid w:val="00960206"/>
    <w:rsid w:val="009629C3"/>
    <w:rsid w:val="00977EF7"/>
    <w:rsid w:val="00987467"/>
    <w:rsid w:val="00990D02"/>
    <w:rsid w:val="009959B1"/>
    <w:rsid w:val="009A530B"/>
    <w:rsid w:val="009A537D"/>
    <w:rsid w:val="009B1DA1"/>
    <w:rsid w:val="009B31D6"/>
    <w:rsid w:val="009D3627"/>
    <w:rsid w:val="009D51D2"/>
    <w:rsid w:val="009E5A87"/>
    <w:rsid w:val="009F1E49"/>
    <w:rsid w:val="009F2BD2"/>
    <w:rsid w:val="009F3777"/>
    <w:rsid w:val="00A01E31"/>
    <w:rsid w:val="00A03B13"/>
    <w:rsid w:val="00A06715"/>
    <w:rsid w:val="00A10B2D"/>
    <w:rsid w:val="00A10F78"/>
    <w:rsid w:val="00A268EA"/>
    <w:rsid w:val="00A34A44"/>
    <w:rsid w:val="00A409E1"/>
    <w:rsid w:val="00A419EA"/>
    <w:rsid w:val="00A4560C"/>
    <w:rsid w:val="00A47C69"/>
    <w:rsid w:val="00A521FE"/>
    <w:rsid w:val="00A62B26"/>
    <w:rsid w:val="00A63D97"/>
    <w:rsid w:val="00A63F95"/>
    <w:rsid w:val="00A70EDF"/>
    <w:rsid w:val="00A73FA2"/>
    <w:rsid w:val="00A84DEA"/>
    <w:rsid w:val="00A8608C"/>
    <w:rsid w:val="00A94F6E"/>
    <w:rsid w:val="00AB4D85"/>
    <w:rsid w:val="00AB7E03"/>
    <w:rsid w:val="00AC0E83"/>
    <w:rsid w:val="00AC3DBC"/>
    <w:rsid w:val="00AC41A5"/>
    <w:rsid w:val="00AD01A3"/>
    <w:rsid w:val="00AE2E87"/>
    <w:rsid w:val="00AF2374"/>
    <w:rsid w:val="00AF3859"/>
    <w:rsid w:val="00AF44AF"/>
    <w:rsid w:val="00AF70C1"/>
    <w:rsid w:val="00B028DC"/>
    <w:rsid w:val="00B03322"/>
    <w:rsid w:val="00B136FA"/>
    <w:rsid w:val="00B16543"/>
    <w:rsid w:val="00B229D8"/>
    <w:rsid w:val="00B43CEF"/>
    <w:rsid w:val="00B4506D"/>
    <w:rsid w:val="00B46639"/>
    <w:rsid w:val="00B5769D"/>
    <w:rsid w:val="00B60F0C"/>
    <w:rsid w:val="00B66E04"/>
    <w:rsid w:val="00B72803"/>
    <w:rsid w:val="00B7641E"/>
    <w:rsid w:val="00B80545"/>
    <w:rsid w:val="00B82A8D"/>
    <w:rsid w:val="00B877B0"/>
    <w:rsid w:val="00BA016B"/>
    <w:rsid w:val="00BA150B"/>
    <w:rsid w:val="00BA3FDB"/>
    <w:rsid w:val="00BB0C79"/>
    <w:rsid w:val="00BB3518"/>
    <w:rsid w:val="00BB3E8A"/>
    <w:rsid w:val="00BC1EFA"/>
    <w:rsid w:val="00BC40E4"/>
    <w:rsid w:val="00BD02A2"/>
    <w:rsid w:val="00BD2902"/>
    <w:rsid w:val="00BE184C"/>
    <w:rsid w:val="00BE7EA1"/>
    <w:rsid w:val="00BF0F92"/>
    <w:rsid w:val="00BF7DD9"/>
    <w:rsid w:val="00C10BAC"/>
    <w:rsid w:val="00C30116"/>
    <w:rsid w:val="00C55EE9"/>
    <w:rsid w:val="00C74D38"/>
    <w:rsid w:val="00C85FBC"/>
    <w:rsid w:val="00C86005"/>
    <w:rsid w:val="00C87CCD"/>
    <w:rsid w:val="00C92827"/>
    <w:rsid w:val="00C93C1A"/>
    <w:rsid w:val="00CA2F70"/>
    <w:rsid w:val="00CA566F"/>
    <w:rsid w:val="00CA768A"/>
    <w:rsid w:val="00CC6EC4"/>
    <w:rsid w:val="00CC7D63"/>
    <w:rsid w:val="00CD6D87"/>
    <w:rsid w:val="00CE0B2D"/>
    <w:rsid w:val="00CE1E8C"/>
    <w:rsid w:val="00CE49AE"/>
    <w:rsid w:val="00CE5103"/>
    <w:rsid w:val="00D00D43"/>
    <w:rsid w:val="00D054A9"/>
    <w:rsid w:val="00D064A3"/>
    <w:rsid w:val="00D06C24"/>
    <w:rsid w:val="00D104BF"/>
    <w:rsid w:val="00D132B4"/>
    <w:rsid w:val="00D202AD"/>
    <w:rsid w:val="00D25169"/>
    <w:rsid w:val="00D2675E"/>
    <w:rsid w:val="00D31199"/>
    <w:rsid w:val="00D40842"/>
    <w:rsid w:val="00D450ED"/>
    <w:rsid w:val="00D460EB"/>
    <w:rsid w:val="00D4773E"/>
    <w:rsid w:val="00D506AB"/>
    <w:rsid w:val="00D71DFE"/>
    <w:rsid w:val="00D731D4"/>
    <w:rsid w:val="00D732D5"/>
    <w:rsid w:val="00D73363"/>
    <w:rsid w:val="00D84DF2"/>
    <w:rsid w:val="00DA0372"/>
    <w:rsid w:val="00DA5DA3"/>
    <w:rsid w:val="00DB706A"/>
    <w:rsid w:val="00DB7FF6"/>
    <w:rsid w:val="00DC4741"/>
    <w:rsid w:val="00DC4C8C"/>
    <w:rsid w:val="00DC56A0"/>
    <w:rsid w:val="00DD12DA"/>
    <w:rsid w:val="00DD5F7F"/>
    <w:rsid w:val="00DD7962"/>
    <w:rsid w:val="00DE0E9F"/>
    <w:rsid w:val="00DE79DF"/>
    <w:rsid w:val="00DF0880"/>
    <w:rsid w:val="00DF5293"/>
    <w:rsid w:val="00E01934"/>
    <w:rsid w:val="00E05ACE"/>
    <w:rsid w:val="00E06731"/>
    <w:rsid w:val="00E1152E"/>
    <w:rsid w:val="00E1463E"/>
    <w:rsid w:val="00E2024D"/>
    <w:rsid w:val="00E20723"/>
    <w:rsid w:val="00E32ED1"/>
    <w:rsid w:val="00E36564"/>
    <w:rsid w:val="00E368A6"/>
    <w:rsid w:val="00E41C3E"/>
    <w:rsid w:val="00E436CF"/>
    <w:rsid w:val="00E516A3"/>
    <w:rsid w:val="00E5765F"/>
    <w:rsid w:val="00E663A0"/>
    <w:rsid w:val="00E67371"/>
    <w:rsid w:val="00E715AB"/>
    <w:rsid w:val="00E757B0"/>
    <w:rsid w:val="00E77437"/>
    <w:rsid w:val="00E82B82"/>
    <w:rsid w:val="00E83143"/>
    <w:rsid w:val="00E87D5E"/>
    <w:rsid w:val="00E93B09"/>
    <w:rsid w:val="00E9519B"/>
    <w:rsid w:val="00E97E68"/>
    <w:rsid w:val="00EA670C"/>
    <w:rsid w:val="00EB1BE3"/>
    <w:rsid w:val="00EB25AF"/>
    <w:rsid w:val="00EB67BE"/>
    <w:rsid w:val="00EC4FAB"/>
    <w:rsid w:val="00ED02ED"/>
    <w:rsid w:val="00ED081D"/>
    <w:rsid w:val="00ED0A40"/>
    <w:rsid w:val="00EF1F18"/>
    <w:rsid w:val="00EF2A8C"/>
    <w:rsid w:val="00EF6D39"/>
    <w:rsid w:val="00EF6E66"/>
    <w:rsid w:val="00F0557E"/>
    <w:rsid w:val="00F125E1"/>
    <w:rsid w:val="00F12793"/>
    <w:rsid w:val="00F211CC"/>
    <w:rsid w:val="00F340FC"/>
    <w:rsid w:val="00F464DC"/>
    <w:rsid w:val="00F52A03"/>
    <w:rsid w:val="00F610A7"/>
    <w:rsid w:val="00F67EF7"/>
    <w:rsid w:val="00F70C6F"/>
    <w:rsid w:val="00F84B7B"/>
    <w:rsid w:val="00F86FEE"/>
    <w:rsid w:val="00F951C9"/>
    <w:rsid w:val="00F954D2"/>
    <w:rsid w:val="00F96347"/>
    <w:rsid w:val="00F977F5"/>
    <w:rsid w:val="00FA19D6"/>
    <w:rsid w:val="00FA555C"/>
    <w:rsid w:val="00FB4355"/>
    <w:rsid w:val="00FB538B"/>
    <w:rsid w:val="00FC26CD"/>
    <w:rsid w:val="00FC38CE"/>
    <w:rsid w:val="00FC5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036D3F3"/>
  <w15:docId w15:val="{566A9380-3B28-4C45-9617-5CD506F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future-regulation-low-risk-products" TargetMode="External"/><Relationship Id="rId13" Type="http://schemas.openxmlformats.org/officeDocument/2006/relationships/hyperlink" Target="http://www.online.foodchemicalscodex.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pnf.com/" TargetMode="External"/><Relationship Id="rId17" Type="http://schemas.openxmlformats.org/officeDocument/2006/relationships/hyperlink" Target="http://www.openlibrary.org/books/OL22071008M/European_pharmacopoeia" TargetMode="External"/><Relationship Id="rId2" Type="http://schemas.openxmlformats.org/officeDocument/2006/relationships/numbering" Target="numbering.xml"/><Relationship Id="rId16" Type="http://schemas.openxmlformats.org/officeDocument/2006/relationships/hyperlink" Target="http://www.trove.nl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qm.eu/en/european-pharmacopoeia-ph-eur-9th-edition" TargetMode="External"/><Relationship Id="rId5" Type="http://schemas.openxmlformats.org/officeDocument/2006/relationships/webSettings" Target="webSettings.xml"/><Relationship Id="rId15" Type="http://schemas.openxmlformats.org/officeDocument/2006/relationships/hyperlink" Target="http://www.rehydrate.org/ors/expert-consultation.html" TargetMode="External"/><Relationship Id="rId10" Type="http://schemas.openxmlformats.org/officeDocument/2006/relationships/hyperlink" Target="http://www.pharmacopoe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ga.gov.au/mmdr" TargetMode="External"/><Relationship Id="rId14" Type="http://schemas.openxmlformats.org/officeDocument/2006/relationships/hyperlink" Target="http://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CE1B-D649-4D09-931E-97CD55B3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3370</Words>
  <Characters>19209</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2</cp:revision>
  <cp:lastPrinted>2019-08-27T07:02:00Z</cp:lastPrinted>
  <dcterms:created xsi:type="dcterms:W3CDTF">2019-11-15T05:12:00Z</dcterms:created>
  <dcterms:modified xsi:type="dcterms:W3CDTF">2019-11-15T05:12:00Z</dcterms:modified>
</cp:coreProperties>
</file>