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9465" w14:textId="77777777" w:rsidR="0085779F" w:rsidRPr="0061194E" w:rsidRDefault="0085779F" w:rsidP="0085779F">
      <w:pPr>
        <w:pStyle w:val="LDClauseHeading"/>
      </w:pPr>
      <w:r w:rsidRPr="0061194E">
        <w:t>Explanatory Statement</w:t>
      </w:r>
    </w:p>
    <w:p w14:paraId="26E5C7CD" w14:textId="77777777" w:rsidR="0085779F" w:rsidRPr="00A835D3" w:rsidRDefault="0085779F" w:rsidP="0085779F">
      <w:pPr>
        <w:pStyle w:val="LDClauseHeading"/>
        <w:spacing w:before="140" w:after="40"/>
      </w:pPr>
      <w:r w:rsidRPr="00A835D3">
        <w:t xml:space="preserve">Civil Aviation </w:t>
      </w:r>
      <w:r>
        <w:t>Act</w:t>
      </w:r>
      <w:r w:rsidRPr="00A835D3">
        <w:t xml:space="preserve"> 1988</w:t>
      </w:r>
    </w:p>
    <w:p w14:paraId="582EC688" w14:textId="769F0887"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9A49EF">
        <w:t xml:space="preserve">Amendment </w:t>
      </w:r>
      <w:r>
        <w:t>Instrument 20</w:t>
      </w:r>
      <w:r w:rsidR="00DC66B8">
        <w:t>1</w:t>
      </w:r>
      <w:r w:rsidR="00203DCB">
        <w:t>9</w:t>
      </w:r>
      <w:r w:rsidR="009A49EF">
        <w:t xml:space="preserve"> (No. 1)</w:t>
      </w:r>
    </w:p>
    <w:p w14:paraId="15833F0D" w14:textId="77777777" w:rsidR="000D3EFE" w:rsidRDefault="000D3EFE" w:rsidP="000D3EFE"/>
    <w:p w14:paraId="6716A1EC" w14:textId="77777777" w:rsidR="0085779F" w:rsidRDefault="000D3EFE" w:rsidP="000111B4">
      <w:pPr>
        <w:rPr>
          <w:b/>
        </w:rPr>
      </w:pPr>
      <w:r w:rsidRPr="000D3EFE">
        <w:rPr>
          <w:b/>
        </w:rPr>
        <w:t>Purpose</w:t>
      </w:r>
    </w:p>
    <w:p w14:paraId="513FE737" w14:textId="26BF7D41" w:rsidR="00CC42FF" w:rsidRDefault="0042255A" w:rsidP="00A14164">
      <w:r w:rsidRPr="00BD782C">
        <w:t xml:space="preserve">The purpose of </w:t>
      </w:r>
      <w:r w:rsidRPr="00BD782C">
        <w:rPr>
          <w:i/>
        </w:rPr>
        <w:t xml:space="preserve">Civil Aviation Order 48.1 </w:t>
      </w:r>
      <w:r w:rsidR="009A49EF">
        <w:rPr>
          <w:i/>
        </w:rPr>
        <w:t xml:space="preserve">Amendment </w:t>
      </w:r>
      <w:r w:rsidRPr="00BD782C">
        <w:rPr>
          <w:i/>
        </w:rPr>
        <w:t>Instrument 201</w:t>
      </w:r>
      <w:r>
        <w:rPr>
          <w:i/>
        </w:rPr>
        <w:t>9</w:t>
      </w:r>
      <w:r w:rsidR="009A49EF">
        <w:rPr>
          <w:i/>
        </w:rPr>
        <w:t xml:space="preserve"> (No. 1)</w:t>
      </w:r>
      <w:r w:rsidRPr="00BD782C">
        <w:rPr>
          <w:i/>
        </w:rPr>
        <w:t xml:space="preserve"> </w:t>
      </w:r>
      <w:r w:rsidRPr="00BD782C">
        <w:t xml:space="preserve">(the </w:t>
      </w:r>
      <w:r w:rsidRPr="004913B0">
        <w:rPr>
          <w:b/>
          <w:i/>
        </w:rPr>
        <w:t>CAO</w:t>
      </w:r>
      <w:r w:rsidR="009A49EF">
        <w:rPr>
          <w:b/>
          <w:i/>
        </w:rPr>
        <w:t xml:space="preserve"> amendment</w:t>
      </w:r>
      <w:r w:rsidRPr="00BD782C">
        <w:t xml:space="preserve">) is to </w:t>
      </w:r>
      <w:r w:rsidR="00A14164">
        <w:t xml:space="preserve">give CASA the ability to approve </w:t>
      </w:r>
      <w:r w:rsidR="002C20F2">
        <w:t xml:space="preserve">limited or minor </w:t>
      </w:r>
      <w:r w:rsidR="00A14164">
        <w:t>non</w:t>
      </w:r>
      <w:r w:rsidR="000111B4">
        <w:noBreakHyphen/>
      </w:r>
      <w:r w:rsidR="00A14164">
        <w:t>compliance with specifi</w:t>
      </w:r>
      <w:r w:rsidR="00CC42FF">
        <w:t>ed</w:t>
      </w:r>
      <w:r w:rsidR="00A14164">
        <w:t xml:space="preserve"> fatigue risk management provisions that would otherwise apply to </w:t>
      </w:r>
      <w:r w:rsidR="00DC6549">
        <w:t>a</w:t>
      </w:r>
      <w:r w:rsidR="00A14164">
        <w:t xml:space="preserve"> person. The persons are </w:t>
      </w:r>
      <w:r w:rsidR="00744BDD">
        <w:rPr>
          <w:iCs/>
        </w:rPr>
        <w:t>holders of air operator certificates (</w:t>
      </w:r>
      <w:r w:rsidR="00744BDD" w:rsidRPr="00D41B46">
        <w:rPr>
          <w:b/>
          <w:bCs/>
          <w:i/>
        </w:rPr>
        <w:t>AOC holders</w:t>
      </w:r>
      <w:r w:rsidR="00744BDD">
        <w:rPr>
          <w:iCs/>
        </w:rPr>
        <w:t xml:space="preserve">) </w:t>
      </w:r>
      <w:r w:rsidR="00A14164">
        <w:t xml:space="preserve">and </w:t>
      </w:r>
      <w:r w:rsidR="00976DDF">
        <w:t>a non-compliance approval would also cove</w:t>
      </w:r>
      <w:bookmarkStart w:id="0" w:name="_GoBack"/>
      <w:bookmarkEnd w:id="0"/>
      <w:r w:rsidR="00976DDF">
        <w:t xml:space="preserve">r their </w:t>
      </w:r>
      <w:r w:rsidR="00A14164">
        <w:t>flight crew members</w:t>
      </w:r>
      <w:r w:rsidR="00931D7E">
        <w:t xml:space="preserve"> (</w:t>
      </w:r>
      <w:r w:rsidR="00931D7E" w:rsidRPr="00931D7E">
        <w:rPr>
          <w:b/>
          <w:bCs/>
          <w:i/>
          <w:iCs/>
        </w:rPr>
        <w:t>FCMs</w:t>
      </w:r>
      <w:r w:rsidR="00931D7E">
        <w:t>)</w:t>
      </w:r>
      <w:r w:rsidR="00CC42FF">
        <w:t>.</w:t>
      </w:r>
    </w:p>
    <w:p w14:paraId="65899D5D" w14:textId="77777777" w:rsidR="00CC42FF" w:rsidRDefault="00CC42FF" w:rsidP="00A14164"/>
    <w:p w14:paraId="48A65A37" w14:textId="0EE8173B" w:rsidR="003537F2" w:rsidRDefault="00CC42FF" w:rsidP="00A14164">
      <w:r>
        <w:t xml:space="preserve">The approval process would be available in relation to </w:t>
      </w:r>
      <w:r w:rsidR="00DD6C1D">
        <w:t xml:space="preserve">an </w:t>
      </w:r>
      <w:r>
        <w:t>AOC holder</w:t>
      </w:r>
      <w:r w:rsidR="00A14164">
        <w:t xml:space="preserve"> engaged in </w:t>
      </w:r>
      <w:r>
        <w:t xml:space="preserve">an </w:t>
      </w:r>
      <w:r w:rsidR="00A14164">
        <w:t>aerial work operation</w:t>
      </w:r>
      <w:r>
        <w:t xml:space="preserve"> that is an</w:t>
      </w:r>
      <w:r w:rsidR="00A14164">
        <w:t xml:space="preserve"> emergency</w:t>
      </w:r>
      <w:r>
        <w:t xml:space="preserve"> services operation</w:t>
      </w:r>
      <w:r w:rsidR="003537F2">
        <w:t>,</w:t>
      </w:r>
      <w:r>
        <w:t xml:space="preserve"> and to whom</w:t>
      </w:r>
      <w:r w:rsidR="003537F2">
        <w:t>, under transitional provisions, a Civil Aviation Order (</w:t>
      </w:r>
      <w:r w:rsidR="003537F2" w:rsidRPr="003537F2">
        <w:rPr>
          <w:b/>
          <w:bCs/>
          <w:i/>
          <w:iCs/>
        </w:rPr>
        <w:t>CAO</w:t>
      </w:r>
      <w:r w:rsidR="003537F2">
        <w:t xml:space="preserve">) that is a repealed predecessor to </w:t>
      </w:r>
      <w:r w:rsidR="003537F2" w:rsidRPr="003537F2">
        <w:rPr>
          <w:i/>
          <w:iCs/>
        </w:rPr>
        <w:t>Civil Aviation Order 4</w:t>
      </w:r>
      <w:r w:rsidR="000111B4">
        <w:rPr>
          <w:i/>
          <w:iCs/>
        </w:rPr>
        <w:t>8</w:t>
      </w:r>
      <w:r w:rsidR="003537F2" w:rsidRPr="003537F2">
        <w:rPr>
          <w:i/>
          <w:iCs/>
        </w:rPr>
        <w:t>.1 Instrument 2019</w:t>
      </w:r>
      <w:r w:rsidR="00DD6C1D">
        <w:rPr>
          <w:i/>
          <w:iCs/>
        </w:rPr>
        <w:t xml:space="preserve"> </w:t>
      </w:r>
      <w:r w:rsidR="00DD6C1D" w:rsidRPr="00DD6C1D">
        <w:t xml:space="preserve">(the </w:t>
      </w:r>
      <w:r w:rsidR="00DD6C1D" w:rsidRPr="00DD6C1D">
        <w:rPr>
          <w:b/>
          <w:bCs/>
          <w:i/>
          <w:iCs/>
        </w:rPr>
        <w:t>2019 CAO</w:t>
      </w:r>
      <w:r w:rsidR="00DD6C1D" w:rsidRPr="00DD6C1D">
        <w:t>)</w:t>
      </w:r>
      <w:r w:rsidR="003537F2">
        <w:t xml:space="preserve"> still applies.</w:t>
      </w:r>
    </w:p>
    <w:p w14:paraId="62AF327B" w14:textId="76307D9C" w:rsidR="00EE0126" w:rsidRDefault="00EE0126" w:rsidP="00A14164"/>
    <w:p w14:paraId="7B6910B0" w14:textId="3B8F4CDA" w:rsidR="00DD6C1D" w:rsidRDefault="00EE0126" w:rsidP="00DD6C1D">
      <w:r>
        <w:t xml:space="preserve">An </w:t>
      </w:r>
      <w:r w:rsidRPr="00DD6C1D">
        <w:rPr>
          <w:b/>
          <w:bCs/>
          <w:i/>
          <w:iCs/>
        </w:rPr>
        <w:t>emergency services operation</w:t>
      </w:r>
      <w:r w:rsidR="00DD6C1D">
        <w:t xml:space="preserve"> is defined in subsection 6 of the 2019 CAO as </w:t>
      </w:r>
      <w:r w:rsidR="00DD6C1D" w:rsidRPr="00940C1B">
        <w:t>an</w:t>
      </w:r>
      <w:r w:rsidR="00DD6C1D">
        <w:t xml:space="preserve"> </w:t>
      </w:r>
      <w:r w:rsidR="00DD6C1D" w:rsidRPr="00940C1B">
        <w:t>operation</w:t>
      </w:r>
      <w:r w:rsidR="00DD6C1D">
        <w:t xml:space="preserve"> involving an aircraft </w:t>
      </w:r>
      <w:r w:rsidR="00DD6C1D" w:rsidRPr="00940C1B">
        <w:t>for</w:t>
      </w:r>
      <w:r w:rsidR="00DD6C1D">
        <w:t xml:space="preserve"> the purpose of</w:t>
      </w:r>
      <w:r w:rsidR="00DD6C1D" w:rsidRPr="00940C1B">
        <w:t xml:space="preserve"> law enforcement</w:t>
      </w:r>
      <w:r w:rsidR="00DD6C1D">
        <w:t>,</w:t>
      </w:r>
      <w:r w:rsidR="00DD6C1D" w:rsidRPr="00940C1B">
        <w:t xml:space="preserve"> or saving or protecting life or property</w:t>
      </w:r>
      <w:r w:rsidR="00DD6C1D">
        <w:t xml:space="preserve"> [which in practice includes firefighting]; and conducted by, or at the request of, an organisation recognised by an Australian governmental agency as having responsibility to conduct or request the operation as part of the organisation’s functions.</w:t>
      </w:r>
    </w:p>
    <w:p w14:paraId="043EA005" w14:textId="77777777" w:rsidR="00DD6C1D" w:rsidRDefault="00DD6C1D" w:rsidP="00A14164"/>
    <w:p w14:paraId="4FD98CED" w14:textId="25D2865C" w:rsidR="00DD6C1D" w:rsidRDefault="00DD6C1D" w:rsidP="00DD6C1D">
      <w:r>
        <w:t>The approval process would also be available in relation to an AOC holder</w:t>
      </w:r>
      <w:r w:rsidR="00721517">
        <w:t xml:space="preserve"> (including a Part 141 certificate holder)</w:t>
      </w:r>
      <w:r>
        <w:t xml:space="preserve"> engaged in any operation and to whom the 2019 CAO itself applies.</w:t>
      </w:r>
    </w:p>
    <w:p w14:paraId="628B71FB" w14:textId="1AA09E2D" w:rsidR="00DD6C1D" w:rsidRDefault="00DD6C1D" w:rsidP="00DD6C1D"/>
    <w:p w14:paraId="6F128572" w14:textId="5455F1C9" w:rsidR="00B97CBA" w:rsidRDefault="00A14164" w:rsidP="00A14164">
      <w:r>
        <w:t>Th</w:t>
      </w:r>
      <w:r w:rsidR="00A9404F">
        <w:t>ese</w:t>
      </w:r>
      <w:r>
        <w:t xml:space="preserve"> </w:t>
      </w:r>
      <w:r w:rsidR="00DD6C1D">
        <w:t xml:space="preserve">approval </w:t>
      </w:r>
      <w:r w:rsidR="00CC42FF">
        <w:t>process</w:t>
      </w:r>
      <w:r w:rsidR="00A9404F">
        <w:t>es</w:t>
      </w:r>
      <w:r w:rsidR="00CC42FF">
        <w:t xml:space="preserve"> </w:t>
      </w:r>
      <w:r>
        <w:t>would be</w:t>
      </w:r>
      <w:r w:rsidR="00A9404F">
        <w:t xml:space="preserve"> a lawful</w:t>
      </w:r>
      <w:r w:rsidR="004A03DD">
        <w:t xml:space="preserve"> form of something that has some of the characteristics of </w:t>
      </w:r>
      <w:r>
        <w:t>an exemption</w:t>
      </w:r>
      <w:r w:rsidR="00A9404F">
        <w:t xml:space="preserve"> process</w:t>
      </w:r>
      <w:r>
        <w:t>. There are legal</w:t>
      </w:r>
      <w:r w:rsidR="004A03DD">
        <w:t xml:space="preserve"> </w:t>
      </w:r>
      <w:r w:rsidR="00677D78">
        <w:t>difficulties</w:t>
      </w:r>
      <w:r>
        <w:t xml:space="preserve"> </w:t>
      </w:r>
      <w:r w:rsidR="00677D78">
        <w:t xml:space="preserve">around using the exemption power in Part 11 of the </w:t>
      </w:r>
      <w:r w:rsidR="00677D78" w:rsidRPr="00677D78">
        <w:rPr>
          <w:i/>
          <w:iCs/>
        </w:rPr>
        <w:t xml:space="preserve">Civil Aviation </w:t>
      </w:r>
      <w:r w:rsidR="00677D78">
        <w:rPr>
          <w:i/>
          <w:iCs/>
        </w:rPr>
        <w:t>S</w:t>
      </w:r>
      <w:r w:rsidR="00677D78" w:rsidRPr="00677D78">
        <w:rPr>
          <w:i/>
          <w:iCs/>
        </w:rPr>
        <w:t>afety Regulations 1998</w:t>
      </w:r>
      <w:r w:rsidR="00677D78">
        <w:t xml:space="preserve"> </w:t>
      </w:r>
      <w:r w:rsidR="00744BDD">
        <w:t>(</w:t>
      </w:r>
      <w:r w:rsidR="00744BDD" w:rsidRPr="00744BDD">
        <w:rPr>
          <w:b/>
          <w:bCs/>
          <w:i/>
          <w:iCs/>
        </w:rPr>
        <w:t>CASR</w:t>
      </w:r>
      <w:r w:rsidR="00744BDD">
        <w:t xml:space="preserve">) </w:t>
      </w:r>
      <w:r w:rsidR="00677D78">
        <w:t>for this purpose.</w:t>
      </w:r>
    </w:p>
    <w:p w14:paraId="5C8DB8C2" w14:textId="77777777" w:rsidR="009A1E24" w:rsidRDefault="009A1E24" w:rsidP="004C3472">
      <w:pPr>
        <w:pStyle w:val="LDBodytext"/>
      </w:pPr>
    </w:p>
    <w:p w14:paraId="43F5D33A" w14:textId="77777777" w:rsidR="000D3EFE" w:rsidRPr="004579AA" w:rsidRDefault="000D3EFE" w:rsidP="004579AA">
      <w:pPr>
        <w:rPr>
          <w:b/>
        </w:rPr>
      </w:pPr>
      <w:r w:rsidRPr="004579AA">
        <w:rPr>
          <w:b/>
        </w:rPr>
        <w:t>Legislation</w:t>
      </w:r>
    </w:p>
    <w:p w14:paraId="48B52F5D" w14:textId="1F0D71A1" w:rsidR="00D47B83" w:rsidRDefault="000111B4" w:rsidP="00D47B83">
      <w:r>
        <w:t>T</w:t>
      </w:r>
      <w:r w:rsidR="00D47B83">
        <w:t xml:space="preserve">he legislative basis for the </w:t>
      </w:r>
      <w:r w:rsidR="0058429B">
        <w:t xml:space="preserve">new </w:t>
      </w:r>
      <w:r w:rsidR="00D47B83">
        <w:t>CAO is set out in Appendix 1</w:t>
      </w:r>
      <w:r w:rsidR="00516F02">
        <w:t>.</w:t>
      </w:r>
    </w:p>
    <w:p w14:paraId="69E6CDB6" w14:textId="77777777" w:rsidR="00516F02" w:rsidRDefault="00516F02" w:rsidP="00D47B83"/>
    <w:p w14:paraId="566EB188" w14:textId="1AB22D77" w:rsidR="00516F02" w:rsidRDefault="00516F02" w:rsidP="00D47B83">
      <w:pPr>
        <w:rPr>
          <w:b/>
        </w:rPr>
      </w:pPr>
      <w:bookmarkStart w:id="1" w:name="_Hlk24465931"/>
      <w:r w:rsidRPr="00516F02">
        <w:rPr>
          <w:b/>
        </w:rPr>
        <w:t>Background</w:t>
      </w:r>
    </w:p>
    <w:p w14:paraId="72471ED7" w14:textId="00297F0B" w:rsidR="004335E9" w:rsidRDefault="00677D78" w:rsidP="001C5833">
      <w:r>
        <w:t xml:space="preserve">It is generally the case that regulatory requirements under the </w:t>
      </w:r>
      <w:r w:rsidRPr="00677D78">
        <w:rPr>
          <w:i/>
          <w:iCs/>
        </w:rPr>
        <w:t>Civil Aviation Regulations 19</w:t>
      </w:r>
      <w:r>
        <w:rPr>
          <w:i/>
          <w:iCs/>
        </w:rPr>
        <w:t>8</w:t>
      </w:r>
      <w:r w:rsidRPr="00677D78">
        <w:rPr>
          <w:i/>
          <w:iCs/>
        </w:rPr>
        <w:t>8</w:t>
      </w:r>
      <w:r>
        <w:rPr>
          <w:i/>
          <w:iCs/>
        </w:rPr>
        <w:t xml:space="preserve"> </w:t>
      </w:r>
      <w:r w:rsidRPr="00677D78">
        <w:t>(</w:t>
      </w:r>
      <w:r w:rsidRPr="00D20509">
        <w:rPr>
          <w:b/>
          <w:bCs/>
          <w:i/>
          <w:iCs/>
        </w:rPr>
        <w:t>CAR</w:t>
      </w:r>
      <w:r w:rsidRPr="00677D78">
        <w:t>),</w:t>
      </w:r>
      <w:r>
        <w:rPr>
          <w:i/>
          <w:iCs/>
        </w:rPr>
        <w:t xml:space="preserve"> </w:t>
      </w:r>
      <w:r w:rsidRPr="00677D78">
        <w:t>CASR</w:t>
      </w:r>
      <w:r>
        <w:rPr>
          <w:i/>
          <w:iCs/>
        </w:rPr>
        <w:t xml:space="preserve"> </w:t>
      </w:r>
      <w:r w:rsidRPr="00677D78">
        <w:t>and the</w:t>
      </w:r>
      <w:r>
        <w:rPr>
          <w:i/>
          <w:iCs/>
        </w:rPr>
        <w:t xml:space="preserve"> </w:t>
      </w:r>
      <w:r w:rsidRPr="00677D78">
        <w:t>CAOs</w:t>
      </w:r>
      <w:r>
        <w:rPr>
          <w:i/>
          <w:iCs/>
        </w:rPr>
        <w:t xml:space="preserve"> </w:t>
      </w:r>
      <w:r w:rsidRPr="00677D78">
        <w:t>may be the subject of exemption</w:t>
      </w:r>
      <w:r w:rsidR="003B25B0">
        <w:t xml:space="preserve"> under Part 11 of CASR</w:t>
      </w:r>
      <w:r>
        <w:t xml:space="preserve"> with respect to individuals or classes of persons</w:t>
      </w:r>
      <w:r w:rsidRPr="00677D78">
        <w:t xml:space="preserve"> in appropriate circumstance</w:t>
      </w:r>
      <w:r w:rsidR="001917A2">
        <w:t>s</w:t>
      </w:r>
      <w:r w:rsidRPr="00677D78">
        <w:t xml:space="preserve"> in wh</w:t>
      </w:r>
      <w:r>
        <w:t>ich related safety conditions are imposed and complied with.</w:t>
      </w:r>
    </w:p>
    <w:p w14:paraId="1927FA2B" w14:textId="2DB4F287" w:rsidR="00677D78" w:rsidRDefault="00677D78" w:rsidP="001C5833"/>
    <w:p w14:paraId="3E9C08AD" w14:textId="70736AE0" w:rsidR="00D41B46" w:rsidRDefault="00677D78" w:rsidP="003B25B0">
      <w:pPr>
        <w:rPr>
          <w:lang w:eastAsia="en-AU"/>
        </w:rPr>
      </w:pPr>
      <w:r w:rsidRPr="003B25B0">
        <w:t>However,</w:t>
      </w:r>
      <w:r w:rsidR="003B25B0" w:rsidRPr="003B25B0">
        <w:t xml:space="preserve"> </w:t>
      </w:r>
      <w:r w:rsidR="005430D8">
        <w:t xml:space="preserve">there is some doubt about the propriety of using </w:t>
      </w:r>
      <w:r w:rsidR="00513C75">
        <w:rPr>
          <w:lang w:eastAsia="en-AU"/>
        </w:rPr>
        <w:t>an exemption power located in regulations</w:t>
      </w:r>
      <w:r w:rsidR="00153CC6">
        <w:rPr>
          <w:lang w:eastAsia="en-AU"/>
        </w:rPr>
        <w:t xml:space="preserve"> to</w:t>
      </w:r>
      <w:r w:rsidRPr="003B25B0">
        <w:rPr>
          <w:lang w:eastAsia="en-AU"/>
        </w:rPr>
        <w:t xml:space="preserve"> conditionally exempt </w:t>
      </w:r>
      <w:r w:rsidR="003B25B0" w:rsidRPr="003B25B0">
        <w:rPr>
          <w:lang w:eastAsia="en-AU"/>
        </w:rPr>
        <w:t>persons from</w:t>
      </w:r>
      <w:r w:rsidRPr="003B25B0">
        <w:rPr>
          <w:lang w:eastAsia="en-AU"/>
        </w:rPr>
        <w:t xml:space="preserve"> the requirements of CAO</w:t>
      </w:r>
      <w:r w:rsidR="003B25B0" w:rsidRPr="003B25B0">
        <w:rPr>
          <w:lang w:eastAsia="en-AU"/>
        </w:rPr>
        <w:t>s that are made</w:t>
      </w:r>
      <w:r w:rsidR="003B25B0">
        <w:rPr>
          <w:lang w:eastAsia="en-AU"/>
        </w:rPr>
        <w:t xml:space="preserve"> wholly or partly</w:t>
      </w:r>
      <w:r w:rsidR="003B25B0" w:rsidRPr="003B25B0">
        <w:rPr>
          <w:lang w:eastAsia="en-AU"/>
        </w:rPr>
        <w:t xml:space="preserve"> under the </w:t>
      </w:r>
      <w:r w:rsidR="003B25B0" w:rsidRPr="003B25B0">
        <w:rPr>
          <w:i/>
          <w:iCs/>
          <w:lang w:eastAsia="en-AU"/>
        </w:rPr>
        <w:t>Civil Aviation Act 1988</w:t>
      </w:r>
      <w:r w:rsidR="00513C75">
        <w:rPr>
          <w:i/>
          <w:iCs/>
          <w:lang w:eastAsia="en-AU"/>
        </w:rPr>
        <w:t xml:space="preserve"> </w:t>
      </w:r>
      <w:r w:rsidR="00513C75" w:rsidRPr="00153CC6">
        <w:rPr>
          <w:lang w:eastAsia="en-AU"/>
        </w:rPr>
        <w:t>itself</w:t>
      </w:r>
      <w:r w:rsidR="003B25B0">
        <w:rPr>
          <w:i/>
          <w:iCs/>
          <w:lang w:eastAsia="en-AU"/>
        </w:rPr>
        <w:t xml:space="preserve"> </w:t>
      </w:r>
      <w:r w:rsidR="003B25B0" w:rsidRPr="003B25B0">
        <w:rPr>
          <w:lang w:eastAsia="en-AU"/>
        </w:rPr>
        <w:t xml:space="preserve">(the </w:t>
      </w:r>
      <w:r w:rsidR="003B25B0" w:rsidRPr="003B25B0">
        <w:rPr>
          <w:b/>
          <w:bCs/>
          <w:i/>
          <w:iCs/>
          <w:lang w:eastAsia="en-AU"/>
        </w:rPr>
        <w:t>Act</w:t>
      </w:r>
      <w:r w:rsidR="003B25B0" w:rsidRPr="003B25B0">
        <w:rPr>
          <w:lang w:eastAsia="en-AU"/>
        </w:rPr>
        <w:t>).</w:t>
      </w:r>
    </w:p>
    <w:p w14:paraId="0C420528" w14:textId="77777777" w:rsidR="00D41B46" w:rsidRDefault="00D41B46" w:rsidP="003B25B0">
      <w:pPr>
        <w:rPr>
          <w:lang w:eastAsia="en-AU"/>
        </w:rPr>
      </w:pPr>
    </w:p>
    <w:p w14:paraId="520E83F3" w14:textId="6BA9E6AA" w:rsidR="003B25B0" w:rsidRPr="003B25B0" w:rsidRDefault="00153CC6" w:rsidP="003B25B0">
      <w:pPr>
        <w:rPr>
          <w:lang w:eastAsia="en-AU"/>
        </w:rPr>
      </w:pPr>
      <w:r>
        <w:rPr>
          <w:lang w:eastAsia="en-AU"/>
        </w:rPr>
        <w:t>The legal principle is often expressed in terms that “a stream may not rise higher than its source”</w:t>
      </w:r>
      <w:r w:rsidR="00D41B46">
        <w:rPr>
          <w:lang w:eastAsia="en-AU"/>
        </w:rPr>
        <w:t>. T</w:t>
      </w:r>
      <w:r>
        <w:rPr>
          <w:lang w:eastAsia="en-AU"/>
        </w:rPr>
        <w:t xml:space="preserve">o use regulations under an Act to interfere in matters </w:t>
      </w:r>
      <w:r w:rsidR="00D41B46">
        <w:rPr>
          <w:lang w:eastAsia="en-AU"/>
        </w:rPr>
        <w:t xml:space="preserve">directly </w:t>
      </w:r>
      <w:r>
        <w:rPr>
          <w:lang w:eastAsia="en-AU"/>
        </w:rPr>
        <w:t>provided for by the Act requires the equivalent of what is colloquially known as “a Henry VIII clause”</w:t>
      </w:r>
      <w:r w:rsidR="00D41B46">
        <w:rPr>
          <w:lang w:eastAsia="en-AU"/>
        </w:rPr>
        <w:t>. This</w:t>
      </w:r>
      <w:r>
        <w:rPr>
          <w:lang w:eastAsia="en-AU"/>
        </w:rPr>
        <w:t xml:space="preserve"> is an express provision in an Act empowering regulations made under </w:t>
      </w:r>
      <w:r>
        <w:rPr>
          <w:lang w:eastAsia="en-AU"/>
        </w:rPr>
        <w:lastRenderedPageBreak/>
        <w:t xml:space="preserve">the Act to interfere in matters provided for by the Act. Henry VIII clauses are uncommon in modern </w:t>
      </w:r>
      <w:r w:rsidR="00D41B46">
        <w:rPr>
          <w:lang w:eastAsia="en-AU"/>
        </w:rPr>
        <w:t>Commonwealth legislation and the</w:t>
      </w:r>
      <w:r w:rsidR="00976DDF">
        <w:rPr>
          <w:lang w:eastAsia="en-AU"/>
        </w:rPr>
        <w:t>re</w:t>
      </w:r>
      <w:r w:rsidR="00D41B46">
        <w:rPr>
          <w:lang w:eastAsia="en-AU"/>
        </w:rPr>
        <w:t xml:space="preserve"> are none in the </w:t>
      </w:r>
      <w:r w:rsidR="00D41B46" w:rsidRPr="00744BDD">
        <w:rPr>
          <w:lang w:eastAsia="en-AU"/>
        </w:rPr>
        <w:t>Act</w:t>
      </w:r>
      <w:r w:rsidR="00D41B46">
        <w:rPr>
          <w:lang w:eastAsia="en-AU"/>
        </w:rPr>
        <w:t>.</w:t>
      </w:r>
    </w:p>
    <w:p w14:paraId="2F6F8573" w14:textId="77777777" w:rsidR="003B25B0" w:rsidRDefault="003B25B0" w:rsidP="003B25B0">
      <w:pPr>
        <w:rPr>
          <w:lang w:eastAsia="en-AU"/>
        </w:rPr>
      </w:pPr>
    </w:p>
    <w:p w14:paraId="168E4DC1" w14:textId="10E9DB57" w:rsidR="00677D78" w:rsidRPr="003B25B0" w:rsidRDefault="00677D78" w:rsidP="00677D78">
      <w:pPr>
        <w:pStyle w:val="LDBodytext"/>
        <w:rPr>
          <w:iCs/>
        </w:rPr>
      </w:pPr>
      <w:r w:rsidRPr="003B25B0">
        <w:rPr>
          <w:iCs/>
        </w:rPr>
        <w:t>Under subsection 98</w:t>
      </w:r>
      <w:r w:rsidR="000111B4">
        <w:rPr>
          <w:iCs/>
        </w:rPr>
        <w:t> </w:t>
      </w:r>
      <w:r w:rsidRPr="003B25B0">
        <w:rPr>
          <w:iCs/>
        </w:rPr>
        <w:t xml:space="preserve">(5A) of the </w:t>
      </w:r>
      <w:r w:rsidR="003B25B0">
        <w:rPr>
          <w:iCs/>
        </w:rPr>
        <w:t>Act</w:t>
      </w:r>
      <w:r w:rsidRPr="003B25B0">
        <w:rPr>
          <w:iCs/>
        </w:rPr>
        <w:t>, regulations made under the Act may empower CASA to issue instruments in relation to matters affecting the safe navigation and operation of aircraft. Regulation 11.160 is such a regulation, empowering CASA, by instrument, to grant exemptions from compliance with a provision of a regulation or a</w:t>
      </w:r>
      <w:r w:rsidR="003B25B0">
        <w:rPr>
          <w:iCs/>
        </w:rPr>
        <w:t xml:space="preserve"> CAO</w:t>
      </w:r>
      <w:r w:rsidRPr="003B25B0">
        <w:rPr>
          <w:iCs/>
        </w:rPr>
        <w:t>. CAOs are generally made under CAR which, under regulation 2C of CAR, is taken to include CASR. While there is clearly a power to exempt from a CAO made under CAR</w:t>
      </w:r>
      <w:r w:rsidR="003B25B0">
        <w:rPr>
          <w:iCs/>
        </w:rPr>
        <w:t xml:space="preserve"> or CASR</w:t>
      </w:r>
      <w:r w:rsidRPr="003B25B0">
        <w:rPr>
          <w:iCs/>
        </w:rPr>
        <w:t xml:space="preserve">, it is doubtful whether this exemption power extends to a CAO made </w:t>
      </w:r>
      <w:r w:rsidR="00D41B46">
        <w:rPr>
          <w:iCs/>
        </w:rPr>
        <w:t xml:space="preserve">directly </w:t>
      </w:r>
      <w:r w:rsidRPr="003B25B0">
        <w:rPr>
          <w:iCs/>
        </w:rPr>
        <w:t>under the very Act that is parent to the regulations containing the exemption power.</w:t>
      </w:r>
    </w:p>
    <w:p w14:paraId="6C49A5B3" w14:textId="77777777" w:rsidR="00677D78" w:rsidRPr="003B25B0" w:rsidRDefault="00677D78" w:rsidP="00677D78">
      <w:pPr>
        <w:pStyle w:val="LDBodytext"/>
        <w:rPr>
          <w:iCs/>
        </w:rPr>
      </w:pPr>
    </w:p>
    <w:p w14:paraId="1DB256FC" w14:textId="4E4F623C" w:rsidR="009864F7" w:rsidRDefault="00F07CA3" w:rsidP="00677D78">
      <w:pPr>
        <w:pStyle w:val="LDBodytext"/>
        <w:rPr>
          <w:iCs/>
        </w:rPr>
      </w:pPr>
      <w:r w:rsidRPr="00F07CA3">
        <w:rPr>
          <w:iCs/>
        </w:rPr>
        <w:t>The 2019 CAO</w:t>
      </w:r>
      <w:r w:rsidR="003B25B0">
        <w:rPr>
          <w:iCs/>
        </w:rPr>
        <w:t xml:space="preserve"> </w:t>
      </w:r>
      <w:r w:rsidR="00646F6E">
        <w:rPr>
          <w:iCs/>
        </w:rPr>
        <w:t xml:space="preserve">provides the regulatory framework for fatigue risk management in aviation. It applies to </w:t>
      </w:r>
      <w:r w:rsidR="00D41B46" w:rsidRPr="00744BDD">
        <w:rPr>
          <w:iCs/>
        </w:rPr>
        <w:t>AOC holders</w:t>
      </w:r>
      <w:r w:rsidR="00D41B46">
        <w:rPr>
          <w:iCs/>
        </w:rPr>
        <w:t xml:space="preserve"> and to their </w:t>
      </w:r>
      <w:r w:rsidR="00D41B46" w:rsidRPr="00931D7E">
        <w:rPr>
          <w:iCs/>
        </w:rPr>
        <w:t>FCMs.</w:t>
      </w:r>
      <w:r w:rsidR="00646F6E">
        <w:rPr>
          <w:iCs/>
        </w:rPr>
        <w:t xml:space="preserve"> </w:t>
      </w:r>
      <w:r w:rsidR="00D41B46">
        <w:rPr>
          <w:iCs/>
        </w:rPr>
        <w:t xml:space="preserve">It </w:t>
      </w:r>
      <w:r w:rsidR="003B25B0">
        <w:rPr>
          <w:iCs/>
        </w:rPr>
        <w:t>is</w:t>
      </w:r>
      <w:r w:rsidR="00677D78" w:rsidRPr="003B25B0">
        <w:rPr>
          <w:iCs/>
        </w:rPr>
        <w:t xml:space="preserve"> relevantly made under paragraph 28BA</w:t>
      </w:r>
      <w:r w:rsidR="000111B4">
        <w:rPr>
          <w:iCs/>
        </w:rPr>
        <w:t> </w:t>
      </w:r>
      <w:r w:rsidR="00677D78" w:rsidRPr="003B25B0">
        <w:rPr>
          <w:iCs/>
        </w:rPr>
        <w:t>(b) of the Act, which provides that an AOC</w:t>
      </w:r>
      <w:r w:rsidR="004C1947">
        <w:rPr>
          <w:iCs/>
        </w:rPr>
        <w:t xml:space="preserve"> “</w:t>
      </w:r>
      <w:r w:rsidR="00677D78" w:rsidRPr="003B25B0">
        <w:rPr>
          <w:iCs/>
        </w:rPr>
        <w:t>has effect subject to</w:t>
      </w:r>
      <w:r w:rsidR="001917A2">
        <w:rPr>
          <w:iCs/>
        </w:rPr>
        <w:t xml:space="preserve"> </w:t>
      </w:r>
      <w:r w:rsidR="004C1947">
        <w:rPr>
          <w:iCs/>
        </w:rPr>
        <w:t>…</w:t>
      </w:r>
      <w:r w:rsidR="001917A2">
        <w:rPr>
          <w:iCs/>
        </w:rPr>
        <w:t xml:space="preserve"> </w:t>
      </w:r>
      <w:r w:rsidR="004C1947">
        <w:rPr>
          <w:iCs/>
        </w:rPr>
        <w:t xml:space="preserve">any </w:t>
      </w:r>
      <w:r w:rsidR="00677D78" w:rsidRPr="003B25B0">
        <w:rPr>
          <w:iCs/>
        </w:rPr>
        <w:t>conditions specified in the regulations or C</w:t>
      </w:r>
      <w:r w:rsidR="004C1947">
        <w:rPr>
          <w:iCs/>
        </w:rPr>
        <w:t>ivil Aviation Orders”.</w:t>
      </w:r>
    </w:p>
    <w:p w14:paraId="2364813E" w14:textId="77777777" w:rsidR="009864F7" w:rsidRDefault="009864F7" w:rsidP="00677D78">
      <w:pPr>
        <w:pStyle w:val="LDBodytext"/>
        <w:rPr>
          <w:iCs/>
        </w:rPr>
      </w:pPr>
    </w:p>
    <w:p w14:paraId="017E94D4" w14:textId="175C4378" w:rsidR="009864F7" w:rsidRDefault="004C1947" w:rsidP="00677D78">
      <w:pPr>
        <w:pStyle w:val="LDBodytext"/>
        <w:rPr>
          <w:iCs/>
        </w:rPr>
      </w:pPr>
      <w:r>
        <w:rPr>
          <w:iCs/>
        </w:rPr>
        <w:t>It is also made under</w:t>
      </w:r>
      <w:r w:rsidR="00677D78" w:rsidRPr="003B25B0">
        <w:rPr>
          <w:iCs/>
        </w:rPr>
        <w:t xml:space="preserve"> subsection 98</w:t>
      </w:r>
      <w:r w:rsidR="000111B4">
        <w:rPr>
          <w:iCs/>
        </w:rPr>
        <w:t> </w:t>
      </w:r>
      <w:r w:rsidR="00677D78" w:rsidRPr="003B25B0">
        <w:rPr>
          <w:iCs/>
        </w:rPr>
        <w:t xml:space="preserve">(4A) of the Act, which provides that </w:t>
      </w:r>
      <w:r>
        <w:rPr>
          <w:iCs/>
        </w:rPr>
        <w:t>“</w:t>
      </w:r>
      <w:r w:rsidR="00677D78" w:rsidRPr="003B25B0">
        <w:rPr>
          <w:iCs/>
        </w:rPr>
        <w:t>CASA may issue C</w:t>
      </w:r>
      <w:r>
        <w:rPr>
          <w:iCs/>
        </w:rPr>
        <w:t>ivil Aviation Orders, not inconsistent with this Act</w:t>
      </w:r>
      <w:r w:rsidR="009864F7">
        <w:rPr>
          <w:iCs/>
        </w:rPr>
        <w:t xml:space="preserve"> or the regulations</w:t>
      </w:r>
      <w:r w:rsidR="00D20509">
        <w:rPr>
          <w:iCs/>
        </w:rPr>
        <w:t xml:space="preserve"> </w:t>
      </w:r>
      <w:r w:rsidR="009864F7">
        <w:rPr>
          <w:iCs/>
        </w:rPr>
        <w:t>…</w:t>
      </w:r>
      <w:r w:rsidR="00D20509">
        <w:rPr>
          <w:iCs/>
        </w:rPr>
        <w:t xml:space="preserve"> </w:t>
      </w:r>
      <w:r w:rsidR="009864F7">
        <w:rPr>
          <w:iCs/>
        </w:rPr>
        <w:t>with respect to any matter in relation to which regulations may be made for the purposes of section</w:t>
      </w:r>
      <w:r w:rsidR="00744BDD">
        <w:rPr>
          <w:iCs/>
        </w:rPr>
        <w:t xml:space="preserve"> </w:t>
      </w:r>
      <w:r w:rsidR="009864F7">
        <w:rPr>
          <w:iCs/>
        </w:rPr>
        <w:t>… 28BA”.</w:t>
      </w:r>
    </w:p>
    <w:p w14:paraId="2F4EFFD9" w14:textId="77777777" w:rsidR="009864F7" w:rsidRDefault="009864F7" w:rsidP="00677D78">
      <w:pPr>
        <w:pStyle w:val="LDBodytext"/>
        <w:rPr>
          <w:iCs/>
        </w:rPr>
      </w:pPr>
    </w:p>
    <w:p w14:paraId="0C75E1E8" w14:textId="2869D289" w:rsidR="00677D78" w:rsidRDefault="00677D78" w:rsidP="00677D78">
      <w:pPr>
        <w:pStyle w:val="LDBodytext"/>
        <w:rPr>
          <w:iCs/>
        </w:rPr>
      </w:pPr>
      <w:r w:rsidRPr="003B25B0">
        <w:rPr>
          <w:iCs/>
        </w:rPr>
        <w:t>AOC conditions are such matters in relation to which regulations may be made for section 28BA of the Act. Therefore, CAOs may be issued for th</w:t>
      </w:r>
      <w:r w:rsidR="009864F7">
        <w:rPr>
          <w:iCs/>
        </w:rPr>
        <w:t>ose matters</w:t>
      </w:r>
      <w:r w:rsidRPr="003B25B0">
        <w:rPr>
          <w:iCs/>
        </w:rPr>
        <w:t xml:space="preserve">, such CAOs (like </w:t>
      </w:r>
      <w:r w:rsidR="009D58BE">
        <w:rPr>
          <w:iCs/>
        </w:rPr>
        <w:t>the 2019 CAO</w:t>
      </w:r>
      <w:r w:rsidR="009864F7">
        <w:rPr>
          <w:iCs/>
        </w:rPr>
        <w:t>)</w:t>
      </w:r>
      <w:r w:rsidRPr="003B25B0">
        <w:rPr>
          <w:iCs/>
        </w:rPr>
        <w:t xml:space="preserve"> are thus made under th</w:t>
      </w:r>
      <w:r w:rsidR="009864F7">
        <w:rPr>
          <w:iCs/>
        </w:rPr>
        <w:t>o</w:t>
      </w:r>
      <w:r w:rsidRPr="003B25B0">
        <w:rPr>
          <w:iCs/>
        </w:rPr>
        <w:t>se provisions of the Act</w:t>
      </w:r>
      <w:r w:rsidR="00976DDF">
        <w:rPr>
          <w:iCs/>
        </w:rPr>
        <w:t xml:space="preserve"> (paragraph 28BA</w:t>
      </w:r>
      <w:r w:rsidR="000111B4">
        <w:rPr>
          <w:iCs/>
        </w:rPr>
        <w:t> </w:t>
      </w:r>
      <w:r w:rsidR="00976DDF">
        <w:rPr>
          <w:iCs/>
        </w:rPr>
        <w:t xml:space="preserve">(b) and </w:t>
      </w:r>
      <w:r w:rsidR="00976DDF" w:rsidRPr="003B25B0">
        <w:rPr>
          <w:iCs/>
        </w:rPr>
        <w:t>subsection 98</w:t>
      </w:r>
      <w:r w:rsidR="000111B4">
        <w:rPr>
          <w:iCs/>
        </w:rPr>
        <w:t> </w:t>
      </w:r>
      <w:r w:rsidR="00976DDF" w:rsidRPr="003B25B0">
        <w:rPr>
          <w:iCs/>
        </w:rPr>
        <w:t>(4A)</w:t>
      </w:r>
      <w:r w:rsidR="00976DDF">
        <w:rPr>
          <w:iCs/>
        </w:rPr>
        <w:t>)</w:t>
      </w:r>
      <w:r w:rsidRPr="003B25B0">
        <w:rPr>
          <w:iCs/>
        </w:rPr>
        <w:t>, and, in the absence of express reference or necessary implication, a regulation empowered by the Act (like regulation 11.160), may not amend or negate the Act</w:t>
      </w:r>
      <w:r w:rsidR="00EE6C77">
        <w:rPr>
          <w:iCs/>
        </w:rPr>
        <w:t xml:space="preserve"> or what the Act provides for</w:t>
      </w:r>
      <w:r w:rsidR="009864F7">
        <w:rPr>
          <w:iCs/>
        </w:rPr>
        <w:t>.</w:t>
      </w:r>
    </w:p>
    <w:p w14:paraId="72C9BF2F" w14:textId="40B851CE" w:rsidR="00F26FD7" w:rsidRDefault="00F26FD7" w:rsidP="00677D78">
      <w:pPr>
        <w:pStyle w:val="LDBodytext"/>
        <w:rPr>
          <w:iCs/>
        </w:rPr>
      </w:pPr>
    </w:p>
    <w:p w14:paraId="4B20AD7C" w14:textId="5EFDCDE9" w:rsidR="00790FC4" w:rsidRDefault="00A234E8" w:rsidP="009A49EF">
      <w:r>
        <w:t xml:space="preserve">The </w:t>
      </w:r>
      <w:r w:rsidR="006E4B42">
        <w:t xml:space="preserve">CAO </w:t>
      </w:r>
      <w:r w:rsidR="009864F7">
        <w:t xml:space="preserve">amendment is designed to avoid legal </w:t>
      </w:r>
      <w:r w:rsidR="005430D8">
        <w:t xml:space="preserve">uncertainty </w:t>
      </w:r>
      <w:r w:rsidR="009864F7">
        <w:t>by creating</w:t>
      </w:r>
      <w:r w:rsidR="002773EE">
        <w:t xml:space="preserve"> within the</w:t>
      </w:r>
      <w:r w:rsidR="009864F7">
        <w:t xml:space="preserve"> </w:t>
      </w:r>
      <w:r w:rsidR="009D58BE">
        <w:t>2019 CAO</w:t>
      </w:r>
      <w:r w:rsidR="009864F7">
        <w:t xml:space="preserve"> </w:t>
      </w:r>
      <w:r w:rsidR="00AA487F">
        <w:t xml:space="preserve">a limited or minor </w:t>
      </w:r>
      <w:r w:rsidR="003B3480">
        <w:t xml:space="preserve">non-compliance </w:t>
      </w:r>
      <w:r w:rsidR="009864F7">
        <w:t xml:space="preserve">approval mechanism </w:t>
      </w:r>
      <w:r w:rsidR="005430D8">
        <w:t xml:space="preserve">the legal efficacy of which </w:t>
      </w:r>
      <w:r w:rsidR="00AA487F">
        <w:t>is</w:t>
      </w:r>
      <w:r w:rsidR="009D58BE">
        <w:t xml:space="preserve"> beyond any legal doubt.</w:t>
      </w:r>
    </w:p>
    <w:p w14:paraId="3D5A359E" w14:textId="554CA6B0" w:rsidR="00A9404F" w:rsidRDefault="00A9404F" w:rsidP="009A49EF"/>
    <w:p w14:paraId="3586F128" w14:textId="20CC2865" w:rsidR="00F26FD7" w:rsidRDefault="00A9404F" w:rsidP="009A49EF">
      <w:r w:rsidRPr="00A9404F">
        <w:rPr>
          <w:b/>
          <w:bCs/>
        </w:rPr>
        <w:t>Immediate requirement for the CAO amendment</w:t>
      </w:r>
      <w:bookmarkEnd w:id="1"/>
    </w:p>
    <w:p w14:paraId="0853BE8C" w14:textId="0C83357D" w:rsidR="00A9404F" w:rsidRPr="00642714" w:rsidRDefault="00F26FD7" w:rsidP="009A49EF">
      <w:r>
        <w:t>Th</w:t>
      </w:r>
      <w:r w:rsidR="00EE6C77">
        <w:t>e need for thi</w:t>
      </w:r>
      <w:r>
        <w:t xml:space="preserve">s flexibility </w:t>
      </w:r>
      <w:r w:rsidR="00EE6C77">
        <w:t>has arisen</w:t>
      </w:r>
      <w:r>
        <w:t xml:space="preserve"> in the immediate context of the 2019</w:t>
      </w:r>
      <w:r w:rsidR="00EE6C77">
        <w:t>-2020</w:t>
      </w:r>
      <w:r w:rsidR="00A9404F">
        <w:t xml:space="preserve"> </w:t>
      </w:r>
      <w:r>
        <w:t xml:space="preserve">bushfire season in Australia </w:t>
      </w:r>
      <w:r w:rsidR="005430D8">
        <w:t xml:space="preserve">in relation to the </w:t>
      </w:r>
      <w:r>
        <w:t xml:space="preserve">contingencies and emergencies </w:t>
      </w:r>
      <w:r w:rsidR="005430D8">
        <w:t xml:space="preserve">of which </w:t>
      </w:r>
      <w:r>
        <w:t>it is both desirable, and sometime</w:t>
      </w:r>
      <w:r w:rsidR="00A9404F">
        <w:t>s</w:t>
      </w:r>
      <w:r>
        <w:t xml:space="preserve"> </w:t>
      </w:r>
      <w:r w:rsidR="00EE6C77">
        <w:t>essential</w:t>
      </w:r>
      <w:r>
        <w:t xml:space="preserve">, to temporarily relax – subject to appropriate safety conditions – the fatigue risk management </w:t>
      </w:r>
      <w:r w:rsidR="004460BF">
        <w:t xml:space="preserve">obligations </w:t>
      </w:r>
      <w:r>
        <w:t xml:space="preserve">that would otherwise restrict some responses to </w:t>
      </w:r>
      <w:r w:rsidR="00834A39">
        <w:t xml:space="preserve">emergency </w:t>
      </w:r>
      <w:r>
        <w:t>bushfire threats to persons, animals and property</w:t>
      </w:r>
      <w:r w:rsidR="004460BF">
        <w:t xml:space="preserve"> by AOC holders required to comply with the 2019 CAO or, by virtue of transitional provisions, it predecessors</w:t>
      </w:r>
      <w:r>
        <w:t>.</w:t>
      </w:r>
      <w:r w:rsidR="00EE6C77">
        <w:t xml:space="preserve"> </w:t>
      </w:r>
      <w:r w:rsidR="00A9404F">
        <w:t>The same flexibility is required</w:t>
      </w:r>
      <w:r w:rsidR="0020397B">
        <w:t xml:space="preserve"> in relation to other </w:t>
      </w:r>
      <w:r w:rsidR="0020397B" w:rsidRPr="0020397B">
        <w:t>emergency services operations</w:t>
      </w:r>
      <w:r w:rsidR="0020397B">
        <w:t xml:space="preserve"> which may involve emergency police operations or </w:t>
      </w:r>
      <w:r w:rsidR="0020397B" w:rsidRPr="00642714">
        <w:t>search and rescue operations.</w:t>
      </w:r>
    </w:p>
    <w:p w14:paraId="79099122" w14:textId="7F11CE78" w:rsidR="00642714" w:rsidRPr="00642714" w:rsidRDefault="00642714" w:rsidP="009A49EF"/>
    <w:p w14:paraId="65FF3E0A" w14:textId="56787169" w:rsidR="00642714" w:rsidRDefault="00642714" w:rsidP="00642714">
      <w:pPr>
        <w:pStyle w:val="CommentText"/>
        <w:rPr>
          <w:sz w:val="24"/>
          <w:szCs w:val="24"/>
        </w:rPr>
      </w:pPr>
      <w:r w:rsidRPr="00485C76">
        <w:rPr>
          <w:sz w:val="24"/>
          <w:szCs w:val="24"/>
        </w:rPr>
        <w:t>Prescriptive limits</w:t>
      </w:r>
      <w:r>
        <w:rPr>
          <w:sz w:val="24"/>
          <w:szCs w:val="24"/>
        </w:rPr>
        <w:t>, whether under the 2019 CAO or under its transitionally applicable predecessors</w:t>
      </w:r>
      <w:r w:rsidR="00931D7E">
        <w:rPr>
          <w:sz w:val="24"/>
          <w:szCs w:val="24"/>
        </w:rPr>
        <w:t>,</w:t>
      </w:r>
      <w:r w:rsidRPr="00485C76">
        <w:rPr>
          <w:sz w:val="24"/>
          <w:szCs w:val="24"/>
        </w:rPr>
        <w:t xml:space="preserve"> are not able to address every potential scenario</w:t>
      </w:r>
      <w:r>
        <w:rPr>
          <w:sz w:val="24"/>
          <w:szCs w:val="24"/>
        </w:rPr>
        <w:t>. T</w:t>
      </w:r>
      <w:r w:rsidRPr="00485C76">
        <w:rPr>
          <w:sz w:val="24"/>
          <w:szCs w:val="24"/>
        </w:rPr>
        <w:t xml:space="preserve">here are occasions when the particular circumstances of an AOC holder may permit operation in excess of the prescriptive limits </w:t>
      </w:r>
      <w:r>
        <w:rPr>
          <w:sz w:val="24"/>
          <w:szCs w:val="24"/>
        </w:rPr>
        <w:t xml:space="preserve">provided that there are </w:t>
      </w:r>
      <w:r w:rsidRPr="00485C76">
        <w:rPr>
          <w:sz w:val="24"/>
          <w:szCs w:val="24"/>
        </w:rPr>
        <w:t>specific mitigations in place to provide an equivalent level of fatigue risk</w:t>
      </w:r>
      <w:r>
        <w:rPr>
          <w:sz w:val="24"/>
          <w:szCs w:val="24"/>
        </w:rPr>
        <w:t xml:space="preserve"> management</w:t>
      </w:r>
      <w:r w:rsidRPr="00485C76">
        <w:rPr>
          <w:sz w:val="24"/>
          <w:szCs w:val="24"/>
        </w:rPr>
        <w:t>.</w:t>
      </w:r>
    </w:p>
    <w:p w14:paraId="2755782C" w14:textId="451E892D" w:rsidR="00642714" w:rsidRDefault="00642714" w:rsidP="00744BDD">
      <w:pPr>
        <w:pStyle w:val="CommentText"/>
        <w:keepNext/>
        <w:rPr>
          <w:sz w:val="24"/>
          <w:szCs w:val="24"/>
        </w:rPr>
      </w:pPr>
      <w:r w:rsidRPr="00485C76">
        <w:rPr>
          <w:sz w:val="24"/>
          <w:szCs w:val="24"/>
        </w:rPr>
        <w:lastRenderedPageBreak/>
        <w:t>Appendix 7</w:t>
      </w:r>
      <w:r w:rsidR="00931D7E">
        <w:rPr>
          <w:sz w:val="24"/>
          <w:szCs w:val="24"/>
        </w:rPr>
        <w:t xml:space="preserve"> — </w:t>
      </w:r>
      <w:r>
        <w:rPr>
          <w:sz w:val="24"/>
          <w:szCs w:val="24"/>
        </w:rPr>
        <w:t>Fatigue Risk Management Systems (</w:t>
      </w:r>
      <w:r w:rsidRPr="00485C76">
        <w:rPr>
          <w:b/>
          <w:bCs/>
          <w:i/>
          <w:iCs/>
          <w:sz w:val="24"/>
          <w:szCs w:val="24"/>
        </w:rPr>
        <w:t>FRMS</w:t>
      </w:r>
      <w:r>
        <w:rPr>
          <w:sz w:val="24"/>
          <w:szCs w:val="24"/>
        </w:rPr>
        <w:t>) of the 2019 CAO (and its 2013 and 2013/2016 predecessors)</w:t>
      </w:r>
      <w:r w:rsidRPr="00485C76">
        <w:rPr>
          <w:sz w:val="24"/>
          <w:szCs w:val="24"/>
        </w:rPr>
        <w:t xml:space="preserve"> provides a mechanism</w:t>
      </w:r>
      <w:r w:rsidR="000D13D2">
        <w:rPr>
          <w:sz w:val="24"/>
          <w:szCs w:val="24"/>
        </w:rPr>
        <w:t>,</w:t>
      </w:r>
      <w:r w:rsidRPr="00485C76">
        <w:rPr>
          <w:sz w:val="24"/>
          <w:szCs w:val="24"/>
        </w:rPr>
        <w:t xml:space="preserve"> </w:t>
      </w:r>
      <w:r>
        <w:rPr>
          <w:sz w:val="24"/>
          <w:szCs w:val="24"/>
        </w:rPr>
        <w:t xml:space="preserve">for </w:t>
      </w:r>
      <w:r w:rsidR="000D13D2">
        <w:rPr>
          <w:sz w:val="24"/>
          <w:szCs w:val="24"/>
        </w:rPr>
        <w:t xml:space="preserve">those </w:t>
      </w:r>
      <w:r w:rsidRPr="00485C76">
        <w:rPr>
          <w:sz w:val="24"/>
          <w:szCs w:val="24"/>
        </w:rPr>
        <w:t>operators</w:t>
      </w:r>
      <w:r>
        <w:rPr>
          <w:sz w:val="24"/>
          <w:szCs w:val="24"/>
        </w:rPr>
        <w:t xml:space="preserve"> who chose to </w:t>
      </w:r>
      <w:r w:rsidR="000D13D2">
        <w:rPr>
          <w:sz w:val="24"/>
          <w:szCs w:val="24"/>
        </w:rPr>
        <w:t>use it</w:t>
      </w:r>
      <w:r>
        <w:rPr>
          <w:sz w:val="24"/>
          <w:szCs w:val="24"/>
        </w:rPr>
        <w:t>,</w:t>
      </w:r>
      <w:r w:rsidRPr="00485C76">
        <w:rPr>
          <w:sz w:val="24"/>
          <w:szCs w:val="24"/>
        </w:rPr>
        <w:t xml:space="preserve"> to </w:t>
      </w:r>
      <w:r w:rsidR="000D13D2">
        <w:rPr>
          <w:sz w:val="24"/>
          <w:szCs w:val="24"/>
        </w:rPr>
        <w:t>create</w:t>
      </w:r>
      <w:r w:rsidRPr="00485C76">
        <w:rPr>
          <w:sz w:val="24"/>
          <w:szCs w:val="24"/>
        </w:rPr>
        <w:t>, subject to CASA approval, a bespoke system to manage their unique fatigue risks.</w:t>
      </w:r>
      <w:r>
        <w:rPr>
          <w:sz w:val="24"/>
          <w:szCs w:val="24"/>
        </w:rPr>
        <w:t xml:space="preserve"> While this option offers </w:t>
      </w:r>
      <w:r w:rsidR="00633ABD">
        <w:rPr>
          <w:sz w:val="24"/>
          <w:szCs w:val="24"/>
        </w:rPr>
        <w:t>flexibility, it involves sophistication and overhead costs.</w:t>
      </w:r>
    </w:p>
    <w:p w14:paraId="125B6E8F" w14:textId="77777777" w:rsidR="00642714" w:rsidRPr="00485C76" w:rsidRDefault="00642714" w:rsidP="00744BDD">
      <w:pPr>
        <w:pStyle w:val="CommentText"/>
        <w:keepNext/>
        <w:rPr>
          <w:sz w:val="24"/>
          <w:szCs w:val="24"/>
        </w:rPr>
      </w:pPr>
    </w:p>
    <w:p w14:paraId="498B6E0E" w14:textId="5E666E5D" w:rsidR="00633ABD" w:rsidRDefault="00633ABD" w:rsidP="00642714">
      <w:pPr>
        <w:pStyle w:val="CommentText"/>
        <w:rPr>
          <w:sz w:val="24"/>
          <w:szCs w:val="24"/>
        </w:rPr>
      </w:pPr>
      <w:r>
        <w:rPr>
          <w:sz w:val="24"/>
          <w:szCs w:val="24"/>
        </w:rPr>
        <w:t>The i</w:t>
      </w:r>
      <w:r w:rsidR="00642714" w:rsidRPr="00485C76">
        <w:rPr>
          <w:sz w:val="24"/>
          <w:szCs w:val="24"/>
        </w:rPr>
        <w:t xml:space="preserve">ndependent review of </w:t>
      </w:r>
      <w:r>
        <w:rPr>
          <w:sz w:val="24"/>
          <w:szCs w:val="24"/>
        </w:rPr>
        <w:t xml:space="preserve">the </w:t>
      </w:r>
      <w:r w:rsidR="00642714" w:rsidRPr="00485C76">
        <w:rPr>
          <w:sz w:val="24"/>
          <w:szCs w:val="24"/>
        </w:rPr>
        <w:t xml:space="preserve">fatigue rules commissioned by the CASA </w:t>
      </w:r>
      <w:r w:rsidR="005430D8">
        <w:rPr>
          <w:sz w:val="24"/>
          <w:szCs w:val="24"/>
        </w:rPr>
        <w:t>B</w:t>
      </w:r>
      <w:r w:rsidR="00642714" w:rsidRPr="00485C76">
        <w:rPr>
          <w:sz w:val="24"/>
          <w:szCs w:val="24"/>
        </w:rPr>
        <w:t>oard</w:t>
      </w:r>
      <w:r>
        <w:rPr>
          <w:sz w:val="24"/>
          <w:szCs w:val="24"/>
        </w:rPr>
        <w:t>, which reported in 2018,</w:t>
      </w:r>
      <w:r w:rsidR="00642714" w:rsidRPr="00485C76">
        <w:rPr>
          <w:sz w:val="24"/>
          <w:szCs w:val="24"/>
        </w:rPr>
        <w:t xml:space="preserve"> identified the need for a </w:t>
      </w:r>
      <w:r>
        <w:rPr>
          <w:sz w:val="24"/>
          <w:szCs w:val="24"/>
        </w:rPr>
        <w:t>“</w:t>
      </w:r>
      <w:r w:rsidR="00642714" w:rsidRPr="00485C76">
        <w:rPr>
          <w:sz w:val="24"/>
          <w:szCs w:val="24"/>
        </w:rPr>
        <w:t>minor variation</w:t>
      </w:r>
      <w:r>
        <w:rPr>
          <w:sz w:val="24"/>
          <w:szCs w:val="24"/>
        </w:rPr>
        <w:t>”</w:t>
      </w:r>
      <w:r w:rsidR="00642714" w:rsidRPr="00485C76">
        <w:rPr>
          <w:sz w:val="24"/>
          <w:szCs w:val="24"/>
        </w:rPr>
        <w:t xml:space="preserve"> process to permit </w:t>
      </w:r>
      <w:r>
        <w:rPr>
          <w:sz w:val="24"/>
          <w:szCs w:val="24"/>
        </w:rPr>
        <w:t xml:space="preserve">certain </w:t>
      </w:r>
      <w:r w:rsidR="00642714" w:rsidRPr="00485C76">
        <w:rPr>
          <w:sz w:val="24"/>
          <w:szCs w:val="24"/>
        </w:rPr>
        <w:t>operation</w:t>
      </w:r>
      <w:r>
        <w:rPr>
          <w:sz w:val="24"/>
          <w:szCs w:val="24"/>
        </w:rPr>
        <w:t>s</w:t>
      </w:r>
      <w:r w:rsidR="00642714" w:rsidRPr="00485C76">
        <w:rPr>
          <w:sz w:val="24"/>
          <w:szCs w:val="24"/>
        </w:rPr>
        <w:t xml:space="preserve"> </w:t>
      </w:r>
      <w:r w:rsidR="000D13D2">
        <w:rPr>
          <w:sz w:val="24"/>
          <w:szCs w:val="24"/>
        </w:rPr>
        <w:t xml:space="preserve">to occur </w:t>
      </w:r>
      <w:r>
        <w:rPr>
          <w:sz w:val="24"/>
          <w:szCs w:val="24"/>
        </w:rPr>
        <w:t>outside</w:t>
      </w:r>
      <w:r w:rsidR="00642714" w:rsidRPr="00485C76">
        <w:rPr>
          <w:sz w:val="24"/>
          <w:szCs w:val="24"/>
        </w:rPr>
        <w:t xml:space="preserve"> the prescriptive limits</w:t>
      </w:r>
      <w:r>
        <w:rPr>
          <w:sz w:val="24"/>
          <w:szCs w:val="24"/>
        </w:rPr>
        <w:t xml:space="preserve"> of the relevant CAOs</w:t>
      </w:r>
      <w:r w:rsidR="00642714" w:rsidRPr="00485C76">
        <w:rPr>
          <w:sz w:val="24"/>
          <w:szCs w:val="24"/>
        </w:rPr>
        <w:t xml:space="preserve"> without the full overhead associated with </w:t>
      </w:r>
      <w:r>
        <w:rPr>
          <w:sz w:val="24"/>
          <w:szCs w:val="24"/>
        </w:rPr>
        <w:t xml:space="preserve">developing and maintaining </w:t>
      </w:r>
      <w:r w:rsidR="00642714" w:rsidRPr="00485C76">
        <w:rPr>
          <w:sz w:val="24"/>
          <w:szCs w:val="24"/>
        </w:rPr>
        <w:t>an FRMS.</w:t>
      </w:r>
    </w:p>
    <w:p w14:paraId="680E7FB5" w14:textId="77777777" w:rsidR="00633ABD" w:rsidRDefault="00633ABD" w:rsidP="00642714">
      <w:pPr>
        <w:pStyle w:val="CommentText"/>
        <w:rPr>
          <w:sz w:val="24"/>
          <w:szCs w:val="24"/>
        </w:rPr>
      </w:pPr>
    </w:p>
    <w:p w14:paraId="14F00328" w14:textId="1B62D8F5" w:rsidR="00642714" w:rsidRPr="00485C76" w:rsidRDefault="00642714" w:rsidP="00642714">
      <w:pPr>
        <w:pStyle w:val="CommentText"/>
        <w:rPr>
          <w:sz w:val="24"/>
          <w:szCs w:val="24"/>
        </w:rPr>
      </w:pPr>
      <w:r w:rsidRPr="00485C76">
        <w:rPr>
          <w:sz w:val="24"/>
          <w:szCs w:val="24"/>
        </w:rPr>
        <w:t xml:space="preserve">This </w:t>
      </w:r>
      <w:r w:rsidR="00633ABD">
        <w:rPr>
          <w:sz w:val="24"/>
          <w:szCs w:val="24"/>
        </w:rPr>
        <w:t xml:space="preserve">CAO </w:t>
      </w:r>
      <w:r w:rsidRPr="00485C76">
        <w:rPr>
          <w:sz w:val="24"/>
          <w:szCs w:val="24"/>
        </w:rPr>
        <w:t xml:space="preserve">amendment </w:t>
      </w:r>
      <w:r w:rsidR="00633ABD">
        <w:rPr>
          <w:sz w:val="24"/>
          <w:szCs w:val="24"/>
        </w:rPr>
        <w:t xml:space="preserve">is designed to </w:t>
      </w:r>
      <w:r w:rsidRPr="00485C76">
        <w:rPr>
          <w:sz w:val="24"/>
          <w:szCs w:val="24"/>
        </w:rPr>
        <w:t xml:space="preserve">provide an explicit process </w:t>
      </w:r>
      <w:r w:rsidR="00633ABD">
        <w:rPr>
          <w:sz w:val="24"/>
          <w:szCs w:val="24"/>
        </w:rPr>
        <w:t>to permit minor variations while</w:t>
      </w:r>
      <w:r w:rsidRPr="00485C76">
        <w:rPr>
          <w:sz w:val="24"/>
          <w:szCs w:val="24"/>
        </w:rPr>
        <w:t xml:space="preserve"> avoid</w:t>
      </w:r>
      <w:r w:rsidR="00633ABD">
        <w:rPr>
          <w:sz w:val="24"/>
          <w:szCs w:val="24"/>
        </w:rPr>
        <w:t>ing</w:t>
      </w:r>
      <w:r w:rsidRPr="00485C76">
        <w:rPr>
          <w:sz w:val="24"/>
          <w:szCs w:val="24"/>
        </w:rPr>
        <w:t xml:space="preserve"> the legal doubt</w:t>
      </w:r>
      <w:r w:rsidR="00633ABD">
        <w:rPr>
          <w:sz w:val="24"/>
          <w:szCs w:val="24"/>
        </w:rPr>
        <w:t>s</w:t>
      </w:r>
      <w:r w:rsidRPr="00485C76">
        <w:rPr>
          <w:sz w:val="24"/>
          <w:szCs w:val="24"/>
        </w:rPr>
        <w:t xml:space="preserve"> associated with using Part 11 exemptions for this purpose. </w:t>
      </w:r>
      <w:r w:rsidR="00633ABD">
        <w:rPr>
          <w:sz w:val="24"/>
          <w:szCs w:val="24"/>
        </w:rPr>
        <w:t>Before</w:t>
      </w:r>
      <w:r w:rsidRPr="00485C76">
        <w:rPr>
          <w:sz w:val="24"/>
          <w:szCs w:val="24"/>
        </w:rPr>
        <w:t xml:space="preserve"> issuing </w:t>
      </w:r>
      <w:r w:rsidR="00633ABD">
        <w:rPr>
          <w:sz w:val="24"/>
          <w:szCs w:val="24"/>
        </w:rPr>
        <w:t xml:space="preserve">any </w:t>
      </w:r>
      <w:r w:rsidRPr="00485C76">
        <w:rPr>
          <w:sz w:val="24"/>
          <w:szCs w:val="24"/>
        </w:rPr>
        <w:t>such</w:t>
      </w:r>
      <w:r w:rsidR="00633ABD">
        <w:rPr>
          <w:sz w:val="24"/>
          <w:szCs w:val="24"/>
        </w:rPr>
        <w:t xml:space="preserve"> non-compliance</w:t>
      </w:r>
      <w:r w:rsidRPr="00485C76">
        <w:rPr>
          <w:sz w:val="24"/>
          <w:szCs w:val="24"/>
        </w:rPr>
        <w:t xml:space="preserve"> approval, CASA must be satisfied that the approval will preserve an acceptable level of aviation safety.</w:t>
      </w:r>
    </w:p>
    <w:p w14:paraId="572B33BC" w14:textId="2F6CA783" w:rsidR="00484748" w:rsidRDefault="00484748" w:rsidP="00AE4940"/>
    <w:p w14:paraId="6917504D" w14:textId="327D9210" w:rsidR="00A942AB" w:rsidRPr="00755676" w:rsidRDefault="00755676" w:rsidP="006B500A">
      <w:pPr>
        <w:tabs>
          <w:tab w:val="left" w:pos="567"/>
        </w:tabs>
        <w:overflowPunct w:val="0"/>
        <w:autoSpaceDE w:val="0"/>
        <w:autoSpaceDN w:val="0"/>
        <w:adjustRightInd w:val="0"/>
        <w:textAlignment w:val="baseline"/>
        <w:rPr>
          <w:b/>
        </w:rPr>
      </w:pPr>
      <w:r w:rsidRPr="00755676">
        <w:rPr>
          <w:b/>
        </w:rPr>
        <w:t>The CAO amendment</w:t>
      </w:r>
    </w:p>
    <w:p w14:paraId="117ADD65" w14:textId="3A29F104" w:rsidR="00AA419E" w:rsidRDefault="009D58BE" w:rsidP="006B500A">
      <w:pPr>
        <w:tabs>
          <w:tab w:val="left" w:pos="567"/>
        </w:tabs>
        <w:overflowPunct w:val="0"/>
        <w:autoSpaceDE w:val="0"/>
        <w:autoSpaceDN w:val="0"/>
        <w:adjustRightInd w:val="0"/>
        <w:textAlignment w:val="baseline"/>
        <w:rPr>
          <w:iCs/>
        </w:rPr>
      </w:pPr>
      <w:r w:rsidRPr="009D58BE">
        <w:rPr>
          <w:iCs/>
        </w:rPr>
        <w:t>The 2019 CAO</w:t>
      </w:r>
      <w:r w:rsidR="002773EE" w:rsidRPr="009D58BE">
        <w:rPr>
          <w:iCs/>
        </w:rPr>
        <w:t xml:space="preserve"> takes</w:t>
      </w:r>
      <w:r w:rsidR="002773EE" w:rsidRPr="002773EE">
        <w:rPr>
          <w:iCs/>
        </w:rPr>
        <w:t xml:space="preserve"> effect</w:t>
      </w:r>
      <w:r w:rsidR="002773EE">
        <w:rPr>
          <w:iCs/>
        </w:rPr>
        <w:t xml:space="preserve"> on 1 July 2020 for all </w:t>
      </w:r>
      <w:r w:rsidR="00F07CA3">
        <w:rPr>
          <w:iCs/>
        </w:rPr>
        <w:t xml:space="preserve">AOC holders (1 October 2020 for those using FRMS). However, </w:t>
      </w:r>
      <w:r>
        <w:rPr>
          <w:iCs/>
        </w:rPr>
        <w:t>the 2019 CAO is the current end product of an evolving series of similar CAOs beginning in 2013</w:t>
      </w:r>
      <w:r w:rsidR="00850D4D">
        <w:rPr>
          <w:iCs/>
        </w:rPr>
        <w:t xml:space="preserve"> (the </w:t>
      </w:r>
      <w:r w:rsidR="00850D4D" w:rsidRPr="00850D4D">
        <w:rPr>
          <w:b/>
          <w:bCs/>
          <w:i/>
        </w:rPr>
        <w:t>2013 CAO</w:t>
      </w:r>
      <w:r w:rsidR="00850D4D">
        <w:rPr>
          <w:iCs/>
        </w:rPr>
        <w:t>)</w:t>
      </w:r>
      <w:r>
        <w:rPr>
          <w:iCs/>
        </w:rPr>
        <w:t xml:space="preserve"> and amended (not commenced but open for opting into) in 2016</w:t>
      </w:r>
      <w:r w:rsidR="00850D4D">
        <w:rPr>
          <w:iCs/>
        </w:rPr>
        <w:t xml:space="preserve"> (the </w:t>
      </w:r>
      <w:r w:rsidR="00850D4D" w:rsidRPr="00850D4D">
        <w:rPr>
          <w:b/>
          <w:bCs/>
          <w:i/>
        </w:rPr>
        <w:t>2013/2016</w:t>
      </w:r>
      <w:r w:rsidR="00850D4D">
        <w:rPr>
          <w:b/>
          <w:bCs/>
          <w:i/>
        </w:rPr>
        <w:t xml:space="preserve"> </w:t>
      </w:r>
      <w:r w:rsidR="00850D4D" w:rsidRPr="00850D4D">
        <w:rPr>
          <w:b/>
          <w:bCs/>
          <w:i/>
        </w:rPr>
        <w:t>CAO</w:t>
      </w:r>
      <w:r w:rsidR="00850D4D">
        <w:rPr>
          <w:iCs/>
        </w:rPr>
        <w:t>)</w:t>
      </w:r>
      <w:r>
        <w:rPr>
          <w:iCs/>
        </w:rPr>
        <w:t>. Various AOC holders</w:t>
      </w:r>
      <w:r w:rsidR="00AA419E">
        <w:rPr>
          <w:iCs/>
        </w:rPr>
        <w:t xml:space="preserve"> and Part 141 certificate holders</w:t>
      </w:r>
      <w:r>
        <w:rPr>
          <w:iCs/>
        </w:rPr>
        <w:t xml:space="preserve"> </w:t>
      </w:r>
      <w:r w:rsidR="00210476">
        <w:rPr>
          <w:iCs/>
        </w:rPr>
        <w:t>either became subject to, or opted in</w:t>
      </w:r>
      <w:r w:rsidR="00721517">
        <w:rPr>
          <w:iCs/>
        </w:rPr>
        <w:t xml:space="preserve"> </w:t>
      </w:r>
      <w:r w:rsidR="00210476">
        <w:rPr>
          <w:iCs/>
        </w:rPr>
        <w:t>to coverage by, these earlier CAOs</w:t>
      </w:r>
      <w:r w:rsidR="00AA419E">
        <w:rPr>
          <w:iCs/>
        </w:rPr>
        <w:t>. T</w:t>
      </w:r>
      <w:r w:rsidR="00210476">
        <w:rPr>
          <w:iCs/>
        </w:rPr>
        <w:t xml:space="preserve">he 2019 CAO </w:t>
      </w:r>
      <w:r w:rsidR="002773EE" w:rsidRPr="002773EE">
        <w:rPr>
          <w:iCs/>
        </w:rPr>
        <w:t xml:space="preserve">uses </w:t>
      </w:r>
      <w:r w:rsidR="002773EE">
        <w:rPr>
          <w:iCs/>
        </w:rPr>
        <w:t xml:space="preserve">saving and transitional provisions to </w:t>
      </w:r>
      <w:r w:rsidR="00210476">
        <w:rPr>
          <w:iCs/>
        </w:rPr>
        <w:t>grandfather their positions until 1 July 2020</w:t>
      </w:r>
      <w:r w:rsidR="00AA419E">
        <w:rPr>
          <w:iCs/>
        </w:rPr>
        <w:t xml:space="preserve"> or 1 October 2020 as applicable for FRMS</w:t>
      </w:r>
      <w:r w:rsidR="00850D4D">
        <w:rPr>
          <w:iCs/>
        </w:rPr>
        <w:t xml:space="preserve"> (the </w:t>
      </w:r>
      <w:r w:rsidR="00850D4D" w:rsidRPr="00850D4D">
        <w:rPr>
          <w:b/>
          <w:bCs/>
          <w:i/>
        </w:rPr>
        <w:t>transition date</w:t>
      </w:r>
      <w:r w:rsidR="00850D4D">
        <w:rPr>
          <w:iCs/>
        </w:rPr>
        <w:t>)</w:t>
      </w:r>
      <w:r w:rsidR="00E447E4">
        <w:rPr>
          <w:iCs/>
        </w:rPr>
        <w:t>,</w:t>
      </w:r>
      <w:r w:rsidR="00AA419E">
        <w:rPr>
          <w:iCs/>
        </w:rPr>
        <w:t xml:space="preserve"> so that they may continue to be bound by, and comply with the earlier CAO that applies to them</w:t>
      </w:r>
      <w:r w:rsidR="00210476">
        <w:rPr>
          <w:iCs/>
        </w:rPr>
        <w:t>.</w:t>
      </w:r>
    </w:p>
    <w:p w14:paraId="092E6C32" w14:textId="54F97907" w:rsidR="00850D4D" w:rsidRDefault="00850D4D" w:rsidP="006B500A">
      <w:pPr>
        <w:tabs>
          <w:tab w:val="left" w:pos="567"/>
        </w:tabs>
        <w:overflowPunct w:val="0"/>
        <w:autoSpaceDE w:val="0"/>
        <w:autoSpaceDN w:val="0"/>
        <w:adjustRightInd w:val="0"/>
        <w:textAlignment w:val="baseline"/>
        <w:rPr>
          <w:iCs/>
        </w:rPr>
      </w:pPr>
    </w:p>
    <w:p w14:paraId="3A0C0993" w14:textId="08505828" w:rsidR="00850D4D" w:rsidRDefault="00850D4D" w:rsidP="00850D4D">
      <w:pPr>
        <w:tabs>
          <w:tab w:val="left" w:pos="567"/>
        </w:tabs>
        <w:overflowPunct w:val="0"/>
        <w:autoSpaceDE w:val="0"/>
        <w:autoSpaceDN w:val="0"/>
        <w:adjustRightInd w:val="0"/>
        <w:textAlignment w:val="baseline"/>
        <w:rPr>
          <w:color w:val="000000" w:themeColor="text1"/>
        </w:rPr>
      </w:pPr>
      <w:r>
        <w:rPr>
          <w:iCs/>
        </w:rPr>
        <w:t xml:space="preserve">Thus, under paragraph </w:t>
      </w:r>
      <w:r>
        <w:t xml:space="preserve">5.3 of the 2019 CAO, the CAO takes effect on the transition date for a person who </w:t>
      </w:r>
      <w:r w:rsidRPr="006C0C77">
        <w:rPr>
          <w:color w:val="000000" w:themeColor="text1"/>
        </w:rPr>
        <w:tab/>
        <w:t xml:space="preserve">before </w:t>
      </w:r>
      <w:r>
        <w:t>2 September 2019</w:t>
      </w:r>
      <w:r w:rsidRPr="006C0C77">
        <w:rPr>
          <w:color w:val="000000" w:themeColor="text1"/>
        </w:rPr>
        <w:t>, applied for an AOC or a Part 141 certificate</w:t>
      </w:r>
      <w:r>
        <w:rPr>
          <w:color w:val="000000" w:themeColor="text1"/>
        </w:rPr>
        <w:t xml:space="preserve">, was </w:t>
      </w:r>
      <w:r w:rsidRPr="006C0C77">
        <w:rPr>
          <w:color w:val="000000" w:themeColor="text1"/>
        </w:rPr>
        <w:t xml:space="preserve">granted </w:t>
      </w:r>
      <w:r>
        <w:rPr>
          <w:color w:val="000000" w:themeColor="text1"/>
        </w:rPr>
        <w:t>it</w:t>
      </w:r>
      <w:r w:rsidRPr="006C0C77">
        <w:rPr>
          <w:color w:val="000000" w:themeColor="text1"/>
        </w:rPr>
        <w:t xml:space="preserve"> after </w:t>
      </w:r>
      <w:r>
        <w:t xml:space="preserve">2 September 2019, </w:t>
      </w:r>
      <w:r w:rsidRPr="006C0C77">
        <w:rPr>
          <w:color w:val="000000" w:themeColor="text1"/>
        </w:rPr>
        <w:t>and</w:t>
      </w:r>
      <w:r>
        <w:rPr>
          <w:color w:val="000000" w:themeColor="text1"/>
        </w:rPr>
        <w:t xml:space="preserve"> </w:t>
      </w:r>
      <w:r w:rsidRPr="006C0C77">
        <w:rPr>
          <w:color w:val="000000" w:themeColor="text1"/>
        </w:rPr>
        <w:t xml:space="preserve">until </w:t>
      </w:r>
      <w:r>
        <w:rPr>
          <w:color w:val="000000" w:themeColor="text1"/>
        </w:rPr>
        <w:t xml:space="preserve">immediately before the transition date </w:t>
      </w:r>
      <w:r w:rsidRPr="00850D4D">
        <w:rPr>
          <w:i/>
          <w:iCs/>
          <w:color w:val="000000" w:themeColor="text1"/>
        </w:rPr>
        <w:t>complies with the requirements of the 2013/2016 CAO, as if that CAO had not been repealed</w:t>
      </w:r>
      <w:r w:rsidRPr="006C0C77">
        <w:rPr>
          <w:color w:val="000000" w:themeColor="text1"/>
        </w:rPr>
        <w:t>.</w:t>
      </w:r>
    </w:p>
    <w:p w14:paraId="0D52B074" w14:textId="38481547" w:rsidR="00850D4D" w:rsidRDefault="00850D4D" w:rsidP="00850D4D">
      <w:pPr>
        <w:tabs>
          <w:tab w:val="left" w:pos="567"/>
        </w:tabs>
        <w:overflowPunct w:val="0"/>
        <w:autoSpaceDE w:val="0"/>
        <w:autoSpaceDN w:val="0"/>
        <w:adjustRightInd w:val="0"/>
        <w:textAlignment w:val="baseline"/>
        <w:rPr>
          <w:color w:val="000000" w:themeColor="text1"/>
        </w:rPr>
      </w:pPr>
    </w:p>
    <w:p w14:paraId="78E6D0C0" w14:textId="77777777" w:rsidR="00850D4D" w:rsidRDefault="00850D4D" w:rsidP="00850D4D">
      <w:pPr>
        <w:tabs>
          <w:tab w:val="left" w:pos="567"/>
        </w:tabs>
        <w:overflowPunct w:val="0"/>
        <w:autoSpaceDE w:val="0"/>
        <w:autoSpaceDN w:val="0"/>
        <w:adjustRightInd w:val="0"/>
        <w:textAlignment w:val="baseline"/>
        <w:rPr>
          <w:color w:val="000000" w:themeColor="text1"/>
        </w:rPr>
      </w:pPr>
      <w:r>
        <w:rPr>
          <w:color w:val="000000" w:themeColor="text1"/>
        </w:rPr>
        <w:t xml:space="preserve">Under paragraph </w:t>
      </w:r>
      <w:r>
        <w:t xml:space="preserve">5.4, the 2019 CAO takes effect on the transition date for a person who </w:t>
      </w:r>
      <w:r w:rsidRPr="006C0C77">
        <w:rPr>
          <w:color w:val="000000" w:themeColor="text1"/>
        </w:rPr>
        <w:t>was granted a</w:t>
      </w:r>
      <w:r>
        <w:rPr>
          <w:color w:val="000000" w:themeColor="text1"/>
        </w:rPr>
        <w:t xml:space="preserve"> relevant</w:t>
      </w:r>
      <w:r w:rsidRPr="006C0C77">
        <w:rPr>
          <w:color w:val="000000" w:themeColor="text1"/>
        </w:rPr>
        <w:t xml:space="preserve"> AOC or a Part 141 certificate on or after 30 April 2013 but before </w:t>
      </w:r>
      <w:r>
        <w:t xml:space="preserve">2 September 2019, </w:t>
      </w:r>
      <w:r w:rsidRPr="006C0C77">
        <w:rPr>
          <w:color w:val="000000" w:themeColor="text1"/>
        </w:rPr>
        <w:t>and</w:t>
      </w:r>
      <w:r>
        <w:rPr>
          <w:color w:val="000000" w:themeColor="text1"/>
        </w:rPr>
        <w:t xml:space="preserve"> </w:t>
      </w:r>
      <w:r w:rsidRPr="006C0C77">
        <w:rPr>
          <w:color w:val="000000" w:themeColor="text1"/>
        </w:rPr>
        <w:t xml:space="preserve">until </w:t>
      </w:r>
      <w:r>
        <w:rPr>
          <w:color w:val="000000" w:themeColor="text1"/>
        </w:rPr>
        <w:t xml:space="preserve">immediately before the transition date </w:t>
      </w:r>
      <w:r w:rsidRPr="00850D4D">
        <w:rPr>
          <w:i/>
          <w:iCs/>
          <w:color w:val="000000" w:themeColor="text1"/>
        </w:rPr>
        <w:t>complies with the requirements of the 2013 CAO or (if the person had opted in) the 2013/2016 CAO, as if that CAO had not been repealed</w:t>
      </w:r>
      <w:r w:rsidRPr="006C0C77">
        <w:rPr>
          <w:color w:val="000000" w:themeColor="text1"/>
        </w:rPr>
        <w:t>.</w:t>
      </w:r>
    </w:p>
    <w:p w14:paraId="2E9C6376" w14:textId="77777777" w:rsidR="00850D4D" w:rsidRDefault="00850D4D" w:rsidP="00850D4D">
      <w:pPr>
        <w:tabs>
          <w:tab w:val="left" w:pos="567"/>
        </w:tabs>
        <w:overflowPunct w:val="0"/>
        <w:autoSpaceDE w:val="0"/>
        <w:autoSpaceDN w:val="0"/>
        <w:adjustRightInd w:val="0"/>
        <w:textAlignment w:val="baseline"/>
        <w:rPr>
          <w:color w:val="000000" w:themeColor="text1"/>
        </w:rPr>
      </w:pPr>
    </w:p>
    <w:p w14:paraId="0D493445" w14:textId="5F0D6D3C" w:rsidR="00961219" w:rsidRDefault="00850D4D" w:rsidP="00961219">
      <w:pPr>
        <w:tabs>
          <w:tab w:val="left" w:pos="567"/>
        </w:tabs>
        <w:overflowPunct w:val="0"/>
        <w:autoSpaceDE w:val="0"/>
        <w:autoSpaceDN w:val="0"/>
        <w:adjustRightInd w:val="0"/>
        <w:textAlignment w:val="baseline"/>
        <w:rPr>
          <w:color w:val="000000" w:themeColor="text1"/>
        </w:rPr>
      </w:pPr>
      <w:r>
        <w:rPr>
          <w:color w:val="000000" w:themeColor="text1"/>
        </w:rPr>
        <w:t xml:space="preserve">Under paragraph </w:t>
      </w:r>
      <w:r>
        <w:t>5.5</w:t>
      </w:r>
      <w:r w:rsidR="00961219">
        <w:t xml:space="preserve">, the 2019 CAO </w:t>
      </w:r>
      <w:r>
        <w:t xml:space="preserve">takes effect on the transition date for a </w:t>
      </w:r>
      <w:r w:rsidR="00961219">
        <w:t>person</w:t>
      </w:r>
      <w:r>
        <w:t xml:space="preserve"> who</w:t>
      </w:r>
      <w:r w:rsidR="00961219">
        <w:t xml:space="preserve"> </w:t>
      </w:r>
      <w:r w:rsidRPr="006C0C77">
        <w:rPr>
          <w:color w:val="000000" w:themeColor="text1"/>
        </w:rPr>
        <w:t>was an AOC holder immediately before 30 April 2013, or a Part 141 operator</w:t>
      </w:r>
      <w:r w:rsidR="003D50BB">
        <w:rPr>
          <w:color w:val="000000" w:themeColor="text1"/>
        </w:rPr>
        <w:t>,</w:t>
      </w:r>
      <w:r w:rsidRPr="006C0C77">
        <w:rPr>
          <w:color w:val="000000" w:themeColor="text1"/>
        </w:rPr>
        <w:t xml:space="preserve"> and</w:t>
      </w:r>
      <w:r w:rsidR="00961219">
        <w:rPr>
          <w:color w:val="000000" w:themeColor="text1"/>
        </w:rPr>
        <w:t xml:space="preserve"> </w:t>
      </w:r>
      <w:r w:rsidRPr="006C0C77">
        <w:rPr>
          <w:color w:val="000000" w:themeColor="text1"/>
        </w:rPr>
        <w:t>had not opted in to the 2013 CAO or the 2013/2016 CAO</w:t>
      </w:r>
      <w:r w:rsidR="00961219">
        <w:rPr>
          <w:color w:val="000000" w:themeColor="text1"/>
        </w:rPr>
        <w:t>,</w:t>
      </w:r>
      <w:r w:rsidRPr="006C0C77">
        <w:rPr>
          <w:color w:val="000000" w:themeColor="text1"/>
        </w:rPr>
        <w:t xml:space="preserve"> and</w:t>
      </w:r>
      <w:r w:rsidR="00961219">
        <w:rPr>
          <w:color w:val="000000" w:themeColor="text1"/>
        </w:rPr>
        <w:t xml:space="preserve"> </w:t>
      </w:r>
      <w:r w:rsidRPr="006C0C77">
        <w:rPr>
          <w:color w:val="000000" w:themeColor="text1"/>
        </w:rPr>
        <w:tab/>
        <w:t xml:space="preserve">until immediately before </w:t>
      </w:r>
      <w:r>
        <w:t>the transition date</w:t>
      </w:r>
      <w:r w:rsidR="00961219">
        <w:t xml:space="preserve"> </w:t>
      </w:r>
      <w:r w:rsidRPr="00961219">
        <w:rPr>
          <w:i/>
          <w:iCs/>
          <w:color w:val="000000" w:themeColor="text1"/>
        </w:rPr>
        <w:t>complies with the requirements of an applicable CAO</w:t>
      </w:r>
      <w:r w:rsidR="00961219">
        <w:rPr>
          <w:i/>
          <w:iCs/>
          <w:color w:val="000000" w:themeColor="text1"/>
        </w:rPr>
        <w:t>,</w:t>
      </w:r>
      <w:r w:rsidR="00961219" w:rsidRPr="00961219">
        <w:rPr>
          <w:i/>
          <w:iCs/>
          <w:color w:val="000000" w:themeColor="text1"/>
        </w:rPr>
        <w:t xml:space="preserve"> that is </w:t>
      </w:r>
      <w:r w:rsidR="00961219">
        <w:rPr>
          <w:i/>
          <w:iCs/>
          <w:color w:val="000000" w:themeColor="text1"/>
        </w:rPr>
        <w:t xml:space="preserve">a </w:t>
      </w:r>
      <w:r w:rsidR="00961219" w:rsidRPr="00961219">
        <w:rPr>
          <w:i/>
          <w:iCs/>
          <w:color w:val="000000" w:themeColor="text1"/>
        </w:rPr>
        <w:t xml:space="preserve">relevant CAO that preceded </w:t>
      </w:r>
      <w:r w:rsidR="00961219">
        <w:rPr>
          <w:i/>
          <w:iCs/>
          <w:color w:val="000000" w:themeColor="text1"/>
        </w:rPr>
        <w:t>the</w:t>
      </w:r>
      <w:r w:rsidR="00961219" w:rsidRPr="00961219">
        <w:rPr>
          <w:i/>
          <w:iCs/>
          <w:color w:val="000000" w:themeColor="text1"/>
        </w:rPr>
        <w:t xml:space="preserve"> 2013 CAO</w:t>
      </w:r>
      <w:r w:rsidR="00961219">
        <w:rPr>
          <w:color w:val="000000" w:themeColor="text1"/>
        </w:rPr>
        <w:t>.</w:t>
      </w:r>
    </w:p>
    <w:p w14:paraId="2760B390" w14:textId="4AFB75B5" w:rsidR="00961219" w:rsidRDefault="00961219" w:rsidP="00961219">
      <w:pPr>
        <w:tabs>
          <w:tab w:val="left" w:pos="567"/>
        </w:tabs>
        <w:overflowPunct w:val="0"/>
        <w:autoSpaceDE w:val="0"/>
        <w:autoSpaceDN w:val="0"/>
        <w:adjustRightInd w:val="0"/>
        <w:textAlignment w:val="baseline"/>
        <w:rPr>
          <w:color w:val="000000" w:themeColor="text1"/>
        </w:rPr>
      </w:pPr>
    </w:p>
    <w:p w14:paraId="42F5AFC5" w14:textId="006DEDFD" w:rsidR="00850D4D" w:rsidRPr="006C0C77" w:rsidRDefault="00961219" w:rsidP="00961219">
      <w:pPr>
        <w:tabs>
          <w:tab w:val="left" w:pos="567"/>
        </w:tabs>
        <w:overflowPunct w:val="0"/>
        <w:autoSpaceDE w:val="0"/>
        <w:autoSpaceDN w:val="0"/>
        <w:adjustRightInd w:val="0"/>
        <w:textAlignment w:val="baseline"/>
        <w:rPr>
          <w:color w:val="000000" w:themeColor="text1"/>
        </w:rPr>
      </w:pPr>
      <w:r>
        <w:rPr>
          <w:color w:val="000000" w:themeColor="text1"/>
        </w:rPr>
        <w:t xml:space="preserve">Finally, under paragraph </w:t>
      </w:r>
      <w:r w:rsidR="00850D4D">
        <w:t>5.6</w:t>
      </w:r>
      <w:r>
        <w:t>, the 2019 CAO</w:t>
      </w:r>
      <w:r w:rsidR="00850D4D">
        <w:t xml:space="preserve"> takes effect on the transition date for a person who</w:t>
      </w:r>
      <w:r>
        <w:t xml:space="preserve"> </w:t>
      </w:r>
      <w:r w:rsidR="00850D4D" w:rsidRPr="006C0C77">
        <w:rPr>
          <w:color w:val="000000" w:themeColor="text1"/>
        </w:rPr>
        <w:t>is an AOC holder or a Part 141 operator</w:t>
      </w:r>
      <w:r>
        <w:rPr>
          <w:color w:val="000000" w:themeColor="text1"/>
        </w:rPr>
        <w:t xml:space="preserve">, </w:t>
      </w:r>
      <w:r w:rsidR="00850D4D" w:rsidRPr="006C0C77">
        <w:rPr>
          <w:color w:val="000000" w:themeColor="text1"/>
        </w:rPr>
        <w:t>and</w:t>
      </w:r>
      <w:r>
        <w:rPr>
          <w:color w:val="000000" w:themeColor="text1"/>
        </w:rPr>
        <w:t xml:space="preserve"> </w:t>
      </w:r>
      <w:r w:rsidR="00850D4D" w:rsidRPr="006C0C77">
        <w:rPr>
          <w:color w:val="000000" w:themeColor="text1"/>
        </w:rPr>
        <w:t>had opted in to the 2013 CAO or the 2013/2016 CAO</w:t>
      </w:r>
      <w:r>
        <w:rPr>
          <w:color w:val="000000" w:themeColor="text1"/>
        </w:rPr>
        <w:t>,</w:t>
      </w:r>
      <w:r w:rsidR="00850D4D" w:rsidRPr="006C0C77">
        <w:rPr>
          <w:color w:val="000000" w:themeColor="text1"/>
        </w:rPr>
        <w:t xml:space="preserve"> and</w:t>
      </w:r>
      <w:r>
        <w:rPr>
          <w:color w:val="000000" w:themeColor="text1"/>
        </w:rPr>
        <w:t xml:space="preserve"> </w:t>
      </w:r>
      <w:r w:rsidR="00850D4D" w:rsidRPr="006C0C77">
        <w:rPr>
          <w:color w:val="000000" w:themeColor="text1"/>
        </w:rPr>
        <w:t xml:space="preserve">until </w:t>
      </w:r>
      <w:r w:rsidR="00850D4D">
        <w:rPr>
          <w:color w:val="000000" w:themeColor="text1"/>
        </w:rPr>
        <w:t>immediately before the transition date</w:t>
      </w:r>
      <w:r w:rsidR="00850D4D" w:rsidRPr="006C0C77">
        <w:rPr>
          <w:color w:val="000000" w:themeColor="text1"/>
        </w:rPr>
        <w:t xml:space="preserve"> </w:t>
      </w:r>
      <w:r w:rsidR="00850D4D" w:rsidRPr="00961219">
        <w:rPr>
          <w:i/>
          <w:iCs/>
          <w:color w:val="000000" w:themeColor="text1"/>
        </w:rPr>
        <w:t>complies with the requirements of the 2013 CAO or (if the person had opted in) the 2013/2016 CAO, as if that CAO had not been repealed</w:t>
      </w:r>
      <w:r w:rsidR="00850D4D" w:rsidRPr="006C0C77">
        <w:rPr>
          <w:color w:val="000000" w:themeColor="text1"/>
        </w:rPr>
        <w:t>.</w:t>
      </w:r>
    </w:p>
    <w:p w14:paraId="672744F7" w14:textId="77777777" w:rsidR="00850D4D" w:rsidRDefault="00850D4D" w:rsidP="006B500A">
      <w:pPr>
        <w:tabs>
          <w:tab w:val="left" w:pos="567"/>
        </w:tabs>
        <w:overflowPunct w:val="0"/>
        <w:autoSpaceDE w:val="0"/>
        <w:autoSpaceDN w:val="0"/>
        <w:adjustRightInd w:val="0"/>
        <w:textAlignment w:val="baseline"/>
        <w:rPr>
          <w:iCs/>
        </w:rPr>
      </w:pPr>
    </w:p>
    <w:p w14:paraId="3A2422AB" w14:textId="4C94853C" w:rsidR="00F61877" w:rsidRDefault="00961219" w:rsidP="006B500A">
      <w:pPr>
        <w:tabs>
          <w:tab w:val="left" w:pos="567"/>
        </w:tabs>
        <w:overflowPunct w:val="0"/>
        <w:autoSpaceDE w:val="0"/>
        <w:autoSpaceDN w:val="0"/>
        <w:adjustRightInd w:val="0"/>
        <w:textAlignment w:val="baseline"/>
        <w:rPr>
          <w:iCs/>
        </w:rPr>
      </w:pPr>
      <w:r>
        <w:rPr>
          <w:iCs/>
        </w:rPr>
        <w:lastRenderedPageBreak/>
        <w:t xml:space="preserve">The </w:t>
      </w:r>
      <w:r w:rsidR="004308A6">
        <w:rPr>
          <w:iCs/>
        </w:rPr>
        <w:t>effect</w:t>
      </w:r>
      <w:r>
        <w:rPr>
          <w:iCs/>
        </w:rPr>
        <w:t xml:space="preserve"> of these </w:t>
      </w:r>
      <w:r w:rsidR="004308A6">
        <w:rPr>
          <w:iCs/>
        </w:rPr>
        <w:t>provisions</w:t>
      </w:r>
      <w:r>
        <w:rPr>
          <w:iCs/>
        </w:rPr>
        <w:t xml:space="preserve"> was</w:t>
      </w:r>
      <w:r w:rsidR="004308A6">
        <w:rPr>
          <w:iCs/>
        </w:rPr>
        <w:t xml:space="preserve"> to allow AOC holders and Part 141 certificate holders to continue to comply with the relevant predecessor CAO to the 2019 CAO.</w:t>
      </w:r>
    </w:p>
    <w:p w14:paraId="6C042F78" w14:textId="77777777" w:rsidR="004308A6" w:rsidRDefault="004308A6" w:rsidP="006B500A">
      <w:pPr>
        <w:tabs>
          <w:tab w:val="left" w:pos="567"/>
        </w:tabs>
        <w:overflowPunct w:val="0"/>
        <w:autoSpaceDE w:val="0"/>
        <w:autoSpaceDN w:val="0"/>
        <w:adjustRightInd w:val="0"/>
        <w:textAlignment w:val="baseline"/>
        <w:rPr>
          <w:iCs/>
        </w:rPr>
      </w:pPr>
    </w:p>
    <w:p w14:paraId="2EC5CAA4" w14:textId="408CE3BF" w:rsidR="00DE58CC" w:rsidRDefault="00F61877" w:rsidP="004308A6">
      <w:pPr>
        <w:tabs>
          <w:tab w:val="left" w:pos="567"/>
        </w:tabs>
        <w:overflowPunct w:val="0"/>
        <w:autoSpaceDE w:val="0"/>
        <w:autoSpaceDN w:val="0"/>
        <w:adjustRightInd w:val="0"/>
        <w:textAlignment w:val="baseline"/>
      </w:pPr>
      <w:r>
        <w:rPr>
          <w:iCs/>
        </w:rPr>
        <w:t>To allow for conditional non-compliance</w:t>
      </w:r>
      <w:r w:rsidR="0001739B">
        <w:rPr>
          <w:iCs/>
        </w:rPr>
        <w:t xml:space="preserve"> with the relevant CAO</w:t>
      </w:r>
      <w:r>
        <w:rPr>
          <w:iCs/>
        </w:rPr>
        <w:t xml:space="preserve"> in the face of unforeseen contingencies arising for emergency service operations</w:t>
      </w:r>
      <w:r w:rsidR="0001739B">
        <w:rPr>
          <w:iCs/>
        </w:rPr>
        <w:t>,</w:t>
      </w:r>
      <w:r>
        <w:rPr>
          <w:iCs/>
        </w:rPr>
        <w:t xml:space="preserve"> paragraph 5.10</w:t>
      </w:r>
      <w:r w:rsidR="0001739B">
        <w:rPr>
          <w:iCs/>
        </w:rPr>
        <w:t xml:space="preserve"> </w:t>
      </w:r>
      <w:r w:rsidR="00DE58CC">
        <w:rPr>
          <w:iCs/>
        </w:rPr>
        <w:t>in Schedule 1 of the CAO amendment provides that</w:t>
      </w:r>
      <w:r>
        <w:rPr>
          <w:iCs/>
        </w:rPr>
        <w:t xml:space="preserve"> </w:t>
      </w:r>
      <w:r w:rsidR="004308A6">
        <w:rPr>
          <w:iCs/>
        </w:rPr>
        <w:t xml:space="preserve">a </w:t>
      </w:r>
      <w:r w:rsidR="00DE58CC">
        <w:t>reference in subparagraph 5.3</w:t>
      </w:r>
      <w:r w:rsidR="000111B4">
        <w:t> </w:t>
      </w:r>
      <w:r w:rsidR="00DE58CC">
        <w:t>(c), 5.4</w:t>
      </w:r>
      <w:r w:rsidR="000111B4">
        <w:t> </w:t>
      </w:r>
      <w:r w:rsidR="00DE58CC">
        <w:t>(b), 5.5</w:t>
      </w:r>
      <w:r w:rsidR="000111B4">
        <w:t> </w:t>
      </w:r>
      <w:r w:rsidR="00DE58CC">
        <w:t>(c) or 5.6</w:t>
      </w:r>
      <w:r w:rsidR="000111B4">
        <w:t> </w:t>
      </w:r>
      <w:r w:rsidR="00DE58CC">
        <w:t xml:space="preserve">(c) to a person complying with the requirements of an applicable CAO, the 2013 CAO or the 2013/2016 CAO (as the case requires) (the </w:t>
      </w:r>
      <w:r w:rsidR="00DE58CC" w:rsidRPr="00AE0041">
        <w:rPr>
          <w:b/>
          <w:bCs/>
          <w:i/>
          <w:iCs/>
        </w:rPr>
        <w:t>relevant CAO</w:t>
      </w:r>
      <w:r w:rsidR="00DE58CC">
        <w:t xml:space="preserve">), means the person must comply with the relevant CAO unless CASA, in writing, approves </w:t>
      </w:r>
      <w:r w:rsidR="006A0352">
        <w:t xml:space="preserve">limited or minor </w:t>
      </w:r>
      <w:r w:rsidR="00DE58CC">
        <w:t>non-compliance by the person with the requirements of a specified provision of the relevant CAO:</w:t>
      </w:r>
    </w:p>
    <w:p w14:paraId="74FBCE11" w14:textId="2124876B" w:rsidR="00DE58CC" w:rsidRDefault="00744BDD" w:rsidP="00744BDD">
      <w:pPr>
        <w:pStyle w:val="P1"/>
        <w:tabs>
          <w:tab w:val="left" w:pos="426"/>
          <w:tab w:val="left" w:pos="851"/>
        </w:tabs>
      </w:pPr>
      <w:r>
        <w:tab/>
      </w:r>
      <w:r w:rsidR="00DE58CC">
        <w:t>(a)</w:t>
      </w:r>
      <w:r w:rsidR="00DE58CC">
        <w:tab/>
        <w:t>for the purposes of an emergency service operation; and</w:t>
      </w:r>
    </w:p>
    <w:p w14:paraId="7B1D4FDE" w14:textId="1C4E2C27" w:rsidR="00DE58CC" w:rsidRDefault="00744BDD" w:rsidP="00744BDD">
      <w:pPr>
        <w:pStyle w:val="P1"/>
        <w:tabs>
          <w:tab w:val="left" w:pos="426"/>
          <w:tab w:val="left" w:pos="851"/>
        </w:tabs>
        <w:rPr>
          <w:iCs/>
        </w:rPr>
      </w:pPr>
      <w:r>
        <w:rPr>
          <w:iCs/>
        </w:rPr>
        <w:tab/>
      </w:r>
      <w:r w:rsidR="00DE58CC">
        <w:rPr>
          <w:iCs/>
        </w:rPr>
        <w:t>(b)</w:t>
      </w:r>
      <w:r w:rsidR="00DE58CC">
        <w:rPr>
          <w:iCs/>
        </w:rPr>
        <w:tab/>
      </w:r>
      <w:r w:rsidR="00DE58CC" w:rsidRPr="00575AEC">
        <w:rPr>
          <w:iCs/>
        </w:rPr>
        <w:t xml:space="preserve">subject to </w:t>
      </w:r>
      <w:r w:rsidR="00DE58CC">
        <w:rPr>
          <w:iCs/>
        </w:rPr>
        <w:t xml:space="preserve">compliance with </w:t>
      </w:r>
      <w:r w:rsidR="00DE58CC" w:rsidRPr="00575AEC">
        <w:rPr>
          <w:iCs/>
        </w:rPr>
        <w:t>safety conditions</w:t>
      </w:r>
      <w:r w:rsidR="00DE58CC">
        <w:rPr>
          <w:iCs/>
        </w:rPr>
        <w:t xml:space="preserve"> expressed in the approval.</w:t>
      </w:r>
    </w:p>
    <w:p w14:paraId="22F51225" w14:textId="77777777" w:rsidR="00DE58CC" w:rsidRDefault="00DE58CC" w:rsidP="006B500A">
      <w:pPr>
        <w:tabs>
          <w:tab w:val="left" w:pos="567"/>
        </w:tabs>
        <w:overflowPunct w:val="0"/>
        <w:autoSpaceDE w:val="0"/>
        <w:autoSpaceDN w:val="0"/>
        <w:adjustRightInd w:val="0"/>
        <w:textAlignment w:val="baseline"/>
        <w:rPr>
          <w:iCs/>
        </w:rPr>
      </w:pPr>
    </w:p>
    <w:p w14:paraId="68E1F74A" w14:textId="31B28378" w:rsidR="00AA419E" w:rsidRDefault="00452D7F" w:rsidP="006B500A">
      <w:pPr>
        <w:tabs>
          <w:tab w:val="left" w:pos="567"/>
        </w:tabs>
        <w:overflowPunct w:val="0"/>
        <w:autoSpaceDE w:val="0"/>
        <w:autoSpaceDN w:val="0"/>
        <w:adjustRightInd w:val="0"/>
        <w:textAlignment w:val="baseline"/>
        <w:rPr>
          <w:iCs/>
        </w:rPr>
      </w:pPr>
      <w:r>
        <w:rPr>
          <w:iCs/>
        </w:rPr>
        <w:t>A</w:t>
      </w:r>
      <w:r w:rsidRPr="00D20509">
        <w:rPr>
          <w:iCs/>
          <w:sz w:val="28"/>
          <w:szCs w:val="28"/>
        </w:rPr>
        <w:t xml:space="preserve"> </w:t>
      </w:r>
      <w:r>
        <w:rPr>
          <w:iCs/>
        </w:rPr>
        <w:t>reference</w:t>
      </w:r>
      <w:r w:rsidRPr="00D20509">
        <w:rPr>
          <w:iCs/>
          <w:sz w:val="28"/>
          <w:szCs w:val="28"/>
        </w:rPr>
        <w:t xml:space="preserve"> </w:t>
      </w:r>
      <w:r>
        <w:rPr>
          <w:iCs/>
        </w:rPr>
        <w:t>to</w:t>
      </w:r>
      <w:r w:rsidRPr="00D20509">
        <w:rPr>
          <w:iCs/>
          <w:sz w:val="28"/>
          <w:szCs w:val="28"/>
        </w:rPr>
        <w:t xml:space="preserve"> </w:t>
      </w:r>
      <w:r>
        <w:rPr>
          <w:iCs/>
        </w:rPr>
        <w:t>a</w:t>
      </w:r>
      <w:r w:rsidRPr="00D20509">
        <w:rPr>
          <w:iCs/>
          <w:sz w:val="28"/>
          <w:szCs w:val="28"/>
        </w:rPr>
        <w:t xml:space="preserve"> </w:t>
      </w:r>
      <w:r>
        <w:rPr>
          <w:iCs/>
        </w:rPr>
        <w:t>specified</w:t>
      </w:r>
      <w:r w:rsidRPr="00D20509">
        <w:rPr>
          <w:iCs/>
          <w:sz w:val="28"/>
          <w:szCs w:val="28"/>
        </w:rPr>
        <w:t xml:space="preserve"> </w:t>
      </w:r>
      <w:r>
        <w:rPr>
          <w:iCs/>
        </w:rPr>
        <w:t>provision</w:t>
      </w:r>
      <w:r w:rsidRPr="00D20509">
        <w:rPr>
          <w:iCs/>
          <w:sz w:val="28"/>
          <w:szCs w:val="28"/>
        </w:rPr>
        <w:t xml:space="preserve"> </w:t>
      </w:r>
      <w:r>
        <w:rPr>
          <w:iCs/>
        </w:rPr>
        <w:t>includes</w:t>
      </w:r>
      <w:r w:rsidRPr="00D20509">
        <w:rPr>
          <w:iCs/>
          <w:sz w:val="28"/>
          <w:szCs w:val="28"/>
        </w:rPr>
        <w:t xml:space="preserve"> </w:t>
      </w:r>
      <w:r>
        <w:rPr>
          <w:iCs/>
        </w:rPr>
        <w:t>specified</w:t>
      </w:r>
      <w:r w:rsidRPr="00D20509">
        <w:rPr>
          <w:iCs/>
          <w:sz w:val="28"/>
          <w:szCs w:val="28"/>
        </w:rPr>
        <w:t xml:space="preserve"> </w:t>
      </w:r>
      <w:r>
        <w:rPr>
          <w:iCs/>
        </w:rPr>
        <w:t>provisions</w:t>
      </w:r>
      <w:r w:rsidRPr="00D20509">
        <w:rPr>
          <w:iCs/>
          <w:sz w:val="28"/>
          <w:szCs w:val="28"/>
        </w:rPr>
        <w:t xml:space="preserve"> </w:t>
      </w:r>
      <w:r>
        <w:rPr>
          <w:iCs/>
        </w:rPr>
        <w:t>(</w:t>
      </w:r>
      <w:r w:rsidR="003479DF">
        <w:rPr>
          <w:iCs/>
        </w:rPr>
        <w:t>under</w:t>
      </w:r>
      <w:r w:rsidR="003479DF" w:rsidRPr="00D20509">
        <w:rPr>
          <w:iCs/>
          <w:sz w:val="28"/>
          <w:szCs w:val="28"/>
        </w:rPr>
        <w:t xml:space="preserve"> </w:t>
      </w:r>
      <w:r w:rsidR="003479DF">
        <w:rPr>
          <w:iCs/>
        </w:rPr>
        <w:t>paragraph</w:t>
      </w:r>
      <w:r w:rsidR="00D20509">
        <w:rPr>
          <w:iCs/>
        </w:rPr>
        <w:t> </w:t>
      </w:r>
      <w:r w:rsidR="003479DF">
        <w:rPr>
          <w:iCs/>
        </w:rPr>
        <w:t>23</w:t>
      </w:r>
      <w:r w:rsidR="00D20509">
        <w:rPr>
          <w:iCs/>
        </w:rPr>
        <w:t> </w:t>
      </w:r>
      <w:r w:rsidR="003479DF">
        <w:rPr>
          <w:iCs/>
        </w:rPr>
        <w:t xml:space="preserve">(b) of the </w:t>
      </w:r>
      <w:r w:rsidR="003479DF" w:rsidRPr="003479DF">
        <w:rPr>
          <w:i/>
        </w:rPr>
        <w:t xml:space="preserve">Acts </w:t>
      </w:r>
      <w:r w:rsidR="009E04F3" w:rsidRPr="003479DF">
        <w:rPr>
          <w:i/>
        </w:rPr>
        <w:t>Interpretation</w:t>
      </w:r>
      <w:r w:rsidR="003479DF" w:rsidRPr="003479DF">
        <w:rPr>
          <w:i/>
        </w:rPr>
        <w:t xml:space="preserve"> Act 1901</w:t>
      </w:r>
      <w:r w:rsidR="003479DF">
        <w:rPr>
          <w:iCs/>
        </w:rPr>
        <w:t>, the singular includes the plural, absent a contrary intention).</w:t>
      </w:r>
      <w:r w:rsidR="006A0352">
        <w:rPr>
          <w:iCs/>
        </w:rPr>
        <w:t xml:space="preserve"> </w:t>
      </w:r>
      <w:r w:rsidR="006A0352">
        <w:t xml:space="preserve">The words “limited or minor” will attract their natural, ordinary and literal meaning. Over time, based on practice, CASA will be in a position to publish guidelines on </w:t>
      </w:r>
      <w:r w:rsidR="00B73F0E">
        <w:t xml:space="preserve">the </w:t>
      </w:r>
      <w:r w:rsidR="006A0352">
        <w:t>scope of the non-compliance approval process.</w:t>
      </w:r>
    </w:p>
    <w:p w14:paraId="2AC1705A" w14:textId="5A000196" w:rsidR="00FE6BB9" w:rsidRDefault="00FE6BB9" w:rsidP="006B500A">
      <w:pPr>
        <w:tabs>
          <w:tab w:val="left" w:pos="567"/>
        </w:tabs>
        <w:overflowPunct w:val="0"/>
        <w:autoSpaceDE w:val="0"/>
        <w:autoSpaceDN w:val="0"/>
        <w:adjustRightInd w:val="0"/>
        <w:textAlignment w:val="baseline"/>
        <w:rPr>
          <w:iCs/>
        </w:rPr>
      </w:pPr>
    </w:p>
    <w:p w14:paraId="03300E20" w14:textId="40159DA0" w:rsidR="00F853AB" w:rsidRDefault="00FE6BB9" w:rsidP="006B500A">
      <w:pPr>
        <w:tabs>
          <w:tab w:val="left" w:pos="567"/>
        </w:tabs>
        <w:overflowPunct w:val="0"/>
        <w:autoSpaceDE w:val="0"/>
        <w:autoSpaceDN w:val="0"/>
        <w:adjustRightInd w:val="0"/>
        <w:textAlignment w:val="baseline"/>
        <w:rPr>
          <w:iCs/>
        </w:rPr>
      </w:pPr>
      <w:r>
        <w:rPr>
          <w:iCs/>
        </w:rPr>
        <w:t xml:space="preserve">While this provision allows approved non-compliance with a predecessor CAO that still applies on a transitional basis, it does not allow approved non-compliance from the 2019 CAO itself. Such a facility is equally important to confer </w:t>
      </w:r>
      <w:r w:rsidR="004A03DD">
        <w:rPr>
          <w:iCs/>
        </w:rPr>
        <w:t xml:space="preserve">some limited </w:t>
      </w:r>
      <w:r>
        <w:rPr>
          <w:iCs/>
        </w:rPr>
        <w:t>flexibility to deal with unforeseen contingencies</w:t>
      </w:r>
      <w:r w:rsidR="00F853AB">
        <w:rPr>
          <w:iCs/>
        </w:rPr>
        <w:t xml:space="preserve"> </w:t>
      </w:r>
      <w:r w:rsidR="00A63CC9">
        <w:rPr>
          <w:iCs/>
        </w:rPr>
        <w:t>in the context of</w:t>
      </w:r>
      <w:r w:rsidR="00F853AB">
        <w:rPr>
          <w:iCs/>
        </w:rPr>
        <w:t xml:space="preserve"> </w:t>
      </w:r>
      <w:r w:rsidR="00A63CC9">
        <w:rPr>
          <w:iCs/>
        </w:rPr>
        <w:t xml:space="preserve">both </w:t>
      </w:r>
      <w:r w:rsidR="00F853AB">
        <w:rPr>
          <w:iCs/>
        </w:rPr>
        <w:t>emergency service operations and other operations</w:t>
      </w:r>
      <w:r w:rsidR="00A63CC9">
        <w:rPr>
          <w:iCs/>
        </w:rPr>
        <w:t>,</w:t>
      </w:r>
      <w:r w:rsidR="00F853AB">
        <w:rPr>
          <w:iCs/>
        </w:rPr>
        <w:t xml:space="preserve"> when necessity require</w:t>
      </w:r>
      <w:r w:rsidR="00A63CC9">
        <w:rPr>
          <w:iCs/>
        </w:rPr>
        <w:t>s</w:t>
      </w:r>
      <w:r w:rsidR="00F853AB">
        <w:rPr>
          <w:iCs/>
        </w:rPr>
        <w:t xml:space="preserve"> some conditional relaxation or variation in the application of </w:t>
      </w:r>
      <w:r w:rsidR="00A63CC9">
        <w:rPr>
          <w:iCs/>
        </w:rPr>
        <w:t xml:space="preserve">relevant </w:t>
      </w:r>
      <w:r w:rsidR="00F853AB">
        <w:rPr>
          <w:iCs/>
        </w:rPr>
        <w:t>provisions.</w:t>
      </w:r>
    </w:p>
    <w:p w14:paraId="7628DA30" w14:textId="77777777" w:rsidR="00F853AB" w:rsidRDefault="00F853AB" w:rsidP="006B500A">
      <w:pPr>
        <w:tabs>
          <w:tab w:val="left" w:pos="567"/>
        </w:tabs>
        <w:overflowPunct w:val="0"/>
        <w:autoSpaceDE w:val="0"/>
        <w:autoSpaceDN w:val="0"/>
        <w:adjustRightInd w:val="0"/>
        <w:textAlignment w:val="baseline"/>
        <w:rPr>
          <w:iCs/>
        </w:rPr>
      </w:pPr>
    </w:p>
    <w:p w14:paraId="3542B1E0" w14:textId="43F73016" w:rsidR="00F853AB" w:rsidRDefault="00F853AB" w:rsidP="00F853AB">
      <w:pPr>
        <w:tabs>
          <w:tab w:val="left" w:pos="567"/>
        </w:tabs>
        <w:overflowPunct w:val="0"/>
        <w:autoSpaceDE w:val="0"/>
        <w:autoSpaceDN w:val="0"/>
        <w:adjustRightInd w:val="0"/>
        <w:textAlignment w:val="baseline"/>
      </w:pPr>
      <w:r>
        <w:rPr>
          <w:iCs/>
        </w:rPr>
        <w:t xml:space="preserve">New subsection 5A therefore addresses such a requirement. Under paragraph </w:t>
      </w:r>
      <w:r w:rsidRPr="00D83715">
        <w:t>5A.1</w:t>
      </w:r>
      <w:r>
        <w:t xml:space="preserve">, CASA may, on application or on its own initiative, by instrument in writing, approve </w:t>
      </w:r>
      <w:r w:rsidR="00AA487F">
        <w:t xml:space="preserve">limited or minor </w:t>
      </w:r>
      <w:r>
        <w:t>non-compliance with the requirements of a specified provision of the 2019 CAO.</w:t>
      </w:r>
    </w:p>
    <w:p w14:paraId="7B56CDBA" w14:textId="77777777" w:rsidR="00F853AB" w:rsidRDefault="00F853AB" w:rsidP="00F853AB">
      <w:pPr>
        <w:tabs>
          <w:tab w:val="left" w:pos="567"/>
        </w:tabs>
        <w:overflowPunct w:val="0"/>
        <w:autoSpaceDE w:val="0"/>
        <w:autoSpaceDN w:val="0"/>
        <w:adjustRightInd w:val="0"/>
        <w:textAlignment w:val="baseline"/>
      </w:pPr>
    </w:p>
    <w:p w14:paraId="07F50A01" w14:textId="160020B4" w:rsidR="00F853AB" w:rsidRDefault="00F853AB" w:rsidP="00F853AB">
      <w:pPr>
        <w:tabs>
          <w:tab w:val="left" w:pos="567"/>
        </w:tabs>
        <w:overflowPunct w:val="0"/>
        <w:autoSpaceDE w:val="0"/>
        <w:autoSpaceDN w:val="0"/>
        <w:adjustRightInd w:val="0"/>
        <w:textAlignment w:val="baseline"/>
      </w:pPr>
      <w:r>
        <w:t xml:space="preserve">Under paragraph 5A.2, an approval has the effect that the specified provision of the 2019 CAO does not apply to the AOC holder to whom the approval applies, provided that any conditions expressed in the approval are complied with. A Note explains that the expression </w:t>
      </w:r>
      <w:r w:rsidR="00C16E2F">
        <w:t>“</w:t>
      </w:r>
      <w:r>
        <w:t>AOC holder</w:t>
      </w:r>
      <w:r w:rsidR="00C16E2F">
        <w:t>”</w:t>
      </w:r>
      <w:r>
        <w:t xml:space="preserve"> includes a Part 141 certificate holder by virtue of the definition of </w:t>
      </w:r>
      <w:r w:rsidRPr="00C16E2F">
        <w:rPr>
          <w:b/>
          <w:bCs/>
          <w:i/>
          <w:iCs/>
        </w:rPr>
        <w:t>AOC holder</w:t>
      </w:r>
      <w:r>
        <w:t xml:space="preserve"> in subsection 6.</w:t>
      </w:r>
    </w:p>
    <w:p w14:paraId="72EC0EC3" w14:textId="77777777" w:rsidR="00F853AB" w:rsidRDefault="00F853AB" w:rsidP="00F853AB">
      <w:pPr>
        <w:tabs>
          <w:tab w:val="left" w:pos="567"/>
        </w:tabs>
        <w:overflowPunct w:val="0"/>
        <w:autoSpaceDE w:val="0"/>
        <w:autoSpaceDN w:val="0"/>
        <w:adjustRightInd w:val="0"/>
        <w:textAlignment w:val="baseline"/>
      </w:pPr>
    </w:p>
    <w:p w14:paraId="3408DD9F" w14:textId="6AE8D124" w:rsidR="00F853AB" w:rsidRDefault="00F853AB" w:rsidP="00F853AB">
      <w:pPr>
        <w:tabs>
          <w:tab w:val="left" w:pos="567"/>
        </w:tabs>
        <w:overflowPunct w:val="0"/>
        <w:autoSpaceDE w:val="0"/>
        <w:autoSpaceDN w:val="0"/>
        <w:adjustRightInd w:val="0"/>
        <w:textAlignment w:val="baseline"/>
      </w:pPr>
      <w:r>
        <w:t xml:space="preserve">Under paragraph 5A.3, an approval has the effect that the specified provision of the 2019 CAO does not apply to the AOC holder’s </w:t>
      </w:r>
      <w:r w:rsidR="001917A2">
        <w:t>FCMs</w:t>
      </w:r>
      <w:r>
        <w:t>.</w:t>
      </w:r>
    </w:p>
    <w:p w14:paraId="2E63903C" w14:textId="77777777" w:rsidR="00F853AB" w:rsidRDefault="00F853AB" w:rsidP="00F853AB">
      <w:pPr>
        <w:tabs>
          <w:tab w:val="left" w:pos="567"/>
        </w:tabs>
        <w:overflowPunct w:val="0"/>
        <w:autoSpaceDE w:val="0"/>
        <w:autoSpaceDN w:val="0"/>
        <w:adjustRightInd w:val="0"/>
        <w:textAlignment w:val="baseline"/>
      </w:pPr>
    </w:p>
    <w:p w14:paraId="34D51CB0" w14:textId="77777777" w:rsidR="00F853AB" w:rsidRDefault="00F853AB" w:rsidP="00F853AB">
      <w:pPr>
        <w:tabs>
          <w:tab w:val="left" w:pos="567"/>
        </w:tabs>
        <w:overflowPunct w:val="0"/>
        <w:autoSpaceDE w:val="0"/>
        <w:autoSpaceDN w:val="0"/>
        <w:adjustRightInd w:val="0"/>
        <w:textAlignment w:val="baseline"/>
      </w:pPr>
      <w:r>
        <w:t>Under paragraph 5A.4, CASA must not grant an approval unless CASA is satisfied that compliance with the approval, including any conditions of the approval, will preserve an acceptable level of aviation safety.</w:t>
      </w:r>
    </w:p>
    <w:p w14:paraId="7F46FBD1" w14:textId="77777777" w:rsidR="00F853AB" w:rsidRDefault="00F853AB" w:rsidP="00F853AB">
      <w:pPr>
        <w:tabs>
          <w:tab w:val="left" w:pos="567"/>
        </w:tabs>
        <w:overflowPunct w:val="0"/>
        <w:autoSpaceDE w:val="0"/>
        <w:autoSpaceDN w:val="0"/>
        <w:adjustRightInd w:val="0"/>
        <w:textAlignment w:val="baseline"/>
      </w:pPr>
    </w:p>
    <w:p w14:paraId="76E5EBF5" w14:textId="40D624F3" w:rsidR="00F853AB" w:rsidRDefault="00F853AB" w:rsidP="00F853AB">
      <w:pPr>
        <w:tabs>
          <w:tab w:val="left" w:pos="567"/>
        </w:tabs>
        <w:overflowPunct w:val="0"/>
        <w:autoSpaceDE w:val="0"/>
        <w:autoSpaceDN w:val="0"/>
        <w:adjustRightInd w:val="0"/>
        <w:textAlignment w:val="baseline"/>
      </w:pPr>
      <w:r>
        <w:t xml:space="preserve">Under paragraph </w:t>
      </w:r>
      <w:r w:rsidRPr="00D83715">
        <w:t>5A.</w:t>
      </w:r>
      <w:r>
        <w:t>5, a</w:t>
      </w:r>
      <w:r w:rsidRPr="00FD0C51">
        <w:t xml:space="preserve">n </w:t>
      </w:r>
      <w:r>
        <w:t>instrument of approval</w:t>
      </w:r>
      <w:r w:rsidRPr="00FD0C51">
        <w:t xml:space="preserve"> is a legislative instrument if the instrument is expressed to apply to</w:t>
      </w:r>
      <w:r>
        <w:t xml:space="preserve"> a class of AOC holders. Under paragraph </w:t>
      </w:r>
      <w:r w:rsidRPr="00D83715">
        <w:t>5A.</w:t>
      </w:r>
      <w:r>
        <w:t>6, a</w:t>
      </w:r>
      <w:r w:rsidRPr="00FD0C51">
        <w:t xml:space="preserve">n </w:t>
      </w:r>
      <w:r>
        <w:t>instrument of approval</w:t>
      </w:r>
      <w:r w:rsidRPr="00FD0C51">
        <w:t xml:space="preserve"> is </w:t>
      </w:r>
      <w:r>
        <w:t xml:space="preserve">not </w:t>
      </w:r>
      <w:r w:rsidRPr="00FD0C51">
        <w:t>a legislative instrument if the instrument is expressed to apply to</w:t>
      </w:r>
      <w:r>
        <w:t xml:space="preserve"> </w:t>
      </w:r>
      <w:r w:rsidRPr="00FD0C51">
        <w:t xml:space="preserve">a particular </w:t>
      </w:r>
      <w:r>
        <w:t>AOC holder.</w:t>
      </w:r>
    </w:p>
    <w:p w14:paraId="72544E13" w14:textId="274419E7" w:rsidR="00A40A47" w:rsidRDefault="00A40A47" w:rsidP="00F853AB">
      <w:pPr>
        <w:tabs>
          <w:tab w:val="left" w:pos="567"/>
        </w:tabs>
        <w:overflowPunct w:val="0"/>
        <w:autoSpaceDE w:val="0"/>
        <w:autoSpaceDN w:val="0"/>
        <w:adjustRightInd w:val="0"/>
        <w:textAlignment w:val="baseline"/>
      </w:pPr>
    </w:p>
    <w:p w14:paraId="7AA27514" w14:textId="41A05DF4" w:rsidR="00A40A47" w:rsidRDefault="00A40A47" w:rsidP="00F853AB">
      <w:pPr>
        <w:tabs>
          <w:tab w:val="left" w:pos="567"/>
        </w:tabs>
        <w:overflowPunct w:val="0"/>
        <w:autoSpaceDE w:val="0"/>
        <w:autoSpaceDN w:val="0"/>
        <w:adjustRightInd w:val="0"/>
        <w:textAlignment w:val="baseline"/>
      </w:pPr>
      <w:r>
        <w:lastRenderedPageBreak/>
        <w:t xml:space="preserve">Paragraphs 5A.5 and 5A.6 are designed to mirror the standard </w:t>
      </w:r>
      <w:r w:rsidR="000D13D2">
        <w:t xml:space="preserve">for exemption instruments </w:t>
      </w:r>
      <w:r>
        <w:t>provided for under subsections 98</w:t>
      </w:r>
      <w:r w:rsidR="000111B4">
        <w:t> </w:t>
      </w:r>
      <w:r>
        <w:t>(5AA</w:t>
      </w:r>
      <w:r w:rsidR="00C16E2F">
        <w:t>)</w:t>
      </w:r>
      <w:r>
        <w:t xml:space="preserve"> and (5AB) of the Act.</w:t>
      </w:r>
    </w:p>
    <w:p w14:paraId="4D49CFFA" w14:textId="7126412E" w:rsidR="00FE6BB9" w:rsidRDefault="00FE6BB9" w:rsidP="006B500A">
      <w:pPr>
        <w:tabs>
          <w:tab w:val="left" w:pos="567"/>
        </w:tabs>
        <w:overflowPunct w:val="0"/>
        <w:autoSpaceDE w:val="0"/>
        <w:autoSpaceDN w:val="0"/>
        <w:adjustRightInd w:val="0"/>
        <w:textAlignment w:val="baseline"/>
        <w:rPr>
          <w:iCs/>
        </w:rPr>
      </w:pPr>
    </w:p>
    <w:p w14:paraId="50D7938D" w14:textId="347A1E81" w:rsidR="00F853AB" w:rsidRDefault="00F853AB" w:rsidP="006B500A">
      <w:pPr>
        <w:tabs>
          <w:tab w:val="left" w:pos="567"/>
        </w:tabs>
        <w:overflowPunct w:val="0"/>
        <w:autoSpaceDE w:val="0"/>
        <w:autoSpaceDN w:val="0"/>
        <w:adjustRightInd w:val="0"/>
        <w:textAlignment w:val="baseline"/>
        <w:rPr>
          <w:iCs/>
        </w:rPr>
      </w:pPr>
      <w:r>
        <w:rPr>
          <w:iCs/>
        </w:rPr>
        <w:t>As mentioned above, a refer</w:t>
      </w:r>
      <w:r w:rsidR="001104AC">
        <w:rPr>
          <w:iCs/>
        </w:rPr>
        <w:t>en</w:t>
      </w:r>
      <w:r>
        <w:rPr>
          <w:iCs/>
        </w:rPr>
        <w:t>ce to a specified provision</w:t>
      </w:r>
      <w:r w:rsidR="001104AC">
        <w:rPr>
          <w:iCs/>
        </w:rPr>
        <w:t xml:space="preserve"> allows approval of specified provisions</w:t>
      </w:r>
      <w:r w:rsidR="00CE31DD">
        <w:rPr>
          <w:iCs/>
        </w:rPr>
        <w:t xml:space="preserve"> (</w:t>
      </w:r>
      <w:r w:rsidR="001104AC">
        <w:rPr>
          <w:iCs/>
        </w:rPr>
        <w:t>plural</w:t>
      </w:r>
      <w:r w:rsidR="00CE31DD">
        <w:rPr>
          <w:iCs/>
        </w:rPr>
        <w:t>)</w:t>
      </w:r>
      <w:r w:rsidR="001104AC">
        <w:rPr>
          <w:iCs/>
        </w:rPr>
        <w:t xml:space="preserve"> if need be.</w:t>
      </w:r>
    </w:p>
    <w:p w14:paraId="5CF5BFDC" w14:textId="5ACE48D7" w:rsidR="00C76C8E" w:rsidRDefault="00C76C8E" w:rsidP="006B500A">
      <w:pPr>
        <w:tabs>
          <w:tab w:val="left" w:pos="567"/>
        </w:tabs>
        <w:overflowPunct w:val="0"/>
        <w:autoSpaceDE w:val="0"/>
        <w:autoSpaceDN w:val="0"/>
        <w:adjustRightInd w:val="0"/>
        <w:textAlignment w:val="baseline"/>
        <w:rPr>
          <w:iCs/>
        </w:rPr>
      </w:pPr>
    </w:p>
    <w:p w14:paraId="36CD4BDA" w14:textId="184CD77F" w:rsidR="00C76C8E" w:rsidRDefault="00C76C8E" w:rsidP="006B500A">
      <w:pPr>
        <w:tabs>
          <w:tab w:val="left" w:pos="567"/>
        </w:tabs>
        <w:overflowPunct w:val="0"/>
        <w:autoSpaceDE w:val="0"/>
        <w:autoSpaceDN w:val="0"/>
        <w:adjustRightInd w:val="0"/>
        <w:textAlignment w:val="baseline"/>
        <w:rPr>
          <w:iCs/>
        </w:rPr>
      </w:pPr>
      <w:r>
        <w:rPr>
          <w:iCs/>
        </w:rPr>
        <w:t>It is expected that non-compliance approvals will be granted only if appropriate mitigating safety conditions can be formulated and complied with.</w:t>
      </w:r>
    </w:p>
    <w:p w14:paraId="0255ADC1" w14:textId="2BF76782" w:rsidR="00210476" w:rsidRDefault="00210476" w:rsidP="006B500A">
      <w:pPr>
        <w:tabs>
          <w:tab w:val="left" w:pos="567"/>
        </w:tabs>
        <w:overflowPunct w:val="0"/>
        <w:autoSpaceDE w:val="0"/>
        <w:autoSpaceDN w:val="0"/>
        <w:adjustRightInd w:val="0"/>
        <w:textAlignment w:val="baseline"/>
        <w:rPr>
          <w:iCs/>
        </w:rPr>
      </w:pPr>
    </w:p>
    <w:p w14:paraId="4DDED579" w14:textId="00ED7B14" w:rsidR="0085779F" w:rsidRPr="006F3143" w:rsidRDefault="0085779F" w:rsidP="006B500A">
      <w:pPr>
        <w:tabs>
          <w:tab w:val="left" w:pos="567"/>
        </w:tabs>
        <w:overflowPunct w:val="0"/>
        <w:autoSpaceDE w:val="0"/>
        <w:autoSpaceDN w:val="0"/>
        <w:adjustRightInd w:val="0"/>
        <w:textAlignment w:val="baseline"/>
        <w:rPr>
          <w:b/>
        </w:rPr>
      </w:pPr>
      <w:r w:rsidRPr="00AD17BF">
        <w:rPr>
          <w:b/>
          <w:i/>
          <w:iCs/>
        </w:rPr>
        <w:t>Legislat</w:t>
      </w:r>
      <w:r w:rsidR="00AD17BF">
        <w:rPr>
          <w:b/>
          <w:i/>
          <w:iCs/>
        </w:rPr>
        <w:t xml:space="preserve">ion </w:t>
      </w:r>
      <w:r w:rsidRPr="00AD17BF">
        <w:rPr>
          <w:b/>
          <w:i/>
          <w:iCs/>
        </w:rPr>
        <w:t>Act</w:t>
      </w:r>
      <w:r w:rsidR="002857EF" w:rsidRPr="00AD17BF">
        <w:rPr>
          <w:b/>
          <w:i/>
          <w:iCs/>
        </w:rPr>
        <w:t xml:space="preserve"> 2003</w:t>
      </w:r>
      <w:r w:rsidR="00744BDD">
        <w:rPr>
          <w:b/>
          <w:i/>
          <w:iCs/>
        </w:rPr>
        <w:t xml:space="preserve"> (</w:t>
      </w:r>
      <w:r w:rsidR="00744BDD" w:rsidRPr="00744BDD">
        <w:rPr>
          <w:b/>
        </w:rPr>
        <w:t>the</w:t>
      </w:r>
      <w:r w:rsidR="00744BDD">
        <w:rPr>
          <w:b/>
          <w:i/>
          <w:iCs/>
        </w:rPr>
        <w:t xml:space="preserve"> LA)</w:t>
      </w:r>
    </w:p>
    <w:p w14:paraId="78B06D47" w14:textId="79AD8514" w:rsidR="004F425E" w:rsidRDefault="004F425E" w:rsidP="0085779F">
      <w:pPr>
        <w:tabs>
          <w:tab w:val="left" w:pos="567"/>
        </w:tabs>
        <w:overflowPunct w:val="0"/>
        <w:autoSpaceDE w:val="0"/>
        <w:autoSpaceDN w:val="0"/>
        <w:adjustRightInd w:val="0"/>
        <w:textAlignment w:val="baseline"/>
      </w:pPr>
      <w:r>
        <w:t>The CAO</w:t>
      </w:r>
      <w:r w:rsidR="001104AC">
        <w:t xml:space="preserve"> amendment</w:t>
      </w:r>
      <w:r>
        <w:t xml:space="preserve"> is a legislative instrument under various different requirements, as set out in Appendix </w:t>
      </w:r>
      <w:r w:rsidR="00744BDD">
        <w:t>2</w:t>
      </w:r>
      <w:r>
        <w:t>.</w:t>
      </w:r>
    </w:p>
    <w:p w14:paraId="75692A49" w14:textId="77777777" w:rsidR="00233879" w:rsidRDefault="00233879" w:rsidP="0085779F">
      <w:pPr>
        <w:tabs>
          <w:tab w:val="left" w:pos="567"/>
        </w:tabs>
        <w:overflowPunct w:val="0"/>
        <w:autoSpaceDE w:val="0"/>
        <w:autoSpaceDN w:val="0"/>
        <w:adjustRightInd w:val="0"/>
        <w:textAlignment w:val="baseline"/>
      </w:pPr>
    </w:p>
    <w:p w14:paraId="7B77230C" w14:textId="473B73FB" w:rsidR="00233879" w:rsidRDefault="00233879" w:rsidP="00233879">
      <w:pPr>
        <w:rPr>
          <w:b/>
        </w:rPr>
      </w:pPr>
      <w:r w:rsidRPr="00484748">
        <w:rPr>
          <w:b/>
        </w:rPr>
        <w:t>Incorporation of documents</w:t>
      </w:r>
    </w:p>
    <w:p w14:paraId="4EDD3E52" w14:textId="1D30DA30" w:rsidR="001104AC" w:rsidRPr="001104AC" w:rsidRDefault="001104AC" w:rsidP="00233879">
      <w:pPr>
        <w:rPr>
          <w:bCs/>
        </w:rPr>
      </w:pPr>
      <w:r w:rsidRPr="001104AC">
        <w:rPr>
          <w:bCs/>
        </w:rPr>
        <w:t>No documents are</w:t>
      </w:r>
      <w:r>
        <w:rPr>
          <w:bCs/>
        </w:rPr>
        <w:t xml:space="preserve"> applied, adopted or </w:t>
      </w:r>
      <w:r w:rsidRPr="001104AC">
        <w:rPr>
          <w:bCs/>
        </w:rPr>
        <w:t>incorporated</w:t>
      </w:r>
      <w:r>
        <w:rPr>
          <w:bCs/>
        </w:rPr>
        <w:t xml:space="preserve"> by virtue of the CAO amendment.</w:t>
      </w:r>
      <w:r w:rsidRPr="001104AC">
        <w:rPr>
          <w:bCs/>
        </w:rPr>
        <w:t xml:space="preserve"> </w:t>
      </w:r>
    </w:p>
    <w:p w14:paraId="235D3355" w14:textId="762F376E" w:rsidR="000D3EFE" w:rsidRDefault="000D3EFE" w:rsidP="0085779F">
      <w:pPr>
        <w:tabs>
          <w:tab w:val="left" w:pos="567"/>
        </w:tabs>
        <w:overflowPunct w:val="0"/>
        <w:autoSpaceDE w:val="0"/>
        <w:autoSpaceDN w:val="0"/>
        <w:adjustRightInd w:val="0"/>
        <w:textAlignment w:val="baseline"/>
        <w:rPr>
          <w:iCs/>
        </w:rPr>
      </w:pPr>
    </w:p>
    <w:p w14:paraId="0C6E688E" w14:textId="7A451C5E" w:rsidR="001104AC" w:rsidRPr="00C547DF" w:rsidRDefault="001104AC" w:rsidP="0085779F">
      <w:pPr>
        <w:tabs>
          <w:tab w:val="left" w:pos="567"/>
        </w:tabs>
        <w:overflowPunct w:val="0"/>
        <w:autoSpaceDE w:val="0"/>
        <w:autoSpaceDN w:val="0"/>
        <w:adjustRightInd w:val="0"/>
        <w:textAlignment w:val="baseline"/>
        <w:rPr>
          <w:b/>
          <w:bCs/>
          <w:iCs/>
        </w:rPr>
      </w:pPr>
      <w:r w:rsidRPr="00C547DF">
        <w:rPr>
          <w:b/>
          <w:bCs/>
          <w:iCs/>
        </w:rPr>
        <w:t>Administrative review</w:t>
      </w:r>
    </w:p>
    <w:p w14:paraId="6FF30BCC" w14:textId="34D208C4" w:rsidR="00C67E17" w:rsidRPr="00C67E17" w:rsidRDefault="00C76C8E" w:rsidP="00C67E17">
      <w:pPr>
        <w:tabs>
          <w:tab w:val="left" w:pos="567"/>
        </w:tabs>
        <w:overflowPunct w:val="0"/>
        <w:autoSpaceDE w:val="0"/>
        <w:autoSpaceDN w:val="0"/>
        <w:adjustRightInd w:val="0"/>
        <w:textAlignment w:val="baseline"/>
      </w:pPr>
      <w:r w:rsidRPr="00C67E17">
        <w:rPr>
          <w:iCs/>
        </w:rPr>
        <w:t xml:space="preserve">A refusal to approve </w:t>
      </w:r>
      <w:r w:rsidR="00C547DF" w:rsidRPr="00C67E17">
        <w:rPr>
          <w:iCs/>
        </w:rPr>
        <w:t xml:space="preserve">a </w:t>
      </w:r>
      <w:r w:rsidRPr="00C67E17">
        <w:rPr>
          <w:iCs/>
        </w:rPr>
        <w:t>non-compliance</w:t>
      </w:r>
      <w:r w:rsidR="00C547DF" w:rsidRPr="00C67E17">
        <w:rPr>
          <w:iCs/>
        </w:rPr>
        <w:t xml:space="preserve"> application</w:t>
      </w:r>
      <w:r w:rsidR="002F62EF">
        <w:rPr>
          <w:iCs/>
        </w:rPr>
        <w:t xml:space="preserve"> </w:t>
      </w:r>
      <w:r w:rsidR="00C67E17" w:rsidRPr="00C67E17">
        <w:rPr>
          <w:iCs/>
        </w:rPr>
        <w:t xml:space="preserve">would be subject to review by the Administrative Appeals Tribunal (the </w:t>
      </w:r>
      <w:r w:rsidR="00C67E17" w:rsidRPr="00C67E17">
        <w:rPr>
          <w:b/>
          <w:bCs/>
          <w:i/>
        </w:rPr>
        <w:t>AAT</w:t>
      </w:r>
      <w:r w:rsidR="00C67E17" w:rsidRPr="00C67E17">
        <w:rPr>
          <w:iCs/>
        </w:rPr>
        <w:t xml:space="preserve">) as follows. </w:t>
      </w:r>
      <w:r w:rsidR="00C67E17" w:rsidRPr="00C67E17">
        <w:t xml:space="preserve">Section 31 of the </w:t>
      </w:r>
      <w:r w:rsidR="00C67E17" w:rsidRPr="00744BDD">
        <w:t>Act</w:t>
      </w:r>
      <w:r w:rsidR="00C67E17" w:rsidRPr="00C67E17">
        <w:t xml:space="preserve"> defines a </w:t>
      </w:r>
      <w:r w:rsidR="00C67E17" w:rsidRPr="00744BDD">
        <w:t>reviewable decision</w:t>
      </w:r>
      <w:r w:rsidR="00C67E17" w:rsidRPr="00C67E17">
        <w:t xml:space="preserve"> to include</w:t>
      </w:r>
      <w:r w:rsidR="00744BDD">
        <w:t>:</w:t>
      </w:r>
      <w:r w:rsidR="00C67E17" w:rsidRPr="00C67E17">
        <w:t xml:space="preserve"> (a) a refusal to grant, issue, vary, suspend or cancel a permission issued or granted under the regulations; and (b) the imposition of a condition contained in such a permission.</w:t>
      </w:r>
    </w:p>
    <w:p w14:paraId="78C29BE1" w14:textId="77777777" w:rsidR="00C67E17" w:rsidRPr="00C67E17" w:rsidRDefault="00C67E17" w:rsidP="00C67E17">
      <w:pPr>
        <w:tabs>
          <w:tab w:val="left" w:pos="567"/>
        </w:tabs>
        <w:overflowPunct w:val="0"/>
        <w:autoSpaceDE w:val="0"/>
        <w:autoSpaceDN w:val="0"/>
        <w:adjustRightInd w:val="0"/>
        <w:textAlignment w:val="baseline"/>
      </w:pPr>
    </w:p>
    <w:p w14:paraId="1BF592CE" w14:textId="6E5C5EA8" w:rsidR="00C67E17" w:rsidRDefault="00C67E17" w:rsidP="00C67E17">
      <w:pPr>
        <w:tabs>
          <w:tab w:val="left" w:pos="567"/>
        </w:tabs>
        <w:overflowPunct w:val="0"/>
        <w:autoSpaceDE w:val="0"/>
        <w:autoSpaceDN w:val="0"/>
        <w:adjustRightInd w:val="0"/>
        <w:textAlignment w:val="baseline"/>
      </w:pPr>
      <w:r w:rsidRPr="00C67E17">
        <w:t xml:space="preserve">Table 201.004 in </w:t>
      </w:r>
      <w:r w:rsidR="00744BDD">
        <w:t>CASR</w:t>
      </w:r>
      <w:r w:rsidRPr="00C67E17">
        <w:t xml:space="preserve"> contains a list of decisions that are reviewable by the AAT. Item 1 of Table 201.004 includes “a </w:t>
      </w:r>
      <w:r w:rsidRPr="00C67E17">
        <w:rPr>
          <w:i/>
          <w:iCs/>
        </w:rPr>
        <w:t>decision under a provision of these Regulations … refusing to grant or issue an authorisation</w:t>
      </w:r>
      <w:r w:rsidRPr="00C67E17">
        <w:t xml:space="preserve">”. For regulation 201.004, the term “authorisation” has the meaning given by regulation 11.015, which in turn refers to the definition of </w:t>
      </w:r>
      <w:r w:rsidRPr="00C16E2F">
        <w:rPr>
          <w:b/>
          <w:bCs/>
          <w:i/>
          <w:iCs/>
        </w:rPr>
        <w:t>civil aviation authorisation</w:t>
      </w:r>
      <w:r w:rsidRPr="00C67E17">
        <w:t xml:space="preserve"> in the Act. That term means “an authorisation [by whatever name] under this Act or the regulations to undertake a particular activity”.</w:t>
      </w:r>
    </w:p>
    <w:p w14:paraId="2CAEF093" w14:textId="77777777" w:rsidR="00C67E17" w:rsidRPr="00C67E17" w:rsidRDefault="00C67E17" w:rsidP="00C67E17">
      <w:pPr>
        <w:tabs>
          <w:tab w:val="left" w:pos="567"/>
        </w:tabs>
        <w:overflowPunct w:val="0"/>
        <w:autoSpaceDE w:val="0"/>
        <w:autoSpaceDN w:val="0"/>
        <w:adjustRightInd w:val="0"/>
        <w:textAlignment w:val="baseline"/>
      </w:pPr>
    </w:p>
    <w:p w14:paraId="430B3D46" w14:textId="7333A243" w:rsidR="00C67E17" w:rsidRPr="00C67E17" w:rsidRDefault="00C67E17" w:rsidP="00C67E17">
      <w:pPr>
        <w:tabs>
          <w:tab w:val="left" w:pos="567"/>
        </w:tabs>
        <w:overflowPunct w:val="0"/>
        <w:autoSpaceDE w:val="0"/>
        <w:autoSpaceDN w:val="0"/>
        <w:adjustRightInd w:val="0"/>
        <w:textAlignment w:val="baseline"/>
      </w:pPr>
      <w:r w:rsidRPr="00C67E17">
        <w:t xml:space="preserve">In </w:t>
      </w:r>
      <w:r w:rsidRPr="00C67E17">
        <w:rPr>
          <w:i/>
          <w:iCs/>
        </w:rPr>
        <w:t>Seaview</w:t>
      </w:r>
      <w:r w:rsidR="00C16E2F">
        <w:rPr>
          <w:i/>
          <w:iCs/>
        </w:rPr>
        <w:t>,</w:t>
      </w:r>
      <w:r w:rsidRPr="00C67E17">
        <w:rPr>
          <w:i/>
          <w:iCs/>
        </w:rPr>
        <w:t xml:space="preserve"> Lord Howe Pty Ltd </w:t>
      </w:r>
      <w:r w:rsidRPr="00C16E2F">
        <w:t>and</w:t>
      </w:r>
      <w:r w:rsidRPr="00C67E17">
        <w:rPr>
          <w:i/>
          <w:iCs/>
        </w:rPr>
        <w:t xml:space="preserve"> Civil Aviation Authority</w:t>
      </w:r>
      <w:r w:rsidRPr="00C67E17">
        <w:t xml:space="preserve"> (1995) 38 ALD 422; 21</w:t>
      </w:r>
      <w:r w:rsidR="00744BDD">
        <w:t> </w:t>
      </w:r>
      <w:r w:rsidRPr="00C67E17">
        <w:t>AAR 506</w:t>
      </w:r>
      <w:r w:rsidR="00C16E2F">
        <w:t>,</w:t>
      </w:r>
      <w:r w:rsidRPr="00C67E17">
        <w:t xml:space="preserve"> Justice Mathews said, at 23, decisions made pursuant to civil aviation orders should be construed as decisions made under the Act. </w:t>
      </w:r>
      <w:r w:rsidRPr="00C67E17">
        <w:rPr>
          <w:i/>
          <w:iCs/>
        </w:rPr>
        <w:t>Civil Aviation Order 48.1 Instrument 2019</w:t>
      </w:r>
      <w:r w:rsidRPr="00C67E17">
        <w:t xml:space="preserve"> is made under the Act, CAR and CASR. An instrument made under a C</w:t>
      </w:r>
      <w:r w:rsidR="00744BDD">
        <w:t>AO</w:t>
      </w:r>
      <w:r w:rsidRPr="00C67E17">
        <w:t>, refusing to grant an authorisation under the CAO</w:t>
      </w:r>
      <w:r w:rsidR="00C701C2">
        <w:t>,</w:t>
      </w:r>
      <w:r w:rsidRPr="00C67E17">
        <w:t xml:space="preserve"> is also considered to be a reviewable decision for item 1 of Table 201.004 of CASR.</w:t>
      </w:r>
    </w:p>
    <w:p w14:paraId="16BFCC34" w14:textId="77777777" w:rsidR="001104AC" w:rsidRDefault="001104AC" w:rsidP="0085779F">
      <w:pPr>
        <w:tabs>
          <w:tab w:val="left" w:pos="567"/>
        </w:tabs>
        <w:overflowPunct w:val="0"/>
        <w:autoSpaceDE w:val="0"/>
        <w:autoSpaceDN w:val="0"/>
        <w:adjustRightInd w:val="0"/>
        <w:textAlignment w:val="baseline"/>
        <w:rPr>
          <w:iCs/>
        </w:rPr>
      </w:pPr>
    </w:p>
    <w:p w14:paraId="49870524" w14:textId="686F5510" w:rsidR="00FA1A30" w:rsidRDefault="00FA1A30" w:rsidP="00FA1A30">
      <w:pPr>
        <w:keepNext/>
        <w:rPr>
          <w:b/>
          <w:color w:val="000000" w:themeColor="text1"/>
        </w:rPr>
      </w:pPr>
      <w:r w:rsidRPr="004E11B7">
        <w:rPr>
          <w:b/>
          <w:color w:val="000000" w:themeColor="text1"/>
        </w:rPr>
        <w:t>Consultation</w:t>
      </w:r>
    </w:p>
    <w:p w14:paraId="614AC3DC" w14:textId="0528BEED" w:rsidR="000F7AEE" w:rsidRDefault="00C53E31" w:rsidP="00FA1A30">
      <w:pPr>
        <w:pStyle w:val="LDBodytext"/>
        <w:rPr>
          <w:color w:val="000000" w:themeColor="text1"/>
        </w:rPr>
      </w:pPr>
      <w:r>
        <w:rPr>
          <w:color w:val="000000" w:themeColor="text1"/>
        </w:rPr>
        <w:t>The utility of a “minor variation” process was</w:t>
      </w:r>
      <w:r w:rsidR="000F7AEE">
        <w:rPr>
          <w:color w:val="000000" w:themeColor="text1"/>
        </w:rPr>
        <w:t xml:space="preserve"> included in (and approved under)</w:t>
      </w:r>
      <w:r>
        <w:rPr>
          <w:color w:val="000000" w:themeColor="text1"/>
        </w:rPr>
        <w:t xml:space="preserve"> the </w:t>
      </w:r>
      <w:r w:rsidR="000F7AEE">
        <w:rPr>
          <w:color w:val="000000" w:themeColor="text1"/>
        </w:rPr>
        <w:t>extensive consultation undertaken by CASA in the context of the independent review report and the making of the 2019 CAO. It had been considered at that time tha</w:t>
      </w:r>
      <w:r w:rsidR="00C701C2">
        <w:rPr>
          <w:color w:val="000000" w:themeColor="text1"/>
        </w:rPr>
        <w:t>t</w:t>
      </w:r>
      <w:r w:rsidR="000F7AEE">
        <w:rPr>
          <w:color w:val="000000" w:themeColor="text1"/>
        </w:rPr>
        <w:t xml:space="preserve"> a Part</w:t>
      </w:r>
      <w:r w:rsidR="00C701C2">
        <w:rPr>
          <w:color w:val="000000" w:themeColor="text1"/>
        </w:rPr>
        <w:t> </w:t>
      </w:r>
      <w:r w:rsidR="000F7AEE">
        <w:rPr>
          <w:color w:val="000000" w:themeColor="text1"/>
        </w:rPr>
        <w:t xml:space="preserve">11 exemption process would suffice to achieve the objective. </w:t>
      </w:r>
      <w:r w:rsidR="005430D8">
        <w:rPr>
          <w:color w:val="000000" w:themeColor="text1"/>
        </w:rPr>
        <w:t>D</w:t>
      </w:r>
      <w:r w:rsidR="000F7AEE">
        <w:rPr>
          <w:color w:val="000000" w:themeColor="text1"/>
        </w:rPr>
        <w:t xml:space="preserve">oubt about the </w:t>
      </w:r>
      <w:r w:rsidR="005430D8">
        <w:rPr>
          <w:color w:val="000000" w:themeColor="text1"/>
        </w:rPr>
        <w:t xml:space="preserve">legal propriety of using </w:t>
      </w:r>
      <w:r w:rsidR="000F7AEE">
        <w:rPr>
          <w:color w:val="000000" w:themeColor="text1"/>
        </w:rPr>
        <w:t>such exemptions resulted in the decision to make the CAO amendment as a more focused and tailored alternative.</w:t>
      </w:r>
    </w:p>
    <w:p w14:paraId="5F6A19DE" w14:textId="77777777" w:rsidR="000F7AEE" w:rsidRDefault="000F7AEE" w:rsidP="00FA1A30">
      <w:pPr>
        <w:pStyle w:val="LDBodytext"/>
        <w:rPr>
          <w:color w:val="000000" w:themeColor="text1"/>
        </w:rPr>
      </w:pPr>
    </w:p>
    <w:p w14:paraId="5BDD17EF" w14:textId="5560B956" w:rsidR="00FA1A30" w:rsidRDefault="00916048" w:rsidP="00FA1A30">
      <w:pPr>
        <w:pStyle w:val="LDBodytext"/>
        <w:rPr>
          <w:color w:val="000000" w:themeColor="text1"/>
        </w:rPr>
      </w:pPr>
      <w:r>
        <w:rPr>
          <w:color w:val="000000" w:themeColor="text1"/>
        </w:rPr>
        <w:t xml:space="preserve">Under section 16 of the Act, in the performance of its function and the exercise of its powers CASA must, </w:t>
      </w:r>
      <w:r w:rsidRPr="00916048">
        <w:rPr>
          <w:i/>
          <w:iCs/>
          <w:color w:val="000000" w:themeColor="text1"/>
        </w:rPr>
        <w:t>where appropriate</w:t>
      </w:r>
      <w:r>
        <w:rPr>
          <w:color w:val="000000" w:themeColor="text1"/>
        </w:rPr>
        <w:t>, consult with government, industrial, consumer and other relevant bodies and organisations. CASA considers that</w:t>
      </w:r>
      <w:r w:rsidR="000F7AEE">
        <w:rPr>
          <w:color w:val="000000" w:themeColor="text1"/>
        </w:rPr>
        <w:t>, given the previous consultation mentioned above, and given</w:t>
      </w:r>
      <w:r>
        <w:rPr>
          <w:color w:val="000000" w:themeColor="text1"/>
        </w:rPr>
        <w:t xml:space="preserve"> the exigencies of the 2019-2020 Australian bushfire season</w:t>
      </w:r>
      <w:r w:rsidR="000F7AEE">
        <w:rPr>
          <w:color w:val="000000" w:themeColor="text1"/>
        </w:rPr>
        <w:t>,</w:t>
      </w:r>
      <w:r>
        <w:rPr>
          <w:color w:val="000000" w:themeColor="text1"/>
        </w:rPr>
        <w:t xml:space="preserve"> it would not be appropriate to delay making and </w:t>
      </w:r>
      <w:r>
        <w:rPr>
          <w:color w:val="000000" w:themeColor="text1"/>
        </w:rPr>
        <w:lastRenderedPageBreak/>
        <w:t>commencement of the new non-compliance provisions through</w:t>
      </w:r>
      <w:r w:rsidR="000F7AEE">
        <w:rPr>
          <w:color w:val="000000" w:themeColor="text1"/>
        </w:rPr>
        <w:t xml:space="preserve"> further</w:t>
      </w:r>
      <w:r>
        <w:rPr>
          <w:color w:val="000000" w:themeColor="text1"/>
        </w:rPr>
        <w:t xml:space="preserve"> consultation. This decision is also informed by the fact that the provisions, if and when invoked, would operate in a beneficial manner for any successful applicant by (conditionally) relieving the applicant of fatigue risk management obligations that would otherwise apply.</w:t>
      </w:r>
    </w:p>
    <w:p w14:paraId="4793EE4F" w14:textId="112A36E0" w:rsidR="00916048" w:rsidRDefault="00916048" w:rsidP="00FA1A30">
      <w:pPr>
        <w:pStyle w:val="LDBodytext"/>
        <w:rPr>
          <w:color w:val="000000" w:themeColor="text1"/>
        </w:rPr>
      </w:pPr>
    </w:p>
    <w:p w14:paraId="5B03F877" w14:textId="757CAA75" w:rsidR="00734960" w:rsidRDefault="004C047C" w:rsidP="00FA1A30">
      <w:pPr>
        <w:pStyle w:val="LDBodytext"/>
        <w:rPr>
          <w:color w:val="000000" w:themeColor="text1"/>
        </w:rPr>
      </w:pPr>
      <w:r>
        <w:rPr>
          <w:color w:val="000000" w:themeColor="text1"/>
        </w:rPr>
        <w:t>Under subsection 17</w:t>
      </w:r>
      <w:r w:rsidR="000111B4">
        <w:rPr>
          <w:color w:val="000000" w:themeColor="text1"/>
        </w:rPr>
        <w:t> </w:t>
      </w:r>
      <w:r>
        <w:rPr>
          <w:color w:val="000000" w:themeColor="text1"/>
        </w:rPr>
        <w:t xml:space="preserve">(1) of the </w:t>
      </w:r>
      <w:r w:rsidR="00744BDD">
        <w:rPr>
          <w:color w:val="000000" w:themeColor="text1"/>
        </w:rPr>
        <w:t>LA</w:t>
      </w:r>
      <w:r>
        <w:rPr>
          <w:color w:val="000000" w:themeColor="text1"/>
        </w:rPr>
        <w:t>, before a legislative instrument is made, the rule</w:t>
      </w:r>
      <w:r w:rsidR="009A0D6C">
        <w:rPr>
          <w:color w:val="000000" w:themeColor="text1"/>
        </w:rPr>
        <w:noBreakHyphen/>
      </w:r>
      <w:r>
        <w:rPr>
          <w:color w:val="000000" w:themeColor="text1"/>
        </w:rPr>
        <w:t>maker must be satisfied that there has been undertaken any consultation that is considered by the rule-maker to be appropriate and reasonably practicable. For the reasons mentioned above, CASA does not consider it either appropriate or practicable to undertake consultation on the CAO amendment.</w:t>
      </w:r>
    </w:p>
    <w:p w14:paraId="70B24035" w14:textId="77777777" w:rsidR="00734960" w:rsidRDefault="00734960" w:rsidP="00FA1A30">
      <w:pPr>
        <w:pStyle w:val="LDBodytext"/>
        <w:rPr>
          <w:color w:val="000000" w:themeColor="text1"/>
        </w:rPr>
      </w:pPr>
    </w:p>
    <w:p w14:paraId="4BEC0E34" w14:textId="77777777"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14:paraId="27FF5D42" w14:textId="1377BD87" w:rsidR="00281A03" w:rsidRDefault="00280341" w:rsidP="00280341">
      <w:pPr>
        <w:pStyle w:val="Default"/>
        <w:rPr>
          <w:i/>
          <w:iCs/>
          <w:color w:val="000000" w:themeColor="text1"/>
        </w:rPr>
      </w:pPr>
      <w:r w:rsidRPr="004E11B7">
        <w:rPr>
          <w:iCs/>
          <w:color w:val="000000" w:themeColor="text1"/>
        </w:rPr>
        <w:t xml:space="preserve">The Statement in Appendix </w:t>
      </w:r>
      <w:r w:rsidR="009111D5">
        <w:rPr>
          <w:iCs/>
          <w:color w:val="000000" w:themeColor="text1"/>
        </w:rPr>
        <w:t>3</w:t>
      </w:r>
      <w:r w:rsidRPr="004E11B7">
        <w:rPr>
          <w:iCs/>
          <w:color w:val="000000" w:themeColor="text1"/>
        </w:rPr>
        <w:t xml:space="preserve"> is prepared in accordance with Part 3 of the </w:t>
      </w:r>
      <w:r w:rsidRPr="004E11B7">
        <w:rPr>
          <w:i/>
          <w:iCs/>
          <w:color w:val="000000" w:themeColor="text1"/>
        </w:rPr>
        <w:t>Human Rights (Parliamentary Scrutiny) Act 2011</w:t>
      </w:r>
      <w:r w:rsidRPr="002F05A2">
        <w:rPr>
          <w:color w:val="000000" w:themeColor="text1"/>
        </w:rPr>
        <w:t>.</w:t>
      </w:r>
      <w:r w:rsidRPr="004E11B7">
        <w:rPr>
          <w:i/>
          <w:iCs/>
          <w:color w:val="000000" w:themeColor="text1"/>
        </w:rPr>
        <w:t xml:space="preserve"> </w:t>
      </w:r>
      <w:r w:rsidRPr="004E11B7">
        <w:rPr>
          <w:iCs/>
          <w:color w:val="000000" w:themeColor="text1"/>
        </w:rPr>
        <w:t>It indicates that</w:t>
      </w:r>
      <w:r w:rsidR="00B95EAB">
        <w:rPr>
          <w:iCs/>
          <w:color w:val="000000" w:themeColor="text1"/>
        </w:rPr>
        <w:t xml:space="preserve"> the CAO</w:t>
      </w:r>
      <w:r w:rsidR="00CB32C5">
        <w:rPr>
          <w:iCs/>
          <w:color w:val="000000" w:themeColor="text1"/>
        </w:rPr>
        <w:t xml:space="preserve"> </w:t>
      </w:r>
      <w:r w:rsidR="00AB22D5">
        <w:rPr>
          <w:iCs/>
          <w:color w:val="000000" w:themeColor="text1"/>
        </w:rPr>
        <w:t>amendment</w:t>
      </w:r>
      <w:r w:rsidR="00B95EAB">
        <w:rPr>
          <w:iCs/>
          <w:color w:val="000000" w:themeColor="text1"/>
        </w:rPr>
        <w:t xml:space="preserve"> </w:t>
      </w:r>
      <w:r w:rsidR="00CB32C5">
        <w:rPr>
          <w:iCs/>
          <w:color w:val="000000" w:themeColor="text1"/>
        </w:rPr>
        <w:t>does not</w:t>
      </w:r>
      <w:r w:rsidR="00B95EAB">
        <w:rPr>
          <w:iCs/>
          <w:color w:val="000000" w:themeColor="text1"/>
        </w:rPr>
        <w:t xml:space="preserve"> engage, </w:t>
      </w:r>
      <w:r w:rsidR="00CB32C5">
        <w:rPr>
          <w:iCs/>
          <w:color w:val="000000" w:themeColor="text1"/>
        </w:rPr>
        <w:t xml:space="preserve">either </w:t>
      </w:r>
      <w:r w:rsidR="00B95EAB">
        <w:rPr>
          <w:iCs/>
          <w:color w:val="000000" w:themeColor="text1"/>
        </w:rPr>
        <w:t>directly and indirectly</w:t>
      </w:r>
      <w:r w:rsidR="00174898">
        <w:rPr>
          <w:iCs/>
          <w:color w:val="000000" w:themeColor="text1"/>
        </w:rPr>
        <w:t>,</w:t>
      </w:r>
      <w:r w:rsidRPr="004E11B7">
        <w:rPr>
          <w:iCs/>
          <w:color w:val="000000" w:themeColor="text1"/>
        </w:rPr>
        <w:t xml:space="preserve"> </w:t>
      </w:r>
      <w:r w:rsidR="00CB32C5">
        <w:rPr>
          <w:iCs/>
          <w:color w:val="000000" w:themeColor="text1"/>
        </w:rPr>
        <w:t>any</w:t>
      </w:r>
      <w:r w:rsidR="00B95EAB">
        <w:rPr>
          <w:iCs/>
          <w:color w:val="000000" w:themeColor="text1"/>
        </w:rPr>
        <w:t xml:space="preserve"> of the </w:t>
      </w:r>
      <w:r w:rsidRPr="004E11B7">
        <w:rPr>
          <w:color w:val="000000" w:themeColor="text1"/>
        </w:rPr>
        <w:t xml:space="preserve">human rights and freedoms recognised or declared in the international instruments listed in section 3 of the </w:t>
      </w:r>
      <w:r w:rsidRPr="004E11B7">
        <w:rPr>
          <w:i/>
          <w:iCs/>
          <w:color w:val="000000" w:themeColor="text1"/>
        </w:rPr>
        <w:t>Human Rights (Parliamentary Scrutiny) Act 2011</w:t>
      </w:r>
      <w:r w:rsidR="00CB32C5" w:rsidRPr="009111D5">
        <w:rPr>
          <w:color w:val="000000" w:themeColor="text1"/>
        </w:rPr>
        <w:t>.</w:t>
      </w:r>
    </w:p>
    <w:p w14:paraId="5984A8E2" w14:textId="77777777" w:rsidR="007C65A2" w:rsidRPr="004E11B7" w:rsidRDefault="007C65A2" w:rsidP="00AB5510">
      <w:pPr>
        <w:pStyle w:val="Default"/>
        <w:rPr>
          <w:color w:val="000000" w:themeColor="text1"/>
        </w:rPr>
      </w:pPr>
    </w:p>
    <w:p w14:paraId="514FDF09" w14:textId="77777777"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68983DF6" w14:textId="419B7857" w:rsidR="00C344DF" w:rsidRDefault="00DE025B" w:rsidP="00C344DF">
      <w:pPr>
        <w:pStyle w:val="LDBodytext"/>
        <w:rPr>
          <w:color w:val="000000"/>
        </w:rPr>
      </w:pPr>
      <w:r w:rsidRPr="004E11B7">
        <w:rPr>
          <w:color w:val="000000" w:themeColor="text1"/>
        </w:rPr>
        <w:t>A</w:t>
      </w:r>
      <w:r w:rsidRPr="004E11B7">
        <w:rPr>
          <w:color w:val="000000" w:themeColor="text1"/>
          <w:lang w:eastAsia="en-AU"/>
        </w:rPr>
        <w:t xml:space="preserve"> Regulation Impact Statement</w:t>
      </w:r>
      <w:r w:rsidR="008B670A">
        <w:rPr>
          <w:color w:val="000000" w:themeColor="text1"/>
          <w:lang w:eastAsia="en-AU"/>
        </w:rPr>
        <w:t xml:space="preserve"> (a </w:t>
      </w:r>
      <w:r w:rsidR="008B670A" w:rsidRPr="008B670A">
        <w:rPr>
          <w:b/>
          <w:i/>
          <w:color w:val="000000" w:themeColor="text1"/>
          <w:lang w:eastAsia="en-AU"/>
        </w:rPr>
        <w:t>RIS</w:t>
      </w:r>
      <w:r w:rsidR="008B670A">
        <w:rPr>
          <w:color w:val="000000" w:themeColor="text1"/>
          <w:lang w:eastAsia="en-AU"/>
        </w:rPr>
        <w:t>)</w:t>
      </w:r>
      <w:r w:rsidRPr="004E11B7">
        <w:rPr>
          <w:color w:val="000000" w:themeColor="text1"/>
          <w:lang w:eastAsia="en-AU"/>
        </w:rPr>
        <w:t xml:space="preserve"> for the </w:t>
      </w:r>
      <w:r w:rsidR="008B670A">
        <w:rPr>
          <w:color w:val="000000" w:themeColor="text1"/>
          <w:lang w:eastAsia="en-AU"/>
        </w:rPr>
        <w:t xml:space="preserve">2013 </w:t>
      </w:r>
      <w:r w:rsidRPr="004E11B7">
        <w:rPr>
          <w:color w:val="000000" w:themeColor="text1"/>
          <w:lang w:eastAsia="en-AU"/>
        </w:rPr>
        <w:t xml:space="preserve">CAO was prepared by CASA and assessed by OBPR as adequate (OBPR id: 14395). </w:t>
      </w:r>
      <w:r w:rsidR="00C344DF">
        <w:rPr>
          <w:color w:val="000000" w:themeColor="text1"/>
          <w:lang w:eastAsia="en-AU"/>
        </w:rPr>
        <w:t>T</w:t>
      </w:r>
      <w:r w:rsidR="008B670A">
        <w:rPr>
          <w:color w:val="000000" w:themeColor="text1"/>
          <w:lang w:eastAsia="en-AU"/>
        </w:rPr>
        <w:t xml:space="preserve">he </w:t>
      </w:r>
      <w:r w:rsidR="00D91C2D">
        <w:rPr>
          <w:color w:val="000000" w:themeColor="text1"/>
          <w:lang w:eastAsia="en-AU"/>
        </w:rPr>
        <w:t>2019</w:t>
      </w:r>
      <w:r w:rsidR="008B670A">
        <w:rPr>
          <w:color w:val="000000" w:themeColor="text1"/>
          <w:lang w:eastAsia="en-AU"/>
        </w:rPr>
        <w:t xml:space="preserve"> CAO </w:t>
      </w:r>
      <w:r w:rsidR="006845C9">
        <w:rPr>
          <w:color w:val="000000" w:themeColor="text1"/>
          <w:lang w:eastAsia="en-AU"/>
        </w:rPr>
        <w:t>modifie</w:t>
      </w:r>
      <w:r w:rsidR="00D91C2D">
        <w:rPr>
          <w:color w:val="000000" w:themeColor="text1"/>
          <w:lang w:eastAsia="en-AU"/>
        </w:rPr>
        <w:t>d</w:t>
      </w:r>
      <w:r w:rsidR="008B670A">
        <w:rPr>
          <w:color w:val="000000" w:themeColor="text1"/>
          <w:lang w:eastAsia="en-AU"/>
        </w:rPr>
        <w:t xml:space="preserve"> some </w:t>
      </w:r>
      <w:r w:rsidR="006845C9">
        <w:rPr>
          <w:color w:val="000000" w:themeColor="text1"/>
          <w:lang w:eastAsia="en-AU"/>
        </w:rPr>
        <w:t>aspects of</w:t>
      </w:r>
      <w:r w:rsidR="008B670A">
        <w:rPr>
          <w:color w:val="000000" w:themeColor="text1"/>
          <w:lang w:eastAsia="en-AU"/>
        </w:rPr>
        <w:t xml:space="preserve"> the 2013 </w:t>
      </w:r>
      <w:proofErr w:type="gramStart"/>
      <w:r w:rsidR="008B670A">
        <w:rPr>
          <w:color w:val="000000" w:themeColor="text1"/>
          <w:lang w:eastAsia="en-AU"/>
        </w:rPr>
        <w:t>CAO,</w:t>
      </w:r>
      <w:proofErr w:type="gramEnd"/>
      <w:r w:rsidR="008B670A">
        <w:rPr>
          <w:color w:val="000000" w:themeColor="text1"/>
          <w:lang w:eastAsia="en-AU"/>
        </w:rPr>
        <w:t xml:space="preserve"> </w:t>
      </w:r>
      <w:r w:rsidR="00C344DF">
        <w:rPr>
          <w:color w:val="000000" w:themeColor="text1"/>
          <w:lang w:eastAsia="en-AU"/>
        </w:rPr>
        <w:t>however</w:t>
      </w:r>
      <w:r w:rsidR="002F05A2">
        <w:rPr>
          <w:color w:val="000000" w:themeColor="text1"/>
          <w:lang w:eastAsia="en-AU"/>
        </w:rPr>
        <w:t>,</w:t>
      </w:r>
      <w:r w:rsidR="00C344DF">
        <w:rPr>
          <w:color w:val="000000" w:themeColor="text1"/>
          <w:lang w:eastAsia="en-AU"/>
        </w:rPr>
        <w:t xml:space="preserve"> </w:t>
      </w:r>
      <w:r w:rsidR="006845C9">
        <w:rPr>
          <w:color w:val="000000" w:themeColor="text1"/>
          <w:lang w:eastAsia="en-AU"/>
        </w:rPr>
        <w:t>these</w:t>
      </w:r>
      <w:r w:rsidR="00D91C2D">
        <w:rPr>
          <w:color w:val="000000" w:themeColor="text1"/>
          <w:lang w:eastAsia="en-AU"/>
        </w:rPr>
        <w:t xml:space="preserve"> modifications did</w:t>
      </w:r>
      <w:r w:rsidR="008B670A">
        <w:rPr>
          <w:color w:val="000000" w:themeColor="text1"/>
          <w:lang w:eastAsia="en-AU"/>
        </w:rPr>
        <w:t xml:space="preserve"> not affect the underlying basis of, and the essential outcomes from, that RIS. </w:t>
      </w:r>
      <w:r w:rsidR="00655F48">
        <w:rPr>
          <w:color w:val="000000" w:themeColor="text1"/>
          <w:lang w:eastAsia="en-AU"/>
        </w:rPr>
        <w:t>OBPR agreed</w:t>
      </w:r>
      <w:r w:rsidR="0033572A">
        <w:rPr>
          <w:color w:val="000000" w:themeColor="text1"/>
          <w:lang w:eastAsia="en-AU"/>
        </w:rPr>
        <w:t xml:space="preserve"> with an assessment</w:t>
      </w:r>
      <w:r w:rsidR="00655F48">
        <w:rPr>
          <w:color w:val="000000" w:themeColor="text1"/>
          <w:lang w:eastAsia="en-AU"/>
        </w:rPr>
        <w:t xml:space="preserve"> that the</w:t>
      </w:r>
      <w:r w:rsidR="0033572A">
        <w:rPr>
          <w:color w:val="000000" w:themeColor="text1"/>
          <w:lang w:eastAsia="en-AU"/>
        </w:rPr>
        <w:t xml:space="preserve"> </w:t>
      </w:r>
      <w:r w:rsidR="00D91C2D">
        <w:rPr>
          <w:color w:val="000000" w:themeColor="text1"/>
          <w:lang w:eastAsia="en-AU"/>
        </w:rPr>
        <w:t xml:space="preserve">2019 </w:t>
      </w:r>
      <w:r w:rsidR="0033572A">
        <w:rPr>
          <w:color w:val="000000" w:themeColor="text1"/>
          <w:lang w:eastAsia="en-AU"/>
        </w:rPr>
        <w:t>CAO would represent</w:t>
      </w:r>
      <w:r w:rsidR="00C344DF">
        <w:rPr>
          <w:color w:val="000000"/>
        </w:rPr>
        <w:t xml:space="preserve"> a net reduction in costs to the aviation industry</w:t>
      </w:r>
      <w:r w:rsidR="00324F58">
        <w:rPr>
          <w:color w:val="000000"/>
        </w:rPr>
        <w:t xml:space="preserve"> and</w:t>
      </w:r>
      <w:r w:rsidR="00655F48">
        <w:rPr>
          <w:color w:val="000000"/>
        </w:rPr>
        <w:t xml:space="preserve"> </w:t>
      </w:r>
      <w:r w:rsidR="006845C9">
        <w:rPr>
          <w:color w:val="000000"/>
        </w:rPr>
        <w:t xml:space="preserve">it </w:t>
      </w:r>
      <w:r w:rsidR="00C344DF">
        <w:rPr>
          <w:color w:val="000000"/>
        </w:rPr>
        <w:t>considered that a further RIS was not required (OBPR id: 25114).</w:t>
      </w:r>
    </w:p>
    <w:p w14:paraId="04647EEF" w14:textId="1E66400A" w:rsidR="00D91C2D" w:rsidRDefault="00D91C2D" w:rsidP="00C344DF">
      <w:pPr>
        <w:pStyle w:val="LDBodytext"/>
        <w:rPr>
          <w:color w:val="000000"/>
        </w:rPr>
      </w:pPr>
    </w:p>
    <w:p w14:paraId="53B36F5C" w14:textId="33763748" w:rsidR="00D91C2D" w:rsidRPr="004E11B7" w:rsidRDefault="00D91C2D" w:rsidP="00C344DF">
      <w:pPr>
        <w:pStyle w:val="LDBodytext"/>
        <w:rPr>
          <w:color w:val="000000" w:themeColor="text1"/>
        </w:rPr>
      </w:pPr>
      <w:r>
        <w:rPr>
          <w:color w:val="000000"/>
        </w:rPr>
        <w:t>In addition, a</w:t>
      </w:r>
      <w:r w:rsidRPr="004E11B7">
        <w:rPr>
          <w:color w:val="000000" w:themeColor="text1"/>
          <w:lang w:eastAsia="en-AU"/>
        </w:rPr>
        <w:t xml:space="preserve"> </w:t>
      </w:r>
      <w:r>
        <w:rPr>
          <w:color w:val="000000" w:themeColor="text1"/>
          <w:lang w:eastAsia="en-AU"/>
        </w:rPr>
        <w:t>RIS</w:t>
      </w:r>
      <w:r w:rsidRPr="004E11B7">
        <w:rPr>
          <w:color w:val="000000" w:themeColor="text1"/>
          <w:lang w:eastAsia="en-AU"/>
        </w:rPr>
        <w:t xml:space="preserve"> </w:t>
      </w:r>
      <w:r>
        <w:rPr>
          <w:color w:val="000000" w:themeColor="text1"/>
          <w:lang w:eastAsia="en-AU"/>
        </w:rPr>
        <w:t xml:space="preserve">is not required under OBPR’s </w:t>
      </w:r>
      <w:r w:rsidRPr="00553AE9">
        <w:rPr>
          <w:i/>
          <w:iCs/>
          <w:color w:val="000000" w:themeColor="text1"/>
          <w:lang w:eastAsia="en-AU"/>
        </w:rPr>
        <w:t>Guidance Note: Carve Outs</w:t>
      </w:r>
      <w:r>
        <w:rPr>
          <w:color w:val="000000" w:themeColor="text1"/>
          <w:lang w:eastAsia="en-AU"/>
        </w:rPr>
        <w:t xml:space="preserve"> (February 2016) where approvals are considered to be minor or machinery instruments that do not substantially alter existing arrangements, and where they are required by the Act or the regulations in the course of their administration by CASA (OBPR id: 14507).</w:t>
      </w:r>
      <w:r w:rsidR="009C34BA">
        <w:rPr>
          <w:color w:val="000000" w:themeColor="text1"/>
          <w:lang w:eastAsia="en-AU"/>
        </w:rPr>
        <w:t xml:space="preserve"> The CAO amendment creates a</w:t>
      </w:r>
      <w:r w:rsidR="00AB275C">
        <w:rPr>
          <w:color w:val="000000" w:themeColor="text1"/>
          <w:lang w:eastAsia="en-AU"/>
        </w:rPr>
        <w:t>n administrative</w:t>
      </w:r>
      <w:r w:rsidR="009C34BA">
        <w:rPr>
          <w:color w:val="000000" w:themeColor="text1"/>
          <w:lang w:eastAsia="en-AU"/>
        </w:rPr>
        <w:t xml:space="preserve"> non-compliance approval mechanism. It is, therefore, of a minor or machinery</w:t>
      </w:r>
      <w:r w:rsidR="00AB22D5">
        <w:rPr>
          <w:color w:val="000000" w:themeColor="text1"/>
          <w:lang w:eastAsia="en-AU"/>
        </w:rPr>
        <w:t xml:space="preserve"> nature</w:t>
      </w:r>
      <w:r w:rsidR="009C34BA">
        <w:rPr>
          <w:color w:val="000000" w:themeColor="text1"/>
          <w:lang w:eastAsia="en-AU"/>
        </w:rPr>
        <w:t>, and made in the course of CASA’s administration of aviation safety requirements.</w:t>
      </w:r>
    </w:p>
    <w:p w14:paraId="3C1BD6B9" w14:textId="77777777" w:rsidR="00DE025B" w:rsidRPr="004E11B7" w:rsidRDefault="00DE025B" w:rsidP="00DE025B">
      <w:pPr>
        <w:pStyle w:val="LDBodytext"/>
        <w:rPr>
          <w:color w:val="000000" w:themeColor="text1"/>
        </w:rPr>
      </w:pPr>
    </w:p>
    <w:p w14:paraId="13094776"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660729F8" w14:textId="0B001138"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85779F" w:rsidRPr="009111D5">
        <w:rPr>
          <w:iCs/>
          <w:color w:val="000000" w:themeColor="text1"/>
        </w:rPr>
        <w:t>Act</w:t>
      </w:r>
      <w:r w:rsidR="0085779F" w:rsidRPr="004E11B7">
        <w:rPr>
          <w:color w:val="000000" w:themeColor="text1"/>
        </w:rPr>
        <w:t>.</w:t>
      </w:r>
    </w:p>
    <w:p w14:paraId="3BE20076" w14:textId="77777777" w:rsidR="006B500A" w:rsidRPr="004E11B7" w:rsidRDefault="006B500A" w:rsidP="006B500A">
      <w:pPr>
        <w:pStyle w:val="LDBodytext"/>
        <w:rPr>
          <w:color w:val="000000" w:themeColor="text1"/>
        </w:rPr>
      </w:pPr>
    </w:p>
    <w:p w14:paraId="683881E3" w14:textId="1838939D" w:rsidR="006B500A" w:rsidRPr="004E11B7" w:rsidRDefault="0085779F" w:rsidP="00220EFB">
      <w:pPr>
        <w:rPr>
          <w:color w:val="000000" w:themeColor="text1"/>
          <w:lang w:val="fr-FR"/>
        </w:rPr>
      </w:pPr>
      <w:r w:rsidRPr="004E11B7">
        <w:rPr>
          <w:color w:val="000000" w:themeColor="text1"/>
        </w:rPr>
        <w:t xml:space="preserve">The </w:t>
      </w:r>
      <w:r w:rsidR="00116A7C" w:rsidRPr="004E11B7">
        <w:rPr>
          <w:color w:val="000000" w:themeColor="text1"/>
        </w:rPr>
        <w:t>CAO</w:t>
      </w:r>
      <w:r w:rsidR="000550DD" w:rsidRPr="004E11B7">
        <w:rPr>
          <w:color w:val="000000" w:themeColor="text1"/>
        </w:rPr>
        <w:t xml:space="preserve"> commences</w:t>
      </w:r>
      <w:r w:rsidRPr="004E11B7">
        <w:rPr>
          <w:color w:val="000000" w:themeColor="text1"/>
        </w:rPr>
        <w:t xml:space="preserve"> on</w:t>
      </w:r>
      <w:r w:rsidR="00331B26" w:rsidRPr="004E11B7">
        <w:rPr>
          <w:color w:val="000000" w:themeColor="text1"/>
        </w:rPr>
        <w:t xml:space="preserve"> </w:t>
      </w:r>
      <w:r w:rsidR="009A49EF">
        <w:rPr>
          <w:color w:val="000000" w:themeColor="text1"/>
        </w:rPr>
        <w:t>the day it is registered</w:t>
      </w:r>
      <w:r w:rsidR="00C218EA" w:rsidRPr="004E11B7">
        <w:rPr>
          <w:color w:val="000000" w:themeColor="text1"/>
        </w:rPr>
        <w:t xml:space="preserve"> on the Federal Register of Legislati</w:t>
      </w:r>
      <w:r w:rsidR="002F05A2">
        <w:rPr>
          <w:color w:val="000000" w:themeColor="text1"/>
        </w:rPr>
        <w:t>on</w:t>
      </w:r>
      <w:r w:rsidR="009A49EF">
        <w:rPr>
          <w:color w:val="000000" w:themeColor="text1"/>
        </w:rPr>
        <w:t>.</w:t>
      </w:r>
    </w:p>
    <w:p w14:paraId="5ADBC531" w14:textId="77777777" w:rsidR="00220EFB" w:rsidRPr="004E11B7" w:rsidRDefault="00220EFB" w:rsidP="00220EFB">
      <w:pPr>
        <w:rPr>
          <w:color w:val="000000" w:themeColor="text1"/>
        </w:rPr>
      </w:pPr>
    </w:p>
    <w:p w14:paraId="0723CCB0" w14:textId="77777777" w:rsidR="00516F02" w:rsidRPr="0052749E" w:rsidRDefault="00516F02" w:rsidP="0072559C">
      <w:pPr>
        <w:pStyle w:val="LDClauseHeading"/>
        <w:pageBreakBefore/>
        <w:spacing w:before="0"/>
        <w:ind w:left="6498" w:firstLine="0"/>
        <w:jc w:val="right"/>
      </w:pPr>
      <w:r w:rsidRPr="0052749E">
        <w:lastRenderedPageBreak/>
        <w:t xml:space="preserve">Appendix </w:t>
      </w:r>
      <w:r>
        <w:t>1</w:t>
      </w:r>
    </w:p>
    <w:p w14:paraId="03702EE5" w14:textId="77777777" w:rsidR="00516F02" w:rsidRDefault="00516F02" w:rsidP="0072559C">
      <w:pPr>
        <w:spacing w:before="36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14:paraId="01C3A817" w14:textId="77777777" w:rsidR="00516F02" w:rsidRPr="00497CF2" w:rsidRDefault="00516F02" w:rsidP="00497CF2">
      <w:pPr>
        <w:pStyle w:val="LDBodytext"/>
      </w:pPr>
    </w:p>
    <w:p w14:paraId="4A1423DE" w14:textId="4581B775" w:rsidR="00516F02" w:rsidRPr="00746C6D" w:rsidRDefault="00516F02" w:rsidP="00516F02">
      <w:r>
        <w:t xml:space="preserve">Under </w:t>
      </w:r>
      <w:r w:rsidRPr="00746C6D">
        <w:t xml:space="preserve">section 27 of the </w:t>
      </w:r>
      <w:r w:rsidRPr="009111D5">
        <w:t>Act</w:t>
      </w:r>
      <w:r w:rsidRPr="00746C6D">
        <w:t xml:space="preserve">, CASA may issue </w:t>
      </w:r>
      <w:r w:rsidR="003B3316" w:rsidRPr="00BD782C">
        <w:t>Air Operator</w:t>
      </w:r>
      <w:r w:rsidR="002F05A2">
        <w:t>s’</w:t>
      </w:r>
      <w:r w:rsidR="003B3316" w:rsidRPr="00BD782C">
        <w:t xml:space="preserve"> Certificate</w:t>
      </w:r>
      <w:r w:rsidR="003B3316">
        <w:t>s</w:t>
      </w:r>
      <w:r w:rsidR="003B3316" w:rsidRPr="00BD782C">
        <w:t xml:space="preserve"> </w:t>
      </w:r>
      <w:r w:rsidR="003B3316">
        <w:t>(</w:t>
      </w:r>
      <w:r w:rsidRPr="003B3316">
        <w:rPr>
          <w:b/>
          <w:bCs/>
          <w:i/>
          <w:iCs/>
        </w:rPr>
        <w:t>AOCs</w:t>
      </w:r>
      <w:r w:rsidR="003B3316">
        <w:t>)</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01B0C742" w14:textId="77777777" w:rsidR="00516F02" w:rsidRPr="00746C6D" w:rsidRDefault="00516F02" w:rsidP="00516F02">
      <w:pPr>
        <w:pStyle w:val="LDBodytext"/>
      </w:pPr>
    </w:p>
    <w:p w14:paraId="75D8DDA7" w14:textId="2402963F" w:rsidR="00516F02" w:rsidRPr="00746C6D" w:rsidRDefault="00516F02" w:rsidP="00516F02">
      <w:r w:rsidRPr="00746C6D">
        <w:t xml:space="preserve">Under paragraph 28BA (1) (b) of the Act, an AOC has effect subject to any conditions specified in the regulations or </w:t>
      </w:r>
      <w:r w:rsidRPr="009111D5">
        <w:rPr>
          <w:bCs/>
          <w:iCs/>
        </w:rPr>
        <w:t>CAOs</w:t>
      </w:r>
      <w:r>
        <w:t>.</w:t>
      </w:r>
    </w:p>
    <w:p w14:paraId="1BBC5618" w14:textId="77777777" w:rsidR="00516F02" w:rsidRPr="00746C6D" w:rsidRDefault="00516F02" w:rsidP="00516F02"/>
    <w:p w14:paraId="233F9C08" w14:textId="2E5E097C"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w:t>
      </w:r>
      <w:r w:rsidR="002F05A2">
        <w:t>f</w:t>
      </w:r>
      <w:r w:rsidRPr="00746C6D">
        <w:t xml:space="preserve"> AOCs).</w:t>
      </w:r>
    </w:p>
    <w:p w14:paraId="5A51930E" w14:textId="77777777" w:rsidR="00516F02" w:rsidRPr="00746C6D" w:rsidRDefault="00516F02" w:rsidP="00516F02">
      <w:pPr>
        <w:pStyle w:val="LDBodytext"/>
      </w:pPr>
    </w:p>
    <w:p w14:paraId="57A1B3BC" w14:textId="5EE48E44" w:rsidR="00036BD1" w:rsidRDefault="00C31337" w:rsidP="00AE486D">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AF3C62">
        <w:t>,</w:t>
      </w:r>
      <w:r w:rsidR="00E564F3" w:rsidRPr="00B5277A">
        <w:t xml:space="preserve"> the power shall be construed as including a power exercisable in the like manner and subject to the like conditions (if any) to </w:t>
      </w:r>
      <w:r w:rsidR="00ED05CB">
        <w:t>amend or vary</w:t>
      </w:r>
      <w:r w:rsidR="00E564F3" w:rsidRPr="00B5277A">
        <w:t xml:space="preserve"> any such instrument.</w:t>
      </w:r>
      <w:r w:rsidR="00E564F3">
        <w:t xml:space="preserve"> </w:t>
      </w:r>
    </w:p>
    <w:p w14:paraId="232DE03B" w14:textId="6DA9055E" w:rsidR="00B24F66" w:rsidRPr="0052749E" w:rsidRDefault="009A49EF" w:rsidP="0072559C">
      <w:pPr>
        <w:pStyle w:val="LDClauseHeading"/>
        <w:pageBreakBefore/>
        <w:spacing w:before="60"/>
        <w:ind w:left="0" w:firstLine="0"/>
        <w:jc w:val="right"/>
      </w:pPr>
      <w:r>
        <w:lastRenderedPageBreak/>
        <w:t>A</w:t>
      </w:r>
      <w:r w:rsidR="00B24F66" w:rsidRPr="0052749E">
        <w:t xml:space="preserve">ppendix </w:t>
      </w:r>
      <w:r w:rsidR="00F31104">
        <w:t>2</w:t>
      </w:r>
    </w:p>
    <w:p w14:paraId="31FFF7A6" w14:textId="77777777" w:rsidR="00B24F66" w:rsidRPr="0052749E" w:rsidRDefault="00B24F66" w:rsidP="0072559C">
      <w:pPr>
        <w:spacing w:before="360"/>
        <w:rPr>
          <w:rFonts w:ascii="Arial" w:hAnsi="Arial" w:cs="Arial"/>
          <w:b/>
        </w:rPr>
      </w:pPr>
      <w:r>
        <w:rPr>
          <w:rFonts w:ascii="Arial" w:hAnsi="Arial" w:cs="Arial"/>
          <w:b/>
        </w:rPr>
        <w:t>Why the CAO is a legislative instrument</w:t>
      </w:r>
    </w:p>
    <w:p w14:paraId="4B063633" w14:textId="6D453BE4" w:rsidR="00B67E44" w:rsidRDefault="00F31104" w:rsidP="0072559C">
      <w:r>
        <w:t>P</w:t>
      </w:r>
      <w:r w:rsidR="004F425E" w:rsidRPr="00746C6D">
        <w:t xml:space="preserve">aragraph 28BA (1) (b) of the Act provides that an </w:t>
      </w:r>
      <w:r w:rsidR="004F425E" w:rsidRPr="00275D5A">
        <w:t>AOC</w:t>
      </w:r>
      <w:r w:rsidR="004F425E" w:rsidRPr="00746C6D">
        <w:t xml:space="preserve">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p>
    <w:p w14:paraId="42F0DFFA" w14:textId="77777777" w:rsidR="00B67E44" w:rsidRDefault="00B67E44" w:rsidP="0072559C"/>
    <w:p w14:paraId="398DC660" w14:textId="14179B3B" w:rsidR="00B67E44" w:rsidRDefault="00A234E8" w:rsidP="0072559C">
      <w:r w:rsidRPr="00746C6D">
        <w:t xml:space="preserve">By </w:t>
      </w:r>
      <w:r>
        <w:t xml:space="preserve">so </w:t>
      </w:r>
      <w:r w:rsidRPr="00746C6D">
        <w:t>providing</w:t>
      </w:r>
      <w:r>
        <w:t>,</w:t>
      </w:r>
      <w:r w:rsidRPr="00746C6D">
        <w:t xml:space="preserve"> </w:t>
      </w:r>
      <w:r w:rsidR="00FE2073">
        <w:t xml:space="preserve">paragraph </w:t>
      </w:r>
      <w:r w:rsidRPr="00746C6D">
        <w:t>28BA (1) (b) of the Act is</w:t>
      </w:r>
      <w:r>
        <w:t xml:space="preserve"> considered to be</w:t>
      </w:r>
      <w:r w:rsidRPr="00746C6D">
        <w:t xml:space="preserve"> a separate head of power for the</w:t>
      </w:r>
      <w:r>
        <w:t xml:space="preserve"> </w:t>
      </w:r>
      <w:r w:rsidRPr="00746C6D">
        <w:t>making of relevant CAOs.</w:t>
      </w:r>
    </w:p>
    <w:p w14:paraId="15F4AED3" w14:textId="77777777" w:rsidR="00B67E44" w:rsidRDefault="00B67E44" w:rsidP="0072559C"/>
    <w:p w14:paraId="45540458" w14:textId="68AAF495" w:rsidR="00B67E44" w:rsidRDefault="00DB7070" w:rsidP="0072559C">
      <w:r>
        <w:t>The CAO</w:t>
      </w:r>
      <w:r w:rsidR="00F31104">
        <w:t xml:space="preserve"> amendment amends the 2019 CAO which </w:t>
      </w:r>
      <w:r>
        <w:t>impose</w:t>
      </w:r>
      <w:r w:rsidR="00F31104">
        <w:t>d</w:t>
      </w:r>
      <w:r>
        <w:t xml:space="preserve"> conditions on AOCs to which it applie</w:t>
      </w:r>
      <w:r w:rsidR="00F31104">
        <w:t>d</w:t>
      </w:r>
      <w:r>
        <w:t>.</w:t>
      </w:r>
    </w:p>
    <w:p w14:paraId="44CAE9E3" w14:textId="77777777" w:rsidR="00B67E44" w:rsidRDefault="00B67E44" w:rsidP="0072559C"/>
    <w:p w14:paraId="6F85C333" w14:textId="4D75756B" w:rsidR="00A234E8" w:rsidRPr="00746C6D" w:rsidRDefault="00A234E8" w:rsidP="0072559C">
      <w:r w:rsidRPr="00746C6D">
        <w:t xml:space="preserve">For </w:t>
      </w:r>
      <w:r w:rsidR="00F449C6">
        <w:t>sub</w:t>
      </w:r>
      <w:r w:rsidRPr="00746C6D">
        <w:t xml:space="preserve">section </w:t>
      </w:r>
      <w:r w:rsidR="00F449C6">
        <w:t>8</w:t>
      </w:r>
      <w:r w:rsidR="005820EC">
        <w:t> </w:t>
      </w:r>
      <w:r w:rsidR="00F449C6">
        <w:t>(4)</w:t>
      </w:r>
      <w:r w:rsidRPr="00746C6D">
        <w:t xml:space="preserve"> of the LA</w:t>
      </w:r>
      <w:r w:rsidR="005820EC">
        <w:t xml:space="preserve"> </w:t>
      </w:r>
      <w:r w:rsidR="00F449C6">
        <w:t>(</w:t>
      </w:r>
      <w:r>
        <w:t xml:space="preserve">the definition of a </w:t>
      </w:r>
      <w:r w:rsidRPr="00BE49AC">
        <w:rPr>
          <w:b/>
          <w:bCs/>
          <w:i/>
          <w:iCs/>
        </w:rPr>
        <w:t>legislative instrument</w:t>
      </w:r>
      <w:r w:rsidR="00F449C6">
        <w:t>)</w:t>
      </w:r>
      <w:r w:rsidR="0072559C">
        <w:t>,</w:t>
      </w:r>
      <w:r w:rsidRPr="00746C6D">
        <w:t xml:space="preserve"> such </w:t>
      </w:r>
      <w:r w:rsidR="00DB7070">
        <w:t xml:space="preserve">a </w:t>
      </w:r>
      <w:r w:rsidRPr="00746C6D">
        <w:t>CAO</w:t>
      </w:r>
      <w:r w:rsidR="00B67E44">
        <w:t>,</w:t>
      </w:r>
      <w:r w:rsidR="00F31104">
        <w:t xml:space="preserve"> and any amendment of it</w:t>
      </w:r>
      <w:r w:rsidR="00B67E44">
        <w:t>,</w:t>
      </w:r>
      <w:r w:rsidR="00F449C6">
        <w:t xml:space="preserve"> has a </w:t>
      </w:r>
      <w:r w:rsidR="00DB7070">
        <w:t>legislative character</w:t>
      </w:r>
      <w:r w:rsidR="00F449C6">
        <w:t xml:space="preserve"> (it determines and alters the law an</w:t>
      </w:r>
      <w:r w:rsidR="0072559C">
        <w:t>d</w:t>
      </w:r>
      <w:r w:rsidR="00F449C6">
        <w:t xml:space="preserve"> imposes obligations)</w:t>
      </w:r>
      <w:r w:rsidR="00DB7070">
        <w:t xml:space="preserve"> and is, therefore, a </w:t>
      </w:r>
      <w:r w:rsidRPr="00746C6D">
        <w:t>legislative</w:t>
      </w:r>
      <w:r>
        <w:t xml:space="preserve"> </w:t>
      </w:r>
      <w:r w:rsidRPr="00746C6D">
        <w:t xml:space="preserve">instrument subject to </w:t>
      </w:r>
      <w:r>
        <w:t xml:space="preserve">registration, and </w:t>
      </w:r>
      <w:r w:rsidRPr="00746C6D">
        <w:t>tabling and disallowance in the Parliament</w:t>
      </w:r>
      <w:r>
        <w:t>,</w:t>
      </w:r>
      <w:r w:rsidRPr="00746C6D">
        <w:t xml:space="preserve"> under sections</w:t>
      </w:r>
      <w:r w:rsidR="000111B4">
        <w:t xml:space="preserve"> </w:t>
      </w:r>
      <w:r w:rsidR="00BA0D29">
        <w:t>15G</w:t>
      </w:r>
      <w:r>
        <w:t xml:space="preserve">, and </w:t>
      </w:r>
      <w:r w:rsidRPr="00746C6D">
        <w:t>38</w:t>
      </w:r>
      <w:r>
        <w:t xml:space="preserve"> </w:t>
      </w:r>
      <w:r w:rsidRPr="00746C6D">
        <w:t>and 42</w:t>
      </w:r>
      <w:r w:rsidR="00FE2073">
        <w:t>,</w:t>
      </w:r>
      <w:r w:rsidRPr="00746C6D">
        <w:t xml:space="preserve"> of the LA.</w:t>
      </w:r>
    </w:p>
    <w:p w14:paraId="799E7848" w14:textId="77777777" w:rsidR="004F425E" w:rsidRPr="00746C6D" w:rsidRDefault="004F425E" w:rsidP="0072559C"/>
    <w:p w14:paraId="7DB9DFBC" w14:textId="0175E348" w:rsidR="00B67E44" w:rsidRDefault="00F31104" w:rsidP="0072559C">
      <w:r>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w:t>
      </w:r>
      <w:r w:rsidR="00B67E44">
        <w:t>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5820EC">
        <w:t> </w:t>
      </w:r>
      <w:r w:rsidR="004F425E">
        <w:t>28BA.</w:t>
      </w:r>
    </w:p>
    <w:p w14:paraId="64393563" w14:textId="77777777" w:rsidR="00B67E44" w:rsidRDefault="00B67E44" w:rsidP="0072559C"/>
    <w:p w14:paraId="4F794CA1" w14:textId="33AF1BAE" w:rsidR="004F425E" w:rsidRPr="00746C6D" w:rsidRDefault="00DB7070" w:rsidP="0072559C">
      <w:r>
        <w:t xml:space="preserve">The </w:t>
      </w:r>
      <w:r w:rsidR="00F87256">
        <w:t xml:space="preserve">2019 </w:t>
      </w:r>
      <w:r>
        <w:t>CAO impose</w:t>
      </w:r>
      <w:r w:rsidR="00F87256">
        <w:t>d</w:t>
      </w:r>
      <w:r>
        <w:t xml:space="preserve"> conditions on AOCs to which it applies. </w:t>
      </w:r>
      <w:r w:rsidR="004F425E" w:rsidRPr="00746C6D">
        <w:t>Under subsection</w:t>
      </w:r>
      <w:r w:rsidR="009111D5">
        <w:t> </w:t>
      </w:r>
      <w:r w:rsidR="004F425E" w:rsidRPr="00746C6D">
        <w:t>98 (4B) of the Act, a CAO</w:t>
      </w:r>
      <w:r w:rsidR="00F87256">
        <w:t xml:space="preserve"> (or CAO amendment)</w:t>
      </w:r>
      <w:r w:rsidR="004F425E" w:rsidRPr="00746C6D">
        <w:t xml:space="preserve"> issued under subsection</w:t>
      </w:r>
      <w:r w:rsidR="009111D5">
        <w:t> </w:t>
      </w:r>
      <w:r w:rsidR="004F425E" w:rsidRPr="00746C6D">
        <w:t>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BA0D29">
        <w:t>15G</w:t>
      </w:r>
      <w:r w:rsidR="004F425E">
        <w:t xml:space="preserve">, </w:t>
      </w:r>
      <w:r w:rsidR="00B24F66">
        <w:t xml:space="preserve">and </w:t>
      </w:r>
      <w:r w:rsidR="004F425E" w:rsidRPr="00746C6D">
        <w:t>38 and 42</w:t>
      </w:r>
      <w:r w:rsidR="00FE2073">
        <w:t>,</w:t>
      </w:r>
      <w:r w:rsidR="004F425E" w:rsidRPr="00746C6D">
        <w:t xml:space="preserve"> of the LA.</w:t>
      </w:r>
    </w:p>
    <w:p w14:paraId="7B7D9AAB" w14:textId="77777777" w:rsidR="004F425E" w:rsidRPr="00746C6D" w:rsidRDefault="004F425E" w:rsidP="0072559C">
      <w:pPr>
        <w:pStyle w:val="LDBodytext"/>
      </w:pPr>
    </w:p>
    <w:p w14:paraId="1CA39EB0" w14:textId="2FD0C733" w:rsidR="004F425E" w:rsidRPr="00746C6D" w:rsidRDefault="004F425E" w:rsidP="0072559C">
      <w:r w:rsidRPr="00746C6D">
        <w:t xml:space="preserve">The </w:t>
      </w:r>
      <w:r w:rsidR="00116A7C">
        <w:t>CAO</w:t>
      </w:r>
      <w:r w:rsidRPr="00746C6D">
        <w:t xml:space="preserve"> </w:t>
      </w:r>
      <w:r w:rsidR="00F31104">
        <w:t xml:space="preserve">amendment </w:t>
      </w:r>
      <w:r w:rsidRPr="00746C6D">
        <w:t xml:space="preserve">is made under </w:t>
      </w:r>
      <w:r w:rsidR="00DB7070">
        <w:t>these various heads of power and</w:t>
      </w:r>
      <w:r w:rsidRPr="00746C6D">
        <w:t xml:space="preserve"> is a legislative instrument.</w:t>
      </w:r>
    </w:p>
    <w:p w14:paraId="4C0B967C" w14:textId="78EC0D55" w:rsidR="00A77403" w:rsidRPr="0052749E" w:rsidRDefault="00A77403" w:rsidP="00425155">
      <w:pPr>
        <w:pStyle w:val="LDClauseHeading"/>
        <w:pageBreakBefore/>
        <w:spacing w:before="0"/>
        <w:ind w:left="0" w:firstLine="0"/>
        <w:jc w:val="right"/>
      </w:pPr>
      <w:r w:rsidRPr="0052749E">
        <w:lastRenderedPageBreak/>
        <w:t xml:space="preserve">Appendix </w:t>
      </w:r>
      <w:r w:rsidR="00275D5A">
        <w:t>3</w:t>
      </w:r>
    </w:p>
    <w:p w14:paraId="7398F700" w14:textId="77777777"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14:paraId="4E48A0AD" w14:textId="77777777"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14:paraId="5348F96B" w14:textId="570773EB" w:rsidR="00A77403" w:rsidRPr="000A5835" w:rsidRDefault="00A77403" w:rsidP="00A77403">
      <w:pPr>
        <w:spacing w:before="480" w:after="480"/>
        <w:jc w:val="center"/>
        <w:rPr>
          <w:rFonts w:ascii="Arial" w:hAnsi="Arial" w:cs="Arial"/>
          <w:b/>
        </w:rPr>
      </w:pPr>
      <w:r w:rsidRPr="000A5835">
        <w:rPr>
          <w:rFonts w:ascii="Arial" w:hAnsi="Arial" w:cs="Arial"/>
          <w:b/>
        </w:rPr>
        <w:t xml:space="preserve">Civil Aviation Order </w:t>
      </w:r>
      <w:r>
        <w:rPr>
          <w:rFonts w:ascii="Arial" w:hAnsi="Arial" w:cs="Arial"/>
          <w:b/>
        </w:rPr>
        <w:t>48.1</w:t>
      </w:r>
      <w:r w:rsidRPr="000A5835">
        <w:rPr>
          <w:rFonts w:ascii="Arial" w:hAnsi="Arial" w:cs="Arial"/>
          <w:b/>
        </w:rPr>
        <w:t xml:space="preserve"> </w:t>
      </w:r>
      <w:r w:rsidR="009A49EF">
        <w:rPr>
          <w:rFonts w:ascii="Arial" w:hAnsi="Arial" w:cs="Arial"/>
          <w:b/>
        </w:rPr>
        <w:t xml:space="preserve">Amendment </w:t>
      </w:r>
      <w:r w:rsidRPr="000A5835">
        <w:rPr>
          <w:rFonts w:ascii="Arial" w:hAnsi="Arial" w:cs="Arial"/>
          <w:b/>
        </w:rPr>
        <w:t>Instrument 201</w:t>
      </w:r>
      <w:r w:rsidR="00254409">
        <w:rPr>
          <w:rFonts w:ascii="Arial" w:hAnsi="Arial" w:cs="Arial"/>
          <w:b/>
        </w:rPr>
        <w:t>9</w:t>
      </w:r>
      <w:r w:rsidR="009A49EF">
        <w:rPr>
          <w:rFonts w:ascii="Arial" w:hAnsi="Arial" w:cs="Arial"/>
          <w:b/>
        </w:rPr>
        <w:t xml:space="preserve"> </w:t>
      </w:r>
      <w:r w:rsidR="001E02AA">
        <w:rPr>
          <w:rFonts w:ascii="Arial" w:hAnsi="Arial" w:cs="Arial"/>
          <w:b/>
        </w:rPr>
        <w:t>(</w:t>
      </w:r>
      <w:r w:rsidR="009A49EF">
        <w:rPr>
          <w:rFonts w:ascii="Arial" w:hAnsi="Arial" w:cs="Arial"/>
          <w:b/>
        </w:rPr>
        <w:t>No. 1)</w:t>
      </w:r>
    </w:p>
    <w:p w14:paraId="31955F47" w14:textId="77777777"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4A7505BA" w14:textId="77777777" w:rsidR="00A77403" w:rsidRPr="00920500" w:rsidRDefault="00A77403" w:rsidP="00A77403">
      <w:pPr>
        <w:jc w:val="both"/>
        <w:rPr>
          <w:b/>
        </w:rPr>
      </w:pPr>
      <w:r w:rsidRPr="00920500">
        <w:rPr>
          <w:b/>
        </w:rPr>
        <w:t>Overview of the legislative instrument</w:t>
      </w:r>
    </w:p>
    <w:p w14:paraId="2EE1613F" w14:textId="01EE9370" w:rsidR="00755EA0" w:rsidRDefault="0042255A" w:rsidP="00755EA0">
      <w:r w:rsidRPr="00BD782C">
        <w:t xml:space="preserve">The purpose of </w:t>
      </w:r>
      <w:r w:rsidRPr="00BD782C">
        <w:rPr>
          <w:i/>
        </w:rPr>
        <w:t xml:space="preserve">Civil Aviation Order 48.1 </w:t>
      </w:r>
      <w:r w:rsidR="009A49EF">
        <w:rPr>
          <w:i/>
        </w:rPr>
        <w:t xml:space="preserve">Amendment </w:t>
      </w:r>
      <w:r w:rsidRPr="00BD782C">
        <w:rPr>
          <w:i/>
        </w:rPr>
        <w:t>Instrument 201</w:t>
      </w:r>
      <w:r>
        <w:rPr>
          <w:i/>
        </w:rPr>
        <w:t>9</w:t>
      </w:r>
      <w:r w:rsidR="009A49EF">
        <w:rPr>
          <w:i/>
        </w:rPr>
        <w:t xml:space="preserve"> (No. 1)</w:t>
      </w:r>
      <w:r w:rsidRPr="00BD782C">
        <w:rPr>
          <w:i/>
        </w:rPr>
        <w:t xml:space="preserve"> </w:t>
      </w:r>
      <w:r w:rsidRPr="00BD782C">
        <w:t xml:space="preserve">(the </w:t>
      </w:r>
      <w:r w:rsidRPr="004913B0">
        <w:rPr>
          <w:b/>
          <w:i/>
        </w:rPr>
        <w:t>CAO</w:t>
      </w:r>
      <w:r w:rsidR="001E02AA">
        <w:rPr>
          <w:b/>
          <w:i/>
        </w:rPr>
        <w:t xml:space="preserve"> amendment</w:t>
      </w:r>
      <w:r w:rsidRPr="00BD782C">
        <w:t xml:space="preserve">) is to </w:t>
      </w:r>
      <w:r w:rsidR="00755EA0">
        <w:t xml:space="preserve">give CASA the ability to approve </w:t>
      </w:r>
      <w:r w:rsidR="00AB275C">
        <w:t>limited or minor</w:t>
      </w:r>
      <w:r w:rsidR="00755EA0">
        <w:t xml:space="preserve"> non</w:t>
      </w:r>
      <w:r w:rsidR="00275D5A">
        <w:noBreakHyphen/>
      </w:r>
      <w:r w:rsidR="00755EA0">
        <w:t xml:space="preserve">compliance with specified fatigue risk management provisions that would otherwise apply to </w:t>
      </w:r>
      <w:r w:rsidR="00AB275C">
        <w:t>a</w:t>
      </w:r>
      <w:r w:rsidR="00755EA0">
        <w:t xml:space="preserve"> person. The persons are </w:t>
      </w:r>
      <w:r w:rsidR="009111D5">
        <w:rPr>
          <w:iCs/>
        </w:rPr>
        <w:t>holders of air operator certificates (</w:t>
      </w:r>
      <w:r w:rsidR="009111D5" w:rsidRPr="00D41B46">
        <w:rPr>
          <w:b/>
          <w:bCs/>
          <w:i/>
        </w:rPr>
        <w:t>AOC</w:t>
      </w:r>
      <w:r w:rsidR="00275D5A">
        <w:rPr>
          <w:b/>
          <w:bCs/>
          <w:i/>
        </w:rPr>
        <w:t> </w:t>
      </w:r>
      <w:r w:rsidR="009111D5" w:rsidRPr="00D41B46">
        <w:rPr>
          <w:b/>
          <w:bCs/>
          <w:i/>
        </w:rPr>
        <w:t>holders</w:t>
      </w:r>
      <w:r w:rsidR="009111D5">
        <w:rPr>
          <w:iCs/>
        </w:rPr>
        <w:t xml:space="preserve">) </w:t>
      </w:r>
      <w:r w:rsidR="00755EA0">
        <w:t>and a non-compliance approval would also cover their flight crew members.</w:t>
      </w:r>
    </w:p>
    <w:p w14:paraId="175C693C" w14:textId="77777777" w:rsidR="00755EA0" w:rsidRDefault="00755EA0" w:rsidP="00755EA0"/>
    <w:p w14:paraId="4F3DD0E1" w14:textId="555E57C8" w:rsidR="00755EA0" w:rsidRDefault="00755EA0" w:rsidP="00755EA0">
      <w:r>
        <w:t>The approval process would be available in relation to an AOC holder engaged in an aerial work operation that is an emergency services operation, and to whom, under transitional provisions, a Civil Aviation Order (</w:t>
      </w:r>
      <w:r w:rsidRPr="003537F2">
        <w:rPr>
          <w:b/>
          <w:bCs/>
          <w:i/>
          <w:iCs/>
        </w:rPr>
        <w:t>CAO</w:t>
      </w:r>
      <w:r>
        <w:t xml:space="preserve">) that is a repealed predecessor to </w:t>
      </w:r>
      <w:r w:rsidRPr="003537F2">
        <w:rPr>
          <w:i/>
          <w:iCs/>
        </w:rPr>
        <w:t>Civil Aviation Order 4</w:t>
      </w:r>
      <w:r w:rsidR="00232C7C">
        <w:rPr>
          <w:i/>
          <w:iCs/>
        </w:rPr>
        <w:t>8</w:t>
      </w:r>
      <w:r w:rsidRPr="003537F2">
        <w:rPr>
          <w:i/>
          <w:iCs/>
        </w:rPr>
        <w:t>.1 Instrument 2019</w:t>
      </w:r>
      <w:r>
        <w:rPr>
          <w:i/>
          <w:iCs/>
        </w:rPr>
        <w:t xml:space="preserve"> </w:t>
      </w:r>
      <w:r w:rsidRPr="00DD6C1D">
        <w:t xml:space="preserve">(the </w:t>
      </w:r>
      <w:r w:rsidRPr="00DD6C1D">
        <w:rPr>
          <w:b/>
          <w:bCs/>
          <w:i/>
          <w:iCs/>
        </w:rPr>
        <w:t>2019 CAO</w:t>
      </w:r>
      <w:r w:rsidRPr="00DD6C1D">
        <w:t>)</w:t>
      </w:r>
      <w:r>
        <w:t xml:space="preserve"> still applies.</w:t>
      </w:r>
    </w:p>
    <w:p w14:paraId="1183166B" w14:textId="77777777" w:rsidR="00755EA0" w:rsidRDefault="00755EA0" w:rsidP="00755EA0"/>
    <w:p w14:paraId="5189D547" w14:textId="0EEEF502" w:rsidR="00755EA0" w:rsidRDefault="00755EA0" w:rsidP="00755EA0">
      <w:r>
        <w:t>The approval process would also be available in relation to an AOC holder (including a Part 141 certificate holder) engaged in any operation and to whom the 2019 CAO itself applies.</w:t>
      </w:r>
    </w:p>
    <w:p w14:paraId="2FC7EA8C" w14:textId="77777777" w:rsidR="00755EA0" w:rsidRDefault="00755EA0" w:rsidP="00755EA0"/>
    <w:p w14:paraId="4B63BD3E" w14:textId="389ACDE2" w:rsidR="003B3480" w:rsidRDefault="003B3480" w:rsidP="003B3480">
      <w:r>
        <w:t>These approval process</w:t>
      </w:r>
      <w:r w:rsidR="00314A65">
        <w:t>es</w:t>
      </w:r>
      <w:r>
        <w:t xml:space="preserve"> would be a lawful form of something that has some of the characteristics of an exemption process. There are legal difficulties around using the exemption power in Part 11 of the </w:t>
      </w:r>
      <w:r w:rsidRPr="00677D78">
        <w:rPr>
          <w:i/>
          <w:iCs/>
        </w:rPr>
        <w:t xml:space="preserve">Civil Aviation </w:t>
      </w:r>
      <w:r>
        <w:rPr>
          <w:i/>
          <w:iCs/>
        </w:rPr>
        <w:t>S</w:t>
      </w:r>
      <w:r w:rsidRPr="00677D78">
        <w:rPr>
          <w:i/>
          <w:iCs/>
        </w:rPr>
        <w:t>afety Regulations 1998</w:t>
      </w:r>
      <w:r>
        <w:t xml:space="preserve"> for this purpose.</w:t>
      </w:r>
    </w:p>
    <w:p w14:paraId="3EDFE859" w14:textId="77777777" w:rsidR="00755EA0" w:rsidRPr="00275D5A" w:rsidRDefault="00755EA0" w:rsidP="00275D5A">
      <w:pPr>
        <w:pStyle w:val="BodyText"/>
        <w:rPr>
          <w:rFonts w:ascii="Times New Roman" w:hAnsi="Times New Roman"/>
          <w:bCs/>
        </w:rPr>
      </w:pPr>
    </w:p>
    <w:p w14:paraId="43E52777" w14:textId="3D0EC8DA" w:rsidR="00A77403" w:rsidRDefault="00A77403" w:rsidP="00A77403">
      <w:pPr>
        <w:jc w:val="both"/>
        <w:rPr>
          <w:b/>
        </w:rPr>
      </w:pPr>
      <w:r w:rsidRPr="00920500">
        <w:rPr>
          <w:b/>
        </w:rPr>
        <w:t>Human rights implications</w:t>
      </w:r>
    </w:p>
    <w:p w14:paraId="0BCD1BCB" w14:textId="777CD690" w:rsidR="00AB22D5" w:rsidRDefault="00A77849" w:rsidP="00A77403">
      <w:pPr>
        <w:jc w:val="both"/>
      </w:pPr>
      <w:r w:rsidRPr="00A77849">
        <w:t>The instrument</w:t>
      </w:r>
      <w:r>
        <w:t xml:space="preserve"> </w:t>
      </w:r>
      <w:r w:rsidR="00755EA0">
        <w:t xml:space="preserve">does not </w:t>
      </w:r>
      <w:r>
        <w:t xml:space="preserve">engage </w:t>
      </w:r>
      <w:r w:rsidR="00755EA0">
        <w:t>any</w:t>
      </w:r>
      <w:r>
        <w:t xml:space="preserve"> human rights protections</w:t>
      </w:r>
      <w:r w:rsidR="00755EA0">
        <w:t xml:space="preserve">. It provides a beneficial </w:t>
      </w:r>
      <w:r w:rsidR="003B3480">
        <w:t>non-compliance approval</w:t>
      </w:r>
      <w:r w:rsidR="00755EA0">
        <w:t xml:space="preserve"> power</w:t>
      </w:r>
      <w:r w:rsidR="000D13D2">
        <w:t xml:space="preserve"> </w:t>
      </w:r>
      <w:r w:rsidR="00755EA0">
        <w:t xml:space="preserve">to address unforeseen contingencies in the application of </w:t>
      </w:r>
      <w:r w:rsidR="00AB22D5">
        <w:t>the 2019 CAO.</w:t>
      </w:r>
    </w:p>
    <w:p w14:paraId="392451EB" w14:textId="77777777" w:rsidR="00AB22D5" w:rsidRPr="00275D5A" w:rsidRDefault="00AB22D5" w:rsidP="006914A2">
      <w:pPr>
        <w:pStyle w:val="BodyText"/>
        <w:rPr>
          <w:rFonts w:ascii="Times New Roman" w:hAnsi="Times New Roman"/>
          <w:bCs/>
        </w:rPr>
      </w:pPr>
    </w:p>
    <w:p w14:paraId="01F2F3C1" w14:textId="56B00107" w:rsidR="006914A2" w:rsidRPr="006914A2" w:rsidRDefault="006914A2" w:rsidP="006914A2">
      <w:pPr>
        <w:pStyle w:val="BodyText"/>
        <w:rPr>
          <w:rFonts w:ascii="Times New Roman" w:hAnsi="Times New Roman"/>
          <w:b/>
        </w:rPr>
      </w:pPr>
      <w:r w:rsidRPr="006914A2">
        <w:rPr>
          <w:rFonts w:ascii="Times New Roman" w:hAnsi="Times New Roman"/>
          <w:b/>
        </w:rPr>
        <w:t>Conclusion</w:t>
      </w:r>
    </w:p>
    <w:p w14:paraId="734E81F0" w14:textId="453786CD" w:rsidR="00AB22D5" w:rsidRDefault="006914A2" w:rsidP="009111D5">
      <w:pPr>
        <w:pStyle w:val="Default"/>
        <w:ind w:right="-170"/>
        <w:rPr>
          <w:i/>
          <w:iCs/>
        </w:rPr>
      </w:pPr>
      <w:r>
        <w:t xml:space="preserve">Therefore, </w:t>
      </w:r>
      <w:r w:rsidR="007521F6">
        <w:t>the CAO</w:t>
      </w:r>
      <w:r w:rsidR="00AB22D5">
        <w:t xml:space="preserve"> amendment does not either</w:t>
      </w:r>
      <w:r w:rsidR="007521F6">
        <w:t xml:space="preserve"> </w:t>
      </w:r>
      <w:r>
        <w:t xml:space="preserve">directly and indirectly </w:t>
      </w:r>
      <w:r w:rsidR="007521F6">
        <w:t xml:space="preserve">engage </w:t>
      </w:r>
      <w:r w:rsidR="00AB22D5">
        <w:t xml:space="preserve">any </w:t>
      </w:r>
      <w:r w:rsidR="007521F6">
        <w:t xml:space="preserve">of the </w:t>
      </w:r>
      <w:r w:rsidRPr="000A5835">
        <w:t>applicable rights or freedoms</w:t>
      </w:r>
      <w:r w:rsidRPr="006914A2">
        <w:t xml:space="preserve"> </w:t>
      </w:r>
      <w:r w:rsidRPr="000A5835">
        <w:t>recognised or declared in the international instruments</w:t>
      </w:r>
      <w:r w:rsidR="009111D5">
        <w:t> </w:t>
      </w:r>
      <w:r w:rsidRPr="000A5835">
        <w:t xml:space="preserve">listed in section 3 of the </w:t>
      </w:r>
      <w:r w:rsidRPr="000A5835">
        <w:rPr>
          <w:i/>
          <w:iCs/>
        </w:rPr>
        <w:t>Human Rights (Parliamentary Scrutiny) Act 2011</w:t>
      </w:r>
      <w:r w:rsidR="00AB22D5">
        <w:rPr>
          <w:i/>
          <w:iCs/>
        </w:rPr>
        <w:t>.</w:t>
      </w:r>
    </w:p>
    <w:p w14:paraId="0F00EED1" w14:textId="2BDBE597" w:rsidR="006914A2" w:rsidRDefault="006914A2" w:rsidP="006914A2">
      <w:pPr>
        <w:pStyle w:val="BodyText"/>
        <w:rPr>
          <w:rFonts w:ascii="Times New Roman" w:hAnsi="Times New Roman"/>
          <w:iCs/>
        </w:rPr>
      </w:pPr>
    </w:p>
    <w:p w14:paraId="3E7FC824" w14:textId="308C481B" w:rsidR="00F66E00" w:rsidRDefault="00A77403" w:rsidP="00036BD1">
      <w:pPr>
        <w:spacing w:before="240" w:after="120"/>
        <w:jc w:val="center"/>
      </w:pPr>
      <w:r w:rsidRPr="005B5939">
        <w:rPr>
          <w:b/>
          <w:bCs/>
        </w:rPr>
        <w:t>Civil Aviation Safety Authority</w:t>
      </w:r>
    </w:p>
    <w:sectPr w:rsidR="00F66E00" w:rsidSect="00CD5945">
      <w:headerReference w:type="even" r:id="rId8"/>
      <w:headerReference w:type="default" r:id="rId9"/>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0AA73" w14:textId="77777777" w:rsidR="00280E92" w:rsidRDefault="00280E92">
      <w:r>
        <w:separator/>
      </w:r>
    </w:p>
  </w:endnote>
  <w:endnote w:type="continuationSeparator" w:id="0">
    <w:p w14:paraId="51A36A6C" w14:textId="77777777" w:rsidR="00280E92" w:rsidRDefault="0028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4B46" w14:textId="77777777" w:rsidR="00280E92" w:rsidRDefault="00280E92">
      <w:r>
        <w:separator/>
      </w:r>
    </w:p>
  </w:footnote>
  <w:footnote w:type="continuationSeparator" w:id="0">
    <w:p w14:paraId="4E7001F4" w14:textId="77777777" w:rsidR="00280E92" w:rsidRDefault="0028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6DE4" w14:textId="77777777" w:rsidR="00C55BA3" w:rsidRDefault="00C55BA3"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FAF91E7" w14:textId="77777777" w:rsidR="00C55BA3" w:rsidRDefault="00C5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0390"/>
      <w:docPartObj>
        <w:docPartGallery w:val="Page Numbers (Top of Page)"/>
        <w:docPartUnique/>
      </w:docPartObj>
    </w:sdtPr>
    <w:sdtEndPr>
      <w:rPr>
        <w:noProof/>
      </w:rPr>
    </w:sdtEndPr>
    <w:sdtContent>
      <w:p w14:paraId="6CB2B8CE" w14:textId="0BCD7437" w:rsidR="00C55BA3" w:rsidRDefault="00C55B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5FBF5F" w14:textId="77777777" w:rsidR="00C55BA3" w:rsidRDefault="00C5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103673"/>
    <w:multiLevelType w:val="hybridMultilevel"/>
    <w:tmpl w:val="45D0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253C7A"/>
    <w:multiLevelType w:val="hybridMultilevel"/>
    <w:tmpl w:val="C534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D56"/>
    <w:multiLevelType w:val="hybridMultilevel"/>
    <w:tmpl w:val="CBE23126"/>
    <w:lvl w:ilvl="0" w:tplc="CE529FD8">
      <w:start w:val="1"/>
      <w:numFmt w:val="decimal"/>
      <w:lvlText w:val="%1."/>
      <w:lvlJc w:val="left"/>
      <w:pPr>
        <w:ind w:left="930" w:hanging="360"/>
      </w:pPr>
      <w:rPr>
        <w:rFonts w:hint="default"/>
        <w:i/>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1607F"/>
    <w:multiLevelType w:val="hybridMultilevel"/>
    <w:tmpl w:val="4988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A0C17"/>
    <w:multiLevelType w:val="hybridMultilevel"/>
    <w:tmpl w:val="E402E774"/>
    <w:lvl w:ilvl="0" w:tplc="797270E0">
      <w:start w:val="1"/>
      <w:numFmt w:val="decimal"/>
      <w:lvlText w:val="%1."/>
      <w:lvlJc w:val="left"/>
      <w:pPr>
        <w:ind w:left="933" w:hanging="360"/>
      </w:pPr>
      <w:rPr>
        <w:rFonts w:hint="default"/>
        <w:i/>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18" w15:restartNumberingAfterBreak="0">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E352C9"/>
    <w:multiLevelType w:val="hybridMultilevel"/>
    <w:tmpl w:val="982C7AEE"/>
    <w:lvl w:ilvl="0" w:tplc="02782090">
      <w:start w:val="1"/>
      <w:numFmt w:val="decimal"/>
      <w:lvlText w:val="%1."/>
      <w:lvlJc w:val="left"/>
      <w:pPr>
        <w:ind w:left="993" w:hanging="420"/>
      </w:pPr>
      <w:rPr>
        <w:rFonts w:hint="default"/>
        <w:i/>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21" w15:restartNumberingAfterBreak="0">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66661D02"/>
    <w:multiLevelType w:val="hybridMultilevel"/>
    <w:tmpl w:val="FEB86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9C7048"/>
    <w:multiLevelType w:val="hybridMultilevel"/>
    <w:tmpl w:val="9C56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25"/>
  </w:num>
  <w:num w:numId="5">
    <w:abstractNumId w:val="15"/>
  </w:num>
  <w:num w:numId="6">
    <w:abstractNumId w:val="18"/>
  </w:num>
  <w:num w:numId="7">
    <w:abstractNumId w:val="32"/>
  </w:num>
  <w:num w:numId="8">
    <w:abstractNumId w:val="24"/>
  </w:num>
  <w:num w:numId="9">
    <w:abstractNumId w:val="26"/>
  </w:num>
  <w:num w:numId="10">
    <w:abstractNumId w:val="22"/>
  </w:num>
  <w:num w:numId="11">
    <w:abstractNumId w:val="10"/>
  </w:num>
  <w:num w:numId="12">
    <w:abstractNumId w:val="12"/>
  </w:num>
  <w:num w:numId="13">
    <w:abstractNumId w:val="31"/>
  </w:num>
  <w:num w:numId="14">
    <w:abstractNumId w:val="30"/>
  </w:num>
  <w:num w:numId="15">
    <w:abstractNumId w:val="3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11"/>
  </w:num>
  <w:num w:numId="29">
    <w:abstractNumId w:val="13"/>
  </w:num>
  <w:num w:numId="30">
    <w:abstractNumId w:val="27"/>
  </w:num>
  <w:num w:numId="31">
    <w:abstractNumId w:val="14"/>
  </w:num>
  <w:num w:numId="32">
    <w:abstractNumId w:val="17"/>
  </w:num>
  <w:num w:numId="33">
    <w:abstractNumId w:val="20"/>
  </w:num>
  <w:num w:numId="34">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2264"/>
    <w:rsid w:val="0000292C"/>
    <w:rsid w:val="00004187"/>
    <w:rsid w:val="000055ED"/>
    <w:rsid w:val="00010A2F"/>
    <w:rsid w:val="000111B4"/>
    <w:rsid w:val="000133C5"/>
    <w:rsid w:val="00016001"/>
    <w:rsid w:val="0001739B"/>
    <w:rsid w:val="0002046F"/>
    <w:rsid w:val="000318C0"/>
    <w:rsid w:val="000328FF"/>
    <w:rsid w:val="00033D04"/>
    <w:rsid w:val="00036BD1"/>
    <w:rsid w:val="00040F84"/>
    <w:rsid w:val="00041B84"/>
    <w:rsid w:val="000420AC"/>
    <w:rsid w:val="00043C4E"/>
    <w:rsid w:val="000510E4"/>
    <w:rsid w:val="000550DD"/>
    <w:rsid w:val="000561F7"/>
    <w:rsid w:val="00063F36"/>
    <w:rsid w:val="000653E8"/>
    <w:rsid w:val="00070256"/>
    <w:rsid w:val="0008032F"/>
    <w:rsid w:val="000822A4"/>
    <w:rsid w:val="0008348C"/>
    <w:rsid w:val="00085832"/>
    <w:rsid w:val="0008624F"/>
    <w:rsid w:val="000A0257"/>
    <w:rsid w:val="000A3C81"/>
    <w:rsid w:val="000B0E3C"/>
    <w:rsid w:val="000B10B0"/>
    <w:rsid w:val="000B312A"/>
    <w:rsid w:val="000B469C"/>
    <w:rsid w:val="000C1B8B"/>
    <w:rsid w:val="000C3D5A"/>
    <w:rsid w:val="000C7F79"/>
    <w:rsid w:val="000D13D2"/>
    <w:rsid w:val="000D3EFE"/>
    <w:rsid w:val="000D67CB"/>
    <w:rsid w:val="000E0E1F"/>
    <w:rsid w:val="000E3234"/>
    <w:rsid w:val="000E6D44"/>
    <w:rsid w:val="000E73FD"/>
    <w:rsid w:val="000E7B7E"/>
    <w:rsid w:val="000F1AC2"/>
    <w:rsid w:val="000F3F2F"/>
    <w:rsid w:val="000F636B"/>
    <w:rsid w:val="000F6A98"/>
    <w:rsid w:val="000F7AEE"/>
    <w:rsid w:val="00101E63"/>
    <w:rsid w:val="00110343"/>
    <w:rsid w:val="001104AC"/>
    <w:rsid w:val="00116A7C"/>
    <w:rsid w:val="00116F09"/>
    <w:rsid w:val="001171C2"/>
    <w:rsid w:val="001204D9"/>
    <w:rsid w:val="00121142"/>
    <w:rsid w:val="001303B6"/>
    <w:rsid w:val="00144633"/>
    <w:rsid w:val="00145FC5"/>
    <w:rsid w:val="001512F3"/>
    <w:rsid w:val="00153240"/>
    <w:rsid w:val="00153CC6"/>
    <w:rsid w:val="0015568F"/>
    <w:rsid w:val="001569E3"/>
    <w:rsid w:val="00167831"/>
    <w:rsid w:val="00167EB1"/>
    <w:rsid w:val="00174898"/>
    <w:rsid w:val="001840AC"/>
    <w:rsid w:val="0018467C"/>
    <w:rsid w:val="0018589C"/>
    <w:rsid w:val="00187822"/>
    <w:rsid w:val="001917A2"/>
    <w:rsid w:val="00191D15"/>
    <w:rsid w:val="00193DFC"/>
    <w:rsid w:val="00194C07"/>
    <w:rsid w:val="001A4954"/>
    <w:rsid w:val="001A5673"/>
    <w:rsid w:val="001B0048"/>
    <w:rsid w:val="001C11F9"/>
    <w:rsid w:val="001C224F"/>
    <w:rsid w:val="001C5833"/>
    <w:rsid w:val="001C68C3"/>
    <w:rsid w:val="001D3028"/>
    <w:rsid w:val="001D6800"/>
    <w:rsid w:val="001E02AA"/>
    <w:rsid w:val="001E0D47"/>
    <w:rsid w:val="001E3586"/>
    <w:rsid w:val="001E4110"/>
    <w:rsid w:val="001E638B"/>
    <w:rsid w:val="001F40ED"/>
    <w:rsid w:val="001F6477"/>
    <w:rsid w:val="0020397B"/>
    <w:rsid w:val="00203DCB"/>
    <w:rsid w:val="00210476"/>
    <w:rsid w:val="0021513B"/>
    <w:rsid w:val="00217329"/>
    <w:rsid w:val="00220EFB"/>
    <w:rsid w:val="00222D08"/>
    <w:rsid w:val="002244A6"/>
    <w:rsid w:val="00232C7C"/>
    <w:rsid w:val="00233879"/>
    <w:rsid w:val="002357D8"/>
    <w:rsid w:val="00236D3C"/>
    <w:rsid w:val="00254409"/>
    <w:rsid w:val="00261734"/>
    <w:rsid w:val="0026324B"/>
    <w:rsid w:val="0026633A"/>
    <w:rsid w:val="00273CBB"/>
    <w:rsid w:val="00274B4C"/>
    <w:rsid w:val="00275496"/>
    <w:rsid w:val="00275D5A"/>
    <w:rsid w:val="002773EE"/>
    <w:rsid w:val="00280341"/>
    <w:rsid w:val="00280E92"/>
    <w:rsid w:val="00281A03"/>
    <w:rsid w:val="002839C0"/>
    <w:rsid w:val="002857EF"/>
    <w:rsid w:val="002873AD"/>
    <w:rsid w:val="0028785E"/>
    <w:rsid w:val="002A09C6"/>
    <w:rsid w:val="002A10CE"/>
    <w:rsid w:val="002A2475"/>
    <w:rsid w:val="002A3EF0"/>
    <w:rsid w:val="002B36CA"/>
    <w:rsid w:val="002B5613"/>
    <w:rsid w:val="002C20F2"/>
    <w:rsid w:val="002D5300"/>
    <w:rsid w:val="002D5634"/>
    <w:rsid w:val="002D68C4"/>
    <w:rsid w:val="002D6B1C"/>
    <w:rsid w:val="002E1DCB"/>
    <w:rsid w:val="002E1FB2"/>
    <w:rsid w:val="002E358C"/>
    <w:rsid w:val="002E615B"/>
    <w:rsid w:val="002F04B9"/>
    <w:rsid w:val="002F05A2"/>
    <w:rsid w:val="002F1F64"/>
    <w:rsid w:val="002F62EF"/>
    <w:rsid w:val="00306833"/>
    <w:rsid w:val="00311CF5"/>
    <w:rsid w:val="00311FDE"/>
    <w:rsid w:val="00314A65"/>
    <w:rsid w:val="003158E0"/>
    <w:rsid w:val="00316E9E"/>
    <w:rsid w:val="00320666"/>
    <w:rsid w:val="00324F58"/>
    <w:rsid w:val="00331B26"/>
    <w:rsid w:val="003351D1"/>
    <w:rsid w:val="003356FF"/>
    <w:rsid w:val="0033572A"/>
    <w:rsid w:val="003371BD"/>
    <w:rsid w:val="00337E7C"/>
    <w:rsid w:val="00342443"/>
    <w:rsid w:val="003479DF"/>
    <w:rsid w:val="003537F2"/>
    <w:rsid w:val="00360D20"/>
    <w:rsid w:val="003612B6"/>
    <w:rsid w:val="00361895"/>
    <w:rsid w:val="00366548"/>
    <w:rsid w:val="0037084D"/>
    <w:rsid w:val="00371355"/>
    <w:rsid w:val="0037243E"/>
    <w:rsid w:val="003924E9"/>
    <w:rsid w:val="00392AC3"/>
    <w:rsid w:val="003947E6"/>
    <w:rsid w:val="003A1057"/>
    <w:rsid w:val="003A1BA0"/>
    <w:rsid w:val="003A2BF6"/>
    <w:rsid w:val="003A4203"/>
    <w:rsid w:val="003B25B0"/>
    <w:rsid w:val="003B3316"/>
    <w:rsid w:val="003B3480"/>
    <w:rsid w:val="003B3D26"/>
    <w:rsid w:val="003C0199"/>
    <w:rsid w:val="003C14B7"/>
    <w:rsid w:val="003C27DD"/>
    <w:rsid w:val="003C4549"/>
    <w:rsid w:val="003D0E3E"/>
    <w:rsid w:val="003D1733"/>
    <w:rsid w:val="003D17EC"/>
    <w:rsid w:val="003D2746"/>
    <w:rsid w:val="003D50BB"/>
    <w:rsid w:val="003E0972"/>
    <w:rsid w:val="003E5491"/>
    <w:rsid w:val="003E7F31"/>
    <w:rsid w:val="003F1AB8"/>
    <w:rsid w:val="003F38B7"/>
    <w:rsid w:val="003F3BF4"/>
    <w:rsid w:val="003F572B"/>
    <w:rsid w:val="003F6823"/>
    <w:rsid w:val="00403047"/>
    <w:rsid w:val="004036D8"/>
    <w:rsid w:val="004040C9"/>
    <w:rsid w:val="00416306"/>
    <w:rsid w:val="00420078"/>
    <w:rsid w:val="0042159A"/>
    <w:rsid w:val="0042255A"/>
    <w:rsid w:val="00425155"/>
    <w:rsid w:val="00425B99"/>
    <w:rsid w:val="004308A6"/>
    <w:rsid w:val="00433323"/>
    <w:rsid w:val="004335E9"/>
    <w:rsid w:val="00436027"/>
    <w:rsid w:val="00436039"/>
    <w:rsid w:val="004369C3"/>
    <w:rsid w:val="00440A7C"/>
    <w:rsid w:val="00445AF9"/>
    <w:rsid w:val="004460BF"/>
    <w:rsid w:val="00452D7F"/>
    <w:rsid w:val="004579AA"/>
    <w:rsid w:val="00461481"/>
    <w:rsid w:val="00463350"/>
    <w:rsid w:val="0046380D"/>
    <w:rsid w:val="00465CD5"/>
    <w:rsid w:val="0047378F"/>
    <w:rsid w:val="00475935"/>
    <w:rsid w:val="00476459"/>
    <w:rsid w:val="00476E08"/>
    <w:rsid w:val="004809ED"/>
    <w:rsid w:val="00482AFD"/>
    <w:rsid w:val="00484748"/>
    <w:rsid w:val="0048522D"/>
    <w:rsid w:val="00485C76"/>
    <w:rsid w:val="004913B0"/>
    <w:rsid w:val="00492DF9"/>
    <w:rsid w:val="00496992"/>
    <w:rsid w:val="00497CF2"/>
    <w:rsid w:val="004A03DD"/>
    <w:rsid w:val="004A3C3D"/>
    <w:rsid w:val="004A707E"/>
    <w:rsid w:val="004B2736"/>
    <w:rsid w:val="004B3AB2"/>
    <w:rsid w:val="004B594A"/>
    <w:rsid w:val="004B6B5E"/>
    <w:rsid w:val="004C047C"/>
    <w:rsid w:val="004C0641"/>
    <w:rsid w:val="004C1947"/>
    <w:rsid w:val="004C3472"/>
    <w:rsid w:val="004C480E"/>
    <w:rsid w:val="004C5D1E"/>
    <w:rsid w:val="004C7B4F"/>
    <w:rsid w:val="004D12CC"/>
    <w:rsid w:val="004D5EAC"/>
    <w:rsid w:val="004D6681"/>
    <w:rsid w:val="004D7738"/>
    <w:rsid w:val="004E0C81"/>
    <w:rsid w:val="004E11B7"/>
    <w:rsid w:val="004E646C"/>
    <w:rsid w:val="004F16C9"/>
    <w:rsid w:val="004F23FC"/>
    <w:rsid w:val="004F425E"/>
    <w:rsid w:val="004F5B36"/>
    <w:rsid w:val="004F77BE"/>
    <w:rsid w:val="00500E1D"/>
    <w:rsid w:val="00501D1E"/>
    <w:rsid w:val="00513C75"/>
    <w:rsid w:val="0051525A"/>
    <w:rsid w:val="005165AA"/>
    <w:rsid w:val="00516F02"/>
    <w:rsid w:val="005215C4"/>
    <w:rsid w:val="00530ADF"/>
    <w:rsid w:val="00542F3C"/>
    <w:rsid w:val="005430D8"/>
    <w:rsid w:val="00553AE9"/>
    <w:rsid w:val="00554B10"/>
    <w:rsid w:val="00555BD9"/>
    <w:rsid w:val="00576DEF"/>
    <w:rsid w:val="00576F22"/>
    <w:rsid w:val="005820EC"/>
    <w:rsid w:val="00582492"/>
    <w:rsid w:val="005829D8"/>
    <w:rsid w:val="00582DE0"/>
    <w:rsid w:val="0058429B"/>
    <w:rsid w:val="00586585"/>
    <w:rsid w:val="005955F5"/>
    <w:rsid w:val="005958E9"/>
    <w:rsid w:val="005A1808"/>
    <w:rsid w:val="005A25EB"/>
    <w:rsid w:val="005A6590"/>
    <w:rsid w:val="005B2DAB"/>
    <w:rsid w:val="005B39A4"/>
    <w:rsid w:val="005B611A"/>
    <w:rsid w:val="005C7493"/>
    <w:rsid w:val="005D45BF"/>
    <w:rsid w:val="005D6D55"/>
    <w:rsid w:val="005E1223"/>
    <w:rsid w:val="005E362F"/>
    <w:rsid w:val="005E3FA0"/>
    <w:rsid w:val="005F4605"/>
    <w:rsid w:val="00601804"/>
    <w:rsid w:val="00603714"/>
    <w:rsid w:val="00604A2A"/>
    <w:rsid w:val="00617B4B"/>
    <w:rsid w:val="00623464"/>
    <w:rsid w:val="00624084"/>
    <w:rsid w:val="006264DD"/>
    <w:rsid w:val="0063080C"/>
    <w:rsid w:val="00633ABD"/>
    <w:rsid w:val="0064073F"/>
    <w:rsid w:val="00641E84"/>
    <w:rsid w:val="00642714"/>
    <w:rsid w:val="0064281E"/>
    <w:rsid w:val="00646F6E"/>
    <w:rsid w:val="00647763"/>
    <w:rsid w:val="006503DD"/>
    <w:rsid w:val="00650FDD"/>
    <w:rsid w:val="00651E79"/>
    <w:rsid w:val="00653F33"/>
    <w:rsid w:val="00655F48"/>
    <w:rsid w:val="006623BA"/>
    <w:rsid w:val="00663F08"/>
    <w:rsid w:val="0066464B"/>
    <w:rsid w:val="00667584"/>
    <w:rsid w:val="00677862"/>
    <w:rsid w:val="00677D78"/>
    <w:rsid w:val="00677FF7"/>
    <w:rsid w:val="006807EE"/>
    <w:rsid w:val="006845C9"/>
    <w:rsid w:val="006914A2"/>
    <w:rsid w:val="006A0352"/>
    <w:rsid w:val="006A3E0E"/>
    <w:rsid w:val="006A5BF9"/>
    <w:rsid w:val="006A6ECF"/>
    <w:rsid w:val="006B356D"/>
    <w:rsid w:val="006B3C54"/>
    <w:rsid w:val="006B3ECF"/>
    <w:rsid w:val="006B4E4D"/>
    <w:rsid w:val="006B500A"/>
    <w:rsid w:val="006B5572"/>
    <w:rsid w:val="006B671B"/>
    <w:rsid w:val="006B68E3"/>
    <w:rsid w:val="006C0B7D"/>
    <w:rsid w:val="006C0BED"/>
    <w:rsid w:val="006C1C30"/>
    <w:rsid w:val="006D203D"/>
    <w:rsid w:val="006D4F9F"/>
    <w:rsid w:val="006D5096"/>
    <w:rsid w:val="006D58EB"/>
    <w:rsid w:val="006E1ABC"/>
    <w:rsid w:val="006E4B42"/>
    <w:rsid w:val="006E6F5E"/>
    <w:rsid w:val="006E77A5"/>
    <w:rsid w:val="006E7B91"/>
    <w:rsid w:val="00703113"/>
    <w:rsid w:val="00703B7A"/>
    <w:rsid w:val="0071215D"/>
    <w:rsid w:val="00715811"/>
    <w:rsid w:val="0071750D"/>
    <w:rsid w:val="00717C9C"/>
    <w:rsid w:val="00721517"/>
    <w:rsid w:val="0072559C"/>
    <w:rsid w:val="00734960"/>
    <w:rsid w:val="00734E54"/>
    <w:rsid w:val="007365D1"/>
    <w:rsid w:val="0074109C"/>
    <w:rsid w:val="00743166"/>
    <w:rsid w:val="00744BDD"/>
    <w:rsid w:val="00746493"/>
    <w:rsid w:val="007521F6"/>
    <w:rsid w:val="00755676"/>
    <w:rsid w:val="00755EA0"/>
    <w:rsid w:val="00755FC8"/>
    <w:rsid w:val="00760712"/>
    <w:rsid w:val="007639C1"/>
    <w:rsid w:val="0076460B"/>
    <w:rsid w:val="007669ED"/>
    <w:rsid w:val="007674D6"/>
    <w:rsid w:val="00767BAD"/>
    <w:rsid w:val="00770289"/>
    <w:rsid w:val="007729C1"/>
    <w:rsid w:val="00775C2B"/>
    <w:rsid w:val="00777A93"/>
    <w:rsid w:val="00781E8C"/>
    <w:rsid w:val="00782B82"/>
    <w:rsid w:val="00784DB5"/>
    <w:rsid w:val="007853BF"/>
    <w:rsid w:val="007861FA"/>
    <w:rsid w:val="007875AB"/>
    <w:rsid w:val="00790FC4"/>
    <w:rsid w:val="007920A3"/>
    <w:rsid w:val="00792808"/>
    <w:rsid w:val="00793F2F"/>
    <w:rsid w:val="007A6134"/>
    <w:rsid w:val="007A784C"/>
    <w:rsid w:val="007B69E9"/>
    <w:rsid w:val="007C65A2"/>
    <w:rsid w:val="007C6851"/>
    <w:rsid w:val="007D0CCD"/>
    <w:rsid w:val="007E18D9"/>
    <w:rsid w:val="007E217E"/>
    <w:rsid w:val="007E30F2"/>
    <w:rsid w:val="007E6EA4"/>
    <w:rsid w:val="007F0225"/>
    <w:rsid w:val="007F0784"/>
    <w:rsid w:val="007F0C90"/>
    <w:rsid w:val="007F1334"/>
    <w:rsid w:val="007F2D19"/>
    <w:rsid w:val="008055C3"/>
    <w:rsid w:val="00810AC2"/>
    <w:rsid w:val="00810D45"/>
    <w:rsid w:val="008123BD"/>
    <w:rsid w:val="008138D8"/>
    <w:rsid w:val="00813BE4"/>
    <w:rsid w:val="00817BB4"/>
    <w:rsid w:val="00817F30"/>
    <w:rsid w:val="008200AC"/>
    <w:rsid w:val="00827A18"/>
    <w:rsid w:val="00827E43"/>
    <w:rsid w:val="00834526"/>
    <w:rsid w:val="00834A39"/>
    <w:rsid w:val="008350C9"/>
    <w:rsid w:val="0083571D"/>
    <w:rsid w:val="008358D7"/>
    <w:rsid w:val="00840FEE"/>
    <w:rsid w:val="00850D4D"/>
    <w:rsid w:val="00852A69"/>
    <w:rsid w:val="008558DC"/>
    <w:rsid w:val="0085779F"/>
    <w:rsid w:val="008624AB"/>
    <w:rsid w:val="00867AF7"/>
    <w:rsid w:val="00867EB4"/>
    <w:rsid w:val="008902B1"/>
    <w:rsid w:val="008904A9"/>
    <w:rsid w:val="0089106E"/>
    <w:rsid w:val="00891A71"/>
    <w:rsid w:val="00892795"/>
    <w:rsid w:val="00895654"/>
    <w:rsid w:val="00896827"/>
    <w:rsid w:val="008A1D12"/>
    <w:rsid w:val="008A6A47"/>
    <w:rsid w:val="008A70C0"/>
    <w:rsid w:val="008A7DCE"/>
    <w:rsid w:val="008B105B"/>
    <w:rsid w:val="008B3B06"/>
    <w:rsid w:val="008B6236"/>
    <w:rsid w:val="008B670A"/>
    <w:rsid w:val="008C1087"/>
    <w:rsid w:val="008C450D"/>
    <w:rsid w:val="008D5A8E"/>
    <w:rsid w:val="008D64C7"/>
    <w:rsid w:val="008E453F"/>
    <w:rsid w:val="008E7FA6"/>
    <w:rsid w:val="008F3072"/>
    <w:rsid w:val="008F540E"/>
    <w:rsid w:val="008F74AE"/>
    <w:rsid w:val="008F7CB5"/>
    <w:rsid w:val="00901050"/>
    <w:rsid w:val="009030CA"/>
    <w:rsid w:val="00906902"/>
    <w:rsid w:val="009111D5"/>
    <w:rsid w:val="00911416"/>
    <w:rsid w:val="00911FC6"/>
    <w:rsid w:val="00916048"/>
    <w:rsid w:val="00920D43"/>
    <w:rsid w:val="009211DB"/>
    <w:rsid w:val="009307B7"/>
    <w:rsid w:val="00931D7E"/>
    <w:rsid w:val="009475D8"/>
    <w:rsid w:val="00950504"/>
    <w:rsid w:val="00951A96"/>
    <w:rsid w:val="009536D1"/>
    <w:rsid w:val="0095430B"/>
    <w:rsid w:val="00955464"/>
    <w:rsid w:val="009568B0"/>
    <w:rsid w:val="00961219"/>
    <w:rsid w:val="00961356"/>
    <w:rsid w:val="009635CC"/>
    <w:rsid w:val="00973D94"/>
    <w:rsid w:val="00976DDF"/>
    <w:rsid w:val="00982D27"/>
    <w:rsid w:val="0098364C"/>
    <w:rsid w:val="009864F7"/>
    <w:rsid w:val="009867BC"/>
    <w:rsid w:val="009929EC"/>
    <w:rsid w:val="00996773"/>
    <w:rsid w:val="009A0D6C"/>
    <w:rsid w:val="009A1E24"/>
    <w:rsid w:val="009A46EF"/>
    <w:rsid w:val="009A49EF"/>
    <w:rsid w:val="009B3DF4"/>
    <w:rsid w:val="009B586E"/>
    <w:rsid w:val="009B76EB"/>
    <w:rsid w:val="009C34BA"/>
    <w:rsid w:val="009C712B"/>
    <w:rsid w:val="009D2150"/>
    <w:rsid w:val="009D3983"/>
    <w:rsid w:val="009D3AAA"/>
    <w:rsid w:val="009D58BE"/>
    <w:rsid w:val="009D5A9E"/>
    <w:rsid w:val="009E04F3"/>
    <w:rsid w:val="009E2108"/>
    <w:rsid w:val="009E4EBC"/>
    <w:rsid w:val="009F13FC"/>
    <w:rsid w:val="00A05CD2"/>
    <w:rsid w:val="00A061AA"/>
    <w:rsid w:val="00A06218"/>
    <w:rsid w:val="00A106CA"/>
    <w:rsid w:val="00A10A72"/>
    <w:rsid w:val="00A120B7"/>
    <w:rsid w:val="00A1256E"/>
    <w:rsid w:val="00A12EC1"/>
    <w:rsid w:val="00A13270"/>
    <w:rsid w:val="00A14164"/>
    <w:rsid w:val="00A22D15"/>
    <w:rsid w:val="00A234E8"/>
    <w:rsid w:val="00A24939"/>
    <w:rsid w:val="00A350D6"/>
    <w:rsid w:val="00A36D82"/>
    <w:rsid w:val="00A40638"/>
    <w:rsid w:val="00A40A47"/>
    <w:rsid w:val="00A46194"/>
    <w:rsid w:val="00A502ED"/>
    <w:rsid w:val="00A51A27"/>
    <w:rsid w:val="00A5234D"/>
    <w:rsid w:val="00A5269F"/>
    <w:rsid w:val="00A56FE6"/>
    <w:rsid w:val="00A63CC9"/>
    <w:rsid w:val="00A70107"/>
    <w:rsid w:val="00A72161"/>
    <w:rsid w:val="00A73D18"/>
    <w:rsid w:val="00A77403"/>
    <w:rsid w:val="00A77849"/>
    <w:rsid w:val="00A817A4"/>
    <w:rsid w:val="00A8247A"/>
    <w:rsid w:val="00A83268"/>
    <w:rsid w:val="00A85D60"/>
    <w:rsid w:val="00A85F87"/>
    <w:rsid w:val="00A874BF"/>
    <w:rsid w:val="00A9404F"/>
    <w:rsid w:val="00A942AB"/>
    <w:rsid w:val="00A9542B"/>
    <w:rsid w:val="00A9759E"/>
    <w:rsid w:val="00AA18E5"/>
    <w:rsid w:val="00AA19EE"/>
    <w:rsid w:val="00AA2AD3"/>
    <w:rsid w:val="00AA33BC"/>
    <w:rsid w:val="00AA419E"/>
    <w:rsid w:val="00AA487F"/>
    <w:rsid w:val="00AA6AAD"/>
    <w:rsid w:val="00AA6DAF"/>
    <w:rsid w:val="00AA7C1A"/>
    <w:rsid w:val="00AB22D5"/>
    <w:rsid w:val="00AB275C"/>
    <w:rsid w:val="00AB3AAB"/>
    <w:rsid w:val="00AB508E"/>
    <w:rsid w:val="00AB51CC"/>
    <w:rsid w:val="00AB53F5"/>
    <w:rsid w:val="00AB5510"/>
    <w:rsid w:val="00AC45A9"/>
    <w:rsid w:val="00AC6981"/>
    <w:rsid w:val="00AD054A"/>
    <w:rsid w:val="00AD17BF"/>
    <w:rsid w:val="00AD2A3B"/>
    <w:rsid w:val="00AD4728"/>
    <w:rsid w:val="00AD74DB"/>
    <w:rsid w:val="00AE486D"/>
    <w:rsid w:val="00AE4940"/>
    <w:rsid w:val="00AE6F9E"/>
    <w:rsid w:val="00AF0127"/>
    <w:rsid w:val="00AF04F1"/>
    <w:rsid w:val="00AF3C62"/>
    <w:rsid w:val="00AF45C3"/>
    <w:rsid w:val="00B038A0"/>
    <w:rsid w:val="00B1390D"/>
    <w:rsid w:val="00B172A2"/>
    <w:rsid w:val="00B179ED"/>
    <w:rsid w:val="00B20C7C"/>
    <w:rsid w:val="00B24F66"/>
    <w:rsid w:val="00B2606F"/>
    <w:rsid w:val="00B31002"/>
    <w:rsid w:val="00B32B4A"/>
    <w:rsid w:val="00B34AC6"/>
    <w:rsid w:val="00B40784"/>
    <w:rsid w:val="00B45BDB"/>
    <w:rsid w:val="00B46A91"/>
    <w:rsid w:val="00B52A47"/>
    <w:rsid w:val="00B600F3"/>
    <w:rsid w:val="00B60316"/>
    <w:rsid w:val="00B63EFC"/>
    <w:rsid w:val="00B651B6"/>
    <w:rsid w:val="00B65777"/>
    <w:rsid w:val="00B66B29"/>
    <w:rsid w:val="00B675DC"/>
    <w:rsid w:val="00B67E44"/>
    <w:rsid w:val="00B7137F"/>
    <w:rsid w:val="00B72125"/>
    <w:rsid w:val="00B73991"/>
    <w:rsid w:val="00B73F0E"/>
    <w:rsid w:val="00B74F6F"/>
    <w:rsid w:val="00B82315"/>
    <w:rsid w:val="00B8771E"/>
    <w:rsid w:val="00B90628"/>
    <w:rsid w:val="00B90DA4"/>
    <w:rsid w:val="00B94A10"/>
    <w:rsid w:val="00B94BEF"/>
    <w:rsid w:val="00B95EAB"/>
    <w:rsid w:val="00B97B14"/>
    <w:rsid w:val="00B97CBA"/>
    <w:rsid w:val="00BA0D29"/>
    <w:rsid w:val="00BA0DA8"/>
    <w:rsid w:val="00BA3CA5"/>
    <w:rsid w:val="00BA4CCF"/>
    <w:rsid w:val="00BA54DE"/>
    <w:rsid w:val="00BB08A9"/>
    <w:rsid w:val="00BD2493"/>
    <w:rsid w:val="00BD782C"/>
    <w:rsid w:val="00BE3952"/>
    <w:rsid w:val="00BE49AC"/>
    <w:rsid w:val="00BE612A"/>
    <w:rsid w:val="00BF7374"/>
    <w:rsid w:val="00C05D8C"/>
    <w:rsid w:val="00C155E9"/>
    <w:rsid w:val="00C1680F"/>
    <w:rsid w:val="00C16E2F"/>
    <w:rsid w:val="00C20699"/>
    <w:rsid w:val="00C218EA"/>
    <w:rsid w:val="00C2755F"/>
    <w:rsid w:val="00C31337"/>
    <w:rsid w:val="00C344DF"/>
    <w:rsid w:val="00C37909"/>
    <w:rsid w:val="00C40153"/>
    <w:rsid w:val="00C420BC"/>
    <w:rsid w:val="00C42DAB"/>
    <w:rsid w:val="00C45F11"/>
    <w:rsid w:val="00C468BB"/>
    <w:rsid w:val="00C53E31"/>
    <w:rsid w:val="00C547DF"/>
    <w:rsid w:val="00C55BA3"/>
    <w:rsid w:val="00C56009"/>
    <w:rsid w:val="00C56B66"/>
    <w:rsid w:val="00C6329B"/>
    <w:rsid w:val="00C64BD1"/>
    <w:rsid w:val="00C67E17"/>
    <w:rsid w:val="00C701C2"/>
    <w:rsid w:val="00C709C4"/>
    <w:rsid w:val="00C738A6"/>
    <w:rsid w:val="00C73C0C"/>
    <w:rsid w:val="00C76C8E"/>
    <w:rsid w:val="00C77FBB"/>
    <w:rsid w:val="00C84A0E"/>
    <w:rsid w:val="00C85AB3"/>
    <w:rsid w:val="00C86DC3"/>
    <w:rsid w:val="00C90F5F"/>
    <w:rsid w:val="00C9216A"/>
    <w:rsid w:val="00C94E10"/>
    <w:rsid w:val="00C95DAE"/>
    <w:rsid w:val="00C96903"/>
    <w:rsid w:val="00CA0556"/>
    <w:rsid w:val="00CA0F85"/>
    <w:rsid w:val="00CA5DA8"/>
    <w:rsid w:val="00CB32C5"/>
    <w:rsid w:val="00CB6BAE"/>
    <w:rsid w:val="00CB7218"/>
    <w:rsid w:val="00CB7AE9"/>
    <w:rsid w:val="00CC42FF"/>
    <w:rsid w:val="00CC5606"/>
    <w:rsid w:val="00CC5DE8"/>
    <w:rsid w:val="00CD205E"/>
    <w:rsid w:val="00CD429B"/>
    <w:rsid w:val="00CD5945"/>
    <w:rsid w:val="00CE31DD"/>
    <w:rsid w:val="00CE3325"/>
    <w:rsid w:val="00CF04D5"/>
    <w:rsid w:val="00CF059B"/>
    <w:rsid w:val="00CF14EF"/>
    <w:rsid w:val="00CF705C"/>
    <w:rsid w:val="00CF726D"/>
    <w:rsid w:val="00CF76FE"/>
    <w:rsid w:val="00D0526C"/>
    <w:rsid w:val="00D10A5A"/>
    <w:rsid w:val="00D20509"/>
    <w:rsid w:val="00D21EB6"/>
    <w:rsid w:val="00D27738"/>
    <w:rsid w:val="00D32827"/>
    <w:rsid w:val="00D41B46"/>
    <w:rsid w:val="00D43ABF"/>
    <w:rsid w:val="00D46751"/>
    <w:rsid w:val="00D47B83"/>
    <w:rsid w:val="00D53A93"/>
    <w:rsid w:val="00D63875"/>
    <w:rsid w:val="00D66383"/>
    <w:rsid w:val="00D71197"/>
    <w:rsid w:val="00D72C16"/>
    <w:rsid w:val="00D73228"/>
    <w:rsid w:val="00D745C1"/>
    <w:rsid w:val="00D80072"/>
    <w:rsid w:val="00D861B8"/>
    <w:rsid w:val="00D87B91"/>
    <w:rsid w:val="00D91C2D"/>
    <w:rsid w:val="00D921BB"/>
    <w:rsid w:val="00D940B9"/>
    <w:rsid w:val="00DA0C15"/>
    <w:rsid w:val="00DA1271"/>
    <w:rsid w:val="00DA4C5D"/>
    <w:rsid w:val="00DA54FC"/>
    <w:rsid w:val="00DB43C8"/>
    <w:rsid w:val="00DB7070"/>
    <w:rsid w:val="00DB7D68"/>
    <w:rsid w:val="00DC6549"/>
    <w:rsid w:val="00DC66B8"/>
    <w:rsid w:val="00DD3FC4"/>
    <w:rsid w:val="00DD6C1D"/>
    <w:rsid w:val="00DE025B"/>
    <w:rsid w:val="00DE3F53"/>
    <w:rsid w:val="00DE58CC"/>
    <w:rsid w:val="00DE5BC7"/>
    <w:rsid w:val="00DF0D8E"/>
    <w:rsid w:val="00DF21C5"/>
    <w:rsid w:val="00E04613"/>
    <w:rsid w:val="00E060AE"/>
    <w:rsid w:val="00E0705F"/>
    <w:rsid w:val="00E1004E"/>
    <w:rsid w:val="00E12371"/>
    <w:rsid w:val="00E16D70"/>
    <w:rsid w:val="00E215B5"/>
    <w:rsid w:val="00E21AB1"/>
    <w:rsid w:val="00E24748"/>
    <w:rsid w:val="00E3321D"/>
    <w:rsid w:val="00E33CE5"/>
    <w:rsid w:val="00E358C7"/>
    <w:rsid w:val="00E447E4"/>
    <w:rsid w:val="00E44A64"/>
    <w:rsid w:val="00E45E0F"/>
    <w:rsid w:val="00E54E77"/>
    <w:rsid w:val="00E564F3"/>
    <w:rsid w:val="00E628A0"/>
    <w:rsid w:val="00E63C7B"/>
    <w:rsid w:val="00E64246"/>
    <w:rsid w:val="00E64C13"/>
    <w:rsid w:val="00E64F9C"/>
    <w:rsid w:val="00E65144"/>
    <w:rsid w:val="00E704AB"/>
    <w:rsid w:val="00E75AAA"/>
    <w:rsid w:val="00E76DF8"/>
    <w:rsid w:val="00E802B3"/>
    <w:rsid w:val="00EA755A"/>
    <w:rsid w:val="00EC6088"/>
    <w:rsid w:val="00EC654F"/>
    <w:rsid w:val="00ED05CB"/>
    <w:rsid w:val="00ED0F72"/>
    <w:rsid w:val="00ED36CF"/>
    <w:rsid w:val="00ED3E8D"/>
    <w:rsid w:val="00ED4F20"/>
    <w:rsid w:val="00EE0126"/>
    <w:rsid w:val="00EE0B2A"/>
    <w:rsid w:val="00EE6C77"/>
    <w:rsid w:val="00EE6D82"/>
    <w:rsid w:val="00EE77B3"/>
    <w:rsid w:val="00EF39B8"/>
    <w:rsid w:val="00EF3DF8"/>
    <w:rsid w:val="00EF3F9E"/>
    <w:rsid w:val="00F05D62"/>
    <w:rsid w:val="00F07CA3"/>
    <w:rsid w:val="00F12170"/>
    <w:rsid w:val="00F15414"/>
    <w:rsid w:val="00F159DC"/>
    <w:rsid w:val="00F2037F"/>
    <w:rsid w:val="00F25F07"/>
    <w:rsid w:val="00F26FD7"/>
    <w:rsid w:val="00F31104"/>
    <w:rsid w:val="00F31B8A"/>
    <w:rsid w:val="00F33AA5"/>
    <w:rsid w:val="00F34343"/>
    <w:rsid w:val="00F34814"/>
    <w:rsid w:val="00F369D8"/>
    <w:rsid w:val="00F42808"/>
    <w:rsid w:val="00F4366B"/>
    <w:rsid w:val="00F449C6"/>
    <w:rsid w:val="00F45DFA"/>
    <w:rsid w:val="00F543C0"/>
    <w:rsid w:val="00F56DB1"/>
    <w:rsid w:val="00F57A58"/>
    <w:rsid w:val="00F61877"/>
    <w:rsid w:val="00F643B2"/>
    <w:rsid w:val="00F66E00"/>
    <w:rsid w:val="00F70981"/>
    <w:rsid w:val="00F7102F"/>
    <w:rsid w:val="00F74223"/>
    <w:rsid w:val="00F748EE"/>
    <w:rsid w:val="00F75B79"/>
    <w:rsid w:val="00F75EEE"/>
    <w:rsid w:val="00F7726F"/>
    <w:rsid w:val="00F853AB"/>
    <w:rsid w:val="00F87256"/>
    <w:rsid w:val="00F8766D"/>
    <w:rsid w:val="00F924CA"/>
    <w:rsid w:val="00F93BC8"/>
    <w:rsid w:val="00F94AE3"/>
    <w:rsid w:val="00F96E5F"/>
    <w:rsid w:val="00FA1A30"/>
    <w:rsid w:val="00FA5EB5"/>
    <w:rsid w:val="00FA7067"/>
    <w:rsid w:val="00FB0451"/>
    <w:rsid w:val="00FB2E6B"/>
    <w:rsid w:val="00FB48B4"/>
    <w:rsid w:val="00FC4431"/>
    <w:rsid w:val="00FE2073"/>
    <w:rsid w:val="00FE25B9"/>
    <w:rsid w:val="00FE3F6A"/>
    <w:rsid w:val="00FE6BB9"/>
    <w:rsid w:val="00FF2142"/>
    <w:rsid w:val="00FF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E6E1AA"/>
  <w15:docId w15:val="{895C396A-25CC-4985-B6E9-5FEAA5B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85832"/>
    <w:pPr>
      <w:spacing w:before="240" w:after="60" w:line="259" w:lineRule="auto"/>
      <w:outlineLvl w:val="6"/>
    </w:pPr>
    <w:rPr>
      <w:rFonts w:eastAsiaTheme="minorHAnsi" w:cstheme="minorBidi"/>
      <w:szCs w:val="22"/>
    </w:rPr>
  </w:style>
  <w:style w:type="paragraph" w:styleId="Heading8">
    <w:name w:val="heading 8"/>
    <w:basedOn w:val="Normal"/>
    <w:next w:val="Normal"/>
    <w:link w:val="Heading8Char"/>
    <w:qFormat/>
    <w:rsid w:val="00085832"/>
    <w:pPr>
      <w:spacing w:before="240" w:after="60" w:line="259" w:lineRule="auto"/>
      <w:outlineLvl w:val="7"/>
    </w:pPr>
    <w:rPr>
      <w:rFonts w:eastAsiaTheme="minorHAnsi" w:cstheme="minorBidi"/>
      <w:i/>
      <w:iCs/>
      <w:szCs w:val="22"/>
    </w:rPr>
  </w:style>
  <w:style w:type="paragraph" w:styleId="Heading9">
    <w:name w:val="heading 9"/>
    <w:basedOn w:val="Normal"/>
    <w:next w:val="Normal"/>
    <w:link w:val="Heading9Char"/>
    <w:qFormat/>
    <w:rsid w:val="00085832"/>
    <w:pPr>
      <w:spacing w:before="240" w:after="60" w:line="259" w:lineRule="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42DAB"/>
    <w:rPr>
      <w:rFonts w:ascii="Times New (W1)" w:hAnsi="Times New (W1)"/>
    </w:rPr>
  </w:style>
  <w:style w:type="character" w:customStyle="1" w:styleId="BodyTextChar">
    <w:name w:val="Body Text Char"/>
    <w:link w:val="BodyText"/>
    <w:uiPriority w:val="99"/>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iChar"/>
    <w:qFormat/>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rsid w:val="00C218EA"/>
    <w:pPr>
      <w:tabs>
        <w:tab w:val="center" w:pos="4513"/>
        <w:tab w:val="right" w:pos="9026"/>
      </w:tabs>
    </w:pPr>
  </w:style>
  <w:style w:type="character" w:customStyle="1" w:styleId="FooterChar">
    <w:name w:val="Footer Char"/>
    <w:basedOn w:val="DefaultParagraphFont"/>
    <w:link w:val="Footer"/>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1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4"/>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definition">
    <w:name w:val="LDdefinition"/>
    <w:basedOn w:val="LDClause"/>
    <w:link w:val="LDdefinitionChar"/>
    <w:rsid w:val="00440A7C"/>
    <w:pPr>
      <w:tabs>
        <w:tab w:val="clear" w:pos="454"/>
        <w:tab w:val="clear" w:pos="737"/>
      </w:tabs>
      <w:ind w:firstLine="0"/>
    </w:pPr>
  </w:style>
  <w:style w:type="character" w:customStyle="1" w:styleId="LDdefinitionChar">
    <w:name w:val="LDdefinition Char"/>
    <w:basedOn w:val="LDClauseChar"/>
    <w:link w:val="LDdefinition"/>
    <w:rsid w:val="00440A7C"/>
    <w:rPr>
      <w:sz w:val="24"/>
      <w:szCs w:val="24"/>
      <w:lang w:val="en-AU" w:eastAsia="en-US" w:bidi="ar-SA"/>
    </w:rPr>
  </w:style>
  <w:style w:type="paragraph" w:customStyle="1" w:styleId="Note">
    <w:name w:val="Note"/>
    <w:basedOn w:val="Clause"/>
    <w:link w:val="NoteChar"/>
    <w:qFormat/>
    <w:rsid w:val="00440A7C"/>
    <w:pPr>
      <w:ind w:firstLine="0"/>
    </w:pPr>
    <w:rPr>
      <w:sz w:val="20"/>
    </w:rPr>
  </w:style>
  <w:style w:type="character" w:customStyle="1" w:styleId="NoteChar">
    <w:name w:val="Note Char"/>
    <w:link w:val="Note"/>
    <w:rsid w:val="00440A7C"/>
    <w:rPr>
      <w:szCs w:val="24"/>
      <w:lang w:eastAsia="en-US"/>
    </w:rPr>
  </w:style>
  <w:style w:type="paragraph" w:customStyle="1" w:styleId="Clause">
    <w:name w:val="Clause"/>
    <w:basedOn w:val="Normal"/>
    <w:link w:val="ClauseChar"/>
    <w:qFormat/>
    <w:rsid w:val="00440A7C"/>
    <w:pPr>
      <w:tabs>
        <w:tab w:val="right" w:pos="454"/>
        <w:tab w:val="left" w:pos="737"/>
      </w:tabs>
      <w:spacing w:before="60" w:after="60"/>
      <w:ind w:left="737" w:hanging="1021"/>
    </w:pPr>
  </w:style>
  <w:style w:type="character" w:customStyle="1" w:styleId="ClauseChar">
    <w:name w:val="Clause Char"/>
    <w:link w:val="Clause"/>
    <w:rsid w:val="00440A7C"/>
    <w:rPr>
      <w:sz w:val="24"/>
      <w:szCs w:val="24"/>
      <w:lang w:eastAsia="en-US"/>
    </w:rPr>
  </w:style>
  <w:style w:type="table" w:styleId="TableGrid">
    <w:name w:val="Table Grid"/>
    <w:basedOn w:val="TableNormal"/>
    <w:uiPriority w:val="59"/>
    <w:rsid w:val="004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cheduleClause">
    <w:name w:val="LDScheduleClause"/>
    <w:basedOn w:val="LDClause"/>
    <w:rsid w:val="00C155E9"/>
    <w:pPr>
      <w:ind w:left="738" w:hanging="851"/>
    </w:pPr>
  </w:style>
  <w:style w:type="paragraph" w:customStyle="1" w:styleId="LDScheduleClauseHead">
    <w:name w:val="LDScheduleClauseHead"/>
    <w:basedOn w:val="LDClauseHeading"/>
    <w:next w:val="LDScheduleClause"/>
    <w:link w:val="LDScheduleClauseHeadChar"/>
    <w:rsid w:val="00C155E9"/>
  </w:style>
  <w:style w:type="character" w:customStyle="1" w:styleId="LDScheduleClauseHeadChar">
    <w:name w:val="LDScheduleClauseHead Char"/>
    <w:basedOn w:val="LDClauseHeadingChar"/>
    <w:link w:val="LDScheduleClauseHead"/>
    <w:rsid w:val="00C155E9"/>
    <w:rPr>
      <w:rFonts w:ascii="Arial" w:hAnsi="Arial"/>
      <w:b/>
      <w:sz w:val="24"/>
      <w:szCs w:val="24"/>
      <w:lang w:val="en-AU" w:eastAsia="en-US" w:bidi="ar-SA"/>
    </w:rPr>
  </w:style>
  <w:style w:type="character" w:customStyle="1" w:styleId="Heading7Char">
    <w:name w:val="Heading 7 Char"/>
    <w:basedOn w:val="DefaultParagraphFont"/>
    <w:link w:val="Heading7"/>
    <w:rsid w:val="00085832"/>
    <w:rPr>
      <w:rFonts w:eastAsiaTheme="minorHAnsi" w:cstheme="minorBidi"/>
      <w:sz w:val="24"/>
      <w:szCs w:val="22"/>
      <w:lang w:eastAsia="en-US"/>
    </w:rPr>
  </w:style>
  <w:style w:type="character" w:customStyle="1" w:styleId="Heading8Char">
    <w:name w:val="Heading 8 Char"/>
    <w:basedOn w:val="DefaultParagraphFont"/>
    <w:link w:val="Heading8"/>
    <w:rsid w:val="00085832"/>
    <w:rPr>
      <w:rFonts w:eastAsiaTheme="minorHAnsi" w:cstheme="minorBidi"/>
      <w:i/>
      <w:iCs/>
      <w:sz w:val="24"/>
      <w:szCs w:val="22"/>
      <w:lang w:eastAsia="en-US"/>
    </w:rPr>
  </w:style>
  <w:style w:type="character" w:customStyle="1" w:styleId="Heading9Char">
    <w:name w:val="Heading 9 Char"/>
    <w:basedOn w:val="DefaultParagraphFont"/>
    <w:link w:val="Heading9"/>
    <w:rsid w:val="00085832"/>
    <w:rPr>
      <w:rFonts w:ascii="Arial" w:eastAsiaTheme="minorHAnsi" w:hAnsi="Arial" w:cs="Arial"/>
      <w:sz w:val="22"/>
      <w:szCs w:val="22"/>
      <w:lang w:eastAsia="en-US"/>
    </w:rPr>
  </w:style>
  <w:style w:type="paragraph" w:customStyle="1" w:styleId="LDDescription">
    <w:name w:val="LD Description"/>
    <w:basedOn w:val="LDTitle"/>
    <w:rsid w:val="00085832"/>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85832"/>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85832"/>
    <w:rPr>
      <w:rFonts w:ascii="Arial" w:hAnsi="Arial" w:cs="Arial"/>
      <w:b/>
      <w:sz w:val="24"/>
      <w:szCs w:val="24"/>
      <w:lang w:eastAsia="en-US"/>
    </w:rPr>
  </w:style>
  <w:style w:type="paragraph" w:customStyle="1" w:styleId="LDDate">
    <w:name w:val="LDDate"/>
    <w:basedOn w:val="BodyText1"/>
    <w:link w:val="LDDateChar"/>
    <w:rsid w:val="00085832"/>
    <w:pPr>
      <w:spacing w:before="240"/>
    </w:pPr>
  </w:style>
  <w:style w:type="paragraph" w:customStyle="1" w:styleId="LDSignatory">
    <w:name w:val="LDSignatory"/>
    <w:basedOn w:val="BodyText1"/>
    <w:next w:val="BodyText1"/>
    <w:rsid w:val="00085832"/>
    <w:pPr>
      <w:keepNext/>
      <w:spacing w:before="900"/>
    </w:pPr>
  </w:style>
  <w:style w:type="character" w:customStyle="1" w:styleId="LDDateChar">
    <w:name w:val="LDDate Char"/>
    <w:link w:val="LDDate"/>
    <w:rsid w:val="00085832"/>
    <w:rPr>
      <w:sz w:val="24"/>
      <w:szCs w:val="24"/>
      <w:lang w:eastAsia="en-US"/>
    </w:rPr>
  </w:style>
  <w:style w:type="paragraph" w:customStyle="1" w:styleId="LDFooter">
    <w:name w:val="LDFooter"/>
    <w:basedOn w:val="BodyText1"/>
    <w:rsid w:val="00085832"/>
    <w:pPr>
      <w:tabs>
        <w:tab w:val="right" w:pos="8505"/>
      </w:tabs>
    </w:pPr>
    <w:rPr>
      <w:sz w:val="20"/>
    </w:rPr>
  </w:style>
  <w:style w:type="paragraph" w:customStyle="1" w:styleId="LDAmendText">
    <w:name w:val="LDAmendText"/>
    <w:basedOn w:val="LDBodytext"/>
    <w:next w:val="LDAmendInstruction"/>
    <w:link w:val="LDAmendTextChar"/>
    <w:rsid w:val="00085832"/>
    <w:pPr>
      <w:spacing w:before="60" w:after="60"/>
      <w:ind w:left="964"/>
    </w:pPr>
  </w:style>
  <w:style w:type="paragraph" w:customStyle="1" w:styleId="LDAmendInstruction">
    <w:name w:val="LDAmendInstruction"/>
    <w:basedOn w:val="LDScheduleClause"/>
    <w:next w:val="LDAmendText"/>
    <w:rsid w:val="00085832"/>
    <w:pPr>
      <w:keepNext/>
      <w:spacing w:before="120"/>
      <w:ind w:left="737" w:firstLine="0"/>
    </w:pPr>
    <w:rPr>
      <w:i/>
    </w:rPr>
  </w:style>
  <w:style w:type="paragraph" w:customStyle="1" w:styleId="LDTableheading">
    <w:name w:val="LDTableheading"/>
    <w:basedOn w:val="LDBodytext"/>
    <w:rsid w:val="00085832"/>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85832"/>
    <w:pPr>
      <w:tabs>
        <w:tab w:val="right" w:pos="1134"/>
        <w:tab w:val="left" w:pos="1276"/>
      </w:tabs>
      <w:spacing w:after="160" w:line="259" w:lineRule="auto"/>
      <w:ind w:left="1276" w:hanging="1276"/>
      <w:jc w:val="both"/>
    </w:pPr>
    <w:rPr>
      <w:rFonts w:eastAsiaTheme="minorHAnsi" w:cstheme="minorBidi"/>
      <w:szCs w:val="22"/>
      <w:lang w:val="en-GB"/>
    </w:rPr>
  </w:style>
  <w:style w:type="paragraph" w:customStyle="1" w:styleId="numeric">
    <w:name w:val="numeric"/>
    <w:basedOn w:val="Normal"/>
    <w:rsid w:val="00085832"/>
    <w:pPr>
      <w:tabs>
        <w:tab w:val="right" w:pos="1843"/>
        <w:tab w:val="left" w:pos="1985"/>
      </w:tabs>
      <w:spacing w:after="160" w:line="259" w:lineRule="auto"/>
      <w:ind w:left="1985" w:hanging="1985"/>
      <w:jc w:val="both"/>
    </w:pPr>
    <w:rPr>
      <w:rFonts w:eastAsiaTheme="minorHAnsi" w:cstheme="minorBidi"/>
      <w:szCs w:val="22"/>
      <w:lang w:val="en-GB"/>
    </w:rPr>
  </w:style>
  <w:style w:type="paragraph" w:customStyle="1" w:styleId="Reference">
    <w:name w:val="Reference"/>
    <w:basedOn w:val="BodyText"/>
    <w:rsid w:val="00085832"/>
    <w:pPr>
      <w:spacing w:before="360" w:after="120" w:line="259" w:lineRule="auto"/>
    </w:pPr>
    <w:rPr>
      <w:rFonts w:ascii="Arial" w:eastAsiaTheme="minorHAnsi" w:hAnsi="Arial" w:cstheme="minorBidi"/>
      <w:b/>
      <w:szCs w:val="22"/>
      <w:lang w:val="en-GB"/>
    </w:rPr>
  </w:style>
  <w:style w:type="paragraph" w:customStyle="1" w:styleId="LDEndLine">
    <w:name w:val="LDEndLine"/>
    <w:basedOn w:val="BodyText"/>
    <w:rsid w:val="00085832"/>
    <w:pPr>
      <w:pBdr>
        <w:bottom w:val="single" w:sz="2" w:space="0" w:color="auto"/>
      </w:pBdr>
      <w:spacing w:after="120" w:line="259" w:lineRule="auto"/>
    </w:pPr>
    <w:rPr>
      <w:rFonts w:ascii="Times New Roman" w:eastAsiaTheme="minorHAnsi" w:hAnsi="Times New Roman" w:cstheme="minorBidi"/>
      <w:szCs w:val="22"/>
    </w:rPr>
  </w:style>
  <w:style w:type="paragraph" w:styleId="Title">
    <w:name w:val="Title"/>
    <w:basedOn w:val="BodyText"/>
    <w:next w:val="BodyText"/>
    <w:link w:val="TitleChar"/>
    <w:qFormat/>
    <w:rsid w:val="00085832"/>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085832"/>
    <w:rPr>
      <w:rFonts w:ascii="Arial" w:eastAsiaTheme="minorHAnsi" w:hAnsi="Arial" w:cs="Arial"/>
      <w:bCs/>
      <w:kern w:val="28"/>
      <w:sz w:val="24"/>
      <w:szCs w:val="32"/>
      <w:lang w:eastAsia="en-US"/>
    </w:rPr>
  </w:style>
  <w:style w:type="paragraph" w:customStyle="1" w:styleId="LDTitle">
    <w:name w:val="LDTitle"/>
    <w:link w:val="LDTitleChar"/>
    <w:rsid w:val="00085832"/>
    <w:pPr>
      <w:spacing w:before="1320" w:after="480"/>
    </w:pPr>
    <w:rPr>
      <w:rFonts w:ascii="Arial" w:hAnsi="Arial"/>
      <w:sz w:val="24"/>
      <w:szCs w:val="24"/>
      <w:lang w:eastAsia="en-US"/>
    </w:rPr>
  </w:style>
  <w:style w:type="paragraph" w:customStyle="1" w:styleId="LDReference">
    <w:name w:val="LDReference"/>
    <w:basedOn w:val="LDTitle"/>
    <w:rsid w:val="00085832"/>
    <w:pPr>
      <w:spacing w:before="120"/>
      <w:ind w:left="1843"/>
    </w:pPr>
    <w:rPr>
      <w:rFonts w:ascii="Times New Roman" w:hAnsi="Times New Roman"/>
      <w:sz w:val="20"/>
      <w:szCs w:val="20"/>
    </w:rPr>
  </w:style>
  <w:style w:type="paragraph" w:customStyle="1" w:styleId="LDFollowing">
    <w:name w:val="LDFollowing"/>
    <w:basedOn w:val="LDDate"/>
    <w:next w:val="BodyText1"/>
    <w:rsid w:val="00085832"/>
    <w:pPr>
      <w:spacing w:before="60"/>
    </w:pPr>
  </w:style>
  <w:style w:type="paragraph" w:customStyle="1" w:styleId="LDTabletext">
    <w:name w:val="LDTabletext"/>
    <w:basedOn w:val="LDBodytext"/>
    <w:rsid w:val="0008583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85832"/>
    <w:rPr>
      <w:i/>
      <w:iCs/>
    </w:rPr>
  </w:style>
  <w:style w:type="paragraph" w:styleId="BlockText">
    <w:name w:val="Block Text"/>
    <w:basedOn w:val="Normal"/>
    <w:rsid w:val="00085832"/>
    <w:pPr>
      <w:spacing w:after="120" w:line="259" w:lineRule="auto"/>
      <w:ind w:left="1440" w:right="1440"/>
    </w:pPr>
    <w:rPr>
      <w:rFonts w:eastAsiaTheme="minorHAnsi" w:cstheme="minorBidi"/>
      <w:szCs w:val="22"/>
    </w:rPr>
  </w:style>
  <w:style w:type="paragraph" w:styleId="BodyText2">
    <w:name w:val="Body Text 2"/>
    <w:basedOn w:val="Normal"/>
    <w:link w:val="BodyText2Char"/>
    <w:rsid w:val="00085832"/>
    <w:pPr>
      <w:spacing w:after="120" w:line="480" w:lineRule="auto"/>
    </w:pPr>
    <w:rPr>
      <w:rFonts w:eastAsiaTheme="minorHAnsi" w:cstheme="minorBidi"/>
      <w:szCs w:val="22"/>
    </w:rPr>
  </w:style>
  <w:style w:type="character" w:customStyle="1" w:styleId="BodyText2Char">
    <w:name w:val="Body Text 2 Char"/>
    <w:basedOn w:val="DefaultParagraphFont"/>
    <w:link w:val="BodyText2"/>
    <w:rsid w:val="00085832"/>
    <w:rPr>
      <w:rFonts w:eastAsiaTheme="minorHAnsi" w:cstheme="minorBidi"/>
      <w:sz w:val="24"/>
      <w:szCs w:val="22"/>
      <w:lang w:eastAsia="en-US"/>
    </w:rPr>
  </w:style>
  <w:style w:type="paragraph" w:styleId="BodyText3">
    <w:name w:val="Body Text 3"/>
    <w:basedOn w:val="Normal"/>
    <w:link w:val="BodyText3Char"/>
    <w:rsid w:val="00085832"/>
    <w:pPr>
      <w:spacing w:after="120" w:line="259" w:lineRule="auto"/>
    </w:pPr>
    <w:rPr>
      <w:rFonts w:eastAsiaTheme="minorHAnsi" w:cstheme="minorBidi"/>
      <w:sz w:val="16"/>
      <w:szCs w:val="16"/>
    </w:rPr>
  </w:style>
  <w:style w:type="character" w:customStyle="1" w:styleId="BodyText3Char">
    <w:name w:val="Body Text 3 Char"/>
    <w:basedOn w:val="DefaultParagraphFont"/>
    <w:link w:val="BodyText3"/>
    <w:rsid w:val="00085832"/>
    <w:rPr>
      <w:rFonts w:eastAsiaTheme="minorHAnsi" w:cstheme="minorBidi"/>
      <w:sz w:val="16"/>
      <w:szCs w:val="16"/>
      <w:lang w:eastAsia="en-US"/>
    </w:rPr>
  </w:style>
  <w:style w:type="paragraph" w:styleId="BodyTextFirstIndent">
    <w:name w:val="Body Text First Indent"/>
    <w:basedOn w:val="BodyText"/>
    <w:link w:val="BodyTextFirstIndentChar"/>
    <w:rsid w:val="00085832"/>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085832"/>
    <w:rPr>
      <w:rFonts w:ascii="Times New (W1)" w:eastAsiaTheme="minorHAnsi" w:hAnsi="Times New (W1)" w:cstheme="minorBidi"/>
      <w:sz w:val="24"/>
      <w:szCs w:val="24"/>
      <w:lang w:eastAsia="en-US"/>
    </w:rPr>
  </w:style>
  <w:style w:type="paragraph" w:styleId="BodyTextIndent">
    <w:name w:val="Body Text Indent"/>
    <w:basedOn w:val="Normal"/>
    <w:link w:val="BodyTextIndentChar"/>
    <w:rsid w:val="00085832"/>
    <w:pPr>
      <w:spacing w:after="120" w:line="259" w:lineRule="auto"/>
      <w:ind w:left="283"/>
    </w:pPr>
    <w:rPr>
      <w:rFonts w:eastAsiaTheme="minorHAnsi" w:cstheme="minorBidi"/>
      <w:szCs w:val="22"/>
    </w:rPr>
  </w:style>
  <w:style w:type="character" w:customStyle="1" w:styleId="BodyTextIndentChar">
    <w:name w:val="Body Text Indent Char"/>
    <w:basedOn w:val="DefaultParagraphFont"/>
    <w:link w:val="BodyTextIndent"/>
    <w:rsid w:val="00085832"/>
    <w:rPr>
      <w:rFonts w:eastAsiaTheme="minorHAnsi" w:cstheme="minorBidi"/>
      <w:sz w:val="24"/>
      <w:szCs w:val="22"/>
      <w:lang w:eastAsia="en-US"/>
    </w:rPr>
  </w:style>
  <w:style w:type="paragraph" w:styleId="BodyTextFirstIndent2">
    <w:name w:val="Body Text First Indent 2"/>
    <w:basedOn w:val="BodyTextIndent"/>
    <w:link w:val="BodyTextFirstIndent2Char"/>
    <w:rsid w:val="00085832"/>
    <w:pPr>
      <w:ind w:firstLine="210"/>
    </w:pPr>
  </w:style>
  <w:style w:type="character" w:customStyle="1" w:styleId="BodyTextFirstIndent2Char">
    <w:name w:val="Body Text First Indent 2 Char"/>
    <w:basedOn w:val="BodyTextIndentChar"/>
    <w:link w:val="BodyTextFirstIndent2"/>
    <w:rsid w:val="00085832"/>
    <w:rPr>
      <w:rFonts w:eastAsiaTheme="minorHAnsi" w:cstheme="minorBidi"/>
      <w:sz w:val="24"/>
      <w:szCs w:val="22"/>
      <w:lang w:eastAsia="en-US"/>
    </w:rPr>
  </w:style>
  <w:style w:type="paragraph" w:styleId="BodyTextIndent2">
    <w:name w:val="Body Text Indent 2"/>
    <w:basedOn w:val="Normal"/>
    <w:link w:val="BodyTextIndent2Char"/>
    <w:rsid w:val="00085832"/>
    <w:pPr>
      <w:spacing w:after="120"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rsid w:val="00085832"/>
    <w:rPr>
      <w:rFonts w:eastAsiaTheme="minorHAnsi" w:cstheme="minorBidi"/>
      <w:sz w:val="24"/>
      <w:szCs w:val="22"/>
      <w:lang w:eastAsia="en-US"/>
    </w:rPr>
  </w:style>
  <w:style w:type="paragraph" w:styleId="BodyTextIndent3">
    <w:name w:val="Body Text Indent 3"/>
    <w:basedOn w:val="Normal"/>
    <w:link w:val="BodyTextIndent3Char"/>
    <w:rsid w:val="00085832"/>
    <w:pPr>
      <w:spacing w:after="120" w:line="259" w:lineRule="auto"/>
      <w:ind w:left="283"/>
    </w:pPr>
    <w:rPr>
      <w:rFonts w:eastAsiaTheme="minorHAnsi" w:cstheme="minorBidi"/>
      <w:sz w:val="16"/>
      <w:szCs w:val="16"/>
    </w:rPr>
  </w:style>
  <w:style w:type="character" w:customStyle="1" w:styleId="BodyTextIndent3Char">
    <w:name w:val="Body Text Indent 3 Char"/>
    <w:basedOn w:val="DefaultParagraphFont"/>
    <w:link w:val="BodyTextIndent3"/>
    <w:rsid w:val="00085832"/>
    <w:rPr>
      <w:rFonts w:eastAsiaTheme="minorHAnsi" w:cstheme="minorBidi"/>
      <w:sz w:val="16"/>
      <w:szCs w:val="16"/>
      <w:lang w:eastAsia="en-US"/>
    </w:rPr>
  </w:style>
  <w:style w:type="paragraph" w:styleId="Caption">
    <w:name w:val="caption"/>
    <w:basedOn w:val="Normal"/>
    <w:next w:val="Normal"/>
    <w:qFormat/>
    <w:rsid w:val="00085832"/>
    <w:pPr>
      <w:spacing w:after="160" w:line="259" w:lineRule="auto"/>
    </w:pPr>
    <w:rPr>
      <w:rFonts w:eastAsiaTheme="minorHAnsi" w:cstheme="minorBidi"/>
      <w:b/>
      <w:bCs/>
      <w:sz w:val="20"/>
      <w:szCs w:val="22"/>
    </w:rPr>
  </w:style>
  <w:style w:type="paragraph" w:styleId="Closing">
    <w:name w:val="Closing"/>
    <w:basedOn w:val="Normal"/>
    <w:link w:val="ClosingChar"/>
    <w:rsid w:val="00085832"/>
    <w:pPr>
      <w:spacing w:after="160" w:line="259" w:lineRule="auto"/>
      <w:ind w:left="4252"/>
    </w:pPr>
    <w:rPr>
      <w:rFonts w:eastAsiaTheme="minorHAnsi" w:cstheme="minorBidi"/>
      <w:szCs w:val="22"/>
    </w:rPr>
  </w:style>
  <w:style w:type="character" w:customStyle="1" w:styleId="ClosingChar">
    <w:name w:val="Closing Char"/>
    <w:basedOn w:val="DefaultParagraphFont"/>
    <w:link w:val="Closing"/>
    <w:rsid w:val="00085832"/>
    <w:rPr>
      <w:rFonts w:eastAsiaTheme="minorHAnsi" w:cstheme="minorBidi"/>
      <w:sz w:val="24"/>
      <w:szCs w:val="22"/>
      <w:lang w:eastAsia="en-US"/>
    </w:rPr>
  </w:style>
  <w:style w:type="paragraph" w:styleId="Date">
    <w:name w:val="Date"/>
    <w:basedOn w:val="Normal"/>
    <w:next w:val="Normal"/>
    <w:link w:val="DateChar"/>
    <w:rsid w:val="00085832"/>
    <w:pPr>
      <w:spacing w:after="160" w:line="259" w:lineRule="auto"/>
    </w:pPr>
    <w:rPr>
      <w:rFonts w:eastAsiaTheme="minorHAnsi" w:cstheme="minorBidi"/>
      <w:szCs w:val="22"/>
    </w:rPr>
  </w:style>
  <w:style w:type="character" w:customStyle="1" w:styleId="DateChar">
    <w:name w:val="Date Char"/>
    <w:basedOn w:val="DefaultParagraphFont"/>
    <w:link w:val="Date"/>
    <w:rsid w:val="00085832"/>
    <w:rPr>
      <w:rFonts w:eastAsiaTheme="minorHAnsi" w:cstheme="minorBidi"/>
      <w:sz w:val="24"/>
      <w:szCs w:val="22"/>
      <w:lang w:eastAsia="en-US"/>
    </w:rPr>
  </w:style>
  <w:style w:type="paragraph" w:styleId="DocumentMap">
    <w:name w:val="Document Map"/>
    <w:basedOn w:val="Normal"/>
    <w:link w:val="DocumentMapChar"/>
    <w:semiHidden/>
    <w:rsid w:val="00085832"/>
    <w:pPr>
      <w:shd w:val="clear" w:color="auto" w:fill="000080"/>
      <w:spacing w:after="160" w:line="259" w:lineRule="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085832"/>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085832"/>
    <w:pPr>
      <w:spacing w:after="160" w:line="259" w:lineRule="auto"/>
    </w:pPr>
    <w:rPr>
      <w:rFonts w:eastAsiaTheme="minorHAnsi" w:cstheme="minorBidi"/>
      <w:szCs w:val="22"/>
    </w:rPr>
  </w:style>
  <w:style w:type="character" w:customStyle="1" w:styleId="E-mailSignatureChar">
    <w:name w:val="E-mail Signature Char"/>
    <w:basedOn w:val="DefaultParagraphFont"/>
    <w:link w:val="E-mailSignature"/>
    <w:rsid w:val="00085832"/>
    <w:rPr>
      <w:rFonts w:eastAsiaTheme="minorHAnsi" w:cstheme="minorBidi"/>
      <w:sz w:val="24"/>
      <w:szCs w:val="22"/>
      <w:lang w:eastAsia="en-US"/>
    </w:rPr>
  </w:style>
  <w:style w:type="paragraph" w:styleId="EndnoteText">
    <w:name w:val="endnote text"/>
    <w:basedOn w:val="Normal"/>
    <w:link w:val="EndnoteTextChar"/>
    <w:semiHidden/>
    <w:rsid w:val="00085832"/>
    <w:pPr>
      <w:spacing w:after="160" w:line="259" w:lineRule="auto"/>
    </w:pPr>
    <w:rPr>
      <w:rFonts w:eastAsiaTheme="minorHAnsi" w:cstheme="minorBidi"/>
      <w:sz w:val="20"/>
      <w:szCs w:val="22"/>
    </w:rPr>
  </w:style>
  <w:style w:type="character" w:customStyle="1" w:styleId="EndnoteTextChar">
    <w:name w:val="Endnote Text Char"/>
    <w:basedOn w:val="DefaultParagraphFont"/>
    <w:link w:val="EndnoteText"/>
    <w:semiHidden/>
    <w:rsid w:val="00085832"/>
    <w:rPr>
      <w:rFonts w:eastAsiaTheme="minorHAnsi" w:cstheme="minorBidi"/>
      <w:szCs w:val="22"/>
      <w:lang w:eastAsia="en-US"/>
    </w:rPr>
  </w:style>
  <w:style w:type="paragraph" w:styleId="EnvelopeAddress">
    <w:name w:val="envelope address"/>
    <w:basedOn w:val="Normal"/>
    <w:rsid w:val="00085832"/>
    <w:pPr>
      <w:framePr w:w="7920" w:h="1980" w:hRule="exact" w:hSpace="180" w:wrap="auto" w:hAnchor="page" w:xAlign="center" w:yAlign="bottom"/>
      <w:spacing w:after="160" w:line="259" w:lineRule="auto"/>
      <w:ind w:left="2880"/>
    </w:pPr>
    <w:rPr>
      <w:rFonts w:ascii="Arial" w:eastAsiaTheme="minorHAnsi" w:hAnsi="Arial" w:cs="Arial"/>
      <w:szCs w:val="22"/>
    </w:rPr>
  </w:style>
  <w:style w:type="paragraph" w:styleId="EnvelopeReturn">
    <w:name w:val="envelope return"/>
    <w:basedOn w:val="Normal"/>
    <w:rsid w:val="00085832"/>
    <w:pPr>
      <w:spacing w:after="160" w:line="259" w:lineRule="auto"/>
    </w:pPr>
    <w:rPr>
      <w:rFonts w:ascii="Arial" w:eastAsiaTheme="minorHAnsi" w:hAnsi="Arial" w:cs="Arial"/>
      <w:sz w:val="20"/>
      <w:szCs w:val="22"/>
    </w:rPr>
  </w:style>
  <w:style w:type="paragraph" w:styleId="HTMLAddress">
    <w:name w:val="HTML Address"/>
    <w:basedOn w:val="Normal"/>
    <w:link w:val="HTMLAddressChar"/>
    <w:rsid w:val="00085832"/>
    <w:pPr>
      <w:spacing w:after="160" w:line="259" w:lineRule="auto"/>
    </w:pPr>
    <w:rPr>
      <w:rFonts w:eastAsiaTheme="minorHAnsi" w:cstheme="minorBidi"/>
      <w:i/>
      <w:iCs/>
      <w:szCs w:val="22"/>
    </w:rPr>
  </w:style>
  <w:style w:type="character" w:customStyle="1" w:styleId="HTMLAddressChar">
    <w:name w:val="HTML Address Char"/>
    <w:basedOn w:val="DefaultParagraphFont"/>
    <w:link w:val="HTMLAddress"/>
    <w:rsid w:val="00085832"/>
    <w:rPr>
      <w:rFonts w:eastAsiaTheme="minorHAnsi" w:cstheme="minorBidi"/>
      <w:i/>
      <w:iCs/>
      <w:sz w:val="24"/>
      <w:szCs w:val="22"/>
      <w:lang w:eastAsia="en-US"/>
    </w:rPr>
  </w:style>
  <w:style w:type="paragraph" w:styleId="HTMLPreformatted">
    <w:name w:val="HTML Preformatted"/>
    <w:basedOn w:val="Normal"/>
    <w:link w:val="HTMLPreformattedChar"/>
    <w:rsid w:val="00085832"/>
    <w:pPr>
      <w:spacing w:after="160" w:line="259" w:lineRule="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085832"/>
    <w:rPr>
      <w:rFonts w:ascii="Courier New" w:eastAsiaTheme="minorHAnsi" w:hAnsi="Courier New" w:cs="Courier New"/>
      <w:szCs w:val="22"/>
      <w:lang w:eastAsia="en-US"/>
    </w:rPr>
  </w:style>
  <w:style w:type="paragraph" w:styleId="Index1">
    <w:name w:val="index 1"/>
    <w:basedOn w:val="Normal"/>
    <w:next w:val="Normal"/>
    <w:autoRedefine/>
    <w:semiHidden/>
    <w:rsid w:val="00085832"/>
    <w:pPr>
      <w:spacing w:after="160" w:line="259" w:lineRule="auto"/>
      <w:ind w:left="260" w:hanging="260"/>
    </w:pPr>
    <w:rPr>
      <w:rFonts w:eastAsiaTheme="minorHAnsi" w:cstheme="minorBidi"/>
      <w:szCs w:val="22"/>
    </w:rPr>
  </w:style>
  <w:style w:type="paragraph" w:styleId="Index2">
    <w:name w:val="index 2"/>
    <w:basedOn w:val="Normal"/>
    <w:next w:val="Normal"/>
    <w:autoRedefine/>
    <w:semiHidden/>
    <w:rsid w:val="00085832"/>
    <w:pPr>
      <w:spacing w:after="160" w:line="259" w:lineRule="auto"/>
      <w:ind w:left="520" w:hanging="260"/>
    </w:pPr>
    <w:rPr>
      <w:rFonts w:eastAsiaTheme="minorHAnsi" w:cstheme="minorBidi"/>
      <w:szCs w:val="22"/>
    </w:rPr>
  </w:style>
  <w:style w:type="paragraph" w:styleId="Index3">
    <w:name w:val="index 3"/>
    <w:basedOn w:val="Normal"/>
    <w:next w:val="Normal"/>
    <w:autoRedefine/>
    <w:semiHidden/>
    <w:rsid w:val="00085832"/>
    <w:pPr>
      <w:spacing w:after="160" w:line="259" w:lineRule="auto"/>
      <w:ind w:left="780" w:hanging="260"/>
    </w:pPr>
    <w:rPr>
      <w:rFonts w:eastAsiaTheme="minorHAnsi" w:cstheme="minorBidi"/>
      <w:szCs w:val="22"/>
    </w:rPr>
  </w:style>
  <w:style w:type="paragraph" w:styleId="Index4">
    <w:name w:val="index 4"/>
    <w:basedOn w:val="Normal"/>
    <w:next w:val="Normal"/>
    <w:autoRedefine/>
    <w:semiHidden/>
    <w:rsid w:val="00085832"/>
    <w:pPr>
      <w:spacing w:after="160" w:line="259" w:lineRule="auto"/>
      <w:ind w:left="1040" w:hanging="260"/>
    </w:pPr>
    <w:rPr>
      <w:rFonts w:eastAsiaTheme="minorHAnsi" w:cstheme="minorBidi"/>
      <w:szCs w:val="22"/>
    </w:rPr>
  </w:style>
  <w:style w:type="paragraph" w:styleId="Index5">
    <w:name w:val="index 5"/>
    <w:basedOn w:val="Normal"/>
    <w:next w:val="Normal"/>
    <w:autoRedefine/>
    <w:semiHidden/>
    <w:rsid w:val="00085832"/>
    <w:pPr>
      <w:spacing w:after="160" w:line="259" w:lineRule="auto"/>
      <w:ind w:left="1300" w:hanging="260"/>
    </w:pPr>
    <w:rPr>
      <w:rFonts w:eastAsiaTheme="minorHAnsi" w:cstheme="minorBidi"/>
      <w:szCs w:val="22"/>
    </w:rPr>
  </w:style>
  <w:style w:type="paragraph" w:styleId="Index6">
    <w:name w:val="index 6"/>
    <w:basedOn w:val="Normal"/>
    <w:next w:val="Normal"/>
    <w:autoRedefine/>
    <w:semiHidden/>
    <w:rsid w:val="00085832"/>
    <w:pPr>
      <w:spacing w:after="160" w:line="259" w:lineRule="auto"/>
      <w:ind w:left="1560" w:hanging="260"/>
    </w:pPr>
    <w:rPr>
      <w:rFonts w:eastAsiaTheme="minorHAnsi" w:cstheme="minorBidi"/>
      <w:szCs w:val="22"/>
    </w:rPr>
  </w:style>
  <w:style w:type="paragraph" w:styleId="Index7">
    <w:name w:val="index 7"/>
    <w:basedOn w:val="Normal"/>
    <w:next w:val="Normal"/>
    <w:autoRedefine/>
    <w:semiHidden/>
    <w:rsid w:val="00085832"/>
    <w:pPr>
      <w:spacing w:after="160" w:line="259" w:lineRule="auto"/>
      <w:ind w:left="1820" w:hanging="260"/>
    </w:pPr>
    <w:rPr>
      <w:rFonts w:eastAsiaTheme="minorHAnsi" w:cstheme="minorBidi"/>
      <w:szCs w:val="22"/>
    </w:rPr>
  </w:style>
  <w:style w:type="paragraph" w:styleId="Index8">
    <w:name w:val="index 8"/>
    <w:basedOn w:val="Normal"/>
    <w:next w:val="Normal"/>
    <w:autoRedefine/>
    <w:semiHidden/>
    <w:rsid w:val="00085832"/>
    <w:pPr>
      <w:spacing w:after="160" w:line="259" w:lineRule="auto"/>
      <w:ind w:left="2080" w:hanging="260"/>
    </w:pPr>
    <w:rPr>
      <w:rFonts w:eastAsiaTheme="minorHAnsi" w:cstheme="minorBidi"/>
      <w:szCs w:val="22"/>
    </w:rPr>
  </w:style>
  <w:style w:type="paragraph" w:styleId="Index9">
    <w:name w:val="index 9"/>
    <w:basedOn w:val="Normal"/>
    <w:next w:val="Normal"/>
    <w:autoRedefine/>
    <w:semiHidden/>
    <w:rsid w:val="00085832"/>
    <w:pPr>
      <w:spacing w:after="160" w:line="259" w:lineRule="auto"/>
      <w:ind w:left="2340" w:hanging="260"/>
    </w:pPr>
    <w:rPr>
      <w:rFonts w:eastAsiaTheme="minorHAnsi" w:cstheme="minorBidi"/>
      <w:szCs w:val="22"/>
    </w:rPr>
  </w:style>
  <w:style w:type="paragraph" w:styleId="IndexHeading">
    <w:name w:val="index heading"/>
    <w:basedOn w:val="Normal"/>
    <w:next w:val="Index1"/>
    <w:semiHidden/>
    <w:rsid w:val="00085832"/>
    <w:pPr>
      <w:spacing w:after="160" w:line="259" w:lineRule="auto"/>
    </w:pPr>
    <w:rPr>
      <w:rFonts w:ascii="Arial" w:eastAsiaTheme="minorHAnsi" w:hAnsi="Arial" w:cs="Arial"/>
      <w:b/>
      <w:bCs/>
      <w:szCs w:val="22"/>
    </w:rPr>
  </w:style>
  <w:style w:type="paragraph" w:styleId="List">
    <w:name w:val="List"/>
    <w:basedOn w:val="Normal"/>
    <w:rsid w:val="00085832"/>
    <w:pPr>
      <w:spacing w:after="160" w:line="259" w:lineRule="auto"/>
      <w:ind w:left="283" w:hanging="283"/>
    </w:pPr>
    <w:rPr>
      <w:rFonts w:eastAsiaTheme="minorHAnsi" w:cstheme="minorBidi"/>
      <w:szCs w:val="22"/>
    </w:rPr>
  </w:style>
  <w:style w:type="paragraph" w:styleId="List2">
    <w:name w:val="List 2"/>
    <w:basedOn w:val="Normal"/>
    <w:rsid w:val="00085832"/>
    <w:pPr>
      <w:spacing w:after="160" w:line="259" w:lineRule="auto"/>
      <w:ind w:left="566" w:hanging="283"/>
    </w:pPr>
    <w:rPr>
      <w:rFonts w:eastAsiaTheme="minorHAnsi" w:cstheme="minorBidi"/>
      <w:szCs w:val="22"/>
    </w:rPr>
  </w:style>
  <w:style w:type="paragraph" w:styleId="List3">
    <w:name w:val="List 3"/>
    <w:basedOn w:val="Normal"/>
    <w:rsid w:val="00085832"/>
    <w:pPr>
      <w:spacing w:after="160" w:line="259" w:lineRule="auto"/>
      <w:ind w:left="849" w:hanging="283"/>
    </w:pPr>
    <w:rPr>
      <w:rFonts w:eastAsiaTheme="minorHAnsi" w:cstheme="minorBidi"/>
      <w:szCs w:val="22"/>
    </w:rPr>
  </w:style>
  <w:style w:type="paragraph" w:styleId="List4">
    <w:name w:val="List 4"/>
    <w:basedOn w:val="Normal"/>
    <w:rsid w:val="00085832"/>
    <w:pPr>
      <w:spacing w:after="160" w:line="259" w:lineRule="auto"/>
      <w:ind w:left="1132" w:hanging="283"/>
    </w:pPr>
    <w:rPr>
      <w:rFonts w:eastAsiaTheme="minorHAnsi" w:cstheme="minorBidi"/>
      <w:szCs w:val="22"/>
    </w:rPr>
  </w:style>
  <w:style w:type="paragraph" w:styleId="List5">
    <w:name w:val="List 5"/>
    <w:basedOn w:val="Normal"/>
    <w:rsid w:val="00085832"/>
    <w:pPr>
      <w:spacing w:after="160" w:line="259" w:lineRule="auto"/>
      <w:ind w:left="1415" w:hanging="283"/>
    </w:pPr>
    <w:rPr>
      <w:rFonts w:eastAsiaTheme="minorHAnsi" w:cstheme="minorBidi"/>
      <w:szCs w:val="22"/>
    </w:rPr>
  </w:style>
  <w:style w:type="paragraph" w:styleId="ListBullet">
    <w:name w:val="List Bullet"/>
    <w:basedOn w:val="Normal"/>
    <w:rsid w:val="00085832"/>
    <w:pPr>
      <w:numPr>
        <w:numId w:val="17"/>
      </w:numPr>
      <w:spacing w:after="160" w:line="259" w:lineRule="auto"/>
    </w:pPr>
    <w:rPr>
      <w:rFonts w:eastAsiaTheme="minorHAnsi" w:cstheme="minorBidi"/>
      <w:szCs w:val="22"/>
    </w:rPr>
  </w:style>
  <w:style w:type="paragraph" w:styleId="ListBullet2">
    <w:name w:val="List Bullet 2"/>
    <w:basedOn w:val="Normal"/>
    <w:rsid w:val="00085832"/>
    <w:pPr>
      <w:numPr>
        <w:numId w:val="18"/>
      </w:numPr>
      <w:spacing w:after="160" w:line="259" w:lineRule="auto"/>
    </w:pPr>
    <w:rPr>
      <w:rFonts w:eastAsiaTheme="minorHAnsi" w:cstheme="minorBidi"/>
      <w:szCs w:val="22"/>
    </w:rPr>
  </w:style>
  <w:style w:type="paragraph" w:styleId="ListBullet3">
    <w:name w:val="List Bullet 3"/>
    <w:basedOn w:val="Normal"/>
    <w:rsid w:val="00085832"/>
    <w:pPr>
      <w:numPr>
        <w:numId w:val="19"/>
      </w:numPr>
      <w:spacing w:after="160" w:line="259" w:lineRule="auto"/>
    </w:pPr>
    <w:rPr>
      <w:rFonts w:eastAsiaTheme="minorHAnsi" w:cstheme="minorBidi"/>
      <w:szCs w:val="22"/>
    </w:rPr>
  </w:style>
  <w:style w:type="paragraph" w:styleId="ListBullet4">
    <w:name w:val="List Bullet 4"/>
    <w:basedOn w:val="Normal"/>
    <w:rsid w:val="00085832"/>
    <w:pPr>
      <w:numPr>
        <w:numId w:val="20"/>
      </w:numPr>
      <w:spacing w:after="160" w:line="259" w:lineRule="auto"/>
    </w:pPr>
    <w:rPr>
      <w:rFonts w:eastAsiaTheme="minorHAnsi" w:cstheme="minorBidi"/>
      <w:szCs w:val="22"/>
    </w:rPr>
  </w:style>
  <w:style w:type="paragraph" w:styleId="ListBullet5">
    <w:name w:val="List Bullet 5"/>
    <w:basedOn w:val="Normal"/>
    <w:rsid w:val="00085832"/>
    <w:pPr>
      <w:numPr>
        <w:numId w:val="21"/>
      </w:numPr>
      <w:spacing w:after="160" w:line="259" w:lineRule="auto"/>
    </w:pPr>
    <w:rPr>
      <w:rFonts w:eastAsiaTheme="minorHAnsi" w:cstheme="minorBidi"/>
      <w:szCs w:val="22"/>
    </w:rPr>
  </w:style>
  <w:style w:type="paragraph" w:styleId="ListContinue">
    <w:name w:val="List Continue"/>
    <w:basedOn w:val="Normal"/>
    <w:rsid w:val="00085832"/>
    <w:pPr>
      <w:spacing w:after="120" w:line="259" w:lineRule="auto"/>
      <w:ind w:left="283"/>
    </w:pPr>
    <w:rPr>
      <w:rFonts w:eastAsiaTheme="minorHAnsi" w:cstheme="minorBidi"/>
      <w:szCs w:val="22"/>
    </w:rPr>
  </w:style>
  <w:style w:type="paragraph" w:styleId="ListContinue2">
    <w:name w:val="List Continue 2"/>
    <w:basedOn w:val="Normal"/>
    <w:rsid w:val="00085832"/>
    <w:pPr>
      <w:spacing w:after="120" w:line="259" w:lineRule="auto"/>
      <w:ind w:left="566"/>
    </w:pPr>
    <w:rPr>
      <w:rFonts w:eastAsiaTheme="minorHAnsi" w:cstheme="minorBidi"/>
      <w:szCs w:val="22"/>
    </w:rPr>
  </w:style>
  <w:style w:type="paragraph" w:styleId="ListContinue3">
    <w:name w:val="List Continue 3"/>
    <w:basedOn w:val="Normal"/>
    <w:rsid w:val="00085832"/>
    <w:pPr>
      <w:spacing w:after="120" w:line="259" w:lineRule="auto"/>
      <w:ind w:left="849"/>
    </w:pPr>
    <w:rPr>
      <w:rFonts w:eastAsiaTheme="minorHAnsi" w:cstheme="minorBidi"/>
      <w:szCs w:val="22"/>
    </w:rPr>
  </w:style>
  <w:style w:type="paragraph" w:styleId="ListContinue4">
    <w:name w:val="List Continue 4"/>
    <w:basedOn w:val="Normal"/>
    <w:rsid w:val="00085832"/>
    <w:pPr>
      <w:spacing w:after="120" w:line="259" w:lineRule="auto"/>
      <w:ind w:left="1132"/>
    </w:pPr>
    <w:rPr>
      <w:rFonts w:eastAsiaTheme="minorHAnsi" w:cstheme="minorBidi"/>
      <w:szCs w:val="22"/>
    </w:rPr>
  </w:style>
  <w:style w:type="paragraph" w:styleId="ListContinue5">
    <w:name w:val="List Continue 5"/>
    <w:basedOn w:val="Normal"/>
    <w:rsid w:val="00085832"/>
    <w:pPr>
      <w:spacing w:after="120" w:line="259" w:lineRule="auto"/>
      <w:ind w:left="1415"/>
    </w:pPr>
    <w:rPr>
      <w:rFonts w:eastAsiaTheme="minorHAnsi" w:cstheme="minorBidi"/>
      <w:szCs w:val="22"/>
    </w:rPr>
  </w:style>
  <w:style w:type="paragraph" w:styleId="ListNumber">
    <w:name w:val="List Number"/>
    <w:basedOn w:val="Normal"/>
    <w:rsid w:val="00085832"/>
    <w:pPr>
      <w:numPr>
        <w:numId w:val="22"/>
      </w:numPr>
      <w:spacing w:after="160" w:line="259" w:lineRule="auto"/>
    </w:pPr>
    <w:rPr>
      <w:rFonts w:eastAsiaTheme="minorHAnsi" w:cstheme="minorBidi"/>
      <w:szCs w:val="22"/>
    </w:rPr>
  </w:style>
  <w:style w:type="paragraph" w:styleId="ListNumber2">
    <w:name w:val="List Number 2"/>
    <w:basedOn w:val="Normal"/>
    <w:rsid w:val="00085832"/>
    <w:pPr>
      <w:numPr>
        <w:numId w:val="23"/>
      </w:numPr>
      <w:spacing w:after="160" w:line="259" w:lineRule="auto"/>
    </w:pPr>
    <w:rPr>
      <w:rFonts w:eastAsiaTheme="minorHAnsi" w:cstheme="minorBidi"/>
      <w:szCs w:val="22"/>
    </w:rPr>
  </w:style>
  <w:style w:type="paragraph" w:styleId="ListNumber3">
    <w:name w:val="List Number 3"/>
    <w:basedOn w:val="Normal"/>
    <w:rsid w:val="00085832"/>
    <w:pPr>
      <w:numPr>
        <w:numId w:val="24"/>
      </w:numPr>
      <w:spacing w:after="160" w:line="259" w:lineRule="auto"/>
    </w:pPr>
    <w:rPr>
      <w:rFonts w:eastAsiaTheme="minorHAnsi" w:cstheme="minorBidi"/>
      <w:szCs w:val="22"/>
    </w:rPr>
  </w:style>
  <w:style w:type="paragraph" w:styleId="ListNumber4">
    <w:name w:val="List Number 4"/>
    <w:basedOn w:val="Normal"/>
    <w:rsid w:val="00085832"/>
    <w:pPr>
      <w:numPr>
        <w:numId w:val="25"/>
      </w:numPr>
      <w:spacing w:after="160" w:line="259" w:lineRule="auto"/>
    </w:pPr>
    <w:rPr>
      <w:rFonts w:eastAsiaTheme="minorHAnsi" w:cstheme="minorBidi"/>
      <w:szCs w:val="22"/>
    </w:rPr>
  </w:style>
  <w:style w:type="paragraph" w:styleId="ListNumber5">
    <w:name w:val="List Number 5"/>
    <w:basedOn w:val="Normal"/>
    <w:rsid w:val="00085832"/>
    <w:pPr>
      <w:numPr>
        <w:numId w:val="26"/>
      </w:numPr>
      <w:spacing w:after="160" w:line="259" w:lineRule="auto"/>
    </w:pPr>
    <w:rPr>
      <w:rFonts w:eastAsiaTheme="minorHAnsi" w:cstheme="minorBidi"/>
      <w:szCs w:val="22"/>
    </w:rPr>
  </w:style>
  <w:style w:type="paragraph" w:styleId="MacroText">
    <w:name w:val="macro"/>
    <w:link w:val="MacroTextChar"/>
    <w:rsid w:val="00085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85832"/>
    <w:rPr>
      <w:rFonts w:ascii="Courier New" w:hAnsi="Courier New" w:cs="Courier New"/>
      <w:lang w:eastAsia="en-US"/>
    </w:rPr>
  </w:style>
  <w:style w:type="paragraph" w:styleId="MessageHeader">
    <w:name w:val="Message Header"/>
    <w:basedOn w:val="Normal"/>
    <w:link w:val="MessageHeaderChar"/>
    <w:rsid w:val="00085832"/>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Theme="minorHAnsi" w:hAnsi="Arial" w:cs="Arial"/>
      <w:szCs w:val="22"/>
    </w:rPr>
  </w:style>
  <w:style w:type="character" w:customStyle="1" w:styleId="MessageHeaderChar">
    <w:name w:val="Message Header Char"/>
    <w:basedOn w:val="DefaultParagraphFont"/>
    <w:link w:val="MessageHeader"/>
    <w:rsid w:val="00085832"/>
    <w:rPr>
      <w:rFonts w:ascii="Arial" w:eastAsiaTheme="minorHAnsi" w:hAnsi="Arial" w:cs="Arial"/>
      <w:sz w:val="24"/>
      <w:szCs w:val="22"/>
      <w:shd w:val="pct20" w:color="auto" w:fill="auto"/>
      <w:lang w:eastAsia="en-US"/>
    </w:rPr>
  </w:style>
  <w:style w:type="paragraph" w:styleId="NormalIndent">
    <w:name w:val="Normal Indent"/>
    <w:basedOn w:val="Normal"/>
    <w:rsid w:val="00085832"/>
    <w:pPr>
      <w:spacing w:after="160" w:line="259" w:lineRule="auto"/>
      <w:ind w:left="720"/>
    </w:pPr>
    <w:rPr>
      <w:rFonts w:eastAsiaTheme="minorHAnsi" w:cstheme="minorBidi"/>
      <w:szCs w:val="22"/>
    </w:rPr>
  </w:style>
  <w:style w:type="paragraph" w:styleId="NoteHeading">
    <w:name w:val="Note Heading"/>
    <w:basedOn w:val="Normal"/>
    <w:next w:val="Normal"/>
    <w:link w:val="NoteHeadingChar"/>
    <w:rsid w:val="00085832"/>
    <w:pPr>
      <w:spacing w:after="160" w:line="259" w:lineRule="auto"/>
    </w:pPr>
    <w:rPr>
      <w:rFonts w:eastAsiaTheme="minorHAnsi" w:cstheme="minorBidi"/>
      <w:szCs w:val="22"/>
    </w:rPr>
  </w:style>
  <w:style w:type="character" w:customStyle="1" w:styleId="NoteHeadingChar">
    <w:name w:val="Note Heading Char"/>
    <w:basedOn w:val="DefaultParagraphFont"/>
    <w:link w:val="NoteHeading"/>
    <w:rsid w:val="00085832"/>
    <w:rPr>
      <w:rFonts w:eastAsiaTheme="minorHAnsi" w:cstheme="minorBidi"/>
      <w:sz w:val="24"/>
      <w:szCs w:val="22"/>
      <w:lang w:eastAsia="en-US"/>
    </w:rPr>
  </w:style>
  <w:style w:type="paragraph" w:styleId="PlainText">
    <w:name w:val="Plain Text"/>
    <w:basedOn w:val="Normal"/>
    <w:link w:val="PlainTextChar"/>
    <w:rsid w:val="00085832"/>
    <w:pPr>
      <w:spacing w:after="160" w:line="259" w:lineRule="auto"/>
    </w:pPr>
    <w:rPr>
      <w:rFonts w:ascii="Courier New" w:eastAsiaTheme="minorHAnsi" w:hAnsi="Courier New" w:cs="Courier New"/>
      <w:sz w:val="20"/>
      <w:szCs w:val="22"/>
    </w:rPr>
  </w:style>
  <w:style w:type="character" w:customStyle="1" w:styleId="PlainTextChar">
    <w:name w:val="Plain Text Char"/>
    <w:basedOn w:val="DefaultParagraphFont"/>
    <w:link w:val="PlainText"/>
    <w:rsid w:val="00085832"/>
    <w:rPr>
      <w:rFonts w:ascii="Courier New" w:eastAsiaTheme="minorHAnsi" w:hAnsi="Courier New" w:cs="Courier New"/>
      <w:szCs w:val="22"/>
      <w:lang w:eastAsia="en-US"/>
    </w:rPr>
  </w:style>
  <w:style w:type="paragraph" w:styleId="Salutation">
    <w:name w:val="Salutation"/>
    <w:basedOn w:val="Normal"/>
    <w:next w:val="Normal"/>
    <w:link w:val="SalutationChar"/>
    <w:rsid w:val="00085832"/>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085832"/>
    <w:rPr>
      <w:rFonts w:eastAsiaTheme="minorHAnsi" w:cstheme="minorBidi"/>
      <w:sz w:val="24"/>
      <w:szCs w:val="22"/>
      <w:lang w:eastAsia="en-US"/>
    </w:rPr>
  </w:style>
  <w:style w:type="paragraph" w:styleId="Signature">
    <w:name w:val="Signature"/>
    <w:basedOn w:val="Normal"/>
    <w:link w:val="SignatureChar"/>
    <w:rsid w:val="00085832"/>
    <w:pPr>
      <w:spacing w:after="160" w:line="259" w:lineRule="auto"/>
      <w:ind w:left="4252"/>
    </w:pPr>
    <w:rPr>
      <w:rFonts w:eastAsiaTheme="minorHAnsi" w:cstheme="minorBidi"/>
      <w:szCs w:val="22"/>
    </w:rPr>
  </w:style>
  <w:style w:type="character" w:customStyle="1" w:styleId="SignatureChar">
    <w:name w:val="Signature Char"/>
    <w:basedOn w:val="DefaultParagraphFont"/>
    <w:link w:val="Signature"/>
    <w:rsid w:val="00085832"/>
    <w:rPr>
      <w:rFonts w:eastAsiaTheme="minorHAnsi" w:cstheme="minorBidi"/>
      <w:sz w:val="24"/>
      <w:szCs w:val="22"/>
      <w:lang w:eastAsia="en-US"/>
    </w:rPr>
  </w:style>
  <w:style w:type="paragraph" w:styleId="Subtitle">
    <w:name w:val="Subtitle"/>
    <w:basedOn w:val="Normal"/>
    <w:link w:val="SubtitleChar"/>
    <w:qFormat/>
    <w:rsid w:val="00085832"/>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085832"/>
    <w:rPr>
      <w:rFonts w:ascii="Arial" w:eastAsiaTheme="minorHAnsi" w:hAnsi="Arial" w:cs="Arial"/>
      <w:sz w:val="24"/>
      <w:szCs w:val="22"/>
      <w:lang w:eastAsia="en-US"/>
    </w:rPr>
  </w:style>
  <w:style w:type="paragraph" w:styleId="TableofAuthorities">
    <w:name w:val="table of authorities"/>
    <w:basedOn w:val="Normal"/>
    <w:next w:val="Normal"/>
    <w:semiHidden/>
    <w:rsid w:val="00085832"/>
    <w:pPr>
      <w:spacing w:after="160" w:line="259" w:lineRule="auto"/>
      <w:ind w:left="260" w:hanging="260"/>
    </w:pPr>
    <w:rPr>
      <w:rFonts w:eastAsiaTheme="minorHAnsi" w:cstheme="minorBidi"/>
      <w:szCs w:val="22"/>
    </w:rPr>
  </w:style>
  <w:style w:type="paragraph" w:styleId="TableofFigures">
    <w:name w:val="table of figures"/>
    <w:basedOn w:val="Normal"/>
    <w:next w:val="Normal"/>
    <w:semiHidden/>
    <w:rsid w:val="00085832"/>
    <w:pPr>
      <w:spacing w:after="160" w:line="259" w:lineRule="auto"/>
    </w:pPr>
    <w:rPr>
      <w:rFonts w:eastAsiaTheme="minorHAnsi" w:cstheme="minorBidi"/>
      <w:szCs w:val="22"/>
    </w:rPr>
  </w:style>
  <w:style w:type="paragraph" w:styleId="TOAHeading">
    <w:name w:val="toa heading"/>
    <w:basedOn w:val="Normal"/>
    <w:next w:val="Normal"/>
    <w:semiHidden/>
    <w:rsid w:val="00085832"/>
    <w:pPr>
      <w:spacing w:before="120" w:after="160" w:line="259" w:lineRule="auto"/>
    </w:pPr>
    <w:rPr>
      <w:rFonts w:ascii="Arial" w:eastAsiaTheme="minorHAnsi" w:hAnsi="Arial" w:cs="Arial"/>
      <w:b/>
      <w:bCs/>
      <w:szCs w:val="22"/>
    </w:rPr>
  </w:style>
  <w:style w:type="paragraph" w:styleId="TOC1">
    <w:name w:val="toc 1"/>
    <w:basedOn w:val="Normal"/>
    <w:next w:val="Normal"/>
    <w:autoRedefine/>
    <w:uiPriority w:val="39"/>
    <w:rsid w:val="00085832"/>
    <w:pPr>
      <w:tabs>
        <w:tab w:val="right" w:pos="567"/>
        <w:tab w:val="left" w:pos="1040"/>
        <w:tab w:val="right" w:leader="dot" w:pos="8720"/>
      </w:tabs>
    </w:pPr>
    <w:rPr>
      <w:rFonts w:eastAsiaTheme="minorHAnsi" w:cstheme="minorBidi"/>
      <w:noProof/>
      <w:color w:val="000000" w:themeColor="text1"/>
      <w:szCs w:val="22"/>
    </w:rPr>
  </w:style>
  <w:style w:type="paragraph" w:styleId="TOC2">
    <w:name w:val="toc 2"/>
    <w:basedOn w:val="Normal"/>
    <w:next w:val="Normal"/>
    <w:autoRedefine/>
    <w:rsid w:val="00085832"/>
    <w:pPr>
      <w:spacing w:after="160" w:line="259" w:lineRule="auto"/>
      <w:ind w:left="260"/>
    </w:pPr>
    <w:rPr>
      <w:rFonts w:eastAsiaTheme="minorHAnsi" w:cstheme="minorBidi"/>
      <w:szCs w:val="22"/>
    </w:rPr>
  </w:style>
  <w:style w:type="paragraph" w:styleId="TOC3">
    <w:name w:val="toc 3"/>
    <w:basedOn w:val="Normal"/>
    <w:next w:val="Normal"/>
    <w:autoRedefine/>
    <w:rsid w:val="00085832"/>
    <w:pPr>
      <w:spacing w:after="160" w:line="259" w:lineRule="auto"/>
      <w:ind w:left="520"/>
    </w:pPr>
    <w:rPr>
      <w:rFonts w:eastAsiaTheme="minorHAnsi" w:cstheme="minorBidi"/>
      <w:szCs w:val="22"/>
    </w:rPr>
  </w:style>
  <w:style w:type="paragraph" w:styleId="TOC4">
    <w:name w:val="toc 4"/>
    <w:basedOn w:val="Normal"/>
    <w:next w:val="Normal"/>
    <w:autoRedefine/>
    <w:rsid w:val="00085832"/>
    <w:pPr>
      <w:spacing w:after="160" w:line="259" w:lineRule="auto"/>
      <w:ind w:left="780"/>
    </w:pPr>
    <w:rPr>
      <w:rFonts w:eastAsiaTheme="minorHAnsi" w:cstheme="minorBidi"/>
      <w:szCs w:val="22"/>
    </w:rPr>
  </w:style>
  <w:style w:type="paragraph" w:styleId="TOC5">
    <w:name w:val="toc 5"/>
    <w:basedOn w:val="Normal"/>
    <w:next w:val="Normal"/>
    <w:autoRedefine/>
    <w:rsid w:val="00085832"/>
    <w:pPr>
      <w:spacing w:after="160" w:line="259" w:lineRule="auto"/>
      <w:ind w:left="1040"/>
    </w:pPr>
    <w:rPr>
      <w:rFonts w:eastAsiaTheme="minorHAnsi" w:cstheme="minorBidi"/>
      <w:szCs w:val="22"/>
    </w:rPr>
  </w:style>
  <w:style w:type="paragraph" w:styleId="TOC6">
    <w:name w:val="toc 6"/>
    <w:basedOn w:val="Normal"/>
    <w:next w:val="Normal"/>
    <w:autoRedefine/>
    <w:rsid w:val="00085832"/>
    <w:pPr>
      <w:spacing w:after="160" w:line="259" w:lineRule="auto"/>
      <w:ind w:left="1300"/>
    </w:pPr>
    <w:rPr>
      <w:rFonts w:eastAsiaTheme="minorHAnsi" w:cstheme="minorBidi"/>
      <w:szCs w:val="22"/>
    </w:rPr>
  </w:style>
  <w:style w:type="paragraph" w:styleId="TOC7">
    <w:name w:val="toc 7"/>
    <w:basedOn w:val="Normal"/>
    <w:next w:val="Normal"/>
    <w:autoRedefine/>
    <w:rsid w:val="00085832"/>
    <w:pPr>
      <w:spacing w:after="160" w:line="259" w:lineRule="auto"/>
      <w:ind w:left="1560"/>
    </w:pPr>
    <w:rPr>
      <w:rFonts w:eastAsiaTheme="minorHAnsi" w:cstheme="minorBidi"/>
      <w:szCs w:val="22"/>
    </w:rPr>
  </w:style>
  <w:style w:type="paragraph" w:styleId="TOC8">
    <w:name w:val="toc 8"/>
    <w:basedOn w:val="Normal"/>
    <w:next w:val="Normal"/>
    <w:autoRedefine/>
    <w:rsid w:val="00085832"/>
    <w:pPr>
      <w:spacing w:after="160" w:line="259" w:lineRule="auto"/>
      <w:ind w:left="1820"/>
    </w:pPr>
    <w:rPr>
      <w:rFonts w:eastAsiaTheme="minorHAnsi" w:cstheme="minorBidi"/>
      <w:szCs w:val="22"/>
    </w:rPr>
  </w:style>
  <w:style w:type="paragraph" w:styleId="TOC9">
    <w:name w:val="toc 9"/>
    <w:basedOn w:val="Normal"/>
    <w:next w:val="Normal"/>
    <w:autoRedefine/>
    <w:rsid w:val="00085832"/>
    <w:pPr>
      <w:spacing w:after="160" w:line="259" w:lineRule="auto"/>
      <w:ind w:left="2080"/>
    </w:pPr>
    <w:rPr>
      <w:rFonts w:eastAsiaTheme="minorHAnsi" w:cstheme="minorBidi"/>
      <w:szCs w:val="22"/>
    </w:rPr>
  </w:style>
  <w:style w:type="paragraph" w:customStyle="1" w:styleId="LDSchedSubclHead">
    <w:name w:val="LDSchedSubclHead"/>
    <w:basedOn w:val="LDScheduleClauseHead"/>
    <w:rsid w:val="00085832"/>
    <w:pPr>
      <w:tabs>
        <w:tab w:val="clear" w:pos="737"/>
        <w:tab w:val="left" w:pos="851"/>
      </w:tabs>
      <w:ind w:left="284"/>
    </w:pPr>
    <w:rPr>
      <w:b w:val="0"/>
    </w:rPr>
  </w:style>
  <w:style w:type="paragraph" w:customStyle="1" w:styleId="StyleLDClause">
    <w:name w:val="Style LDClause"/>
    <w:basedOn w:val="LDClause"/>
    <w:rsid w:val="00085832"/>
    <w:rPr>
      <w:szCs w:val="20"/>
    </w:rPr>
  </w:style>
  <w:style w:type="paragraph" w:customStyle="1" w:styleId="LDNotePara">
    <w:name w:val="LDNotePara"/>
    <w:basedOn w:val="Note"/>
    <w:rsid w:val="00085832"/>
    <w:pPr>
      <w:tabs>
        <w:tab w:val="clear" w:pos="454"/>
      </w:tabs>
      <w:ind w:left="1701" w:hanging="454"/>
    </w:pPr>
  </w:style>
  <w:style w:type="paragraph" w:customStyle="1" w:styleId="LDTablespace">
    <w:name w:val="LDTablespace"/>
    <w:basedOn w:val="BodyText1"/>
    <w:rsid w:val="00085832"/>
    <w:pPr>
      <w:spacing w:before="120"/>
    </w:pPr>
  </w:style>
  <w:style w:type="paragraph" w:styleId="Revision">
    <w:name w:val="Revision"/>
    <w:hidden/>
    <w:uiPriority w:val="99"/>
    <w:semiHidden/>
    <w:rsid w:val="00085832"/>
    <w:rPr>
      <w:rFonts w:ascii="Times New (W1)" w:hAnsi="Times New (W1)"/>
      <w:sz w:val="24"/>
      <w:szCs w:val="24"/>
      <w:lang w:eastAsia="en-US"/>
    </w:rPr>
  </w:style>
  <w:style w:type="paragraph" w:customStyle="1" w:styleId="Bullety">
    <w:name w:val="Bullety"/>
    <w:basedOn w:val="Normal"/>
    <w:link w:val="BulletyChar"/>
    <w:qFormat/>
    <w:rsid w:val="00085832"/>
    <w:pPr>
      <w:numPr>
        <w:numId w:val="27"/>
      </w:numPr>
      <w:spacing w:before="120" w:after="120" w:line="259" w:lineRule="auto"/>
      <w:jc w:val="both"/>
    </w:pPr>
    <w:rPr>
      <w:rFonts w:ascii="Arial" w:eastAsiaTheme="minorHAnsi" w:hAnsi="Arial" w:cs="Arial"/>
      <w:szCs w:val="22"/>
      <w:lang w:val="en-GB" w:eastAsia="en-GB"/>
    </w:rPr>
  </w:style>
  <w:style w:type="character" w:customStyle="1" w:styleId="BulletyChar">
    <w:name w:val="Bullety Char"/>
    <w:link w:val="Bullety"/>
    <w:locked/>
    <w:rsid w:val="00085832"/>
    <w:rPr>
      <w:rFonts w:ascii="Arial" w:eastAsiaTheme="minorHAnsi" w:hAnsi="Arial" w:cs="Arial"/>
      <w:sz w:val="24"/>
      <w:szCs w:val="22"/>
      <w:lang w:val="en-GB" w:eastAsia="en-GB"/>
    </w:rPr>
  </w:style>
  <w:style w:type="character" w:customStyle="1" w:styleId="LDTitleChar">
    <w:name w:val="LDTitle Char"/>
    <w:link w:val="LDTitle"/>
    <w:rsid w:val="00085832"/>
    <w:rPr>
      <w:rFonts w:ascii="Arial" w:hAnsi="Arial"/>
      <w:sz w:val="24"/>
      <w:szCs w:val="24"/>
      <w:lang w:eastAsia="en-US"/>
    </w:rPr>
  </w:style>
  <w:style w:type="paragraph" w:customStyle="1" w:styleId="LDContentsHead">
    <w:name w:val="LDContentsHead"/>
    <w:basedOn w:val="Normal"/>
    <w:rsid w:val="00085832"/>
    <w:pPr>
      <w:keepNext/>
      <w:spacing w:before="480" w:after="120" w:line="259" w:lineRule="auto"/>
    </w:pPr>
    <w:rPr>
      <w:rFonts w:ascii="Arial" w:eastAsiaTheme="minorHAnsi" w:hAnsi="Arial" w:cstheme="minorBidi"/>
      <w:b/>
      <w:szCs w:val="22"/>
    </w:rPr>
  </w:style>
  <w:style w:type="paragraph" w:customStyle="1" w:styleId="CoverUpdate">
    <w:name w:val="CoverUpdate"/>
    <w:basedOn w:val="Normal"/>
    <w:rsid w:val="00085832"/>
    <w:pPr>
      <w:spacing w:before="240" w:after="160" w:line="259" w:lineRule="auto"/>
    </w:pPr>
    <w:rPr>
      <w:rFonts w:eastAsiaTheme="minorHAnsi" w:cstheme="minorBidi"/>
      <w:sz w:val="26"/>
      <w:szCs w:val="20"/>
    </w:rPr>
  </w:style>
  <w:style w:type="paragraph" w:customStyle="1" w:styleId="A1">
    <w:name w:val="A1"/>
    <w:aliases w:val="Heading Amendment,1. Amendment"/>
    <w:basedOn w:val="Normal"/>
    <w:next w:val="Normal"/>
    <w:rsid w:val="00085832"/>
    <w:pPr>
      <w:keepNext/>
      <w:tabs>
        <w:tab w:val="left" w:pos="794"/>
        <w:tab w:val="left" w:pos="1588"/>
      </w:tabs>
      <w:spacing w:before="480" w:after="160" w:line="240" w:lineRule="atLeast"/>
      <w:ind w:left="794" w:hanging="794"/>
    </w:pPr>
    <w:rPr>
      <w:rFonts w:ascii="Helvetica" w:eastAsiaTheme="minorHAnsi" w:hAnsi="Helvetica" w:cstheme="minorBidi"/>
      <w:b/>
      <w:szCs w:val="20"/>
    </w:rPr>
  </w:style>
  <w:style w:type="paragraph" w:customStyle="1" w:styleId="TableColHead">
    <w:name w:val="TableColHead"/>
    <w:basedOn w:val="Normal"/>
    <w:rsid w:val="00085832"/>
    <w:pPr>
      <w:keepNext/>
      <w:spacing w:before="120" w:after="60" w:line="200" w:lineRule="exact"/>
    </w:pPr>
    <w:rPr>
      <w:rFonts w:ascii="Arial" w:eastAsiaTheme="minorHAnsi" w:hAnsi="Arial" w:cstheme="minorBidi"/>
      <w:b/>
      <w:noProof/>
      <w:sz w:val="18"/>
      <w:szCs w:val="20"/>
    </w:rPr>
  </w:style>
  <w:style w:type="paragraph" w:customStyle="1" w:styleId="TableENotesHeading">
    <w:name w:val="TableENotesHeading"/>
    <w:basedOn w:val="Normal"/>
    <w:rsid w:val="00085832"/>
    <w:pPr>
      <w:spacing w:before="240" w:after="240" w:line="300" w:lineRule="exact"/>
      <w:ind w:left="2410" w:hanging="2410"/>
    </w:pPr>
    <w:rPr>
      <w:rFonts w:ascii="Arial" w:eastAsiaTheme="minorHAnsi" w:hAnsi="Arial" w:cstheme="minorBidi"/>
      <w:b/>
      <w:noProof/>
      <w:sz w:val="28"/>
      <w:szCs w:val="20"/>
    </w:rPr>
  </w:style>
  <w:style w:type="paragraph" w:customStyle="1" w:styleId="TableOfStatRules">
    <w:name w:val="TableOfStatRules"/>
    <w:basedOn w:val="Normal"/>
    <w:rsid w:val="00085832"/>
    <w:pPr>
      <w:spacing w:before="60" w:after="160" w:line="200" w:lineRule="exact"/>
    </w:pPr>
    <w:rPr>
      <w:rFonts w:ascii="Arial" w:eastAsiaTheme="minorHAnsi" w:hAnsi="Arial" w:cstheme="minorBidi"/>
      <w:noProof/>
      <w:sz w:val="18"/>
      <w:szCs w:val="20"/>
    </w:rPr>
  </w:style>
  <w:style w:type="character" w:customStyle="1" w:styleId="CharENotesHeading">
    <w:name w:val="CharENotesHeading"/>
    <w:basedOn w:val="DefaultParagraphFont"/>
    <w:rsid w:val="00085832"/>
  </w:style>
  <w:style w:type="character" w:customStyle="1" w:styleId="CharNotesReg">
    <w:name w:val="CharNotesReg"/>
    <w:basedOn w:val="DefaultParagraphFont"/>
    <w:rsid w:val="00085832"/>
  </w:style>
  <w:style w:type="paragraph" w:customStyle="1" w:styleId="EndNote">
    <w:name w:val="EndNote"/>
    <w:basedOn w:val="Normal"/>
    <w:semiHidden/>
    <w:rsid w:val="00085832"/>
    <w:pPr>
      <w:spacing w:before="180" w:after="160" w:line="260" w:lineRule="atLeast"/>
    </w:pPr>
    <w:rPr>
      <w:rFonts w:eastAsiaTheme="minorHAnsi" w:cstheme="minorBidi"/>
      <w:szCs w:val="20"/>
    </w:rPr>
  </w:style>
  <w:style w:type="paragraph" w:customStyle="1" w:styleId="TableOfAmend">
    <w:name w:val="TableOfAmend"/>
    <w:basedOn w:val="Normal"/>
    <w:rsid w:val="00085832"/>
    <w:pPr>
      <w:tabs>
        <w:tab w:val="right" w:leader="dot" w:pos="2268"/>
      </w:tabs>
      <w:spacing w:before="60" w:after="160" w:line="200" w:lineRule="exact"/>
      <w:ind w:left="170" w:right="-11" w:hanging="170"/>
    </w:pPr>
    <w:rPr>
      <w:rFonts w:ascii="Arial" w:eastAsiaTheme="minorHAnsi" w:hAnsi="Arial" w:cstheme="minorBidi"/>
      <w:noProof/>
      <w:sz w:val="18"/>
      <w:szCs w:val="22"/>
    </w:rPr>
  </w:style>
  <w:style w:type="paragraph" w:customStyle="1" w:styleId="TableOfAmendHead">
    <w:name w:val="TableOfAmendHead"/>
    <w:basedOn w:val="TableOfAmend"/>
    <w:next w:val="Normal"/>
    <w:rsid w:val="00085832"/>
    <w:pPr>
      <w:spacing w:after="60"/>
    </w:pPr>
    <w:rPr>
      <w:sz w:val="16"/>
    </w:rPr>
  </w:style>
  <w:style w:type="character" w:customStyle="1" w:styleId="legsubtitle1">
    <w:name w:val="legsubtitle1"/>
    <w:basedOn w:val="DefaultParagraphFont"/>
    <w:rsid w:val="00085832"/>
    <w:rPr>
      <w:rFonts w:ascii="Helvetica Neue" w:hAnsi="Helvetica Neue" w:hint="default"/>
      <w:b/>
      <w:bCs/>
      <w:sz w:val="28"/>
      <w:szCs w:val="28"/>
    </w:rPr>
  </w:style>
  <w:style w:type="character" w:customStyle="1" w:styleId="LDAmendTextChar">
    <w:name w:val="LDAmendText Char"/>
    <w:link w:val="LDAmendText"/>
    <w:rsid w:val="00085832"/>
    <w:rPr>
      <w:sz w:val="24"/>
      <w:szCs w:val="24"/>
      <w:lang w:eastAsia="en-US"/>
    </w:rPr>
  </w:style>
  <w:style w:type="paragraph" w:customStyle="1" w:styleId="CAAPNote">
    <w:name w:val="CAAP Note"/>
    <w:basedOn w:val="Normal"/>
    <w:rsid w:val="00085832"/>
    <w:pPr>
      <w:tabs>
        <w:tab w:val="left" w:pos="1760"/>
      </w:tabs>
      <w:spacing w:before="40" w:after="160" w:line="259" w:lineRule="auto"/>
      <w:ind w:left="1760" w:hanging="880"/>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085832"/>
    <w:pPr>
      <w:tabs>
        <w:tab w:val="clear" w:pos="454"/>
        <w:tab w:val="clear" w:pos="737"/>
      </w:tabs>
      <w:ind w:firstLine="0"/>
    </w:pPr>
  </w:style>
  <w:style w:type="paragraph" w:customStyle="1" w:styleId="paragraph">
    <w:name w:val="paragraph"/>
    <w:aliases w:val="a"/>
    <w:basedOn w:val="Normal"/>
    <w:rsid w:val="00085832"/>
    <w:pPr>
      <w:tabs>
        <w:tab w:val="right" w:pos="1531"/>
      </w:tabs>
      <w:spacing w:before="40" w:after="160" w:line="259" w:lineRule="auto"/>
      <w:ind w:left="1644" w:hanging="1644"/>
    </w:pPr>
    <w:rPr>
      <w:rFonts w:eastAsiaTheme="minorHAnsi" w:cstheme="minorBidi"/>
      <w:sz w:val="22"/>
      <w:szCs w:val="20"/>
      <w:lang w:eastAsia="en-AU"/>
    </w:rPr>
  </w:style>
  <w:style w:type="paragraph" w:customStyle="1" w:styleId="LDP1a0">
    <w:name w:val="LDP1 (a)"/>
    <w:basedOn w:val="Clause"/>
    <w:link w:val="LDP1aChar0"/>
    <w:rsid w:val="00085832"/>
    <w:pPr>
      <w:tabs>
        <w:tab w:val="clear" w:pos="737"/>
        <w:tab w:val="left" w:pos="1191"/>
      </w:tabs>
      <w:ind w:left="1191" w:hanging="454"/>
    </w:pPr>
  </w:style>
  <w:style w:type="character" w:customStyle="1" w:styleId="LDP1aChar0">
    <w:name w:val="LDP1 (a) Char"/>
    <w:basedOn w:val="ClauseChar"/>
    <w:link w:val="LDP1a0"/>
    <w:locked/>
    <w:rsid w:val="00085832"/>
    <w:rPr>
      <w:sz w:val="24"/>
      <w:szCs w:val="24"/>
      <w:lang w:eastAsia="en-US"/>
    </w:rPr>
  </w:style>
  <w:style w:type="character" w:customStyle="1" w:styleId="iChar">
    <w:name w:val="(i) Char"/>
    <w:basedOn w:val="P1Char"/>
    <w:link w:val="P2"/>
    <w:rsid w:val="00085832"/>
    <w:rPr>
      <w:sz w:val="24"/>
      <w:szCs w:val="24"/>
      <w:lang w:eastAsia="en-US"/>
    </w:rPr>
  </w:style>
  <w:style w:type="paragraph" w:customStyle="1" w:styleId="A">
    <w:name w:val="(A)"/>
    <w:basedOn w:val="P2"/>
    <w:qFormat/>
    <w:rsid w:val="00085832"/>
    <w:pPr>
      <w:tabs>
        <w:tab w:val="clear" w:pos="1758"/>
        <w:tab w:val="clear" w:pos="2155"/>
        <w:tab w:val="left" w:pos="1985"/>
      </w:tabs>
      <w:spacing w:after="60" w:line="240" w:lineRule="auto"/>
      <w:ind w:hanging="567"/>
      <w:jc w:val="left"/>
    </w:pPr>
  </w:style>
  <w:style w:type="character" w:customStyle="1" w:styleId="DefinitionChar">
    <w:name w:val="Definition Char"/>
    <w:link w:val="Definition"/>
    <w:rsid w:val="00085832"/>
    <w:rPr>
      <w:sz w:val="24"/>
      <w:szCs w:val="24"/>
      <w:lang w:eastAsia="en-US"/>
    </w:rPr>
  </w:style>
  <w:style w:type="paragraph" w:customStyle="1" w:styleId="EndLine">
    <w:name w:val="EndLine"/>
    <w:basedOn w:val="BodyText"/>
    <w:qFormat/>
    <w:rsid w:val="00085832"/>
    <w:pPr>
      <w:pBdr>
        <w:bottom w:val="single" w:sz="2" w:space="0" w:color="auto"/>
      </w:pBdr>
      <w:spacing w:after="160" w:line="259" w:lineRule="auto"/>
    </w:pPr>
    <w:rPr>
      <w:rFonts w:ascii="Times New Roman" w:eastAsiaTheme="minorHAnsi" w:hAnsi="Times New Roman" w:cstheme="minorBidi"/>
      <w:szCs w:val="22"/>
    </w:rPr>
  </w:style>
  <w:style w:type="paragraph" w:customStyle="1" w:styleId="Hcl">
    <w:name w:val="Hcl"/>
    <w:basedOn w:val="LDTitle"/>
    <w:next w:val="Clause"/>
    <w:link w:val="HclChar"/>
    <w:qFormat/>
    <w:rsid w:val="00085832"/>
    <w:pPr>
      <w:keepNext/>
      <w:tabs>
        <w:tab w:val="left" w:pos="737"/>
      </w:tabs>
      <w:spacing w:before="180" w:after="60"/>
      <w:ind w:left="737" w:hanging="737"/>
    </w:pPr>
    <w:rPr>
      <w:b/>
    </w:rPr>
  </w:style>
  <w:style w:type="character" w:customStyle="1" w:styleId="HclChar">
    <w:name w:val="Hcl Char"/>
    <w:link w:val="Hcl"/>
    <w:rsid w:val="00085832"/>
    <w:rPr>
      <w:rFonts w:ascii="Arial" w:hAnsi="Arial"/>
      <w:b/>
      <w:sz w:val="24"/>
      <w:szCs w:val="24"/>
      <w:lang w:eastAsia="en-US"/>
    </w:rPr>
  </w:style>
  <w:style w:type="paragraph" w:customStyle="1" w:styleId="SubHcl">
    <w:name w:val="SubHcl"/>
    <w:basedOn w:val="Hcl"/>
    <w:link w:val="SubHclChar"/>
    <w:qFormat/>
    <w:rsid w:val="00085832"/>
    <w:rPr>
      <w:b w:val="0"/>
    </w:rPr>
  </w:style>
  <w:style w:type="character" w:customStyle="1" w:styleId="SubHclChar">
    <w:name w:val="SubHcl Char"/>
    <w:basedOn w:val="HclChar"/>
    <w:link w:val="SubHcl"/>
    <w:rsid w:val="00085832"/>
    <w:rPr>
      <w:rFonts w:ascii="Arial" w:hAnsi="Arial"/>
      <w:b w:val="0"/>
      <w:sz w:val="24"/>
      <w:szCs w:val="24"/>
      <w:lang w:eastAsia="en-US"/>
    </w:rPr>
  </w:style>
  <w:style w:type="character" w:customStyle="1" w:styleId="Citation">
    <w:name w:val="Citation"/>
    <w:qFormat/>
    <w:rsid w:val="00085832"/>
    <w:rPr>
      <w:i/>
      <w:iCs/>
    </w:rPr>
  </w:style>
  <w:style w:type="paragraph" w:customStyle="1" w:styleId="AmendHeading">
    <w:name w:val="AmendHeading"/>
    <w:basedOn w:val="LDTitle"/>
    <w:next w:val="Normal"/>
    <w:qFormat/>
    <w:rsid w:val="00085832"/>
    <w:pPr>
      <w:keepNext/>
      <w:spacing w:before="180" w:after="60"/>
      <w:ind w:left="720" w:hanging="720"/>
    </w:pPr>
    <w:rPr>
      <w:b/>
    </w:rPr>
  </w:style>
  <w:style w:type="paragraph" w:customStyle="1" w:styleId="BodyText1">
    <w:name w:val="Body Text1"/>
    <w:link w:val="BodytextChar0"/>
    <w:rsid w:val="00085832"/>
    <w:rPr>
      <w:sz w:val="24"/>
      <w:szCs w:val="24"/>
      <w:lang w:eastAsia="en-US"/>
    </w:rPr>
  </w:style>
  <w:style w:type="character" w:customStyle="1" w:styleId="BodytextChar0">
    <w:name w:val="Body text Char"/>
    <w:link w:val="BodyText1"/>
    <w:rsid w:val="00085832"/>
    <w:rPr>
      <w:sz w:val="24"/>
      <w:szCs w:val="24"/>
      <w:lang w:eastAsia="en-US"/>
    </w:rPr>
  </w:style>
  <w:style w:type="paragraph" w:customStyle="1" w:styleId="ScheduleClause">
    <w:name w:val="ScheduleClause"/>
    <w:basedOn w:val="Clause"/>
    <w:link w:val="ScheduleClauseChar"/>
    <w:qFormat/>
    <w:rsid w:val="00085832"/>
    <w:pPr>
      <w:ind w:left="738" w:hanging="851"/>
    </w:pPr>
  </w:style>
  <w:style w:type="character" w:customStyle="1" w:styleId="ScheduleClauseChar">
    <w:name w:val="ScheduleClause Char"/>
    <w:link w:val="ScheduleClause"/>
    <w:rsid w:val="00085832"/>
    <w:rPr>
      <w:sz w:val="24"/>
      <w:szCs w:val="24"/>
      <w:lang w:eastAsia="en-US"/>
    </w:rPr>
  </w:style>
  <w:style w:type="paragraph" w:customStyle="1" w:styleId="AmendInstruction">
    <w:name w:val="AmendInstruction"/>
    <w:basedOn w:val="ScheduleClause"/>
    <w:next w:val="Normal"/>
    <w:qFormat/>
    <w:rsid w:val="00085832"/>
    <w:pPr>
      <w:keepNext/>
      <w:spacing w:before="120"/>
      <w:ind w:left="737" w:firstLine="0"/>
    </w:pPr>
    <w:rPr>
      <w:i/>
    </w:rPr>
  </w:style>
  <w:style w:type="paragraph" w:customStyle="1" w:styleId="AmendText">
    <w:name w:val="AmendText"/>
    <w:basedOn w:val="BodyText1"/>
    <w:next w:val="AmendInstruction"/>
    <w:link w:val="AmendTextChar"/>
    <w:qFormat/>
    <w:rsid w:val="00085832"/>
    <w:pPr>
      <w:spacing w:before="60" w:after="60"/>
      <w:ind w:left="964"/>
    </w:pPr>
  </w:style>
  <w:style w:type="character" w:customStyle="1" w:styleId="AmendTextChar">
    <w:name w:val="AmendText Char"/>
    <w:link w:val="AmendText"/>
    <w:rsid w:val="00085832"/>
    <w:rPr>
      <w:sz w:val="24"/>
      <w:szCs w:val="24"/>
      <w:lang w:eastAsia="en-US"/>
    </w:rPr>
  </w:style>
  <w:style w:type="paragraph" w:customStyle="1" w:styleId="ScheduleClauseHead">
    <w:name w:val="ScheduleClauseHead"/>
    <w:basedOn w:val="Hcl"/>
    <w:next w:val="ScheduleClause"/>
    <w:link w:val="ScheduleClauseHeadChar"/>
    <w:qFormat/>
    <w:rsid w:val="00085832"/>
  </w:style>
  <w:style w:type="character" w:customStyle="1" w:styleId="ScheduleClauseHeadChar">
    <w:name w:val="ScheduleClauseHead Char"/>
    <w:basedOn w:val="HclChar"/>
    <w:link w:val="ScheduleClauseHead"/>
    <w:rsid w:val="00085832"/>
    <w:rPr>
      <w:rFonts w:ascii="Arial" w:hAnsi="Arial"/>
      <w:b/>
      <w:sz w:val="24"/>
      <w:szCs w:val="24"/>
      <w:lang w:eastAsia="en-US"/>
    </w:rPr>
  </w:style>
  <w:style w:type="paragraph" w:customStyle="1" w:styleId="SchedSubclHead">
    <w:name w:val="SchedSubclHead"/>
    <w:basedOn w:val="ScheduleClauseHead"/>
    <w:link w:val="SchedSubclHeadChar"/>
    <w:qFormat/>
    <w:rsid w:val="00085832"/>
    <w:pPr>
      <w:tabs>
        <w:tab w:val="clear" w:pos="737"/>
        <w:tab w:val="left" w:pos="851"/>
      </w:tabs>
      <w:ind w:left="284"/>
    </w:pPr>
    <w:rPr>
      <w:b w:val="0"/>
    </w:rPr>
  </w:style>
  <w:style w:type="character" w:customStyle="1" w:styleId="SchedSubclHeadChar">
    <w:name w:val="SchedSubclHead Char"/>
    <w:basedOn w:val="ScheduleClauseHeadChar"/>
    <w:link w:val="SchedSubclHead"/>
    <w:rsid w:val="00085832"/>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085832"/>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085832"/>
    <w:rPr>
      <w:rFonts w:ascii="Arial" w:hAnsi="Arial" w:cs="Arial"/>
      <w:b/>
      <w:sz w:val="24"/>
      <w:szCs w:val="24"/>
      <w:lang w:eastAsia="en-US"/>
    </w:rPr>
  </w:style>
  <w:style w:type="paragraph" w:customStyle="1" w:styleId="TableHeading">
    <w:name w:val="TableHeading"/>
    <w:basedOn w:val="BodyText1"/>
    <w:link w:val="TableHeadingChar"/>
    <w:qFormat/>
    <w:rsid w:val="00085832"/>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085832"/>
    <w:rPr>
      <w:b/>
      <w:sz w:val="24"/>
      <w:szCs w:val="24"/>
      <w:lang w:eastAsia="en-US"/>
    </w:rPr>
  </w:style>
  <w:style w:type="paragraph" w:customStyle="1" w:styleId="LDTableNote">
    <w:name w:val="LDTableNote"/>
    <w:basedOn w:val="Note"/>
    <w:rsid w:val="00085832"/>
    <w:pPr>
      <w:tabs>
        <w:tab w:val="clear" w:pos="454"/>
        <w:tab w:val="clear" w:pos="737"/>
      </w:tabs>
      <w:ind w:left="7"/>
    </w:pPr>
    <w:rPr>
      <w:rFonts w:eastAsia="Calibri"/>
      <w:sz w:val="22"/>
    </w:rPr>
  </w:style>
  <w:style w:type="paragraph" w:customStyle="1" w:styleId="TableText">
    <w:name w:val="TableText"/>
    <w:basedOn w:val="BodyText1"/>
    <w:link w:val="TableTextChar"/>
    <w:qFormat/>
    <w:rsid w:val="00085832"/>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085832"/>
    <w:rPr>
      <w:sz w:val="24"/>
      <w:szCs w:val="24"/>
      <w:lang w:eastAsia="en-US"/>
    </w:rPr>
  </w:style>
  <w:style w:type="paragraph" w:customStyle="1" w:styleId="LDTabletexta">
    <w:name w:val="LDTabletext(a)"/>
    <w:basedOn w:val="TableText"/>
    <w:rsid w:val="00085832"/>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085832"/>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085832"/>
    <w:pPr>
      <w:tabs>
        <w:tab w:val="clear" w:pos="459"/>
        <w:tab w:val="left" w:pos="1026"/>
      </w:tabs>
      <w:ind w:left="819"/>
    </w:pPr>
  </w:style>
  <w:style w:type="paragraph" w:customStyle="1" w:styleId="clause0">
    <w:name w:val="clause"/>
    <w:basedOn w:val="Normal"/>
    <w:link w:val="clauseChar0"/>
    <w:qFormat/>
    <w:rsid w:val="00085832"/>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085832"/>
    <w:rPr>
      <w:rFonts w:ascii="Arial" w:eastAsiaTheme="minorHAnsi" w:hAnsi="Arial" w:cstheme="minorBidi"/>
      <w:b/>
      <w:sz w:val="24"/>
      <w:szCs w:val="24"/>
      <w:lang w:eastAsia="en-US"/>
    </w:rPr>
  </w:style>
  <w:style w:type="character" w:customStyle="1" w:styleId="DRAFT">
    <w:name w:val="DRAFT"/>
    <w:uiPriority w:val="1"/>
    <w:qFormat/>
    <w:rsid w:val="002D5300"/>
    <w:rPr>
      <w:color w:val="FF0000"/>
    </w:rPr>
  </w:style>
  <w:style w:type="character" w:customStyle="1" w:styleId="LDP2iChar">
    <w:name w:val="LDP2 (i) Char"/>
    <w:basedOn w:val="LDP1aChar"/>
    <w:link w:val="LDP2i"/>
    <w:rsid w:val="00C40153"/>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763576513">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8373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E108-3E16-4136-978A-15A53BF8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3626</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Civil Aviation Order 48.1 Amendment Instrument 2019 (No. 1) — Explanatory Statement</vt:lpstr>
    </vt:vector>
  </TitlesOfParts>
  <Company>Civil Aviation Safety Authority</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2019 (No. 1) — Explanatory Statement</dc:title>
  <dc:subject>Amendments to Civil Aviation Order 48.1</dc:subject>
  <dc:creator>Civil Aviation Safety Authority</dc:creator>
  <cp:lastModifiedBy>Spesyvy, Nadia</cp:lastModifiedBy>
  <cp:revision>5</cp:revision>
  <cp:lastPrinted>2019-11-13T03:38:00Z</cp:lastPrinted>
  <dcterms:created xsi:type="dcterms:W3CDTF">2019-11-15T04:02:00Z</dcterms:created>
  <dcterms:modified xsi:type="dcterms:W3CDTF">2019-11-15T07:46:00Z</dcterms:modified>
</cp:coreProperties>
</file>