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37B4" w14:textId="77777777" w:rsidR="00703828" w:rsidRPr="00BD4288" w:rsidRDefault="00703828" w:rsidP="00703828">
      <w:pPr>
        <w:rPr>
          <w:rFonts w:ascii="Times New Roman" w:hAnsi="Times New Roman" w:cs="Times New Roman"/>
          <w:sz w:val="28"/>
        </w:rPr>
      </w:pPr>
      <w:r w:rsidRPr="00BD4288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BD4288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5CAF1F7F" w:rsidR="00703828" w:rsidRPr="00BD4288" w:rsidRDefault="001410FE" w:rsidP="00703828">
      <w:pPr>
        <w:pStyle w:val="ShortT"/>
      </w:pPr>
      <w:bookmarkStart w:id="0" w:name="_Hlk6916327"/>
      <w:r w:rsidRPr="00BD4288">
        <w:t>Radiocommunications (</w:t>
      </w:r>
      <w:bookmarkStart w:id="1" w:name="Citation"/>
      <w:r w:rsidR="00ED5D7A" w:rsidRPr="00ED5D7A">
        <w:rPr>
          <w:bCs/>
        </w:rPr>
        <w:t>Electromagnetic Radiation — Human Exposure</w:t>
      </w:r>
      <w:bookmarkEnd w:id="1"/>
      <w:r w:rsidR="00ED5D7A">
        <w:rPr>
          <w:bCs/>
        </w:rPr>
        <w:t xml:space="preserve">) </w:t>
      </w:r>
      <w:r w:rsidRPr="00BD4288">
        <w:t xml:space="preserve">Amendment </w:t>
      </w:r>
      <w:r w:rsidR="00ED5D7A">
        <w:t>Standard</w:t>
      </w:r>
      <w:r w:rsidRPr="00BD4288">
        <w:t xml:space="preserve"> 201</w:t>
      </w:r>
      <w:r w:rsidR="00AA4F16" w:rsidRPr="00BD4288">
        <w:t>9</w:t>
      </w:r>
      <w:r w:rsidRPr="00BD4288">
        <w:t xml:space="preserve"> (No. </w:t>
      </w:r>
      <w:r w:rsidR="00ED5D7A">
        <w:t>1</w:t>
      </w:r>
      <w:r w:rsidRPr="00BD4288">
        <w:t>)</w:t>
      </w:r>
    </w:p>
    <w:bookmarkEnd w:id="0"/>
    <w:p w14:paraId="65784851" w14:textId="77777777" w:rsidR="00703828" w:rsidRPr="00BD4288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17B9D65C" w:rsidR="00703828" w:rsidRPr="00BD4288" w:rsidRDefault="00703828" w:rsidP="00703828">
      <w:pPr>
        <w:pStyle w:val="SignCoverPageStart"/>
        <w:spacing w:before="0" w:line="240" w:lineRule="auto"/>
        <w:rPr>
          <w:szCs w:val="22"/>
        </w:rPr>
      </w:pPr>
      <w:r w:rsidRPr="00BD4288">
        <w:rPr>
          <w:szCs w:val="22"/>
        </w:rPr>
        <w:t xml:space="preserve">The Australian Communications and Media Authority makes </w:t>
      </w:r>
      <w:r w:rsidR="00763259">
        <w:rPr>
          <w:szCs w:val="22"/>
        </w:rPr>
        <w:t>this</w:t>
      </w:r>
      <w:r w:rsidRPr="00BD4288">
        <w:rPr>
          <w:szCs w:val="22"/>
        </w:rPr>
        <w:t xml:space="preserve"> </w:t>
      </w:r>
      <w:r w:rsidR="00ED5D7A">
        <w:rPr>
          <w:szCs w:val="22"/>
        </w:rPr>
        <w:t>instrument</w:t>
      </w:r>
      <w:r w:rsidR="00121BB9" w:rsidRPr="00BD4288">
        <w:rPr>
          <w:szCs w:val="22"/>
        </w:rPr>
        <w:t xml:space="preserve"> under </w:t>
      </w:r>
      <w:r w:rsidR="0036711F" w:rsidRPr="00BD4288">
        <w:rPr>
          <w:szCs w:val="22"/>
        </w:rPr>
        <w:t xml:space="preserve">subsection </w:t>
      </w:r>
      <w:r w:rsidR="00ED5D7A">
        <w:rPr>
          <w:szCs w:val="22"/>
        </w:rPr>
        <w:t>162</w:t>
      </w:r>
      <w:r w:rsidR="0036711F" w:rsidRPr="00BD4288">
        <w:rPr>
          <w:szCs w:val="22"/>
        </w:rPr>
        <w:t>(1)</w:t>
      </w:r>
      <w:r w:rsidR="00121BB9" w:rsidRPr="00BD4288">
        <w:t xml:space="preserve"> of the </w:t>
      </w:r>
      <w:r w:rsidR="0036711F" w:rsidRPr="00BD4288">
        <w:rPr>
          <w:i/>
        </w:rPr>
        <w:t>Radiocommunications Act 19</w:t>
      </w:r>
      <w:r w:rsidR="00AB03E0">
        <w:rPr>
          <w:i/>
        </w:rPr>
        <w:t>92</w:t>
      </w:r>
      <w:r w:rsidR="00121BB9" w:rsidRPr="00BD4288">
        <w:t>.</w:t>
      </w:r>
    </w:p>
    <w:p w14:paraId="5E47FA36" w14:textId="566BFB19" w:rsidR="00703828" w:rsidRPr="00BD4288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BD4288">
        <w:rPr>
          <w:rFonts w:ascii="Times New Roman" w:hAnsi="Times New Roman" w:cs="Times New Roman"/>
        </w:rPr>
        <w:t>Dated</w:t>
      </w:r>
      <w:bookmarkStart w:id="2" w:name="BKCheck15B_1"/>
      <w:bookmarkEnd w:id="2"/>
      <w:r w:rsidRPr="00BD4288">
        <w:rPr>
          <w:rFonts w:ascii="Times New Roman" w:hAnsi="Times New Roman" w:cs="Times New Roman"/>
        </w:rPr>
        <w:t>:</w:t>
      </w:r>
      <w:r w:rsidR="004A0141">
        <w:rPr>
          <w:rFonts w:ascii="Times New Roman" w:hAnsi="Times New Roman" w:cs="Times New Roman"/>
        </w:rPr>
        <w:t xml:space="preserve"> 15 November 2019</w:t>
      </w:r>
    </w:p>
    <w:p w14:paraId="685098EF" w14:textId="3F866988" w:rsidR="000836CB" w:rsidRDefault="000836CB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28B56F5" w14:textId="686C95B2" w:rsidR="00ED5D7A" w:rsidRDefault="004A0141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Nerida</w:t>
      </w:r>
      <w:proofErr w:type="spellEnd"/>
      <w:r>
        <w:rPr>
          <w:rFonts w:ascii="Times New Roman" w:hAnsi="Times New Roman" w:cs="Times New Roman"/>
        </w:rPr>
        <w:t xml:space="preserve"> O’Loughlin</w:t>
      </w:r>
    </w:p>
    <w:p w14:paraId="60508B3E" w14:textId="34EF3429" w:rsidR="00ED5D7A" w:rsidRDefault="004A0141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</w:t>
      </w:r>
      <w:r w:rsidR="00C11DDA">
        <w:rPr>
          <w:rFonts w:ascii="Times New Roman" w:hAnsi="Times New Roman" w:cs="Times New Roman"/>
        </w:rPr>
        <w:t>igned]</w:t>
      </w:r>
    </w:p>
    <w:p w14:paraId="0A56D6F1" w14:textId="1B5F3B58" w:rsidR="00703828" w:rsidRDefault="00703828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BD4288">
        <w:rPr>
          <w:rFonts w:ascii="Times New Roman" w:hAnsi="Times New Roman" w:cs="Times New Roman"/>
        </w:rPr>
        <w:t>Member</w:t>
      </w:r>
      <w:bookmarkStart w:id="3" w:name="Minister"/>
    </w:p>
    <w:p w14:paraId="2F746F71" w14:textId="5693B298" w:rsidR="00D46603" w:rsidRDefault="00D46603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7B3756E5" w14:textId="73A294F3" w:rsidR="00ED5D7A" w:rsidRDefault="00AA72FD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Jose</w:t>
      </w:r>
    </w:p>
    <w:p w14:paraId="414EE960" w14:textId="04977DB9" w:rsidR="00ED5D7A" w:rsidRDefault="00AA72FD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0808F8D" w14:textId="71999A66" w:rsidR="00703828" w:rsidRPr="00BD4288" w:rsidRDefault="001C12ED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26263D">
        <w:rPr>
          <w:rFonts w:ascii="Times New Roman" w:hAnsi="Times New Roman" w:cs="Times New Roman"/>
        </w:rPr>
        <w:t>Member</w:t>
      </w:r>
      <w:r w:rsidR="00703828" w:rsidRPr="00BD4288">
        <w:rPr>
          <w:rFonts w:ascii="Times New Roman" w:hAnsi="Times New Roman" w:cs="Times New Roman"/>
        </w:rPr>
        <w:t>/</w:t>
      </w:r>
      <w:bookmarkStart w:id="4" w:name="_GoBack"/>
      <w:r w:rsidR="00703828" w:rsidRPr="00AA72FD">
        <w:rPr>
          <w:rFonts w:ascii="Times New Roman" w:hAnsi="Times New Roman" w:cs="Times New Roman"/>
          <w:strike/>
        </w:rPr>
        <w:t>General Manager</w:t>
      </w:r>
      <w:bookmarkEnd w:id="3"/>
      <w:bookmarkEnd w:id="4"/>
    </w:p>
    <w:p w14:paraId="1F0FF050" w14:textId="77777777" w:rsidR="00703828" w:rsidRPr="00BD4288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BD4288" w:rsidRDefault="00703828" w:rsidP="00703828">
      <w:pPr>
        <w:pStyle w:val="SignCoverPageEnd"/>
        <w:rPr>
          <w:szCs w:val="22"/>
        </w:rPr>
      </w:pPr>
      <w:r w:rsidRPr="00BD4288">
        <w:rPr>
          <w:szCs w:val="22"/>
        </w:rPr>
        <w:t>Australian Communications and Media Authority</w:t>
      </w:r>
    </w:p>
    <w:p w14:paraId="5648B028" w14:textId="77777777" w:rsidR="0017734A" w:rsidRPr="00BD4288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BD4288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BD4288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BD4288" w:rsidRDefault="0017734A">
      <w:pPr>
        <w:rPr>
          <w:rFonts w:ascii="Times New Roman" w:hAnsi="Times New Roman" w:cs="Times New Roman"/>
        </w:rPr>
        <w:sectPr w:rsidR="0017734A" w:rsidRPr="00BD4288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7D783CB" w14:textId="77777777" w:rsidR="0091792E" w:rsidRPr="00BD4288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5" w:name="_Toc444596031"/>
    </w:p>
    <w:p w14:paraId="5B3FCD21" w14:textId="5D918EBB" w:rsidR="00F31EC9" w:rsidRPr="00BD4288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 w:rsidRPr="00BD4288">
        <w:rPr>
          <w:rStyle w:val="CharSectno"/>
        </w:rPr>
        <w:t>1</w:t>
      </w:r>
      <w:r w:rsidRPr="00BD4288">
        <w:t xml:space="preserve">  Name</w:t>
      </w:r>
      <w:proofErr w:type="gramEnd"/>
    </w:p>
    <w:p w14:paraId="39AD4640" w14:textId="195790C5" w:rsidR="00F31EC9" w:rsidRPr="00BD4288" w:rsidRDefault="00F31EC9" w:rsidP="00F31EC9">
      <w:pPr>
        <w:pStyle w:val="subsection"/>
      </w:pPr>
      <w:r w:rsidRPr="00BD4288">
        <w:tab/>
      </w:r>
      <w:r w:rsidRPr="00BD4288">
        <w:tab/>
        <w:t xml:space="preserve">This is the </w:t>
      </w:r>
      <w:bookmarkStart w:id="6" w:name="BKCheck15B_3"/>
      <w:bookmarkStart w:id="7" w:name="_Hlk6916360"/>
      <w:bookmarkEnd w:id="6"/>
      <w:r w:rsidR="00ED5D7A" w:rsidRPr="00ED5D7A">
        <w:rPr>
          <w:i/>
        </w:rPr>
        <w:t>Radiocommunications (Electromagnetic Radiation — Human Exposure) Amendment Standard 2019 (No. 1</w:t>
      </w:r>
      <w:r w:rsidR="007D4F25" w:rsidRPr="00BD4288">
        <w:rPr>
          <w:i/>
        </w:rPr>
        <w:t>)</w:t>
      </w:r>
      <w:bookmarkEnd w:id="7"/>
      <w:r w:rsidRPr="00BD4288">
        <w:t>.</w:t>
      </w:r>
    </w:p>
    <w:p w14:paraId="476CE83B" w14:textId="77777777" w:rsidR="00F31EC9" w:rsidRPr="00BD4288" w:rsidRDefault="00F31EC9" w:rsidP="00F31EC9">
      <w:pPr>
        <w:pStyle w:val="ActHead5"/>
      </w:pPr>
      <w:bookmarkStart w:id="8" w:name="_Toc444596032"/>
      <w:proofErr w:type="gramStart"/>
      <w:r w:rsidRPr="00BD4288">
        <w:rPr>
          <w:rStyle w:val="CharSectno"/>
        </w:rPr>
        <w:t>2</w:t>
      </w:r>
      <w:r w:rsidRPr="00BD4288">
        <w:t xml:space="preserve">  Commencement</w:t>
      </w:r>
      <w:bookmarkEnd w:id="8"/>
      <w:proofErr w:type="gramEnd"/>
    </w:p>
    <w:p w14:paraId="6CF91964" w14:textId="4D8D9599" w:rsidR="00F0197E" w:rsidRPr="00BD4288" w:rsidRDefault="00F31EC9" w:rsidP="00F0197E">
      <w:pPr>
        <w:pStyle w:val="subsection"/>
      </w:pPr>
      <w:r w:rsidRPr="00BD4288">
        <w:tab/>
      </w:r>
      <w:r w:rsidRPr="00BD4288">
        <w:tab/>
        <w:t xml:space="preserve">This instrument commences </w:t>
      </w:r>
      <w:r w:rsidR="00F0197E" w:rsidRPr="00BD4288">
        <w:t xml:space="preserve">at the start of the day after it is registered on the Federal Register of Legislation. </w:t>
      </w:r>
    </w:p>
    <w:p w14:paraId="3DBB2798" w14:textId="14AD2BD2" w:rsidR="00F31EC9" w:rsidRPr="00BD4288" w:rsidRDefault="00F31EC9" w:rsidP="000340E0">
      <w:pPr>
        <w:pStyle w:val="LI-BodyTextNote"/>
        <w:spacing w:before="122"/>
      </w:pPr>
      <w:r w:rsidRPr="00BD4288">
        <w:t>Note:</w:t>
      </w:r>
      <w:r w:rsidRPr="00BD4288">
        <w:tab/>
        <w:t>The Federa</w:t>
      </w:r>
      <w:r w:rsidR="00F26DEC" w:rsidRPr="00BD4288">
        <w:t xml:space="preserve">l Register of Legislation </w:t>
      </w:r>
      <w:r w:rsidRPr="00BD4288">
        <w:t xml:space="preserve">may be accessed </w:t>
      </w:r>
      <w:r w:rsidR="00331677">
        <w:t xml:space="preserve">free of charge </w:t>
      </w:r>
      <w:r w:rsidRPr="00BD4288">
        <w:t xml:space="preserve">at </w:t>
      </w:r>
      <w:hyperlink r:id="rId16" w:history="1">
        <w:r w:rsidRPr="00BD4288">
          <w:rPr>
            <w:rStyle w:val="Hyperlink"/>
            <w:rFonts w:eastAsiaTheme="majorEastAsia"/>
          </w:rPr>
          <w:t>www.legislation.gov.au</w:t>
        </w:r>
      </w:hyperlink>
      <w:r w:rsidRPr="00BD4288">
        <w:t>.</w:t>
      </w:r>
    </w:p>
    <w:p w14:paraId="4FEAC7C9" w14:textId="77777777" w:rsidR="00F31EC9" w:rsidRPr="00BD4288" w:rsidRDefault="00F31EC9" w:rsidP="00F31EC9">
      <w:pPr>
        <w:pStyle w:val="ActHead5"/>
      </w:pPr>
      <w:bookmarkStart w:id="9" w:name="_Toc444596033"/>
      <w:proofErr w:type="gramStart"/>
      <w:r w:rsidRPr="00BD4288">
        <w:rPr>
          <w:rStyle w:val="CharSectno"/>
        </w:rPr>
        <w:t>3</w:t>
      </w:r>
      <w:r w:rsidRPr="00BD4288">
        <w:t xml:space="preserve">  Authority</w:t>
      </w:r>
      <w:bookmarkEnd w:id="9"/>
      <w:proofErr w:type="gramEnd"/>
    </w:p>
    <w:p w14:paraId="7CFF547D" w14:textId="6D80741D" w:rsidR="00F31EC9" w:rsidRPr="00BD4288" w:rsidRDefault="00F31EC9" w:rsidP="00F31EC9">
      <w:pPr>
        <w:pStyle w:val="subsection"/>
      </w:pPr>
      <w:r w:rsidRPr="00BD4288">
        <w:tab/>
      </w:r>
      <w:r w:rsidRPr="00BD4288">
        <w:tab/>
        <w:t xml:space="preserve">This instrument is made under </w:t>
      </w:r>
      <w:r w:rsidR="00DA27CE" w:rsidRPr="00BD4288">
        <w:t xml:space="preserve">subsection </w:t>
      </w:r>
      <w:r w:rsidR="001B653C">
        <w:t xml:space="preserve">162(1) of the </w:t>
      </w:r>
      <w:r w:rsidR="001B653C" w:rsidRPr="001B653C">
        <w:rPr>
          <w:i/>
        </w:rPr>
        <w:t>Radiocommunications Act 1992</w:t>
      </w:r>
      <w:r w:rsidRPr="00BD4288">
        <w:t>.</w:t>
      </w:r>
    </w:p>
    <w:p w14:paraId="6A5943E2" w14:textId="5616ACB3" w:rsidR="00F31EC9" w:rsidRPr="00BD4288" w:rsidRDefault="00F31EC9" w:rsidP="00F31EC9">
      <w:pPr>
        <w:pStyle w:val="ActHead5"/>
      </w:pPr>
      <w:bookmarkStart w:id="10" w:name="_Toc444596034"/>
      <w:proofErr w:type="gramStart"/>
      <w:r w:rsidRPr="00BD4288">
        <w:t xml:space="preserve">4  </w:t>
      </w:r>
      <w:r w:rsidR="00C4249D" w:rsidRPr="00BD4288">
        <w:t>Amendment</w:t>
      </w:r>
      <w:r w:rsidR="00130C48" w:rsidRPr="00BD4288">
        <w:t>s</w:t>
      </w:r>
      <w:proofErr w:type="gramEnd"/>
    </w:p>
    <w:p w14:paraId="7D8E1455" w14:textId="76E80FC6" w:rsidR="00F31EC9" w:rsidRPr="00BD4288" w:rsidRDefault="00F31EC9" w:rsidP="00F31EC9">
      <w:pPr>
        <w:pStyle w:val="subsection"/>
        <w:rPr>
          <w:rStyle w:val="CharSectno"/>
        </w:rPr>
      </w:pPr>
      <w:r w:rsidRPr="00BD4288">
        <w:tab/>
      </w:r>
      <w:r w:rsidRPr="00BD4288">
        <w:tab/>
      </w:r>
      <w:r w:rsidR="00C4249D" w:rsidRPr="00BD4288">
        <w:t>The</w:t>
      </w:r>
      <w:r w:rsidR="00EF6088" w:rsidRPr="00BD4288">
        <w:t xml:space="preserve"> instrument that is specified in Schedule</w:t>
      </w:r>
      <w:r w:rsidR="00C4249D" w:rsidRPr="00BD4288">
        <w:t xml:space="preserve"> 1</w:t>
      </w:r>
      <w:r w:rsidR="00EF6088" w:rsidRPr="00BD4288">
        <w:t xml:space="preserve"> is amended as set ou</w:t>
      </w:r>
      <w:r w:rsidR="00C4249D" w:rsidRPr="00BD4288">
        <w:t>t in the applicable items in</w:t>
      </w:r>
      <w:r w:rsidR="00130C48" w:rsidRPr="00BD4288">
        <w:t xml:space="preserve"> that</w:t>
      </w:r>
      <w:r w:rsidR="00C4249D" w:rsidRPr="00BD4288">
        <w:t xml:space="preserve"> </w:t>
      </w:r>
      <w:r w:rsidR="00EF6088" w:rsidRPr="00BD4288">
        <w:t>Schedul</w:t>
      </w:r>
      <w:r w:rsidR="00C4249D" w:rsidRPr="00BD4288">
        <w:t>e</w:t>
      </w:r>
      <w:r w:rsidR="00EF6088" w:rsidRPr="00BD4288">
        <w:t>.</w:t>
      </w:r>
      <w:r w:rsidR="00EF6088" w:rsidRPr="00BD4288">
        <w:rPr>
          <w:i/>
        </w:rPr>
        <w:t xml:space="preserve"> </w:t>
      </w:r>
    </w:p>
    <w:bookmarkEnd w:id="10"/>
    <w:p w14:paraId="0210BC6A" w14:textId="190BC6ED" w:rsidR="00F31EC9" w:rsidRPr="00BD4288" w:rsidRDefault="00F31EC9" w:rsidP="00F856A6">
      <w:pPr>
        <w:pStyle w:val="notetext"/>
      </w:pPr>
      <w:r w:rsidRPr="00BD4288">
        <w:t xml:space="preserve"> </w:t>
      </w:r>
    </w:p>
    <w:bookmarkEnd w:id="5"/>
    <w:p w14:paraId="73817C1C" w14:textId="77777777" w:rsidR="0091792E" w:rsidRPr="00BD4288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RPr="00BD4288" w:rsidSect="00570159">
          <w:headerReference w:type="default" r:id="rId17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5C0412ED" w14:textId="14FA7613" w:rsidR="006F5CF2" w:rsidRPr="00BD4288" w:rsidRDefault="00265688" w:rsidP="0091792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BD4288"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 w:rsidR="006F5CF2" w:rsidRPr="00BD4288">
        <w:rPr>
          <w:rFonts w:ascii="Arial" w:hAnsi="Arial" w:cs="Arial"/>
          <w:sz w:val="32"/>
          <w:szCs w:val="32"/>
        </w:rPr>
        <w:t>—</w:t>
      </w:r>
      <w:r w:rsidRPr="00BD4288">
        <w:rPr>
          <w:rFonts w:ascii="Arial" w:hAnsi="Arial" w:cs="Arial"/>
          <w:sz w:val="32"/>
          <w:szCs w:val="32"/>
        </w:rPr>
        <w:t>Amendments</w:t>
      </w:r>
    </w:p>
    <w:p w14:paraId="5B1178A7" w14:textId="0D4DCE4A" w:rsidR="00265688" w:rsidRPr="003243BB" w:rsidRDefault="003243BB" w:rsidP="003243BB">
      <w:pPr>
        <w:pStyle w:val="ActHead9"/>
        <w:ind w:left="0" w:firstLine="0"/>
        <w:rPr>
          <w:bCs/>
          <w:szCs w:val="28"/>
        </w:rPr>
      </w:pPr>
      <w:bookmarkStart w:id="11" w:name="_Toc444596036"/>
      <w:r w:rsidRPr="003243BB">
        <w:rPr>
          <w:bCs/>
          <w:szCs w:val="28"/>
        </w:rPr>
        <w:t>Radiocommunications (Electromagnetic Radiation — Human Exposure) Standard 2014</w:t>
      </w:r>
      <w:r w:rsidRPr="003243BB">
        <w:rPr>
          <w:szCs w:val="28"/>
        </w:rPr>
        <w:t xml:space="preserve"> </w:t>
      </w:r>
      <w:r w:rsidR="00DA27CE" w:rsidRPr="00BD4288">
        <w:rPr>
          <w:b w:val="0"/>
          <w:szCs w:val="28"/>
        </w:rPr>
        <w:t>(</w:t>
      </w:r>
      <w:r w:rsidR="00156794" w:rsidRPr="00BD4288">
        <w:rPr>
          <w:rStyle w:val="legsubtitle1"/>
          <w:b/>
          <w:szCs w:val="28"/>
        </w:rPr>
        <w:t>F201</w:t>
      </w:r>
      <w:r>
        <w:rPr>
          <w:rStyle w:val="legsubtitle1"/>
          <w:b/>
          <w:szCs w:val="28"/>
        </w:rPr>
        <w:t>4L00960</w:t>
      </w:r>
      <w:r w:rsidR="00156794" w:rsidRPr="00BD4288">
        <w:rPr>
          <w:rStyle w:val="legsubtitle1"/>
          <w:b/>
          <w:szCs w:val="28"/>
        </w:rPr>
        <w:t>)</w:t>
      </w:r>
    </w:p>
    <w:p w14:paraId="68A79D2C" w14:textId="77777777" w:rsidR="0098197A" w:rsidRDefault="00BA1733" w:rsidP="0098197A">
      <w:pPr>
        <w:pStyle w:val="ItemHead"/>
      </w:pPr>
      <w:proofErr w:type="gramStart"/>
      <w:r>
        <w:t>1</w:t>
      </w:r>
      <w:r w:rsidRPr="00BD4288">
        <w:t xml:space="preserve">  </w:t>
      </w:r>
      <w:r w:rsidR="0098197A">
        <w:t>Subsection</w:t>
      </w:r>
      <w:proofErr w:type="gramEnd"/>
      <w:r w:rsidR="0098197A">
        <w:t xml:space="preserve"> 5(1) (definition of </w:t>
      </w:r>
      <w:r w:rsidR="0098197A">
        <w:rPr>
          <w:i/>
          <w:iCs/>
        </w:rPr>
        <w:t>ARPANSA Standard</w:t>
      </w:r>
      <w:r w:rsidR="0098197A">
        <w:t>)</w:t>
      </w:r>
    </w:p>
    <w:p w14:paraId="01457EA6" w14:textId="77777777" w:rsidR="0098197A" w:rsidRDefault="0098197A" w:rsidP="00700139">
      <w:pPr>
        <w:pStyle w:val="Item"/>
      </w:pPr>
      <w:r>
        <w:t>Repeal the definition, substitute:</w:t>
      </w:r>
    </w:p>
    <w:p w14:paraId="62185BBA" w14:textId="77777777" w:rsidR="0098197A" w:rsidRDefault="0098197A" w:rsidP="00700139">
      <w:pPr>
        <w:pStyle w:val="ItemHead"/>
        <w:spacing w:before="120"/>
        <w:rPr>
          <w:rFonts w:ascii="Times New Roman" w:hAnsi="Times New Roman"/>
          <w:b w:val="0"/>
          <w:kern w:val="0"/>
          <w:sz w:val="22"/>
        </w:rPr>
      </w:pPr>
      <w:r>
        <w:tab/>
      </w:r>
      <w:r w:rsidRPr="00220B89">
        <w:rPr>
          <w:rFonts w:ascii="Times New Roman" w:hAnsi="Times New Roman"/>
          <w:bCs/>
          <w:i/>
          <w:iCs/>
          <w:kern w:val="0"/>
          <w:sz w:val="22"/>
        </w:rPr>
        <w:t>A</w:t>
      </w:r>
      <w:r>
        <w:rPr>
          <w:rFonts w:ascii="Times New Roman" w:hAnsi="Times New Roman"/>
          <w:bCs/>
          <w:i/>
          <w:iCs/>
          <w:kern w:val="0"/>
          <w:sz w:val="22"/>
        </w:rPr>
        <w:t>RPANSA Standard</w:t>
      </w:r>
      <w:r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 w:val="0"/>
          <w:kern w:val="0"/>
          <w:sz w:val="22"/>
        </w:rPr>
        <w:t>means:</w:t>
      </w:r>
    </w:p>
    <w:p w14:paraId="67020618" w14:textId="6B37ABEA" w:rsidR="0098197A" w:rsidRDefault="002B6033" w:rsidP="0098197A">
      <w:pPr>
        <w:pStyle w:val="Item"/>
        <w:numPr>
          <w:ilvl w:val="0"/>
          <w:numId w:val="15"/>
        </w:numPr>
        <w:spacing w:before="60"/>
      </w:pPr>
      <w:r>
        <w:t>t</w:t>
      </w:r>
      <w:r w:rsidRPr="002B6033">
        <w:t>he </w:t>
      </w:r>
      <w:r w:rsidRPr="002B6033">
        <w:rPr>
          <w:i/>
          <w:iCs/>
        </w:rPr>
        <w:t>Radiation Protection Standard for Maximum Exposure Levels to Radiofrequency Fields – 3 kHz to 300 GHz</w:t>
      </w:r>
      <w:r w:rsidRPr="002B6033">
        <w:t> published by the Australian Radiation Protection and Nuclear Safety Agency</w:t>
      </w:r>
      <w:r w:rsidR="0098197A">
        <w:t>; or</w:t>
      </w:r>
    </w:p>
    <w:p w14:paraId="0F07299A" w14:textId="6CA3C0DB" w:rsidR="0098197A" w:rsidRPr="0098197A" w:rsidRDefault="002B6033" w:rsidP="004F32A0">
      <w:pPr>
        <w:pStyle w:val="ItemHead"/>
        <w:numPr>
          <w:ilvl w:val="0"/>
          <w:numId w:val="15"/>
        </w:numPr>
        <w:spacing w:before="60"/>
        <w:ind w:left="1066" w:hanging="357"/>
      </w:pPr>
      <w:r>
        <w:rPr>
          <w:rFonts w:ascii="Times New Roman" w:hAnsi="Times New Roman"/>
          <w:b w:val="0"/>
          <w:bCs/>
          <w:sz w:val="22"/>
          <w:szCs w:val="22"/>
        </w:rPr>
        <w:t xml:space="preserve">if a later </w:t>
      </w:r>
      <w:r w:rsidR="00436AAD">
        <w:rPr>
          <w:rFonts w:ascii="Times New Roman" w:hAnsi="Times New Roman"/>
          <w:b w:val="0"/>
          <w:bCs/>
          <w:sz w:val="22"/>
          <w:szCs w:val="22"/>
        </w:rPr>
        <w:t>document</w:t>
      </w:r>
      <w:r w:rsidR="005B4848">
        <w:rPr>
          <w:rFonts w:ascii="Times New Roman" w:hAnsi="Times New Roman"/>
          <w:b w:val="0"/>
          <w:bCs/>
          <w:sz w:val="22"/>
          <w:szCs w:val="22"/>
        </w:rPr>
        <w:t xml:space="preserve"> published by the</w:t>
      </w:r>
      <w:r w:rsidR="004F32A0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4F32A0" w:rsidRPr="00700139">
        <w:rPr>
          <w:rFonts w:ascii="Times New Roman" w:hAnsi="Times New Roman"/>
          <w:b w:val="0"/>
          <w:bCs/>
          <w:sz w:val="22"/>
          <w:szCs w:val="22"/>
        </w:rPr>
        <w:t>Australian Radiation Protection and Nuclear Safety Agency</w:t>
      </w:r>
      <w:r w:rsidR="005B484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5B4848" w:rsidRPr="005B4848">
        <w:rPr>
          <w:rFonts w:ascii="Times New Roman" w:hAnsi="Times New Roman"/>
          <w:b w:val="0"/>
          <w:bCs/>
          <w:sz w:val="22"/>
          <w:szCs w:val="22"/>
        </w:rPr>
        <w:t xml:space="preserve">is expressed to replace the standard mentioned in paragraph (a) – the later </w:t>
      </w:r>
      <w:r w:rsidR="00201FC6">
        <w:rPr>
          <w:rFonts w:ascii="Times New Roman" w:hAnsi="Times New Roman"/>
          <w:b w:val="0"/>
          <w:bCs/>
          <w:sz w:val="22"/>
          <w:szCs w:val="22"/>
        </w:rPr>
        <w:t>document</w:t>
      </w:r>
      <w:r w:rsidR="005B4848" w:rsidRPr="005B4848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3425A9D7" w14:textId="1B0A1ED4" w:rsidR="001A1BFE" w:rsidRDefault="00A64DDF" w:rsidP="001A1BFE">
      <w:pPr>
        <w:pStyle w:val="ItemHead"/>
      </w:pPr>
      <w:proofErr w:type="gramStart"/>
      <w:r>
        <w:t xml:space="preserve">2  </w:t>
      </w:r>
      <w:r w:rsidR="001A1BFE">
        <w:t>Subsection</w:t>
      </w:r>
      <w:proofErr w:type="gramEnd"/>
      <w:r w:rsidR="001A1BFE">
        <w:t xml:space="preserve"> 5(1) (definition of </w:t>
      </w:r>
      <w:r w:rsidR="001A1BFE">
        <w:rPr>
          <w:i/>
          <w:iCs/>
        </w:rPr>
        <w:t>AS/NZS 2772.2</w:t>
      </w:r>
      <w:r w:rsidR="00B57D76">
        <w:rPr>
          <w:iCs/>
        </w:rPr>
        <w:t>, including the note</w:t>
      </w:r>
      <w:r w:rsidR="001A1BFE">
        <w:t>)</w:t>
      </w:r>
    </w:p>
    <w:p w14:paraId="5F34D267" w14:textId="6B1DEC8F" w:rsidR="003F7A2A" w:rsidRDefault="003F7A2A" w:rsidP="003F7A2A">
      <w:pPr>
        <w:pStyle w:val="Item"/>
      </w:pPr>
      <w:r>
        <w:t>Repeal the definition</w:t>
      </w:r>
      <w:r w:rsidR="001825E8">
        <w:t xml:space="preserve"> and the note</w:t>
      </w:r>
      <w:r>
        <w:t>, substitute:</w:t>
      </w:r>
    </w:p>
    <w:p w14:paraId="7497EDF1" w14:textId="77777777" w:rsidR="007B579A" w:rsidRDefault="003F7A2A" w:rsidP="003F7A2A">
      <w:pPr>
        <w:pStyle w:val="Item"/>
        <w:spacing w:before="120"/>
      </w:pPr>
      <w:r>
        <w:rPr>
          <w:b/>
          <w:bCs/>
          <w:i/>
          <w:iCs/>
        </w:rPr>
        <w:t xml:space="preserve">AS/NZS 2772.2 </w:t>
      </w:r>
      <w:r>
        <w:t>means</w:t>
      </w:r>
      <w:r w:rsidR="00E91157">
        <w:t>:</w:t>
      </w:r>
    </w:p>
    <w:p w14:paraId="72454932" w14:textId="2B81321E" w:rsidR="001232CF" w:rsidRDefault="003F7A2A" w:rsidP="00700139">
      <w:pPr>
        <w:pStyle w:val="Item"/>
        <w:numPr>
          <w:ilvl w:val="0"/>
          <w:numId w:val="23"/>
        </w:numPr>
        <w:spacing w:before="60"/>
      </w:pPr>
      <w:r>
        <w:t xml:space="preserve">the Australian Standard/New Zealand Standard </w:t>
      </w:r>
      <w:r w:rsidRPr="005006F9">
        <w:rPr>
          <w:i/>
        </w:rPr>
        <w:t>AS/NZS 2772.2:2016 Radiofrequency fields: Part 2: Principles and methods of measurement and computation – 3</w:t>
      </w:r>
      <w:r w:rsidR="00E71CAE">
        <w:rPr>
          <w:i/>
        </w:rPr>
        <w:t xml:space="preserve"> </w:t>
      </w:r>
      <w:r w:rsidRPr="005006F9">
        <w:rPr>
          <w:i/>
        </w:rPr>
        <w:t>kHz to 300 GHz</w:t>
      </w:r>
      <w:r>
        <w:t>, published by Standard</w:t>
      </w:r>
      <w:r w:rsidR="009F3E9C">
        <w:t>s</w:t>
      </w:r>
      <w:r>
        <w:t xml:space="preserve"> Australia</w:t>
      </w:r>
      <w:r w:rsidR="00145DB8">
        <w:t>; or</w:t>
      </w:r>
    </w:p>
    <w:p w14:paraId="17CD857A" w14:textId="33842C10" w:rsidR="00145DB8" w:rsidRPr="00145DB8" w:rsidRDefault="00253AF5" w:rsidP="0016521E">
      <w:pPr>
        <w:pStyle w:val="Item"/>
        <w:numPr>
          <w:ilvl w:val="0"/>
          <w:numId w:val="23"/>
        </w:numPr>
        <w:spacing w:before="60"/>
      </w:pPr>
      <w:r>
        <w:t xml:space="preserve">if a later </w:t>
      </w:r>
      <w:r w:rsidR="00637F5A">
        <w:t>document</w:t>
      </w:r>
      <w:r>
        <w:t xml:space="preserve"> published by Standa</w:t>
      </w:r>
      <w:r w:rsidR="00BA0B4D">
        <w:t>r</w:t>
      </w:r>
      <w:r>
        <w:t>d</w:t>
      </w:r>
      <w:r w:rsidR="006935FA">
        <w:t>s</w:t>
      </w:r>
      <w:r>
        <w:t xml:space="preserve"> Australia is express</w:t>
      </w:r>
      <w:r w:rsidR="00BA0B4D">
        <w:t>ed</w:t>
      </w:r>
      <w:r>
        <w:t xml:space="preserve"> to replace the standard mentioned in paragraph (a)</w:t>
      </w:r>
      <w:r w:rsidR="00AB08BB">
        <w:t xml:space="preserve"> – the later </w:t>
      </w:r>
      <w:r w:rsidR="00637F5A">
        <w:t>document</w:t>
      </w:r>
      <w:r w:rsidR="00AB08BB">
        <w:t>.</w:t>
      </w:r>
    </w:p>
    <w:p w14:paraId="5B53CA53" w14:textId="711531E3" w:rsidR="00B312F3" w:rsidRPr="00B312F3" w:rsidRDefault="00B312F3" w:rsidP="00B312F3">
      <w:pPr>
        <w:pStyle w:val="ItemHead"/>
        <w:ind w:firstLine="0"/>
      </w:pPr>
      <w:r w:rsidRPr="00B312F3">
        <w:rPr>
          <w:rFonts w:ascii="Times New Roman" w:hAnsi="Times New Roman"/>
          <w:b w:val="0"/>
          <w:i/>
          <w:iCs/>
          <w:kern w:val="0"/>
          <w:sz w:val="18"/>
          <w:szCs w:val="18"/>
        </w:rPr>
        <w:t>Note</w:t>
      </w:r>
      <w:r w:rsidRPr="00775AE8">
        <w:rPr>
          <w:i/>
          <w:iCs/>
          <w:sz w:val="18"/>
          <w:szCs w:val="18"/>
        </w:rPr>
        <w:tab/>
      </w:r>
      <w:r w:rsidR="00FF0D27">
        <w:rPr>
          <w:rFonts w:ascii="Times New Roman" w:hAnsi="Times New Roman"/>
          <w:b w:val="0"/>
          <w:kern w:val="0"/>
          <w:sz w:val="18"/>
          <w:szCs w:val="18"/>
        </w:rPr>
        <w:t>AS/NZS 2772.2 may be obtained</w:t>
      </w:r>
      <w:r w:rsidR="005058D2">
        <w:rPr>
          <w:rFonts w:ascii="Times New Roman" w:hAnsi="Times New Roman"/>
          <w:b w:val="0"/>
          <w:kern w:val="0"/>
          <w:sz w:val="18"/>
          <w:szCs w:val="18"/>
        </w:rPr>
        <w:t xml:space="preserve"> for a fee</w:t>
      </w:r>
      <w:r w:rsidR="00FF0D27">
        <w:rPr>
          <w:rFonts w:ascii="Times New Roman" w:hAnsi="Times New Roman"/>
          <w:b w:val="0"/>
          <w:kern w:val="0"/>
          <w:sz w:val="18"/>
          <w:szCs w:val="18"/>
        </w:rPr>
        <w:t xml:space="preserve"> from </w:t>
      </w:r>
      <w:bookmarkStart w:id="12" w:name="_Hlk18594729"/>
      <w:r w:rsidR="00AA425A">
        <w:rPr>
          <w:rFonts w:ascii="Times New Roman" w:hAnsi="Times New Roman"/>
          <w:b w:val="0"/>
          <w:kern w:val="0"/>
          <w:sz w:val="18"/>
          <w:szCs w:val="18"/>
        </w:rPr>
        <w:t>a Standards Australia distributo</w:t>
      </w:r>
      <w:r w:rsidR="00D26102">
        <w:rPr>
          <w:rFonts w:ascii="Times New Roman" w:hAnsi="Times New Roman"/>
          <w:b w:val="0"/>
          <w:kern w:val="0"/>
          <w:sz w:val="18"/>
          <w:szCs w:val="18"/>
        </w:rPr>
        <w:t>r</w:t>
      </w:r>
      <w:r w:rsidR="00AA425A">
        <w:rPr>
          <w:rFonts w:ascii="Times New Roman" w:hAnsi="Times New Roman"/>
          <w:b w:val="0"/>
          <w:kern w:val="0"/>
          <w:sz w:val="18"/>
          <w:szCs w:val="18"/>
        </w:rPr>
        <w:t xml:space="preserve"> </w:t>
      </w:r>
      <w:r w:rsidR="00637F5A">
        <w:rPr>
          <w:rFonts w:ascii="Times New Roman" w:hAnsi="Times New Roman"/>
          <w:b w:val="0"/>
          <w:kern w:val="0"/>
          <w:sz w:val="18"/>
          <w:szCs w:val="18"/>
        </w:rPr>
        <w:t xml:space="preserve">listed </w:t>
      </w:r>
      <w:r w:rsidR="00AA425A">
        <w:rPr>
          <w:rFonts w:ascii="Times New Roman" w:hAnsi="Times New Roman"/>
          <w:b w:val="0"/>
          <w:kern w:val="0"/>
          <w:sz w:val="18"/>
          <w:szCs w:val="18"/>
        </w:rPr>
        <w:t xml:space="preserve">on the </w:t>
      </w:r>
      <w:r w:rsidR="00D26102">
        <w:rPr>
          <w:rFonts w:ascii="Times New Roman" w:hAnsi="Times New Roman"/>
          <w:b w:val="0"/>
          <w:kern w:val="0"/>
          <w:sz w:val="18"/>
          <w:szCs w:val="18"/>
        </w:rPr>
        <w:t>Standards Australia website</w:t>
      </w:r>
      <w:r w:rsidR="00AA425A">
        <w:rPr>
          <w:rFonts w:ascii="Times New Roman" w:hAnsi="Times New Roman"/>
          <w:b w:val="0"/>
          <w:kern w:val="0"/>
          <w:sz w:val="18"/>
          <w:szCs w:val="18"/>
        </w:rPr>
        <w:t xml:space="preserve"> </w:t>
      </w:r>
      <w:bookmarkEnd w:id="12"/>
      <w:r w:rsidR="00D26102">
        <w:rPr>
          <w:rFonts w:ascii="Times New Roman" w:hAnsi="Times New Roman"/>
          <w:b w:val="0"/>
          <w:kern w:val="0"/>
          <w:sz w:val="18"/>
          <w:szCs w:val="18"/>
        </w:rPr>
        <w:t xml:space="preserve"> </w:t>
      </w:r>
      <w:r w:rsidR="00B0157A" w:rsidRPr="00B0157A">
        <w:rPr>
          <w:rFonts w:ascii="Times New Roman" w:hAnsi="Times New Roman"/>
          <w:b w:val="0"/>
          <w:kern w:val="0"/>
          <w:sz w:val="18"/>
          <w:szCs w:val="18"/>
        </w:rPr>
        <w:t>(</w:t>
      </w:r>
      <w:hyperlink r:id="rId18" w:history="1">
        <w:r w:rsidR="00D26102" w:rsidRPr="00F76343">
          <w:rPr>
            <w:rFonts w:ascii="Times New Roman" w:eastAsiaTheme="minorHAnsi" w:hAnsi="Times New Roman"/>
            <w:b w:val="0"/>
            <w:color w:val="0000FF"/>
            <w:kern w:val="0"/>
            <w:sz w:val="18"/>
            <w:szCs w:val="18"/>
            <w:u w:val="single"/>
            <w:lang w:eastAsia="en-US"/>
          </w:rPr>
          <w:t>https://www.standards.org.au/search-for-a-standard</w:t>
        </w:r>
      </w:hyperlink>
      <w:r w:rsidR="00B0157A" w:rsidRPr="00B0157A">
        <w:rPr>
          <w:rFonts w:ascii="Times New Roman" w:hAnsi="Times New Roman"/>
          <w:b w:val="0"/>
          <w:kern w:val="0"/>
          <w:sz w:val="18"/>
          <w:szCs w:val="18"/>
        </w:rPr>
        <w:t>)</w:t>
      </w:r>
      <w:r w:rsidR="00850126">
        <w:rPr>
          <w:rFonts w:ascii="Times New Roman" w:hAnsi="Times New Roman"/>
          <w:b w:val="0"/>
          <w:kern w:val="0"/>
          <w:sz w:val="18"/>
          <w:szCs w:val="18"/>
        </w:rPr>
        <w:t xml:space="preserve"> or </w:t>
      </w:r>
      <w:r w:rsidR="00850126" w:rsidRPr="00850126">
        <w:rPr>
          <w:rFonts w:ascii="Times New Roman" w:hAnsi="Times New Roman"/>
          <w:b w:val="0"/>
          <w:kern w:val="0"/>
          <w:sz w:val="18"/>
          <w:szCs w:val="18"/>
          <w:lang w:val="en-US"/>
        </w:rPr>
        <w:t xml:space="preserve">or can otherwise be made available for viewing on </w:t>
      </w:r>
      <w:r w:rsidR="00A17D37">
        <w:rPr>
          <w:rFonts w:ascii="Times New Roman" w:hAnsi="Times New Roman"/>
          <w:b w:val="0"/>
          <w:kern w:val="0"/>
          <w:sz w:val="18"/>
          <w:szCs w:val="18"/>
          <w:lang w:val="en-US"/>
        </w:rPr>
        <w:t xml:space="preserve">prior </w:t>
      </w:r>
      <w:r w:rsidR="00850126" w:rsidRPr="00850126">
        <w:rPr>
          <w:rFonts w:ascii="Times New Roman" w:hAnsi="Times New Roman"/>
          <w:b w:val="0"/>
          <w:kern w:val="0"/>
          <w:sz w:val="18"/>
          <w:szCs w:val="18"/>
          <w:lang w:val="en-US"/>
        </w:rPr>
        <w:t xml:space="preserve">request </w:t>
      </w:r>
      <w:r w:rsidR="00A17D37">
        <w:rPr>
          <w:rFonts w:ascii="Times New Roman" w:hAnsi="Times New Roman"/>
          <w:b w:val="0"/>
          <w:kern w:val="0"/>
          <w:sz w:val="18"/>
          <w:szCs w:val="18"/>
          <w:lang w:val="en-US"/>
        </w:rPr>
        <w:t>at</w:t>
      </w:r>
      <w:r w:rsidR="00850126" w:rsidRPr="00850126">
        <w:rPr>
          <w:rFonts w:ascii="Times New Roman" w:hAnsi="Times New Roman"/>
          <w:b w:val="0"/>
          <w:kern w:val="0"/>
          <w:sz w:val="18"/>
          <w:szCs w:val="18"/>
          <w:lang w:val="en-US"/>
        </w:rPr>
        <w:t xml:space="preserve"> an ACMA office, subject to licensing conditions</w:t>
      </w:r>
      <w:r w:rsidR="00FB1F3D">
        <w:rPr>
          <w:rFonts w:ascii="Times New Roman" w:hAnsi="Times New Roman"/>
          <w:b w:val="0"/>
          <w:kern w:val="0"/>
          <w:sz w:val="18"/>
          <w:szCs w:val="18"/>
          <w:lang w:val="en-US"/>
        </w:rPr>
        <w:t>.</w:t>
      </w:r>
    </w:p>
    <w:p w14:paraId="765FD0B3" w14:textId="229014D8" w:rsidR="00BA1733" w:rsidRPr="00BD4288" w:rsidRDefault="000A04AC" w:rsidP="00BA1733">
      <w:pPr>
        <w:pStyle w:val="ItemHead"/>
      </w:pPr>
      <w:proofErr w:type="gramStart"/>
      <w:r>
        <w:t>3</w:t>
      </w:r>
      <w:r w:rsidR="003F7A2A">
        <w:t xml:space="preserve">  </w:t>
      </w:r>
      <w:r w:rsidR="00490EE4">
        <w:t>Subsection</w:t>
      </w:r>
      <w:proofErr w:type="gramEnd"/>
      <w:r w:rsidR="00490EE4">
        <w:t xml:space="preserve"> 5(1</w:t>
      </w:r>
      <w:r w:rsidR="005C19F7">
        <w:t>)</w:t>
      </w:r>
      <w:r w:rsidR="00490EE4">
        <w:t xml:space="preserve"> </w:t>
      </w:r>
      <w:r w:rsidR="005C19F7">
        <w:t>(</w:t>
      </w:r>
      <w:r w:rsidR="00490EE4">
        <w:t xml:space="preserve">definition of </w:t>
      </w:r>
      <w:r w:rsidR="00517FA7" w:rsidRPr="00517FA7">
        <w:rPr>
          <w:bCs/>
          <w:i/>
          <w:iCs/>
        </w:rPr>
        <w:t>EN 62209</w:t>
      </w:r>
      <w:r w:rsidR="00517FA7" w:rsidRPr="00517FA7">
        <w:rPr>
          <w:bCs/>
          <w:i/>
          <w:iCs/>
        </w:rPr>
        <w:noBreakHyphen/>
        <w:t>1</w:t>
      </w:r>
      <w:r w:rsidR="00D840DC">
        <w:rPr>
          <w:bCs/>
          <w:iCs/>
        </w:rPr>
        <w:t>,</w:t>
      </w:r>
      <w:r w:rsidR="000B043F">
        <w:rPr>
          <w:bCs/>
          <w:iCs/>
        </w:rPr>
        <w:t xml:space="preserve"> including the </w:t>
      </w:r>
      <w:r w:rsidR="00217026">
        <w:rPr>
          <w:bCs/>
          <w:iCs/>
        </w:rPr>
        <w:t>note</w:t>
      </w:r>
      <w:r w:rsidR="005C19F7">
        <w:rPr>
          <w:bCs/>
          <w:iCs/>
        </w:rPr>
        <w:t>)</w:t>
      </w:r>
      <w:r w:rsidR="00517FA7" w:rsidRPr="00517FA7">
        <w:t> </w:t>
      </w:r>
    </w:p>
    <w:p w14:paraId="47E6BB2A" w14:textId="12D00576" w:rsidR="000B043F" w:rsidRDefault="007538EB" w:rsidP="00BA1733">
      <w:pPr>
        <w:pStyle w:val="Item"/>
      </w:pPr>
      <w:r>
        <w:t>Repeal the definition</w:t>
      </w:r>
      <w:r w:rsidR="00217026">
        <w:t xml:space="preserve"> and the note</w:t>
      </w:r>
      <w:r w:rsidR="00177E98">
        <w:t>, substitute</w:t>
      </w:r>
      <w:r w:rsidR="000B043F">
        <w:t>:</w:t>
      </w:r>
    </w:p>
    <w:p w14:paraId="5CBF4BBA" w14:textId="77777777" w:rsidR="00AB08BB" w:rsidRDefault="006D7F14" w:rsidP="00682099">
      <w:pPr>
        <w:pStyle w:val="Item"/>
        <w:spacing w:before="120"/>
        <w:rPr>
          <w:szCs w:val="22"/>
        </w:rPr>
      </w:pPr>
      <w:r w:rsidRPr="00DB685B">
        <w:rPr>
          <w:b/>
          <w:i/>
          <w:szCs w:val="22"/>
        </w:rPr>
        <w:t>EN 62209-1</w:t>
      </w:r>
      <w:r w:rsidRPr="00DB685B">
        <w:rPr>
          <w:szCs w:val="22"/>
        </w:rPr>
        <w:t xml:space="preserve"> means</w:t>
      </w:r>
      <w:r w:rsidR="00AB08BB">
        <w:rPr>
          <w:szCs w:val="22"/>
        </w:rPr>
        <w:t>:</w:t>
      </w:r>
    </w:p>
    <w:p w14:paraId="05C3200F" w14:textId="3C759E0F" w:rsidR="00C1738A" w:rsidRDefault="00AE2F82" w:rsidP="00AB08BB">
      <w:pPr>
        <w:pStyle w:val="Item"/>
        <w:numPr>
          <w:ilvl w:val="0"/>
          <w:numId w:val="16"/>
        </w:numPr>
        <w:spacing w:before="120"/>
        <w:rPr>
          <w:szCs w:val="22"/>
        </w:rPr>
      </w:pPr>
      <w:r>
        <w:rPr>
          <w:szCs w:val="22"/>
        </w:rPr>
        <w:t xml:space="preserve">the </w:t>
      </w:r>
      <w:r w:rsidR="006D7F14" w:rsidRPr="00DB685B">
        <w:rPr>
          <w:i/>
          <w:szCs w:val="22"/>
        </w:rPr>
        <w:t>Measurement procedure for the assessment of specific absorption rate of human exposure to radio frequency fields from hand-held and body-mounted wireless communication devices – Part 1: Devices used next to the ear (Frequency range of 300 MHz to 6 GHz)</w:t>
      </w:r>
      <w:r w:rsidR="006D7F14" w:rsidRPr="00DB685B">
        <w:rPr>
          <w:szCs w:val="22"/>
        </w:rPr>
        <w:t>, published by the</w:t>
      </w:r>
      <w:r w:rsidR="000403B3">
        <w:rPr>
          <w:szCs w:val="22"/>
        </w:rPr>
        <w:t xml:space="preserve"> European Committee for Electrotechnical Standardisation (CENELEC)</w:t>
      </w:r>
      <w:r w:rsidR="00C1738A">
        <w:rPr>
          <w:szCs w:val="22"/>
        </w:rPr>
        <w:t>; or</w:t>
      </w:r>
    </w:p>
    <w:p w14:paraId="54D6633B" w14:textId="073D75ED" w:rsidR="00BA1733" w:rsidRPr="002E7740" w:rsidRDefault="002E7740" w:rsidP="00F76343">
      <w:pPr>
        <w:pStyle w:val="Item"/>
        <w:numPr>
          <w:ilvl w:val="0"/>
          <w:numId w:val="16"/>
        </w:numPr>
        <w:spacing w:before="120"/>
        <w:rPr>
          <w:szCs w:val="22"/>
        </w:rPr>
      </w:pPr>
      <w:r>
        <w:rPr>
          <w:szCs w:val="22"/>
        </w:rPr>
        <w:t>i</w:t>
      </w:r>
      <w:r w:rsidR="0085102B" w:rsidRPr="002E7740">
        <w:rPr>
          <w:szCs w:val="22"/>
        </w:rPr>
        <w:t xml:space="preserve">f </w:t>
      </w:r>
      <w:bookmarkStart w:id="13" w:name="_Hlk19790317"/>
      <w:r w:rsidR="0085102B" w:rsidRPr="002E7740">
        <w:rPr>
          <w:szCs w:val="22"/>
        </w:rPr>
        <w:t xml:space="preserve">a later </w:t>
      </w:r>
      <w:r w:rsidR="00BA0B4D">
        <w:rPr>
          <w:szCs w:val="22"/>
        </w:rPr>
        <w:t xml:space="preserve">document published by the </w:t>
      </w:r>
      <w:r w:rsidR="004B02F8">
        <w:rPr>
          <w:szCs w:val="22"/>
        </w:rPr>
        <w:t>European Committee for Electrotechnical Standardisation (CENELEC)</w:t>
      </w:r>
      <w:r w:rsidR="00BA0B4D">
        <w:rPr>
          <w:szCs w:val="22"/>
        </w:rPr>
        <w:t xml:space="preserve"> is </w:t>
      </w:r>
      <w:r w:rsidR="006935FA">
        <w:rPr>
          <w:szCs w:val="22"/>
        </w:rPr>
        <w:t>expressed to repl</w:t>
      </w:r>
      <w:r w:rsidR="00250894">
        <w:rPr>
          <w:szCs w:val="22"/>
        </w:rPr>
        <w:t>a</w:t>
      </w:r>
      <w:r w:rsidR="006935FA">
        <w:rPr>
          <w:szCs w:val="22"/>
        </w:rPr>
        <w:t xml:space="preserve">ce the document </w:t>
      </w:r>
      <w:r w:rsidR="00270593">
        <w:rPr>
          <w:szCs w:val="22"/>
        </w:rPr>
        <w:t>mentioned in paragraph (a) – the later document.</w:t>
      </w:r>
      <w:bookmarkEnd w:id="13"/>
    </w:p>
    <w:p w14:paraId="2A984937" w14:textId="31B69C6B" w:rsidR="000B043F" w:rsidRPr="00775AE8" w:rsidRDefault="000B043F" w:rsidP="00AA2885">
      <w:pPr>
        <w:pStyle w:val="Item"/>
        <w:spacing w:before="120"/>
        <w:rPr>
          <w:sz w:val="18"/>
          <w:szCs w:val="18"/>
        </w:rPr>
      </w:pPr>
      <w:bookmarkStart w:id="14" w:name="_Hlk10025717"/>
      <w:r w:rsidRPr="00775AE8">
        <w:rPr>
          <w:i/>
          <w:iCs/>
          <w:sz w:val="18"/>
          <w:szCs w:val="18"/>
        </w:rPr>
        <w:t>Note</w:t>
      </w:r>
      <w:r w:rsidR="00AA2885" w:rsidRPr="00775AE8">
        <w:rPr>
          <w:i/>
          <w:iCs/>
          <w:sz w:val="18"/>
          <w:szCs w:val="18"/>
        </w:rPr>
        <w:tab/>
      </w:r>
      <w:r w:rsidRPr="00775AE8">
        <w:rPr>
          <w:sz w:val="18"/>
          <w:szCs w:val="18"/>
        </w:rPr>
        <w:t>EN 62209</w:t>
      </w:r>
      <w:r w:rsidRPr="00775AE8">
        <w:rPr>
          <w:sz w:val="18"/>
          <w:szCs w:val="18"/>
        </w:rPr>
        <w:noBreakHyphen/>
        <w:t>1 is a European Union harmonised standard based on IEC 62209</w:t>
      </w:r>
      <w:r w:rsidRPr="00775AE8">
        <w:rPr>
          <w:sz w:val="18"/>
          <w:szCs w:val="18"/>
        </w:rPr>
        <w:noBreakHyphen/>
        <w:t xml:space="preserve">1, a standard developed by Technical Committee TC106 of the International Electrotechnical Commission (IEC). Australia has active representation on TC106 through the participation of Standards </w:t>
      </w:r>
      <w:bookmarkEnd w:id="14"/>
      <w:r w:rsidRPr="00775AE8">
        <w:rPr>
          <w:sz w:val="18"/>
          <w:szCs w:val="18"/>
        </w:rPr>
        <w:t>Australia (</w:t>
      </w:r>
      <w:hyperlink r:id="rId19" w:history="1">
        <w:r w:rsidRPr="00775AE8">
          <w:rPr>
            <w:rStyle w:val="Hyperlink"/>
            <w:sz w:val="18"/>
            <w:szCs w:val="18"/>
          </w:rPr>
          <w:t>http://www.standards.org.au/</w:t>
        </w:r>
      </w:hyperlink>
      <w:r w:rsidRPr="00775AE8">
        <w:rPr>
          <w:sz w:val="18"/>
          <w:szCs w:val="18"/>
        </w:rPr>
        <w:t xml:space="preserve">). EN 62209-1 may be obtained </w:t>
      </w:r>
      <w:r w:rsidR="008A2FA8">
        <w:rPr>
          <w:sz w:val="18"/>
          <w:szCs w:val="18"/>
        </w:rPr>
        <w:t xml:space="preserve">for a fee </w:t>
      </w:r>
      <w:r w:rsidRPr="00775AE8">
        <w:rPr>
          <w:sz w:val="18"/>
          <w:szCs w:val="18"/>
        </w:rPr>
        <w:t xml:space="preserve">from </w:t>
      </w:r>
      <w:r w:rsidR="00C409D4">
        <w:rPr>
          <w:sz w:val="18"/>
          <w:szCs w:val="18"/>
        </w:rPr>
        <w:t xml:space="preserve">a Standards Australia </w:t>
      </w:r>
      <w:r w:rsidR="004F2890">
        <w:rPr>
          <w:sz w:val="18"/>
          <w:szCs w:val="18"/>
        </w:rPr>
        <w:t xml:space="preserve">distributor </w:t>
      </w:r>
      <w:r w:rsidR="002607CE">
        <w:rPr>
          <w:sz w:val="18"/>
          <w:szCs w:val="18"/>
        </w:rPr>
        <w:t xml:space="preserve">listed </w:t>
      </w:r>
      <w:r w:rsidR="004F2890">
        <w:rPr>
          <w:sz w:val="18"/>
          <w:szCs w:val="18"/>
        </w:rPr>
        <w:t>on the Standards Australia</w:t>
      </w:r>
      <w:r w:rsidRPr="00775AE8">
        <w:rPr>
          <w:sz w:val="18"/>
          <w:szCs w:val="18"/>
        </w:rPr>
        <w:t xml:space="preserve"> website </w:t>
      </w:r>
      <w:bookmarkStart w:id="15" w:name="_Hlk9946219"/>
      <w:r w:rsidR="00280AC2">
        <w:rPr>
          <w:sz w:val="18"/>
          <w:szCs w:val="18"/>
        </w:rPr>
        <w:t>(</w:t>
      </w:r>
      <w:hyperlink r:id="rId20" w:history="1">
        <w:r w:rsidR="004F2890" w:rsidRPr="007F1E1A">
          <w:rPr>
            <w:rFonts w:eastAsiaTheme="minorHAnsi"/>
            <w:color w:val="0000FF"/>
            <w:sz w:val="18"/>
            <w:szCs w:val="18"/>
            <w:u w:val="single"/>
            <w:lang w:eastAsia="en-US"/>
          </w:rPr>
          <w:t>https://www.standards.org.au/search-for-a-standard</w:t>
        </w:r>
      </w:hyperlink>
      <w:r w:rsidR="00280AC2">
        <w:rPr>
          <w:sz w:val="18"/>
          <w:szCs w:val="18"/>
        </w:rPr>
        <w:t>)</w:t>
      </w:r>
      <w:r w:rsidR="00FB1F3D">
        <w:rPr>
          <w:sz w:val="18"/>
          <w:szCs w:val="18"/>
        </w:rPr>
        <w:t xml:space="preserve"> </w:t>
      </w:r>
      <w:bookmarkStart w:id="16" w:name="_Hlk10026800"/>
      <w:r w:rsidR="00FB1F3D">
        <w:rPr>
          <w:sz w:val="18"/>
          <w:szCs w:val="18"/>
        </w:rPr>
        <w:t>or</w:t>
      </w:r>
      <w:r w:rsidR="00FB1F3D" w:rsidRPr="00FB1F3D">
        <w:rPr>
          <w:sz w:val="18"/>
          <w:szCs w:val="18"/>
          <w:lang w:val="en-US"/>
        </w:rPr>
        <w:t xml:space="preserve"> can otherwise be made available for viewing on </w:t>
      </w:r>
      <w:r w:rsidR="00A17D37">
        <w:rPr>
          <w:sz w:val="18"/>
          <w:szCs w:val="18"/>
          <w:lang w:val="en-US"/>
        </w:rPr>
        <w:t xml:space="preserve">prior </w:t>
      </w:r>
      <w:r w:rsidR="00FB1F3D" w:rsidRPr="00FB1F3D">
        <w:rPr>
          <w:sz w:val="18"/>
          <w:szCs w:val="18"/>
          <w:lang w:val="en-US"/>
        </w:rPr>
        <w:t xml:space="preserve">request </w:t>
      </w:r>
      <w:r w:rsidR="00A17D37">
        <w:rPr>
          <w:sz w:val="18"/>
          <w:szCs w:val="18"/>
          <w:lang w:val="en-US"/>
        </w:rPr>
        <w:t>at</w:t>
      </w:r>
      <w:r w:rsidR="00FB1F3D" w:rsidRPr="00FB1F3D">
        <w:rPr>
          <w:sz w:val="18"/>
          <w:szCs w:val="18"/>
          <w:lang w:val="en-US"/>
        </w:rPr>
        <w:t xml:space="preserve"> an ACMA office, subject to licensing conditions</w:t>
      </w:r>
      <w:r w:rsidRPr="00775AE8">
        <w:rPr>
          <w:sz w:val="18"/>
          <w:szCs w:val="18"/>
        </w:rPr>
        <w:t>.</w:t>
      </w:r>
      <w:bookmarkEnd w:id="15"/>
      <w:bookmarkEnd w:id="16"/>
    </w:p>
    <w:p w14:paraId="1B43B34D" w14:textId="2AD28F07" w:rsidR="007B278F" w:rsidRPr="00BF161C" w:rsidRDefault="000A04AC" w:rsidP="007B278F">
      <w:pPr>
        <w:pStyle w:val="ItemHead"/>
      </w:pPr>
      <w:proofErr w:type="gramStart"/>
      <w:r>
        <w:t>4</w:t>
      </w:r>
      <w:r w:rsidR="007B278F">
        <w:t xml:space="preserve">  Subsection</w:t>
      </w:r>
      <w:proofErr w:type="gramEnd"/>
      <w:r w:rsidR="007B278F">
        <w:t xml:space="preserve"> 5(1) (definition of </w:t>
      </w:r>
      <w:r w:rsidR="007B278F">
        <w:rPr>
          <w:i/>
        </w:rPr>
        <w:t>EN 62209-2</w:t>
      </w:r>
      <w:r w:rsidR="00AF6631">
        <w:rPr>
          <w:iCs/>
        </w:rPr>
        <w:t>, including the note</w:t>
      </w:r>
      <w:r w:rsidR="007B278F">
        <w:t>)</w:t>
      </w:r>
    </w:p>
    <w:p w14:paraId="0BF2A0FD" w14:textId="7D87D521" w:rsidR="004B5A51" w:rsidRDefault="004B5A51" w:rsidP="004B5A51">
      <w:pPr>
        <w:pStyle w:val="Item"/>
      </w:pPr>
      <w:r>
        <w:t xml:space="preserve">Repeal the </w:t>
      </w:r>
      <w:r w:rsidR="00B05800">
        <w:t xml:space="preserve">definition and the </w:t>
      </w:r>
      <w:r>
        <w:t>note, substitute:</w:t>
      </w:r>
    </w:p>
    <w:p w14:paraId="2A94CB80" w14:textId="137AC91A" w:rsidR="00E07E5C" w:rsidRDefault="00E07E5C" w:rsidP="00E07E5C">
      <w:pPr>
        <w:pStyle w:val="Item"/>
        <w:spacing w:before="120"/>
        <w:rPr>
          <w:szCs w:val="22"/>
        </w:rPr>
      </w:pPr>
      <w:r w:rsidRPr="00DB685B">
        <w:rPr>
          <w:b/>
          <w:i/>
          <w:szCs w:val="22"/>
        </w:rPr>
        <w:t>EN 62209-</w:t>
      </w:r>
      <w:r w:rsidR="00F764B4">
        <w:rPr>
          <w:b/>
          <w:i/>
          <w:szCs w:val="22"/>
        </w:rPr>
        <w:t>2</w:t>
      </w:r>
      <w:r w:rsidRPr="00DB685B">
        <w:rPr>
          <w:szCs w:val="22"/>
        </w:rPr>
        <w:t xml:space="preserve"> means</w:t>
      </w:r>
      <w:r>
        <w:rPr>
          <w:szCs w:val="22"/>
        </w:rPr>
        <w:t>:</w:t>
      </w:r>
    </w:p>
    <w:p w14:paraId="294FB73B" w14:textId="07F30D36" w:rsidR="00E07E5C" w:rsidRDefault="002803DB" w:rsidP="00ED2093">
      <w:pPr>
        <w:pStyle w:val="Item"/>
        <w:numPr>
          <w:ilvl w:val="0"/>
          <w:numId w:val="18"/>
        </w:numPr>
        <w:spacing w:before="120"/>
        <w:rPr>
          <w:szCs w:val="22"/>
        </w:rPr>
      </w:pPr>
      <w:r w:rsidRPr="002803DB">
        <w:rPr>
          <w:i/>
          <w:iCs/>
          <w:szCs w:val="22"/>
        </w:rPr>
        <w:lastRenderedPageBreak/>
        <w:t>Human exposure to radio frequency fields from hand-held and body-mounted wireless communication devices — Human models, instrumentation, and procedures — Part 2: Procedure to determine the specific absorption rate (SAR) for wireless communication devices used in close proximity to the human body (frequency range of 30 MHz to 6 GHz)</w:t>
      </w:r>
      <w:r w:rsidRPr="002803DB">
        <w:rPr>
          <w:szCs w:val="22"/>
        </w:rPr>
        <w:t>, published by the European Committee for Electrotechnical Standardisation</w:t>
      </w:r>
      <w:r w:rsidR="00763259">
        <w:rPr>
          <w:szCs w:val="22"/>
        </w:rPr>
        <w:t xml:space="preserve"> (CENELEC)</w:t>
      </w:r>
      <w:r w:rsidR="00E07E5C">
        <w:rPr>
          <w:szCs w:val="22"/>
        </w:rPr>
        <w:t>; or</w:t>
      </w:r>
    </w:p>
    <w:p w14:paraId="72352214" w14:textId="16A544AD" w:rsidR="00E07E5C" w:rsidRPr="002E7740" w:rsidRDefault="00E07E5C" w:rsidP="00ED2093">
      <w:pPr>
        <w:pStyle w:val="Item"/>
        <w:numPr>
          <w:ilvl w:val="0"/>
          <w:numId w:val="18"/>
        </w:numPr>
        <w:spacing w:before="120"/>
        <w:rPr>
          <w:szCs w:val="22"/>
        </w:rPr>
      </w:pPr>
      <w:r>
        <w:rPr>
          <w:szCs w:val="22"/>
        </w:rPr>
        <w:t>i</w:t>
      </w:r>
      <w:r w:rsidRPr="002E7740">
        <w:rPr>
          <w:szCs w:val="22"/>
        </w:rPr>
        <w:t xml:space="preserve">f a later </w:t>
      </w:r>
      <w:r>
        <w:rPr>
          <w:szCs w:val="22"/>
        </w:rPr>
        <w:t xml:space="preserve">document published by the </w:t>
      </w:r>
      <w:r w:rsidR="00E119E6" w:rsidRPr="002803DB">
        <w:rPr>
          <w:szCs w:val="22"/>
        </w:rPr>
        <w:t xml:space="preserve">European Committee for Electrotechnical Standardisation </w:t>
      </w:r>
      <w:r w:rsidR="00763259">
        <w:rPr>
          <w:szCs w:val="22"/>
        </w:rPr>
        <w:t xml:space="preserve">(CENELEC) </w:t>
      </w:r>
      <w:r>
        <w:rPr>
          <w:szCs w:val="22"/>
        </w:rPr>
        <w:t>is expressed to replace the document mentioned in paragraph (a) – the later document.</w:t>
      </w:r>
    </w:p>
    <w:p w14:paraId="518C224C" w14:textId="70D769E6" w:rsidR="0090786E" w:rsidRPr="004B5A51" w:rsidRDefault="004B5A51" w:rsidP="004B5A51">
      <w:pPr>
        <w:pStyle w:val="Item"/>
        <w:spacing w:before="120"/>
        <w:rPr>
          <w:sz w:val="18"/>
          <w:szCs w:val="18"/>
        </w:rPr>
      </w:pPr>
      <w:r w:rsidRPr="00775AE8">
        <w:rPr>
          <w:i/>
          <w:iCs/>
          <w:sz w:val="18"/>
          <w:szCs w:val="18"/>
        </w:rPr>
        <w:t>Note</w:t>
      </w:r>
      <w:r w:rsidRPr="00775AE8">
        <w:rPr>
          <w:i/>
          <w:iCs/>
          <w:sz w:val="18"/>
          <w:szCs w:val="18"/>
        </w:rPr>
        <w:tab/>
      </w:r>
      <w:r w:rsidRPr="00775AE8">
        <w:rPr>
          <w:sz w:val="18"/>
          <w:szCs w:val="18"/>
        </w:rPr>
        <w:t>EN 62209</w:t>
      </w:r>
      <w:r w:rsidRPr="00775AE8">
        <w:rPr>
          <w:sz w:val="18"/>
          <w:szCs w:val="18"/>
        </w:rPr>
        <w:noBreakHyphen/>
      </w:r>
      <w:r w:rsidR="00FE73B7">
        <w:rPr>
          <w:sz w:val="18"/>
          <w:szCs w:val="18"/>
        </w:rPr>
        <w:t>2</w:t>
      </w:r>
      <w:r w:rsidRPr="00775AE8">
        <w:rPr>
          <w:sz w:val="18"/>
          <w:szCs w:val="18"/>
        </w:rPr>
        <w:t xml:space="preserve"> is a European Union harmonised standard based on IEC 62209</w:t>
      </w:r>
      <w:r w:rsidRPr="00775AE8">
        <w:rPr>
          <w:sz w:val="18"/>
          <w:szCs w:val="18"/>
        </w:rPr>
        <w:noBreakHyphen/>
      </w:r>
      <w:r w:rsidR="00FE73B7">
        <w:rPr>
          <w:sz w:val="18"/>
          <w:szCs w:val="18"/>
        </w:rPr>
        <w:t>2</w:t>
      </w:r>
      <w:r w:rsidRPr="00775AE8">
        <w:rPr>
          <w:sz w:val="18"/>
          <w:szCs w:val="18"/>
        </w:rPr>
        <w:t>, a standard developed by Technical Committee TC106 of the International Electrotechnical Commission (IEC). Australia has active representation on TC106 through the participation of Standards Australia (</w:t>
      </w:r>
      <w:hyperlink r:id="rId21" w:history="1">
        <w:r w:rsidRPr="00775AE8">
          <w:rPr>
            <w:rStyle w:val="Hyperlink"/>
            <w:sz w:val="18"/>
            <w:szCs w:val="18"/>
          </w:rPr>
          <w:t>http://www.standards.org.au/</w:t>
        </w:r>
      </w:hyperlink>
      <w:r w:rsidRPr="00775AE8">
        <w:rPr>
          <w:sz w:val="18"/>
          <w:szCs w:val="18"/>
        </w:rPr>
        <w:t>). EN 62209-</w:t>
      </w:r>
      <w:r w:rsidR="00FE73B7">
        <w:rPr>
          <w:sz w:val="18"/>
          <w:szCs w:val="18"/>
        </w:rPr>
        <w:t>2</w:t>
      </w:r>
      <w:r w:rsidRPr="00775AE8">
        <w:rPr>
          <w:sz w:val="18"/>
          <w:szCs w:val="18"/>
        </w:rPr>
        <w:t xml:space="preserve"> may be obtained </w:t>
      </w:r>
      <w:r>
        <w:rPr>
          <w:sz w:val="18"/>
          <w:szCs w:val="18"/>
        </w:rPr>
        <w:t xml:space="preserve">for a fee </w:t>
      </w:r>
      <w:r w:rsidRPr="00775AE8">
        <w:rPr>
          <w:sz w:val="18"/>
          <w:szCs w:val="18"/>
        </w:rPr>
        <w:t xml:space="preserve">from </w:t>
      </w:r>
      <w:r w:rsidR="006E7A3D" w:rsidRPr="00F76343">
        <w:rPr>
          <w:sz w:val="18"/>
          <w:szCs w:val="18"/>
        </w:rPr>
        <w:t xml:space="preserve">a Standards Australia distributor </w:t>
      </w:r>
      <w:r w:rsidR="002607CE">
        <w:rPr>
          <w:sz w:val="18"/>
          <w:szCs w:val="18"/>
        </w:rPr>
        <w:t xml:space="preserve">listed </w:t>
      </w:r>
      <w:r w:rsidR="006E7A3D" w:rsidRPr="00F76343">
        <w:rPr>
          <w:sz w:val="18"/>
          <w:szCs w:val="18"/>
        </w:rPr>
        <w:t>on the Standards Australia website</w:t>
      </w:r>
      <w:r w:rsidRPr="00775AE8">
        <w:rPr>
          <w:sz w:val="18"/>
          <w:szCs w:val="18"/>
        </w:rPr>
        <w:t> </w:t>
      </w:r>
      <w:r>
        <w:rPr>
          <w:sz w:val="18"/>
          <w:szCs w:val="18"/>
        </w:rPr>
        <w:t>(</w:t>
      </w:r>
      <w:bookmarkStart w:id="17" w:name="_Hlk18594840"/>
      <w:r w:rsidR="00E35069" w:rsidRPr="007F1E1A">
        <w:rPr>
          <w:rFonts w:eastAsiaTheme="minorHAnsi"/>
          <w:sz w:val="18"/>
          <w:szCs w:val="18"/>
          <w:lang w:eastAsia="en-US"/>
        </w:rPr>
        <w:fldChar w:fldCharType="begin"/>
      </w:r>
      <w:r w:rsidR="00E35069" w:rsidRPr="007F1E1A">
        <w:rPr>
          <w:rFonts w:eastAsiaTheme="minorHAnsi"/>
          <w:sz w:val="18"/>
          <w:szCs w:val="18"/>
          <w:lang w:eastAsia="en-US"/>
        </w:rPr>
        <w:instrText xml:space="preserve"> HYPERLINK "https://www.standards.org.au/search-for-a-standard" </w:instrText>
      </w:r>
      <w:r w:rsidR="00E35069" w:rsidRPr="007F1E1A">
        <w:rPr>
          <w:rFonts w:eastAsiaTheme="minorHAnsi"/>
          <w:sz w:val="18"/>
          <w:szCs w:val="18"/>
          <w:lang w:eastAsia="en-US"/>
        </w:rPr>
        <w:fldChar w:fldCharType="separate"/>
      </w:r>
      <w:r w:rsidR="00E35069" w:rsidRPr="007F1E1A">
        <w:rPr>
          <w:rFonts w:eastAsiaTheme="minorHAnsi"/>
          <w:color w:val="0000FF"/>
          <w:sz w:val="18"/>
          <w:szCs w:val="18"/>
          <w:u w:val="single"/>
          <w:lang w:eastAsia="en-US"/>
        </w:rPr>
        <w:t>https://www.standards.org.au/search-for-a-standard</w:t>
      </w:r>
      <w:r w:rsidR="00E35069" w:rsidRPr="007F1E1A">
        <w:rPr>
          <w:rFonts w:eastAsiaTheme="minorHAnsi"/>
          <w:sz w:val="18"/>
          <w:szCs w:val="18"/>
          <w:lang w:eastAsia="en-US"/>
        </w:rPr>
        <w:fldChar w:fldCharType="end"/>
      </w:r>
      <w:bookmarkEnd w:id="17"/>
      <w:r>
        <w:rPr>
          <w:sz w:val="18"/>
          <w:szCs w:val="18"/>
        </w:rPr>
        <w:t>) or</w:t>
      </w:r>
      <w:r w:rsidRPr="00FB1F3D">
        <w:rPr>
          <w:sz w:val="18"/>
          <w:szCs w:val="18"/>
          <w:lang w:val="en-US"/>
        </w:rPr>
        <w:t xml:space="preserve"> can otherwise be made available for viewing on </w:t>
      </w:r>
      <w:r w:rsidR="00A17D37">
        <w:rPr>
          <w:sz w:val="18"/>
          <w:szCs w:val="18"/>
          <w:lang w:val="en-US"/>
        </w:rPr>
        <w:t xml:space="preserve">prior </w:t>
      </w:r>
      <w:r w:rsidRPr="00FB1F3D">
        <w:rPr>
          <w:sz w:val="18"/>
          <w:szCs w:val="18"/>
          <w:lang w:val="en-US"/>
        </w:rPr>
        <w:t xml:space="preserve">request </w:t>
      </w:r>
      <w:r w:rsidR="00A17D37">
        <w:rPr>
          <w:sz w:val="18"/>
          <w:szCs w:val="18"/>
          <w:lang w:val="en-US"/>
        </w:rPr>
        <w:t>at</w:t>
      </w:r>
      <w:r w:rsidRPr="00FB1F3D">
        <w:rPr>
          <w:sz w:val="18"/>
          <w:szCs w:val="18"/>
          <w:lang w:val="en-US"/>
        </w:rPr>
        <w:t xml:space="preserve"> an ACMA office, subject to licensing conditions</w:t>
      </w:r>
      <w:r w:rsidRPr="00775AE8">
        <w:rPr>
          <w:sz w:val="18"/>
          <w:szCs w:val="18"/>
        </w:rPr>
        <w:t>.</w:t>
      </w:r>
    </w:p>
    <w:p w14:paraId="77CAADA4" w14:textId="54ECF7BE" w:rsidR="00BA1733" w:rsidRDefault="000A04AC" w:rsidP="00BA1733">
      <w:pPr>
        <w:pStyle w:val="ItemHead"/>
      </w:pPr>
      <w:proofErr w:type="gramStart"/>
      <w:r>
        <w:t>5</w:t>
      </w:r>
      <w:r w:rsidR="00BA1733" w:rsidRPr="00BD4288">
        <w:t xml:space="preserve">  </w:t>
      </w:r>
      <w:r w:rsidR="002E304A">
        <w:t>Subsection</w:t>
      </w:r>
      <w:proofErr w:type="gramEnd"/>
      <w:r w:rsidR="002E304A">
        <w:t xml:space="preserve"> 5(1) (definition of </w:t>
      </w:r>
      <w:r w:rsidR="00E63B20">
        <w:rPr>
          <w:bCs/>
          <w:i/>
          <w:iCs/>
        </w:rPr>
        <w:t>IEC</w:t>
      </w:r>
      <w:r w:rsidR="002E304A" w:rsidRPr="00517FA7">
        <w:rPr>
          <w:bCs/>
          <w:i/>
          <w:iCs/>
        </w:rPr>
        <w:t xml:space="preserve"> 62209</w:t>
      </w:r>
      <w:r w:rsidR="002E304A" w:rsidRPr="00517FA7">
        <w:rPr>
          <w:bCs/>
          <w:i/>
          <w:iCs/>
        </w:rPr>
        <w:noBreakHyphen/>
        <w:t>1</w:t>
      </w:r>
      <w:r w:rsidR="00475CAC">
        <w:rPr>
          <w:bCs/>
          <w:iCs/>
        </w:rPr>
        <w:t>, including the note</w:t>
      </w:r>
      <w:r w:rsidR="002E304A">
        <w:rPr>
          <w:bCs/>
          <w:iCs/>
        </w:rPr>
        <w:t>)</w:t>
      </w:r>
    </w:p>
    <w:p w14:paraId="40447C48" w14:textId="677AD295" w:rsidR="00BE74D4" w:rsidRDefault="00C8552C" w:rsidP="00BA1733">
      <w:pPr>
        <w:pStyle w:val="Item"/>
      </w:pPr>
      <w:r>
        <w:t>Repeal the definition</w:t>
      </w:r>
      <w:r w:rsidR="00475CAC">
        <w:t xml:space="preserve"> and the note</w:t>
      </w:r>
      <w:r>
        <w:t>, substitute</w:t>
      </w:r>
      <w:r w:rsidR="00BE74D4">
        <w:t>:</w:t>
      </w:r>
    </w:p>
    <w:p w14:paraId="58C0CBD0" w14:textId="77777777" w:rsidR="00966A0B" w:rsidRDefault="00E63B20" w:rsidP="00682099">
      <w:pPr>
        <w:pStyle w:val="Item"/>
        <w:spacing w:before="120"/>
        <w:rPr>
          <w:szCs w:val="22"/>
        </w:rPr>
      </w:pPr>
      <w:r w:rsidRPr="00DB685B">
        <w:rPr>
          <w:b/>
          <w:i/>
          <w:szCs w:val="22"/>
        </w:rPr>
        <w:t>IEC 62209-1</w:t>
      </w:r>
      <w:r w:rsidRPr="00DB685B">
        <w:rPr>
          <w:b/>
          <w:szCs w:val="22"/>
        </w:rPr>
        <w:t xml:space="preserve"> </w:t>
      </w:r>
      <w:r w:rsidRPr="00DB685B">
        <w:rPr>
          <w:szCs w:val="22"/>
        </w:rPr>
        <w:t>means</w:t>
      </w:r>
      <w:r w:rsidR="00966A0B">
        <w:rPr>
          <w:szCs w:val="22"/>
        </w:rPr>
        <w:t>:</w:t>
      </w:r>
    </w:p>
    <w:p w14:paraId="35745F12" w14:textId="30907426" w:rsidR="00BA1733" w:rsidRDefault="00AE2F82" w:rsidP="00966A0B">
      <w:pPr>
        <w:pStyle w:val="Item"/>
        <w:numPr>
          <w:ilvl w:val="0"/>
          <w:numId w:val="17"/>
        </w:numPr>
        <w:spacing w:before="120"/>
        <w:rPr>
          <w:szCs w:val="22"/>
        </w:rPr>
      </w:pPr>
      <w:r>
        <w:rPr>
          <w:szCs w:val="22"/>
        </w:rPr>
        <w:t xml:space="preserve">the </w:t>
      </w:r>
      <w:r w:rsidR="00E63B20" w:rsidRPr="00DB685B">
        <w:rPr>
          <w:i/>
          <w:szCs w:val="22"/>
        </w:rPr>
        <w:t>Measurement procedure for the assessment of specific absorption rate of human exposure to radio frequency fields from hand-held and body-mounted wireless communication devices – Part 1: Devices used next to the ear (Frequency range of 300 MHz to 6 GHz)</w:t>
      </w:r>
      <w:r w:rsidR="00E63B20" w:rsidRPr="00DB685B">
        <w:rPr>
          <w:szCs w:val="22"/>
        </w:rPr>
        <w:t>, published by the International Electrotechnical</w:t>
      </w:r>
      <w:r w:rsidR="00017867">
        <w:rPr>
          <w:szCs w:val="22"/>
        </w:rPr>
        <w:t xml:space="preserve"> Commission</w:t>
      </w:r>
      <w:r w:rsidR="00685E85">
        <w:rPr>
          <w:szCs w:val="22"/>
        </w:rPr>
        <w:t xml:space="preserve"> (IEC)</w:t>
      </w:r>
      <w:r w:rsidR="00966A0B">
        <w:rPr>
          <w:szCs w:val="22"/>
        </w:rPr>
        <w:t>; or</w:t>
      </w:r>
    </w:p>
    <w:p w14:paraId="36F996B3" w14:textId="70C9DE93" w:rsidR="00966A0B" w:rsidRPr="00966A0B" w:rsidRDefault="00410890" w:rsidP="00DB76A1">
      <w:pPr>
        <w:pStyle w:val="Item"/>
        <w:numPr>
          <w:ilvl w:val="0"/>
          <w:numId w:val="17"/>
        </w:numPr>
        <w:spacing w:before="120"/>
      </w:pPr>
      <w:r>
        <w:t>if</w:t>
      </w:r>
      <w:r w:rsidRPr="00410890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410890">
        <w:t xml:space="preserve">a later document published by the </w:t>
      </w:r>
      <w:r w:rsidR="0044431E">
        <w:t>International Electrotechnical Commission</w:t>
      </w:r>
      <w:r w:rsidRPr="00410890">
        <w:t xml:space="preserve"> </w:t>
      </w:r>
      <w:r w:rsidR="00D26ECA">
        <w:t xml:space="preserve">(IEC) </w:t>
      </w:r>
      <w:r w:rsidRPr="00410890">
        <w:t>is expressed to repl</w:t>
      </w:r>
      <w:r w:rsidR="0044431E">
        <w:t>a</w:t>
      </w:r>
      <w:r w:rsidRPr="00410890">
        <w:t>ce the document mentioned in paragraph (a) – the later document.</w:t>
      </w:r>
    </w:p>
    <w:p w14:paraId="0C618783" w14:textId="65F7EA76" w:rsidR="0044431E" w:rsidRDefault="00B306A0" w:rsidP="0044431E">
      <w:pPr>
        <w:pStyle w:val="ItemHead"/>
        <w:ind w:firstLine="0"/>
        <w:rPr>
          <w:rFonts w:ascii="Times New Roman" w:hAnsi="Times New Roman"/>
          <w:b w:val="0"/>
          <w:kern w:val="0"/>
          <w:sz w:val="18"/>
          <w:szCs w:val="18"/>
        </w:rPr>
      </w:pPr>
      <w:r w:rsidRPr="00B306A0">
        <w:rPr>
          <w:rFonts w:ascii="Times New Roman" w:hAnsi="Times New Roman"/>
          <w:b w:val="0"/>
          <w:i/>
          <w:iCs/>
          <w:kern w:val="0"/>
          <w:sz w:val="18"/>
          <w:szCs w:val="18"/>
        </w:rPr>
        <w:t>Note</w:t>
      </w:r>
      <w:r w:rsidRPr="00775AE8">
        <w:rPr>
          <w:i/>
          <w:iCs/>
          <w:sz w:val="18"/>
          <w:szCs w:val="18"/>
        </w:rPr>
        <w:tab/>
      </w:r>
      <w:r w:rsidR="007459E5">
        <w:rPr>
          <w:rFonts w:ascii="Times New Roman" w:hAnsi="Times New Roman"/>
          <w:b w:val="0"/>
          <w:kern w:val="0"/>
          <w:sz w:val="18"/>
          <w:szCs w:val="18"/>
        </w:rPr>
        <w:t>I</w:t>
      </w:r>
      <w:r w:rsidR="0046060F" w:rsidRPr="0046060F">
        <w:rPr>
          <w:rFonts w:ascii="Times New Roman" w:hAnsi="Times New Roman"/>
          <w:b w:val="0"/>
          <w:kern w:val="0"/>
          <w:sz w:val="18"/>
          <w:szCs w:val="18"/>
        </w:rPr>
        <w:t>EC 62209-</w:t>
      </w:r>
      <w:r w:rsidR="00354CC7">
        <w:rPr>
          <w:rFonts w:ascii="Times New Roman" w:hAnsi="Times New Roman"/>
          <w:b w:val="0"/>
          <w:kern w:val="0"/>
          <w:sz w:val="18"/>
          <w:szCs w:val="18"/>
        </w:rPr>
        <w:t>1</w:t>
      </w:r>
      <w:r w:rsidR="0046060F" w:rsidRPr="0046060F">
        <w:rPr>
          <w:rFonts w:ascii="Times New Roman" w:hAnsi="Times New Roman"/>
          <w:b w:val="0"/>
          <w:kern w:val="0"/>
          <w:sz w:val="18"/>
          <w:szCs w:val="18"/>
        </w:rPr>
        <w:t xml:space="preserve"> was developed by Technical Committee TC106 of the International Electrotechnical Commission (IEC). Australia has active representation on TC106 through the participation of Standards Australia (</w:t>
      </w:r>
      <w:hyperlink r:id="rId22" w:history="1">
        <w:r w:rsidR="0046060F" w:rsidRPr="0046060F">
          <w:rPr>
            <w:rStyle w:val="Hyperlink"/>
            <w:rFonts w:ascii="Times New Roman" w:hAnsi="Times New Roman"/>
            <w:b w:val="0"/>
            <w:kern w:val="0"/>
            <w:sz w:val="18"/>
            <w:szCs w:val="18"/>
          </w:rPr>
          <w:t>http://www.standards.org.au/</w:t>
        </w:r>
      </w:hyperlink>
      <w:r w:rsidR="0046060F" w:rsidRPr="0046060F">
        <w:rPr>
          <w:rFonts w:ascii="Times New Roman" w:hAnsi="Times New Roman"/>
          <w:b w:val="0"/>
          <w:kern w:val="0"/>
          <w:sz w:val="18"/>
          <w:szCs w:val="18"/>
        </w:rPr>
        <w:t>). IEC 62209-</w:t>
      </w:r>
      <w:r w:rsidR="003A6FC7">
        <w:rPr>
          <w:rFonts w:ascii="Times New Roman" w:hAnsi="Times New Roman"/>
          <w:b w:val="0"/>
          <w:kern w:val="0"/>
          <w:sz w:val="18"/>
          <w:szCs w:val="18"/>
        </w:rPr>
        <w:t>1</w:t>
      </w:r>
      <w:r w:rsidR="0046060F" w:rsidRPr="0046060F">
        <w:rPr>
          <w:rFonts w:ascii="Times New Roman" w:hAnsi="Times New Roman"/>
          <w:b w:val="0"/>
          <w:kern w:val="0"/>
          <w:sz w:val="18"/>
          <w:szCs w:val="18"/>
        </w:rPr>
        <w:t xml:space="preserve"> may be obtained</w:t>
      </w:r>
      <w:r w:rsidR="0046060F">
        <w:rPr>
          <w:rFonts w:ascii="Times New Roman" w:hAnsi="Times New Roman"/>
          <w:b w:val="0"/>
          <w:kern w:val="0"/>
          <w:sz w:val="18"/>
          <w:szCs w:val="18"/>
        </w:rPr>
        <w:t xml:space="preserve"> for a fee</w:t>
      </w:r>
      <w:r w:rsidR="0046060F" w:rsidRPr="0046060F">
        <w:rPr>
          <w:rFonts w:ascii="Times New Roman" w:hAnsi="Times New Roman"/>
          <w:b w:val="0"/>
          <w:kern w:val="0"/>
          <w:sz w:val="18"/>
          <w:szCs w:val="18"/>
        </w:rPr>
        <w:t xml:space="preserve"> from </w:t>
      </w:r>
      <w:r w:rsidR="00E35069">
        <w:rPr>
          <w:rFonts w:ascii="Times New Roman" w:hAnsi="Times New Roman"/>
          <w:b w:val="0"/>
          <w:kern w:val="0"/>
          <w:sz w:val="18"/>
          <w:szCs w:val="18"/>
        </w:rPr>
        <w:t>a Standards Australia distr</w:t>
      </w:r>
      <w:r w:rsidR="00C409D4">
        <w:rPr>
          <w:rFonts w:ascii="Times New Roman" w:hAnsi="Times New Roman"/>
          <w:b w:val="0"/>
          <w:kern w:val="0"/>
          <w:sz w:val="18"/>
          <w:szCs w:val="18"/>
        </w:rPr>
        <w:t xml:space="preserve">ibutor </w:t>
      </w:r>
      <w:r w:rsidR="002607CE">
        <w:rPr>
          <w:rFonts w:ascii="Times New Roman" w:hAnsi="Times New Roman"/>
          <w:b w:val="0"/>
          <w:kern w:val="0"/>
          <w:sz w:val="18"/>
          <w:szCs w:val="18"/>
        </w:rPr>
        <w:t xml:space="preserve">listed </w:t>
      </w:r>
      <w:r w:rsidR="004F2890">
        <w:rPr>
          <w:rFonts w:ascii="Times New Roman" w:hAnsi="Times New Roman"/>
          <w:b w:val="0"/>
          <w:kern w:val="0"/>
          <w:sz w:val="18"/>
          <w:szCs w:val="18"/>
        </w:rPr>
        <w:t>on</w:t>
      </w:r>
      <w:r w:rsidR="00C409D4">
        <w:rPr>
          <w:rFonts w:ascii="Times New Roman" w:hAnsi="Times New Roman"/>
          <w:b w:val="0"/>
          <w:kern w:val="0"/>
          <w:sz w:val="18"/>
          <w:szCs w:val="18"/>
        </w:rPr>
        <w:t xml:space="preserve"> the Standards Australia</w:t>
      </w:r>
      <w:r w:rsidR="0046060F" w:rsidRPr="0046060F">
        <w:rPr>
          <w:rFonts w:ascii="Times New Roman" w:hAnsi="Times New Roman"/>
          <w:b w:val="0"/>
          <w:kern w:val="0"/>
          <w:sz w:val="18"/>
          <w:szCs w:val="18"/>
        </w:rPr>
        <w:t xml:space="preserve"> website </w:t>
      </w:r>
      <w:r w:rsidR="0046060F">
        <w:rPr>
          <w:rFonts w:ascii="Times New Roman" w:hAnsi="Times New Roman"/>
          <w:b w:val="0"/>
          <w:kern w:val="0"/>
          <w:sz w:val="18"/>
          <w:szCs w:val="18"/>
        </w:rPr>
        <w:t>(</w:t>
      </w:r>
      <w:hyperlink r:id="rId23" w:history="1">
        <w:r w:rsidR="00C409D4" w:rsidRPr="007F1E1A">
          <w:rPr>
            <w:rFonts w:ascii="Times New Roman" w:eastAsiaTheme="minorHAnsi" w:hAnsi="Times New Roman"/>
            <w:b w:val="0"/>
            <w:color w:val="0000FF"/>
            <w:kern w:val="0"/>
            <w:sz w:val="18"/>
            <w:szCs w:val="18"/>
            <w:u w:val="single"/>
            <w:lang w:eastAsia="en-US"/>
          </w:rPr>
          <w:t>https://www.standards.org.au/search-for-a-standard</w:t>
        </w:r>
      </w:hyperlink>
      <w:r w:rsidR="0046060F">
        <w:rPr>
          <w:rFonts w:ascii="Times New Roman" w:hAnsi="Times New Roman"/>
          <w:b w:val="0"/>
          <w:kern w:val="0"/>
          <w:sz w:val="18"/>
          <w:szCs w:val="18"/>
        </w:rPr>
        <w:t xml:space="preserve">) </w:t>
      </w:r>
      <w:r w:rsidR="0046060F" w:rsidRPr="0046060F">
        <w:rPr>
          <w:rFonts w:ascii="Times New Roman" w:hAnsi="Times New Roman"/>
          <w:b w:val="0"/>
          <w:kern w:val="0"/>
          <w:sz w:val="18"/>
          <w:szCs w:val="18"/>
        </w:rPr>
        <w:t>or</w:t>
      </w:r>
      <w:r w:rsidR="0046060F" w:rsidRPr="0046060F">
        <w:rPr>
          <w:rFonts w:ascii="Times New Roman" w:hAnsi="Times New Roman"/>
          <w:b w:val="0"/>
          <w:kern w:val="0"/>
          <w:sz w:val="18"/>
          <w:szCs w:val="18"/>
          <w:lang w:val="en-US"/>
        </w:rPr>
        <w:t xml:space="preserve"> can otherwise be made available for viewing on </w:t>
      </w:r>
      <w:r w:rsidR="00EB7C23">
        <w:rPr>
          <w:rFonts w:ascii="Times New Roman" w:hAnsi="Times New Roman"/>
          <w:b w:val="0"/>
          <w:kern w:val="0"/>
          <w:sz w:val="18"/>
          <w:szCs w:val="18"/>
          <w:lang w:val="en-US"/>
        </w:rPr>
        <w:t xml:space="preserve">prior </w:t>
      </w:r>
      <w:r w:rsidR="0046060F" w:rsidRPr="0046060F">
        <w:rPr>
          <w:rFonts w:ascii="Times New Roman" w:hAnsi="Times New Roman"/>
          <w:b w:val="0"/>
          <w:kern w:val="0"/>
          <w:sz w:val="18"/>
          <w:szCs w:val="18"/>
          <w:lang w:val="en-US"/>
        </w:rPr>
        <w:t xml:space="preserve">request </w:t>
      </w:r>
      <w:r w:rsidR="00EB7C23">
        <w:rPr>
          <w:rFonts w:ascii="Times New Roman" w:hAnsi="Times New Roman"/>
          <w:b w:val="0"/>
          <w:kern w:val="0"/>
          <w:sz w:val="18"/>
          <w:szCs w:val="18"/>
          <w:lang w:val="en-US"/>
        </w:rPr>
        <w:t>at</w:t>
      </w:r>
      <w:r w:rsidR="0046060F" w:rsidRPr="0046060F">
        <w:rPr>
          <w:rFonts w:ascii="Times New Roman" w:hAnsi="Times New Roman"/>
          <w:b w:val="0"/>
          <w:kern w:val="0"/>
          <w:sz w:val="18"/>
          <w:szCs w:val="18"/>
          <w:lang w:val="en-US"/>
        </w:rPr>
        <w:t xml:space="preserve"> an ACMA office, subject to licensing conditions</w:t>
      </w:r>
      <w:r w:rsidR="0046060F" w:rsidRPr="0046060F">
        <w:rPr>
          <w:rFonts w:ascii="Times New Roman" w:hAnsi="Times New Roman"/>
          <w:b w:val="0"/>
          <w:kern w:val="0"/>
          <w:sz w:val="18"/>
          <w:szCs w:val="18"/>
        </w:rPr>
        <w:t>.</w:t>
      </w:r>
    </w:p>
    <w:p w14:paraId="11442014" w14:textId="2EFFA394" w:rsidR="003A6FC7" w:rsidRPr="00BF161C" w:rsidRDefault="000A04AC" w:rsidP="00496A53">
      <w:pPr>
        <w:pStyle w:val="ItemHead"/>
      </w:pPr>
      <w:proofErr w:type="gramStart"/>
      <w:r>
        <w:t>6</w:t>
      </w:r>
      <w:r w:rsidR="003A6FC7">
        <w:t xml:space="preserve">  Subsection</w:t>
      </w:r>
      <w:proofErr w:type="gramEnd"/>
      <w:r w:rsidR="003A6FC7">
        <w:t xml:space="preserve"> 5(1) (</w:t>
      </w:r>
      <w:r w:rsidR="00BF161C">
        <w:t xml:space="preserve">definition of </w:t>
      </w:r>
      <w:r w:rsidR="00BF161C" w:rsidRPr="005B539F">
        <w:rPr>
          <w:i/>
        </w:rPr>
        <w:t>IEC 62209-2</w:t>
      </w:r>
      <w:r w:rsidR="00DC6B14">
        <w:rPr>
          <w:iCs/>
        </w:rPr>
        <w:t xml:space="preserve">, including the </w:t>
      </w:r>
      <w:r w:rsidR="00193B12">
        <w:rPr>
          <w:iCs/>
        </w:rPr>
        <w:t>note</w:t>
      </w:r>
      <w:r w:rsidR="00BF161C">
        <w:t>)</w:t>
      </w:r>
    </w:p>
    <w:p w14:paraId="1E3EC230" w14:textId="73BC6358" w:rsidR="00A8580A" w:rsidRDefault="00A8580A" w:rsidP="00A8580A">
      <w:pPr>
        <w:pStyle w:val="Item"/>
      </w:pPr>
      <w:r>
        <w:t xml:space="preserve">Repeal the </w:t>
      </w:r>
      <w:r w:rsidR="00193B12">
        <w:t xml:space="preserve">definition and the </w:t>
      </w:r>
      <w:r>
        <w:t>note, substitute:</w:t>
      </w:r>
    </w:p>
    <w:p w14:paraId="3D994988" w14:textId="1C4EE02E" w:rsidR="00764E0A" w:rsidRDefault="00764E0A" w:rsidP="00764E0A">
      <w:pPr>
        <w:pStyle w:val="Item"/>
        <w:spacing w:before="120"/>
        <w:rPr>
          <w:szCs w:val="22"/>
        </w:rPr>
      </w:pPr>
      <w:r w:rsidRPr="00DB685B">
        <w:rPr>
          <w:b/>
          <w:i/>
          <w:szCs w:val="22"/>
        </w:rPr>
        <w:t>IEC 62209-</w:t>
      </w:r>
      <w:r w:rsidR="00BF7734">
        <w:rPr>
          <w:b/>
          <w:i/>
          <w:szCs w:val="22"/>
        </w:rPr>
        <w:t>2</w:t>
      </w:r>
      <w:r w:rsidRPr="00DB685B">
        <w:rPr>
          <w:b/>
          <w:szCs w:val="22"/>
        </w:rPr>
        <w:t xml:space="preserve"> </w:t>
      </w:r>
      <w:r w:rsidRPr="00DB685B">
        <w:rPr>
          <w:szCs w:val="22"/>
        </w:rPr>
        <w:t>means</w:t>
      </w:r>
      <w:r>
        <w:rPr>
          <w:szCs w:val="22"/>
        </w:rPr>
        <w:t>:</w:t>
      </w:r>
    </w:p>
    <w:p w14:paraId="3CA6BDD9" w14:textId="38A20D56" w:rsidR="00764E0A" w:rsidRDefault="00365A8B" w:rsidP="00764E0A">
      <w:pPr>
        <w:pStyle w:val="Item"/>
        <w:numPr>
          <w:ilvl w:val="0"/>
          <w:numId w:val="19"/>
        </w:numPr>
        <w:spacing w:before="120"/>
        <w:rPr>
          <w:szCs w:val="22"/>
        </w:rPr>
      </w:pPr>
      <w:r w:rsidRPr="00365A8B">
        <w:rPr>
          <w:i/>
          <w:iCs/>
          <w:szCs w:val="22"/>
        </w:rPr>
        <w:t>Human exposure to radio frequency fields from hand-held and body-mounted wireless communication devices — Human models, instrumentation, and procedures — Part 2: Procedure to determine the specific absorption rate (SAR) for wireless communication devices used in close proximity to the human body (frequency range of 30 MHz to 6 GHz)</w:t>
      </w:r>
      <w:r w:rsidRPr="00365A8B">
        <w:rPr>
          <w:szCs w:val="22"/>
        </w:rPr>
        <w:t>, published by the International Electrotechnical Commission</w:t>
      </w:r>
      <w:r w:rsidR="00D26ECA">
        <w:rPr>
          <w:szCs w:val="22"/>
        </w:rPr>
        <w:t xml:space="preserve"> (IEC)</w:t>
      </w:r>
      <w:r w:rsidR="00764E0A">
        <w:rPr>
          <w:szCs w:val="22"/>
        </w:rPr>
        <w:t>; or</w:t>
      </w:r>
    </w:p>
    <w:p w14:paraId="63CE06B2" w14:textId="08F2ACA7" w:rsidR="00764E0A" w:rsidRPr="00966A0B" w:rsidRDefault="00764E0A" w:rsidP="00764E0A">
      <w:pPr>
        <w:pStyle w:val="Item"/>
        <w:numPr>
          <w:ilvl w:val="0"/>
          <w:numId w:val="19"/>
        </w:numPr>
        <w:spacing w:before="120"/>
      </w:pPr>
      <w:r>
        <w:t>if</w:t>
      </w:r>
      <w:r w:rsidRPr="00410890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410890">
        <w:t xml:space="preserve">a later document published by the </w:t>
      </w:r>
      <w:r>
        <w:t>International Electrotechnical Commission</w:t>
      </w:r>
      <w:r w:rsidR="00D26ECA">
        <w:t xml:space="preserve"> (IEC)</w:t>
      </w:r>
      <w:r w:rsidRPr="00410890">
        <w:t xml:space="preserve"> is expressed to repl</w:t>
      </w:r>
      <w:r>
        <w:t>a</w:t>
      </w:r>
      <w:r w:rsidRPr="00410890">
        <w:t>ce the document mentioned in paragraph (a) – the later document.</w:t>
      </w:r>
    </w:p>
    <w:p w14:paraId="7F8E275F" w14:textId="649A4428" w:rsidR="003A6FC7" w:rsidRPr="003A6FC7" w:rsidRDefault="003A6FC7" w:rsidP="00E64B52">
      <w:pPr>
        <w:pStyle w:val="ItemHead"/>
        <w:ind w:firstLine="0"/>
      </w:pPr>
      <w:r w:rsidRPr="00B306A0">
        <w:rPr>
          <w:rFonts w:ascii="Times New Roman" w:hAnsi="Times New Roman"/>
          <w:b w:val="0"/>
          <w:i/>
          <w:iCs/>
          <w:kern w:val="0"/>
          <w:sz w:val="18"/>
          <w:szCs w:val="18"/>
        </w:rPr>
        <w:t>Note</w:t>
      </w:r>
      <w:r w:rsidRPr="00775AE8">
        <w:rPr>
          <w:i/>
          <w:iCs/>
          <w:sz w:val="18"/>
          <w:szCs w:val="18"/>
        </w:rPr>
        <w:tab/>
      </w:r>
      <w:r>
        <w:rPr>
          <w:rFonts w:ascii="Times New Roman" w:hAnsi="Times New Roman"/>
          <w:b w:val="0"/>
          <w:kern w:val="0"/>
          <w:sz w:val="18"/>
          <w:szCs w:val="18"/>
        </w:rPr>
        <w:t>I</w:t>
      </w:r>
      <w:r w:rsidRPr="0046060F">
        <w:rPr>
          <w:rFonts w:ascii="Times New Roman" w:hAnsi="Times New Roman"/>
          <w:b w:val="0"/>
          <w:kern w:val="0"/>
          <w:sz w:val="18"/>
          <w:szCs w:val="18"/>
        </w:rPr>
        <w:t>EC 62209-2 was developed by Technical Committee TC106 of the International Electrotechnical Commission (IEC). Australia has active representation on TC106 through the participation of Standards Australia (</w:t>
      </w:r>
      <w:hyperlink r:id="rId24" w:history="1">
        <w:r w:rsidRPr="0046060F">
          <w:rPr>
            <w:rStyle w:val="Hyperlink"/>
            <w:rFonts w:ascii="Times New Roman" w:hAnsi="Times New Roman"/>
            <w:b w:val="0"/>
            <w:kern w:val="0"/>
            <w:sz w:val="18"/>
            <w:szCs w:val="18"/>
          </w:rPr>
          <w:t>http://www.standards.org.au/</w:t>
        </w:r>
      </w:hyperlink>
      <w:r w:rsidRPr="0046060F">
        <w:rPr>
          <w:rFonts w:ascii="Times New Roman" w:hAnsi="Times New Roman"/>
          <w:b w:val="0"/>
          <w:kern w:val="0"/>
          <w:sz w:val="18"/>
          <w:szCs w:val="18"/>
        </w:rPr>
        <w:t>). IEC 62209-2 may be obtained</w:t>
      </w:r>
      <w:r>
        <w:rPr>
          <w:rFonts w:ascii="Times New Roman" w:hAnsi="Times New Roman"/>
          <w:b w:val="0"/>
          <w:kern w:val="0"/>
          <w:sz w:val="18"/>
          <w:szCs w:val="18"/>
        </w:rPr>
        <w:t xml:space="preserve"> for a fee</w:t>
      </w:r>
      <w:r w:rsidRPr="0046060F">
        <w:rPr>
          <w:rFonts w:ascii="Times New Roman" w:hAnsi="Times New Roman"/>
          <w:b w:val="0"/>
          <w:kern w:val="0"/>
          <w:sz w:val="18"/>
          <w:szCs w:val="18"/>
        </w:rPr>
        <w:t xml:space="preserve"> from </w:t>
      </w:r>
      <w:r w:rsidR="00260AEB">
        <w:rPr>
          <w:rFonts w:ascii="Times New Roman" w:hAnsi="Times New Roman"/>
          <w:b w:val="0"/>
          <w:kern w:val="0"/>
          <w:sz w:val="18"/>
          <w:szCs w:val="18"/>
        </w:rPr>
        <w:t xml:space="preserve">a Standards Australia distributor </w:t>
      </w:r>
      <w:r w:rsidR="007944C8">
        <w:rPr>
          <w:rFonts w:ascii="Times New Roman" w:hAnsi="Times New Roman"/>
          <w:b w:val="0"/>
          <w:kern w:val="0"/>
          <w:sz w:val="18"/>
          <w:szCs w:val="18"/>
        </w:rPr>
        <w:t xml:space="preserve">listed </w:t>
      </w:r>
      <w:r w:rsidR="00260AEB">
        <w:rPr>
          <w:rFonts w:ascii="Times New Roman" w:hAnsi="Times New Roman"/>
          <w:b w:val="0"/>
          <w:kern w:val="0"/>
          <w:sz w:val="18"/>
          <w:szCs w:val="18"/>
        </w:rPr>
        <w:t>on the Standards Australia</w:t>
      </w:r>
      <w:r w:rsidRPr="0046060F">
        <w:rPr>
          <w:rFonts w:ascii="Times New Roman" w:hAnsi="Times New Roman"/>
          <w:b w:val="0"/>
          <w:kern w:val="0"/>
          <w:sz w:val="18"/>
          <w:szCs w:val="18"/>
        </w:rPr>
        <w:t xml:space="preserve"> website </w:t>
      </w:r>
      <w:r>
        <w:rPr>
          <w:rFonts w:ascii="Times New Roman" w:hAnsi="Times New Roman"/>
          <w:b w:val="0"/>
          <w:kern w:val="0"/>
          <w:sz w:val="18"/>
          <w:szCs w:val="18"/>
        </w:rPr>
        <w:t>(</w:t>
      </w:r>
      <w:hyperlink r:id="rId25" w:history="1">
        <w:r w:rsidR="00260AEB" w:rsidRPr="007F1E1A">
          <w:rPr>
            <w:rFonts w:ascii="Times New Roman" w:eastAsiaTheme="minorHAnsi" w:hAnsi="Times New Roman"/>
            <w:b w:val="0"/>
            <w:color w:val="0000FF"/>
            <w:kern w:val="0"/>
            <w:sz w:val="18"/>
            <w:szCs w:val="18"/>
            <w:u w:val="single"/>
            <w:lang w:eastAsia="en-US"/>
          </w:rPr>
          <w:t>https://www.standards.org.au/search-for-a-standard</w:t>
        </w:r>
      </w:hyperlink>
      <w:r>
        <w:rPr>
          <w:rFonts w:ascii="Times New Roman" w:hAnsi="Times New Roman"/>
          <w:b w:val="0"/>
          <w:kern w:val="0"/>
          <w:sz w:val="18"/>
          <w:szCs w:val="18"/>
        </w:rPr>
        <w:t xml:space="preserve">) </w:t>
      </w:r>
      <w:r w:rsidRPr="0046060F">
        <w:rPr>
          <w:rFonts w:ascii="Times New Roman" w:hAnsi="Times New Roman"/>
          <w:b w:val="0"/>
          <w:kern w:val="0"/>
          <w:sz w:val="18"/>
          <w:szCs w:val="18"/>
        </w:rPr>
        <w:t>or</w:t>
      </w:r>
      <w:r w:rsidRPr="0046060F">
        <w:rPr>
          <w:rFonts w:ascii="Times New Roman" w:hAnsi="Times New Roman"/>
          <w:b w:val="0"/>
          <w:kern w:val="0"/>
          <w:sz w:val="18"/>
          <w:szCs w:val="18"/>
          <w:lang w:val="en-US"/>
        </w:rPr>
        <w:t xml:space="preserve"> can otherwise be made available for viewing on </w:t>
      </w:r>
      <w:r w:rsidR="007459AD">
        <w:rPr>
          <w:rFonts w:ascii="Times New Roman" w:hAnsi="Times New Roman"/>
          <w:b w:val="0"/>
          <w:kern w:val="0"/>
          <w:sz w:val="18"/>
          <w:szCs w:val="18"/>
          <w:lang w:val="en-US"/>
        </w:rPr>
        <w:t xml:space="preserve">prior </w:t>
      </w:r>
      <w:r w:rsidRPr="0046060F">
        <w:rPr>
          <w:rFonts w:ascii="Times New Roman" w:hAnsi="Times New Roman"/>
          <w:b w:val="0"/>
          <w:kern w:val="0"/>
          <w:sz w:val="18"/>
          <w:szCs w:val="18"/>
          <w:lang w:val="en-US"/>
        </w:rPr>
        <w:t xml:space="preserve">request </w:t>
      </w:r>
      <w:r w:rsidR="007459AD">
        <w:rPr>
          <w:rFonts w:ascii="Times New Roman" w:hAnsi="Times New Roman"/>
          <w:b w:val="0"/>
          <w:kern w:val="0"/>
          <w:sz w:val="18"/>
          <w:szCs w:val="18"/>
          <w:lang w:val="en-US"/>
        </w:rPr>
        <w:t>at</w:t>
      </w:r>
      <w:r w:rsidRPr="0046060F">
        <w:rPr>
          <w:rFonts w:ascii="Times New Roman" w:hAnsi="Times New Roman"/>
          <w:b w:val="0"/>
          <w:kern w:val="0"/>
          <w:sz w:val="18"/>
          <w:szCs w:val="18"/>
          <w:lang w:val="en-US"/>
        </w:rPr>
        <w:t xml:space="preserve"> an ACMA office, subject to licensing conditions</w:t>
      </w:r>
      <w:r w:rsidRPr="0046060F">
        <w:rPr>
          <w:rFonts w:ascii="Times New Roman" w:hAnsi="Times New Roman"/>
          <w:b w:val="0"/>
          <w:kern w:val="0"/>
          <w:sz w:val="18"/>
          <w:szCs w:val="18"/>
        </w:rPr>
        <w:t>.</w:t>
      </w:r>
    </w:p>
    <w:p w14:paraId="1DB2F994" w14:textId="74D83AB8" w:rsidR="00292502" w:rsidRDefault="000A04AC" w:rsidP="00C54775">
      <w:pPr>
        <w:pStyle w:val="ItemHead"/>
      </w:pPr>
      <w:proofErr w:type="gramStart"/>
      <w:r>
        <w:t>7</w:t>
      </w:r>
      <w:r w:rsidR="00E937D2">
        <w:t xml:space="preserve">  Subsection</w:t>
      </w:r>
      <w:proofErr w:type="gramEnd"/>
      <w:r w:rsidR="00E937D2">
        <w:t xml:space="preserve"> 5(2)</w:t>
      </w:r>
    </w:p>
    <w:p w14:paraId="1C980033" w14:textId="3A6360AB" w:rsidR="00E937D2" w:rsidRDefault="00E937D2" w:rsidP="00E937D2">
      <w:pPr>
        <w:pStyle w:val="Item"/>
      </w:pPr>
      <w:r>
        <w:t>Repeal the subsection</w:t>
      </w:r>
      <w:r w:rsidR="00C4459C">
        <w:t>, substitute:</w:t>
      </w:r>
    </w:p>
    <w:p w14:paraId="3767C214" w14:textId="7263B8B5" w:rsidR="00330E3F" w:rsidRPr="00330E3F" w:rsidRDefault="00AE4565" w:rsidP="00AC3D6A">
      <w:pPr>
        <w:shd w:val="clear" w:color="auto" w:fill="FFFFFF"/>
        <w:spacing w:before="180" w:after="0" w:line="240" w:lineRule="auto"/>
        <w:ind w:left="1276" w:hanging="425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(2)</w:t>
      </w:r>
      <w:r w:rsidR="00AC3D6A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="00330E3F" w:rsidRPr="00330E3F">
        <w:rPr>
          <w:rFonts w:ascii="Times New Roman" w:eastAsia="Times New Roman" w:hAnsi="Times New Roman" w:cs="Times New Roman"/>
          <w:color w:val="000000"/>
          <w:lang w:eastAsia="en-AU"/>
        </w:rPr>
        <w:t>In this instrument, unless the contrary intention appears:</w:t>
      </w:r>
    </w:p>
    <w:p w14:paraId="228D57AD" w14:textId="5995746F" w:rsidR="00330E3F" w:rsidRDefault="00330E3F" w:rsidP="009D4AF3">
      <w:pPr>
        <w:shd w:val="clear" w:color="auto" w:fill="FFFFFF"/>
        <w:spacing w:before="40" w:after="0" w:line="240" w:lineRule="auto"/>
        <w:ind w:left="1843" w:hanging="283"/>
        <w:rPr>
          <w:rFonts w:ascii="Times New Roman" w:eastAsia="Times New Roman" w:hAnsi="Times New Roman" w:cs="Times New Roman"/>
          <w:color w:val="000000"/>
          <w:lang w:eastAsia="en-AU"/>
        </w:rPr>
      </w:pPr>
      <w:r w:rsidRPr="00330E3F">
        <w:rPr>
          <w:rFonts w:ascii="Times New Roman" w:eastAsia="Times New Roman" w:hAnsi="Times New Roman" w:cs="Times New Roman"/>
          <w:color w:val="000000"/>
          <w:lang w:eastAsia="en-AU"/>
        </w:rPr>
        <w:lastRenderedPageBreak/>
        <w:t>(a) a reference to another legislative instrument is a reference to that other legislative instrument as in force from time to time; and</w:t>
      </w:r>
    </w:p>
    <w:p w14:paraId="23695C98" w14:textId="73B99E0A" w:rsidR="00330E3F" w:rsidRPr="00330E3F" w:rsidRDefault="00330E3F" w:rsidP="009D4AF3">
      <w:pPr>
        <w:shd w:val="clear" w:color="auto" w:fill="FFFFFF"/>
        <w:spacing w:before="40" w:after="0" w:line="240" w:lineRule="auto"/>
        <w:ind w:left="1843" w:hanging="283"/>
        <w:rPr>
          <w:rFonts w:ascii="Times New Roman" w:eastAsia="Times New Roman" w:hAnsi="Times New Roman" w:cs="Times New Roman"/>
          <w:color w:val="000000"/>
          <w:lang w:eastAsia="en-AU"/>
        </w:rPr>
      </w:pPr>
      <w:r w:rsidRPr="00330E3F">
        <w:rPr>
          <w:rFonts w:ascii="Times New Roman" w:eastAsia="Times New Roman" w:hAnsi="Times New Roman" w:cs="Times New Roman"/>
          <w:color w:val="000000"/>
          <w:lang w:eastAsia="en-AU"/>
        </w:rPr>
        <w:t>(b) a reference to any other kind of instrument</w:t>
      </w:r>
      <w:r w:rsidR="000D339C">
        <w:rPr>
          <w:rFonts w:ascii="Times New Roman" w:eastAsia="Times New Roman" w:hAnsi="Times New Roman" w:cs="Times New Roman"/>
          <w:color w:val="000000"/>
          <w:lang w:eastAsia="en-AU"/>
        </w:rPr>
        <w:t xml:space="preserve"> or writing</w:t>
      </w:r>
      <w:r w:rsidRPr="00330E3F">
        <w:rPr>
          <w:rFonts w:ascii="Times New Roman" w:eastAsia="Times New Roman" w:hAnsi="Times New Roman" w:cs="Times New Roman"/>
          <w:color w:val="000000"/>
          <w:lang w:eastAsia="en-AU"/>
        </w:rPr>
        <w:t xml:space="preserve"> is a reference to that other instrument </w:t>
      </w:r>
      <w:r w:rsidR="000D339C">
        <w:rPr>
          <w:rFonts w:ascii="Times New Roman" w:eastAsia="Times New Roman" w:hAnsi="Times New Roman" w:cs="Times New Roman"/>
          <w:color w:val="000000"/>
          <w:lang w:eastAsia="en-AU"/>
        </w:rPr>
        <w:t xml:space="preserve">or writing </w:t>
      </w:r>
      <w:r w:rsidRPr="00330E3F">
        <w:rPr>
          <w:rFonts w:ascii="Times New Roman" w:eastAsia="Times New Roman" w:hAnsi="Times New Roman" w:cs="Times New Roman"/>
          <w:color w:val="000000"/>
          <w:lang w:eastAsia="en-AU"/>
        </w:rPr>
        <w:t>as in force or existing from time to time.</w:t>
      </w:r>
    </w:p>
    <w:p w14:paraId="1C11F768" w14:textId="01B6E1D8" w:rsidR="00330E3F" w:rsidRPr="00330E3F" w:rsidRDefault="00330E3F" w:rsidP="009D4AF3">
      <w:pPr>
        <w:shd w:val="clear" w:color="auto" w:fill="FFFFFF"/>
        <w:spacing w:before="12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330E3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n-AU"/>
        </w:rPr>
        <w:t>Note</w:t>
      </w:r>
      <w:r w:rsidR="00820EC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n-AU"/>
        </w:rPr>
        <w:t xml:space="preserve"> 1</w:t>
      </w:r>
      <w:r w:rsidR="00D04DB2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ab/>
      </w:r>
      <w:r w:rsidRPr="00330E3F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For references to Commonwealth Acts, see section 10 of the </w:t>
      </w:r>
      <w:r w:rsidRPr="00330E3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n-AU"/>
        </w:rPr>
        <w:t>Acts Interpretation Act 1901</w:t>
      </w:r>
      <w:r w:rsidRPr="00330E3F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; and see also subsection 13(1) of the </w:t>
      </w:r>
      <w:r w:rsidRPr="00330E3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n-AU"/>
        </w:rPr>
        <w:t>Legislation Act 2003</w:t>
      </w:r>
      <w:r w:rsidRPr="00330E3F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 for the application of the </w:t>
      </w:r>
      <w:r w:rsidRPr="00330E3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n-AU"/>
        </w:rPr>
        <w:t>Acts Interpretation Act 1901</w:t>
      </w:r>
      <w:r w:rsidRPr="00330E3F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 to legislative instruments.</w:t>
      </w:r>
    </w:p>
    <w:p w14:paraId="784D0F7E" w14:textId="6F0606E2" w:rsidR="00330E3F" w:rsidRDefault="00330E3F" w:rsidP="009D4AF3">
      <w:pPr>
        <w:shd w:val="clear" w:color="auto" w:fill="FFFFFF"/>
        <w:spacing w:before="12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330E3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n-AU"/>
        </w:rPr>
        <w:t>Note</w:t>
      </w:r>
      <w:r w:rsidR="00820EC6" w:rsidRPr="00FE7AF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n-AU"/>
        </w:rPr>
        <w:t xml:space="preserve"> 2</w:t>
      </w:r>
      <w:r w:rsidR="00D04DB2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ab/>
      </w:r>
      <w:r w:rsidRPr="00330E3F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All Commonwealth Acts and legislative instruments are registered on the Federal Register of Legislation.</w:t>
      </w:r>
    </w:p>
    <w:p w14:paraId="118054DE" w14:textId="7CB264BE" w:rsidR="00330E3F" w:rsidRPr="00FE7AF9" w:rsidRDefault="00820EC6" w:rsidP="009D4AF3">
      <w:pPr>
        <w:shd w:val="clear" w:color="auto" w:fill="FFFFFF"/>
        <w:spacing w:before="122"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FE7AF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n-AU"/>
        </w:rPr>
        <w:t>N</w:t>
      </w:r>
      <w:r w:rsidR="00330E3F" w:rsidRPr="00330E3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n-AU"/>
        </w:rPr>
        <w:t>ote 3</w:t>
      </w:r>
      <w:r w:rsidR="00FE7AF9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ab/>
      </w:r>
      <w:r w:rsidR="00330E3F" w:rsidRPr="00330E3F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See section 314A of the Act.</w:t>
      </w:r>
    </w:p>
    <w:p w14:paraId="2E92E99A" w14:textId="258BCB3A" w:rsidR="0035270A" w:rsidRPr="00117B43" w:rsidRDefault="000A04AC" w:rsidP="00C54775">
      <w:pPr>
        <w:pStyle w:val="ItemHead"/>
      </w:pPr>
      <w:proofErr w:type="gramStart"/>
      <w:r>
        <w:t>8</w:t>
      </w:r>
      <w:r w:rsidR="0035270A" w:rsidRPr="00117B43">
        <w:t xml:space="preserve">  After</w:t>
      </w:r>
      <w:proofErr w:type="gramEnd"/>
      <w:r w:rsidR="0035270A" w:rsidRPr="00117B43">
        <w:t xml:space="preserve"> section 7</w:t>
      </w:r>
    </w:p>
    <w:p w14:paraId="7EE56BB0" w14:textId="7C31DA6D" w:rsidR="0035270A" w:rsidRPr="00117B43" w:rsidRDefault="0035270A" w:rsidP="0035270A">
      <w:pPr>
        <w:pStyle w:val="Item"/>
      </w:pPr>
      <w:r w:rsidRPr="00117B43">
        <w:t>Insert:</w:t>
      </w:r>
    </w:p>
    <w:p w14:paraId="1F959511" w14:textId="0D35A600" w:rsidR="0035270A" w:rsidRPr="00117B43" w:rsidRDefault="00AD476D" w:rsidP="00117B43">
      <w:pPr>
        <w:pStyle w:val="ItemHead"/>
        <w:spacing w:before="120"/>
        <w:ind w:left="1276" w:hanging="567"/>
        <w:rPr>
          <w:rFonts w:cs="Arial"/>
          <w:i/>
          <w:sz w:val="22"/>
          <w:szCs w:val="22"/>
        </w:rPr>
      </w:pPr>
      <w:r w:rsidRPr="00117B43">
        <w:rPr>
          <w:rFonts w:cs="Arial"/>
          <w:sz w:val="22"/>
          <w:szCs w:val="22"/>
        </w:rPr>
        <w:t>7</w:t>
      </w:r>
      <w:r w:rsidR="00617143" w:rsidRPr="00117B43">
        <w:rPr>
          <w:rFonts w:cs="Arial"/>
          <w:sz w:val="22"/>
          <w:szCs w:val="22"/>
        </w:rPr>
        <w:t>A</w:t>
      </w:r>
      <w:r w:rsidR="00617143" w:rsidRPr="00117B43">
        <w:rPr>
          <w:rFonts w:cs="Arial"/>
          <w:sz w:val="22"/>
          <w:szCs w:val="22"/>
        </w:rPr>
        <w:tab/>
        <w:t xml:space="preserve">Transitional arrangements for </w:t>
      </w:r>
      <w:r w:rsidR="00477CF4">
        <w:rPr>
          <w:rFonts w:cs="Arial"/>
          <w:sz w:val="22"/>
          <w:szCs w:val="22"/>
        </w:rPr>
        <w:t>three months</w:t>
      </w:r>
      <w:r w:rsidR="00617143" w:rsidRPr="00117B43">
        <w:rPr>
          <w:rFonts w:cs="Arial"/>
          <w:sz w:val="22"/>
          <w:szCs w:val="22"/>
        </w:rPr>
        <w:t xml:space="preserve"> after commencement of the </w:t>
      </w:r>
      <w:r w:rsidR="00617143" w:rsidRPr="00117B43">
        <w:rPr>
          <w:rFonts w:cs="Arial"/>
          <w:i/>
          <w:sz w:val="22"/>
          <w:szCs w:val="22"/>
        </w:rPr>
        <w:t>Radiocommunications (Electromagnetic Radiation — Human Exposure) Amendment Standard 2019 (No. 1)</w:t>
      </w:r>
    </w:p>
    <w:p w14:paraId="54429AB3" w14:textId="4D2C8ECE" w:rsidR="00617143" w:rsidRPr="00117B43" w:rsidRDefault="00AD7EF0" w:rsidP="00AD7EF0">
      <w:pPr>
        <w:pStyle w:val="Item"/>
        <w:tabs>
          <w:tab w:val="left" w:pos="1276"/>
        </w:tabs>
        <w:spacing w:before="120"/>
        <w:ind w:left="1281" w:hanging="430"/>
      </w:pPr>
      <w:r>
        <w:rPr>
          <w:kern w:val="28"/>
          <w:szCs w:val="22"/>
        </w:rPr>
        <w:t>(1)</w:t>
      </w:r>
      <w:r>
        <w:rPr>
          <w:kern w:val="28"/>
          <w:szCs w:val="22"/>
        </w:rPr>
        <w:tab/>
      </w:r>
      <w:r w:rsidR="000912DF" w:rsidRPr="00117B43">
        <w:rPr>
          <w:kern w:val="28"/>
          <w:szCs w:val="22"/>
        </w:rPr>
        <w:t xml:space="preserve">If a device to which this Standard applies </w:t>
      </w:r>
      <w:r w:rsidR="00511055" w:rsidRPr="00117B43">
        <w:rPr>
          <w:kern w:val="28"/>
          <w:szCs w:val="22"/>
        </w:rPr>
        <w:t xml:space="preserve">is </w:t>
      </w:r>
      <w:bookmarkStart w:id="18" w:name="_Hlk8897900"/>
      <w:r w:rsidR="00511055" w:rsidRPr="00117B43">
        <w:rPr>
          <w:kern w:val="28"/>
          <w:szCs w:val="22"/>
        </w:rPr>
        <w:t xml:space="preserve">manufactured or imported not later than </w:t>
      </w:r>
      <w:r w:rsidR="004D5A2C">
        <w:rPr>
          <w:kern w:val="28"/>
          <w:szCs w:val="22"/>
        </w:rPr>
        <w:t>3</w:t>
      </w:r>
      <w:r w:rsidR="00120625">
        <w:rPr>
          <w:kern w:val="28"/>
          <w:szCs w:val="22"/>
        </w:rPr>
        <w:t> </w:t>
      </w:r>
      <w:r w:rsidR="00511055" w:rsidRPr="00117B43">
        <w:rPr>
          <w:kern w:val="28"/>
          <w:szCs w:val="22"/>
        </w:rPr>
        <w:t xml:space="preserve">months after the commencement of the </w:t>
      </w:r>
      <w:bookmarkStart w:id="19" w:name="_Hlk8740408"/>
      <w:r w:rsidR="00511055" w:rsidRPr="00117B43">
        <w:rPr>
          <w:i/>
        </w:rPr>
        <w:t>Radiocommunications (Electromagnetic Radiation — Human Exposure) Amendment Standard 2019 (No. 1)</w:t>
      </w:r>
      <w:bookmarkEnd w:id="18"/>
      <w:r w:rsidR="00511055" w:rsidRPr="00117B43">
        <w:t xml:space="preserve">, </w:t>
      </w:r>
      <w:bookmarkEnd w:id="19"/>
      <w:r w:rsidR="00511055" w:rsidRPr="00117B43">
        <w:t xml:space="preserve">the device will be taken to comply with this Standard if it complies with this Standard as in force immediately before the commencement of the </w:t>
      </w:r>
      <w:r w:rsidR="00511055" w:rsidRPr="00117B43">
        <w:rPr>
          <w:i/>
        </w:rPr>
        <w:t>Radiocommunications (Electromagnetic Radiation — Human Exposure) Amendment Standard 2019 (No. 1)</w:t>
      </w:r>
      <w:r w:rsidR="00511055" w:rsidRPr="00117B43">
        <w:t>.</w:t>
      </w:r>
    </w:p>
    <w:p w14:paraId="30D2C523" w14:textId="477396A0" w:rsidR="00511055" w:rsidRPr="00117B43" w:rsidRDefault="00AD7EF0" w:rsidP="00AD7EF0">
      <w:pPr>
        <w:pStyle w:val="Item"/>
        <w:tabs>
          <w:tab w:val="left" w:pos="1276"/>
        </w:tabs>
        <w:spacing w:before="120"/>
        <w:ind w:left="1281" w:hanging="430"/>
      </w:pPr>
      <w:r>
        <w:rPr>
          <w:kern w:val="28"/>
          <w:szCs w:val="22"/>
        </w:rPr>
        <w:t>(2)</w:t>
      </w:r>
      <w:r>
        <w:rPr>
          <w:kern w:val="28"/>
          <w:szCs w:val="22"/>
        </w:rPr>
        <w:tab/>
      </w:r>
      <w:r w:rsidR="00511055" w:rsidRPr="00117B43">
        <w:rPr>
          <w:kern w:val="28"/>
          <w:szCs w:val="22"/>
        </w:rPr>
        <w:t>If a device to which this Standard applies has been altered or modified in a material respect at a time that is both:</w:t>
      </w:r>
    </w:p>
    <w:p w14:paraId="2CA0C49C" w14:textId="69E30BEB" w:rsidR="00DF4ACA" w:rsidRPr="00117B43" w:rsidRDefault="00DF4ACA" w:rsidP="00DF4ACA">
      <w:pPr>
        <w:pStyle w:val="Item"/>
        <w:numPr>
          <w:ilvl w:val="0"/>
          <w:numId w:val="8"/>
        </w:numPr>
      </w:pPr>
      <w:r w:rsidRPr="00117B43">
        <w:rPr>
          <w:kern w:val="28"/>
          <w:szCs w:val="22"/>
        </w:rPr>
        <w:t>after its manufacture or, if it has been imported, after its importation; and</w:t>
      </w:r>
    </w:p>
    <w:p w14:paraId="092E88EC" w14:textId="6E14429B" w:rsidR="00DF4ACA" w:rsidRPr="00117B43" w:rsidRDefault="00DF4ACA" w:rsidP="00DF4ACA">
      <w:pPr>
        <w:pStyle w:val="Item"/>
        <w:numPr>
          <w:ilvl w:val="0"/>
          <w:numId w:val="8"/>
        </w:numPr>
      </w:pPr>
      <w:r w:rsidRPr="00117B43">
        <w:rPr>
          <w:kern w:val="28"/>
          <w:szCs w:val="22"/>
        </w:rPr>
        <w:t>not later</w:t>
      </w:r>
      <w:r w:rsidR="00511055" w:rsidRPr="00117B43">
        <w:rPr>
          <w:kern w:val="28"/>
          <w:szCs w:val="22"/>
        </w:rPr>
        <w:t xml:space="preserve"> than </w:t>
      </w:r>
      <w:r w:rsidR="00F60F77">
        <w:rPr>
          <w:kern w:val="28"/>
          <w:szCs w:val="22"/>
        </w:rPr>
        <w:t>3</w:t>
      </w:r>
      <w:r w:rsidR="00511055" w:rsidRPr="00117B43">
        <w:rPr>
          <w:kern w:val="28"/>
          <w:szCs w:val="22"/>
        </w:rPr>
        <w:t xml:space="preserve"> months after the commencement of the </w:t>
      </w:r>
      <w:r w:rsidR="00511055" w:rsidRPr="00117B43">
        <w:rPr>
          <w:i/>
        </w:rPr>
        <w:t>Radiocommunications (Electromagnetic Radiation — Human Exposure) Amendment Standard 2019 (No. 1)</w:t>
      </w:r>
      <w:r w:rsidRPr="00117B43">
        <w:t>;</w:t>
      </w:r>
    </w:p>
    <w:p w14:paraId="5558DF94" w14:textId="34F192F6" w:rsidR="00511055" w:rsidRPr="00511055" w:rsidRDefault="00511055" w:rsidP="00682099">
      <w:pPr>
        <w:pStyle w:val="Item"/>
        <w:ind w:left="1276"/>
      </w:pPr>
      <w:r w:rsidRPr="00117B43">
        <w:t xml:space="preserve">the device will be taken to comply with this Standard if it complies with this Standard as in force immediately before the commencement of the </w:t>
      </w:r>
      <w:r w:rsidRPr="00117B43">
        <w:rPr>
          <w:i/>
        </w:rPr>
        <w:t>Radiocommunications (Electromagnetic Radiation — Human Exposure) Amendment Standard 2019 (No. 1)</w:t>
      </w:r>
      <w:r w:rsidRPr="00117B43">
        <w:t>.</w:t>
      </w:r>
    </w:p>
    <w:p w14:paraId="57B31205" w14:textId="48D2A4CF" w:rsidR="00F47839" w:rsidRDefault="000A04AC" w:rsidP="00C54775">
      <w:pPr>
        <w:pStyle w:val="ItemHead"/>
      </w:pPr>
      <w:proofErr w:type="gramStart"/>
      <w:r>
        <w:t>9</w:t>
      </w:r>
      <w:r w:rsidR="00C54775" w:rsidRPr="00BD4288">
        <w:t xml:space="preserve">  </w:t>
      </w:r>
      <w:r w:rsidR="004A0519">
        <w:t>Subsection</w:t>
      </w:r>
      <w:proofErr w:type="gramEnd"/>
      <w:r w:rsidR="002D3CF2">
        <w:t xml:space="preserve"> 9(1)</w:t>
      </w:r>
    </w:p>
    <w:p w14:paraId="6F93A3FF" w14:textId="12FC7B09" w:rsidR="002D3CF2" w:rsidRPr="002D3CF2" w:rsidRDefault="002D3CF2" w:rsidP="002D3CF2">
      <w:pPr>
        <w:pStyle w:val="Item"/>
      </w:pPr>
      <w:r>
        <w:t>Omit “This section”</w:t>
      </w:r>
      <w:r w:rsidR="00F97CBB">
        <w:t>,</w:t>
      </w:r>
      <w:r>
        <w:t xml:space="preserve"> substitute “Subject to section 9A, this section”.</w:t>
      </w:r>
    </w:p>
    <w:p w14:paraId="0817528E" w14:textId="323D17D9" w:rsidR="00C54775" w:rsidRDefault="000A04AC" w:rsidP="00C54775">
      <w:pPr>
        <w:pStyle w:val="ItemHead"/>
      </w:pPr>
      <w:proofErr w:type="gramStart"/>
      <w:r>
        <w:t>10</w:t>
      </w:r>
      <w:r w:rsidR="002D3CF2">
        <w:t xml:space="preserve">  </w:t>
      </w:r>
      <w:r w:rsidR="005D59FA">
        <w:t>Paragraph</w:t>
      </w:r>
      <w:proofErr w:type="gramEnd"/>
      <w:r w:rsidR="005D59FA">
        <w:t xml:space="preserve"> </w:t>
      </w:r>
      <w:r w:rsidR="00EC5894">
        <w:t>9(1)(b)</w:t>
      </w:r>
    </w:p>
    <w:p w14:paraId="3014E8AA" w14:textId="10388FE1" w:rsidR="001446F6" w:rsidRPr="00DB685B" w:rsidRDefault="001446F6" w:rsidP="001446F6">
      <w:pPr>
        <w:pStyle w:val="Item"/>
        <w:rPr>
          <w:szCs w:val="22"/>
        </w:rPr>
      </w:pPr>
      <w:r w:rsidRPr="00DB685B">
        <w:rPr>
          <w:szCs w:val="22"/>
        </w:rPr>
        <w:t>Omit</w:t>
      </w:r>
      <w:r w:rsidR="00CF4B8F" w:rsidRPr="00DB685B">
        <w:rPr>
          <w:szCs w:val="22"/>
        </w:rPr>
        <w:t xml:space="preserve"> “3GHz”, substitute “</w:t>
      </w:r>
      <w:r w:rsidR="00813C63" w:rsidRPr="00DB685B">
        <w:rPr>
          <w:szCs w:val="22"/>
        </w:rPr>
        <w:t>6GHz”.</w:t>
      </w:r>
    </w:p>
    <w:p w14:paraId="57FBD4E0" w14:textId="6C652332" w:rsidR="002D3CF2" w:rsidRDefault="00B467B2" w:rsidP="00813C63">
      <w:pPr>
        <w:pStyle w:val="ItemHead"/>
      </w:pPr>
      <w:proofErr w:type="gramStart"/>
      <w:r>
        <w:t>1</w:t>
      </w:r>
      <w:r w:rsidR="000A04AC">
        <w:t>1</w:t>
      </w:r>
      <w:r w:rsidR="00813C63" w:rsidRPr="00BD4288">
        <w:t xml:space="preserve">  </w:t>
      </w:r>
      <w:r w:rsidR="002D3CF2">
        <w:t>After</w:t>
      </w:r>
      <w:proofErr w:type="gramEnd"/>
      <w:r w:rsidR="002D3CF2">
        <w:t xml:space="preserve"> section 9</w:t>
      </w:r>
    </w:p>
    <w:p w14:paraId="6A2D42D9" w14:textId="02C5B7AA" w:rsidR="002D3CF2" w:rsidRDefault="002D3CF2" w:rsidP="002D3CF2">
      <w:pPr>
        <w:pStyle w:val="Item"/>
      </w:pPr>
      <w:r>
        <w:t>Insert:</w:t>
      </w:r>
    </w:p>
    <w:p w14:paraId="53249E83" w14:textId="48C0D8F2" w:rsidR="00117B43" w:rsidRDefault="00117B43" w:rsidP="00117B43">
      <w:pPr>
        <w:spacing w:before="120" w:after="0"/>
        <w:ind w:left="1134" w:hanging="425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9A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  <w:t>Transitional arrangements for measurement methods for performance standards: aware user device or non</w:t>
      </w:r>
      <w:r>
        <w:rPr>
          <w:rFonts w:ascii="Arial" w:hAnsi="Arial" w:cs="Arial"/>
          <w:b/>
          <w:bCs/>
          <w:color w:val="000000"/>
          <w:shd w:val="clear" w:color="auto" w:fill="FFFFFF"/>
        </w:rPr>
        <w:noBreakHyphen/>
        <w:t xml:space="preserve">aware user device </w:t>
      </w:r>
      <w:proofErr w:type="gramStart"/>
      <w:r>
        <w:rPr>
          <w:rFonts w:ascii="Arial" w:hAnsi="Arial" w:cs="Arial"/>
          <w:b/>
          <w:bCs/>
          <w:color w:val="000000"/>
          <w:shd w:val="clear" w:color="auto" w:fill="FFFFFF"/>
        </w:rPr>
        <w:t>in close proximity</w:t>
      </w:r>
      <w:r w:rsidR="006A06F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to</w:t>
      </w:r>
      <w:proofErr w:type="gram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the human ear</w:t>
      </w:r>
    </w:p>
    <w:p w14:paraId="3EE1DBE2" w14:textId="71DCCE5B" w:rsidR="00117B43" w:rsidRPr="00F47839" w:rsidRDefault="00F97CBB" w:rsidP="00F97CBB">
      <w:pPr>
        <w:pStyle w:val="Item"/>
        <w:tabs>
          <w:tab w:val="left" w:pos="1276"/>
        </w:tabs>
        <w:spacing w:before="120"/>
        <w:ind w:left="1281" w:hanging="430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</w:r>
      <w:r w:rsidR="00117B43" w:rsidRPr="00F47839">
        <w:rPr>
          <w:szCs w:val="22"/>
        </w:rPr>
        <w:t xml:space="preserve">This </w:t>
      </w:r>
      <w:r w:rsidR="00117B43" w:rsidRPr="00682099">
        <w:rPr>
          <w:kern w:val="28"/>
          <w:szCs w:val="22"/>
        </w:rPr>
        <w:t>section</w:t>
      </w:r>
      <w:r w:rsidR="00117B43" w:rsidRPr="00F47839">
        <w:rPr>
          <w:szCs w:val="22"/>
        </w:rPr>
        <w:t xml:space="preserve"> applies to an aware user device or non</w:t>
      </w:r>
      <w:r w:rsidR="00117B43" w:rsidRPr="00F47839">
        <w:rPr>
          <w:szCs w:val="22"/>
        </w:rPr>
        <w:noBreakHyphen/>
        <w:t>aware user device to which this Standard applies that:</w:t>
      </w:r>
    </w:p>
    <w:p w14:paraId="79BD5433" w14:textId="77777777" w:rsidR="00117B43" w:rsidRDefault="00117B43" w:rsidP="001E682E">
      <w:pPr>
        <w:pStyle w:val="p1"/>
        <w:numPr>
          <w:ilvl w:val="0"/>
          <w:numId w:val="10"/>
        </w:numPr>
        <w:shd w:val="clear" w:color="auto" w:fill="FFFFFF"/>
        <w:spacing w:before="60" w:beforeAutospacing="0" w:after="0" w:afterAutospacing="0" w:line="260" w:lineRule="atLeast"/>
        <w:ind w:left="2127" w:hanging="426"/>
        <w:rPr>
          <w:sz w:val="22"/>
          <w:szCs w:val="22"/>
        </w:rPr>
      </w:pPr>
      <w:r w:rsidRPr="00F47839">
        <w:rPr>
          <w:sz w:val="22"/>
          <w:szCs w:val="22"/>
        </w:rPr>
        <w:t>is designed to be used or held with the radiating part of the aware user device or non</w:t>
      </w:r>
      <w:r w:rsidRPr="00F47839">
        <w:rPr>
          <w:sz w:val="22"/>
          <w:szCs w:val="22"/>
        </w:rPr>
        <w:noBreakHyphen/>
        <w:t xml:space="preserve">aware user device </w:t>
      </w:r>
      <w:proofErr w:type="gramStart"/>
      <w:r w:rsidRPr="00F47839">
        <w:rPr>
          <w:sz w:val="22"/>
          <w:szCs w:val="22"/>
        </w:rPr>
        <w:t>in close proximity to</w:t>
      </w:r>
      <w:proofErr w:type="gramEnd"/>
      <w:r w:rsidRPr="00F47839">
        <w:rPr>
          <w:sz w:val="22"/>
          <w:szCs w:val="22"/>
        </w:rPr>
        <w:t xml:space="preserve"> the human ear; and</w:t>
      </w:r>
    </w:p>
    <w:p w14:paraId="7623B6B1" w14:textId="52208623" w:rsidR="00117B43" w:rsidRDefault="00117B43" w:rsidP="001E682E">
      <w:pPr>
        <w:pStyle w:val="p1"/>
        <w:numPr>
          <w:ilvl w:val="0"/>
          <w:numId w:val="10"/>
        </w:numPr>
        <w:shd w:val="clear" w:color="auto" w:fill="FFFFFF"/>
        <w:spacing w:before="60" w:beforeAutospacing="0" w:after="0" w:afterAutospacing="0" w:line="260" w:lineRule="atLeast"/>
        <w:ind w:left="2127" w:hanging="426"/>
        <w:rPr>
          <w:sz w:val="22"/>
          <w:szCs w:val="22"/>
        </w:rPr>
      </w:pPr>
      <w:r w:rsidRPr="00F47839">
        <w:rPr>
          <w:sz w:val="22"/>
          <w:szCs w:val="22"/>
        </w:rPr>
        <w:t>transmits on a frequency in the frequency band 300MHz to 3GHz (inclusive)</w:t>
      </w:r>
      <w:r w:rsidR="00F215F3">
        <w:rPr>
          <w:sz w:val="22"/>
          <w:szCs w:val="22"/>
        </w:rPr>
        <w:t>; and</w:t>
      </w:r>
    </w:p>
    <w:p w14:paraId="3C7645BD" w14:textId="77777777" w:rsidR="00AE2F82" w:rsidRDefault="00F215F3" w:rsidP="001C2C5F">
      <w:pPr>
        <w:pStyle w:val="p1"/>
        <w:numPr>
          <w:ilvl w:val="0"/>
          <w:numId w:val="10"/>
        </w:numPr>
        <w:shd w:val="clear" w:color="auto" w:fill="FFFFFF"/>
        <w:spacing w:before="60" w:beforeAutospacing="0" w:after="0" w:afterAutospacing="0" w:line="260" w:lineRule="atLeast"/>
        <w:ind w:left="2127"/>
        <w:rPr>
          <w:sz w:val="22"/>
          <w:szCs w:val="22"/>
        </w:rPr>
      </w:pPr>
      <w:r w:rsidRPr="00421FEB">
        <w:rPr>
          <w:sz w:val="22"/>
          <w:szCs w:val="22"/>
        </w:rPr>
        <w:lastRenderedPageBreak/>
        <w:t>does not transmit on a frequency above 3GHz; and</w:t>
      </w:r>
    </w:p>
    <w:p w14:paraId="08AB62CB" w14:textId="416F648E" w:rsidR="00F215F3" w:rsidRPr="00421FEB" w:rsidRDefault="00F215F3" w:rsidP="001C2C5F">
      <w:pPr>
        <w:pStyle w:val="p1"/>
        <w:numPr>
          <w:ilvl w:val="0"/>
          <w:numId w:val="10"/>
        </w:numPr>
        <w:shd w:val="clear" w:color="auto" w:fill="FFFFFF"/>
        <w:spacing w:before="60" w:beforeAutospacing="0" w:after="0" w:afterAutospacing="0" w:line="260" w:lineRule="atLeast"/>
        <w:ind w:left="2127"/>
        <w:rPr>
          <w:sz w:val="22"/>
          <w:szCs w:val="22"/>
        </w:rPr>
      </w:pPr>
      <w:r w:rsidRPr="00421FEB">
        <w:rPr>
          <w:sz w:val="22"/>
          <w:szCs w:val="22"/>
        </w:rPr>
        <w:t>was either:</w:t>
      </w:r>
    </w:p>
    <w:p w14:paraId="4DD57E72" w14:textId="758BF595" w:rsidR="00F215F3" w:rsidRDefault="00F215F3" w:rsidP="00F215F3">
      <w:pPr>
        <w:pStyle w:val="p1"/>
        <w:numPr>
          <w:ilvl w:val="0"/>
          <w:numId w:val="14"/>
        </w:numPr>
        <w:shd w:val="clear" w:color="auto" w:fill="FFFFFF"/>
        <w:spacing w:before="60" w:beforeAutospacing="0" w:after="0" w:afterAutospacing="0" w:line="260" w:lineRule="atLeast"/>
        <w:ind w:left="2552" w:hanging="425"/>
      </w:pPr>
      <w:r>
        <w:rPr>
          <w:sz w:val="22"/>
          <w:szCs w:val="22"/>
        </w:rPr>
        <w:t xml:space="preserve">manufactured or imported not later than </w:t>
      </w:r>
      <w:r w:rsidR="00AF33ED">
        <w:rPr>
          <w:sz w:val="22"/>
          <w:szCs w:val="22"/>
        </w:rPr>
        <w:t>3</w:t>
      </w:r>
      <w:r>
        <w:rPr>
          <w:sz w:val="22"/>
          <w:szCs w:val="22"/>
        </w:rPr>
        <w:t xml:space="preserve"> months after the commence</w:t>
      </w:r>
      <w:r w:rsidRPr="00F215F3">
        <w:rPr>
          <w:sz w:val="22"/>
          <w:szCs w:val="22"/>
        </w:rPr>
        <w:t xml:space="preserve">ment of the </w:t>
      </w:r>
      <w:r w:rsidRPr="00F215F3">
        <w:rPr>
          <w:i/>
          <w:sz w:val="22"/>
          <w:szCs w:val="22"/>
        </w:rPr>
        <w:t>Radiocommunications (Electromagnetic Radiation — Human Exposure) Amendment Standard 2019 (No. 1)</w:t>
      </w:r>
      <w:r w:rsidRPr="00F215F3">
        <w:rPr>
          <w:sz w:val="22"/>
          <w:szCs w:val="22"/>
        </w:rPr>
        <w:t>; or</w:t>
      </w:r>
    </w:p>
    <w:p w14:paraId="633C634B" w14:textId="0995EFC3" w:rsidR="00F215F3" w:rsidRPr="00F215F3" w:rsidRDefault="00F215F3" w:rsidP="00F215F3">
      <w:pPr>
        <w:pStyle w:val="p1"/>
        <w:numPr>
          <w:ilvl w:val="0"/>
          <w:numId w:val="14"/>
        </w:numPr>
        <w:shd w:val="clear" w:color="auto" w:fill="FFFFFF"/>
        <w:spacing w:before="60" w:beforeAutospacing="0" w:after="0" w:afterAutospacing="0" w:line="260" w:lineRule="atLeast"/>
        <w:ind w:left="2552" w:hanging="425"/>
        <w:rPr>
          <w:sz w:val="22"/>
          <w:szCs w:val="22"/>
        </w:rPr>
      </w:pPr>
      <w:r w:rsidRPr="00F215F3">
        <w:rPr>
          <w:sz w:val="22"/>
          <w:szCs w:val="22"/>
        </w:rPr>
        <w:t>altered or modified in a material wa</w:t>
      </w:r>
      <w:r>
        <w:rPr>
          <w:sz w:val="22"/>
          <w:szCs w:val="22"/>
        </w:rPr>
        <w:t xml:space="preserve">y not later than </w:t>
      </w:r>
      <w:r w:rsidR="00D94B46">
        <w:rPr>
          <w:sz w:val="22"/>
          <w:szCs w:val="22"/>
        </w:rPr>
        <w:t>3</w:t>
      </w:r>
      <w:r>
        <w:rPr>
          <w:sz w:val="22"/>
          <w:szCs w:val="22"/>
        </w:rPr>
        <w:t xml:space="preserve"> months after the commence</w:t>
      </w:r>
      <w:r w:rsidRPr="00F215F3">
        <w:rPr>
          <w:sz w:val="22"/>
          <w:szCs w:val="22"/>
        </w:rPr>
        <w:t xml:space="preserve">ment of the </w:t>
      </w:r>
      <w:r w:rsidRPr="00F215F3">
        <w:rPr>
          <w:i/>
          <w:sz w:val="22"/>
          <w:szCs w:val="22"/>
        </w:rPr>
        <w:t>Radiocommunications (Electromagnetic Radiation — Human Exposure) Amendment Standard 2019 (No. 1)</w:t>
      </w:r>
      <w:r>
        <w:rPr>
          <w:sz w:val="22"/>
          <w:szCs w:val="22"/>
        </w:rPr>
        <w:t>.</w:t>
      </w:r>
    </w:p>
    <w:p w14:paraId="701BE827" w14:textId="15228262" w:rsidR="005A4962" w:rsidRDefault="00F97CBB" w:rsidP="00F97CBB">
      <w:pPr>
        <w:pStyle w:val="Item"/>
        <w:tabs>
          <w:tab w:val="left" w:pos="1276"/>
        </w:tabs>
        <w:spacing w:before="120"/>
        <w:ind w:left="1281" w:hanging="430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</w:r>
      <w:r w:rsidR="005A4962">
        <w:rPr>
          <w:szCs w:val="22"/>
        </w:rPr>
        <w:t>The measurement methods to determine if th</w:t>
      </w:r>
      <w:r w:rsidR="00417C3B">
        <w:rPr>
          <w:szCs w:val="22"/>
        </w:rPr>
        <w:t>e</w:t>
      </w:r>
      <w:r w:rsidR="005A4962">
        <w:rPr>
          <w:szCs w:val="22"/>
        </w:rPr>
        <w:t xml:space="preserve"> aware user </w:t>
      </w:r>
      <w:r w:rsidR="00417C3B">
        <w:rPr>
          <w:szCs w:val="22"/>
        </w:rPr>
        <w:t>d</w:t>
      </w:r>
      <w:r w:rsidR="005A4962">
        <w:rPr>
          <w:szCs w:val="22"/>
        </w:rPr>
        <w:t xml:space="preserve">evice or non-aware user device </w:t>
      </w:r>
      <w:r w:rsidR="00417C3B">
        <w:rPr>
          <w:szCs w:val="22"/>
        </w:rPr>
        <w:t>meets the standard of performance in subsection 8(1) or 8(2) are those described by:</w:t>
      </w:r>
    </w:p>
    <w:p w14:paraId="56E51D8E" w14:textId="2B6624A0" w:rsidR="00417C3B" w:rsidRDefault="00417C3B" w:rsidP="00417C3B">
      <w:pPr>
        <w:pStyle w:val="p1"/>
        <w:numPr>
          <w:ilvl w:val="0"/>
          <w:numId w:val="11"/>
        </w:numPr>
        <w:shd w:val="clear" w:color="auto" w:fill="FFFFFF"/>
        <w:spacing w:before="60" w:beforeAutospacing="0" w:after="0" w:afterAutospacing="0" w:line="260" w:lineRule="atLeast"/>
        <w:ind w:left="2127" w:hanging="426"/>
        <w:rPr>
          <w:sz w:val="22"/>
          <w:szCs w:val="22"/>
        </w:rPr>
      </w:pPr>
      <w:r w:rsidRPr="00417C3B">
        <w:rPr>
          <w:sz w:val="22"/>
          <w:szCs w:val="22"/>
        </w:rPr>
        <w:t xml:space="preserve">section 9 of this Standard as in force immediately before the commencement of the </w:t>
      </w:r>
      <w:r w:rsidRPr="00417C3B">
        <w:rPr>
          <w:i/>
          <w:sz w:val="22"/>
          <w:szCs w:val="22"/>
        </w:rPr>
        <w:t>Radiocommunications (Electromagnetic Radiation — Human Exposure) Amendment Standard 2019 (No. 1)</w:t>
      </w:r>
      <w:r>
        <w:rPr>
          <w:sz w:val="22"/>
          <w:szCs w:val="22"/>
        </w:rPr>
        <w:t>; or</w:t>
      </w:r>
    </w:p>
    <w:p w14:paraId="074103AD" w14:textId="03D5C580" w:rsidR="00417C3B" w:rsidRPr="005A4962" w:rsidRDefault="00417C3B" w:rsidP="00417C3B">
      <w:pPr>
        <w:pStyle w:val="p1"/>
        <w:numPr>
          <w:ilvl w:val="0"/>
          <w:numId w:val="11"/>
        </w:numPr>
        <w:shd w:val="clear" w:color="auto" w:fill="FFFFFF"/>
        <w:spacing w:before="60" w:beforeAutospacing="0" w:after="0" w:afterAutospacing="0" w:line="260" w:lineRule="atLeast"/>
        <w:ind w:left="2127" w:hanging="426"/>
        <w:rPr>
          <w:sz w:val="22"/>
          <w:szCs w:val="22"/>
        </w:rPr>
      </w:pPr>
      <w:r>
        <w:rPr>
          <w:sz w:val="22"/>
          <w:szCs w:val="22"/>
        </w:rPr>
        <w:t>section 9 of this Standard</w:t>
      </w:r>
      <w:r w:rsidR="00F97CBB">
        <w:rPr>
          <w:sz w:val="22"/>
          <w:szCs w:val="22"/>
        </w:rPr>
        <w:t xml:space="preserve"> as in force from time to time</w:t>
      </w:r>
      <w:r>
        <w:rPr>
          <w:sz w:val="22"/>
          <w:szCs w:val="22"/>
        </w:rPr>
        <w:t>.</w:t>
      </w:r>
    </w:p>
    <w:p w14:paraId="0370BFD0" w14:textId="5DE23B84" w:rsidR="00813C63" w:rsidRDefault="000D6298" w:rsidP="00813C63">
      <w:pPr>
        <w:pStyle w:val="ItemHead"/>
      </w:pPr>
      <w:proofErr w:type="gramStart"/>
      <w:r>
        <w:t>1</w:t>
      </w:r>
      <w:r w:rsidR="000A04AC">
        <w:t>2</w:t>
      </w:r>
      <w:r w:rsidR="002D3CF2">
        <w:t xml:space="preserve">  </w:t>
      </w:r>
      <w:r w:rsidR="005D59FA">
        <w:t>Paragraph</w:t>
      </w:r>
      <w:proofErr w:type="gramEnd"/>
      <w:r w:rsidR="005D59FA">
        <w:t xml:space="preserve"> </w:t>
      </w:r>
      <w:r w:rsidR="00485261">
        <w:t>10</w:t>
      </w:r>
      <w:r w:rsidR="00813C63">
        <w:t>(1)(b)</w:t>
      </w:r>
    </w:p>
    <w:p w14:paraId="177B5107" w14:textId="260BDBB9" w:rsidR="00813C63" w:rsidRPr="00DB685B" w:rsidRDefault="00813C63" w:rsidP="00813C63">
      <w:pPr>
        <w:pStyle w:val="Item"/>
        <w:rPr>
          <w:szCs w:val="22"/>
        </w:rPr>
      </w:pPr>
      <w:r w:rsidRPr="00DB685B">
        <w:rPr>
          <w:szCs w:val="22"/>
        </w:rPr>
        <w:t>Omit “</w:t>
      </w:r>
      <w:r w:rsidR="00F451EE" w:rsidRPr="00DB685B">
        <w:rPr>
          <w:szCs w:val="22"/>
        </w:rPr>
        <w:t>150MHz to 5.8GH</w:t>
      </w:r>
      <w:r w:rsidRPr="00DB685B">
        <w:rPr>
          <w:szCs w:val="22"/>
        </w:rPr>
        <w:t>z”, substitute “</w:t>
      </w:r>
      <w:r w:rsidR="00F451EE" w:rsidRPr="00DB685B">
        <w:rPr>
          <w:szCs w:val="22"/>
        </w:rPr>
        <w:t>30</w:t>
      </w:r>
      <w:r w:rsidR="00980FD3" w:rsidRPr="00DB685B">
        <w:rPr>
          <w:szCs w:val="22"/>
        </w:rPr>
        <w:t>MHz to 6GHz</w:t>
      </w:r>
      <w:r w:rsidRPr="00DB685B">
        <w:rPr>
          <w:szCs w:val="22"/>
        </w:rPr>
        <w:t>”.</w:t>
      </w:r>
    </w:p>
    <w:bookmarkEnd w:id="11"/>
    <w:p w14:paraId="5AABB3A3" w14:textId="2F0E533F" w:rsidR="00C54775" w:rsidRPr="00C54775" w:rsidRDefault="00C54775" w:rsidP="001446F6">
      <w:pPr>
        <w:pStyle w:val="ItemHead"/>
        <w:ind w:left="0" w:firstLine="0"/>
      </w:pPr>
    </w:p>
    <w:sectPr w:rsidR="00C54775" w:rsidRPr="00C54775" w:rsidSect="00957210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D39E9" w14:textId="77777777" w:rsidR="009A159E" w:rsidRDefault="009A159E" w:rsidP="0017734A">
      <w:pPr>
        <w:spacing w:after="0" w:line="240" w:lineRule="auto"/>
      </w:pPr>
      <w:r>
        <w:separator/>
      </w:r>
    </w:p>
  </w:endnote>
  <w:endnote w:type="continuationSeparator" w:id="0">
    <w:p w14:paraId="5324385F" w14:textId="77777777" w:rsidR="009A159E" w:rsidRDefault="009A159E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B332E" w14:textId="3BE9CDF5" w:rsidR="00946618" w:rsidRDefault="00946618" w:rsidP="0077726D">
    <w:pPr>
      <w:pStyle w:val="Footer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</w:p>
  <w:p w14:paraId="080FBA20" w14:textId="4753D936" w:rsidR="0017734A" w:rsidRDefault="001B653C" w:rsidP="00196A99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  <w:r w:rsidRPr="001B653C">
      <w:rPr>
        <w:rFonts w:ascii="Times New Roman" w:hAnsi="Times New Roman" w:cs="Times New Roman"/>
        <w:i/>
        <w:sz w:val="20"/>
        <w:szCs w:val="20"/>
      </w:rPr>
      <w:t>Radiocommunications (Electromagnetic Radiation — Human Exposure) Amendment Standard 2019 (No. 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688B" w14:textId="77777777" w:rsidR="00C43B25" w:rsidRDefault="00C43B25" w:rsidP="0077726D">
    <w:pPr>
      <w:pStyle w:val="Footer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</w:p>
  <w:p w14:paraId="1BF669D0" w14:textId="77777777" w:rsidR="00C43B25" w:rsidRDefault="00C43B25" w:rsidP="00196A99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  <w:r w:rsidRPr="001B653C">
      <w:rPr>
        <w:rFonts w:ascii="Times New Roman" w:hAnsi="Times New Roman" w:cs="Times New Roman"/>
        <w:i/>
        <w:sz w:val="20"/>
        <w:szCs w:val="20"/>
      </w:rPr>
      <w:t>Radiocommunications (Electromagnetic Radiation — Human Exposure) Amendment Standard 2019 (No.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3444D" w14:textId="77777777" w:rsidR="009A159E" w:rsidRDefault="009A159E" w:rsidP="0017734A">
      <w:pPr>
        <w:spacing w:after="0" w:line="240" w:lineRule="auto"/>
      </w:pPr>
      <w:r>
        <w:separator/>
      </w:r>
    </w:p>
  </w:footnote>
  <w:footnote w:type="continuationSeparator" w:id="0">
    <w:p w14:paraId="6F7C923A" w14:textId="77777777" w:rsidR="009A159E" w:rsidRDefault="009A159E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BAAD" w14:textId="77777777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7987D" w14:textId="77777777" w:rsidR="00CC64DD" w:rsidRDefault="00CC64DD" w:rsidP="00892659">
    <w:pPr>
      <w:pStyle w:val="Header"/>
      <w:pBdr>
        <w:bottom w:val="single" w:sz="4" w:space="1" w:color="auto"/>
      </w:pBdr>
    </w:pPr>
  </w:p>
  <w:p w14:paraId="6361980C" w14:textId="7664C49D" w:rsidR="00CC64DD" w:rsidRPr="00CC64DD" w:rsidRDefault="0091792E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F448A" w14:textId="77777777" w:rsidR="00763259" w:rsidRDefault="00763259" w:rsidP="00892659">
    <w:pPr>
      <w:pStyle w:val="Header"/>
      <w:pBdr>
        <w:bottom w:val="single" w:sz="4" w:space="1" w:color="auto"/>
      </w:pBdr>
    </w:pPr>
  </w:p>
  <w:p w14:paraId="1C7533BC" w14:textId="620BC4FB" w:rsidR="00763259" w:rsidRPr="00CC64DD" w:rsidRDefault="00763259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C0D"/>
    <w:multiLevelType w:val="hybridMultilevel"/>
    <w:tmpl w:val="D11812B8"/>
    <w:lvl w:ilvl="0" w:tplc="2FB6D5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251C"/>
    <w:multiLevelType w:val="hybridMultilevel"/>
    <w:tmpl w:val="1C0090C6"/>
    <w:lvl w:ilvl="0" w:tplc="D7BE30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F1182A"/>
    <w:multiLevelType w:val="hybridMultilevel"/>
    <w:tmpl w:val="50F43040"/>
    <w:lvl w:ilvl="0" w:tplc="953EF10E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6" w:hanging="360"/>
      </w:pPr>
    </w:lvl>
    <w:lvl w:ilvl="2" w:tplc="0C09001B" w:tentative="1">
      <w:start w:val="1"/>
      <w:numFmt w:val="lowerRoman"/>
      <w:lvlText w:val="%3."/>
      <w:lvlJc w:val="right"/>
      <w:pPr>
        <w:ind w:left="3436" w:hanging="180"/>
      </w:pPr>
    </w:lvl>
    <w:lvl w:ilvl="3" w:tplc="0C09000F" w:tentative="1">
      <w:start w:val="1"/>
      <w:numFmt w:val="decimal"/>
      <w:lvlText w:val="%4."/>
      <w:lvlJc w:val="left"/>
      <w:pPr>
        <w:ind w:left="4156" w:hanging="360"/>
      </w:pPr>
    </w:lvl>
    <w:lvl w:ilvl="4" w:tplc="0C090019" w:tentative="1">
      <w:start w:val="1"/>
      <w:numFmt w:val="lowerLetter"/>
      <w:lvlText w:val="%5."/>
      <w:lvlJc w:val="left"/>
      <w:pPr>
        <w:ind w:left="4876" w:hanging="360"/>
      </w:pPr>
    </w:lvl>
    <w:lvl w:ilvl="5" w:tplc="0C09001B" w:tentative="1">
      <w:start w:val="1"/>
      <w:numFmt w:val="lowerRoman"/>
      <w:lvlText w:val="%6."/>
      <w:lvlJc w:val="right"/>
      <w:pPr>
        <w:ind w:left="5596" w:hanging="180"/>
      </w:pPr>
    </w:lvl>
    <w:lvl w:ilvl="6" w:tplc="0C09000F" w:tentative="1">
      <w:start w:val="1"/>
      <w:numFmt w:val="decimal"/>
      <w:lvlText w:val="%7."/>
      <w:lvlJc w:val="left"/>
      <w:pPr>
        <w:ind w:left="6316" w:hanging="360"/>
      </w:pPr>
    </w:lvl>
    <w:lvl w:ilvl="7" w:tplc="0C090019" w:tentative="1">
      <w:start w:val="1"/>
      <w:numFmt w:val="lowerLetter"/>
      <w:lvlText w:val="%8."/>
      <w:lvlJc w:val="left"/>
      <w:pPr>
        <w:ind w:left="7036" w:hanging="360"/>
      </w:pPr>
    </w:lvl>
    <w:lvl w:ilvl="8" w:tplc="0C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BC658B0"/>
    <w:multiLevelType w:val="hybridMultilevel"/>
    <w:tmpl w:val="9ADC953A"/>
    <w:lvl w:ilvl="0" w:tplc="79B0EEF4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4165D5"/>
    <w:multiLevelType w:val="hybridMultilevel"/>
    <w:tmpl w:val="FBF0B12C"/>
    <w:lvl w:ilvl="0" w:tplc="6CAA32C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4A6412"/>
    <w:multiLevelType w:val="hybridMultilevel"/>
    <w:tmpl w:val="7696D5DE"/>
    <w:lvl w:ilvl="0" w:tplc="38C65104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77EE0"/>
    <w:multiLevelType w:val="hybridMultilevel"/>
    <w:tmpl w:val="A2729F84"/>
    <w:lvl w:ilvl="0" w:tplc="1696EBF4">
      <w:start w:val="1"/>
      <w:numFmt w:val="lowerLetter"/>
      <w:lvlText w:val="(%1)"/>
      <w:lvlJc w:val="left"/>
      <w:pPr>
        <w:ind w:left="19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9" w:hanging="360"/>
      </w:pPr>
    </w:lvl>
    <w:lvl w:ilvl="2" w:tplc="0C09001B" w:tentative="1">
      <w:start w:val="1"/>
      <w:numFmt w:val="lowerRoman"/>
      <w:lvlText w:val="%3."/>
      <w:lvlJc w:val="right"/>
      <w:pPr>
        <w:ind w:left="3439" w:hanging="180"/>
      </w:pPr>
    </w:lvl>
    <w:lvl w:ilvl="3" w:tplc="0C09000F" w:tentative="1">
      <w:start w:val="1"/>
      <w:numFmt w:val="decimal"/>
      <w:lvlText w:val="%4."/>
      <w:lvlJc w:val="left"/>
      <w:pPr>
        <w:ind w:left="4159" w:hanging="360"/>
      </w:pPr>
    </w:lvl>
    <w:lvl w:ilvl="4" w:tplc="0C090019" w:tentative="1">
      <w:start w:val="1"/>
      <w:numFmt w:val="lowerLetter"/>
      <w:lvlText w:val="%5."/>
      <w:lvlJc w:val="left"/>
      <w:pPr>
        <w:ind w:left="4879" w:hanging="360"/>
      </w:pPr>
    </w:lvl>
    <w:lvl w:ilvl="5" w:tplc="0C09001B" w:tentative="1">
      <w:start w:val="1"/>
      <w:numFmt w:val="lowerRoman"/>
      <w:lvlText w:val="%6."/>
      <w:lvlJc w:val="right"/>
      <w:pPr>
        <w:ind w:left="5599" w:hanging="180"/>
      </w:pPr>
    </w:lvl>
    <w:lvl w:ilvl="6" w:tplc="0C09000F" w:tentative="1">
      <w:start w:val="1"/>
      <w:numFmt w:val="decimal"/>
      <w:lvlText w:val="%7."/>
      <w:lvlJc w:val="left"/>
      <w:pPr>
        <w:ind w:left="6319" w:hanging="360"/>
      </w:pPr>
    </w:lvl>
    <w:lvl w:ilvl="7" w:tplc="0C090019" w:tentative="1">
      <w:start w:val="1"/>
      <w:numFmt w:val="lowerLetter"/>
      <w:lvlText w:val="%8."/>
      <w:lvlJc w:val="left"/>
      <w:pPr>
        <w:ind w:left="7039" w:hanging="360"/>
      </w:pPr>
    </w:lvl>
    <w:lvl w:ilvl="8" w:tplc="0C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51C2"/>
    <w:multiLevelType w:val="hybridMultilevel"/>
    <w:tmpl w:val="86746EE2"/>
    <w:lvl w:ilvl="0" w:tplc="D914521C">
      <w:start w:val="1"/>
      <w:numFmt w:val="lowerLetter"/>
      <w:lvlText w:val="(%1)"/>
      <w:lvlJc w:val="left"/>
      <w:pPr>
        <w:ind w:left="205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775" w:hanging="360"/>
      </w:pPr>
    </w:lvl>
    <w:lvl w:ilvl="2" w:tplc="0C09001B" w:tentative="1">
      <w:start w:val="1"/>
      <w:numFmt w:val="lowerRoman"/>
      <w:lvlText w:val="%3."/>
      <w:lvlJc w:val="right"/>
      <w:pPr>
        <w:ind w:left="3495" w:hanging="180"/>
      </w:pPr>
    </w:lvl>
    <w:lvl w:ilvl="3" w:tplc="0C09000F" w:tentative="1">
      <w:start w:val="1"/>
      <w:numFmt w:val="decimal"/>
      <w:lvlText w:val="%4."/>
      <w:lvlJc w:val="left"/>
      <w:pPr>
        <w:ind w:left="4215" w:hanging="360"/>
      </w:pPr>
    </w:lvl>
    <w:lvl w:ilvl="4" w:tplc="0C090019" w:tentative="1">
      <w:start w:val="1"/>
      <w:numFmt w:val="lowerLetter"/>
      <w:lvlText w:val="%5."/>
      <w:lvlJc w:val="left"/>
      <w:pPr>
        <w:ind w:left="4935" w:hanging="360"/>
      </w:pPr>
    </w:lvl>
    <w:lvl w:ilvl="5" w:tplc="0C09001B" w:tentative="1">
      <w:start w:val="1"/>
      <w:numFmt w:val="lowerRoman"/>
      <w:lvlText w:val="%6."/>
      <w:lvlJc w:val="right"/>
      <w:pPr>
        <w:ind w:left="5655" w:hanging="180"/>
      </w:pPr>
    </w:lvl>
    <w:lvl w:ilvl="6" w:tplc="0C09000F" w:tentative="1">
      <w:start w:val="1"/>
      <w:numFmt w:val="decimal"/>
      <w:lvlText w:val="%7."/>
      <w:lvlJc w:val="left"/>
      <w:pPr>
        <w:ind w:left="6375" w:hanging="360"/>
      </w:pPr>
    </w:lvl>
    <w:lvl w:ilvl="7" w:tplc="0C090019" w:tentative="1">
      <w:start w:val="1"/>
      <w:numFmt w:val="lowerLetter"/>
      <w:lvlText w:val="%8."/>
      <w:lvlJc w:val="left"/>
      <w:pPr>
        <w:ind w:left="7095" w:hanging="360"/>
      </w:pPr>
    </w:lvl>
    <w:lvl w:ilvl="8" w:tplc="0C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55915E5A"/>
    <w:multiLevelType w:val="hybridMultilevel"/>
    <w:tmpl w:val="9EF00920"/>
    <w:lvl w:ilvl="0" w:tplc="5F5848B6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845F4E"/>
    <w:multiLevelType w:val="hybridMultilevel"/>
    <w:tmpl w:val="B4C2EA48"/>
    <w:lvl w:ilvl="0" w:tplc="437415A4">
      <w:start w:val="1"/>
      <w:numFmt w:val="lowerRoman"/>
      <w:lvlText w:val="(%1)"/>
      <w:lvlJc w:val="left"/>
      <w:pPr>
        <w:ind w:left="50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400" w:hanging="360"/>
      </w:pPr>
    </w:lvl>
    <w:lvl w:ilvl="2" w:tplc="0C09001B" w:tentative="1">
      <w:start w:val="1"/>
      <w:numFmt w:val="lowerRoman"/>
      <w:lvlText w:val="%3."/>
      <w:lvlJc w:val="right"/>
      <w:pPr>
        <w:ind w:left="6120" w:hanging="180"/>
      </w:pPr>
    </w:lvl>
    <w:lvl w:ilvl="3" w:tplc="0C09000F" w:tentative="1">
      <w:start w:val="1"/>
      <w:numFmt w:val="decimal"/>
      <w:lvlText w:val="%4."/>
      <w:lvlJc w:val="left"/>
      <w:pPr>
        <w:ind w:left="6840" w:hanging="360"/>
      </w:pPr>
    </w:lvl>
    <w:lvl w:ilvl="4" w:tplc="0C090019" w:tentative="1">
      <w:start w:val="1"/>
      <w:numFmt w:val="lowerLetter"/>
      <w:lvlText w:val="%5."/>
      <w:lvlJc w:val="left"/>
      <w:pPr>
        <w:ind w:left="7560" w:hanging="360"/>
      </w:pPr>
    </w:lvl>
    <w:lvl w:ilvl="5" w:tplc="0C09001B" w:tentative="1">
      <w:start w:val="1"/>
      <w:numFmt w:val="lowerRoman"/>
      <w:lvlText w:val="%6."/>
      <w:lvlJc w:val="right"/>
      <w:pPr>
        <w:ind w:left="8280" w:hanging="180"/>
      </w:pPr>
    </w:lvl>
    <w:lvl w:ilvl="6" w:tplc="0C09000F" w:tentative="1">
      <w:start w:val="1"/>
      <w:numFmt w:val="decimal"/>
      <w:lvlText w:val="%7."/>
      <w:lvlJc w:val="left"/>
      <w:pPr>
        <w:ind w:left="9000" w:hanging="360"/>
      </w:pPr>
    </w:lvl>
    <w:lvl w:ilvl="7" w:tplc="0C090019" w:tentative="1">
      <w:start w:val="1"/>
      <w:numFmt w:val="lowerLetter"/>
      <w:lvlText w:val="%8."/>
      <w:lvlJc w:val="left"/>
      <w:pPr>
        <w:ind w:left="9720" w:hanging="360"/>
      </w:pPr>
    </w:lvl>
    <w:lvl w:ilvl="8" w:tplc="0C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5B604A54"/>
    <w:multiLevelType w:val="hybridMultilevel"/>
    <w:tmpl w:val="C61E04C8"/>
    <w:lvl w:ilvl="0" w:tplc="1B8E70E6">
      <w:start w:val="1"/>
      <w:numFmt w:val="decimal"/>
      <w:lvlText w:val="(%1)"/>
      <w:lvlJc w:val="left"/>
      <w:pPr>
        <w:ind w:left="16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9" w:hanging="360"/>
      </w:pPr>
    </w:lvl>
    <w:lvl w:ilvl="2" w:tplc="0C09001B" w:tentative="1">
      <w:start w:val="1"/>
      <w:numFmt w:val="lowerRoman"/>
      <w:lvlText w:val="%3."/>
      <w:lvlJc w:val="right"/>
      <w:pPr>
        <w:ind w:left="3079" w:hanging="180"/>
      </w:pPr>
    </w:lvl>
    <w:lvl w:ilvl="3" w:tplc="0C09000F" w:tentative="1">
      <w:start w:val="1"/>
      <w:numFmt w:val="decimal"/>
      <w:lvlText w:val="%4."/>
      <w:lvlJc w:val="left"/>
      <w:pPr>
        <w:ind w:left="3799" w:hanging="360"/>
      </w:pPr>
    </w:lvl>
    <w:lvl w:ilvl="4" w:tplc="0C090019" w:tentative="1">
      <w:start w:val="1"/>
      <w:numFmt w:val="lowerLetter"/>
      <w:lvlText w:val="%5."/>
      <w:lvlJc w:val="left"/>
      <w:pPr>
        <w:ind w:left="4519" w:hanging="360"/>
      </w:pPr>
    </w:lvl>
    <w:lvl w:ilvl="5" w:tplc="0C09001B" w:tentative="1">
      <w:start w:val="1"/>
      <w:numFmt w:val="lowerRoman"/>
      <w:lvlText w:val="%6."/>
      <w:lvlJc w:val="right"/>
      <w:pPr>
        <w:ind w:left="5239" w:hanging="180"/>
      </w:pPr>
    </w:lvl>
    <w:lvl w:ilvl="6" w:tplc="0C09000F" w:tentative="1">
      <w:start w:val="1"/>
      <w:numFmt w:val="decimal"/>
      <w:lvlText w:val="%7."/>
      <w:lvlJc w:val="left"/>
      <w:pPr>
        <w:ind w:left="5959" w:hanging="360"/>
      </w:pPr>
    </w:lvl>
    <w:lvl w:ilvl="7" w:tplc="0C090019" w:tentative="1">
      <w:start w:val="1"/>
      <w:numFmt w:val="lowerLetter"/>
      <w:lvlText w:val="%8."/>
      <w:lvlJc w:val="left"/>
      <w:pPr>
        <w:ind w:left="6679" w:hanging="360"/>
      </w:pPr>
    </w:lvl>
    <w:lvl w:ilvl="8" w:tplc="0C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17B56"/>
    <w:multiLevelType w:val="hybridMultilevel"/>
    <w:tmpl w:val="856AD8C4"/>
    <w:lvl w:ilvl="0" w:tplc="88B63C88">
      <w:start w:val="1"/>
      <w:numFmt w:val="lowerRoman"/>
      <w:lvlText w:val="(%1)"/>
      <w:lvlJc w:val="left"/>
      <w:pPr>
        <w:ind w:left="2847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66911E1D"/>
    <w:multiLevelType w:val="hybridMultilevel"/>
    <w:tmpl w:val="1C7040D8"/>
    <w:lvl w:ilvl="0" w:tplc="EB76BBB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3B02C8"/>
    <w:multiLevelType w:val="hybridMultilevel"/>
    <w:tmpl w:val="9EF00920"/>
    <w:lvl w:ilvl="0" w:tplc="5F5848B6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1C0255"/>
    <w:multiLevelType w:val="hybridMultilevel"/>
    <w:tmpl w:val="98E63106"/>
    <w:lvl w:ilvl="0" w:tplc="18689F5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E24A02"/>
    <w:multiLevelType w:val="hybridMultilevel"/>
    <w:tmpl w:val="98E63106"/>
    <w:lvl w:ilvl="0" w:tplc="18689F5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19060D"/>
    <w:multiLevelType w:val="hybridMultilevel"/>
    <w:tmpl w:val="6EF8905E"/>
    <w:lvl w:ilvl="0" w:tplc="3F2A98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0"/>
  </w:num>
  <w:num w:numId="4">
    <w:abstractNumId w:val="15"/>
  </w:num>
  <w:num w:numId="5">
    <w:abstractNumId w:val="9"/>
  </w:num>
  <w:num w:numId="6">
    <w:abstractNumId w:val="6"/>
  </w:num>
  <w:num w:numId="7">
    <w:abstractNumId w:val="14"/>
  </w:num>
  <w:num w:numId="8">
    <w:abstractNumId w:val="8"/>
  </w:num>
  <w:num w:numId="9">
    <w:abstractNumId w:val="5"/>
  </w:num>
  <w:num w:numId="10">
    <w:abstractNumId w:val="11"/>
  </w:num>
  <w:num w:numId="11">
    <w:abstractNumId w:val="2"/>
  </w:num>
  <w:num w:numId="12">
    <w:abstractNumId w:val="21"/>
  </w:num>
  <w:num w:numId="13">
    <w:abstractNumId w:val="13"/>
  </w:num>
  <w:num w:numId="14">
    <w:abstractNumId w:val="16"/>
  </w:num>
  <w:num w:numId="15">
    <w:abstractNumId w:val="3"/>
  </w:num>
  <w:num w:numId="16">
    <w:abstractNumId w:val="18"/>
  </w:num>
  <w:num w:numId="17">
    <w:abstractNumId w:val="19"/>
  </w:num>
  <w:num w:numId="18">
    <w:abstractNumId w:val="12"/>
  </w:num>
  <w:num w:numId="19">
    <w:abstractNumId w:val="20"/>
  </w:num>
  <w:num w:numId="20">
    <w:abstractNumId w:val="4"/>
  </w:num>
  <w:num w:numId="21">
    <w:abstractNumId w:val="1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17867"/>
    <w:rsid w:val="00032B82"/>
    <w:rsid w:val="000340E0"/>
    <w:rsid w:val="000403B3"/>
    <w:rsid w:val="00066114"/>
    <w:rsid w:val="00070BC5"/>
    <w:rsid w:val="00073EC1"/>
    <w:rsid w:val="000836CB"/>
    <w:rsid w:val="000912DF"/>
    <w:rsid w:val="00097057"/>
    <w:rsid w:val="00097890"/>
    <w:rsid w:val="000A04AC"/>
    <w:rsid w:val="000A430B"/>
    <w:rsid w:val="000A7FE6"/>
    <w:rsid w:val="000B043F"/>
    <w:rsid w:val="000B4E1A"/>
    <w:rsid w:val="000C5A8B"/>
    <w:rsid w:val="000D339C"/>
    <w:rsid w:val="000D48D9"/>
    <w:rsid w:val="000D6298"/>
    <w:rsid w:val="000E475A"/>
    <w:rsid w:val="000F1394"/>
    <w:rsid w:val="000F251B"/>
    <w:rsid w:val="00105CF3"/>
    <w:rsid w:val="00112E80"/>
    <w:rsid w:val="00117B43"/>
    <w:rsid w:val="00120625"/>
    <w:rsid w:val="00121BB9"/>
    <w:rsid w:val="001232CF"/>
    <w:rsid w:val="00130C48"/>
    <w:rsid w:val="001410FE"/>
    <w:rsid w:val="00141836"/>
    <w:rsid w:val="0014279F"/>
    <w:rsid w:val="001446F6"/>
    <w:rsid w:val="00145DB8"/>
    <w:rsid w:val="001517AD"/>
    <w:rsid w:val="00155BD3"/>
    <w:rsid w:val="00156794"/>
    <w:rsid w:val="0016521E"/>
    <w:rsid w:val="00166918"/>
    <w:rsid w:val="001716DF"/>
    <w:rsid w:val="00174B19"/>
    <w:rsid w:val="0017734A"/>
    <w:rsid w:val="00177E98"/>
    <w:rsid w:val="00182585"/>
    <w:rsid w:val="001825E8"/>
    <w:rsid w:val="00182B4C"/>
    <w:rsid w:val="00190897"/>
    <w:rsid w:val="00193B12"/>
    <w:rsid w:val="00196A99"/>
    <w:rsid w:val="001A1BFE"/>
    <w:rsid w:val="001A23DC"/>
    <w:rsid w:val="001B653C"/>
    <w:rsid w:val="001C12ED"/>
    <w:rsid w:val="001C1DAB"/>
    <w:rsid w:val="001C2C5F"/>
    <w:rsid w:val="001D0247"/>
    <w:rsid w:val="001D341B"/>
    <w:rsid w:val="001D60E6"/>
    <w:rsid w:val="001E52EE"/>
    <w:rsid w:val="001E682E"/>
    <w:rsid w:val="00201FC6"/>
    <w:rsid w:val="0020657F"/>
    <w:rsid w:val="002113D7"/>
    <w:rsid w:val="0021176E"/>
    <w:rsid w:val="00217026"/>
    <w:rsid w:val="00220B89"/>
    <w:rsid w:val="0023229F"/>
    <w:rsid w:val="00237B8C"/>
    <w:rsid w:val="0024247C"/>
    <w:rsid w:val="00250894"/>
    <w:rsid w:val="002516B7"/>
    <w:rsid w:val="00253AF5"/>
    <w:rsid w:val="002607CE"/>
    <w:rsid w:val="00260AEB"/>
    <w:rsid w:val="0026263D"/>
    <w:rsid w:val="00263D41"/>
    <w:rsid w:val="00265688"/>
    <w:rsid w:val="00270593"/>
    <w:rsid w:val="002803DB"/>
    <w:rsid w:val="00280AC2"/>
    <w:rsid w:val="00292502"/>
    <w:rsid w:val="00296D43"/>
    <w:rsid w:val="002A05AA"/>
    <w:rsid w:val="002A40E4"/>
    <w:rsid w:val="002A6DE1"/>
    <w:rsid w:val="002B5793"/>
    <w:rsid w:val="002B6033"/>
    <w:rsid w:val="002B73D8"/>
    <w:rsid w:val="002D3CF2"/>
    <w:rsid w:val="002D4A72"/>
    <w:rsid w:val="002D7014"/>
    <w:rsid w:val="002E304A"/>
    <w:rsid w:val="002E3CDB"/>
    <w:rsid w:val="002E7740"/>
    <w:rsid w:val="002F0E3F"/>
    <w:rsid w:val="002F2B06"/>
    <w:rsid w:val="002F7F2E"/>
    <w:rsid w:val="00306DAE"/>
    <w:rsid w:val="00320B8E"/>
    <w:rsid w:val="0032128C"/>
    <w:rsid w:val="003243BB"/>
    <w:rsid w:val="00330910"/>
    <w:rsid w:val="00330E3F"/>
    <w:rsid w:val="00331677"/>
    <w:rsid w:val="003356DF"/>
    <w:rsid w:val="003526E7"/>
    <w:rsid w:val="0035270A"/>
    <w:rsid w:val="00354CC7"/>
    <w:rsid w:val="00357EC0"/>
    <w:rsid w:val="003633A1"/>
    <w:rsid w:val="00365A8B"/>
    <w:rsid w:val="0036711F"/>
    <w:rsid w:val="0037190C"/>
    <w:rsid w:val="003974E2"/>
    <w:rsid w:val="003A6FC7"/>
    <w:rsid w:val="003B17C8"/>
    <w:rsid w:val="003B2710"/>
    <w:rsid w:val="003C44A9"/>
    <w:rsid w:val="003D42C5"/>
    <w:rsid w:val="003F7A2A"/>
    <w:rsid w:val="00403A9F"/>
    <w:rsid w:val="00410890"/>
    <w:rsid w:val="00411B92"/>
    <w:rsid w:val="004146CD"/>
    <w:rsid w:val="00417C3B"/>
    <w:rsid w:val="004202AD"/>
    <w:rsid w:val="0042141B"/>
    <w:rsid w:val="00421FEB"/>
    <w:rsid w:val="00422980"/>
    <w:rsid w:val="004309EA"/>
    <w:rsid w:val="004361D9"/>
    <w:rsid w:val="00436AAD"/>
    <w:rsid w:val="0044431E"/>
    <w:rsid w:val="00445E4C"/>
    <w:rsid w:val="0046060F"/>
    <w:rsid w:val="00460FD9"/>
    <w:rsid w:val="00475CAC"/>
    <w:rsid w:val="00477CF4"/>
    <w:rsid w:val="00485261"/>
    <w:rsid w:val="00490EE4"/>
    <w:rsid w:val="00496A53"/>
    <w:rsid w:val="004A0141"/>
    <w:rsid w:val="004A0519"/>
    <w:rsid w:val="004A5D20"/>
    <w:rsid w:val="004B02F8"/>
    <w:rsid w:val="004B5752"/>
    <w:rsid w:val="004B5A51"/>
    <w:rsid w:val="004D5A2C"/>
    <w:rsid w:val="004D6B79"/>
    <w:rsid w:val="004E0C92"/>
    <w:rsid w:val="004F2890"/>
    <w:rsid w:val="004F32A0"/>
    <w:rsid w:val="004F5D89"/>
    <w:rsid w:val="005006F9"/>
    <w:rsid w:val="005058D2"/>
    <w:rsid w:val="00511055"/>
    <w:rsid w:val="00517FA7"/>
    <w:rsid w:val="005245F4"/>
    <w:rsid w:val="00524717"/>
    <w:rsid w:val="00534220"/>
    <w:rsid w:val="00535035"/>
    <w:rsid w:val="00535E86"/>
    <w:rsid w:val="0056193D"/>
    <w:rsid w:val="00563F70"/>
    <w:rsid w:val="00570159"/>
    <w:rsid w:val="00574BD5"/>
    <w:rsid w:val="005849EE"/>
    <w:rsid w:val="00587AB2"/>
    <w:rsid w:val="00590209"/>
    <w:rsid w:val="0059120F"/>
    <w:rsid w:val="005957A6"/>
    <w:rsid w:val="005A4962"/>
    <w:rsid w:val="005B4848"/>
    <w:rsid w:val="005B539F"/>
    <w:rsid w:val="005C02FA"/>
    <w:rsid w:val="005C19F7"/>
    <w:rsid w:val="005C23A5"/>
    <w:rsid w:val="005C5ABA"/>
    <w:rsid w:val="005D59FA"/>
    <w:rsid w:val="005D717F"/>
    <w:rsid w:val="005E0259"/>
    <w:rsid w:val="00611E00"/>
    <w:rsid w:val="0061481C"/>
    <w:rsid w:val="00616690"/>
    <w:rsid w:val="00617143"/>
    <w:rsid w:val="0061726E"/>
    <w:rsid w:val="00637F5A"/>
    <w:rsid w:val="0064156B"/>
    <w:rsid w:val="00657FEA"/>
    <w:rsid w:val="006654BF"/>
    <w:rsid w:val="00665C7A"/>
    <w:rsid w:val="00682099"/>
    <w:rsid w:val="0068479E"/>
    <w:rsid w:val="00685E85"/>
    <w:rsid w:val="006935FA"/>
    <w:rsid w:val="006A06F8"/>
    <w:rsid w:val="006A15E8"/>
    <w:rsid w:val="006A3535"/>
    <w:rsid w:val="006B0532"/>
    <w:rsid w:val="006B2E2F"/>
    <w:rsid w:val="006C0251"/>
    <w:rsid w:val="006D7F14"/>
    <w:rsid w:val="006E6C02"/>
    <w:rsid w:val="006E7A3D"/>
    <w:rsid w:val="006F5CF2"/>
    <w:rsid w:val="00700139"/>
    <w:rsid w:val="00703828"/>
    <w:rsid w:val="007055D1"/>
    <w:rsid w:val="00705E04"/>
    <w:rsid w:val="00721611"/>
    <w:rsid w:val="00721966"/>
    <w:rsid w:val="00721F40"/>
    <w:rsid w:val="00722862"/>
    <w:rsid w:val="0072323E"/>
    <w:rsid w:val="00733FB0"/>
    <w:rsid w:val="007459AD"/>
    <w:rsid w:val="007459E5"/>
    <w:rsid w:val="0074734B"/>
    <w:rsid w:val="007538EB"/>
    <w:rsid w:val="00763259"/>
    <w:rsid w:val="00763A81"/>
    <w:rsid w:val="007649D6"/>
    <w:rsid w:val="00764E0A"/>
    <w:rsid w:val="00775AE8"/>
    <w:rsid w:val="0077726D"/>
    <w:rsid w:val="00783D67"/>
    <w:rsid w:val="00791055"/>
    <w:rsid w:val="007944C8"/>
    <w:rsid w:val="007B278F"/>
    <w:rsid w:val="007B579A"/>
    <w:rsid w:val="007C04B1"/>
    <w:rsid w:val="007C4EDA"/>
    <w:rsid w:val="007D4F25"/>
    <w:rsid w:val="007E27AC"/>
    <w:rsid w:val="007E3485"/>
    <w:rsid w:val="007F0995"/>
    <w:rsid w:val="007F43BC"/>
    <w:rsid w:val="007F43E2"/>
    <w:rsid w:val="00800926"/>
    <w:rsid w:val="00802CC8"/>
    <w:rsid w:val="00813C63"/>
    <w:rsid w:val="00813E5A"/>
    <w:rsid w:val="00820EC6"/>
    <w:rsid w:val="0083081F"/>
    <w:rsid w:val="008331B0"/>
    <w:rsid w:val="00850126"/>
    <w:rsid w:val="0085102B"/>
    <w:rsid w:val="00861AA2"/>
    <w:rsid w:val="00873E16"/>
    <w:rsid w:val="0087432E"/>
    <w:rsid w:val="008761F2"/>
    <w:rsid w:val="00877B4A"/>
    <w:rsid w:val="00892659"/>
    <w:rsid w:val="00896A23"/>
    <w:rsid w:val="00897161"/>
    <w:rsid w:val="008A2FA8"/>
    <w:rsid w:val="008B57A5"/>
    <w:rsid w:val="008D642E"/>
    <w:rsid w:val="0090786E"/>
    <w:rsid w:val="00917056"/>
    <w:rsid w:val="0091792E"/>
    <w:rsid w:val="00926636"/>
    <w:rsid w:val="00927898"/>
    <w:rsid w:val="0093475D"/>
    <w:rsid w:val="00935767"/>
    <w:rsid w:val="0094289A"/>
    <w:rsid w:val="00946618"/>
    <w:rsid w:val="00947990"/>
    <w:rsid w:val="00957210"/>
    <w:rsid w:val="00966A0B"/>
    <w:rsid w:val="0097132A"/>
    <w:rsid w:val="00980FD3"/>
    <w:rsid w:val="0098197A"/>
    <w:rsid w:val="00987A5F"/>
    <w:rsid w:val="0099363A"/>
    <w:rsid w:val="009A159E"/>
    <w:rsid w:val="009B04F8"/>
    <w:rsid w:val="009C35A6"/>
    <w:rsid w:val="009D4AF3"/>
    <w:rsid w:val="009E48CD"/>
    <w:rsid w:val="009F134F"/>
    <w:rsid w:val="009F34A0"/>
    <w:rsid w:val="009F3C19"/>
    <w:rsid w:val="009F3E9C"/>
    <w:rsid w:val="009F69E9"/>
    <w:rsid w:val="00A00F95"/>
    <w:rsid w:val="00A04A88"/>
    <w:rsid w:val="00A15D4C"/>
    <w:rsid w:val="00A17D37"/>
    <w:rsid w:val="00A17FF9"/>
    <w:rsid w:val="00A32C84"/>
    <w:rsid w:val="00A3719A"/>
    <w:rsid w:val="00A50D1D"/>
    <w:rsid w:val="00A533E4"/>
    <w:rsid w:val="00A55A29"/>
    <w:rsid w:val="00A64187"/>
    <w:rsid w:val="00A64DDF"/>
    <w:rsid w:val="00A8580A"/>
    <w:rsid w:val="00A95E77"/>
    <w:rsid w:val="00A965A3"/>
    <w:rsid w:val="00A97B52"/>
    <w:rsid w:val="00AA2885"/>
    <w:rsid w:val="00AA425A"/>
    <w:rsid w:val="00AA4F16"/>
    <w:rsid w:val="00AA72FD"/>
    <w:rsid w:val="00AB03E0"/>
    <w:rsid w:val="00AB08BB"/>
    <w:rsid w:val="00AB663C"/>
    <w:rsid w:val="00AC1169"/>
    <w:rsid w:val="00AC38D4"/>
    <w:rsid w:val="00AC3D6A"/>
    <w:rsid w:val="00AD1382"/>
    <w:rsid w:val="00AD14AA"/>
    <w:rsid w:val="00AD1EEA"/>
    <w:rsid w:val="00AD476D"/>
    <w:rsid w:val="00AD7EF0"/>
    <w:rsid w:val="00AE2F82"/>
    <w:rsid w:val="00AE4565"/>
    <w:rsid w:val="00AE50D5"/>
    <w:rsid w:val="00AF33ED"/>
    <w:rsid w:val="00AF630D"/>
    <w:rsid w:val="00AF6631"/>
    <w:rsid w:val="00B0157A"/>
    <w:rsid w:val="00B05800"/>
    <w:rsid w:val="00B16318"/>
    <w:rsid w:val="00B16ADC"/>
    <w:rsid w:val="00B218AB"/>
    <w:rsid w:val="00B22FA4"/>
    <w:rsid w:val="00B306A0"/>
    <w:rsid w:val="00B312F3"/>
    <w:rsid w:val="00B3360A"/>
    <w:rsid w:val="00B467B2"/>
    <w:rsid w:val="00B53C81"/>
    <w:rsid w:val="00B54209"/>
    <w:rsid w:val="00B57D76"/>
    <w:rsid w:val="00B71A99"/>
    <w:rsid w:val="00B7359B"/>
    <w:rsid w:val="00B90F17"/>
    <w:rsid w:val="00B9274B"/>
    <w:rsid w:val="00BA0B4D"/>
    <w:rsid w:val="00BA1733"/>
    <w:rsid w:val="00BA34C5"/>
    <w:rsid w:val="00BB4284"/>
    <w:rsid w:val="00BC6250"/>
    <w:rsid w:val="00BD2CD7"/>
    <w:rsid w:val="00BD2F21"/>
    <w:rsid w:val="00BD4288"/>
    <w:rsid w:val="00BD77C9"/>
    <w:rsid w:val="00BE1E19"/>
    <w:rsid w:val="00BE5236"/>
    <w:rsid w:val="00BE74D4"/>
    <w:rsid w:val="00BF161C"/>
    <w:rsid w:val="00BF7734"/>
    <w:rsid w:val="00C021E7"/>
    <w:rsid w:val="00C0721E"/>
    <w:rsid w:val="00C11DDA"/>
    <w:rsid w:val="00C1738A"/>
    <w:rsid w:val="00C20572"/>
    <w:rsid w:val="00C32F3A"/>
    <w:rsid w:val="00C36606"/>
    <w:rsid w:val="00C409D4"/>
    <w:rsid w:val="00C42198"/>
    <w:rsid w:val="00C4249D"/>
    <w:rsid w:val="00C43723"/>
    <w:rsid w:val="00C43B25"/>
    <w:rsid w:val="00C4459C"/>
    <w:rsid w:val="00C54775"/>
    <w:rsid w:val="00C71233"/>
    <w:rsid w:val="00C75D19"/>
    <w:rsid w:val="00C77971"/>
    <w:rsid w:val="00C8552C"/>
    <w:rsid w:val="00C91E52"/>
    <w:rsid w:val="00CB139E"/>
    <w:rsid w:val="00CC4583"/>
    <w:rsid w:val="00CC64DD"/>
    <w:rsid w:val="00CF4B8F"/>
    <w:rsid w:val="00D04DB2"/>
    <w:rsid w:val="00D07CC2"/>
    <w:rsid w:val="00D07F2E"/>
    <w:rsid w:val="00D144E2"/>
    <w:rsid w:val="00D2168B"/>
    <w:rsid w:val="00D24F9B"/>
    <w:rsid w:val="00D26102"/>
    <w:rsid w:val="00D26ECA"/>
    <w:rsid w:val="00D33516"/>
    <w:rsid w:val="00D46603"/>
    <w:rsid w:val="00D63506"/>
    <w:rsid w:val="00D63767"/>
    <w:rsid w:val="00D64E33"/>
    <w:rsid w:val="00D708E4"/>
    <w:rsid w:val="00D840DC"/>
    <w:rsid w:val="00D94B46"/>
    <w:rsid w:val="00D971B5"/>
    <w:rsid w:val="00DA27CE"/>
    <w:rsid w:val="00DA5BA3"/>
    <w:rsid w:val="00DB3C67"/>
    <w:rsid w:val="00DB685B"/>
    <w:rsid w:val="00DB76A1"/>
    <w:rsid w:val="00DB7A8C"/>
    <w:rsid w:val="00DC39CC"/>
    <w:rsid w:val="00DC6B14"/>
    <w:rsid w:val="00DD7D1F"/>
    <w:rsid w:val="00DE037F"/>
    <w:rsid w:val="00DE347C"/>
    <w:rsid w:val="00DE7F44"/>
    <w:rsid w:val="00DF4ACA"/>
    <w:rsid w:val="00E00C39"/>
    <w:rsid w:val="00E07E5C"/>
    <w:rsid w:val="00E1191F"/>
    <w:rsid w:val="00E119E6"/>
    <w:rsid w:val="00E138D0"/>
    <w:rsid w:val="00E2399E"/>
    <w:rsid w:val="00E318F7"/>
    <w:rsid w:val="00E33518"/>
    <w:rsid w:val="00E35069"/>
    <w:rsid w:val="00E50713"/>
    <w:rsid w:val="00E57E03"/>
    <w:rsid w:val="00E62B65"/>
    <w:rsid w:val="00E63B20"/>
    <w:rsid w:val="00E64B52"/>
    <w:rsid w:val="00E71C31"/>
    <w:rsid w:val="00E71CAE"/>
    <w:rsid w:val="00E7332E"/>
    <w:rsid w:val="00E91157"/>
    <w:rsid w:val="00E92483"/>
    <w:rsid w:val="00E937D2"/>
    <w:rsid w:val="00E9552E"/>
    <w:rsid w:val="00E96829"/>
    <w:rsid w:val="00EB752B"/>
    <w:rsid w:val="00EB7C23"/>
    <w:rsid w:val="00EC54C3"/>
    <w:rsid w:val="00EC5894"/>
    <w:rsid w:val="00ED1DAF"/>
    <w:rsid w:val="00ED2093"/>
    <w:rsid w:val="00ED5D7A"/>
    <w:rsid w:val="00EF6088"/>
    <w:rsid w:val="00F0197E"/>
    <w:rsid w:val="00F215F3"/>
    <w:rsid w:val="00F26DEC"/>
    <w:rsid w:val="00F31BB3"/>
    <w:rsid w:val="00F31EC9"/>
    <w:rsid w:val="00F42EA3"/>
    <w:rsid w:val="00F451EE"/>
    <w:rsid w:val="00F47839"/>
    <w:rsid w:val="00F53096"/>
    <w:rsid w:val="00F60F77"/>
    <w:rsid w:val="00F62C07"/>
    <w:rsid w:val="00F64191"/>
    <w:rsid w:val="00F72B84"/>
    <w:rsid w:val="00F76343"/>
    <w:rsid w:val="00F764B4"/>
    <w:rsid w:val="00F77DB5"/>
    <w:rsid w:val="00F856A6"/>
    <w:rsid w:val="00F85ED9"/>
    <w:rsid w:val="00F90520"/>
    <w:rsid w:val="00F90642"/>
    <w:rsid w:val="00F931DC"/>
    <w:rsid w:val="00F97CBB"/>
    <w:rsid w:val="00FB1C69"/>
    <w:rsid w:val="00FB1F3D"/>
    <w:rsid w:val="00FB59C1"/>
    <w:rsid w:val="00FE73B7"/>
    <w:rsid w:val="00FE7AF9"/>
    <w:rsid w:val="00FF0D27"/>
    <w:rsid w:val="00FF355C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egsubtitle1">
    <w:name w:val="legsubtitle1"/>
    <w:basedOn w:val="DefaultParagraphFont"/>
    <w:rsid w:val="00156794"/>
    <w:rPr>
      <w:b/>
      <w:bCs/>
    </w:rPr>
  </w:style>
  <w:style w:type="paragraph" w:customStyle="1" w:styleId="ACMABodyText">
    <w:name w:val="ACMA Body Text"/>
    <w:rsid w:val="0014279F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14279F"/>
    <w:pPr>
      <w:keepNext/>
      <w:keepLines/>
      <w:spacing w:before="360" w:after="0" w:line="240" w:lineRule="auto"/>
      <w:ind w:left="964" w:hanging="964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TableColHead">
    <w:name w:val="TableColHead"/>
    <w:basedOn w:val="Normal"/>
    <w:rsid w:val="0014279F"/>
    <w:pPr>
      <w:keepNext/>
      <w:spacing w:before="120" w:after="60" w:line="200" w:lineRule="exact"/>
    </w:pPr>
    <w:rPr>
      <w:rFonts w:ascii="Times New Roman" w:eastAsia="Times New Roman" w:hAnsi="Times New Roman" w:cs="Times New Roman"/>
      <w:b/>
      <w:sz w:val="18"/>
      <w:szCs w:val="24"/>
      <w:lang w:eastAsia="en-AU"/>
    </w:rPr>
  </w:style>
  <w:style w:type="paragraph" w:customStyle="1" w:styleId="TableText">
    <w:name w:val="TableText"/>
    <w:basedOn w:val="Normal"/>
    <w:rsid w:val="0014279F"/>
    <w:pPr>
      <w:spacing w:before="60" w:after="60" w:line="240" w:lineRule="exact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Note">
    <w:name w:val="Note"/>
    <w:basedOn w:val="Normal"/>
    <w:rsid w:val="00721611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C39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2FA8"/>
    <w:rPr>
      <w:color w:val="954F72" w:themeColor="followedHyperlink"/>
      <w:u w:val="single"/>
    </w:rPr>
  </w:style>
  <w:style w:type="paragraph" w:customStyle="1" w:styleId="zr1">
    <w:name w:val="zr1"/>
    <w:basedOn w:val="Normal"/>
    <w:rsid w:val="00F4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F4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basedOn w:val="Normal"/>
    <w:rsid w:val="00F4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standards.org.au/search-for-a-standard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://www.standards.org.a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yperlink" Target="https://www.standards.org.au/search-for-a-standar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hyperlink" Target="https://www.standards.org.au/search-for-a-standar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standards.org.au/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standards.org.au/search-for-a-standard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standards.org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www.standards.org.au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Point_x0020_Number xmlns="17f777bc-f954-4adf-b685-9afef15c321e" xsi:nil="true"/>
    <Legacy_x0020_Record_x0020_Number xmlns="83630db1-6fc2-4dfd-b3fe-d61d34e1440c" xsi:nil="true"/>
    <_dlc_DocId xmlns="1d983eb4-33f7-44b0-aea1-cbdcf0c55136">3NE2HDV7HD6D-2038751701-4113</_dlc_DocId>
    <_dlc_DocIdUrl xmlns="1d983eb4-33f7-44b0-aea1-cbdcf0c55136">
      <Url>http://collaboration/organisation/cid/OB/TRDS/_layouts/15/DocIdRedir.aspx?ID=3NE2HDV7HD6D-2038751701-4113</Url>
      <Description>3NE2HDV7HD6D-2038751701-4113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AACAFEE31E24D89A6743F7D423479" ma:contentTypeVersion="10" ma:contentTypeDescription="Create a new document." ma:contentTypeScope="" ma:versionID="95152ce1a077e1e660fc811ac7937ce5">
  <xsd:schema xmlns:xsd="http://www.w3.org/2001/XMLSchema" xmlns:xs="http://www.w3.org/2001/XMLSchema" xmlns:p="http://schemas.microsoft.com/office/2006/metadata/properties" xmlns:ns2="1d983eb4-33f7-44b0-aea1-cbdcf0c55136" xmlns:ns3="83630db1-6fc2-4dfd-b3fe-d61d34e1440c" xmlns:ns4="17f777bc-f954-4adf-b685-9afef15c321e" targetNamespace="http://schemas.microsoft.com/office/2006/metadata/properties" ma:root="true" ma:fieldsID="7558bb6d544d387e10d715801dc062b9" ns2:_="" ns3:_="" ns4:_="">
    <xsd:import namespace="1d983eb4-33f7-44b0-aea1-cbdcf0c55136"/>
    <xsd:import namespace="83630db1-6fc2-4dfd-b3fe-d61d34e1440c"/>
    <xsd:import namespace="17f777bc-f954-4adf-b685-9afef15c32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egacy_x0020_Record_x0020_Number" minOccurs="0"/>
                <xsd:element ref="ns4:RecordPoi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11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77bc-f954-4adf-b685-9afef15c321e" elementFormDefault="qualified">
    <xsd:import namespace="http://schemas.microsoft.com/office/2006/documentManagement/types"/>
    <xsd:import namespace="http://schemas.microsoft.com/office/infopath/2007/PartnerControls"/>
    <xsd:element name="RecordPoint_x0020_Number" ma:index="12" nillable="true" ma:displayName="RecordPoint Number" ma:internalName="RecordPoint_x0020_Number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8BAF-EE85-4A8E-A533-6D23274EFF15}">
  <ds:schemaRefs>
    <ds:schemaRef ds:uri="http://schemas.microsoft.com/office/2006/metadata/properties"/>
    <ds:schemaRef ds:uri="http://schemas.microsoft.com/office/infopath/2007/PartnerControls"/>
    <ds:schemaRef ds:uri="17f777bc-f954-4adf-b685-9afef15c321e"/>
    <ds:schemaRef ds:uri="83630db1-6fc2-4dfd-b3fe-d61d34e1440c"/>
    <ds:schemaRef ds:uri="1d983eb4-33f7-44b0-aea1-cbdcf0c55136"/>
  </ds:schemaRefs>
</ds:datastoreItem>
</file>

<file path=customXml/itemProps2.xml><?xml version="1.0" encoding="utf-8"?>
<ds:datastoreItem xmlns:ds="http://schemas.openxmlformats.org/officeDocument/2006/customXml" ds:itemID="{F80E07A9-50B9-4677-B563-5EABDCADB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437E8-24FE-4431-B4C6-BA9638DA3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83630db1-6fc2-4dfd-b3fe-d61d34e1440c"/>
    <ds:schemaRef ds:uri="17f777bc-f954-4adf-b685-9afef15c3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4EAA3C-CD16-4DB3-86C5-53AB1DA0C1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75351E-8A0F-49D0-B097-5EF14785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5</cp:revision>
  <cp:lastPrinted>2019-05-14T06:50:00Z</cp:lastPrinted>
  <dcterms:created xsi:type="dcterms:W3CDTF">2019-11-13T04:54:00Z</dcterms:created>
  <dcterms:modified xsi:type="dcterms:W3CDTF">2019-11-15T00:38:00Z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b9bbe9c6-aa05-4d21-92c9-cd3b72222e7c</vt:lpwstr>
  </property>
  <property fmtid="{D5CDD505-2E9C-101B-9397-08002B2CF9AE}" pid="3" name="ContentTypeId">
    <vt:lpwstr>0x010100192AACAFEE31E24D89A6743F7D423479</vt:lpwstr>
  </property>
</Properties>
</file>