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77777777" w:rsidR="000F6033"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3365556D"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FBAC5D9" w:rsidR="004D2843" w:rsidRDefault="000F6033" w:rsidP="004D2843">
      <w:pPr>
        <w:jc w:val="center"/>
        <w:rPr>
          <w:rFonts w:ascii="Times New Roman" w:hAnsi="Times New Roman" w:cs="Times New Roman"/>
          <w:i/>
        </w:rPr>
      </w:pPr>
      <w:r>
        <w:rPr>
          <w:rFonts w:ascii="Times New Roman" w:hAnsi="Times New Roman" w:cs="Times New Roman"/>
          <w:i/>
        </w:rPr>
        <w:t xml:space="preserve">Radiocommunications Act 1992 </w:t>
      </w:r>
    </w:p>
    <w:p w14:paraId="3E70F89F" w14:textId="0E197164" w:rsidR="004D2843" w:rsidRPr="00641906" w:rsidRDefault="000F6033" w:rsidP="000F6033">
      <w:pPr>
        <w:jc w:val="center"/>
        <w:rPr>
          <w:rFonts w:ascii="Times New Roman" w:hAnsi="Times New Roman" w:cs="Times New Roman"/>
          <w:b/>
          <w:i/>
        </w:rPr>
      </w:pPr>
      <w:r>
        <w:rPr>
          <w:rFonts w:ascii="Times New Roman" w:hAnsi="Times New Roman" w:cs="Times New Roman"/>
          <w:b/>
          <w:i/>
        </w:rPr>
        <w:t xml:space="preserve">Radiocommunications Licence Conditions (Apparatus Licence) Amendment </w:t>
      </w:r>
      <w:r>
        <w:rPr>
          <w:rFonts w:ascii="Times New Roman" w:hAnsi="Times New Roman" w:cs="Times New Roman"/>
          <w:b/>
          <w:i/>
        </w:rPr>
        <w:br/>
        <w:t xml:space="preserve">Determination 2019 (No. 1) </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197C0076"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406BCA">
        <w:rPr>
          <w:rFonts w:ascii="Times New Roman" w:hAnsi="Times New Roman" w:cs="Times New Roman"/>
          <w:b/>
          <w:bCs/>
        </w:rPr>
        <w:t>the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e the</w:t>
      </w:r>
      <w:r w:rsidR="00502A46" w:rsidRPr="00FE54D1">
        <w:rPr>
          <w:rFonts w:ascii="Times New Roman" w:hAnsi="Times New Roman" w:cs="Times New Roman"/>
        </w:rPr>
        <w:t xml:space="preserve"> </w:t>
      </w:r>
      <w:r w:rsidR="00A61DB1" w:rsidRPr="00406BCA">
        <w:rPr>
          <w:rFonts w:ascii="Times New Roman" w:hAnsi="Times New Roman" w:cs="Times New Roman"/>
          <w:i/>
          <w:iCs/>
        </w:rPr>
        <w:t>Radiocommunications Licence Conditions (Apparatus Licence) Amendment Determination 2019 (No</w:t>
      </w:r>
      <w:r w:rsidR="009C5C8B" w:rsidRPr="00406BCA">
        <w:rPr>
          <w:rFonts w:ascii="Times New Roman" w:hAnsi="Times New Roman" w:cs="Times New Roman"/>
          <w:i/>
          <w:iCs/>
        </w:rPr>
        <w:t>.</w:t>
      </w:r>
      <w:r w:rsidR="00406BCA">
        <w:rPr>
          <w:rFonts w:ascii="Times New Roman" w:hAnsi="Times New Roman" w:cs="Times New Roman"/>
          <w:i/>
          <w:iCs/>
        </w:rPr>
        <w:t> </w:t>
      </w:r>
      <w:r w:rsidR="00A61DB1" w:rsidRPr="00406BCA">
        <w:rPr>
          <w:rFonts w:ascii="Times New Roman" w:hAnsi="Times New Roman" w:cs="Times New Roman"/>
          <w:i/>
          <w:iCs/>
        </w:rPr>
        <w:t>1)</w:t>
      </w:r>
      <w:r w:rsidR="0091080B">
        <w:rPr>
          <w:rFonts w:ascii="Times New Roman" w:hAnsi="Times New Roman" w:cs="Times New Roman"/>
        </w:rPr>
        <w:t xml:space="preserve"> </w:t>
      </w:r>
      <w:r w:rsidR="0091080B" w:rsidRPr="00C57E29">
        <w:rPr>
          <w:rFonts w:ascii="Times New Roman" w:hAnsi="Times New Roman" w:cs="Times New Roman"/>
        </w:rPr>
        <w:t>(</w:t>
      </w:r>
      <w:r w:rsidR="0091080B" w:rsidRPr="00466776">
        <w:rPr>
          <w:rFonts w:ascii="Times New Roman" w:hAnsi="Times New Roman" w:cs="Times New Roman"/>
          <w:b/>
          <w:bCs/>
        </w:rPr>
        <w:t xml:space="preserve">the </w:t>
      </w:r>
      <w:r w:rsidR="000B0A27" w:rsidRPr="00466776">
        <w:rPr>
          <w:rFonts w:ascii="Times New Roman" w:hAnsi="Times New Roman" w:cs="Times New Roman"/>
          <w:b/>
          <w:bCs/>
        </w:rPr>
        <w:t>i</w:t>
      </w:r>
      <w:r w:rsidR="0091080B" w:rsidRPr="00466776">
        <w:rPr>
          <w:rFonts w:ascii="Times New Roman" w:hAnsi="Times New Roman" w:cs="Times New Roman"/>
          <w:b/>
          <w:bCs/>
        </w:rPr>
        <w:t>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A61DB1">
        <w:rPr>
          <w:rFonts w:ascii="Times New Roman" w:hAnsi="Times New Roman" w:cs="Times New Roman"/>
        </w:rPr>
        <w:t>paragraph 107(1)(f)</w:t>
      </w:r>
      <w:r w:rsidR="0091080B" w:rsidRPr="0091080B">
        <w:rPr>
          <w:rFonts w:ascii="Times New Roman" w:hAnsi="Times New Roman" w:cs="Times New Roman"/>
        </w:rPr>
        <w:t xml:space="preserve"> of the </w:t>
      </w:r>
      <w:r w:rsidR="00A61DB1" w:rsidRPr="00406BCA">
        <w:rPr>
          <w:rFonts w:ascii="Times New Roman" w:hAnsi="Times New Roman" w:cs="Times New Roman"/>
          <w:i/>
          <w:iCs/>
        </w:rPr>
        <w:t>Radiocommunications Act 1992</w:t>
      </w:r>
      <w:r w:rsidR="0091080B">
        <w:rPr>
          <w:rFonts w:ascii="Times New Roman" w:hAnsi="Times New Roman" w:cs="Times New Roman"/>
        </w:rPr>
        <w:t xml:space="preserve"> (</w:t>
      </w:r>
      <w:r w:rsidR="0091080B" w:rsidRPr="00466776">
        <w:rPr>
          <w:rFonts w:ascii="Times New Roman" w:hAnsi="Times New Roman" w:cs="Times New Roman"/>
          <w:b/>
          <w:bCs/>
        </w:rPr>
        <w:t>the Act</w:t>
      </w:r>
      <w:r w:rsidR="0091080B">
        <w:rPr>
          <w:rFonts w:ascii="Times New Roman" w:hAnsi="Times New Roman" w:cs="Times New Roman"/>
        </w:rPr>
        <w:t>)</w:t>
      </w:r>
      <w:r w:rsidR="00634456">
        <w:rPr>
          <w:rFonts w:ascii="Times New Roman" w:hAnsi="Times New Roman" w:cs="Times New Roman"/>
        </w:rPr>
        <w:t xml:space="preserve"> and subsection 33(3) of the </w:t>
      </w:r>
      <w:r w:rsidR="00634456" w:rsidRPr="00406BCA">
        <w:rPr>
          <w:rFonts w:ascii="Times New Roman" w:hAnsi="Times New Roman" w:cs="Times New Roman"/>
          <w:i/>
          <w:iCs/>
        </w:rPr>
        <w:t>Acts Interpretation Act 1901</w:t>
      </w:r>
      <w:r w:rsidR="00634456" w:rsidRPr="00FE54D1">
        <w:rPr>
          <w:rFonts w:ascii="Times New Roman" w:hAnsi="Times New Roman" w:cs="Times New Roman"/>
        </w:rPr>
        <w:t xml:space="preserve"> </w:t>
      </w:r>
      <w:r w:rsidR="00634456">
        <w:rPr>
          <w:rFonts w:ascii="Times New Roman" w:hAnsi="Times New Roman" w:cs="Times New Roman"/>
        </w:rPr>
        <w:t>(</w:t>
      </w:r>
      <w:r w:rsidR="00634456" w:rsidRPr="00FE54D1">
        <w:rPr>
          <w:rFonts w:ascii="Times New Roman" w:hAnsi="Times New Roman" w:cs="Times New Roman"/>
          <w:b/>
          <w:bCs/>
        </w:rPr>
        <w:t>the AIA</w:t>
      </w:r>
      <w:r w:rsidR="00634456">
        <w:rPr>
          <w:rFonts w:ascii="Times New Roman" w:hAnsi="Times New Roman" w:cs="Times New Roman"/>
        </w:rPr>
        <w:t>)</w:t>
      </w:r>
      <w:r w:rsidR="0091080B" w:rsidRPr="0091080B">
        <w:rPr>
          <w:rFonts w:ascii="Times New Roman" w:hAnsi="Times New Roman" w:cs="Times New Roman"/>
        </w:rPr>
        <w:t>.</w:t>
      </w:r>
    </w:p>
    <w:p w14:paraId="3BD7AD4B" w14:textId="433D396B" w:rsidR="00A61DB1" w:rsidRPr="00E5739A" w:rsidRDefault="00A61DB1" w:rsidP="00E5739A">
      <w:pPr>
        <w:rPr>
          <w:rFonts w:ascii="Times New Roman" w:hAnsi="Times New Roman" w:cs="Times New Roman"/>
        </w:rPr>
      </w:pPr>
      <w:r w:rsidRPr="00E5739A">
        <w:rPr>
          <w:rFonts w:ascii="Times New Roman" w:hAnsi="Times New Roman" w:cs="Times New Roman"/>
        </w:rPr>
        <w:t xml:space="preserve">Paragraph 107(1)(f) of the Act provides that the ACMA may, by legislative instrument, determine conditions applicable to </w:t>
      </w:r>
      <w:proofErr w:type="gramStart"/>
      <w:r w:rsidRPr="00E5739A">
        <w:rPr>
          <w:rFonts w:ascii="Times New Roman" w:hAnsi="Times New Roman" w:cs="Times New Roman"/>
        </w:rPr>
        <w:t>particular types</w:t>
      </w:r>
      <w:proofErr w:type="gramEnd"/>
      <w:r w:rsidRPr="00E5739A">
        <w:rPr>
          <w:rFonts w:ascii="Times New Roman" w:hAnsi="Times New Roman" w:cs="Times New Roman"/>
        </w:rPr>
        <w:t xml:space="preserve"> of apparatus licences.</w:t>
      </w:r>
      <w:r w:rsidR="00D4430F" w:rsidRPr="00E5739A">
        <w:rPr>
          <w:rFonts w:ascii="Times New Roman" w:hAnsi="Times New Roman" w:cs="Times New Roman"/>
        </w:rPr>
        <w:t xml:space="preserve"> Subsection 33(3) of the AIA relevantly provides that where an Act confers a power to make a legislative instrument, </w:t>
      </w:r>
      <w:r w:rsidR="00287B08" w:rsidRPr="00E5739A">
        <w:rPr>
          <w:rFonts w:ascii="Times New Roman" w:hAnsi="Times New Roman" w:cs="Times New Roman"/>
        </w:rPr>
        <w:t>the power shall be construed as including a power exercisable in the like manner and subject to the like conditions (if any) to repeal, rescind, revoke, amend or va</w:t>
      </w:r>
      <w:r w:rsidR="00406BCA">
        <w:rPr>
          <w:rFonts w:ascii="Times New Roman" w:hAnsi="Times New Roman" w:cs="Times New Roman"/>
        </w:rPr>
        <w:t>ry any such instrument.</w:t>
      </w:r>
    </w:p>
    <w:p w14:paraId="329F9F28" w14:textId="65A98283"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4587106D" w14:textId="3CE273E1" w:rsidR="00B71D65" w:rsidRPr="00E5739A" w:rsidRDefault="006B58B2" w:rsidP="00E5739A">
      <w:pPr>
        <w:rPr>
          <w:rFonts w:ascii="Times New Roman" w:hAnsi="Times New Roman" w:cs="Times New Roman"/>
        </w:rPr>
      </w:pPr>
      <w:r>
        <w:rPr>
          <w:rFonts w:ascii="Times New Roman" w:hAnsi="Times New Roman" w:cs="Times New Roman"/>
        </w:rPr>
        <w:t xml:space="preserve">The ACMA has made the </w:t>
      </w:r>
      <w:r>
        <w:rPr>
          <w:rFonts w:ascii="Times New Roman" w:hAnsi="Times New Roman" w:cs="Times New Roman"/>
          <w:i/>
          <w:iCs/>
        </w:rPr>
        <w:t xml:space="preserve">Radiocommunications Licence Conditions (Apparatus Licence) Determination 2015 </w:t>
      </w:r>
      <w:r>
        <w:rPr>
          <w:rFonts w:ascii="Times New Roman" w:hAnsi="Times New Roman" w:cs="Times New Roman"/>
        </w:rPr>
        <w:t>(</w:t>
      </w:r>
      <w:r w:rsidRPr="00E5739A">
        <w:rPr>
          <w:rFonts w:ascii="Times New Roman" w:hAnsi="Times New Roman" w:cs="Times New Roman"/>
          <w:b/>
          <w:bCs/>
        </w:rPr>
        <w:t>the Determination</w:t>
      </w:r>
      <w:r>
        <w:rPr>
          <w:rFonts w:ascii="Times New Roman" w:hAnsi="Times New Roman" w:cs="Times New Roman"/>
        </w:rPr>
        <w:t>) to apply to all transmitter licences issued under section 100</w:t>
      </w:r>
      <w:r w:rsidR="00D379AA">
        <w:rPr>
          <w:rFonts w:ascii="Times New Roman" w:hAnsi="Times New Roman" w:cs="Times New Roman"/>
        </w:rPr>
        <w:t xml:space="preserve"> </w:t>
      </w:r>
      <w:bookmarkStart w:id="0" w:name="_GoBack"/>
      <w:bookmarkEnd w:id="0"/>
      <w:r>
        <w:rPr>
          <w:rFonts w:ascii="Times New Roman" w:hAnsi="Times New Roman" w:cs="Times New Roman"/>
        </w:rPr>
        <w:t>of the Act.</w:t>
      </w:r>
      <w:r w:rsidR="00AE7646">
        <w:rPr>
          <w:rFonts w:ascii="Times New Roman" w:hAnsi="Times New Roman" w:cs="Times New Roman"/>
        </w:rPr>
        <w:t xml:space="preserve"> </w:t>
      </w:r>
      <w:r w:rsidR="00B71D65" w:rsidRPr="00E5739A">
        <w:rPr>
          <w:rFonts w:ascii="Times New Roman" w:hAnsi="Times New Roman" w:cs="Times New Roman"/>
        </w:rPr>
        <w:t>The conditions in the Determination may also be incorporated by reference through a licence condition imposed on other licences</w:t>
      </w:r>
      <w:r w:rsidR="00AE7646">
        <w:rPr>
          <w:rFonts w:ascii="Times New Roman" w:hAnsi="Times New Roman" w:cs="Times New Roman"/>
        </w:rPr>
        <w:t xml:space="preserve"> (such as spectrum licences)</w:t>
      </w:r>
      <w:r w:rsidR="00B71D65" w:rsidRPr="00E5739A">
        <w:rPr>
          <w:rFonts w:ascii="Times New Roman" w:hAnsi="Times New Roman" w:cs="Times New Roman"/>
        </w:rPr>
        <w:t xml:space="preserve">. </w:t>
      </w:r>
      <w:r w:rsidR="00CC009B">
        <w:rPr>
          <w:rFonts w:ascii="Times New Roman" w:hAnsi="Times New Roman" w:cs="Times New Roman"/>
        </w:rPr>
        <w:t>T</w:t>
      </w:r>
      <w:r w:rsidR="00B71D65" w:rsidRPr="00E5739A">
        <w:rPr>
          <w:rFonts w:ascii="Times New Roman" w:hAnsi="Times New Roman" w:cs="Times New Roman"/>
        </w:rPr>
        <w:t xml:space="preserve">he conditions imposed by </w:t>
      </w:r>
      <w:r w:rsidR="00CC009B">
        <w:rPr>
          <w:rFonts w:ascii="Times New Roman" w:hAnsi="Times New Roman" w:cs="Times New Roman"/>
        </w:rPr>
        <w:t xml:space="preserve">Part 3 of </w:t>
      </w:r>
      <w:r w:rsidR="00B71D65" w:rsidRPr="00E5739A">
        <w:rPr>
          <w:rFonts w:ascii="Times New Roman" w:hAnsi="Times New Roman" w:cs="Times New Roman"/>
        </w:rPr>
        <w:t xml:space="preserve">the Determination relate to permitted communications and the exposure of the general public to </w:t>
      </w:r>
      <w:r w:rsidR="00AE7646">
        <w:rPr>
          <w:rFonts w:ascii="Times New Roman" w:hAnsi="Times New Roman" w:cs="Times New Roman"/>
        </w:rPr>
        <w:t>electromagnetic energy (</w:t>
      </w:r>
      <w:r w:rsidR="00B71D65" w:rsidRPr="00E5739A">
        <w:rPr>
          <w:rFonts w:ascii="Times New Roman" w:hAnsi="Times New Roman" w:cs="Times New Roman"/>
          <w:b/>
          <w:bCs/>
        </w:rPr>
        <w:t>EME</w:t>
      </w:r>
      <w:r w:rsidR="00AE7646">
        <w:rPr>
          <w:rFonts w:ascii="Times New Roman" w:hAnsi="Times New Roman" w:cs="Times New Roman"/>
        </w:rPr>
        <w:t>)</w:t>
      </w:r>
      <w:r w:rsidR="00B71D65" w:rsidRPr="00E5739A">
        <w:rPr>
          <w:rFonts w:ascii="Times New Roman" w:hAnsi="Times New Roman" w:cs="Times New Roman"/>
        </w:rPr>
        <w:t xml:space="preserve"> from equipment incorporating radiocommunications transmitters. </w:t>
      </w:r>
    </w:p>
    <w:p w14:paraId="698DFA31" w14:textId="49E3901D" w:rsidR="00B71D65" w:rsidRPr="00E5739A" w:rsidRDefault="00B71D65" w:rsidP="00E5739A">
      <w:pPr>
        <w:rPr>
          <w:rFonts w:ascii="Times New Roman" w:hAnsi="Times New Roman" w:cs="Times New Roman"/>
        </w:rPr>
      </w:pPr>
      <w:r w:rsidRPr="00E5739A">
        <w:rPr>
          <w:rFonts w:ascii="Times New Roman" w:hAnsi="Times New Roman" w:cs="Times New Roman"/>
        </w:rPr>
        <w:t>The intent of the ACMA’s EME regulatory arrangements is that all equipment incorporating radiocommunications transmitters must either comply with the requirements included in the</w:t>
      </w:r>
      <w:r w:rsidR="00CA6092" w:rsidRPr="00E5739A">
        <w:rPr>
          <w:rFonts w:ascii="Times New Roman" w:hAnsi="Times New Roman" w:cs="Times New Roman"/>
        </w:rPr>
        <w:t xml:space="preserve"> </w:t>
      </w:r>
      <w:r w:rsidR="00CA6092" w:rsidRPr="00AE7646">
        <w:rPr>
          <w:rFonts w:ascii="Times New Roman" w:hAnsi="Times New Roman" w:cs="Times New Roman"/>
          <w:i/>
          <w:iCs/>
        </w:rPr>
        <w:t>Radiocommunications (Electromagnetic Radiation – Human Exposure) Standard 2014</w:t>
      </w:r>
      <w:r w:rsidR="00CA6092">
        <w:rPr>
          <w:rFonts w:ascii="Times New Roman" w:hAnsi="Times New Roman" w:cs="Times New Roman"/>
        </w:rPr>
        <w:t xml:space="preserve"> (</w:t>
      </w:r>
      <w:r w:rsidR="00CA6092" w:rsidRPr="00AE7646">
        <w:rPr>
          <w:rFonts w:ascii="Times New Roman" w:hAnsi="Times New Roman" w:cs="Times New Roman"/>
          <w:b/>
          <w:bCs/>
        </w:rPr>
        <w:t xml:space="preserve">the ACMA </w:t>
      </w:r>
      <w:r w:rsidR="008E052C">
        <w:rPr>
          <w:rFonts w:ascii="Times New Roman" w:hAnsi="Times New Roman" w:cs="Times New Roman"/>
          <w:b/>
          <w:bCs/>
        </w:rPr>
        <w:t>S</w:t>
      </w:r>
      <w:r w:rsidR="008E052C" w:rsidRPr="00AE7646">
        <w:rPr>
          <w:rFonts w:ascii="Times New Roman" w:hAnsi="Times New Roman" w:cs="Times New Roman"/>
          <w:b/>
          <w:bCs/>
        </w:rPr>
        <w:t>tandard</w:t>
      </w:r>
      <w:r w:rsidR="00CA6092">
        <w:rPr>
          <w:rFonts w:ascii="Times New Roman" w:hAnsi="Times New Roman" w:cs="Times New Roman"/>
        </w:rPr>
        <w:t>)</w:t>
      </w:r>
      <w:r w:rsidRPr="00E5739A">
        <w:rPr>
          <w:rFonts w:ascii="Times New Roman" w:hAnsi="Times New Roman" w:cs="Times New Roman"/>
        </w:rPr>
        <w:t xml:space="preserve"> or the Determination. </w:t>
      </w:r>
    </w:p>
    <w:p w14:paraId="06C4066A" w14:textId="3E12DDC2" w:rsidR="00B71D65" w:rsidRPr="00E5739A" w:rsidRDefault="00B71D65" w:rsidP="00E5739A">
      <w:pPr>
        <w:rPr>
          <w:rFonts w:ascii="Times New Roman" w:hAnsi="Times New Roman" w:cs="Times New Roman"/>
        </w:rPr>
      </w:pPr>
      <w:r w:rsidRPr="00E5739A">
        <w:rPr>
          <w:rFonts w:ascii="Times New Roman" w:hAnsi="Times New Roman" w:cs="Times New Roman"/>
        </w:rPr>
        <w:t xml:space="preserve">Paragraph 6(2)(b) of the Determination states that Part 3 of the Determination does not apply to the operation of a mobile station that complies with the ACMA Standard. While the intent is that mobile stations that are required to comply with the ACMA Standard should be exempt from the Determination, the current wording of paragraph 6(2)(b) might be </w:t>
      </w:r>
      <w:r w:rsidR="00D379AA">
        <w:rPr>
          <w:rFonts w:ascii="Times New Roman" w:hAnsi="Times New Roman" w:cs="Times New Roman"/>
        </w:rPr>
        <w:t>mis</w:t>
      </w:r>
      <w:r w:rsidRPr="00E5739A">
        <w:rPr>
          <w:rFonts w:ascii="Times New Roman" w:hAnsi="Times New Roman" w:cs="Times New Roman"/>
        </w:rPr>
        <w:t xml:space="preserve">understood </w:t>
      </w:r>
      <w:r w:rsidR="00EF0FB8">
        <w:rPr>
          <w:rFonts w:ascii="Times New Roman" w:hAnsi="Times New Roman" w:cs="Times New Roman"/>
        </w:rPr>
        <w:t xml:space="preserve">also </w:t>
      </w:r>
      <w:r w:rsidRPr="00E5739A">
        <w:rPr>
          <w:rFonts w:ascii="Times New Roman" w:hAnsi="Times New Roman" w:cs="Times New Roman"/>
        </w:rPr>
        <w:t xml:space="preserve">to exempt mobile stations that are outside the scope of the ACMA Standard from having to comply with the Determination. </w:t>
      </w:r>
    </w:p>
    <w:p w14:paraId="37F4CA98" w14:textId="56844F6F" w:rsidR="00B71D65" w:rsidRPr="00E5739A" w:rsidRDefault="00B71D65" w:rsidP="00E5739A">
      <w:pPr>
        <w:rPr>
          <w:rFonts w:ascii="Times New Roman" w:hAnsi="Times New Roman" w:cs="Times New Roman"/>
        </w:rPr>
      </w:pPr>
      <w:r w:rsidRPr="00E5739A">
        <w:rPr>
          <w:rFonts w:ascii="Times New Roman" w:hAnsi="Times New Roman" w:cs="Times New Roman"/>
        </w:rPr>
        <w:t>The ACMA is amend</w:t>
      </w:r>
      <w:r w:rsidR="002D2FB0" w:rsidRPr="00E5739A">
        <w:rPr>
          <w:rFonts w:ascii="Times New Roman" w:hAnsi="Times New Roman" w:cs="Times New Roman"/>
        </w:rPr>
        <w:t>ing</w:t>
      </w:r>
      <w:r w:rsidRPr="00E5739A">
        <w:rPr>
          <w:rFonts w:ascii="Times New Roman" w:hAnsi="Times New Roman" w:cs="Times New Roman"/>
        </w:rPr>
        <w:t xml:space="preserve"> paragraph 6(2)(b) of the Determination to include text that </w:t>
      </w:r>
      <w:r w:rsidR="00D379AA">
        <w:rPr>
          <w:rFonts w:ascii="Times New Roman" w:hAnsi="Times New Roman" w:cs="Times New Roman"/>
        </w:rPr>
        <w:t xml:space="preserve">makes it clearer </w:t>
      </w:r>
      <w:r w:rsidR="00D238FF">
        <w:rPr>
          <w:rFonts w:ascii="Times New Roman" w:hAnsi="Times New Roman" w:cs="Times New Roman"/>
        </w:rPr>
        <w:t xml:space="preserve">that Part 3 of the Determination applies to mobile stations that are outside the scope of </w:t>
      </w:r>
      <w:r w:rsidR="00674A64">
        <w:rPr>
          <w:rFonts w:ascii="Times New Roman" w:hAnsi="Times New Roman" w:cs="Times New Roman"/>
        </w:rPr>
        <w:t xml:space="preserve">the ACMA </w:t>
      </w:r>
      <w:r w:rsidR="004651F2">
        <w:rPr>
          <w:rFonts w:ascii="Times New Roman" w:hAnsi="Times New Roman" w:cs="Times New Roman"/>
        </w:rPr>
        <w:t>S</w:t>
      </w:r>
      <w:r w:rsidR="00674A64">
        <w:rPr>
          <w:rFonts w:ascii="Times New Roman" w:hAnsi="Times New Roman" w:cs="Times New Roman"/>
        </w:rPr>
        <w:t>tandard</w:t>
      </w:r>
      <w:r w:rsidRPr="00E5739A">
        <w:rPr>
          <w:rFonts w:ascii="Times New Roman" w:hAnsi="Times New Roman" w:cs="Times New Roman"/>
        </w:rPr>
        <w:t xml:space="preserve">. </w:t>
      </w:r>
    </w:p>
    <w:p w14:paraId="01173E68" w14:textId="074CB2F2"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466776">
        <w:rPr>
          <w:rFonts w:ascii="Times New Roman" w:hAnsi="Times New Roman" w:cs="Times New Roman"/>
          <w:b/>
          <w:bCs/>
        </w:rPr>
        <w:t>Attachment A</w:t>
      </w:r>
      <w:r>
        <w:rPr>
          <w:rFonts w:ascii="Times New Roman" w:hAnsi="Times New Roman" w:cs="Times New Roman"/>
        </w:rPr>
        <w:t>.</w:t>
      </w:r>
    </w:p>
    <w:p w14:paraId="6D026E2B" w14:textId="4B22A9E0" w:rsidR="00025ACE" w:rsidRPr="000B4B6C" w:rsidRDefault="00805358" w:rsidP="004D2843">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66776">
        <w:rPr>
          <w:rFonts w:ascii="Times New Roman" w:hAnsi="Times New Roman" w:cs="Times New Roman"/>
          <w:i/>
          <w:iCs/>
        </w:rPr>
        <w:t>Legislation Act 2003</w:t>
      </w:r>
      <w:r w:rsidR="00696659" w:rsidRPr="00E5739A">
        <w:rPr>
          <w:rFonts w:ascii="Times New Roman" w:hAnsi="Times New Roman" w:cs="Times New Roman"/>
        </w:rPr>
        <w:t xml:space="preserve"> </w:t>
      </w:r>
      <w:r w:rsidR="00696659" w:rsidRPr="00696659">
        <w:rPr>
          <w:rFonts w:ascii="Times New Roman" w:hAnsi="Times New Roman" w:cs="Times New Roman"/>
        </w:rPr>
        <w:t>(</w:t>
      </w:r>
      <w:r w:rsidR="00696659" w:rsidRPr="00466776">
        <w:rPr>
          <w:rFonts w:ascii="Times New Roman" w:hAnsi="Times New Roman" w:cs="Times New Roman"/>
          <w:b/>
          <w:bCs/>
        </w:rPr>
        <w:t>the LA</w:t>
      </w:r>
      <w:r w:rsidR="00696659" w:rsidRPr="00696659">
        <w:rPr>
          <w:rFonts w:ascii="Times New Roman" w:hAnsi="Times New Roman" w:cs="Times New Roman"/>
        </w:rPr>
        <w:t>)</w:t>
      </w:r>
      <w:r>
        <w:rPr>
          <w:rFonts w:ascii="Times New Roman" w:hAnsi="Times New Roman" w:cs="Times New Roman"/>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1ADE9AB2" w14:textId="36531158" w:rsidR="000426AF" w:rsidRPr="0052687A" w:rsidRDefault="000B0A27" w:rsidP="00E5739A">
      <w:pPr>
        <w:rPr>
          <w:rFonts w:ascii="Times New Roman" w:hAnsi="Times New Roman" w:cs="Times New Roman"/>
        </w:rPr>
      </w:pPr>
      <w:r>
        <w:rPr>
          <w:rFonts w:ascii="Times New Roman" w:hAnsi="Times New Roman" w:cs="Times New Roman"/>
        </w:rPr>
        <w:t xml:space="preserve">The instrument </w:t>
      </w:r>
      <w:r w:rsidR="008D34CE">
        <w:rPr>
          <w:rFonts w:ascii="Times New Roman" w:hAnsi="Times New Roman" w:cs="Times New Roman"/>
        </w:rPr>
        <w:t>inserts into the Determination a reference to the ACMA Standard, as i</w:t>
      </w:r>
      <w:r w:rsidR="008E052C">
        <w:rPr>
          <w:rFonts w:ascii="Times New Roman" w:hAnsi="Times New Roman" w:cs="Times New Roman"/>
        </w:rPr>
        <w:t xml:space="preserve">n force from time to time, as permitted by section 314A of the Act. The ACMA Standard is a legislative instrument </w:t>
      </w:r>
      <w:r w:rsidR="008E052C">
        <w:rPr>
          <w:rFonts w:ascii="Times New Roman" w:hAnsi="Times New Roman" w:cs="Times New Roman"/>
        </w:rPr>
        <w:lastRenderedPageBreak/>
        <w:t>and may be obtained free of charge from the Federal Register of Legislation (</w:t>
      </w:r>
      <w:hyperlink r:id="rId12" w:history="1">
        <w:r w:rsidR="008E052C" w:rsidRPr="00441DD3">
          <w:rPr>
            <w:rStyle w:val="Hyperlink"/>
            <w:rFonts w:ascii="Times New Roman" w:hAnsi="Times New Roman" w:cs="Times New Roman"/>
          </w:rPr>
          <w:t>http://www.legislation.gov.au</w:t>
        </w:r>
      </w:hyperlink>
      <w:r w:rsidR="008E052C">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73F09E3A" w:rsidR="00681986"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r w:rsidR="000C6436">
        <w:rPr>
          <w:rFonts w:ascii="Times New Roman" w:hAnsi="Times New Roman" w:cs="Times New Roman"/>
        </w:rPr>
        <w:t xml:space="preserve">  </w:t>
      </w:r>
    </w:p>
    <w:p w14:paraId="75237BD6" w14:textId="2BCD359C" w:rsidR="000B0A27" w:rsidRPr="00E5739A" w:rsidRDefault="000B0A27" w:rsidP="00E5739A">
      <w:pPr>
        <w:rPr>
          <w:rFonts w:ascii="Times New Roman" w:hAnsi="Times New Roman" w:cs="Times New Roman"/>
        </w:rPr>
      </w:pPr>
      <w:r w:rsidRPr="00C8275E">
        <w:rPr>
          <w:rFonts w:ascii="Times New Roman" w:hAnsi="Times New Roman" w:cs="Times New Roman"/>
        </w:rPr>
        <w:t xml:space="preserve">The ACMA conducted a public consultation process in relation to the proposal to make the </w:t>
      </w:r>
      <w:r>
        <w:rPr>
          <w:rFonts w:ascii="Times New Roman" w:hAnsi="Times New Roman" w:cs="Times New Roman"/>
        </w:rPr>
        <w:t>instrument</w:t>
      </w:r>
      <w:r w:rsidRPr="00C8275E">
        <w:rPr>
          <w:rFonts w:ascii="Times New Roman" w:hAnsi="Times New Roman" w:cs="Times New Roman"/>
        </w:rPr>
        <w:t xml:space="preserve"> during the period 1</w:t>
      </w:r>
      <w:r>
        <w:rPr>
          <w:rFonts w:ascii="Times New Roman" w:hAnsi="Times New Roman" w:cs="Times New Roman"/>
        </w:rPr>
        <w:t>4</w:t>
      </w:r>
      <w:r w:rsidRPr="00C8275E">
        <w:rPr>
          <w:rFonts w:ascii="Times New Roman" w:hAnsi="Times New Roman" w:cs="Times New Roman"/>
        </w:rPr>
        <w:t xml:space="preserve"> </w:t>
      </w:r>
      <w:r>
        <w:rPr>
          <w:rFonts w:ascii="Times New Roman" w:hAnsi="Times New Roman" w:cs="Times New Roman"/>
        </w:rPr>
        <w:t>August 2019</w:t>
      </w:r>
      <w:r w:rsidRPr="00C8275E">
        <w:rPr>
          <w:rFonts w:ascii="Times New Roman" w:hAnsi="Times New Roman" w:cs="Times New Roman"/>
        </w:rPr>
        <w:t xml:space="preserve"> to </w:t>
      </w:r>
      <w:r>
        <w:rPr>
          <w:rFonts w:ascii="Times New Roman" w:hAnsi="Times New Roman" w:cs="Times New Roman"/>
        </w:rPr>
        <w:t>13 September 2019</w:t>
      </w:r>
      <w:r w:rsidRPr="00C8275E">
        <w:rPr>
          <w:rFonts w:ascii="Times New Roman" w:hAnsi="Times New Roman" w:cs="Times New Roman"/>
        </w:rPr>
        <w:t xml:space="preserve">. A draft </w:t>
      </w:r>
      <w:r>
        <w:rPr>
          <w:rFonts w:ascii="Times New Roman" w:hAnsi="Times New Roman" w:cs="Times New Roman"/>
        </w:rPr>
        <w:t>instrument</w:t>
      </w:r>
      <w:r w:rsidR="00576067">
        <w:rPr>
          <w:rFonts w:ascii="Times New Roman" w:hAnsi="Times New Roman" w:cs="Times New Roman"/>
        </w:rPr>
        <w:t xml:space="preserve"> with explanatory information</w:t>
      </w:r>
      <w:r w:rsidRPr="00C8275E">
        <w:rPr>
          <w:rFonts w:ascii="Times New Roman" w:hAnsi="Times New Roman" w:cs="Times New Roman"/>
        </w:rPr>
        <w:t xml:space="preserve"> was made available on the ACMA website. Interested parties were notified of the release of the draft </w:t>
      </w:r>
      <w:r>
        <w:rPr>
          <w:rFonts w:ascii="Times New Roman" w:hAnsi="Times New Roman" w:cs="Times New Roman"/>
        </w:rPr>
        <w:t>instrument</w:t>
      </w:r>
      <w:r w:rsidRPr="00C8275E">
        <w:rPr>
          <w:rFonts w:ascii="Times New Roman" w:hAnsi="Times New Roman" w:cs="Times New Roman"/>
        </w:rPr>
        <w:t xml:space="preserve"> and invited to comment.</w:t>
      </w:r>
    </w:p>
    <w:p w14:paraId="24156608" w14:textId="01E7CAD4" w:rsidR="00AD500F" w:rsidRDefault="000B0A27" w:rsidP="004D2843">
      <w:pPr>
        <w:rPr>
          <w:rFonts w:ascii="Times New Roman" w:hAnsi="Times New Roman" w:cs="Times New Roman"/>
          <w:b/>
        </w:rPr>
      </w:pPr>
      <w:r w:rsidRPr="00E5739A">
        <w:rPr>
          <w:rFonts w:ascii="Times New Roman" w:hAnsi="Times New Roman" w:cs="Times New Roman"/>
        </w:rPr>
        <w:t xml:space="preserve">The ACMA received </w:t>
      </w:r>
      <w:r w:rsidR="0013313F" w:rsidRPr="00E5739A">
        <w:rPr>
          <w:rFonts w:ascii="Times New Roman" w:hAnsi="Times New Roman" w:cs="Times New Roman"/>
        </w:rPr>
        <w:t>six</w:t>
      </w:r>
      <w:r w:rsidRPr="00E5739A">
        <w:rPr>
          <w:rFonts w:ascii="Times New Roman" w:hAnsi="Times New Roman" w:cs="Times New Roman"/>
        </w:rPr>
        <w:t xml:space="preserve"> submissions in response to the consultation</w:t>
      </w:r>
      <w:r w:rsidR="007C39C8" w:rsidRPr="00E5739A">
        <w:rPr>
          <w:rFonts w:ascii="Times New Roman" w:hAnsi="Times New Roman" w:cs="Times New Roman"/>
        </w:rPr>
        <w:t xml:space="preserve">. </w:t>
      </w:r>
      <w:r w:rsidR="00E77E8D">
        <w:rPr>
          <w:rFonts w:ascii="Times New Roman" w:hAnsi="Times New Roman" w:cs="Times New Roman"/>
        </w:rPr>
        <w:t>All</w:t>
      </w:r>
      <w:r w:rsidR="007C39C8" w:rsidRPr="00E5739A">
        <w:rPr>
          <w:rFonts w:ascii="Times New Roman" w:hAnsi="Times New Roman" w:cs="Times New Roman"/>
        </w:rPr>
        <w:t xml:space="preserve"> submissions expressed support </w:t>
      </w:r>
      <w:r w:rsidR="00E32A7D">
        <w:rPr>
          <w:rFonts w:ascii="Times New Roman" w:hAnsi="Times New Roman" w:cs="Times New Roman"/>
        </w:rPr>
        <w:t>for the proposed amendments</w:t>
      </w:r>
      <w:r w:rsidR="007C39C8" w:rsidRPr="00E5739A">
        <w:rPr>
          <w:rFonts w:ascii="Times New Roman" w:hAnsi="Times New Roman" w:cs="Times New Roman"/>
        </w:rPr>
        <w:t>.</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0D7EF1D" w14:textId="2CE84737" w:rsidR="001A7955" w:rsidRDefault="000B0A27" w:rsidP="001A7955">
      <w:pPr>
        <w:rPr>
          <w:rFonts w:ascii="Times New Roman" w:hAnsi="Times New Roman" w:cs="Times New Roman"/>
        </w:rPr>
      </w:pPr>
      <w:r>
        <w:rPr>
          <w:rFonts w:ascii="Times New Roman" w:hAnsi="Times New Roman" w:cs="Times New Roman"/>
        </w:rPr>
        <w:t>A preliminary assessment of the proposal to make the instrument was conducted by t</w:t>
      </w:r>
      <w:r w:rsidRPr="00037F0E">
        <w:rPr>
          <w:rFonts w:ascii="Times New Roman" w:hAnsi="Times New Roman" w:cs="Times New Roman"/>
        </w:rPr>
        <w:t>he Office of Best Practice Regulation (</w:t>
      </w:r>
      <w:r w:rsidRPr="00466776">
        <w:rPr>
          <w:rFonts w:ascii="Times New Roman" w:hAnsi="Times New Roman" w:cs="Times New Roman"/>
          <w:b/>
          <w:bCs/>
        </w:rPr>
        <w:t>OBPR</w:t>
      </w:r>
      <w:r>
        <w:rPr>
          <w:rFonts w:ascii="Times New Roman" w:hAnsi="Times New Roman" w:cs="Times New Roman"/>
        </w:rPr>
        <w:t>), based on information provided by the ACMA, for the purposes of determining whether a Regulation Impact Statement (</w:t>
      </w:r>
      <w:r w:rsidRPr="00466776">
        <w:rPr>
          <w:rFonts w:ascii="Times New Roman" w:hAnsi="Times New Roman" w:cs="Times New Roman"/>
          <w:b/>
          <w:bCs/>
        </w:rPr>
        <w:t>RIS</w:t>
      </w:r>
      <w:r>
        <w:rPr>
          <w:rFonts w:ascii="Times New Roman" w:hAnsi="Times New Roman" w:cs="Times New Roman"/>
        </w:rPr>
        <w:t>) would be required.</w:t>
      </w:r>
      <w:r w:rsidR="001A7955">
        <w:rPr>
          <w:rFonts w:ascii="Times New Roman" w:hAnsi="Times New Roman" w:cs="Times New Roman"/>
        </w:rPr>
        <w:t xml:space="preserve"> OBPR advised that a RIS would</w:t>
      </w:r>
      <w:r w:rsidR="001A7955" w:rsidRPr="00037F0E">
        <w:rPr>
          <w:rFonts w:ascii="Times New Roman" w:hAnsi="Times New Roman" w:cs="Times New Roman"/>
        </w:rPr>
        <w:t xml:space="preserve"> not</w:t>
      </w:r>
      <w:r w:rsidR="001A7955">
        <w:rPr>
          <w:rFonts w:ascii="Times New Roman" w:hAnsi="Times New Roman" w:cs="Times New Roman"/>
        </w:rPr>
        <w:t xml:space="preserve"> be </w:t>
      </w:r>
      <w:r w:rsidR="001A7955" w:rsidRPr="00037F0E">
        <w:rPr>
          <w:rFonts w:ascii="Times New Roman" w:hAnsi="Times New Roman" w:cs="Times New Roman"/>
        </w:rPr>
        <w:t>required</w:t>
      </w:r>
      <w:r w:rsidR="001A7955">
        <w:rPr>
          <w:rFonts w:ascii="Times New Roman" w:hAnsi="Times New Roman" w:cs="Times New Roman"/>
        </w:rPr>
        <w:t xml:space="preserve"> </w:t>
      </w:r>
      <w:r w:rsidR="001A7955" w:rsidRPr="00037F0E">
        <w:rPr>
          <w:rFonts w:ascii="Times New Roman" w:hAnsi="Times New Roman" w:cs="Times New Roman"/>
        </w:rPr>
        <w:t xml:space="preserve">because </w:t>
      </w:r>
      <w:r w:rsidR="001A7955">
        <w:rPr>
          <w:rFonts w:ascii="Times New Roman" w:hAnsi="Times New Roman" w:cs="Times New Roman"/>
        </w:rPr>
        <w:t xml:space="preserve">the proposed regulatory change in this instrument </w:t>
      </w:r>
      <w:r w:rsidR="00D379AA">
        <w:rPr>
          <w:rFonts w:ascii="Times New Roman" w:hAnsi="Times New Roman" w:cs="Times New Roman"/>
        </w:rPr>
        <w:t xml:space="preserve">had only </w:t>
      </w:r>
      <w:r w:rsidR="001A7955">
        <w:rPr>
          <w:rFonts w:ascii="Times New Roman" w:hAnsi="Times New Roman" w:cs="Times New Roman"/>
        </w:rPr>
        <w:t>a minor and machinery regulatory impact on businesses, community organisations or individuals</w:t>
      </w:r>
      <w:r w:rsidR="001A7955" w:rsidRPr="00037F0E">
        <w:rPr>
          <w:rFonts w:ascii="Times New Roman" w:hAnsi="Times New Roman" w:cs="Times New Roman"/>
        </w:rPr>
        <w:t xml:space="preserve"> (OBPR reference number </w:t>
      </w:r>
      <w:r w:rsidR="001A7955">
        <w:rPr>
          <w:rFonts w:ascii="Times New Roman" w:hAnsi="Times New Roman" w:cs="Times New Roman"/>
        </w:rPr>
        <w:t>25198</w:t>
      </w:r>
      <w:r w:rsidR="001A7955" w:rsidRPr="00037F0E">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75A243CF"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466776">
        <w:rPr>
          <w:rFonts w:ascii="Times New Roman" w:hAnsi="Times New Roman" w:cs="Times New Roman"/>
          <w:i/>
          <w:iCs/>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103F116D" w14:textId="65548A44" w:rsidR="00D64E93" w:rsidRDefault="00D90B3D" w:rsidP="00E5739A">
      <w:pPr>
        <w:rPr>
          <w:rFonts w:ascii="Times New Roman" w:hAnsi="Times New Roman" w:cs="Times New Roman"/>
        </w:rPr>
      </w:pPr>
      <w:r w:rsidRPr="00010252">
        <w:rPr>
          <w:rFonts w:ascii="Times New Roman" w:hAnsi="Times New Roman" w:cs="Times New Roman"/>
        </w:rPr>
        <w:t xml:space="preserve">The instrument amends the </w:t>
      </w:r>
      <w:r w:rsidRPr="00E32A7D">
        <w:rPr>
          <w:rFonts w:ascii="Times New Roman" w:hAnsi="Times New Roman" w:cs="Times New Roman"/>
          <w:i/>
          <w:iCs/>
        </w:rPr>
        <w:t>Radiocommunications Licence Conditions (Apparatus Licence) Determination 2015</w:t>
      </w:r>
      <w:r w:rsidRPr="00E5739A">
        <w:rPr>
          <w:rFonts w:ascii="Times New Roman" w:hAnsi="Times New Roman" w:cs="Times New Roman"/>
        </w:rPr>
        <w:t xml:space="preserve"> </w:t>
      </w:r>
      <w:r w:rsidRPr="00010252">
        <w:rPr>
          <w:rFonts w:ascii="Times New Roman" w:hAnsi="Times New Roman" w:cs="Times New Roman"/>
        </w:rPr>
        <w:t>(</w:t>
      </w:r>
      <w:r w:rsidRPr="00E32A7D">
        <w:rPr>
          <w:rFonts w:ascii="Times New Roman" w:hAnsi="Times New Roman" w:cs="Times New Roman"/>
          <w:b/>
          <w:bCs/>
        </w:rPr>
        <w:t xml:space="preserve">the </w:t>
      </w:r>
      <w:r w:rsidR="0005389F" w:rsidRPr="00E32A7D">
        <w:rPr>
          <w:rFonts w:ascii="Times New Roman" w:hAnsi="Times New Roman" w:cs="Times New Roman"/>
          <w:b/>
          <w:bCs/>
        </w:rPr>
        <w:t>D</w:t>
      </w:r>
      <w:r w:rsidRPr="00E32A7D">
        <w:rPr>
          <w:rFonts w:ascii="Times New Roman" w:hAnsi="Times New Roman" w:cs="Times New Roman"/>
          <w:b/>
          <w:bCs/>
        </w:rPr>
        <w:t>etermination</w:t>
      </w:r>
      <w:r w:rsidRPr="00010252">
        <w:rPr>
          <w:rFonts w:ascii="Times New Roman" w:hAnsi="Times New Roman" w:cs="Times New Roman"/>
        </w:rPr>
        <w:t>)</w:t>
      </w:r>
      <w:r w:rsidR="00E32A7D">
        <w:rPr>
          <w:rFonts w:ascii="Times New Roman" w:hAnsi="Times New Roman" w:cs="Times New Roman"/>
        </w:rPr>
        <w:t xml:space="preserve"> made </w:t>
      </w:r>
      <w:r w:rsidR="00575481">
        <w:rPr>
          <w:rFonts w:ascii="Times New Roman" w:hAnsi="Times New Roman" w:cs="Times New Roman"/>
        </w:rPr>
        <w:t xml:space="preserve">under paragraph 107(1)(f) of the </w:t>
      </w:r>
      <w:r w:rsidR="007731E2">
        <w:rPr>
          <w:rFonts w:ascii="Times New Roman" w:hAnsi="Times New Roman" w:cs="Times New Roman"/>
          <w:i/>
          <w:iCs/>
        </w:rPr>
        <w:t>Radiocommunications Act 1992</w:t>
      </w:r>
      <w:r w:rsidR="00010252">
        <w:rPr>
          <w:rFonts w:ascii="Times New Roman" w:hAnsi="Times New Roman" w:cs="Times New Roman"/>
        </w:rPr>
        <w:t xml:space="preserve">. The conditions imposed by </w:t>
      </w:r>
      <w:r w:rsidR="007731E2">
        <w:rPr>
          <w:rFonts w:ascii="Times New Roman" w:hAnsi="Times New Roman" w:cs="Times New Roman"/>
        </w:rPr>
        <w:t xml:space="preserve">Part 3 of </w:t>
      </w:r>
      <w:r w:rsidR="00010252">
        <w:rPr>
          <w:rFonts w:ascii="Times New Roman" w:hAnsi="Times New Roman" w:cs="Times New Roman"/>
        </w:rPr>
        <w:t xml:space="preserve">the </w:t>
      </w:r>
      <w:r w:rsidR="0005389F">
        <w:rPr>
          <w:rFonts w:ascii="Times New Roman" w:hAnsi="Times New Roman" w:cs="Times New Roman"/>
        </w:rPr>
        <w:t>D</w:t>
      </w:r>
      <w:r w:rsidR="00010252">
        <w:rPr>
          <w:rFonts w:ascii="Times New Roman" w:hAnsi="Times New Roman" w:cs="Times New Roman"/>
        </w:rPr>
        <w:t xml:space="preserve">etermination relate to permitted communications and the exposure of the general public to </w:t>
      </w:r>
      <w:r w:rsidR="007731E2">
        <w:rPr>
          <w:rFonts w:ascii="Times New Roman" w:hAnsi="Times New Roman" w:cs="Times New Roman"/>
        </w:rPr>
        <w:t>electromagnetic energy (</w:t>
      </w:r>
      <w:r w:rsidR="00010252" w:rsidRPr="00E5739A">
        <w:rPr>
          <w:rFonts w:ascii="Times New Roman" w:hAnsi="Times New Roman" w:cs="Times New Roman"/>
          <w:b/>
          <w:bCs/>
        </w:rPr>
        <w:t>EME</w:t>
      </w:r>
      <w:r w:rsidR="007731E2">
        <w:rPr>
          <w:rFonts w:ascii="Times New Roman" w:hAnsi="Times New Roman" w:cs="Times New Roman"/>
        </w:rPr>
        <w:t>)</w:t>
      </w:r>
      <w:r w:rsidR="00010252">
        <w:rPr>
          <w:rFonts w:ascii="Times New Roman" w:hAnsi="Times New Roman" w:cs="Times New Roman"/>
        </w:rPr>
        <w:t xml:space="preserve"> from equipment incorporating radiocommunications transmitters. </w:t>
      </w:r>
    </w:p>
    <w:p w14:paraId="6C0D31EA" w14:textId="05EB68EB" w:rsidR="00D64E93" w:rsidRDefault="00D64E93" w:rsidP="00E5739A">
      <w:pPr>
        <w:rPr>
          <w:rFonts w:ascii="Times New Roman" w:hAnsi="Times New Roman" w:cs="Times New Roman"/>
        </w:rPr>
      </w:pPr>
      <w:r>
        <w:rPr>
          <w:rFonts w:ascii="Times New Roman" w:hAnsi="Times New Roman" w:cs="Times New Roman"/>
        </w:rPr>
        <w:t xml:space="preserve">The intent of the ACMA’s EME regulatory arrangements is that all equipment, incorporating radiocommunications transmitters, must either comply with the requirements included in the </w:t>
      </w:r>
      <w:r w:rsidRPr="007731E2">
        <w:rPr>
          <w:rFonts w:ascii="Times New Roman" w:hAnsi="Times New Roman" w:cs="Times New Roman"/>
          <w:i/>
          <w:iCs/>
        </w:rPr>
        <w:t>Radiocommunications (Electromagnetic Radiation – Human Exposure) Standard 2014</w:t>
      </w:r>
      <w:r>
        <w:rPr>
          <w:rFonts w:ascii="Times New Roman" w:hAnsi="Times New Roman" w:cs="Times New Roman"/>
        </w:rPr>
        <w:t xml:space="preserve"> (</w:t>
      </w:r>
      <w:r w:rsidRPr="007731E2">
        <w:rPr>
          <w:rFonts w:ascii="Times New Roman" w:hAnsi="Times New Roman" w:cs="Times New Roman"/>
          <w:b/>
          <w:bCs/>
        </w:rPr>
        <w:t xml:space="preserve">the ACMA </w:t>
      </w:r>
      <w:r w:rsidR="007731E2">
        <w:rPr>
          <w:rFonts w:ascii="Times New Roman" w:hAnsi="Times New Roman" w:cs="Times New Roman"/>
          <w:b/>
          <w:bCs/>
        </w:rPr>
        <w:t>S</w:t>
      </w:r>
      <w:r w:rsidR="007731E2" w:rsidRPr="007731E2">
        <w:rPr>
          <w:rFonts w:ascii="Times New Roman" w:hAnsi="Times New Roman" w:cs="Times New Roman"/>
          <w:b/>
          <w:bCs/>
        </w:rPr>
        <w:t>tandard</w:t>
      </w:r>
      <w:r>
        <w:rPr>
          <w:rFonts w:ascii="Times New Roman" w:hAnsi="Times New Roman" w:cs="Times New Roman"/>
        </w:rPr>
        <w:t xml:space="preserve">) or the </w:t>
      </w:r>
      <w:r w:rsidR="0005389F">
        <w:rPr>
          <w:rFonts w:ascii="Times New Roman" w:hAnsi="Times New Roman" w:cs="Times New Roman"/>
        </w:rPr>
        <w:t>D</w:t>
      </w:r>
      <w:r>
        <w:rPr>
          <w:rFonts w:ascii="Times New Roman" w:hAnsi="Times New Roman" w:cs="Times New Roman"/>
        </w:rPr>
        <w:t xml:space="preserve">etermination. </w:t>
      </w:r>
    </w:p>
    <w:p w14:paraId="350E9E87" w14:textId="6600E66A" w:rsidR="00F4720B" w:rsidRDefault="00F4720B" w:rsidP="00E5739A">
      <w:pPr>
        <w:rPr>
          <w:rFonts w:ascii="Times New Roman" w:hAnsi="Times New Roman" w:cs="Times New Roman"/>
        </w:rPr>
      </w:pPr>
      <w:r>
        <w:rPr>
          <w:rFonts w:ascii="Times New Roman" w:hAnsi="Times New Roman" w:cs="Times New Roman"/>
        </w:rPr>
        <w:t xml:space="preserve">Paragraph 6(2)(b) of the </w:t>
      </w:r>
      <w:r w:rsidR="0005389F">
        <w:rPr>
          <w:rFonts w:ascii="Times New Roman" w:hAnsi="Times New Roman" w:cs="Times New Roman"/>
        </w:rPr>
        <w:t>D</w:t>
      </w:r>
      <w:r>
        <w:rPr>
          <w:rFonts w:ascii="Times New Roman" w:hAnsi="Times New Roman" w:cs="Times New Roman"/>
        </w:rPr>
        <w:t xml:space="preserve">etermination states that </w:t>
      </w:r>
      <w:r w:rsidR="007731E2">
        <w:rPr>
          <w:rFonts w:ascii="Times New Roman" w:hAnsi="Times New Roman" w:cs="Times New Roman"/>
        </w:rPr>
        <w:t xml:space="preserve">Part </w:t>
      </w:r>
      <w:r>
        <w:rPr>
          <w:rFonts w:ascii="Times New Roman" w:hAnsi="Times New Roman" w:cs="Times New Roman"/>
        </w:rPr>
        <w:t xml:space="preserve">3 of the Determination does not apply to the operation of a mobile station that complies with the </w:t>
      </w:r>
      <w:r w:rsidR="00D64E93">
        <w:rPr>
          <w:rFonts w:ascii="Times New Roman" w:hAnsi="Times New Roman" w:cs="Times New Roman"/>
        </w:rPr>
        <w:t xml:space="preserve">ACMA </w:t>
      </w:r>
      <w:r w:rsidR="0044070A">
        <w:rPr>
          <w:rFonts w:ascii="Times New Roman" w:hAnsi="Times New Roman" w:cs="Times New Roman"/>
        </w:rPr>
        <w:t>S</w:t>
      </w:r>
      <w:r w:rsidR="00D64E93">
        <w:rPr>
          <w:rFonts w:ascii="Times New Roman" w:hAnsi="Times New Roman" w:cs="Times New Roman"/>
        </w:rPr>
        <w:t xml:space="preserve">tandard. This instrument amends paragraph 6(2)(b) to </w:t>
      </w:r>
      <w:r w:rsidR="00D379AA">
        <w:rPr>
          <w:rFonts w:ascii="Times New Roman" w:hAnsi="Times New Roman" w:cs="Times New Roman"/>
        </w:rPr>
        <w:t xml:space="preserve">make it clearer </w:t>
      </w:r>
      <w:r w:rsidR="0044070A">
        <w:rPr>
          <w:rFonts w:ascii="Times New Roman" w:hAnsi="Times New Roman" w:cs="Times New Roman"/>
        </w:rPr>
        <w:t>that mobile stations that are not covered by the ACMA Standard are required to comply with Part 3 of the Determination</w:t>
      </w:r>
      <w:r w:rsidR="00D64E93">
        <w:rPr>
          <w:rFonts w:ascii="Times New Roman" w:hAnsi="Times New Roman" w:cs="Times New Roman"/>
        </w:rPr>
        <w:t xml:space="preserve">. </w:t>
      </w:r>
    </w:p>
    <w:p w14:paraId="06CB69C3" w14:textId="77777777" w:rsidR="00134705" w:rsidRPr="00A213A8" w:rsidRDefault="00134705" w:rsidP="00E5739A">
      <w:pPr>
        <w:keepNext/>
        <w:rPr>
          <w:rFonts w:ascii="Times New Roman" w:hAnsi="Times New Roman" w:cs="Times New Roman"/>
          <w:b/>
          <w:i/>
        </w:rPr>
      </w:pPr>
      <w:r>
        <w:rPr>
          <w:rFonts w:ascii="Times New Roman" w:hAnsi="Times New Roman" w:cs="Times New Roman"/>
          <w:b/>
          <w:i/>
        </w:rPr>
        <w:lastRenderedPageBreak/>
        <w:t>Human rights implications</w:t>
      </w:r>
    </w:p>
    <w:p w14:paraId="44A4FF08" w14:textId="0A9433C9"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E5739A">
        <w:rPr>
          <w:rFonts w:ascii="Times New Roman" w:hAnsi="Times New Roman" w:cs="Times New Roman"/>
        </w:rPr>
        <w:t xml:space="preserve"> </w:t>
      </w:r>
      <w:r w:rsidR="000124F9" w:rsidRPr="00466776">
        <w:rPr>
          <w:rFonts w:ascii="Times New Roman" w:hAnsi="Times New Roman" w:cs="Times New Roman"/>
          <w:i/>
          <w:iCs/>
        </w:rPr>
        <w:t>Human Rights (Parliamentary Scrutiny) Act 2011</w:t>
      </w:r>
      <w:r w:rsidR="000124F9" w:rsidRPr="00E5739A">
        <w:rPr>
          <w:rFonts w:ascii="Times New Roman" w:hAnsi="Times New Roman" w:cs="Times New Roman"/>
        </w:rPr>
        <w:t xml:space="preserve"> </w:t>
      </w:r>
      <w:r>
        <w:rPr>
          <w:rFonts w:ascii="Times New Roman" w:hAnsi="Times New Roman" w:cs="Times New Roman"/>
        </w:rPr>
        <w:t xml:space="preserve">as they apply to Australia. </w:t>
      </w:r>
    </w:p>
    <w:p w14:paraId="08D8C1A8" w14:textId="77777777" w:rsidR="00134705" w:rsidRDefault="00134705" w:rsidP="0013470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27BD9990" w:rsidR="00641906" w:rsidRPr="00B51342" w:rsidRDefault="00AD3414" w:rsidP="00641906">
      <w:pPr>
        <w:jc w:val="center"/>
        <w:rPr>
          <w:rFonts w:ascii="Times New Roman" w:hAnsi="Times New Roman" w:cs="Times New Roman"/>
          <w:b/>
          <w:i/>
          <w:iCs/>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B51342" w:rsidRPr="00B51342">
        <w:rPr>
          <w:rFonts w:ascii="Times New Roman" w:hAnsi="Times New Roman" w:cs="Times New Roman"/>
          <w:b/>
          <w:i/>
          <w:iCs/>
          <w:sz w:val="28"/>
          <w:szCs w:val="28"/>
        </w:rPr>
        <w:t xml:space="preserve">Radiocommunications Licence Conditions (Apparatus Licence) Amendment Determination 2019 (No. 1)  </w:t>
      </w:r>
    </w:p>
    <w:p w14:paraId="2A0AE6C5" w14:textId="594B411F" w:rsidR="00B51342" w:rsidRDefault="0032460F" w:rsidP="00AD500F">
      <w:pPr>
        <w:spacing w:before="280"/>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 xml:space="preserve">Name </w:t>
      </w:r>
    </w:p>
    <w:p w14:paraId="370E1CFF" w14:textId="5FD6B1F4" w:rsidR="0032460F" w:rsidRPr="004651F2" w:rsidRDefault="0032460F" w:rsidP="00E5739A">
      <w:pPr>
        <w:rPr>
          <w:rFonts w:ascii="Times New Roman" w:hAnsi="Times New Roman" w:cs="Times New Roman"/>
        </w:rPr>
      </w:pPr>
      <w:r w:rsidRPr="00466776">
        <w:rPr>
          <w:rFonts w:ascii="Times New Roman" w:hAnsi="Times New Roman" w:cs="Times New Roman"/>
        </w:rPr>
        <w:t xml:space="preserve">Section 1 provides that the instrument is the </w:t>
      </w:r>
      <w:r w:rsidRPr="004651F2">
        <w:rPr>
          <w:rFonts w:ascii="Times New Roman" w:hAnsi="Times New Roman" w:cs="Times New Roman"/>
          <w:i/>
          <w:iCs/>
        </w:rPr>
        <w:t>Radiocommunications Licence Conditions (Apparatus Licence) Amendment Determination 2019 (No. 1)</w:t>
      </w:r>
      <w:r w:rsidR="006C2107">
        <w:rPr>
          <w:rFonts w:ascii="Times New Roman" w:hAnsi="Times New Roman" w:cs="Times New Roman"/>
        </w:rPr>
        <w:t xml:space="preserve"> (</w:t>
      </w:r>
      <w:r w:rsidR="006C2107" w:rsidRPr="00E5739A">
        <w:rPr>
          <w:rFonts w:ascii="Times New Roman" w:hAnsi="Times New Roman" w:cs="Times New Roman"/>
          <w:b/>
          <w:bCs/>
        </w:rPr>
        <w:t>the instrument</w:t>
      </w:r>
      <w:r w:rsidR="006C2107">
        <w:rPr>
          <w:rFonts w:ascii="Times New Roman" w:hAnsi="Times New Roman" w:cs="Times New Roman"/>
        </w:rPr>
        <w:t>)</w:t>
      </w:r>
      <w:r w:rsidRPr="00466776">
        <w:rPr>
          <w:rFonts w:ascii="Times New Roman" w:hAnsi="Times New Roman" w:cs="Times New Roman"/>
        </w:rPr>
        <w:t>.</w:t>
      </w:r>
    </w:p>
    <w:p w14:paraId="1875D562" w14:textId="0A02DB2C" w:rsidR="0032460F" w:rsidRDefault="0032460F" w:rsidP="00AD500F">
      <w:pPr>
        <w:spacing w:before="280"/>
        <w:rPr>
          <w:rFonts w:ascii="Times New Roman" w:hAnsi="Times New Roman" w:cs="Times New Roman"/>
          <w:b/>
        </w:rPr>
      </w:pPr>
      <w:r>
        <w:rPr>
          <w:rFonts w:ascii="Times New Roman" w:hAnsi="Times New Roman" w:cs="Times New Roman"/>
          <w:b/>
        </w:rPr>
        <w:t xml:space="preserve">Section 2 </w:t>
      </w:r>
      <w:r>
        <w:rPr>
          <w:rFonts w:ascii="Times New Roman" w:hAnsi="Times New Roman" w:cs="Times New Roman"/>
          <w:b/>
        </w:rPr>
        <w:tab/>
        <w:t xml:space="preserve">Commencement </w:t>
      </w:r>
    </w:p>
    <w:p w14:paraId="48647B3A" w14:textId="1938E731" w:rsidR="00227BB4" w:rsidRDefault="00227BB4" w:rsidP="00227BB4">
      <w:pPr>
        <w:rPr>
          <w:rFonts w:ascii="Times New Roman" w:hAnsi="Times New Roman" w:cs="Times New Roman"/>
        </w:rPr>
      </w:pPr>
      <w:r>
        <w:rPr>
          <w:rFonts w:ascii="Times New Roman" w:hAnsi="Times New Roman" w:cs="Times New Roman"/>
        </w:rPr>
        <w:t xml:space="preserve">This section provides for the instrument to commence at the start of the day after it is registered on the Federal Register of Legislation.  </w:t>
      </w:r>
    </w:p>
    <w:p w14:paraId="370A07F6" w14:textId="177236F2" w:rsidR="00157B18" w:rsidRDefault="00157B18" w:rsidP="00227BB4">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sidRPr="00441DD3">
          <w:rPr>
            <w:rStyle w:val="Hyperlink"/>
            <w:rFonts w:ascii="Times New Roman" w:hAnsi="Times New Roman" w:cs="Times New Roman"/>
          </w:rPr>
          <w:t>www.legislation.gov.au</w:t>
        </w:r>
      </w:hyperlink>
      <w:r>
        <w:rPr>
          <w:rFonts w:ascii="Times New Roman" w:hAnsi="Times New Roman" w:cs="Times New Roman"/>
        </w:rPr>
        <w:t xml:space="preserve">. </w:t>
      </w:r>
    </w:p>
    <w:p w14:paraId="08CACFB9" w14:textId="404672B0" w:rsidR="0032460F" w:rsidRDefault="0032460F" w:rsidP="00AD500F">
      <w:pPr>
        <w:spacing w:before="280"/>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 xml:space="preserve">Authority </w:t>
      </w:r>
    </w:p>
    <w:p w14:paraId="313179B0" w14:textId="65E36B86" w:rsidR="00227BB4" w:rsidRPr="006940DB" w:rsidRDefault="00227BB4" w:rsidP="00227BB4">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Pr="00466776">
        <w:rPr>
          <w:rFonts w:ascii="Times New Roman" w:hAnsi="Times New Roman" w:cs="Times New Roman"/>
        </w:rPr>
        <w:t xml:space="preserve">paragraph 107(1)(f) </w:t>
      </w:r>
      <w:r>
        <w:rPr>
          <w:rFonts w:ascii="Times New Roman" w:hAnsi="Times New Roman" w:cs="Times New Roman"/>
        </w:rPr>
        <w:t xml:space="preserve">of the </w:t>
      </w:r>
      <w:r w:rsidR="00073C78">
        <w:rPr>
          <w:rFonts w:ascii="Times New Roman" w:hAnsi="Times New Roman" w:cs="Times New Roman"/>
          <w:i/>
          <w:iCs/>
        </w:rPr>
        <w:t>Radiocommunications Act 1992</w:t>
      </w:r>
      <w:r>
        <w:rPr>
          <w:rFonts w:ascii="Times New Roman" w:hAnsi="Times New Roman" w:cs="Times New Roman"/>
        </w:rPr>
        <w:t xml:space="preserve">. </w:t>
      </w:r>
    </w:p>
    <w:p w14:paraId="6BE5A40E" w14:textId="2B763B5F" w:rsidR="0032460F" w:rsidRDefault="0032460F" w:rsidP="00AD500F">
      <w:pPr>
        <w:spacing w:before="280"/>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Amendments </w:t>
      </w:r>
    </w:p>
    <w:p w14:paraId="040ECF30" w14:textId="19BEB684" w:rsidR="00C857E8" w:rsidRPr="001A7955" w:rsidRDefault="00A9187D" w:rsidP="00E5739A">
      <w:pPr>
        <w:rPr>
          <w:rFonts w:ascii="Times New Roman" w:hAnsi="Times New Roman" w:cs="Times New Roman"/>
        </w:rPr>
      </w:pPr>
      <w:r w:rsidRPr="00466776">
        <w:rPr>
          <w:rFonts w:ascii="Times New Roman" w:hAnsi="Times New Roman" w:cs="Times New Roman"/>
        </w:rPr>
        <w:t>This section</w:t>
      </w:r>
      <w:r w:rsidR="00C857E8" w:rsidRPr="004651F2">
        <w:rPr>
          <w:rFonts w:ascii="Times New Roman" w:hAnsi="Times New Roman" w:cs="Times New Roman"/>
        </w:rPr>
        <w:t xml:space="preserve"> provides that </w:t>
      </w:r>
      <w:r w:rsidR="00C857E8" w:rsidRPr="001A7955">
        <w:rPr>
          <w:rFonts w:ascii="Times New Roman" w:hAnsi="Times New Roman" w:cs="Times New Roman"/>
        </w:rPr>
        <w:t xml:space="preserve">Schedule 1 </w:t>
      </w:r>
      <w:r w:rsidR="00073C78">
        <w:rPr>
          <w:rFonts w:ascii="Times New Roman" w:hAnsi="Times New Roman" w:cs="Times New Roman"/>
        </w:rPr>
        <w:t xml:space="preserve">amends the </w:t>
      </w:r>
      <w:r w:rsidR="00073C78">
        <w:rPr>
          <w:rFonts w:ascii="Times New Roman" w:hAnsi="Times New Roman" w:cs="Times New Roman"/>
          <w:i/>
          <w:iCs/>
        </w:rPr>
        <w:t>Radiocommunications Licence Conditions (Apparatus Licence) Determination 2015</w:t>
      </w:r>
      <w:r w:rsidR="00121189">
        <w:rPr>
          <w:rFonts w:ascii="Times New Roman" w:hAnsi="Times New Roman" w:cs="Times New Roman"/>
        </w:rPr>
        <w:t xml:space="preserve"> (</w:t>
      </w:r>
      <w:r w:rsidR="00121189" w:rsidRPr="00E5739A">
        <w:rPr>
          <w:rFonts w:ascii="Times New Roman" w:hAnsi="Times New Roman" w:cs="Times New Roman"/>
          <w:b/>
          <w:bCs/>
        </w:rPr>
        <w:t>the Determination</w:t>
      </w:r>
      <w:r w:rsidR="00121189">
        <w:rPr>
          <w:rFonts w:ascii="Times New Roman" w:hAnsi="Times New Roman" w:cs="Times New Roman"/>
        </w:rPr>
        <w:t>)</w:t>
      </w:r>
      <w:r w:rsidR="001002B9">
        <w:rPr>
          <w:rFonts w:ascii="Times New Roman" w:hAnsi="Times New Roman" w:cs="Times New Roman"/>
        </w:rPr>
        <w:t xml:space="preserve">, </w:t>
      </w:r>
      <w:r w:rsidR="00C857E8" w:rsidRPr="004651F2">
        <w:rPr>
          <w:rFonts w:ascii="Times New Roman" w:hAnsi="Times New Roman" w:cs="Times New Roman"/>
        </w:rPr>
        <w:t>as set out in the applicable items in the Schedule</w:t>
      </w:r>
      <w:r w:rsidR="00227BB4" w:rsidRPr="004651F2">
        <w:rPr>
          <w:rFonts w:ascii="Times New Roman" w:hAnsi="Times New Roman" w:cs="Times New Roman"/>
        </w:rPr>
        <w:t xml:space="preserve">. </w:t>
      </w:r>
      <w:r w:rsidR="00C857E8" w:rsidRPr="001A7955">
        <w:rPr>
          <w:rFonts w:ascii="Times New Roman" w:hAnsi="Times New Roman" w:cs="Times New Roman"/>
        </w:rPr>
        <w:t xml:space="preserve"> </w:t>
      </w:r>
    </w:p>
    <w:p w14:paraId="6538AA96" w14:textId="55CDB029" w:rsidR="006940DB" w:rsidRDefault="00B51342" w:rsidP="00AD500F">
      <w:pPr>
        <w:spacing w:before="280"/>
        <w:rPr>
          <w:rFonts w:ascii="Times New Roman" w:hAnsi="Times New Roman" w:cs="Times New Roman"/>
          <w:b/>
        </w:rPr>
      </w:pPr>
      <w:r>
        <w:rPr>
          <w:rFonts w:ascii="Times New Roman" w:hAnsi="Times New Roman" w:cs="Times New Roman"/>
          <w:b/>
        </w:rPr>
        <w:t xml:space="preserve">Schedule 1 – Amendments </w:t>
      </w:r>
    </w:p>
    <w:p w14:paraId="4DD57917" w14:textId="2445F9A0" w:rsidR="006940DB" w:rsidRDefault="00A9187D" w:rsidP="004D2843">
      <w:pPr>
        <w:rPr>
          <w:rFonts w:ascii="Times New Roman" w:hAnsi="Times New Roman" w:cs="Times New Roman"/>
          <w:b/>
        </w:rPr>
      </w:pPr>
      <w:r>
        <w:rPr>
          <w:rFonts w:ascii="Times New Roman" w:hAnsi="Times New Roman" w:cs="Times New Roman"/>
          <w:b/>
        </w:rPr>
        <w:t>Item</w:t>
      </w:r>
      <w:r w:rsidR="006940DB">
        <w:rPr>
          <w:rFonts w:ascii="Times New Roman" w:hAnsi="Times New Roman" w:cs="Times New Roman"/>
          <w:b/>
        </w:rPr>
        <w:t xml:space="preserve"> 1</w:t>
      </w:r>
      <w:r>
        <w:rPr>
          <w:rFonts w:ascii="Times New Roman" w:hAnsi="Times New Roman" w:cs="Times New Roman"/>
          <w:b/>
        </w:rPr>
        <w:tab/>
      </w:r>
      <w:r w:rsidR="001002B9">
        <w:rPr>
          <w:rFonts w:ascii="Times New Roman" w:hAnsi="Times New Roman" w:cs="Times New Roman"/>
          <w:b/>
        </w:rPr>
        <w:tab/>
      </w:r>
      <w:r w:rsidR="00B51342">
        <w:rPr>
          <w:rFonts w:ascii="Times New Roman" w:hAnsi="Times New Roman" w:cs="Times New Roman"/>
          <w:b/>
        </w:rPr>
        <w:t xml:space="preserve">Paragraph 6(2)(b) </w:t>
      </w:r>
    </w:p>
    <w:p w14:paraId="5D92F8BB" w14:textId="15DD8883" w:rsidR="00A9187D" w:rsidRPr="004651F2" w:rsidRDefault="00A9187D" w:rsidP="004D2843">
      <w:pPr>
        <w:rPr>
          <w:rFonts w:ascii="Times New Roman" w:hAnsi="Times New Roman" w:cs="Times New Roman"/>
        </w:rPr>
      </w:pPr>
      <w:r w:rsidRPr="00466776">
        <w:rPr>
          <w:rFonts w:ascii="Times New Roman" w:hAnsi="Times New Roman" w:cs="Times New Roman"/>
        </w:rPr>
        <w:t xml:space="preserve">This item </w:t>
      </w:r>
      <w:r w:rsidR="00B036C1" w:rsidRPr="004651F2">
        <w:rPr>
          <w:rFonts w:ascii="Times New Roman" w:hAnsi="Times New Roman" w:cs="Times New Roman"/>
        </w:rPr>
        <w:t>omits the reference</w:t>
      </w:r>
      <w:r w:rsidR="00514A27" w:rsidRPr="004651F2">
        <w:rPr>
          <w:rFonts w:ascii="Times New Roman" w:hAnsi="Times New Roman" w:cs="Times New Roman"/>
        </w:rPr>
        <w:t xml:space="preserve"> to the </w:t>
      </w:r>
      <w:r w:rsidR="00514A27" w:rsidRPr="001A7955">
        <w:rPr>
          <w:rFonts w:ascii="Times New Roman" w:hAnsi="Times New Roman" w:cs="Times New Roman"/>
          <w:i/>
          <w:iCs/>
        </w:rPr>
        <w:t>Radiocommunications (Electromagnetic Radiation – Human Exposure) Standard 2014</w:t>
      </w:r>
      <w:r w:rsidR="00514A27" w:rsidRPr="001A7955">
        <w:rPr>
          <w:rFonts w:ascii="Times New Roman" w:hAnsi="Times New Roman" w:cs="Times New Roman"/>
        </w:rPr>
        <w:t xml:space="preserve"> </w:t>
      </w:r>
      <w:r w:rsidR="00FA363E">
        <w:rPr>
          <w:rFonts w:ascii="Times New Roman" w:hAnsi="Times New Roman" w:cs="Times New Roman"/>
        </w:rPr>
        <w:t>(</w:t>
      </w:r>
      <w:r w:rsidR="00FA363E" w:rsidRPr="00E5739A">
        <w:rPr>
          <w:rFonts w:ascii="Times New Roman" w:hAnsi="Times New Roman" w:cs="Times New Roman"/>
          <w:b/>
          <w:bCs/>
        </w:rPr>
        <w:t>the ACMA Standard</w:t>
      </w:r>
      <w:r w:rsidR="00FA363E">
        <w:rPr>
          <w:rFonts w:ascii="Times New Roman" w:hAnsi="Times New Roman" w:cs="Times New Roman"/>
        </w:rPr>
        <w:t xml:space="preserve">) </w:t>
      </w:r>
      <w:r w:rsidR="00514A27" w:rsidRPr="00466776">
        <w:rPr>
          <w:rFonts w:ascii="Times New Roman" w:hAnsi="Times New Roman" w:cs="Times New Roman"/>
        </w:rPr>
        <w:t>and substitutes it with the te</w:t>
      </w:r>
      <w:r w:rsidR="002E74FF">
        <w:rPr>
          <w:rFonts w:ascii="Times New Roman" w:hAnsi="Times New Roman" w:cs="Times New Roman"/>
        </w:rPr>
        <w:t>rm</w:t>
      </w:r>
      <w:r w:rsidR="00514A27" w:rsidRPr="00466776">
        <w:rPr>
          <w:rFonts w:ascii="Times New Roman" w:hAnsi="Times New Roman" w:cs="Times New Roman"/>
        </w:rPr>
        <w:t xml:space="preserve"> </w:t>
      </w:r>
      <w:r w:rsidR="00514A27" w:rsidRPr="003A3716">
        <w:rPr>
          <w:rFonts w:ascii="Times New Roman" w:hAnsi="Times New Roman" w:cs="Times New Roman"/>
          <w:b/>
          <w:bCs/>
          <w:i/>
          <w:iCs/>
        </w:rPr>
        <w:t>compliant mobile station</w:t>
      </w:r>
      <w:r w:rsidR="00514A27" w:rsidRPr="00466776">
        <w:rPr>
          <w:rFonts w:ascii="Times New Roman" w:hAnsi="Times New Roman" w:cs="Times New Roman"/>
        </w:rPr>
        <w:t xml:space="preserve">. </w:t>
      </w:r>
    </w:p>
    <w:p w14:paraId="46ABE126" w14:textId="3278DBBA" w:rsidR="00E12511" w:rsidRPr="00E12511" w:rsidRDefault="00E12511" w:rsidP="004D2843">
      <w:pPr>
        <w:rPr>
          <w:rFonts w:ascii="Times New Roman" w:hAnsi="Times New Roman" w:cs="Times New Roman"/>
          <w:b/>
        </w:rPr>
      </w:pPr>
      <w:r w:rsidRPr="00E12511">
        <w:rPr>
          <w:rFonts w:ascii="Times New Roman" w:hAnsi="Times New Roman" w:cs="Times New Roman"/>
          <w:b/>
        </w:rPr>
        <w:t xml:space="preserve">Item 2 </w:t>
      </w:r>
      <w:r w:rsidRPr="00E12511">
        <w:rPr>
          <w:rFonts w:ascii="Times New Roman" w:hAnsi="Times New Roman" w:cs="Times New Roman"/>
          <w:b/>
        </w:rPr>
        <w:tab/>
      </w:r>
      <w:r w:rsidR="002E74FF">
        <w:rPr>
          <w:rFonts w:ascii="Times New Roman" w:hAnsi="Times New Roman" w:cs="Times New Roman"/>
          <w:b/>
        </w:rPr>
        <w:tab/>
      </w:r>
      <w:r w:rsidRPr="00E12511">
        <w:rPr>
          <w:rFonts w:ascii="Times New Roman" w:hAnsi="Times New Roman" w:cs="Times New Roman"/>
          <w:b/>
        </w:rPr>
        <w:t xml:space="preserve">After paragraph 6(2)(b) </w:t>
      </w:r>
    </w:p>
    <w:p w14:paraId="458AF617" w14:textId="73B85BDA" w:rsidR="00025ACE" w:rsidRPr="00BB076E" w:rsidRDefault="00E12511" w:rsidP="004D2843">
      <w:pPr>
        <w:rPr>
          <w:rFonts w:ascii="Times New Roman" w:hAnsi="Times New Roman" w:cs="Times New Roman"/>
          <w:b/>
        </w:rPr>
      </w:pPr>
      <w:r w:rsidRPr="00466776">
        <w:rPr>
          <w:rFonts w:ascii="Times New Roman" w:hAnsi="Times New Roman" w:cs="Times New Roman"/>
        </w:rPr>
        <w:t xml:space="preserve">This item </w:t>
      </w:r>
      <w:r w:rsidR="002D2FB0" w:rsidRPr="004651F2">
        <w:rPr>
          <w:rFonts w:ascii="Times New Roman" w:hAnsi="Times New Roman" w:cs="Times New Roman"/>
        </w:rPr>
        <w:t>inserts</w:t>
      </w:r>
      <w:r w:rsidR="002E74FF">
        <w:rPr>
          <w:rFonts w:ascii="Times New Roman" w:hAnsi="Times New Roman" w:cs="Times New Roman"/>
        </w:rPr>
        <w:t xml:space="preserve"> a definition of </w:t>
      </w:r>
      <w:r w:rsidR="002E74FF" w:rsidRPr="003A3716">
        <w:rPr>
          <w:rFonts w:ascii="Times New Roman" w:hAnsi="Times New Roman" w:cs="Times New Roman"/>
          <w:b/>
          <w:bCs/>
          <w:i/>
          <w:iCs/>
        </w:rPr>
        <w:t>compliant mobile station</w:t>
      </w:r>
      <w:r w:rsidR="002E74FF">
        <w:rPr>
          <w:rFonts w:ascii="Times New Roman" w:hAnsi="Times New Roman" w:cs="Times New Roman"/>
        </w:rPr>
        <w:t xml:space="preserve"> to</w:t>
      </w:r>
      <w:r w:rsidR="00D6279A" w:rsidRPr="00466776">
        <w:rPr>
          <w:rFonts w:ascii="Times New Roman" w:hAnsi="Times New Roman" w:cs="Times New Roman"/>
        </w:rPr>
        <w:t xml:space="preserve"> mean</w:t>
      </w:r>
      <w:r w:rsidR="00D6279A" w:rsidRPr="004651F2">
        <w:rPr>
          <w:rFonts w:ascii="Times New Roman" w:hAnsi="Times New Roman" w:cs="Times New Roman"/>
        </w:rPr>
        <w:t xml:space="preserve"> a mobile station to which the ACMA </w:t>
      </w:r>
      <w:r w:rsidR="00FA363E">
        <w:rPr>
          <w:rFonts w:ascii="Times New Roman" w:hAnsi="Times New Roman" w:cs="Times New Roman"/>
        </w:rPr>
        <w:t>S</w:t>
      </w:r>
      <w:r w:rsidR="00D6279A" w:rsidRPr="004651F2">
        <w:rPr>
          <w:rFonts w:ascii="Times New Roman" w:hAnsi="Times New Roman" w:cs="Times New Roman"/>
        </w:rPr>
        <w:t xml:space="preserve">tandard applies and that complies with the ACMA </w:t>
      </w:r>
      <w:r w:rsidR="00FA363E">
        <w:rPr>
          <w:rFonts w:ascii="Times New Roman" w:hAnsi="Times New Roman" w:cs="Times New Roman"/>
        </w:rPr>
        <w:t>S</w:t>
      </w:r>
      <w:r w:rsidR="00D6279A" w:rsidRPr="004651F2">
        <w:rPr>
          <w:rFonts w:ascii="Times New Roman" w:hAnsi="Times New Roman" w:cs="Times New Roman"/>
        </w:rPr>
        <w:t xml:space="preserve">tandard. </w:t>
      </w:r>
      <w:r w:rsidR="00121189">
        <w:rPr>
          <w:rFonts w:ascii="Times New Roman" w:hAnsi="Times New Roman" w:cs="Times New Roman"/>
        </w:rPr>
        <w:t xml:space="preserve">Accordingly, the conditions in Part 3 of the </w:t>
      </w:r>
      <w:r w:rsidR="007646B9">
        <w:rPr>
          <w:rFonts w:ascii="Times New Roman" w:hAnsi="Times New Roman" w:cs="Times New Roman"/>
        </w:rPr>
        <w:t xml:space="preserve">Determination apply to </w:t>
      </w:r>
      <w:r w:rsidR="00CA7971">
        <w:rPr>
          <w:rFonts w:ascii="Times New Roman" w:hAnsi="Times New Roman" w:cs="Times New Roman"/>
        </w:rPr>
        <w:t xml:space="preserve">mobile stations that are outside the scope of the ACMA </w:t>
      </w:r>
      <w:proofErr w:type="gramStart"/>
      <w:r w:rsidR="00CA7971">
        <w:rPr>
          <w:rFonts w:ascii="Times New Roman" w:hAnsi="Times New Roman" w:cs="Times New Roman"/>
        </w:rPr>
        <w:t>Standard, or</w:t>
      </w:r>
      <w:proofErr w:type="gramEnd"/>
      <w:r w:rsidR="00CA7971">
        <w:rPr>
          <w:rFonts w:ascii="Times New Roman" w:hAnsi="Times New Roman" w:cs="Times New Roman"/>
        </w:rPr>
        <w:t xml:space="preserve"> are within the scope of the ACMA Standard but do not comply with the ACMA Standard.</w:t>
      </w:r>
    </w:p>
    <w:sectPr w:rsidR="00025ACE" w:rsidRPr="00BB076E" w:rsidSect="002D2FB0">
      <w:headerReference w:type="default" r:id="rId14"/>
      <w:footerReference w:type="defaul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7258" w14:textId="77777777" w:rsidR="00744A7D" w:rsidRDefault="00744A7D" w:rsidP="00025ACE">
      <w:pPr>
        <w:spacing w:after="0" w:line="240" w:lineRule="auto"/>
      </w:pPr>
      <w:r>
        <w:separator/>
      </w:r>
    </w:p>
  </w:endnote>
  <w:endnote w:type="continuationSeparator" w:id="0">
    <w:p w14:paraId="5CBA8B14" w14:textId="77777777" w:rsidR="00744A7D" w:rsidRDefault="00744A7D" w:rsidP="00025ACE">
      <w:pPr>
        <w:spacing w:after="0" w:line="240" w:lineRule="auto"/>
      </w:pPr>
      <w:r>
        <w:continuationSeparator/>
      </w:r>
    </w:p>
  </w:endnote>
  <w:endnote w:type="continuationNotice" w:id="1">
    <w:p w14:paraId="06CE2D98" w14:textId="77777777" w:rsidR="00744A7D" w:rsidRDefault="00744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0F6033" w:rsidRDefault="000F6033" w:rsidP="00AD3414">
        <w:pPr>
          <w:pStyle w:val="Footer"/>
          <w:pBdr>
            <w:top w:val="single" w:sz="4" w:space="1" w:color="auto"/>
          </w:pBdr>
          <w:jc w:val="center"/>
        </w:pPr>
      </w:p>
      <w:p w14:paraId="7A9CDA51" w14:textId="3C1BD008" w:rsidR="000F6033" w:rsidRPr="006C2DBD" w:rsidRDefault="000F6033" w:rsidP="00AD3414">
        <w:pPr>
          <w:pStyle w:val="Footer"/>
          <w:jc w:val="center"/>
          <w:rPr>
            <w:rFonts w:ascii="Times New Roman" w:hAnsi="Times New Roman" w:cs="Times New Roman"/>
            <w:i/>
            <w:iCs/>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6C2DBD">
          <w:rPr>
            <w:rFonts w:ascii="Times New Roman" w:hAnsi="Times New Roman" w:cs="Times New Roman"/>
            <w:i/>
            <w:iCs/>
          </w:rPr>
          <w:t xml:space="preserve">Radiocommunications Licence Conditions (Apparatus Licence) Amendment Determination 2019 (No. 1) </w:t>
        </w:r>
      </w:p>
      <w:p w14:paraId="556B0C98" w14:textId="77777777" w:rsidR="000F6033" w:rsidRDefault="000F6033">
        <w:pPr>
          <w:pStyle w:val="Footer"/>
          <w:jc w:val="right"/>
        </w:pPr>
      </w:p>
      <w:p w14:paraId="4E36910F" w14:textId="06CF02C2" w:rsidR="000F6033" w:rsidRPr="00AD3414" w:rsidRDefault="000F603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F6033" w:rsidRPr="00AD3414" w:rsidRDefault="000F6033"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93F8" w14:textId="77777777" w:rsidR="00744A7D" w:rsidRDefault="00744A7D" w:rsidP="00025ACE">
      <w:pPr>
        <w:spacing w:after="0" w:line="240" w:lineRule="auto"/>
      </w:pPr>
      <w:r>
        <w:separator/>
      </w:r>
    </w:p>
  </w:footnote>
  <w:footnote w:type="continuationSeparator" w:id="0">
    <w:p w14:paraId="3850DF11" w14:textId="77777777" w:rsidR="00744A7D" w:rsidRDefault="00744A7D" w:rsidP="00025ACE">
      <w:pPr>
        <w:spacing w:after="0" w:line="240" w:lineRule="auto"/>
      </w:pPr>
      <w:r>
        <w:continuationSeparator/>
      </w:r>
    </w:p>
  </w:footnote>
  <w:footnote w:type="continuationNotice" w:id="1">
    <w:p w14:paraId="02E932CA" w14:textId="77777777" w:rsidR="00744A7D" w:rsidRDefault="00744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F6033" w:rsidRDefault="000F6033">
    <w:pPr>
      <w:pStyle w:val="Header"/>
    </w:pPr>
  </w:p>
  <w:p w14:paraId="1FE48E17" w14:textId="77777777" w:rsidR="000F6033" w:rsidRPr="00AD3414" w:rsidRDefault="000F603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0252"/>
    <w:rsid w:val="000124F9"/>
    <w:rsid w:val="00013079"/>
    <w:rsid w:val="00025ACE"/>
    <w:rsid w:val="00037F0E"/>
    <w:rsid w:val="000426AF"/>
    <w:rsid w:val="0005217A"/>
    <w:rsid w:val="0005389F"/>
    <w:rsid w:val="00070D91"/>
    <w:rsid w:val="000726C7"/>
    <w:rsid w:val="00073C78"/>
    <w:rsid w:val="00074A8D"/>
    <w:rsid w:val="00082354"/>
    <w:rsid w:val="0008487B"/>
    <w:rsid w:val="00095AB3"/>
    <w:rsid w:val="000A3A94"/>
    <w:rsid w:val="000B0A27"/>
    <w:rsid w:val="000B0BA7"/>
    <w:rsid w:val="000B0F3A"/>
    <w:rsid w:val="000B33B6"/>
    <w:rsid w:val="000B4B6C"/>
    <w:rsid w:val="000C6436"/>
    <w:rsid w:val="000D4ECE"/>
    <w:rsid w:val="000E38C9"/>
    <w:rsid w:val="000E6F58"/>
    <w:rsid w:val="000F6033"/>
    <w:rsid w:val="000F6255"/>
    <w:rsid w:val="001002B9"/>
    <w:rsid w:val="00104130"/>
    <w:rsid w:val="001078C9"/>
    <w:rsid w:val="00112987"/>
    <w:rsid w:val="00117351"/>
    <w:rsid w:val="00121189"/>
    <w:rsid w:val="00121B9E"/>
    <w:rsid w:val="00122072"/>
    <w:rsid w:val="00125DA2"/>
    <w:rsid w:val="0013313F"/>
    <w:rsid w:val="00134705"/>
    <w:rsid w:val="00135981"/>
    <w:rsid w:val="001426A2"/>
    <w:rsid w:val="00146A0C"/>
    <w:rsid w:val="00157B18"/>
    <w:rsid w:val="00161C73"/>
    <w:rsid w:val="001819AB"/>
    <w:rsid w:val="00185BDC"/>
    <w:rsid w:val="001A7955"/>
    <w:rsid w:val="001C4BF8"/>
    <w:rsid w:val="001C5421"/>
    <w:rsid w:val="001D5C25"/>
    <w:rsid w:val="001E343E"/>
    <w:rsid w:val="001E62E1"/>
    <w:rsid w:val="00212847"/>
    <w:rsid w:val="00227BB4"/>
    <w:rsid w:val="002434E1"/>
    <w:rsid w:val="002508F7"/>
    <w:rsid w:val="002674E7"/>
    <w:rsid w:val="00287B08"/>
    <w:rsid w:val="002B6699"/>
    <w:rsid w:val="002C2256"/>
    <w:rsid w:val="002D2FB0"/>
    <w:rsid w:val="002E3B2A"/>
    <w:rsid w:val="002E74FF"/>
    <w:rsid w:val="002F36E0"/>
    <w:rsid w:val="0032460F"/>
    <w:rsid w:val="003434D4"/>
    <w:rsid w:val="0036752E"/>
    <w:rsid w:val="00370620"/>
    <w:rsid w:val="00375FA7"/>
    <w:rsid w:val="00385EF1"/>
    <w:rsid w:val="003A3635"/>
    <w:rsid w:val="003A3716"/>
    <w:rsid w:val="003A7407"/>
    <w:rsid w:val="003B3D92"/>
    <w:rsid w:val="003B783F"/>
    <w:rsid w:val="003C2F82"/>
    <w:rsid w:val="003C44B4"/>
    <w:rsid w:val="003D74BE"/>
    <w:rsid w:val="00406BCA"/>
    <w:rsid w:val="0041003E"/>
    <w:rsid w:val="004362E3"/>
    <w:rsid w:val="0044070A"/>
    <w:rsid w:val="00450F48"/>
    <w:rsid w:val="0045489F"/>
    <w:rsid w:val="004651F2"/>
    <w:rsid w:val="00466776"/>
    <w:rsid w:val="00474889"/>
    <w:rsid w:val="004826DD"/>
    <w:rsid w:val="004971D6"/>
    <w:rsid w:val="004A0E77"/>
    <w:rsid w:val="004A1064"/>
    <w:rsid w:val="004D2843"/>
    <w:rsid w:val="004E790E"/>
    <w:rsid w:val="00502A46"/>
    <w:rsid w:val="0050389F"/>
    <w:rsid w:val="00514A27"/>
    <w:rsid w:val="0052687A"/>
    <w:rsid w:val="00570974"/>
    <w:rsid w:val="00575481"/>
    <w:rsid w:val="00576067"/>
    <w:rsid w:val="005958D6"/>
    <w:rsid w:val="005964CF"/>
    <w:rsid w:val="005C65EB"/>
    <w:rsid w:val="005D5924"/>
    <w:rsid w:val="005F5BE6"/>
    <w:rsid w:val="00603B3F"/>
    <w:rsid w:val="006207D4"/>
    <w:rsid w:val="00634456"/>
    <w:rsid w:val="00641906"/>
    <w:rsid w:val="00663AF2"/>
    <w:rsid w:val="00670716"/>
    <w:rsid w:val="00671216"/>
    <w:rsid w:val="00674A64"/>
    <w:rsid w:val="00681986"/>
    <w:rsid w:val="00686F06"/>
    <w:rsid w:val="00687290"/>
    <w:rsid w:val="006940DB"/>
    <w:rsid w:val="00696659"/>
    <w:rsid w:val="006A0BDF"/>
    <w:rsid w:val="006A53BB"/>
    <w:rsid w:val="006B58B2"/>
    <w:rsid w:val="006C2107"/>
    <w:rsid w:val="006C2DBD"/>
    <w:rsid w:val="006C59D5"/>
    <w:rsid w:val="006F32BF"/>
    <w:rsid w:val="00706F43"/>
    <w:rsid w:val="00744A7D"/>
    <w:rsid w:val="0074661C"/>
    <w:rsid w:val="00750397"/>
    <w:rsid w:val="007646B9"/>
    <w:rsid w:val="00766475"/>
    <w:rsid w:val="007731E2"/>
    <w:rsid w:val="0077364D"/>
    <w:rsid w:val="00794C5F"/>
    <w:rsid w:val="007A0103"/>
    <w:rsid w:val="007A2277"/>
    <w:rsid w:val="007C39C8"/>
    <w:rsid w:val="00805358"/>
    <w:rsid w:val="008070A8"/>
    <w:rsid w:val="00810499"/>
    <w:rsid w:val="0081166D"/>
    <w:rsid w:val="0081203C"/>
    <w:rsid w:val="00821F3F"/>
    <w:rsid w:val="008441CF"/>
    <w:rsid w:val="0084470A"/>
    <w:rsid w:val="0087707C"/>
    <w:rsid w:val="008A1FDF"/>
    <w:rsid w:val="008C584E"/>
    <w:rsid w:val="008D34CE"/>
    <w:rsid w:val="008E052C"/>
    <w:rsid w:val="008E3483"/>
    <w:rsid w:val="008F4C58"/>
    <w:rsid w:val="0090572C"/>
    <w:rsid w:val="0091080B"/>
    <w:rsid w:val="009228B3"/>
    <w:rsid w:val="00926833"/>
    <w:rsid w:val="0095040F"/>
    <w:rsid w:val="009670B7"/>
    <w:rsid w:val="009723D1"/>
    <w:rsid w:val="009732C1"/>
    <w:rsid w:val="00977705"/>
    <w:rsid w:val="009A601D"/>
    <w:rsid w:val="009C5C8B"/>
    <w:rsid w:val="009D5783"/>
    <w:rsid w:val="009D67A8"/>
    <w:rsid w:val="009F7219"/>
    <w:rsid w:val="00A07A2F"/>
    <w:rsid w:val="00A213A8"/>
    <w:rsid w:val="00A21F3E"/>
    <w:rsid w:val="00A61DB1"/>
    <w:rsid w:val="00A64EC4"/>
    <w:rsid w:val="00A7023B"/>
    <w:rsid w:val="00A9187D"/>
    <w:rsid w:val="00AA6088"/>
    <w:rsid w:val="00AB555B"/>
    <w:rsid w:val="00AB65E7"/>
    <w:rsid w:val="00AD3414"/>
    <w:rsid w:val="00AD500F"/>
    <w:rsid w:val="00AE2CB4"/>
    <w:rsid w:val="00AE6898"/>
    <w:rsid w:val="00AE7646"/>
    <w:rsid w:val="00AF080D"/>
    <w:rsid w:val="00AF6545"/>
    <w:rsid w:val="00B00FC3"/>
    <w:rsid w:val="00B036C1"/>
    <w:rsid w:val="00B038F0"/>
    <w:rsid w:val="00B51342"/>
    <w:rsid w:val="00B52584"/>
    <w:rsid w:val="00B52F5E"/>
    <w:rsid w:val="00B665E6"/>
    <w:rsid w:val="00B71D65"/>
    <w:rsid w:val="00B727F3"/>
    <w:rsid w:val="00B90F17"/>
    <w:rsid w:val="00B94B30"/>
    <w:rsid w:val="00BA7D17"/>
    <w:rsid w:val="00BB076E"/>
    <w:rsid w:val="00BB1CF2"/>
    <w:rsid w:val="00BB7A25"/>
    <w:rsid w:val="00BC0A3C"/>
    <w:rsid w:val="00BC5916"/>
    <w:rsid w:val="00BC621F"/>
    <w:rsid w:val="00C032F0"/>
    <w:rsid w:val="00C03503"/>
    <w:rsid w:val="00C10E3A"/>
    <w:rsid w:val="00C14388"/>
    <w:rsid w:val="00C20621"/>
    <w:rsid w:val="00C21933"/>
    <w:rsid w:val="00C52681"/>
    <w:rsid w:val="00C57E29"/>
    <w:rsid w:val="00C63E8C"/>
    <w:rsid w:val="00C659A7"/>
    <w:rsid w:val="00C76FFC"/>
    <w:rsid w:val="00C857E8"/>
    <w:rsid w:val="00C9259F"/>
    <w:rsid w:val="00CA3398"/>
    <w:rsid w:val="00CA40FA"/>
    <w:rsid w:val="00CA6092"/>
    <w:rsid w:val="00CA6926"/>
    <w:rsid w:val="00CA735C"/>
    <w:rsid w:val="00CA7971"/>
    <w:rsid w:val="00CB3AD5"/>
    <w:rsid w:val="00CC009B"/>
    <w:rsid w:val="00CD0D86"/>
    <w:rsid w:val="00CD2DCD"/>
    <w:rsid w:val="00CD71EB"/>
    <w:rsid w:val="00CE3CC8"/>
    <w:rsid w:val="00CE5861"/>
    <w:rsid w:val="00CF3A44"/>
    <w:rsid w:val="00D13D39"/>
    <w:rsid w:val="00D238FF"/>
    <w:rsid w:val="00D23BD5"/>
    <w:rsid w:val="00D2518B"/>
    <w:rsid w:val="00D32E4E"/>
    <w:rsid w:val="00D35790"/>
    <w:rsid w:val="00D379AA"/>
    <w:rsid w:val="00D43BBD"/>
    <w:rsid w:val="00D4430F"/>
    <w:rsid w:val="00D5385A"/>
    <w:rsid w:val="00D555F0"/>
    <w:rsid w:val="00D57387"/>
    <w:rsid w:val="00D6279A"/>
    <w:rsid w:val="00D64E93"/>
    <w:rsid w:val="00D90B3D"/>
    <w:rsid w:val="00DA0D39"/>
    <w:rsid w:val="00DB4A50"/>
    <w:rsid w:val="00DF2758"/>
    <w:rsid w:val="00E12511"/>
    <w:rsid w:val="00E17DFD"/>
    <w:rsid w:val="00E32A7D"/>
    <w:rsid w:val="00E5739A"/>
    <w:rsid w:val="00E77E8D"/>
    <w:rsid w:val="00E833DA"/>
    <w:rsid w:val="00E85544"/>
    <w:rsid w:val="00E90021"/>
    <w:rsid w:val="00EB0C79"/>
    <w:rsid w:val="00EC54C3"/>
    <w:rsid w:val="00EC76A0"/>
    <w:rsid w:val="00EE5E7F"/>
    <w:rsid w:val="00EF0FB8"/>
    <w:rsid w:val="00F33BD8"/>
    <w:rsid w:val="00F406BB"/>
    <w:rsid w:val="00F4414D"/>
    <w:rsid w:val="00F4720B"/>
    <w:rsid w:val="00F675AA"/>
    <w:rsid w:val="00F76815"/>
    <w:rsid w:val="00FA363E"/>
    <w:rsid w:val="00FB4437"/>
    <w:rsid w:val="00FC0BF3"/>
    <w:rsid w:val="00FC67DA"/>
    <w:rsid w:val="00FD6A58"/>
    <w:rsid w:val="00FE54D1"/>
    <w:rsid w:val="00FF37D7"/>
    <w:rsid w:val="00FF3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E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5369">
      <w:bodyDiv w:val="1"/>
      <w:marLeft w:val="0"/>
      <w:marRight w:val="0"/>
      <w:marTop w:val="0"/>
      <w:marBottom w:val="0"/>
      <w:divBdr>
        <w:top w:val="none" w:sz="0" w:space="0" w:color="auto"/>
        <w:left w:val="none" w:sz="0" w:space="0" w:color="auto"/>
        <w:bottom w:val="none" w:sz="0" w:space="0" w:color="auto"/>
        <w:right w:val="none" w:sz="0" w:space="0" w:color="auto"/>
      </w:divBdr>
      <w:divsChild>
        <w:div w:id="1538735826">
          <w:marLeft w:val="0"/>
          <w:marRight w:val="0"/>
          <w:marTop w:val="0"/>
          <w:marBottom w:val="0"/>
          <w:divBdr>
            <w:top w:val="none" w:sz="0" w:space="0" w:color="auto"/>
            <w:left w:val="none" w:sz="0" w:space="0" w:color="auto"/>
            <w:bottom w:val="none" w:sz="0" w:space="0" w:color="auto"/>
            <w:right w:val="none" w:sz="0" w:space="0" w:color="auto"/>
          </w:divBdr>
          <w:divsChild>
            <w:div w:id="1201170452">
              <w:marLeft w:val="0"/>
              <w:marRight w:val="0"/>
              <w:marTop w:val="0"/>
              <w:marBottom w:val="0"/>
              <w:divBdr>
                <w:top w:val="none" w:sz="0" w:space="0" w:color="auto"/>
                <w:left w:val="none" w:sz="0" w:space="0" w:color="auto"/>
                <w:bottom w:val="none" w:sz="0" w:space="0" w:color="auto"/>
                <w:right w:val="none" w:sz="0" w:space="0" w:color="auto"/>
              </w:divBdr>
              <w:divsChild>
                <w:div w:id="728529730">
                  <w:marLeft w:val="0"/>
                  <w:marRight w:val="0"/>
                  <w:marTop w:val="0"/>
                  <w:marBottom w:val="0"/>
                  <w:divBdr>
                    <w:top w:val="none" w:sz="0" w:space="0" w:color="auto"/>
                    <w:left w:val="none" w:sz="0" w:space="0" w:color="auto"/>
                    <w:bottom w:val="none" w:sz="0" w:space="0" w:color="auto"/>
                    <w:right w:val="none" w:sz="0" w:space="0" w:color="auto"/>
                  </w:divBdr>
                  <w:divsChild>
                    <w:div w:id="2051147944">
                      <w:marLeft w:val="0"/>
                      <w:marRight w:val="0"/>
                      <w:marTop w:val="0"/>
                      <w:marBottom w:val="0"/>
                      <w:divBdr>
                        <w:top w:val="none" w:sz="0" w:space="0" w:color="auto"/>
                        <w:left w:val="none" w:sz="0" w:space="0" w:color="auto"/>
                        <w:bottom w:val="none" w:sz="0" w:space="0" w:color="auto"/>
                        <w:right w:val="none" w:sz="0" w:space="0" w:color="auto"/>
                      </w:divBdr>
                      <w:divsChild>
                        <w:div w:id="1774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74167524">
      <w:bodyDiv w:val="1"/>
      <w:marLeft w:val="0"/>
      <w:marRight w:val="0"/>
      <w:marTop w:val="0"/>
      <w:marBottom w:val="0"/>
      <w:divBdr>
        <w:top w:val="none" w:sz="0" w:space="0" w:color="auto"/>
        <w:left w:val="none" w:sz="0" w:space="0" w:color="auto"/>
        <w:bottom w:val="none" w:sz="0" w:space="0" w:color="auto"/>
        <w:right w:val="none" w:sz="0" w:space="0" w:color="auto"/>
      </w:divBdr>
      <w:divsChild>
        <w:div w:id="522861021">
          <w:marLeft w:val="0"/>
          <w:marRight w:val="0"/>
          <w:marTop w:val="0"/>
          <w:marBottom w:val="0"/>
          <w:divBdr>
            <w:top w:val="none" w:sz="0" w:space="0" w:color="auto"/>
            <w:left w:val="none" w:sz="0" w:space="0" w:color="auto"/>
            <w:bottom w:val="none" w:sz="0" w:space="0" w:color="auto"/>
            <w:right w:val="none" w:sz="0" w:space="0" w:color="auto"/>
          </w:divBdr>
          <w:divsChild>
            <w:div w:id="2078238201">
              <w:marLeft w:val="0"/>
              <w:marRight w:val="0"/>
              <w:marTop w:val="0"/>
              <w:marBottom w:val="0"/>
              <w:divBdr>
                <w:top w:val="none" w:sz="0" w:space="0" w:color="auto"/>
                <w:left w:val="none" w:sz="0" w:space="0" w:color="auto"/>
                <w:bottom w:val="none" w:sz="0" w:space="0" w:color="auto"/>
                <w:right w:val="none" w:sz="0" w:space="0" w:color="auto"/>
              </w:divBdr>
              <w:divsChild>
                <w:div w:id="1686590867">
                  <w:marLeft w:val="0"/>
                  <w:marRight w:val="0"/>
                  <w:marTop w:val="0"/>
                  <w:marBottom w:val="0"/>
                  <w:divBdr>
                    <w:top w:val="none" w:sz="0" w:space="0" w:color="auto"/>
                    <w:left w:val="none" w:sz="0" w:space="0" w:color="auto"/>
                    <w:bottom w:val="none" w:sz="0" w:space="0" w:color="auto"/>
                    <w:right w:val="none" w:sz="0" w:space="0" w:color="auto"/>
                  </w:divBdr>
                  <w:divsChild>
                    <w:div w:id="306513352">
                      <w:marLeft w:val="0"/>
                      <w:marRight w:val="0"/>
                      <w:marTop w:val="0"/>
                      <w:marBottom w:val="0"/>
                      <w:divBdr>
                        <w:top w:val="none" w:sz="0" w:space="0" w:color="auto"/>
                        <w:left w:val="none" w:sz="0" w:space="0" w:color="auto"/>
                        <w:bottom w:val="none" w:sz="0" w:space="0" w:color="auto"/>
                        <w:right w:val="none" w:sz="0" w:space="0" w:color="auto"/>
                      </w:divBdr>
                      <w:divsChild>
                        <w:div w:id="1675954247">
                          <w:marLeft w:val="0"/>
                          <w:marRight w:val="0"/>
                          <w:marTop w:val="0"/>
                          <w:marBottom w:val="0"/>
                          <w:divBdr>
                            <w:top w:val="none" w:sz="0" w:space="0" w:color="auto"/>
                            <w:left w:val="none" w:sz="0" w:space="0" w:color="auto"/>
                            <w:bottom w:val="none" w:sz="0" w:space="0" w:color="auto"/>
                            <w:right w:val="none" w:sz="0" w:space="0" w:color="auto"/>
                          </w:divBdr>
                          <w:divsChild>
                            <w:div w:id="1316180670">
                              <w:marLeft w:val="0"/>
                              <w:marRight w:val="0"/>
                              <w:marTop w:val="0"/>
                              <w:marBottom w:val="0"/>
                              <w:divBdr>
                                <w:top w:val="none" w:sz="0" w:space="0" w:color="auto"/>
                                <w:left w:val="none" w:sz="0" w:space="0" w:color="auto"/>
                                <w:bottom w:val="none" w:sz="0" w:space="0" w:color="auto"/>
                                <w:right w:val="none" w:sz="0" w:space="0" w:color="auto"/>
                              </w:divBdr>
                              <w:divsChild>
                                <w:div w:id="1863468459">
                                  <w:marLeft w:val="0"/>
                                  <w:marRight w:val="0"/>
                                  <w:marTop w:val="0"/>
                                  <w:marBottom w:val="0"/>
                                  <w:divBdr>
                                    <w:top w:val="none" w:sz="0" w:space="0" w:color="auto"/>
                                    <w:left w:val="none" w:sz="0" w:space="0" w:color="auto"/>
                                    <w:bottom w:val="none" w:sz="0" w:space="0" w:color="auto"/>
                                    <w:right w:val="none" w:sz="0" w:space="0" w:color="auto"/>
                                  </w:divBdr>
                                  <w:divsChild>
                                    <w:div w:id="1900166792">
                                      <w:marLeft w:val="0"/>
                                      <w:marRight w:val="0"/>
                                      <w:marTop w:val="0"/>
                                      <w:marBottom w:val="0"/>
                                      <w:divBdr>
                                        <w:top w:val="none" w:sz="0" w:space="0" w:color="auto"/>
                                        <w:left w:val="none" w:sz="0" w:space="0" w:color="auto"/>
                                        <w:bottom w:val="none" w:sz="0" w:space="0" w:color="auto"/>
                                        <w:right w:val="none" w:sz="0" w:space="0" w:color="auto"/>
                                      </w:divBdr>
                                      <w:divsChild>
                                        <w:div w:id="493181681">
                                          <w:marLeft w:val="0"/>
                                          <w:marRight w:val="0"/>
                                          <w:marTop w:val="0"/>
                                          <w:marBottom w:val="0"/>
                                          <w:divBdr>
                                            <w:top w:val="none" w:sz="0" w:space="0" w:color="auto"/>
                                            <w:left w:val="none" w:sz="0" w:space="0" w:color="auto"/>
                                            <w:bottom w:val="none" w:sz="0" w:space="0" w:color="auto"/>
                                            <w:right w:val="none" w:sz="0" w:space="0" w:color="auto"/>
                                          </w:divBdr>
                                          <w:divsChild>
                                            <w:div w:id="2030838997">
                                              <w:marLeft w:val="0"/>
                                              <w:marRight w:val="0"/>
                                              <w:marTop w:val="0"/>
                                              <w:marBottom w:val="0"/>
                                              <w:divBdr>
                                                <w:top w:val="none" w:sz="0" w:space="0" w:color="auto"/>
                                                <w:left w:val="none" w:sz="0" w:space="0" w:color="auto"/>
                                                <w:bottom w:val="none" w:sz="0" w:space="0" w:color="auto"/>
                                                <w:right w:val="none" w:sz="0" w:space="0" w:color="auto"/>
                                              </w:divBdr>
                                              <w:divsChild>
                                                <w:div w:id="652177772">
                                                  <w:marLeft w:val="0"/>
                                                  <w:marRight w:val="0"/>
                                                  <w:marTop w:val="0"/>
                                                  <w:marBottom w:val="0"/>
                                                  <w:divBdr>
                                                    <w:top w:val="none" w:sz="0" w:space="0" w:color="auto"/>
                                                    <w:left w:val="none" w:sz="0" w:space="0" w:color="auto"/>
                                                    <w:bottom w:val="none" w:sz="0" w:space="0" w:color="auto"/>
                                                    <w:right w:val="none" w:sz="0" w:space="0" w:color="auto"/>
                                                  </w:divBdr>
                                                  <w:divsChild>
                                                    <w:div w:id="1383288091">
                                                      <w:marLeft w:val="0"/>
                                                      <w:marRight w:val="0"/>
                                                      <w:marTop w:val="0"/>
                                                      <w:marBottom w:val="0"/>
                                                      <w:divBdr>
                                                        <w:top w:val="none" w:sz="0" w:space="0" w:color="auto"/>
                                                        <w:left w:val="none" w:sz="0" w:space="0" w:color="auto"/>
                                                        <w:bottom w:val="none" w:sz="0" w:space="0" w:color="auto"/>
                                                        <w:right w:val="none" w:sz="0" w:space="0" w:color="auto"/>
                                                      </w:divBdr>
                                                      <w:divsChild>
                                                        <w:div w:id="21342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Point_x0020_Number xmlns="17f777bc-f954-4adf-b685-9afef15c321e" xsi:nil="true"/>
    <Legacy_x0020_Record_x0020_Number xmlns="83630db1-6fc2-4dfd-b3fe-d61d34e1440c" xsi:nil="true"/>
    <_dlc_DocId xmlns="1d983eb4-33f7-44b0-aea1-cbdcf0c55136">3NE2HDV7HD6D-2038751701-4116</_dlc_DocId>
    <_dlc_DocIdUrl xmlns="1d983eb4-33f7-44b0-aea1-cbdcf0c55136">
      <Url>http://collaboration/organisation/cid/OB/TRDS/_layouts/15/DocIdRedir.aspx?ID=3NE2HDV7HD6D-2038751701-4116</Url>
      <Description>3NE2HDV7HD6D-2038751701-4116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E09F-3D6B-4F9B-8869-2AF3EFB7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7f777bc-f954-4adf-b685-9afef15c321e"/>
    <ds:schemaRef ds:uri="83630db1-6fc2-4dfd-b3fe-d61d34e1440c"/>
    <ds:schemaRef ds:uri="1d983eb4-33f7-44b0-aea1-cbdcf0c55136"/>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3B0CD88B-3D24-4974-BFA1-56B6E6EC9096}">
  <ds:schemaRefs>
    <ds:schemaRef ds:uri="http://schemas.microsoft.com/sharepoint/events"/>
  </ds:schemaRefs>
</ds:datastoreItem>
</file>

<file path=customXml/itemProps5.xml><?xml version="1.0" encoding="utf-8"?>
<ds:datastoreItem xmlns:ds="http://schemas.openxmlformats.org/officeDocument/2006/customXml" ds:itemID="{5AA38F90-0B99-487B-8A71-97972490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Richard Cranston</cp:lastModifiedBy>
  <cp:revision>2</cp:revision>
  <cp:lastPrinted>2019-09-24T03:45:00Z</cp:lastPrinted>
  <dcterms:created xsi:type="dcterms:W3CDTF">2019-11-13T04:51:00Z</dcterms:created>
  <dcterms:modified xsi:type="dcterms:W3CDTF">2019-11-13T04:51:00Z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fadc2f97-eef7-49de-b272-33ada559aa9e</vt:lpwstr>
  </property>
</Properties>
</file>