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B2" w:rsidRPr="00625284" w:rsidRDefault="007231B2" w:rsidP="00901D26">
      <w:pPr>
        <w:ind w:right="-284"/>
        <w:jc w:val="center"/>
        <w:rPr>
          <w:rFonts w:ascii="Times New Roman" w:hAnsi="Times New Roman"/>
          <w:b/>
          <w:bCs/>
          <w:szCs w:val="24"/>
          <w:u w:val="single"/>
        </w:rPr>
      </w:pPr>
      <w:r w:rsidRPr="00625284">
        <w:rPr>
          <w:rFonts w:ascii="Times New Roman" w:hAnsi="Times New Roman"/>
          <w:b/>
          <w:bCs/>
          <w:szCs w:val="24"/>
          <w:u w:val="single"/>
        </w:rPr>
        <w:t>EXPLANATORY STATEMENT</w:t>
      </w:r>
    </w:p>
    <w:p w:rsidR="007231B2" w:rsidRPr="00A35596" w:rsidRDefault="007231B2" w:rsidP="00901D26">
      <w:pPr>
        <w:ind w:right="-284"/>
        <w:jc w:val="center"/>
        <w:rPr>
          <w:b/>
          <w:sz w:val="22"/>
          <w:szCs w:val="22"/>
        </w:rPr>
      </w:pPr>
    </w:p>
    <w:p w:rsidR="007231B2" w:rsidRPr="00625284" w:rsidRDefault="007231B2" w:rsidP="00901D26">
      <w:pPr>
        <w:ind w:right="-284"/>
        <w:jc w:val="center"/>
        <w:rPr>
          <w:rFonts w:ascii="Times New Roman" w:hAnsi="Times New Roman"/>
          <w:bCs/>
          <w:i/>
          <w:iCs/>
          <w:szCs w:val="24"/>
        </w:rPr>
      </w:pPr>
      <w:r w:rsidRPr="00625284">
        <w:rPr>
          <w:rFonts w:ascii="Times New Roman" w:hAnsi="Times New Roman"/>
          <w:bCs/>
          <w:i/>
          <w:iCs/>
          <w:szCs w:val="24"/>
        </w:rPr>
        <w:t>Therapeutic Goods Act 1989</w:t>
      </w:r>
    </w:p>
    <w:p w:rsidR="007231B2" w:rsidRPr="00A35596" w:rsidRDefault="007231B2" w:rsidP="00901D26">
      <w:pPr>
        <w:ind w:right="-284"/>
        <w:jc w:val="center"/>
        <w:rPr>
          <w:sz w:val="22"/>
          <w:szCs w:val="22"/>
          <w:u w:val="single"/>
        </w:rPr>
      </w:pPr>
    </w:p>
    <w:p w:rsidR="007231B2" w:rsidRPr="00625284" w:rsidRDefault="00064CC7" w:rsidP="00901D26">
      <w:pPr>
        <w:ind w:right="-284"/>
        <w:jc w:val="center"/>
        <w:rPr>
          <w:rFonts w:ascii="Times New Roman" w:hAnsi="Times New Roman"/>
          <w:i/>
          <w:szCs w:val="24"/>
        </w:rPr>
      </w:pPr>
      <w:r w:rsidRPr="00625284">
        <w:rPr>
          <w:rFonts w:ascii="Times New Roman" w:hAnsi="Times New Roman"/>
          <w:i/>
          <w:szCs w:val="24"/>
        </w:rPr>
        <w:t>Therapeutic Goods (Listed Medicines</w:t>
      </w:r>
      <w:r w:rsidRPr="00625284">
        <w:rPr>
          <w:rFonts w:ascii="Times New Roman" w:hAnsi="Times New Roman"/>
          <w:i/>
          <w:szCs w:val="24"/>
        </w:rPr>
        <w:sym w:font="Symbol" w:char="F0BE"/>
      </w:r>
      <w:r w:rsidRPr="00625284">
        <w:rPr>
          <w:rFonts w:ascii="Times New Roman" w:hAnsi="Times New Roman"/>
          <w:i/>
          <w:szCs w:val="24"/>
        </w:rPr>
        <w:t>Compliance Reviews) Specification 2019</w:t>
      </w:r>
    </w:p>
    <w:p w:rsidR="002757A6" w:rsidRPr="00A35596" w:rsidRDefault="002757A6" w:rsidP="00901D26">
      <w:pPr>
        <w:ind w:right="-284"/>
        <w:jc w:val="center"/>
        <w:rPr>
          <w:b/>
          <w:sz w:val="22"/>
          <w:szCs w:val="22"/>
        </w:rPr>
      </w:pPr>
    </w:p>
    <w:p w:rsidR="007231B2" w:rsidRPr="00901D26" w:rsidRDefault="007231B2" w:rsidP="00901D26">
      <w:pPr>
        <w:autoSpaceDE w:val="0"/>
        <w:autoSpaceDN w:val="0"/>
        <w:adjustRightInd w:val="0"/>
        <w:ind w:right="-284"/>
        <w:rPr>
          <w:rFonts w:ascii="Times New Roman" w:hAnsi="Times New Roman"/>
          <w:szCs w:val="24"/>
        </w:rPr>
      </w:pPr>
      <w:r w:rsidRPr="00901D26">
        <w:rPr>
          <w:rFonts w:ascii="Times New Roman" w:hAnsi="Times New Roman"/>
          <w:szCs w:val="24"/>
        </w:rPr>
        <w:t xml:space="preserve">The </w:t>
      </w:r>
      <w:r w:rsidRPr="00901D26">
        <w:rPr>
          <w:rFonts w:ascii="Times New Roman" w:hAnsi="Times New Roman"/>
          <w:i/>
          <w:szCs w:val="24"/>
        </w:rPr>
        <w:t>Therapeutic Goods Act 1989</w:t>
      </w:r>
      <w:r w:rsidRPr="00901D26">
        <w:rPr>
          <w:rFonts w:ascii="Times New Roman" w:hAnsi="Times New Roman"/>
          <w:szCs w:val="24"/>
        </w:rPr>
        <w:t xml:space="preserve"> (</w:t>
      </w:r>
      <w:r w:rsidR="009F042D" w:rsidRPr="00901D26">
        <w:rPr>
          <w:rFonts w:ascii="Times New Roman" w:hAnsi="Times New Roman"/>
          <w:szCs w:val="24"/>
        </w:rPr>
        <w:t>“</w:t>
      </w:r>
      <w:r w:rsidR="008C3004" w:rsidRPr="00901D26">
        <w:rPr>
          <w:rFonts w:ascii="Times New Roman" w:hAnsi="Times New Roman"/>
          <w:szCs w:val="24"/>
        </w:rPr>
        <w:t xml:space="preserve">the </w:t>
      </w:r>
      <w:r w:rsidRPr="00901D26">
        <w:rPr>
          <w:rFonts w:ascii="Times New Roman" w:hAnsi="Times New Roman"/>
          <w:szCs w:val="24"/>
        </w:rPr>
        <w:t>Act</w:t>
      </w:r>
      <w:r w:rsidR="009F042D" w:rsidRPr="00901D26">
        <w:rPr>
          <w:rFonts w:ascii="Times New Roman" w:hAnsi="Times New Roman"/>
          <w:szCs w:val="24"/>
        </w:rPr>
        <w:t>”</w:t>
      </w:r>
      <w:r w:rsidRPr="00901D26">
        <w:rPr>
          <w:rFonts w:ascii="Times New Roman" w:hAnsi="Times New Roman"/>
          <w:szCs w:val="24"/>
        </w:rPr>
        <w:t>) provides for the e</w:t>
      </w:r>
      <w:r w:rsidR="002757A6" w:rsidRPr="00901D26">
        <w:rPr>
          <w:rFonts w:ascii="Times New Roman" w:hAnsi="Times New Roman"/>
          <w:szCs w:val="24"/>
        </w:rPr>
        <w:t>stablishment and maintenance of</w:t>
      </w:r>
      <w:r w:rsidR="0046497F" w:rsidRPr="00901D26">
        <w:rPr>
          <w:rFonts w:ascii="Times New Roman" w:hAnsi="Times New Roman"/>
          <w:szCs w:val="24"/>
        </w:rPr>
        <w:t xml:space="preserve"> </w:t>
      </w:r>
      <w:r w:rsidRPr="00901D26">
        <w:rPr>
          <w:rFonts w:ascii="Times New Roman" w:hAnsi="Times New Roman"/>
          <w:szCs w:val="24"/>
        </w:rPr>
        <w:t xml:space="preserve">a national system of controls for the quality, safety, efficacy and timely availability of therapeutic goods that are </w:t>
      </w:r>
      <w:r w:rsidR="000257B7" w:rsidRPr="00901D26">
        <w:rPr>
          <w:rFonts w:ascii="Times New Roman" w:hAnsi="Times New Roman"/>
          <w:szCs w:val="24"/>
        </w:rPr>
        <w:t>used</w:t>
      </w:r>
      <w:r w:rsidR="00CB48F8" w:rsidRPr="00901D26">
        <w:rPr>
          <w:rFonts w:ascii="Times New Roman" w:hAnsi="Times New Roman"/>
          <w:szCs w:val="24"/>
        </w:rPr>
        <w:t xml:space="preserve"> in</w:t>
      </w:r>
      <w:r w:rsidRPr="00901D26">
        <w:rPr>
          <w:rFonts w:ascii="Times New Roman" w:hAnsi="Times New Roman"/>
          <w:szCs w:val="24"/>
        </w:rPr>
        <w:t xml:space="preserve"> or exported from Australia.</w:t>
      </w:r>
      <w:r w:rsidR="005E1975" w:rsidRPr="00901D26">
        <w:rPr>
          <w:rFonts w:ascii="Times New Roman" w:hAnsi="Times New Roman"/>
          <w:szCs w:val="24"/>
        </w:rPr>
        <w:t xml:space="preserve"> </w:t>
      </w:r>
      <w:r w:rsidR="00556311" w:rsidRPr="00901D26">
        <w:rPr>
          <w:rFonts w:ascii="Times New Roman" w:hAnsi="Times New Roman"/>
          <w:szCs w:val="24"/>
        </w:rPr>
        <w:t>The Act is administered by the</w:t>
      </w:r>
      <w:r w:rsidR="00B91C3A">
        <w:rPr>
          <w:rFonts w:ascii="Times New Roman" w:hAnsi="Times New Roman"/>
          <w:szCs w:val="24"/>
        </w:rPr>
        <w:t> </w:t>
      </w:r>
      <w:r w:rsidR="00556311" w:rsidRPr="00901D26">
        <w:rPr>
          <w:rFonts w:ascii="Times New Roman" w:hAnsi="Times New Roman"/>
          <w:szCs w:val="24"/>
        </w:rPr>
        <w:t xml:space="preserve">Therapeutic Goods Administration (“the TGA”) within the </w:t>
      </w:r>
      <w:r w:rsidR="0070033E">
        <w:rPr>
          <w:rFonts w:ascii="Times New Roman" w:hAnsi="Times New Roman"/>
          <w:szCs w:val="24"/>
        </w:rPr>
        <w:t xml:space="preserve">Australian Government </w:t>
      </w:r>
      <w:r w:rsidR="00556311" w:rsidRPr="00901D26">
        <w:rPr>
          <w:rFonts w:ascii="Times New Roman" w:hAnsi="Times New Roman"/>
          <w:szCs w:val="24"/>
        </w:rPr>
        <w:t>Department of Health.</w:t>
      </w:r>
    </w:p>
    <w:p w:rsidR="007231B2" w:rsidRPr="00901D26" w:rsidRDefault="007231B2" w:rsidP="00901D26">
      <w:pPr>
        <w:autoSpaceDE w:val="0"/>
        <w:autoSpaceDN w:val="0"/>
        <w:adjustRightInd w:val="0"/>
        <w:ind w:right="-284"/>
        <w:rPr>
          <w:rFonts w:ascii="Times New Roman" w:hAnsi="Times New Roman"/>
          <w:szCs w:val="24"/>
        </w:rPr>
      </w:pPr>
    </w:p>
    <w:p w:rsidR="004829AD" w:rsidRPr="00901D26" w:rsidRDefault="002E0A39" w:rsidP="00901D26">
      <w:pPr>
        <w:autoSpaceDE w:val="0"/>
        <w:autoSpaceDN w:val="0"/>
        <w:adjustRightInd w:val="0"/>
        <w:ind w:right="-284"/>
        <w:rPr>
          <w:rFonts w:ascii="Times New Roman" w:hAnsi="Times New Roman"/>
          <w:szCs w:val="24"/>
        </w:rPr>
      </w:pPr>
      <w:r w:rsidRPr="00901D26">
        <w:rPr>
          <w:rFonts w:ascii="Times New Roman" w:hAnsi="Times New Roman"/>
          <w:szCs w:val="24"/>
        </w:rPr>
        <w:t>S</w:t>
      </w:r>
      <w:r w:rsidR="00A26261" w:rsidRPr="00901D26">
        <w:rPr>
          <w:rFonts w:ascii="Times New Roman" w:hAnsi="Times New Roman"/>
          <w:szCs w:val="24"/>
        </w:rPr>
        <w:t>e</w:t>
      </w:r>
      <w:r w:rsidRPr="00901D26">
        <w:rPr>
          <w:rFonts w:ascii="Times New Roman" w:hAnsi="Times New Roman"/>
          <w:szCs w:val="24"/>
        </w:rPr>
        <w:t xml:space="preserve">ction </w:t>
      </w:r>
      <w:r w:rsidR="003047A0" w:rsidRPr="00901D26">
        <w:rPr>
          <w:rFonts w:ascii="Times New Roman" w:hAnsi="Times New Roman"/>
          <w:szCs w:val="24"/>
        </w:rPr>
        <w:t>61</w:t>
      </w:r>
      <w:r w:rsidR="00C91B17" w:rsidRPr="00901D26">
        <w:rPr>
          <w:rFonts w:ascii="Times New Roman" w:hAnsi="Times New Roman"/>
          <w:szCs w:val="24"/>
        </w:rPr>
        <w:t xml:space="preserve"> </w:t>
      </w:r>
      <w:r w:rsidRPr="00901D26">
        <w:rPr>
          <w:rFonts w:ascii="Times New Roman" w:hAnsi="Times New Roman"/>
          <w:szCs w:val="24"/>
        </w:rPr>
        <w:t xml:space="preserve">of the Act </w:t>
      </w:r>
      <w:r w:rsidR="00A309AD" w:rsidRPr="00901D26">
        <w:rPr>
          <w:rFonts w:ascii="Times New Roman" w:hAnsi="Times New Roman"/>
          <w:szCs w:val="24"/>
        </w:rPr>
        <w:t xml:space="preserve">provides </w:t>
      </w:r>
      <w:r w:rsidR="008220E2" w:rsidRPr="00901D26">
        <w:rPr>
          <w:rFonts w:ascii="Times New Roman" w:hAnsi="Times New Roman"/>
          <w:szCs w:val="24"/>
        </w:rPr>
        <w:t xml:space="preserve">that </w:t>
      </w:r>
      <w:r w:rsidR="00A309AD" w:rsidRPr="00901D26">
        <w:rPr>
          <w:rFonts w:ascii="Times New Roman" w:hAnsi="Times New Roman"/>
          <w:szCs w:val="24"/>
        </w:rPr>
        <w:t xml:space="preserve">the </w:t>
      </w:r>
      <w:r w:rsidR="00386F17" w:rsidRPr="00901D26">
        <w:rPr>
          <w:rFonts w:ascii="Times New Roman" w:hAnsi="Times New Roman"/>
          <w:szCs w:val="24"/>
        </w:rPr>
        <w:t xml:space="preserve">Secretary </w:t>
      </w:r>
      <w:r w:rsidR="002757A6" w:rsidRPr="00901D26">
        <w:rPr>
          <w:rFonts w:ascii="Times New Roman" w:hAnsi="Times New Roman"/>
          <w:szCs w:val="24"/>
        </w:rPr>
        <w:t>may</w:t>
      </w:r>
      <w:r w:rsidR="008220E2" w:rsidRPr="00901D26">
        <w:rPr>
          <w:rFonts w:ascii="Times New Roman" w:hAnsi="Times New Roman"/>
          <w:szCs w:val="24"/>
        </w:rPr>
        <w:t xml:space="preserve"> release </w:t>
      </w:r>
      <w:r w:rsidR="00C50314" w:rsidRPr="00901D26">
        <w:rPr>
          <w:rFonts w:ascii="Times New Roman" w:hAnsi="Times New Roman"/>
          <w:szCs w:val="24"/>
        </w:rPr>
        <w:t xml:space="preserve">specified </w:t>
      </w:r>
      <w:r w:rsidR="008220E2" w:rsidRPr="00901D26">
        <w:rPr>
          <w:rFonts w:ascii="Times New Roman" w:hAnsi="Times New Roman"/>
          <w:szCs w:val="24"/>
        </w:rPr>
        <w:t>therapeutic goods information</w:t>
      </w:r>
      <w:r w:rsidR="008C3004" w:rsidRPr="00901D26">
        <w:rPr>
          <w:rFonts w:ascii="Times New Roman" w:hAnsi="Times New Roman"/>
          <w:szCs w:val="24"/>
        </w:rPr>
        <w:t xml:space="preserve"> to </w:t>
      </w:r>
      <w:r w:rsidR="00290960" w:rsidRPr="00901D26">
        <w:rPr>
          <w:rFonts w:ascii="Times New Roman" w:hAnsi="Times New Roman"/>
          <w:szCs w:val="24"/>
        </w:rPr>
        <w:t xml:space="preserve">the public, and </w:t>
      </w:r>
      <w:r w:rsidR="00386F17" w:rsidRPr="00901D26">
        <w:rPr>
          <w:rFonts w:ascii="Times New Roman" w:hAnsi="Times New Roman"/>
          <w:szCs w:val="24"/>
        </w:rPr>
        <w:t xml:space="preserve">certain </w:t>
      </w:r>
      <w:r w:rsidR="008220E2" w:rsidRPr="00901D26">
        <w:rPr>
          <w:rFonts w:ascii="Times New Roman" w:hAnsi="Times New Roman"/>
          <w:szCs w:val="24"/>
        </w:rPr>
        <w:t>organisations, bodies</w:t>
      </w:r>
      <w:r w:rsidR="00C50314" w:rsidRPr="00901D26">
        <w:rPr>
          <w:rFonts w:ascii="Times New Roman" w:hAnsi="Times New Roman"/>
          <w:szCs w:val="24"/>
        </w:rPr>
        <w:t xml:space="preserve"> or</w:t>
      </w:r>
      <w:r w:rsidR="008220E2" w:rsidRPr="00901D26">
        <w:rPr>
          <w:rFonts w:ascii="Times New Roman" w:hAnsi="Times New Roman"/>
          <w:szCs w:val="24"/>
        </w:rPr>
        <w:t xml:space="preserve"> authorities</w:t>
      </w:r>
      <w:r w:rsidR="002D3EA1" w:rsidRPr="00901D26">
        <w:rPr>
          <w:rFonts w:ascii="Times New Roman" w:hAnsi="Times New Roman"/>
          <w:szCs w:val="24"/>
        </w:rPr>
        <w:t xml:space="preserve">, including </w:t>
      </w:r>
      <w:r w:rsidR="00386F17" w:rsidRPr="00901D26">
        <w:rPr>
          <w:rFonts w:ascii="Times New Roman" w:hAnsi="Times New Roman"/>
          <w:szCs w:val="24"/>
        </w:rPr>
        <w:t xml:space="preserve">the World Health Organisation, </w:t>
      </w:r>
      <w:r w:rsidR="00D201C8" w:rsidRPr="00901D26">
        <w:rPr>
          <w:rFonts w:ascii="Times New Roman" w:hAnsi="Times New Roman"/>
          <w:szCs w:val="24"/>
        </w:rPr>
        <w:t xml:space="preserve">authorities of the </w:t>
      </w:r>
      <w:r w:rsidR="00C50314" w:rsidRPr="00901D26">
        <w:rPr>
          <w:rFonts w:ascii="Times New Roman" w:hAnsi="Times New Roman"/>
          <w:szCs w:val="24"/>
        </w:rPr>
        <w:t xml:space="preserve">Commonwealth, </w:t>
      </w:r>
      <w:r w:rsidR="00D201C8" w:rsidRPr="00901D26">
        <w:rPr>
          <w:rFonts w:ascii="Times New Roman" w:hAnsi="Times New Roman"/>
          <w:szCs w:val="24"/>
        </w:rPr>
        <w:t>S</w:t>
      </w:r>
      <w:r w:rsidR="004829AD" w:rsidRPr="00901D26">
        <w:rPr>
          <w:rFonts w:ascii="Times New Roman" w:hAnsi="Times New Roman"/>
          <w:szCs w:val="24"/>
        </w:rPr>
        <w:t>tate</w:t>
      </w:r>
      <w:r w:rsidR="00D201C8" w:rsidRPr="00901D26">
        <w:rPr>
          <w:rFonts w:ascii="Times New Roman" w:hAnsi="Times New Roman"/>
          <w:szCs w:val="24"/>
        </w:rPr>
        <w:t>s</w:t>
      </w:r>
      <w:r w:rsidR="004829AD" w:rsidRPr="00901D26">
        <w:rPr>
          <w:rFonts w:ascii="Times New Roman" w:hAnsi="Times New Roman"/>
          <w:szCs w:val="24"/>
        </w:rPr>
        <w:t xml:space="preserve"> </w:t>
      </w:r>
      <w:r w:rsidR="00D201C8" w:rsidRPr="00901D26">
        <w:rPr>
          <w:rFonts w:ascii="Times New Roman" w:hAnsi="Times New Roman"/>
          <w:szCs w:val="24"/>
        </w:rPr>
        <w:t>or Territories</w:t>
      </w:r>
      <w:r w:rsidR="008C3004" w:rsidRPr="00901D26">
        <w:rPr>
          <w:rFonts w:ascii="Times New Roman" w:hAnsi="Times New Roman"/>
          <w:szCs w:val="24"/>
        </w:rPr>
        <w:t xml:space="preserve">, and national </w:t>
      </w:r>
      <w:r w:rsidR="00D201C8" w:rsidRPr="00901D26">
        <w:rPr>
          <w:rFonts w:ascii="Times New Roman" w:hAnsi="Times New Roman"/>
          <w:szCs w:val="24"/>
        </w:rPr>
        <w:t xml:space="preserve">regulatory </w:t>
      </w:r>
      <w:r w:rsidR="008C3004" w:rsidRPr="00901D26">
        <w:rPr>
          <w:rFonts w:ascii="Times New Roman" w:hAnsi="Times New Roman"/>
          <w:szCs w:val="24"/>
        </w:rPr>
        <w:t>authorities of other countries</w:t>
      </w:r>
      <w:r w:rsidR="00AE47C4" w:rsidRPr="00901D26">
        <w:rPr>
          <w:rFonts w:ascii="Times New Roman" w:hAnsi="Times New Roman"/>
          <w:szCs w:val="24"/>
        </w:rPr>
        <w:t xml:space="preserve"> with </w:t>
      </w:r>
      <w:r w:rsidR="008F7FF8" w:rsidRPr="00901D26">
        <w:rPr>
          <w:rFonts w:ascii="Times New Roman" w:hAnsi="Times New Roman"/>
          <w:szCs w:val="24"/>
        </w:rPr>
        <w:t xml:space="preserve">national </w:t>
      </w:r>
      <w:r w:rsidR="00D201C8" w:rsidRPr="00901D26">
        <w:rPr>
          <w:rFonts w:ascii="Times New Roman" w:hAnsi="Times New Roman"/>
          <w:szCs w:val="24"/>
        </w:rPr>
        <w:t xml:space="preserve">responsibility for </w:t>
      </w:r>
      <w:r w:rsidR="00AE47C4" w:rsidRPr="00901D26">
        <w:rPr>
          <w:rFonts w:ascii="Times New Roman" w:hAnsi="Times New Roman"/>
          <w:szCs w:val="24"/>
        </w:rPr>
        <w:t>therapeutic goods</w:t>
      </w:r>
      <w:r w:rsidR="008C3004" w:rsidRPr="00901D26">
        <w:rPr>
          <w:rFonts w:ascii="Times New Roman" w:hAnsi="Times New Roman"/>
          <w:szCs w:val="24"/>
        </w:rPr>
        <w:t>.</w:t>
      </w:r>
    </w:p>
    <w:p w:rsidR="004829AD" w:rsidRPr="00901D26" w:rsidRDefault="004829AD" w:rsidP="00901D26">
      <w:pPr>
        <w:autoSpaceDE w:val="0"/>
        <w:autoSpaceDN w:val="0"/>
        <w:adjustRightInd w:val="0"/>
        <w:ind w:right="-284"/>
        <w:rPr>
          <w:rFonts w:ascii="Times New Roman" w:hAnsi="Times New Roman"/>
          <w:szCs w:val="24"/>
        </w:rPr>
      </w:pPr>
    </w:p>
    <w:p w:rsidR="00D5210D" w:rsidRPr="00901D26" w:rsidRDefault="00D5210D" w:rsidP="00901D26">
      <w:pPr>
        <w:autoSpaceDE w:val="0"/>
        <w:autoSpaceDN w:val="0"/>
        <w:adjustRightInd w:val="0"/>
        <w:ind w:right="-284"/>
        <w:rPr>
          <w:rFonts w:ascii="Times New Roman" w:hAnsi="Times New Roman"/>
          <w:szCs w:val="24"/>
        </w:rPr>
      </w:pPr>
      <w:r w:rsidRPr="00901D26">
        <w:rPr>
          <w:rFonts w:ascii="Times New Roman" w:hAnsi="Times New Roman"/>
          <w:szCs w:val="24"/>
        </w:rPr>
        <w:t xml:space="preserve">Subsection 61(1) of the Act relevantly provides that therapeutic goods information means, for the purposes of </w:t>
      </w:r>
      <w:r w:rsidR="00BB59D2" w:rsidRPr="00901D26">
        <w:rPr>
          <w:rFonts w:ascii="Times New Roman" w:hAnsi="Times New Roman"/>
          <w:szCs w:val="24"/>
        </w:rPr>
        <w:t>the section</w:t>
      </w:r>
      <w:r w:rsidRPr="00901D26">
        <w:rPr>
          <w:rFonts w:ascii="Times New Roman" w:hAnsi="Times New Roman"/>
          <w:szCs w:val="24"/>
        </w:rPr>
        <w:t xml:space="preserve">, information </w:t>
      </w:r>
      <w:r w:rsidR="00D201C8" w:rsidRPr="00901D26">
        <w:rPr>
          <w:rFonts w:ascii="Times New Roman" w:hAnsi="Times New Roman"/>
          <w:szCs w:val="24"/>
        </w:rPr>
        <w:t xml:space="preserve">relating </w:t>
      </w:r>
      <w:r w:rsidRPr="00901D26">
        <w:rPr>
          <w:rFonts w:ascii="Times New Roman" w:hAnsi="Times New Roman"/>
          <w:szCs w:val="24"/>
        </w:rPr>
        <w:t>to therapeutic goods</w:t>
      </w:r>
      <w:r w:rsidR="008F7FF8" w:rsidRPr="00901D26">
        <w:rPr>
          <w:rFonts w:ascii="Times New Roman" w:hAnsi="Times New Roman"/>
          <w:szCs w:val="24"/>
        </w:rPr>
        <w:t>,</w:t>
      </w:r>
      <w:r w:rsidRPr="00901D26">
        <w:rPr>
          <w:rFonts w:ascii="Times New Roman" w:hAnsi="Times New Roman"/>
          <w:szCs w:val="24"/>
        </w:rPr>
        <w:t xml:space="preserve"> </w:t>
      </w:r>
      <w:r w:rsidR="008F7FF8" w:rsidRPr="00901D26">
        <w:rPr>
          <w:rFonts w:ascii="Times New Roman" w:hAnsi="Times New Roman"/>
          <w:szCs w:val="24"/>
        </w:rPr>
        <w:t xml:space="preserve">which </w:t>
      </w:r>
      <w:r w:rsidRPr="00901D26">
        <w:rPr>
          <w:rFonts w:ascii="Times New Roman" w:hAnsi="Times New Roman"/>
          <w:szCs w:val="24"/>
        </w:rPr>
        <w:t xml:space="preserve">is held by the Department and </w:t>
      </w:r>
      <w:r w:rsidR="008F7FF8" w:rsidRPr="00901D26">
        <w:rPr>
          <w:rFonts w:ascii="Times New Roman" w:hAnsi="Times New Roman"/>
          <w:szCs w:val="24"/>
        </w:rPr>
        <w:t xml:space="preserve">relates to the performance of </w:t>
      </w:r>
      <w:r w:rsidRPr="00901D26">
        <w:rPr>
          <w:rFonts w:ascii="Times New Roman" w:hAnsi="Times New Roman"/>
          <w:szCs w:val="24"/>
        </w:rPr>
        <w:t>the Department’s functions.</w:t>
      </w:r>
    </w:p>
    <w:p w:rsidR="00D5210D" w:rsidRPr="00901D26" w:rsidRDefault="00D5210D" w:rsidP="00901D26">
      <w:pPr>
        <w:tabs>
          <w:tab w:val="left" w:pos="2355"/>
        </w:tabs>
        <w:autoSpaceDE w:val="0"/>
        <w:autoSpaceDN w:val="0"/>
        <w:adjustRightInd w:val="0"/>
        <w:ind w:right="-284"/>
        <w:rPr>
          <w:rFonts w:ascii="Times New Roman" w:hAnsi="Times New Roman"/>
          <w:szCs w:val="24"/>
        </w:rPr>
      </w:pPr>
    </w:p>
    <w:p w:rsidR="002E3566" w:rsidRPr="00901D26" w:rsidRDefault="00625284" w:rsidP="00901D26">
      <w:pPr>
        <w:autoSpaceDE w:val="0"/>
        <w:autoSpaceDN w:val="0"/>
        <w:adjustRightInd w:val="0"/>
        <w:ind w:right="-284"/>
        <w:rPr>
          <w:rFonts w:ascii="Times New Roman" w:hAnsi="Times New Roman"/>
          <w:szCs w:val="24"/>
        </w:rPr>
      </w:pPr>
      <w:r w:rsidRPr="00901D26">
        <w:rPr>
          <w:rFonts w:ascii="Times New Roman" w:hAnsi="Times New Roman"/>
          <w:szCs w:val="24"/>
        </w:rPr>
        <w:t>Under s</w:t>
      </w:r>
      <w:r w:rsidR="00386F17" w:rsidRPr="00901D26">
        <w:rPr>
          <w:rFonts w:ascii="Times New Roman" w:hAnsi="Times New Roman"/>
          <w:szCs w:val="24"/>
        </w:rPr>
        <w:t>ubsection 61(5</w:t>
      </w:r>
      <w:r w:rsidR="00B45B96" w:rsidRPr="00901D26">
        <w:rPr>
          <w:rFonts w:ascii="Times New Roman" w:hAnsi="Times New Roman"/>
          <w:szCs w:val="24"/>
        </w:rPr>
        <w:t>C</w:t>
      </w:r>
      <w:r w:rsidR="00386F17" w:rsidRPr="00901D26">
        <w:rPr>
          <w:rFonts w:ascii="Times New Roman" w:hAnsi="Times New Roman"/>
          <w:szCs w:val="24"/>
        </w:rPr>
        <w:t>)</w:t>
      </w:r>
      <w:r w:rsidR="00674576">
        <w:rPr>
          <w:rFonts w:ascii="Times New Roman" w:hAnsi="Times New Roman"/>
          <w:szCs w:val="24"/>
        </w:rPr>
        <w:t xml:space="preserve"> of the Act</w:t>
      </w:r>
      <w:r w:rsidRPr="00901D26">
        <w:rPr>
          <w:rFonts w:ascii="Times New Roman" w:hAnsi="Times New Roman"/>
          <w:szCs w:val="24"/>
        </w:rPr>
        <w:t>,</w:t>
      </w:r>
      <w:r w:rsidR="00386F17" w:rsidRPr="00901D26">
        <w:rPr>
          <w:rFonts w:ascii="Times New Roman" w:hAnsi="Times New Roman"/>
          <w:szCs w:val="24"/>
        </w:rPr>
        <w:t xml:space="preserve"> </w:t>
      </w:r>
      <w:r w:rsidR="004829AD" w:rsidRPr="00901D26">
        <w:rPr>
          <w:rFonts w:ascii="Times New Roman" w:hAnsi="Times New Roman"/>
          <w:szCs w:val="24"/>
        </w:rPr>
        <w:t xml:space="preserve">the </w:t>
      </w:r>
      <w:r w:rsidR="00B45B96" w:rsidRPr="00901D26">
        <w:rPr>
          <w:rFonts w:ascii="Times New Roman" w:hAnsi="Times New Roman"/>
          <w:szCs w:val="24"/>
        </w:rPr>
        <w:t xml:space="preserve">Secretary may release </w:t>
      </w:r>
      <w:r w:rsidR="005C5FB4" w:rsidRPr="00901D26">
        <w:rPr>
          <w:rFonts w:ascii="Times New Roman" w:hAnsi="Times New Roman"/>
          <w:szCs w:val="24"/>
        </w:rPr>
        <w:t xml:space="preserve">to the public kinds of </w:t>
      </w:r>
      <w:r w:rsidR="00B45B96" w:rsidRPr="00901D26">
        <w:rPr>
          <w:rFonts w:ascii="Times New Roman" w:hAnsi="Times New Roman"/>
          <w:szCs w:val="24"/>
        </w:rPr>
        <w:t>therapeutic goods information specified under</w:t>
      </w:r>
      <w:r w:rsidR="005E1975" w:rsidRPr="00901D26">
        <w:rPr>
          <w:rFonts w:ascii="Times New Roman" w:hAnsi="Times New Roman"/>
          <w:szCs w:val="24"/>
        </w:rPr>
        <w:t xml:space="preserve"> subsection 61(5D) of the Act. </w:t>
      </w:r>
      <w:r w:rsidR="00075839" w:rsidRPr="00901D26">
        <w:rPr>
          <w:rFonts w:ascii="Times New Roman" w:hAnsi="Times New Roman"/>
          <w:szCs w:val="24"/>
        </w:rPr>
        <w:t>S</w:t>
      </w:r>
      <w:r w:rsidR="00B45B96" w:rsidRPr="00901D26">
        <w:rPr>
          <w:rFonts w:ascii="Times New Roman" w:hAnsi="Times New Roman"/>
          <w:szCs w:val="24"/>
        </w:rPr>
        <w:t>ubsection 61(5D) provides that the Minister may</w:t>
      </w:r>
      <w:r w:rsidR="002757A6" w:rsidRPr="00901D26">
        <w:rPr>
          <w:rFonts w:ascii="Times New Roman" w:hAnsi="Times New Roman"/>
          <w:szCs w:val="24"/>
        </w:rPr>
        <w:t xml:space="preserve">, by legislative instrument, </w:t>
      </w:r>
      <w:r w:rsidR="000E36A7" w:rsidRPr="00901D26">
        <w:rPr>
          <w:rFonts w:ascii="Times New Roman" w:hAnsi="Times New Roman"/>
          <w:szCs w:val="24"/>
        </w:rPr>
        <w:t xml:space="preserve">specify kinds of </w:t>
      </w:r>
      <w:r w:rsidR="008D0491" w:rsidRPr="00901D26">
        <w:rPr>
          <w:rFonts w:ascii="Times New Roman" w:hAnsi="Times New Roman"/>
          <w:szCs w:val="24"/>
        </w:rPr>
        <w:t xml:space="preserve">therapeutic goods </w:t>
      </w:r>
      <w:r w:rsidR="00B45B96" w:rsidRPr="00901D26">
        <w:rPr>
          <w:rFonts w:ascii="Times New Roman" w:hAnsi="Times New Roman"/>
          <w:szCs w:val="24"/>
        </w:rPr>
        <w:t>information for the purposes of subsection 61(5C)</w:t>
      </w:r>
      <w:r w:rsidR="00D632A3">
        <w:rPr>
          <w:rFonts w:ascii="Times New Roman" w:hAnsi="Times New Roman"/>
          <w:szCs w:val="24"/>
        </w:rPr>
        <w:t xml:space="preserve"> of the Act</w:t>
      </w:r>
      <w:r w:rsidR="002757A6" w:rsidRPr="00901D26">
        <w:rPr>
          <w:rFonts w:ascii="Times New Roman" w:hAnsi="Times New Roman"/>
          <w:szCs w:val="24"/>
        </w:rPr>
        <w:t>.</w:t>
      </w:r>
    </w:p>
    <w:p w:rsidR="002E3566" w:rsidRPr="00901D26" w:rsidRDefault="002E3566" w:rsidP="00901D26">
      <w:pPr>
        <w:autoSpaceDE w:val="0"/>
        <w:autoSpaceDN w:val="0"/>
        <w:adjustRightInd w:val="0"/>
        <w:ind w:right="-284"/>
        <w:rPr>
          <w:rFonts w:ascii="Times New Roman" w:hAnsi="Times New Roman"/>
          <w:szCs w:val="24"/>
        </w:rPr>
      </w:pPr>
    </w:p>
    <w:p w:rsidR="00C50314" w:rsidRPr="00901D26" w:rsidRDefault="006E3506" w:rsidP="00901D26">
      <w:pPr>
        <w:ind w:right="-284"/>
        <w:rPr>
          <w:rFonts w:ascii="Times New Roman" w:hAnsi="Times New Roman"/>
          <w:szCs w:val="24"/>
        </w:rPr>
      </w:pPr>
      <w:r w:rsidRPr="00901D26">
        <w:rPr>
          <w:rFonts w:ascii="Times New Roman" w:hAnsi="Times New Roman"/>
          <w:szCs w:val="24"/>
        </w:rPr>
        <w:t xml:space="preserve">The </w:t>
      </w:r>
      <w:r w:rsidRPr="00901D26">
        <w:rPr>
          <w:rFonts w:ascii="Times New Roman" w:hAnsi="Times New Roman"/>
          <w:i/>
          <w:szCs w:val="24"/>
        </w:rPr>
        <w:t xml:space="preserve">Therapeutic Goods </w:t>
      </w:r>
      <w:r w:rsidR="00CB48F8" w:rsidRPr="00901D26">
        <w:rPr>
          <w:rFonts w:ascii="Times New Roman" w:hAnsi="Times New Roman"/>
          <w:i/>
          <w:szCs w:val="24"/>
        </w:rPr>
        <w:t>(</w:t>
      </w:r>
      <w:r w:rsidR="00625284" w:rsidRPr="00901D26">
        <w:rPr>
          <w:rFonts w:ascii="Times New Roman" w:hAnsi="Times New Roman"/>
          <w:i/>
          <w:szCs w:val="24"/>
        </w:rPr>
        <w:t>Listed Medicines</w:t>
      </w:r>
      <w:r w:rsidR="00625284" w:rsidRPr="00901D26">
        <w:rPr>
          <w:rFonts w:ascii="Times New Roman" w:hAnsi="Times New Roman"/>
          <w:i/>
          <w:szCs w:val="24"/>
        </w:rPr>
        <w:sym w:font="Symbol" w:char="F0BE"/>
      </w:r>
      <w:r w:rsidR="00625284" w:rsidRPr="00901D26">
        <w:rPr>
          <w:rFonts w:ascii="Times New Roman" w:hAnsi="Times New Roman"/>
          <w:i/>
          <w:szCs w:val="24"/>
        </w:rPr>
        <w:t>Compliance Reviews</w:t>
      </w:r>
      <w:r w:rsidR="00CB48F8" w:rsidRPr="00901D26">
        <w:rPr>
          <w:rFonts w:ascii="Times New Roman" w:hAnsi="Times New Roman"/>
          <w:i/>
          <w:szCs w:val="24"/>
        </w:rPr>
        <w:t>) Specification 2019</w:t>
      </w:r>
      <w:r w:rsidR="00CB48F8" w:rsidRPr="00901D26">
        <w:rPr>
          <w:rFonts w:ascii="Times New Roman" w:hAnsi="Times New Roman"/>
          <w:szCs w:val="24"/>
        </w:rPr>
        <w:t xml:space="preserve"> </w:t>
      </w:r>
      <w:r w:rsidR="00294A49" w:rsidRPr="00901D26">
        <w:rPr>
          <w:rFonts w:ascii="Times New Roman" w:hAnsi="Times New Roman"/>
          <w:szCs w:val="24"/>
        </w:rPr>
        <w:t>(</w:t>
      </w:r>
      <w:r w:rsidR="009F042D" w:rsidRPr="00901D26">
        <w:rPr>
          <w:rFonts w:ascii="Times New Roman" w:hAnsi="Times New Roman"/>
          <w:szCs w:val="24"/>
        </w:rPr>
        <w:t>“</w:t>
      </w:r>
      <w:r w:rsidR="008C3004" w:rsidRPr="00901D26">
        <w:rPr>
          <w:rFonts w:ascii="Times New Roman" w:hAnsi="Times New Roman"/>
          <w:szCs w:val="24"/>
        </w:rPr>
        <w:t xml:space="preserve">the </w:t>
      </w:r>
      <w:r w:rsidR="003047A0" w:rsidRPr="00901D26">
        <w:rPr>
          <w:rFonts w:ascii="Times New Roman" w:hAnsi="Times New Roman"/>
          <w:szCs w:val="24"/>
        </w:rPr>
        <w:t>Specification</w:t>
      </w:r>
      <w:r w:rsidR="009F042D" w:rsidRPr="00901D26">
        <w:rPr>
          <w:rFonts w:ascii="Times New Roman" w:hAnsi="Times New Roman"/>
          <w:szCs w:val="24"/>
        </w:rPr>
        <w:t>”</w:t>
      </w:r>
      <w:r w:rsidR="00294A49" w:rsidRPr="00901D26">
        <w:rPr>
          <w:rFonts w:ascii="Times New Roman" w:hAnsi="Times New Roman"/>
          <w:szCs w:val="24"/>
        </w:rPr>
        <w:t xml:space="preserve">) </w:t>
      </w:r>
      <w:r w:rsidR="00E92FFE" w:rsidRPr="00901D26">
        <w:rPr>
          <w:rFonts w:ascii="Times New Roman" w:hAnsi="Times New Roman"/>
          <w:szCs w:val="24"/>
        </w:rPr>
        <w:t>is</w:t>
      </w:r>
      <w:r w:rsidR="00DA231C" w:rsidRPr="00901D26">
        <w:rPr>
          <w:rFonts w:ascii="Times New Roman" w:hAnsi="Times New Roman"/>
          <w:szCs w:val="24"/>
        </w:rPr>
        <w:t xml:space="preserve"> </w:t>
      </w:r>
      <w:r w:rsidRPr="00901D26">
        <w:rPr>
          <w:rFonts w:ascii="Times New Roman" w:hAnsi="Times New Roman"/>
          <w:szCs w:val="24"/>
        </w:rPr>
        <w:t xml:space="preserve">made under subsection </w:t>
      </w:r>
      <w:r w:rsidR="00A26261" w:rsidRPr="00901D26">
        <w:rPr>
          <w:rFonts w:ascii="Times New Roman" w:hAnsi="Times New Roman"/>
          <w:szCs w:val="24"/>
        </w:rPr>
        <w:t>61</w:t>
      </w:r>
      <w:r w:rsidRPr="00901D26">
        <w:rPr>
          <w:rFonts w:ascii="Times New Roman" w:hAnsi="Times New Roman"/>
          <w:szCs w:val="24"/>
        </w:rPr>
        <w:t>(</w:t>
      </w:r>
      <w:r w:rsidR="00A26261" w:rsidRPr="00901D26">
        <w:rPr>
          <w:rFonts w:ascii="Times New Roman" w:hAnsi="Times New Roman"/>
          <w:szCs w:val="24"/>
        </w:rPr>
        <w:t>5D</w:t>
      </w:r>
      <w:r w:rsidRPr="00901D26">
        <w:rPr>
          <w:rFonts w:ascii="Times New Roman" w:hAnsi="Times New Roman"/>
          <w:szCs w:val="24"/>
        </w:rPr>
        <w:t>) of the Act</w:t>
      </w:r>
      <w:r w:rsidR="00C50314" w:rsidRPr="00901D26">
        <w:rPr>
          <w:rFonts w:ascii="Times New Roman" w:hAnsi="Times New Roman"/>
          <w:szCs w:val="24"/>
        </w:rPr>
        <w:t xml:space="preserve"> </w:t>
      </w:r>
      <w:r w:rsidR="001F3922" w:rsidRPr="00901D26">
        <w:rPr>
          <w:rFonts w:ascii="Times New Roman" w:hAnsi="Times New Roman"/>
          <w:szCs w:val="24"/>
        </w:rPr>
        <w:t xml:space="preserve">to specify kinds of therapeutic goods information that </w:t>
      </w:r>
      <w:r w:rsidR="003839E9" w:rsidRPr="00901D26">
        <w:rPr>
          <w:rFonts w:ascii="Times New Roman" w:hAnsi="Times New Roman"/>
          <w:szCs w:val="24"/>
        </w:rPr>
        <w:t xml:space="preserve">the </w:t>
      </w:r>
      <w:r w:rsidR="001A19D7" w:rsidRPr="00901D26">
        <w:rPr>
          <w:rFonts w:ascii="Times New Roman" w:hAnsi="Times New Roman"/>
          <w:szCs w:val="24"/>
        </w:rPr>
        <w:t xml:space="preserve">Secretary </w:t>
      </w:r>
      <w:r w:rsidR="003839E9" w:rsidRPr="00901D26">
        <w:rPr>
          <w:rFonts w:ascii="Times New Roman" w:hAnsi="Times New Roman"/>
          <w:szCs w:val="24"/>
        </w:rPr>
        <w:t xml:space="preserve">may release </w:t>
      </w:r>
      <w:r w:rsidR="001F3922" w:rsidRPr="00901D26">
        <w:rPr>
          <w:rFonts w:ascii="Times New Roman" w:hAnsi="Times New Roman"/>
          <w:szCs w:val="24"/>
        </w:rPr>
        <w:t>to the public under subsection 61(5C) of the Act</w:t>
      </w:r>
      <w:r w:rsidR="00C50314" w:rsidRPr="00901D26">
        <w:rPr>
          <w:rFonts w:ascii="Times New Roman" w:hAnsi="Times New Roman"/>
          <w:szCs w:val="24"/>
        </w:rPr>
        <w:t>.</w:t>
      </w:r>
    </w:p>
    <w:p w:rsidR="00C50314" w:rsidRPr="00901D26" w:rsidRDefault="00C50314" w:rsidP="00901D26">
      <w:pPr>
        <w:ind w:right="-284"/>
        <w:rPr>
          <w:rFonts w:ascii="Times New Roman" w:hAnsi="Times New Roman"/>
          <w:szCs w:val="24"/>
        </w:rPr>
      </w:pPr>
    </w:p>
    <w:p w:rsidR="00606DFF" w:rsidRPr="00901D26" w:rsidRDefault="00D97A39" w:rsidP="00901D26">
      <w:pPr>
        <w:ind w:right="-284"/>
        <w:rPr>
          <w:rFonts w:ascii="Times New Roman" w:hAnsi="Times New Roman"/>
          <w:szCs w:val="24"/>
        </w:rPr>
      </w:pPr>
      <w:r w:rsidRPr="00901D26">
        <w:rPr>
          <w:rFonts w:ascii="Times New Roman" w:hAnsi="Times New Roman"/>
          <w:szCs w:val="24"/>
        </w:rPr>
        <w:t xml:space="preserve">The </w:t>
      </w:r>
      <w:r w:rsidR="008F7FF8" w:rsidRPr="00901D26">
        <w:rPr>
          <w:rFonts w:ascii="Times New Roman" w:hAnsi="Times New Roman"/>
          <w:szCs w:val="24"/>
        </w:rPr>
        <w:t xml:space="preserve">purpose of the </w:t>
      </w:r>
      <w:r w:rsidRPr="00901D26">
        <w:rPr>
          <w:rFonts w:ascii="Times New Roman" w:hAnsi="Times New Roman"/>
          <w:szCs w:val="24"/>
        </w:rPr>
        <w:t xml:space="preserve">Specification </w:t>
      </w:r>
      <w:r w:rsidR="008F7FF8" w:rsidRPr="00901D26">
        <w:rPr>
          <w:rFonts w:ascii="Times New Roman" w:hAnsi="Times New Roman"/>
          <w:szCs w:val="24"/>
        </w:rPr>
        <w:t xml:space="preserve">is to </w:t>
      </w:r>
      <w:r w:rsidR="00D5210D" w:rsidRPr="00901D26">
        <w:rPr>
          <w:rFonts w:ascii="Times New Roman" w:hAnsi="Times New Roman"/>
          <w:szCs w:val="24"/>
        </w:rPr>
        <w:t xml:space="preserve">facilitate </w:t>
      </w:r>
      <w:r w:rsidR="00B45B96" w:rsidRPr="00901D26">
        <w:rPr>
          <w:rFonts w:ascii="Times New Roman" w:hAnsi="Times New Roman"/>
          <w:szCs w:val="24"/>
        </w:rPr>
        <w:t xml:space="preserve">the publication of </w:t>
      </w:r>
      <w:r w:rsidR="007F6C79" w:rsidRPr="00901D26">
        <w:rPr>
          <w:rFonts w:ascii="Times New Roman" w:hAnsi="Times New Roman"/>
          <w:szCs w:val="24"/>
        </w:rPr>
        <w:t xml:space="preserve">certain </w:t>
      </w:r>
      <w:r w:rsidR="00AD75DC" w:rsidRPr="00901D26">
        <w:rPr>
          <w:rFonts w:ascii="Times New Roman" w:hAnsi="Times New Roman"/>
          <w:szCs w:val="24"/>
        </w:rPr>
        <w:t xml:space="preserve">therapeutic goods </w:t>
      </w:r>
      <w:r w:rsidR="00B45B96" w:rsidRPr="00901D26">
        <w:rPr>
          <w:rFonts w:ascii="Times New Roman" w:hAnsi="Times New Roman"/>
          <w:szCs w:val="24"/>
        </w:rPr>
        <w:t xml:space="preserve">information relating to </w:t>
      </w:r>
      <w:r w:rsidR="00625284" w:rsidRPr="00901D26">
        <w:rPr>
          <w:rFonts w:ascii="Times New Roman" w:hAnsi="Times New Roman"/>
          <w:szCs w:val="24"/>
        </w:rPr>
        <w:t xml:space="preserve">compliance reviews </w:t>
      </w:r>
      <w:r w:rsidR="00DB76C7" w:rsidRPr="00901D26">
        <w:rPr>
          <w:rFonts w:ascii="Times New Roman" w:hAnsi="Times New Roman"/>
          <w:szCs w:val="24"/>
        </w:rPr>
        <w:t xml:space="preserve">that are </w:t>
      </w:r>
      <w:r w:rsidR="00A36EFF">
        <w:rPr>
          <w:rFonts w:ascii="Times New Roman" w:hAnsi="Times New Roman"/>
          <w:szCs w:val="24"/>
        </w:rPr>
        <w:t xml:space="preserve">undertaken </w:t>
      </w:r>
      <w:r w:rsidR="00625284" w:rsidRPr="00901D26">
        <w:rPr>
          <w:rFonts w:ascii="Times New Roman" w:hAnsi="Times New Roman"/>
          <w:szCs w:val="24"/>
        </w:rPr>
        <w:t>by the TGA in relation to listed medicines.</w:t>
      </w:r>
      <w:r w:rsidR="00335801" w:rsidRPr="00901D26">
        <w:rPr>
          <w:rFonts w:ascii="Times New Roman" w:hAnsi="Times New Roman"/>
          <w:szCs w:val="24"/>
        </w:rPr>
        <w:t xml:space="preserve"> </w:t>
      </w:r>
      <w:r w:rsidR="006E16FA" w:rsidRPr="00901D26">
        <w:rPr>
          <w:rFonts w:ascii="Times New Roman" w:hAnsi="Times New Roman"/>
          <w:szCs w:val="24"/>
        </w:rPr>
        <w:t xml:space="preserve">The Specification </w:t>
      </w:r>
      <w:r w:rsidR="00913FE2">
        <w:rPr>
          <w:rFonts w:ascii="Times New Roman" w:hAnsi="Times New Roman"/>
          <w:szCs w:val="24"/>
        </w:rPr>
        <w:t xml:space="preserve">also </w:t>
      </w:r>
      <w:r w:rsidR="006E16FA" w:rsidRPr="00901D26">
        <w:rPr>
          <w:rFonts w:ascii="Times New Roman" w:hAnsi="Times New Roman"/>
          <w:szCs w:val="24"/>
        </w:rPr>
        <w:t>repeal</w:t>
      </w:r>
      <w:r w:rsidR="00913FE2">
        <w:rPr>
          <w:rFonts w:ascii="Times New Roman" w:hAnsi="Times New Roman"/>
          <w:szCs w:val="24"/>
        </w:rPr>
        <w:t>s</w:t>
      </w:r>
      <w:r w:rsidR="006E16FA" w:rsidRPr="00901D26">
        <w:rPr>
          <w:rFonts w:ascii="Times New Roman" w:hAnsi="Times New Roman"/>
          <w:szCs w:val="24"/>
        </w:rPr>
        <w:t xml:space="preserve"> and replace</w:t>
      </w:r>
      <w:r w:rsidR="00913FE2">
        <w:rPr>
          <w:rFonts w:ascii="Times New Roman" w:hAnsi="Times New Roman"/>
          <w:szCs w:val="24"/>
        </w:rPr>
        <w:t>s</w:t>
      </w:r>
      <w:r w:rsidR="006E16FA" w:rsidRPr="00901D26">
        <w:rPr>
          <w:rFonts w:ascii="Times New Roman" w:hAnsi="Times New Roman"/>
          <w:szCs w:val="24"/>
        </w:rPr>
        <w:t xml:space="preserve"> the </w:t>
      </w:r>
      <w:r w:rsidR="006E16FA" w:rsidRPr="00901D26">
        <w:rPr>
          <w:rFonts w:ascii="Times New Roman" w:hAnsi="Times New Roman"/>
          <w:i/>
          <w:szCs w:val="24"/>
        </w:rPr>
        <w:t xml:space="preserve">Therapeutic Goods Information (Outcomes of </w:t>
      </w:r>
      <w:r w:rsidR="00606DFF" w:rsidRPr="00901D26">
        <w:rPr>
          <w:rFonts w:ascii="Times New Roman" w:hAnsi="Times New Roman"/>
          <w:i/>
          <w:szCs w:val="24"/>
        </w:rPr>
        <w:t>Compliance Reviews of Listed Complementary Medicines</w:t>
      </w:r>
      <w:r w:rsidR="006E16FA" w:rsidRPr="00901D26">
        <w:rPr>
          <w:rFonts w:ascii="Times New Roman" w:hAnsi="Times New Roman"/>
          <w:i/>
          <w:szCs w:val="24"/>
        </w:rPr>
        <w:t>) Specification 201</w:t>
      </w:r>
      <w:r w:rsidR="00606DFF" w:rsidRPr="00901D26">
        <w:rPr>
          <w:rFonts w:ascii="Times New Roman" w:hAnsi="Times New Roman"/>
          <w:i/>
          <w:szCs w:val="24"/>
        </w:rPr>
        <w:t>2</w:t>
      </w:r>
      <w:r w:rsidR="006E16FA" w:rsidRPr="00901D26">
        <w:rPr>
          <w:rFonts w:ascii="Times New Roman" w:hAnsi="Times New Roman"/>
          <w:szCs w:val="24"/>
        </w:rPr>
        <w:t xml:space="preserve"> (</w:t>
      </w:r>
      <w:r w:rsidR="000614D9" w:rsidRPr="00901D26">
        <w:rPr>
          <w:rFonts w:ascii="Times New Roman" w:hAnsi="Times New Roman"/>
          <w:szCs w:val="24"/>
        </w:rPr>
        <w:t>“</w:t>
      </w:r>
      <w:r w:rsidR="006E16FA" w:rsidRPr="00901D26">
        <w:rPr>
          <w:rFonts w:ascii="Times New Roman" w:hAnsi="Times New Roman"/>
          <w:szCs w:val="24"/>
        </w:rPr>
        <w:t xml:space="preserve">the </w:t>
      </w:r>
      <w:r w:rsidR="001A19D7" w:rsidRPr="00901D26">
        <w:rPr>
          <w:rFonts w:ascii="Times New Roman" w:hAnsi="Times New Roman"/>
          <w:szCs w:val="24"/>
        </w:rPr>
        <w:t xml:space="preserve">former </w:t>
      </w:r>
      <w:r w:rsidR="006E16FA" w:rsidRPr="00901D26">
        <w:rPr>
          <w:rFonts w:ascii="Times New Roman" w:hAnsi="Times New Roman"/>
          <w:szCs w:val="24"/>
        </w:rPr>
        <w:t>Specification</w:t>
      </w:r>
      <w:r w:rsidR="00AD75DC" w:rsidRPr="00901D26">
        <w:rPr>
          <w:rFonts w:ascii="Times New Roman" w:hAnsi="Times New Roman"/>
          <w:szCs w:val="24"/>
        </w:rPr>
        <w:t>”</w:t>
      </w:r>
      <w:r w:rsidR="00606DFF" w:rsidRPr="00901D26">
        <w:rPr>
          <w:rFonts w:ascii="Times New Roman" w:hAnsi="Times New Roman"/>
          <w:szCs w:val="24"/>
        </w:rPr>
        <w:t>)</w:t>
      </w:r>
      <w:r w:rsidR="006E16FA" w:rsidRPr="00901D26">
        <w:rPr>
          <w:rFonts w:ascii="Times New Roman" w:hAnsi="Times New Roman"/>
          <w:szCs w:val="24"/>
        </w:rPr>
        <w:t>.</w:t>
      </w:r>
    </w:p>
    <w:p w:rsidR="00606DFF" w:rsidRPr="00901D26" w:rsidRDefault="00606DFF" w:rsidP="00901D26">
      <w:pPr>
        <w:autoSpaceDE w:val="0"/>
        <w:autoSpaceDN w:val="0"/>
        <w:adjustRightInd w:val="0"/>
        <w:ind w:right="-284"/>
        <w:rPr>
          <w:rFonts w:ascii="Times New Roman" w:hAnsi="Times New Roman"/>
          <w:szCs w:val="24"/>
        </w:rPr>
      </w:pPr>
    </w:p>
    <w:p w:rsidR="007231B2" w:rsidRPr="00901D26" w:rsidRDefault="007231B2" w:rsidP="00901D26">
      <w:pPr>
        <w:keepNext/>
        <w:autoSpaceDE w:val="0"/>
        <w:autoSpaceDN w:val="0"/>
        <w:adjustRightInd w:val="0"/>
        <w:ind w:right="-284"/>
        <w:rPr>
          <w:rFonts w:ascii="Times New Roman" w:hAnsi="Times New Roman"/>
          <w:b/>
          <w:szCs w:val="24"/>
        </w:rPr>
      </w:pPr>
      <w:r w:rsidRPr="00901D26">
        <w:rPr>
          <w:rFonts w:ascii="Times New Roman" w:hAnsi="Times New Roman"/>
          <w:b/>
          <w:szCs w:val="24"/>
        </w:rPr>
        <w:t>B</w:t>
      </w:r>
      <w:r w:rsidR="00294A49" w:rsidRPr="00901D26">
        <w:rPr>
          <w:rFonts w:ascii="Times New Roman" w:hAnsi="Times New Roman"/>
          <w:b/>
          <w:szCs w:val="24"/>
        </w:rPr>
        <w:t>ackground</w:t>
      </w:r>
    </w:p>
    <w:p w:rsidR="0030123E" w:rsidRPr="00901D26" w:rsidRDefault="0030123E" w:rsidP="00901D26">
      <w:pPr>
        <w:autoSpaceDE w:val="0"/>
        <w:autoSpaceDN w:val="0"/>
        <w:adjustRightInd w:val="0"/>
        <w:ind w:right="-284"/>
        <w:rPr>
          <w:rFonts w:ascii="Times New Roman" w:hAnsi="Times New Roman"/>
          <w:szCs w:val="24"/>
        </w:rPr>
      </w:pPr>
    </w:p>
    <w:p w:rsidR="00D83EE7" w:rsidRPr="00901D26" w:rsidRDefault="00835618" w:rsidP="00901D26">
      <w:pPr>
        <w:ind w:right="-284"/>
        <w:rPr>
          <w:rFonts w:ascii="Times New Roman" w:hAnsi="Times New Roman"/>
          <w:szCs w:val="24"/>
        </w:rPr>
      </w:pPr>
      <w:r w:rsidRPr="00901D26">
        <w:rPr>
          <w:rFonts w:ascii="Times New Roman" w:hAnsi="Times New Roman"/>
          <w:szCs w:val="24"/>
        </w:rPr>
        <w:t>Listed medicines</w:t>
      </w:r>
      <w:r w:rsidR="009C1C06" w:rsidRPr="00901D26">
        <w:rPr>
          <w:rFonts w:ascii="Times New Roman" w:hAnsi="Times New Roman"/>
          <w:szCs w:val="24"/>
        </w:rPr>
        <w:t xml:space="preserve"> </w:t>
      </w:r>
      <w:r w:rsidR="001543C7" w:rsidRPr="00901D26">
        <w:rPr>
          <w:rFonts w:ascii="Times New Roman" w:hAnsi="Times New Roman"/>
          <w:szCs w:val="24"/>
        </w:rPr>
        <w:t xml:space="preserve">are considered </w:t>
      </w:r>
      <w:r w:rsidR="00D632A3">
        <w:rPr>
          <w:rFonts w:ascii="Times New Roman" w:hAnsi="Times New Roman"/>
          <w:szCs w:val="24"/>
        </w:rPr>
        <w:t xml:space="preserve">to be </w:t>
      </w:r>
      <w:r w:rsidR="001543C7" w:rsidRPr="00901D26">
        <w:rPr>
          <w:rFonts w:ascii="Times New Roman" w:hAnsi="Times New Roman"/>
          <w:szCs w:val="24"/>
        </w:rPr>
        <w:t>low risk and are</w:t>
      </w:r>
      <w:r w:rsidRPr="00901D26">
        <w:rPr>
          <w:rFonts w:ascii="Times New Roman" w:hAnsi="Times New Roman"/>
          <w:szCs w:val="24"/>
        </w:rPr>
        <w:t xml:space="preserve"> </w:t>
      </w:r>
      <w:r w:rsidR="00D632A3">
        <w:rPr>
          <w:rFonts w:ascii="Times New Roman" w:hAnsi="Times New Roman"/>
          <w:szCs w:val="24"/>
        </w:rPr>
        <w:t xml:space="preserve">therefore </w:t>
      </w:r>
      <w:r w:rsidRPr="00901D26">
        <w:rPr>
          <w:rFonts w:ascii="Times New Roman" w:hAnsi="Times New Roman"/>
          <w:szCs w:val="24"/>
        </w:rPr>
        <w:t xml:space="preserve">included </w:t>
      </w:r>
      <w:r w:rsidR="000E36A7" w:rsidRPr="00901D26">
        <w:rPr>
          <w:rFonts w:ascii="Times New Roman" w:hAnsi="Times New Roman"/>
          <w:szCs w:val="24"/>
        </w:rPr>
        <w:t>in</w:t>
      </w:r>
      <w:r w:rsidRPr="00901D26">
        <w:rPr>
          <w:rFonts w:ascii="Times New Roman" w:hAnsi="Times New Roman"/>
          <w:szCs w:val="24"/>
        </w:rPr>
        <w:t xml:space="preserve"> the Australian Register of Therapeutic Goods (“the Register”) without undergoing pre-market evaluation by the </w:t>
      </w:r>
      <w:r w:rsidR="00D632A3">
        <w:rPr>
          <w:rFonts w:ascii="Times New Roman" w:hAnsi="Times New Roman"/>
          <w:szCs w:val="24"/>
        </w:rPr>
        <w:t>Secretary</w:t>
      </w:r>
      <w:r w:rsidRPr="00901D26">
        <w:rPr>
          <w:rFonts w:ascii="Times New Roman" w:hAnsi="Times New Roman"/>
          <w:szCs w:val="24"/>
        </w:rPr>
        <w:t>.</w:t>
      </w:r>
      <w:r w:rsidR="009C1C06" w:rsidRPr="00901D26">
        <w:rPr>
          <w:rFonts w:ascii="Times New Roman" w:hAnsi="Times New Roman"/>
          <w:szCs w:val="24"/>
        </w:rPr>
        <w:t xml:space="preserve"> In Australia, </w:t>
      </w:r>
      <w:r w:rsidR="00DA5C1E" w:rsidRPr="00901D26">
        <w:rPr>
          <w:rFonts w:ascii="Times New Roman" w:hAnsi="Times New Roman"/>
          <w:szCs w:val="24"/>
        </w:rPr>
        <w:t xml:space="preserve">listed </w:t>
      </w:r>
      <w:r w:rsidR="009C1C06" w:rsidRPr="00901D26">
        <w:rPr>
          <w:rFonts w:ascii="Times New Roman" w:hAnsi="Times New Roman"/>
          <w:szCs w:val="24"/>
        </w:rPr>
        <w:t xml:space="preserve">medicines include </w:t>
      </w:r>
      <w:r w:rsidR="00D61722">
        <w:rPr>
          <w:rFonts w:ascii="Times New Roman" w:hAnsi="Times New Roman"/>
          <w:szCs w:val="24"/>
        </w:rPr>
        <w:t xml:space="preserve">certain </w:t>
      </w:r>
      <w:r w:rsidR="009C1C06" w:rsidRPr="00901D26">
        <w:rPr>
          <w:rFonts w:ascii="Times New Roman" w:hAnsi="Times New Roman"/>
          <w:szCs w:val="24"/>
        </w:rPr>
        <w:t>medicinal products containing such ingredients as herbs, vitamins, minerals, nutritional supplements, and homoeopathic and aromatherapy preparations.</w:t>
      </w:r>
    </w:p>
    <w:p w:rsidR="00D83EE7" w:rsidRPr="00901D26" w:rsidRDefault="00D83EE7" w:rsidP="00901D26">
      <w:pPr>
        <w:ind w:right="-284"/>
        <w:rPr>
          <w:rFonts w:ascii="Times New Roman" w:hAnsi="Times New Roman"/>
          <w:szCs w:val="24"/>
        </w:rPr>
      </w:pPr>
    </w:p>
    <w:p w:rsidR="00D83EE7" w:rsidRPr="00901D26" w:rsidRDefault="006D1FDA" w:rsidP="00901D26">
      <w:pPr>
        <w:ind w:right="-284"/>
        <w:rPr>
          <w:rFonts w:ascii="Times New Roman" w:hAnsi="Times New Roman"/>
          <w:szCs w:val="24"/>
        </w:rPr>
      </w:pPr>
      <w:r>
        <w:rPr>
          <w:rFonts w:ascii="Times New Roman" w:hAnsi="Times New Roman"/>
          <w:szCs w:val="24"/>
        </w:rPr>
        <w:t>In the absence of pre-market evaluation, m</w:t>
      </w:r>
      <w:r w:rsidR="00D83EE7" w:rsidRPr="00901D26">
        <w:rPr>
          <w:rFonts w:ascii="Times New Roman" w:hAnsi="Times New Roman"/>
          <w:szCs w:val="24"/>
        </w:rPr>
        <w:t xml:space="preserve">edicines listed under section 26A of the Act are included in the Register on the basis </w:t>
      </w:r>
      <w:r w:rsidR="00D61722">
        <w:rPr>
          <w:rFonts w:ascii="Times New Roman" w:hAnsi="Times New Roman"/>
          <w:szCs w:val="24"/>
        </w:rPr>
        <w:t xml:space="preserve">that </w:t>
      </w:r>
      <w:r w:rsidR="00D83EE7" w:rsidRPr="00901D26">
        <w:rPr>
          <w:rFonts w:ascii="Times New Roman" w:hAnsi="Times New Roman"/>
          <w:szCs w:val="24"/>
        </w:rPr>
        <w:t>th</w:t>
      </w:r>
      <w:r w:rsidR="00A36EFF">
        <w:rPr>
          <w:rFonts w:ascii="Times New Roman" w:hAnsi="Times New Roman"/>
          <w:szCs w:val="24"/>
        </w:rPr>
        <w:t>os</w:t>
      </w:r>
      <w:r w:rsidR="00D83EE7" w:rsidRPr="00901D26">
        <w:rPr>
          <w:rFonts w:ascii="Times New Roman" w:hAnsi="Times New Roman"/>
          <w:szCs w:val="24"/>
        </w:rPr>
        <w:t xml:space="preserve">e goods </w:t>
      </w:r>
      <w:r w:rsidR="00D61722">
        <w:rPr>
          <w:rFonts w:ascii="Times New Roman" w:hAnsi="Times New Roman"/>
          <w:szCs w:val="24"/>
        </w:rPr>
        <w:t xml:space="preserve">are certified by an applicant as meeting </w:t>
      </w:r>
      <w:r w:rsidR="00B91DCF">
        <w:rPr>
          <w:rFonts w:ascii="Times New Roman" w:hAnsi="Times New Roman"/>
          <w:szCs w:val="24"/>
        </w:rPr>
        <w:t xml:space="preserve">specified </w:t>
      </w:r>
      <w:r w:rsidR="00D83EE7" w:rsidRPr="00901D26">
        <w:rPr>
          <w:rFonts w:ascii="Times New Roman" w:hAnsi="Times New Roman"/>
          <w:szCs w:val="24"/>
        </w:rPr>
        <w:t xml:space="preserve">criteria for low risk medicines </w:t>
      </w:r>
      <w:r w:rsidR="00D61722">
        <w:rPr>
          <w:rFonts w:ascii="Times New Roman" w:hAnsi="Times New Roman"/>
          <w:szCs w:val="24"/>
        </w:rPr>
        <w:t xml:space="preserve">relating </w:t>
      </w:r>
      <w:r w:rsidR="00B24640" w:rsidRPr="00901D26">
        <w:rPr>
          <w:rFonts w:ascii="Times New Roman" w:hAnsi="Times New Roman"/>
          <w:szCs w:val="24"/>
        </w:rPr>
        <w:t>to quality</w:t>
      </w:r>
      <w:r w:rsidR="00A36EFF">
        <w:rPr>
          <w:rFonts w:ascii="Times New Roman" w:hAnsi="Times New Roman"/>
          <w:szCs w:val="24"/>
        </w:rPr>
        <w:t>, safety</w:t>
      </w:r>
      <w:r w:rsidR="00B24640" w:rsidRPr="00901D26">
        <w:rPr>
          <w:rFonts w:ascii="Times New Roman" w:hAnsi="Times New Roman"/>
          <w:szCs w:val="24"/>
        </w:rPr>
        <w:t xml:space="preserve"> and efficacy</w:t>
      </w:r>
      <w:r w:rsidR="00D83EE7" w:rsidRPr="00901D26">
        <w:rPr>
          <w:rFonts w:ascii="Times New Roman" w:hAnsi="Times New Roman"/>
          <w:szCs w:val="24"/>
        </w:rPr>
        <w:t>.</w:t>
      </w:r>
      <w:r w:rsidR="00B274F2">
        <w:rPr>
          <w:rFonts w:ascii="Times New Roman" w:hAnsi="Times New Roman"/>
          <w:szCs w:val="24"/>
        </w:rPr>
        <w:t xml:space="preserve"> Medicines listed under section 26AE also rely on certification in relation to quality and safety.</w:t>
      </w:r>
    </w:p>
    <w:p w:rsidR="00D83EE7" w:rsidRPr="00901D26" w:rsidRDefault="00D83EE7" w:rsidP="00901D26">
      <w:pPr>
        <w:tabs>
          <w:tab w:val="left" w:pos="2490"/>
        </w:tabs>
        <w:ind w:right="-284"/>
        <w:rPr>
          <w:rFonts w:ascii="Times New Roman" w:hAnsi="Times New Roman"/>
          <w:szCs w:val="24"/>
        </w:rPr>
      </w:pPr>
    </w:p>
    <w:p w:rsidR="00143670" w:rsidRPr="00901D26" w:rsidRDefault="006D1FDA" w:rsidP="00901D26">
      <w:pPr>
        <w:ind w:right="-284"/>
        <w:rPr>
          <w:rFonts w:ascii="Times New Roman" w:hAnsi="Times New Roman"/>
          <w:szCs w:val="24"/>
        </w:rPr>
      </w:pPr>
      <w:r>
        <w:rPr>
          <w:rFonts w:ascii="Times New Roman" w:hAnsi="Times New Roman"/>
          <w:szCs w:val="24"/>
        </w:rPr>
        <w:t>T</w:t>
      </w:r>
      <w:r w:rsidR="00DB76C7" w:rsidRPr="00901D26">
        <w:rPr>
          <w:rFonts w:ascii="Times New Roman" w:hAnsi="Times New Roman"/>
          <w:szCs w:val="24"/>
        </w:rPr>
        <w:t xml:space="preserve">he TGA </w:t>
      </w:r>
      <w:r>
        <w:rPr>
          <w:rFonts w:ascii="Times New Roman" w:hAnsi="Times New Roman"/>
          <w:szCs w:val="24"/>
        </w:rPr>
        <w:t xml:space="preserve">monitors </w:t>
      </w:r>
      <w:r w:rsidR="00DB76C7" w:rsidRPr="00901D26">
        <w:rPr>
          <w:rFonts w:ascii="Times New Roman" w:hAnsi="Times New Roman"/>
          <w:szCs w:val="24"/>
        </w:rPr>
        <w:t xml:space="preserve">the </w:t>
      </w:r>
      <w:r w:rsidR="00943A52" w:rsidRPr="00901D26">
        <w:rPr>
          <w:rFonts w:ascii="Times New Roman" w:hAnsi="Times New Roman"/>
          <w:szCs w:val="24"/>
        </w:rPr>
        <w:t>ongoing quality</w:t>
      </w:r>
      <w:r w:rsidR="00A36EFF">
        <w:rPr>
          <w:rFonts w:ascii="Times New Roman" w:hAnsi="Times New Roman"/>
          <w:szCs w:val="24"/>
        </w:rPr>
        <w:t>, safety</w:t>
      </w:r>
      <w:r w:rsidR="00943A52" w:rsidRPr="00901D26">
        <w:rPr>
          <w:rFonts w:ascii="Times New Roman" w:hAnsi="Times New Roman"/>
          <w:szCs w:val="24"/>
        </w:rPr>
        <w:t xml:space="preserve"> and efficacy</w:t>
      </w:r>
      <w:r w:rsidR="00DB76C7" w:rsidRPr="00901D26">
        <w:rPr>
          <w:rFonts w:ascii="Times New Roman" w:hAnsi="Times New Roman"/>
          <w:szCs w:val="24"/>
        </w:rPr>
        <w:t xml:space="preserve"> of listed medicines through a program of random and targeted compliance reviews of a proportion of med</w:t>
      </w:r>
      <w:r w:rsidR="001543C7" w:rsidRPr="00901D26">
        <w:rPr>
          <w:rFonts w:ascii="Times New Roman" w:hAnsi="Times New Roman"/>
          <w:szCs w:val="24"/>
        </w:rPr>
        <w:t xml:space="preserve">icines listed </w:t>
      </w:r>
      <w:r w:rsidR="001543C7" w:rsidRPr="00901D26">
        <w:rPr>
          <w:rFonts w:ascii="Times New Roman" w:hAnsi="Times New Roman"/>
          <w:szCs w:val="24"/>
        </w:rPr>
        <w:lastRenderedPageBreak/>
        <w:t xml:space="preserve">in the Register. </w:t>
      </w:r>
      <w:r w:rsidR="00DB76C7" w:rsidRPr="00901D26">
        <w:rPr>
          <w:rFonts w:ascii="Times New Roman" w:hAnsi="Times New Roman"/>
          <w:szCs w:val="24"/>
        </w:rPr>
        <w:t>These compliance reviews are intended to identify instances of non-compliance with imp</w:t>
      </w:r>
      <w:r w:rsidR="005F0859" w:rsidRPr="00901D26">
        <w:rPr>
          <w:rFonts w:ascii="Times New Roman" w:hAnsi="Times New Roman"/>
          <w:szCs w:val="24"/>
        </w:rPr>
        <w:t>ortant regulatory requirements</w:t>
      </w:r>
      <w:r w:rsidR="00DB76C7" w:rsidRPr="00901D26">
        <w:rPr>
          <w:rFonts w:ascii="Times New Roman" w:hAnsi="Times New Roman"/>
          <w:szCs w:val="24"/>
        </w:rPr>
        <w:t>.</w:t>
      </w:r>
    </w:p>
    <w:p w:rsidR="00835618" w:rsidRPr="00901D26" w:rsidRDefault="00835618" w:rsidP="00901D26">
      <w:pPr>
        <w:tabs>
          <w:tab w:val="left" w:pos="6285"/>
        </w:tabs>
        <w:ind w:right="-284"/>
        <w:rPr>
          <w:rFonts w:ascii="Times New Roman" w:hAnsi="Times New Roman"/>
          <w:szCs w:val="24"/>
        </w:rPr>
      </w:pPr>
    </w:p>
    <w:p w:rsidR="00387BB3" w:rsidRPr="00387BB3" w:rsidRDefault="00387BB3" w:rsidP="00387BB3">
      <w:pPr>
        <w:ind w:right="-284"/>
        <w:rPr>
          <w:rFonts w:ascii="Times New Roman" w:hAnsi="Times New Roman"/>
          <w:szCs w:val="24"/>
        </w:rPr>
      </w:pPr>
      <w:r w:rsidRPr="00387BB3">
        <w:rPr>
          <w:rFonts w:ascii="Times New Roman" w:hAnsi="Times New Roman"/>
          <w:szCs w:val="24"/>
        </w:rPr>
        <w:t xml:space="preserve">The former </w:t>
      </w:r>
      <w:r>
        <w:rPr>
          <w:rFonts w:ascii="Times New Roman" w:hAnsi="Times New Roman"/>
          <w:szCs w:val="24"/>
        </w:rPr>
        <w:t xml:space="preserve">Specification </w:t>
      </w:r>
      <w:r w:rsidRPr="00387BB3">
        <w:rPr>
          <w:rFonts w:ascii="Times New Roman" w:hAnsi="Times New Roman"/>
          <w:szCs w:val="24"/>
        </w:rPr>
        <w:t xml:space="preserve">facilitated the publication of information relating to listed medicines (other than sunscreens) that were </w:t>
      </w:r>
      <w:r>
        <w:rPr>
          <w:rFonts w:ascii="Times New Roman" w:hAnsi="Times New Roman"/>
          <w:szCs w:val="24"/>
        </w:rPr>
        <w:t xml:space="preserve">the </w:t>
      </w:r>
      <w:r w:rsidRPr="00387BB3">
        <w:rPr>
          <w:rFonts w:ascii="Times New Roman" w:hAnsi="Times New Roman"/>
          <w:szCs w:val="24"/>
        </w:rPr>
        <w:t xml:space="preserve">subject </w:t>
      </w:r>
      <w:r>
        <w:rPr>
          <w:rFonts w:ascii="Times New Roman" w:hAnsi="Times New Roman"/>
          <w:szCs w:val="24"/>
        </w:rPr>
        <w:t xml:space="preserve">of </w:t>
      </w:r>
      <w:r w:rsidRPr="00387BB3">
        <w:rPr>
          <w:rFonts w:ascii="Times New Roman" w:hAnsi="Times New Roman"/>
          <w:szCs w:val="24"/>
        </w:rPr>
        <w:t>a compliance review by the TGA, including whether</w:t>
      </w:r>
      <w:r>
        <w:rPr>
          <w:rFonts w:ascii="Times New Roman" w:hAnsi="Times New Roman"/>
          <w:szCs w:val="24"/>
        </w:rPr>
        <w:t xml:space="preserve"> or not</w:t>
      </w:r>
      <w:r w:rsidRPr="00387BB3">
        <w:rPr>
          <w:rFonts w:ascii="Times New Roman" w:hAnsi="Times New Roman"/>
          <w:szCs w:val="24"/>
        </w:rPr>
        <w:t xml:space="preserve">, following </w:t>
      </w:r>
      <w:r>
        <w:rPr>
          <w:rFonts w:ascii="Times New Roman" w:hAnsi="Times New Roman"/>
          <w:szCs w:val="24"/>
        </w:rPr>
        <w:t xml:space="preserve">the </w:t>
      </w:r>
      <w:r w:rsidRPr="00387BB3">
        <w:rPr>
          <w:rFonts w:ascii="Times New Roman" w:hAnsi="Times New Roman"/>
          <w:szCs w:val="24"/>
        </w:rPr>
        <w:t xml:space="preserve">completion of the compliance review, the </w:t>
      </w:r>
      <w:r>
        <w:rPr>
          <w:rFonts w:ascii="Times New Roman" w:hAnsi="Times New Roman"/>
          <w:szCs w:val="24"/>
        </w:rPr>
        <w:t xml:space="preserve">medicine remained listed in the Register </w:t>
      </w:r>
      <w:r w:rsidRPr="00387BB3">
        <w:rPr>
          <w:rFonts w:ascii="Times New Roman" w:hAnsi="Times New Roman"/>
          <w:szCs w:val="24"/>
        </w:rPr>
        <w:t xml:space="preserve">or </w:t>
      </w:r>
      <w:r>
        <w:rPr>
          <w:rFonts w:ascii="Times New Roman" w:hAnsi="Times New Roman"/>
          <w:szCs w:val="24"/>
        </w:rPr>
        <w:t xml:space="preserve">was </w:t>
      </w:r>
      <w:r w:rsidRPr="00387BB3">
        <w:rPr>
          <w:rFonts w:ascii="Times New Roman" w:hAnsi="Times New Roman"/>
          <w:szCs w:val="24"/>
        </w:rPr>
        <w:t>cancelled</w:t>
      </w:r>
      <w:r>
        <w:rPr>
          <w:rFonts w:ascii="Times New Roman" w:hAnsi="Times New Roman"/>
          <w:szCs w:val="24"/>
        </w:rPr>
        <w:t xml:space="preserve"> by the Secretary</w:t>
      </w:r>
      <w:r w:rsidRPr="00387BB3">
        <w:rPr>
          <w:rFonts w:ascii="Times New Roman" w:hAnsi="Times New Roman"/>
          <w:szCs w:val="24"/>
        </w:rPr>
        <w:t>.</w:t>
      </w:r>
    </w:p>
    <w:p w:rsidR="00387BB3" w:rsidRDefault="00387BB3" w:rsidP="00901D26">
      <w:pPr>
        <w:ind w:right="-284"/>
        <w:rPr>
          <w:rFonts w:ascii="Times New Roman" w:hAnsi="Times New Roman"/>
          <w:szCs w:val="24"/>
        </w:rPr>
      </w:pPr>
    </w:p>
    <w:p w:rsidR="00796B07" w:rsidRPr="00901D26" w:rsidRDefault="005B69FF" w:rsidP="00901D26">
      <w:pPr>
        <w:ind w:right="-284"/>
        <w:rPr>
          <w:rFonts w:ascii="Times New Roman" w:hAnsi="Times New Roman"/>
          <w:szCs w:val="24"/>
        </w:rPr>
      </w:pPr>
      <w:r>
        <w:rPr>
          <w:rFonts w:ascii="Times New Roman" w:hAnsi="Times New Roman"/>
          <w:szCs w:val="24"/>
        </w:rPr>
        <w:t>T</w:t>
      </w:r>
      <w:r w:rsidR="00882F76" w:rsidRPr="00901D26">
        <w:rPr>
          <w:rFonts w:ascii="Times New Roman" w:hAnsi="Times New Roman"/>
          <w:szCs w:val="24"/>
        </w:rPr>
        <w:t xml:space="preserve">he Expert Panel Review of Medicines and Medical Device Regulation </w:t>
      </w:r>
      <w:r>
        <w:rPr>
          <w:rFonts w:ascii="Times New Roman" w:hAnsi="Times New Roman"/>
          <w:szCs w:val="24"/>
        </w:rPr>
        <w:t>(“</w:t>
      </w:r>
      <w:r w:rsidR="00763E51">
        <w:rPr>
          <w:rFonts w:ascii="Times New Roman" w:hAnsi="Times New Roman"/>
          <w:szCs w:val="24"/>
        </w:rPr>
        <w:t>the Review</w:t>
      </w:r>
      <w:r>
        <w:rPr>
          <w:rFonts w:ascii="Times New Roman" w:hAnsi="Times New Roman"/>
          <w:szCs w:val="24"/>
        </w:rPr>
        <w:t xml:space="preserve">”) </w:t>
      </w:r>
      <w:r w:rsidR="00882F76" w:rsidRPr="00901D26">
        <w:rPr>
          <w:rFonts w:ascii="Times New Roman" w:hAnsi="Times New Roman"/>
          <w:szCs w:val="24"/>
        </w:rPr>
        <w:t xml:space="preserve">recommended </w:t>
      </w:r>
      <w:r>
        <w:rPr>
          <w:rFonts w:ascii="Times New Roman" w:hAnsi="Times New Roman"/>
          <w:szCs w:val="24"/>
        </w:rPr>
        <w:t xml:space="preserve">a </w:t>
      </w:r>
      <w:r w:rsidR="00D97ED6">
        <w:rPr>
          <w:rFonts w:ascii="Times New Roman" w:hAnsi="Times New Roman"/>
          <w:szCs w:val="24"/>
        </w:rPr>
        <w:t xml:space="preserve">number </w:t>
      </w:r>
      <w:r>
        <w:rPr>
          <w:rFonts w:ascii="Times New Roman" w:hAnsi="Times New Roman"/>
          <w:szCs w:val="24"/>
        </w:rPr>
        <w:t xml:space="preserve">of reforms to increase the information available to consumers to support health decisions, and to improve the transparency of regulatory processes for all stakeholders. </w:t>
      </w:r>
      <w:r w:rsidR="00763E51">
        <w:rPr>
          <w:rFonts w:ascii="Times New Roman" w:hAnsi="Times New Roman"/>
          <w:szCs w:val="24"/>
        </w:rPr>
        <w:t xml:space="preserve">In particular, the Review recommended </w:t>
      </w:r>
      <w:r w:rsidR="00882F76" w:rsidRPr="00901D26">
        <w:rPr>
          <w:rFonts w:ascii="Times New Roman" w:hAnsi="Times New Roman"/>
          <w:szCs w:val="24"/>
        </w:rPr>
        <w:t xml:space="preserve">the timely availability of information for consumers </w:t>
      </w:r>
      <w:r w:rsidR="00D97ED6">
        <w:rPr>
          <w:rFonts w:ascii="Times New Roman" w:hAnsi="Times New Roman"/>
          <w:szCs w:val="24"/>
        </w:rPr>
        <w:t xml:space="preserve">relating to </w:t>
      </w:r>
      <w:r w:rsidR="00882F76" w:rsidRPr="00901D26">
        <w:rPr>
          <w:rFonts w:ascii="Times New Roman" w:hAnsi="Times New Roman"/>
          <w:szCs w:val="24"/>
        </w:rPr>
        <w:t>listed complementary medicines</w:t>
      </w:r>
      <w:r w:rsidR="003F381E" w:rsidRPr="00901D26">
        <w:rPr>
          <w:rFonts w:ascii="Times New Roman" w:hAnsi="Times New Roman"/>
          <w:szCs w:val="24"/>
        </w:rPr>
        <w:t>,</w:t>
      </w:r>
      <w:r w:rsidR="00882F76" w:rsidRPr="00901D26">
        <w:rPr>
          <w:rFonts w:ascii="Times New Roman" w:hAnsi="Times New Roman"/>
          <w:szCs w:val="24"/>
        </w:rPr>
        <w:t xml:space="preserve"> </w:t>
      </w:r>
      <w:r w:rsidR="00D97ED6">
        <w:rPr>
          <w:rFonts w:ascii="Times New Roman" w:hAnsi="Times New Roman"/>
          <w:szCs w:val="24"/>
        </w:rPr>
        <w:t xml:space="preserve">specifically </w:t>
      </w:r>
      <w:r w:rsidR="00882F76" w:rsidRPr="00901D26">
        <w:rPr>
          <w:rFonts w:ascii="Times New Roman" w:hAnsi="Times New Roman"/>
          <w:szCs w:val="24"/>
        </w:rPr>
        <w:t xml:space="preserve">whether </w:t>
      </w:r>
      <w:r w:rsidR="00D97ED6">
        <w:rPr>
          <w:rFonts w:ascii="Times New Roman" w:hAnsi="Times New Roman"/>
          <w:szCs w:val="24"/>
        </w:rPr>
        <w:t xml:space="preserve">those medicines have </w:t>
      </w:r>
      <w:r w:rsidR="00882F76" w:rsidRPr="00901D26">
        <w:rPr>
          <w:rFonts w:ascii="Times New Roman" w:hAnsi="Times New Roman"/>
          <w:szCs w:val="24"/>
        </w:rPr>
        <w:t xml:space="preserve">been subject to post-market review, and the timing and outcome of </w:t>
      </w:r>
      <w:r w:rsidR="00D97ED6">
        <w:rPr>
          <w:rFonts w:ascii="Times New Roman" w:hAnsi="Times New Roman"/>
          <w:szCs w:val="24"/>
        </w:rPr>
        <w:t xml:space="preserve">that </w:t>
      </w:r>
      <w:r w:rsidR="00882F76" w:rsidRPr="00901D26">
        <w:rPr>
          <w:rFonts w:ascii="Times New Roman" w:hAnsi="Times New Roman"/>
          <w:szCs w:val="24"/>
        </w:rPr>
        <w:t xml:space="preserve">review (refer </w:t>
      </w:r>
      <w:r w:rsidR="00256A62">
        <w:rPr>
          <w:rFonts w:ascii="Times New Roman" w:hAnsi="Times New Roman"/>
          <w:szCs w:val="24"/>
        </w:rPr>
        <w:t xml:space="preserve">to </w:t>
      </w:r>
      <w:r w:rsidR="00882F76" w:rsidRPr="00901D26">
        <w:rPr>
          <w:rFonts w:ascii="Times New Roman" w:hAnsi="Times New Roman"/>
          <w:szCs w:val="24"/>
        </w:rPr>
        <w:t>paragraph C of recommendation 49).</w:t>
      </w:r>
      <w:r w:rsidR="0064261D">
        <w:rPr>
          <w:rFonts w:ascii="Times New Roman" w:hAnsi="Times New Roman"/>
          <w:szCs w:val="24"/>
        </w:rPr>
        <w:t xml:space="preserve"> In accepting this recommendation, the Government noted that the development of a more comprehensive post-market monitoring scheme would enhance consumer protection</w:t>
      </w:r>
      <w:r w:rsidR="00256A62" w:rsidRPr="00256A62">
        <w:rPr>
          <w:rFonts w:asciiTheme="minorHAnsi" w:eastAsiaTheme="minorHAnsi" w:hAnsiTheme="minorHAnsi" w:cstheme="minorBidi"/>
          <w:szCs w:val="22"/>
          <w:lang w:eastAsia="en-US"/>
        </w:rPr>
        <w:t xml:space="preserve"> </w:t>
      </w:r>
      <w:r w:rsidR="00256A62" w:rsidRPr="00256A62">
        <w:rPr>
          <w:rFonts w:ascii="Times New Roman" w:hAnsi="Times New Roman"/>
          <w:szCs w:val="24"/>
        </w:rPr>
        <w:t>and complement existing post-market monitoring processes</w:t>
      </w:r>
      <w:r w:rsidR="0064261D">
        <w:rPr>
          <w:rFonts w:ascii="Times New Roman" w:hAnsi="Times New Roman"/>
          <w:szCs w:val="24"/>
        </w:rPr>
        <w:t>.</w:t>
      </w:r>
    </w:p>
    <w:p w:rsidR="0064261D" w:rsidRPr="00901D26" w:rsidRDefault="0064261D" w:rsidP="00901D26">
      <w:pPr>
        <w:ind w:right="-284"/>
        <w:rPr>
          <w:rFonts w:ascii="Times New Roman" w:hAnsi="Times New Roman"/>
          <w:szCs w:val="24"/>
        </w:rPr>
      </w:pPr>
    </w:p>
    <w:p w:rsidR="006E5DA8" w:rsidRPr="00FB4E24" w:rsidRDefault="003E406D" w:rsidP="00901D26">
      <w:pPr>
        <w:ind w:right="-284"/>
        <w:rPr>
          <w:rFonts w:ascii="Times New Roman" w:hAnsi="Times New Roman"/>
          <w:szCs w:val="24"/>
        </w:rPr>
      </w:pPr>
      <w:r>
        <w:rPr>
          <w:rFonts w:ascii="Times New Roman" w:hAnsi="Times New Roman"/>
          <w:szCs w:val="24"/>
        </w:rPr>
        <w:t>D</w:t>
      </w:r>
      <w:r w:rsidR="00AF3987">
        <w:rPr>
          <w:rFonts w:ascii="Times New Roman" w:hAnsi="Times New Roman"/>
          <w:szCs w:val="24"/>
        </w:rPr>
        <w:t>evelopment of</w:t>
      </w:r>
      <w:r w:rsidR="00AF3987" w:rsidRPr="00FB4E24">
        <w:rPr>
          <w:rFonts w:ascii="Times New Roman" w:hAnsi="Times New Roman"/>
          <w:szCs w:val="24"/>
        </w:rPr>
        <w:t xml:space="preserve"> </w:t>
      </w:r>
      <w:r w:rsidR="00AF3987">
        <w:rPr>
          <w:rFonts w:ascii="Times New Roman" w:hAnsi="Times New Roman"/>
          <w:szCs w:val="24"/>
        </w:rPr>
        <w:t xml:space="preserve">a new approach to publishing details of </w:t>
      </w:r>
      <w:r w:rsidR="00E15E6A">
        <w:rPr>
          <w:rFonts w:ascii="Times New Roman" w:hAnsi="Times New Roman"/>
          <w:szCs w:val="24"/>
        </w:rPr>
        <w:t>listed medicine</w:t>
      </w:r>
      <w:r w:rsidR="00AF3987">
        <w:rPr>
          <w:rFonts w:ascii="Times New Roman" w:hAnsi="Times New Roman"/>
          <w:szCs w:val="24"/>
        </w:rPr>
        <w:t xml:space="preserve"> compliance reviews</w:t>
      </w:r>
      <w:r w:rsidR="00E15E6A">
        <w:rPr>
          <w:rFonts w:ascii="Times New Roman" w:hAnsi="Times New Roman"/>
          <w:szCs w:val="24"/>
        </w:rPr>
        <w:t xml:space="preserve"> </w:t>
      </w:r>
      <w:r>
        <w:rPr>
          <w:rFonts w:ascii="Times New Roman" w:hAnsi="Times New Roman"/>
          <w:szCs w:val="24"/>
        </w:rPr>
        <w:t xml:space="preserve">commenced </w:t>
      </w:r>
      <w:r w:rsidR="00AF79E3">
        <w:rPr>
          <w:rFonts w:ascii="Times New Roman" w:hAnsi="Times New Roman"/>
          <w:szCs w:val="24"/>
        </w:rPr>
        <w:t>in 2018.</w:t>
      </w:r>
      <w:r w:rsidR="006E5DA8" w:rsidRPr="00FB4E24">
        <w:rPr>
          <w:rFonts w:ascii="Times New Roman" w:hAnsi="Times New Roman"/>
          <w:szCs w:val="24"/>
        </w:rPr>
        <w:t xml:space="preserve"> The </w:t>
      </w:r>
      <w:r w:rsidR="00AF3987">
        <w:rPr>
          <w:rFonts w:ascii="Times New Roman" w:hAnsi="Times New Roman"/>
          <w:szCs w:val="24"/>
        </w:rPr>
        <w:t>approach</w:t>
      </w:r>
      <w:r w:rsidR="00835618" w:rsidRPr="00FB4E24">
        <w:rPr>
          <w:rFonts w:ascii="Times New Roman" w:hAnsi="Times New Roman"/>
          <w:szCs w:val="24"/>
        </w:rPr>
        <w:t xml:space="preserve"> </w:t>
      </w:r>
      <w:r w:rsidR="002E6401">
        <w:rPr>
          <w:rFonts w:ascii="Times New Roman" w:hAnsi="Times New Roman"/>
          <w:szCs w:val="24"/>
        </w:rPr>
        <w:t xml:space="preserve">was developed in </w:t>
      </w:r>
      <w:r w:rsidR="00AF3987">
        <w:rPr>
          <w:rFonts w:ascii="Times New Roman" w:hAnsi="Times New Roman"/>
          <w:szCs w:val="24"/>
        </w:rPr>
        <w:t xml:space="preserve">consultation </w:t>
      </w:r>
      <w:r w:rsidR="002E6401">
        <w:rPr>
          <w:rFonts w:ascii="Times New Roman" w:hAnsi="Times New Roman"/>
          <w:szCs w:val="24"/>
        </w:rPr>
        <w:t>with peak industry and consumer representative bodies</w:t>
      </w:r>
      <w:r w:rsidR="00AF79E3">
        <w:rPr>
          <w:rFonts w:ascii="Times New Roman" w:hAnsi="Times New Roman"/>
          <w:szCs w:val="24"/>
        </w:rPr>
        <w:t xml:space="preserve"> to underpin increased transparency about the safety and efficacy of listed medicines, consistent with the Government’s response to the Review</w:t>
      </w:r>
      <w:r w:rsidR="00AF79E3" w:rsidRPr="00FB4E24">
        <w:rPr>
          <w:rFonts w:ascii="Times New Roman" w:hAnsi="Times New Roman"/>
          <w:szCs w:val="24"/>
        </w:rPr>
        <w:t>.</w:t>
      </w:r>
    </w:p>
    <w:p w:rsidR="006E5DA8" w:rsidRPr="00FB4E24" w:rsidRDefault="006E5DA8" w:rsidP="00901D26">
      <w:pPr>
        <w:ind w:right="-284"/>
        <w:rPr>
          <w:rFonts w:ascii="Times New Roman" w:hAnsi="Times New Roman"/>
          <w:szCs w:val="24"/>
        </w:rPr>
      </w:pPr>
    </w:p>
    <w:p w:rsidR="00422B41" w:rsidRDefault="003701C5" w:rsidP="006575E0">
      <w:pPr>
        <w:ind w:right="-284"/>
        <w:rPr>
          <w:rFonts w:ascii="Times New Roman" w:hAnsi="Times New Roman"/>
          <w:szCs w:val="24"/>
        </w:rPr>
      </w:pPr>
      <w:r>
        <w:rPr>
          <w:rFonts w:ascii="Times New Roman" w:hAnsi="Times New Roman"/>
          <w:szCs w:val="24"/>
        </w:rPr>
        <w:t>T</w:t>
      </w:r>
      <w:r w:rsidR="00B91DCF">
        <w:rPr>
          <w:rFonts w:ascii="Times New Roman" w:hAnsi="Times New Roman"/>
          <w:szCs w:val="24"/>
        </w:rPr>
        <w:t>h</w:t>
      </w:r>
      <w:r w:rsidR="00E15E6A">
        <w:rPr>
          <w:rFonts w:ascii="Times New Roman" w:hAnsi="Times New Roman"/>
          <w:szCs w:val="24"/>
        </w:rPr>
        <w:t>is</w:t>
      </w:r>
      <w:r w:rsidR="00B91DCF">
        <w:rPr>
          <w:rFonts w:ascii="Times New Roman" w:hAnsi="Times New Roman"/>
          <w:szCs w:val="24"/>
        </w:rPr>
        <w:t xml:space="preserve"> </w:t>
      </w:r>
      <w:r w:rsidR="00ED537B" w:rsidRPr="005F3A89">
        <w:rPr>
          <w:rFonts w:ascii="Times New Roman" w:hAnsi="Times New Roman"/>
          <w:szCs w:val="24"/>
        </w:rPr>
        <w:t xml:space="preserve">Specification </w:t>
      </w:r>
      <w:r>
        <w:rPr>
          <w:rFonts w:ascii="Times New Roman" w:hAnsi="Times New Roman"/>
          <w:szCs w:val="24"/>
        </w:rPr>
        <w:t xml:space="preserve">supports </w:t>
      </w:r>
      <w:r w:rsidR="00E15E6A">
        <w:rPr>
          <w:rFonts w:ascii="Times New Roman" w:hAnsi="Times New Roman"/>
          <w:szCs w:val="24"/>
        </w:rPr>
        <w:t xml:space="preserve">the </w:t>
      </w:r>
      <w:r w:rsidR="00AF3987">
        <w:rPr>
          <w:rFonts w:ascii="Times New Roman" w:hAnsi="Times New Roman"/>
          <w:szCs w:val="24"/>
        </w:rPr>
        <w:t>approach to publication</w:t>
      </w:r>
      <w:r w:rsidR="006575E0">
        <w:rPr>
          <w:rFonts w:ascii="Times New Roman" w:hAnsi="Times New Roman"/>
          <w:szCs w:val="24"/>
        </w:rPr>
        <w:t xml:space="preserve"> </w:t>
      </w:r>
      <w:r>
        <w:rPr>
          <w:rFonts w:ascii="Times New Roman" w:hAnsi="Times New Roman"/>
          <w:szCs w:val="24"/>
        </w:rPr>
        <w:t xml:space="preserve">by </w:t>
      </w:r>
      <w:r w:rsidR="00B91DCF">
        <w:rPr>
          <w:rFonts w:ascii="Times New Roman" w:hAnsi="Times New Roman"/>
          <w:szCs w:val="24"/>
        </w:rPr>
        <w:t>enabl</w:t>
      </w:r>
      <w:r>
        <w:rPr>
          <w:rFonts w:ascii="Times New Roman" w:hAnsi="Times New Roman"/>
          <w:szCs w:val="24"/>
        </w:rPr>
        <w:t>ing</w:t>
      </w:r>
      <w:r w:rsidR="00B91DCF">
        <w:rPr>
          <w:rFonts w:ascii="Times New Roman" w:hAnsi="Times New Roman"/>
          <w:szCs w:val="24"/>
        </w:rPr>
        <w:t xml:space="preserve"> </w:t>
      </w:r>
      <w:r w:rsidR="00ED537B" w:rsidRPr="005F3A89">
        <w:rPr>
          <w:rFonts w:ascii="Times New Roman" w:hAnsi="Times New Roman"/>
          <w:szCs w:val="24"/>
        </w:rPr>
        <w:t xml:space="preserve">the Secretary to publish </w:t>
      </w:r>
      <w:r w:rsidR="00B91DCF">
        <w:rPr>
          <w:rFonts w:ascii="Times New Roman" w:hAnsi="Times New Roman"/>
          <w:szCs w:val="24"/>
        </w:rPr>
        <w:t xml:space="preserve">certain therapeutic goods </w:t>
      </w:r>
      <w:r w:rsidR="00ED537B" w:rsidRPr="005F3A89">
        <w:rPr>
          <w:rFonts w:ascii="Times New Roman" w:hAnsi="Times New Roman"/>
          <w:szCs w:val="24"/>
        </w:rPr>
        <w:t xml:space="preserve">information </w:t>
      </w:r>
      <w:r w:rsidR="005E1975" w:rsidRPr="005F3A89">
        <w:rPr>
          <w:rFonts w:ascii="Times New Roman" w:hAnsi="Times New Roman"/>
          <w:szCs w:val="24"/>
        </w:rPr>
        <w:t>relating</w:t>
      </w:r>
      <w:r w:rsidR="00ED537B" w:rsidRPr="005F3A89">
        <w:rPr>
          <w:rFonts w:ascii="Times New Roman" w:hAnsi="Times New Roman"/>
          <w:szCs w:val="24"/>
        </w:rPr>
        <w:t xml:space="preserve"> to </w:t>
      </w:r>
      <w:r w:rsidR="003E406D">
        <w:rPr>
          <w:rFonts w:ascii="Times New Roman" w:hAnsi="Times New Roman"/>
          <w:szCs w:val="24"/>
        </w:rPr>
        <w:t xml:space="preserve">product safety and efficacy aspects from </w:t>
      </w:r>
      <w:r w:rsidR="00D4176D">
        <w:rPr>
          <w:rFonts w:ascii="Times New Roman" w:hAnsi="Times New Roman"/>
          <w:szCs w:val="24"/>
        </w:rPr>
        <w:t xml:space="preserve">a </w:t>
      </w:r>
      <w:r w:rsidR="00ED537B" w:rsidRPr="005F3A89">
        <w:rPr>
          <w:rFonts w:ascii="Times New Roman" w:hAnsi="Times New Roman"/>
          <w:szCs w:val="24"/>
        </w:rPr>
        <w:t xml:space="preserve">compliance review of </w:t>
      </w:r>
      <w:r w:rsidR="00D4176D">
        <w:rPr>
          <w:rFonts w:ascii="Times New Roman" w:hAnsi="Times New Roman"/>
          <w:szCs w:val="24"/>
        </w:rPr>
        <w:t xml:space="preserve">a </w:t>
      </w:r>
      <w:r w:rsidR="00ED537B" w:rsidRPr="005F3A89">
        <w:rPr>
          <w:rFonts w:ascii="Times New Roman" w:hAnsi="Times New Roman"/>
          <w:szCs w:val="24"/>
        </w:rPr>
        <w:t>listed medicine</w:t>
      </w:r>
      <w:r w:rsidR="005E1975" w:rsidRPr="005F3A89">
        <w:rPr>
          <w:rFonts w:ascii="Times New Roman" w:hAnsi="Times New Roman"/>
          <w:szCs w:val="24"/>
        </w:rPr>
        <w:t xml:space="preserve">, </w:t>
      </w:r>
      <w:r w:rsidR="00B91DCF">
        <w:rPr>
          <w:rFonts w:ascii="Times New Roman" w:hAnsi="Times New Roman"/>
          <w:szCs w:val="24"/>
        </w:rPr>
        <w:t>including</w:t>
      </w:r>
      <w:r w:rsidR="00422B41" w:rsidRPr="005F3A89">
        <w:rPr>
          <w:rFonts w:ascii="Times New Roman" w:hAnsi="Times New Roman"/>
          <w:szCs w:val="24"/>
        </w:rPr>
        <w:t>:</w:t>
      </w:r>
    </w:p>
    <w:p w:rsidR="003701C5" w:rsidRPr="005F3A89" w:rsidRDefault="003701C5" w:rsidP="006575E0">
      <w:pPr>
        <w:ind w:right="-284"/>
        <w:rPr>
          <w:rFonts w:ascii="Times New Roman" w:hAnsi="Times New Roman"/>
          <w:szCs w:val="24"/>
        </w:rPr>
      </w:pPr>
    </w:p>
    <w:p w:rsidR="00422B41" w:rsidRPr="005F3A89" w:rsidRDefault="009E4F0B"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 xml:space="preserve">the </w:t>
      </w:r>
      <w:r w:rsidR="002B5A0B" w:rsidRPr="005F3A89">
        <w:rPr>
          <w:rFonts w:ascii="Times New Roman" w:hAnsi="Times New Roman"/>
          <w:szCs w:val="24"/>
        </w:rPr>
        <w:t xml:space="preserve">details of </w:t>
      </w:r>
      <w:r w:rsidR="00422B41" w:rsidRPr="005F3A89">
        <w:rPr>
          <w:rFonts w:ascii="Times New Roman" w:hAnsi="Times New Roman"/>
          <w:szCs w:val="24"/>
        </w:rPr>
        <w:t>the medicine</w:t>
      </w:r>
      <w:r w:rsidR="00AC2B6B" w:rsidRPr="005F3A89">
        <w:rPr>
          <w:rFonts w:ascii="Times New Roman" w:hAnsi="Times New Roman"/>
          <w:szCs w:val="24"/>
        </w:rPr>
        <w:t xml:space="preserve">, including name, listing number and </w:t>
      </w:r>
      <w:r w:rsidR="00B91DCF">
        <w:rPr>
          <w:rFonts w:ascii="Times New Roman" w:hAnsi="Times New Roman"/>
          <w:szCs w:val="24"/>
        </w:rPr>
        <w:t xml:space="preserve">relevant </w:t>
      </w:r>
      <w:r w:rsidR="00AC2B6B" w:rsidRPr="005F3A89">
        <w:rPr>
          <w:rFonts w:ascii="Times New Roman" w:hAnsi="Times New Roman"/>
          <w:szCs w:val="24"/>
        </w:rPr>
        <w:t>sponsor</w:t>
      </w:r>
      <w:r w:rsidR="00422B41" w:rsidRPr="005F3A89">
        <w:rPr>
          <w:rFonts w:ascii="Times New Roman" w:hAnsi="Times New Roman"/>
          <w:szCs w:val="24"/>
        </w:rPr>
        <w:t>;</w:t>
      </w:r>
    </w:p>
    <w:p w:rsidR="00422B41" w:rsidRPr="005F3A89" w:rsidRDefault="00422B41"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 xml:space="preserve">the type of compliance review </w:t>
      </w:r>
      <w:r w:rsidR="00B91DCF">
        <w:rPr>
          <w:rFonts w:ascii="Times New Roman" w:hAnsi="Times New Roman"/>
          <w:szCs w:val="24"/>
        </w:rPr>
        <w:t xml:space="preserve">undertaken </w:t>
      </w:r>
      <w:r w:rsidR="00846DA5" w:rsidRPr="005F3A89">
        <w:rPr>
          <w:rFonts w:ascii="Times New Roman" w:hAnsi="Times New Roman"/>
          <w:szCs w:val="24"/>
        </w:rPr>
        <w:t>by the TGA</w:t>
      </w:r>
      <w:r w:rsidR="007F4DB1">
        <w:rPr>
          <w:rFonts w:ascii="Times New Roman" w:hAnsi="Times New Roman"/>
          <w:szCs w:val="24"/>
        </w:rPr>
        <w:t xml:space="preserve"> (</w:t>
      </w:r>
      <w:r w:rsidR="00D4176D">
        <w:rPr>
          <w:rFonts w:ascii="Times New Roman" w:hAnsi="Times New Roman"/>
          <w:szCs w:val="24"/>
        </w:rPr>
        <w:t>random or targeted</w:t>
      </w:r>
      <w:r w:rsidR="007F4DB1">
        <w:rPr>
          <w:rFonts w:ascii="Times New Roman" w:hAnsi="Times New Roman"/>
          <w:szCs w:val="24"/>
        </w:rPr>
        <w:t>)</w:t>
      </w:r>
      <w:r w:rsidRPr="005F3A89">
        <w:rPr>
          <w:rFonts w:ascii="Times New Roman" w:hAnsi="Times New Roman"/>
          <w:szCs w:val="24"/>
        </w:rPr>
        <w:t>;</w:t>
      </w:r>
    </w:p>
    <w:p w:rsidR="00422B41" w:rsidRPr="005F3A89" w:rsidRDefault="00422B41"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 xml:space="preserve">actions taken by the </w:t>
      </w:r>
      <w:r w:rsidR="00B91DCF">
        <w:rPr>
          <w:rFonts w:ascii="Times New Roman" w:hAnsi="Times New Roman"/>
          <w:szCs w:val="24"/>
        </w:rPr>
        <w:t xml:space="preserve">relevant </w:t>
      </w:r>
      <w:r w:rsidRPr="005F3A89">
        <w:rPr>
          <w:rFonts w:ascii="Times New Roman" w:hAnsi="Times New Roman"/>
          <w:szCs w:val="24"/>
        </w:rPr>
        <w:t xml:space="preserve">sponsor or </w:t>
      </w:r>
      <w:r w:rsidR="00081E09" w:rsidRPr="005F3A89">
        <w:rPr>
          <w:rFonts w:ascii="Times New Roman" w:hAnsi="Times New Roman"/>
          <w:szCs w:val="24"/>
        </w:rPr>
        <w:t xml:space="preserve">the </w:t>
      </w:r>
      <w:r w:rsidRPr="005F3A89">
        <w:rPr>
          <w:rFonts w:ascii="Times New Roman" w:hAnsi="Times New Roman"/>
          <w:szCs w:val="24"/>
        </w:rPr>
        <w:t>TGA during the review;</w:t>
      </w:r>
    </w:p>
    <w:p w:rsidR="00422B41" w:rsidRPr="005F3A89" w:rsidRDefault="00EE3E84"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the outcome of the compliance review;</w:t>
      </w:r>
    </w:p>
    <w:p w:rsidR="00422B41" w:rsidRDefault="00EE3E84"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 xml:space="preserve">issues identified </w:t>
      </w:r>
      <w:r w:rsidR="00D4176D">
        <w:rPr>
          <w:rFonts w:ascii="Times New Roman" w:hAnsi="Times New Roman"/>
          <w:szCs w:val="24"/>
        </w:rPr>
        <w:t xml:space="preserve">in relation to </w:t>
      </w:r>
      <w:r w:rsidR="0061673E">
        <w:rPr>
          <w:rFonts w:ascii="Times New Roman" w:hAnsi="Times New Roman"/>
          <w:szCs w:val="24"/>
        </w:rPr>
        <w:t xml:space="preserve">the </w:t>
      </w:r>
      <w:r w:rsidR="00D4176D">
        <w:rPr>
          <w:rFonts w:ascii="Times New Roman" w:hAnsi="Times New Roman"/>
          <w:szCs w:val="24"/>
        </w:rPr>
        <w:t>safety or efficacy of the medicine</w:t>
      </w:r>
      <w:r w:rsidRPr="005F3A89">
        <w:rPr>
          <w:rFonts w:ascii="Times New Roman" w:hAnsi="Times New Roman"/>
          <w:szCs w:val="24"/>
        </w:rPr>
        <w:t xml:space="preserve"> during the compliance review</w:t>
      </w:r>
      <w:r w:rsidR="003701C5">
        <w:rPr>
          <w:rFonts w:ascii="Times New Roman" w:hAnsi="Times New Roman"/>
          <w:szCs w:val="24"/>
        </w:rPr>
        <w:t>, including contraventions of the Act</w:t>
      </w:r>
      <w:r w:rsidRPr="005F3A89">
        <w:rPr>
          <w:rFonts w:ascii="Times New Roman" w:hAnsi="Times New Roman"/>
          <w:szCs w:val="24"/>
        </w:rPr>
        <w:t>;</w:t>
      </w:r>
    </w:p>
    <w:p w:rsidR="00D4176D" w:rsidRPr="005F3A89" w:rsidRDefault="003701C5" w:rsidP="00901D26">
      <w:pPr>
        <w:pStyle w:val="ListParagraph"/>
        <w:numPr>
          <w:ilvl w:val="0"/>
          <w:numId w:val="9"/>
        </w:numPr>
        <w:spacing w:before="60"/>
        <w:ind w:left="714" w:right="-284" w:hanging="357"/>
        <w:contextualSpacing w:val="0"/>
        <w:rPr>
          <w:rFonts w:ascii="Times New Roman" w:hAnsi="Times New Roman"/>
          <w:szCs w:val="24"/>
        </w:rPr>
      </w:pPr>
      <w:r>
        <w:rPr>
          <w:rFonts w:ascii="Times New Roman" w:hAnsi="Times New Roman"/>
          <w:szCs w:val="24"/>
        </w:rPr>
        <w:t xml:space="preserve">consumer advice regarding the medicine, being </w:t>
      </w:r>
      <w:r w:rsidR="00D4176D">
        <w:rPr>
          <w:rFonts w:ascii="Times New Roman" w:hAnsi="Times New Roman"/>
          <w:szCs w:val="24"/>
        </w:rPr>
        <w:t>recommendations as to whether the medicine is considered safe for continued use, or whether consumers should take any particular action in relation to the medicine;</w:t>
      </w:r>
    </w:p>
    <w:p w:rsidR="00EE3E84" w:rsidRDefault="00EE3E84"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where applicable, the grounds for cancellation of the</w:t>
      </w:r>
      <w:r w:rsidR="00846DA5" w:rsidRPr="005F3A89">
        <w:rPr>
          <w:rFonts w:ascii="Times New Roman" w:hAnsi="Times New Roman"/>
          <w:szCs w:val="24"/>
        </w:rPr>
        <w:t xml:space="preserve"> listing of the</w:t>
      </w:r>
      <w:r w:rsidRPr="005F3A89">
        <w:rPr>
          <w:rFonts w:ascii="Times New Roman" w:hAnsi="Times New Roman"/>
          <w:szCs w:val="24"/>
        </w:rPr>
        <w:t xml:space="preserve"> medicine</w:t>
      </w:r>
      <w:r w:rsidR="00846DA5" w:rsidRPr="005F3A89">
        <w:rPr>
          <w:rFonts w:ascii="Times New Roman" w:hAnsi="Times New Roman"/>
          <w:szCs w:val="24"/>
        </w:rPr>
        <w:t xml:space="preserve"> from the Register</w:t>
      </w:r>
      <w:r w:rsidR="00DF6E92">
        <w:rPr>
          <w:rFonts w:ascii="Times New Roman" w:hAnsi="Times New Roman"/>
          <w:szCs w:val="24"/>
        </w:rPr>
        <w:t xml:space="preserve"> and the date of cancellation</w:t>
      </w:r>
      <w:r w:rsidR="003701C5">
        <w:rPr>
          <w:rFonts w:ascii="Times New Roman" w:hAnsi="Times New Roman"/>
          <w:szCs w:val="24"/>
        </w:rPr>
        <w:t>, being the effective date</w:t>
      </w:r>
      <w:r w:rsidRPr="005F3A89">
        <w:rPr>
          <w:rFonts w:ascii="Times New Roman" w:hAnsi="Times New Roman"/>
          <w:szCs w:val="24"/>
        </w:rPr>
        <w:t>;</w:t>
      </w:r>
    </w:p>
    <w:p w:rsidR="00DF6E92" w:rsidRDefault="00EE3E84"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 xml:space="preserve">the date that the </w:t>
      </w:r>
      <w:r w:rsidR="003701C5">
        <w:rPr>
          <w:rFonts w:ascii="Times New Roman" w:hAnsi="Times New Roman"/>
          <w:szCs w:val="24"/>
        </w:rPr>
        <w:t xml:space="preserve">outcome of the </w:t>
      </w:r>
      <w:r w:rsidR="00846DA5" w:rsidRPr="005F3A89">
        <w:rPr>
          <w:rFonts w:ascii="Times New Roman" w:hAnsi="Times New Roman"/>
          <w:szCs w:val="24"/>
        </w:rPr>
        <w:t xml:space="preserve">compliance review was </w:t>
      </w:r>
      <w:r w:rsidR="003701C5">
        <w:rPr>
          <w:rFonts w:ascii="Times New Roman" w:hAnsi="Times New Roman"/>
          <w:szCs w:val="24"/>
        </w:rPr>
        <w:t xml:space="preserve">notified to the relevant sponsor, being the date the compliance review was </w:t>
      </w:r>
      <w:r w:rsidR="00846DA5" w:rsidRPr="005F3A89">
        <w:rPr>
          <w:rFonts w:ascii="Times New Roman" w:hAnsi="Times New Roman"/>
          <w:szCs w:val="24"/>
        </w:rPr>
        <w:t>concluded</w:t>
      </w:r>
      <w:r w:rsidR="00DF6E92">
        <w:rPr>
          <w:rFonts w:ascii="Times New Roman" w:hAnsi="Times New Roman"/>
          <w:szCs w:val="24"/>
        </w:rPr>
        <w:t>;</w:t>
      </w:r>
    </w:p>
    <w:p w:rsidR="00D4176D" w:rsidRPr="00D94C90" w:rsidRDefault="00D4176D" w:rsidP="00D4176D">
      <w:pPr>
        <w:pStyle w:val="ListParagraph"/>
        <w:numPr>
          <w:ilvl w:val="0"/>
          <w:numId w:val="9"/>
        </w:numPr>
        <w:spacing w:before="60"/>
        <w:ind w:left="714" w:right="-284" w:hanging="357"/>
        <w:contextualSpacing w:val="0"/>
        <w:rPr>
          <w:rFonts w:ascii="Times New Roman" w:hAnsi="Times New Roman"/>
          <w:szCs w:val="24"/>
        </w:rPr>
      </w:pPr>
      <w:r w:rsidRPr="00D94C90">
        <w:rPr>
          <w:rFonts w:ascii="Times New Roman" w:hAnsi="Times New Roman"/>
          <w:szCs w:val="24"/>
        </w:rPr>
        <w:t>the date that the information was published by the TGA;</w:t>
      </w:r>
    </w:p>
    <w:p w:rsidR="00EE3E84" w:rsidRPr="005F3A89" w:rsidRDefault="00EE3E84" w:rsidP="00901D26">
      <w:pPr>
        <w:pStyle w:val="ListParagraph"/>
        <w:numPr>
          <w:ilvl w:val="0"/>
          <w:numId w:val="9"/>
        </w:numPr>
        <w:spacing w:before="60"/>
        <w:ind w:left="714" w:right="-284" w:hanging="357"/>
        <w:contextualSpacing w:val="0"/>
        <w:rPr>
          <w:rFonts w:ascii="Times New Roman" w:hAnsi="Times New Roman"/>
          <w:szCs w:val="24"/>
        </w:rPr>
      </w:pPr>
      <w:r w:rsidRPr="005F3A89">
        <w:rPr>
          <w:rFonts w:ascii="Times New Roman" w:hAnsi="Times New Roman"/>
          <w:szCs w:val="24"/>
        </w:rPr>
        <w:t>additional information</w:t>
      </w:r>
      <w:r w:rsidR="00846DA5" w:rsidRPr="005F3A89">
        <w:rPr>
          <w:rFonts w:ascii="Times New Roman" w:hAnsi="Times New Roman"/>
          <w:szCs w:val="24"/>
        </w:rPr>
        <w:t xml:space="preserve"> that is relevant</w:t>
      </w:r>
      <w:r w:rsidR="003701C5">
        <w:rPr>
          <w:rFonts w:ascii="Times New Roman" w:hAnsi="Times New Roman"/>
          <w:szCs w:val="24"/>
        </w:rPr>
        <w:t xml:space="preserve"> to the medicine following the conclusion of the compliance review</w:t>
      </w:r>
      <w:r w:rsidRPr="005F3A89">
        <w:rPr>
          <w:rFonts w:ascii="Times New Roman" w:hAnsi="Times New Roman"/>
          <w:szCs w:val="24"/>
        </w:rPr>
        <w:t>.</w:t>
      </w:r>
    </w:p>
    <w:p w:rsidR="00D6783C" w:rsidRPr="005F3A89" w:rsidRDefault="00D6783C" w:rsidP="00901D26">
      <w:pPr>
        <w:ind w:right="-284"/>
        <w:rPr>
          <w:rFonts w:ascii="Times New Roman" w:hAnsi="Times New Roman"/>
          <w:szCs w:val="24"/>
        </w:rPr>
      </w:pPr>
    </w:p>
    <w:p w:rsidR="00ED537B" w:rsidRPr="005F3A89" w:rsidRDefault="006E16FA" w:rsidP="00901D26">
      <w:pPr>
        <w:ind w:right="-284"/>
        <w:rPr>
          <w:rFonts w:ascii="Times New Roman" w:hAnsi="Times New Roman"/>
          <w:szCs w:val="24"/>
        </w:rPr>
      </w:pPr>
      <w:r w:rsidRPr="005F3A89">
        <w:rPr>
          <w:rFonts w:ascii="Times New Roman" w:hAnsi="Times New Roman"/>
          <w:szCs w:val="24"/>
        </w:rPr>
        <w:t xml:space="preserve">The publication of </w:t>
      </w:r>
      <w:r w:rsidR="00846DA5" w:rsidRPr="005F3A89">
        <w:rPr>
          <w:rFonts w:ascii="Times New Roman" w:hAnsi="Times New Roman"/>
          <w:szCs w:val="24"/>
        </w:rPr>
        <w:t xml:space="preserve">this </w:t>
      </w:r>
      <w:r w:rsidRPr="005F3A89">
        <w:rPr>
          <w:rFonts w:ascii="Times New Roman" w:hAnsi="Times New Roman"/>
          <w:szCs w:val="24"/>
        </w:rPr>
        <w:t xml:space="preserve">information </w:t>
      </w:r>
      <w:r w:rsidR="00846DA5" w:rsidRPr="005F3A89">
        <w:rPr>
          <w:rFonts w:ascii="Times New Roman" w:hAnsi="Times New Roman"/>
          <w:szCs w:val="24"/>
        </w:rPr>
        <w:t xml:space="preserve">will serve the dual purpose of first aiding consumers in making informed choices about </w:t>
      </w:r>
      <w:r w:rsidR="003701C5">
        <w:rPr>
          <w:rFonts w:ascii="Times New Roman" w:hAnsi="Times New Roman"/>
          <w:szCs w:val="24"/>
        </w:rPr>
        <w:t xml:space="preserve">the </w:t>
      </w:r>
      <w:r w:rsidR="00846DA5" w:rsidRPr="005F3A89">
        <w:rPr>
          <w:rFonts w:ascii="Times New Roman" w:hAnsi="Times New Roman"/>
          <w:szCs w:val="24"/>
        </w:rPr>
        <w:t xml:space="preserve">use of </w:t>
      </w:r>
      <w:r w:rsidR="003701C5">
        <w:rPr>
          <w:rFonts w:ascii="Times New Roman" w:hAnsi="Times New Roman"/>
          <w:szCs w:val="24"/>
        </w:rPr>
        <w:t xml:space="preserve">listed </w:t>
      </w:r>
      <w:r w:rsidR="00846DA5" w:rsidRPr="005F3A89">
        <w:rPr>
          <w:rFonts w:ascii="Times New Roman" w:hAnsi="Times New Roman"/>
          <w:szCs w:val="24"/>
        </w:rPr>
        <w:t xml:space="preserve">medicines, and second </w:t>
      </w:r>
      <w:r w:rsidR="003701C5">
        <w:rPr>
          <w:rFonts w:ascii="Times New Roman" w:hAnsi="Times New Roman"/>
          <w:szCs w:val="24"/>
        </w:rPr>
        <w:t xml:space="preserve">promoting </w:t>
      </w:r>
      <w:r w:rsidR="00F61011" w:rsidRPr="005F3A89">
        <w:rPr>
          <w:rFonts w:ascii="Times New Roman" w:hAnsi="Times New Roman"/>
          <w:szCs w:val="24"/>
        </w:rPr>
        <w:t>industry compliance with legislative requirements.</w:t>
      </w:r>
    </w:p>
    <w:p w:rsidR="00ED537B" w:rsidRPr="005F3A89" w:rsidRDefault="00ED537B" w:rsidP="00901D26">
      <w:pPr>
        <w:ind w:right="-284"/>
        <w:rPr>
          <w:rFonts w:ascii="Times New Roman" w:hAnsi="Times New Roman"/>
          <w:szCs w:val="24"/>
        </w:rPr>
      </w:pPr>
    </w:p>
    <w:p w:rsidR="007231B2" w:rsidRPr="00901D26" w:rsidRDefault="007231B2" w:rsidP="00901D26">
      <w:pPr>
        <w:ind w:right="-284"/>
        <w:rPr>
          <w:rFonts w:ascii="Times New Roman" w:hAnsi="Times New Roman"/>
          <w:b/>
          <w:szCs w:val="24"/>
        </w:rPr>
      </w:pPr>
      <w:r w:rsidRPr="005F3A89">
        <w:rPr>
          <w:rFonts w:ascii="Times New Roman" w:hAnsi="Times New Roman"/>
          <w:b/>
          <w:szCs w:val="24"/>
        </w:rPr>
        <w:t>C</w:t>
      </w:r>
      <w:r w:rsidR="00294A49" w:rsidRPr="005F3A89">
        <w:rPr>
          <w:rFonts w:ascii="Times New Roman" w:hAnsi="Times New Roman"/>
          <w:b/>
          <w:szCs w:val="24"/>
        </w:rPr>
        <w:t>onsultation</w:t>
      </w:r>
    </w:p>
    <w:p w:rsidR="0030123E" w:rsidRPr="00901D26" w:rsidRDefault="0030123E" w:rsidP="00901D26">
      <w:pPr>
        <w:ind w:right="-284"/>
        <w:rPr>
          <w:rFonts w:ascii="Times New Roman" w:hAnsi="Times New Roman"/>
          <w:szCs w:val="24"/>
        </w:rPr>
      </w:pPr>
    </w:p>
    <w:p w:rsidR="004D4DFC" w:rsidRDefault="00CF4A5D" w:rsidP="00901D26">
      <w:pPr>
        <w:ind w:right="-284"/>
        <w:rPr>
          <w:rFonts w:ascii="Times New Roman" w:hAnsi="Times New Roman"/>
          <w:szCs w:val="24"/>
        </w:rPr>
      </w:pPr>
      <w:r w:rsidRPr="00901D26">
        <w:rPr>
          <w:rFonts w:ascii="Times New Roman" w:hAnsi="Times New Roman"/>
          <w:szCs w:val="24"/>
        </w:rPr>
        <w:t>A</w:t>
      </w:r>
      <w:r w:rsidR="00486AE4" w:rsidRPr="00901D26">
        <w:rPr>
          <w:rFonts w:ascii="Times New Roman" w:hAnsi="Times New Roman"/>
          <w:szCs w:val="24"/>
        </w:rPr>
        <w:t xml:space="preserve"> </w:t>
      </w:r>
      <w:r w:rsidR="0046497F" w:rsidRPr="00901D26">
        <w:rPr>
          <w:rFonts w:ascii="Times New Roman" w:hAnsi="Times New Roman"/>
          <w:szCs w:val="24"/>
        </w:rPr>
        <w:t>r</w:t>
      </w:r>
      <w:r w:rsidR="00486AE4" w:rsidRPr="00901D26">
        <w:rPr>
          <w:rFonts w:ascii="Times New Roman" w:hAnsi="Times New Roman"/>
          <w:szCs w:val="24"/>
        </w:rPr>
        <w:t xml:space="preserve">egulation </w:t>
      </w:r>
      <w:r w:rsidR="0046497F" w:rsidRPr="00901D26">
        <w:rPr>
          <w:rFonts w:ascii="Times New Roman" w:hAnsi="Times New Roman"/>
          <w:szCs w:val="24"/>
        </w:rPr>
        <w:t>i</w:t>
      </w:r>
      <w:r w:rsidR="00486AE4" w:rsidRPr="00901D26">
        <w:rPr>
          <w:rFonts w:ascii="Times New Roman" w:hAnsi="Times New Roman"/>
          <w:szCs w:val="24"/>
        </w:rPr>
        <w:t xml:space="preserve">mpact </w:t>
      </w:r>
      <w:r w:rsidR="0046497F" w:rsidRPr="00901D26">
        <w:rPr>
          <w:rFonts w:ascii="Times New Roman" w:hAnsi="Times New Roman"/>
          <w:szCs w:val="24"/>
        </w:rPr>
        <w:t>s</w:t>
      </w:r>
      <w:r w:rsidR="00486AE4" w:rsidRPr="00901D26">
        <w:rPr>
          <w:rFonts w:ascii="Times New Roman" w:hAnsi="Times New Roman"/>
          <w:szCs w:val="24"/>
        </w:rPr>
        <w:t xml:space="preserve">tatement </w:t>
      </w:r>
      <w:r w:rsidR="00C0721E" w:rsidRPr="00901D26">
        <w:rPr>
          <w:rFonts w:ascii="Times New Roman" w:hAnsi="Times New Roman"/>
          <w:szCs w:val="24"/>
        </w:rPr>
        <w:t xml:space="preserve">was not </w:t>
      </w:r>
      <w:r w:rsidR="00A42AB8" w:rsidRPr="00901D26">
        <w:rPr>
          <w:rFonts w:ascii="Times New Roman" w:hAnsi="Times New Roman"/>
          <w:szCs w:val="24"/>
        </w:rPr>
        <w:t xml:space="preserve">required </w:t>
      </w:r>
      <w:r w:rsidRPr="00901D26">
        <w:rPr>
          <w:rFonts w:ascii="Times New Roman" w:hAnsi="Times New Roman"/>
          <w:szCs w:val="24"/>
        </w:rPr>
        <w:t>in relation to the development of th</w:t>
      </w:r>
      <w:r w:rsidR="00A36EFF">
        <w:rPr>
          <w:rFonts w:ascii="Times New Roman" w:hAnsi="Times New Roman"/>
          <w:szCs w:val="24"/>
        </w:rPr>
        <w:t>e</w:t>
      </w:r>
      <w:r w:rsidRPr="00901D26">
        <w:rPr>
          <w:rFonts w:ascii="Times New Roman" w:hAnsi="Times New Roman"/>
          <w:szCs w:val="24"/>
        </w:rPr>
        <w:t xml:space="preserve"> Specification</w:t>
      </w:r>
      <w:r w:rsidR="00B10B79" w:rsidRPr="00901D26">
        <w:rPr>
          <w:rFonts w:ascii="Times New Roman" w:hAnsi="Times New Roman"/>
          <w:szCs w:val="24"/>
        </w:rPr>
        <w:t xml:space="preserve">, as the matter of </w:t>
      </w:r>
      <w:r w:rsidR="008C3004" w:rsidRPr="00901D26">
        <w:rPr>
          <w:rFonts w:ascii="Times New Roman" w:hAnsi="Times New Roman"/>
          <w:szCs w:val="24"/>
        </w:rPr>
        <w:t xml:space="preserve">specifying kinds of therapeutic goods information under subsection 61(5D) </w:t>
      </w:r>
      <w:r w:rsidR="00FE471C" w:rsidRPr="00901D26">
        <w:rPr>
          <w:rFonts w:ascii="Times New Roman" w:hAnsi="Times New Roman"/>
          <w:szCs w:val="24"/>
        </w:rPr>
        <w:t xml:space="preserve">of the Act </w:t>
      </w:r>
      <w:r w:rsidR="008C3004" w:rsidRPr="00901D26">
        <w:rPr>
          <w:rFonts w:ascii="Times New Roman" w:hAnsi="Times New Roman"/>
          <w:szCs w:val="24"/>
        </w:rPr>
        <w:t xml:space="preserve">is the subject of a standing exemption </w:t>
      </w:r>
      <w:r w:rsidR="009F042D" w:rsidRPr="00901D26">
        <w:rPr>
          <w:rFonts w:ascii="Times New Roman" w:hAnsi="Times New Roman"/>
          <w:szCs w:val="24"/>
        </w:rPr>
        <w:t xml:space="preserve">(OBPR ID </w:t>
      </w:r>
      <w:r w:rsidR="00A35596" w:rsidRPr="00901D26">
        <w:rPr>
          <w:rFonts w:ascii="Times New Roman" w:hAnsi="Times New Roman"/>
          <w:szCs w:val="24"/>
        </w:rPr>
        <w:t>1</w:t>
      </w:r>
      <w:r w:rsidR="008C3004" w:rsidRPr="00901D26">
        <w:rPr>
          <w:rFonts w:ascii="Times New Roman" w:hAnsi="Times New Roman"/>
          <w:szCs w:val="24"/>
        </w:rPr>
        <w:t>5070</w:t>
      </w:r>
      <w:r w:rsidR="009F042D" w:rsidRPr="00901D26">
        <w:rPr>
          <w:rFonts w:ascii="Times New Roman" w:hAnsi="Times New Roman"/>
          <w:szCs w:val="24"/>
        </w:rPr>
        <w:t>)</w:t>
      </w:r>
      <w:r w:rsidR="00A42AB8" w:rsidRPr="00901D26">
        <w:rPr>
          <w:rFonts w:ascii="Times New Roman" w:hAnsi="Times New Roman"/>
          <w:szCs w:val="24"/>
        </w:rPr>
        <w:t>.</w:t>
      </w:r>
      <w:r w:rsidR="007F4DB1">
        <w:rPr>
          <w:rFonts w:ascii="Times New Roman" w:hAnsi="Times New Roman"/>
          <w:szCs w:val="24"/>
        </w:rPr>
        <w:t xml:space="preserve"> </w:t>
      </w:r>
      <w:r w:rsidR="003749B3" w:rsidRPr="00901D26">
        <w:rPr>
          <w:rFonts w:ascii="Times New Roman" w:hAnsi="Times New Roman"/>
          <w:szCs w:val="24"/>
        </w:rPr>
        <w:t>However</w:t>
      </w:r>
      <w:r w:rsidR="0046497F" w:rsidRPr="00901D26">
        <w:rPr>
          <w:rFonts w:ascii="Times New Roman" w:hAnsi="Times New Roman"/>
          <w:szCs w:val="24"/>
        </w:rPr>
        <w:t xml:space="preserve">, </w:t>
      </w:r>
      <w:r w:rsidR="00B87BD7">
        <w:rPr>
          <w:rFonts w:ascii="Times New Roman" w:hAnsi="Times New Roman"/>
          <w:szCs w:val="24"/>
        </w:rPr>
        <w:t>extensive</w:t>
      </w:r>
      <w:r w:rsidR="00514F45" w:rsidRPr="00901D26">
        <w:rPr>
          <w:rFonts w:ascii="Times New Roman" w:hAnsi="Times New Roman"/>
          <w:szCs w:val="24"/>
        </w:rPr>
        <w:t xml:space="preserve"> consultation</w:t>
      </w:r>
      <w:r w:rsidR="00C32FDC" w:rsidRPr="00901D26">
        <w:rPr>
          <w:rFonts w:ascii="Times New Roman" w:hAnsi="Times New Roman"/>
          <w:szCs w:val="24"/>
        </w:rPr>
        <w:t xml:space="preserve"> </w:t>
      </w:r>
      <w:r w:rsidR="003E406D">
        <w:rPr>
          <w:rFonts w:ascii="Times New Roman" w:hAnsi="Times New Roman"/>
          <w:szCs w:val="24"/>
        </w:rPr>
        <w:t xml:space="preserve">was conducted </w:t>
      </w:r>
      <w:r w:rsidR="009E0A93" w:rsidRPr="00901D26">
        <w:rPr>
          <w:rFonts w:ascii="Times New Roman" w:hAnsi="Times New Roman"/>
          <w:szCs w:val="24"/>
        </w:rPr>
        <w:t>with respect to the</w:t>
      </w:r>
      <w:r w:rsidR="00396601" w:rsidRPr="00901D26">
        <w:rPr>
          <w:rFonts w:ascii="Times New Roman" w:hAnsi="Times New Roman"/>
          <w:szCs w:val="24"/>
        </w:rPr>
        <w:t xml:space="preserve"> </w:t>
      </w:r>
      <w:r w:rsidR="00AF3987">
        <w:rPr>
          <w:rFonts w:ascii="Times New Roman" w:hAnsi="Times New Roman"/>
          <w:szCs w:val="24"/>
        </w:rPr>
        <w:t>approach</w:t>
      </w:r>
      <w:r w:rsidR="00396601" w:rsidRPr="00901D26">
        <w:rPr>
          <w:rFonts w:ascii="Times New Roman" w:hAnsi="Times New Roman"/>
          <w:szCs w:val="24"/>
        </w:rPr>
        <w:t>, and</w:t>
      </w:r>
      <w:r w:rsidR="009E0A93" w:rsidRPr="00901D26">
        <w:rPr>
          <w:rFonts w:ascii="Times New Roman" w:hAnsi="Times New Roman"/>
          <w:szCs w:val="24"/>
        </w:rPr>
        <w:t xml:space="preserve"> </w:t>
      </w:r>
      <w:r w:rsidR="003701C5">
        <w:rPr>
          <w:rFonts w:ascii="Times New Roman" w:hAnsi="Times New Roman"/>
          <w:szCs w:val="24"/>
        </w:rPr>
        <w:t xml:space="preserve">the </w:t>
      </w:r>
      <w:r w:rsidR="00B87BD7">
        <w:rPr>
          <w:rFonts w:ascii="Times New Roman" w:hAnsi="Times New Roman"/>
          <w:szCs w:val="24"/>
        </w:rPr>
        <w:t xml:space="preserve">options for </w:t>
      </w:r>
      <w:r w:rsidR="00846DA5" w:rsidRPr="00901D26">
        <w:rPr>
          <w:rFonts w:ascii="Times New Roman" w:hAnsi="Times New Roman"/>
          <w:szCs w:val="24"/>
        </w:rPr>
        <w:t xml:space="preserve">the </w:t>
      </w:r>
      <w:r w:rsidR="009E0A93" w:rsidRPr="00901D26">
        <w:rPr>
          <w:rFonts w:ascii="Times New Roman" w:hAnsi="Times New Roman"/>
          <w:szCs w:val="24"/>
        </w:rPr>
        <w:t>publication of</w:t>
      </w:r>
      <w:r w:rsidR="00396601" w:rsidRPr="00901D26">
        <w:rPr>
          <w:rFonts w:ascii="Times New Roman" w:hAnsi="Times New Roman"/>
          <w:szCs w:val="24"/>
        </w:rPr>
        <w:t xml:space="preserve"> </w:t>
      </w:r>
      <w:r w:rsidR="005E10B7">
        <w:rPr>
          <w:rFonts w:ascii="Times New Roman" w:hAnsi="Times New Roman"/>
          <w:szCs w:val="24"/>
        </w:rPr>
        <w:t xml:space="preserve">therapeutic goods </w:t>
      </w:r>
      <w:r w:rsidR="009E0A93" w:rsidRPr="00901D26">
        <w:rPr>
          <w:rFonts w:ascii="Times New Roman" w:hAnsi="Times New Roman"/>
          <w:szCs w:val="24"/>
        </w:rPr>
        <w:t>information</w:t>
      </w:r>
      <w:r w:rsidR="00396601" w:rsidRPr="00901D26">
        <w:rPr>
          <w:rFonts w:ascii="Times New Roman" w:hAnsi="Times New Roman"/>
          <w:szCs w:val="24"/>
        </w:rPr>
        <w:t xml:space="preserve"> relating to compliance reviews</w:t>
      </w:r>
      <w:r w:rsidR="00716896" w:rsidRPr="00901D26">
        <w:rPr>
          <w:rFonts w:ascii="Times New Roman" w:hAnsi="Times New Roman"/>
          <w:szCs w:val="24"/>
        </w:rPr>
        <w:t>.</w:t>
      </w:r>
      <w:r w:rsidR="003701C5">
        <w:rPr>
          <w:rFonts w:ascii="Times New Roman" w:hAnsi="Times New Roman"/>
          <w:szCs w:val="24"/>
        </w:rPr>
        <w:t xml:space="preserve"> </w:t>
      </w:r>
      <w:r w:rsidR="004D4DFC">
        <w:rPr>
          <w:rFonts w:ascii="Times New Roman" w:hAnsi="Times New Roman"/>
          <w:szCs w:val="24"/>
        </w:rPr>
        <w:t>An initial public consultation on the broad approach for improving transparency about compliance review outcomes took place between September and November 2017.</w:t>
      </w:r>
    </w:p>
    <w:p w:rsidR="004D4DFC" w:rsidRDefault="004D4DFC" w:rsidP="00901D26">
      <w:pPr>
        <w:ind w:right="-284"/>
        <w:rPr>
          <w:rFonts w:ascii="Times New Roman" w:hAnsi="Times New Roman"/>
          <w:szCs w:val="24"/>
        </w:rPr>
      </w:pPr>
    </w:p>
    <w:p w:rsidR="00716896" w:rsidRPr="00901D26" w:rsidRDefault="004D4DFC" w:rsidP="00901D26">
      <w:pPr>
        <w:ind w:right="-284"/>
        <w:rPr>
          <w:rFonts w:ascii="Times New Roman" w:hAnsi="Times New Roman"/>
          <w:szCs w:val="24"/>
        </w:rPr>
      </w:pPr>
      <w:r>
        <w:rPr>
          <w:rFonts w:ascii="Times New Roman" w:hAnsi="Times New Roman"/>
          <w:szCs w:val="24"/>
        </w:rPr>
        <w:t xml:space="preserve">Further </w:t>
      </w:r>
      <w:r w:rsidR="00547C0F" w:rsidRPr="00901D26">
        <w:rPr>
          <w:rFonts w:ascii="Times New Roman" w:hAnsi="Times New Roman"/>
          <w:szCs w:val="24"/>
        </w:rPr>
        <w:t>targeted consultation</w:t>
      </w:r>
      <w:r w:rsidR="009B4481" w:rsidRPr="00901D26">
        <w:rPr>
          <w:rFonts w:ascii="Times New Roman" w:hAnsi="Times New Roman"/>
          <w:szCs w:val="24"/>
        </w:rPr>
        <w:t xml:space="preserve"> </w:t>
      </w:r>
      <w:r>
        <w:rPr>
          <w:rFonts w:ascii="Times New Roman" w:hAnsi="Times New Roman"/>
          <w:szCs w:val="24"/>
        </w:rPr>
        <w:t xml:space="preserve">workshops </w:t>
      </w:r>
      <w:r w:rsidR="009B4481" w:rsidRPr="00901D26">
        <w:rPr>
          <w:rFonts w:ascii="Times New Roman" w:hAnsi="Times New Roman"/>
          <w:szCs w:val="24"/>
        </w:rPr>
        <w:t xml:space="preserve">on the structure and implementation of the </w:t>
      </w:r>
      <w:r w:rsidR="00AF3987">
        <w:rPr>
          <w:rFonts w:ascii="Times New Roman" w:hAnsi="Times New Roman"/>
          <w:szCs w:val="24"/>
        </w:rPr>
        <w:t>approach</w:t>
      </w:r>
      <w:r w:rsidR="00FB4E24">
        <w:rPr>
          <w:rFonts w:ascii="Times New Roman" w:hAnsi="Times New Roman"/>
          <w:szCs w:val="24"/>
        </w:rPr>
        <w:t xml:space="preserve"> were held throughout 2018, with peak industry bodies (</w:t>
      </w:r>
      <w:r w:rsidR="000D1DE2">
        <w:rPr>
          <w:rFonts w:ascii="Times New Roman" w:hAnsi="Times New Roman"/>
          <w:szCs w:val="24"/>
        </w:rPr>
        <w:t>Complementary Medicines Australia (“</w:t>
      </w:r>
      <w:r w:rsidR="00FB4E24">
        <w:rPr>
          <w:rFonts w:ascii="Times New Roman" w:hAnsi="Times New Roman"/>
          <w:szCs w:val="24"/>
        </w:rPr>
        <w:t>CMA</w:t>
      </w:r>
      <w:r w:rsidR="000D1DE2">
        <w:rPr>
          <w:rFonts w:ascii="Times New Roman" w:hAnsi="Times New Roman"/>
          <w:szCs w:val="24"/>
        </w:rPr>
        <w:t>”)</w:t>
      </w:r>
      <w:r w:rsidR="00FB4E24">
        <w:rPr>
          <w:rFonts w:ascii="Times New Roman" w:hAnsi="Times New Roman"/>
          <w:szCs w:val="24"/>
        </w:rPr>
        <w:t>, C</w:t>
      </w:r>
      <w:r w:rsidR="00C7645A">
        <w:rPr>
          <w:rFonts w:ascii="Times New Roman" w:hAnsi="Times New Roman"/>
          <w:szCs w:val="24"/>
        </w:rPr>
        <w:t xml:space="preserve">onsumer </w:t>
      </w:r>
      <w:r w:rsidR="00FB4E24">
        <w:rPr>
          <w:rFonts w:ascii="Times New Roman" w:hAnsi="Times New Roman"/>
          <w:szCs w:val="24"/>
        </w:rPr>
        <w:t>H</w:t>
      </w:r>
      <w:r w:rsidR="00C7645A">
        <w:rPr>
          <w:rFonts w:ascii="Times New Roman" w:hAnsi="Times New Roman"/>
          <w:szCs w:val="24"/>
        </w:rPr>
        <w:t xml:space="preserve">ealthcare </w:t>
      </w:r>
      <w:r w:rsidR="00FB4E24">
        <w:rPr>
          <w:rFonts w:ascii="Times New Roman" w:hAnsi="Times New Roman"/>
          <w:szCs w:val="24"/>
        </w:rPr>
        <w:t>P</w:t>
      </w:r>
      <w:r w:rsidR="00C7645A">
        <w:rPr>
          <w:rFonts w:ascii="Times New Roman" w:hAnsi="Times New Roman"/>
          <w:szCs w:val="24"/>
        </w:rPr>
        <w:t>roducts Australia</w:t>
      </w:r>
      <w:r w:rsidR="00FB4E24">
        <w:rPr>
          <w:rFonts w:ascii="Times New Roman" w:hAnsi="Times New Roman"/>
          <w:szCs w:val="24"/>
        </w:rPr>
        <w:t xml:space="preserve"> and Accord</w:t>
      </w:r>
      <w:r w:rsidR="00C7645A">
        <w:rPr>
          <w:rFonts w:ascii="Times New Roman" w:hAnsi="Times New Roman"/>
          <w:szCs w:val="24"/>
        </w:rPr>
        <w:t xml:space="preserve"> Australasia</w:t>
      </w:r>
      <w:r w:rsidR="00FB4E24">
        <w:rPr>
          <w:rFonts w:ascii="Times New Roman" w:hAnsi="Times New Roman"/>
          <w:szCs w:val="24"/>
        </w:rPr>
        <w:t xml:space="preserve">), </w:t>
      </w:r>
      <w:r w:rsidR="00387BB3">
        <w:rPr>
          <w:rFonts w:ascii="Times New Roman" w:hAnsi="Times New Roman"/>
          <w:szCs w:val="24"/>
        </w:rPr>
        <w:t xml:space="preserve">certain </w:t>
      </w:r>
      <w:r w:rsidR="00FB4E24">
        <w:rPr>
          <w:rFonts w:ascii="Times New Roman" w:hAnsi="Times New Roman"/>
          <w:szCs w:val="24"/>
        </w:rPr>
        <w:t xml:space="preserve">listed medicine sponsors </w:t>
      </w:r>
      <w:r w:rsidR="00C7645A">
        <w:rPr>
          <w:rFonts w:ascii="Times New Roman" w:hAnsi="Times New Roman"/>
          <w:szCs w:val="24"/>
        </w:rPr>
        <w:t>(</w:t>
      </w:r>
      <w:r w:rsidR="00FB4E24">
        <w:rPr>
          <w:rFonts w:ascii="Times New Roman" w:hAnsi="Times New Roman"/>
          <w:szCs w:val="24"/>
        </w:rPr>
        <w:t xml:space="preserve">including Blackmores, </w:t>
      </w:r>
      <w:r w:rsidR="00C7645A">
        <w:rPr>
          <w:rFonts w:ascii="Times New Roman" w:hAnsi="Times New Roman"/>
          <w:szCs w:val="24"/>
        </w:rPr>
        <w:t>Sanofi, Swisse and</w:t>
      </w:r>
      <w:r w:rsidR="00FB4E24">
        <w:rPr>
          <w:rFonts w:ascii="Times New Roman" w:hAnsi="Times New Roman"/>
          <w:szCs w:val="24"/>
        </w:rPr>
        <w:t xml:space="preserve"> Pharmacare</w:t>
      </w:r>
      <w:r w:rsidR="00C7645A">
        <w:rPr>
          <w:rFonts w:ascii="Times New Roman" w:hAnsi="Times New Roman"/>
          <w:szCs w:val="24"/>
        </w:rPr>
        <w:t>)</w:t>
      </w:r>
      <w:r w:rsidR="00FB4E24">
        <w:rPr>
          <w:rFonts w:ascii="Times New Roman" w:hAnsi="Times New Roman"/>
          <w:szCs w:val="24"/>
        </w:rPr>
        <w:t xml:space="preserve"> and consumer repr</w:t>
      </w:r>
      <w:r w:rsidR="00C7645A">
        <w:rPr>
          <w:rFonts w:ascii="Times New Roman" w:hAnsi="Times New Roman"/>
          <w:szCs w:val="24"/>
        </w:rPr>
        <w:t>es</w:t>
      </w:r>
      <w:r w:rsidR="00FB4E24">
        <w:rPr>
          <w:rFonts w:ascii="Times New Roman" w:hAnsi="Times New Roman"/>
          <w:szCs w:val="24"/>
        </w:rPr>
        <w:t>entatives (C</w:t>
      </w:r>
      <w:r w:rsidR="000D1DE2">
        <w:rPr>
          <w:rFonts w:ascii="Times New Roman" w:hAnsi="Times New Roman"/>
          <w:szCs w:val="24"/>
        </w:rPr>
        <w:t>onsumer</w:t>
      </w:r>
      <w:r w:rsidR="00C7645A">
        <w:rPr>
          <w:rFonts w:ascii="Times New Roman" w:hAnsi="Times New Roman"/>
          <w:szCs w:val="24"/>
        </w:rPr>
        <w:t>s</w:t>
      </w:r>
      <w:r w:rsidR="000D1DE2">
        <w:rPr>
          <w:rFonts w:ascii="Times New Roman" w:hAnsi="Times New Roman"/>
          <w:szCs w:val="24"/>
        </w:rPr>
        <w:t xml:space="preserve"> </w:t>
      </w:r>
      <w:r w:rsidR="00FB4E24">
        <w:rPr>
          <w:rFonts w:ascii="Times New Roman" w:hAnsi="Times New Roman"/>
          <w:szCs w:val="24"/>
        </w:rPr>
        <w:t>H</w:t>
      </w:r>
      <w:r w:rsidR="000D1DE2">
        <w:rPr>
          <w:rFonts w:ascii="Times New Roman" w:hAnsi="Times New Roman"/>
          <w:szCs w:val="24"/>
        </w:rPr>
        <w:t xml:space="preserve">ealth </w:t>
      </w:r>
      <w:r w:rsidR="00FB4E24">
        <w:rPr>
          <w:rFonts w:ascii="Times New Roman" w:hAnsi="Times New Roman"/>
          <w:szCs w:val="24"/>
        </w:rPr>
        <w:t>F</w:t>
      </w:r>
      <w:r w:rsidR="000D1DE2">
        <w:rPr>
          <w:rFonts w:ascii="Times New Roman" w:hAnsi="Times New Roman"/>
          <w:szCs w:val="24"/>
        </w:rPr>
        <w:t>orum</w:t>
      </w:r>
      <w:r w:rsidR="00B87BD7">
        <w:rPr>
          <w:rFonts w:ascii="Times New Roman" w:hAnsi="Times New Roman"/>
          <w:szCs w:val="24"/>
        </w:rPr>
        <w:t xml:space="preserve"> of Australia</w:t>
      </w:r>
      <w:r w:rsidR="00FB4E24">
        <w:rPr>
          <w:rFonts w:ascii="Times New Roman" w:hAnsi="Times New Roman"/>
          <w:szCs w:val="24"/>
        </w:rPr>
        <w:t xml:space="preserve"> and Choice).</w:t>
      </w:r>
    </w:p>
    <w:p w:rsidR="009B4481" w:rsidRPr="00901D26" w:rsidRDefault="009B4481" w:rsidP="00901D26">
      <w:pPr>
        <w:ind w:right="-284"/>
        <w:rPr>
          <w:rFonts w:ascii="Times New Roman" w:hAnsi="Times New Roman"/>
          <w:szCs w:val="24"/>
        </w:rPr>
      </w:pPr>
    </w:p>
    <w:p w:rsidR="006B539F" w:rsidRPr="00901D26" w:rsidRDefault="003E406D" w:rsidP="00901D26">
      <w:pPr>
        <w:ind w:right="-284"/>
        <w:rPr>
          <w:rFonts w:ascii="Times New Roman" w:hAnsi="Times New Roman"/>
          <w:szCs w:val="24"/>
        </w:rPr>
      </w:pPr>
      <w:r>
        <w:rPr>
          <w:rFonts w:ascii="Times New Roman" w:hAnsi="Times New Roman"/>
          <w:szCs w:val="24"/>
        </w:rPr>
        <w:t xml:space="preserve">There were </w:t>
      </w:r>
      <w:r w:rsidR="00FB4E24">
        <w:rPr>
          <w:rFonts w:ascii="Times New Roman" w:hAnsi="Times New Roman"/>
          <w:szCs w:val="24"/>
        </w:rPr>
        <w:t xml:space="preserve">regular communications with individual </w:t>
      </w:r>
      <w:r w:rsidR="00F33CC6">
        <w:rPr>
          <w:rFonts w:ascii="Times New Roman" w:hAnsi="Times New Roman"/>
          <w:szCs w:val="24"/>
        </w:rPr>
        <w:t>sponsors and key industry associations</w:t>
      </w:r>
      <w:r w:rsidR="00B87BD7">
        <w:rPr>
          <w:rFonts w:ascii="Times New Roman" w:hAnsi="Times New Roman"/>
          <w:szCs w:val="24"/>
        </w:rPr>
        <w:t xml:space="preserve"> throughout 2019</w:t>
      </w:r>
      <w:r w:rsidR="00F33CC6">
        <w:rPr>
          <w:rFonts w:ascii="Times New Roman" w:hAnsi="Times New Roman"/>
          <w:szCs w:val="24"/>
        </w:rPr>
        <w:t xml:space="preserve">. An additional consultation workshop was held in August 2019 to address concerns raised by </w:t>
      </w:r>
      <w:r>
        <w:rPr>
          <w:rFonts w:ascii="Times New Roman" w:hAnsi="Times New Roman"/>
          <w:szCs w:val="24"/>
        </w:rPr>
        <w:t xml:space="preserve">some companies and industry groups </w:t>
      </w:r>
      <w:r w:rsidR="00F33CC6">
        <w:rPr>
          <w:rFonts w:ascii="Times New Roman" w:hAnsi="Times New Roman"/>
          <w:szCs w:val="24"/>
        </w:rPr>
        <w:t xml:space="preserve"> and to ensure that the </w:t>
      </w:r>
      <w:r w:rsidR="00DA3CC2">
        <w:rPr>
          <w:rFonts w:ascii="Times New Roman" w:hAnsi="Times New Roman"/>
          <w:szCs w:val="24"/>
        </w:rPr>
        <w:t>proposed</w:t>
      </w:r>
      <w:r w:rsidR="00F33CC6">
        <w:rPr>
          <w:rFonts w:ascii="Times New Roman" w:hAnsi="Times New Roman"/>
          <w:szCs w:val="24"/>
        </w:rPr>
        <w:t xml:space="preserve"> approach </w:t>
      </w:r>
      <w:r w:rsidR="00DA3CC2">
        <w:rPr>
          <w:rFonts w:ascii="Times New Roman" w:hAnsi="Times New Roman"/>
          <w:szCs w:val="24"/>
        </w:rPr>
        <w:t>to the publication of information is</w:t>
      </w:r>
      <w:r w:rsidR="00F33CC6">
        <w:rPr>
          <w:rFonts w:ascii="Times New Roman" w:hAnsi="Times New Roman"/>
          <w:szCs w:val="24"/>
        </w:rPr>
        <w:t xml:space="preserve"> meaningful to consumers.</w:t>
      </w:r>
    </w:p>
    <w:p w:rsidR="00147ACA" w:rsidRPr="00901D26" w:rsidRDefault="00147ACA" w:rsidP="00901D26">
      <w:pPr>
        <w:ind w:right="-284"/>
        <w:rPr>
          <w:rFonts w:ascii="Times New Roman" w:hAnsi="Times New Roman"/>
          <w:szCs w:val="24"/>
        </w:rPr>
      </w:pPr>
    </w:p>
    <w:p w:rsidR="00294A49" w:rsidRPr="00901D26" w:rsidRDefault="00294A49" w:rsidP="00901D26">
      <w:pPr>
        <w:ind w:right="-284"/>
        <w:rPr>
          <w:rFonts w:ascii="Times New Roman" w:hAnsi="Times New Roman"/>
          <w:szCs w:val="24"/>
        </w:rPr>
      </w:pPr>
      <w:r w:rsidRPr="00901D26">
        <w:rPr>
          <w:rFonts w:ascii="Times New Roman" w:hAnsi="Times New Roman"/>
          <w:szCs w:val="24"/>
        </w:rPr>
        <w:t xml:space="preserve">Details of the </w:t>
      </w:r>
      <w:r w:rsidR="00FB154A" w:rsidRPr="00901D26">
        <w:rPr>
          <w:rFonts w:ascii="Times New Roman" w:hAnsi="Times New Roman"/>
          <w:szCs w:val="24"/>
        </w:rPr>
        <w:t xml:space="preserve">Specification </w:t>
      </w:r>
      <w:r w:rsidRPr="00901D26">
        <w:rPr>
          <w:rFonts w:ascii="Times New Roman" w:hAnsi="Times New Roman"/>
          <w:szCs w:val="24"/>
        </w:rPr>
        <w:t xml:space="preserve">are set out in </w:t>
      </w:r>
      <w:r w:rsidRPr="00901D26">
        <w:rPr>
          <w:rFonts w:ascii="Times New Roman" w:hAnsi="Times New Roman"/>
          <w:b/>
          <w:szCs w:val="24"/>
        </w:rPr>
        <w:t>Attachment A.</w:t>
      </w:r>
    </w:p>
    <w:p w:rsidR="00294A49" w:rsidRPr="00901D26" w:rsidRDefault="00294A49" w:rsidP="00901D26">
      <w:pPr>
        <w:ind w:right="-284"/>
        <w:rPr>
          <w:rFonts w:ascii="Times New Roman" w:hAnsi="Times New Roman"/>
          <w:szCs w:val="24"/>
        </w:rPr>
      </w:pPr>
    </w:p>
    <w:p w:rsidR="00294A49" w:rsidRPr="00901D26" w:rsidRDefault="00294A49" w:rsidP="00901D26">
      <w:pPr>
        <w:ind w:right="-284"/>
        <w:rPr>
          <w:rFonts w:ascii="Times New Roman" w:hAnsi="Times New Roman"/>
          <w:szCs w:val="24"/>
        </w:rPr>
      </w:pPr>
      <w:r w:rsidRPr="00901D26">
        <w:rPr>
          <w:rFonts w:ascii="Times New Roman" w:hAnsi="Times New Roman"/>
          <w:szCs w:val="24"/>
        </w:rPr>
        <w:t xml:space="preserve">The </w:t>
      </w:r>
      <w:r w:rsidR="00FB154A" w:rsidRPr="00901D26">
        <w:rPr>
          <w:rFonts w:ascii="Times New Roman" w:hAnsi="Times New Roman"/>
          <w:szCs w:val="24"/>
        </w:rPr>
        <w:t xml:space="preserve">Specification </w:t>
      </w:r>
      <w:r w:rsidRPr="00901D26">
        <w:rPr>
          <w:rFonts w:ascii="Times New Roman" w:hAnsi="Times New Roman"/>
          <w:szCs w:val="24"/>
        </w:rPr>
        <w:t xml:space="preserve">is compatible with human rights and freedoms recognised or declared under section 3 of the </w:t>
      </w:r>
      <w:r w:rsidRPr="00901D26">
        <w:rPr>
          <w:rFonts w:ascii="Times New Roman" w:hAnsi="Times New Roman"/>
          <w:i/>
          <w:szCs w:val="24"/>
        </w:rPr>
        <w:t>Human Rights (Parliamentary Scrutiny) Act 2011</w:t>
      </w:r>
      <w:r w:rsidRPr="00901D26">
        <w:rPr>
          <w:rFonts w:ascii="Times New Roman" w:hAnsi="Times New Roman"/>
          <w:szCs w:val="24"/>
        </w:rPr>
        <w:t xml:space="preserve">. A full statement of compatibility is set out in </w:t>
      </w:r>
      <w:r w:rsidRPr="00901D26">
        <w:rPr>
          <w:rFonts w:ascii="Times New Roman" w:hAnsi="Times New Roman"/>
          <w:b/>
          <w:szCs w:val="24"/>
        </w:rPr>
        <w:t>Attachment B.</w:t>
      </w:r>
    </w:p>
    <w:p w:rsidR="00294A49" w:rsidRPr="00901D26" w:rsidRDefault="00294A49" w:rsidP="00901D26">
      <w:pPr>
        <w:ind w:right="-284"/>
        <w:rPr>
          <w:rFonts w:ascii="Times New Roman" w:hAnsi="Times New Roman"/>
          <w:szCs w:val="24"/>
        </w:rPr>
      </w:pPr>
    </w:p>
    <w:p w:rsidR="00A36EFF" w:rsidRDefault="00CC7CE5" w:rsidP="00901D26">
      <w:pPr>
        <w:ind w:right="-284"/>
        <w:rPr>
          <w:rFonts w:ascii="Times New Roman" w:hAnsi="Times New Roman"/>
          <w:szCs w:val="24"/>
        </w:rPr>
      </w:pPr>
      <w:r w:rsidRPr="00901D26">
        <w:rPr>
          <w:rFonts w:ascii="Times New Roman" w:hAnsi="Times New Roman"/>
          <w:szCs w:val="24"/>
        </w:rPr>
        <w:t xml:space="preserve">The </w:t>
      </w:r>
      <w:r w:rsidR="00FB154A" w:rsidRPr="00901D26">
        <w:rPr>
          <w:rFonts w:ascii="Times New Roman" w:hAnsi="Times New Roman"/>
          <w:szCs w:val="24"/>
        </w:rPr>
        <w:t xml:space="preserve">Specification </w:t>
      </w:r>
      <w:r w:rsidRPr="00901D26">
        <w:rPr>
          <w:rFonts w:ascii="Times New Roman" w:hAnsi="Times New Roman"/>
          <w:szCs w:val="24"/>
        </w:rPr>
        <w:t>is a disallowable legislative instrument</w:t>
      </w:r>
      <w:r w:rsidRPr="00901D26">
        <w:rPr>
          <w:rFonts w:ascii="Times New Roman" w:hAnsi="Times New Roman"/>
          <w:i/>
          <w:szCs w:val="24"/>
        </w:rPr>
        <w:t xml:space="preserve"> </w:t>
      </w:r>
      <w:r w:rsidR="00FB154A" w:rsidRPr="00901D26">
        <w:rPr>
          <w:rFonts w:ascii="Times New Roman" w:hAnsi="Times New Roman"/>
          <w:szCs w:val="24"/>
        </w:rPr>
        <w:t xml:space="preserve">for the purposes of the </w:t>
      </w:r>
      <w:r w:rsidR="00FB154A" w:rsidRPr="00901D26">
        <w:rPr>
          <w:rFonts w:ascii="Times New Roman" w:hAnsi="Times New Roman"/>
          <w:i/>
          <w:szCs w:val="24"/>
        </w:rPr>
        <w:t xml:space="preserve">Legislation Act 2003 </w:t>
      </w:r>
      <w:r w:rsidRPr="00901D26">
        <w:rPr>
          <w:rFonts w:ascii="Times New Roman" w:hAnsi="Times New Roman"/>
          <w:szCs w:val="24"/>
        </w:rPr>
        <w:t>and commences on the day after registration on the Federal Register of Legislation.</w:t>
      </w:r>
    </w:p>
    <w:p w:rsidR="00A36EFF" w:rsidRDefault="00A36EFF">
      <w:pPr>
        <w:spacing w:after="200" w:line="276" w:lineRule="auto"/>
        <w:rPr>
          <w:rFonts w:ascii="Times New Roman" w:hAnsi="Times New Roman"/>
          <w:szCs w:val="24"/>
        </w:rPr>
      </w:pPr>
      <w:r>
        <w:rPr>
          <w:rFonts w:ascii="Times New Roman" w:hAnsi="Times New Roman"/>
          <w:szCs w:val="24"/>
        </w:rPr>
        <w:br w:type="page"/>
      </w:r>
    </w:p>
    <w:p w:rsidR="00420786" w:rsidRPr="00901D26" w:rsidRDefault="00420786" w:rsidP="00901D26">
      <w:pPr>
        <w:ind w:right="-284"/>
        <w:rPr>
          <w:rFonts w:ascii="Times New Roman" w:hAnsi="Times New Roman"/>
          <w:szCs w:val="24"/>
        </w:rPr>
      </w:pPr>
    </w:p>
    <w:p w:rsidR="00294A49" w:rsidRPr="00901D26" w:rsidRDefault="00294A49" w:rsidP="00901D26">
      <w:pPr>
        <w:ind w:right="-284"/>
        <w:jc w:val="right"/>
        <w:rPr>
          <w:rFonts w:ascii="Times New Roman" w:hAnsi="Times New Roman"/>
          <w:b/>
          <w:bCs/>
          <w:szCs w:val="24"/>
        </w:rPr>
      </w:pPr>
      <w:r w:rsidRPr="00901D26">
        <w:rPr>
          <w:rFonts w:ascii="Times New Roman" w:hAnsi="Times New Roman"/>
          <w:b/>
          <w:bCs/>
          <w:szCs w:val="24"/>
        </w:rPr>
        <w:t>Attachment A</w:t>
      </w:r>
    </w:p>
    <w:p w:rsidR="00294A49" w:rsidRPr="00901D26" w:rsidRDefault="00294A49" w:rsidP="00901D26">
      <w:pPr>
        <w:ind w:right="-284"/>
        <w:rPr>
          <w:rFonts w:ascii="Times New Roman" w:hAnsi="Times New Roman"/>
          <w:b/>
          <w:bCs/>
          <w:szCs w:val="24"/>
        </w:rPr>
      </w:pPr>
    </w:p>
    <w:p w:rsidR="00294A49" w:rsidRPr="00901D26" w:rsidRDefault="00294A49" w:rsidP="00901D26">
      <w:pPr>
        <w:ind w:right="-284"/>
        <w:rPr>
          <w:rFonts w:ascii="Times New Roman" w:hAnsi="Times New Roman"/>
          <w:b/>
          <w:bCs/>
          <w:i/>
          <w:szCs w:val="24"/>
        </w:rPr>
      </w:pPr>
      <w:r w:rsidRPr="00901D26">
        <w:rPr>
          <w:rFonts w:ascii="Times New Roman" w:hAnsi="Times New Roman"/>
          <w:b/>
          <w:bCs/>
          <w:szCs w:val="24"/>
        </w:rPr>
        <w:t xml:space="preserve">Details of the </w:t>
      </w:r>
      <w:r w:rsidR="00064CC7" w:rsidRPr="00901D26">
        <w:rPr>
          <w:rFonts w:ascii="Times New Roman" w:hAnsi="Times New Roman"/>
          <w:b/>
          <w:bCs/>
          <w:i/>
          <w:szCs w:val="24"/>
        </w:rPr>
        <w:t>Therapeutic Goods (Listed Medicines</w:t>
      </w:r>
      <w:r w:rsidR="00064CC7" w:rsidRPr="00901D26">
        <w:rPr>
          <w:rFonts w:ascii="Times New Roman" w:hAnsi="Times New Roman"/>
          <w:b/>
          <w:bCs/>
          <w:i/>
          <w:szCs w:val="24"/>
        </w:rPr>
        <w:sym w:font="Symbol" w:char="F0BE"/>
      </w:r>
      <w:r w:rsidR="00064CC7" w:rsidRPr="00901D26">
        <w:rPr>
          <w:rFonts w:ascii="Times New Roman" w:hAnsi="Times New Roman"/>
          <w:b/>
          <w:bCs/>
          <w:i/>
          <w:szCs w:val="24"/>
        </w:rPr>
        <w:t>Compliance Reviews) Specification 2019</w:t>
      </w:r>
    </w:p>
    <w:p w:rsidR="00294A49" w:rsidRPr="00901D26" w:rsidRDefault="00294A49" w:rsidP="00901D26">
      <w:pPr>
        <w:ind w:right="-284"/>
        <w:rPr>
          <w:rFonts w:ascii="Times New Roman" w:hAnsi="Times New Roman"/>
          <w:b/>
          <w:bCs/>
          <w:i/>
          <w:szCs w:val="24"/>
        </w:rPr>
      </w:pPr>
    </w:p>
    <w:p w:rsidR="00294A49" w:rsidRPr="00901D26" w:rsidRDefault="00B279BF" w:rsidP="00901D26">
      <w:pPr>
        <w:ind w:right="-284"/>
        <w:rPr>
          <w:rFonts w:ascii="Times New Roman" w:hAnsi="Times New Roman"/>
          <w:b/>
          <w:bCs/>
          <w:szCs w:val="24"/>
        </w:rPr>
      </w:pPr>
      <w:r w:rsidRPr="00901D26">
        <w:rPr>
          <w:rFonts w:ascii="Times New Roman" w:hAnsi="Times New Roman"/>
          <w:b/>
          <w:bCs/>
          <w:szCs w:val="24"/>
        </w:rPr>
        <w:t>Section 1  Name</w:t>
      </w:r>
    </w:p>
    <w:p w:rsidR="00B279BF" w:rsidRPr="00901D26" w:rsidRDefault="00B279BF" w:rsidP="00901D26">
      <w:pPr>
        <w:ind w:right="-284"/>
        <w:rPr>
          <w:rFonts w:ascii="Times New Roman" w:hAnsi="Times New Roman"/>
          <w:b/>
          <w:bCs/>
          <w:szCs w:val="24"/>
        </w:rPr>
      </w:pPr>
    </w:p>
    <w:p w:rsidR="00B279BF" w:rsidRPr="00901D26" w:rsidRDefault="00B279BF" w:rsidP="00901D26">
      <w:pPr>
        <w:ind w:right="-284"/>
        <w:rPr>
          <w:rFonts w:ascii="Times New Roman" w:hAnsi="Times New Roman"/>
          <w:szCs w:val="24"/>
        </w:rPr>
      </w:pPr>
      <w:r w:rsidRPr="00901D26">
        <w:rPr>
          <w:rFonts w:ascii="Times New Roman" w:hAnsi="Times New Roman"/>
          <w:szCs w:val="24"/>
        </w:rPr>
        <w:t>This section provides that the name of th</w:t>
      </w:r>
      <w:r w:rsidR="00846A95" w:rsidRPr="00901D26">
        <w:rPr>
          <w:rFonts w:ascii="Times New Roman" w:hAnsi="Times New Roman"/>
          <w:szCs w:val="24"/>
        </w:rPr>
        <w:t>e</w:t>
      </w:r>
      <w:r w:rsidRPr="00901D26">
        <w:rPr>
          <w:rFonts w:ascii="Times New Roman" w:hAnsi="Times New Roman"/>
          <w:szCs w:val="24"/>
        </w:rPr>
        <w:t xml:space="preserve"> </w:t>
      </w:r>
      <w:r w:rsidR="006B539F" w:rsidRPr="00901D26">
        <w:rPr>
          <w:rFonts w:ascii="Times New Roman" w:hAnsi="Times New Roman"/>
          <w:szCs w:val="24"/>
        </w:rPr>
        <w:t xml:space="preserve">instrument </w:t>
      </w:r>
      <w:r w:rsidRPr="00901D26">
        <w:rPr>
          <w:rFonts w:ascii="Times New Roman" w:hAnsi="Times New Roman"/>
          <w:szCs w:val="24"/>
        </w:rPr>
        <w:t xml:space="preserve">is the </w:t>
      </w:r>
      <w:r w:rsidR="00625284" w:rsidRPr="00901D26">
        <w:rPr>
          <w:i/>
          <w:szCs w:val="24"/>
        </w:rPr>
        <w:t>Therapeutic Goods (Listed Medicines</w:t>
      </w:r>
      <w:r w:rsidR="00625284" w:rsidRPr="00901D26">
        <w:rPr>
          <w:i/>
          <w:szCs w:val="24"/>
        </w:rPr>
        <w:sym w:font="Symbol" w:char="F0BE"/>
      </w:r>
      <w:r w:rsidR="00625284" w:rsidRPr="00901D26">
        <w:rPr>
          <w:i/>
          <w:szCs w:val="24"/>
        </w:rPr>
        <w:t>Compliance Reviews) Specification 2019</w:t>
      </w:r>
      <w:r w:rsidR="00625284" w:rsidRPr="00901D26">
        <w:rPr>
          <w:rFonts w:ascii="Times New Roman" w:hAnsi="Times New Roman"/>
          <w:szCs w:val="24"/>
        </w:rPr>
        <w:t xml:space="preserve"> </w:t>
      </w:r>
      <w:r w:rsidR="006B539F" w:rsidRPr="00901D26">
        <w:rPr>
          <w:rFonts w:ascii="Times New Roman" w:hAnsi="Times New Roman"/>
          <w:szCs w:val="24"/>
        </w:rPr>
        <w:t>(“the Specification”)</w:t>
      </w:r>
      <w:r w:rsidRPr="00901D26">
        <w:rPr>
          <w:rFonts w:ascii="Times New Roman" w:hAnsi="Times New Roman"/>
          <w:szCs w:val="24"/>
        </w:rPr>
        <w:t>.</w:t>
      </w:r>
    </w:p>
    <w:p w:rsidR="00B279BF" w:rsidRPr="00901D26" w:rsidRDefault="00B279BF" w:rsidP="00901D26">
      <w:pPr>
        <w:ind w:right="-284"/>
        <w:rPr>
          <w:rFonts w:ascii="Times New Roman" w:hAnsi="Times New Roman"/>
          <w:bCs/>
          <w:szCs w:val="24"/>
        </w:rPr>
      </w:pPr>
    </w:p>
    <w:p w:rsidR="00B279BF" w:rsidRPr="00901D26" w:rsidRDefault="00B279BF" w:rsidP="00901D26">
      <w:pPr>
        <w:ind w:right="-284"/>
        <w:rPr>
          <w:rFonts w:ascii="Times New Roman" w:hAnsi="Times New Roman"/>
          <w:b/>
          <w:bCs/>
          <w:szCs w:val="24"/>
        </w:rPr>
      </w:pPr>
      <w:r w:rsidRPr="00901D26">
        <w:rPr>
          <w:rFonts w:ascii="Times New Roman" w:hAnsi="Times New Roman"/>
          <w:b/>
          <w:bCs/>
          <w:szCs w:val="24"/>
        </w:rPr>
        <w:t>Section 2  Commencement</w:t>
      </w:r>
    </w:p>
    <w:p w:rsidR="00B279BF" w:rsidRPr="00901D26" w:rsidRDefault="00B279BF" w:rsidP="00901D26">
      <w:pPr>
        <w:ind w:right="-284"/>
        <w:rPr>
          <w:rFonts w:ascii="Times New Roman" w:hAnsi="Times New Roman"/>
          <w:bCs/>
          <w:szCs w:val="24"/>
        </w:rPr>
      </w:pPr>
    </w:p>
    <w:p w:rsidR="00B279BF" w:rsidRPr="00901D26" w:rsidRDefault="00B279BF" w:rsidP="00901D26">
      <w:pPr>
        <w:ind w:right="-284"/>
        <w:rPr>
          <w:rFonts w:ascii="Times New Roman" w:hAnsi="Times New Roman"/>
          <w:bCs/>
          <w:szCs w:val="24"/>
        </w:rPr>
      </w:pPr>
      <w:r w:rsidRPr="00901D26">
        <w:rPr>
          <w:rFonts w:ascii="Times New Roman" w:hAnsi="Times New Roman"/>
          <w:bCs/>
          <w:szCs w:val="24"/>
        </w:rPr>
        <w:t xml:space="preserve">This section provides that </w:t>
      </w:r>
      <w:r w:rsidR="00846A95" w:rsidRPr="00901D26">
        <w:rPr>
          <w:rFonts w:ascii="Times New Roman" w:hAnsi="Times New Roman"/>
          <w:bCs/>
          <w:szCs w:val="24"/>
        </w:rPr>
        <w:t xml:space="preserve">the </w:t>
      </w:r>
      <w:r w:rsidR="00CF4A5D" w:rsidRPr="00901D26">
        <w:rPr>
          <w:rFonts w:ascii="Times New Roman" w:hAnsi="Times New Roman"/>
          <w:bCs/>
          <w:szCs w:val="24"/>
        </w:rPr>
        <w:t xml:space="preserve">Specification </w:t>
      </w:r>
      <w:r w:rsidR="00846A95" w:rsidRPr="00901D26">
        <w:rPr>
          <w:rFonts w:ascii="Times New Roman" w:hAnsi="Times New Roman"/>
          <w:bCs/>
          <w:szCs w:val="24"/>
        </w:rPr>
        <w:t>commences</w:t>
      </w:r>
      <w:r w:rsidR="007727E7" w:rsidRPr="00901D26">
        <w:rPr>
          <w:rFonts w:ascii="Times New Roman" w:hAnsi="Times New Roman"/>
          <w:bCs/>
          <w:szCs w:val="24"/>
        </w:rPr>
        <w:t xml:space="preserve"> on</w:t>
      </w:r>
      <w:r w:rsidR="00846A95" w:rsidRPr="00901D26">
        <w:rPr>
          <w:rFonts w:ascii="Times New Roman" w:hAnsi="Times New Roman"/>
          <w:bCs/>
          <w:szCs w:val="24"/>
        </w:rPr>
        <w:t xml:space="preserve"> the day after </w:t>
      </w:r>
      <w:r w:rsidR="00650907" w:rsidRPr="00901D26">
        <w:rPr>
          <w:rFonts w:ascii="Times New Roman" w:hAnsi="Times New Roman"/>
          <w:bCs/>
          <w:szCs w:val="24"/>
        </w:rPr>
        <w:t xml:space="preserve">it is </w:t>
      </w:r>
      <w:r w:rsidR="00846A95" w:rsidRPr="00901D26">
        <w:rPr>
          <w:rFonts w:ascii="Times New Roman" w:hAnsi="Times New Roman"/>
          <w:bCs/>
          <w:szCs w:val="24"/>
        </w:rPr>
        <w:t>regist</w:t>
      </w:r>
      <w:r w:rsidR="00650907" w:rsidRPr="00901D26">
        <w:rPr>
          <w:rFonts w:ascii="Times New Roman" w:hAnsi="Times New Roman"/>
          <w:bCs/>
          <w:szCs w:val="24"/>
        </w:rPr>
        <w:t xml:space="preserve">ered </w:t>
      </w:r>
      <w:r w:rsidR="001F73A0" w:rsidRPr="00901D26">
        <w:rPr>
          <w:rFonts w:ascii="Times New Roman" w:hAnsi="Times New Roman"/>
          <w:bCs/>
          <w:szCs w:val="24"/>
        </w:rPr>
        <w:t>o</w:t>
      </w:r>
      <w:r w:rsidR="00846A95" w:rsidRPr="00901D26">
        <w:rPr>
          <w:rFonts w:ascii="Times New Roman" w:hAnsi="Times New Roman"/>
          <w:bCs/>
          <w:szCs w:val="24"/>
        </w:rPr>
        <w:t>n the Federal Register of Legislation.</w:t>
      </w:r>
    </w:p>
    <w:p w:rsidR="00B279BF" w:rsidRPr="00901D26" w:rsidRDefault="00B279BF" w:rsidP="00901D26">
      <w:pPr>
        <w:ind w:right="-284"/>
        <w:rPr>
          <w:rFonts w:ascii="Times New Roman" w:hAnsi="Times New Roman"/>
          <w:bCs/>
          <w:szCs w:val="24"/>
        </w:rPr>
      </w:pPr>
    </w:p>
    <w:p w:rsidR="00B279BF" w:rsidRPr="00901D26" w:rsidRDefault="00B279BF" w:rsidP="00901D26">
      <w:pPr>
        <w:ind w:right="-284"/>
        <w:rPr>
          <w:rFonts w:ascii="Times New Roman" w:hAnsi="Times New Roman"/>
          <w:b/>
          <w:bCs/>
          <w:szCs w:val="24"/>
        </w:rPr>
      </w:pPr>
      <w:r w:rsidRPr="00901D26">
        <w:rPr>
          <w:rFonts w:ascii="Times New Roman" w:hAnsi="Times New Roman"/>
          <w:b/>
          <w:bCs/>
          <w:szCs w:val="24"/>
        </w:rPr>
        <w:t>Section 3  Authority</w:t>
      </w:r>
    </w:p>
    <w:p w:rsidR="00B279BF" w:rsidRPr="00901D26" w:rsidRDefault="00B279BF" w:rsidP="00901D26">
      <w:pPr>
        <w:ind w:right="-284"/>
        <w:rPr>
          <w:rFonts w:ascii="Times New Roman" w:hAnsi="Times New Roman"/>
          <w:b/>
          <w:bCs/>
          <w:szCs w:val="24"/>
        </w:rPr>
      </w:pPr>
    </w:p>
    <w:p w:rsidR="00B279BF" w:rsidRPr="00901D26" w:rsidRDefault="00B279BF" w:rsidP="00901D26">
      <w:pPr>
        <w:ind w:right="-284"/>
        <w:rPr>
          <w:rFonts w:ascii="Times New Roman" w:hAnsi="Times New Roman"/>
          <w:bCs/>
          <w:szCs w:val="24"/>
        </w:rPr>
      </w:pPr>
      <w:r w:rsidRPr="00901D26">
        <w:rPr>
          <w:rFonts w:ascii="Times New Roman" w:hAnsi="Times New Roman"/>
          <w:bCs/>
          <w:szCs w:val="24"/>
        </w:rPr>
        <w:t xml:space="preserve">This section </w:t>
      </w:r>
      <w:r w:rsidR="00B07040" w:rsidRPr="00901D26">
        <w:rPr>
          <w:rFonts w:ascii="Times New Roman" w:hAnsi="Times New Roman"/>
          <w:bCs/>
          <w:szCs w:val="24"/>
        </w:rPr>
        <w:t xml:space="preserve">provides that </w:t>
      </w:r>
      <w:r w:rsidR="00846A95" w:rsidRPr="00901D26">
        <w:rPr>
          <w:rFonts w:ascii="Times New Roman" w:hAnsi="Times New Roman"/>
          <w:bCs/>
          <w:szCs w:val="24"/>
        </w:rPr>
        <w:t xml:space="preserve">the legislative authority for making the </w:t>
      </w:r>
      <w:r w:rsidR="00CF4A5D" w:rsidRPr="00901D26">
        <w:rPr>
          <w:rFonts w:ascii="Times New Roman" w:hAnsi="Times New Roman"/>
          <w:bCs/>
          <w:szCs w:val="24"/>
        </w:rPr>
        <w:t xml:space="preserve">Specification </w:t>
      </w:r>
      <w:r w:rsidR="00846A95" w:rsidRPr="00901D26">
        <w:rPr>
          <w:rFonts w:ascii="Times New Roman" w:hAnsi="Times New Roman"/>
          <w:bCs/>
          <w:szCs w:val="24"/>
        </w:rPr>
        <w:t xml:space="preserve">is subsection </w:t>
      </w:r>
      <w:r w:rsidR="00CF4A5D" w:rsidRPr="00901D26">
        <w:rPr>
          <w:rFonts w:ascii="Times New Roman" w:hAnsi="Times New Roman"/>
          <w:bCs/>
          <w:szCs w:val="24"/>
        </w:rPr>
        <w:t>61(5D</w:t>
      </w:r>
      <w:r w:rsidR="00846A95" w:rsidRPr="00901D26">
        <w:rPr>
          <w:rFonts w:ascii="Times New Roman" w:hAnsi="Times New Roman"/>
          <w:bCs/>
          <w:szCs w:val="24"/>
        </w:rPr>
        <w:t xml:space="preserve">) of the </w:t>
      </w:r>
      <w:r w:rsidR="00846A95" w:rsidRPr="00901D26">
        <w:rPr>
          <w:rFonts w:ascii="Times New Roman" w:hAnsi="Times New Roman"/>
          <w:bCs/>
          <w:i/>
          <w:szCs w:val="24"/>
        </w:rPr>
        <w:t>Therapeutic Goods Act 1989</w:t>
      </w:r>
      <w:r w:rsidR="00F6558B" w:rsidRPr="00901D26">
        <w:rPr>
          <w:rFonts w:ascii="Times New Roman" w:hAnsi="Times New Roman"/>
          <w:bCs/>
          <w:i/>
          <w:szCs w:val="24"/>
        </w:rPr>
        <w:t xml:space="preserve"> </w:t>
      </w:r>
      <w:r w:rsidR="00F6558B" w:rsidRPr="00901D26">
        <w:rPr>
          <w:rFonts w:ascii="Times New Roman" w:hAnsi="Times New Roman"/>
          <w:bCs/>
          <w:szCs w:val="24"/>
        </w:rPr>
        <w:t>(“the Act”)</w:t>
      </w:r>
      <w:r w:rsidR="00846A95" w:rsidRPr="00901D26">
        <w:rPr>
          <w:rFonts w:ascii="Times New Roman" w:hAnsi="Times New Roman"/>
          <w:bCs/>
          <w:szCs w:val="24"/>
        </w:rPr>
        <w:t>.</w:t>
      </w:r>
    </w:p>
    <w:p w:rsidR="00B279BF" w:rsidRPr="00901D26" w:rsidRDefault="00B279BF" w:rsidP="00901D26">
      <w:pPr>
        <w:ind w:right="-284"/>
        <w:rPr>
          <w:rFonts w:ascii="Times New Roman" w:hAnsi="Times New Roman"/>
          <w:bCs/>
          <w:szCs w:val="24"/>
        </w:rPr>
      </w:pPr>
    </w:p>
    <w:p w:rsidR="00B279BF" w:rsidRPr="00901D26" w:rsidRDefault="00B279BF" w:rsidP="00901D26">
      <w:pPr>
        <w:ind w:right="-284"/>
        <w:rPr>
          <w:rFonts w:ascii="Times New Roman" w:hAnsi="Times New Roman"/>
          <w:b/>
          <w:bCs/>
          <w:szCs w:val="24"/>
        </w:rPr>
      </w:pPr>
      <w:r w:rsidRPr="00901D26">
        <w:rPr>
          <w:rFonts w:ascii="Times New Roman" w:hAnsi="Times New Roman"/>
          <w:b/>
          <w:bCs/>
          <w:szCs w:val="24"/>
        </w:rPr>
        <w:t xml:space="preserve">Section 4  </w:t>
      </w:r>
      <w:r w:rsidR="00B620DF" w:rsidRPr="00901D26">
        <w:rPr>
          <w:rFonts w:ascii="Times New Roman" w:hAnsi="Times New Roman"/>
          <w:b/>
          <w:bCs/>
          <w:szCs w:val="24"/>
        </w:rPr>
        <w:t>Definitions</w:t>
      </w:r>
    </w:p>
    <w:p w:rsidR="00B279BF" w:rsidRPr="00901D26" w:rsidRDefault="00B279BF" w:rsidP="00901D26">
      <w:pPr>
        <w:ind w:right="-284"/>
        <w:rPr>
          <w:rFonts w:ascii="Times New Roman" w:hAnsi="Times New Roman"/>
          <w:bCs/>
          <w:szCs w:val="24"/>
        </w:rPr>
      </w:pPr>
    </w:p>
    <w:p w:rsidR="00B620DF" w:rsidRPr="00901D26" w:rsidRDefault="00BE7572" w:rsidP="00901D26">
      <w:pPr>
        <w:ind w:right="-284"/>
        <w:rPr>
          <w:rFonts w:ascii="Times New Roman" w:hAnsi="Times New Roman"/>
          <w:bCs/>
          <w:szCs w:val="24"/>
        </w:rPr>
      </w:pPr>
      <w:r w:rsidRPr="00901D26">
        <w:rPr>
          <w:rFonts w:ascii="Times New Roman" w:hAnsi="Times New Roman"/>
          <w:bCs/>
          <w:szCs w:val="24"/>
        </w:rPr>
        <w:t xml:space="preserve">This section </w:t>
      </w:r>
      <w:r w:rsidR="007F4DB1">
        <w:rPr>
          <w:rFonts w:ascii="Times New Roman" w:hAnsi="Times New Roman"/>
          <w:bCs/>
          <w:szCs w:val="24"/>
        </w:rPr>
        <w:t xml:space="preserve">provides definitions for </w:t>
      </w:r>
      <w:r w:rsidR="00B620DF" w:rsidRPr="00901D26">
        <w:rPr>
          <w:rFonts w:ascii="Times New Roman" w:hAnsi="Times New Roman"/>
          <w:bCs/>
          <w:szCs w:val="24"/>
        </w:rPr>
        <w:t xml:space="preserve">certain terms </w:t>
      </w:r>
      <w:r w:rsidR="007F4DB1">
        <w:rPr>
          <w:rFonts w:ascii="Times New Roman" w:hAnsi="Times New Roman"/>
          <w:bCs/>
          <w:szCs w:val="24"/>
        </w:rPr>
        <w:t xml:space="preserve">used in </w:t>
      </w:r>
      <w:r w:rsidRPr="00901D26">
        <w:rPr>
          <w:rFonts w:ascii="Times New Roman" w:hAnsi="Times New Roman"/>
          <w:bCs/>
          <w:szCs w:val="24"/>
        </w:rPr>
        <w:t>t</w:t>
      </w:r>
      <w:r w:rsidR="00B620DF" w:rsidRPr="00901D26">
        <w:rPr>
          <w:rFonts w:ascii="Times New Roman" w:hAnsi="Times New Roman"/>
          <w:bCs/>
          <w:szCs w:val="24"/>
        </w:rPr>
        <w:t>he Specification</w:t>
      </w:r>
      <w:r w:rsidRPr="00901D26">
        <w:rPr>
          <w:rFonts w:ascii="Times New Roman" w:hAnsi="Times New Roman"/>
          <w:bCs/>
          <w:szCs w:val="24"/>
        </w:rPr>
        <w:t xml:space="preserve">, including </w:t>
      </w:r>
      <w:r w:rsidR="00625284" w:rsidRPr="00901D26">
        <w:rPr>
          <w:rFonts w:ascii="Times New Roman" w:hAnsi="Times New Roman"/>
          <w:bCs/>
          <w:szCs w:val="24"/>
        </w:rPr>
        <w:t>compliance review</w:t>
      </w:r>
      <w:r w:rsidR="00B620DF" w:rsidRPr="00901D26">
        <w:rPr>
          <w:rFonts w:ascii="Times New Roman" w:hAnsi="Times New Roman"/>
          <w:bCs/>
          <w:szCs w:val="24"/>
        </w:rPr>
        <w:t xml:space="preserve">, </w:t>
      </w:r>
      <w:r w:rsidR="007F4DB1">
        <w:rPr>
          <w:rFonts w:ascii="Times New Roman" w:hAnsi="Times New Roman"/>
          <w:bCs/>
          <w:szCs w:val="24"/>
        </w:rPr>
        <w:t xml:space="preserve">relevant </w:t>
      </w:r>
      <w:r w:rsidR="00536D79" w:rsidRPr="00901D26">
        <w:rPr>
          <w:rFonts w:ascii="Times New Roman" w:hAnsi="Times New Roman"/>
          <w:bCs/>
          <w:szCs w:val="24"/>
        </w:rPr>
        <w:t>medicine</w:t>
      </w:r>
      <w:r w:rsidR="007F4DB1">
        <w:rPr>
          <w:rFonts w:ascii="Times New Roman" w:hAnsi="Times New Roman"/>
          <w:bCs/>
          <w:szCs w:val="24"/>
        </w:rPr>
        <w:t xml:space="preserve"> and relevant sponsor. </w:t>
      </w:r>
      <w:r w:rsidRPr="00901D26">
        <w:rPr>
          <w:rFonts w:ascii="Times New Roman" w:hAnsi="Times New Roman"/>
          <w:bCs/>
          <w:szCs w:val="24"/>
        </w:rPr>
        <w:t>The section also</w:t>
      </w:r>
      <w:r w:rsidRPr="00901D26" w:rsidDel="00177BEC">
        <w:rPr>
          <w:rFonts w:ascii="Times New Roman" w:hAnsi="Times New Roman"/>
          <w:bCs/>
          <w:szCs w:val="24"/>
        </w:rPr>
        <w:t xml:space="preserve"> </w:t>
      </w:r>
      <w:r w:rsidRPr="00901D26">
        <w:rPr>
          <w:rFonts w:ascii="Times New Roman" w:hAnsi="Times New Roman"/>
          <w:bCs/>
          <w:szCs w:val="24"/>
        </w:rPr>
        <w:t xml:space="preserve">notes that a number of terms have the meaning given in section 3 of the Act, including medicine, </w:t>
      </w:r>
      <w:r w:rsidR="00C27868" w:rsidRPr="00901D26">
        <w:rPr>
          <w:rFonts w:ascii="Times New Roman" w:hAnsi="Times New Roman"/>
          <w:bCs/>
          <w:szCs w:val="24"/>
        </w:rPr>
        <w:t xml:space="preserve">Register and </w:t>
      </w:r>
      <w:r w:rsidR="007F4DB1">
        <w:rPr>
          <w:rFonts w:ascii="Times New Roman" w:hAnsi="Times New Roman"/>
          <w:bCs/>
          <w:szCs w:val="24"/>
        </w:rPr>
        <w:t>Secretary</w:t>
      </w:r>
      <w:r w:rsidRPr="00901D26">
        <w:rPr>
          <w:rFonts w:ascii="Times New Roman" w:hAnsi="Times New Roman"/>
          <w:bCs/>
          <w:szCs w:val="24"/>
        </w:rPr>
        <w:t>.</w:t>
      </w:r>
    </w:p>
    <w:p w:rsidR="00BE7572" w:rsidRPr="00901D26" w:rsidRDefault="00BE7572" w:rsidP="00901D26">
      <w:pPr>
        <w:ind w:right="-284"/>
        <w:rPr>
          <w:rFonts w:ascii="Times New Roman" w:hAnsi="Times New Roman"/>
          <w:bCs/>
          <w:szCs w:val="24"/>
        </w:rPr>
      </w:pPr>
    </w:p>
    <w:p w:rsidR="00B279BF" w:rsidRPr="00901D26" w:rsidRDefault="00B620DF" w:rsidP="00901D26">
      <w:pPr>
        <w:ind w:right="-284"/>
        <w:rPr>
          <w:rFonts w:ascii="Times New Roman" w:hAnsi="Times New Roman"/>
          <w:b/>
          <w:bCs/>
          <w:szCs w:val="24"/>
        </w:rPr>
      </w:pPr>
      <w:r w:rsidRPr="00901D26">
        <w:rPr>
          <w:rFonts w:ascii="Times New Roman" w:hAnsi="Times New Roman"/>
          <w:b/>
          <w:bCs/>
          <w:szCs w:val="24"/>
        </w:rPr>
        <w:t xml:space="preserve">Section </w:t>
      </w:r>
      <w:r w:rsidR="00536D79" w:rsidRPr="00901D26">
        <w:rPr>
          <w:rFonts w:ascii="Times New Roman" w:hAnsi="Times New Roman"/>
          <w:b/>
          <w:bCs/>
          <w:szCs w:val="24"/>
        </w:rPr>
        <w:t>5</w:t>
      </w:r>
      <w:r w:rsidR="00B279BF" w:rsidRPr="00901D26">
        <w:rPr>
          <w:rFonts w:ascii="Times New Roman" w:hAnsi="Times New Roman"/>
          <w:b/>
          <w:bCs/>
          <w:szCs w:val="24"/>
        </w:rPr>
        <w:t xml:space="preserve">  </w:t>
      </w:r>
      <w:r w:rsidRPr="00901D26">
        <w:rPr>
          <w:rFonts w:ascii="Times New Roman" w:hAnsi="Times New Roman"/>
          <w:b/>
          <w:bCs/>
          <w:szCs w:val="24"/>
        </w:rPr>
        <w:t>T</w:t>
      </w:r>
      <w:r w:rsidR="00CF4A5D" w:rsidRPr="00901D26">
        <w:rPr>
          <w:rFonts w:ascii="Times New Roman" w:hAnsi="Times New Roman"/>
          <w:b/>
          <w:bCs/>
          <w:szCs w:val="24"/>
        </w:rPr>
        <w:t>herapeutic goods information</w:t>
      </w:r>
    </w:p>
    <w:p w:rsidR="00B279BF" w:rsidRPr="00901D26" w:rsidRDefault="00B279BF" w:rsidP="00901D26">
      <w:pPr>
        <w:ind w:right="-284"/>
        <w:rPr>
          <w:rFonts w:ascii="Times New Roman" w:hAnsi="Times New Roman"/>
          <w:bCs/>
          <w:szCs w:val="24"/>
        </w:rPr>
      </w:pPr>
    </w:p>
    <w:p w:rsidR="00B279BF" w:rsidRPr="00901D26" w:rsidRDefault="00B279BF" w:rsidP="00901D26">
      <w:pPr>
        <w:ind w:right="-284"/>
        <w:rPr>
          <w:rFonts w:ascii="Times New Roman" w:hAnsi="Times New Roman"/>
          <w:bCs/>
          <w:szCs w:val="24"/>
        </w:rPr>
      </w:pPr>
      <w:r w:rsidRPr="00901D26">
        <w:rPr>
          <w:rFonts w:ascii="Times New Roman" w:hAnsi="Times New Roman"/>
          <w:bCs/>
          <w:szCs w:val="24"/>
        </w:rPr>
        <w:t xml:space="preserve">This section provides </w:t>
      </w:r>
      <w:r w:rsidR="00B07040" w:rsidRPr="00901D26">
        <w:rPr>
          <w:rFonts w:ascii="Times New Roman" w:hAnsi="Times New Roman"/>
          <w:bCs/>
          <w:szCs w:val="24"/>
        </w:rPr>
        <w:t xml:space="preserve">that the </w:t>
      </w:r>
      <w:r w:rsidR="00B14F42" w:rsidRPr="00901D26">
        <w:rPr>
          <w:rFonts w:ascii="Times New Roman" w:hAnsi="Times New Roman"/>
          <w:bCs/>
          <w:szCs w:val="24"/>
        </w:rPr>
        <w:t xml:space="preserve">kinds of </w:t>
      </w:r>
      <w:r w:rsidR="00CF4A5D" w:rsidRPr="00901D26">
        <w:rPr>
          <w:rFonts w:ascii="Times New Roman" w:hAnsi="Times New Roman"/>
          <w:bCs/>
          <w:szCs w:val="24"/>
        </w:rPr>
        <w:t xml:space="preserve">therapeutic goods information </w:t>
      </w:r>
      <w:r w:rsidR="007F4DB1">
        <w:rPr>
          <w:rFonts w:ascii="Times New Roman" w:hAnsi="Times New Roman"/>
          <w:bCs/>
          <w:szCs w:val="24"/>
        </w:rPr>
        <w:t xml:space="preserve">mentioned </w:t>
      </w:r>
      <w:r w:rsidR="00B620DF" w:rsidRPr="00901D26">
        <w:rPr>
          <w:rFonts w:ascii="Times New Roman" w:hAnsi="Times New Roman"/>
          <w:bCs/>
          <w:szCs w:val="24"/>
        </w:rPr>
        <w:t xml:space="preserve">in column 2 of the table </w:t>
      </w:r>
      <w:r w:rsidR="00CF4A5D" w:rsidRPr="00901D26">
        <w:rPr>
          <w:rFonts w:ascii="Times New Roman" w:hAnsi="Times New Roman"/>
          <w:bCs/>
          <w:szCs w:val="24"/>
        </w:rPr>
        <w:t xml:space="preserve">in Schedule </w:t>
      </w:r>
      <w:r w:rsidR="00536D79" w:rsidRPr="00901D26">
        <w:rPr>
          <w:rFonts w:ascii="Times New Roman" w:hAnsi="Times New Roman"/>
          <w:bCs/>
          <w:szCs w:val="24"/>
        </w:rPr>
        <w:t>1</w:t>
      </w:r>
      <w:r w:rsidR="007F4DB1">
        <w:rPr>
          <w:rFonts w:ascii="Times New Roman" w:hAnsi="Times New Roman"/>
          <w:bCs/>
          <w:szCs w:val="24"/>
        </w:rPr>
        <w:t>, as described in column 3 of the corresponding item,</w:t>
      </w:r>
      <w:r w:rsidR="00CF4A5D" w:rsidRPr="00901D26">
        <w:rPr>
          <w:rFonts w:ascii="Times New Roman" w:hAnsi="Times New Roman"/>
          <w:bCs/>
          <w:szCs w:val="24"/>
        </w:rPr>
        <w:t xml:space="preserve"> </w:t>
      </w:r>
      <w:r w:rsidR="00B14F42" w:rsidRPr="00901D26">
        <w:rPr>
          <w:rFonts w:ascii="Times New Roman" w:hAnsi="Times New Roman"/>
          <w:bCs/>
          <w:szCs w:val="24"/>
        </w:rPr>
        <w:t>are specified for the purposes of</w:t>
      </w:r>
      <w:r w:rsidR="00B620DF" w:rsidRPr="00901D26">
        <w:rPr>
          <w:rFonts w:ascii="Times New Roman" w:hAnsi="Times New Roman"/>
          <w:bCs/>
          <w:szCs w:val="24"/>
        </w:rPr>
        <w:t xml:space="preserve"> subsection 61(5C) of the Act. </w:t>
      </w:r>
      <w:r w:rsidR="00B14F42" w:rsidRPr="00901D26">
        <w:rPr>
          <w:rFonts w:ascii="Times New Roman" w:hAnsi="Times New Roman"/>
          <w:bCs/>
          <w:szCs w:val="24"/>
        </w:rPr>
        <w:t xml:space="preserve">The effect of this section is to enable the Secretary </w:t>
      </w:r>
      <w:r w:rsidR="008C3004" w:rsidRPr="00901D26">
        <w:rPr>
          <w:rFonts w:ascii="Times New Roman" w:hAnsi="Times New Roman"/>
          <w:bCs/>
          <w:szCs w:val="24"/>
        </w:rPr>
        <w:t xml:space="preserve">to release to the public therapeutic goods information of </w:t>
      </w:r>
      <w:r w:rsidR="00B620DF" w:rsidRPr="00901D26">
        <w:rPr>
          <w:rFonts w:ascii="Times New Roman" w:hAnsi="Times New Roman"/>
          <w:bCs/>
          <w:szCs w:val="24"/>
        </w:rPr>
        <w:t>the kind se</w:t>
      </w:r>
      <w:r w:rsidR="007727E7" w:rsidRPr="00901D26">
        <w:rPr>
          <w:rFonts w:ascii="Times New Roman" w:hAnsi="Times New Roman"/>
          <w:bCs/>
          <w:szCs w:val="24"/>
        </w:rPr>
        <w:t>t out in the table in Schedule 1</w:t>
      </w:r>
      <w:r w:rsidR="00BE7572" w:rsidRPr="00901D26">
        <w:rPr>
          <w:rFonts w:ascii="Times New Roman" w:hAnsi="Times New Roman"/>
          <w:bCs/>
          <w:szCs w:val="24"/>
        </w:rPr>
        <w:t xml:space="preserve"> to the Specification</w:t>
      </w:r>
      <w:r w:rsidR="008C3004" w:rsidRPr="00901D26">
        <w:rPr>
          <w:rFonts w:ascii="Times New Roman" w:hAnsi="Times New Roman"/>
          <w:bCs/>
          <w:szCs w:val="24"/>
        </w:rPr>
        <w:t>.</w:t>
      </w:r>
    </w:p>
    <w:p w:rsidR="00536D79" w:rsidRPr="00901D26" w:rsidRDefault="00536D79" w:rsidP="00901D26">
      <w:pPr>
        <w:ind w:right="-284"/>
        <w:rPr>
          <w:rFonts w:ascii="Times New Roman" w:hAnsi="Times New Roman"/>
          <w:bCs/>
          <w:szCs w:val="24"/>
        </w:rPr>
      </w:pPr>
    </w:p>
    <w:p w:rsidR="00536D79" w:rsidRPr="00901D26" w:rsidRDefault="00536D79" w:rsidP="00901D26">
      <w:pPr>
        <w:ind w:right="-284"/>
        <w:rPr>
          <w:rFonts w:ascii="Times New Roman" w:hAnsi="Times New Roman"/>
          <w:b/>
          <w:bCs/>
          <w:szCs w:val="24"/>
        </w:rPr>
      </w:pPr>
      <w:r w:rsidRPr="00901D26">
        <w:rPr>
          <w:rFonts w:ascii="Times New Roman" w:hAnsi="Times New Roman"/>
          <w:b/>
          <w:bCs/>
          <w:szCs w:val="24"/>
        </w:rPr>
        <w:t>Section 6  Repeals</w:t>
      </w:r>
    </w:p>
    <w:p w:rsidR="00536D79" w:rsidRPr="00901D26" w:rsidRDefault="00536D79" w:rsidP="00901D26">
      <w:pPr>
        <w:ind w:right="-284"/>
        <w:rPr>
          <w:rFonts w:ascii="Times New Roman" w:hAnsi="Times New Roman"/>
          <w:bCs/>
          <w:szCs w:val="24"/>
        </w:rPr>
      </w:pPr>
    </w:p>
    <w:p w:rsidR="00536D79" w:rsidRPr="00901D26" w:rsidRDefault="00536D79" w:rsidP="00901D26">
      <w:pPr>
        <w:ind w:right="-284"/>
        <w:rPr>
          <w:rFonts w:ascii="Times New Roman" w:hAnsi="Times New Roman"/>
          <w:bCs/>
          <w:szCs w:val="24"/>
        </w:rPr>
      </w:pPr>
      <w:r w:rsidRPr="00901D26">
        <w:rPr>
          <w:rFonts w:ascii="Times New Roman" w:hAnsi="Times New Roman"/>
          <w:bCs/>
          <w:szCs w:val="24"/>
        </w:rPr>
        <w:t>This section provides that each in</w:t>
      </w:r>
      <w:r w:rsidR="007727E7" w:rsidRPr="00901D26">
        <w:rPr>
          <w:rFonts w:ascii="Times New Roman" w:hAnsi="Times New Roman"/>
          <w:bCs/>
          <w:szCs w:val="24"/>
        </w:rPr>
        <w:t>strument specified in Schedule 2</w:t>
      </w:r>
      <w:r w:rsidRPr="00901D26">
        <w:rPr>
          <w:rFonts w:ascii="Times New Roman" w:hAnsi="Times New Roman"/>
          <w:bCs/>
          <w:szCs w:val="24"/>
        </w:rPr>
        <w:t xml:space="preserve"> to </w:t>
      </w:r>
      <w:r w:rsidR="005E1975" w:rsidRPr="00901D26">
        <w:rPr>
          <w:rFonts w:ascii="Times New Roman" w:hAnsi="Times New Roman"/>
          <w:bCs/>
          <w:szCs w:val="24"/>
        </w:rPr>
        <w:t xml:space="preserve">the Specification is repealed. </w:t>
      </w:r>
      <w:r w:rsidRPr="00901D26">
        <w:rPr>
          <w:rFonts w:ascii="Times New Roman" w:hAnsi="Times New Roman"/>
          <w:bCs/>
          <w:szCs w:val="24"/>
        </w:rPr>
        <w:t xml:space="preserve">The purpose of this section is to repeal the </w:t>
      </w:r>
      <w:r w:rsidRPr="00901D26">
        <w:rPr>
          <w:rFonts w:ascii="Times New Roman" w:hAnsi="Times New Roman"/>
          <w:bCs/>
          <w:i/>
          <w:szCs w:val="24"/>
        </w:rPr>
        <w:t xml:space="preserve">Therapeutic Goods Information (Outcomes of Compliance Reviews of Listed </w:t>
      </w:r>
      <w:r w:rsidR="007F4DB1">
        <w:rPr>
          <w:rFonts w:ascii="Times New Roman" w:hAnsi="Times New Roman"/>
          <w:bCs/>
          <w:i/>
          <w:szCs w:val="24"/>
        </w:rPr>
        <w:t xml:space="preserve">Complementary </w:t>
      </w:r>
      <w:r w:rsidRPr="00901D26">
        <w:rPr>
          <w:rFonts w:ascii="Times New Roman" w:hAnsi="Times New Roman"/>
          <w:bCs/>
          <w:i/>
          <w:szCs w:val="24"/>
        </w:rPr>
        <w:t>Medicines) Specification 2012</w:t>
      </w:r>
      <w:r w:rsidRPr="00901D26">
        <w:rPr>
          <w:rFonts w:ascii="Times New Roman" w:hAnsi="Times New Roman"/>
          <w:bCs/>
          <w:szCs w:val="24"/>
        </w:rPr>
        <w:t>.</w:t>
      </w:r>
    </w:p>
    <w:p w:rsidR="00B279BF" w:rsidRPr="00901D26" w:rsidRDefault="00B279BF" w:rsidP="00901D26">
      <w:pPr>
        <w:ind w:right="-284"/>
        <w:rPr>
          <w:rFonts w:ascii="Times New Roman" w:hAnsi="Times New Roman"/>
          <w:bCs/>
          <w:szCs w:val="24"/>
        </w:rPr>
      </w:pPr>
    </w:p>
    <w:p w:rsidR="00B620DF" w:rsidRPr="00901D26" w:rsidRDefault="00B620DF" w:rsidP="00901D26">
      <w:pPr>
        <w:ind w:right="-284"/>
        <w:rPr>
          <w:rFonts w:ascii="Times New Roman" w:hAnsi="Times New Roman"/>
          <w:b/>
          <w:bCs/>
          <w:szCs w:val="24"/>
        </w:rPr>
      </w:pPr>
      <w:r w:rsidRPr="00901D26">
        <w:rPr>
          <w:rFonts w:ascii="Times New Roman" w:hAnsi="Times New Roman"/>
          <w:b/>
          <w:bCs/>
          <w:szCs w:val="24"/>
        </w:rPr>
        <w:t xml:space="preserve">Schedule </w:t>
      </w:r>
      <w:r w:rsidR="00536D79" w:rsidRPr="00901D26">
        <w:rPr>
          <w:rFonts w:ascii="Times New Roman" w:hAnsi="Times New Roman"/>
          <w:b/>
          <w:bCs/>
          <w:szCs w:val="24"/>
        </w:rPr>
        <w:t>1</w:t>
      </w:r>
      <w:r w:rsidR="00C067D5">
        <w:rPr>
          <w:rFonts w:ascii="Times New Roman" w:hAnsi="Times New Roman"/>
          <w:b/>
          <w:bCs/>
          <w:szCs w:val="24"/>
        </w:rPr>
        <w:t xml:space="preserve">  </w:t>
      </w:r>
      <w:r w:rsidRPr="00901D26">
        <w:rPr>
          <w:rFonts w:ascii="Times New Roman" w:hAnsi="Times New Roman"/>
          <w:b/>
          <w:bCs/>
          <w:szCs w:val="24"/>
        </w:rPr>
        <w:t>Specified kinds of therapeutic goods information</w:t>
      </w:r>
    </w:p>
    <w:p w:rsidR="00B620DF" w:rsidRPr="00901D26" w:rsidRDefault="00B620DF" w:rsidP="00901D26">
      <w:pPr>
        <w:ind w:right="-284"/>
        <w:rPr>
          <w:rFonts w:ascii="Times New Roman" w:hAnsi="Times New Roman"/>
          <w:b/>
          <w:bCs/>
          <w:szCs w:val="24"/>
        </w:rPr>
      </w:pPr>
    </w:p>
    <w:p w:rsidR="00B620DF" w:rsidRPr="00901D26" w:rsidRDefault="00B620DF" w:rsidP="00901D26">
      <w:pPr>
        <w:ind w:right="-284"/>
        <w:rPr>
          <w:rFonts w:ascii="Times New Roman" w:hAnsi="Times New Roman"/>
          <w:bCs/>
          <w:szCs w:val="24"/>
        </w:rPr>
      </w:pPr>
      <w:r w:rsidRPr="00901D26">
        <w:rPr>
          <w:rFonts w:ascii="Times New Roman" w:hAnsi="Times New Roman"/>
          <w:bCs/>
          <w:szCs w:val="24"/>
        </w:rPr>
        <w:t>This Schedule specifies the kinds of therapeutic goods information that may be released to the public by the Secretary under subsection 61(5C) of the Act.</w:t>
      </w:r>
    </w:p>
    <w:p w:rsidR="000917B7" w:rsidRPr="00901D26" w:rsidRDefault="000917B7" w:rsidP="00901D26">
      <w:pPr>
        <w:ind w:right="-284"/>
        <w:rPr>
          <w:rFonts w:ascii="Times New Roman" w:hAnsi="Times New Roman"/>
          <w:bCs/>
          <w:szCs w:val="24"/>
        </w:rPr>
      </w:pPr>
    </w:p>
    <w:p w:rsidR="00536D79" w:rsidRPr="00901D26" w:rsidRDefault="00536D79" w:rsidP="006575E0">
      <w:pPr>
        <w:keepNext/>
        <w:ind w:right="-284"/>
        <w:rPr>
          <w:rFonts w:ascii="Times New Roman" w:hAnsi="Times New Roman"/>
          <w:b/>
          <w:bCs/>
          <w:szCs w:val="24"/>
        </w:rPr>
      </w:pPr>
      <w:r w:rsidRPr="00901D26">
        <w:rPr>
          <w:rFonts w:ascii="Times New Roman" w:hAnsi="Times New Roman"/>
          <w:b/>
          <w:bCs/>
          <w:szCs w:val="24"/>
        </w:rPr>
        <w:t>Schedule 2</w:t>
      </w:r>
      <w:r w:rsidR="00C067D5">
        <w:rPr>
          <w:rFonts w:ascii="Times New Roman" w:hAnsi="Times New Roman"/>
          <w:b/>
          <w:bCs/>
          <w:szCs w:val="24"/>
        </w:rPr>
        <w:t xml:space="preserve">  </w:t>
      </w:r>
      <w:r w:rsidRPr="00901D26">
        <w:rPr>
          <w:rFonts w:ascii="Times New Roman" w:hAnsi="Times New Roman"/>
          <w:b/>
          <w:bCs/>
          <w:szCs w:val="24"/>
        </w:rPr>
        <w:t>Repeals</w:t>
      </w:r>
    </w:p>
    <w:p w:rsidR="00536D79" w:rsidRPr="00901D26" w:rsidRDefault="00536D79" w:rsidP="006575E0">
      <w:pPr>
        <w:keepNext/>
        <w:ind w:right="-284"/>
        <w:rPr>
          <w:rFonts w:ascii="Times New Roman" w:hAnsi="Times New Roman"/>
          <w:bCs/>
          <w:szCs w:val="24"/>
        </w:rPr>
      </w:pPr>
    </w:p>
    <w:p w:rsidR="00A36EFF" w:rsidRDefault="00536D79" w:rsidP="00913FE2">
      <w:pPr>
        <w:ind w:right="-284"/>
        <w:rPr>
          <w:rFonts w:ascii="Times New Roman" w:hAnsi="Times New Roman"/>
          <w:bCs/>
          <w:szCs w:val="24"/>
        </w:rPr>
      </w:pPr>
      <w:r w:rsidRPr="00901D26">
        <w:rPr>
          <w:rFonts w:ascii="Times New Roman" w:hAnsi="Times New Roman"/>
          <w:bCs/>
          <w:szCs w:val="24"/>
        </w:rPr>
        <w:t xml:space="preserve">This Schedule </w:t>
      </w:r>
      <w:r w:rsidR="000824D5">
        <w:rPr>
          <w:rFonts w:ascii="Times New Roman" w:hAnsi="Times New Roman"/>
          <w:bCs/>
          <w:szCs w:val="24"/>
        </w:rPr>
        <w:t>specifies</w:t>
      </w:r>
      <w:r w:rsidR="000824D5" w:rsidRPr="00901D26">
        <w:rPr>
          <w:rFonts w:ascii="Times New Roman" w:hAnsi="Times New Roman"/>
          <w:bCs/>
          <w:szCs w:val="24"/>
        </w:rPr>
        <w:t xml:space="preserve"> </w:t>
      </w:r>
      <w:r w:rsidRPr="00901D26">
        <w:rPr>
          <w:rFonts w:ascii="Times New Roman" w:hAnsi="Times New Roman"/>
          <w:bCs/>
          <w:szCs w:val="24"/>
        </w:rPr>
        <w:t xml:space="preserve">the </w:t>
      </w:r>
      <w:r w:rsidRPr="00901D26">
        <w:rPr>
          <w:rFonts w:ascii="Times New Roman" w:hAnsi="Times New Roman"/>
          <w:bCs/>
          <w:i/>
          <w:szCs w:val="24"/>
        </w:rPr>
        <w:t xml:space="preserve">Therapeutic Goods Information (Outcomes of Compliance Reviews of Listed </w:t>
      </w:r>
      <w:r w:rsidR="007F4DB1">
        <w:rPr>
          <w:rFonts w:ascii="Times New Roman" w:hAnsi="Times New Roman"/>
          <w:bCs/>
          <w:i/>
          <w:szCs w:val="24"/>
        </w:rPr>
        <w:t xml:space="preserve">Complementary </w:t>
      </w:r>
      <w:r w:rsidRPr="00901D26">
        <w:rPr>
          <w:rFonts w:ascii="Times New Roman" w:hAnsi="Times New Roman"/>
          <w:bCs/>
          <w:i/>
          <w:szCs w:val="24"/>
        </w:rPr>
        <w:t>Medicines) Specification 2012</w:t>
      </w:r>
      <w:r w:rsidR="000824D5">
        <w:rPr>
          <w:rFonts w:ascii="Times New Roman" w:hAnsi="Times New Roman"/>
          <w:bCs/>
          <w:i/>
          <w:szCs w:val="24"/>
        </w:rPr>
        <w:t xml:space="preserve"> </w:t>
      </w:r>
      <w:r w:rsidR="000824D5" w:rsidRPr="006575E0">
        <w:rPr>
          <w:rFonts w:ascii="Times New Roman" w:hAnsi="Times New Roman"/>
          <w:bCs/>
          <w:szCs w:val="24"/>
        </w:rPr>
        <w:t>for the purposes of section 6 of the Specification</w:t>
      </w:r>
      <w:r w:rsidR="000824D5">
        <w:rPr>
          <w:rFonts w:ascii="Times New Roman" w:hAnsi="Times New Roman"/>
          <w:bCs/>
          <w:szCs w:val="24"/>
        </w:rPr>
        <w:t xml:space="preserve">, with the effect that </w:t>
      </w:r>
      <w:r w:rsidR="007F4DB1">
        <w:rPr>
          <w:rFonts w:ascii="Times New Roman" w:hAnsi="Times New Roman"/>
          <w:bCs/>
          <w:szCs w:val="24"/>
        </w:rPr>
        <w:t xml:space="preserve">the whole of this </w:t>
      </w:r>
      <w:r w:rsidR="000824D5">
        <w:rPr>
          <w:rFonts w:ascii="Times New Roman" w:hAnsi="Times New Roman"/>
          <w:bCs/>
          <w:szCs w:val="24"/>
        </w:rPr>
        <w:t>instrument is repealed</w:t>
      </w:r>
      <w:r w:rsidRPr="00E12F35">
        <w:rPr>
          <w:rFonts w:ascii="Times New Roman" w:hAnsi="Times New Roman"/>
          <w:bCs/>
          <w:szCs w:val="24"/>
        </w:rPr>
        <w:t>.</w:t>
      </w:r>
    </w:p>
    <w:p w:rsidR="00A36EFF" w:rsidRDefault="00A36EFF">
      <w:pPr>
        <w:spacing w:after="200" w:line="276" w:lineRule="auto"/>
        <w:rPr>
          <w:rFonts w:ascii="Times New Roman" w:hAnsi="Times New Roman"/>
          <w:bCs/>
          <w:szCs w:val="24"/>
        </w:rPr>
      </w:pPr>
      <w:r>
        <w:rPr>
          <w:rFonts w:ascii="Times New Roman" w:hAnsi="Times New Roman"/>
          <w:bCs/>
          <w:szCs w:val="24"/>
        </w:rPr>
        <w:br w:type="page"/>
      </w:r>
    </w:p>
    <w:p w:rsidR="00294A49" w:rsidRPr="006575E0" w:rsidRDefault="00294A49" w:rsidP="006575E0">
      <w:pPr>
        <w:ind w:right="-284"/>
        <w:rPr>
          <w:rFonts w:ascii="Times New Roman" w:hAnsi="Times New Roman"/>
          <w:bCs/>
          <w:szCs w:val="24"/>
        </w:rPr>
      </w:pPr>
    </w:p>
    <w:p w:rsidR="00294A49" w:rsidRPr="00901D26" w:rsidRDefault="00294A49" w:rsidP="00901D26">
      <w:pPr>
        <w:ind w:right="-284"/>
        <w:jc w:val="right"/>
        <w:rPr>
          <w:rFonts w:ascii="Times New Roman" w:hAnsi="Times New Roman"/>
          <w:b/>
          <w:bCs/>
          <w:szCs w:val="24"/>
        </w:rPr>
      </w:pPr>
      <w:r w:rsidRPr="00901D26">
        <w:rPr>
          <w:rFonts w:ascii="Times New Roman" w:hAnsi="Times New Roman"/>
          <w:b/>
          <w:bCs/>
          <w:szCs w:val="24"/>
        </w:rPr>
        <w:t>Attachment B</w:t>
      </w:r>
    </w:p>
    <w:p w:rsidR="000C21C4" w:rsidRPr="00901D26" w:rsidRDefault="000C21C4" w:rsidP="00901D26">
      <w:pPr>
        <w:shd w:val="clear" w:color="auto" w:fill="FFFFFF"/>
        <w:spacing w:before="100" w:beforeAutospacing="1" w:after="120"/>
        <w:ind w:right="-284"/>
        <w:jc w:val="center"/>
        <w:rPr>
          <w:rFonts w:ascii="Times New Roman" w:hAnsi="Times New Roman"/>
          <w:b/>
          <w:bCs/>
          <w:szCs w:val="24"/>
        </w:rPr>
      </w:pPr>
      <w:r w:rsidRPr="00901D26">
        <w:rPr>
          <w:rFonts w:ascii="Times New Roman" w:hAnsi="Times New Roman"/>
          <w:b/>
          <w:bCs/>
          <w:szCs w:val="24"/>
        </w:rPr>
        <w:t>Statement of Compatibility with Human Rights</w:t>
      </w:r>
    </w:p>
    <w:p w:rsidR="00064CC7" w:rsidRPr="001840D6" w:rsidRDefault="00064CC7" w:rsidP="00901D26">
      <w:pPr>
        <w:shd w:val="clear" w:color="auto" w:fill="FFFFFF"/>
        <w:spacing w:before="100" w:beforeAutospacing="1" w:after="120"/>
        <w:ind w:left="-142" w:right="-284"/>
        <w:jc w:val="center"/>
        <w:rPr>
          <w:i/>
          <w:szCs w:val="24"/>
        </w:rPr>
      </w:pPr>
      <w:r w:rsidRPr="00901D26">
        <w:rPr>
          <w:i/>
          <w:szCs w:val="24"/>
        </w:rPr>
        <w:t>Prepared in accordance with Part 3 of the</w:t>
      </w:r>
      <w:r w:rsidRPr="00901D26">
        <w:rPr>
          <w:i/>
          <w:iCs/>
          <w:szCs w:val="24"/>
        </w:rPr>
        <w:t xml:space="preserve"> Human Rights (Parliamentary Scrutiny) Act 2011</w:t>
      </w:r>
      <w:r w:rsidRPr="001840D6">
        <w:rPr>
          <w:i/>
          <w:szCs w:val="24"/>
        </w:rPr>
        <w:t>.</w:t>
      </w:r>
    </w:p>
    <w:p w:rsidR="000C21C4" w:rsidRPr="00901D26" w:rsidRDefault="00064CC7" w:rsidP="00901D26">
      <w:pPr>
        <w:shd w:val="clear" w:color="auto" w:fill="FFFFFF"/>
        <w:spacing w:before="100" w:beforeAutospacing="1" w:after="120"/>
        <w:ind w:right="-284"/>
        <w:jc w:val="center"/>
        <w:rPr>
          <w:rFonts w:ascii="Times New Roman" w:hAnsi="Times New Roman"/>
          <w:b/>
          <w:i/>
          <w:szCs w:val="24"/>
        </w:rPr>
      </w:pPr>
      <w:r w:rsidRPr="00901D26">
        <w:rPr>
          <w:rFonts w:ascii="Times New Roman" w:hAnsi="Times New Roman"/>
          <w:b/>
          <w:i/>
          <w:szCs w:val="24"/>
        </w:rPr>
        <w:t>Therapeutic Goods (Listed Medicines</w:t>
      </w:r>
      <w:r w:rsidRPr="00901D26">
        <w:rPr>
          <w:rFonts w:ascii="Times New Roman" w:hAnsi="Times New Roman"/>
          <w:b/>
          <w:i/>
          <w:szCs w:val="24"/>
        </w:rPr>
        <w:sym w:font="Symbol" w:char="F0BE"/>
      </w:r>
      <w:r w:rsidRPr="00901D26">
        <w:rPr>
          <w:rFonts w:ascii="Times New Roman" w:hAnsi="Times New Roman"/>
          <w:b/>
          <w:i/>
          <w:szCs w:val="24"/>
        </w:rPr>
        <w:t>Compliance Reviews) Specification 2019</w:t>
      </w:r>
    </w:p>
    <w:p w:rsidR="0030123E" w:rsidRPr="00901D26" w:rsidRDefault="0030123E" w:rsidP="00901D26">
      <w:pPr>
        <w:ind w:right="-284"/>
        <w:rPr>
          <w:rFonts w:ascii="Times New Roman" w:hAnsi="Times New Roman"/>
          <w:szCs w:val="24"/>
        </w:rPr>
      </w:pPr>
    </w:p>
    <w:p w:rsidR="0030123E" w:rsidRPr="00901D26" w:rsidRDefault="0030123E" w:rsidP="00901D26">
      <w:pPr>
        <w:ind w:right="-284"/>
        <w:rPr>
          <w:rFonts w:ascii="Times New Roman" w:hAnsi="Times New Roman"/>
          <w:szCs w:val="24"/>
        </w:rPr>
      </w:pPr>
      <w:r w:rsidRPr="00901D26">
        <w:rPr>
          <w:rFonts w:ascii="Times New Roman" w:hAnsi="Times New Roman"/>
          <w:szCs w:val="24"/>
        </w:rPr>
        <w:t>Th</w:t>
      </w:r>
      <w:r w:rsidR="00396F63" w:rsidRPr="00901D26">
        <w:rPr>
          <w:rFonts w:ascii="Times New Roman" w:hAnsi="Times New Roman"/>
          <w:szCs w:val="24"/>
        </w:rPr>
        <w:t>is disallowable legislative instrument</w:t>
      </w:r>
      <w:r w:rsidRPr="00901D26">
        <w:rPr>
          <w:rFonts w:ascii="Times New Roman" w:hAnsi="Times New Roman"/>
          <w:szCs w:val="24"/>
        </w:rPr>
        <w:t xml:space="preserve"> </w:t>
      </w:r>
      <w:r w:rsidR="00462DFB" w:rsidRPr="00901D26">
        <w:rPr>
          <w:rFonts w:ascii="Times New Roman" w:hAnsi="Times New Roman"/>
          <w:szCs w:val="24"/>
        </w:rPr>
        <w:t xml:space="preserve">is </w:t>
      </w:r>
      <w:r w:rsidR="00CF4A5D" w:rsidRPr="00901D26">
        <w:rPr>
          <w:rFonts w:ascii="Times New Roman" w:hAnsi="Times New Roman"/>
          <w:szCs w:val="24"/>
        </w:rPr>
        <w:t>compatible with the </w:t>
      </w:r>
      <w:r w:rsidR="007231B2" w:rsidRPr="00901D26">
        <w:rPr>
          <w:rFonts w:ascii="Times New Roman" w:hAnsi="Times New Roman"/>
          <w:szCs w:val="24"/>
        </w:rPr>
        <w:t xml:space="preserve">human rights and freedoms recognised or declared in the international instruments listed in section 3 of the </w:t>
      </w:r>
      <w:r w:rsidR="007231B2" w:rsidRPr="00901D26">
        <w:rPr>
          <w:rFonts w:ascii="Times New Roman" w:hAnsi="Times New Roman"/>
          <w:i/>
          <w:szCs w:val="24"/>
        </w:rPr>
        <w:t>Human Rights (Parliamentary Scrutiny) Act 2011</w:t>
      </w:r>
      <w:r w:rsidR="007231B2" w:rsidRPr="00901D26">
        <w:rPr>
          <w:rFonts w:ascii="Times New Roman" w:hAnsi="Times New Roman"/>
          <w:szCs w:val="24"/>
        </w:rPr>
        <w:t>.</w:t>
      </w:r>
    </w:p>
    <w:p w:rsidR="0030123E" w:rsidRPr="00901D26" w:rsidRDefault="0030123E" w:rsidP="00901D26">
      <w:pPr>
        <w:ind w:right="-284"/>
        <w:rPr>
          <w:rFonts w:ascii="Times New Roman" w:hAnsi="Times New Roman"/>
          <w:szCs w:val="24"/>
        </w:rPr>
      </w:pPr>
    </w:p>
    <w:p w:rsidR="000A5AE3" w:rsidRPr="00901D26" w:rsidRDefault="00862B50" w:rsidP="00901D26">
      <w:pPr>
        <w:ind w:right="-284"/>
        <w:rPr>
          <w:rFonts w:ascii="Times New Roman" w:hAnsi="Times New Roman"/>
          <w:b/>
          <w:szCs w:val="24"/>
        </w:rPr>
      </w:pPr>
      <w:r w:rsidRPr="00901D26">
        <w:rPr>
          <w:rFonts w:ascii="Times New Roman" w:hAnsi="Times New Roman"/>
          <w:b/>
          <w:szCs w:val="24"/>
        </w:rPr>
        <w:t>Overview of legislative instrument</w:t>
      </w:r>
    </w:p>
    <w:p w:rsidR="000A5AE3" w:rsidRPr="00901D26" w:rsidRDefault="000A5AE3" w:rsidP="00901D26">
      <w:pPr>
        <w:ind w:right="-284"/>
        <w:rPr>
          <w:rFonts w:ascii="Times New Roman" w:hAnsi="Times New Roman"/>
          <w:szCs w:val="24"/>
        </w:rPr>
      </w:pPr>
    </w:p>
    <w:p w:rsidR="000405EE" w:rsidRPr="00901D26" w:rsidRDefault="007231B2" w:rsidP="00901D26">
      <w:pPr>
        <w:ind w:right="-284"/>
        <w:rPr>
          <w:rFonts w:ascii="Times New Roman" w:hAnsi="Times New Roman"/>
          <w:szCs w:val="24"/>
        </w:rPr>
      </w:pPr>
      <w:r w:rsidRPr="00901D26">
        <w:rPr>
          <w:rFonts w:ascii="Times New Roman" w:hAnsi="Times New Roman"/>
          <w:szCs w:val="24"/>
        </w:rPr>
        <w:t>Th</w:t>
      </w:r>
      <w:r w:rsidR="00396F63" w:rsidRPr="00901D26">
        <w:rPr>
          <w:rFonts w:ascii="Times New Roman" w:hAnsi="Times New Roman"/>
          <w:szCs w:val="24"/>
        </w:rPr>
        <w:t>e</w:t>
      </w:r>
      <w:r w:rsidR="000A5AE3" w:rsidRPr="00901D26">
        <w:rPr>
          <w:rFonts w:ascii="Times New Roman" w:hAnsi="Times New Roman"/>
          <w:szCs w:val="24"/>
        </w:rPr>
        <w:t xml:space="preserve"> </w:t>
      </w:r>
      <w:r w:rsidR="006060E2" w:rsidRPr="00901D26">
        <w:rPr>
          <w:rFonts w:ascii="Times New Roman" w:hAnsi="Times New Roman"/>
          <w:i/>
          <w:szCs w:val="24"/>
        </w:rPr>
        <w:t>Therapeutic Goods (Listed Medicines</w:t>
      </w:r>
      <w:r w:rsidR="006060E2" w:rsidRPr="00901D26">
        <w:rPr>
          <w:rFonts w:ascii="Times New Roman" w:hAnsi="Times New Roman"/>
          <w:i/>
          <w:szCs w:val="24"/>
        </w:rPr>
        <w:sym w:font="Symbol" w:char="F0BE"/>
      </w:r>
      <w:r w:rsidR="006060E2" w:rsidRPr="00901D26">
        <w:rPr>
          <w:rFonts w:ascii="Times New Roman" w:hAnsi="Times New Roman"/>
          <w:i/>
          <w:szCs w:val="24"/>
        </w:rPr>
        <w:t xml:space="preserve">Compliance Reviews) Specification 2019 </w:t>
      </w:r>
      <w:r w:rsidR="00396F63" w:rsidRPr="00901D26">
        <w:rPr>
          <w:rFonts w:ascii="Times New Roman" w:hAnsi="Times New Roman"/>
          <w:szCs w:val="24"/>
        </w:rPr>
        <w:t>(“the i</w:t>
      </w:r>
      <w:r w:rsidR="000A5AE3" w:rsidRPr="00901D26">
        <w:rPr>
          <w:rFonts w:ascii="Times New Roman" w:hAnsi="Times New Roman"/>
          <w:szCs w:val="24"/>
        </w:rPr>
        <w:t>nstrument</w:t>
      </w:r>
      <w:r w:rsidR="00396F63" w:rsidRPr="00901D26">
        <w:rPr>
          <w:rFonts w:ascii="Times New Roman" w:hAnsi="Times New Roman"/>
          <w:szCs w:val="24"/>
        </w:rPr>
        <w:t>”)</w:t>
      </w:r>
      <w:r w:rsidR="000A5AE3" w:rsidRPr="00901D26">
        <w:rPr>
          <w:rFonts w:ascii="Times New Roman" w:hAnsi="Times New Roman"/>
          <w:szCs w:val="24"/>
        </w:rPr>
        <w:t xml:space="preserve"> </w:t>
      </w:r>
      <w:r w:rsidRPr="00901D26">
        <w:rPr>
          <w:rFonts w:ascii="Times New Roman" w:hAnsi="Times New Roman"/>
          <w:szCs w:val="24"/>
        </w:rPr>
        <w:t xml:space="preserve">is made under subsection </w:t>
      </w:r>
      <w:r w:rsidR="00CF4A5D" w:rsidRPr="00901D26">
        <w:rPr>
          <w:rFonts w:ascii="Times New Roman" w:hAnsi="Times New Roman"/>
          <w:szCs w:val="24"/>
        </w:rPr>
        <w:t>61</w:t>
      </w:r>
      <w:r w:rsidR="00462DFB" w:rsidRPr="00901D26">
        <w:rPr>
          <w:rFonts w:ascii="Times New Roman" w:hAnsi="Times New Roman"/>
          <w:szCs w:val="24"/>
        </w:rPr>
        <w:t>(</w:t>
      </w:r>
      <w:r w:rsidR="00CF4A5D" w:rsidRPr="00901D26">
        <w:rPr>
          <w:rFonts w:ascii="Times New Roman" w:hAnsi="Times New Roman"/>
          <w:szCs w:val="24"/>
        </w:rPr>
        <w:t>5D</w:t>
      </w:r>
      <w:r w:rsidR="00462DFB" w:rsidRPr="00901D26">
        <w:rPr>
          <w:rFonts w:ascii="Times New Roman" w:hAnsi="Times New Roman"/>
          <w:szCs w:val="24"/>
        </w:rPr>
        <w:t xml:space="preserve">) </w:t>
      </w:r>
      <w:r w:rsidRPr="00901D26">
        <w:rPr>
          <w:rFonts w:ascii="Times New Roman" w:hAnsi="Times New Roman"/>
          <w:szCs w:val="24"/>
        </w:rPr>
        <w:t xml:space="preserve">of the </w:t>
      </w:r>
      <w:r w:rsidRPr="00901D26">
        <w:rPr>
          <w:rFonts w:ascii="Times New Roman" w:hAnsi="Times New Roman"/>
          <w:i/>
          <w:szCs w:val="24"/>
        </w:rPr>
        <w:t xml:space="preserve">Therapeutic Goods Act 1989 </w:t>
      </w:r>
      <w:r w:rsidR="000A5AE3" w:rsidRPr="00901D26">
        <w:rPr>
          <w:rFonts w:ascii="Times New Roman" w:hAnsi="Times New Roman"/>
          <w:szCs w:val="24"/>
        </w:rPr>
        <w:t>(</w:t>
      </w:r>
      <w:r w:rsidR="00D41D94" w:rsidRPr="00901D26">
        <w:rPr>
          <w:rFonts w:ascii="Times New Roman" w:hAnsi="Times New Roman"/>
          <w:szCs w:val="24"/>
        </w:rPr>
        <w:t>“</w:t>
      </w:r>
      <w:r w:rsidR="008C3004" w:rsidRPr="00901D26">
        <w:rPr>
          <w:rFonts w:ascii="Times New Roman" w:hAnsi="Times New Roman"/>
          <w:szCs w:val="24"/>
        </w:rPr>
        <w:t xml:space="preserve">the </w:t>
      </w:r>
      <w:r w:rsidRPr="00901D26">
        <w:rPr>
          <w:rFonts w:ascii="Times New Roman" w:hAnsi="Times New Roman"/>
          <w:szCs w:val="24"/>
        </w:rPr>
        <w:t>Act</w:t>
      </w:r>
      <w:r w:rsidR="00D41D94" w:rsidRPr="00901D26">
        <w:rPr>
          <w:rFonts w:ascii="Times New Roman" w:hAnsi="Times New Roman"/>
          <w:szCs w:val="24"/>
        </w:rPr>
        <w:t>”</w:t>
      </w:r>
      <w:r w:rsidRPr="00901D26">
        <w:rPr>
          <w:rFonts w:ascii="Times New Roman" w:hAnsi="Times New Roman"/>
          <w:szCs w:val="24"/>
        </w:rPr>
        <w:t>)</w:t>
      </w:r>
      <w:r w:rsidR="00462DFB" w:rsidRPr="00901D26">
        <w:rPr>
          <w:rFonts w:ascii="Times New Roman" w:hAnsi="Times New Roman"/>
          <w:szCs w:val="24"/>
        </w:rPr>
        <w:t>.</w:t>
      </w:r>
      <w:r w:rsidR="005F3070" w:rsidRPr="00901D26">
        <w:rPr>
          <w:rFonts w:ascii="Times New Roman" w:hAnsi="Times New Roman"/>
          <w:szCs w:val="24"/>
        </w:rPr>
        <w:t xml:space="preserve"> </w:t>
      </w:r>
      <w:r w:rsidR="000405EE" w:rsidRPr="00901D26">
        <w:rPr>
          <w:rFonts w:ascii="Times New Roman" w:hAnsi="Times New Roman"/>
          <w:szCs w:val="24"/>
        </w:rPr>
        <w:t>The purpose of the instrument is to specify kinds of therapeutic goods information that may be released to the public by the Secretary under subsection 61(5C) of the Act.</w:t>
      </w:r>
    </w:p>
    <w:p w:rsidR="000405EE" w:rsidRPr="00901D26" w:rsidRDefault="000405EE" w:rsidP="00901D26">
      <w:pPr>
        <w:ind w:right="-284"/>
        <w:rPr>
          <w:rFonts w:ascii="Times New Roman" w:hAnsi="Times New Roman"/>
          <w:szCs w:val="24"/>
        </w:rPr>
      </w:pPr>
    </w:p>
    <w:p w:rsidR="00913FE2" w:rsidRPr="00913FE2" w:rsidRDefault="000405EE" w:rsidP="00913FE2">
      <w:pPr>
        <w:ind w:right="-284"/>
        <w:rPr>
          <w:rFonts w:ascii="Times New Roman" w:hAnsi="Times New Roman"/>
          <w:szCs w:val="24"/>
        </w:rPr>
      </w:pPr>
      <w:r w:rsidRPr="00901D26">
        <w:rPr>
          <w:rFonts w:ascii="Times New Roman" w:hAnsi="Times New Roman"/>
          <w:szCs w:val="24"/>
        </w:rPr>
        <w:t>The instrument facilitate</w:t>
      </w:r>
      <w:r w:rsidR="00913FE2">
        <w:rPr>
          <w:rFonts w:ascii="Times New Roman" w:hAnsi="Times New Roman"/>
          <w:szCs w:val="24"/>
        </w:rPr>
        <w:t>s</w:t>
      </w:r>
      <w:r w:rsidRPr="00901D26">
        <w:rPr>
          <w:rFonts w:ascii="Times New Roman" w:hAnsi="Times New Roman"/>
          <w:szCs w:val="24"/>
        </w:rPr>
        <w:t xml:space="preserve"> the publication of certain </w:t>
      </w:r>
      <w:r w:rsidR="00AD75DC" w:rsidRPr="00901D26">
        <w:rPr>
          <w:rFonts w:ascii="Times New Roman" w:hAnsi="Times New Roman"/>
          <w:szCs w:val="24"/>
        </w:rPr>
        <w:t xml:space="preserve">therapeutic goods </w:t>
      </w:r>
      <w:r w:rsidRPr="00901D26">
        <w:rPr>
          <w:rFonts w:ascii="Times New Roman" w:hAnsi="Times New Roman"/>
          <w:szCs w:val="24"/>
        </w:rPr>
        <w:t xml:space="preserve">information relating </w:t>
      </w:r>
      <w:r w:rsidR="000C21C4" w:rsidRPr="00901D26">
        <w:rPr>
          <w:rFonts w:ascii="Times New Roman" w:hAnsi="Times New Roman"/>
          <w:szCs w:val="24"/>
        </w:rPr>
        <w:t xml:space="preserve">to </w:t>
      </w:r>
      <w:r w:rsidR="006060E2" w:rsidRPr="00901D26">
        <w:rPr>
          <w:rFonts w:ascii="Times New Roman" w:hAnsi="Times New Roman"/>
          <w:szCs w:val="24"/>
        </w:rPr>
        <w:t>compliance reviews carried out</w:t>
      </w:r>
      <w:r w:rsidR="000C21C4" w:rsidRPr="00901D26">
        <w:rPr>
          <w:rFonts w:ascii="Times New Roman" w:hAnsi="Times New Roman"/>
          <w:szCs w:val="24"/>
        </w:rPr>
        <w:t xml:space="preserve"> by the Therapeutic Goods Administration (“the TGA”) in </w:t>
      </w:r>
      <w:r w:rsidR="006060E2" w:rsidRPr="00901D26">
        <w:rPr>
          <w:rFonts w:ascii="Times New Roman" w:hAnsi="Times New Roman"/>
          <w:szCs w:val="24"/>
        </w:rPr>
        <w:t>respect of listed medicines</w:t>
      </w:r>
      <w:r w:rsidR="002404DB" w:rsidRPr="00901D26">
        <w:rPr>
          <w:rFonts w:ascii="Times New Roman" w:hAnsi="Times New Roman"/>
          <w:szCs w:val="24"/>
        </w:rPr>
        <w:t>.</w:t>
      </w:r>
      <w:r w:rsidR="00913FE2" w:rsidRPr="00913FE2">
        <w:rPr>
          <w:rFonts w:ascii="Times New Roman" w:hAnsi="Times New Roman"/>
          <w:szCs w:val="24"/>
        </w:rPr>
        <w:t xml:space="preserve"> The </w:t>
      </w:r>
      <w:r w:rsidR="00913FE2">
        <w:rPr>
          <w:rFonts w:ascii="Times New Roman" w:hAnsi="Times New Roman"/>
          <w:szCs w:val="24"/>
        </w:rPr>
        <w:t xml:space="preserve">instrument </w:t>
      </w:r>
      <w:r w:rsidR="00913FE2" w:rsidRPr="00913FE2">
        <w:rPr>
          <w:rFonts w:ascii="Times New Roman" w:hAnsi="Times New Roman"/>
          <w:szCs w:val="24"/>
        </w:rPr>
        <w:t xml:space="preserve">also repeals and replaces the </w:t>
      </w:r>
      <w:r w:rsidR="00913FE2" w:rsidRPr="00913FE2">
        <w:rPr>
          <w:rFonts w:ascii="Times New Roman" w:hAnsi="Times New Roman"/>
          <w:i/>
          <w:szCs w:val="24"/>
        </w:rPr>
        <w:t>Therapeutic Goods Information (Outcomes of Compliance Reviews of Listed Complementary Medicines) Specification 2012</w:t>
      </w:r>
      <w:r w:rsidR="00913FE2" w:rsidRPr="00913FE2">
        <w:rPr>
          <w:rFonts w:ascii="Times New Roman" w:hAnsi="Times New Roman"/>
          <w:szCs w:val="24"/>
        </w:rPr>
        <w:t xml:space="preserve"> (“the former </w:t>
      </w:r>
      <w:r w:rsidR="00913FE2">
        <w:rPr>
          <w:rFonts w:ascii="Times New Roman" w:hAnsi="Times New Roman"/>
          <w:szCs w:val="24"/>
        </w:rPr>
        <w:t>instrument</w:t>
      </w:r>
      <w:r w:rsidR="00913FE2" w:rsidRPr="00913FE2">
        <w:rPr>
          <w:rFonts w:ascii="Times New Roman" w:hAnsi="Times New Roman"/>
          <w:szCs w:val="24"/>
        </w:rPr>
        <w:t>”).</w:t>
      </w:r>
    </w:p>
    <w:p w:rsidR="00913FE2" w:rsidRPr="00913FE2" w:rsidRDefault="00913FE2" w:rsidP="00913FE2">
      <w:pPr>
        <w:ind w:right="-284"/>
        <w:rPr>
          <w:rFonts w:ascii="Times New Roman" w:hAnsi="Times New Roman"/>
          <w:szCs w:val="24"/>
        </w:rPr>
      </w:pPr>
    </w:p>
    <w:p w:rsidR="00913FE2" w:rsidRPr="00913FE2" w:rsidRDefault="00913FE2" w:rsidP="00913FE2">
      <w:pPr>
        <w:ind w:right="-284"/>
        <w:rPr>
          <w:rFonts w:ascii="Times New Roman" w:hAnsi="Times New Roman"/>
          <w:szCs w:val="24"/>
        </w:rPr>
      </w:pPr>
      <w:r w:rsidRPr="00913FE2">
        <w:rPr>
          <w:rFonts w:ascii="Times New Roman" w:hAnsi="Times New Roman"/>
          <w:szCs w:val="24"/>
        </w:rPr>
        <w:t>Listed medicines are considered to be low risk and are therefore included in the Australian Register of Therapeutic Goods (“the Register”) without undergoing pre-market evaluation by the Secretary. In Australia, listed medicines include certain medicinal products containing such ingredients as herbs, vitamins, minerals, nutritional supplements, and homoeopathic and aromatherapy preparations.</w:t>
      </w:r>
    </w:p>
    <w:p w:rsidR="00913FE2" w:rsidRPr="00913FE2" w:rsidRDefault="00913FE2" w:rsidP="00913FE2">
      <w:pPr>
        <w:ind w:right="-284"/>
        <w:rPr>
          <w:rFonts w:ascii="Times New Roman" w:hAnsi="Times New Roman"/>
          <w:szCs w:val="24"/>
        </w:rPr>
      </w:pPr>
    </w:p>
    <w:p w:rsidR="00913FE2" w:rsidRPr="00913FE2" w:rsidRDefault="00913FE2" w:rsidP="00913FE2">
      <w:pPr>
        <w:ind w:right="-284"/>
        <w:rPr>
          <w:rFonts w:ascii="Times New Roman" w:hAnsi="Times New Roman"/>
          <w:szCs w:val="24"/>
        </w:rPr>
      </w:pPr>
      <w:r w:rsidRPr="00913FE2">
        <w:rPr>
          <w:rFonts w:ascii="Times New Roman" w:hAnsi="Times New Roman"/>
          <w:szCs w:val="24"/>
        </w:rPr>
        <w:t>Medicines that are listed under section 26A of the Act are included in the Register on the basis that the goods are certified by an applicant as meeting specified criteria for low risk medicines relating to quality</w:t>
      </w:r>
      <w:r w:rsidR="00E25637">
        <w:rPr>
          <w:rFonts w:ascii="Times New Roman" w:hAnsi="Times New Roman"/>
          <w:szCs w:val="24"/>
        </w:rPr>
        <w:t>, safety</w:t>
      </w:r>
      <w:r w:rsidRPr="00913FE2">
        <w:rPr>
          <w:rFonts w:ascii="Times New Roman" w:hAnsi="Times New Roman"/>
          <w:szCs w:val="24"/>
        </w:rPr>
        <w:t xml:space="preserve"> and efficacy.</w:t>
      </w:r>
      <w:r w:rsidR="00475FB8" w:rsidRPr="00475FB8">
        <w:rPr>
          <w:rFonts w:ascii="Times New Roman" w:hAnsi="Times New Roman"/>
          <w:szCs w:val="24"/>
        </w:rPr>
        <w:t xml:space="preserve"> Medicines listed under section 26AE also rely on certification in relation to quality and safety.</w:t>
      </w:r>
    </w:p>
    <w:p w:rsidR="00913FE2" w:rsidRDefault="00913FE2" w:rsidP="00901D26">
      <w:pPr>
        <w:ind w:right="-284"/>
        <w:rPr>
          <w:rFonts w:ascii="Times New Roman" w:hAnsi="Times New Roman"/>
          <w:szCs w:val="24"/>
        </w:rPr>
      </w:pPr>
    </w:p>
    <w:p w:rsidR="00913FE2" w:rsidRPr="00913FE2" w:rsidRDefault="006D1FDA" w:rsidP="00913FE2">
      <w:pPr>
        <w:ind w:right="-284"/>
        <w:rPr>
          <w:rFonts w:ascii="Times New Roman" w:hAnsi="Times New Roman"/>
          <w:szCs w:val="24"/>
        </w:rPr>
      </w:pPr>
      <w:r>
        <w:rPr>
          <w:rFonts w:ascii="Times New Roman" w:hAnsi="Times New Roman"/>
          <w:szCs w:val="24"/>
        </w:rPr>
        <w:t>T</w:t>
      </w:r>
      <w:r w:rsidR="00913FE2" w:rsidRPr="00913FE2">
        <w:rPr>
          <w:rFonts w:ascii="Times New Roman" w:hAnsi="Times New Roman"/>
          <w:szCs w:val="24"/>
        </w:rPr>
        <w:t xml:space="preserve">he TGA </w:t>
      </w:r>
      <w:r>
        <w:rPr>
          <w:rFonts w:ascii="Times New Roman" w:hAnsi="Times New Roman"/>
          <w:szCs w:val="24"/>
        </w:rPr>
        <w:t xml:space="preserve">monitors </w:t>
      </w:r>
      <w:r w:rsidR="00913FE2" w:rsidRPr="00913FE2">
        <w:rPr>
          <w:rFonts w:ascii="Times New Roman" w:hAnsi="Times New Roman"/>
          <w:szCs w:val="24"/>
        </w:rPr>
        <w:t>the ongoing quality</w:t>
      </w:r>
      <w:r w:rsidR="00E25637">
        <w:rPr>
          <w:rFonts w:ascii="Times New Roman" w:hAnsi="Times New Roman"/>
          <w:szCs w:val="24"/>
        </w:rPr>
        <w:t>, safety</w:t>
      </w:r>
      <w:r w:rsidR="00913FE2" w:rsidRPr="00913FE2">
        <w:rPr>
          <w:rFonts w:ascii="Times New Roman" w:hAnsi="Times New Roman"/>
          <w:szCs w:val="24"/>
        </w:rPr>
        <w:t xml:space="preserve"> and efficacy of listed medicines through a program of random and</w:t>
      </w:r>
      <w:r>
        <w:rPr>
          <w:rFonts w:ascii="Times New Roman" w:hAnsi="Times New Roman"/>
          <w:szCs w:val="24"/>
        </w:rPr>
        <w:t xml:space="preserve"> targeted compliance reviews of </w:t>
      </w:r>
      <w:r w:rsidR="00913FE2" w:rsidRPr="00913FE2">
        <w:rPr>
          <w:rFonts w:ascii="Times New Roman" w:hAnsi="Times New Roman"/>
          <w:szCs w:val="24"/>
        </w:rPr>
        <w:t>a proportion of medicines listed in the Register. These compliance reviews are intended to identify instances of non-compliance with important regulatory requirements.</w:t>
      </w:r>
    </w:p>
    <w:p w:rsidR="00913FE2" w:rsidRPr="00913FE2" w:rsidRDefault="00913FE2" w:rsidP="00913FE2">
      <w:pPr>
        <w:ind w:right="-284"/>
        <w:rPr>
          <w:rFonts w:ascii="Times New Roman" w:hAnsi="Times New Roman"/>
          <w:szCs w:val="24"/>
        </w:rPr>
      </w:pPr>
    </w:p>
    <w:p w:rsidR="00387BB3" w:rsidRPr="00387BB3" w:rsidRDefault="00387BB3" w:rsidP="00387BB3">
      <w:pPr>
        <w:ind w:right="-284"/>
        <w:rPr>
          <w:rFonts w:ascii="Times New Roman" w:hAnsi="Times New Roman"/>
          <w:szCs w:val="24"/>
        </w:rPr>
      </w:pPr>
      <w:r w:rsidRPr="00387BB3">
        <w:rPr>
          <w:rFonts w:ascii="Times New Roman" w:hAnsi="Times New Roman"/>
          <w:szCs w:val="24"/>
        </w:rPr>
        <w:t xml:space="preserve">The former </w:t>
      </w:r>
      <w:r>
        <w:rPr>
          <w:rFonts w:ascii="Times New Roman" w:hAnsi="Times New Roman"/>
          <w:szCs w:val="24"/>
        </w:rPr>
        <w:t xml:space="preserve">instrument </w:t>
      </w:r>
      <w:r w:rsidRPr="00387BB3">
        <w:rPr>
          <w:rFonts w:ascii="Times New Roman" w:hAnsi="Times New Roman"/>
          <w:szCs w:val="24"/>
        </w:rPr>
        <w:t xml:space="preserve">facilitated the publication of information relating to listed medicines (other than sunscreens) that were </w:t>
      </w:r>
      <w:r>
        <w:rPr>
          <w:rFonts w:ascii="Times New Roman" w:hAnsi="Times New Roman"/>
          <w:szCs w:val="24"/>
        </w:rPr>
        <w:t xml:space="preserve">the </w:t>
      </w:r>
      <w:r w:rsidRPr="00387BB3">
        <w:rPr>
          <w:rFonts w:ascii="Times New Roman" w:hAnsi="Times New Roman"/>
          <w:szCs w:val="24"/>
        </w:rPr>
        <w:t xml:space="preserve">subject </w:t>
      </w:r>
      <w:r>
        <w:rPr>
          <w:rFonts w:ascii="Times New Roman" w:hAnsi="Times New Roman"/>
          <w:szCs w:val="24"/>
        </w:rPr>
        <w:t xml:space="preserve">of </w:t>
      </w:r>
      <w:r w:rsidRPr="00387BB3">
        <w:rPr>
          <w:rFonts w:ascii="Times New Roman" w:hAnsi="Times New Roman"/>
          <w:szCs w:val="24"/>
        </w:rPr>
        <w:t>a compliance review by the TGA, including whether</w:t>
      </w:r>
      <w:r>
        <w:rPr>
          <w:rFonts w:ascii="Times New Roman" w:hAnsi="Times New Roman"/>
          <w:szCs w:val="24"/>
        </w:rPr>
        <w:t xml:space="preserve"> or not</w:t>
      </w:r>
      <w:r w:rsidRPr="00387BB3">
        <w:rPr>
          <w:rFonts w:ascii="Times New Roman" w:hAnsi="Times New Roman"/>
          <w:szCs w:val="24"/>
        </w:rPr>
        <w:t xml:space="preserve">, following </w:t>
      </w:r>
      <w:r>
        <w:rPr>
          <w:rFonts w:ascii="Times New Roman" w:hAnsi="Times New Roman"/>
          <w:szCs w:val="24"/>
        </w:rPr>
        <w:t xml:space="preserve">the </w:t>
      </w:r>
      <w:r w:rsidRPr="00387BB3">
        <w:rPr>
          <w:rFonts w:ascii="Times New Roman" w:hAnsi="Times New Roman"/>
          <w:szCs w:val="24"/>
        </w:rPr>
        <w:t xml:space="preserve">completion of the compliance review, the </w:t>
      </w:r>
      <w:r>
        <w:rPr>
          <w:rFonts w:ascii="Times New Roman" w:hAnsi="Times New Roman"/>
          <w:szCs w:val="24"/>
        </w:rPr>
        <w:t xml:space="preserve">medicine remained listed in the Register </w:t>
      </w:r>
      <w:r w:rsidRPr="00387BB3">
        <w:rPr>
          <w:rFonts w:ascii="Times New Roman" w:hAnsi="Times New Roman"/>
          <w:szCs w:val="24"/>
        </w:rPr>
        <w:t xml:space="preserve">or </w:t>
      </w:r>
      <w:r>
        <w:rPr>
          <w:rFonts w:ascii="Times New Roman" w:hAnsi="Times New Roman"/>
          <w:szCs w:val="24"/>
        </w:rPr>
        <w:t xml:space="preserve">was </w:t>
      </w:r>
      <w:r w:rsidRPr="00387BB3">
        <w:rPr>
          <w:rFonts w:ascii="Times New Roman" w:hAnsi="Times New Roman"/>
          <w:szCs w:val="24"/>
        </w:rPr>
        <w:t>cancelled</w:t>
      </w:r>
      <w:r>
        <w:rPr>
          <w:rFonts w:ascii="Times New Roman" w:hAnsi="Times New Roman"/>
          <w:szCs w:val="24"/>
        </w:rPr>
        <w:t xml:space="preserve"> by the Secretary</w:t>
      </w:r>
      <w:r w:rsidRPr="00387BB3">
        <w:rPr>
          <w:rFonts w:ascii="Times New Roman" w:hAnsi="Times New Roman"/>
          <w:szCs w:val="24"/>
        </w:rPr>
        <w:t>.</w:t>
      </w:r>
    </w:p>
    <w:p w:rsidR="00A36EFF" w:rsidRPr="00D15596" w:rsidRDefault="00A36EFF" w:rsidP="00D15596">
      <w:pPr>
        <w:ind w:right="-284"/>
        <w:rPr>
          <w:rFonts w:ascii="Times New Roman" w:hAnsi="Times New Roman"/>
          <w:szCs w:val="24"/>
        </w:rPr>
      </w:pPr>
    </w:p>
    <w:p w:rsidR="00913FE2" w:rsidRPr="00913FE2" w:rsidRDefault="00D15596" w:rsidP="00913FE2">
      <w:pPr>
        <w:ind w:right="-284"/>
        <w:rPr>
          <w:rFonts w:ascii="Times New Roman" w:hAnsi="Times New Roman"/>
          <w:szCs w:val="24"/>
        </w:rPr>
      </w:pPr>
      <w:r>
        <w:rPr>
          <w:rFonts w:ascii="Times New Roman" w:hAnsi="Times New Roman"/>
          <w:szCs w:val="24"/>
        </w:rPr>
        <w:t>In recent years, t</w:t>
      </w:r>
      <w:r w:rsidR="00913FE2" w:rsidRPr="00913FE2">
        <w:rPr>
          <w:rFonts w:ascii="Times New Roman" w:hAnsi="Times New Roman"/>
          <w:szCs w:val="24"/>
        </w:rPr>
        <w:t xml:space="preserve">he Expert Panel Review of Medicines and </w:t>
      </w:r>
      <w:r>
        <w:rPr>
          <w:rFonts w:ascii="Times New Roman" w:hAnsi="Times New Roman"/>
          <w:szCs w:val="24"/>
        </w:rPr>
        <w:t>Medical Device Regulation (“the </w:t>
      </w:r>
      <w:r w:rsidR="00913FE2" w:rsidRPr="00913FE2">
        <w:rPr>
          <w:rFonts w:ascii="Times New Roman" w:hAnsi="Times New Roman"/>
          <w:szCs w:val="24"/>
        </w:rPr>
        <w:t>Review”) recommended a number of reforms to increase the information available to consumers to support health decisions, and to improve the transparency of regulatory processes for all stakeholders. In particular, the Review recommended the timely availa</w:t>
      </w:r>
      <w:r w:rsidR="00913FE2" w:rsidRPr="00913FE2">
        <w:rPr>
          <w:rFonts w:ascii="Times New Roman" w:hAnsi="Times New Roman"/>
          <w:szCs w:val="24"/>
        </w:rPr>
        <w:lastRenderedPageBreak/>
        <w:t>bility of information for consumers relating to listed complementary medicines, specifically whether those medicines have been subject to post-market review, and the timing and outcome of that review (refer to paragraph C of recommendation 49). In accepting this recommendation, the Government noted that the development of a more comprehensive post-market monitoring scheme would enhance consumer protection and complement existing post-market monitoring processes.</w:t>
      </w:r>
    </w:p>
    <w:p w:rsidR="00913FE2" w:rsidRPr="00913FE2" w:rsidRDefault="00913FE2" w:rsidP="00913FE2">
      <w:pPr>
        <w:ind w:right="-284"/>
        <w:rPr>
          <w:rFonts w:ascii="Times New Roman" w:hAnsi="Times New Roman"/>
          <w:szCs w:val="24"/>
        </w:rPr>
      </w:pPr>
    </w:p>
    <w:p w:rsidR="005E10B7" w:rsidRPr="005E10B7" w:rsidRDefault="005E10B7" w:rsidP="005E10B7">
      <w:pPr>
        <w:ind w:right="-284"/>
        <w:rPr>
          <w:rFonts w:ascii="Times New Roman" w:hAnsi="Times New Roman"/>
          <w:szCs w:val="24"/>
        </w:rPr>
      </w:pPr>
      <w:r w:rsidRPr="005E10B7">
        <w:rPr>
          <w:rFonts w:ascii="Times New Roman" w:hAnsi="Times New Roman"/>
          <w:szCs w:val="24"/>
        </w:rPr>
        <w:t>Development of a new approach to publishing details of listed medicine compliance reviews commenced in 2018. The approach was developed in consultation with peak industry and consumer representative bodies to underpin increased transparency about the safety and efficacy of listed medicines, consistent with the Government’s response to the Review.</w:t>
      </w:r>
    </w:p>
    <w:p w:rsidR="005E10B7" w:rsidRPr="005E10B7" w:rsidRDefault="005E10B7" w:rsidP="005E10B7">
      <w:pPr>
        <w:ind w:right="-284"/>
        <w:rPr>
          <w:rFonts w:ascii="Times New Roman" w:hAnsi="Times New Roman"/>
          <w:szCs w:val="24"/>
        </w:rPr>
      </w:pPr>
    </w:p>
    <w:p w:rsidR="005F3070" w:rsidRPr="00901D26" w:rsidRDefault="005E10B7" w:rsidP="00F94333">
      <w:pPr>
        <w:ind w:right="-284"/>
        <w:rPr>
          <w:rFonts w:ascii="Times New Roman" w:hAnsi="Times New Roman"/>
          <w:szCs w:val="24"/>
        </w:rPr>
      </w:pPr>
      <w:r w:rsidRPr="005E10B7">
        <w:rPr>
          <w:rFonts w:ascii="Times New Roman" w:hAnsi="Times New Roman"/>
          <w:szCs w:val="24"/>
        </w:rPr>
        <w:t xml:space="preserve">This </w:t>
      </w:r>
      <w:r>
        <w:rPr>
          <w:rFonts w:ascii="Times New Roman" w:hAnsi="Times New Roman"/>
          <w:szCs w:val="24"/>
        </w:rPr>
        <w:t xml:space="preserve">instrument </w:t>
      </w:r>
      <w:r w:rsidRPr="005E10B7">
        <w:rPr>
          <w:rFonts w:ascii="Times New Roman" w:hAnsi="Times New Roman"/>
          <w:szCs w:val="24"/>
        </w:rPr>
        <w:t>supports the approach to publication by enabling the Secretary to publish certain therapeutic goods information relating to product safety and efficacy aspects from a compliance review of a listed medicine</w:t>
      </w:r>
      <w:r w:rsidR="00D15596">
        <w:rPr>
          <w:rFonts w:ascii="Times New Roman" w:hAnsi="Times New Roman"/>
          <w:szCs w:val="24"/>
        </w:rPr>
        <w:t xml:space="preserve">. </w:t>
      </w:r>
      <w:r w:rsidR="004B5134" w:rsidRPr="00901D26">
        <w:rPr>
          <w:rFonts w:ascii="Times New Roman" w:hAnsi="Times New Roman"/>
          <w:szCs w:val="24"/>
        </w:rPr>
        <w:t xml:space="preserve">The kinds of </w:t>
      </w:r>
      <w:r w:rsidR="00AD75DC" w:rsidRPr="00901D26">
        <w:rPr>
          <w:rFonts w:ascii="Times New Roman" w:hAnsi="Times New Roman"/>
          <w:szCs w:val="24"/>
        </w:rPr>
        <w:t xml:space="preserve">therapeutic goods </w:t>
      </w:r>
      <w:r w:rsidR="004B5134" w:rsidRPr="00901D26">
        <w:rPr>
          <w:rFonts w:ascii="Times New Roman" w:hAnsi="Times New Roman"/>
          <w:szCs w:val="24"/>
        </w:rPr>
        <w:t xml:space="preserve">information </w:t>
      </w:r>
      <w:r w:rsidR="00AD75DC" w:rsidRPr="00901D26">
        <w:rPr>
          <w:rFonts w:ascii="Times New Roman" w:hAnsi="Times New Roman"/>
          <w:szCs w:val="24"/>
        </w:rPr>
        <w:t xml:space="preserve">specified </w:t>
      </w:r>
      <w:r w:rsidR="00206AF2" w:rsidRPr="00901D26">
        <w:rPr>
          <w:rFonts w:ascii="Times New Roman" w:hAnsi="Times New Roman"/>
          <w:szCs w:val="24"/>
        </w:rPr>
        <w:t xml:space="preserve">under the instrument </w:t>
      </w:r>
      <w:r w:rsidR="004B5134" w:rsidRPr="00901D26">
        <w:rPr>
          <w:rFonts w:ascii="Times New Roman" w:hAnsi="Times New Roman"/>
          <w:szCs w:val="24"/>
        </w:rPr>
        <w:t xml:space="preserve">include details of the relevant </w:t>
      </w:r>
      <w:r w:rsidR="005F3070" w:rsidRPr="00901D26">
        <w:rPr>
          <w:rFonts w:ascii="Times New Roman" w:hAnsi="Times New Roman"/>
          <w:szCs w:val="24"/>
        </w:rPr>
        <w:t>listed medicine</w:t>
      </w:r>
      <w:r w:rsidR="004B5134" w:rsidRPr="00901D26">
        <w:rPr>
          <w:rFonts w:ascii="Times New Roman" w:hAnsi="Times New Roman"/>
          <w:szCs w:val="24"/>
        </w:rPr>
        <w:t xml:space="preserve">, details of the </w:t>
      </w:r>
      <w:r w:rsidR="005F3070" w:rsidRPr="00901D26">
        <w:rPr>
          <w:rFonts w:ascii="Times New Roman" w:hAnsi="Times New Roman"/>
          <w:szCs w:val="24"/>
        </w:rPr>
        <w:t xml:space="preserve">compliance review </w:t>
      </w:r>
      <w:r w:rsidR="00D15596">
        <w:rPr>
          <w:rFonts w:ascii="Times New Roman" w:hAnsi="Times New Roman"/>
          <w:szCs w:val="24"/>
        </w:rPr>
        <w:t xml:space="preserve">undertaken </w:t>
      </w:r>
      <w:r w:rsidR="004B5134" w:rsidRPr="00901D26">
        <w:rPr>
          <w:rFonts w:ascii="Times New Roman" w:hAnsi="Times New Roman"/>
          <w:szCs w:val="24"/>
        </w:rPr>
        <w:t xml:space="preserve">by the TGA </w:t>
      </w:r>
      <w:r w:rsidR="005F3070" w:rsidRPr="00901D26">
        <w:rPr>
          <w:rFonts w:ascii="Times New Roman" w:hAnsi="Times New Roman"/>
          <w:szCs w:val="24"/>
        </w:rPr>
        <w:t>(</w:t>
      </w:r>
      <w:r w:rsidR="00F94333">
        <w:rPr>
          <w:rFonts w:ascii="Times New Roman" w:hAnsi="Times New Roman"/>
          <w:szCs w:val="24"/>
        </w:rPr>
        <w:t>including</w:t>
      </w:r>
      <w:r w:rsidR="005F3070" w:rsidRPr="00901D26">
        <w:rPr>
          <w:rFonts w:ascii="Times New Roman" w:hAnsi="Times New Roman"/>
          <w:szCs w:val="24"/>
        </w:rPr>
        <w:t xml:space="preserve"> </w:t>
      </w:r>
      <w:r w:rsidR="00E12F35">
        <w:rPr>
          <w:rFonts w:ascii="Times New Roman" w:hAnsi="Times New Roman"/>
          <w:szCs w:val="24"/>
        </w:rPr>
        <w:t xml:space="preserve">whether </w:t>
      </w:r>
      <w:r w:rsidR="0067291A" w:rsidRPr="00901D26">
        <w:rPr>
          <w:rFonts w:ascii="Times New Roman" w:hAnsi="Times New Roman"/>
          <w:szCs w:val="24"/>
        </w:rPr>
        <w:t>the review</w:t>
      </w:r>
      <w:r w:rsidR="00E12F35">
        <w:rPr>
          <w:rFonts w:ascii="Times New Roman" w:hAnsi="Times New Roman"/>
          <w:szCs w:val="24"/>
        </w:rPr>
        <w:t xml:space="preserve"> is targeted or random</w:t>
      </w:r>
      <w:r w:rsidR="0067291A" w:rsidRPr="00901D26">
        <w:rPr>
          <w:rFonts w:ascii="Times New Roman" w:hAnsi="Times New Roman"/>
          <w:szCs w:val="24"/>
        </w:rPr>
        <w:t>, and the type of information reviewed</w:t>
      </w:r>
      <w:r w:rsidR="005F3070" w:rsidRPr="00901D26">
        <w:rPr>
          <w:rFonts w:ascii="Times New Roman" w:hAnsi="Times New Roman"/>
          <w:szCs w:val="24"/>
        </w:rPr>
        <w:t>)</w:t>
      </w:r>
      <w:r w:rsidR="004B5134" w:rsidRPr="00901D26">
        <w:rPr>
          <w:rFonts w:ascii="Times New Roman" w:hAnsi="Times New Roman"/>
          <w:szCs w:val="24"/>
        </w:rPr>
        <w:t>,</w:t>
      </w:r>
      <w:r w:rsidR="005F3070" w:rsidRPr="00901D26">
        <w:rPr>
          <w:rFonts w:ascii="Times New Roman" w:hAnsi="Times New Roman"/>
          <w:szCs w:val="24"/>
        </w:rPr>
        <w:t xml:space="preserve"> the issues identified </w:t>
      </w:r>
      <w:r w:rsidR="00E12F35">
        <w:rPr>
          <w:rFonts w:ascii="Times New Roman" w:hAnsi="Times New Roman"/>
          <w:szCs w:val="24"/>
        </w:rPr>
        <w:t>in relation to the safety or efficacy of the medicine</w:t>
      </w:r>
      <w:r w:rsidR="00D15596">
        <w:rPr>
          <w:rFonts w:ascii="Times New Roman" w:hAnsi="Times New Roman"/>
          <w:szCs w:val="24"/>
        </w:rPr>
        <w:t xml:space="preserve"> (including contraventions of the Act)</w:t>
      </w:r>
      <w:r w:rsidR="00E12F35">
        <w:rPr>
          <w:rFonts w:ascii="Times New Roman" w:hAnsi="Times New Roman"/>
          <w:szCs w:val="24"/>
        </w:rPr>
        <w:t xml:space="preserve">, </w:t>
      </w:r>
      <w:r w:rsidR="00D15596">
        <w:rPr>
          <w:rFonts w:ascii="Times New Roman" w:hAnsi="Times New Roman"/>
          <w:szCs w:val="24"/>
        </w:rPr>
        <w:t xml:space="preserve">consumer advice </w:t>
      </w:r>
      <w:r w:rsidR="00E12F35">
        <w:rPr>
          <w:rFonts w:ascii="Times New Roman" w:hAnsi="Times New Roman"/>
          <w:szCs w:val="24"/>
        </w:rPr>
        <w:t xml:space="preserve">regarding continued use </w:t>
      </w:r>
      <w:r w:rsidR="00D15596">
        <w:rPr>
          <w:rFonts w:ascii="Times New Roman" w:hAnsi="Times New Roman"/>
          <w:szCs w:val="24"/>
        </w:rPr>
        <w:t xml:space="preserve">and required action in relation to the medicine, </w:t>
      </w:r>
      <w:r w:rsidR="005F3070" w:rsidRPr="00901D26">
        <w:rPr>
          <w:rFonts w:ascii="Times New Roman" w:hAnsi="Times New Roman"/>
          <w:szCs w:val="24"/>
        </w:rPr>
        <w:t>actions taken during the review</w:t>
      </w:r>
      <w:r w:rsidR="004B5134" w:rsidRPr="00901D26">
        <w:rPr>
          <w:rFonts w:ascii="Times New Roman" w:hAnsi="Times New Roman"/>
          <w:szCs w:val="24"/>
        </w:rPr>
        <w:t xml:space="preserve"> and the</w:t>
      </w:r>
      <w:r w:rsidR="005F3070" w:rsidRPr="00901D26">
        <w:rPr>
          <w:rFonts w:ascii="Times New Roman" w:hAnsi="Times New Roman"/>
          <w:szCs w:val="24"/>
        </w:rPr>
        <w:t xml:space="preserve"> review</w:t>
      </w:r>
      <w:r w:rsidR="004B5134" w:rsidRPr="00901D26">
        <w:rPr>
          <w:rFonts w:ascii="Times New Roman" w:hAnsi="Times New Roman"/>
          <w:szCs w:val="24"/>
        </w:rPr>
        <w:t xml:space="preserve"> outcome</w:t>
      </w:r>
      <w:r w:rsidR="005F3070" w:rsidRPr="00901D26">
        <w:rPr>
          <w:rFonts w:ascii="Times New Roman" w:hAnsi="Times New Roman"/>
          <w:szCs w:val="24"/>
        </w:rPr>
        <w:t>.</w:t>
      </w:r>
    </w:p>
    <w:p w:rsidR="005F3070" w:rsidRPr="00901D26" w:rsidRDefault="005F3070" w:rsidP="00901D26">
      <w:pPr>
        <w:ind w:right="-284"/>
        <w:rPr>
          <w:rFonts w:ascii="Times New Roman" w:hAnsi="Times New Roman"/>
          <w:szCs w:val="24"/>
        </w:rPr>
      </w:pPr>
    </w:p>
    <w:p w:rsidR="000405EE" w:rsidRPr="00901D26" w:rsidRDefault="00AD75DC" w:rsidP="00901D26">
      <w:pPr>
        <w:ind w:right="-284"/>
        <w:rPr>
          <w:rFonts w:ascii="Times New Roman" w:hAnsi="Times New Roman"/>
          <w:szCs w:val="24"/>
        </w:rPr>
      </w:pPr>
      <w:r w:rsidRPr="00901D26">
        <w:rPr>
          <w:rFonts w:ascii="Times New Roman" w:hAnsi="Times New Roman"/>
          <w:szCs w:val="24"/>
        </w:rPr>
        <w:t xml:space="preserve">The publication of therapeutic goods information specified in the instrument is intended to </w:t>
      </w:r>
      <w:r w:rsidR="005F3070" w:rsidRPr="00901D26">
        <w:rPr>
          <w:rFonts w:ascii="Times New Roman" w:hAnsi="Times New Roman"/>
          <w:szCs w:val="24"/>
        </w:rPr>
        <w:t xml:space="preserve">aid consumers in making informed choices about </w:t>
      </w:r>
      <w:r w:rsidR="00D15596">
        <w:rPr>
          <w:rFonts w:ascii="Times New Roman" w:hAnsi="Times New Roman"/>
          <w:szCs w:val="24"/>
        </w:rPr>
        <w:t xml:space="preserve">the </w:t>
      </w:r>
      <w:r w:rsidR="005F3070" w:rsidRPr="00901D26">
        <w:rPr>
          <w:rFonts w:ascii="Times New Roman" w:hAnsi="Times New Roman"/>
          <w:szCs w:val="24"/>
        </w:rPr>
        <w:t xml:space="preserve">use of </w:t>
      </w:r>
      <w:r w:rsidR="00D15596">
        <w:rPr>
          <w:rFonts w:ascii="Times New Roman" w:hAnsi="Times New Roman"/>
          <w:szCs w:val="24"/>
        </w:rPr>
        <w:t xml:space="preserve">listed </w:t>
      </w:r>
      <w:r w:rsidR="005F3070" w:rsidRPr="00901D26">
        <w:rPr>
          <w:rFonts w:ascii="Times New Roman" w:hAnsi="Times New Roman"/>
          <w:szCs w:val="24"/>
        </w:rPr>
        <w:t xml:space="preserve">medicines, and </w:t>
      </w:r>
      <w:r w:rsidRPr="00901D26">
        <w:rPr>
          <w:rFonts w:ascii="Times New Roman" w:hAnsi="Times New Roman"/>
          <w:szCs w:val="24"/>
        </w:rPr>
        <w:t xml:space="preserve">to </w:t>
      </w:r>
      <w:r w:rsidR="00D15596">
        <w:rPr>
          <w:rFonts w:ascii="Times New Roman" w:hAnsi="Times New Roman"/>
          <w:szCs w:val="24"/>
        </w:rPr>
        <w:t xml:space="preserve">promote </w:t>
      </w:r>
      <w:r w:rsidRPr="00901D26">
        <w:rPr>
          <w:rFonts w:ascii="Times New Roman" w:hAnsi="Times New Roman"/>
          <w:szCs w:val="24"/>
        </w:rPr>
        <w:t>industry compliance with legislative requirements.</w:t>
      </w:r>
    </w:p>
    <w:p w:rsidR="00AD75DC" w:rsidRPr="00901D26" w:rsidRDefault="00AD75DC" w:rsidP="00901D26">
      <w:pPr>
        <w:ind w:right="-284"/>
        <w:rPr>
          <w:rFonts w:ascii="Times New Roman" w:hAnsi="Times New Roman"/>
          <w:szCs w:val="24"/>
        </w:rPr>
      </w:pPr>
    </w:p>
    <w:p w:rsidR="007231B2" w:rsidRPr="00901D26" w:rsidRDefault="007231B2" w:rsidP="00901D26">
      <w:pPr>
        <w:keepNext/>
        <w:ind w:right="-284"/>
        <w:rPr>
          <w:rFonts w:ascii="Times New Roman" w:hAnsi="Times New Roman"/>
          <w:b/>
          <w:szCs w:val="24"/>
        </w:rPr>
      </w:pPr>
      <w:r w:rsidRPr="00901D26">
        <w:rPr>
          <w:rFonts w:ascii="Times New Roman" w:hAnsi="Times New Roman"/>
          <w:b/>
          <w:szCs w:val="24"/>
        </w:rPr>
        <w:t>Human rights implications</w:t>
      </w:r>
    </w:p>
    <w:p w:rsidR="0030123E" w:rsidRPr="00901D26" w:rsidRDefault="0030123E" w:rsidP="00901D26">
      <w:pPr>
        <w:keepNext/>
        <w:ind w:right="-284"/>
        <w:rPr>
          <w:rFonts w:ascii="Times New Roman" w:hAnsi="Times New Roman"/>
          <w:szCs w:val="24"/>
        </w:rPr>
      </w:pPr>
    </w:p>
    <w:p w:rsidR="00D15596" w:rsidRDefault="000C21C4" w:rsidP="00901D26">
      <w:pPr>
        <w:ind w:right="-284"/>
        <w:rPr>
          <w:rFonts w:ascii="Times New Roman" w:hAnsi="Times New Roman"/>
          <w:szCs w:val="24"/>
        </w:rPr>
      </w:pPr>
      <w:r w:rsidRPr="00901D26">
        <w:rPr>
          <w:rFonts w:ascii="Times New Roman" w:hAnsi="Times New Roman"/>
          <w:szCs w:val="24"/>
        </w:rPr>
        <w:t xml:space="preserve">The </w:t>
      </w:r>
      <w:r w:rsidR="007363D6" w:rsidRPr="00901D26">
        <w:rPr>
          <w:rFonts w:ascii="Times New Roman" w:hAnsi="Times New Roman"/>
          <w:szCs w:val="24"/>
        </w:rPr>
        <w:t>instrument</w:t>
      </w:r>
      <w:r w:rsidRPr="00901D26">
        <w:rPr>
          <w:rFonts w:ascii="Times New Roman" w:hAnsi="Times New Roman"/>
          <w:szCs w:val="24"/>
        </w:rPr>
        <w:t xml:space="preserve"> engages the right to health in Article 12 of the International Covenant on Economic, Social and Cultural rights (</w:t>
      </w:r>
      <w:r w:rsidR="004B5134" w:rsidRPr="00901D26">
        <w:rPr>
          <w:rFonts w:ascii="Times New Roman" w:hAnsi="Times New Roman"/>
          <w:szCs w:val="24"/>
        </w:rPr>
        <w:t>“</w:t>
      </w:r>
      <w:r w:rsidRPr="00901D26">
        <w:rPr>
          <w:rFonts w:ascii="Times New Roman" w:hAnsi="Times New Roman"/>
          <w:szCs w:val="24"/>
        </w:rPr>
        <w:t>ICESCR</w:t>
      </w:r>
      <w:r w:rsidR="004B5134" w:rsidRPr="00901D26">
        <w:rPr>
          <w:rFonts w:ascii="Times New Roman" w:hAnsi="Times New Roman"/>
          <w:szCs w:val="24"/>
        </w:rPr>
        <w:t>”</w:t>
      </w:r>
      <w:r w:rsidRPr="00901D26">
        <w:rPr>
          <w:rFonts w:ascii="Times New Roman" w:hAnsi="Times New Roman"/>
          <w:szCs w:val="24"/>
        </w:rPr>
        <w:t>).</w:t>
      </w:r>
      <w:r w:rsidR="00D15596">
        <w:rPr>
          <w:rFonts w:ascii="Times New Roman" w:hAnsi="Times New Roman"/>
          <w:szCs w:val="24"/>
        </w:rPr>
        <w:t xml:space="preserve"> </w:t>
      </w:r>
      <w:r w:rsidRPr="00901D26">
        <w:rPr>
          <w:rFonts w:ascii="Times New Roman" w:hAnsi="Times New Roman"/>
          <w:szCs w:val="24"/>
        </w:rPr>
        <w:t>Article 12 of the ICESCR promotes the right of all individuals to enjoy the highest attainable standards of physical and mental health.</w:t>
      </w:r>
    </w:p>
    <w:p w:rsidR="00D15596" w:rsidRDefault="00D15596" w:rsidP="00901D26">
      <w:pPr>
        <w:ind w:right="-284"/>
        <w:rPr>
          <w:rFonts w:ascii="Times New Roman" w:hAnsi="Times New Roman"/>
          <w:szCs w:val="24"/>
        </w:rPr>
      </w:pPr>
    </w:p>
    <w:p w:rsidR="000C21C4" w:rsidRPr="00901D26" w:rsidRDefault="000C21C4" w:rsidP="00901D26">
      <w:pPr>
        <w:ind w:right="-284"/>
        <w:rPr>
          <w:rFonts w:ascii="Times New Roman" w:hAnsi="Times New Roman"/>
          <w:szCs w:val="24"/>
        </w:rPr>
      </w:pPr>
      <w:r w:rsidRPr="00901D26">
        <w:rPr>
          <w:rFonts w:ascii="Times New Roman" w:hAnsi="Times New Roman"/>
          <w:szCs w:val="24"/>
        </w:rPr>
        <w:t xml:space="preserve">In </w:t>
      </w:r>
      <w:r w:rsidRPr="00901D26">
        <w:rPr>
          <w:rFonts w:ascii="Times New Roman" w:hAnsi="Times New Roman"/>
          <w:i/>
          <w:szCs w:val="24"/>
        </w:rPr>
        <w:t>General Comment No. 14: The Right to the Highest Attainable Standard of Health (Art. 12)</w:t>
      </w:r>
      <w:r w:rsidRPr="00901D26">
        <w:rPr>
          <w:rFonts w:ascii="Times New Roman" w:hAnsi="Times New Roman"/>
          <w:szCs w:val="24"/>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0C21C4" w:rsidRPr="00901D26" w:rsidRDefault="000C21C4" w:rsidP="00901D26">
      <w:pPr>
        <w:ind w:right="-284"/>
        <w:rPr>
          <w:rFonts w:ascii="Times New Roman" w:hAnsi="Times New Roman"/>
          <w:szCs w:val="24"/>
        </w:rPr>
      </w:pPr>
    </w:p>
    <w:p w:rsidR="00A36EFF" w:rsidRDefault="000C21C4" w:rsidP="00901D26">
      <w:pPr>
        <w:ind w:right="-284"/>
        <w:rPr>
          <w:rFonts w:ascii="Times New Roman" w:hAnsi="Times New Roman"/>
          <w:szCs w:val="24"/>
        </w:rPr>
      </w:pPr>
      <w:r w:rsidRPr="00901D26">
        <w:rPr>
          <w:rFonts w:ascii="Times New Roman" w:hAnsi="Times New Roman"/>
          <w:szCs w:val="24"/>
        </w:rPr>
        <w:t xml:space="preserve">The </w:t>
      </w:r>
      <w:r w:rsidR="007363D6" w:rsidRPr="00901D26">
        <w:rPr>
          <w:rFonts w:ascii="Times New Roman" w:hAnsi="Times New Roman"/>
          <w:szCs w:val="24"/>
        </w:rPr>
        <w:t>instrument</w:t>
      </w:r>
      <w:r w:rsidRPr="00901D26">
        <w:rPr>
          <w:rFonts w:ascii="Times New Roman" w:hAnsi="Times New Roman"/>
          <w:szCs w:val="24"/>
        </w:rPr>
        <w:t xml:space="preserve"> takes positive steps to promote the right to health by helping to ensure the safe and proper use of therapeutic goods</w:t>
      </w:r>
      <w:r w:rsidR="00547C0F" w:rsidRPr="00901D26">
        <w:rPr>
          <w:rFonts w:ascii="Times New Roman" w:hAnsi="Times New Roman"/>
          <w:szCs w:val="24"/>
        </w:rPr>
        <w:t xml:space="preserve"> that are listed medicines</w:t>
      </w:r>
      <w:r w:rsidRPr="00901D26">
        <w:rPr>
          <w:rFonts w:ascii="Times New Roman" w:hAnsi="Times New Roman"/>
          <w:szCs w:val="24"/>
        </w:rPr>
        <w:t xml:space="preserve">. The </w:t>
      </w:r>
      <w:r w:rsidR="007363D6" w:rsidRPr="00901D26">
        <w:rPr>
          <w:rFonts w:ascii="Times New Roman" w:hAnsi="Times New Roman"/>
          <w:szCs w:val="24"/>
        </w:rPr>
        <w:t>instrument</w:t>
      </w:r>
      <w:r w:rsidRPr="00901D26">
        <w:rPr>
          <w:rFonts w:ascii="Times New Roman" w:hAnsi="Times New Roman"/>
          <w:szCs w:val="24"/>
        </w:rPr>
        <w:t xml:space="preserve"> seeks to protect and promote the health of all Australians by </w:t>
      </w:r>
      <w:r w:rsidR="00AD75DC" w:rsidRPr="00901D26">
        <w:rPr>
          <w:rFonts w:ascii="Times New Roman" w:hAnsi="Times New Roman"/>
          <w:szCs w:val="24"/>
        </w:rPr>
        <w:t xml:space="preserve">specifying therapeutic goods </w:t>
      </w:r>
      <w:r w:rsidRPr="00901D26">
        <w:rPr>
          <w:rFonts w:ascii="Times New Roman" w:hAnsi="Times New Roman"/>
          <w:szCs w:val="24"/>
        </w:rPr>
        <w:t xml:space="preserve">information </w:t>
      </w:r>
      <w:r w:rsidR="00AF3366" w:rsidRPr="00901D26">
        <w:rPr>
          <w:rFonts w:ascii="Times New Roman" w:hAnsi="Times New Roman"/>
          <w:szCs w:val="24"/>
        </w:rPr>
        <w:t>that relates</w:t>
      </w:r>
      <w:r w:rsidRPr="00901D26">
        <w:rPr>
          <w:rFonts w:ascii="Times New Roman" w:hAnsi="Times New Roman"/>
          <w:szCs w:val="24"/>
        </w:rPr>
        <w:t xml:space="preserve"> to </w:t>
      </w:r>
      <w:r w:rsidR="000D0F32" w:rsidRPr="00901D26">
        <w:rPr>
          <w:rFonts w:ascii="Times New Roman" w:hAnsi="Times New Roman"/>
          <w:szCs w:val="24"/>
        </w:rPr>
        <w:t xml:space="preserve">the </w:t>
      </w:r>
      <w:r w:rsidR="00AF3366" w:rsidRPr="00901D26">
        <w:rPr>
          <w:rFonts w:ascii="Times New Roman" w:hAnsi="Times New Roman"/>
          <w:szCs w:val="24"/>
        </w:rPr>
        <w:t xml:space="preserve">compliance reviews </w:t>
      </w:r>
      <w:r w:rsidR="00D15596">
        <w:rPr>
          <w:rFonts w:ascii="Times New Roman" w:hAnsi="Times New Roman"/>
          <w:szCs w:val="24"/>
        </w:rPr>
        <w:t xml:space="preserve">undertaken </w:t>
      </w:r>
      <w:r w:rsidR="00AF3366" w:rsidRPr="00901D26">
        <w:rPr>
          <w:rFonts w:ascii="Times New Roman" w:hAnsi="Times New Roman"/>
          <w:szCs w:val="24"/>
        </w:rPr>
        <w:t>by the TGA in relation to listed medicines</w:t>
      </w:r>
      <w:r w:rsidR="000D0F32" w:rsidRPr="00901D26">
        <w:rPr>
          <w:rFonts w:ascii="Times New Roman" w:hAnsi="Times New Roman"/>
          <w:szCs w:val="24"/>
        </w:rPr>
        <w:t>, including th</w:t>
      </w:r>
      <w:r w:rsidR="00D15596">
        <w:rPr>
          <w:rFonts w:ascii="Times New Roman" w:hAnsi="Times New Roman"/>
          <w:szCs w:val="24"/>
        </w:rPr>
        <w:t>e</w:t>
      </w:r>
      <w:r w:rsidR="000D0F32" w:rsidRPr="00901D26">
        <w:rPr>
          <w:rFonts w:ascii="Times New Roman" w:hAnsi="Times New Roman"/>
          <w:szCs w:val="24"/>
        </w:rPr>
        <w:t xml:space="preserve"> outcomes</w:t>
      </w:r>
      <w:r w:rsidR="00D15596">
        <w:rPr>
          <w:rFonts w:ascii="Times New Roman" w:hAnsi="Times New Roman"/>
          <w:szCs w:val="24"/>
        </w:rPr>
        <w:t xml:space="preserve"> of those reviews</w:t>
      </w:r>
      <w:r w:rsidR="00AF3366" w:rsidRPr="00901D26">
        <w:rPr>
          <w:rFonts w:ascii="Times New Roman" w:hAnsi="Times New Roman"/>
          <w:szCs w:val="24"/>
        </w:rPr>
        <w:t>.</w:t>
      </w:r>
    </w:p>
    <w:p w:rsidR="00A36EFF" w:rsidRDefault="00A36EFF" w:rsidP="00901D26">
      <w:pPr>
        <w:ind w:right="-284"/>
        <w:rPr>
          <w:rFonts w:ascii="Times New Roman" w:hAnsi="Times New Roman"/>
          <w:szCs w:val="24"/>
        </w:rPr>
      </w:pPr>
    </w:p>
    <w:p w:rsidR="00AF3366" w:rsidRPr="00901D26" w:rsidRDefault="00A36EFF" w:rsidP="00901D26">
      <w:pPr>
        <w:ind w:right="-284"/>
        <w:rPr>
          <w:rFonts w:ascii="Times New Roman" w:hAnsi="Times New Roman"/>
          <w:szCs w:val="24"/>
        </w:rPr>
      </w:pPr>
      <w:r>
        <w:rPr>
          <w:rFonts w:ascii="Times New Roman" w:hAnsi="Times New Roman"/>
          <w:szCs w:val="24"/>
        </w:rPr>
        <w:t xml:space="preserve">The publication of therapeutic goods </w:t>
      </w:r>
      <w:r w:rsidR="000C21C4" w:rsidRPr="00901D26">
        <w:rPr>
          <w:rFonts w:ascii="Times New Roman" w:hAnsi="Times New Roman"/>
          <w:szCs w:val="24"/>
        </w:rPr>
        <w:t xml:space="preserve">information </w:t>
      </w:r>
      <w:r>
        <w:rPr>
          <w:rFonts w:ascii="Times New Roman" w:hAnsi="Times New Roman"/>
          <w:szCs w:val="24"/>
        </w:rPr>
        <w:t xml:space="preserve">specified in this instrument </w:t>
      </w:r>
      <w:r w:rsidR="000C21C4" w:rsidRPr="00901D26">
        <w:rPr>
          <w:rFonts w:ascii="Times New Roman" w:hAnsi="Times New Roman"/>
          <w:szCs w:val="24"/>
        </w:rPr>
        <w:t xml:space="preserve">will assist </w:t>
      </w:r>
      <w:r w:rsidR="00AF3366" w:rsidRPr="00901D26">
        <w:rPr>
          <w:rFonts w:ascii="Times New Roman" w:hAnsi="Times New Roman"/>
          <w:szCs w:val="24"/>
        </w:rPr>
        <w:t>consumers in making more informed choices about</w:t>
      </w:r>
      <w:r w:rsidR="000C21C4" w:rsidRPr="00901D26">
        <w:rPr>
          <w:rFonts w:ascii="Times New Roman" w:hAnsi="Times New Roman"/>
          <w:szCs w:val="24"/>
        </w:rPr>
        <w:t xml:space="preserve"> </w:t>
      </w:r>
      <w:r>
        <w:rPr>
          <w:rFonts w:ascii="Times New Roman" w:hAnsi="Times New Roman"/>
          <w:szCs w:val="24"/>
        </w:rPr>
        <w:t xml:space="preserve">the </w:t>
      </w:r>
      <w:r w:rsidR="00AF3366" w:rsidRPr="00901D26">
        <w:rPr>
          <w:rFonts w:ascii="Times New Roman" w:hAnsi="Times New Roman"/>
          <w:szCs w:val="24"/>
        </w:rPr>
        <w:t xml:space="preserve">use of </w:t>
      </w:r>
      <w:r>
        <w:rPr>
          <w:rFonts w:ascii="Times New Roman" w:hAnsi="Times New Roman"/>
          <w:szCs w:val="24"/>
        </w:rPr>
        <w:t xml:space="preserve">listed </w:t>
      </w:r>
      <w:r w:rsidR="00AF3366" w:rsidRPr="00901D26">
        <w:rPr>
          <w:rFonts w:ascii="Times New Roman" w:hAnsi="Times New Roman"/>
          <w:szCs w:val="24"/>
        </w:rPr>
        <w:t>medicines</w:t>
      </w:r>
      <w:r>
        <w:rPr>
          <w:rFonts w:ascii="Times New Roman" w:hAnsi="Times New Roman"/>
          <w:szCs w:val="24"/>
        </w:rPr>
        <w:t xml:space="preserve">, and act </w:t>
      </w:r>
      <w:r w:rsidR="000C21C4" w:rsidRPr="00901D26">
        <w:rPr>
          <w:rFonts w:ascii="Times New Roman" w:hAnsi="Times New Roman"/>
          <w:szCs w:val="24"/>
        </w:rPr>
        <w:t>as a</w:t>
      </w:r>
      <w:r w:rsidR="00AF3366" w:rsidRPr="00901D26">
        <w:rPr>
          <w:rFonts w:ascii="Times New Roman" w:hAnsi="Times New Roman"/>
          <w:szCs w:val="24"/>
        </w:rPr>
        <w:t>n</w:t>
      </w:r>
      <w:r w:rsidR="000C21C4" w:rsidRPr="00901D26">
        <w:rPr>
          <w:rFonts w:ascii="Times New Roman" w:hAnsi="Times New Roman"/>
          <w:szCs w:val="24"/>
        </w:rPr>
        <w:t xml:space="preserve"> </w:t>
      </w:r>
      <w:r>
        <w:rPr>
          <w:rFonts w:ascii="Times New Roman" w:hAnsi="Times New Roman"/>
          <w:szCs w:val="24"/>
        </w:rPr>
        <w:t xml:space="preserve">appropriate </w:t>
      </w:r>
      <w:r w:rsidR="00AF3366" w:rsidRPr="00901D26">
        <w:rPr>
          <w:rFonts w:ascii="Times New Roman" w:hAnsi="Times New Roman"/>
          <w:szCs w:val="24"/>
        </w:rPr>
        <w:t xml:space="preserve">incentive </w:t>
      </w:r>
      <w:r>
        <w:rPr>
          <w:rFonts w:ascii="Times New Roman" w:hAnsi="Times New Roman"/>
          <w:szCs w:val="24"/>
        </w:rPr>
        <w:t xml:space="preserve">for </w:t>
      </w:r>
      <w:r w:rsidR="00AF3366" w:rsidRPr="00901D26">
        <w:rPr>
          <w:rFonts w:ascii="Times New Roman" w:hAnsi="Times New Roman"/>
          <w:szCs w:val="24"/>
        </w:rPr>
        <w:t xml:space="preserve">sponsors of </w:t>
      </w:r>
      <w:r>
        <w:rPr>
          <w:rFonts w:ascii="Times New Roman" w:hAnsi="Times New Roman"/>
          <w:szCs w:val="24"/>
        </w:rPr>
        <w:t xml:space="preserve">such </w:t>
      </w:r>
      <w:r w:rsidR="00AF3366" w:rsidRPr="00901D26">
        <w:rPr>
          <w:rFonts w:ascii="Times New Roman" w:hAnsi="Times New Roman"/>
          <w:szCs w:val="24"/>
        </w:rPr>
        <w:t>medicines to improve overall compliance with applicable regulatory requirements.</w:t>
      </w:r>
    </w:p>
    <w:p w:rsidR="00712716" w:rsidRPr="00901D26" w:rsidRDefault="00712716" w:rsidP="00901D26">
      <w:pPr>
        <w:ind w:right="-284"/>
        <w:rPr>
          <w:rFonts w:ascii="Times New Roman" w:hAnsi="Times New Roman"/>
          <w:szCs w:val="24"/>
        </w:rPr>
      </w:pPr>
    </w:p>
    <w:p w:rsidR="0030123E" w:rsidRPr="00901D26" w:rsidRDefault="0030123E" w:rsidP="006575E0">
      <w:pPr>
        <w:keepNext/>
        <w:ind w:right="-284"/>
        <w:rPr>
          <w:rFonts w:ascii="Times New Roman" w:hAnsi="Times New Roman"/>
          <w:b/>
          <w:szCs w:val="24"/>
        </w:rPr>
      </w:pPr>
      <w:r w:rsidRPr="00901D26">
        <w:rPr>
          <w:rFonts w:ascii="Times New Roman" w:hAnsi="Times New Roman"/>
          <w:b/>
          <w:szCs w:val="24"/>
        </w:rPr>
        <w:lastRenderedPageBreak/>
        <w:t>Conclusion</w:t>
      </w:r>
    </w:p>
    <w:p w:rsidR="0030123E" w:rsidRPr="00901D26" w:rsidRDefault="0030123E" w:rsidP="006575E0">
      <w:pPr>
        <w:keepNext/>
        <w:ind w:right="-284"/>
        <w:rPr>
          <w:rFonts w:ascii="Times New Roman" w:hAnsi="Times New Roman"/>
          <w:szCs w:val="24"/>
        </w:rPr>
      </w:pPr>
    </w:p>
    <w:p w:rsidR="0030123E" w:rsidRPr="00901D26" w:rsidRDefault="000C21C4" w:rsidP="00901D26">
      <w:pPr>
        <w:ind w:right="-284"/>
        <w:rPr>
          <w:rFonts w:ascii="Times New Roman" w:hAnsi="Times New Roman"/>
          <w:szCs w:val="24"/>
        </w:rPr>
      </w:pPr>
      <w:r w:rsidRPr="00901D26">
        <w:rPr>
          <w:rFonts w:ascii="Times New Roman" w:hAnsi="Times New Roman"/>
          <w:szCs w:val="24"/>
        </w:rPr>
        <w:t>This legislative instrument is compatible with human rights because it promotes the right to health in Article 12 of the ICESCR and does not raise any other human rights issues</w:t>
      </w:r>
      <w:r w:rsidR="000A5AE3" w:rsidRPr="00901D26">
        <w:rPr>
          <w:rFonts w:ascii="Times New Roman" w:hAnsi="Times New Roman"/>
          <w:szCs w:val="24"/>
        </w:rPr>
        <w:t>.</w:t>
      </w:r>
    </w:p>
    <w:p w:rsidR="007231B2" w:rsidRPr="00901D26" w:rsidRDefault="007231B2" w:rsidP="00901D26">
      <w:pPr>
        <w:ind w:right="-284"/>
        <w:rPr>
          <w:rFonts w:ascii="Times New Roman" w:hAnsi="Times New Roman"/>
          <w:szCs w:val="24"/>
        </w:rPr>
      </w:pPr>
    </w:p>
    <w:p w:rsidR="000A5AE3" w:rsidRPr="00901D26" w:rsidRDefault="000A5AE3" w:rsidP="00901D26">
      <w:pPr>
        <w:ind w:right="-284"/>
        <w:rPr>
          <w:rFonts w:ascii="Times New Roman" w:hAnsi="Times New Roman"/>
          <w:szCs w:val="24"/>
        </w:rPr>
      </w:pPr>
    </w:p>
    <w:p w:rsidR="007231B2" w:rsidRPr="00901D26" w:rsidRDefault="00E12F35" w:rsidP="00901D26">
      <w:pPr>
        <w:ind w:right="-284"/>
        <w:rPr>
          <w:rFonts w:ascii="Times New Roman" w:hAnsi="Times New Roman"/>
          <w:b/>
          <w:szCs w:val="24"/>
        </w:rPr>
      </w:pPr>
      <w:r w:rsidRPr="006175FF">
        <w:rPr>
          <w:rFonts w:ascii="Times New Roman" w:hAnsi="Times New Roman"/>
          <w:b/>
          <w:szCs w:val="24"/>
        </w:rPr>
        <w:t>John Skerritt</w:t>
      </w:r>
      <w:r w:rsidR="007231B2" w:rsidRPr="006175FF">
        <w:rPr>
          <w:rFonts w:ascii="Times New Roman" w:hAnsi="Times New Roman"/>
          <w:b/>
          <w:szCs w:val="24"/>
        </w:rPr>
        <w:t xml:space="preserve">, delegate of the </w:t>
      </w:r>
      <w:r w:rsidR="002757A6" w:rsidRPr="006175FF">
        <w:rPr>
          <w:rFonts w:ascii="Times New Roman" w:hAnsi="Times New Roman"/>
          <w:b/>
          <w:szCs w:val="24"/>
        </w:rPr>
        <w:t xml:space="preserve">Minister for </w:t>
      </w:r>
      <w:r w:rsidR="007231B2" w:rsidRPr="006175FF">
        <w:rPr>
          <w:rFonts w:ascii="Times New Roman" w:hAnsi="Times New Roman"/>
          <w:b/>
          <w:szCs w:val="24"/>
        </w:rPr>
        <w:t>Health</w:t>
      </w:r>
      <w:bookmarkStart w:id="0" w:name="_GoBack"/>
      <w:bookmarkEnd w:id="0"/>
    </w:p>
    <w:sectPr w:rsidR="007231B2" w:rsidRPr="00901D26"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0" w:rsidRDefault="00F50980">
      <w:r>
        <w:separator/>
      </w:r>
    </w:p>
  </w:endnote>
  <w:endnote w:type="continuationSeparator" w:id="0">
    <w:p w:rsidR="00F50980" w:rsidRDefault="00F5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rPr>
    </w:sdtEndPr>
    <w:sdtContent>
      <w:p w:rsidR="00913FE2" w:rsidRDefault="00913FE2">
        <w:pPr>
          <w:pStyle w:val="Footer"/>
          <w:jc w:val="right"/>
        </w:pPr>
        <w:r>
          <w:fldChar w:fldCharType="begin"/>
        </w:r>
        <w:r>
          <w:instrText xml:space="preserve"> PAGE   \* MERGEFORMAT </w:instrText>
        </w:r>
        <w:r>
          <w:fldChar w:fldCharType="separate"/>
        </w:r>
        <w:r w:rsidR="00F952AB">
          <w:rPr>
            <w:noProof/>
          </w:rPr>
          <w:t>8</w:t>
        </w:r>
        <w:r>
          <w:rPr>
            <w:noProof/>
          </w:rPr>
          <w:fldChar w:fldCharType="end"/>
        </w:r>
      </w:p>
    </w:sdtContent>
  </w:sdt>
  <w:p w:rsidR="00913FE2" w:rsidRPr="00877529" w:rsidRDefault="00913FE2"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E2" w:rsidRDefault="00913FE2"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0" w:rsidRDefault="00F50980">
      <w:r>
        <w:separator/>
      </w:r>
    </w:p>
  </w:footnote>
  <w:footnote w:type="continuationSeparator" w:id="0">
    <w:p w:rsidR="00F50980" w:rsidRDefault="00F5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E2" w:rsidRDefault="00913FE2"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3FE2" w:rsidRDefault="00913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E2" w:rsidRDefault="00913FE2" w:rsidP="00AD1943">
    <w:pPr>
      <w:pStyle w:val="Header"/>
      <w:tabs>
        <w:tab w:val="clear" w:pos="4153"/>
        <w:tab w:val="clear" w:pos="8306"/>
        <w:tab w:val="left" w:pos="0"/>
      </w:tabs>
    </w:pPr>
  </w:p>
  <w:p w:rsidR="00913FE2" w:rsidRDefault="00913FE2"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7"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3"/>
  </w:num>
  <w:num w:numId="5">
    <w:abstractNumId w:val="4"/>
  </w:num>
  <w:num w:numId="6">
    <w:abstractNumId w:val="2"/>
  </w:num>
  <w:num w:numId="7">
    <w:abstractNumId w:val="0"/>
  </w:num>
  <w:num w:numId="8">
    <w:abstractNumId w:val="7"/>
  </w:num>
  <w:num w:numId="9">
    <w:abstractNumId w:val="14"/>
  </w:num>
  <w:num w:numId="10">
    <w:abstractNumId w:val="6"/>
  </w:num>
  <w:num w:numId="11">
    <w:abstractNumId w:val="10"/>
  </w:num>
  <w:num w:numId="12">
    <w:abstractNumId w:val="5"/>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B2"/>
    <w:rsid w:val="00012656"/>
    <w:rsid w:val="00013323"/>
    <w:rsid w:val="000257B7"/>
    <w:rsid w:val="00025B0F"/>
    <w:rsid w:val="000372AF"/>
    <w:rsid w:val="00037439"/>
    <w:rsid w:val="00037CA7"/>
    <w:rsid w:val="000405EE"/>
    <w:rsid w:val="00042068"/>
    <w:rsid w:val="00045BDF"/>
    <w:rsid w:val="000614D9"/>
    <w:rsid w:val="00064CC7"/>
    <w:rsid w:val="0006546D"/>
    <w:rsid w:val="000675AB"/>
    <w:rsid w:val="00072CA3"/>
    <w:rsid w:val="00075839"/>
    <w:rsid w:val="000810B4"/>
    <w:rsid w:val="00081E09"/>
    <w:rsid w:val="000824D5"/>
    <w:rsid w:val="00085CCF"/>
    <w:rsid w:val="000917B7"/>
    <w:rsid w:val="00093E11"/>
    <w:rsid w:val="00094B6D"/>
    <w:rsid w:val="00095231"/>
    <w:rsid w:val="000A5AE3"/>
    <w:rsid w:val="000B005F"/>
    <w:rsid w:val="000B37FD"/>
    <w:rsid w:val="000B58AA"/>
    <w:rsid w:val="000B58FD"/>
    <w:rsid w:val="000B6B42"/>
    <w:rsid w:val="000B7645"/>
    <w:rsid w:val="000C21C4"/>
    <w:rsid w:val="000D0F32"/>
    <w:rsid w:val="000D1DE2"/>
    <w:rsid w:val="000D73D0"/>
    <w:rsid w:val="000E36A7"/>
    <w:rsid w:val="000F04F8"/>
    <w:rsid w:val="00104E72"/>
    <w:rsid w:val="00105603"/>
    <w:rsid w:val="001157E4"/>
    <w:rsid w:val="00132FF7"/>
    <w:rsid w:val="00141D8C"/>
    <w:rsid w:val="00143670"/>
    <w:rsid w:val="00146B03"/>
    <w:rsid w:val="00147ACA"/>
    <w:rsid w:val="001543C7"/>
    <w:rsid w:val="001760FA"/>
    <w:rsid w:val="001811A6"/>
    <w:rsid w:val="001840D6"/>
    <w:rsid w:val="00190FC6"/>
    <w:rsid w:val="00195047"/>
    <w:rsid w:val="00195BB6"/>
    <w:rsid w:val="00197BB2"/>
    <w:rsid w:val="001A0568"/>
    <w:rsid w:val="001A19D7"/>
    <w:rsid w:val="001A214C"/>
    <w:rsid w:val="001A4C5C"/>
    <w:rsid w:val="001C602E"/>
    <w:rsid w:val="001D19ED"/>
    <w:rsid w:val="001D3026"/>
    <w:rsid w:val="001E6D11"/>
    <w:rsid w:val="001F0239"/>
    <w:rsid w:val="001F2642"/>
    <w:rsid w:val="001F3922"/>
    <w:rsid w:val="001F73A0"/>
    <w:rsid w:val="00201305"/>
    <w:rsid w:val="00203B05"/>
    <w:rsid w:val="00204B5E"/>
    <w:rsid w:val="002058BF"/>
    <w:rsid w:val="00206AF2"/>
    <w:rsid w:val="002404DB"/>
    <w:rsid w:val="00242E07"/>
    <w:rsid w:val="00256A62"/>
    <w:rsid w:val="0026607F"/>
    <w:rsid w:val="002707DC"/>
    <w:rsid w:val="002757A6"/>
    <w:rsid w:val="002808F1"/>
    <w:rsid w:val="00283E00"/>
    <w:rsid w:val="00290960"/>
    <w:rsid w:val="00292B07"/>
    <w:rsid w:val="00293CB9"/>
    <w:rsid w:val="00294A49"/>
    <w:rsid w:val="00294DFA"/>
    <w:rsid w:val="00297750"/>
    <w:rsid w:val="002A0ADB"/>
    <w:rsid w:val="002B5A0B"/>
    <w:rsid w:val="002B5CF0"/>
    <w:rsid w:val="002B7945"/>
    <w:rsid w:val="002D37B0"/>
    <w:rsid w:val="002D3EA1"/>
    <w:rsid w:val="002E0A39"/>
    <w:rsid w:val="002E1F59"/>
    <w:rsid w:val="002E3566"/>
    <w:rsid w:val="002E6401"/>
    <w:rsid w:val="002E77F0"/>
    <w:rsid w:val="0030123E"/>
    <w:rsid w:val="003047A0"/>
    <w:rsid w:val="00314200"/>
    <w:rsid w:val="00315186"/>
    <w:rsid w:val="00327C89"/>
    <w:rsid w:val="00335801"/>
    <w:rsid w:val="00336E08"/>
    <w:rsid w:val="00344111"/>
    <w:rsid w:val="003473D3"/>
    <w:rsid w:val="0034742D"/>
    <w:rsid w:val="00350252"/>
    <w:rsid w:val="003533D3"/>
    <w:rsid w:val="003701C5"/>
    <w:rsid w:val="00370C90"/>
    <w:rsid w:val="003749B3"/>
    <w:rsid w:val="00382439"/>
    <w:rsid w:val="003839E9"/>
    <w:rsid w:val="00386F17"/>
    <w:rsid w:val="00387BB3"/>
    <w:rsid w:val="00395FAE"/>
    <w:rsid w:val="00396601"/>
    <w:rsid w:val="00396F63"/>
    <w:rsid w:val="003B2462"/>
    <w:rsid w:val="003C04A2"/>
    <w:rsid w:val="003C191C"/>
    <w:rsid w:val="003C223D"/>
    <w:rsid w:val="003C2A3E"/>
    <w:rsid w:val="003C52E5"/>
    <w:rsid w:val="003C5DE1"/>
    <w:rsid w:val="003C5E24"/>
    <w:rsid w:val="003C635E"/>
    <w:rsid w:val="003D187B"/>
    <w:rsid w:val="003D2315"/>
    <w:rsid w:val="003D6C16"/>
    <w:rsid w:val="003E0599"/>
    <w:rsid w:val="003E406D"/>
    <w:rsid w:val="003F381E"/>
    <w:rsid w:val="003F64DA"/>
    <w:rsid w:val="00413B76"/>
    <w:rsid w:val="00420786"/>
    <w:rsid w:val="00422B41"/>
    <w:rsid w:val="004324BB"/>
    <w:rsid w:val="00434430"/>
    <w:rsid w:val="0043463F"/>
    <w:rsid w:val="004366EB"/>
    <w:rsid w:val="0044018D"/>
    <w:rsid w:val="00442059"/>
    <w:rsid w:val="00451CCD"/>
    <w:rsid w:val="00453338"/>
    <w:rsid w:val="0046020B"/>
    <w:rsid w:val="00462B57"/>
    <w:rsid w:val="00462DFB"/>
    <w:rsid w:val="0046497F"/>
    <w:rsid w:val="00464E36"/>
    <w:rsid w:val="00473CD2"/>
    <w:rsid w:val="00475FB8"/>
    <w:rsid w:val="00476489"/>
    <w:rsid w:val="00480D1D"/>
    <w:rsid w:val="004829AD"/>
    <w:rsid w:val="004833CC"/>
    <w:rsid w:val="00486AE4"/>
    <w:rsid w:val="00490CE7"/>
    <w:rsid w:val="00497396"/>
    <w:rsid w:val="004B2AAC"/>
    <w:rsid w:val="004B5134"/>
    <w:rsid w:val="004D4DFC"/>
    <w:rsid w:val="004E1773"/>
    <w:rsid w:val="004E32CA"/>
    <w:rsid w:val="004E668D"/>
    <w:rsid w:val="004F2CA3"/>
    <w:rsid w:val="004F47A6"/>
    <w:rsid w:val="005000FF"/>
    <w:rsid w:val="00504A03"/>
    <w:rsid w:val="00514F45"/>
    <w:rsid w:val="00515B64"/>
    <w:rsid w:val="005231B0"/>
    <w:rsid w:val="00526543"/>
    <w:rsid w:val="0053604F"/>
    <w:rsid w:val="00536D79"/>
    <w:rsid w:val="0054576E"/>
    <w:rsid w:val="0054626F"/>
    <w:rsid w:val="00546B3E"/>
    <w:rsid w:val="00547C0F"/>
    <w:rsid w:val="00556311"/>
    <w:rsid w:val="00561F82"/>
    <w:rsid w:val="005623D6"/>
    <w:rsid w:val="0057215F"/>
    <w:rsid w:val="00593609"/>
    <w:rsid w:val="00594BC2"/>
    <w:rsid w:val="0059755B"/>
    <w:rsid w:val="005A408B"/>
    <w:rsid w:val="005B69FF"/>
    <w:rsid w:val="005C02D8"/>
    <w:rsid w:val="005C235E"/>
    <w:rsid w:val="005C30F9"/>
    <w:rsid w:val="005C5FB4"/>
    <w:rsid w:val="005E10B7"/>
    <w:rsid w:val="005E1975"/>
    <w:rsid w:val="005E1BCC"/>
    <w:rsid w:val="005E26CD"/>
    <w:rsid w:val="005E563B"/>
    <w:rsid w:val="005E778D"/>
    <w:rsid w:val="005F0859"/>
    <w:rsid w:val="005F3070"/>
    <w:rsid w:val="005F3A89"/>
    <w:rsid w:val="006060E2"/>
    <w:rsid w:val="00606DFF"/>
    <w:rsid w:val="00611E64"/>
    <w:rsid w:val="00616634"/>
    <w:rsid w:val="0061673E"/>
    <w:rsid w:val="006175FF"/>
    <w:rsid w:val="00621156"/>
    <w:rsid w:val="006217AB"/>
    <w:rsid w:val="0062448C"/>
    <w:rsid w:val="00625284"/>
    <w:rsid w:val="006264E3"/>
    <w:rsid w:val="00634C8C"/>
    <w:rsid w:val="006351A7"/>
    <w:rsid w:val="00635C35"/>
    <w:rsid w:val="00636FD2"/>
    <w:rsid w:val="0064261D"/>
    <w:rsid w:val="00650907"/>
    <w:rsid w:val="00656611"/>
    <w:rsid w:val="006575E0"/>
    <w:rsid w:val="00665ACA"/>
    <w:rsid w:val="006709C9"/>
    <w:rsid w:val="0067291A"/>
    <w:rsid w:val="00674576"/>
    <w:rsid w:val="006878CE"/>
    <w:rsid w:val="00691739"/>
    <w:rsid w:val="00695811"/>
    <w:rsid w:val="006A5655"/>
    <w:rsid w:val="006A65CF"/>
    <w:rsid w:val="006B0291"/>
    <w:rsid w:val="006B0944"/>
    <w:rsid w:val="006B539F"/>
    <w:rsid w:val="006B6451"/>
    <w:rsid w:val="006D1FDA"/>
    <w:rsid w:val="006E16FA"/>
    <w:rsid w:val="006E3506"/>
    <w:rsid w:val="006E5DA8"/>
    <w:rsid w:val="006F22BA"/>
    <w:rsid w:val="006F372C"/>
    <w:rsid w:val="0070033E"/>
    <w:rsid w:val="00700FE9"/>
    <w:rsid w:val="00703BF0"/>
    <w:rsid w:val="00712716"/>
    <w:rsid w:val="00716896"/>
    <w:rsid w:val="007231B2"/>
    <w:rsid w:val="00723277"/>
    <w:rsid w:val="00730B87"/>
    <w:rsid w:val="00735A9C"/>
    <w:rsid w:val="007363D6"/>
    <w:rsid w:val="007529F8"/>
    <w:rsid w:val="00763E51"/>
    <w:rsid w:val="007727E7"/>
    <w:rsid w:val="00796B07"/>
    <w:rsid w:val="007B18F6"/>
    <w:rsid w:val="007B5413"/>
    <w:rsid w:val="007D3909"/>
    <w:rsid w:val="007D42A8"/>
    <w:rsid w:val="007D454B"/>
    <w:rsid w:val="007F4DB1"/>
    <w:rsid w:val="007F5E46"/>
    <w:rsid w:val="007F6C79"/>
    <w:rsid w:val="00816CBD"/>
    <w:rsid w:val="008220E2"/>
    <w:rsid w:val="00824C87"/>
    <w:rsid w:val="00826B69"/>
    <w:rsid w:val="00835618"/>
    <w:rsid w:val="00837533"/>
    <w:rsid w:val="00846A95"/>
    <w:rsid w:val="00846DA5"/>
    <w:rsid w:val="00852736"/>
    <w:rsid w:val="008553EC"/>
    <w:rsid w:val="008566DA"/>
    <w:rsid w:val="00862B50"/>
    <w:rsid w:val="00863009"/>
    <w:rsid w:val="008663C1"/>
    <w:rsid w:val="00871EDA"/>
    <w:rsid w:val="00877529"/>
    <w:rsid w:val="00880A79"/>
    <w:rsid w:val="00882AED"/>
    <w:rsid w:val="00882F76"/>
    <w:rsid w:val="00887CFB"/>
    <w:rsid w:val="00891CD0"/>
    <w:rsid w:val="0089273D"/>
    <w:rsid w:val="008A4504"/>
    <w:rsid w:val="008B6B9F"/>
    <w:rsid w:val="008C2DFA"/>
    <w:rsid w:val="008C3004"/>
    <w:rsid w:val="008D0491"/>
    <w:rsid w:val="008D1520"/>
    <w:rsid w:val="008D487A"/>
    <w:rsid w:val="008D59E6"/>
    <w:rsid w:val="008E4262"/>
    <w:rsid w:val="008E7CA0"/>
    <w:rsid w:val="008F0DE7"/>
    <w:rsid w:val="008F2FE7"/>
    <w:rsid w:val="008F7C91"/>
    <w:rsid w:val="008F7FF8"/>
    <w:rsid w:val="00901D26"/>
    <w:rsid w:val="00913FE2"/>
    <w:rsid w:val="00924BE6"/>
    <w:rsid w:val="009330BC"/>
    <w:rsid w:val="009377D2"/>
    <w:rsid w:val="00943A52"/>
    <w:rsid w:val="00945190"/>
    <w:rsid w:val="00946A18"/>
    <w:rsid w:val="00946D6F"/>
    <w:rsid w:val="00950602"/>
    <w:rsid w:val="00954C8A"/>
    <w:rsid w:val="00957D1D"/>
    <w:rsid w:val="0096089C"/>
    <w:rsid w:val="00961336"/>
    <w:rsid w:val="00963FEE"/>
    <w:rsid w:val="00975B6C"/>
    <w:rsid w:val="009804B2"/>
    <w:rsid w:val="00982F94"/>
    <w:rsid w:val="009A0E05"/>
    <w:rsid w:val="009B084B"/>
    <w:rsid w:val="009B229A"/>
    <w:rsid w:val="009B2729"/>
    <w:rsid w:val="009B4481"/>
    <w:rsid w:val="009C183A"/>
    <w:rsid w:val="009C1C06"/>
    <w:rsid w:val="009D0166"/>
    <w:rsid w:val="009D24B6"/>
    <w:rsid w:val="009D4433"/>
    <w:rsid w:val="009E0A93"/>
    <w:rsid w:val="009E4235"/>
    <w:rsid w:val="009E4F0B"/>
    <w:rsid w:val="009F042D"/>
    <w:rsid w:val="009F079E"/>
    <w:rsid w:val="009F4F4C"/>
    <w:rsid w:val="00A0659F"/>
    <w:rsid w:val="00A1397B"/>
    <w:rsid w:val="00A23F76"/>
    <w:rsid w:val="00A26261"/>
    <w:rsid w:val="00A27874"/>
    <w:rsid w:val="00A309AD"/>
    <w:rsid w:val="00A33510"/>
    <w:rsid w:val="00A35596"/>
    <w:rsid w:val="00A36EFF"/>
    <w:rsid w:val="00A42AB8"/>
    <w:rsid w:val="00A6223E"/>
    <w:rsid w:val="00A74B02"/>
    <w:rsid w:val="00A81139"/>
    <w:rsid w:val="00A91FA6"/>
    <w:rsid w:val="00AA6C67"/>
    <w:rsid w:val="00AB49B2"/>
    <w:rsid w:val="00AC0C99"/>
    <w:rsid w:val="00AC2B6B"/>
    <w:rsid w:val="00AD060E"/>
    <w:rsid w:val="00AD1943"/>
    <w:rsid w:val="00AD75DC"/>
    <w:rsid w:val="00AE47C4"/>
    <w:rsid w:val="00AE7080"/>
    <w:rsid w:val="00AF3366"/>
    <w:rsid w:val="00AF3987"/>
    <w:rsid w:val="00AF61D6"/>
    <w:rsid w:val="00AF79E3"/>
    <w:rsid w:val="00B00118"/>
    <w:rsid w:val="00B04E0B"/>
    <w:rsid w:val="00B07040"/>
    <w:rsid w:val="00B071F4"/>
    <w:rsid w:val="00B10B79"/>
    <w:rsid w:val="00B14F42"/>
    <w:rsid w:val="00B2304D"/>
    <w:rsid w:val="00B24640"/>
    <w:rsid w:val="00B274F2"/>
    <w:rsid w:val="00B279BF"/>
    <w:rsid w:val="00B339C2"/>
    <w:rsid w:val="00B4475C"/>
    <w:rsid w:val="00B45B96"/>
    <w:rsid w:val="00B620DF"/>
    <w:rsid w:val="00B7359A"/>
    <w:rsid w:val="00B74B77"/>
    <w:rsid w:val="00B761CB"/>
    <w:rsid w:val="00B76833"/>
    <w:rsid w:val="00B8360C"/>
    <w:rsid w:val="00B8739B"/>
    <w:rsid w:val="00B87BD7"/>
    <w:rsid w:val="00B91C3A"/>
    <w:rsid w:val="00B91DCF"/>
    <w:rsid w:val="00BA30C2"/>
    <w:rsid w:val="00BB1578"/>
    <w:rsid w:val="00BB5486"/>
    <w:rsid w:val="00BB59D2"/>
    <w:rsid w:val="00BB5FE5"/>
    <w:rsid w:val="00BB708E"/>
    <w:rsid w:val="00BC4C90"/>
    <w:rsid w:val="00BC79EB"/>
    <w:rsid w:val="00BD342D"/>
    <w:rsid w:val="00BE7572"/>
    <w:rsid w:val="00BF2DB5"/>
    <w:rsid w:val="00C0199A"/>
    <w:rsid w:val="00C067D5"/>
    <w:rsid w:val="00C0721E"/>
    <w:rsid w:val="00C109D1"/>
    <w:rsid w:val="00C21B58"/>
    <w:rsid w:val="00C27868"/>
    <w:rsid w:val="00C318E5"/>
    <w:rsid w:val="00C32FDC"/>
    <w:rsid w:val="00C377F0"/>
    <w:rsid w:val="00C457E9"/>
    <w:rsid w:val="00C50314"/>
    <w:rsid w:val="00C52D53"/>
    <w:rsid w:val="00C62ABA"/>
    <w:rsid w:val="00C62CD2"/>
    <w:rsid w:val="00C650E1"/>
    <w:rsid w:val="00C65D06"/>
    <w:rsid w:val="00C66DC2"/>
    <w:rsid w:val="00C706CB"/>
    <w:rsid w:val="00C7645A"/>
    <w:rsid w:val="00C823BF"/>
    <w:rsid w:val="00C86C60"/>
    <w:rsid w:val="00C902D6"/>
    <w:rsid w:val="00C917EA"/>
    <w:rsid w:val="00C91B17"/>
    <w:rsid w:val="00C933AA"/>
    <w:rsid w:val="00C97065"/>
    <w:rsid w:val="00CA5153"/>
    <w:rsid w:val="00CA59F4"/>
    <w:rsid w:val="00CB3006"/>
    <w:rsid w:val="00CB48F8"/>
    <w:rsid w:val="00CB6938"/>
    <w:rsid w:val="00CC233B"/>
    <w:rsid w:val="00CC4DA7"/>
    <w:rsid w:val="00CC588D"/>
    <w:rsid w:val="00CC7CE5"/>
    <w:rsid w:val="00CD46EE"/>
    <w:rsid w:val="00CF0B95"/>
    <w:rsid w:val="00CF1662"/>
    <w:rsid w:val="00CF219B"/>
    <w:rsid w:val="00CF4463"/>
    <w:rsid w:val="00CF4A5D"/>
    <w:rsid w:val="00D00488"/>
    <w:rsid w:val="00D0547B"/>
    <w:rsid w:val="00D1427F"/>
    <w:rsid w:val="00D15596"/>
    <w:rsid w:val="00D16A53"/>
    <w:rsid w:val="00D201C8"/>
    <w:rsid w:val="00D27110"/>
    <w:rsid w:val="00D4176D"/>
    <w:rsid w:val="00D41D94"/>
    <w:rsid w:val="00D5210D"/>
    <w:rsid w:val="00D53194"/>
    <w:rsid w:val="00D61722"/>
    <w:rsid w:val="00D632A3"/>
    <w:rsid w:val="00D6783C"/>
    <w:rsid w:val="00D72545"/>
    <w:rsid w:val="00D74AC5"/>
    <w:rsid w:val="00D83EE7"/>
    <w:rsid w:val="00D876F4"/>
    <w:rsid w:val="00D938ED"/>
    <w:rsid w:val="00D97A39"/>
    <w:rsid w:val="00D97ED6"/>
    <w:rsid w:val="00DA17E4"/>
    <w:rsid w:val="00DA231C"/>
    <w:rsid w:val="00DA3CC2"/>
    <w:rsid w:val="00DA4700"/>
    <w:rsid w:val="00DA5C1E"/>
    <w:rsid w:val="00DA735D"/>
    <w:rsid w:val="00DB4E3C"/>
    <w:rsid w:val="00DB766E"/>
    <w:rsid w:val="00DB76C7"/>
    <w:rsid w:val="00DC0B9E"/>
    <w:rsid w:val="00DC19A9"/>
    <w:rsid w:val="00DC7829"/>
    <w:rsid w:val="00DD3DBC"/>
    <w:rsid w:val="00DE0099"/>
    <w:rsid w:val="00DE1A9E"/>
    <w:rsid w:val="00DF0B72"/>
    <w:rsid w:val="00DF6E92"/>
    <w:rsid w:val="00E0415F"/>
    <w:rsid w:val="00E046D0"/>
    <w:rsid w:val="00E12F35"/>
    <w:rsid w:val="00E15E6A"/>
    <w:rsid w:val="00E24AF1"/>
    <w:rsid w:val="00E25637"/>
    <w:rsid w:val="00E43D84"/>
    <w:rsid w:val="00E54856"/>
    <w:rsid w:val="00E62E77"/>
    <w:rsid w:val="00E84FA8"/>
    <w:rsid w:val="00E90759"/>
    <w:rsid w:val="00E92FFE"/>
    <w:rsid w:val="00E956D7"/>
    <w:rsid w:val="00E97364"/>
    <w:rsid w:val="00EA060D"/>
    <w:rsid w:val="00EA067A"/>
    <w:rsid w:val="00EA6FC5"/>
    <w:rsid w:val="00EB4DA4"/>
    <w:rsid w:val="00EC14C9"/>
    <w:rsid w:val="00ED1D1B"/>
    <w:rsid w:val="00ED3829"/>
    <w:rsid w:val="00ED537B"/>
    <w:rsid w:val="00EE3E84"/>
    <w:rsid w:val="00EF5682"/>
    <w:rsid w:val="00F071D4"/>
    <w:rsid w:val="00F108E0"/>
    <w:rsid w:val="00F26F50"/>
    <w:rsid w:val="00F31646"/>
    <w:rsid w:val="00F31B34"/>
    <w:rsid w:val="00F3293E"/>
    <w:rsid w:val="00F33958"/>
    <w:rsid w:val="00F33CC6"/>
    <w:rsid w:val="00F348DA"/>
    <w:rsid w:val="00F41CB2"/>
    <w:rsid w:val="00F45F09"/>
    <w:rsid w:val="00F50980"/>
    <w:rsid w:val="00F566D3"/>
    <w:rsid w:val="00F61011"/>
    <w:rsid w:val="00F6558B"/>
    <w:rsid w:val="00F84730"/>
    <w:rsid w:val="00F86F17"/>
    <w:rsid w:val="00F94333"/>
    <w:rsid w:val="00F94FB3"/>
    <w:rsid w:val="00F952AB"/>
    <w:rsid w:val="00FA47BE"/>
    <w:rsid w:val="00FA7E1B"/>
    <w:rsid w:val="00FA7FD6"/>
    <w:rsid w:val="00FB154A"/>
    <w:rsid w:val="00FB2407"/>
    <w:rsid w:val="00FB4E24"/>
    <w:rsid w:val="00FB6877"/>
    <w:rsid w:val="00FC0F7B"/>
    <w:rsid w:val="00FC14E0"/>
    <w:rsid w:val="00FC3E91"/>
    <w:rsid w:val="00FD41F1"/>
    <w:rsid w:val="00FE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A3CB"/>
  <w15:docId w15:val="{979119B3-5A85-4240-96B5-4B60B5C8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7322-AA91-4EF5-84EC-ADA4B0E5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Edlington, Mandy</cp:lastModifiedBy>
  <cp:revision>2</cp:revision>
  <cp:lastPrinted>2019-11-20T01:14:00Z</cp:lastPrinted>
  <dcterms:created xsi:type="dcterms:W3CDTF">2019-11-21T01:49:00Z</dcterms:created>
  <dcterms:modified xsi:type="dcterms:W3CDTF">2019-11-21T01:49:00Z</dcterms:modified>
</cp:coreProperties>
</file>