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EF45A" w14:textId="0B9AB8F7" w:rsidR="00FF30BD" w:rsidRPr="00024A6B" w:rsidRDefault="00AF0812" w:rsidP="00115074">
      <w:pPr>
        <w:keepLines/>
        <w:widowControl w:val="0"/>
        <w:jc w:val="center"/>
        <w:rPr>
          <w:rFonts w:asciiTheme="minorHAnsi" w:hAnsiTheme="minorHAnsi" w:cstheme="minorHAnsi"/>
          <w:b/>
        </w:rPr>
      </w:pPr>
      <w:bookmarkStart w:id="0" w:name="_GoBack"/>
      <w:bookmarkEnd w:id="0"/>
      <w:r w:rsidRPr="00024A6B">
        <w:rPr>
          <w:rFonts w:asciiTheme="minorHAnsi" w:hAnsiTheme="minorHAnsi" w:cstheme="minorHAnsi"/>
          <w:b/>
        </w:rPr>
        <w:t>Explanatory Statement</w:t>
      </w:r>
    </w:p>
    <w:p w14:paraId="3E30EF72" w14:textId="77777777" w:rsidR="00FF30BD" w:rsidRPr="00024A6B" w:rsidRDefault="00FF30BD" w:rsidP="00115074">
      <w:pPr>
        <w:keepLines/>
        <w:widowControl w:val="0"/>
        <w:jc w:val="center"/>
        <w:rPr>
          <w:rFonts w:asciiTheme="minorHAnsi" w:hAnsiTheme="minorHAnsi" w:cstheme="minorHAnsi"/>
          <w:u w:val="single"/>
        </w:rPr>
      </w:pPr>
    </w:p>
    <w:p w14:paraId="2BC22FA0" w14:textId="77777777" w:rsidR="00FF30BD" w:rsidRPr="00024A6B" w:rsidRDefault="00FF30BD" w:rsidP="00115074">
      <w:pPr>
        <w:keepLines/>
        <w:widowControl w:val="0"/>
        <w:jc w:val="center"/>
        <w:rPr>
          <w:rFonts w:asciiTheme="minorHAnsi" w:hAnsiTheme="minorHAnsi" w:cstheme="minorHAnsi"/>
          <w:i/>
        </w:rPr>
      </w:pPr>
      <w:r w:rsidRPr="00024A6B">
        <w:rPr>
          <w:rFonts w:asciiTheme="minorHAnsi" w:hAnsiTheme="minorHAnsi" w:cstheme="minorHAnsi"/>
          <w:i/>
        </w:rPr>
        <w:t>Aged Care Act 1997</w:t>
      </w:r>
    </w:p>
    <w:p w14:paraId="466B6B9A" w14:textId="77777777" w:rsidR="00D524F1" w:rsidRPr="00024A6B" w:rsidRDefault="00D524F1" w:rsidP="00115074">
      <w:pPr>
        <w:keepLines/>
        <w:widowControl w:val="0"/>
        <w:jc w:val="center"/>
        <w:rPr>
          <w:rFonts w:asciiTheme="minorHAnsi" w:hAnsiTheme="minorHAnsi" w:cstheme="minorHAnsi"/>
          <w:b/>
          <w:i/>
        </w:rPr>
      </w:pPr>
    </w:p>
    <w:p w14:paraId="33C454CE" w14:textId="767A21B1" w:rsidR="00FF30BD" w:rsidRPr="00024A6B" w:rsidRDefault="005F53CE" w:rsidP="00115074">
      <w:pPr>
        <w:keepLines/>
        <w:widowControl w:val="0"/>
        <w:jc w:val="center"/>
        <w:rPr>
          <w:rFonts w:asciiTheme="minorHAnsi" w:hAnsiTheme="minorHAnsi" w:cstheme="minorHAnsi"/>
          <w:b/>
        </w:rPr>
      </w:pPr>
      <w:r w:rsidRPr="00024A6B">
        <w:rPr>
          <w:rFonts w:asciiTheme="minorHAnsi" w:hAnsiTheme="minorHAnsi" w:cstheme="minorHAnsi"/>
          <w:b/>
          <w:i/>
        </w:rPr>
        <w:t>Quality of Care Amendment (</w:t>
      </w:r>
      <w:r w:rsidR="007C363C" w:rsidRPr="00024A6B">
        <w:rPr>
          <w:rFonts w:asciiTheme="minorHAnsi" w:hAnsiTheme="minorHAnsi" w:cstheme="minorHAnsi"/>
          <w:b/>
          <w:i/>
        </w:rPr>
        <w:t>Reviewing</w:t>
      </w:r>
      <w:r w:rsidRPr="00024A6B">
        <w:rPr>
          <w:rFonts w:asciiTheme="minorHAnsi" w:hAnsiTheme="minorHAnsi" w:cstheme="minorHAnsi"/>
          <w:b/>
          <w:i/>
        </w:rPr>
        <w:t xml:space="preserve"> Restraints</w:t>
      </w:r>
      <w:r w:rsidR="007C363C" w:rsidRPr="00024A6B">
        <w:rPr>
          <w:rFonts w:asciiTheme="minorHAnsi" w:hAnsiTheme="minorHAnsi" w:cstheme="minorHAnsi"/>
          <w:b/>
          <w:i/>
        </w:rPr>
        <w:t xml:space="preserve"> Principles</w:t>
      </w:r>
      <w:r w:rsidRPr="00024A6B">
        <w:rPr>
          <w:rFonts w:asciiTheme="minorHAnsi" w:hAnsiTheme="minorHAnsi" w:cstheme="minorHAnsi"/>
          <w:b/>
          <w:i/>
        </w:rPr>
        <w:t>) Principles 2019</w:t>
      </w:r>
    </w:p>
    <w:p w14:paraId="0DF63D94" w14:textId="77777777" w:rsidR="00FF30BD" w:rsidRPr="00024A6B" w:rsidRDefault="00FF30BD" w:rsidP="00115074">
      <w:pPr>
        <w:keepLines/>
        <w:widowControl w:val="0"/>
        <w:jc w:val="center"/>
        <w:rPr>
          <w:rFonts w:asciiTheme="minorHAnsi" w:hAnsiTheme="minorHAnsi" w:cstheme="minorHAnsi"/>
        </w:rPr>
      </w:pPr>
    </w:p>
    <w:p w14:paraId="3AA508F8" w14:textId="77777777" w:rsidR="00FF30BD" w:rsidRPr="00024A6B" w:rsidRDefault="00FF30BD" w:rsidP="00115074">
      <w:pPr>
        <w:keepLines/>
        <w:widowControl w:val="0"/>
        <w:rPr>
          <w:rFonts w:asciiTheme="minorHAnsi" w:hAnsiTheme="minorHAnsi" w:cstheme="minorHAnsi"/>
          <w:b/>
        </w:rPr>
      </w:pPr>
      <w:r w:rsidRPr="00024A6B">
        <w:rPr>
          <w:rFonts w:asciiTheme="minorHAnsi" w:hAnsiTheme="minorHAnsi" w:cstheme="minorHAnsi"/>
          <w:b/>
        </w:rPr>
        <w:t xml:space="preserve">Authority </w:t>
      </w:r>
    </w:p>
    <w:p w14:paraId="6855E064" w14:textId="77777777" w:rsidR="00FF30BD" w:rsidRPr="00024A6B" w:rsidRDefault="00FF30BD" w:rsidP="00115074">
      <w:pPr>
        <w:keepLines/>
        <w:widowControl w:val="0"/>
        <w:rPr>
          <w:rFonts w:asciiTheme="minorHAnsi" w:hAnsiTheme="minorHAnsi" w:cstheme="minorHAnsi"/>
        </w:rPr>
      </w:pPr>
    </w:p>
    <w:p w14:paraId="418E556A" w14:textId="24C79D94" w:rsidR="008E6234" w:rsidRPr="00024A6B" w:rsidRDefault="008E6234" w:rsidP="00115074">
      <w:pPr>
        <w:keepLines/>
        <w:widowControl w:val="0"/>
        <w:rPr>
          <w:rFonts w:asciiTheme="minorHAnsi" w:hAnsiTheme="minorHAnsi" w:cstheme="minorHAnsi"/>
        </w:rPr>
      </w:pPr>
      <w:r w:rsidRPr="00024A6B">
        <w:rPr>
          <w:rFonts w:asciiTheme="minorHAnsi" w:hAnsiTheme="minorHAnsi" w:cstheme="minorHAnsi"/>
        </w:rPr>
        <w:t xml:space="preserve">Section 96-1 of the </w:t>
      </w:r>
      <w:r w:rsidRPr="00024A6B">
        <w:rPr>
          <w:rFonts w:asciiTheme="minorHAnsi" w:hAnsiTheme="minorHAnsi" w:cstheme="minorHAnsi"/>
          <w:i/>
        </w:rPr>
        <w:t xml:space="preserve">Aged Care Act 1997 </w:t>
      </w:r>
      <w:r w:rsidRPr="00024A6B">
        <w:rPr>
          <w:rFonts w:asciiTheme="minorHAnsi" w:hAnsiTheme="minorHAnsi" w:cstheme="minorHAnsi"/>
        </w:rPr>
        <w:t>(</w:t>
      </w:r>
      <w:r w:rsidRPr="00024A6B">
        <w:rPr>
          <w:rFonts w:asciiTheme="minorHAnsi" w:hAnsiTheme="minorHAnsi" w:cstheme="minorHAnsi"/>
          <w:b/>
        </w:rPr>
        <w:t>Aged Care Act</w:t>
      </w:r>
      <w:r w:rsidRPr="00024A6B">
        <w:rPr>
          <w:rFonts w:asciiTheme="minorHAnsi" w:hAnsiTheme="minorHAnsi" w:cstheme="minorHAnsi"/>
        </w:rPr>
        <w:t>) provides the Minister may</w:t>
      </w:r>
      <w:r w:rsidR="00B454CF" w:rsidRPr="00024A6B">
        <w:rPr>
          <w:rFonts w:asciiTheme="minorHAnsi" w:hAnsiTheme="minorHAnsi" w:cstheme="minorHAnsi"/>
        </w:rPr>
        <w:t xml:space="preserve">, by legislative instrument, </w:t>
      </w:r>
      <w:r w:rsidRPr="00024A6B">
        <w:rPr>
          <w:rFonts w:asciiTheme="minorHAnsi" w:hAnsiTheme="minorHAnsi" w:cstheme="minorHAnsi"/>
        </w:rPr>
        <w:t xml:space="preserve">make </w:t>
      </w:r>
      <w:r w:rsidR="00147B78" w:rsidRPr="00024A6B">
        <w:rPr>
          <w:rFonts w:asciiTheme="minorHAnsi" w:hAnsiTheme="minorHAnsi" w:cstheme="minorHAnsi"/>
        </w:rPr>
        <w:t xml:space="preserve">Quality of Care </w:t>
      </w:r>
      <w:r w:rsidRPr="00024A6B">
        <w:rPr>
          <w:rFonts w:asciiTheme="minorHAnsi" w:hAnsiTheme="minorHAnsi" w:cstheme="minorHAnsi"/>
        </w:rPr>
        <w:t>Principles providing for matters required or permitted</w:t>
      </w:r>
      <w:r w:rsidR="00147B78" w:rsidRPr="00024A6B">
        <w:rPr>
          <w:rFonts w:asciiTheme="minorHAnsi" w:hAnsiTheme="minorHAnsi" w:cstheme="minorHAnsi"/>
        </w:rPr>
        <w:t xml:space="preserve"> by Part 4.1</w:t>
      </w:r>
      <w:r w:rsidR="00867388" w:rsidRPr="00024A6B">
        <w:rPr>
          <w:rFonts w:asciiTheme="minorHAnsi" w:hAnsiTheme="minorHAnsi" w:cstheme="minorHAnsi"/>
        </w:rPr>
        <w:t xml:space="preserve"> of the </w:t>
      </w:r>
      <w:r w:rsidR="00125FF8" w:rsidRPr="00024A6B">
        <w:rPr>
          <w:rFonts w:asciiTheme="minorHAnsi" w:hAnsiTheme="minorHAnsi" w:cstheme="minorHAnsi"/>
        </w:rPr>
        <w:t xml:space="preserve">Aged Care </w:t>
      </w:r>
      <w:r w:rsidR="00867388" w:rsidRPr="00024A6B">
        <w:rPr>
          <w:rFonts w:asciiTheme="minorHAnsi" w:hAnsiTheme="minorHAnsi" w:cstheme="minorHAnsi"/>
        </w:rPr>
        <w:t>Act</w:t>
      </w:r>
      <w:r w:rsidRPr="00024A6B">
        <w:rPr>
          <w:rFonts w:asciiTheme="minorHAnsi" w:hAnsiTheme="minorHAnsi" w:cstheme="minorHAnsi"/>
        </w:rPr>
        <w:t>, or necessary or convenient to give effect to</w:t>
      </w:r>
      <w:r w:rsidR="00147B78" w:rsidRPr="00024A6B">
        <w:rPr>
          <w:rFonts w:asciiTheme="minorHAnsi" w:hAnsiTheme="minorHAnsi" w:cstheme="minorHAnsi"/>
        </w:rPr>
        <w:t xml:space="preserve"> Part 4.1</w:t>
      </w:r>
      <w:r w:rsidR="00867388" w:rsidRPr="00024A6B">
        <w:rPr>
          <w:rFonts w:asciiTheme="minorHAnsi" w:hAnsiTheme="minorHAnsi" w:cstheme="minorHAnsi"/>
        </w:rPr>
        <w:t xml:space="preserve"> of</w:t>
      </w:r>
      <w:r w:rsidRPr="00024A6B">
        <w:rPr>
          <w:rFonts w:asciiTheme="minorHAnsi" w:hAnsiTheme="minorHAnsi" w:cstheme="minorHAnsi"/>
        </w:rPr>
        <w:t xml:space="preserve"> the </w:t>
      </w:r>
      <w:r w:rsidR="00125FF8" w:rsidRPr="00024A6B">
        <w:rPr>
          <w:rFonts w:asciiTheme="minorHAnsi" w:hAnsiTheme="minorHAnsi" w:cstheme="minorHAnsi"/>
        </w:rPr>
        <w:t xml:space="preserve">Aged Care </w:t>
      </w:r>
      <w:r w:rsidRPr="00024A6B">
        <w:rPr>
          <w:rFonts w:asciiTheme="minorHAnsi" w:hAnsiTheme="minorHAnsi" w:cstheme="minorHAnsi"/>
        </w:rPr>
        <w:t>Act.</w:t>
      </w:r>
    </w:p>
    <w:p w14:paraId="5D428681" w14:textId="1617983E" w:rsidR="00A139D9" w:rsidRPr="00024A6B" w:rsidRDefault="00A139D9" w:rsidP="00115074">
      <w:pPr>
        <w:keepLines/>
        <w:widowControl w:val="0"/>
        <w:rPr>
          <w:rFonts w:asciiTheme="minorHAnsi" w:hAnsiTheme="minorHAnsi" w:cstheme="minorHAnsi"/>
        </w:rPr>
      </w:pPr>
    </w:p>
    <w:p w14:paraId="2238492F" w14:textId="5662DA70" w:rsidR="00A139D9" w:rsidRPr="00024A6B" w:rsidRDefault="00A139D9" w:rsidP="00115074">
      <w:pPr>
        <w:keepLines/>
        <w:widowControl w:val="0"/>
        <w:rPr>
          <w:rFonts w:asciiTheme="minorHAnsi" w:hAnsiTheme="minorHAnsi" w:cstheme="minorHAnsi"/>
        </w:rPr>
      </w:pPr>
      <w:r w:rsidRPr="00024A6B">
        <w:rPr>
          <w:rFonts w:asciiTheme="minorHAnsi" w:hAnsiTheme="minorHAnsi" w:cstheme="minorHAnsi"/>
        </w:rPr>
        <w:t xml:space="preserve">Subsection 33(3) of the </w:t>
      </w:r>
      <w:r w:rsidRPr="00024A6B">
        <w:rPr>
          <w:rFonts w:asciiTheme="minorHAnsi" w:hAnsiTheme="minorHAnsi" w:cstheme="minorHAnsi"/>
          <w:i/>
        </w:rPr>
        <w:t>Acts Interpretation Act 1901</w:t>
      </w:r>
      <w:r w:rsidRPr="00024A6B">
        <w:rPr>
          <w:rFonts w:asciiTheme="minorHAnsi" w:hAnsiTheme="minorHAnsi" w:cstheme="minorHAnsi"/>
        </w:rPr>
        <w:t xml:space="preserve"> provides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C6F8B5E" w14:textId="77777777" w:rsidR="00FF30BD" w:rsidRPr="00024A6B" w:rsidRDefault="00FF30BD" w:rsidP="00115074">
      <w:pPr>
        <w:keepLines/>
        <w:widowControl w:val="0"/>
        <w:rPr>
          <w:rFonts w:asciiTheme="minorHAnsi" w:hAnsiTheme="minorHAnsi" w:cstheme="minorHAnsi"/>
        </w:rPr>
      </w:pPr>
    </w:p>
    <w:p w14:paraId="2E42500B" w14:textId="77777777" w:rsidR="00FF30BD" w:rsidRPr="00024A6B" w:rsidRDefault="00FF30BD" w:rsidP="00115074">
      <w:pPr>
        <w:keepLines/>
        <w:widowControl w:val="0"/>
        <w:rPr>
          <w:rFonts w:asciiTheme="minorHAnsi" w:hAnsiTheme="minorHAnsi" w:cstheme="minorHAnsi"/>
          <w:b/>
        </w:rPr>
      </w:pPr>
      <w:r w:rsidRPr="00024A6B">
        <w:rPr>
          <w:rFonts w:asciiTheme="minorHAnsi" w:hAnsiTheme="minorHAnsi" w:cstheme="minorHAnsi"/>
          <w:b/>
        </w:rPr>
        <w:t>Purpose</w:t>
      </w:r>
    </w:p>
    <w:p w14:paraId="410586FE" w14:textId="77777777" w:rsidR="00FF30BD" w:rsidRPr="00024A6B" w:rsidRDefault="00FF30BD" w:rsidP="00115074">
      <w:pPr>
        <w:keepLines/>
        <w:widowControl w:val="0"/>
        <w:rPr>
          <w:rFonts w:asciiTheme="minorHAnsi" w:hAnsiTheme="minorHAnsi" w:cstheme="minorHAnsi"/>
          <w:u w:val="single"/>
        </w:rPr>
      </w:pPr>
    </w:p>
    <w:p w14:paraId="20BD1C0B" w14:textId="1262F31A" w:rsidR="00B454CF" w:rsidRPr="00024A6B" w:rsidRDefault="00FF30BD" w:rsidP="00115074">
      <w:pPr>
        <w:keepLines/>
        <w:widowControl w:val="0"/>
        <w:rPr>
          <w:rFonts w:asciiTheme="minorHAnsi" w:hAnsiTheme="minorHAnsi" w:cstheme="minorHAnsi"/>
        </w:rPr>
      </w:pPr>
      <w:r w:rsidRPr="00024A6B">
        <w:rPr>
          <w:rFonts w:asciiTheme="minorHAnsi" w:hAnsiTheme="minorHAnsi" w:cstheme="minorHAnsi"/>
        </w:rPr>
        <w:t>The</w:t>
      </w:r>
      <w:r w:rsidRPr="00024A6B">
        <w:rPr>
          <w:rFonts w:asciiTheme="minorHAnsi" w:hAnsiTheme="minorHAnsi" w:cstheme="minorHAnsi"/>
          <w:i/>
        </w:rPr>
        <w:t xml:space="preserve"> </w:t>
      </w:r>
      <w:r w:rsidR="00147B78" w:rsidRPr="00024A6B">
        <w:rPr>
          <w:rFonts w:asciiTheme="minorHAnsi" w:hAnsiTheme="minorHAnsi" w:cstheme="minorHAnsi"/>
          <w:i/>
        </w:rPr>
        <w:t>Quality of Care Amendment (</w:t>
      </w:r>
      <w:r w:rsidR="007C363C" w:rsidRPr="00024A6B">
        <w:rPr>
          <w:rFonts w:asciiTheme="minorHAnsi" w:hAnsiTheme="minorHAnsi" w:cstheme="minorHAnsi"/>
          <w:i/>
        </w:rPr>
        <w:t>Reviewing</w:t>
      </w:r>
      <w:r w:rsidR="00147B78" w:rsidRPr="00024A6B">
        <w:rPr>
          <w:rFonts w:asciiTheme="minorHAnsi" w:hAnsiTheme="minorHAnsi" w:cstheme="minorHAnsi"/>
          <w:i/>
        </w:rPr>
        <w:t xml:space="preserve"> Restraints</w:t>
      </w:r>
      <w:r w:rsidR="007C363C" w:rsidRPr="00024A6B">
        <w:rPr>
          <w:rFonts w:asciiTheme="minorHAnsi" w:hAnsiTheme="minorHAnsi" w:cstheme="minorHAnsi"/>
          <w:i/>
        </w:rPr>
        <w:t xml:space="preserve"> Principles</w:t>
      </w:r>
      <w:r w:rsidR="00147B78" w:rsidRPr="00024A6B">
        <w:rPr>
          <w:rFonts w:asciiTheme="minorHAnsi" w:hAnsiTheme="minorHAnsi" w:cstheme="minorHAnsi"/>
          <w:i/>
        </w:rPr>
        <w:t xml:space="preserve">) Principles 2019 </w:t>
      </w:r>
      <w:r w:rsidR="008E6234" w:rsidRPr="00024A6B">
        <w:rPr>
          <w:rFonts w:asciiTheme="minorHAnsi" w:hAnsiTheme="minorHAnsi" w:cstheme="minorHAnsi"/>
        </w:rPr>
        <w:t>(</w:t>
      </w:r>
      <w:r w:rsidR="00894294" w:rsidRPr="00024A6B">
        <w:rPr>
          <w:rFonts w:asciiTheme="minorHAnsi" w:hAnsiTheme="minorHAnsi" w:cstheme="minorHAnsi"/>
          <w:b/>
        </w:rPr>
        <w:t>Amending</w:t>
      </w:r>
      <w:r w:rsidR="008E6234" w:rsidRPr="00024A6B">
        <w:rPr>
          <w:rFonts w:asciiTheme="minorHAnsi" w:hAnsiTheme="minorHAnsi" w:cstheme="minorHAnsi"/>
          <w:b/>
        </w:rPr>
        <w:t xml:space="preserve"> Principles</w:t>
      </w:r>
      <w:r w:rsidR="008E6234" w:rsidRPr="00024A6B">
        <w:rPr>
          <w:rFonts w:asciiTheme="minorHAnsi" w:hAnsiTheme="minorHAnsi" w:cstheme="minorHAnsi"/>
        </w:rPr>
        <w:t xml:space="preserve">) </w:t>
      </w:r>
      <w:r w:rsidRPr="00024A6B">
        <w:rPr>
          <w:rFonts w:asciiTheme="minorHAnsi" w:hAnsiTheme="minorHAnsi" w:cstheme="minorHAnsi"/>
        </w:rPr>
        <w:t xml:space="preserve">amend the </w:t>
      </w:r>
      <w:r w:rsidR="00147B78" w:rsidRPr="00024A6B">
        <w:rPr>
          <w:rFonts w:asciiTheme="minorHAnsi" w:hAnsiTheme="minorHAnsi" w:cstheme="minorHAnsi"/>
          <w:i/>
        </w:rPr>
        <w:t>Quality of Care</w:t>
      </w:r>
      <w:r w:rsidR="00147B78" w:rsidRPr="00024A6B">
        <w:rPr>
          <w:rFonts w:asciiTheme="minorHAnsi" w:hAnsiTheme="minorHAnsi" w:cstheme="minorHAnsi"/>
        </w:rPr>
        <w:t xml:space="preserve"> </w:t>
      </w:r>
      <w:r w:rsidR="008E6234" w:rsidRPr="00024A6B">
        <w:rPr>
          <w:rFonts w:asciiTheme="minorHAnsi" w:hAnsiTheme="minorHAnsi" w:cstheme="minorHAnsi"/>
          <w:i/>
        </w:rPr>
        <w:t>Principles 2014</w:t>
      </w:r>
      <w:r w:rsidR="008E6234" w:rsidRPr="00024A6B">
        <w:rPr>
          <w:rFonts w:asciiTheme="minorHAnsi" w:hAnsiTheme="minorHAnsi" w:cstheme="minorHAnsi"/>
        </w:rPr>
        <w:t xml:space="preserve"> </w:t>
      </w:r>
      <w:r w:rsidR="00894294" w:rsidRPr="00024A6B">
        <w:rPr>
          <w:rFonts w:asciiTheme="minorHAnsi" w:hAnsiTheme="minorHAnsi" w:cstheme="minorHAnsi"/>
        </w:rPr>
        <w:t>(</w:t>
      </w:r>
      <w:r w:rsidR="00147B78" w:rsidRPr="00024A6B">
        <w:rPr>
          <w:rFonts w:asciiTheme="minorHAnsi" w:hAnsiTheme="minorHAnsi" w:cstheme="minorHAnsi"/>
          <w:b/>
        </w:rPr>
        <w:t>Quality of Care</w:t>
      </w:r>
      <w:r w:rsidR="00147B78" w:rsidRPr="00024A6B">
        <w:rPr>
          <w:rFonts w:asciiTheme="minorHAnsi" w:hAnsiTheme="minorHAnsi" w:cstheme="minorHAnsi"/>
        </w:rPr>
        <w:t> </w:t>
      </w:r>
      <w:r w:rsidR="00894294" w:rsidRPr="00024A6B">
        <w:rPr>
          <w:rFonts w:asciiTheme="minorHAnsi" w:hAnsiTheme="minorHAnsi" w:cstheme="minorHAnsi"/>
          <w:b/>
        </w:rPr>
        <w:t>Principles</w:t>
      </w:r>
      <w:r w:rsidR="00894294" w:rsidRPr="00024A6B">
        <w:rPr>
          <w:rFonts w:asciiTheme="minorHAnsi" w:hAnsiTheme="minorHAnsi" w:cstheme="minorHAnsi"/>
        </w:rPr>
        <w:t xml:space="preserve">) </w:t>
      </w:r>
      <w:r w:rsidRPr="00024A6B">
        <w:rPr>
          <w:rFonts w:asciiTheme="minorHAnsi" w:hAnsiTheme="minorHAnsi" w:cstheme="minorHAnsi"/>
        </w:rPr>
        <w:t>to</w:t>
      </w:r>
      <w:r w:rsidR="00147B78" w:rsidRPr="00024A6B">
        <w:rPr>
          <w:rFonts w:asciiTheme="minorHAnsi" w:hAnsiTheme="minorHAnsi" w:cstheme="minorHAnsi"/>
        </w:rPr>
        <w:t xml:space="preserve"> </w:t>
      </w:r>
      <w:r w:rsidR="000B7889" w:rsidRPr="00024A6B">
        <w:rPr>
          <w:rFonts w:asciiTheme="minorHAnsi" w:hAnsiTheme="minorHAnsi" w:cstheme="minorHAnsi"/>
        </w:rPr>
        <w:t xml:space="preserve">provide that the Minister </w:t>
      </w:r>
      <w:r w:rsidR="00B841EF" w:rsidRPr="00024A6B">
        <w:rPr>
          <w:rFonts w:asciiTheme="minorHAnsi" w:hAnsiTheme="minorHAnsi" w:cstheme="minorHAnsi"/>
        </w:rPr>
        <w:t xml:space="preserve">must </w:t>
      </w:r>
      <w:r w:rsidR="000B7889" w:rsidRPr="00024A6B">
        <w:rPr>
          <w:rFonts w:asciiTheme="minorHAnsi" w:hAnsiTheme="minorHAnsi" w:cstheme="minorHAnsi"/>
        </w:rPr>
        <w:t>ensure</w:t>
      </w:r>
      <w:r w:rsidR="00B841EF" w:rsidRPr="00024A6B">
        <w:rPr>
          <w:rFonts w:asciiTheme="minorHAnsi" w:hAnsiTheme="minorHAnsi" w:cstheme="minorHAnsi"/>
        </w:rPr>
        <w:t xml:space="preserve"> that</w:t>
      </w:r>
      <w:r w:rsidR="00B454CF" w:rsidRPr="00024A6B">
        <w:rPr>
          <w:rFonts w:asciiTheme="minorHAnsi" w:hAnsiTheme="minorHAnsi" w:cstheme="minorHAnsi"/>
        </w:rPr>
        <w:t xml:space="preserve"> there is a</w:t>
      </w:r>
      <w:r w:rsidR="00B96848" w:rsidRPr="00024A6B">
        <w:rPr>
          <w:rFonts w:asciiTheme="minorHAnsi" w:hAnsiTheme="minorHAnsi" w:cstheme="minorHAnsi"/>
        </w:rPr>
        <w:t xml:space="preserve"> review of </w:t>
      </w:r>
      <w:r w:rsidR="007C363C" w:rsidRPr="00024A6B">
        <w:rPr>
          <w:rFonts w:asciiTheme="minorHAnsi" w:hAnsiTheme="minorHAnsi" w:cstheme="minorHAnsi"/>
        </w:rPr>
        <w:t xml:space="preserve">the operation of </w:t>
      </w:r>
      <w:r w:rsidR="00ED61CF" w:rsidRPr="00024A6B">
        <w:rPr>
          <w:rFonts w:asciiTheme="minorHAnsi" w:hAnsiTheme="minorHAnsi" w:cstheme="minorHAnsi"/>
        </w:rPr>
        <w:t>the Quality of Care Principles</w:t>
      </w:r>
      <w:r w:rsidR="00FF42F7" w:rsidRPr="00024A6B">
        <w:rPr>
          <w:rFonts w:asciiTheme="minorHAnsi" w:hAnsiTheme="minorHAnsi" w:cstheme="minorHAnsi"/>
        </w:rPr>
        <w:t>, relating to physical and chemical restraint</w:t>
      </w:r>
      <w:r w:rsidR="00ED61CF" w:rsidRPr="00024A6B">
        <w:rPr>
          <w:rFonts w:asciiTheme="minorHAnsi" w:hAnsiTheme="minorHAnsi" w:cstheme="minorHAnsi"/>
        </w:rPr>
        <w:t xml:space="preserve">. The review must consider the effectiveness of </w:t>
      </w:r>
      <w:r w:rsidR="00FF42F7" w:rsidRPr="00024A6B">
        <w:rPr>
          <w:rFonts w:asciiTheme="minorHAnsi" w:hAnsiTheme="minorHAnsi" w:cstheme="minorHAnsi"/>
        </w:rPr>
        <w:t>the Quality of Care Principles</w:t>
      </w:r>
      <w:r w:rsidR="00ED61CF" w:rsidRPr="00024A6B">
        <w:rPr>
          <w:rFonts w:asciiTheme="minorHAnsi" w:hAnsiTheme="minorHAnsi" w:cstheme="minorHAnsi"/>
        </w:rPr>
        <w:t xml:space="preserve"> in minimising the use of physical restraints and chemical restraint by approved providers in relati</w:t>
      </w:r>
      <w:r w:rsidR="00115074" w:rsidRPr="00024A6B">
        <w:rPr>
          <w:rFonts w:asciiTheme="minorHAnsi" w:hAnsiTheme="minorHAnsi" w:cstheme="minorHAnsi"/>
        </w:rPr>
        <w:t>on to consumers in the period 1 </w:t>
      </w:r>
      <w:r w:rsidR="00ED61CF" w:rsidRPr="00024A6B">
        <w:rPr>
          <w:rFonts w:asciiTheme="minorHAnsi" w:hAnsiTheme="minorHAnsi" w:cstheme="minorHAnsi"/>
        </w:rPr>
        <w:t>July 2019 to 30 June 2020.</w:t>
      </w:r>
    </w:p>
    <w:p w14:paraId="28E00B98" w14:textId="77777777" w:rsidR="00B454CF" w:rsidRPr="00024A6B" w:rsidRDefault="00B454CF" w:rsidP="00115074">
      <w:pPr>
        <w:keepLines/>
        <w:widowControl w:val="0"/>
        <w:rPr>
          <w:rFonts w:asciiTheme="minorHAnsi" w:hAnsiTheme="minorHAnsi" w:cstheme="minorHAnsi"/>
        </w:rPr>
      </w:pPr>
    </w:p>
    <w:p w14:paraId="7CF19988" w14:textId="77777777" w:rsidR="00FF42F7" w:rsidRPr="00024A6B" w:rsidRDefault="001D1AB3" w:rsidP="00115074">
      <w:pPr>
        <w:keepLines/>
        <w:widowControl w:val="0"/>
        <w:rPr>
          <w:rFonts w:asciiTheme="minorHAnsi" w:hAnsiTheme="minorHAnsi" w:cstheme="minorHAnsi"/>
        </w:rPr>
      </w:pPr>
      <w:r w:rsidRPr="00024A6B">
        <w:rPr>
          <w:rFonts w:asciiTheme="minorHAnsi" w:hAnsiTheme="minorHAnsi" w:cstheme="minorHAnsi"/>
        </w:rPr>
        <w:t>The Amending Principles also</w:t>
      </w:r>
      <w:r w:rsidR="00FF42F7" w:rsidRPr="00024A6B">
        <w:rPr>
          <w:rFonts w:asciiTheme="minorHAnsi" w:hAnsiTheme="minorHAnsi" w:cstheme="minorHAnsi"/>
        </w:rPr>
        <w:t>:</w:t>
      </w:r>
    </w:p>
    <w:p w14:paraId="03DD42DB" w14:textId="49A11D16" w:rsidR="00FF30BD" w:rsidRPr="00024A6B" w:rsidRDefault="001D1AB3" w:rsidP="00FF42F7">
      <w:pPr>
        <w:pStyle w:val="ListParagraph"/>
        <w:keepLines/>
        <w:widowControl w:val="0"/>
        <w:numPr>
          <w:ilvl w:val="0"/>
          <w:numId w:val="29"/>
        </w:numPr>
        <w:rPr>
          <w:rFonts w:asciiTheme="minorHAnsi" w:hAnsiTheme="minorHAnsi" w:cstheme="minorHAnsi"/>
          <w:sz w:val="24"/>
        </w:rPr>
      </w:pPr>
      <w:r w:rsidRPr="00024A6B">
        <w:rPr>
          <w:rFonts w:asciiTheme="minorHAnsi" w:hAnsiTheme="minorHAnsi" w:cstheme="minorHAnsi"/>
          <w:sz w:val="24"/>
        </w:rPr>
        <w:t>repeal Part 4A</w:t>
      </w:r>
      <w:r w:rsidR="00546FFD" w:rsidRPr="00024A6B">
        <w:rPr>
          <w:rFonts w:asciiTheme="minorHAnsi" w:hAnsiTheme="minorHAnsi" w:cstheme="minorHAnsi"/>
          <w:sz w:val="24"/>
        </w:rPr>
        <w:t xml:space="preserve"> </w:t>
      </w:r>
      <w:r w:rsidR="00ED61CF" w:rsidRPr="00024A6B">
        <w:rPr>
          <w:rFonts w:asciiTheme="minorHAnsi" w:hAnsiTheme="minorHAnsi" w:cstheme="minorHAnsi"/>
          <w:sz w:val="24"/>
        </w:rPr>
        <w:t>of the Quality of Care Princip</w:t>
      </w:r>
      <w:r w:rsidR="00FF42F7" w:rsidRPr="00024A6B">
        <w:rPr>
          <w:rFonts w:asciiTheme="minorHAnsi" w:hAnsiTheme="minorHAnsi" w:cstheme="minorHAnsi"/>
          <w:sz w:val="24"/>
        </w:rPr>
        <w:t>les at the start of 1 July 2021;</w:t>
      </w:r>
    </w:p>
    <w:p w14:paraId="44E5A8D6" w14:textId="256B2F8D" w:rsidR="00FF42F7" w:rsidRPr="00024A6B" w:rsidRDefault="00FF42F7" w:rsidP="00FF42F7">
      <w:pPr>
        <w:pStyle w:val="ListParagraph"/>
        <w:keepLines/>
        <w:widowControl w:val="0"/>
        <w:numPr>
          <w:ilvl w:val="0"/>
          <w:numId w:val="29"/>
        </w:numPr>
        <w:rPr>
          <w:rFonts w:asciiTheme="minorHAnsi" w:hAnsiTheme="minorHAnsi" w:cstheme="minorHAnsi"/>
          <w:sz w:val="24"/>
        </w:rPr>
      </w:pPr>
      <w:r w:rsidRPr="00024A6B">
        <w:rPr>
          <w:rFonts w:asciiTheme="minorHAnsi" w:hAnsiTheme="minorHAnsi" w:cstheme="minorHAnsi"/>
          <w:sz w:val="24"/>
        </w:rPr>
        <w:t>clarify that the use of restraint must be a measure of last resort; and</w:t>
      </w:r>
    </w:p>
    <w:p w14:paraId="1C0BFDCE" w14:textId="64EA8957" w:rsidR="00FF42F7" w:rsidRPr="00024A6B" w:rsidRDefault="00FF42F7" w:rsidP="00FF42F7">
      <w:pPr>
        <w:pStyle w:val="ListParagraph"/>
        <w:keepLines/>
        <w:widowControl w:val="0"/>
        <w:numPr>
          <w:ilvl w:val="0"/>
          <w:numId w:val="29"/>
        </w:numPr>
        <w:rPr>
          <w:rFonts w:asciiTheme="minorHAnsi" w:hAnsiTheme="minorHAnsi" w:cstheme="minorHAnsi"/>
          <w:sz w:val="24"/>
        </w:rPr>
      </w:pPr>
      <w:r w:rsidRPr="00024A6B">
        <w:rPr>
          <w:rFonts w:asciiTheme="minorHAnsi" w:hAnsiTheme="minorHAnsi" w:cstheme="minorHAnsi"/>
          <w:sz w:val="24"/>
        </w:rPr>
        <w:t xml:space="preserve">reference state and territory legislation that regulates prescribers. </w:t>
      </w:r>
    </w:p>
    <w:p w14:paraId="5A5A90DE" w14:textId="77777777" w:rsidR="00FF30BD" w:rsidRPr="00024A6B" w:rsidRDefault="00FF30BD" w:rsidP="00115074">
      <w:pPr>
        <w:keepLines/>
        <w:widowControl w:val="0"/>
        <w:rPr>
          <w:rFonts w:asciiTheme="minorHAnsi" w:hAnsiTheme="minorHAnsi" w:cstheme="minorHAnsi"/>
        </w:rPr>
      </w:pPr>
    </w:p>
    <w:p w14:paraId="5F746F29" w14:textId="77777777" w:rsidR="00FF30BD" w:rsidRPr="00024A6B" w:rsidRDefault="00FF30BD" w:rsidP="00115074">
      <w:pPr>
        <w:keepLines/>
        <w:widowControl w:val="0"/>
        <w:rPr>
          <w:rFonts w:asciiTheme="minorHAnsi" w:hAnsiTheme="minorHAnsi" w:cstheme="minorHAnsi"/>
          <w:b/>
        </w:rPr>
      </w:pPr>
      <w:r w:rsidRPr="00024A6B">
        <w:rPr>
          <w:rFonts w:asciiTheme="minorHAnsi" w:hAnsiTheme="minorHAnsi" w:cstheme="minorHAnsi"/>
          <w:b/>
        </w:rPr>
        <w:t>Background</w:t>
      </w:r>
    </w:p>
    <w:p w14:paraId="7E8E4F08" w14:textId="52805BE2" w:rsidR="007C18BF" w:rsidRPr="00024A6B" w:rsidRDefault="007C18BF" w:rsidP="00115074">
      <w:pPr>
        <w:keepLines/>
        <w:widowControl w:val="0"/>
        <w:rPr>
          <w:rFonts w:asciiTheme="minorHAnsi" w:hAnsiTheme="minorHAnsi" w:cstheme="minorHAnsi"/>
          <w:u w:val="single"/>
        </w:rPr>
      </w:pPr>
    </w:p>
    <w:p w14:paraId="3D33AB24" w14:textId="7B94F3BF" w:rsidR="00124FE6" w:rsidRPr="00024A6B" w:rsidRDefault="007C0887" w:rsidP="00115074">
      <w:pPr>
        <w:keepLines/>
        <w:widowControl w:val="0"/>
        <w:rPr>
          <w:rFonts w:asciiTheme="minorHAnsi" w:hAnsiTheme="minorHAnsi" w:cstheme="minorHAnsi"/>
        </w:rPr>
      </w:pPr>
      <w:r w:rsidRPr="00024A6B">
        <w:rPr>
          <w:rFonts w:asciiTheme="minorHAnsi" w:hAnsiTheme="minorHAnsi" w:cstheme="minorHAnsi"/>
        </w:rPr>
        <w:t>Since</w:t>
      </w:r>
      <w:r w:rsidR="000B7889" w:rsidRPr="00024A6B">
        <w:rPr>
          <w:rFonts w:asciiTheme="minorHAnsi" w:hAnsiTheme="minorHAnsi" w:cstheme="minorHAnsi"/>
        </w:rPr>
        <w:t xml:space="preserve"> 1 July 2019, </w:t>
      </w:r>
      <w:r w:rsidR="00890FA8" w:rsidRPr="00024A6B">
        <w:rPr>
          <w:rFonts w:asciiTheme="minorHAnsi" w:hAnsiTheme="minorHAnsi" w:cstheme="minorHAnsi"/>
        </w:rPr>
        <w:t xml:space="preserve">the </w:t>
      </w:r>
      <w:r w:rsidR="00890FA8" w:rsidRPr="00024A6B">
        <w:rPr>
          <w:rFonts w:asciiTheme="minorHAnsi" w:hAnsiTheme="minorHAnsi" w:cstheme="minorHAnsi"/>
          <w:i/>
        </w:rPr>
        <w:t>Quality of Care Amendment (Minimising the Use of Restraints) Principles 2019</w:t>
      </w:r>
      <w:r w:rsidR="00890FA8" w:rsidRPr="00024A6B">
        <w:rPr>
          <w:rFonts w:asciiTheme="minorHAnsi" w:hAnsiTheme="minorHAnsi" w:cstheme="minorHAnsi"/>
        </w:rPr>
        <w:t xml:space="preserve"> (</w:t>
      </w:r>
      <w:r w:rsidR="00890FA8" w:rsidRPr="00024A6B">
        <w:rPr>
          <w:rFonts w:asciiTheme="minorHAnsi" w:hAnsiTheme="minorHAnsi" w:cstheme="minorHAnsi"/>
          <w:b/>
        </w:rPr>
        <w:t xml:space="preserve">the </w:t>
      </w:r>
      <w:r w:rsidR="007732EE" w:rsidRPr="00024A6B">
        <w:rPr>
          <w:rFonts w:asciiTheme="minorHAnsi" w:hAnsiTheme="minorHAnsi" w:cstheme="minorHAnsi"/>
          <w:b/>
        </w:rPr>
        <w:t>Principles</w:t>
      </w:r>
      <w:r w:rsidR="00890FA8" w:rsidRPr="00024A6B">
        <w:rPr>
          <w:rFonts w:asciiTheme="minorHAnsi" w:hAnsiTheme="minorHAnsi" w:cstheme="minorHAnsi"/>
        </w:rPr>
        <w:t xml:space="preserve">) </w:t>
      </w:r>
      <w:r w:rsidR="000B7889" w:rsidRPr="00024A6B">
        <w:rPr>
          <w:rFonts w:asciiTheme="minorHAnsi" w:hAnsiTheme="minorHAnsi" w:cstheme="minorHAnsi"/>
        </w:rPr>
        <w:t xml:space="preserve">require residential aged care providers to satisfy a number of conditions before physical and chemical restraint </w:t>
      </w:r>
      <w:r w:rsidR="00ED61CF" w:rsidRPr="00024A6B">
        <w:rPr>
          <w:rFonts w:asciiTheme="minorHAnsi" w:hAnsiTheme="minorHAnsi" w:cstheme="minorHAnsi"/>
        </w:rPr>
        <w:t>may</w:t>
      </w:r>
      <w:r w:rsidR="000B7889" w:rsidRPr="00024A6B">
        <w:rPr>
          <w:rFonts w:asciiTheme="minorHAnsi" w:hAnsiTheme="minorHAnsi" w:cstheme="minorHAnsi"/>
        </w:rPr>
        <w:t xml:space="preserve"> be used. </w:t>
      </w:r>
    </w:p>
    <w:p w14:paraId="0249DCF5" w14:textId="5DE47B39" w:rsidR="00595D67" w:rsidRPr="00024A6B" w:rsidRDefault="00595D67" w:rsidP="00115074">
      <w:pPr>
        <w:keepLines/>
        <w:widowControl w:val="0"/>
        <w:rPr>
          <w:rFonts w:asciiTheme="minorHAnsi" w:hAnsiTheme="minorHAnsi" w:cstheme="minorHAnsi"/>
        </w:rPr>
      </w:pPr>
    </w:p>
    <w:p w14:paraId="2158211C" w14:textId="2F2F9FA2" w:rsidR="00595D67" w:rsidRPr="00024A6B" w:rsidRDefault="00595D67" w:rsidP="00115074">
      <w:pPr>
        <w:keepLines/>
        <w:widowControl w:val="0"/>
        <w:rPr>
          <w:rFonts w:asciiTheme="minorHAnsi" w:hAnsiTheme="minorHAnsi" w:cstheme="minorHAnsi"/>
        </w:rPr>
      </w:pPr>
      <w:r w:rsidRPr="00024A6B">
        <w:rPr>
          <w:rFonts w:asciiTheme="minorHAnsi" w:hAnsiTheme="minorHAnsi" w:cstheme="minorHAnsi"/>
        </w:rPr>
        <w:t>These new requirements, for the first time, put explicit obligations on residential aged care providers in respect of the use of restraint. The regulatory changes require providers to satisfy a number of conditions before restraint can be used, including assessment by an approved health practitioner (for physical restraint) or assessment by a medical practitioner or nurse practitioner who has prescribed the medication (for chemical restraint).</w:t>
      </w:r>
    </w:p>
    <w:p w14:paraId="510BC5F1" w14:textId="0D4BFA04" w:rsidR="00D004C7" w:rsidRPr="00024A6B" w:rsidRDefault="00D004C7" w:rsidP="00115074">
      <w:pPr>
        <w:keepLines/>
        <w:widowControl w:val="0"/>
        <w:rPr>
          <w:rFonts w:asciiTheme="minorHAnsi" w:hAnsiTheme="minorHAnsi" w:cstheme="minorHAnsi"/>
        </w:rPr>
      </w:pPr>
    </w:p>
    <w:p w14:paraId="1D5B81BB" w14:textId="2F56A77B" w:rsidR="000B7889" w:rsidRPr="00024A6B" w:rsidRDefault="00D004C7" w:rsidP="00115074">
      <w:pPr>
        <w:keepLines/>
        <w:widowControl w:val="0"/>
        <w:rPr>
          <w:rFonts w:asciiTheme="minorHAnsi" w:hAnsiTheme="minorHAnsi" w:cstheme="minorHAnsi"/>
        </w:rPr>
      </w:pPr>
      <w:r w:rsidRPr="00024A6B">
        <w:rPr>
          <w:rFonts w:asciiTheme="minorHAnsi" w:hAnsiTheme="minorHAnsi" w:cstheme="minorHAnsi"/>
        </w:rPr>
        <w:t xml:space="preserve">The </w:t>
      </w:r>
      <w:r w:rsidR="007732EE" w:rsidRPr="00024A6B">
        <w:rPr>
          <w:rFonts w:asciiTheme="minorHAnsi" w:hAnsiTheme="minorHAnsi" w:cstheme="minorHAnsi"/>
        </w:rPr>
        <w:t xml:space="preserve">Principles </w:t>
      </w:r>
      <w:r w:rsidRPr="00024A6B">
        <w:rPr>
          <w:rFonts w:asciiTheme="minorHAnsi" w:hAnsiTheme="minorHAnsi" w:cstheme="minorHAnsi"/>
        </w:rPr>
        <w:t xml:space="preserve">complement those state and territory laws which protect individuals from interference with their personal rights and liberties. For example, medical practitioners and nurse practitioners are responsible for obtaining informed consent before prescribing medicines, including psychotropics and benzodiazepines. This obligation is set out in the codes of </w:t>
      </w:r>
      <w:r w:rsidR="00FF42F7" w:rsidRPr="00024A6B">
        <w:rPr>
          <w:rFonts w:asciiTheme="minorHAnsi" w:hAnsiTheme="minorHAnsi" w:cstheme="minorHAnsi"/>
        </w:rPr>
        <w:t>conduct, which</w:t>
      </w:r>
      <w:r w:rsidRPr="00024A6B">
        <w:rPr>
          <w:rFonts w:asciiTheme="minorHAnsi" w:hAnsiTheme="minorHAnsi" w:cstheme="minorHAnsi"/>
        </w:rPr>
        <w:t xml:space="preserve"> apply to these professions, and is regulated by the professional boards.</w:t>
      </w:r>
    </w:p>
    <w:p w14:paraId="5906AF11" w14:textId="4E9DCA38" w:rsidR="00D004C7" w:rsidRPr="00024A6B" w:rsidRDefault="00D004C7" w:rsidP="00115074">
      <w:pPr>
        <w:keepLines/>
        <w:widowControl w:val="0"/>
        <w:rPr>
          <w:rFonts w:asciiTheme="minorHAnsi" w:hAnsiTheme="minorHAnsi" w:cstheme="minorHAnsi"/>
        </w:rPr>
      </w:pPr>
    </w:p>
    <w:p w14:paraId="2B874532" w14:textId="33E08C39" w:rsidR="00D004C7" w:rsidRPr="00024A6B" w:rsidRDefault="00D004C7" w:rsidP="00115074">
      <w:pPr>
        <w:keepLines/>
        <w:widowControl w:val="0"/>
        <w:rPr>
          <w:rFonts w:asciiTheme="minorHAnsi" w:hAnsiTheme="minorHAnsi" w:cstheme="minorHAnsi"/>
        </w:rPr>
      </w:pPr>
      <w:r w:rsidRPr="00024A6B">
        <w:rPr>
          <w:rFonts w:asciiTheme="minorHAnsi" w:hAnsiTheme="minorHAnsi" w:cstheme="minorHAnsi"/>
        </w:rPr>
        <w:t xml:space="preserve">The </w:t>
      </w:r>
      <w:r w:rsidR="003C11B7" w:rsidRPr="00024A6B">
        <w:rPr>
          <w:rFonts w:asciiTheme="minorHAnsi" w:hAnsiTheme="minorHAnsi" w:cstheme="minorHAnsi"/>
        </w:rPr>
        <w:t>new requirements have</w:t>
      </w:r>
      <w:r w:rsidRPr="00024A6B">
        <w:rPr>
          <w:rFonts w:asciiTheme="minorHAnsi" w:hAnsiTheme="minorHAnsi" w:cstheme="minorHAnsi"/>
        </w:rPr>
        <w:t xml:space="preserve"> attracted significant interest, including </w:t>
      </w:r>
      <w:r w:rsidR="007C0887" w:rsidRPr="00024A6B">
        <w:rPr>
          <w:rFonts w:asciiTheme="minorHAnsi" w:hAnsiTheme="minorHAnsi" w:cstheme="minorHAnsi"/>
        </w:rPr>
        <w:t>through</w:t>
      </w:r>
      <w:r w:rsidR="00124FE6" w:rsidRPr="00024A6B">
        <w:rPr>
          <w:rFonts w:asciiTheme="minorHAnsi" w:hAnsiTheme="minorHAnsi" w:cstheme="minorHAnsi"/>
        </w:rPr>
        <w:t xml:space="preserve"> the Royal Commission into Aged Care Quality and Safety</w:t>
      </w:r>
      <w:r w:rsidR="00ED61CF" w:rsidRPr="00024A6B">
        <w:rPr>
          <w:rFonts w:asciiTheme="minorHAnsi" w:hAnsiTheme="minorHAnsi" w:cstheme="minorHAnsi"/>
        </w:rPr>
        <w:t xml:space="preserve"> (</w:t>
      </w:r>
      <w:r w:rsidR="00D32452" w:rsidRPr="00024A6B">
        <w:rPr>
          <w:rFonts w:asciiTheme="minorHAnsi" w:hAnsiTheme="minorHAnsi" w:cstheme="minorHAnsi"/>
          <w:b/>
        </w:rPr>
        <w:t>Royal </w:t>
      </w:r>
      <w:r w:rsidR="00ED61CF" w:rsidRPr="00024A6B">
        <w:rPr>
          <w:rFonts w:asciiTheme="minorHAnsi" w:hAnsiTheme="minorHAnsi" w:cstheme="minorHAnsi"/>
          <w:b/>
        </w:rPr>
        <w:t>Commission</w:t>
      </w:r>
      <w:r w:rsidR="00ED61CF" w:rsidRPr="00024A6B">
        <w:rPr>
          <w:rFonts w:asciiTheme="minorHAnsi" w:hAnsiTheme="minorHAnsi" w:cstheme="minorHAnsi"/>
        </w:rPr>
        <w:t>)</w:t>
      </w:r>
      <w:r w:rsidR="00124FE6" w:rsidRPr="00024A6B">
        <w:rPr>
          <w:rFonts w:asciiTheme="minorHAnsi" w:hAnsiTheme="minorHAnsi" w:cstheme="minorHAnsi"/>
        </w:rPr>
        <w:t xml:space="preserve">. </w:t>
      </w:r>
      <w:r w:rsidR="00CC65DA" w:rsidRPr="00024A6B">
        <w:rPr>
          <w:rFonts w:asciiTheme="minorHAnsi" w:hAnsiTheme="minorHAnsi" w:cstheme="minorHAnsi"/>
        </w:rPr>
        <w:t xml:space="preserve">In its </w:t>
      </w:r>
      <w:r w:rsidR="00ED61CF" w:rsidRPr="00024A6B">
        <w:rPr>
          <w:rFonts w:asciiTheme="minorHAnsi" w:hAnsiTheme="minorHAnsi" w:cstheme="minorHAnsi"/>
        </w:rPr>
        <w:t>Interim Report entitled ‘</w:t>
      </w:r>
      <w:r w:rsidR="00ED61CF" w:rsidRPr="00024A6B">
        <w:rPr>
          <w:rFonts w:asciiTheme="minorHAnsi" w:hAnsiTheme="minorHAnsi" w:cstheme="minorHAnsi"/>
          <w:i/>
        </w:rPr>
        <w:t>Neglect’</w:t>
      </w:r>
      <w:r w:rsidR="00D32452" w:rsidRPr="00024A6B">
        <w:rPr>
          <w:rFonts w:asciiTheme="minorHAnsi" w:hAnsiTheme="minorHAnsi" w:cstheme="minorHAnsi"/>
        </w:rPr>
        <w:t xml:space="preserve">, the Royal </w:t>
      </w:r>
      <w:r w:rsidR="00CC65DA" w:rsidRPr="00024A6B">
        <w:rPr>
          <w:rFonts w:asciiTheme="minorHAnsi" w:hAnsiTheme="minorHAnsi" w:cstheme="minorHAnsi"/>
        </w:rPr>
        <w:t xml:space="preserve">Commission </w:t>
      </w:r>
      <w:r w:rsidR="00D32452" w:rsidRPr="00024A6B">
        <w:rPr>
          <w:rFonts w:asciiTheme="minorHAnsi" w:hAnsiTheme="minorHAnsi" w:cstheme="minorHAnsi"/>
        </w:rPr>
        <w:t>acknowledge</w:t>
      </w:r>
      <w:r w:rsidR="00595D67" w:rsidRPr="00024A6B">
        <w:rPr>
          <w:rFonts w:asciiTheme="minorHAnsi" w:hAnsiTheme="minorHAnsi" w:cstheme="minorHAnsi"/>
        </w:rPr>
        <w:t>d</w:t>
      </w:r>
      <w:r w:rsidR="00D32452" w:rsidRPr="00024A6B">
        <w:rPr>
          <w:rFonts w:asciiTheme="minorHAnsi" w:hAnsiTheme="minorHAnsi" w:cstheme="minorHAnsi"/>
        </w:rPr>
        <w:t xml:space="preserve"> that the “</w:t>
      </w:r>
      <w:r w:rsidR="00D32452" w:rsidRPr="00024A6B">
        <w:rPr>
          <w:rFonts w:asciiTheme="minorHAnsi" w:hAnsiTheme="minorHAnsi" w:cstheme="minorHAnsi"/>
          <w:i/>
        </w:rPr>
        <w:t>drivers behind the use of restrictive practices are complex</w:t>
      </w:r>
      <w:r w:rsidR="00D32452" w:rsidRPr="00024A6B">
        <w:rPr>
          <w:rFonts w:asciiTheme="minorHAnsi" w:hAnsiTheme="minorHAnsi" w:cstheme="minorHAnsi"/>
        </w:rPr>
        <w:t>”</w:t>
      </w:r>
      <w:r w:rsidR="00FF42F7" w:rsidRPr="00024A6B">
        <w:rPr>
          <w:rFonts w:asciiTheme="minorHAnsi" w:hAnsiTheme="minorHAnsi" w:cstheme="minorHAnsi"/>
        </w:rPr>
        <w:t xml:space="preserve"> and made a number of preliminary observations in respect of the use of restrictive practices in aged care. </w:t>
      </w:r>
    </w:p>
    <w:p w14:paraId="2C7AF1EB" w14:textId="131FAE2F" w:rsidR="00D004C7" w:rsidRPr="00024A6B" w:rsidRDefault="00D004C7" w:rsidP="00115074">
      <w:pPr>
        <w:keepLines/>
        <w:widowControl w:val="0"/>
        <w:rPr>
          <w:rFonts w:asciiTheme="minorHAnsi" w:hAnsiTheme="minorHAnsi" w:cstheme="minorHAnsi"/>
        </w:rPr>
      </w:pPr>
    </w:p>
    <w:p w14:paraId="5EEEFDF4" w14:textId="0DB73F86" w:rsidR="00D004C7" w:rsidRPr="00024A6B" w:rsidRDefault="00D004C7" w:rsidP="00115074">
      <w:pPr>
        <w:keepLines/>
        <w:widowControl w:val="0"/>
        <w:rPr>
          <w:rFonts w:asciiTheme="minorHAnsi" w:hAnsiTheme="minorHAnsi" w:cstheme="minorHAnsi"/>
        </w:rPr>
      </w:pPr>
      <w:r w:rsidRPr="00024A6B">
        <w:rPr>
          <w:rFonts w:asciiTheme="minorHAnsi" w:hAnsiTheme="minorHAnsi" w:cstheme="minorHAnsi"/>
        </w:rPr>
        <w:t xml:space="preserve">The Amending Instrument will require a review of </w:t>
      </w:r>
      <w:r w:rsidR="00914608" w:rsidRPr="00024A6B">
        <w:rPr>
          <w:rFonts w:asciiTheme="minorHAnsi" w:hAnsiTheme="minorHAnsi" w:cstheme="minorHAnsi"/>
        </w:rPr>
        <w:t>the operation of Part 4A of the Quality of Care Principles</w:t>
      </w:r>
      <w:r w:rsidR="00914608" w:rsidRPr="00024A6B">
        <w:rPr>
          <w:rFonts w:asciiTheme="minorHAnsi" w:hAnsiTheme="minorHAnsi" w:cstheme="minorHAnsi"/>
          <w:i/>
        </w:rPr>
        <w:t xml:space="preserve"> </w:t>
      </w:r>
      <w:r w:rsidRPr="00024A6B">
        <w:rPr>
          <w:rFonts w:asciiTheme="minorHAnsi" w:hAnsiTheme="minorHAnsi" w:cstheme="minorHAnsi"/>
        </w:rPr>
        <w:t>and consider</w:t>
      </w:r>
      <w:r w:rsidR="003C11B7" w:rsidRPr="00024A6B">
        <w:rPr>
          <w:rFonts w:asciiTheme="minorHAnsi" w:hAnsiTheme="minorHAnsi" w:cstheme="minorHAnsi"/>
        </w:rPr>
        <w:t xml:space="preserve">ation </w:t>
      </w:r>
      <w:r w:rsidR="00914608" w:rsidRPr="00024A6B">
        <w:rPr>
          <w:rFonts w:asciiTheme="minorHAnsi" w:hAnsiTheme="minorHAnsi" w:cstheme="minorHAnsi"/>
        </w:rPr>
        <w:t xml:space="preserve">of the </w:t>
      </w:r>
      <w:r w:rsidRPr="00024A6B">
        <w:rPr>
          <w:rFonts w:asciiTheme="minorHAnsi" w:hAnsiTheme="minorHAnsi" w:cstheme="minorHAnsi"/>
        </w:rPr>
        <w:t>effective</w:t>
      </w:r>
      <w:r w:rsidR="00914608" w:rsidRPr="00024A6B">
        <w:rPr>
          <w:rFonts w:asciiTheme="minorHAnsi" w:hAnsiTheme="minorHAnsi" w:cstheme="minorHAnsi"/>
        </w:rPr>
        <w:t>ness of this Part</w:t>
      </w:r>
      <w:r w:rsidRPr="00024A6B">
        <w:rPr>
          <w:rFonts w:asciiTheme="minorHAnsi" w:hAnsiTheme="minorHAnsi" w:cstheme="minorHAnsi"/>
        </w:rPr>
        <w:t xml:space="preserve"> in minimising the use of physical and chemical restraint by approved providers</w:t>
      </w:r>
      <w:r w:rsidR="003C11B7" w:rsidRPr="00024A6B">
        <w:rPr>
          <w:rFonts w:asciiTheme="minorHAnsi" w:hAnsiTheme="minorHAnsi" w:cstheme="minorHAnsi"/>
        </w:rPr>
        <w:t xml:space="preserve"> in relation to consumers</w:t>
      </w:r>
      <w:r w:rsidR="00914608" w:rsidRPr="00024A6B">
        <w:rPr>
          <w:rFonts w:asciiTheme="minorHAnsi" w:hAnsiTheme="minorHAnsi" w:cstheme="minorHAnsi"/>
        </w:rPr>
        <w:t xml:space="preserve"> in the period 1 July 2019 to 30 June 2020. </w:t>
      </w:r>
    </w:p>
    <w:p w14:paraId="27ACD9A9" w14:textId="77777777" w:rsidR="00D004C7" w:rsidRPr="00024A6B" w:rsidRDefault="00D004C7" w:rsidP="00115074">
      <w:pPr>
        <w:keepLines/>
        <w:widowControl w:val="0"/>
        <w:rPr>
          <w:rFonts w:asciiTheme="minorHAnsi" w:hAnsiTheme="minorHAnsi" w:cstheme="minorHAnsi"/>
        </w:rPr>
      </w:pPr>
    </w:p>
    <w:p w14:paraId="416A06E8" w14:textId="1C447C39" w:rsidR="00D004C7" w:rsidRPr="00024A6B" w:rsidRDefault="003C11B7" w:rsidP="00115074">
      <w:pPr>
        <w:keepLines/>
        <w:widowControl w:val="0"/>
        <w:rPr>
          <w:rFonts w:asciiTheme="minorHAnsi" w:hAnsiTheme="minorHAnsi" w:cstheme="minorHAnsi"/>
        </w:rPr>
      </w:pPr>
      <w:r w:rsidRPr="00024A6B">
        <w:rPr>
          <w:rFonts w:asciiTheme="minorHAnsi" w:hAnsiTheme="minorHAnsi" w:cstheme="minorHAnsi"/>
        </w:rPr>
        <w:t>This</w:t>
      </w:r>
      <w:r w:rsidR="00D004C7" w:rsidRPr="00024A6B">
        <w:rPr>
          <w:rFonts w:asciiTheme="minorHAnsi" w:hAnsiTheme="minorHAnsi" w:cstheme="minorHAnsi"/>
        </w:rPr>
        <w:t xml:space="preserve"> review will </w:t>
      </w:r>
      <w:r w:rsidR="001970E3" w:rsidRPr="00024A6B">
        <w:rPr>
          <w:rFonts w:asciiTheme="minorHAnsi" w:hAnsiTheme="minorHAnsi" w:cstheme="minorHAnsi"/>
        </w:rPr>
        <w:t xml:space="preserve">also </w:t>
      </w:r>
      <w:r w:rsidR="00D004C7" w:rsidRPr="00024A6B">
        <w:rPr>
          <w:rFonts w:asciiTheme="minorHAnsi" w:hAnsiTheme="minorHAnsi" w:cstheme="minorHAnsi"/>
        </w:rPr>
        <w:t xml:space="preserve">provide an opportunity to consider </w:t>
      </w:r>
      <w:r w:rsidR="001970E3" w:rsidRPr="00024A6B">
        <w:rPr>
          <w:rFonts w:asciiTheme="minorHAnsi" w:hAnsiTheme="minorHAnsi" w:cstheme="minorHAnsi"/>
        </w:rPr>
        <w:t xml:space="preserve">any </w:t>
      </w:r>
      <w:r w:rsidR="00D004C7" w:rsidRPr="00024A6B">
        <w:rPr>
          <w:rFonts w:asciiTheme="minorHAnsi" w:hAnsiTheme="minorHAnsi" w:cstheme="minorHAnsi"/>
        </w:rPr>
        <w:t xml:space="preserve">recommendations </w:t>
      </w:r>
      <w:r w:rsidRPr="00024A6B">
        <w:rPr>
          <w:rFonts w:asciiTheme="minorHAnsi" w:hAnsiTheme="minorHAnsi" w:cstheme="minorHAnsi"/>
        </w:rPr>
        <w:t xml:space="preserve">from various scrutiny and review bodies </w:t>
      </w:r>
      <w:r w:rsidR="001970E3" w:rsidRPr="00024A6B">
        <w:rPr>
          <w:rFonts w:asciiTheme="minorHAnsi" w:hAnsiTheme="minorHAnsi" w:cstheme="minorHAnsi"/>
        </w:rPr>
        <w:t xml:space="preserve">about appropriate amendments to </w:t>
      </w:r>
      <w:r w:rsidR="00577100" w:rsidRPr="00024A6B">
        <w:rPr>
          <w:rFonts w:asciiTheme="minorHAnsi" w:hAnsiTheme="minorHAnsi" w:cstheme="minorHAnsi"/>
        </w:rPr>
        <w:t>the Quality of Care Principles</w:t>
      </w:r>
      <w:r w:rsidR="00914608" w:rsidRPr="00024A6B">
        <w:rPr>
          <w:rFonts w:asciiTheme="minorHAnsi" w:hAnsiTheme="minorHAnsi" w:cstheme="minorHAnsi"/>
        </w:rPr>
        <w:t xml:space="preserve">, as well findings by the Royal Commission into Aged Care Quality and Safety. </w:t>
      </w:r>
    </w:p>
    <w:p w14:paraId="1469383E" w14:textId="77777777" w:rsidR="00B17F16" w:rsidRPr="00024A6B" w:rsidRDefault="00B17F16" w:rsidP="00115074">
      <w:pPr>
        <w:keepLines/>
        <w:widowControl w:val="0"/>
        <w:rPr>
          <w:rFonts w:asciiTheme="minorHAnsi" w:hAnsiTheme="minorHAnsi" w:cstheme="minorHAnsi"/>
        </w:rPr>
      </w:pPr>
    </w:p>
    <w:p w14:paraId="4F17C1B2" w14:textId="761C21AC" w:rsidR="00FF30BD" w:rsidRPr="00024A6B" w:rsidRDefault="00FF30BD" w:rsidP="00115074">
      <w:pPr>
        <w:keepLines/>
        <w:widowControl w:val="0"/>
        <w:rPr>
          <w:rFonts w:asciiTheme="minorHAnsi" w:hAnsiTheme="minorHAnsi" w:cstheme="minorHAnsi"/>
          <w:b/>
        </w:rPr>
      </w:pPr>
      <w:r w:rsidRPr="00024A6B">
        <w:rPr>
          <w:rFonts w:asciiTheme="minorHAnsi" w:hAnsiTheme="minorHAnsi" w:cstheme="minorHAnsi"/>
          <w:b/>
        </w:rPr>
        <w:t>Consultation</w:t>
      </w:r>
    </w:p>
    <w:p w14:paraId="1DEA3D7B" w14:textId="77777777" w:rsidR="00D524F1" w:rsidRPr="00024A6B" w:rsidRDefault="00D524F1" w:rsidP="00115074">
      <w:pPr>
        <w:keepLines/>
        <w:widowControl w:val="0"/>
        <w:rPr>
          <w:rFonts w:asciiTheme="minorHAnsi" w:hAnsiTheme="minorHAnsi" w:cstheme="minorHAnsi"/>
          <w:color w:val="000000"/>
          <w:shd w:val="clear" w:color="auto" w:fill="FFFFFF"/>
        </w:rPr>
      </w:pPr>
    </w:p>
    <w:p w14:paraId="2A1D59F9" w14:textId="0A0C88D6" w:rsidR="001970E3" w:rsidRPr="00024A6B" w:rsidRDefault="001970E3" w:rsidP="00115074">
      <w:pPr>
        <w:keepLines/>
        <w:widowControl w:val="0"/>
        <w:rPr>
          <w:rFonts w:asciiTheme="minorHAnsi" w:hAnsiTheme="minorHAnsi" w:cstheme="minorHAnsi"/>
          <w:color w:val="000000"/>
          <w:shd w:val="clear" w:color="auto" w:fill="FFFFFF"/>
        </w:rPr>
      </w:pPr>
      <w:r w:rsidRPr="00024A6B">
        <w:rPr>
          <w:rFonts w:asciiTheme="minorHAnsi" w:hAnsiTheme="minorHAnsi" w:cstheme="minorHAnsi"/>
          <w:color w:val="000000"/>
          <w:shd w:val="clear" w:color="auto" w:fill="FFFFFF"/>
        </w:rPr>
        <w:t xml:space="preserve">During the development of the </w:t>
      </w:r>
      <w:r w:rsidR="007732EE" w:rsidRPr="00024A6B">
        <w:rPr>
          <w:rFonts w:asciiTheme="minorHAnsi" w:hAnsiTheme="minorHAnsi" w:cstheme="minorHAnsi"/>
          <w:color w:val="000000"/>
          <w:shd w:val="clear" w:color="auto" w:fill="FFFFFF"/>
        </w:rPr>
        <w:t>Principles</w:t>
      </w:r>
      <w:r w:rsidRPr="00024A6B">
        <w:rPr>
          <w:rFonts w:asciiTheme="minorHAnsi" w:hAnsiTheme="minorHAnsi" w:cstheme="minorHAnsi"/>
          <w:color w:val="000000"/>
          <w:shd w:val="clear" w:color="auto" w:fill="FFFFFF"/>
        </w:rPr>
        <w:t>, t</w:t>
      </w:r>
      <w:r w:rsidR="00890FA8" w:rsidRPr="00024A6B">
        <w:rPr>
          <w:rFonts w:asciiTheme="minorHAnsi" w:hAnsiTheme="minorHAnsi" w:cstheme="minorHAnsi"/>
          <w:color w:val="000000"/>
          <w:shd w:val="clear" w:color="auto" w:fill="FFFFFF"/>
        </w:rPr>
        <w:t xml:space="preserve">he Department of Health consulted with </w:t>
      </w:r>
      <w:r w:rsidRPr="00024A6B">
        <w:rPr>
          <w:rFonts w:asciiTheme="minorHAnsi" w:hAnsiTheme="minorHAnsi" w:cstheme="minorHAnsi"/>
          <w:color w:val="000000"/>
          <w:shd w:val="clear" w:color="auto" w:fill="FFFFFF"/>
        </w:rPr>
        <w:t xml:space="preserve">the following </w:t>
      </w:r>
      <w:r w:rsidR="00890FA8" w:rsidRPr="00024A6B">
        <w:rPr>
          <w:rFonts w:asciiTheme="minorHAnsi" w:hAnsiTheme="minorHAnsi" w:cstheme="minorHAnsi"/>
          <w:color w:val="000000"/>
          <w:shd w:val="clear" w:color="auto" w:fill="FFFFFF"/>
        </w:rPr>
        <w:t>key stakeholders:</w:t>
      </w:r>
    </w:p>
    <w:p w14:paraId="094A78B1" w14:textId="38296A99" w:rsidR="00890FA8" w:rsidRPr="00024A6B" w:rsidRDefault="00890FA8" w:rsidP="00115074">
      <w:pPr>
        <w:pStyle w:val="ListParagraph"/>
        <w:keepLines/>
        <w:widowControl w:val="0"/>
        <w:numPr>
          <w:ilvl w:val="0"/>
          <w:numId w:val="25"/>
        </w:numPr>
        <w:spacing w:before="0" w:after="0"/>
        <w:contextualSpacing w:val="0"/>
        <w:rPr>
          <w:rFonts w:asciiTheme="minorHAnsi" w:hAnsiTheme="minorHAnsi" w:cstheme="minorHAnsi"/>
          <w:color w:val="000000"/>
          <w:sz w:val="24"/>
          <w:shd w:val="clear" w:color="auto" w:fill="FFFFFF"/>
        </w:rPr>
      </w:pPr>
      <w:r w:rsidRPr="00024A6B">
        <w:rPr>
          <w:rFonts w:asciiTheme="minorHAnsi" w:hAnsiTheme="minorHAnsi" w:cstheme="minorHAnsi"/>
          <w:color w:val="000000"/>
          <w:sz w:val="24"/>
          <w:shd w:val="clear" w:color="auto" w:fill="FFFFFF"/>
        </w:rPr>
        <w:t>representatives of residential aged care providers and their peak</w:t>
      </w:r>
      <w:r w:rsidR="001970E3" w:rsidRPr="00024A6B">
        <w:rPr>
          <w:rFonts w:asciiTheme="minorHAnsi" w:hAnsiTheme="minorHAnsi" w:cstheme="minorHAnsi"/>
          <w:color w:val="000000"/>
          <w:sz w:val="24"/>
          <w:shd w:val="clear" w:color="auto" w:fill="FFFFFF"/>
        </w:rPr>
        <w:t xml:space="preserve"> bodies</w:t>
      </w:r>
      <w:r w:rsidRPr="00024A6B">
        <w:rPr>
          <w:rFonts w:asciiTheme="minorHAnsi" w:hAnsiTheme="minorHAnsi" w:cstheme="minorHAnsi"/>
          <w:color w:val="000000"/>
          <w:sz w:val="24"/>
          <w:shd w:val="clear" w:color="auto" w:fill="FFFFFF"/>
        </w:rPr>
        <w:t>;</w:t>
      </w:r>
    </w:p>
    <w:p w14:paraId="1E8A2146" w14:textId="52EC9AEC" w:rsidR="00890FA8" w:rsidRPr="00024A6B" w:rsidRDefault="00890FA8" w:rsidP="00115074">
      <w:pPr>
        <w:pStyle w:val="ListParagraph"/>
        <w:keepLines/>
        <w:widowControl w:val="0"/>
        <w:numPr>
          <w:ilvl w:val="0"/>
          <w:numId w:val="25"/>
        </w:numPr>
        <w:spacing w:before="0" w:after="0"/>
        <w:contextualSpacing w:val="0"/>
        <w:rPr>
          <w:rFonts w:asciiTheme="minorHAnsi" w:hAnsiTheme="minorHAnsi" w:cstheme="minorHAnsi"/>
          <w:color w:val="000000"/>
          <w:sz w:val="24"/>
          <w:shd w:val="clear" w:color="auto" w:fill="FFFFFF"/>
        </w:rPr>
      </w:pPr>
      <w:r w:rsidRPr="00024A6B">
        <w:rPr>
          <w:rFonts w:asciiTheme="minorHAnsi" w:hAnsiTheme="minorHAnsi" w:cstheme="minorHAnsi"/>
          <w:color w:val="000000"/>
          <w:sz w:val="24"/>
          <w:shd w:val="clear" w:color="auto" w:fill="FFFFFF"/>
        </w:rPr>
        <w:t>consumer peak</w:t>
      </w:r>
      <w:r w:rsidR="001970E3" w:rsidRPr="00024A6B">
        <w:rPr>
          <w:rFonts w:asciiTheme="minorHAnsi" w:hAnsiTheme="minorHAnsi" w:cstheme="minorHAnsi"/>
          <w:color w:val="000000"/>
          <w:sz w:val="24"/>
          <w:shd w:val="clear" w:color="auto" w:fill="FFFFFF"/>
        </w:rPr>
        <w:t xml:space="preserve"> bodies</w:t>
      </w:r>
      <w:r w:rsidRPr="00024A6B">
        <w:rPr>
          <w:rFonts w:asciiTheme="minorHAnsi" w:hAnsiTheme="minorHAnsi" w:cstheme="minorHAnsi"/>
          <w:color w:val="000000"/>
          <w:sz w:val="24"/>
          <w:shd w:val="clear" w:color="auto" w:fill="FFFFFF"/>
        </w:rPr>
        <w:t>;</w:t>
      </w:r>
    </w:p>
    <w:p w14:paraId="5B2CF632" w14:textId="45C362C2" w:rsidR="00890FA8" w:rsidRPr="00024A6B" w:rsidRDefault="001970E3" w:rsidP="00115074">
      <w:pPr>
        <w:pStyle w:val="ListParagraph"/>
        <w:keepLines/>
        <w:widowControl w:val="0"/>
        <w:numPr>
          <w:ilvl w:val="0"/>
          <w:numId w:val="25"/>
        </w:numPr>
        <w:spacing w:before="0" w:after="0"/>
        <w:contextualSpacing w:val="0"/>
        <w:rPr>
          <w:rFonts w:asciiTheme="minorHAnsi" w:hAnsiTheme="minorHAnsi" w:cstheme="minorHAnsi"/>
          <w:color w:val="000000"/>
          <w:sz w:val="24"/>
          <w:shd w:val="clear" w:color="auto" w:fill="FFFFFF"/>
        </w:rPr>
      </w:pPr>
      <w:r w:rsidRPr="00024A6B">
        <w:rPr>
          <w:rFonts w:asciiTheme="minorHAnsi" w:hAnsiTheme="minorHAnsi" w:cstheme="minorHAnsi"/>
          <w:color w:val="000000"/>
          <w:sz w:val="24"/>
          <w:shd w:val="clear" w:color="auto" w:fill="FFFFFF"/>
        </w:rPr>
        <w:t xml:space="preserve">the </w:t>
      </w:r>
      <w:r w:rsidR="00890FA8" w:rsidRPr="00024A6B">
        <w:rPr>
          <w:rFonts w:asciiTheme="minorHAnsi" w:hAnsiTheme="minorHAnsi" w:cstheme="minorHAnsi"/>
          <w:color w:val="000000"/>
          <w:sz w:val="24"/>
          <w:shd w:val="clear" w:color="auto" w:fill="FFFFFF"/>
        </w:rPr>
        <w:t>Aged Care Quality and Safety Commission;</w:t>
      </w:r>
    </w:p>
    <w:p w14:paraId="14F72E91" w14:textId="014625B9" w:rsidR="00890FA8" w:rsidRPr="00024A6B" w:rsidRDefault="001970E3" w:rsidP="00115074">
      <w:pPr>
        <w:pStyle w:val="ListParagraph"/>
        <w:keepLines/>
        <w:widowControl w:val="0"/>
        <w:numPr>
          <w:ilvl w:val="0"/>
          <w:numId w:val="25"/>
        </w:numPr>
        <w:spacing w:before="0" w:after="0"/>
        <w:contextualSpacing w:val="0"/>
        <w:rPr>
          <w:rFonts w:asciiTheme="minorHAnsi" w:hAnsiTheme="minorHAnsi" w:cstheme="minorHAnsi"/>
          <w:color w:val="000000"/>
          <w:sz w:val="24"/>
          <w:shd w:val="clear" w:color="auto" w:fill="FFFFFF"/>
        </w:rPr>
      </w:pPr>
      <w:r w:rsidRPr="00024A6B">
        <w:rPr>
          <w:rFonts w:asciiTheme="minorHAnsi" w:hAnsiTheme="minorHAnsi" w:cstheme="minorHAnsi"/>
          <w:color w:val="000000"/>
          <w:sz w:val="24"/>
          <w:shd w:val="clear" w:color="auto" w:fill="FFFFFF"/>
        </w:rPr>
        <w:t xml:space="preserve">the </w:t>
      </w:r>
      <w:r w:rsidR="00890FA8" w:rsidRPr="00024A6B">
        <w:rPr>
          <w:rFonts w:asciiTheme="minorHAnsi" w:hAnsiTheme="minorHAnsi" w:cstheme="minorHAnsi"/>
          <w:color w:val="000000"/>
          <w:sz w:val="24"/>
          <w:shd w:val="clear" w:color="auto" w:fill="FFFFFF"/>
        </w:rPr>
        <w:t>Australian Commission on Safety and Quality in Health Care;</w:t>
      </w:r>
    </w:p>
    <w:p w14:paraId="5CBDF984" w14:textId="60447D9D" w:rsidR="00890FA8" w:rsidRPr="00024A6B" w:rsidRDefault="001970E3" w:rsidP="00115074">
      <w:pPr>
        <w:pStyle w:val="ListParagraph"/>
        <w:keepLines/>
        <w:widowControl w:val="0"/>
        <w:numPr>
          <w:ilvl w:val="0"/>
          <w:numId w:val="25"/>
        </w:numPr>
        <w:spacing w:before="0" w:after="0"/>
        <w:contextualSpacing w:val="0"/>
        <w:rPr>
          <w:rFonts w:asciiTheme="minorHAnsi" w:hAnsiTheme="minorHAnsi" w:cstheme="minorHAnsi"/>
          <w:color w:val="000000"/>
          <w:sz w:val="24"/>
          <w:shd w:val="clear" w:color="auto" w:fill="FFFFFF"/>
        </w:rPr>
      </w:pPr>
      <w:r w:rsidRPr="00024A6B">
        <w:rPr>
          <w:rFonts w:asciiTheme="minorHAnsi" w:hAnsiTheme="minorHAnsi" w:cstheme="minorHAnsi"/>
          <w:color w:val="000000"/>
          <w:sz w:val="24"/>
          <w:shd w:val="clear" w:color="auto" w:fill="FFFFFF"/>
        </w:rPr>
        <w:t xml:space="preserve">the </w:t>
      </w:r>
      <w:r w:rsidR="00890FA8" w:rsidRPr="00024A6B">
        <w:rPr>
          <w:rFonts w:asciiTheme="minorHAnsi" w:hAnsiTheme="minorHAnsi" w:cstheme="minorHAnsi"/>
          <w:color w:val="000000"/>
          <w:sz w:val="24"/>
          <w:shd w:val="clear" w:color="auto" w:fill="FFFFFF"/>
        </w:rPr>
        <w:t>Australian Nursing and Midwifery Federation;</w:t>
      </w:r>
    </w:p>
    <w:p w14:paraId="4017C0E3" w14:textId="77777777" w:rsidR="00890FA8" w:rsidRPr="00024A6B" w:rsidRDefault="00890FA8" w:rsidP="00115074">
      <w:pPr>
        <w:pStyle w:val="ListParagraph"/>
        <w:keepLines/>
        <w:widowControl w:val="0"/>
        <w:numPr>
          <w:ilvl w:val="0"/>
          <w:numId w:val="25"/>
        </w:numPr>
        <w:spacing w:before="0" w:after="0"/>
        <w:contextualSpacing w:val="0"/>
        <w:rPr>
          <w:rFonts w:asciiTheme="minorHAnsi" w:hAnsiTheme="minorHAnsi" w:cstheme="minorHAnsi"/>
          <w:color w:val="000000"/>
          <w:sz w:val="24"/>
          <w:shd w:val="clear" w:color="auto" w:fill="FFFFFF"/>
        </w:rPr>
      </w:pPr>
      <w:r w:rsidRPr="00024A6B">
        <w:rPr>
          <w:rFonts w:asciiTheme="minorHAnsi" w:hAnsiTheme="minorHAnsi" w:cstheme="minorHAnsi"/>
          <w:color w:val="000000"/>
          <w:sz w:val="24"/>
          <w:shd w:val="clear" w:color="auto" w:fill="FFFFFF"/>
        </w:rPr>
        <w:t>academics with expertise in aged care clinical practice; and,</w:t>
      </w:r>
    </w:p>
    <w:p w14:paraId="2FE12E3C" w14:textId="5C9BB50F" w:rsidR="00890FA8" w:rsidRPr="00024A6B" w:rsidRDefault="001970E3" w:rsidP="00115074">
      <w:pPr>
        <w:pStyle w:val="ListParagraph"/>
        <w:keepLines/>
        <w:widowControl w:val="0"/>
        <w:numPr>
          <w:ilvl w:val="0"/>
          <w:numId w:val="25"/>
        </w:numPr>
        <w:spacing w:before="0" w:after="0"/>
        <w:contextualSpacing w:val="0"/>
        <w:rPr>
          <w:rFonts w:asciiTheme="minorHAnsi" w:hAnsiTheme="minorHAnsi" w:cstheme="minorHAnsi"/>
          <w:color w:val="000000"/>
          <w:sz w:val="24"/>
          <w:shd w:val="clear" w:color="auto" w:fill="FFFFFF"/>
        </w:rPr>
      </w:pPr>
      <w:r w:rsidRPr="00024A6B">
        <w:rPr>
          <w:rFonts w:asciiTheme="minorHAnsi" w:hAnsiTheme="minorHAnsi" w:cstheme="minorHAnsi"/>
          <w:color w:val="000000"/>
          <w:sz w:val="24"/>
          <w:shd w:val="clear" w:color="auto" w:fill="FFFFFF"/>
        </w:rPr>
        <w:t xml:space="preserve">the </w:t>
      </w:r>
      <w:r w:rsidR="00890FA8" w:rsidRPr="00024A6B">
        <w:rPr>
          <w:rFonts w:asciiTheme="minorHAnsi" w:hAnsiTheme="minorHAnsi" w:cstheme="minorHAnsi"/>
          <w:color w:val="000000"/>
          <w:sz w:val="24"/>
          <w:shd w:val="clear" w:color="auto" w:fill="FFFFFF"/>
        </w:rPr>
        <w:t>Department of Social Services.</w:t>
      </w:r>
    </w:p>
    <w:p w14:paraId="4C350869" w14:textId="77777777" w:rsidR="00890FA8" w:rsidRPr="00024A6B" w:rsidRDefault="00890FA8" w:rsidP="00115074">
      <w:pPr>
        <w:keepLines/>
        <w:widowControl w:val="0"/>
        <w:rPr>
          <w:rFonts w:asciiTheme="minorHAnsi" w:hAnsiTheme="minorHAnsi" w:cstheme="minorHAnsi"/>
          <w:color w:val="000000"/>
          <w:shd w:val="clear" w:color="auto" w:fill="FFFFFF"/>
        </w:rPr>
      </w:pPr>
    </w:p>
    <w:p w14:paraId="6BF96F4E" w14:textId="0D1F1469" w:rsidR="00890FA8" w:rsidRPr="00024A6B" w:rsidRDefault="00890FA8" w:rsidP="00115074">
      <w:pPr>
        <w:keepLines/>
        <w:widowControl w:val="0"/>
        <w:rPr>
          <w:rFonts w:asciiTheme="minorHAnsi" w:hAnsiTheme="minorHAnsi" w:cstheme="minorHAnsi"/>
        </w:rPr>
      </w:pPr>
      <w:r w:rsidRPr="00024A6B">
        <w:rPr>
          <w:rFonts w:asciiTheme="minorHAnsi" w:hAnsiTheme="minorHAnsi" w:cstheme="minorHAnsi"/>
        </w:rPr>
        <w:t xml:space="preserve">The review of the </w:t>
      </w:r>
      <w:r w:rsidR="007732EE" w:rsidRPr="00024A6B">
        <w:rPr>
          <w:rFonts w:asciiTheme="minorHAnsi" w:hAnsiTheme="minorHAnsi" w:cstheme="minorHAnsi"/>
        </w:rPr>
        <w:t xml:space="preserve">Principles </w:t>
      </w:r>
      <w:r w:rsidRPr="00024A6B">
        <w:rPr>
          <w:rFonts w:asciiTheme="minorHAnsi" w:hAnsiTheme="minorHAnsi" w:cstheme="minorHAnsi"/>
        </w:rPr>
        <w:t xml:space="preserve">will </w:t>
      </w:r>
      <w:r w:rsidR="001970E3" w:rsidRPr="00024A6B">
        <w:rPr>
          <w:rFonts w:asciiTheme="minorHAnsi" w:hAnsiTheme="minorHAnsi" w:cstheme="minorHAnsi"/>
        </w:rPr>
        <w:t xml:space="preserve">also </w:t>
      </w:r>
      <w:r w:rsidRPr="00024A6B">
        <w:rPr>
          <w:rFonts w:asciiTheme="minorHAnsi" w:hAnsiTheme="minorHAnsi" w:cstheme="minorHAnsi"/>
        </w:rPr>
        <w:t xml:space="preserve">provide an opportunity for </w:t>
      </w:r>
      <w:r w:rsidR="00577100" w:rsidRPr="00024A6B">
        <w:rPr>
          <w:rFonts w:asciiTheme="minorHAnsi" w:hAnsiTheme="minorHAnsi" w:cstheme="minorHAnsi"/>
        </w:rPr>
        <w:t>additional</w:t>
      </w:r>
      <w:r w:rsidRPr="00024A6B">
        <w:rPr>
          <w:rFonts w:asciiTheme="minorHAnsi" w:hAnsiTheme="minorHAnsi" w:cstheme="minorHAnsi"/>
        </w:rPr>
        <w:t xml:space="preserve"> consultation with stakeholders</w:t>
      </w:r>
      <w:r w:rsidR="001970E3" w:rsidRPr="00024A6B">
        <w:rPr>
          <w:rFonts w:asciiTheme="minorHAnsi" w:hAnsiTheme="minorHAnsi" w:cstheme="minorHAnsi"/>
        </w:rPr>
        <w:t xml:space="preserve"> about minimising the use of physical and chemical restraint by approved providers in relation to consumers</w:t>
      </w:r>
      <w:r w:rsidRPr="00024A6B">
        <w:rPr>
          <w:rFonts w:asciiTheme="minorHAnsi" w:hAnsiTheme="minorHAnsi" w:cstheme="minorHAnsi"/>
        </w:rPr>
        <w:t xml:space="preserve">. </w:t>
      </w:r>
    </w:p>
    <w:p w14:paraId="7C5EC1A1" w14:textId="680232E9" w:rsidR="00D524F1" w:rsidRPr="00024A6B" w:rsidRDefault="00D524F1" w:rsidP="00115074">
      <w:pPr>
        <w:keepLines/>
        <w:widowControl w:val="0"/>
        <w:rPr>
          <w:rFonts w:asciiTheme="minorHAnsi" w:hAnsiTheme="minorHAnsi" w:cstheme="minorHAnsi"/>
        </w:rPr>
      </w:pPr>
    </w:p>
    <w:p w14:paraId="684EF38C" w14:textId="77777777" w:rsidR="00D524F1" w:rsidRPr="00024A6B" w:rsidRDefault="00D524F1" w:rsidP="00D524F1">
      <w:pPr>
        <w:keepLines/>
        <w:widowControl w:val="0"/>
        <w:rPr>
          <w:rFonts w:asciiTheme="minorHAnsi" w:hAnsiTheme="minorHAnsi" w:cstheme="minorHAnsi"/>
          <w:b/>
          <w:color w:val="000000"/>
          <w:shd w:val="clear" w:color="auto" w:fill="FFFFFF"/>
        </w:rPr>
      </w:pPr>
      <w:r w:rsidRPr="00024A6B">
        <w:rPr>
          <w:rFonts w:asciiTheme="minorHAnsi" w:hAnsiTheme="minorHAnsi" w:cstheme="minorHAnsi"/>
          <w:b/>
          <w:color w:val="000000"/>
          <w:shd w:val="clear" w:color="auto" w:fill="FFFFFF"/>
        </w:rPr>
        <w:t>Regulation Impact Statement</w:t>
      </w:r>
    </w:p>
    <w:p w14:paraId="37E22690" w14:textId="77777777" w:rsidR="00D524F1" w:rsidRPr="00024A6B" w:rsidRDefault="00D524F1" w:rsidP="00D524F1">
      <w:pPr>
        <w:keepLines/>
        <w:widowControl w:val="0"/>
        <w:rPr>
          <w:rFonts w:asciiTheme="minorHAnsi" w:hAnsiTheme="minorHAnsi" w:cstheme="minorHAnsi"/>
          <w:color w:val="000000"/>
          <w:shd w:val="clear" w:color="auto" w:fill="FFFFFF"/>
        </w:rPr>
      </w:pPr>
      <w:r w:rsidRPr="00024A6B">
        <w:rPr>
          <w:rFonts w:asciiTheme="minorHAnsi" w:hAnsiTheme="minorHAnsi" w:cstheme="minorHAnsi"/>
          <w:color w:val="000000"/>
          <w:shd w:val="clear" w:color="auto" w:fill="FFFFFF"/>
        </w:rPr>
        <w:t> </w:t>
      </w:r>
    </w:p>
    <w:p w14:paraId="4019BF88" w14:textId="402CE4E4" w:rsidR="00D524F1" w:rsidRPr="00024A6B" w:rsidRDefault="00D524F1" w:rsidP="00915827">
      <w:pPr>
        <w:keepLines/>
        <w:widowControl w:val="0"/>
        <w:rPr>
          <w:rFonts w:asciiTheme="minorHAnsi" w:hAnsiTheme="minorHAnsi" w:cstheme="minorHAnsi"/>
          <w:color w:val="000000"/>
          <w:shd w:val="clear" w:color="auto" w:fill="FFFFFF"/>
        </w:rPr>
      </w:pPr>
      <w:r w:rsidRPr="00024A6B">
        <w:rPr>
          <w:rFonts w:asciiTheme="minorHAnsi" w:hAnsiTheme="minorHAnsi" w:cstheme="minorHAnsi"/>
          <w:color w:val="000000"/>
          <w:shd w:val="clear" w:color="auto" w:fill="FFFFFF"/>
        </w:rPr>
        <w:t>The Office of Best Practice Regulation has advised that no Regulatory Impact Statement is required (OBPR ID 25859).</w:t>
      </w:r>
    </w:p>
    <w:p w14:paraId="1555CBC8" w14:textId="449A7C1F" w:rsidR="00915827" w:rsidRPr="00024A6B" w:rsidRDefault="00915827" w:rsidP="00915827">
      <w:pPr>
        <w:keepLines/>
        <w:widowControl w:val="0"/>
        <w:rPr>
          <w:rFonts w:asciiTheme="minorHAnsi" w:hAnsiTheme="minorHAnsi" w:cstheme="minorHAnsi"/>
          <w:color w:val="000000"/>
          <w:shd w:val="clear" w:color="auto" w:fill="FFFFFF"/>
        </w:rPr>
      </w:pPr>
    </w:p>
    <w:p w14:paraId="759882EF" w14:textId="766720FA" w:rsidR="00915827" w:rsidRPr="00024A6B" w:rsidRDefault="00915827" w:rsidP="00915827">
      <w:pPr>
        <w:keepLines/>
        <w:widowControl w:val="0"/>
        <w:rPr>
          <w:rFonts w:asciiTheme="minorHAnsi" w:hAnsiTheme="minorHAnsi" w:cstheme="minorHAnsi"/>
          <w:color w:val="000000"/>
          <w:shd w:val="clear" w:color="auto" w:fill="FFFFFF"/>
        </w:rPr>
      </w:pPr>
    </w:p>
    <w:p w14:paraId="6D691F56" w14:textId="77777777" w:rsidR="00915827" w:rsidRPr="00024A6B" w:rsidRDefault="00915827" w:rsidP="00915827">
      <w:pPr>
        <w:keepLines/>
        <w:widowControl w:val="0"/>
        <w:rPr>
          <w:rFonts w:asciiTheme="minorHAnsi" w:hAnsiTheme="minorHAnsi" w:cstheme="minorHAnsi"/>
          <w:b/>
        </w:rPr>
      </w:pPr>
    </w:p>
    <w:p w14:paraId="258966BF" w14:textId="21B5375D" w:rsidR="00B454CF" w:rsidRPr="00024A6B" w:rsidRDefault="00B454CF" w:rsidP="00115074">
      <w:pPr>
        <w:keepLines/>
        <w:widowControl w:val="0"/>
        <w:rPr>
          <w:rFonts w:asciiTheme="minorHAnsi" w:hAnsiTheme="minorHAnsi" w:cstheme="minorHAnsi"/>
          <w:b/>
        </w:rPr>
      </w:pPr>
      <w:r w:rsidRPr="00024A6B">
        <w:rPr>
          <w:rFonts w:asciiTheme="minorHAnsi" w:hAnsiTheme="minorHAnsi" w:cstheme="minorHAnsi"/>
          <w:b/>
        </w:rPr>
        <w:lastRenderedPageBreak/>
        <w:t>Details</w:t>
      </w:r>
    </w:p>
    <w:p w14:paraId="5C513DF5" w14:textId="77777777" w:rsidR="00D524F1" w:rsidRPr="00024A6B" w:rsidRDefault="00D524F1" w:rsidP="00115074">
      <w:pPr>
        <w:keepLines/>
        <w:widowControl w:val="0"/>
        <w:rPr>
          <w:rFonts w:asciiTheme="minorHAnsi" w:hAnsiTheme="minorHAnsi" w:cstheme="minorHAnsi"/>
        </w:rPr>
      </w:pPr>
    </w:p>
    <w:p w14:paraId="2337691B" w14:textId="2C693CE1" w:rsidR="00B454CF" w:rsidRPr="00024A6B" w:rsidRDefault="00B454CF" w:rsidP="00115074">
      <w:pPr>
        <w:keepLines/>
        <w:widowControl w:val="0"/>
        <w:rPr>
          <w:rFonts w:asciiTheme="minorHAnsi" w:hAnsiTheme="minorHAnsi" w:cstheme="minorHAnsi"/>
        </w:rPr>
      </w:pPr>
      <w:r w:rsidRPr="00024A6B">
        <w:rPr>
          <w:rFonts w:asciiTheme="minorHAnsi" w:hAnsiTheme="minorHAnsi" w:cstheme="minorHAnsi"/>
        </w:rPr>
        <w:t>The details of the Amending Instrument are set out in Attachment A to this explanatory statement.</w:t>
      </w:r>
    </w:p>
    <w:p w14:paraId="0F3B3370" w14:textId="77777777" w:rsidR="00595D67" w:rsidRPr="00024A6B" w:rsidRDefault="00595D67" w:rsidP="00115074">
      <w:pPr>
        <w:keepLines/>
        <w:widowControl w:val="0"/>
        <w:rPr>
          <w:rFonts w:asciiTheme="minorHAnsi" w:hAnsiTheme="minorHAnsi" w:cstheme="minorHAnsi"/>
          <w:u w:val="single"/>
          <w:lang w:eastAsia="ja-JP"/>
        </w:rPr>
      </w:pPr>
    </w:p>
    <w:p w14:paraId="28E9C081" w14:textId="0538C33A" w:rsidR="00B454CF" w:rsidRPr="00024A6B" w:rsidRDefault="00B454CF" w:rsidP="00115074">
      <w:pPr>
        <w:keepLines/>
        <w:widowControl w:val="0"/>
        <w:autoSpaceDE w:val="0"/>
        <w:autoSpaceDN w:val="0"/>
        <w:adjustRightInd w:val="0"/>
        <w:rPr>
          <w:rFonts w:asciiTheme="minorHAnsi" w:hAnsiTheme="minorHAnsi" w:cstheme="minorHAnsi"/>
        </w:rPr>
      </w:pPr>
      <w:r w:rsidRPr="00024A6B">
        <w:rPr>
          <w:rFonts w:asciiTheme="minorHAnsi" w:hAnsiTheme="minorHAnsi" w:cstheme="minorHAnsi"/>
        </w:rPr>
        <w:t xml:space="preserve">The Amending Instrument commences </w:t>
      </w:r>
      <w:r w:rsidR="00890FA8" w:rsidRPr="00024A6B">
        <w:rPr>
          <w:rFonts w:asciiTheme="minorHAnsi" w:hAnsiTheme="minorHAnsi" w:cstheme="minorHAnsi"/>
        </w:rPr>
        <w:t xml:space="preserve">the day after the last day on which a resolution disallowing the </w:t>
      </w:r>
      <w:r w:rsidR="007732EE" w:rsidRPr="00024A6B">
        <w:rPr>
          <w:rFonts w:asciiTheme="minorHAnsi" w:hAnsiTheme="minorHAnsi" w:cstheme="minorHAnsi"/>
        </w:rPr>
        <w:t>Principles</w:t>
      </w:r>
      <w:r w:rsidR="00890FA8" w:rsidRPr="00024A6B">
        <w:rPr>
          <w:rFonts w:asciiTheme="minorHAnsi" w:hAnsiTheme="minorHAnsi" w:cstheme="minorHAnsi"/>
        </w:rPr>
        <w:t xml:space="preserve">, or a provision of the </w:t>
      </w:r>
      <w:r w:rsidR="007732EE" w:rsidRPr="00024A6B">
        <w:rPr>
          <w:rFonts w:asciiTheme="minorHAnsi" w:hAnsiTheme="minorHAnsi" w:cstheme="minorHAnsi"/>
        </w:rPr>
        <w:t xml:space="preserve">Principles </w:t>
      </w:r>
      <w:r w:rsidR="00890FA8" w:rsidRPr="00024A6B">
        <w:rPr>
          <w:rFonts w:asciiTheme="minorHAnsi" w:hAnsiTheme="minorHAnsi" w:cstheme="minorHAnsi"/>
        </w:rPr>
        <w:t xml:space="preserve">could be passed by either House of Parliament. However, the provisions do not commence at all if such a resolution is passed. </w:t>
      </w:r>
    </w:p>
    <w:p w14:paraId="5FCAF488" w14:textId="77777777" w:rsidR="00595D67" w:rsidRPr="00024A6B" w:rsidRDefault="00595D67" w:rsidP="00115074">
      <w:pPr>
        <w:keepLines/>
        <w:widowControl w:val="0"/>
        <w:autoSpaceDE w:val="0"/>
        <w:autoSpaceDN w:val="0"/>
        <w:adjustRightInd w:val="0"/>
        <w:rPr>
          <w:rFonts w:asciiTheme="minorHAnsi" w:hAnsiTheme="minorHAnsi" w:cstheme="minorHAnsi"/>
        </w:rPr>
      </w:pPr>
    </w:p>
    <w:p w14:paraId="4889071B" w14:textId="4736C253" w:rsidR="00FF30BD" w:rsidRPr="00024A6B" w:rsidRDefault="00B454CF" w:rsidP="00595D67">
      <w:pPr>
        <w:keepLines/>
        <w:widowControl w:val="0"/>
        <w:autoSpaceDE w:val="0"/>
        <w:autoSpaceDN w:val="0"/>
        <w:adjustRightInd w:val="0"/>
        <w:rPr>
          <w:rFonts w:asciiTheme="minorHAnsi" w:hAnsiTheme="minorHAnsi" w:cstheme="minorHAnsi"/>
        </w:rPr>
      </w:pPr>
      <w:r w:rsidRPr="00024A6B">
        <w:rPr>
          <w:rFonts w:asciiTheme="minorHAnsi" w:hAnsiTheme="minorHAnsi" w:cstheme="minorHAnsi"/>
        </w:rPr>
        <w:t xml:space="preserve">The Amending Instrument is a legislative instrument for the purpose of the </w:t>
      </w:r>
      <w:r w:rsidRPr="00024A6B">
        <w:rPr>
          <w:rFonts w:asciiTheme="minorHAnsi" w:hAnsiTheme="minorHAnsi" w:cstheme="minorHAnsi"/>
          <w:i/>
        </w:rPr>
        <w:t>Legislation Act 2003</w:t>
      </w:r>
      <w:r w:rsidRPr="00024A6B">
        <w:rPr>
          <w:rFonts w:asciiTheme="minorHAnsi" w:hAnsiTheme="minorHAnsi" w:cstheme="minorHAnsi"/>
        </w:rPr>
        <w:t>.</w:t>
      </w:r>
      <w:r w:rsidR="00FF30BD" w:rsidRPr="00024A6B">
        <w:rPr>
          <w:rFonts w:asciiTheme="minorHAnsi" w:hAnsiTheme="minorHAnsi" w:cstheme="minorHAnsi"/>
          <w:i/>
        </w:rPr>
        <w:br w:type="page"/>
      </w:r>
    </w:p>
    <w:p w14:paraId="4BE2803B" w14:textId="77777777" w:rsidR="00FF30BD" w:rsidRPr="00024A6B" w:rsidRDefault="00FF30BD" w:rsidP="00115074">
      <w:pPr>
        <w:keepLines/>
        <w:widowControl w:val="0"/>
        <w:jc w:val="center"/>
        <w:rPr>
          <w:rFonts w:asciiTheme="minorHAnsi" w:hAnsiTheme="minorHAnsi" w:cstheme="minorHAnsi"/>
          <w:b/>
        </w:rPr>
      </w:pPr>
      <w:r w:rsidRPr="00024A6B">
        <w:rPr>
          <w:rFonts w:asciiTheme="minorHAnsi" w:hAnsiTheme="minorHAnsi" w:cstheme="minorHAnsi"/>
          <w:b/>
        </w:rPr>
        <w:lastRenderedPageBreak/>
        <w:t>ATTACHMENT A</w:t>
      </w:r>
    </w:p>
    <w:p w14:paraId="4B5E4714" w14:textId="77777777" w:rsidR="00FF30BD" w:rsidRPr="00024A6B" w:rsidRDefault="00FF30BD" w:rsidP="00115074">
      <w:pPr>
        <w:keepLines/>
        <w:widowControl w:val="0"/>
        <w:jc w:val="center"/>
        <w:rPr>
          <w:rFonts w:asciiTheme="minorHAnsi" w:hAnsiTheme="minorHAnsi" w:cstheme="minorHAnsi"/>
        </w:rPr>
      </w:pPr>
    </w:p>
    <w:p w14:paraId="7AD99677" w14:textId="28F6FA84" w:rsidR="00FF30BD" w:rsidRPr="00024A6B" w:rsidRDefault="00E351FC" w:rsidP="00115074">
      <w:pPr>
        <w:keepLines/>
        <w:widowControl w:val="0"/>
        <w:jc w:val="center"/>
        <w:rPr>
          <w:rFonts w:asciiTheme="minorHAnsi" w:hAnsiTheme="minorHAnsi" w:cstheme="minorHAnsi"/>
          <w:b/>
          <w:i/>
        </w:rPr>
      </w:pPr>
      <w:r w:rsidRPr="00024A6B">
        <w:rPr>
          <w:rFonts w:asciiTheme="minorHAnsi" w:hAnsiTheme="minorHAnsi" w:cstheme="minorHAnsi"/>
          <w:b/>
        </w:rPr>
        <w:t>Details of the</w:t>
      </w:r>
      <w:r w:rsidRPr="00024A6B">
        <w:rPr>
          <w:rFonts w:asciiTheme="minorHAnsi" w:hAnsiTheme="minorHAnsi" w:cstheme="minorHAnsi"/>
          <w:b/>
          <w:i/>
        </w:rPr>
        <w:t xml:space="preserve"> </w:t>
      </w:r>
      <w:r w:rsidR="005F53CE" w:rsidRPr="00024A6B">
        <w:rPr>
          <w:rFonts w:asciiTheme="minorHAnsi" w:hAnsiTheme="minorHAnsi" w:cstheme="minorHAnsi"/>
          <w:b/>
          <w:i/>
        </w:rPr>
        <w:t>Quality of Care Amendment (</w:t>
      </w:r>
      <w:r w:rsidR="00135B7F" w:rsidRPr="00024A6B">
        <w:rPr>
          <w:rFonts w:asciiTheme="minorHAnsi" w:hAnsiTheme="minorHAnsi" w:cstheme="minorHAnsi"/>
          <w:b/>
          <w:i/>
        </w:rPr>
        <w:t>Reviewing</w:t>
      </w:r>
      <w:r w:rsidR="005F53CE" w:rsidRPr="00024A6B">
        <w:rPr>
          <w:rFonts w:asciiTheme="minorHAnsi" w:hAnsiTheme="minorHAnsi" w:cstheme="minorHAnsi"/>
          <w:b/>
          <w:i/>
        </w:rPr>
        <w:t xml:space="preserve"> Restraints</w:t>
      </w:r>
      <w:r w:rsidR="00135B7F" w:rsidRPr="00024A6B">
        <w:rPr>
          <w:rFonts w:asciiTheme="minorHAnsi" w:hAnsiTheme="minorHAnsi" w:cstheme="minorHAnsi"/>
          <w:b/>
          <w:i/>
        </w:rPr>
        <w:t xml:space="preserve"> Principles</w:t>
      </w:r>
      <w:r w:rsidR="00825855" w:rsidRPr="00024A6B">
        <w:rPr>
          <w:rFonts w:asciiTheme="minorHAnsi" w:hAnsiTheme="minorHAnsi" w:cstheme="minorHAnsi"/>
          <w:b/>
          <w:i/>
        </w:rPr>
        <w:t>) Principles </w:t>
      </w:r>
      <w:r w:rsidR="005F53CE" w:rsidRPr="00024A6B">
        <w:rPr>
          <w:rFonts w:asciiTheme="minorHAnsi" w:hAnsiTheme="minorHAnsi" w:cstheme="minorHAnsi"/>
          <w:b/>
          <w:i/>
        </w:rPr>
        <w:t>2019</w:t>
      </w:r>
    </w:p>
    <w:p w14:paraId="09F40CFA" w14:textId="77777777" w:rsidR="00FF30BD" w:rsidRPr="00024A6B" w:rsidRDefault="00FF30BD" w:rsidP="00115074">
      <w:pPr>
        <w:keepLines/>
        <w:widowControl w:val="0"/>
        <w:jc w:val="center"/>
        <w:rPr>
          <w:rFonts w:asciiTheme="minorHAnsi" w:hAnsiTheme="minorHAnsi" w:cstheme="minorHAnsi"/>
          <w:i/>
          <w:u w:val="single"/>
        </w:rPr>
      </w:pPr>
    </w:p>
    <w:p w14:paraId="72A28339" w14:textId="118C523A" w:rsidR="00FF30BD" w:rsidRPr="00024A6B" w:rsidRDefault="00B454CF" w:rsidP="00115074">
      <w:pPr>
        <w:keepLines/>
        <w:widowControl w:val="0"/>
        <w:rPr>
          <w:rFonts w:asciiTheme="minorHAnsi" w:hAnsiTheme="minorHAnsi" w:cstheme="minorHAnsi"/>
          <w:b/>
        </w:rPr>
      </w:pPr>
      <w:r w:rsidRPr="00024A6B">
        <w:rPr>
          <w:rFonts w:asciiTheme="minorHAnsi" w:hAnsiTheme="minorHAnsi" w:cstheme="minorHAnsi"/>
          <w:b/>
        </w:rPr>
        <w:t xml:space="preserve">Section </w:t>
      </w:r>
      <w:r w:rsidR="00FF30BD" w:rsidRPr="00024A6B">
        <w:rPr>
          <w:rFonts w:asciiTheme="minorHAnsi" w:hAnsiTheme="minorHAnsi" w:cstheme="minorHAnsi"/>
          <w:b/>
        </w:rPr>
        <w:t xml:space="preserve">1 </w:t>
      </w:r>
      <w:r w:rsidR="00AF0812" w:rsidRPr="00024A6B">
        <w:rPr>
          <w:rFonts w:asciiTheme="minorHAnsi" w:hAnsiTheme="minorHAnsi" w:cstheme="minorHAnsi"/>
          <w:b/>
        </w:rPr>
        <w:t>Name</w:t>
      </w:r>
    </w:p>
    <w:p w14:paraId="5F910895" w14:textId="48E463BD" w:rsidR="00FF30BD" w:rsidRPr="00024A6B" w:rsidRDefault="00FF30BD" w:rsidP="00115074">
      <w:pPr>
        <w:keepLines/>
        <w:widowControl w:val="0"/>
        <w:rPr>
          <w:rFonts w:asciiTheme="minorHAnsi" w:hAnsiTheme="minorHAnsi" w:cstheme="minorHAnsi"/>
        </w:rPr>
      </w:pPr>
      <w:r w:rsidRPr="00024A6B">
        <w:rPr>
          <w:rFonts w:asciiTheme="minorHAnsi" w:hAnsiTheme="minorHAnsi" w:cstheme="minorHAnsi"/>
        </w:rPr>
        <w:t xml:space="preserve">Section 1 provides </w:t>
      </w:r>
      <w:r w:rsidR="00A139D9" w:rsidRPr="00024A6B">
        <w:rPr>
          <w:rFonts w:asciiTheme="minorHAnsi" w:hAnsiTheme="minorHAnsi" w:cstheme="minorHAnsi"/>
        </w:rPr>
        <w:t xml:space="preserve">for the </w:t>
      </w:r>
      <w:r w:rsidR="00AF0812" w:rsidRPr="00024A6B">
        <w:rPr>
          <w:rFonts w:asciiTheme="minorHAnsi" w:hAnsiTheme="minorHAnsi" w:cstheme="minorHAnsi"/>
        </w:rPr>
        <w:t>i</w:t>
      </w:r>
      <w:r w:rsidR="00A139D9" w:rsidRPr="00024A6B">
        <w:rPr>
          <w:rFonts w:asciiTheme="minorHAnsi" w:hAnsiTheme="minorHAnsi" w:cstheme="minorHAnsi"/>
        </w:rPr>
        <w:t xml:space="preserve">nstrument to be referred to as </w:t>
      </w:r>
      <w:r w:rsidRPr="00024A6B">
        <w:rPr>
          <w:rFonts w:asciiTheme="minorHAnsi" w:hAnsiTheme="minorHAnsi" w:cstheme="minorHAnsi"/>
        </w:rPr>
        <w:t xml:space="preserve">the </w:t>
      </w:r>
      <w:r w:rsidR="005F53CE" w:rsidRPr="00024A6B">
        <w:rPr>
          <w:rFonts w:asciiTheme="minorHAnsi" w:hAnsiTheme="minorHAnsi" w:cstheme="minorHAnsi"/>
          <w:i/>
        </w:rPr>
        <w:t>Quality of Care Amendment (</w:t>
      </w:r>
      <w:r w:rsidR="00135B7F" w:rsidRPr="00024A6B">
        <w:rPr>
          <w:rFonts w:asciiTheme="minorHAnsi" w:hAnsiTheme="minorHAnsi" w:cstheme="minorHAnsi"/>
          <w:i/>
        </w:rPr>
        <w:t>Reviewing</w:t>
      </w:r>
      <w:r w:rsidR="005F53CE" w:rsidRPr="00024A6B">
        <w:rPr>
          <w:rFonts w:asciiTheme="minorHAnsi" w:hAnsiTheme="minorHAnsi" w:cstheme="minorHAnsi"/>
          <w:i/>
        </w:rPr>
        <w:t xml:space="preserve"> Restraints</w:t>
      </w:r>
      <w:r w:rsidR="00135B7F" w:rsidRPr="00024A6B">
        <w:rPr>
          <w:rFonts w:asciiTheme="minorHAnsi" w:hAnsiTheme="minorHAnsi" w:cstheme="minorHAnsi"/>
          <w:i/>
        </w:rPr>
        <w:t xml:space="preserve"> Principles</w:t>
      </w:r>
      <w:r w:rsidR="005F53CE" w:rsidRPr="00024A6B">
        <w:rPr>
          <w:rFonts w:asciiTheme="minorHAnsi" w:hAnsiTheme="minorHAnsi" w:cstheme="minorHAnsi"/>
          <w:i/>
        </w:rPr>
        <w:t xml:space="preserve">) Principles 2019 </w:t>
      </w:r>
      <w:r w:rsidR="00AF0812" w:rsidRPr="00024A6B">
        <w:rPr>
          <w:rFonts w:asciiTheme="minorHAnsi" w:hAnsiTheme="minorHAnsi" w:cstheme="minorHAnsi"/>
        </w:rPr>
        <w:t>(</w:t>
      </w:r>
      <w:r w:rsidR="00AF0812" w:rsidRPr="00024A6B">
        <w:rPr>
          <w:rFonts w:asciiTheme="minorHAnsi" w:hAnsiTheme="minorHAnsi" w:cstheme="minorHAnsi"/>
          <w:b/>
        </w:rPr>
        <w:t>the Amending Principles</w:t>
      </w:r>
      <w:r w:rsidR="00AF0812" w:rsidRPr="00024A6B">
        <w:rPr>
          <w:rFonts w:asciiTheme="minorHAnsi" w:hAnsiTheme="minorHAnsi" w:cstheme="minorHAnsi"/>
        </w:rPr>
        <w:t>)</w:t>
      </w:r>
      <w:r w:rsidR="00433B75" w:rsidRPr="00024A6B">
        <w:rPr>
          <w:rFonts w:asciiTheme="minorHAnsi" w:hAnsiTheme="minorHAnsi" w:cstheme="minorHAnsi"/>
        </w:rPr>
        <w:t>.</w:t>
      </w:r>
    </w:p>
    <w:p w14:paraId="5A03251A" w14:textId="77777777" w:rsidR="00FF30BD" w:rsidRPr="00024A6B" w:rsidRDefault="00FF30BD" w:rsidP="00115074">
      <w:pPr>
        <w:keepLines/>
        <w:widowControl w:val="0"/>
        <w:rPr>
          <w:rFonts w:asciiTheme="minorHAnsi" w:hAnsiTheme="minorHAnsi" w:cstheme="minorHAnsi"/>
        </w:rPr>
      </w:pPr>
    </w:p>
    <w:p w14:paraId="45B342A4" w14:textId="5976A685" w:rsidR="00FF30BD" w:rsidRPr="00024A6B" w:rsidRDefault="00B454CF" w:rsidP="00115074">
      <w:pPr>
        <w:keepLines/>
        <w:widowControl w:val="0"/>
        <w:rPr>
          <w:rFonts w:asciiTheme="minorHAnsi" w:hAnsiTheme="minorHAnsi" w:cstheme="minorHAnsi"/>
          <w:b/>
        </w:rPr>
      </w:pPr>
      <w:r w:rsidRPr="00024A6B">
        <w:rPr>
          <w:rFonts w:asciiTheme="minorHAnsi" w:hAnsiTheme="minorHAnsi" w:cstheme="minorHAnsi"/>
          <w:b/>
        </w:rPr>
        <w:t>Section 2</w:t>
      </w:r>
      <w:r w:rsidR="00FF30BD" w:rsidRPr="00024A6B">
        <w:rPr>
          <w:rFonts w:asciiTheme="minorHAnsi" w:hAnsiTheme="minorHAnsi" w:cstheme="minorHAnsi"/>
          <w:b/>
        </w:rPr>
        <w:t xml:space="preserve"> Commencement</w:t>
      </w:r>
    </w:p>
    <w:p w14:paraId="09107283" w14:textId="203CB159" w:rsidR="00FF30BD" w:rsidRPr="00024A6B" w:rsidRDefault="00FF30BD" w:rsidP="00115074">
      <w:pPr>
        <w:keepLines/>
        <w:widowControl w:val="0"/>
        <w:rPr>
          <w:rFonts w:asciiTheme="minorHAnsi" w:hAnsiTheme="minorHAnsi" w:cstheme="minorHAnsi"/>
          <w:i/>
        </w:rPr>
      </w:pPr>
      <w:r w:rsidRPr="00024A6B">
        <w:rPr>
          <w:rFonts w:asciiTheme="minorHAnsi" w:hAnsiTheme="minorHAnsi" w:cstheme="minorHAnsi"/>
        </w:rPr>
        <w:t xml:space="preserve">This section provides </w:t>
      </w:r>
      <w:r w:rsidR="00433B75" w:rsidRPr="00024A6B">
        <w:rPr>
          <w:rFonts w:asciiTheme="minorHAnsi" w:hAnsiTheme="minorHAnsi" w:cstheme="minorHAnsi"/>
        </w:rPr>
        <w:t xml:space="preserve">that the </w:t>
      </w:r>
      <w:r w:rsidR="006D16A3" w:rsidRPr="00024A6B">
        <w:rPr>
          <w:rFonts w:asciiTheme="minorHAnsi" w:hAnsiTheme="minorHAnsi" w:cstheme="minorHAnsi"/>
        </w:rPr>
        <w:t xml:space="preserve">Amending </w:t>
      </w:r>
      <w:r w:rsidRPr="00024A6B">
        <w:rPr>
          <w:rFonts w:asciiTheme="minorHAnsi" w:hAnsiTheme="minorHAnsi" w:cstheme="minorHAnsi"/>
        </w:rPr>
        <w:t xml:space="preserve">Principles </w:t>
      </w:r>
      <w:r w:rsidR="005F53CE" w:rsidRPr="00024A6B">
        <w:rPr>
          <w:rFonts w:asciiTheme="minorHAnsi" w:hAnsiTheme="minorHAnsi" w:cstheme="minorHAnsi"/>
        </w:rPr>
        <w:t xml:space="preserve">commence </w:t>
      </w:r>
      <w:r w:rsidR="00135B7F" w:rsidRPr="00024A6B">
        <w:rPr>
          <w:rFonts w:asciiTheme="minorHAnsi" w:hAnsiTheme="minorHAnsi" w:cstheme="minorHAnsi"/>
        </w:rPr>
        <w:t>the day after the last day on which a resolution disallowing the</w:t>
      </w:r>
      <w:r w:rsidR="005F53CE" w:rsidRPr="00024A6B">
        <w:rPr>
          <w:rFonts w:asciiTheme="minorHAnsi" w:hAnsiTheme="minorHAnsi" w:cstheme="minorHAnsi"/>
        </w:rPr>
        <w:t xml:space="preserve"> </w:t>
      </w:r>
      <w:r w:rsidR="00135B7F" w:rsidRPr="00024A6B">
        <w:rPr>
          <w:rFonts w:asciiTheme="minorHAnsi" w:hAnsiTheme="minorHAnsi" w:cstheme="minorHAnsi"/>
          <w:i/>
        </w:rPr>
        <w:t xml:space="preserve">Quality of Care Amendment (Use of Restraints) Principles 2019 </w:t>
      </w:r>
      <w:r w:rsidR="00BC5474" w:rsidRPr="00024A6B">
        <w:rPr>
          <w:rFonts w:asciiTheme="minorHAnsi" w:hAnsiTheme="minorHAnsi" w:cstheme="minorHAnsi"/>
        </w:rPr>
        <w:t>(</w:t>
      </w:r>
      <w:r w:rsidR="00BC5474" w:rsidRPr="00024A6B">
        <w:rPr>
          <w:rFonts w:asciiTheme="minorHAnsi" w:hAnsiTheme="minorHAnsi" w:cstheme="minorHAnsi"/>
          <w:b/>
        </w:rPr>
        <w:t xml:space="preserve">the </w:t>
      </w:r>
      <w:r w:rsidR="007732EE" w:rsidRPr="00024A6B">
        <w:rPr>
          <w:rFonts w:asciiTheme="minorHAnsi" w:hAnsiTheme="minorHAnsi" w:cstheme="minorHAnsi"/>
          <w:b/>
        </w:rPr>
        <w:t>Principles</w:t>
      </w:r>
      <w:r w:rsidR="00BC5474" w:rsidRPr="00024A6B">
        <w:rPr>
          <w:rFonts w:asciiTheme="minorHAnsi" w:hAnsiTheme="minorHAnsi" w:cstheme="minorHAnsi"/>
        </w:rPr>
        <w:t>)</w:t>
      </w:r>
      <w:r w:rsidR="00BC5474" w:rsidRPr="00024A6B">
        <w:rPr>
          <w:rFonts w:asciiTheme="minorHAnsi" w:hAnsiTheme="minorHAnsi" w:cstheme="minorHAnsi"/>
          <w:i/>
        </w:rPr>
        <w:t xml:space="preserve"> </w:t>
      </w:r>
      <w:r w:rsidR="00135B7F" w:rsidRPr="00024A6B">
        <w:rPr>
          <w:rFonts w:asciiTheme="minorHAnsi" w:hAnsiTheme="minorHAnsi" w:cstheme="minorHAnsi"/>
        </w:rPr>
        <w:t xml:space="preserve">or </w:t>
      </w:r>
      <w:r w:rsidR="00171A66" w:rsidRPr="00024A6B">
        <w:rPr>
          <w:rFonts w:asciiTheme="minorHAnsi" w:hAnsiTheme="minorHAnsi" w:cstheme="minorHAnsi"/>
        </w:rPr>
        <w:t>a provision of that instrument could be passed by either House of Parliament</w:t>
      </w:r>
      <w:r w:rsidR="00980054" w:rsidRPr="00024A6B">
        <w:rPr>
          <w:rFonts w:asciiTheme="minorHAnsi" w:hAnsiTheme="minorHAnsi" w:cstheme="minorHAnsi"/>
          <w:i/>
        </w:rPr>
        <w:t xml:space="preserve"> </w:t>
      </w:r>
      <w:r w:rsidR="00980054" w:rsidRPr="00024A6B">
        <w:rPr>
          <w:rFonts w:asciiTheme="minorHAnsi" w:hAnsiTheme="minorHAnsi" w:cstheme="minorHAnsi"/>
        </w:rPr>
        <w:t xml:space="preserve">as referred to in section 42 of the </w:t>
      </w:r>
      <w:r w:rsidR="00980054" w:rsidRPr="00024A6B">
        <w:rPr>
          <w:rFonts w:asciiTheme="minorHAnsi" w:hAnsiTheme="minorHAnsi" w:cstheme="minorHAnsi"/>
          <w:i/>
        </w:rPr>
        <w:t>Legislation</w:t>
      </w:r>
      <w:r w:rsidR="00825855" w:rsidRPr="00024A6B">
        <w:rPr>
          <w:rFonts w:asciiTheme="minorHAnsi" w:hAnsiTheme="minorHAnsi" w:cstheme="minorHAnsi"/>
          <w:i/>
        </w:rPr>
        <w:t> Act </w:t>
      </w:r>
      <w:r w:rsidR="00980054" w:rsidRPr="00024A6B">
        <w:rPr>
          <w:rFonts w:asciiTheme="minorHAnsi" w:hAnsiTheme="minorHAnsi" w:cstheme="minorHAnsi"/>
          <w:i/>
        </w:rPr>
        <w:t xml:space="preserve">2003. </w:t>
      </w:r>
    </w:p>
    <w:p w14:paraId="5705B267" w14:textId="6A8665B3" w:rsidR="00FF30BD" w:rsidRPr="00024A6B" w:rsidRDefault="00FF30BD" w:rsidP="00115074">
      <w:pPr>
        <w:keepLines/>
        <w:widowControl w:val="0"/>
        <w:rPr>
          <w:rFonts w:asciiTheme="minorHAnsi" w:hAnsiTheme="minorHAnsi" w:cstheme="minorHAnsi"/>
          <w:i/>
          <w:u w:val="single"/>
        </w:rPr>
      </w:pPr>
    </w:p>
    <w:p w14:paraId="40F878C4" w14:textId="56261BED" w:rsidR="00980054" w:rsidRPr="00024A6B" w:rsidRDefault="00980054" w:rsidP="00115074">
      <w:pPr>
        <w:keepLines/>
        <w:widowControl w:val="0"/>
        <w:rPr>
          <w:rFonts w:asciiTheme="minorHAnsi" w:hAnsiTheme="minorHAnsi" w:cstheme="minorHAnsi"/>
        </w:rPr>
      </w:pPr>
      <w:r w:rsidRPr="00024A6B">
        <w:rPr>
          <w:rFonts w:asciiTheme="minorHAnsi" w:hAnsiTheme="minorHAnsi" w:cstheme="minorHAnsi"/>
        </w:rPr>
        <w:t>However, the Amending Provision</w:t>
      </w:r>
      <w:r w:rsidR="00B71EB6" w:rsidRPr="00024A6B">
        <w:rPr>
          <w:rFonts w:asciiTheme="minorHAnsi" w:hAnsiTheme="minorHAnsi" w:cstheme="minorHAnsi"/>
        </w:rPr>
        <w:t xml:space="preserve">s do not commence at all if the Principles, or a provision of the Principles, is disallowed or taken to have been disallowed on or before that last day. </w:t>
      </w:r>
    </w:p>
    <w:p w14:paraId="0F0A28E5" w14:textId="77777777" w:rsidR="00B71EB6" w:rsidRPr="00024A6B" w:rsidRDefault="00B71EB6" w:rsidP="00115074">
      <w:pPr>
        <w:keepLines/>
        <w:widowControl w:val="0"/>
        <w:rPr>
          <w:rFonts w:asciiTheme="minorHAnsi" w:hAnsiTheme="minorHAnsi" w:cstheme="minorHAnsi"/>
        </w:rPr>
      </w:pPr>
    </w:p>
    <w:p w14:paraId="1099F6B5" w14:textId="4F5E9E91" w:rsidR="00FF30BD" w:rsidRPr="00024A6B" w:rsidRDefault="00B454CF" w:rsidP="00115074">
      <w:pPr>
        <w:keepLines/>
        <w:widowControl w:val="0"/>
        <w:rPr>
          <w:rFonts w:asciiTheme="minorHAnsi" w:hAnsiTheme="minorHAnsi" w:cstheme="minorHAnsi"/>
          <w:b/>
          <w:i/>
        </w:rPr>
      </w:pPr>
      <w:r w:rsidRPr="00024A6B">
        <w:rPr>
          <w:rFonts w:asciiTheme="minorHAnsi" w:hAnsiTheme="minorHAnsi" w:cstheme="minorHAnsi"/>
          <w:b/>
        </w:rPr>
        <w:t>Section 3</w:t>
      </w:r>
      <w:r w:rsidR="00FF30BD" w:rsidRPr="00024A6B">
        <w:rPr>
          <w:rFonts w:asciiTheme="minorHAnsi" w:hAnsiTheme="minorHAnsi" w:cstheme="minorHAnsi"/>
          <w:b/>
        </w:rPr>
        <w:t xml:space="preserve"> Authority</w:t>
      </w:r>
    </w:p>
    <w:p w14:paraId="7D9A36B2" w14:textId="36B0F121" w:rsidR="00BA2B4A" w:rsidRPr="00024A6B" w:rsidRDefault="00433B75" w:rsidP="00115074">
      <w:pPr>
        <w:keepLines/>
        <w:widowControl w:val="0"/>
        <w:rPr>
          <w:rFonts w:asciiTheme="minorHAnsi" w:hAnsiTheme="minorHAnsi" w:cstheme="minorHAnsi"/>
        </w:rPr>
      </w:pPr>
      <w:r w:rsidRPr="00024A6B">
        <w:rPr>
          <w:rFonts w:asciiTheme="minorHAnsi" w:hAnsiTheme="minorHAnsi" w:cstheme="minorHAnsi"/>
        </w:rPr>
        <w:t xml:space="preserve">Section 3 provides that the </w:t>
      </w:r>
      <w:r w:rsidR="006D16A3" w:rsidRPr="00024A6B">
        <w:rPr>
          <w:rFonts w:asciiTheme="minorHAnsi" w:hAnsiTheme="minorHAnsi" w:cstheme="minorHAnsi"/>
        </w:rPr>
        <w:t xml:space="preserve">Amending </w:t>
      </w:r>
      <w:r w:rsidR="00FF30BD" w:rsidRPr="00024A6B">
        <w:rPr>
          <w:rFonts w:asciiTheme="minorHAnsi" w:hAnsiTheme="minorHAnsi" w:cstheme="minorHAnsi"/>
        </w:rPr>
        <w:t xml:space="preserve">Principles </w:t>
      </w:r>
      <w:r w:rsidR="00801CBA" w:rsidRPr="00024A6B">
        <w:rPr>
          <w:rFonts w:asciiTheme="minorHAnsi" w:hAnsiTheme="minorHAnsi" w:cstheme="minorHAnsi"/>
        </w:rPr>
        <w:t>are</w:t>
      </w:r>
      <w:r w:rsidRPr="00024A6B">
        <w:rPr>
          <w:rFonts w:asciiTheme="minorHAnsi" w:hAnsiTheme="minorHAnsi" w:cstheme="minorHAnsi"/>
        </w:rPr>
        <w:t xml:space="preserve"> made</w:t>
      </w:r>
      <w:r w:rsidR="00FF30BD" w:rsidRPr="00024A6B">
        <w:rPr>
          <w:rFonts w:asciiTheme="minorHAnsi" w:hAnsiTheme="minorHAnsi" w:cstheme="minorHAnsi"/>
        </w:rPr>
        <w:t xml:space="preserve"> under the </w:t>
      </w:r>
      <w:r w:rsidR="00AB4CF4" w:rsidRPr="00024A6B">
        <w:rPr>
          <w:rFonts w:asciiTheme="minorHAnsi" w:hAnsiTheme="minorHAnsi" w:cstheme="minorHAnsi"/>
          <w:i/>
        </w:rPr>
        <w:t>Aged Care </w:t>
      </w:r>
      <w:r w:rsidR="00577100" w:rsidRPr="00024A6B">
        <w:rPr>
          <w:rFonts w:asciiTheme="minorHAnsi" w:hAnsiTheme="minorHAnsi" w:cstheme="minorHAnsi"/>
          <w:i/>
        </w:rPr>
        <w:t>Act </w:t>
      </w:r>
      <w:r w:rsidR="00FF30BD" w:rsidRPr="00024A6B">
        <w:rPr>
          <w:rFonts w:asciiTheme="minorHAnsi" w:hAnsiTheme="minorHAnsi" w:cstheme="minorHAnsi"/>
          <w:i/>
        </w:rPr>
        <w:t>1997</w:t>
      </w:r>
      <w:r w:rsidR="00AF0812" w:rsidRPr="00024A6B">
        <w:rPr>
          <w:rFonts w:asciiTheme="minorHAnsi" w:hAnsiTheme="minorHAnsi" w:cstheme="minorHAnsi"/>
          <w:i/>
        </w:rPr>
        <w:t xml:space="preserve"> </w:t>
      </w:r>
      <w:r w:rsidR="00AF0812" w:rsidRPr="00024A6B">
        <w:rPr>
          <w:rFonts w:asciiTheme="minorHAnsi" w:hAnsiTheme="minorHAnsi" w:cstheme="minorHAnsi"/>
        </w:rPr>
        <w:t>(</w:t>
      </w:r>
      <w:r w:rsidR="00AF0812" w:rsidRPr="00024A6B">
        <w:rPr>
          <w:rFonts w:asciiTheme="minorHAnsi" w:hAnsiTheme="minorHAnsi" w:cstheme="minorHAnsi"/>
          <w:b/>
        </w:rPr>
        <w:t>the Aged Care Act</w:t>
      </w:r>
      <w:r w:rsidR="00AF0812" w:rsidRPr="00024A6B">
        <w:rPr>
          <w:rFonts w:asciiTheme="minorHAnsi" w:hAnsiTheme="minorHAnsi" w:cstheme="minorHAnsi"/>
        </w:rPr>
        <w:t>)</w:t>
      </w:r>
      <w:r w:rsidR="00FF30BD" w:rsidRPr="00024A6B">
        <w:rPr>
          <w:rFonts w:asciiTheme="minorHAnsi" w:hAnsiTheme="minorHAnsi" w:cstheme="minorHAnsi"/>
        </w:rPr>
        <w:t>.</w:t>
      </w:r>
    </w:p>
    <w:p w14:paraId="20314CAB" w14:textId="77777777" w:rsidR="00FF30BD" w:rsidRPr="00024A6B" w:rsidRDefault="00FF30BD" w:rsidP="00115074">
      <w:pPr>
        <w:keepLines/>
        <w:widowControl w:val="0"/>
        <w:rPr>
          <w:rFonts w:asciiTheme="minorHAnsi" w:hAnsiTheme="minorHAnsi" w:cstheme="minorHAnsi"/>
        </w:rPr>
      </w:pPr>
      <w:r w:rsidRPr="00024A6B">
        <w:rPr>
          <w:rFonts w:asciiTheme="minorHAnsi" w:hAnsiTheme="minorHAnsi" w:cstheme="minorHAnsi"/>
        </w:rPr>
        <w:t xml:space="preserve"> </w:t>
      </w:r>
    </w:p>
    <w:p w14:paraId="1E56F54B" w14:textId="2182FCC7" w:rsidR="00FF30BD" w:rsidRPr="00024A6B" w:rsidRDefault="00B454CF" w:rsidP="00115074">
      <w:pPr>
        <w:keepLines/>
        <w:widowControl w:val="0"/>
        <w:rPr>
          <w:rFonts w:asciiTheme="minorHAnsi" w:hAnsiTheme="minorHAnsi" w:cstheme="minorHAnsi"/>
          <w:b/>
        </w:rPr>
      </w:pPr>
      <w:r w:rsidRPr="00024A6B">
        <w:rPr>
          <w:rFonts w:asciiTheme="minorHAnsi" w:hAnsiTheme="minorHAnsi" w:cstheme="minorHAnsi"/>
          <w:b/>
        </w:rPr>
        <w:t xml:space="preserve">Section 4 </w:t>
      </w:r>
      <w:r w:rsidR="00FF30BD" w:rsidRPr="00024A6B">
        <w:rPr>
          <w:rFonts w:asciiTheme="minorHAnsi" w:hAnsiTheme="minorHAnsi" w:cstheme="minorHAnsi"/>
          <w:b/>
        </w:rPr>
        <w:t>Schedules</w:t>
      </w:r>
    </w:p>
    <w:p w14:paraId="090D086E" w14:textId="3270D63A" w:rsidR="00FF30BD" w:rsidRPr="00024A6B" w:rsidRDefault="00AB4CF4" w:rsidP="00115074">
      <w:pPr>
        <w:keepLines/>
        <w:widowControl w:val="0"/>
        <w:rPr>
          <w:rFonts w:asciiTheme="minorHAnsi" w:hAnsiTheme="minorHAnsi" w:cstheme="minorHAnsi"/>
        </w:rPr>
      </w:pPr>
      <w:r w:rsidRPr="00024A6B">
        <w:rPr>
          <w:rFonts w:asciiTheme="minorHAnsi" w:hAnsiTheme="minorHAnsi" w:cstheme="minorHAnsi"/>
        </w:rPr>
        <w:t>Section 4 provides that each i</w:t>
      </w:r>
      <w:r w:rsidR="00C261AF" w:rsidRPr="00024A6B">
        <w:rPr>
          <w:rFonts w:asciiTheme="minorHAnsi" w:hAnsiTheme="minorHAnsi" w:cstheme="minorHAnsi"/>
        </w:rPr>
        <w:t xml:space="preserve">nstrument that is specified in a Schedule to </w:t>
      </w:r>
      <w:r w:rsidRPr="00024A6B">
        <w:rPr>
          <w:rFonts w:asciiTheme="minorHAnsi" w:hAnsiTheme="minorHAnsi" w:cstheme="minorHAnsi"/>
        </w:rPr>
        <w:t xml:space="preserve">the Amending Principles </w:t>
      </w:r>
      <w:r w:rsidR="00C261AF" w:rsidRPr="00024A6B">
        <w:rPr>
          <w:rFonts w:asciiTheme="minorHAnsi" w:hAnsiTheme="minorHAnsi" w:cstheme="minorHAnsi"/>
        </w:rPr>
        <w:t>is amended or repealed as set out in the applicable items in the Schedule concerned, and any o</w:t>
      </w:r>
      <w:r w:rsidRPr="00024A6B">
        <w:rPr>
          <w:rFonts w:asciiTheme="minorHAnsi" w:hAnsiTheme="minorHAnsi" w:cstheme="minorHAnsi"/>
        </w:rPr>
        <w:t xml:space="preserve">ther item in a Schedule to the Amending Principles </w:t>
      </w:r>
      <w:r w:rsidR="00C261AF" w:rsidRPr="00024A6B">
        <w:rPr>
          <w:rFonts w:asciiTheme="minorHAnsi" w:hAnsiTheme="minorHAnsi" w:cstheme="minorHAnsi"/>
        </w:rPr>
        <w:t>has effect according to its terms.</w:t>
      </w:r>
    </w:p>
    <w:p w14:paraId="540910B1" w14:textId="77777777" w:rsidR="00C261AF" w:rsidRPr="00024A6B" w:rsidRDefault="00C261AF" w:rsidP="00115074">
      <w:pPr>
        <w:keepLines/>
        <w:widowControl w:val="0"/>
        <w:rPr>
          <w:rFonts w:asciiTheme="minorHAnsi" w:hAnsiTheme="minorHAnsi" w:cstheme="minorHAnsi"/>
        </w:rPr>
      </w:pPr>
    </w:p>
    <w:p w14:paraId="6F1469A6" w14:textId="4E1CA24A" w:rsidR="00FF30BD" w:rsidRPr="00024A6B" w:rsidRDefault="00AF0812" w:rsidP="00115074">
      <w:pPr>
        <w:keepLines/>
        <w:widowControl w:val="0"/>
        <w:rPr>
          <w:rFonts w:asciiTheme="minorHAnsi" w:hAnsiTheme="minorHAnsi" w:cstheme="minorHAnsi"/>
          <w:b/>
        </w:rPr>
      </w:pPr>
      <w:r w:rsidRPr="00024A6B">
        <w:rPr>
          <w:rFonts w:asciiTheme="minorHAnsi" w:hAnsiTheme="minorHAnsi" w:cstheme="minorHAnsi"/>
          <w:b/>
        </w:rPr>
        <w:t>Schedule 1—</w:t>
      </w:r>
      <w:r w:rsidR="005F53CE" w:rsidRPr="00024A6B">
        <w:rPr>
          <w:rFonts w:asciiTheme="minorHAnsi" w:hAnsiTheme="minorHAnsi" w:cstheme="minorHAnsi"/>
          <w:b/>
        </w:rPr>
        <w:t>Amendments</w:t>
      </w:r>
    </w:p>
    <w:p w14:paraId="02333F3C" w14:textId="77777777" w:rsidR="00AF0812" w:rsidRPr="00024A6B" w:rsidRDefault="00AF0812" w:rsidP="00115074">
      <w:pPr>
        <w:keepLines/>
        <w:widowControl w:val="0"/>
        <w:rPr>
          <w:rFonts w:asciiTheme="minorHAnsi" w:hAnsiTheme="minorHAnsi" w:cstheme="minorHAnsi"/>
        </w:rPr>
      </w:pPr>
    </w:p>
    <w:p w14:paraId="7D25FE9C" w14:textId="6A06516B" w:rsidR="00FF30BD" w:rsidRPr="00024A6B" w:rsidRDefault="005F53CE" w:rsidP="00115074">
      <w:pPr>
        <w:keepLines/>
        <w:widowControl w:val="0"/>
        <w:rPr>
          <w:rFonts w:asciiTheme="minorHAnsi" w:hAnsiTheme="minorHAnsi" w:cstheme="minorHAnsi"/>
          <w:b/>
          <w:i/>
        </w:rPr>
      </w:pPr>
      <w:r w:rsidRPr="00024A6B">
        <w:rPr>
          <w:rFonts w:asciiTheme="minorHAnsi" w:hAnsiTheme="minorHAnsi" w:cstheme="minorHAnsi"/>
          <w:b/>
          <w:i/>
        </w:rPr>
        <w:t>Quality of Care Principles 2014</w:t>
      </w:r>
    </w:p>
    <w:p w14:paraId="0F6E751A" w14:textId="5F96ACA5" w:rsidR="005F53CE" w:rsidRPr="00024A6B" w:rsidRDefault="005F53CE" w:rsidP="00115074">
      <w:pPr>
        <w:keepLines/>
        <w:widowControl w:val="0"/>
        <w:rPr>
          <w:rFonts w:asciiTheme="minorHAnsi" w:hAnsiTheme="minorHAnsi" w:cstheme="minorHAnsi"/>
          <w:b/>
        </w:rPr>
      </w:pPr>
    </w:p>
    <w:p w14:paraId="04390C50" w14:textId="46B44768" w:rsidR="000D3F2B" w:rsidRPr="00024A6B" w:rsidRDefault="005F53CE" w:rsidP="00115074">
      <w:pPr>
        <w:keepLines/>
        <w:widowControl w:val="0"/>
        <w:rPr>
          <w:rFonts w:asciiTheme="minorHAnsi" w:hAnsiTheme="minorHAnsi" w:cstheme="minorHAnsi"/>
          <w:b/>
        </w:rPr>
      </w:pPr>
      <w:r w:rsidRPr="00024A6B">
        <w:rPr>
          <w:rFonts w:asciiTheme="minorHAnsi" w:hAnsiTheme="minorHAnsi" w:cstheme="minorHAnsi"/>
          <w:b/>
        </w:rPr>
        <w:t xml:space="preserve">Item 1.  </w:t>
      </w:r>
      <w:r w:rsidR="000D3F2B" w:rsidRPr="00024A6B">
        <w:rPr>
          <w:rFonts w:asciiTheme="minorHAnsi" w:hAnsiTheme="minorHAnsi" w:cstheme="minorHAnsi"/>
          <w:b/>
        </w:rPr>
        <w:t>Part 4A (heading)</w:t>
      </w:r>
    </w:p>
    <w:p w14:paraId="52F48FAB" w14:textId="7F31E73C" w:rsidR="000D3F2B" w:rsidRPr="00024A6B" w:rsidRDefault="000D3F2B" w:rsidP="00115074">
      <w:pPr>
        <w:keepLines/>
        <w:widowControl w:val="0"/>
        <w:rPr>
          <w:rFonts w:asciiTheme="minorHAnsi" w:hAnsiTheme="minorHAnsi" w:cstheme="minorHAnsi"/>
        </w:rPr>
      </w:pPr>
      <w:r w:rsidRPr="00024A6B">
        <w:rPr>
          <w:rFonts w:asciiTheme="minorHAnsi" w:hAnsiTheme="minorHAnsi" w:cstheme="minorHAnsi"/>
        </w:rPr>
        <w:t xml:space="preserve">Item 1 repeals the heading to Part 4A “Minimising the use of physical and chemical restraint” and substitutes it with the heading “Physical or chemical restraint to be used only as a last resort”. </w:t>
      </w:r>
    </w:p>
    <w:p w14:paraId="2EEAC24C" w14:textId="3454BFB9" w:rsidR="000D3F2B" w:rsidRPr="00024A6B" w:rsidRDefault="000D3F2B" w:rsidP="00115074">
      <w:pPr>
        <w:keepLines/>
        <w:widowControl w:val="0"/>
        <w:rPr>
          <w:rFonts w:asciiTheme="minorHAnsi" w:hAnsiTheme="minorHAnsi" w:cstheme="minorHAnsi"/>
        </w:rPr>
      </w:pPr>
    </w:p>
    <w:p w14:paraId="324BF29A" w14:textId="267504D6" w:rsidR="000D3F2B" w:rsidRPr="00024A6B" w:rsidRDefault="000D3F2B" w:rsidP="00115074">
      <w:pPr>
        <w:keepLines/>
        <w:widowControl w:val="0"/>
        <w:rPr>
          <w:rFonts w:asciiTheme="minorHAnsi" w:hAnsiTheme="minorHAnsi" w:cstheme="minorHAnsi"/>
          <w:b/>
        </w:rPr>
      </w:pPr>
      <w:r w:rsidRPr="00024A6B">
        <w:rPr>
          <w:rFonts w:asciiTheme="minorHAnsi" w:hAnsiTheme="minorHAnsi" w:cstheme="minorHAnsi"/>
          <w:b/>
        </w:rPr>
        <w:t>Item 2. Section 15F (heading)</w:t>
      </w:r>
    </w:p>
    <w:p w14:paraId="72473D1D" w14:textId="2AE6D8AB" w:rsidR="000D3F2B" w:rsidRPr="00024A6B" w:rsidRDefault="000D3F2B" w:rsidP="00115074">
      <w:pPr>
        <w:keepLines/>
        <w:widowControl w:val="0"/>
        <w:rPr>
          <w:rFonts w:asciiTheme="minorHAnsi" w:hAnsiTheme="minorHAnsi" w:cstheme="minorHAnsi"/>
        </w:rPr>
      </w:pPr>
      <w:r w:rsidRPr="00024A6B">
        <w:rPr>
          <w:rFonts w:asciiTheme="minorHAnsi" w:hAnsiTheme="minorHAnsi" w:cstheme="minorHAnsi"/>
        </w:rPr>
        <w:t xml:space="preserve">Item 2 repeals the heading to section 15F “Use of physical restraint” and substitutes it with “Physical restraint to be used only as a last resort”. </w:t>
      </w:r>
    </w:p>
    <w:p w14:paraId="7512F4A8" w14:textId="54569C13" w:rsidR="000D3F2B" w:rsidRPr="00024A6B" w:rsidRDefault="000D3F2B" w:rsidP="00115074">
      <w:pPr>
        <w:keepLines/>
        <w:widowControl w:val="0"/>
        <w:rPr>
          <w:rFonts w:asciiTheme="minorHAnsi" w:hAnsiTheme="minorHAnsi" w:cstheme="minorHAnsi"/>
        </w:rPr>
      </w:pPr>
    </w:p>
    <w:p w14:paraId="10EA16F8" w14:textId="29C92122" w:rsidR="000B09A9" w:rsidRPr="00024A6B" w:rsidRDefault="00980054" w:rsidP="00115074">
      <w:pPr>
        <w:keepLines/>
        <w:widowControl w:val="0"/>
        <w:rPr>
          <w:rFonts w:asciiTheme="minorHAnsi" w:hAnsiTheme="minorHAnsi" w:cstheme="minorHAnsi"/>
          <w:b/>
        </w:rPr>
      </w:pPr>
      <w:r w:rsidRPr="00024A6B">
        <w:rPr>
          <w:rFonts w:asciiTheme="minorHAnsi" w:hAnsiTheme="minorHAnsi" w:cstheme="minorHAnsi"/>
          <w:b/>
        </w:rPr>
        <w:t>Item 3</w:t>
      </w:r>
      <w:r w:rsidR="000B09A9" w:rsidRPr="00024A6B">
        <w:rPr>
          <w:rFonts w:asciiTheme="minorHAnsi" w:hAnsiTheme="minorHAnsi" w:cstheme="minorHAnsi"/>
          <w:b/>
        </w:rPr>
        <w:t>. Section 15G (heading)</w:t>
      </w:r>
    </w:p>
    <w:p w14:paraId="22E157A5" w14:textId="76E3D3B2" w:rsidR="000B09A9" w:rsidRPr="00024A6B" w:rsidRDefault="00914608" w:rsidP="00115074">
      <w:pPr>
        <w:keepLines/>
        <w:widowControl w:val="0"/>
        <w:rPr>
          <w:rFonts w:asciiTheme="minorHAnsi" w:hAnsiTheme="minorHAnsi" w:cstheme="minorHAnsi"/>
        </w:rPr>
      </w:pPr>
      <w:r w:rsidRPr="00024A6B">
        <w:rPr>
          <w:rFonts w:asciiTheme="minorHAnsi" w:hAnsiTheme="minorHAnsi" w:cstheme="minorHAnsi"/>
        </w:rPr>
        <w:t>Item 3</w:t>
      </w:r>
      <w:r w:rsidR="000B09A9" w:rsidRPr="00024A6B">
        <w:rPr>
          <w:rFonts w:asciiTheme="minorHAnsi" w:hAnsiTheme="minorHAnsi" w:cstheme="minorHAnsi"/>
        </w:rPr>
        <w:t xml:space="preserve"> repeals the heading to section 15G “Use of chemical restraint” and substitutes it with “Chemical restraint to be used only as a last resort”. </w:t>
      </w:r>
    </w:p>
    <w:p w14:paraId="742DFB37" w14:textId="60FCEAD8" w:rsidR="000B09A9" w:rsidRPr="00024A6B" w:rsidRDefault="000B09A9" w:rsidP="00115074">
      <w:pPr>
        <w:keepLines/>
        <w:widowControl w:val="0"/>
        <w:rPr>
          <w:rFonts w:asciiTheme="minorHAnsi" w:hAnsiTheme="minorHAnsi" w:cstheme="minorHAnsi"/>
        </w:rPr>
      </w:pPr>
    </w:p>
    <w:p w14:paraId="61CA4505" w14:textId="67A97D9E" w:rsidR="000B09A9" w:rsidRPr="00024A6B" w:rsidRDefault="00980054" w:rsidP="00115074">
      <w:pPr>
        <w:keepLines/>
        <w:widowControl w:val="0"/>
        <w:rPr>
          <w:rFonts w:asciiTheme="minorHAnsi" w:hAnsiTheme="minorHAnsi" w:cstheme="minorHAnsi"/>
          <w:b/>
        </w:rPr>
      </w:pPr>
      <w:r w:rsidRPr="00024A6B">
        <w:rPr>
          <w:rFonts w:asciiTheme="minorHAnsi" w:hAnsiTheme="minorHAnsi" w:cstheme="minorHAnsi"/>
          <w:b/>
        </w:rPr>
        <w:t>Item 4</w:t>
      </w:r>
      <w:r w:rsidR="000B09A9" w:rsidRPr="00024A6B">
        <w:rPr>
          <w:rFonts w:asciiTheme="minorHAnsi" w:hAnsiTheme="minorHAnsi" w:cstheme="minorHAnsi"/>
          <w:b/>
        </w:rPr>
        <w:t>. At the end of subsection 15G(1)</w:t>
      </w:r>
    </w:p>
    <w:p w14:paraId="4645DFF3" w14:textId="6512FD43" w:rsidR="005B26CA" w:rsidRPr="00024A6B" w:rsidRDefault="00914608" w:rsidP="00115074">
      <w:pPr>
        <w:keepLines/>
        <w:widowControl w:val="0"/>
        <w:rPr>
          <w:rFonts w:asciiTheme="minorHAnsi" w:hAnsiTheme="minorHAnsi" w:cstheme="minorHAnsi"/>
        </w:rPr>
      </w:pPr>
      <w:r w:rsidRPr="00024A6B">
        <w:rPr>
          <w:rFonts w:asciiTheme="minorHAnsi" w:hAnsiTheme="minorHAnsi" w:cstheme="minorHAnsi"/>
        </w:rPr>
        <w:t>Item 4</w:t>
      </w:r>
      <w:r w:rsidR="000B09A9" w:rsidRPr="00024A6B">
        <w:rPr>
          <w:rFonts w:asciiTheme="minorHAnsi" w:hAnsiTheme="minorHAnsi" w:cstheme="minorHAnsi"/>
        </w:rPr>
        <w:t xml:space="preserve"> inserts two notes at the end of subsection 15G(1). </w:t>
      </w:r>
    </w:p>
    <w:p w14:paraId="70B89012" w14:textId="77777777" w:rsidR="005B26CA" w:rsidRPr="00024A6B" w:rsidRDefault="005B26CA" w:rsidP="00115074">
      <w:pPr>
        <w:keepLines/>
        <w:widowControl w:val="0"/>
        <w:rPr>
          <w:rFonts w:asciiTheme="minorHAnsi" w:hAnsiTheme="minorHAnsi" w:cstheme="minorHAnsi"/>
        </w:rPr>
      </w:pPr>
    </w:p>
    <w:p w14:paraId="037F13FD" w14:textId="77777777" w:rsidR="005B26CA" w:rsidRPr="00024A6B" w:rsidRDefault="005B26CA" w:rsidP="005B26CA">
      <w:pPr>
        <w:keepLines/>
        <w:widowControl w:val="0"/>
        <w:rPr>
          <w:rFonts w:asciiTheme="minorHAnsi" w:hAnsiTheme="minorHAnsi" w:cstheme="minorHAnsi"/>
          <w:u w:val="single"/>
        </w:rPr>
      </w:pPr>
      <w:r w:rsidRPr="00024A6B">
        <w:rPr>
          <w:rFonts w:asciiTheme="minorHAnsi" w:hAnsiTheme="minorHAnsi" w:cstheme="minorHAnsi"/>
          <w:u w:val="single"/>
        </w:rPr>
        <w:t>Regulation of Medical Practitioners and Nurse Practitioners</w:t>
      </w:r>
    </w:p>
    <w:p w14:paraId="6EEEE7D3" w14:textId="77777777" w:rsidR="005B26CA" w:rsidRPr="00024A6B" w:rsidRDefault="005B26CA" w:rsidP="00115074">
      <w:pPr>
        <w:keepLines/>
        <w:widowControl w:val="0"/>
        <w:rPr>
          <w:rFonts w:asciiTheme="minorHAnsi" w:hAnsiTheme="minorHAnsi" w:cstheme="minorHAnsi"/>
        </w:rPr>
      </w:pPr>
    </w:p>
    <w:p w14:paraId="494056DA" w14:textId="4C6B2944" w:rsidR="005B26CA" w:rsidRPr="00024A6B" w:rsidRDefault="005B26CA" w:rsidP="005B26CA">
      <w:pPr>
        <w:tabs>
          <w:tab w:val="left" w:pos="567"/>
          <w:tab w:val="left" w:pos="1134"/>
          <w:tab w:val="left" w:pos="1701"/>
          <w:tab w:val="left" w:pos="2268"/>
          <w:tab w:val="left" w:pos="2835"/>
          <w:tab w:val="left" w:pos="3402"/>
          <w:tab w:val="left" w:pos="3969"/>
          <w:tab w:val="left" w:pos="4536"/>
        </w:tabs>
        <w:rPr>
          <w:rFonts w:asciiTheme="minorHAnsi" w:hAnsiTheme="minorHAnsi" w:cstheme="minorHAnsi"/>
        </w:rPr>
      </w:pPr>
      <w:r w:rsidRPr="00024A6B">
        <w:rPr>
          <w:rFonts w:asciiTheme="minorHAnsi" w:hAnsiTheme="minorHAnsi" w:cstheme="minorHAnsi"/>
        </w:rPr>
        <w:t xml:space="preserve">Note 1 refers to the codes of appropriate professional practice which apply to medical practitioners and nurse practitioners. These codes of conduct are </w:t>
      </w:r>
      <w:r w:rsidR="00344B9A" w:rsidRPr="00024A6B">
        <w:rPr>
          <w:rFonts w:asciiTheme="minorHAnsi" w:hAnsiTheme="minorHAnsi" w:cstheme="minorHAnsi"/>
        </w:rPr>
        <w:t xml:space="preserve">included for information but are </w:t>
      </w:r>
      <w:r w:rsidRPr="00024A6B">
        <w:rPr>
          <w:rFonts w:asciiTheme="minorHAnsi" w:hAnsiTheme="minorHAnsi" w:cstheme="minorHAnsi"/>
        </w:rPr>
        <w:t xml:space="preserve">not incorporated by reference. </w:t>
      </w:r>
    </w:p>
    <w:p w14:paraId="425BE3F5" w14:textId="77777777" w:rsidR="005B26CA" w:rsidRPr="00024A6B" w:rsidRDefault="005B26CA" w:rsidP="005B26CA">
      <w:pPr>
        <w:tabs>
          <w:tab w:val="left" w:pos="567"/>
          <w:tab w:val="left" w:pos="1134"/>
          <w:tab w:val="left" w:pos="1701"/>
          <w:tab w:val="left" w:pos="2268"/>
          <w:tab w:val="left" w:pos="2835"/>
          <w:tab w:val="left" w:pos="3402"/>
          <w:tab w:val="left" w:pos="3969"/>
          <w:tab w:val="left" w:pos="4536"/>
        </w:tabs>
        <w:rPr>
          <w:rFonts w:asciiTheme="minorHAnsi" w:hAnsiTheme="minorHAnsi" w:cstheme="minorHAnsi"/>
        </w:rPr>
      </w:pPr>
    </w:p>
    <w:p w14:paraId="75BE6495" w14:textId="3D7165D1" w:rsidR="005B26CA" w:rsidRPr="00024A6B" w:rsidRDefault="005B26CA" w:rsidP="005B26CA">
      <w:pPr>
        <w:tabs>
          <w:tab w:val="left" w:pos="567"/>
          <w:tab w:val="left" w:pos="1134"/>
          <w:tab w:val="left" w:pos="1701"/>
          <w:tab w:val="left" w:pos="2268"/>
          <w:tab w:val="left" w:pos="2835"/>
          <w:tab w:val="left" w:pos="3402"/>
          <w:tab w:val="left" w:pos="3969"/>
          <w:tab w:val="left" w:pos="4536"/>
        </w:tabs>
        <w:rPr>
          <w:rFonts w:asciiTheme="minorHAnsi" w:hAnsiTheme="minorHAnsi" w:cstheme="minorHAnsi"/>
        </w:rPr>
      </w:pPr>
      <w:r w:rsidRPr="00024A6B">
        <w:rPr>
          <w:rFonts w:asciiTheme="minorHAnsi" w:hAnsiTheme="minorHAnsi" w:cstheme="minorHAnsi"/>
        </w:rPr>
        <w:t xml:space="preserve">Before prescribing medicines, including antipsychotics and benzodiazepines, medical practitioners and nurse practitioners are responsible for obtaining informed consent. </w:t>
      </w:r>
    </w:p>
    <w:p w14:paraId="3144A3E8" w14:textId="347C5A93" w:rsidR="005B26CA" w:rsidRPr="00024A6B" w:rsidRDefault="005B26CA" w:rsidP="005B26CA">
      <w:pPr>
        <w:tabs>
          <w:tab w:val="left" w:pos="567"/>
          <w:tab w:val="left" w:pos="1134"/>
          <w:tab w:val="left" w:pos="1701"/>
          <w:tab w:val="left" w:pos="2268"/>
          <w:tab w:val="left" w:pos="2835"/>
          <w:tab w:val="left" w:pos="3402"/>
          <w:tab w:val="left" w:pos="3969"/>
          <w:tab w:val="left" w:pos="4536"/>
        </w:tabs>
        <w:rPr>
          <w:rFonts w:asciiTheme="minorHAnsi" w:hAnsiTheme="minorHAnsi" w:cstheme="minorHAnsi"/>
        </w:rPr>
      </w:pPr>
    </w:p>
    <w:p w14:paraId="3150DB31" w14:textId="77777777" w:rsidR="005B26CA" w:rsidRPr="00024A6B" w:rsidRDefault="005B26CA" w:rsidP="005B26CA">
      <w:pPr>
        <w:tabs>
          <w:tab w:val="left" w:pos="567"/>
          <w:tab w:val="left" w:pos="1134"/>
          <w:tab w:val="left" w:pos="1701"/>
          <w:tab w:val="left" w:pos="2268"/>
          <w:tab w:val="left" w:pos="2835"/>
          <w:tab w:val="left" w:pos="3402"/>
          <w:tab w:val="left" w:pos="3969"/>
          <w:tab w:val="left" w:pos="4536"/>
        </w:tabs>
        <w:rPr>
          <w:rFonts w:asciiTheme="minorHAnsi" w:hAnsiTheme="minorHAnsi" w:cstheme="minorHAnsi"/>
        </w:rPr>
      </w:pPr>
      <w:r w:rsidRPr="00024A6B">
        <w:rPr>
          <w:rFonts w:asciiTheme="minorHAnsi" w:hAnsiTheme="minorHAnsi" w:cstheme="minorHAnsi"/>
        </w:rPr>
        <w:t>Both of these professions are regulated by their respective boards; the Medical Board of Australia (</w:t>
      </w:r>
      <w:r w:rsidRPr="00024A6B">
        <w:rPr>
          <w:rFonts w:asciiTheme="minorHAnsi" w:hAnsiTheme="minorHAnsi" w:cstheme="minorHAnsi"/>
          <w:b/>
        </w:rPr>
        <w:t>MBA</w:t>
      </w:r>
      <w:r w:rsidRPr="00024A6B">
        <w:rPr>
          <w:rFonts w:asciiTheme="minorHAnsi" w:hAnsiTheme="minorHAnsi" w:cstheme="minorHAnsi"/>
        </w:rPr>
        <w:t>) and the Nursing and Midwifery Board of Australia (</w:t>
      </w:r>
      <w:r w:rsidRPr="00024A6B">
        <w:rPr>
          <w:rFonts w:asciiTheme="minorHAnsi" w:hAnsiTheme="minorHAnsi" w:cstheme="minorHAnsi"/>
          <w:b/>
        </w:rPr>
        <w:t>NMBA</w:t>
      </w:r>
      <w:r w:rsidRPr="00024A6B">
        <w:rPr>
          <w:rFonts w:asciiTheme="minorHAnsi" w:hAnsiTheme="minorHAnsi" w:cstheme="minorHAnsi"/>
        </w:rPr>
        <w:t>). Their role includes setting of standards and codes to provide guidance to their professions about what is expected of their practice. All registration standards, codes and guidelines developed by a National Board are admissible in proceedings under the National Law.</w:t>
      </w:r>
    </w:p>
    <w:p w14:paraId="05F5AD76" w14:textId="77777777" w:rsidR="005B26CA" w:rsidRPr="00024A6B" w:rsidRDefault="005B26CA" w:rsidP="005B26CA">
      <w:pPr>
        <w:rPr>
          <w:rFonts w:asciiTheme="minorHAnsi" w:hAnsiTheme="minorHAnsi" w:cstheme="minorHAnsi"/>
        </w:rPr>
      </w:pPr>
    </w:p>
    <w:p w14:paraId="195B6B1D" w14:textId="77777777" w:rsidR="00B71EB6" w:rsidRPr="00024A6B" w:rsidRDefault="005B26CA" w:rsidP="005B26CA">
      <w:pPr>
        <w:rPr>
          <w:rFonts w:asciiTheme="minorHAnsi" w:hAnsiTheme="minorHAnsi" w:cstheme="minorHAnsi"/>
        </w:rPr>
      </w:pPr>
      <w:r w:rsidRPr="00024A6B">
        <w:rPr>
          <w:rFonts w:asciiTheme="minorHAnsi" w:hAnsiTheme="minorHAnsi" w:cstheme="minorHAnsi"/>
        </w:rPr>
        <w:t xml:space="preserve">In line with the provisions of the National Law, the MBA and NMBA have each published a code of conduct to set the professional expectations for their respective professions. The MBA’s </w:t>
      </w:r>
      <w:r w:rsidRPr="00024A6B">
        <w:rPr>
          <w:rFonts w:asciiTheme="minorHAnsi" w:hAnsiTheme="minorHAnsi" w:cstheme="minorHAnsi"/>
          <w:i/>
        </w:rPr>
        <w:t>Good medical practice: a code of conduct for doctors in Australia</w:t>
      </w:r>
      <w:r w:rsidRPr="00024A6B">
        <w:rPr>
          <w:rFonts w:asciiTheme="minorHAnsi" w:hAnsiTheme="minorHAnsi" w:cstheme="minorHAnsi"/>
        </w:rPr>
        <w:t xml:space="preserve"> and the NMBA’s </w:t>
      </w:r>
      <w:r w:rsidRPr="00024A6B">
        <w:rPr>
          <w:rFonts w:asciiTheme="minorHAnsi" w:hAnsiTheme="minorHAnsi" w:cstheme="minorHAnsi"/>
          <w:i/>
        </w:rPr>
        <w:t>Code of conduct for nurses</w:t>
      </w:r>
      <w:r w:rsidRPr="00024A6B">
        <w:rPr>
          <w:rFonts w:asciiTheme="minorHAnsi" w:hAnsiTheme="minorHAnsi" w:cstheme="minorHAnsi"/>
        </w:rPr>
        <w:t xml:space="preserve"> set the expectations of the MBA and NMBA for a range of topics including: communication with patients and/or their carers; gaining informed consent; and the use of scheduled medicines.</w:t>
      </w:r>
    </w:p>
    <w:p w14:paraId="7E3C4D41" w14:textId="77777777" w:rsidR="00B71EB6" w:rsidRPr="00024A6B" w:rsidRDefault="00B71EB6" w:rsidP="005B26CA">
      <w:pPr>
        <w:rPr>
          <w:rFonts w:asciiTheme="minorHAnsi" w:hAnsiTheme="minorHAnsi" w:cstheme="minorHAnsi"/>
        </w:rPr>
      </w:pPr>
    </w:p>
    <w:p w14:paraId="146B3606" w14:textId="2D4014BB" w:rsidR="00B71EB6" w:rsidRPr="00024A6B" w:rsidRDefault="00B71EB6" w:rsidP="005B26CA">
      <w:pPr>
        <w:rPr>
          <w:rFonts w:asciiTheme="minorHAnsi" w:hAnsiTheme="minorHAnsi" w:cstheme="minorHAnsi"/>
        </w:rPr>
      </w:pPr>
      <w:r w:rsidRPr="00024A6B">
        <w:rPr>
          <w:rFonts w:asciiTheme="minorHAnsi" w:hAnsiTheme="minorHAnsi" w:cstheme="minorHAnsi"/>
        </w:rPr>
        <w:t xml:space="preserve">In 2019, the MBA’s code could be viewed on their website </w:t>
      </w:r>
      <w:hyperlink r:id="rId11" w:history="1">
        <w:r w:rsidRPr="00024A6B">
          <w:rPr>
            <w:rStyle w:val="Hyperlink"/>
            <w:rFonts w:asciiTheme="minorHAnsi" w:hAnsiTheme="minorHAnsi" w:cstheme="minorHAnsi"/>
          </w:rPr>
          <w:t>https://www.medicalboard.gov.au</w:t>
        </w:r>
      </w:hyperlink>
      <w:r w:rsidRPr="00024A6B">
        <w:rPr>
          <w:rFonts w:asciiTheme="minorHAnsi" w:hAnsiTheme="minorHAnsi" w:cstheme="minorHAnsi"/>
        </w:rPr>
        <w:t xml:space="preserve"> and NMBA’s code could be viewed on their website: </w:t>
      </w:r>
      <w:hyperlink r:id="rId12" w:history="1">
        <w:r w:rsidRPr="00024A6B">
          <w:rPr>
            <w:rStyle w:val="Hyperlink"/>
            <w:rFonts w:asciiTheme="minorHAnsi" w:hAnsiTheme="minorHAnsi" w:cstheme="minorHAnsi"/>
          </w:rPr>
          <w:t>https://www.nursingmidwiferyboard.gov.au</w:t>
        </w:r>
      </w:hyperlink>
      <w:r w:rsidRPr="00024A6B">
        <w:rPr>
          <w:rFonts w:asciiTheme="minorHAnsi" w:hAnsiTheme="minorHAnsi" w:cstheme="minorHAnsi"/>
        </w:rPr>
        <w:t xml:space="preserve">. </w:t>
      </w:r>
    </w:p>
    <w:p w14:paraId="279842B3" w14:textId="77777777" w:rsidR="00B71EB6" w:rsidRPr="00024A6B" w:rsidRDefault="00B71EB6" w:rsidP="005B26CA">
      <w:pPr>
        <w:rPr>
          <w:rFonts w:asciiTheme="minorHAnsi" w:hAnsiTheme="minorHAnsi" w:cstheme="minorHAnsi"/>
        </w:rPr>
      </w:pPr>
    </w:p>
    <w:p w14:paraId="3D0C465C" w14:textId="5E1CDD86" w:rsidR="005B26CA" w:rsidRPr="00024A6B" w:rsidRDefault="005B26CA" w:rsidP="005B26CA">
      <w:pPr>
        <w:rPr>
          <w:rFonts w:asciiTheme="minorHAnsi" w:hAnsiTheme="minorHAnsi" w:cstheme="minorHAnsi"/>
        </w:rPr>
      </w:pPr>
      <w:r w:rsidRPr="00024A6B">
        <w:rPr>
          <w:rFonts w:asciiTheme="minorHAnsi" w:hAnsiTheme="minorHAnsi" w:cstheme="minorHAnsi"/>
        </w:rPr>
        <w:t>Both codes of conduct require practitioners to comply with relevant legislation administered by states and territories, including medicines and poisons legislation which governs the prescribing, dispensing and administration of scheduled medicines.</w:t>
      </w:r>
    </w:p>
    <w:p w14:paraId="6A121C13" w14:textId="77777777" w:rsidR="005B26CA" w:rsidRPr="00024A6B" w:rsidRDefault="005B26CA" w:rsidP="005B26CA">
      <w:pPr>
        <w:keepLines/>
      </w:pPr>
    </w:p>
    <w:p w14:paraId="4F8F7CAE" w14:textId="63992CDD" w:rsidR="005B26CA" w:rsidRPr="00024A6B" w:rsidRDefault="00224FC7" w:rsidP="00115074">
      <w:pPr>
        <w:keepLines/>
        <w:widowControl w:val="0"/>
        <w:rPr>
          <w:rFonts w:asciiTheme="minorHAnsi" w:hAnsiTheme="minorHAnsi" w:cstheme="minorHAnsi"/>
          <w:u w:val="single"/>
        </w:rPr>
      </w:pPr>
      <w:r w:rsidRPr="00024A6B">
        <w:rPr>
          <w:rFonts w:asciiTheme="minorHAnsi" w:hAnsiTheme="minorHAnsi" w:cstheme="minorHAnsi"/>
          <w:u w:val="single"/>
        </w:rPr>
        <w:t xml:space="preserve">Consent to the prescribing of medication </w:t>
      </w:r>
    </w:p>
    <w:p w14:paraId="065B02D0" w14:textId="4AC4A96B" w:rsidR="00224FC7" w:rsidRPr="00024A6B" w:rsidRDefault="00224FC7" w:rsidP="00115074">
      <w:pPr>
        <w:keepLines/>
        <w:widowControl w:val="0"/>
        <w:rPr>
          <w:rFonts w:asciiTheme="minorHAnsi" w:hAnsiTheme="minorHAnsi" w:cstheme="minorHAnsi"/>
        </w:rPr>
      </w:pPr>
    </w:p>
    <w:p w14:paraId="6986B352" w14:textId="7C9B1FF5" w:rsidR="000B09A9" w:rsidRPr="00024A6B" w:rsidRDefault="00224FC7" w:rsidP="000B09A9">
      <w:pPr>
        <w:keepLines/>
        <w:widowControl w:val="0"/>
        <w:rPr>
          <w:rFonts w:asciiTheme="minorHAnsi" w:hAnsiTheme="minorHAnsi" w:cstheme="minorHAnsi"/>
        </w:rPr>
      </w:pPr>
      <w:r w:rsidRPr="00024A6B">
        <w:rPr>
          <w:rFonts w:asciiTheme="minorHAnsi" w:hAnsiTheme="minorHAnsi" w:cstheme="minorHAnsi"/>
        </w:rPr>
        <w:t xml:space="preserve">Note 2 refers to </w:t>
      </w:r>
      <w:r w:rsidR="00180BC2" w:rsidRPr="00024A6B">
        <w:rPr>
          <w:rFonts w:asciiTheme="minorHAnsi" w:hAnsiTheme="minorHAnsi" w:cstheme="minorHAnsi"/>
        </w:rPr>
        <w:t xml:space="preserve">the </w:t>
      </w:r>
      <w:r w:rsidR="00CA3B74" w:rsidRPr="00024A6B">
        <w:rPr>
          <w:rFonts w:asciiTheme="minorHAnsi" w:hAnsiTheme="minorHAnsi" w:cstheme="minorHAnsi"/>
        </w:rPr>
        <w:t>s</w:t>
      </w:r>
      <w:r w:rsidR="000B09A9" w:rsidRPr="00024A6B">
        <w:rPr>
          <w:rFonts w:asciiTheme="minorHAnsi" w:hAnsiTheme="minorHAnsi" w:cstheme="minorHAnsi"/>
        </w:rPr>
        <w:t xml:space="preserve">tate and </w:t>
      </w:r>
      <w:r w:rsidR="00CA3B74" w:rsidRPr="00024A6B">
        <w:rPr>
          <w:rFonts w:asciiTheme="minorHAnsi" w:hAnsiTheme="minorHAnsi" w:cstheme="minorHAnsi"/>
        </w:rPr>
        <w:t>t</w:t>
      </w:r>
      <w:r w:rsidR="000B09A9" w:rsidRPr="00024A6B">
        <w:rPr>
          <w:rFonts w:asciiTheme="minorHAnsi" w:hAnsiTheme="minorHAnsi" w:cstheme="minorHAnsi"/>
        </w:rPr>
        <w:t>erritory legislation</w:t>
      </w:r>
      <w:r w:rsidRPr="00024A6B">
        <w:rPr>
          <w:rFonts w:asciiTheme="minorHAnsi" w:hAnsiTheme="minorHAnsi" w:cstheme="minorHAnsi"/>
        </w:rPr>
        <w:t>, which</w:t>
      </w:r>
      <w:r w:rsidR="000B09A9" w:rsidRPr="00024A6B">
        <w:rPr>
          <w:rFonts w:asciiTheme="minorHAnsi" w:hAnsiTheme="minorHAnsi" w:cstheme="minorHAnsi"/>
        </w:rPr>
        <w:t xml:space="preserve"> deals with who can consent to the prescribing of medication for a consumer who cannot consent because of any physical or mental incapacity.</w:t>
      </w:r>
      <w:r w:rsidR="00180BC2" w:rsidRPr="00024A6B">
        <w:rPr>
          <w:rFonts w:asciiTheme="minorHAnsi" w:hAnsiTheme="minorHAnsi" w:cstheme="minorHAnsi"/>
        </w:rPr>
        <w:t xml:space="preserve"> </w:t>
      </w:r>
      <w:r w:rsidR="00825855" w:rsidRPr="00024A6B">
        <w:rPr>
          <w:rFonts w:asciiTheme="minorHAnsi" w:hAnsiTheme="minorHAnsi" w:cstheme="minorHAnsi"/>
        </w:rPr>
        <w:t xml:space="preserve">This legislation is included for information but </w:t>
      </w:r>
      <w:r w:rsidR="00180BC2" w:rsidRPr="00024A6B">
        <w:rPr>
          <w:rFonts w:asciiTheme="minorHAnsi" w:hAnsiTheme="minorHAnsi" w:cstheme="minorHAnsi"/>
        </w:rPr>
        <w:t xml:space="preserve">is not incorporated by reference. </w:t>
      </w:r>
    </w:p>
    <w:p w14:paraId="76ED8F05" w14:textId="5EBE49DF" w:rsidR="00224FC7" w:rsidRPr="00024A6B" w:rsidRDefault="00224FC7" w:rsidP="000B09A9">
      <w:pPr>
        <w:keepLines/>
        <w:widowControl w:val="0"/>
        <w:rPr>
          <w:rFonts w:asciiTheme="minorHAnsi" w:hAnsiTheme="minorHAnsi" w:cstheme="minorHAnsi"/>
        </w:rPr>
      </w:pPr>
    </w:p>
    <w:p w14:paraId="632DCB95" w14:textId="4A6C9D3D" w:rsidR="00EF48F4" w:rsidRPr="00024A6B" w:rsidRDefault="00180BC2" w:rsidP="000B09A9">
      <w:pPr>
        <w:keepLines/>
        <w:widowControl w:val="0"/>
        <w:rPr>
          <w:rFonts w:asciiTheme="minorHAnsi" w:hAnsiTheme="minorHAnsi" w:cstheme="minorHAnsi"/>
        </w:rPr>
      </w:pPr>
      <w:r w:rsidRPr="00024A6B">
        <w:rPr>
          <w:rFonts w:asciiTheme="minorHAnsi" w:hAnsiTheme="minorHAnsi" w:cstheme="minorHAnsi"/>
        </w:rPr>
        <w:t xml:space="preserve">The applicable legislation, at the time of making the Amending Principles, for each state and territory is set out in </w:t>
      </w:r>
      <w:r w:rsidR="00CA3B74" w:rsidRPr="00024A6B">
        <w:rPr>
          <w:rFonts w:asciiTheme="minorHAnsi" w:hAnsiTheme="minorHAnsi" w:cstheme="minorHAnsi"/>
        </w:rPr>
        <w:t>Table 1</w:t>
      </w:r>
      <w:r w:rsidR="00EF48F4" w:rsidRPr="00024A6B">
        <w:rPr>
          <w:rFonts w:asciiTheme="minorHAnsi" w:hAnsiTheme="minorHAnsi" w:cstheme="minorHAnsi"/>
        </w:rPr>
        <w:t>.</w:t>
      </w:r>
      <w:r w:rsidR="00CA3B74" w:rsidRPr="00024A6B">
        <w:rPr>
          <w:rFonts w:asciiTheme="minorHAnsi" w:hAnsiTheme="minorHAnsi" w:cstheme="minorHAnsi"/>
        </w:rPr>
        <w:t xml:space="preserve"> This table also provides details of relevant organisations who may be able to provide additional information: </w:t>
      </w:r>
      <w:r w:rsidR="00EF48F4" w:rsidRPr="00024A6B">
        <w:rPr>
          <w:rFonts w:asciiTheme="minorHAnsi" w:hAnsiTheme="minorHAnsi" w:cstheme="minorHAnsi"/>
        </w:rPr>
        <w:t xml:space="preserve"> </w:t>
      </w:r>
    </w:p>
    <w:p w14:paraId="3D4A1F68" w14:textId="77777777" w:rsidR="00EF48F4" w:rsidRPr="00024A6B" w:rsidRDefault="00EF48F4" w:rsidP="000B09A9">
      <w:pPr>
        <w:keepLines/>
        <w:widowControl w:val="0"/>
        <w:rPr>
          <w:rFonts w:asciiTheme="minorHAnsi" w:hAnsiTheme="minorHAnsi" w:cstheme="minorHAnsi"/>
        </w:rPr>
      </w:pPr>
    </w:p>
    <w:p w14:paraId="6965E73D" w14:textId="014DC006" w:rsidR="00CA3B74" w:rsidRPr="00024A6B" w:rsidRDefault="00CA3B74">
      <w:pPr>
        <w:rPr>
          <w:rFonts w:asciiTheme="minorHAnsi" w:hAnsiTheme="minorHAnsi" w:cstheme="minorHAnsi"/>
        </w:rPr>
      </w:pPr>
      <w:r w:rsidRPr="00024A6B">
        <w:rPr>
          <w:rFonts w:asciiTheme="minorHAnsi" w:hAnsiTheme="minorHAnsi" w:cstheme="minorHAnsi"/>
        </w:rPr>
        <w:br w:type="page"/>
      </w:r>
    </w:p>
    <w:p w14:paraId="1B6B4C97" w14:textId="60267122" w:rsidR="00180BC2" w:rsidRPr="00024A6B" w:rsidRDefault="00180BC2" w:rsidP="000B09A9">
      <w:pPr>
        <w:keepLines/>
        <w:widowControl w:val="0"/>
        <w:rPr>
          <w:rFonts w:asciiTheme="minorHAnsi" w:hAnsiTheme="minorHAnsi" w:cstheme="minorHAnsi"/>
          <w:b/>
        </w:rPr>
      </w:pPr>
      <w:r w:rsidRPr="00024A6B">
        <w:rPr>
          <w:rFonts w:asciiTheme="minorHAnsi" w:hAnsiTheme="minorHAnsi" w:cstheme="minorHAnsi"/>
          <w:b/>
        </w:rPr>
        <w:lastRenderedPageBreak/>
        <w:t xml:space="preserve">Table 1. </w:t>
      </w:r>
    </w:p>
    <w:tbl>
      <w:tblPr>
        <w:tblStyle w:val="TableGrid"/>
        <w:tblW w:w="0" w:type="auto"/>
        <w:tblLook w:val="04A0" w:firstRow="1" w:lastRow="0" w:firstColumn="1" w:lastColumn="0" w:noHBand="0" w:noVBand="1"/>
      </w:tblPr>
      <w:tblGrid>
        <w:gridCol w:w="692"/>
        <w:gridCol w:w="4814"/>
        <w:gridCol w:w="2988"/>
      </w:tblGrid>
      <w:tr w:rsidR="005C3CE7" w:rsidRPr="00024A6B" w14:paraId="5B23E51F" w14:textId="3D0AE5B8" w:rsidTr="00CA3B74">
        <w:tc>
          <w:tcPr>
            <w:tcW w:w="0" w:type="auto"/>
            <w:shd w:val="clear" w:color="auto" w:fill="auto"/>
          </w:tcPr>
          <w:p w14:paraId="0F648046" w14:textId="77777777" w:rsidR="005C3CE7" w:rsidRPr="00024A6B" w:rsidRDefault="005C3CE7" w:rsidP="00827516">
            <w:pPr>
              <w:rPr>
                <w:rFonts w:asciiTheme="minorHAnsi" w:hAnsiTheme="minorHAnsi" w:cstheme="minorHAnsi"/>
                <w:b/>
                <w:sz w:val="22"/>
                <w:szCs w:val="22"/>
              </w:rPr>
            </w:pPr>
            <w:r w:rsidRPr="00024A6B">
              <w:rPr>
                <w:rFonts w:asciiTheme="minorHAnsi" w:hAnsiTheme="minorHAnsi" w:cstheme="minorHAnsi"/>
                <w:b/>
                <w:sz w:val="22"/>
                <w:szCs w:val="22"/>
              </w:rPr>
              <w:t>State</w:t>
            </w:r>
          </w:p>
        </w:tc>
        <w:tc>
          <w:tcPr>
            <w:tcW w:w="0" w:type="auto"/>
            <w:shd w:val="clear" w:color="auto" w:fill="auto"/>
          </w:tcPr>
          <w:p w14:paraId="1D99A3F2" w14:textId="77777777" w:rsidR="005C3CE7" w:rsidRPr="00024A6B" w:rsidRDefault="005C3CE7" w:rsidP="00827516">
            <w:pPr>
              <w:rPr>
                <w:rFonts w:asciiTheme="minorHAnsi" w:hAnsiTheme="minorHAnsi" w:cstheme="minorHAnsi"/>
                <w:b/>
                <w:sz w:val="22"/>
                <w:szCs w:val="22"/>
              </w:rPr>
            </w:pPr>
            <w:r w:rsidRPr="00024A6B">
              <w:rPr>
                <w:rFonts w:asciiTheme="minorHAnsi" w:hAnsiTheme="minorHAnsi" w:cstheme="minorHAnsi"/>
                <w:b/>
                <w:sz w:val="22"/>
                <w:szCs w:val="22"/>
              </w:rPr>
              <w:t>Legislation</w:t>
            </w:r>
          </w:p>
        </w:tc>
        <w:tc>
          <w:tcPr>
            <w:tcW w:w="0" w:type="auto"/>
          </w:tcPr>
          <w:p w14:paraId="661B9DE8" w14:textId="02DCE3D6" w:rsidR="005C3CE7" w:rsidRPr="00024A6B" w:rsidRDefault="005C3CE7" w:rsidP="00827516">
            <w:pPr>
              <w:rPr>
                <w:rFonts w:asciiTheme="minorHAnsi" w:hAnsiTheme="minorHAnsi" w:cstheme="minorHAnsi"/>
                <w:b/>
                <w:sz w:val="22"/>
                <w:szCs w:val="22"/>
              </w:rPr>
            </w:pPr>
            <w:r w:rsidRPr="00024A6B">
              <w:rPr>
                <w:rFonts w:asciiTheme="minorHAnsi" w:hAnsiTheme="minorHAnsi" w:cstheme="minorHAnsi"/>
                <w:b/>
                <w:sz w:val="22"/>
                <w:szCs w:val="22"/>
              </w:rPr>
              <w:t>Relevant organisations</w:t>
            </w:r>
          </w:p>
        </w:tc>
      </w:tr>
      <w:tr w:rsidR="005C3CE7" w:rsidRPr="00024A6B" w14:paraId="7BB92FE2" w14:textId="4C85B3DC" w:rsidTr="00CA3B74">
        <w:tc>
          <w:tcPr>
            <w:tcW w:w="0" w:type="auto"/>
            <w:shd w:val="clear" w:color="auto" w:fill="auto"/>
          </w:tcPr>
          <w:p w14:paraId="0B19B400"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ACT</w:t>
            </w:r>
          </w:p>
        </w:tc>
        <w:tc>
          <w:tcPr>
            <w:tcW w:w="0" w:type="auto"/>
            <w:shd w:val="clear" w:color="auto" w:fill="auto"/>
          </w:tcPr>
          <w:p w14:paraId="7AEF43EB"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Management of Property Act 1991</w:t>
            </w:r>
          </w:p>
          <w:p w14:paraId="28C4A0D3" w14:textId="049220C0" w:rsidR="005C3CE7" w:rsidRPr="00024A6B" w:rsidRDefault="005C3CE7" w:rsidP="00180BC2">
            <w:pPr>
              <w:rPr>
                <w:rFonts w:asciiTheme="minorHAnsi" w:hAnsiTheme="minorHAnsi" w:cstheme="minorHAnsi"/>
                <w:i/>
                <w:sz w:val="22"/>
                <w:szCs w:val="22"/>
              </w:rPr>
            </w:pPr>
            <w:r w:rsidRPr="00024A6B">
              <w:rPr>
                <w:rFonts w:asciiTheme="minorHAnsi" w:hAnsiTheme="minorHAnsi" w:cstheme="minorHAnsi"/>
                <w:i/>
                <w:sz w:val="22"/>
                <w:szCs w:val="22"/>
              </w:rPr>
              <w:t>Guardianship and Management of Property Regulation 1991</w:t>
            </w:r>
          </w:p>
          <w:p w14:paraId="74FF29B5" w14:textId="4A054BC7" w:rsidR="005C3CE7" w:rsidRPr="00024A6B" w:rsidRDefault="005C3CE7" w:rsidP="00180BC2">
            <w:pPr>
              <w:rPr>
                <w:rFonts w:asciiTheme="minorHAnsi" w:hAnsiTheme="minorHAnsi" w:cstheme="minorHAnsi"/>
                <w:i/>
                <w:sz w:val="22"/>
                <w:szCs w:val="22"/>
              </w:rPr>
            </w:pPr>
            <w:r w:rsidRPr="00024A6B">
              <w:rPr>
                <w:rFonts w:asciiTheme="minorHAnsi" w:hAnsiTheme="minorHAnsi" w:cstheme="minorHAnsi"/>
                <w:i/>
                <w:sz w:val="22"/>
                <w:szCs w:val="22"/>
              </w:rPr>
              <w:t>Guardianship and Management of Property (Fees) Determination 1992</w:t>
            </w:r>
          </w:p>
          <w:p w14:paraId="741B2064" w14:textId="583E9137" w:rsidR="005C3CE7" w:rsidRPr="00024A6B" w:rsidRDefault="005C3CE7" w:rsidP="00180BC2">
            <w:pPr>
              <w:rPr>
                <w:rFonts w:asciiTheme="minorHAnsi" w:hAnsiTheme="minorHAnsi" w:cstheme="minorHAnsi"/>
                <w:i/>
                <w:sz w:val="22"/>
                <w:szCs w:val="22"/>
              </w:rPr>
            </w:pPr>
            <w:r w:rsidRPr="00024A6B">
              <w:rPr>
                <w:rFonts w:asciiTheme="minorHAnsi" w:hAnsiTheme="minorHAnsi" w:cstheme="minorHAnsi"/>
                <w:i/>
                <w:sz w:val="22"/>
                <w:szCs w:val="22"/>
              </w:rPr>
              <w:t>Guardianship and Management of Property (Fees) Determination 2019</w:t>
            </w:r>
          </w:p>
        </w:tc>
        <w:tc>
          <w:tcPr>
            <w:tcW w:w="0" w:type="auto"/>
          </w:tcPr>
          <w:p w14:paraId="27596899"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Public Trustee and Guardian (ACT)</w:t>
            </w:r>
          </w:p>
          <w:p w14:paraId="298ECC29"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ACT Civil and Administrative Tribunal</w:t>
            </w:r>
          </w:p>
          <w:p w14:paraId="4051CBF3" w14:textId="7FB40823"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Public Advocate (ACT)</w:t>
            </w:r>
          </w:p>
        </w:tc>
      </w:tr>
      <w:tr w:rsidR="005C3CE7" w:rsidRPr="00024A6B" w14:paraId="0F49C870" w14:textId="1D09F8A1" w:rsidTr="00CA3B74">
        <w:tc>
          <w:tcPr>
            <w:tcW w:w="0" w:type="auto"/>
            <w:shd w:val="clear" w:color="auto" w:fill="auto"/>
          </w:tcPr>
          <w:p w14:paraId="0A6EF774"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NSW</w:t>
            </w:r>
          </w:p>
        </w:tc>
        <w:tc>
          <w:tcPr>
            <w:tcW w:w="0" w:type="auto"/>
            <w:shd w:val="clear" w:color="auto" w:fill="auto"/>
          </w:tcPr>
          <w:p w14:paraId="6070CF99"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Act 1987</w:t>
            </w:r>
          </w:p>
          <w:p w14:paraId="5E17C47A" w14:textId="2C2A93D4"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Regulations 2016</w:t>
            </w:r>
          </w:p>
        </w:tc>
        <w:tc>
          <w:tcPr>
            <w:tcW w:w="0" w:type="auto"/>
          </w:tcPr>
          <w:p w14:paraId="470BBAC4"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Public Guardian (NSW)</w:t>
            </w:r>
          </w:p>
          <w:p w14:paraId="41770A4B"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NSW Civil and Administrative Tribunal</w:t>
            </w:r>
          </w:p>
          <w:p w14:paraId="2293F9AE" w14:textId="7AD3E434"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NSW Trustee and Guardian</w:t>
            </w:r>
          </w:p>
        </w:tc>
      </w:tr>
      <w:tr w:rsidR="005C3CE7" w:rsidRPr="00024A6B" w14:paraId="1586C5F9" w14:textId="21DE3CBD" w:rsidTr="00CA3B74">
        <w:tc>
          <w:tcPr>
            <w:tcW w:w="0" w:type="auto"/>
            <w:shd w:val="clear" w:color="auto" w:fill="auto"/>
          </w:tcPr>
          <w:p w14:paraId="1C9B2EA8"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NT</w:t>
            </w:r>
          </w:p>
        </w:tc>
        <w:tc>
          <w:tcPr>
            <w:tcW w:w="0" w:type="auto"/>
            <w:shd w:val="clear" w:color="auto" w:fill="auto"/>
          </w:tcPr>
          <w:p w14:paraId="50D85045"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Adult Guardianship Act 2016</w:t>
            </w:r>
          </w:p>
          <w:p w14:paraId="08599ED4" w14:textId="579A866A"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of Adults Regulations 2016</w:t>
            </w:r>
          </w:p>
        </w:tc>
        <w:tc>
          <w:tcPr>
            <w:tcW w:w="0" w:type="auto"/>
          </w:tcPr>
          <w:p w14:paraId="73B3FC02"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NT Civil and Administrative Tribunal</w:t>
            </w:r>
          </w:p>
          <w:p w14:paraId="7BA68C02"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Office of the Public Guardian (NT)</w:t>
            </w:r>
          </w:p>
          <w:p w14:paraId="65CCDECC" w14:textId="1D95172B" w:rsidR="005C3CE7" w:rsidRPr="00024A6B" w:rsidRDefault="005C3CE7" w:rsidP="00827516">
            <w:pPr>
              <w:rPr>
                <w:rFonts w:asciiTheme="minorHAnsi" w:hAnsiTheme="minorHAnsi" w:cstheme="minorHAnsi"/>
                <w:sz w:val="22"/>
                <w:szCs w:val="22"/>
              </w:rPr>
            </w:pPr>
          </w:p>
        </w:tc>
      </w:tr>
      <w:tr w:rsidR="005C3CE7" w:rsidRPr="00024A6B" w14:paraId="620D223B" w14:textId="7F8C2487" w:rsidTr="00CA3B74">
        <w:tc>
          <w:tcPr>
            <w:tcW w:w="0" w:type="auto"/>
            <w:shd w:val="clear" w:color="auto" w:fill="auto"/>
          </w:tcPr>
          <w:p w14:paraId="6E65AC15"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QLD</w:t>
            </w:r>
          </w:p>
        </w:tc>
        <w:tc>
          <w:tcPr>
            <w:tcW w:w="0" w:type="auto"/>
            <w:shd w:val="clear" w:color="auto" w:fill="auto"/>
          </w:tcPr>
          <w:p w14:paraId="4D879E89" w14:textId="77777777" w:rsidR="005C3CE7" w:rsidRPr="00024A6B" w:rsidRDefault="00024A6B" w:rsidP="00827516">
            <w:pPr>
              <w:rPr>
                <w:rFonts w:asciiTheme="minorHAnsi" w:hAnsiTheme="minorHAnsi" w:cstheme="minorHAnsi"/>
                <w:i/>
                <w:sz w:val="22"/>
                <w:szCs w:val="22"/>
              </w:rPr>
            </w:pPr>
            <w:hyperlink r:id="rId13" w:history="1">
              <w:r w:rsidR="005C3CE7" w:rsidRPr="00024A6B">
                <w:rPr>
                  <w:rFonts w:asciiTheme="minorHAnsi" w:hAnsiTheme="minorHAnsi" w:cstheme="minorHAnsi"/>
                  <w:i/>
                  <w:iCs/>
                  <w:sz w:val="22"/>
                  <w:szCs w:val="22"/>
                </w:rPr>
                <w:t>Guardianship and Administration Act 2000</w:t>
              </w:r>
            </w:hyperlink>
          </w:p>
          <w:p w14:paraId="66D9BFD0" w14:textId="7D811A62" w:rsidR="005C3CE7" w:rsidRPr="00024A6B" w:rsidRDefault="00024A6B" w:rsidP="000974CC">
            <w:pPr>
              <w:rPr>
                <w:rFonts w:asciiTheme="minorHAnsi" w:hAnsiTheme="minorHAnsi" w:cstheme="minorHAnsi"/>
                <w:i/>
                <w:sz w:val="22"/>
                <w:szCs w:val="22"/>
              </w:rPr>
            </w:pPr>
            <w:hyperlink r:id="rId14" w:history="1">
              <w:r w:rsidR="005C3CE7" w:rsidRPr="00024A6B">
                <w:rPr>
                  <w:rFonts w:asciiTheme="minorHAnsi" w:hAnsiTheme="minorHAnsi" w:cstheme="minorHAnsi"/>
                  <w:i/>
                  <w:iCs/>
                  <w:sz w:val="22"/>
                  <w:szCs w:val="22"/>
                </w:rPr>
                <w:t>Guardianship</w:t>
              </w:r>
            </w:hyperlink>
            <w:r w:rsidR="005C3CE7" w:rsidRPr="00024A6B">
              <w:rPr>
                <w:rFonts w:asciiTheme="minorHAnsi" w:hAnsiTheme="minorHAnsi" w:cstheme="minorHAnsi"/>
                <w:i/>
                <w:iCs/>
                <w:sz w:val="22"/>
                <w:szCs w:val="22"/>
              </w:rPr>
              <w:t xml:space="preserve"> and Administration Regulation 2012</w:t>
            </w:r>
          </w:p>
        </w:tc>
        <w:tc>
          <w:tcPr>
            <w:tcW w:w="0" w:type="auto"/>
          </w:tcPr>
          <w:p w14:paraId="108B3DC0" w14:textId="77777777" w:rsidR="005C3CE7"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 xml:space="preserve">Office of the Public Guardian (QLD) </w:t>
            </w:r>
          </w:p>
          <w:p w14:paraId="704E2535" w14:textId="0D1EE85F" w:rsidR="00EF48F4"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Public Advocate (QLD)</w:t>
            </w:r>
          </w:p>
          <w:p w14:paraId="3E6248E0" w14:textId="14F575FE" w:rsidR="00EF48F4"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QLD Civil and Administrative Tribunal</w:t>
            </w:r>
          </w:p>
        </w:tc>
      </w:tr>
      <w:tr w:rsidR="005C3CE7" w:rsidRPr="00024A6B" w14:paraId="4A075E7E" w14:textId="5B92A0B3" w:rsidTr="00CA3B74">
        <w:tc>
          <w:tcPr>
            <w:tcW w:w="0" w:type="auto"/>
            <w:shd w:val="clear" w:color="auto" w:fill="auto"/>
          </w:tcPr>
          <w:p w14:paraId="2CE7164A"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SA</w:t>
            </w:r>
          </w:p>
        </w:tc>
        <w:tc>
          <w:tcPr>
            <w:tcW w:w="0" w:type="auto"/>
            <w:shd w:val="clear" w:color="auto" w:fill="auto"/>
          </w:tcPr>
          <w:p w14:paraId="384EDB17" w14:textId="77777777" w:rsidR="005C3CE7" w:rsidRPr="00024A6B" w:rsidRDefault="00024A6B" w:rsidP="00827516">
            <w:pPr>
              <w:rPr>
                <w:rFonts w:asciiTheme="minorHAnsi" w:hAnsiTheme="minorHAnsi" w:cstheme="minorHAnsi"/>
                <w:i/>
                <w:sz w:val="22"/>
                <w:szCs w:val="22"/>
              </w:rPr>
            </w:pPr>
            <w:hyperlink r:id="rId15" w:history="1">
              <w:r w:rsidR="005C3CE7" w:rsidRPr="00024A6B">
                <w:rPr>
                  <w:rFonts w:asciiTheme="minorHAnsi" w:hAnsiTheme="minorHAnsi" w:cstheme="minorHAnsi"/>
                  <w:i/>
                  <w:iCs/>
                  <w:sz w:val="22"/>
                  <w:szCs w:val="22"/>
                </w:rPr>
                <w:t>Consent to Medical Treatment and Palliative Care Act 1995</w:t>
              </w:r>
            </w:hyperlink>
          </w:p>
          <w:p w14:paraId="6F729708" w14:textId="1F5DBB42" w:rsidR="005C3CE7" w:rsidRPr="00024A6B" w:rsidRDefault="00024A6B" w:rsidP="000974CC">
            <w:pPr>
              <w:rPr>
                <w:rFonts w:asciiTheme="minorHAnsi" w:hAnsiTheme="minorHAnsi" w:cstheme="minorHAnsi"/>
                <w:i/>
                <w:sz w:val="22"/>
                <w:szCs w:val="22"/>
              </w:rPr>
            </w:pPr>
            <w:hyperlink r:id="rId16" w:history="1">
              <w:r w:rsidR="005C3CE7" w:rsidRPr="00024A6B">
                <w:rPr>
                  <w:rFonts w:asciiTheme="minorHAnsi" w:hAnsiTheme="minorHAnsi" w:cstheme="minorHAnsi"/>
                  <w:i/>
                  <w:iCs/>
                  <w:sz w:val="22"/>
                  <w:szCs w:val="22"/>
                </w:rPr>
                <w:t>Consent to Medical Treatment and Palliative Care Regulations 2014</w:t>
              </w:r>
            </w:hyperlink>
          </w:p>
          <w:p w14:paraId="4437E2C3"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Act 1993</w:t>
            </w:r>
          </w:p>
          <w:p w14:paraId="2F0331C6" w14:textId="5E5042B9" w:rsidR="005C3CE7" w:rsidRPr="00024A6B" w:rsidRDefault="005C3CE7" w:rsidP="000974CC">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Regulations 2015</w:t>
            </w:r>
          </w:p>
        </w:tc>
        <w:tc>
          <w:tcPr>
            <w:tcW w:w="0" w:type="auto"/>
          </w:tcPr>
          <w:p w14:paraId="6216A49F" w14:textId="77777777" w:rsidR="005C3CE7"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Office of the Public Advocate</w:t>
            </w:r>
          </w:p>
          <w:p w14:paraId="2B56FF0D" w14:textId="77777777" w:rsidR="00EF48F4"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SA Civil and Administrative Tribunal</w:t>
            </w:r>
          </w:p>
          <w:p w14:paraId="232BDF60" w14:textId="259A4BB4" w:rsidR="00EF48F4" w:rsidRPr="00024A6B" w:rsidRDefault="00EF48F4" w:rsidP="00827516">
            <w:pPr>
              <w:rPr>
                <w:rFonts w:asciiTheme="minorHAnsi" w:hAnsiTheme="minorHAnsi" w:cstheme="minorHAnsi"/>
                <w:sz w:val="22"/>
                <w:szCs w:val="22"/>
              </w:rPr>
            </w:pPr>
          </w:p>
        </w:tc>
      </w:tr>
      <w:tr w:rsidR="005C3CE7" w:rsidRPr="00024A6B" w14:paraId="47B2E69A" w14:textId="65253260" w:rsidTr="00CA3B74">
        <w:tc>
          <w:tcPr>
            <w:tcW w:w="0" w:type="auto"/>
            <w:shd w:val="clear" w:color="auto" w:fill="auto"/>
          </w:tcPr>
          <w:p w14:paraId="17C0E48A"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TAS</w:t>
            </w:r>
          </w:p>
        </w:tc>
        <w:tc>
          <w:tcPr>
            <w:tcW w:w="0" w:type="auto"/>
            <w:shd w:val="clear" w:color="auto" w:fill="auto"/>
          </w:tcPr>
          <w:p w14:paraId="5D15DD64"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Act 1995</w:t>
            </w:r>
          </w:p>
          <w:p w14:paraId="5CC4E87A" w14:textId="1CD84C20" w:rsidR="005C3CE7" w:rsidRPr="00024A6B" w:rsidRDefault="005C3CE7" w:rsidP="000974CC">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Regulations 2017</w:t>
            </w:r>
          </w:p>
          <w:p w14:paraId="7C08559F" w14:textId="1135F154" w:rsidR="005C3CE7" w:rsidRPr="00024A6B" w:rsidRDefault="005C3CE7" w:rsidP="000974CC">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(Corresponding Law) Notice 2014</w:t>
            </w:r>
          </w:p>
          <w:p w14:paraId="5E0C30A9" w14:textId="10BAAA70" w:rsidR="005C3CE7" w:rsidRPr="00024A6B" w:rsidRDefault="005C3CE7" w:rsidP="000974CC">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(Corresponding Law) Notice 2011</w:t>
            </w:r>
          </w:p>
        </w:tc>
        <w:tc>
          <w:tcPr>
            <w:tcW w:w="0" w:type="auto"/>
          </w:tcPr>
          <w:p w14:paraId="3AB65CF1" w14:textId="77777777" w:rsidR="005C3CE7"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Office of the Public Guardian (TAS)</w:t>
            </w:r>
          </w:p>
          <w:p w14:paraId="013AAC57" w14:textId="77777777" w:rsidR="00EF48F4"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Guardianship and Administration Board</w:t>
            </w:r>
          </w:p>
          <w:p w14:paraId="5F0A782C" w14:textId="5D117176" w:rsidR="00EF48F4" w:rsidRPr="00024A6B" w:rsidRDefault="00EF48F4" w:rsidP="00827516">
            <w:pPr>
              <w:rPr>
                <w:rFonts w:asciiTheme="minorHAnsi" w:hAnsiTheme="minorHAnsi" w:cstheme="minorHAnsi"/>
                <w:sz w:val="22"/>
                <w:szCs w:val="22"/>
              </w:rPr>
            </w:pPr>
          </w:p>
        </w:tc>
      </w:tr>
      <w:tr w:rsidR="005C3CE7" w:rsidRPr="00024A6B" w14:paraId="31FD6BC9" w14:textId="2FB10E05" w:rsidTr="00CA3B74">
        <w:tc>
          <w:tcPr>
            <w:tcW w:w="0" w:type="auto"/>
            <w:shd w:val="clear" w:color="auto" w:fill="auto"/>
          </w:tcPr>
          <w:p w14:paraId="35457A49"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VIC</w:t>
            </w:r>
          </w:p>
        </w:tc>
        <w:tc>
          <w:tcPr>
            <w:tcW w:w="0" w:type="auto"/>
            <w:shd w:val="clear" w:color="auto" w:fill="auto"/>
          </w:tcPr>
          <w:p w14:paraId="1A5865E8"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Act 1986</w:t>
            </w:r>
          </w:p>
          <w:p w14:paraId="1946E534"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Board (Application) Regulations 1994</w:t>
            </w:r>
          </w:p>
          <w:p w14:paraId="2781D3B0"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Board (Fees) Regulations 1996</w:t>
            </w:r>
          </w:p>
          <w:p w14:paraId="09D3702C"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(Fees) Regulations 2008</w:t>
            </w:r>
          </w:p>
          <w:p w14:paraId="595DD45D"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(Fees) Regulations 2019</w:t>
            </w:r>
          </w:p>
          <w:p w14:paraId="45712247" w14:textId="12892A94"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(Fees) (Interim) Regulations 2007</w:t>
            </w:r>
          </w:p>
        </w:tc>
        <w:tc>
          <w:tcPr>
            <w:tcW w:w="0" w:type="auto"/>
          </w:tcPr>
          <w:p w14:paraId="60FDA743" w14:textId="77777777" w:rsidR="00EF48F4"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Office of the Public Advocate (VIC)</w:t>
            </w:r>
          </w:p>
          <w:p w14:paraId="1F931A4A" w14:textId="704D1AA8" w:rsidR="00EF48F4"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VIC Civil and Administrative Tribunal</w:t>
            </w:r>
          </w:p>
          <w:p w14:paraId="3673AE15" w14:textId="661DC81E" w:rsidR="00EF48F4" w:rsidRPr="00024A6B" w:rsidRDefault="00EF48F4" w:rsidP="00827516">
            <w:pPr>
              <w:rPr>
                <w:rFonts w:asciiTheme="minorHAnsi" w:hAnsiTheme="minorHAnsi" w:cstheme="minorHAnsi"/>
                <w:sz w:val="22"/>
                <w:szCs w:val="22"/>
              </w:rPr>
            </w:pPr>
          </w:p>
        </w:tc>
      </w:tr>
      <w:tr w:rsidR="005C3CE7" w:rsidRPr="00024A6B" w14:paraId="3E069FF9" w14:textId="0EEA346C" w:rsidTr="00CA3B74">
        <w:tc>
          <w:tcPr>
            <w:tcW w:w="0" w:type="auto"/>
            <w:shd w:val="clear" w:color="auto" w:fill="auto"/>
          </w:tcPr>
          <w:p w14:paraId="621CD96E" w14:textId="77777777" w:rsidR="005C3CE7" w:rsidRPr="00024A6B" w:rsidRDefault="005C3CE7" w:rsidP="00827516">
            <w:pPr>
              <w:rPr>
                <w:rFonts w:asciiTheme="minorHAnsi" w:hAnsiTheme="minorHAnsi" w:cstheme="minorHAnsi"/>
                <w:sz w:val="22"/>
                <w:szCs w:val="22"/>
              </w:rPr>
            </w:pPr>
            <w:r w:rsidRPr="00024A6B">
              <w:rPr>
                <w:rFonts w:asciiTheme="minorHAnsi" w:hAnsiTheme="minorHAnsi" w:cstheme="minorHAnsi"/>
                <w:sz w:val="22"/>
                <w:szCs w:val="22"/>
              </w:rPr>
              <w:t>WA</w:t>
            </w:r>
          </w:p>
        </w:tc>
        <w:tc>
          <w:tcPr>
            <w:tcW w:w="0" w:type="auto"/>
            <w:shd w:val="clear" w:color="auto" w:fill="auto"/>
          </w:tcPr>
          <w:p w14:paraId="3B76A38E" w14:textId="77777777"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Act 1990</w:t>
            </w:r>
          </w:p>
          <w:p w14:paraId="07CE41E2" w14:textId="1FF14B5D" w:rsidR="005C3CE7" w:rsidRPr="00024A6B" w:rsidRDefault="005C3CE7" w:rsidP="00827516">
            <w:pPr>
              <w:rPr>
                <w:rFonts w:asciiTheme="minorHAnsi" w:hAnsiTheme="minorHAnsi" w:cstheme="minorHAnsi"/>
                <w:i/>
                <w:sz w:val="22"/>
                <w:szCs w:val="22"/>
              </w:rPr>
            </w:pPr>
            <w:r w:rsidRPr="00024A6B">
              <w:rPr>
                <w:rFonts w:asciiTheme="minorHAnsi" w:hAnsiTheme="minorHAnsi" w:cstheme="minorHAnsi"/>
                <w:i/>
                <w:sz w:val="22"/>
                <w:szCs w:val="22"/>
              </w:rPr>
              <w:t>Guardianship and Administration Regulations 2005</w:t>
            </w:r>
          </w:p>
        </w:tc>
        <w:tc>
          <w:tcPr>
            <w:tcW w:w="0" w:type="auto"/>
          </w:tcPr>
          <w:p w14:paraId="0A049193" w14:textId="77777777" w:rsidR="005C3CE7"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State Administrative Tribunal</w:t>
            </w:r>
          </w:p>
          <w:p w14:paraId="49E9D013" w14:textId="1731421D" w:rsidR="00EF48F4" w:rsidRPr="00024A6B" w:rsidRDefault="00EF48F4" w:rsidP="00827516">
            <w:pPr>
              <w:rPr>
                <w:rFonts w:asciiTheme="minorHAnsi" w:hAnsiTheme="minorHAnsi" w:cstheme="minorHAnsi"/>
                <w:sz w:val="22"/>
                <w:szCs w:val="22"/>
              </w:rPr>
            </w:pPr>
            <w:r w:rsidRPr="00024A6B">
              <w:rPr>
                <w:rFonts w:asciiTheme="minorHAnsi" w:hAnsiTheme="minorHAnsi" w:cstheme="minorHAnsi"/>
                <w:sz w:val="22"/>
                <w:szCs w:val="22"/>
              </w:rPr>
              <w:t>Office of the Public Advocate (WA)</w:t>
            </w:r>
          </w:p>
        </w:tc>
      </w:tr>
    </w:tbl>
    <w:p w14:paraId="706A4F53" w14:textId="77777777" w:rsidR="00180BC2" w:rsidRPr="00024A6B" w:rsidRDefault="00180BC2" w:rsidP="000B09A9">
      <w:pPr>
        <w:keepLines/>
        <w:widowControl w:val="0"/>
        <w:rPr>
          <w:rFonts w:asciiTheme="minorHAnsi" w:hAnsiTheme="minorHAnsi" w:cstheme="minorHAnsi"/>
        </w:rPr>
      </w:pPr>
    </w:p>
    <w:p w14:paraId="0F77EEB6" w14:textId="6CC435B2" w:rsidR="000B09A9" w:rsidRPr="00024A6B" w:rsidRDefault="005C3CE7" w:rsidP="00115074">
      <w:pPr>
        <w:keepLines/>
        <w:widowControl w:val="0"/>
        <w:rPr>
          <w:rFonts w:asciiTheme="minorHAnsi" w:hAnsiTheme="minorHAnsi" w:cstheme="minorHAnsi"/>
        </w:rPr>
      </w:pPr>
      <w:r w:rsidRPr="00024A6B">
        <w:rPr>
          <w:rFonts w:asciiTheme="minorHAnsi" w:hAnsiTheme="minorHAnsi" w:cstheme="minorHAnsi"/>
        </w:rPr>
        <w:lastRenderedPageBreak/>
        <w:t>While every effort has been made to verify the accuracy of this information,</w:t>
      </w:r>
      <w:r w:rsidR="00344B9A" w:rsidRPr="00024A6B">
        <w:rPr>
          <w:rFonts w:asciiTheme="minorHAnsi" w:hAnsiTheme="minorHAnsi" w:cstheme="minorHAnsi"/>
        </w:rPr>
        <w:t xml:space="preserve"> l</w:t>
      </w:r>
      <w:r w:rsidRPr="00024A6B">
        <w:rPr>
          <w:rFonts w:asciiTheme="minorHAnsi" w:hAnsiTheme="minorHAnsi" w:cstheme="minorHAnsi"/>
        </w:rPr>
        <w:t>egislation may change from time to time</w:t>
      </w:r>
      <w:r w:rsidR="00344B9A" w:rsidRPr="00024A6B">
        <w:rPr>
          <w:rFonts w:asciiTheme="minorHAnsi" w:hAnsiTheme="minorHAnsi" w:cstheme="minorHAnsi"/>
        </w:rPr>
        <w:t>. T</w:t>
      </w:r>
      <w:r w:rsidRPr="00024A6B">
        <w:rPr>
          <w:rFonts w:asciiTheme="minorHAnsi" w:hAnsiTheme="minorHAnsi" w:cstheme="minorHAnsi"/>
        </w:rPr>
        <w:t xml:space="preserve">he table does not capture relevant policy directives or other guidance information. The table is an overview only, and further information </w:t>
      </w:r>
      <w:r w:rsidR="00344B9A" w:rsidRPr="00024A6B">
        <w:rPr>
          <w:rFonts w:asciiTheme="minorHAnsi" w:hAnsiTheme="minorHAnsi" w:cstheme="minorHAnsi"/>
        </w:rPr>
        <w:t xml:space="preserve">can </w:t>
      </w:r>
      <w:r w:rsidRPr="00024A6B">
        <w:rPr>
          <w:rFonts w:asciiTheme="minorHAnsi" w:hAnsiTheme="minorHAnsi" w:cstheme="minorHAnsi"/>
        </w:rPr>
        <w:t xml:space="preserve">be sought from the relevant state or territory jurisdiction. </w:t>
      </w:r>
    </w:p>
    <w:p w14:paraId="75ECD26B" w14:textId="3FC44234" w:rsidR="00CA3B74" w:rsidRPr="00024A6B" w:rsidRDefault="00CA3B74" w:rsidP="00115074">
      <w:pPr>
        <w:keepLines/>
        <w:widowControl w:val="0"/>
        <w:rPr>
          <w:rFonts w:asciiTheme="minorHAnsi" w:hAnsiTheme="minorHAnsi" w:cstheme="minorHAnsi"/>
        </w:rPr>
      </w:pPr>
    </w:p>
    <w:p w14:paraId="326A2C08" w14:textId="0061454E" w:rsidR="005F53CE" w:rsidRPr="00024A6B" w:rsidRDefault="00CA3B74" w:rsidP="00115074">
      <w:pPr>
        <w:keepLines/>
        <w:widowControl w:val="0"/>
        <w:rPr>
          <w:rFonts w:asciiTheme="minorHAnsi" w:hAnsiTheme="minorHAnsi" w:cstheme="minorHAnsi"/>
          <w:b/>
        </w:rPr>
      </w:pPr>
      <w:r w:rsidRPr="00024A6B">
        <w:rPr>
          <w:rFonts w:asciiTheme="minorHAnsi" w:hAnsiTheme="minorHAnsi" w:cstheme="minorHAnsi"/>
          <w:b/>
        </w:rPr>
        <w:t xml:space="preserve">Item </w:t>
      </w:r>
      <w:r w:rsidR="00980054" w:rsidRPr="00024A6B">
        <w:rPr>
          <w:rFonts w:asciiTheme="minorHAnsi" w:hAnsiTheme="minorHAnsi" w:cstheme="minorHAnsi"/>
          <w:b/>
        </w:rPr>
        <w:t>5</w:t>
      </w:r>
      <w:r w:rsidRPr="00024A6B">
        <w:rPr>
          <w:rFonts w:asciiTheme="minorHAnsi" w:hAnsiTheme="minorHAnsi" w:cstheme="minorHAnsi"/>
          <w:b/>
        </w:rPr>
        <w:t xml:space="preserve">. </w:t>
      </w:r>
      <w:r w:rsidR="00805A74" w:rsidRPr="00024A6B">
        <w:rPr>
          <w:rFonts w:asciiTheme="minorHAnsi" w:hAnsiTheme="minorHAnsi" w:cstheme="minorHAnsi"/>
          <w:b/>
        </w:rPr>
        <w:t>At the end of Part 4A</w:t>
      </w:r>
    </w:p>
    <w:p w14:paraId="0B4AF63E" w14:textId="68507947" w:rsidR="00787A63" w:rsidRPr="00024A6B" w:rsidRDefault="00787A63" w:rsidP="00115074">
      <w:pPr>
        <w:keepLines/>
        <w:widowControl w:val="0"/>
        <w:rPr>
          <w:rFonts w:asciiTheme="minorHAnsi" w:hAnsiTheme="minorHAnsi" w:cstheme="minorHAnsi"/>
        </w:rPr>
      </w:pPr>
      <w:r w:rsidRPr="00024A6B">
        <w:rPr>
          <w:rFonts w:asciiTheme="minorHAnsi" w:hAnsiTheme="minorHAnsi" w:cstheme="minorHAnsi"/>
        </w:rPr>
        <w:t xml:space="preserve">Item </w:t>
      </w:r>
      <w:r w:rsidR="00914608" w:rsidRPr="00024A6B">
        <w:rPr>
          <w:rFonts w:asciiTheme="minorHAnsi" w:hAnsiTheme="minorHAnsi" w:cstheme="minorHAnsi"/>
        </w:rPr>
        <w:t>5</w:t>
      </w:r>
      <w:r w:rsidRPr="00024A6B">
        <w:rPr>
          <w:rFonts w:asciiTheme="minorHAnsi" w:hAnsiTheme="minorHAnsi" w:cstheme="minorHAnsi"/>
        </w:rPr>
        <w:t xml:space="preserve"> </w:t>
      </w:r>
      <w:r w:rsidR="00805A74" w:rsidRPr="00024A6B">
        <w:rPr>
          <w:rFonts w:asciiTheme="minorHAnsi" w:hAnsiTheme="minorHAnsi" w:cstheme="minorHAnsi"/>
        </w:rPr>
        <w:t>adds</w:t>
      </w:r>
      <w:r w:rsidR="00211A24" w:rsidRPr="00024A6B">
        <w:rPr>
          <w:rFonts w:asciiTheme="minorHAnsi" w:hAnsiTheme="minorHAnsi" w:cstheme="minorHAnsi"/>
        </w:rPr>
        <w:t xml:space="preserve"> </w:t>
      </w:r>
      <w:r w:rsidR="00BC5474" w:rsidRPr="00024A6B">
        <w:rPr>
          <w:rFonts w:asciiTheme="minorHAnsi" w:hAnsiTheme="minorHAnsi" w:cstheme="minorHAnsi"/>
        </w:rPr>
        <w:t xml:space="preserve">two sections at the end of Part 4A of the </w:t>
      </w:r>
      <w:r w:rsidR="00BC5474" w:rsidRPr="00024A6B">
        <w:rPr>
          <w:rFonts w:asciiTheme="minorHAnsi" w:hAnsiTheme="minorHAnsi" w:cstheme="minorHAnsi"/>
          <w:i/>
        </w:rPr>
        <w:t>Quality of Care Principles 2014</w:t>
      </w:r>
      <w:r w:rsidR="00BC5474" w:rsidRPr="00024A6B">
        <w:rPr>
          <w:rFonts w:asciiTheme="minorHAnsi" w:hAnsiTheme="minorHAnsi" w:cstheme="minorHAnsi"/>
        </w:rPr>
        <w:t xml:space="preserve"> (</w:t>
      </w:r>
      <w:r w:rsidR="00BC5474" w:rsidRPr="00024A6B">
        <w:rPr>
          <w:rFonts w:asciiTheme="minorHAnsi" w:hAnsiTheme="minorHAnsi" w:cstheme="minorHAnsi"/>
          <w:b/>
        </w:rPr>
        <w:t>Quality of Care Principles</w:t>
      </w:r>
      <w:r w:rsidR="00595D67" w:rsidRPr="00024A6B">
        <w:rPr>
          <w:rFonts w:asciiTheme="minorHAnsi" w:hAnsiTheme="minorHAnsi" w:cstheme="minorHAnsi"/>
        </w:rPr>
        <w:t>);</w:t>
      </w:r>
      <w:r w:rsidR="00BC5474" w:rsidRPr="00024A6B">
        <w:rPr>
          <w:rFonts w:asciiTheme="minorHAnsi" w:hAnsiTheme="minorHAnsi" w:cstheme="minorHAnsi"/>
        </w:rPr>
        <w:t xml:space="preserve"> section </w:t>
      </w:r>
      <w:r w:rsidR="00B82BD2" w:rsidRPr="00024A6B">
        <w:rPr>
          <w:rFonts w:asciiTheme="minorHAnsi" w:hAnsiTheme="minorHAnsi" w:cstheme="minorHAnsi"/>
        </w:rPr>
        <w:t>15H</w:t>
      </w:r>
      <w:r w:rsidR="00805A74" w:rsidRPr="00024A6B">
        <w:rPr>
          <w:rFonts w:asciiTheme="minorHAnsi" w:hAnsiTheme="minorHAnsi" w:cstheme="minorHAnsi"/>
        </w:rPr>
        <w:t xml:space="preserve"> </w:t>
      </w:r>
      <w:r w:rsidR="00BC5474" w:rsidRPr="00024A6B">
        <w:rPr>
          <w:rFonts w:asciiTheme="minorHAnsi" w:hAnsiTheme="minorHAnsi" w:cstheme="minorHAnsi"/>
        </w:rPr>
        <w:t>‘</w:t>
      </w:r>
      <w:r w:rsidR="00B82BD2" w:rsidRPr="00024A6B">
        <w:rPr>
          <w:rFonts w:asciiTheme="minorHAnsi" w:hAnsiTheme="minorHAnsi" w:cstheme="minorHAnsi"/>
        </w:rPr>
        <w:t>R</w:t>
      </w:r>
      <w:r w:rsidR="00805A74" w:rsidRPr="00024A6B">
        <w:rPr>
          <w:rFonts w:asciiTheme="minorHAnsi" w:hAnsiTheme="minorHAnsi" w:cstheme="minorHAnsi"/>
        </w:rPr>
        <w:t xml:space="preserve">eview of </w:t>
      </w:r>
      <w:r w:rsidR="00B82BD2" w:rsidRPr="00024A6B">
        <w:rPr>
          <w:rFonts w:asciiTheme="minorHAnsi" w:hAnsiTheme="minorHAnsi" w:cstheme="minorHAnsi"/>
        </w:rPr>
        <w:t>this Part</w:t>
      </w:r>
      <w:r w:rsidR="00BC5474" w:rsidRPr="00024A6B">
        <w:rPr>
          <w:rFonts w:asciiTheme="minorHAnsi" w:hAnsiTheme="minorHAnsi" w:cstheme="minorHAnsi"/>
        </w:rPr>
        <w:t>’</w:t>
      </w:r>
      <w:r w:rsidR="00B82BD2" w:rsidRPr="00024A6B">
        <w:rPr>
          <w:rFonts w:asciiTheme="minorHAnsi" w:hAnsiTheme="minorHAnsi" w:cstheme="minorHAnsi"/>
        </w:rPr>
        <w:t xml:space="preserve"> </w:t>
      </w:r>
      <w:r w:rsidR="00805A74" w:rsidRPr="00024A6B">
        <w:rPr>
          <w:rFonts w:asciiTheme="minorHAnsi" w:hAnsiTheme="minorHAnsi" w:cstheme="minorHAnsi"/>
        </w:rPr>
        <w:t xml:space="preserve">and </w:t>
      </w:r>
      <w:r w:rsidR="00BC5474" w:rsidRPr="00024A6B">
        <w:rPr>
          <w:rFonts w:asciiTheme="minorHAnsi" w:hAnsiTheme="minorHAnsi" w:cstheme="minorHAnsi"/>
        </w:rPr>
        <w:t xml:space="preserve">section </w:t>
      </w:r>
      <w:r w:rsidR="00B82BD2" w:rsidRPr="00024A6B">
        <w:rPr>
          <w:rFonts w:asciiTheme="minorHAnsi" w:hAnsiTheme="minorHAnsi" w:cstheme="minorHAnsi"/>
        </w:rPr>
        <w:t xml:space="preserve">15J </w:t>
      </w:r>
      <w:r w:rsidR="00BC5474" w:rsidRPr="00024A6B">
        <w:rPr>
          <w:rFonts w:asciiTheme="minorHAnsi" w:hAnsiTheme="minorHAnsi" w:cstheme="minorHAnsi"/>
        </w:rPr>
        <w:t>‘</w:t>
      </w:r>
      <w:r w:rsidR="00B82BD2" w:rsidRPr="00024A6B">
        <w:rPr>
          <w:rFonts w:asciiTheme="minorHAnsi" w:hAnsiTheme="minorHAnsi" w:cstheme="minorHAnsi"/>
        </w:rPr>
        <w:t>R</w:t>
      </w:r>
      <w:r w:rsidR="00805A74" w:rsidRPr="00024A6B">
        <w:rPr>
          <w:rFonts w:asciiTheme="minorHAnsi" w:hAnsiTheme="minorHAnsi" w:cstheme="minorHAnsi"/>
        </w:rPr>
        <w:t xml:space="preserve">epeal </w:t>
      </w:r>
      <w:r w:rsidR="00B82BD2" w:rsidRPr="00024A6B">
        <w:rPr>
          <w:rFonts w:asciiTheme="minorHAnsi" w:hAnsiTheme="minorHAnsi" w:cstheme="minorHAnsi"/>
        </w:rPr>
        <w:t>of this Part and associated definitions on 1 July 2021</w:t>
      </w:r>
      <w:r w:rsidR="00BC5474" w:rsidRPr="00024A6B">
        <w:rPr>
          <w:rFonts w:asciiTheme="minorHAnsi" w:hAnsiTheme="minorHAnsi" w:cstheme="minorHAnsi"/>
        </w:rPr>
        <w:t>’</w:t>
      </w:r>
      <w:r w:rsidR="00B82BD2" w:rsidRPr="00024A6B">
        <w:rPr>
          <w:rFonts w:asciiTheme="minorHAnsi" w:hAnsiTheme="minorHAnsi" w:cstheme="minorHAnsi"/>
        </w:rPr>
        <w:t>.</w:t>
      </w:r>
    </w:p>
    <w:p w14:paraId="2DEFDBAA" w14:textId="047D794F" w:rsidR="00B82BD2" w:rsidRPr="00024A6B" w:rsidRDefault="00B82BD2" w:rsidP="00115074">
      <w:pPr>
        <w:keepLines/>
        <w:widowControl w:val="0"/>
        <w:rPr>
          <w:rFonts w:asciiTheme="minorHAnsi" w:hAnsiTheme="minorHAnsi" w:cstheme="minorHAnsi"/>
        </w:rPr>
      </w:pPr>
    </w:p>
    <w:p w14:paraId="5CA37DAD" w14:textId="3B06229F" w:rsidR="00BC5474" w:rsidRPr="00024A6B" w:rsidRDefault="00BC5474" w:rsidP="00115074">
      <w:pPr>
        <w:keepLines/>
        <w:widowControl w:val="0"/>
        <w:rPr>
          <w:rFonts w:asciiTheme="minorHAnsi" w:hAnsiTheme="minorHAnsi" w:cstheme="minorHAnsi"/>
          <w:u w:val="single"/>
        </w:rPr>
      </w:pPr>
      <w:r w:rsidRPr="00024A6B">
        <w:rPr>
          <w:rFonts w:asciiTheme="minorHAnsi" w:hAnsiTheme="minorHAnsi" w:cstheme="minorHAnsi"/>
          <w:u w:val="single"/>
        </w:rPr>
        <w:t>15H Review of this Part</w:t>
      </w:r>
    </w:p>
    <w:p w14:paraId="3E3A92FC" w14:textId="77777777" w:rsidR="00834319" w:rsidRPr="00024A6B" w:rsidRDefault="00834319" w:rsidP="00115074">
      <w:pPr>
        <w:keepLines/>
        <w:widowControl w:val="0"/>
        <w:rPr>
          <w:rFonts w:asciiTheme="minorHAnsi" w:hAnsiTheme="minorHAnsi" w:cstheme="minorHAnsi"/>
        </w:rPr>
      </w:pPr>
    </w:p>
    <w:p w14:paraId="09EFB69F" w14:textId="50CF5D49" w:rsidR="00BC5474" w:rsidRPr="00024A6B" w:rsidRDefault="00B82BD2" w:rsidP="00115074">
      <w:pPr>
        <w:keepLines/>
        <w:widowControl w:val="0"/>
        <w:rPr>
          <w:rFonts w:asciiTheme="minorHAnsi" w:hAnsiTheme="minorHAnsi" w:cstheme="minorHAnsi"/>
        </w:rPr>
      </w:pPr>
      <w:r w:rsidRPr="00024A6B">
        <w:rPr>
          <w:rFonts w:asciiTheme="minorHAnsi" w:hAnsiTheme="minorHAnsi" w:cstheme="minorHAnsi"/>
        </w:rPr>
        <w:t xml:space="preserve">Section 15H </w:t>
      </w:r>
      <w:r w:rsidR="00BC5474" w:rsidRPr="00024A6B">
        <w:rPr>
          <w:rFonts w:asciiTheme="minorHAnsi" w:hAnsiTheme="minorHAnsi" w:cstheme="minorHAnsi"/>
        </w:rPr>
        <w:t xml:space="preserve">provides </w:t>
      </w:r>
      <w:r w:rsidR="002C47E7" w:rsidRPr="00024A6B">
        <w:rPr>
          <w:rFonts w:asciiTheme="minorHAnsi" w:hAnsiTheme="minorHAnsi" w:cstheme="minorHAnsi"/>
        </w:rPr>
        <w:t xml:space="preserve">that </w:t>
      </w:r>
      <w:r w:rsidRPr="00024A6B">
        <w:rPr>
          <w:rFonts w:asciiTheme="minorHAnsi" w:hAnsiTheme="minorHAnsi" w:cstheme="minorHAnsi"/>
        </w:rPr>
        <w:t xml:space="preserve">the Minister must ensure </w:t>
      </w:r>
      <w:r w:rsidR="00F80390" w:rsidRPr="00024A6B">
        <w:rPr>
          <w:rFonts w:asciiTheme="minorHAnsi" w:hAnsiTheme="minorHAnsi" w:cstheme="minorHAnsi"/>
        </w:rPr>
        <w:t xml:space="preserve">that </w:t>
      </w:r>
      <w:r w:rsidRPr="00024A6B">
        <w:rPr>
          <w:rFonts w:asciiTheme="minorHAnsi" w:hAnsiTheme="minorHAnsi" w:cstheme="minorHAnsi"/>
        </w:rPr>
        <w:t>there is a review of the operation of Part 4A</w:t>
      </w:r>
      <w:r w:rsidR="00914608" w:rsidRPr="00024A6B">
        <w:rPr>
          <w:rFonts w:asciiTheme="minorHAnsi" w:hAnsiTheme="minorHAnsi" w:cstheme="minorHAnsi"/>
        </w:rPr>
        <w:t xml:space="preserve"> Quality of Care Principles</w:t>
      </w:r>
      <w:r w:rsidR="00BC5474" w:rsidRPr="00024A6B">
        <w:rPr>
          <w:rFonts w:asciiTheme="minorHAnsi" w:hAnsiTheme="minorHAnsi" w:cstheme="minorHAnsi"/>
        </w:rPr>
        <w:t xml:space="preserve">. The review must </w:t>
      </w:r>
      <w:r w:rsidRPr="00024A6B">
        <w:rPr>
          <w:rFonts w:asciiTheme="minorHAnsi" w:hAnsiTheme="minorHAnsi" w:cstheme="minorHAnsi"/>
        </w:rPr>
        <w:t>consider</w:t>
      </w:r>
      <w:r w:rsidR="00BC5474" w:rsidRPr="00024A6B">
        <w:rPr>
          <w:rFonts w:asciiTheme="minorHAnsi" w:hAnsiTheme="minorHAnsi" w:cstheme="minorHAnsi"/>
        </w:rPr>
        <w:t xml:space="preserve"> the effectiveness of Part 4A </w:t>
      </w:r>
      <w:r w:rsidRPr="00024A6B">
        <w:rPr>
          <w:rFonts w:asciiTheme="minorHAnsi" w:hAnsiTheme="minorHAnsi" w:cstheme="minorHAnsi"/>
        </w:rPr>
        <w:t xml:space="preserve">in minimising the use of physical restraints and chemical restraints by </w:t>
      </w:r>
      <w:r w:rsidR="00F80390" w:rsidRPr="00024A6B">
        <w:rPr>
          <w:rFonts w:asciiTheme="minorHAnsi" w:hAnsiTheme="minorHAnsi" w:cstheme="minorHAnsi"/>
        </w:rPr>
        <w:t xml:space="preserve">approved </w:t>
      </w:r>
      <w:r w:rsidRPr="00024A6B">
        <w:rPr>
          <w:rFonts w:asciiTheme="minorHAnsi" w:hAnsiTheme="minorHAnsi" w:cstheme="minorHAnsi"/>
        </w:rPr>
        <w:t>providers of residential aged care in relation to consumers in th</w:t>
      </w:r>
      <w:r w:rsidR="00595D67" w:rsidRPr="00024A6B">
        <w:rPr>
          <w:rFonts w:asciiTheme="minorHAnsi" w:hAnsiTheme="minorHAnsi" w:cstheme="minorHAnsi"/>
        </w:rPr>
        <w:t>e period 1 July 2019 to 30 June </w:t>
      </w:r>
      <w:r w:rsidRPr="00024A6B">
        <w:rPr>
          <w:rFonts w:asciiTheme="minorHAnsi" w:hAnsiTheme="minorHAnsi" w:cstheme="minorHAnsi"/>
        </w:rPr>
        <w:t>2020.</w:t>
      </w:r>
      <w:r w:rsidR="002C47E7" w:rsidRPr="00024A6B">
        <w:rPr>
          <w:rFonts w:asciiTheme="minorHAnsi" w:hAnsiTheme="minorHAnsi" w:cstheme="minorHAnsi"/>
        </w:rPr>
        <w:t xml:space="preserve"> </w:t>
      </w:r>
    </w:p>
    <w:p w14:paraId="756E607E" w14:textId="5C790514" w:rsidR="00B82BD2" w:rsidRPr="00024A6B" w:rsidRDefault="00B82BD2" w:rsidP="00115074">
      <w:pPr>
        <w:keepLines/>
        <w:widowControl w:val="0"/>
        <w:rPr>
          <w:rFonts w:asciiTheme="minorHAnsi" w:hAnsiTheme="minorHAnsi" w:cstheme="minorHAnsi"/>
        </w:rPr>
      </w:pPr>
    </w:p>
    <w:p w14:paraId="234AB1EF" w14:textId="77777777" w:rsidR="00CA3B74" w:rsidRPr="00024A6B" w:rsidRDefault="00B82BD2" w:rsidP="00115074">
      <w:pPr>
        <w:keepLines/>
        <w:widowControl w:val="0"/>
        <w:rPr>
          <w:rFonts w:asciiTheme="minorHAnsi" w:hAnsiTheme="minorHAnsi" w:cstheme="minorHAnsi"/>
        </w:rPr>
      </w:pPr>
      <w:r w:rsidRPr="00024A6B">
        <w:rPr>
          <w:rFonts w:asciiTheme="minorHAnsi" w:hAnsiTheme="minorHAnsi" w:cstheme="minorHAnsi"/>
        </w:rPr>
        <w:t xml:space="preserve">The review must </w:t>
      </w:r>
      <w:r w:rsidR="00BC5474" w:rsidRPr="00024A6B">
        <w:rPr>
          <w:rFonts w:asciiTheme="minorHAnsi" w:hAnsiTheme="minorHAnsi" w:cstheme="minorHAnsi"/>
        </w:rPr>
        <w:t xml:space="preserve">make provision for </w:t>
      </w:r>
      <w:r w:rsidRPr="00024A6B">
        <w:rPr>
          <w:rFonts w:asciiTheme="minorHAnsi" w:hAnsiTheme="minorHAnsi" w:cstheme="minorHAnsi"/>
        </w:rPr>
        <w:t xml:space="preserve">consultation, </w:t>
      </w:r>
      <w:r w:rsidR="006B3C1B" w:rsidRPr="00024A6B">
        <w:rPr>
          <w:rFonts w:asciiTheme="minorHAnsi" w:hAnsiTheme="minorHAnsi" w:cstheme="minorHAnsi"/>
        </w:rPr>
        <w:t xml:space="preserve">and </w:t>
      </w:r>
      <w:r w:rsidR="00BC5474" w:rsidRPr="00024A6B">
        <w:rPr>
          <w:rFonts w:asciiTheme="minorHAnsi" w:hAnsiTheme="minorHAnsi" w:cstheme="minorHAnsi"/>
        </w:rPr>
        <w:t>be completed by 31 </w:t>
      </w:r>
      <w:r w:rsidR="00595D67" w:rsidRPr="00024A6B">
        <w:rPr>
          <w:rFonts w:asciiTheme="minorHAnsi" w:hAnsiTheme="minorHAnsi" w:cstheme="minorHAnsi"/>
        </w:rPr>
        <w:t>December </w:t>
      </w:r>
      <w:r w:rsidRPr="00024A6B">
        <w:rPr>
          <w:rFonts w:asciiTheme="minorHAnsi" w:hAnsiTheme="minorHAnsi" w:cstheme="minorHAnsi"/>
        </w:rPr>
        <w:t>2020</w:t>
      </w:r>
      <w:r w:rsidR="006B3C1B" w:rsidRPr="00024A6B">
        <w:rPr>
          <w:rFonts w:asciiTheme="minorHAnsi" w:hAnsiTheme="minorHAnsi" w:cstheme="minorHAnsi"/>
        </w:rPr>
        <w:t>.</w:t>
      </w:r>
      <w:r w:rsidRPr="00024A6B">
        <w:rPr>
          <w:rFonts w:asciiTheme="minorHAnsi" w:hAnsiTheme="minorHAnsi" w:cstheme="minorHAnsi"/>
        </w:rPr>
        <w:t xml:space="preserve"> </w:t>
      </w:r>
    </w:p>
    <w:p w14:paraId="38E6DD8B" w14:textId="77777777" w:rsidR="00CA3B74" w:rsidRPr="00024A6B" w:rsidRDefault="00CA3B74" w:rsidP="00115074">
      <w:pPr>
        <w:keepLines/>
        <w:widowControl w:val="0"/>
        <w:rPr>
          <w:rFonts w:asciiTheme="minorHAnsi" w:hAnsiTheme="minorHAnsi" w:cstheme="minorHAnsi"/>
        </w:rPr>
      </w:pPr>
    </w:p>
    <w:p w14:paraId="5566D8F1" w14:textId="01F7D7E0" w:rsidR="00B82BD2" w:rsidRPr="00024A6B" w:rsidRDefault="006B3C1B" w:rsidP="00115074">
      <w:pPr>
        <w:keepLines/>
        <w:widowControl w:val="0"/>
        <w:rPr>
          <w:rFonts w:asciiTheme="minorHAnsi" w:hAnsiTheme="minorHAnsi" w:cstheme="minorHAnsi"/>
        </w:rPr>
      </w:pPr>
      <w:r w:rsidRPr="00024A6B">
        <w:rPr>
          <w:rFonts w:asciiTheme="minorHAnsi" w:hAnsiTheme="minorHAnsi" w:cstheme="minorHAnsi"/>
        </w:rPr>
        <w:t>A</w:t>
      </w:r>
      <w:r w:rsidR="00B82BD2" w:rsidRPr="00024A6B">
        <w:rPr>
          <w:rFonts w:asciiTheme="minorHAnsi" w:hAnsiTheme="minorHAnsi" w:cstheme="minorHAnsi"/>
        </w:rPr>
        <w:t xml:space="preserve"> written report</w:t>
      </w:r>
      <w:r w:rsidR="00BC5474" w:rsidRPr="00024A6B">
        <w:rPr>
          <w:rFonts w:asciiTheme="minorHAnsi" w:hAnsiTheme="minorHAnsi" w:cstheme="minorHAnsi"/>
        </w:rPr>
        <w:t xml:space="preserve"> of the review must be prepared and a copy of the report published on the internet</w:t>
      </w:r>
      <w:r w:rsidR="00264DAC" w:rsidRPr="00024A6B">
        <w:rPr>
          <w:rFonts w:asciiTheme="minorHAnsi" w:hAnsiTheme="minorHAnsi" w:cstheme="minorHAnsi"/>
        </w:rPr>
        <w:t xml:space="preserve">. The report must also be </w:t>
      </w:r>
      <w:r w:rsidR="00B82BD2" w:rsidRPr="00024A6B">
        <w:rPr>
          <w:rFonts w:asciiTheme="minorHAnsi" w:hAnsiTheme="minorHAnsi" w:cstheme="minorHAnsi"/>
        </w:rPr>
        <w:t>tabled in each House of Parliament within 15 sitting days of that House after the report is given to the Minister.</w:t>
      </w:r>
    </w:p>
    <w:p w14:paraId="1756FAC7" w14:textId="2594E85D" w:rsidR="00BC5474" w:rsidRPr="00024A6B" w:rsidRDefault="00BC5474" w:rsidP="00115074">
      <w:pPr>
        <w:keepLines/>
        <w:widowControl w:val="0"/>
        <w:rPr>
          <w:rFonts w:asciiTheme="minorHAnsi" w:hAnsiTheme="minorHAnsi" w:cstheme="minorHAnsi"/>
        </w:rPr>
      </w:pPr>
    </w:p>
    <w:p w14:paraId="5FE43442" w14:textId="0207503F" w:rsidR="00BC5474" w:rsidRPr="00024A6B" w:rsidRDefault="00BC5474" w:rsidP="00115074">
      <w:pPr>
        <w:keepLines/>
        <w:widowControl w:val="0"/>
        <w:rPr>
          <w:rFonts w:asciiTheme="minorHAnsi" w:hAnsiTheme="minorHAnsi" w:cstheme="minorHAnsi"/>
          <w:u w:val="single"/>
        </w:rPr>
      </w:pPr>
      <w:r w:rsidRPr="00024A6B">
        <w:rPr>
          <w:rFonts w:asciiTheme="minorHAnsi" w:hAnsiTheme="minorHAnsi" w:cstheme="minorHAnsi"/>
          <w:u w:val="single"/>
        </w:rPr>
        <w:t>15J Repeal of this Part and associated definitions on 1 July 2021</w:t>
      </w:r>
    </w:p>
    <w:p w14:paraId="26AF1FB6" w14:textId="77777777" w:rsidR="00834319" w:rsidRPr="00024A6B" w:rsidRDefault="00834319" w:rsidP="00115074">
      <w:pPr>
        <w:keepLines/>
        <w:widowControl w:val="0"/>
        <w:rPr>
          <w:rFonts w:asciiTheme="minorHAnsi" w:hAnsiTheme="minorHAnsi" w:cstheme="minorHAnsi"/>
        </w:rPr>
      </w:pPr>
    </w:p>
    <w:p w14:paraId="5E272556" w14:textId="37BE9D8E" w:rsidR="00B82BD2" w:rsidRPr="00024A6B" w:rsidRDefault="00B82BD2" w:rsidP="00115074">
      <w:pPr>
        <w:keepLines/>
        <w:widowControl w:val="0"/>
        <w:rPr>
          <w:rFonts w:asciiTheme="minorHAnsi" w:hAnsiTheme="minorHAnsi" w:cstheme="minorHAnsi"/>
        </w:rPr>
      </w:pPr>
      <w:r w:rsidRPr="00024A6B">
        <w:rPr>
          <w:rFonts w:asciiTheme="minorHAnsi" w:hAnsiTheme="minorHAnsi" w:cstheme="minorHAnsi"/>
        </w:rPr>
        <w:t>Section</w:t>
      </w:r>
      <w:r w:rsidR="007A3CDB" w:rsidRPr="00024A6B">
        <w:rPr>
          <w:rFonts w:asciiTheme="minorHAnsi" w:hAnsiTheme="minorHAnsi" w:cstheme="minorHAnsi"/>
        </w:rPr>
        <w:t xml:space="preserve"> 15J </w:t>
      </w:r>
      <w:r w:rsidR="00BC5474" w:rsidRPr="00024A6B">
        <w:rPr>
          <w:rFonts w:asciiTheme="minorHAnsi" w:hAnsiTheme="minorHAnsi" w:cstheme="minorHAnsi"/>
        </w:rPr>
        <w:t>provides</w:t>
      </w:r>
      <w:r w:rsidR="007A3CDB" w:rsidRPr="00024A6B">
        <w:rPr>
          <w:rFonts w:asciiTheme="minorHAnsi" w:hAnsiTheme="minorHAnsi" w:cstheme="minorHAnsi"/>
        </w:rPr>
        <w:t xml:space="preserve"> that Part 4A </w:t>
      </w:r>
      <w:r w:rsidR="00914608" w:rsidRPr="00024A6B">
        <w:rPr>
          <w:rFonts w:asciiTheme="minorHAnsi" w:hAnsiTheme="minorHAnsi" w:cstheme="minorHAnsi"/>
        </w:rPr>
        <w:t xml:space="preserve">of the Quality of Care Principles </w:t>
      </w:r>
      <w:r w:rsidR="00BC5474" w:rsidRPr="00024A6B">
        <w:rPr>
          <w:rFonts w:asciiTheme="minorHAnsi" w:hAnsiTheme="minorHAnsi" w:cstheme="minorHAnsi"/>
        </w:rPr>
        <w:t>is</w:t>
      </w:r>
      <w:r w:rsidR="007A3CDB" w:rsidRPr="00024A6B">
        <w:rPr>
          <w:rFonts w:asciiTheme="minorHAnsi" w:hAnsiTheme="minorHAnsi" w:cstheme="minorHAnsi"/>
        </w:rPr>
        <w:t xml:space="preserve"> repealed at the start of 1 July 2021. It also repeals definitions associated with Part 4A, that is, ‘approved health practitioner’, ‘chemical restraint’, ‘physical restraint’, and ‘restraint’.</w:t>
      </w:r>
      <w:r w:rsidRPr="00024A6B">
        <w:rPr>
          <w:rFonts w:asciiTheme="minorHAnsi" w:hAnsiTheme="minorHAnsi" w:cstheme="minorHAnsi"/>
        </w:rPr>
        <w:t xml:space="preserve">  </w:t>
      </w:r>
    </w:p>
    <w:p w14:paraId="771EC8DE" w14:textId="051FE45E" w:rsidR="006B3C1B" w:rsidRPr="00024A6B" w:rsidRDefault="006B3C1B" w:rsidP="00115074">
      <w:pPr>
        <w:keepLines/>
        <w:widowControl w:val="0"/>
        <w:rPr>
          <w:rFonts w:asciiTheme="minorHAnsi" w:hAnsiTheme="minorHAnsi" w:cstheme="minorHAnsi"/>
        </w:rPr>
      </w:pPr>
    </w:p>
    <w:p w14:paraId="73389E00" w14:textId="2853B676" w:rsidR="009279AC" w:rsidRPr="00024A6B" w:rsidRDefault="009279AC" w:rsidP="00115074">
      <w:pPr>
        <w:keepLines/>
        <w:widowControl w:val="0"/>
        <w:rPr>
          <w:rFonts w:asciiTheme="minorHAnsi" w:hAnsiTheme="minorHAnsi" w:cstheme="minorHAnsi"/>
        </w:rPr>
      </w:pPr>
      <w:r w:rsidRPr="00024A6B">
        <w:rPr>
          <w:rFonts w:asciiTheme="minorHAnsi" w:hAnsiTheme="minorHAnsi" w:cstheme="minorHAnsi"/>
        </w:rPr>
        <w:t xml:space="preserve">The review of Part 4A will include a review of </w:t>
      </w:r>
      <w:r w:rsidR="00BC5474" w:rsidRPr="00024A6B">
        <w:rPr>
          <w:rFonts w:asciiTheme="minorHAnsi" w:hAnsiTheme="minorHAnsi" w:cstheme="minorHAnsi"/>
        </w:rPr>
        <w:t>s</w:t>
      </w:r>
      <w:r w:rsidRPr="00024A6B">
        <w:rPr>
          <w:rFonts w:asciiTheme="minorHAnsi" w:hAnsiTheme="minorHAnsi" w:cstheme="minorHAnsi"/>
        </w:rPr>
        <w:t xml:space="preserve">ection 15J. </w:t>
      </w:r>
      <w:r w:rsidR="006D1CE7" w:rsidRPr="00024A6B">
        <w:rPr>
          <w:rFonts w:asciiTheme="minorHAnsi" w:hAnsiTheme="minorHAnsi" w:cstheme="minorHAnsi"/>
        </w:rPr>
        <w:t xml:space="preserve">The purpose of reviewing </w:t>
      </w:r>
      <w:r w:rsidR="00263FAC" w:rsidRPr="00024A6B">
        <w:rPr>
          <w:rFonts w:asciiTheme="minorHAnsi" w:hAnsiTheme="minorHAnsi" w:cstheme="minorHAnsi"/>
        </w:rPr>
        <w:t>section 15J</w:t>
      </w:r>
      <w:r w:rsidR="006D1CE7" w:rsidRPr="00024A6B">
        <w:rPr>
          <w:rFonts w:asciiTheme="minorHAnsi" w:hAnsiTheme="minorHAnsi" w:cstheme="minorHAnsi"/>
        </w:rPr>
        <w:t xml:space="preserve"> is to provide </w:t>
      </w:r>
      <w:r w:rsidRPr="00024A6B">
        <w:rPr>
          <w:rFonts w:asciiTheme="minorHAnsi" w:hAnsiTheme="minorHAnsi" w:cstheme="minorHAnsi"/>
        </w:rPr>
        <w:t>protections for consumers in residential care</w:t>
      </w:r>
      <w:r w:rsidR="006D1CE7" w:rsidRPr="00024A6B">
        <w:rPr>
          <w:rFonts w:asciiTheme="minorHAnsi" w:hAnsiTheme="minorHAnsi" w:cstheme="minorHAnsi"/>
        </w:rPr>
        <w:t xml:space="preserve">, should the </w:t>
      </w:r>
      <w:r w:rsidRPr="00024A6B">
        <w:rPr>
          <w:rFonts w:asciiTheme="minorHAnsi" w:hAnsiTheme="minorHAnsi" w:cstheme="minorHAnsi"/>
        </w:rPr>
        <w:t>review recommend amendments to Part 4A, as opp</w:t>
      </w:r>
      <w:r w:rsidR="006D1CE7" w:rsidRPr="00024A6B">
        <w:rPr>
          <w:rFonts w:asciiTheme="minorHAnsi" w:hAnsiTheme="minorHAnsi" w:cstheme="minorHAnsi"/>
        </w:rPr>
        <w:t>osed to a repeal of this Part.</w:t>
      </w:r>
      <w:r w:rsidRPr="00024A6B">
        <w:rPr>
          <w:rFonts w:asciiTheme="minorHAnsi" w:hAnsiTheme="minorHAnsi" w:cstheme="minorHAnsi"/>
        </w:rPr>
        <w:br w:type="page"/>
      </w:r>
    </w:p>
    <w:p w14:paraId="44817C36" w14:textId="77777777" w:rsidR="00597E42" w:rsidRPr="00024A6B" w:rsidRDefault="00597E42" w:rsidP="00115074">
      <w:pPr>
        <w:keepLines/>
        <w:widowControl w:val="0"/>
        <w:rPr>
          <w:rFonts w:asciiTheme="minorHAnsi" w:hAnsiTheme="minorHAnsi" w:cstheme="minorHAnsi"/>
        </w:rPr>
      </w:pPr>
    </w:p>
    <w:p w14:paraId="7BE29EEC" w14:textId="4CC92AA1" w:rsidR="00FF30BD" w:rsidRPr="00024A6B" w:rsidRDefault="00024E19" w:rsidP="00115074">
      <w:pPr>
        <w:keepLines/>
        <w:widowControl w:val="0"/>
        <w:jc w:val="center"/>
        <w:rPr>
          <w:rFonts w:asciiTheme="minorHAnsi" w:hAnsiTheme="minorHAnsi" w:cstheme="minorHAnsi"/>
          <w:b/>
        </w:rPr>
      </w:pPr>
      <w:r w:rsidRPr="00024A6B">
        <w:rPr>
          <w:rFonts w:asciiTheme="minorHAnsi" w:hAnsiTheme="minorHAnsi" w:cstheme="minorHAnsi"/>
          <w:b/>
        </w:rPr>
        <w:t>Statement of Compatibility with Human Rights</w:t>
      </w:r>
    </w:p>
    <w:p w14:paraId="3FF7C270" w14:textId="77777777" w:rsidR="00FF30BD" w:rsidRPr="00024A6B" w:rsidRDefault="00FF30BD" w:rsidP="00115074">
      <w:pPr>
        <w:keepLines/>
        <w:widowControl w:val="0"/>
        <w:rPr>
          <w:rFonts w:asciiTheme="minorHAnsi" w:hAnsiTheme="minorHAnsi" w:cstheme="minorHAnsi"/>
        </w:rPr>
      </w:pPr>
    </w:p>
    <w:p w14:paraId="0324D555" w14:textId="77777777" w:rsidR="00030B98" w:rsidRPr="00024A6B" w:rsidRDefault="00030B98" w:rsidP="00115074">
      <w:pPr>
        <w:keepLines/>
        <w:widowControl w:val="0"/>
        <w:jc w:val="center"/>
        <w:rPr>
          <w:rFonts w:asciiTheme="minorHAnsi" w:hAnsiTheme="minorHAnsi" w:cstheme="minorHAnsi"/>
          <w:i/>
        </w:rPr>
      </w:pPr>
    </w:p>
    <w:p w14:paraId="1EEB2286" w14:textId="76B9019E" w:rsidR="00FF30BD" w:rsidRPr="00024A6B" w:rsidRDefault="00FF30BD" w:rsidP="00115074">
      <w:pPr>
        <w:keepLines/>
        <w:widowControl w:val="0"/>
        <w:jc w:val="center"/>
        <w:rPr>
          <w:rFonts w:asciiTheme="minorHAnsi" w:hAnsiTheme="minorHAnsi" w:cstheme="minorHAnsi"/>
          <w:i/>
        </w:rPr>
      </w:pPr>
      <w:r w:rsidRPr="00024A6B">
        <w:rPr>
          <w:rFonts w:asciiTheme="minorHAnsi" w:hAnsiTheme="minorHAnsi" w:cstheme="minorHAnsi"/>
          <w:i/>
        </w:rPr>
        <w:t>Prepared in accordance with Part 3 of the Human Righ</w:t>
      </w:r>
      <w:r w:rsidR="00825855" w:rsidRPr="00024A6B">
        <w:rPr>
          <w:rFonts w:asciiTheme="minorHAnsi" w:hAnsiTheme="minorHAnsi" w:cstheme="minorHAnsi"/>
          <w:i/>
        </w:rPr>
        <w:t>ts (Parliamentary Scrutiny) Act </w:t>
      </w:r>
      <w:r w:rsidRPr="00024A6B">
        <w:rPr>
          <w:rFonts w:asciiTheme="minorHAnsi" w:hAnsiTheme="minorHAnsi" w:cstheme="minorHAnsi"/>
          <w:i/>
        </w:rPr>
        <w:t>2011</w:t>
      </w:r>
    </w:p>
    <w:p w14:paraId="1237B520" w14:textId="77777777" w:rsidR="00FF30BD" w:rsidRPr="00024A6B" w:rsidRDefault="00FF30BD" w:rsidP="00115074">
      <w:pPr>
        <w:keepLines/>
        <w:widowControl w:val="0"/>
        <w:rPr>
          <w:rFonts w:asciiTheme="minorHAnsi" w:hAnsiTheme="minorHAnsi" w:cstheme="minorHAnsi"/>
        </w:rPr>
      </w:pPr>
    </w:p>
    <w:p w14:paraId="0458037E" w14:textId="77777777" w:rsidR="00030B98" w:rsidRPr="00024A6B" w:rsidRDefault="00030B98" w:rsidP="00115074">
      <w:pPr>
        <w:keepLines/>
        <w:widowControl w:val="0"/>
        <w:jc w:val="center"/>
        <w:rPr>
          <w:rFonts w:asciiTheme="minorHAnsi" w:hAnsiTheme="minorHAnsi" w:cstheme="minorHAnsi"/>
          <w:b/>
          <w:i/>
        </w:rPr>
      </w:pPr>
    </w:p>
    <w:p w14:paraId="51F22015" w14:textId="59BD567C" w:rsidR="00986965" w:rsidRPr="00024A6B" w:rsidRDefault="00986965" w:rsidP="00115074">
      <w:pPr>
        <w:keepLines/>
        <w:widowControl w:val="0"/>
        <w:jc w:val="center"/>
        <w:rPr>
          <w:rFonts w:asciiTheme="minorHAnsi" w:hAnsiTheme="minorHAnsi" w:cstheme="minorHAnsi"/>
          <w:b/>
          <w:i/>
        </w:rPr>
      </w:pPr>
      <w:r w:rsidRPr="00024A6B">
        <w:rPr>
          <w:rFonts w:asciiTheme="minorHAnsi" w:hAnsiTheme="minorHAnsi" w:cstheme="minorHAnsi"/>
          <w:b/>
          <w:i/>
        </w:rPr>
        <w:t>Quality of Care Amendment (</w:t>
      </w:r>
      <w:r w:rsidR="007A3CDB" w:rsidRPr="00024A6B">
        <w:rPr>
          <w:rFonts w:asciiTheme="minorHAnsi" w:hAnsiTheme="minorHAnsi" w:cstheme="minorHAnsi"/>
          <w:b/>
          <w:i/>
        </w:rPr>
        <w:t>Reviewing</w:t>
      </w:r>
      <w:r w:rsidRPr="00024A6B">
        <w:rPr>
          <w:rFonts w:asciiTheme="minorHAnsi" w:hAnsiTheme="minorHAnsi" w:cstheme="minorHAnsi"/>
          <w:b/>
          <w:i/>
        </w:rPr>
        <w:t xml:space="preserve"> Restraints</w:t>
      </w:r>
      <w:r w:rsidR="007A3CDB" w:rsidRPr="00024A6B">
        <w:rPr>
          <w:rFonts w:asciiTheme="minorHAnsi" w:hAnsiTheme="minorHAnsi" w:cstheme="minorHAnsi"/>
          <w:b/>
          <w:i/>
        </w:rPr>
        <w:t xml:space="preserve"> Principles</w:t>
      </w:r>
      <w:r w:rsidRPr="00024A6B">
        <w:rPr>
          <w:rFonts w:asciiTheme="minorHAnsi" w:hAnsiTheme="minorHAnsi" w:cstheme="minorHAnsi"/>
          <w:b/>
          <w:i/>
        </w:rPr>
        <w:t>) Principles 2019</w:t>
      </w:r>
    </w:p>
    <w:p w14:paraId="05643770" w14:textId="77777777" w:rsidR="00FF30BD" w:rsidRPr="00024A6B" w:rsidRDefault="00FF30BD" w:rsidP="00115074">
      <w:pPr>
        <w:keepLines/>
        <w:widowControl w:val="0"/>
        <w:rPr>
          <w:rFonts w:asciiTheme="minorHAnsi" w:hAnsiTheme="minorHAnsi" w:cstheme="minorHAnsi"/>
        </w:rPr>
      </w:pPr>
    </w:p>
    <w:p w14:paraId="40807A27" w14:textId="77777777" w:rsidR="00030B98" w:rsidRPr="00024A6B" w:rsidRDefault="00030B98" w:rsidP="00115074">
      <w:pPr>
        <w:keepLines/>
        <w:widowControl w:val="0"/>
        <w:jc w:val="center"/>
        <w:rPr>
          <w:rFonts w:asciiTheme="minorHAnsi" w:hAnsiTheme="minorHAnsi" w:cstheme="minorHAnsi"/>
          <w:i/>
        </w:rPr>
      </w:pPr>
    </w:p>
    <w:p w14:paraId="70AF6A93" w14:textId="6797AACD" w:rsidR="00FF30BD" w:rsidRPr="00024A6B" w:rsidRDefault="006B40F6" w:rsidP="00115074">
      <w:pPr>
        <w:keepLines/>
        <w:widowControl w:val="0"/>
        <w:jc w:val="center"/>
        <w:rPr>
          <w:rFonts w:asciiTheme="minorHAnsi" w:hAnsiTheme="minorHAnsi" w:cstheme="minorHAnsi"/>
          <w:i/>
        </w:rPr>
      </w:pPr>
      <w:r w:rsidRPr="00024A6B">
        <w:rPr>
          <w:rFonts w:asciiTheme="minorHAnsi" w:hAnsiTheme="minorHAnsi" w:cstheme="minorHAnsi"/>
          <w:i/>
        </w:rPr>
        <w:t>The</w:t>
      </w:r>
      <w:r w:rsidR="00254B48" w:rsidRPr="00024A6B">
        <w:rPr>
          <w:rFonts w:asciiTheme="minorHAnsi" w:hAnsiTheme="minorHAnsi" w:cstheme="minorHAnsi"/>
          <w:i/>
        </w:rPr>
        <w:t xml:space="preserve"> Instrument is </w:t>
      </w:r>
      <w:r w:rsidRPr="00024A6B">
        <w:rPr>
          <w:rFonts w:asciiTheme="minorHAnsi" w:hAnsiTheme="minorHAnsi" w:cstheme="minorHAnsi"/>
          <w:i/>
        </w:rPr>
        <w:t>compatible with the human rights and freedoms recognised or declared in the international instruments listed in section 3 of the Human Rights (Parliamentary Scrutiny) Act 2011.</w:t>
      </w:r>
    </w:p>
    <w:p w14:paraId="14986DA9" w14:textId="77777777" w:rsidR="00FF30BD" w:rsidRPr="00024A6B" w:rsidRDefault="00FF30BD" w:rsidP="00115074">
      <w:pPr>
        <w:keepLines/>
        <w:widowControl w:val="0"/>
        <w:rPr>
          <w:rFonts w:asciiTheme="minorHAnsi" w:hAnsiTheme="minorHAnsi" w:cstheme="minorHAnsi"/>
        </w:rPr>
      </w:pPr>
    </w:p>
    <w:p w14:paraId="56B5C9CC" w14:textId="77777777" w:rsidR="00030B98" w:rsidRPr="00024A6B" w:rsidRDefault="00030B98" w:rsidP="00115074">
      <w:pPr>
        <w:keepLines/>
        <w:widowControl w:val="0"/>
        <w:rPr>
          <w:rFonts w:asciiTheme="minorHAnsi" w:hAnsiTheme="minorHAnsi" w:cstheme="minorHAnsi"/>
          <w:b/>
        </w:rPr>
      </w:pPr>
    </w:p>
    <w:p w14:paraId="36B3A15F" w14:textId="6D7904B0" w:rsidR="00FF30BD" w:rsidRPr="00024A6B" w:rsidRDefault="00FF30BD" w:rsidP="00115074">
      <w:pPr>
        <w:keepLines/>
        <w:widowControl w:val="0"/>
        <w:rPr>
          <w:rFonts w:asciiTheme="minorHAnsi" w:hAnsiTheme="minorHAnsi" w:cstheme="minorHAnsi"/>
          <w:b/>
        </w:rPr>
      </w:pPr>
      <w:r w:rsidRPr="00024A6B">
        <w:rPr>
          <w:rFonts w:asciiTheme="minorHAnsi" w:hAnsiTheme="minorHAnsi" w:cstheme="minorHAnsi"/>
          <w:b/>
        </w:rPr>
        <w:t>Overview of the legislative instrument</w:t>
      </w:r>
    </w:p>
    <w:p w14:paraId="3D43AE69" w14:textId="541D672A" w:rsidR="006D1CE7" w:rsidRPr="00024A6B" w:rsidRDefault="006D1CE7" w:rsidP="00115074">
      <w:pPr>
        <w:keepLines/>
        <w:widowControl w:val="0"/>
        <w:rPr>
          <w:rFonts w:asciiTheme="minorHAnsi" w:hAnsiTheme="minorHAnsi" w:cstheme="minorHAnsi"/>
        </w:rPr>
      </w:pPr>
    </w:p>
    <w:p w14:paraId="73A68629" w14:textId="4BED1F45" w:rsidR="006D1CE7" w:rsidRPr="00024A6B" w:rsidRDefault="006D1CE7" w:rsidP="00115074">
      <w:pPr>
        <w:keepLines/>
        <w:widowControl w:val="0"/>
        <w:rPr>
          <w:rFonts w:asciiTheme="minorHAnsi" w:hAnsiTheme="minorHAnsi" w:cstheme="minorHAnsi"/>
        </w:rPr>
      </w:pPr>
      <w:r w:rsidRPr="00024A6B">
        <w:rPr>
          <w:rFonts w:asciiTheme="minorHAnsi" w:hAnsiTheme="minorHAnsi" w:cstheme="minorHAnsi"/>
        </w:rPr>
        <w:t>The</w:t>
      </w:r>
      <w:r w:rsidRPr="00024A6B">
        <w:rPr>
          <w:rFonts w:asciiTheme="minorHAnsi" w:hAnsiTheme="minorHAnsi" w:cstheme="minorHAnsi"/>
          <w:i/>
        </w:rPr>
        <w:t xml:space="preserve"> Quality of Care Amendment (Reviewing Restraints Principles) Principles 2019 </w:t>
      </w:r>
      <w:r w:rsidRPr="00024A6B">
        <w:rPr>
          <w:rFonts w:asciiTheme="minorHAnsi" w:hAnsiTheme="minorHAnsi" w:cstheme="minorHAnsi"/>
        </w:rPr>
        <w:t>(</w:t>
      </w:r>
      <w:r w:rsidRPr="00024A6B">
        <w:rPr>
          <w:rFonts w:asciiTheme="minorHAnsi" w:hAnsiTheme="minorHAnsi" w:cstheme="minorHAnsi"/>
          <w:b/>
        </w:rPr>
        <w:t>Amending Principles</w:t>
      </w:r>
      <w:r w:rsidRPr="00024A6B">
        <w:rPr>
          <w:rFonts w:asciiTheme="minorHAnsi" w:hAnsiTheme="minorHAnsi" w:cstheme="minorHAnsi"/>
        </w:rPr>
        <w:t xml:space="preserve">) amends the </w:t>
      </w:r>
      <w:r w:rsidRPr="00024A6B">
        <w:rPr>
          <w:rFonts w:asciiTheme="minorHAnsi" w:hAnsiTheme="minorHAnsi" w:cstheme="minorHAnsi"/>
          <w:i/>
        </w:rPr>
        <w:t>Quality of Care</w:t>
      </w:r>
      <w:r w:rsidRPr="00024A6B">
        <w:rPr>
          <w:rFonts w:asciiTheme="minorHAnsi" w:hAnsiTheme="minorHAnsi" w:cstheme="minorHAnsi"/>
        </w:rPr>
        <w:t xml:space="preserve"> </w:t>
      </w:r>
      <w:r w:rsidRPr="00024A6B">
        <w:rPr>
          <w:rFonts w:asciiTheme="minorHAnsi" w:hAnsiTheme="minorHAnsi" w:cstheme="minorHAnsi"/>
          <w:i/>
        </w:rPr>
        <w:t>Principles 2014</w:t>
      </w:r>
      <w:r w:rsidRPr="00024A6B">
        <w:rPr>
          <w:rFonts w:asciiTheme="minorHAnsi" w:hAnsiTheme="minorHAnsi" w:cstheme="minorHAnsi"/>
        </w:rPr>
        <w:t xml:space="preserve"> (</w:t>
      </w:r>
      <w:r w:rsidRPr="00024A6B">
        <w:rPr>
          <w:rFonts w:asciiTheme="minorHAnsi" w:hAnsiTheme="minorHAnsi" w:cstheme="minorHAnsi"/>
          <w:b/>
        </w:rPr>
        <w:t>Quality of Care</w:t>
      </w:r>
      <w:r w:rsidRPr="00024A6B">
        <w:rPr>
          <w:rFonts w:asciiTheme="minorHAnsi" w:hAnsiTheme="minorHAnsi" w:cstheme="minorHAnsi"/>
        </w:rPr>
        <w:t> </w:t>
      </w:r>
      <w:r w:rsidRPr="00024A6B">
        <w:rPr>
          <w:rFonts w:asciiTheme="minorHAnsi" w:hAnsiTheme="minorHAnsi" w:cstheme="minorHAnsi"/>
          <w:b/>
        </w:rPr>
        <w:t>Principles</w:t>
      </w:r>
      <w:r w:rsidRPr="00024A6B">
        <w:rPr>
          <w:rFonts w:asciiTheme="minorHAnsi" w:hAnsiTheme="minorHAnsi" w:cstheme="minorHAnsi"/>
        </w:rPr>
        <w:t>) to provide that the Minister must ensure that there is a review of the operation of Part 4A of the Quality of Care Principles. The review must consider the effectiveness of Part 4A in minimising the use of physical restraints and chemical restraint</w:t>
      </w:r>
      <w:r w:rsidR="00706A6E" w:rsidRPr="00024A6B">
        <w:rPr>
          <w:rFonts w:asciiTheme="minorHAnsi" w:hAnsiTheme="minorHAnsi" w:cstheme="minorHAnsi"/>
        </w:rPr>
        <w:t>s</w:t>
      </w:r>
      <w:r w:rsidRPr="00024A6B">
        <w:rPr>
          <w:rFonts w:asciiTheme="minorHAnsi" w:hAnsiTheme="minorHAnsi" w:cstheme="minorHAnsi"/>
        </w:rPr>
        <w:t xml:space="preserve"> by approved providers </w:t>
      </w:r>
      <w:r w:rsidR="00706A6E" w:rsidRPr="00024A6B">
        <w:rPr>
          <w:rFonts w:asciiTheme="minorHAnsi" w:hAnsiTheme="minorHAnsi" w:cstheme="minorHAnsi"/>
        </w:rPr>
        <w:t xml:space="preserve">of residential aged care </w:t>
      </w:r>
      <w:r w:rsidRPr="00024A6B">
        <w:rPr>
          <w:rFonts w:asciiTheme="minorHAnsi" w:hAnsiTheme="minorHAnsi" w:cstheme="minorHAnsi"/>
        </w:rPr>
        <w:t>in relati</w:t>
      </w:r>
      <w:r w:rsidR="00D004C7" w:rsidRPr="00024A6B">
        <w:rPr>
          <w:rFonts w:asciiTheme="minorHAnsi" w:hAnsiTheme="minorHAnsi" w:cstheme="minorHAnsi"/>
        </w:rPr>
        <w:t>on to consumers in the period 1 </w:t>
      </w:r>
      <w:r w:rsidRPr="00024A6B">
        <w:rPr>
          <w:rFonts w:asciiTheme="minorHAnsi" w:hAnsiTheme="minorHAnsi" w:cstheme="minorHAnsi"/>
        </w:rPr>
        <w:t>July 2019 to 30 June 2020.</w:t>
      </w:r>
    </w:p>
    <w:p w14:paraId="48D00EA7" w14:textId="77777777" w:rsidR="006D1CE7" w:rsidRPr="00024A6B" w:rsidRDefault="006D1CE7" w:rsidP="00115074">
      <w:pPr>
        <w:keepLines/>
        <w:widowControl w:val="0"/>
        <w:jc w:val="both"/>
        <w:rPr>
          <w:rFonts w:asciiTheme="minorHAnsi" w:hAnsiTheme="minorHAnsi" w:cstheme="minorHAnsi"/>
        </w:rPr>
      </w:pPr>
    </w:p>
    <w:p w14:paraId="26D6579D" w14:textId="77777777" w:rsidR="004D79B1" w:rsidRPr="00024A6B" w:rsidRDefault="004D79B1" w:rsidP="00115074">
      <w:pPr>
        <w:keepLines/>
        <w:widowControl w:val="0"/>
        <w:rPr>
          <w:rFonts w:asciiTheme="minorHAnsi" w:hAnsiTheme="minorHAnsi" w:cstheme="minorHAnsi"/>
          <w:i/>
        </w:rPr>
      </w:pPr>
      <w:r w:rsidRPr="00024A6B">
        <w:rPr>
          <w:rFonts w:asciiTheme="minorHAnsi" w:hAnsiTheme="minorHAnsi" w:cstheme="minorHAnsi"/>
        </w:rPr>
        <w:t xml:space="preserve">The Amending Principles also repeal Part 4A of the Quality of Care Principles at the start of 1 July 2021. </w:t>
      </w:r>
    </w:p>
    <w:p w14:paraId="4925CF05" w14:textId="2269FCF9" w:rsidR="007243A7" w:rsidRPr="00024A6B" w:rsidRDefault="007243A7" w:rsidP="00115074">
      <w:pPr>
        <w:keepLines/>
        <w:widowControl w:val="0"/>
        <w:rPr>
          <w:rFonts w:asciiTheme="minorHAnsi" w:hAnsiTheme="minorHAnsi" w:cstheme="minorHAnsi"/>
        </w:rPr>
      </w:pPr>
    </w:p>
    <w:p w14:paraId="663D6022" w14:textId="77777777" w:rsidR="00FF30BD" w:rsidRPr="00024A6B" w:rsidRDefault="00FF30BD" w:rsidP="00115074">
      <w:pPr>
        <w:keepLines/>
        <w:widowControl w:val="0"/>
        <w:rPr>
          <w:rFonts w:asciiTheme="minorHAnsi" w:hAnsiTheme="minorHAnsi" w:cstheme="minorHAnsi"/>
          <w:b/>
        </w:rPr>
      </w:pPr>
      <w:r w:rsidRPr="00024A6B">
        <w:rPr>
          <w:rFonts w:asciiTheme="minorHAnsi" w:hAnsiTheme="minorHAnsi" w:cstheme="minorHAnsi"/>
          <w:b/>
        </w:rPr>
        <w:t>Human rights implications</w:t>
      </w:r>
    </w:p>
    <w:p w14:paraId="5B9DF495" w14:textId="77777777" w:rsidR="00FF30BD" w:rsidRPr="00024A6B" w:rsidRDefault="00FF30BD" w:rsidP="00115074">
      <w:pPr>
        <w:keepLines/>
        <w:widowControl w:val="0"/>
        <w:rPr>
          <w:rFonts w:asciiTheme="minorHAnsi" w:hAnsiTheme="minorHAnsi" w:cstheme="minorHAnsi"/>
        </w:rPr>
      </w:pPr>
    </w:p>
    <w:p w14:paraId="178204FE" w14:textId="0F2DC2D8" w:rsidR="003711C7" w:rsidRPr="00024A6B" w:rsidRDefault="0062504E" w:rsidP="00115074">
      <w:pPr>
        <w:keepLines/>
        <w:widowControl w:val="0"/>
        <w:rPr>
          <w:rFonts w:asciiTheme="minorHAnsi" w:hAnsiTheme="minorHAnsi" w:cstheme="minorHAnsi"/>
        </w:rPr>
      </w:pPr>
      <w:r w:rsidRPr="00024A6B">
        <w:rPr>
          <w:rFonts w:asciiTheme="minorHAnsi" w:hAnsiTheme="minorHAnsi" w:cstheme="minorHAnsi"/>
        </w:rPr>
        <w:t xml:space="preserve">The Amending Principles </w:t>
      </w:r>
      <w:r w:rsidR="004E3D5A" w:rsidRPr="00024A6B">
        <w:rPr>
          <w:rFonts w:asciiTheme="minorHAnsi" w:hAnsiTheme="minorHAnsi" w:cstheme="minorHAnsi"/>
        </w:rPr>
        <w:t>engage the following rights:</w:t>
      </w:r>
    </w:p>
    <w:p w14:paraId="0276DB32" w14:textId="014B7C56" w:rsidR="00572A8F" w:rsidRPr="00024A6B" w:rsidRDefault="00263FAC" w:rsidP="00115074">
      <w:pPr>
        <w:pStyle w:val="ListParagraph"/>
        <w:keepLines/>
        <w:widowControl w:val="0"/>
        <w:numPr>
          <w:ilvl w:val="0"/>
          <w:numId w:val="14"/>
        </w:numPr>
        <w:spacing w:before="0" w:after="0"/>
        <w:contextualSpacing w:val="0"/>
        <w:rPr>
          <w:rFonts w:asciiTheme="minorHAnsi" w:hAnsiTheme="minorHAnsi" w:cstheme="minorHAnsi"/>
          <w:sz w:val="24"/>
        </w:rPr>
      </w:pPr>
      <w:r w:rsidRPr="00024A6B">
        <w:rPr>
          <w:rFonts w:asciiTheme="minorHAnsi" w:hAnsiTheme="minorHAnsi" w:cstheme="minorHAnsi"/>
          <w:sz w:val="24"/>
        </w:rPr>
        <w:t xml:space="preserve">the </w:t>
      </w:r>
      <w:r w:rsidR="00572A8F" w:rsidRPr="00024A6B">
        <w:rPr>
          <w:rFonts w:asciiTheme="minorHAnsi" w:hAnsiTheme="minorHAnsi" w:cstheme="minorHAnsi"/>
          <w:sz w:val="24"/>
        </w:rPr>
        <w:t xml:space="preserve">right to the enjoyment of the highest attainable standard of physical and mental health; </w:t>
      </w:r>
    </w:p>
    <w:p w14:paraId="637DE099" w14:textId="43DB9374" w:rsidR="00572A8F" w:rsidRPr="00024A6B" w:rsidRDefault="00263FAC" w:rsidP="00115074">
      <w:pPr>
        <w:pStyle w:val="ListParagraph"/>
        <w:keepLines/>
        <w:widowControl w:val="0"/>
        <w:numPr>
          <w:ilvl w:val="0"/>
          <w:numId w:val="14"/>
        </w:numPr>
        <w:spacing w:before="0" w:after="0"/>
        <w:contextualSpacing w:val="0"/>
        <w:rPr>
          <w:rFonts w:asciiTheme="minorHAnsi" w:hAnsiTheme="minorHAnsi" w:cstheme="minorHAnsi"/>
          <w:sz w:val="24"/>
        </w:rPr>
      </w:pPr>
      <w:r w:rsidRPr="00024A6B">
        <w:rPr>
          <w:rFonts w:asciiTheme="minorHAnsi" w:hAnsiTheme="minorHAnsi" w:cstheme="minorHAnsi"/>
          <w:sz w:val="24"/>
        </w:rPr>
        <w:t>the protection from exploitation, violence and abuse; and</w:t>
      </w:r>
    </w:p>
    <w:p w14:paraId="485B06D3" w14:textId="24C87511" w:rsidR="00263FAC" w:rsidRPr="00024A6B" w:rsidRDefault="00263FAC" w:rsidP="00115074">
      <w:pPr>
        <w:pStyle w:val="ListParagraph"/>
        <w:keepLines/>
        <w:widowControl w:val="0"/>
        <w:numPr>
          <w:ilvl w:val="0"/>
          <w:numId w:val="14"/>
        </w:numPr>
        <w:spacing w:before="0" w:after="0"/>
        <w:contextualSpacing w:val="0"/>
        <w:rPr>
          <w:rFonts w:asciiTheme="minorHAnsi" w:hAnsiTheme="minorHAnsi" w:cstheme="minorHAnsi"/>
          <w:sz w:val="24"/>
        </w:rPr>
      </w:pPr>
      <w:r w:rsidRPr="00024A6B">
        <w:rPr>
          <w:rFonts w:asciiTheme="minorHAnsi" w:hAnsiTheme="minorHAnsi" w:cstheme="minorHAnsi"/>
          <w:sz w:val="24"/>
        </w:rPr>
        <w:t xml:space="preserve">the prohibition on torture, cruel, inhuman or degrading treatment or punishment. </w:t>
      </w:r>
    </w:p>
    <w:p w14:paraId="4E1E3577" w14:textId="77777777" w:rsidR="00263FAC" w:rsidRPr="00024A6B" w:rsidRDefault="00263FAC" w:rsidP="00115074">
      <w:pPr>
        <w:keepLines/>
        <w:widowControl w:val="0"/>
        <w:rPr>
          <w:rFonts w:asciiTheme="minorHAnsi" w:hAnsiTheme="minorHAnsi" w:cstheme="minorHAnsi"/>
        </w:rPr>
      </w:pPr>
    </w:p>
    <w:p w14:paraId="58C23320" w14:textId="3DED6F97" w:rsidR="00A30328" w:rsidRPr="00024A6B" w:rsidRDefault="007D6384" w:rsidP="00115074">
      <w:pPr>
        <w:keepLines/>
        <w:widowControl w:val="0"/>
        <w:rPr>
          <w:rFonts w:asciiTheme="minorHAnsi" w:hAnsiTheme="minorHAnsi" w:cstheme="minorHAnsi"/>
          <w:u w:val="single"/>
        </w:rPr>
      </w:pPr>
      <w:r w:rsidRPr="00024A6B">
        <w:rPr>
          <w:rFonts w:asciiTheme="minorHAnsi" w:hAnsiTheme="minorHAnsi" w:cstheme="minorHAnsi"/>
          <w:u w:val="single"/>
        </w:rPr>
        <w:t>R</w:t>
      </w:r>
      <w:r w:rsidR="00263FAC" w:rsidRPr="00024A6B">
        <w:rPr>
          <w:rFonts w:asciiTheme="minorHAnsi" w:hAnsiTheme="minorHAnsi" w:cstheme="minorHAnsi"/>
          <w:u w:val="single"/>
        </w:rPr>
        <w:t>ight to the enjoyment of the highest attainable standard of physical and mental health</w:t>
      </w:r>
    </w:p>
    <w:p w14:paraId="400AA1E7" w14:textId="77777777" w:rsidR="007D6384" w:rsidRPr="00024A6B" w:rsidRDefault="007D6384" w:rsidP="00115074">
      <w:pPr>
        <w:keepLines/>
        <w:widowControl w:val="0"/>
        <w:rPr>
          <w:rFonts w:asciiTheme="minorHAnsi" w:hAnsiTheme="minorHAnsi" w:cstheme="minorHAnsi"/>
        </w:rPr>
      </w:pPr>
    </w:p>
    <w:p w14:paraId="21FF0A2A" w14:textId="7E8EABA8" w:rsidR="00263FAC" w:rsidRPr="00024A6B" w:rsidRDefault="00263FAC" w:rsidP="00115074">
      <w:pPr>
        <w:keepLines/>
        <w:widowControl w:val="0"/>
        <w:rPr>
          <w:rFonts w:asciiTheme="minorHAnsi" w:hAnsiTheme="minorHAnsi" w:cstheme="minorHAnsi"/>
        </w:rPr>
      </w:pPr>
      <w:r w:rsidRPr="00024A6B">
        <w:rPr>
          <w:rFonts w:asciiTheme="minorHAnsi" w:hAnsiTheme="minorHAnsi" w:cstheme="minorHAnsi"/>
        </w:rPr>
        <w:t xml:space="preserve">The right to health is the right to the enjoyment of the highest attainable standard of physical and mental health. It is </w:t>
      </w:r>
      <w:r w:rsidR="00406B8C" w:rsidRPr="00024A6B">
        <w:rPr>
          <w:rFonts w:asciiTheme="minorHAnsi" w:hAnsiTheme="minorHAnsi" w:cstheme="minorHAnsi"/>
        </w:rPr>
        <w:t>contained in A</w:t>
      </w:r>
      <w:r w:rsidRPr="00024A6B">
        <w:rPr>
          <w:rFonts w:asciiTheme="minorHAnsi" w:hAnsiTheme="minorHAnsi" w:cstheme="minorHAnsi"/>
        </w:rPr>
        <w:t xml:space="preserve">rticle </w:t>
      </w:r>
      <w:r w:rsidR="00406B8C" w:rsidRPr="00024A6B">
        <w:rPr>
          <w:rFonts w:asciiTheme="minorHAnsi" w:hAnsiTheme="minorHAnsi" w:cstheme="minorHAnsi"/>
        </w:rPr>
        <w:t>12</w:t>
      </w:r>
      <w:r w:rsidRPr="00024A6B">
        <w:rPr>
          <w:rFonts w:asciiTheme="minorHAnsi" w:hAnsiTheme="minorHAnsi" w:cstheme="minorHAnsi"/>
        </w:rPr>
        <w:t xml:space="preserve"> of the International Covenant on Economic Social and Cultural Rights (</w:t>
      </w:r>
      <w:r w:rsidRPr="00024A6B">
        <w:rPr>
          <w:rFonts w:asciiTheme="minorHAnsi" w:hAnsiTheme="minorHAnsi" w:cstheme="minorHAnsi"/>
          <w:b/>
        </w:rPr>
        <w:t>ICESCR</w:t>
      </w:r>
      <w:r w:rsidRPr="00024A6B">
        <w:rPr>
          <w:rFonts w:asciiTheme="minorHAnsi" w:hAnsiTheme="minorHAnsi" w:cstheme="minorHAnsi"/>
        </w:rPr>
        <w:t>).</w:t>
      </w:r>
    </w:p>
    <w:p w14:paraId="167F4D82" w14:textId="5AF599A2" w:rsidR="00263FAC" w:rsidRPr="00024A6B" w:rsidRDefault="00263FAC" w:rsidP="00115074">
      <w:pPr>
        <w:keepLines/>
        <w:widowControl w:val="0"/>
        <w:rPr>
          <w:rFonts w:asciiTheme="minorHAnsi" w:hAnsiTheme="minorHAnsi" w:cstheme="minorHAnsi"/>
        </w:rPr>
      </w:pPr>
    </w:p>
    <w:p w14:paraId="1B13D05E" w14:textId="35D2717F" w:rsidR="00263FAC" w:rsidRPr="00024A6B" w:rsidRDefault="00263FAC" w:rsidP="00115074">
      <w:pPr>
        <w:keepLines/>
        <w:widowControl w:val="0"/>
        <w:rPr>
          <w:rFonts w:asciiTheme="minorHAnsi" w:hAnsiTheme="minorHAnsi" w:cstheme="minorHAnsi"/>
        </w:rPr>
      </w:pPr>
      <w:r w:rsidRPr="00024A6B">
        <w:rPr>
          <w:rFonts w:asciiTheme="minorHAnsi" w:hAnsiTheme="minorHAnsi" w:cstheme="minorHAnsi"/>
        </w:rPr>
        <w:lastRenderedPageBreak/>
        <w:t xml:space="preserve">While ICESCR contains no definition of health, the UN Committee on Economic Social and Cultural Rights has stated that the right to health is not to be understood as a right to be healthy. According to the Committee, the right contains both freedoms and entitlements. The freedoms include the right to control one's health and body, and the right to be free from interference, such as the right to be free from torture, non-consensual medical treatment and experimentation. </w:t>
      </w:r>
    </w:p>
    <w:p w14:paraId="6558F139" w14:textId="5E9C9C90" w:rsidR="00263FAC" w:rsidRPr="00024A6B" w:rsidRDefault="00263FAC" w:rsidP="00115074">
      <w:pPr>
        <w:keepLines/>
        <w:widowControl w:val="0"/>
        <w:rPr>
          <w:rFonts w:asciiTheme="minorHAnsi" w:hAnsiTheme="minorHAnsi" w:cstheme="minorHAnsi"/>
        </w:rPr>
      </w:pPr>
    </w:p>
    <w:p w14:paraId="5E27586B" w14:textId="0A271D0D" w:rsidR="00406B8C" w:rsidRPr="00024A6B" w:rsidRDefault="00263FAC" w:rsidP="00115074">
      <w:pPr>
        <w:keepLines/>
        <w:widowControl w:val="0"/>
        <w:rPr>
          <w:rFonts w:asciiTheme="minorHAnsi" w:hAnsiTheme="minorHAnsi" w:cstheme="minorHAnsi"/>
        </w:rPr>
      </w:pPr>
      <w:r w:rsidRPr="00024A6B">
        <w:rPr>
          <w:rFonts w:asciiTheme="minorHAnsi" w:hAnsiTheme="minorHAnsi" w:cstheme="minorHAnsi"/>
        </w:rPr>
        <w:t xml:space="preserve">The Amending Principles promote the right </w:t>
      </w:r>
      <w:r w:rsidR="0077405A" w:rsidRPr="00024A6B">
        <w:rPr>
          <w:rFonts w:asciiTheme="minorHAnsi" w:hAnsiTheme="minorHAnsi" w:cstheme="minorHAnsi"/>
        </w:rPr>
        <w:t xml:space="preserve">to health, </w:t>
      </w:r>
      <w:r w:rsidRPr="00024A6B">
        <w:rPr>
          <w:rFonts w:asciiTheme="minorHAnsi" w:hAnsiTheme="minorHAnsi" w:cstheme="minorHAnsi"/>
        </w:rPr>
        <w:t xml:space="preserve">as it will review the legislative </w:t>
      </w:r>
      <w:r w:rsidR="00754F24" w:rsidRPr="00024A6B">
        <w:rPr>
          <w:rFonts w:asciiTheme="minorHAnsi" w:hAnsiTheme="minorHAnsi" w:cstheme="minorHAnsi"/>
        </w:rPr>
        <w:t>framework that</w:t>
      </w:r>
      <w:r w:rsidRPr="00024A6B">
        <w:rPr>
          <w:rFonts w:asciiTheme="minorHAnsi" w:hAnsiTheme="minorHAnsi" w:cstheme="minorHAnsi"/>
        </w:rPr>
        <w:t xml:space="preserve"> protects vulnerable, older Australians from the </w:t>
      </w:r>
      <w:r w:rsidR="00670943" w:rsidRPr="00024A6B">
        <w:rPr>
          <w:rFonts w:asciiTheme="minorHAnsi" w:hAnsiTheme="minorHAnsi" w:cstheme="minorHAnsi"/>
        </w:rPr>
        <w:t xml:space="preserve">unregulated </w:t>
      </w:r>
      <w:r w:rsidRPr="00024A6B">
        <w:rPr>
          <w:rFonts w:asciiTheme="minorHAnsi" w:hAnsiTheme="minorHAnsi" w:cstheme="minorHAnsi"/>
        </w:rPr>
        <w:t xml:space="preserve">use of physical or chemical restraint. </w:t>
      </w:r>
    </w:p>
    <w:p w14:paraId="1EF45133" w14:textId="77777777" w:rsidR="00406B8C" w:rsidRPr="00024A6B" w:rsidRDefault="00406B8C" w:rsidP="00115074">
      <w:pPr>
        <w:keepLines/>
        <w:widowControl w:val="0"/>
        <w:rPr>
          <w:rFonts w:asciiTheme="minorHAnsi" w:hAnsiTheme="minorHAnsi" w:cstheme="minorHAnsi"/>
        </w:rPr>
      </w:pPr>
    </w:p>
    <w:p w14:paraId="4BE29119" w14:textId="05F27422" w:rsidR="00406B8C" w:rsidRPr="00024A6B" w:rsidRDefault="00263FAC" w:rsidP="00115074">
      <w:pPr>
        <w:keepLines/>
        <w:widowControl w:val="0"/>
        <w:rPr>
          <w:rFonts w:asciiTheme="minorHAnsi" w:hAnsiTheme="minorHAnsi" w:cstheme="minorHAnsi"/>
        </w:rPr>
      </w:pPr>
      <w:r w:rsidRPr="00024A6B">
        <w:rPr>
          <w:rFonts w:asciiTheme="minorHAnsi" w:hAnsiTheme="minorHAnsi" w:cstheme="minorHAnsi"/>
        </w:rPr>
        <w:t>Additionally, the Amending Principles will review s</w:t>
      </w:r>
      <w:r w:rsidR="00406B8C" w:rsidRPr="00024A6B">
        <w:rPr>
          <w:rFonts w:asciiTheme="minorHAnsi" w:hAnsiTheme="minorHAnsi" w:cstheme="minorHAnsi"/>
        </w:rPr>
        <w:t>ection 15J</w:t>
      </w:r>
      <w:r w:rsidR="00F80390" w:rsidRPr="00024A6B">
        <w:rPr>
          <w:rFonts w:asciiTheme="minorHAnsi" w:hAnsiTheme="minorHAnsi" w:cstheme="minorHAnsi"/>
        </w:rPr>
        <w:t xml:space="preserve"> which repeal the </w:t>
      </w:r>
      <w:r w:rsidR="007732EE" w:rsidRPr="00024A6B">
        <w:rPr>
          <w:rFonts w:asciiTheme="minorHAnsi" w:hAnsiTheme="minorHAnsi" w:cstheme="minorHAnsi"/>
        </w:rPr>
        <w:t>Principles</w:t>
      </w:r>
      <w:r w:rsidR="005B2EA9" w:rsidRPr="00024A6B">
        <w:rPr>
          <w:rFonts w:asciiTheme="minorHAnsi" w:hAnsiTheme="minorHAnsi" w:cstheme="minorHAnsi"/>
        </w:rPr>
        <w:t xml:space="preserve"> at the start of 1 July 202</w:t>
      </w:r>
      <w:r w:rsidR="00706A6E" w:rsidRPr="00024A6B">
        <w:rPr>
          <w:rFonts w:asciiTheme="minorHAnsi" w:hAnsiTheme="minorHAnsi" w:cstheme="minorHAnsi"/>
        </w:rPr>
        <w:t>1</w:t>
      </w:r>
      <w:r w:rsidR="005B2EA9" w:rsidRPr="00024A6B">
        <w:rPr>
          <w:rFonts w:asciiTheme="minorHAnsi" w:hAnsiTheme="minorHAnsi" w:cstheme="minorHAnsi"/>
        </w:rPr>
        <w:t xml:space="preserve">. </w:t>
      </w:r>
      <w:r w:rsidR="00670943" w:rsidRPr="00024A6B">
        <w:rPr>
          <w:rFonts w:asciiTheme="minorHAnsi" w:hAnsiTheme="minorHAnsi" w:cstheme="minorHAnsi"/>
        </w:rPr>
        <w:t>This will allow</w:t>
      </w:r>
      <w:r w:rsidR="005B2EA9" w:rsidRPr="00024A6B">
        <w:rPr>
          <w:rFonts w:asciiTheme="minorHAnsi" w:hAnsiTheme="minorHAnsi" w:cstheme="minorHAnsi"/>
        </w:rPr>
        <w:t xml:space="preserve"> the review </w:t>
      </w:r>
      <w:r w:rsidR="00670943" w:rsidRPr="00024A6B">
        <w:rPr>
          <w:rFonts w:asciiTheme="minorHAnsi" w:hAnsiTheme="minorHAnsi" w:cstheme="minorHAnsi"/>
        </w:rPr>
        <w:t>to</w:t>
      </w:r>
      <w:r w:rsidR="005B2EA9" w:rsidRPr="00024A6B">
        <w:rPr>
          <w:rFonts w:asciiTheme="minorHAnsi" w:hAnsiTheme="minorHAnsi" w:cstheme="minorHAnsi"/>
        </w:rPr>
        <w:t xml:space="preserve"> consider whether to recommend amendments </w:t>
      </w:r>
      <w:r w:rsidR="00670943" w:rsidRPr="00024A6B">
        <w:rPr>
          <w:rFonts w:asciiTheme="minorHAnsi" w:hAnsiTheme="minorHAnsi" w:cstheme="minorHAnsi"/>
        </w:rPr>
        <w:t>to</w:t>
      </w:r>
      <w:r w:rsidR="005B2EA9" w:rsidRPr="00024A6B">
        <w:rPr>
          <w:rFonts w:asciiTheme="minorHAnsi" w:hAnsiTheme="minorHAnsi" w:cstheme="minorHAnsi"/>
        </w:rPr>
        <w:t xml:space="preserve"> the </w:t>
      </w:r>
      <w:r w:rsidR="007732EE" w:rsidRPr="00024A6B">
        <w:rPr>
          <w:rFonts w:asciiTheme="minorHAnsi" w:hAnsiTheme="minorHAnsi" w:cstheme="minorHAnsi"/>
        </w:rPr>
        <w:t>Principles</w:t>
      </w:r>
      <w:r w:rsidR="00670943" w:rsidRPr="00024A6B">
        <w:rPr>
          <w:rFonts w:asciiTheme="minorHAnsi" w:hAnsiTheme="minorHAnsi" w:cstheme="minorHAnsi"/>
        </w:rPr>
        <w:t xml:space="preserve"> instead of a repeal</w:t>
      </w:r>
      <w:r w:rsidR="005B2EA9" w:rsidRPr="00024A6B">
        <w:rPr>
          <w:rFonts w:asciiTheme="minorHAnsi" w:hAnsiTheme="minorHAnsi" w:cstheme="minorHAnsi"/>
        </w:rPr>
        <w:t xml:space="preserve">. </w:t>
      </w:r>
      <w:r w:rsidR="00406B8C" w:rsidRPr="00024A6B">
        <w:rPr>
          <w:rFonts w:asciiTheme="minorHAnsi" w:hAnsiTheme="minorHAnsi" w:cstheme="minorHAnsi"/>
        </w:rPr>
        <w:t>The review of section 15J will preserve the current arrangements</w:t>
      </w:r>
      <w:r w:rsidR="00754F24" w:rsidRPr="00024A6B">
        <w:rPr>
          <w:rFonts w:asciiTheme="minorHAnsi" w:hAnsiTheme="minorHAnsi" w:cstheme="minorHAnsi"/>
        </w:rPr>
        <w:t xml:space="preserve"> until 1 July 2021</w:t>
      </w:r>
      <w:r w:rsidR="00406B8C" w:rsidRPr="00024A6B">
        <w:rPr>
          <w:rFonts w:asciiTheme="minorHAnsi" w:hAnsiTheme="minorHAnsi" w:cstheme="minorHAnsi"/>
        </w:rPr>
        <w:t xml:space="preserve">, while data and evidence is evaluated to consider the effectiveness </w:t>
      </w:r>
      <w:r w:rsidR="00754F24" w:rsidRPr="00024A6B">
        <w:rPr>
          <w:rFonts w:asciiTheme="minorHAnsi" w:hAnsiTheme="minorHAnsi" w:cstheme="minorHAnsi"/>
        </w:rPr>
        <w:t xml:space="preserve">the existing legislative framework. </w:t>
      </w:r>
    </w:p>
    <w:p w14:paraId="65FD4693" w14:textId="3BD7C4B6" w:rsidR="00263FAC" w:rsidRPr="00024A6B" w:rsidRDefault="00263FAC" w:rsidP="00115074">
      <w:pPr>
        <w:keepLines/>
        <w:widowControl w:val="0"/>
        <w:rPr>
          <w:rFonts w:asciiTheme="minorHAnsi" w:hAnsiTheme="minorHAnsi" w:cstheme="minorHAnsi"/>
        </w:rPr>
      </w:pPr>
    </w:p>
    <w:p w14:paraId="586F468D" w14:textId="4508C1BE" w:rsidR="00263FAC" w:rsidRPr="00024A6B" w:rsidRDefault="007D6384" w:rsidP="00115074">
      <w:pPr>
        <w:keepLines/>
        <w:widowControl w:val="0"/>
        <w:rPr>
          <w:rFonts w:asciiTheme="minorHAnsi" w:hAnsiTheme="minorHAnsi" w:cstheme="minorHAnsi"/>
          <w:u w:val="single"/>
        </w:rPr>
      </w:pPr>
      <w:r w:rsidRPr="00024A6B">
        <w:rPr>
          <w:rFonts w:asciiTheme="minorHAnsi" w:hAnsiTheme="minorHAnsi" w:cstheme="minorHAnsi"/>
          <w:u w:val="single"/>
        </w:rPr>
        <w:t>Protection from exploitation, violence and abuse</w:t>
      </w:r>
    </w:p>
    <w:p w14:paraId="4B87A1BD" w14:textId="0FA9EBC9" w:rsidR="0077405A" w:rsidRPr="00024A6B" w:rsidRDefault="0077405A" w:rsidP="00115074">
      <w:pPr>
        <w:keepLines/>
        <w:widowControl w:val="0"/>
        <w:shd w:val="clear" w:color="auto" w:fill="FFFFFF"/>
        <w:rPr>
          <w:rFonts w:asciiTheme="minorHAnsi" w:hAnsiTheme="minorHAnsi" w:cstheme="minorHAnsi"/>
          <w:color w:val="000000"/>
        </w:rPr>
      </w:pPr>
    </w:p>
    <w:p w14:paraId="373E5A60" w14:textId="694335B7" w:rsidR="0077405A" w:rsidRPr="00024A6B" w:rsidRDefault="0077405A" w:rsidP="00115074">
      <w:pPr>
        <w:keepLines/>
        <w:widowControl w:val="0"/>
        <w:shd w:val="clear" w:color="auto" w:fill="FFFFFF"/>
        <w:rPr>
          <w:rFonts w:asciiTheme="minorHAnsi" w:hAnsiTheme="minorHAnsi" w:cstheme="minorHAnsi"/>
          <w:color w:val="000000"/>
          <w:shd w:val="clear" w:color="auto" w:fill="FFFFFF"/>
        </w:rPr>
      </w:pPr>
      <w:r w:rsidRPr="00024A6B">
        <w:rPr>
          <w:rFonts w:asciiTheme="minorHAnsi" w:hAnsiTheme="minorHAnsi" w:cstheme="minorHAnsi"/>
          <w:color w:val="000000"/>
          <w:shd w:val="clear" w:color="auto" w:fill="FFFFFF"/>
        </w:rPr>
        <w:t>The Amending Principles engage the right to protection from exploitation, violence and abuse, which is contained in Article 20 of the International Covenant on Civil and Political Rights (</w:t>
      </w:r>
      <w:r w:rsidRPr="00024A6B">
        <w:rPr>
          <w:rFonts w:asciiTheme="minorHAnsi" w:hAnsiTheme="minorHAnsi" w:cstheme="minorHAnsi"/>
          <w:b/>
          <w:color w:val="000000"/>
          <w:shd w:val="clear" w:color="auto" w:fill="FFFFFF"/>
        </w:rPr>
        <w:t>ICCPR</w:t>
      </w:r>
      <w:r w:rsidRPr="00024A6B">
        <w:rPr>
          <w:rFonts w:asciiTheme="minorHAnsi" w:hAnsiTheme="minorHAnsi" w:cstheme="minorHAnsi"/>
          <w:color w:val="000000"/>
          <w:shd w:val="clear" w:color="auto" w:fill="FFFFFF"/>
        </w:rPr>
        <w:t>) and Article 16 of the Convention on the Rights of Persons with Disabilities (</w:t>
      </w:r>
      <w:r w:rsidRPr="00024A6B">
        <w:rPr>
          <w:rFonts w:asciiTheme="minorHAnsi" w:hAnsiTheme="minorHAnsi" w:cstheme="minorHAnsi"/>
          <w:b/>
          <w:color w:val="000000"/>
          <w:shd w:val="clear" w:color="auto" w:fill="FFFFFF"/>
        </w:rPr>
        <w:t>CRPD</w:t>
      </w:r>
      <w:r w:rsidRPr="00024A6B">
        <w:rPr>
          <w:rFonts w:asciiTheme="minorHAnsi" w:hAnsiTheme="minorHAnsi" w:cstheme="minorHAnsi"/>
          <w:color w:val="000000"/>
          <w:shd w:val="clear" w:color="auto" w:fill="FFFFFF"/>
        </w:rPr>
        <w:t>).</w:t>
      </w:r>
    </w:p>
    <w:p w14:paraId="4DCC24C3" w14:textId="77777777" w:rsidR="0077405A" w:rsidRPr="00024A6B" w:rsidRDefault="0077405A" w:rsidP="00115074">
      <w:pPr>
        <w:keepLines/>
        <w:widowControl w:val="0"/>
        <w:shd w:val="clear" w:color="auto" w:fill="FFFFFF"/>
        <w:rPr>
          <w:rFonts w:asciiTheme="minorHAnsi" w:hAnsiTheme="minorHAnsi" w:cstheme="minorHAnsi"/>
          <w:color w:val="000000"/>
          <w:shd w:val="clear" w:color="auto" w:fill="FFFFFF"/>
        </w:rPr>
      </w:pPr>
    </w:p>
    <w:p w14:paraId="18F56E13" w14:textId="217F925E" w:rsidR="0077405A" w:rsidRPr="00024A6B" w:rsidRDefault="0077405A" w:rsidP="00115074">
      <w:pPr>
        <w:keepLines/>
        <w:widowControl w:val="0"/>
        <w:shd w:val="clear" w:color="auto" w:fill="FFFFFF"/>
        <w:rPr>
          <w:rFonts w:asciiTheme="minorHAnsi" w:hAnsiTheme="minorHAnsi" w:cstheme="minorHAnsi"/>
          <w:color w:val="000000"/>
          <w:shd w:val="clear" w:color="auto" w:fill="FFFFFF"/>
        </w:rPr>
      </w:pPr>
      <w:r w:rsidRPr="00024A6B">
        <w:rPr>
          <w:rFonts w:asciiTheme="minorHAnsi" w:hAnsiTheme="minorHAnsi" w:cstheme="minorHAnsi"/>
          <w:color w:val="000000"/>
          <w:shd w:val="clear" w:color="auto" w:fill="FFFFFF"/>
        </w:rPr>
        <w:t xml:space="preserve">Article 20 of the ICCPR requires States to outlaw vilification of persons on national, racial or religious grounds amounting to incitement to discrimination, hostility or violence. Australia has made a reservation in relation to </w:t>
      </w:r>
      <w:r w:rsidR="00D63BBD" w:rsidRPr="00024A6B">
        <w:rPr>
          <w:rFonts w:asciiTheme="minorHAnsi" w:hAnsiTheme="minorHAnsi" w:cstheme="minorHAnsi"/>
          <w:color w:val="000000"/>
          <w:shd w:val="clear" w:color="auto" w:fill="FFFFFF"/>
        </w:rPr>
        <w:t>A</w:t>
      </w:r>
      <w:r w:rsidRPr="00024A6B">
        <w:rPr>
          <w:rFonts w:asciiTheme="minorHAnsi" w:hAnsiTheme="minorHAnsi" w:cstheme="minorHAnsi"/>
          <w:color w:val="000000"/>
          <w:shd w:val="clear" w:color="auto" w:fill="FFFFFF"/>
        </w:rPr>
        <w:t>rticle 20 to the effect that the Commonwealth and the states have legislated with respect to the subject matter of the article in matters of practical concern in the interests of public order, and that the right is reserved not to introduce any further legislation on these matters.</w:t>
      </w:r>
      <w:r w:rsidR="00D63BBD" w:rsidRPr="00024A6B">
        <w:rPr>
          <w:rFonts w:asciiTheme="minorHAnsi" w:hAnsiTheme="minorHAnsi" w:cstheme="minorHAnsi"/>
          <w:color w:val="000000"/>
          <w:shd w:val="clear" w:color="auto" w:fill="FFFFFF"/>
        </w:rPr>
        <w:t xml:space="preserve"> </w:t>
      </w:r>
    </w:p>
    <w:p w14:paraId="1134154F" w14:textId="57440D00" w:rsidR="0077405A" w:rsidRPr="00024A6B" w:rsidRDefault="0077405A" w:rsidP="00115074">
      <w:pPr>
        <w:keepLines/>
        <w:widowControl w:val="0"/>
        <w:shd w:val="clear" w:color="auto" w:fill="FFFFFF"/>
        <w:rPr>
          <w:rFonts w:asciiTheme="minorHAnsi" w:hAnsiTheme="minorHAnsi" w:cstheme="minorHAnsi"/>
          <w:color w:val="000000"/>
          <w:shd w:val="clear" w:color="auto" w:fill="FFFFFF"/>
        </w:rPr>
      </w:pPr>
    </w:p>
    <w:p w14:paraId="68B3AC03" w14:textId="321344B9" w:rsidR="00D63BBD" w:rsidRPr="00024A6B" w:rsidRDefault="00D63BBD" w:rsidP="00115074">
      <w:pPr>
        <w:keepLines/>
        <w:widowControl w:val="0"/>
        <w:shd w:val="clear" w:color="auto" w:fill="FFFFFF"/>
        <w:rPr>
          <w:rFonts w:asciiTheme="minorHAnsi" w:hAnsiTheme="minorHAnsi" w:cstheme="minorHAnsi"/>
          <w:color w:val="000000"/>
          <w:shd w:val="clear" w:color="auto" w:fill="FFFFFF"/>
        </w:rPr>
      </w:pPr>
      <w:r w:rsidRPr="00024A6B">
        <w:rPr>
          <w:rFonts w:asciiTheme="minorHAnsi" w:hAnsiTheme="minorHAnsi" w:cstheme="minorHAnsi"/>
          <w:color w:val="000000"/>
          <w:shd w:val="clear" w:color="auto" w:fill="FFFFFF"/>
        </w:rPr>
        <w:t xml:space="preserve">Article 16 of the CRPD requires States to take all appropriate legislative, administrative, social, educational and other measures to protect persons with disabilities, both within and outside the home, from all forms of exploitation, violence and abuse, including their gender-based aspects. </w:t>
      </w:r>
    </w:p>
    <w:p w14:paraId="284035BD" w14:textId="7BF79FFE" w:rsidR="00D63BBD" w:rsidRPr="00024A6B" w:rsidRDefault="00D63BBD" w:rsidP="00115074">
      <w:pPr>
        <w:keepLines/>
        <w:widowControl w:val="0"/>
        <w:shd w:val="clear" w:color="auto" w:fill="FFFFFF"/>
        <w:rPr>
          <w:rFonts w:asciiTheme="minorHAnsi" w:hAnsiTheme="minorHAnsi" w:cstheme="minorHAnsi"/>
          <w:color w:val="000000"/>
          <w:shd w:val="clear" w:color="auto" w:fill="FFFFFF"/>
        </w:rPr>
      </w:pPr>
    </w:p>
    <w:p w14:paraId="59075592" w14:textId="227144E6" w:rsidR="00754F24" w:rsidRPr="00024A6B" w:rsidRDefault="00D63BBD" w:rsidP="00115074">
      <w:pPr>
        <w:keepLines/>
        <w:widowControl w:val="0"/>
        <w:shd w:val="clear" w:color="auto" w:fill="FFFFFF"/>
        <w:rPr>
          <w:rFonts w:asciiTheme="minorHAnsi" w:hAnsiTheme="minorHAnsi" w:cstheme="minorHAnsi"/>
          <w:color w:val="000000"/>
          <w:shd w:val="clear" w:color="auto" w:fill="FFFFFF"/>
        </w:rPr>
      </w:pPr>
      <w:r w:rsidRPr="00024A6B">
        <w:rPr>
          <w:rFonts w:asciiTheme="minorHAnsi" w:hAnsiTheme="minorHAnsi" w:cstheme="minorHAnsi"/>
          <w:color w:val="000000"/>
          <w:shd w:val="clear" w:color="auto" w:fill="FFFFFF"/>
        </w:rPr>
        <w:t>Part 4A of the Quality of Care Principles is i</w:t>
      </w:r>
      <w:r w:rsidR="0077405A" w:rsidRPr="00024A6B">
        <w:rPr>
          <w:rFonts w:asciiTheme="minorHAnsi" w:hAnsiTheme="minorHAnsi" w:cstheme="minorHAnsi"/>
          <w:color w:val="000000"/>
          <w:shd w:val="clear" w:color="auto" w:fill="FFFFFF"/>
        </w:rPr>
        <w:t xml:space="preserve">ntended to protect aged care consumers </w:t>
      </w:r>
      <w:r w:rsidRPr="00024A6B">
        <w:rPr>
          <w:rFonts w:asciiTheme="minorHAnsi" w:hAnsiTheme="minorHAnsi" w:cstheme="minorHAnsi"/>
          <w:color w:val="000000"/>
          <w:shd w:val="clear" w:color="auto" w:fill="FFFFFF"/>
        </w:rPr>
        <w:t xml:space="preserve">from </w:t>
      </w:r>
      <w:r w:rsidR="0077405A" w:rsidRPr="00024A6B">
        <w:rPr>
          <w:rFonts w:asciiTheme="minorHAnsi" w:hAnsiTheme="minorHAnsi" w:cstheme="minorHAnsi"/>
          <w:color w:val="000000"/>
          <w:shd w:val="clear" w:color="auto" w:fill="FFFFFF"/>
        </w:rPr>
        <w:t xml:space="preserve">exploitation, violence and abuse </w:t>
      </w:r>
      <w:r w:rsidR="00670943" w:rsidRPr="00024A6B">
        <w:rPr>
          <w:rFonts w:asciiTheme="minorHAnsi" w:hAnsiTheme="minorHAnsi" w:cstheme="minorHAnsi"/>
          <w:color w:val="000000"/>
          <w:shd w:val="clear" w:color="auto" w:fill="FFFFFF"/>
        </w:rPr>
        <w:t>associated with the unregulated use of</w:t>
      </w:r>
      <w:r w:rsidR="0077405A" w:rsidRPr="00024A6B">
        <w:rPr>
          <w:rFonts w:asciiTheme="minorHAnsi" w:hAnsiTheme="minorHAnsi" w:cstheme="minorHAnsi"/>
          <w:color w:val="000000"/>
          <w:shd w:val="clear" w:color="auto" w:fill="FFFFFF"/>
        </w:rPr>
        <w:t xml:space="preserve"> chemical and physical restraint.</w:t>
      </w:r>
      <w:r w:rsidR="00754F24" w:rsidRPr="00024A6B">
        <w:rPr>
          <w:rFonts w:asciiTheme="minorHAnsi" w:hAnsiTheme="minorHAnsi" w:cstheme="minorHAnsi"/>
          <w:color w:val="000000"/>
          <w:shd w:val="clear" w:color="auto" w:fill="FFFFFF"/>
        </w:rPr>
        <w:t xml:space="preserve"> </w:t>
      </w:r>
    </w:p>
    <w:p w14:paraId="76F7960A" w14:textId="66A3D7B2" w:rsidR="00754F24" w:rsidRPr="00024A6B" w:rsidRDefault="00754F24" w:rsidP="00115074">
      <w:pPr>
        <w:keepLines/>
        <w:widowControl w:val="0"/>
        <w:shd w:val="clear" w:color="auto" w:fill="FFFFFF"/>
        <w:rPr>
          <w:rFonts w:asciiTheme="minorHAnsi" w:hAnsiTheme="minorHAnsi" w:cstheme="minorHAnsi"/>
          <w:color w:val="000000"/>
          <w:shd w:val="clear" w:color="auto" w:fill="FFFFFF"/>
        </w:rPr>
      </w:pPr>
    </w:p>
    <w:p w14:paraId="2D54B81D" w14:textId="4CDE9E5C" w:rsidR="0077405A" w:rsidRPr="00024A6B" w:rsidRDefault="00754F24" w:rsidP="00115074">
      <w:pPr>
        <w:keepLines/>
        <w:widowControl w:val="0"/>
        <w:shd w:val="clear" w:color="auto" w:fill="FFFFFF"/>
        <w:rPr>
          <w:rFonts w:asciiTheme="minorHAnsi" w:hAnsiTheme="minorHAnsi" w:cstheme="minorHAnsi"/>
          <w:color w:val="000000"/>
          <w:shd w:val="clear" w:color="auto" w:fill="FFFFFF"/>
        </w:rPr>
      </w:pPr>
      <w:r w:rsidRPr="00024A6B">
        <w:rPr>
          <w:rFonts w:asciiTheme="minorHAnsi" w:hAnsiTheme="minorHAnsi" w:cstheme="minorHAnsi"/>
          <w:color w:val="000000"/>
          <w:shd w:val="clear" w:color="auto" w:fill="FFFFFF"/>
        </w:rPr>
        <w:t xml:space="preserve">Article 16 of the CRPD also requires ‘independent authorities’ to monitor ‘facilities and programmes designed to service persons with disabilities’. Consistent with this obligation, </w:t>
      </w:r>
      <w:r w:rsidR="00406B8C" w:rsidRPr="00024A6B">
        <w:rPr>
          <w:rFonts w:asciiTheme="minorHAnsi" w:hAnsiTheme="minorHAnsi" w:cstheme="minorHAnsi"/>
          <w:color w:val="000000"/>
          <w:shd w:val="clear" w:color="auto" w:fill="FFFFFF"/>
        </w:rPr>
        <w:t xml:space="preserve">the </w:t>
      </w:r>
      <w:r w:rsidRPr="00024A6B">
        <w:rPr>
          <w:rFonts w:asciiTheme="minorHAnsi" w:hAnsiTheme="minorHAnsi" w:cstheme="minorHAnsi"/>
          <w:color w:val="000000"/>
          <w:shd w:val="clear" w:color="auto" w:fill="FFFFFF"/>
        </w:rPr>
        <w:t xml:space="preserve">Aged Care Quality and Safety </w:t>
      </w:r>
      <w:r w:rsidR="00406B8C" w:rsidRPr="00024A6B">
        <w:rPr>
          <w:rFonts w:asciiTheme="minorHAnsi" w:hAnsiTheme="minorHAnsi" w:cstheme="minorHAnsi"/>
          <w:color w:val="000000"/>
          <w:shd w:val="clear" w:color="auto" w:fill="FFFFFF"/>
        </w:rPr>
        <w:t>Commission independently accredits, assesses and monitors residential care services</w:t>
      </w:r>
      <w:r w:rsidRPr="00024A6B">
        <w:rPr>
          <w:rFonts w:asciiTheme="minorHAnsi" w:hAnsiTheme="minorHAnsi" w:cstheme="minorHAnsi"/>
          <w:color w:val="000000"/>
          <w:shd w:val="clear" w:color="auto" w:fill="FFFFFF"/>
        </w:rPr>
        <w:t>, including with respect to providers’ obligations to minimise the use of physical and chemical restraints. The Commission als</w:t>
      </w:r>
      <w:r w:rsidR="00406B8C" w:rsidRPr="00024A6B">
        <w:rPr>
          <w:rFonts w:asciiTheme="minorHAnsi" w:hAnsiTheme="minorHAnsi" w:cstheme="minorHAnsi"/>
          <w:color w:val="000000"/>
          <w:shd w:val="clear" w:color="auto" w:fill="FFFFFF"/>
        </w:rPr>
        <w:t xml:space="preserve">o resolves complaints about </w:t>
      </w:r>
      <w:r w:rsidRPr="00024A6B">
        <w:rPr>
          <w:rFonts w:asciiTheme="minorHAnsi" w:hAnsiTheme="minorHAnsi" w:cstheme="minorHAnsi"/>
          <w:color w:val="000000"/>
          <w:shd w:val="clear" w:color="auto" w:fill="FFFFFF"/>
        </w:rPr>
        <w:t>residential aged care</w:t>
      </w:r>
      <w:r w:rsidR="00406B8C" w:rsidRPr="00024A6B">
        <w:rPr>
          <w:rFonts w:asciiTheme="minorHAnsi" w:hAnsiTheme="minorHAnsi" w:cstheme="minorHAnsi"/>
          <w:color w:val="000000"/>
          <w:shd w:val="clear" w:color="auto" w:fill="FFFFFF"/>
        </w:rPr>
        <w:t xml:space="preserve"> services. </w:t>
      </w:r>
    </w:p>
    <w:p w14:paraId="4D01CCF8" w14:textId="77777777" w:rsidR="00834319" w:rsidRPr="00024A6B" w:rsidRDefault="00834319" w:rsidP="00115074">
      <w:pPr>
        <w:keepLines/>
        <w:widowControl w:val="0"/>
        <w:rPr>
          <w:rFonts w:asciiTheme="minorHAnsi" w:hAnsiTheme="minorHAnsi" w:cstheme="minorHAnsi"/>
          <w:u w:val="single"/>
        </w:rPr>
      </w:pPr>
    </w:p>
    <w:p w14:paraId="4AD43DA9" w14:textId="5D7783A2" w:rsidR="007D6384" w:rsidRPr="00024A6B" w:rsidRDefault="007D6384" w:rsidP="00115074">
      <w:pPr>
        <w:keepLines/>
        <w:widowControl w:val="0"/>
        <w:rPr>
          <w:rFonts w:asciiTheme="minorHAnsi" w:hAnsiTheme="minorHAnsi" w:cstheme="minorHAnsi"/>
          <w:u w:val="single"/>
        </w:rPr>
      </w:pPr>
      <w:r w:rsidRPr="00024A6B">
        <w:rPr>
          <w:rFonts w:asciiTheme="minorHAnsi" w:hAnsiTheme="minorHAnsi" w:cstheme="minorHAnsi"/>
          <w:u w:val="single"/>
        </w:rPr>
        <w:lastRenderedPageBreak/>
        <w:t>Prohibition on torture, cruel, inhuman or degrading treatment or punishment</w:t>
      </w:r>
    </w:p>
    <w:p w14:paraId="3990DD10" w14:textId="77777777" w:rsidR="007D6384" w:rsidRPr="00024A6B" w:rsidRDefault="007D6384" w:rsidP="00115074">
      <w:pPr>
        <w:keepLines/>
        <w:widowControl w:val="0"/>
        <w:rPr>
          <w:rFonts w:asciiTheme="minorHAnsi" w:hAnsiTheme="minorHAnsi" w:cstheme="minorHAnsi"/>
        </w:rPr>
      </w:pPr>
    </w:p>
    <w:p w14:paraId="6F8E5DE5" w14:textId="4723B304" w:rsidR="007D6384" w:rsidRPr="00024A6B" w:rsidRDefault="007D6384" w:rsidP="00115074">
      <w:pPr>
        <w:keepLines/>
        <w:widowControl w:val="0"/>
        <w:rPr>
          <w:rFonts w:asciiTheme="minorHAnsi" w:hAnsiTheme="minorHAnsi" w:cstheme="minorHAnsi"/>
        </w:rPr>
      </w:pPr>
      <w:r w:rsidRPr="00024A6B">
        <w:rPr>
          <w:rFonts w:asciiTheme="minorHAnsi" w:hAnsiTheme="minorHAnsi" w:cstheme="minorHAnsi"/>
        </w:rPr>
        <w:t>The prohibition on torture and cruel, inhuman or degrading treatment</w:t>
      </w:r>
      <w:r w:rsidR="00140CD3" w:rsidRPr="00024A6B">
        <w:rPr>
          <w:rFonts w:asciiTheme="minorHAnsi" w:hAnsiTheme="minorHAnsi" w:cstheme="minorHAnsi"/>
        </w:rPr>
        <w:t xml:space="preserve"> or punishment is contained in Article 15 </w:t>
      </w:r>
      <w:r w:rsidRPr="00024A6B">
        <w:rPr>
          <w:rFonts w:asciiTheme="minorHAnsi" w:hAnsiTheme="minorHAnsi" w:cstheme="minorHAnsi"/>
        </w:rPr>
        <w:t>of the Convention against Torture and Other Cruel, Inhuman or Degrading Treatment or Punishment (</w:t>
      </w:r>
      <w:r w:rsidRPr="00024A6B">
        <w:rPr>
          <w:rFonts w:asciiTheme="minorHAnsi" w:hAnsiTheme="minorHAnsi" w:cstheme="minorHAnsi"/>
          <w:b/>
        </w:rPr>
        <w:t>CAT</w:t>
      </w:r>
      <w:r w:rsidR="00140CD3" w:rsidRPr="00024A6B">
        <w:rPr>
          <w:rFonts w:asciiTheme="minorHAnsi" w:hAnsiTheme="minorHAnsi" w:cstheme="minorHAnsi"/>
        </w:rPr>
        <w:t>), Article 7 of the International Covenant on Civil and Political Rights (</w:t>
      </w:r>
      <w:r w:rsidR="00140CD3" w:rsidRPr="00024A6B">
        <w:rPr>
          <w:rFonts w:asciiTheme="minorHAnsi" w:hAnsiTheme="minorHAnsi" w:cstheme="minorHAnsi"/>
          <w:b/>
        </w:rPr>
        <w:t>ICCPR</w:t>
      </w:r>
      <w:r w:rsidR="00140CD3" w:rsidRPr="00024A6B">
        <w:rPr>
          <w:rFonts w:asciiTheme="minorHAnsi" w:hAnsiTheme="minorHAnsi" w:cstheme="minorHAnsi"/>
        </w:rPr>
        <w:t>), and Article 15 of the</w:t>
      </w:r>
      <w:r w:rsidR="00754F24" w:rsidRPr="00024A6B">
        <w:rPr>
          <w:rFonts w:asciiTheme="minorHAnsi" w:hAnsiTheme="minorHAnsi" w:cstheme="minorHAnsi"/>
        </w:rPr>
        <w:t xml:space="preserve"> CPRD. </w:t>
      </w:r>
    </w:p>
    <w:p w14:paraId="63E7E355" w14:textId="419D3F30" w:rsidR="007D6384" w:rsidRPr="00024A6B" w:rsidRDefault="007D6384" w:rsidP="00115074">
      <w:pPr>
        <w:keepLines/>
        <w:widowControl w:val="0"/>
        <w:rPr>
          <w:rFonts w:asciiTheme="minorHAnsi" w:hAnsiTheme="minorHAnsi" w:cstheme="minorHAnsi"/>
        </w:rPr>
      </w:pPr>
    </w:p>
    <w:p w14:paraId="488DF492" w14:textId="5ED1A862" w:rsidR="00140CD3" w:rsidRPr="00024A6B" w:rsidRDefault="00140CD3" w:rsidP="00115074">
      <w:pPr>
        <w:keepLines/>
        <w:widowControl w:val="0"/>
        <w:rPr>
          <w:rFonts w:asciiTheme="minorHAnsi" w:hAnsiTheme="minorHAnsi" w:cstheme="minorHAnsi"/>
          <w:i/>
        </w:rPr>
      </w:pPr>
      <w:r w:rsidRPr="00024A6B">
        <w:rPr>
          <w:rFonts w:asciiTheme="minorHAnsi" w:hAnsiTheme="minorHAnsi" w:cstheme="minorHAnsi"/>
          <w:i/>
        </w:rPr>
        <w:t>Convention against Torture and Other Cruel, Inhuman or Degrading Treatment or Punishment</w:t>
      </w:r>
    </w:p>
    <w:p w14:paraId="2B98BFE3" w14:textId="77777777" w:rsidR="00140CD3" w:rsidRPr="00024A6B" w:rsidRDefault="00140CD3" w:rsidP="00115074">
      <w:pPr>
        <w:keepLines/>
        <w:widowControl w:val="0"/>
        <w:rPr>
          <w:rFonts w:asciiTheme="minorHAnsi" w:hAnsiTheme="minorHAnsi" w:cstheme="minorHAnsi"/>
        </w:rPr>
      </w:pPr>
    </w:p>
    <w:p w14:paraId="229E0EE5" w14:textId="7376B208" w:rsidR="007D6384" w:rsidRPr="00024A6B" w:rsidRDefault="007D6384" w:rsidP="00115074">
      <w:pPr>
        <w:keepLines/>
        <w:widowControl w:val="0"/>
        <w:rPr>
          <w:rFonts w:asciiTheme="minorHAnsi" w:hAnsiTheme="minorHAnsi" w:cstheme="minorHAnsi"/>
        </w:rPr>
      </w:pPr>
      <w:r w:rsidRPr="00024A6B">
        <w:rPr>
          <w:rFonts w:asciiTheme="minorHAnsi" w:hAnsiTheme="minorHAnsi" w:cstheme="minorHAnsi"/>
        </w:rPr>
        <w:t xml:space="preserve">The CAT applies where the perpetrator is a public official or person acting in an official capacity. It was implemented in Australia by the </w:t>
      </w:r>
      <w:r w:rsidRPr="00024A6B">
        <w:rPr>
          <w:rFonts w:asciiTheme="minorHAnsi" w:hAnsiTheme="minorHAnsi" w:cstheme="minorHAnsi"/>
          <w:i/>
        </w:rPr>
        <w:t>Crimes (Torture) Act 1988</w:t>
      </w:r>
      <w:r w:rsidRPr="00024A6B">
        <w:rPr>
          <w:rFonts w:asciiTheme="minorHAnsi" w:hAnsiTheme="minorHAnsi" w:cstheme="minorHAnsi"/>
        </w:rPr>
        <w:t xml:space="preserve"> and then the </w:t>
      </w:r>
      <w:r w:rsidRPr="00024A6B">
        <w:rPr>
          <w:rFonts w:asciiTheme="minorHAnsi" w:hAnsiTheme="minorHAnsi" w:cstheme="minorHAnsi"/>
          <w:i/>
        </w:rPr>
        <w:t>Crimes Legislation Amendment (Torture Prohibition and Death Penalty Abolition) Act 2010</w:t>
      </w:r>
      <w:r w:rsidRPr="00024A6B">
        <w:rPr>
          <w:rFonts w:asciiTheme="minorHAnsi" w:hAnsiTheme="minorHAnsi" w:cstheme="minorHAnsi"/>
        </w:rPr>
        <w:t>.</w:t>
      </w:r>
    </w:p>
    <w:p w14:paraId="24AE374B" w14:textId="77777777" w:rsidR="007D6384" w:rsidRPr="00024A6B" w:rsidRDefault="007D6384" w:rsidP="00115074">
      <w:pPr>
        <w:keepLines/>
        <w:widowControl w:val="0"/>
        <w:rPr>
          <w:rFonts w:asciiTheme="minorHAnsi" w:hAnsiTheme="minorHAnsi" w:cstheme="minorHAnsi"/>
        </w:rPr>
      </w:pPr>
    </w:p>
    <w:p w14:paraId="4A8BF264" w14:textId="77777777" w:rsidR="007D6384" w:rsidRPr="00024A6B" w:rsidRDefault="007D6384" w:rsidP="00115074">
      <w:pPr>
        <w:keepLines/>
        <w:widowControl w:val="0"/>
        <w:rPr>
          <w:rFonts w:asciiTheme="minorHAnsi" w:hAnsiTheme="minorHAnsi" w:cstheme="minorHAnsi"/>
        </w:rPr>
      </w:pPr>
      <w:r w:rsidRPr="00024A6B">
        <w:rPr>
          <w:rFonts w:asciiTheme="minorHAnsi" w:hAnsiTheme="minorHAnsi" w:cstheme="minorHAnsi"/>
        </w:rPr>
        <w:t xml:space="preserve">As such, approved providers operate in a context that is different from a custodial or other similar situation in which the Convention would apply.  In order to consider the application of the Convention, one needs to consider the terms of the Convention itself. It defines torture as a person in an official capacity inflicting severe pain or suffering on a person as a means of obtaining information or a confession, punishing a person for an act committed, or intimidating or coercing someone on discriminatory grounds.  </w:t>
      </w:r>
    </w:p>
    <w:p w14:paraId="75DEBE5E" w14:textId="77777777" w:rsidR="007D6384" w:rsidRPr="00024A6B" w:rsidRDefault="007D6384" w:rsidP="00115074">
      <w:pPr>
        <w:keepLines/>
        <w:widowControl w:val="0"/>
        <w:rPr>
          <w:rFonts w:asciiTheme="minorHAnsi" w:hAnsiTheme="minorHAnsi" w:cstheme="minorHAnsi"/>
        </w:rPr>
      </w:pPr>
    </w:p>
    <w:p w14:paraId="7D3A0665" w14:textId="77777777" w:rsidR="007D6384" w:rsidRPr="00024A6B" w:rsidRDefault="007D6384" w:rsidP="00115074">
      <w:pPr>
        <w:keepLines/>
        <w:widowControl w:val="0"/>
        <w:rPr>
          <w:rFonts w:asciiTheme="minorHAnsi" w:hAnsiTheme="minorHAnsi" w:cstheme="minorHAnsi"/>
        </w:rPr>
      </w:pPr>
      <w:r w:rsidRPr="00024A6B">
        <w:rPr>
          <w:rFonts w:asciiTheme="minorHAnsi" w:hAnsiTheme="minorHAnsi" w:cstheme="minorHAnsi"/>
        </w:rPr>
        <w:t>Such a situation seems unlikely to arise, as approved providers are generally private entities. Aged care services are not staffed by persons acting in an official capacity, let alone persons acting in an official capacity to inflict severe pain or suffering on a person as a means of obtaining information or a confession, punishing a person for an act committed, or intimidating or coercing someone on discriminatory grounds within the terms of the CAT.</w:t>
      </w:r>
    </w:p>
    <w:p w14:paraId="36144069" w14:textId="77777777" w:rsidR="007D6384" w:rsidRPr="00024A6B" w:rsidRDefault="007D6384" w:rsidP="00115074">
      <w:pPr>
        <w:keepLines/>
        <w:widowControl w:val="0"/>
        <w:rPr>
          <w:rFonts w:asciiTheme="minorHAnsi" w:hAnsiTheme="minorHAnsi" w:cstheme="minorHAnsi"/>
        </w:rPr>
      </w:pPr>
    </w:p>
    <w:p w14:paraId="41F7CF64" w14:textId="77777777" w:rsidR="007D6384" w:rsidRPr="00024A6B" w:rsidRDefault="007D6384" w:rsidP="00115074">
      <w:pPr>
        <w:keepLines/>
        <w:widowControl w:val="0"/>
        <w:rPr>
          <w:rFonts w:asciiTheme="minorHAnsi" w:hAnsiTheme="minorHAnsi" w:cstheme="minorHAnsi"/>
        </w:rPr>
      </w:pPr>
      <w:r w:rsidRPr="00024A6B">
        <w:rPr>
          <w:rFonts w:asciiTheme="minorHAnsi" w:hAnsiTheme="minorHAnsi" w:cstheme="minorHAnsi"/>
        </w:rPr>
        <w:t xml:space="preserve">Should such a circumstance arise it is notable that it would already be criminalised by the </w:t>
      </w:r>
      <w:r w:rsidRPr="00024A6B">
        <w:rPr>
          <w:rFonts w:asciiTheme="minorHAnsi" w:hAnsiTheme="minorHAnsi" w:cstheme="minorHAnsi"/>
          <w:i/>
        </w:rPr>
        <w:t>Crimes Legislation Amendment (Torture Prohibition and Death Penalty Abolition) Act 2010.</w:t>
      </w:r>
    </w:p>
    <w:p w14:paraId="123E9D97" w14:textId="11BE7AAB" w:rsidR="007D6384" w:rsidRPr="00024A6B" w:rsidRDefault="007D6384" w:rsidP="00115074">
      <w:pPr>
        <w:keepLines/>
        <w:widowControl w:val="0"/>
        <w:rPr>
          <w:rFonts w:asciiTheme="minorHAnsi" w:hAnsiTheme="minorHAnsi" w:cstheme="minorHAnsi"/>
          <w:i/>
        </w:rPr>
      </w:pPr>
    </w:p>
    <w:p w14:paraId="53749CD4" w14:textId="425FD349" w:rsidR="00BB586F" w:rsidRPr="00024A6B" w:rsidRDefault="00BB586F" w:rsidP="00115074">
      <w:pPr>
        <w:keepLines/>
        <w:widowControl w:val="0"/>
        <w:rPr>
          <w:rFonts w:asciiTheme="minorHAnsi" w:hAnsiTheme="minorHAnsi" w:cstheme="minorHAnsi"/>
          <w:i/>
        </w:rPr>
      </w:pPr>
      <w:r w:rsidRPr="00024A6B">
        <w:rPr>
          <w:rFonts w:asciiTheme="minorHAnsi" w:hAnsiTheme="minorHAnsi" w:cstheme="minorHAnsi"/>
          <w:i/>
        </w:rPr>
        <w:t>International Covenant on Civil and Political Rights</w:t>
      </w:r>
    </w:p>
    <w:p w14:paraId="71396538" w14:textId="457F2B9E" w:rsidR="00BB586F" w:rsidRPr="00024A6B" w:rsidRDefault="00BB586F" w:rsidP="00115074">
      <w:pPr>
        <w:keepLines/>
        <w:widowControl w:val="0"/>
        <w:rPr>
          <w:rFonts w:asciiTheme="minorHAnsi" w:hAnsiTheme="minorHAnsi" w:cstheme="minorHAnsi"/>
        </w:rPr>
      </w:pPr>
    </w:p>
    <w:p w14:paraId="3AB938BF" w14:textId="27F7634C" w:rsidR="00BB586F" w:rsidRPr="00024A6B" w:rsidRDefault="00BB586F" w:rsidP="00115074">
      <w:pPr>
        <w:keepLines/>
        <w:widowControl w:val="0"/>
        <w:rPr>
          <w:rFonts w:asciiTheme="minorHAnsi" w:hAnsiTheme="minorHAnsi" w:cstheme="minorHAnsi"/>
        </w:rPr>
      </w:pPr>
      <w:r w:rsidRPr="00024A6B">
        <w:rPr>
          <w:rFonts w:asciiTheme="minorHAnsi" w:hAnsiTheme="minorHAnsi" w:cstheme="minorHAnsi"/>
        </w:rPr>
        <w:t xml:space="preserve">Article 7 of the ICCPR provides that no one shall be subjected to torture or to cruel, inhuman or degrading treatment or punishment. The Quality of Care Principles put specific obligations on residential aged care providers in respect of the use of </w:t>
      </w:r>
      <w:r w:rsidR="00670943" w:rsidRPr="00024A6B">
        <w:rPr>
          <w:rFonts w:asciiTheme="minorHAnsi" w:hAnsiTheme="minorHAnsi" w:cstheme="minorHAnsi"/>
        </w:rPr>
        <w:t xml:space="preserve">physical and chemical </w:t>
      </w:r>
      <w:r w:rsidRPr="00024A6B">
        <w:rPr>
          <w:rFonts w:asciiTheme="minorHAnsi" w:hAnsiTheme="minorHAnsi" w:cstheme="minorHAnsi"/>
        </w:rPr>
        <w:t xml:space="preserve">restraint. </w:t>
      </w:r>
      <w:r w:rsidR="002E489F" w:rsidRPr="00024A6B">
        <w:rPr>
          <w:rFonts w:asciiTheme="minorHAnsi" w:hAnsiTheme="minorHAnsi" w:cstheme="minorHAnsi"/>
        </w:rPr>
        <w:t xml:space="preserve">The purpose of such obligations is to provide that restraint must be a strategy of last resort. </w:t>
      </w:r>
    </w:p>
    <w:p w14:paraId="65DAA90E" w14:textId="1211A762" w:rsidR="002E489F" w:rsidRPr="00024A6B" w:rsidRDefault="002E489F" w:rsidP="00115074">
      <w:pPr>
        <w:keepLines/>
        <w:widowControl w:val="0"/>
        <w:rPr>
          <w:rFonts w:asciiTheme="minorHAnsi" w:hAnsiTheme="minorHAnsi" w:cstheme="minorHAnsi"/>
        </w:rPr>
      </w:pPr>
    </w:p>
    <w:p w14:paraId="1A8F3783" w14:textId="4E70D8C2" w:rsidR="002E489F" w:rsidRPr="00024A6B" w:rsidRDefault="002E489F" w:rsidP="00115074">
      <w:pPr>
        <w:keepLines/>
        <w:widowControl w:val="0"/>
        <w:rPr>
          <w:rFonts w:asciiTheme="minorHAnsi" w:hAnsiTheme="minorHAnsi" w:cstheme="minorHAnsi"/>
        </w:rPr>
      </w:pPr>
      <w:r w:rsidRPr="00024A6B">
        <w:rPr>
          <w:rFonts w:asciiTheme="minorHAnsi" w:hAnsiTheme="minorHAnsi" w:cstheme="minorHAnsi"/>
        </w:rPr>
        <w:t xml:space="preserve">The review of Part 4A of the Quality of Care Principles will consider, among other matters, whether the regulatory framework is sufficiently effective to meet Australia’s international obligations. The Amending Instrument will repeal Part 4A on 1 July 2021. Therefore, the use of restraint will continue to be regulated while the review is being conducted. </w:t>
      </w:r>
    </w:p>
    <w:p w14:paraId="29A22A62" w14:textId="428220A8" w:rsidR="00BB586F" w:rsidRPr="00024A6B" w:rsidRDefault="00BB586F" w:rsidP="00115074">
      <w:pPr>
        <w:keepLines/>
        <w:widowControl w:val="0"/>
        <w:rPr>
          <w:rFonts w:asciiTheme="minorHAnsi" w:hAnsiTheme="minorHAnsi" w:cstheme="minorHAnsi"/>
        </w:rPr>
      </w:pPr>
    </w:p>
    <w:p w14:paraId="152BB722" w14:textId="36133B32" w:rsidR="00BB586F" w:rsidRPr="00024A6B" w:rsidRDefault="002E489F" w:rsidP="00115074">
      <w:pPr>
        <w:keepLines/>
        <w:widowControl w:val="0"/>
        <w:rPr>
          <w:rFonts w:asciiTheme="minorHAnsi" w:hAnsiTheme="minorHAnsi" w:cstheme="minorHAnsi"/>
        </w:rPr>
      </w:pPr>
      <w:r w:rsidRPr="00024A6B">
        <w:rPr>
          <w:rFonts w:asciiTheme="minorHAnsi" w:hAnsiTheme="minorHAnsi" w:cstheme="minorHAnsi"/>
        </w:rPr>
        <w:t xml:space="preserve">The Human Rights Committee also noted that “enforcement personnel, medical personnel, police officers and any other persons involved in the custody or treatment of any individual subjected to any form of arrest, detention or imprisonment must receive appropriate instruction and training” concerning the ban on torture and the treatment prohibited by Article 7. </w:t>
      </w:r>
    </w:p>
    <w:p w14:paraId="1AD2BDB7" w14:textId="6EC88488" w:rsidR="002E489F" w:rsidRPr="00024A6B" w:rsidRDefault="002E489F" w:rsidP="00115074">
      <w:pPr>
        <w:keepLines/>
        <w:widowControl w:val="0"/>
        <w:rPr>
          <w:rFonts w:asciiTheme="minorHAnsi" w:hAnsiTheme="minorHAnsi" w:cstheme="minorHAnsi"/>
        </w:rPr>
      </w:pPr>
    </w:p>
    <w:p w14:paraId="1D913FB2" w14:textId="32516C6E" w:rsidR="002E489F" w:rsidRPr="00024A6B" w:rsidRDefault="002E489F" w:rsidP="00115074">
      <w:pPr>
        <w:keepLines/>
        <w:widowControl w:val="0"/>
        <w:rPr>
          <w:rFonts w:asciiTheme="minorHAnsi" w:hAnsiTheme="minorHAnsi" w:cstheme="minorHAnsi"/>
        </w:rPr>
      </w:pPr>
      <w:r w:rsidRPr="00024A6B">
        <w:rPr>
          <w:rFonts w:asciiTheme="minorHAnsi" w:hAnsiTheme="minorHAnsi" w:cstheme="minorHAnsi"/>
        </w:rPr>
        <w:t>While the Amending Instrument</w:t>
      </w:r>
      <w:r w:rsidR="00115074" w:rsidRPr="00024A6B">
        <w:rPr>
          <w:rFonts w:asciiTheme="minorHAnsi" w:hAnsiTheme="minorHAnsi" w:cstheme="minorHAnsi"/>
        </w:rPr>
        <w:t xml:space="preserve"> and Part 4A of the Quality of Care Principles do </w:t>
      </w:r>
      <w:r w:rsidRPr="00024A6B">
        <w:rPr>
          <w:rFonts w:asciiTheme="minorHAnsi" w:hAnsiTheme="minorHAnsi" w:cstheme="minorHAnsi"/>
        </w:rPr>
        <w:t xml:space="preserve">not specifically refer to training, </w:t>
      </w:r>
      <w:r w:rsidR="00115074" w:rsidRPr="00024A6B">
        <w:rPr>
          <w:rFonts w:asciiTheme="minorHAnsi" w:hAnsiTheme="minorHAnsi" w:cstheme="minorHAnsi"/>
        </w:rPr>
        <w:t xml:space="preserve">they are </w:t>
      </w:r>
      <w:r w:rsidRPr="00024A6B">
        <w:rPr>
          <w:rFonts w:asciiTheme="minorHAnsi" w:hAnsiTheme="minorHAnsi" w:cstheme="minorHAnsi"/>
        </w:rPr>
        <w:t>just one component of a suite of reforms aimed at improving the quality and safety of aged care. For example, the Department of Health has worked with stakeholders to develop a single set of Aged Care Quality Standards (</w:t>
      </w:r>
      <w:r w:rsidRPr="00024A6B">
        <w:rPr>
          <w:rFonts w:asciiTheme="minorHAnsi" w:hAnsiTheme="minorHAnsi" w:cstheme="minorHAnsi"/>
          <w:b/>
        </w:rPr>
        <w:t>the Standards</w:t>
      </w:r>
      <w:r w:rsidRPr="00024A6B">
        <w:rPr>
          <w:rFonts w:asciiTheme="minorHAnsi" w:hAnsiTheme="minorHAnsi" w:cstheme="minorHAnsi"/>
        </w:rPr>
        <w:t>) and a single Charter of Aged Care Rights (</w:t>
      </w:r>
      <w:r w:rsidRPr="00024A6B">
        <w:rPr>
          <w:rFonts w:asciiTheme="minorHAnsi" w:hAnsiTheme="minorHAnsi" w:cstheme="minorHAnsi"/>
          <w:b/>
        </w:rPr>
        <w:t>the Charter</w:t>
      </w:r>
      <w:r w:rsidRPr="00024A6B">
        <w:rPr>
          <w:rFonts w:asciiTheme="minorHAnsi" w:hAnsiTheme="minorHAnsi" w:cstheme="minorHAnsi"/>
        </w:rPr>
        <w:t xml:space="preserve">). </w:t>
      </w:r>
    </w:p>
    <w:p w14:paraId="16600813" w14:textId="03714FC5" w:rsidR="00BB586F" w:rsidRPr="00024A6B" w:rsidRDefault="00BB586F" w:rsidP="00115074">
      <w:pPr>
        <w:keepLines/>
        <w:widowControl w:val="0"/>
        <w:rPr>
          <w:rFonts w:asciiTheme="minorHAnsi" w:hAnsiTheme="minorHAnsi" w:cstheme="minorHAnsi"/>
        </w:rPr>
      </w:pPr>
    </w:p>
    <w:p w14:paraId="2D0DF077" w14:textId="028441BD" w:rsidR="00BB586F" w:rsidRPr="00024A6B" w:rsidRDefault="0077405A" w:rsidP="00115074">
      <w:pPr>
        <w:keepLines/>
        <w:widowControl w:val="0"/>
        <w:rPr>
          <w:rFonts w:asciiTheme="minorHAnsi" w:hAnsiTheme="minorHAnsi" w:cstheme="minorHAnsi"/>
        </w:rPr>
      </w:pPr>
      <w:r w:rsidRPr="00024A6B">
        <w:rPr>
          <w:rFonts w:asciiTheme="minorHAnsi" w:hAnsiTheme="minorHAnsi" w:cstheme="minorHAnsi"/>
        </w:rPr>
        <w:t>Under the Standards, aged care facilities are required to demonstrate that their workforce is recruited, trained, equipped and supported to deliver the outcomes required by the Standards. In addition, the Standards require aged care services to deliver safe and effective personal and clinical care which is best practice, tailored to each consumer’s needs and optimises their health and well-being.</w:t>
      </w:r>
    </w:p>
    <w:p w14:paraId="26DA9CD8" w14:textId="51C7951B" w:rsidR="0077405A" w:rsidRPr="00024A6B" w:rsidRDefault="0077405A" w:rsidP="00115074">
      <w:pPr>
        <w:keepLines/>
        <w:widowControl w:val="0"/>
        <w:rPr>
          <w:rFonts w:asciiTheme="minorHAnsi" w:hAnsiTheme="minorHAnsi" w:cstheme="minorHAnsi"/>
        </w:rPr>
      </w:pPr>
    </w:p>
    <w:p w14:paraId="70B01568" w14:textId="0D31463F" w:rsidR="0077405A" w:rsidRPr="00024A6B" w:rsidRDefault="0077405A" w:rsidP="00115074">
      <w:pPr>
        <w:keepLines/>
        <w:widowControl w:val="0"/>
        <w:rPr>
          <w:rFonts w:asciiTheme="minorHAnsi" w:hAnsiTheme="minorHAnsi" w:cstheme="minorHAnsi"/>
        </w:rPr>
      </w:pPr>
      <w:r w:rsidRPr="00024A6B">
        <w:rPr>
          <w:rFonts w:asciiTheme="minorHAnsi" w:hAnsiTheme="minorHAnsi" w:cstheme="minorHAnsi"/>
        </w:rPr>
        <w:t xml:space="preserve">The Commission has developed </w:t>
      </w:r>
      <w:r w:rsidR="00825855" w:rsidRPr="00024A6B">
        <w:rPr>
          <w:rFonts w:asciiTheme="minorHAnsi" w:hAnsiTheme="minorHAnsi" w:cstheme="minorHAnsi"/>
        </w:rPr>
        <w:t>‘</w:t>
      </w:r>
      <w:r w:rsidRPr="00024A6B">
        <w:rPr>
          <w:rFonts w:asciiTheme="minorHAnsi" w:hAnsiTheme="minorHAnsi" w:cstheme="minorHAnsi"/>
          <w:i/>
        </w:rPr>
        <w:t>Guidance and resources for providers to support the Standards</w:t>
      </w:r>
      <w:r w:rsidR="00825855" w:rsidRPr="00024A6B">
        <w:rPr>
          <w:rFonts w:asciiTheme="minorHAnsi" w:hAnsiTheme="minorHAnsi" w:cstheme="minorHAnsi"/>
        </w:rPr>
        <w:t>’</w:t>
      </w:r>
      <w:r w:rsidRPr="00024A6B">
        <w:rPr>
          <w:rFonts w:asciiTheme="minorHAnsi" w:hAnsiTheme="minorHAnsi" w:cstheme="minorHAnsi"/>
        </w:rPr>
        <w:t xml:space="preserve">. The Commission has also released a </w:t>
      </w:r>
      <w:r w:rsidR="00115074" w:rsidRPr="00024A6B">
        <w:rPr>
          <w:rFonts w:asciiTheme="minorHAnsi" w:hAnsiTheme="minorHAnsi" w:cstheme="minorHAnsi"/>
        </w:rPr>
        <w:t>‘</w:t>
      </w:r>
      <w:r w:rsidRPr="00024A6B">
        <w:rPr>
          <w:rFonts w:asciiTheme="minorHAnsi" w:hAnsiTheme="minorHAnsi" w:cstheme="minorHAnsi"/>
          <w:i/>
        </w:rPr>
        <w:t>Regulatory Bulletin</w:t>
      </w:r>
      <w:r w:rsidR="00115074" w:rsidRPr="00024A6B">
        <w:rPr>
          <w:rFonts w:asciiTheme="minorHAnsi" w:hAnsiTheme="minorHAnsi" w:cstheme="minorHAnsi"/>
        </w:rPr>
        <w:t>’</w:t>
      </w:r>
      <w:r w:rsidRPr="00024A6B">
        <w:rPr>
          <w:rFonts w:asciiTheme="minorHAnsi" w:hAnsiTheme="minorHAnsi" w:cstheme="minorHAnsi"/>
        </w:rPr>
        <w:t xml:space="preserve"> and </w:t>
      </w:r>
      <w:r w:rsidR="00115074" w:rsidRPr="00024A6B">
        <w:rPr>
          <w:rFonts w:asciiTheme="minorHAnsi" w:hAnsiTheme="minorHAnsi" w:cstheme="minorHAnsi"/>
        </w:rPr>
        <w:t>‘</w:t>
      </w:r>
      <w:r w:rsidRPr="00024A6B">
        <w:rPr>
          <w:rFonts w:asciiTheme="minorHAnsi" w:hAnsiTheme="minorHAnsi" w:cstheme="minorHAnsi"/>
          <w:i/>
        </w:rPr>
        <w:t>Scenarios involving physical and/or chemical restraint</w:t>
      </w:r>
      <w:r w:rsidR="00115074" w:rsidRPr="00024A6B">
        <w:rPr>
          <w:rFonts w:asciiTheme="minorHAnsi" w:hAnsiTheme="minorHAnsi" w:cstheme="minorHAnsi"/>
        </w:rPr>
        <w:t>’</w:t>
      </w:r>
      <w:r w:rsidRPr="00024A6B">
        <w:rPr>
          <w:rFonts w:asciiTheme="minorHAnsi" w:hAnsiTheme="minorHAnsi" w:cstheme="minorHAnsi"/>
        </w:rPr>
        <w:t xml:space="preserve"> to help providers to understand issues and their responsibilities around minimising the use of restraint. All documents are available for download on the Commission’s website. </w:t>
      </w:r>
    </w:p>
    <w:p w14:paraId="09710FF2" w14:textId="77777777" w:rsidR="00BB586F" w:rsidRPr="00024A6B" w:rsidRDefault="00BB586F" w:rsidP="00115074">
      <w:pPr>
        <w:keepLines/>
        <w:widowControl w:val="0"/>
        <w:rPr>
          <w:rFonts w:asciiTheme="minorHAnsi" w:hAnsiTheme="minorHAnsi" w:cstheme="minorHAnsi"/>
          <w:i/>
        </w:rPr>
      </w:pPr>
    </w:p>
    <w:p w14:paraId="7A74F03E" w14:textId="77777777" w:rsidR="00140CD3" w:rsidRPr="00024A6B" w:rsidRDefault="00140CD3" w:rsidP="00115074">
      <w:pPr>
        <w:keepLines/>
        <w:widowControl w:val="0"/>
        <w:rPr>
          <w:rFonts w:asciiTheme="minorHAnsi" w:hAnsiTheme="minorHAnsi" w:cstheme="minorHAnsi"/>
          <w:i/>
        </w:rPr>
      </w:pPr>
      <w:r w:rsidRPr="00024A6B">
        <w:rPr>
          <w:rFonts w:asciiTheme="minorHAnsi" w:hAnsiTheme="minorHAnsi" w:cstheme="minorHAnsi"/>
          <w:i/>
        </w:rPr>
        <w:t>Convention on the Rights of Persons with Disabilities</w:t>
      </w:r>
    </w:p>
    <w:p w14:paraId="733166B8" w14:textId="77777777" w:rsidR="00140CD3" w:rsidRPr="00024A6B" w:rsidRDefault="00140CD3" w:rsidP="00115074">
      <w:pPr>
        <w:keepLines/>
        <w:widowControl w:val="0"/>
        <w:rPr>
          <w:rFonts w:asciiTheme="minorHAnsi" w:hAnsiTheme="minorHAnsi" w:cstheme="minorHAnsi"/>
        </w:rPr>
      </w:pPr>
    </w:p>
    <w:p w14:paraId="493E85C6" w14:textId="77777777" w:rsidR="00140CD3" w:rsidRPr="00024A6B" w:rsidRDefault="00140CD3" w:rsidP="00115074">
      <w:pPr>
        <w:keepLines/>
        <w:widowControl w:val="0"/>
        <w:rPr>
          <w:rFonts w:asciiTheme="minorHAnsi" w:hAnsiTheme="minorHAnsi" w:cstheme="minorHAnsi"/>
        </w:rPr>
      </w:pPr>
      <w:r w:rsidRPr="00024A6B">
        <w:rPr>
          <w:rFonts w:asciiTheme="minorHAnsi" w:hAnsiTheme="minorHAnsi" w:cstheme="minorHAnsi"/>
        </w:rPr>
        <w:t>Article 15 of the CRPD, provides that States have an obligation to take all effective legislative, administrative, judicial or other measures to prevent persons with disabilities being subjected to torture or/and other cruel, inhuman or degrading treatment or punishment.</w:t>
      </w:r>
    </w:p>
    <w:p w14:paraId="7E9ECA2D" w14:textId="77777777" w:rsidR="00140CD3" w:rsidRPr="00024A6B" w:rsidRDefault="00140CD3" w:rsidP="00115074">
      <w:pPr>
        <w:keepLines/>
        <w:widowControl w:val="0"/>
        <w:rPr>
          <w:rFonts w:asciiTheme="minorHAnsi" w:hAnsiTheme="minorHAnsi" w:cstheme="minorHAnsi"/>
        </w:rPr>
      </w:pPr>
    </w:p>
    <w:p w14:paraId="54489D5E" w14:textId="77777777" w:rsidR="00BB586F" w:rsidRPr="00024A6B" w:rsidRDefault="00BB586F" w:rsidP="00115074">
      <w:pPr>
        <w:keepLines/>
        <w:widowControl w:val="0"/>
        <w:rPr>
          <w:rFonts w:asciiTheme="minorHAnsi" w:hAnsiTheme="minorHAnsi" w:cstheme="minorHAnsi"/>
        </w:rPr>
      </w:pPr>
      <w:r w:rsidRPr="00024A6B">
        <w:rPr>
          <w:rFonts w:asciiTheme="minorHAnsi" w:hAnsiTheme="minorHAnsi" w:cstheme="minorHAnsi"/>
        </w:rPr>
        <w:t xml:space="preserve">The UN Committee on the Rights of Persons with Disabilities has previously recommended that Australia take immediate steps to end practices where persons with disabilities are subjected to </w:t>
      </w:r>
      <w:r w:rsidRPr="00024A6B">
        <w:rPr>
          <w:rFonts w:asciiTheme="minorHAnsi" w:hAnsiTheme="minorHAnsi" w:cstheme="minorHAnsi"/>
          <w:i/>
        </w:rPr>
        <w:t>unregulated</w:t>
      </w:r>
      <w:r w:rsidRPr="00024A6B">
        <w:rPr>
          <w:rFonts w:asciiTheme="minorHAnsi" w:hAnsiTheme="minorHAnsi" w:cstheme="minorHAnsi"/>
        </w:rPr>
        <w:t xml:space="preserve"> behaviour modification or restrictive practices such as chemical and physical restraints in various environments. </w:t>
      </w:r>
    </w:p>
    <w:p w14:paraId="3E58C3EF" w14:textId="77777777" w:rsidR="00BB586F" w:rsidRPr="00024A6B" w:rsidRDefault="00BB586F" w:rsidP="00115074">
      <w:pPr>
        <w:keepLines/>
        <w:widowControl w:val="0"/>
        <w:rPr>
          <w:rFonts w:asciiTheme="minorHAnsi" w:hAnsiTheme="minorHAnsi" w:cstheme="minorHAnsi"/>
        </w:rPr>
      </w:pPr>
    </w:p>
    <w:p w14:paraId="6576767A" w14:textId="77777777" w:rsidR="00115074" w:rsidRPr="00024A6B" w:rsidRDefault="00115074" w:rsidP="00115074">
      <w:pPr>
        <w:keepLines/>
        <w:widowControl w:val="0"/>
        <w:rPr>
          <w:rFonts w:asciiTheme="minorHAnsi" w:hAnsiTheme="minorHAnsi" w:cstheme="minorHAnsi"/>
        </w:rPr>
      </w:pPr>
      <w:r w:rsidRPr="00024A6B">
        <w:rPr>
          <w:rFonts w:asciiTheme="minorHAnsi" w:hAnsiTheme="minorHAnsi" w:cstheme="minorHAnsi"/>
        </w:rPr>
        <w:t xml:space="preserve">The purpose of Part 4A is to minimise the use of physical and chemical restraint. In limited circumstances, and as a last resort, restraint may be necessary to prevent serious harm to an individual or others. For example, the use of antipsychotics and benzodiazepines may be appropriate in circumstances, such as the uncommon psychotic variants of dementia with a risk of self-harm. The primary purpose of restrictive practices must be to respond to the person’s behaviour of concern to protect that person, or others from harm. </w:t>
      </w:r>
    </w:p>
    <w:p w14:paraId="0CAC0542" w14:textId="77777777" w:rsidR="00115074" w:rsidRPr="00024A6B" w:rsidRDefault="00115074" w:rsidP="00115074">
      <w:pPr>
        <w:keepLines/>
        <w:widowControl w:val="0"/>
        <w:rPr>
          <w:rFonts w:asciiTheme="minorHAnsi" w:hAnsiTheme="minorHAnsi" w:cstheme="minorHAnsi"/>
        </w:rPr>
      </w:pPr>
    </w:p>
    <w:p w14:paraId="2CBF2AF7" w14:textId="59B9CDB1" w:rsidR="00140CD3" w:rsidRPr="00024A6B" w:rsidRDefault="00115074" w:rsidP="00115074">
      <w:pPr>
        <w:keepLines/>
        <w:widowControl w:val="0"/>
        <w:rPr>
          <w:rFonts w:asciiTheme="minorHAnsi" w:hAnsiTheme="minorHAnsi" w:cstheme="minorHAnsi"/>
        </w:rPr>
      </w:pPr>
      <w:r w:rsidRPr="00024A6B">
        <w:rPr>
          <w:rFonts w:asciiTheme="minorHAnsi" w:hAnsiTheme="minorHAnsi" w:cstheme="minorHAnsi"/>
        </w:rPr>
        <w:lastRenderedPageBreak/>
        <w:t>In addition, t</w:t>
      </w:r>
      <w:r w:rsidR="00140CD3" w:rsidRPr="00024A6B">
        <w:rPr>
          <w:rFonts w:asciiTheme="minorHAnsi" w:hAnsiTheme="minorHAnsi" w:cstheme="minorHAnsi"/>
        </w:rPr>
        <w:t>he Quality of Care Principles</w:t>
      </w:r>
      <w:r w:rsidR="00140CD3" w:rsidRPr="00024A6B">
        <w:rPr>
          <w:rFonts w:asciiTheme="minorHAnsi" w:hAnsiTheme="minorHAnsi" w:cstheme="minorHAnsi"/>
          <w:i/>
        </w:rPr>
        <w:t xml:space="preserve"> </w:t>
      </w:r>
      <w:r w:rsidR="00140CD3" w:rsidRPr="00024A6B">
        <w:rPr>
          <w:rFonts w:asciiTheme="minorHAnsi" w:hAnsiTheme="minorHAnsi" w:cstheme="minorHAnsi"/>
        </w:rPr>
        <w:t>include a range of safeguards to promote a restraint-free environment and to ensure that no one is subjected to inhuman or degrading treatment. These safeguards</w:t>
      </w:r>
      <w:r w:rsidRPr="00024A6B">
        <w:rPr>
          <w:rFonts w:asciiTheme="minorHAnsi" w:hAnsiTheme="minorHAnsi" w:cstheme="minorHAnsi"/>
        </w:rPr>
        <w:t xml:space="preserve"> aim to regulate the use of restraint in Commonwealth aged care law, and provide </w:t>
      </w:r>
      <w:r w:rsidR="00140CD3" w:rsidRPr="00024A6B">
        <w:rPr>
          <w:rFonts w:asciiTheme="minorHAnsi" w:hAnsiTheme="minorHAnsi" w:cstheme="minorHAnsi"/>
        </w:rPr>
        <w:t>appropriate limitations</w:t>
      </w:r>
      <w:r w:rsidRPr="00024A6B">
        <w:rPr>
          <w:rFonts w:asciiTheme="minorHAnsi" w:hAnsiTheme="minorHAnsi" w:cstheme="minorHAnsi"/>
        </w:rPr>
        <w:t xml:space="preserve"> on the </w:t>
      </w:r>
      <w:r w:rsidR="00140CD3" w:rsidRPr="00024A6B">
        <w:rPr>
          <w:rFonts w:asciiTheme="minorHAnsi" w:hAnsiTheme="minorHAnsi" w:cstheme="minorHAnsi"/>
        </w:rPr>
        <w:t xml:space="preserve">use of restraint. </w:t>
      </w:r>
      <w:r w:rsidRPr="00024A6B">
        <w:rPr>
          <w:rFonts w:asciiTheme="minorHAnsi" w:hAnsiTheme="minorHAnsi" w:cstheme="minorHAnsi"/>
        </w:rPr>
        <w:t xml:space="preserve">The </w:t>
      </w:r>
      <w:r w:rsidR="00140CD3" w:rsidRPr="00024A6B">
        <w:rPr>
          <w:rFonts w:asciiTheme="minorHAnsi" w:hAnsiTheme="minorHAnsi" w:cstheme="minorHAnsi"/>
        </w:rPr>
        <w:t xml:space="preserve">Amending Instrument </w:t>
      </w:r>
      <w:r w:rsidRPr="00024A6B">
        <w:rPr>
          <w:rFonts w:asciiTheme="minorHAnsi" w:hAnsiTheme="minorHAnsi" w:cstheme="minorHAnsi"/>
        </w:rPr>
        <w:t xml:space="preserve">will require a review to evaluate whether such </w:t>
      </w:r>
      <w:r w:rsidR="00140CD3" w:rsidRPr="00024A6B">
        <w:rPr>
          <w:rFonts w:asciiTheme="minorHAnsi" w:hAnsiTheme="minorHAnsi" w:cstheme="minorHAnsi"/>
        </w:rPr>
        <w:t>safeguards</w:t>
      </w:r>
      <w:r w:rsidRPr="00024A6B">
        <w:rPr>
          <w:rFonts w:asciiTheme="minorHAnsi" w:hAnsiTheme="minorHAnsi" w:cstheme="minorHAnsi"/>
        </w:rPr>
        <w:t xml:space="preserve"> are sufficient, and </w:t>
      </w:r>
      <w:r w:rsidR="00140CD3" w:rsidRPr="00024A6B">
        <w:rPr>
          <w:rFonts w:asciiTheme="minorHAnsi" w:hAnsiTheme="minorHAnsi" w:cstheme="minorHAnsi"/>
        </w:rPr>
        <w:t xml:space="preserve">make recommendations </w:t>
      </w:r>
      <w:r w:rsidRPr="00024A6B">
        <w:rPr>
          <w:rFonts w:asciiTheme="minorHAnsi" w:hAnsiTheme="minorHAnsi" w:cstheme="minorHAnsi"/>
        </w:rPr>
        <w:t xml:space="preserve">for reform </w:t>
      </w:r>
      <w:r w:rsidR="00140CD3" w:rsidRPr="00024A6B">
        <w:rPr>
          <w:rFonts w:asciiTheme="minorHAnsi" w:hAnsiTheme="minorHAnsi" w:cstheme="minorHAnsi"/>
        </w:rPr>
        <w:t xml:space="preserve">if necessary. </w:t>
      </w:r>
    </w:p>
    <w:p w14:paraId="663E5271" w14:textId="33E6EBC9" w:rsidR="00FF30BD" w:rsidRPr="00024A6B" w:rsidRDefault="00FF30BD" w:rsidP="00115074">
      <w:pPr>
        <w:keepLines/>
        <w:widowControl w:val="0"/>
        <w:rPr>
          <w:rFonts w:asciiTheme="minorHAnsi" w:hAnsiTheme="minorHAnsi" w:cstheme="minorHAnsi"/>
        </w:rPr>
      </w:pPr>
    </w:p>
    <w:p w14:paraId="7FEDACD0" w14:textId="77777777" w:rsidR="00FF30BD" w:rsidRPr="00024A6B" w:rsidRDefault="00FF30BD" w:rsidP="00115074">
      <w:pPr>
        <w:keepLines/>
        <w:widowControl w:val="0"/>
        <w:rPr>
          <w:rFonts w:asciiTheme="minorHAnsi" w:hAnsiTheme="minorHAnsi" w:cstheme="minorHAnsi"/>
          <w:b/>
        </w:rPr>
      </w:pPr>
      <w:r w:rsidRPr="00024A6B">
        <w:rPr>
          <w:rFonts w:asciiTheme="minorHAnsi" w:hAnsiTheme="minorHAnsi" w:cstheme="minorHAnsi"/>
          <w:b/>
        </w:rPr>
        <w:t>Conclusion</w:t>
      </w:r>
    </w:p>
    <w:p w14:paraId="5C0B99C0" w14:textId="77777777" w:rsidR="00FF30BD" w:rsidRPr="00024A6B" w:rsidRDefault="00FF30BD" w:rsidP="00115074">
      <w:pPr>
        <w:keepLines/>
        <w:widowControl w:val="0"/>
        <w:rPr>
          <w:rFonts w:asciiTheme="minorHAnsi" w:hAnsiTheme="minorHAnsi" w:cstheme="minorHAnsi"/>
        </w:rPr>
      </w:pPr>
    </w:p>
    <w:p w14:paraId="27A3A036" w14:textId="5746E654" w:rsidR="00FF30BD" w:rsidRPr="00024A6B" w:rsidRDefault="00FF30BD" w:rsidP="00115074">
      <w:pPr>
        <w:keepLines/>
        <w:widowControl w:val="0"/>
        <w:rPr>
          <w:rFonts w:asciiTheme="minorHAnsi" w:hAnsiTheme="minorHAnsi" w:cstheme="minorHAnsi"/>
        </w:rPr>
      </w:pPr>
      <w:r w:rsidRPr="00024A6B">
        <w:rPr>
          <w:rFonts w:asciiTheme="minorHAnsi" w:hAnsiTheme="minorHAnsi" w:cstheme="minorHAnsi"/>
        </w:rPr>
        <w:t xml:space="preserve">The </w:t>
      </w:r>
      <w:r w:rsidR="000C56A5" w:rsidRPr="00024A6B">
        <w:rPr>
          <w:rFonts w:asciiTheme="minorHAnsi" w:hAnsiTheme="minorHAnsi" w:cstheme="minorHAnsi"/>
        </w:rPr>
        <w:t xml:space="preserve">Amending Principles are </w:t>
      </w:r>
      <w:r w:rsidRPr="00024A6B">
        <w:rPr>
          <w:rFonts w:asciiTheme="minorHAnsi" w:hAnsiTheme="minorHAnsi" w:cstheme="minorHAnsi"/>
        </w:rPr>
        <w:t xml:space="preserve">compatible with the human rights and freedoms recognised or declared in the international instruments listed in section 3 of the </w:t>
      </w:r>
      <w:r w:rsidRPr="00024A6B">
        <w:rPr>
          <w:rFonts w:asciiTheme="minorHAnsi" w:hAnsiTheme="minorHAnsi" w:cstheme="minorHAnsi"/>
          <w:i/>
        </w:rPr>
        <w:t>Human Rights (Parliamentary Scrutiny) Act 2011</w:t>
      </w:r>
      <w:r w:rsidRPr="00024A6B">
        <w:rPr>
          <w:rFonts w:asciiTheme="minorHAnsi" w:hAnsiTheme="minorHAnsi" w:cstheme="minorHAnsi"/>
        </w:rPr>
        <w:t xml:space="preserve">. </w:t>
      </w:r>
      <w:r w:rsidR="000C56A5" w:rsidRPr="00024A6B">
        <w:rPr>
          <w:rFonts w:asciiTheme="minorHAnsi" w:hAnsiTheme="minorHAnsi" w:cstheme="minorHAnsi"/>
        </w:rPr>
        <w:t>It</w:t>
      </w:r>
      <w:r w:rsidRPr="00024A6B">
        <w:rPr>
          <w:rFonts w:asciiTheme="minorHAnsi" w:hAnsiTheme="minorHAnsi" w:cstheme="minorHAnsi"/>
        </w:rPr>
        <w:t xml:space="preserve"> promotes the </w:t>
      </w:r>
      <w:r w:rsidR="00030B98" w:rsidRPr="00024A6B">
        <w:rPr>
          <w:rFonts w:asciiTheme="minorHAnsi" w:hAnsiTheme="minorHAnsi" w:cstheme="minorHAnsi"/>
        </w:rPr>
        <w:t xml:space="preserve">consumer’s </w:t>
      </w:r>
      <w:r w:rsidRPr="00024A6B">
        <w:rPr>
          <w:rFonts w:asciiTheme="minorHAnsi" w:hAnsiTheme="minorHAnsi" w:cstheme="minorHAnsi"/>
        </w:rPr>
        <w:t>right</w:t>
      </w:r>
      <w:r w:rsidR="00771970" w:rsidRPr="00024A6B">
        <w:rPr>
          <w:rFonts w:asciiTheme="minorHAnsi" w:hAnsiTheme="minorHAnsi" w:cstheme="minorHAnsi"/>
        </w:rPr>
        <w:t>s</w:t>
      </w:r>
      <w:r w:rsidRPr="00024A6B">
        <w:rPr>
          <w:rFonts w:asciiTheme="minorHAnsi" w:hAnsiTheme="minorHAnsi" w:cstheme="minorHAnsi"/>
        </w:rPr>
        <w:t xml:space="preserve"> to </w:t>
      </w:r>
      <w:r w:rsidR="00030B98" w:rsidRPr="00024A6B">
        <w:rPr>
          <w:rFonts w:asciiTheme="minorHAnsi" w:hAnsiTheme="minorHAnsi" w:cstheme="minorHAnsi"/>
        </w:rPr>
        <w:t>the enjoyment of the highest attainable standard of physical and mental health, and to protection from exploitation, violence and abuse</w:t>
      </w:r>
      <w:r w:rsidR="00115074" w:rsidRPr="00024A6B">
        <w:rPr>
          <w:rFonts w:asciiTheme="minorHAnsi" w:hAnsiTheme="minorHAnsi" w:cstheme="minorHAnsi"/>
        </w:rPr>
        <w:t xml:space="preserve"> and is consistent with Australia’s international obligations to prohibit torture, cruel, inhuman or degrading treatment or punishment. </w:t>
      </w:r>
    </w:p>
    <w:p w14:paraId="4B460C83" w14:textId="77777777" w:rsidR="0062504E" w:rsidRPr="00024A6B" w:rsidRDefault="0062504E" w:rsidP="00D004C7">
      <w:pPr>
        <w:keepLines/>
        <w:widowControl w:val="0"/>
        <w:jc w:val="center"/>
        <w:rPr>
          <w:rFonts w:asciiTheme="minorHAnsi" w:hAnsiTheme="minorHAnsi" w:cstheme="minorHAnsi"/>
        </w:rPr>
      </w:pPr>
    </w:p>
    <w:p w14:paraId="0BDF55F5" w14:textId="1886C329" w:rsidR="00FF30BD" w:rsidRPr="00024A6B" w:rsidRDefault="00FF30BD" w:rsidP="00D004C7">
      <w:pPr>
        <w:keepLines/>
        <w:widowControl w:val="0"/>
        <w:jc w:val="center"/>
        <w:rPr>
          <w:rFonts w:asciiTheme="minorHAnsi" w:hAnsiTheme="minorHAnsi" w:cstheme="minorHAnsi"/>
          <w:b/>
        </w:rPr>
      </w:pPr>
      <w:r w:rsidRPr="00024A6B">
        <w:rPr>
          <w:rFonts w:asciiTheme="minorHAnsi" w:hAnsiTheme="minorHAnsi" w:cstheme="minorHAnsi"/>
          <w:b/>
        </w:rPr>
        <w:t xml:space="preserve">The Hon </w:t>
      </w:r>
      <w:r w:rsidR="00574CFA" w:rsidRPr="00024A6B">
        <w:rPr>
          <w:rFonts w:asciiTheme="minorHAnsi" w:hAnsiTheme="minorHAnsi" w:cstheme="minorHAnsi"/>
          <w:b/>
        </w:rPr>
        <w:t>Richard Colbeck</w:t>
      </w:r>
    </w:p>
    <w:p w14:paraId="1DE2F66E" w14:textId="77777777" w:rsidR="000E7DF8" w:rsidRPr="00024A6B" w:rsidRDefault="00FF30BD" w:rsidP="00D004C7">
      <w:pPr>
        <w:keepLines/>
        <w:widowControl w:val="0"/>
        <w:jc w:val="center"/>
        <w:rPr>
          <w:rFonts w:asciiTheme="minorHAnsi" w:hAnsiTheme="minorHAnsi" w:cstheme="minorHAnsi"/>
          <w:b/>
        </w:rPr>
      </w:pPr>
      <w:r w:rsidRPr="00024A6B">
        <w:rPr>
          <w:rFonts w:asciiTheme="minorHAnsi" w:hAnsiTheme="minorHAnsi" w:cstheme="minorHAnsi"/>
          <w:b/>
        </w:rPr>
        <w:t>Minister for Aged Care</w:t>
      </w:r>
      <w:r w:rsidR="000E7DF8" w:rsidRPr="00024A6B">
        <w:rPr>
          <w:rFonts w:asciiTheme="minorHAnsi" w:hAnsiTheme="minorHAnsi" w:cstheme="minorHAnsi"/>
          <w:b/>
        </w:rPr>
        <w:t xml:space="preserve"> and Senior Australians</w:t>
      </w:r>
    </w:p>
    <w:p w14:paraId="6A34CA7E" w14:textId="7F028BE1" w:rsidR="00E461C5" w:rsidRPr="00115074" w:rsidRDefault="000E7DF8" w:rsidP="00D004C7">
      <w:pPr>
        <w:keepLines/>
        <w:widowControl w:val="0"/>
        <w:jc w:val="center"/>
        <w:rPr>
          <w:rFonts w:asciiTheme="minorHAnsi" w:hAnsiTheme="minorHAnsi" w:cstheme="minorHAnsi"/>
        </w:rPr>
      </w:pPr>
      <w:r w:rsidRPr="00024A6B">
        <w:rPr>
          <w:rFonts w:asciiTheme="minorHAnsi" w:hAnsiTheme="minorHAnsi" w:cstheme="minorHAnsi"/>
          <w:b/>
        </w:rPr>
        <w:t>Minister for Sport and Youth</w:t>
      </w:r>
    </w:p>
    <w:sectPr w:rsidR="00E461C5" w:rsidRPr="00115074" w:rsidSect="00CA3B74">
      <w:footerReference w:type="default" r:id="rId1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3307" w14:textId="77777777" w:rsidR="00256B4B" w:rsidRDefault="00256B4B" w:rsidP="009348F3">
      <w:r>
        <w:separator/>
      </w:r>
    </w:p>
  </w:endnote>
  <w:endnote w:type="continuationSeparator" w:id="0">
    <w:p w14:paraId="52A31E69" w14:textId="77777777" w:rsidR="00256B4B" w:rsidRDefault="00256B4B" w:rsidP="0093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A7C4" w14:textId="46829349" w:rsidR="00256B4B" w:rsidRPr="00432EC1" w:rsidRDefault="00256B4B">
    <w:pPr>
      <w:pStyle w:val="Footer"/>
      <w:jc w:val="right"/>
      <w:rPr>
        <w:rFonts w:ascii="Arial" w:hAnsi="Arial" w:cs="Arial"/>
      </w:rPr>
    </w:pPr>
    <w:r w:rsidRPr="00432EC1">
      <w:rPr>
        <w:rFonts w:ascii="Arial" w:hAnsi="Arial" w:cs="Arial"/>
      </w:rPr>
      <w:fldChar w:fldCharType="begin"/>
    </w:r>
    <w:r w:rsidRPr="00432EC1">
      <w:rPr>
        <w:rFonts w:ascii="Arial" w:hAnsi="Arial" w:cs="Arial"/>
      </w:rPr>
      <w:instrText xml:space="preserve"> PAGE   \* MERGEFORMAT </w:instrText>
    </w:r>
    <w:r w:rsidRPr="00432EC1">
      <w:rPr>
        <w:rFonts w:ascii="Arial" w:hAnsi="Arial" w:cs="Arial"/>
      </w:rPr>
      <w:fldChar w:fldCharType="separate"/>
    </w:r>
    <w:r w:rsidR="00024A6B">
      <w:rPr>
        <w:rFonts w:ascii="Arial" w:hAnsi="Arial" w:cs="Arial"/>
        <w:noProof/>
      </w:rPr>
      <w:t>1</w:t>
    </w:r>
    <w:r w:rsidRPr="00432EC1">
      <w:rPr>
        <w:rFonts w:ascii="Arial" w:hAnsi="Arial" w:cs="Arial"/>
        <w:noProof/>
      </w:rPr>
      <w:fldChar w:fldCharType="end"/>
    </w:r>
  </w:p>
  <w:p w14:paraId="1827F1AF" w14:textId="77777777" w:rsidR="00256B4B" w:rsidRDefault="00256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2442F" w14:textId="77777777" w:rsidR="00256B4B" w:rsidRDefault="00256B4B" w:rsidP="009348F3">
      <w:r>
        <w:separator/>
      </w:r>
    </w:p>
  </w:footnote>
  <w:footnote w:type="continuationSeparator" w:id="0">
    <w:p w14:paraId="6BD8E6C7" w14:textId="77777777" w:rsidR="00256B4B" w:rsidRDefault="00256B4B" w:rsidP="0093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EE1"/>
    <w:multiLevelType w:val="hybridMultilevel"/>
    <w:tmpl w:val="DEC6F27A"/>
    <w:lvl w:ilvl="0" w:tplc="1BFA9CB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F522E9"/>
    <w:multiLevelType w:val="hybridMultilevel"/>
    <w:tmpl w:val="F81CDA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B20DB5"/>
    <w:multiLevelType w:val="hybridMultilevel"/>
    <w:tmpl w:val="3FFC1BEA"/>
    <w:lvl w:ilvl="0" w:tplc="CC22B3A4">
      <w:start w:val="1"/>
      <w:numFmt w:val="bullet"/>
      <w:pStyle w:val="TableListParagraph"/>
      <w:lvlText w:val="►"/>
      <w:lvlJc w:val="left"/>
      <w:pPr>
        <w:ind w:left="360" w:hanging="360"/>
      </w:pPr>
      <w:rPr>
        <w:rFonts w:ascii="Arial" w:hAnsi="Arial" w:hint="default"/>
        <w:color w:val="4E015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73CE5"/>
    <w:multiLevelType w:val="hybridMultilevel"/>
    <w:tmpl w:val="C53C14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3EF2EB0"/>
    <w:multiLevelType w:val="hybridMultilevel"/>
    <w:tmpl w:val="09344CFA"/>
    <w:lvl w:ilvl="0" w:tplc="BF80150C">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83CEE"/>
    <w:multiLevelType w:val="hybridMultilevel"/>
    <w:tmpl w:val="6A4AFB3E"/>
    <w:lvl w:ilvl="0" w:tplc="A606C2BE">
      <w:numFmt w:val="bullet"/>
      <w:lvlText w:val=""/>
      <w:lvlJc w:val="left"/>
      <w:pPr>
        <w:ind w:left="720" w:hanging="360"/>
      </w:pPr>
      <w:rPr>
        <w:rFonts w:ascii="Symbol" w:eastAsia="Times New Roman" w:hAnsi="Symbol" w:cstheme="minorHAns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293AFC"/>
    <w:multiLevelType w:val="hybridMultilevel"/>
    <w:tmpl w:val="1EA4C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627E50"/>
    <w:multiLevelType w:val="hybridMultilevel"/>
    <w:tmpl w:val="22E2A036"/>
    <w:lvl w:ilvl="0" w:tplc="DF08BC54">
      <w:start w:val="1"/>
      <w:numFmt w:val="bullet"/>
      <w:lvlText w:val=""/>
      <w:lvlJc w:val="left"/>
      <w:pPr>
        <w:ind w:left="720" w:hanging="360"/>
      </w:pPr>
      <w:rPr>
        <w:rFonts w:ascii="Symbol" w:hAnsi="Symbol" w:hint="default"/>
      </w:rPr>
    </w:lvl>
    <w:lvl w:ilvl="1" w:tplc="6F267AE2" w:tentative="1">
      <w:start w:val="1"/>
      <w:numFmt w:val="bullet"/>
      <w:lvlText w:val="o"/>
      <w:lvlJc w:val="left"/>
      <w:pPr>
        <w:ind w:left="1440" w:hanging="360"/>
      </w:pPr>
      <w:rPr>
        <w:rFonts w:ascii="Courier New" w:hAnsi="Courier New" w:cs="Courier New" w:hint="default"/>
      </w:rPr>
    </w:lvl>
    <w:lvl w:ilvl="2" w:tplc="B6B6FA30" w:tentative="1">
      <w:start w:val="1"/>
      <w:numFmt w:val="bullet"/>
      <w:lvlText w:val=""/>
      <w:lvlJc w:val="left"/>
      <w:pPr>
        <w:ind w:left="2160" w:hanging="360"/>
      </w:pPr>
      <w:rPr>
        <w:rFonts w:ascii="Wingdings" w:hAnsi="Wingdings" w:hint="default"/>
      </w:rPr>
    </w:lvl>
    <w:lvl w:ilvl="3" w:tplc="C552949A" w:tentative="1">
      <w:start w:val="1"/>
      <w:numFmt w:val="bullet"/>
      <w:lvlText w:val=""/>
      <w:lvlJc w:val="left"/>
      <w:pPr>
        <w:ind w:left="2880" w:hanging="360"/>
      </w:pPr>
      <w:rPr>
        <w:rFonts w:ascii="Symbol" w:hAnsi="Symbol" w:hint="default"/>
      </w:rPr>
    </w:lvl>
    <w:lvl w:ilvl="4" w:tplc="3F4CC594" w:tentative="1">
      <w:start w:val="1"/>
      <w:numFmt w:val="bullet"/>
      <w:lvlText w:val="o"/>
      <w:lvlJc w:val="left"/>
      <w:pPr>
        <w:ind w:left="3600" w:hanging="360"/>
      </w:pPr>
      <w:rPr>
        <w:rFonts w:ascii="Courier New" w:hAnsi="Courier New" w:cs="Courier New" w:hint="default"/>
      </w:rPr>
    </w:lvl>
    <w:lvl w:ilvl="5" w:tplc="3BC423BA" w:tentative="1">
      <w:start w:val="1"/>
      <w:numFmt w:val="bullet"/>
      <w:lvlText w:val=""/>
      <w:lvlJc w:val="left"/>
      <w:pPr>
        <w:ind w:left="4320" w:hanging="360"/>
      </w:pPr>
      <w:rPr>
        <w:rFonts w:ascii="Wingdings" w:hAnsi="Wingdings" w:hint="default"/>
      </w:rPr>
    </w:lvl>
    <w:lvl w:ilvl="6" w:tplc="0FAEEE58" w:tentative="1">
      <w:start w:val="1"/>
      <w:numFmt w:val="bullet"/>
      <w:lvlText w:val=""/>
      <w:lvlJc w:val="left"/>
      <w:pPr>
        <w:ind w:left="5040" w:hanging="360"/>
      </w:pPr>
      <w:rPr>
        <w:rFonts w:ascii="Symbol" w:hAnsi="Symbol" w:hint="default"/>
      </w:rPr>
    </w:lvl>
    <w:lvl w:ilvl="7" w:tplc="625CC516" w:tentative="1">
      <w:start w:val="1"/>
      <w:numFmt w:val="bullet"/>
      <w:lvlText w:val="o"/>
      <w:lvlJc w:val="left"/>
      <w:pPr>
        <w:ind w:left="5760" w:hanging="360"/>
      </w:pPr>
      <w:rPr>
        <w:rFonts w:ascii="Courier New" w:hAnsi="Courier New" w:cs="Courier New" w:hint="default"/>
      </w:rPr>
    </w:lvl>
    <w:lvl w:ilvl="8" w:tplc="7C86AA7E" w:tentative="1">
      <w:start w:val="1"/>
      <w:numFmt w:val="bullet"/>
      <w:lvlText w:val=""/>
      <w:lvlJc w:val="left"/>
      <w:pPr>
        <w:ind w:left="6480" w:hanging="360"/>
      </w:pPr>
      <w:rPr>
        <w:rFonts w:ascii="Wingdings" w:hAnsi="Wingdings" w:hint="default"/>
      </w:rPr>
    </w:lvl>
  </w:abstractNum>
  <w:abstractNum w:abstractNumId="8" w15:restartNumberingAfterBreak="0">
    <w:nsid w:val="426E3DCC"/>
    <w:multiLevelType w:val="hybridMultilevel"/>
    <w:tmpl w:val="E034B058"/>
    <w:lvl w:ilvl="0" w:tplc="EEDAD3A2">
      <w:start w:val="1"/>
      <w:numFmt w:val="bullet"/>
      <w:lvlText w:val=""/>
      <w:lvlJc w:val="left"/>
      <w:pPr>
        <w:ind w:left="720" w:hanging="360"/>
      </w:pPr>
      <w:rPr>
        <w:rFonts w:ascii="Symbol" w:hAnsi="Symbol" w:hint="default"/>
      </w:rPr>
    </w:lvl>
    <w:lvl w:ilvl="1" w:tplc="AE04424E" w:tentative="1">
      <w:start w:val="1"/>
      <w:numFmt w:val="bullet"/>
      <w:lvlText w:val="o"/>
      <w:lvlJc w:val="left"/>
      <w:pPr>
        <w:ind w:left="1440" w:hanging="360"/>
      </w:pPr>
      <w:rPr>
        <w:rFonts w:ascii="Courier New" w:hAnsi="Courier New" w:cs="Courier New" w:hint="default"/>
      </w:rPr>
    </w:lvl>
    <w:lvl w:ilvl="2" w:tplc="03808400" w:tentative="1">
      <w:start w:val="1"/>
      <w:numFmt w:val="bullet"/>
      <w:lvlText w:val=""/>
      <w:lvlJc w:val="left"/>
      <w:pPr>
        <w:ind w:left="2160" w:hanging="360"/>
      </w:pPr>
      <w:rPr>
        <w:rFonts w:ascii="Wingdings" w:hAnsi="Wingdings" w:hint="default"/>
      </w:rPr>
    </w:lvl>
    <w:lvl w:ilvl="3" w:tplc="6FAC9A98" w:tentative="1">
      <w:start w:val="1"/>
      <w:numFmt w:val="bullet"/>
      <w:lvlText w:val=""/>
      <w:lvlJc w:val="left"/>
      <w:pPr>
        <w:ind w:left="2880" w:hanging="360"/>
      </w:pPr>
      <w:rPr>
        <w:rFonts w:ascii="Symbol" w:hAnsi="Symbol" w:hint="default"/>
      </w:rPr>
    </w:lvl>
    <w:lvl w:ilvl="4" w:tplc="6478A7F2" w:tentative="1">
      <w:start w:val="1"/>
      <w:numFmt w:val="bullet"/>
      <w:lvlText w:val="o"/>
      <w:lvlJc w:val="left"/>
      <w:pPr>
        <w:ind w:left="3600" w:hanging="360"/>
      </w:pPr>
      <w:rPr>
        <w:rFonts w:ascii="Courier New" w:hAnsi="Courier New" w:cs="Courier New" w:hint="default"/>
      </w:rPr>
    </w:lvl>
    <w:lvl w:ilvl="5" w:tplc="6B68E5A2" w:tentative="1">
      <w:start w:val="1"/>
      <w:numFmt w:val="bullet"/>
      <w:lvlText w:val=""/>
      <w:lvlJc w:val="left"/>
      <w:pPr>
        <w:ind w:left="4320" w:hanging="360"/>
      </w:pPr>
      <w:rPr>
        <w:rFonts w:ascii="Wingdings" w:hAnsi="Wingdings" w:hint="default"/>
      </w:rPr>
    </w:lvl>
    <w:lvl w:ilvl="6" w:tplc="09E4BDB2" w:tentative="1">
      <w:start w:val="1"/>
      <w:numFmt w:val="bullet"/>
      <w:lvlText w:val=""/>
      <w:lvlJc w:val="left"/>
      <w:pPr>
        <w:ind w:left="5040" w:hanging="360"/>
      </w:pPr>
      <w:rPr>
        <w:rFonts w:ascii="Symbol" w:hAnsi="Symbol" w:hint="default"/>
      </w:rPr>
    </w:lvl>
    <w:lvl w:ilvl="7" w:tplc="FA401DE8" w:tentative="1">
      <w:start w:val="1"/>
      <w:numFmt w:val="bullet"/>
      <w:lvlText w:val="o"/>
      <w:lvlJc w:val="left"/>
      <w:pPr>
        <w:ind w:left="5760" w:hanging="360"/>
      </w:pPr>
      <w:rPr>
        <w:rFonts w:ascii="Courier New" w:hAnsi="Courier New" w:cs="Courier New" w:hint="default"/>
      </w:rPr>
    </w:lvl>
    <w:lvl w:ilvl="8" w:tplc="9F645BD6" w:tentative="1">
      <w:start w:val="1"/>
      <w:numFmt w:val="bullet"/>
      <w:lvlText w:val=""/>
      <w:lvlJc w:val="left"/>
      <w:pPr>
        <w:ind w:left="6480" w:hanging="360"/>
      </w:pPr>
      <w:rPr>
        <w:rFonts w:ascii="Wingdings" w:hAnsi="Wingdings" w:hint="default"/>
      </w:rPr>
    </w:lvl>
  </w:abstractNum>
  <w:abstractNum w:abstractNumId="9" w15:restartNumberingAfterBreak="0">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74572A1"/>
    <w:multiLevelType w:val="hybridMultilevel"/>
    <w:tmpl w:val="C6BEEBF2"/>
    <w:lvl w:ilvl="0" w:tplc="BF80150C">
      <w:start w:val="9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436CB5"/>
    <w:multiLevelType w:val="multilevel"/>
    <w:tmpl w:val="9B42A4C6"/>
    <w:lvl w:ilvl="0">
      <w:start w:val="1"/>
      <w:numFmt w:val="bullet"/>
      <w:lvlText w:val=""/>
      <w:lvlJc w:val="left"/>
      <w:pPr>
        <w:ind w:left="369" w:hanging="369"/>
      </w:pPr>
      <w:rPr>
        <w:rFonts w:ascii="Symbol" w:hAnsi="Symbol" w:hint="default"/>
        <w:color w:val="auto"/>
        <w:sz w:val="24"/>
        <w:szCs w:val="24"/>
      </w:rPr>
    </w:lvl>
    <w:lvl w:ilvl="1">
      <w:start w:val="1"/>
      <w:numFmt w:val="lowerLetter"/>
      <w:lvlText w:val="%2."/>
      <w:lvlJc w:val="left"/>
      <w:pPr>
        <w:ind w:left="738" w:hanging="369"/>
      </w:pPr>
      <w:rPr>
        <w:rFonts w:hint="default"/>
      </w:rPr>
    </w:lvl>
    <w:lvl w:ilvl="2">
      <w:start w:val="1"/>
      <w:numFmt w:val="bullet"/>
      <w:lvlText w:val=""/>
      <w:lvlJc w:val="left"/>
      <w:pPr>
        <w:ind w:left="1107" w:hanging="369"/>
      </w:pPr>
      <w:rPr>
        <w:rFonts w:ascii="Wingdings" w:hAnsi="Wingdings" w:hint="default"/>
        <w:color w:val="auto"/>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498372AD"/>
    <w:multiLevelType w:val="hybridMultilevel"/>
    <w:tmpl w:val="301C2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BA79F9"/>
    <w:multiLevelType w:val="hybridMultilevel"/>
    <w:tmpl w:val="2774E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C86D11"/>
    <w:multiLevelType w:val="hybridMultilevel"/>
    <w:tmpl w:val="794243BC"/>
    <w:lvl w:ilvl="0" w:tplc="F50EA1D2">
      <w:start w:val="96"/>
      <w:numFmt w:val="bullet"/>
      <w:lvlText w:val=""/>
      <w:lvlJc w:val="left"/>
      <w:pPr>
        <w:ind w:left="720" w:hanging="360"/>
      </w:pPr>
      <w:rPr>
        <w:rFonts w:ascii="Symbol" w:eastAsia="Times New Roman" w:hAnsi="Symbo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200AF"/>
    <w:multiLevelType w:val="hybridMultilevel"/>
    <w:tmpl w:val="E38ADD38"/>
    <w:lvl w:ilvl="0" w:tplc="BF80150C">
      <w:start w:val="9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56430D"/>
    <w:multiLevelType w:val="hybridMultilevel"/>
    <w:tmpl w:val="0854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AE5EF6"/>
    <w:multiLevelType w:val="hybridMultilevel"/>
    <w:tmpl w:val="BC46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1A06EB"/>
    <w:multiLevelType w:val="hybridMultilevel"/>
    <w:tmpl w:val="3DCC1C92"/>
    <w:lvl w:ilvl="0" w:tplc="E47E5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932CB6"/>
    <w:multiLevelType w:val="hybridMultilevel"/>
    <w:tmpl w:val="1BD87E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94264DB"/>
    <w:multiLevelType w:val="hybridMultilevel"/>
    <w:tmpl w:val="DE24B67E"/>
    <w:lvl w:ilvl="0" w:tplc="BF80150C">
      <w:start w:val="9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11FD1"/>
    <w:multiLevelType w:val="hybridMultilevel"/>
    <w:tmpl w:val="7E7AAEE2"/>
    <w:lvl w:ilvl="0" w:tplc="BF80150C">
      <w:start w:val="9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F559AC"/>
    <w:multiLevelType w:val="hybridMultilevel"/>
    <w:tmpl w:val="BBD2D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81DE9"/>
    <w:multiLevelType w:val="hybridMultilevel"/>
    <w:tmpl w:val="6FA8EFE8"/>
    <w:lvl w:ilvl="0" w:tplc="BF80150C">
      <w:start w:val="9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896012"/>
    <w:multiLevelType w:val="hybridMultilevel"/>
    <w:tmpl w:val="A094EA4C"/>
    <w:lvl w:ilvl="0" w:tplc="BF80150C">
      <w:start w:val="96"/>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5626E"/>
    <w:multiLevelType w:val="hybridMultilevel"/>
    <w:tmpl w:val="D2967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C17320"/>
    <w:multiLevelType w:val="hybridMultilevel"/>
    <w:tmpl w:val="BF662CB8"/>
    <w:lvl w:ilvl="0" w:tplc="DE4C9F80">
      <w:start w:val="1"/>
      <w:numFmt w:val="bullet"/>
      <w:lvlText w:val=""/>
      <w:lvlJc w:val="left"/>
      <w:pPr>
        <w:ind w:left="720" w:hanging="360"/>
      </w:pPr>
      <w:rPr>
        <w:rFonts w:ascii="Symbol" w:hAnsi="Symbol" w:hint="default"/>
      </w:rPr>
    </w:lvl>
    <w:lvl w:ilvl="1" w:tplc="98BAA51A" w:tentative="1">
      <w:start w:val="1"/>
      <w:numFmt w:val="bullet"/>
      <w:lvlText w:val="o"/>
      <w:lvlJc w:val="left"/>
      <w:pPr>
        <w:ind w:left="1440" w:hanging="360"/>
      </w:pPr>
      <w:rPr>
        <w:rFonts w:ascii="Courier New" w:hAnsi="Courier New" w:cs="Courier New" w:hint="default"/>
      </w:rPr>
    </w:lvl>
    <w:lvl w:ilvl="2" w:tplc="6B3405F6" w:tentative="1">
      <w:start w:val="1"/>
      <w:numFmt w:val="bullet"/>
      <w:lvlText w:val=""/>
      <w:lvlJc w:val="left"/>
      <w:pPr>
        <w:ind w:left="2160" w:hanging="360"/>
      </w:pPr>
      <w:rPr>
        <w:rFonts w:ascii="Wingdings" w:hAnsi="Wingdings" w:hint="default"/>
      </w:rPr>
    </w:lvl>
    <w:lvl w:ilvl="3" w:tplc="FF46A6E4" w:tentative="1">
      <w:start w:val="1"/>
      <w:numFmt w:val="bullet"/>
      <w:lvlText w:val=""/>
      <w:lvlJc w:val="left"/>
      <w:pPr>
        <w:ind w:left="2880" w:hanging="360"/>
      </w:pPr>
      <w:rPr>
        <w:rFonts w:ascii="Symbol" w:hAnsi="Symbol" w:hint="default"/>
      </w:rPr>
    </w:lvl>
    <w:lvl w:ilvl="4" w:tplc="1B7E2418" w:tentative="1">
      <w:start w:val="1"/>
      <w:numFmt w:val="bullet"/>
      <w:lvlText w:val="o"/>
      <w:lvlJc w:val="left"/>
      <w:pPr>
        <w:ind w:left="3600" w:hanging="360"/>
      </w:pPr>
      <w:rPr>
        <w:rFonts w:ascii="Courier New" w:hAnsi="Courier New" w:cs="Courier New" w:hint="default"/>
      </w:rPr>
    </w:lvl>
    <w:lvl w:ilvl="5" w:tplc="0D62A8C2" w:tentative="1">
      <w:start w:val="1"/>
      <w:numFmt w:val="bullet"/>
      <w:lvlText w:val=""/>
      <w:lvlJc w:val="left"/>
      <w:pPr>
        <w:ind w:left="4320" w:hanging="360"/>
      </w:pPr>
      <w:rPr>
        <w:rFonts w:ascii="Wingdings" w:hAnsi="Wingdings" w:hint="default"/>
      </w:rPr>
    </w:lvl>
    <w:lvl w:ilvl="6" w:tplc="83864096" w:tentative="1">
      <w:start w:val="1"/>
      <w:numFmt w:val="bullet"/>
      <w:lvlText w:val=""/>
      <w:lvlJc w:val="left"/>
      <w:pPr>
        <w:ind w:left="5040" w:hanging="360"/>
      </w:pPr>
      <w:rPr>
        <w:rFonts w:ascii="Symbol" w:hAnsi="Symbol" w:hint="default"/>
      </w:rPr>
    </w:lvl>
    <w:lvl w:ilvl="7" w:tplc="18141EF6" w:tentative="1">
      <w:start w:val="1"/>
      <w:numFmt w:val="bullet"/>
      <w:lvlText w:val="o"/>
      <w:lvlJc w:val="left"/>
      <w:pPr>
        <w:ind w:left="5760" w:hanging="360"/>
      </w:pPr>
      <w:rPr>
        <w:rFonts w:ascii="Courier New" w:hAnsi="Courier New" w:cs="Courier New" w:hint="default"/>
      </w:rPr>
    </w:lvl>
    <w:lvl w:ilvl="8" w:tplc="11C86154"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0"/>
  </w:num>
  <w:num w:numId="4">
    <w:abstractNumId w:val="6"/>
  </w:num>
  <w:num w:numId="5">
    <w:abstractNumId w:val="16"/>
  </w:num>
  <w:num w:numId="6">
    <w:abstractNumId w:val="1"/>
  </w:num>
  <w:num w:numId="7">
    <w:abstractNumId w:val="12"/>
  </w:num>
  <w:num w:numId="8">
    <w:abstractNumId w:val="23"/>
  </w:num>
  <w:num w:numId="9">
    <w:abstractNumId w:val="13"/>
  </w:num>
  <w:num w:numId="10">
    <w:abstractNumId w:val="3"/>
  </w:num>
  <w:num w:numId="11">
    <w:abstractNumId w:val="14"/>
  </w:num>
  <w:num w:numId="12">
    <w:abstractNumId w:val="2"/>
  </w:num>
  <w:num w:numId="13">
    <w:abstractNumId w:val="18"/>
  </w:num>
  <w:num w:numId="14">
    <w:abstractNumId w:val="26"/>
  </w:num>
  <w:num w:numId="15">
    <w:abstractNumId w:val="17"/>
  </w:num>
  <w:num w:numId="16">
    <w:abstractNumId w:val="10"/>
  </w:num>
  <w:num w:numId="17">
    <w:abstractNumId w:val="25"/>
  </w:num>
  <w:num w:numId="18">
    <w:abstractNumId w:val="24"/>
  </w:num>
  <w:num w:numId="19">
    <w:abstractNumId w:val="4"/>
  </w:num>
  <w:num w:numId="20">
    <w:abstractNumId w:val="22"/>
  </w:num>
  <w:num w:numId="21">
    <w:abstractNumId w:val="15"/>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0"/>
  </w:num>
  <w:num w:numId="26">
    <w:abstractNumId w:val="27"/>
  </w:num>
  <w:num w:numId="27">
    <w:abstractNumId w:val="7"/>
  </w:num>
  <w:num w:numId="28">
    <w:abstractNumId w:val="8"/>
  </w:num>
  <w:num w:numId="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1C6B"/>
    <w:rsid w:val="000020EF"/>
    <w:rsid w:val="0000255B"/>
    <w:rsid w:val="000027A0"/>
    <w:rsid w:val="00002DB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0859"/>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89D"/>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A6B"/>
    <w:rsid w:val="00024DEB"/>
    <w:rsid w:val="00024E19"/>
    <w:rsid w:val="00025162"/>
    <w:rsid w:val="000259F2"/>
    <w:rsid w:val="00025A65"/>
    <w:rsid w:val="00026577"/>
    <w:rsid w:val="00026A6E"/>
    <w:rsid w:val="00026AD6"/>
    <w:rsid w:val="00026DC7"/>
    <w:rsid w:val="00027077"/>
    <w:rsid w:val="00027900"/>
    <w:rsid w:val="00027EFB"/>
    <w:rsid w:val="00030AC1"/>
    <w:rsid w:val="00030B98"/>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488"/>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191B"/>
    <w:rsid w:val="00052294"/>
    <w:rsid w:val="00052345"/>
    <w:rsid w:val="00052A8F"/>
    <w:rsid w:val="00053464"/>
    <w:rsid w:val="00053530"/>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BAB"/>
    <w:rsid w:val="00065C4B"/>
    <w:rsid w:val="00065DEC"/>
    <w:rsid w:val="00065F71"/>
    <w:rsid w:val="0006601E"/>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2E9"/>
    <w:rsid w:val="00084443"/>
    <w:rsid w:val="0008444F"/>
    <w:rsid w:val="000844E1"/>
    <w:rsid w:val="00084840"/>
    <w:rsid w:val="000848ED"/>
    <w:rsid w:val="000850B6"/>
    <w:rsid w:val="000854C6"/>
    <w:rsid w:val="00085740"/>
    <w:rsid w:val="00086299"/>
    <w:rsid w:val="00086D3F"/>
    <w:rsid w:val="0008716C"/>
    <w:rsid w:val="000871D3"/>
    <w:rsid w:val="00087474"/>
    <w:rsid w:val="000875CD"/>
    <w:rsid w:val="00087666"/>
    <w:rsid w:val="00087EF2"/>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9C0"/>
    <w:rsid w:val="00094AAC"/>
    <w:rsid w:val="00094AF5"/>
    <w:rsid w:val="00094C5B"/>
    <w:rsid w:val="00094D8B"/>
    <w:rsid w:val="00094E85"/>
    <w:rsid w:val="0009518B"/>
    <w:rsid w:val="00095203"/>
    <w:rsid w:val="0009592D"/>
    <w:rsid w:val="000959A4"/>
    <w:rsid w:val="0009604D"/>
    <w:rsid w:val="0009644E"/>
    <w:rsid w:val="00097419"/>
    <w:rsid w:val="000974CC"/>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46F"/>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09A9"/>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889"/>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C52"/>
    <w:rsid w:val="000C4228"/>
    <w:rsid w:val="000C47FF"/>
    <w:rsid w:val="000C4805"/>
    <w:rsid w:val="000C4CEA"/>
    <w:rsid w:val="000C4D64"/>
    <w:rsid w:val="000C500A"/>
    <w:rsid w:val="000C500D"/>
    <w:rsid w:val="000C5393"/>
    <w:rsid w:val="000C56A5"/>
    <w:rsid w:val="000C65C9"/>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3F2B"/>
    <w:rsid w:val="000D4593"/>
    <w:rsid w:val="000D4708"/>
    <w:rsid w:val="000D4740"/>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C40"/>
    <w:rsid w:val="000E3F6A"/>
    <w:rsid w:val="000E407B"/>
    <w:rsid w:val="000E446E"/>
    <w:rsid w:val="000E475B"/>
    <w:rsid w:val="000E4C37"/>
    <w:rsid w:val="000E4C72"/>
    <w:rsid w:val="000E4DDF"/>
    <w:rsid w:val="000E4E14"/>
    <w:rsid w:val="000E5B0F"/>
    <w:rsid w:val="000E5F62"/>
    <w:rsid w:val="000E630A"/>
    <w:rsid w:val="000E6550"/>
    <w:rsid w:val="000E6724"/>
    <w:rsid w:val="000E6883"/>
    <w:rsid w:val="000E6E16"/>
    <w:rsid w:val="000E795A"/>
    <w:rsid w:val="000E7DF8"/>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D7"/>
    <w:rsid w:val="000F4EFF"/>
    <w:rsid w:val="000F56A0"/>
    <w:rsid w:val="000F56D9"/>
    <w:rsid w:val="000F591E"/>
    <w:rsid w:val="000F5A9D"/>
    <w:rsid w:val="000F6067"/>
    <w:rsid w:val="000F6555"/>
    <w:rsid w:val="000F7C88"/>
    <w:rsid w:val="000F7E51"/>
    <w:rsid w:val="0010019C"/>
    <w:rsid w:val="001002FD"/>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1C0"/>
    <w:rsid w:val="001123C2"/>
    <w:rsid w:val="00112466"/>
    <w:rsid w:val="00112884"/>
    <w:rsid w:val="00112E92"/>
    <w:rsid w:val="0011412F"/>
    <w:rsid w:val="0011436A"/>
    <w:rsid w:val="00115074"/>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4FE6"/>
    <w:rsid w:val="0012534A"/>
    <w:rsid w:val="0012556E"/>
    <w:rsid w:val="00125682"/>
    <w:rsid w:val="00125890"/>
    <w:rsid w:val="00125FF0"/>
    <w:rsid w:val="00125FF8"/>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B7F"/>
    <w:rsid w:val="00135ED0"/>
    <w:rsid w:val="00136393"/>
    <w:rsid w:val="0013641E"/>
    <w:rsid w:val="001365A2"/>
    <w:rsid w:val="0013672F"/>
    <w:rsid w:val="001368A5"/>
    <w:rsid w:val="00136AB6"/>
    <w:rsid w:val="00136BC8"/>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CD3"/>
    <w:rsid w:val="00140F10"/>
    <w:rsid w:val="00141708"/>
    <w:rsid w:val="00141BF5"/>
    <w:rsid w:val="001429C0"/>
    <w:rsid w:val="00142BE0"/>
    <w:rsid w:val="00142D90"/>
    <w:rsid w:val="001431EE"/>
    <w:rsid w:val="001434C4"/>
    <w:rsid w:val="001434F1"/>
    <w:rsid w:val="00143627"/>
    <w:rsid w:val="00143823"/>
    <w:rsid w:val="00143E17"/>
    <w:rsid w:val="001440AB"/>
    <w:rsid w:val="00144633"/>
    <w:rsid w:val="00144865"/>
    <w:rsid w:val="00144E6F"/>
    <w:rsid w:val="00144FAD"/>
    <w:rsid w:val="001450FF"/>
    <w:rsid w:val="00145751"/>
    <w:rsid w:val="0014575D"/>
    <w:rsid w:val="00145761"/>
    <w:rsid w:val="00145A67"/>
    <w:rsid w:val="00145FDE"/>
    <w:rsid w:val="00146A56"/>
    <w:rsid w:val="00147805"/>
    <w:rsid w:val="001478E8"/>
    <w:rsid w:val="00147A24"/>
    <w:rsid w:val="00147A2A"/>
    <w:rsid w:val="00147B78"/>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5DB2"/>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6FC"/>
    <w:rsid w:val="00161729"/>
    <w:rsid w:val="00161752"/>
    <w:rsid w:val="001620A9"/>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6FD4"/>
    <w:rsid w:val="00167012"/>
    <w:rsid w:val="001671CB"/>
    <w:rsid w:val="00167377"/>
    <w:rsid w:val="00167706"/>
    <w:rsid w:val="00167803"/>
    <w:rsid w:val="00167944"/>
    <w:rsid w:val="00167BDA"/>
    <w:rsid w:val="00167C57"/>
    <w:rsid w:val="00170250"/>
    <w:rsid w:val="00170FA4"/>
    <w:rsid w:val="0017122A"/>
    <w:rsid w:val="001714F4"/>
    <w:rsid w:val="00171A66"/>
    <w:rsid w:val="001723DF"/>
    <w:rsid w:val="001727D6"/>
    <w:rsid w:val="0017291B"/>
    <w:rsid w:val="00172E0E"/>
    <w:rsid w:val="001730E1"/>
    <w:rsid w:val="00173233"/>
    <w:rsid w:val="00173250"/>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D1A"/>
    <w:rsid w:val="00177DFA"/>
    <w:rsid w:val="00177FC0"/>
    <w:rsid w:val="00180BC2"/>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9C"/>
    <w:rsid w:val="00186CCB"/>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6E8D"/>
    <w:rsid w:val="001970E3"/>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DF5"/>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7A5"/>
    <w:rsid w:val="001C0E3D"/>
    <w:rsid w:val="001C1933"/>
    <w:rsid w:val="001C1942"/>
    <w:rsid w:val="001C1D36"/>
    <w:rsid w:val="001C2756"/>
    <w:rsid w:val="001C280E"/>
    <w:rsid w:val="001C2831"/>
    <w:rsid w:val="001C293A"/>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620"/>
    <w:rsid w:val="001D1997"/>
    <w:rsid w:val="001D1AB3"/>
    <w:rsid w:val="001D1BF2"/>
    <w:rsid w:val="001D1CF5"/>
    <w:rsid w:val="001D20B0"/>
    <w:rsid w:val="001D26E6"/>
    <w:rsid w:val="001D2B63"/>
    <w:rsid w:val="001D2BDC"/>
    <w:rsid w:val="001D3A86"/>
    <w:rsid w:val="001D3AA3"/>
    <w:rsid w:val="001D3D79"/>
    <w:rsid w:val="001D471B"/>
    <w:rsid w:val="001D48A6"/>
    <w:rsid w:val="001D4DD8"/>
    <w:rsid w:val="001D514F"/>
    <w:rsid w:val="001D5205"/>
    <w:rsid w:val="001D597C"/>
    <w:rsid w:val="001D5988"/>
    <w:rsid w:val="001D5B51"/>
    <w:rsid w:val="001D5BE4"/>
    <w:rsid w:val="001D5C3A"/>
    <w:rsid w:val="001D6485"/>
    <w:rsid w:val="001D68B2"/>
    <w:rsid w:val="001D6A7C"/>
    <w:rsid w:val="001D6A93"/>
    <w:rsid w:val="001D6ACA"/>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7CA"/>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C1B"/>
    <w:rsid w:val="001F2DAE"/>
    <w:rsid w:val="001F2DB7"/>
    <w:rsid w:val="001F332E"/>
    <w:rsid w:val="001F3618"/>
    <w:rsid w:val="001F3DE9"/>
    <w:rsid w:val="001F4CAF"/>
    <w:rsid w:val="001F53A3"/>
    <w:rsid w:val="001F5452"/>
    <w:rsid w:val="001F5712"/>
    <w:rsid w:val="001F592D"/>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CBB"/>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6FE8"/>
    <w:rsid w:val="0020708A"/>
    <w:rsid w:val="002070A2"/>
    <w:rsid w:val="0020725B"/>
    <w:rsid w:val="002074AE"/>
    <w:rsid w:val="00207936"/>
    <w:rsid w:val="00210994"/>
    <w:rsid w:val="00211832"/>
    <w:rsid w:val="00211A24"/>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360"/>
    <w:rsid w:val="002166A0"/>
    <w:rsid w:val="0021692A"/>
    <w:rsid w:val="00216D66"/>
    <w:rsid w:val="002170B6"/>
    <w:rsid w:val="00217473"/>
    <w:rsid w:val="00217965"/>
    <w:rsid w:val="00217AC4"/>
    <w:rsid w:val="00217B97"/>
    <w:rsid w:val="00217CAA"/>
    <w:rsid w:val="00217DBF"/>
    <w:rsid w:val="002206EE"/>
    <w:rsid w:val="00221A8C"/>
    <w:rsid w:val="00221FC6"/>
    <w:rsid w:val="00222A01"/>
    <w:rsid w:val="00222D13"/>
    <w:rsid w:val="002231B6"/>
    <w:rsid w:val="00223384"/>
    <w:rsid w:val="00223A51"/>
    <w:rsid w:val="00223D09"/>
    <w:rsid w:val="00223E9D"/>
    <w:rsid w:val="0022409E"/>
    <w:rsid w:val="0022445E"/>
    <w:rsid w:val="00224C4F"/>
    <w:rsid w:val="00224FC7"/>
    <w:rsid w:val="00225E3D"/>
    <w:rsid w:val="00225E8B"/>
    <w:rsid w:val="00225F9E"/>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98B"/>
    <w:rsid w:val="00234DCF"/>
    <w:rsid w:val="00235304"/>
    <w:rsid w:val="0023531B"/>
    <w:rsid w:val="002353FA"/>
    <w:rsid w:val="0023564E"/>
    <w:rsid w:val="002359F9"/>
    <w:rsid w:val="00235E9F"/>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8E3"/>
    <w:rsid w:val="00247A23"/>
    <w:rsid w:val="00247D5A"/>
    <w:rsid w:val="002505E6"/>
    <w:rsid w:val="00250965"/>
    <w:rsid w:val="00251DCA"/>
    <w:rsid w:val="00252056"/>
    <w:rsid w:val="00252284"/>
    <w:rsid w:val="00252BFA"/>
    <w:rsid w:val="002533DA"/>
    <w:rsid w:val="0025371D"/>
    <w:rsid w:val="00253872"/>
    <w:rsid w:val="00253A02"/>
    <w:rsid w:val="002544B0"/>
    <w:rsid w:val="0025453A"/>
    <w:rsid w:val="002545FA"/>
    <w:rsid w:val="002549F1"/>
    <w:rsid w:val="00254A27"/>
    <w:rsid w:val="00254A41"/>
    <w:rsid w:val="00254A7D"/>
    <w:rsid w:val="00254B48"/>
    <w:rsid w:val="00254DF6"/>
    <w:rsid w:val="00255A08"/>
    <w:rsid w:val="00255C53"/>
    <w:rsid w:val="00255D51"/>
    <w:rsid w:val="00255EB7"/>
    <w:rsid w:val="0025602E"/>
    <w:rsid w:val="002560BC"/>
    <w:rsid w:val="00256755"/>
    <w:rsid w:val="002567B0"/>
    <w:rsid w:val="00256B4B"/>
    <w:rsid w:val="00256EEA"/>
    <w:rsid w:val="002570B1"/>
    <w:rsid w:val="0025720B"/>
    <w:rsid w:val="00257452"/>
    <w:rsid w:val="00257977"/>
    <w:rsid w:val="00260799"/>
    <w:rsid w:val="002607F6"/>
    <w:rsid w:val="00260AF3"/>
    <w:rsid w:val="00260B57"/>
    <w:rsid w:val="002614A1"/>
    <w:rsid w:val="00261516"/>
    <w:rsid w:val="002619DA"/>
    <w:rsid w:val="00261B0E"/>
    <w:rsid w:val="00261C4B"/>
    <w:rsid w:val="002629F6"/>
    <w:rsid w:val="00262EC1"/>
    <w:rsid w:val="00262F49"/>
    <w:rsid w:val="002632FD"/>
    <w:rsid w:val="00263408"/>
    <w:rsid w:val="002634AF"/>
    <w:rsid w:val="00263A75"/>
    <w:rsid w:val="00263F3F"/>
    <w:rsid w:val="00263F70"/>
    <w:rsid w:val="00263FAC"/>
    <w:rsid w:val="00264A08"/>
    <w:rsid w:val="00264B61"/>
    <w:rsid w:val="00264DAC"/>
    <w:rsid w:val="00264EFF"/>
    <w:rsid w:val="00265009"/>
    <w:rsid w:val="0026509E"/>
    <w:rsid w:val="00265846"/>
    <w:rsid w:val="00265EEA"/>
    <w:rsid w:val="0026626F"/>
    <w:rsid w:val="00266347"/>
    <w:rsid w:val="002663BF"/>
    <w:rsid w:val="00266719"/>
    <w:rsid w:val="00266750"/>
    <w:rsid w:val="00266AAF"/>
    <w:rsid w:val="00266FAB"/>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1CDC"/>
    <w:rsid w:val="00292124"/>
    <w:rsid w:val="002925F0"/>
    <w:rsid w:val="00292719"/>
    <w:rsid w:val="00292AC1"/>
    <w:rsid w:val="00292B16"/>
    <w:rsid w:val="00292EB2"/>
    <w:rsid w:val="00292F9A"/>
    <w:rsid w:val="002936BC"/>
    <w:rsid w:val="00293724"/>
    <w:rsid w:val="002937A0"/>
    <w:rsid w:val="00293EE4"/>
    <w:rsid w:val="00294112"/>
    <w:rsid w:val="0029425F"/>
    <w:rsid w:val="00294557"/>
    <w:rsid w:val="00294882"/>
    <w:rsid w:val="00294D7E"/>
    <w:rsid w:val="00294E7B"/>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713"/>
    <w:rsid w:val="002A0BBE"/>
    <w:rsid w:val="002A0CDE"/>
    <w:rsid w:val="002A0D20"/>
    <w:rsid w:val="002A1421"/>
    <w:rsid w:val="002A1487"/>
    <w:rsid w:val="002A1B68"/>
    <w:rsid w:val="002A1BF7"/>
    <w:rsid w:val="002A2149"/>
    <w:rsid w:val="002A224E"/>
    <w:rsid w:val="002A25DB"/>
    <w:rsid w:val="002A2668"/>
    <w:rsid w:val="002A271B"/>
    <w:rsid w:val="002A2850"/>
    <w:rsid w:val="002A30D2"/>
    <w:rsid w:val="002A3416"/>
    <w:rsid w:val="002A3783"/>
    <w:rsid w:val="002A407A"/>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A79CE"/>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69B"/>
    <w:rsid w:val="002B586E"/>
    <w:rsid w:val="002B5FA3"/>
    <w:rsid w:val="002B6139"/>
    <w:rsid w:val="002B6C59"/>
    <w:rsid w:val="002B6E2E"/>
    <w:rsid w:val="002B74C0"/>
    <w:rsid w:val="002B74D6"/>
    <w:rsid w:val="002B7824"/>
    <w:rsid w:val="002B788B"/>
    <w:rsid w:val="002B78E3"/>
    <w:rsid w:val="002B79E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84D"/>
    <w:rsid w:val="002C3996"/>
    <w:rsid w:val="002C4243"/>
    <w:rsid w:val="002C47E7"/>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785"/>
    <w:rsid w:val="002D1974"/>
    <w:rsid w:val="002D1C8E"/>
    <w:rsid w:val="002D1E22"/>
    <w:rsid w:val="002D2135"/>
    <w:rsid w:val="002D2291"/>
    <w:rsid w:val="002D2369"/>
    <w:rsid w:val="002D2ADA"/>
    <w:rsid w:val="002D2FD2"/>
    <w:rsid w:val="002D3080"/>
    <w:rsid w:val="002D3455"/>
    <w:rsid w:val="002D45A8"/>
    <w:rsid w:val="002D48C9"/>
    <w:rsid w:val="002D4AC5"/>
    <w:rsid w:val="002D4CAB"/>
    <w:rsid w:val="002D4DB6"/>
    <w:rsid w:val="002D4F96"/>
    <w:rsid w:val="002D5171"/>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89F"/>
    <w:rsid w:val="002E4BDF"/>
    <w:rsid w:val="002E5BA1"/>
    <w:rsid w:val="002E5D2D"/>
    <w:rsid w:val="002E5F4C"/>
    <w:rsid w:val="002E65A1"/>
    <w:rsid w:val="002E66B7"/>
    <w:rsid w:val="002E67C4"/>
    <w:rsid w:val="002E6ACD"/>
    <w:rsid w:val="002E6C41"/>
    <w:rsid w:val="002E753E"/>
    <w:rsid w:val="002E7742"/>
    <w:rsid w:val="002E7ED9"/>
    <w:rsid w:val="002E7F16"/>
    <w:rsid w:val="002F0232"/>
    <w:rsid w:val="002F037C"/>
    <w:rsid w:val="002F0535"/>
    <w:rsid w:val="002F064A"/>
    <w:rsid w:val="002F0919"/>
    <w:rsid w:val="002F0D4B"/>
    <w:rsid w:val="002F1744"/>
    <w:rsid w:val="002F1790"/>
    <w:rsid w:val="002F1D4A"/>
    <w:rsid w:val="002F29A4"/>
    <w:rsid w:val="002F2A3D"/>
    <w:rsid w:val="002F3404"/>
    <w:rsid w:val="002F3BC5"/>
    <w:rsid w:val="002F3FBD"/>
    <w:rsid w:val="002F4076"/>
    <w:rsid w:val="002F49C5"/>
    <w:rsid w:val="002F4B48"/>
    <w:rsid w:val="002F55CB"/>
    <w:rsid w:val="002F5CFB"/>
    <w:rsid w:val="002F5E96"/>
    <w:rsid w:val="002F61D4"/>
    <w:rsid w:val="002F6773"/>
    <w:rsid w:val="002F67F9"/>
    <w:rsid w:val="002F6AF2"/>
    <w:rsid w:val="002F6BCA"/>
    <w:rsid w:val="002F7A3B"/>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1E6"/>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ABB"/>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441"/>
    <w:rsid w:val="003355AE"/>
    <w:rsid w:val="00335C3C"/>
    <w:rsid w:val="0033602E"/>
    <w:rsid w:val="00336142"/>
    <w:rsid w:val="00336239"/>
    <w:rsid w:val="0033632D"/>
    <w:rsid w:val="003365AE"/>
    <w:rsid w:val="00336895"/>
    <w:rsid w:val="00336A86"/>
    <w:rsid w:val="00336B2F"/>
    <w:rsid w:val="003373A2"/>
    <w:rsid w:val="00337624"/>
    <w:rsid w:val="00337667"/>
    <w:rsid w:val="003376B7"/>
    <w:rsid w:val="00337EFF"/>
    <w:rsid w:val="0034032D"/>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4B9A"/>
    <w:rsid w:val="0034552C"/>
    <w:rsid w:val="0034561F"/>
    <w:rsid w:val="0034563B"/>
    <w:rsid w:val="00345B66"/>
    <w:rsid w:val="003462C6"/>
    <w:rsid w:val="003462F9"/>
    <w:rsid w:val="00346A76"/>
    <w:rsid w:val="00346AEB"/>
    <w:rsid w:val="00346C57"/>
    <w:rsid w:val="00346C61"/>
    <w:rsid w:val="003471D0"/>
    <w:rsid w:val="003473DB"/>
    <w:rsid w:val="003475F0"/>
    <w:rsid w:val="00347949"/>
    <w:rsid w:val="00350642"/>
    <w:rsid w:val="0035085C"/>
    <w:rsid w:val="00350A7F"/>
    <w:rsid w:val="00350BDE"/>
    <w:rsid w:val="00350D32"/>
    <w:rsid w:val="00351231"/>
    <w:rsid w:val="003516CA"/>
    <w:rsid w:val="003518AF"/>
    <w:rsid w:val="00351AFD"/>
    <w:rsid w:val="00351B1C"/>
    <w:rsid w:val="003520C3"/>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17A"/>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1C7"/>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CFB"/>
    <w:rsid w:val="00382EB2"/>
    <w:rsid w:val="003836EF"/>
    <w:rsid w:val="003839BA"/>
    <w:rsid w:val="00383A13"/>
    <w:rsid w:val="00383C33"/>
    <w:rsid w:val="00383C57"/>
    <w:rsid w:val="00383F28"/>
    <w:rsid w:val="00384231"/>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49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31C"/>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90B"/>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1B7"/>
    <w:rsid w:val="003C13B8"/>
    <w:rsid w:val="003C179A"/>
    <w:rsid w:val="003C17A7"/>
    <w:rsid w:val="003C1A9A"/>
    <w:rsid w:val="003C1BDC"/>
    <w:rsid w:val="003C1D87"/>
    <w:rsid w:val="003C2103"/>
    <w:rsid w:val="003C2117"/>
    <w:rsid w:val="003C232A"/>
    <w:rsid w:val="003C290F"/>
    <w:rsid w:val="003C298D"/>
    <w:rsid w:val="003C2A9E"/>
    <w:rsid w:val="003C2E57"/>
    <w:rsid w:val="003C2EC1"/>
    <w:rsid w:val="003C32E9"/>
    <w:rsid w:val="003C3394"/>
    <w:rsid w:val="003C3AA3"/>
    <w:rsid w:val="003C3B7F"/>
    <w:rsid w:val="003C4084"/>
    <w:rsid w:val="003C45A9"/>
    <w:rsid w:val="003C465B"/>
    <w:rsid w:val="003C47D5"/>
    <w:rsid w:val="003C4BCB"/>
    <w:rsid w:val="003C54CC"/>
    <w:rsid w:val="003C559D"/>
    <w:rsid w:val="003C55B8"/>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0EF"/>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0BF"/>
    <w:rsid w:val="003E72AB"/>
    <w:rsid w:val="003E7CCB"/>
    <w:rsid w:val="003E7D67"/>
    <w:rsid w:val="003F06BF"/>
    <w:rsid w:val="003F0D34"/>
    <w:rsid w:val="003F14C2"/>
    <w:rsid w:val="003F15C6"/>
    <w:rsid w:val="003F19A5"/>
    <w:rsid w:val="003F1CD2"/>
    <w:rsid w:val="003F23D4"/>
    <w:rsid w:val="003F2489"/>
    <w:rsid w:val="003F255E"/>
    <w:rsid w:val="003F28B6"/>
    <w:rsid w:val="003F2F60"/>
    <w:rsid w:val="003F3368"/>
    <w:rsid w:val="003F358C"/>
    <w:rsid w:val="003F36BD"/>
    <w:rsid w:val="003F38BC"/>
    <w:rsid w:val="003F3E48"/>
    <w:rsid w:val="003F3F9F"/>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8FF"/>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B0C"/>
    <w:rsid w:val="00405F28"/>
    <w:rsid w:val="004063C0"/>
    <w:rsid w:val="00406892"/>
    <w:rsid w:val="00406A32"/>
    <w:rsid w:val="00406B8C"/>
    <w:rsid w:val="00406CF0"/>
    <w:rsid w:val="0040700B"/>
    <w:rsid w:val="004073F9"/>
    <w:rsid w:val="0040752C"/>
    <w:rsid w:val="0040789A"/>
    <w:rsid w:val="00407A00"/>
    <w:rsid w:val="00407AFD"/>
    <w:rsid w:val="00407FE8"/>
    <w:rsid w:val="00410130"/>
    <w:rsid w:val="00410D6C"/>
    <w:rsid w:val="00410E7F"/>
    <w:rsid w:val="0041109E"/>
    <w:rsid w:val="00411B20"/>
    <w:rsid w:val="00411D4E"/>
    <w:rsid w:val="00411E6A"/>
    <w:rsid w:val="004127BC"/>
    <w:rsid w:val="004138EC"/>
    <w:rsid w:val="00413928"/>
    <w:rsid w:val="004140CD"/>
    <w:rsid w:val="00414168"/>
    <w:rsid w:val="0041466F"/>
    <w:rsid w:val="0041493E"/>
    <w:rsid w:val="00414969"/>
    <w:rsid w:val="00414EC5"/>
    <w:rsid w:val="004151BC"/>
    <w:rsid w:val="004155F1"/>
    <w:rsid w:val="00415737"/>
    <w:rsid w:val="00415BDF"/>
    <w:rsid w:val="00415DBC"/>
    <w:rsid w:val="00415E8C"/>
    <w:rsid w:val="00416197"/>
    <w:rsid w:val="00416375"/>
    <w:rsid w:val="004163EF"/>
    <w:rsid w:val="004164A2"/>
    <w:rsid w:val="00416E67"/>
    <w:rsid w:val="00417535"/>
    <w:rsid w:val="00417689"/>
    <w:rsid w:val="00417761"/>
    <w:rsid w:val="00417B4B"/>
    <w:rsid w:val="00420332"/>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5FB"/>
    <w:rsid w:val="00426707"/>
    <w:rsid w:val="00426FBE"/>
    <w:rsid w:val="004277B2"/>
    <w:rsid w:val="00427BF4"/>
    <w:rsid w:val="00427F5C"/>
    <w:rsid w:val="00427FA2"/>
    <w:rsid w:val="00430015"/>
    <w:rsid w:val="00430953"/>
    <w:rsid w:val="00430977"/>
    <w:rsid w:val="00430A8A"/>
    <w:rsid w:val="004313BB"/>
    <w:rsid w:val="004316EB"/>
    <w:rsid w:val="00431C9D"/>
    <w:rsid w:val="00431DE1"/>
    <w:rsid w:val="004327B6"/>
    <w:rsid w:val="00432851"/>
    <w:rsid w:val="00432A98"/>
    <w:rsid w:val="00432EC1"/>
    <w:rsid w:val="00433128"/>
    <w:rsid w:val="00433342"/>
    <w:rsid w:val="00433653"/>
    <w:rsid w:val="0043372F"/>
    <w:rsid w:val="004339AF"/>
    <w:rsid w:val="00433B75"/>
    <w:rsid w:val="00433EA6"/>
    <w:rsid w:val="00434067"/>
    <w:rsid w:val="004340C1"/>
    <w:rsid w:val="0043424F"/>
    <w:rsid w:val="0043432F"/>
    <w:rsid w:val="00434587"/>
    <w:rsid w:val="0043473F"/>
    <w:rsid w:val="00434AEB"/>
    <w:rsid w:val="00434E60"/>
    <w:rsid w:val="00434F35"/>
    <w:rsid w:val="0043543D"/>
    <w:rsid w:val="00435FF6"/>
    <w:rsid w:val="0043603E"/>
    <w:rsid w:val="00436184"/>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CD4"/>
    <w:rsid w:val="00441D0D"/>
    <w:rsid w:val="00442BE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047"/>
    <w:rsid w:val="0044652F"/>
    <w:rsid w:val="0044688D"/>
    <w:rsid w:val="00446B61"/>
    <w:rsid w:val="00447010"/>
    <w:rsid w:val="004471D3"/>
    <w:rsid w:val="004474D9"/>
    <w:rsid w:val="0044750C"/>
    <w:rsid w:val="00447648"/>
    <w:rsid w:val="004478C2"/>
    <w:rsid w:val="00447C23"/>
    <w:rsid w:val="004503DA"/>
    <w:rsid w:val="0045043A"/>
    <w:rsid w:val="0045051E"/>
    <w:rsid w:val="00450B8F"/>
    <w:rsid w:val="00450CB0"/>
    <w:rsid w:val="00450E09"/>
    <w:rsid w:val="00450FB1"/>
    <w:rsid w:val="004513D8"/>
    <w:rsid w:val="00451433"/>
    <w:rsid w:val="00451ED1"/>
    <w:rsid w:val="00452449"/>
    <w:rsid w:val="004526D2"/>
    <w:rsid w:val="004529FE"/>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A3"/>
    <w:rsid w:val="00460AC6"/>
    <w:rsid w:val="0046122C"/>
    <w:rsid w:val="00461562"/>
    <w:rsid w:val="00462043"/>
    <w:rsid w:val="004629AF"/>
    <w:rsid w:val="00462C5B"/>
    <w:rsid w:val="00462FB8"/>
    <w:rsid w:val="00463374"/>
    <w:rsid w:val="00463507"/>
    <w:rsid w:val="0046361E"/>
    <w:rsid w:val="00464174"/>
    <w:rsid w:val="0046426E"/>
    <w:rsid w:val="00464648"/>
    <w:rsid w:val="00464F34"/>
    <w:rsid w:val="004656AC"/>
    <w:rsid w:val="00465721"/>
    <w:rsid w:val="004659A4"/>
    <w:rsid w:val="00465C7B"/>
    <w:rsid w:val="00465EAD"/>
    <w:rsid w:val="00465F34"/>
    <w:rsid w:val="00465FD0"/>
    <w:rsid w:val="00466358"/>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8BD"/>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AC9"/>
    <w:rsid w:val="00481B19"/>
    <w:rsid w:val="00481B91"/>
    <w:rsid w:val="00481E8E"/>
    <w:rsid w:val="0048207C"/>
    <w:rsid w:val="00482AAF"/>
    <w:rsid w:val="00482DB0"/>
    <w:rsid w:val="00483328"/>
    <w:rsid w:val="00483C82"/>
    <w:rsid w:val="0048435E"/>
    <w:rsid w:val="00484764"/>
    <w:rsid w:val="00484870"/>
    <w:rsid w:val="004851BA"/>
    <w:rsid w:val="004852E2"/>
    <w:rsid w:val="00485340"/>
    <w:rsid w:val="004856FC"/>
    <w:rsid w:val="00485A8D"/>
    <w:rsid w:val="00485CAA"/>
    <w:rsid w:val="00486659"/>
    <w:rsid w:val="004869F2"/>
    <w:rsid w:val="00486A3A"/>
    <w:rsid w:val="00486E08"/>
    <w:rsid w:val="00486E9E"/>
    <w:rsid w:val="004870F4"/>
    <w:rsid w:val="00487167"/>
    <w:rsid w:val="0048730C"/>
    <w:rsid w:val="00487EEA"/>
    <w:rsid w:val="00490651"/>
    <w:rsid w:val="00490D6A"/>
    <w:rsid w:val="00490F24"/>
    <w:rsid w:val="0049116B"/>
    <w:rsid w:val="004916DD"/>
    <w:rsid w:val="00491728"/>
    <w:rsid w:val="00491D51"/>
    <w:rsid w:val="004928F0"/>
    <w:rsid w:val="00492B02"/>
    <w:rsid w:val="00492D9A"/>
    <w:rsid w:val="00493070"/>
    <w:rsid w:val="0049372F"/>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D56"/>
    <w:rsid w:val="004A42F8"/>
    <w:rsid w:val="004A4739"/>
    <w:rsid w:val="004A47AF"/>
    <w:rsid w:val="004A482E"/>
    <w:rsid w:val="004A5052"/>
    <w:rsid w:val="004A587B"/>
    <w:rsid w:val="004A5FAC"/>
    <w:rsid w:val="004A6192"/>
    <w:rsid w:val="004A61B0"/>
    <w:rsid w:val="004A624C"/>
    <w:rsid w:val="004A6509"/>
    <w:rsid w:val="004A6ADA"/>
    <w:rsid w:val="004A738E"/>
    <w:rsid w:val="004A7458"/>
    <w:rsid w:val="004A74AA"/>
    <w:rsid w:val="004A74F7"/>
    <w:rsid w:val="004A76C1"/>
    <w:rsid w:val="004A7B39"/>
    <w:rsid w:val="004A7F15"/>
    <w:rsid w:val="004B0096"/>
    <w:rsid w:val="004B0879"/>
    <w:rsid w:val="004B1338"/>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5EE"/>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0FC"/>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E3"/>
    <w:rsid w:val="004D19A9"/>
    <w:rsid w:val="004D1B7B"/>
    <w:rsid w:val="004D1F68"/>
    <w:rsid w:val="004D1FDC"/>
    <w:rsid w:val="004D206F"/>
    <w:rsid w:val="004D28BB"/>
    <w:rsid w:val="004D29D7"/>
    <w:rsid w:val="004D2C5C"/>
    <w:rsid w:val="004D33A4"/>
    <w:rsid w:val="004D3D8E"/>
    <w:rsid w:val="004D4656"/>
    <w:rsid w:val="004D4811"/>
    <w:rsid w:val="004D494F"/>
    <w:rsid w:val="004D4D0D"/>
    <w:rsid w:val="004D52A4"/>
    <w:rsid w:val="004D5792"/>
    <w:rsid w:val="004D5972"/>
    <w:rsid w:val="004D5A08"/>
    <w:rsid w:val="004D603D"/>
    <w:rsid w:val="004D62E4"/>
    <w:rsid w:val="004D67EF"/>
    <w:rsid w:val="004D682B"/>
    <w:rsid w:val="004D6BA5"/>
    <w:rsid w:val="004D6D73"/>
    <w:rsid w:val="004D7063"/>
    <w:rsid w:val="004D73F7"/>
    <w:rsid w:val="004D75BA"/>
    <w:rsid w:val="004D7633"/>
    <w:rsid w:val="004D79B1"/>
    <w:rsid w:val="004D7FBF"/>
    <w:rsid w:val="004E0732"/>
    <w:rsid w:val="004E09DF"/>
    <w:rsid w:val="004E1718"/>
    <w:rsid w:val="004E1A58"/>
    <w:rsid w:val="004E1CEC"/>
    <w:rsid w:val="004E2073"/>
    <w:rsid w:val="004E251B"/>
    <w:rsid w:val="004E29CC"/>
    <w:rsid w:val="004E2CCD"/>
    <w:rsid w:val="004E2CD0"/>
    <w:rsid w:val="004E30F6"/>
    <w:rsid w:val="004E3141"/>
    <w:rsid w:val="004E31F7"/>
    <w:rsid w:val="004E377F"/>
    <w:rsid w:val="004E3A4F"/>
    <w:rsid w:val="004E3D0D"/>
    <w:rsid w:val="004E3D5A"/>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6F6"/>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21C"/>
    <w:rsid w:val="004F6967"/>
    <w:rsid w:val="004F6CE7"/>
    <w:rsid w:val="004F71A1"/>
    <w:rsid w:val="004F7363"/>
    <w:rsid w:val="004F750F"/>
    <w:rsid w:val="004F75EE"/>
    <w:rsid w:val="004F7D01"/>
    <w:rsid w:val="00500597"/>
    <w:rsid w:val="00500DD6"/>
    <w:rsid w:val="005017B2"/>
    <w:rsid w:val="005018F1"/>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8D6"/>
    <w:rsid w:val="00505BDE"/>
    <w:rsid w:val="00505E25"/>
    <w:rsid w:val="00506EA9"/>
    <w:rsid w:val="005073F1"/>
    <w:rsid w:val="00507923"/>
    <w:rsid w:val="00507A57"/>
    <w:rsid w:val="005103C4"/>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4ABF"/>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6EF"/>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986"/>
    <w:rsid w:val="00531F89"/>
    <w:rsid w:val="005321F8"/>
    <w:rsid w:val="00532380"/>
    <w:rsid w:val="005323B9"/>
    <w:rsid w:val="00532805"/>
    <w:rsid w:val="005329CF"/>
    <w:rsid w:val="00532BF8"/>
    <w:rsid w:val="00532C25"/>
    <w:rsid w:val="0053362D"/>
    <w:rsid w:val="00533717"/>
    <w:rsid w:val="005337E8"/>
    <w:rsid w:val="005339AA"/>
    <w:rsid w:val="00534245"/>
    <w:rsid w:val="005347B3"/>
    <w:rsid w:val="00535F8B"/>
    <w:rsid w:val="005360F8"/>
    <w:rsid w:val="00536822"/>
    <w:rsid w:val="00536D48"/>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82"/>
    <w:rsid w:val="005441D9"/>
    <w:rsid w:val="00544848"/>
    <w:rsid w:val="00544D8E"/>
    <w:rsid w:val="005454D5"/>
    <w:rsid w:val="00545681"/>
    <w:rsid w:val="00545865"/>
    <w:rsid w:val="00546329"/>
    <w:rsid w:val="00546836"/>
    <w:rsid w:val="00546F4B"/>
    <w:rsid w:val="00546F7D"/>
    <w:rsid w:val="00546FFD"/>
    <w:rsid w:val="00547765"/>
    <w:rsid w:val="00550771"/>
    <w:rsid w:val="00550821"/>
    <w:rsid w:val="00550A16"/>
    <w:rsid w:val="00550BDA"/>
    <w:rsid w:val="00551404"/>
    <w:rsid w:val="00551474"/>
    <w:rsid w:val="005520E6"/>
    <w:rsid w:val="005523E1"/>
    <w:rsid w:val="00552432"/>
    <w:rsid w:val="00552575"/>
    <w:rsid w:val="005527E4"/>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262"/>
    <w:rsid w:val="005573D8"/>
    <w:rsid w:val="00557E34"/>
    <w:rsid w:val="00560C21"/>
    <w:rsid w:val="005612B3"/>
    <w:rsid w:val="00561B03"/>
    <w:rsid w:val="00561C3A"/>
    <w:rsid w:val="00562110"/>
    <w:rsid w:val="00562AA0"/>
    <w:rsid w:val="00562FE7"/>
    <w:rsid w:val="00563271"/>
    <w:rsid w:val="005636E0"/>
    <w:rsid w:val="00563942"/>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11F"/>
    <w:rsid w:val="00566366"/>
    <w:rsid w:val="00566873"/>
    <w:rsid w:val="00566A7E"/>
    <w:rsid w:val="00566E2D"/>
    <w:rsid w:val="0056751E"/>
    <w:rsid w:val="00567555"/>
    <w:rsid w:val="00567611"/>
    <w:rsid w:val="00567DFB"/>
    <w:rsid w:val="00567E1E"/>
    <w:rsid w:val="0057028F"/>
    <w:rsid w:val="0057043C"/>
    <w:rsid w:val="00571345"/>
    <w:rsid w:val="0057161E"/>
    <w:rsid w:val="00572A8F"/>
    <w:rsid w:val="0057306D"/>
    <w:rsid w:val="00573467"/>
    <w:rsid w:val="00573E7B"/>
    <w:rsid w:val="00573F9F"/>
    <w:rsid w:val="00574450"/>
    <w:rsid w:val="00574944"/>
    <w:rsid w:val="00574CFA"/>
    <w:rsid w:val="005751BE"/>
    <w:rsid w:val="0057559D"/>
    <w:rsid w:val="00575696"/>
    <w:rsid w:val="00575CBD"/>
    <w:rsid w:val="00575D48"/>
    <w:rsid w:val="0057616A"/>
    <w:rsid w:val="005763D0"/>
    <w:rsid w:val="005766E4"/>
    <w:rsid w:val="00576CA6"/>
    <w:rsid w:val="00577100"/>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852"/>
    <w:rsid w:val="00587B41"/>
    <w:rsid w:val="00590041"/>
    <w:rsid w:val="0059032C"/>
    <w:rsid w:val="00590A01"/>
    <w:rsid w:val="00590C61"/>
    <w:rsid w:val="005919F4"/>
    <w:rsid w:val="00591A13"/>
    <w:rsid w:val="00591ED2"/>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AC0"/>
    <w:rsid w:val="00595C12"/>
    <w:rsid w:val="00595D67"/>
    <w:rsid w:val="00595F10"/>
    <w:rsid w:val="0059608D"/>
    <w:rsid w:val="0059622E"/>
    <w:rsid w:val="00596709"/>
    <w:rsid w:val="005967C1"/>
    <w:rsid w:val="00597372"/>
    <w:rsid w:val="005974BB"/>
    <w:rsid w:val="005978D3"/>
    <w:rsid w:val="00597E42"/>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6CA"/>
    <w:rsid w:val="005B28DB"/>
    <w:rsid w:val="005B2BCB"/>
    <w:rsid w:val="005B2C5F"/>
    <w:rsid w:val="005B2EA9"/>
    <w:rsid w:val="005B3287"/>
    <w:rsid w:val="005B390D"/>
    <w:rsid w:val="005B3CE5"/>
    <w:rsid w:val="005B455A"/>
    <w:rsid w:val="005B46D2"/>
    <w:rsid w:val="005B4B26"/>
    <w:rsid w:val="005B4B8A"/>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CE7"/>
    <w:rsid w:val="005C3F74"/>
    <w:rsid w:val="005C411B"/>
    <w:rsid w:val="005C41BB"/>
    <w:rsid w:val="005C4EB4"/>
    <w:rsid w:val="005C510C"/>
    <w:rsid w:val="005C5151"/>
    <w:rsid w:val="005C566E"/>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C85"/>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0CB"/>
    <w:rsid w:val="005D52BF"/>
    <w:rsid w:val="005D54C3"/>
    <w:rsid w:val="005D60F4"/>
    <w:rsid w:val="005D68DC"/>
    <w:rsid w:val="005D695A"/>
    <w:rsid w:val="005D6CE7"/>
    <w:rsid w:val="005D76A3"/>
    <w:rsid w:val="005D7BBF"/>
    <w:rsid w:val="005D7D9B"/>
    <w:rsid w:val="005D7DBB"/>
    <w:rsid w:val="005D7F5A"/>
    <w:rsid w:val="005E00B7"/>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3C8C"/>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9EC"/>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0AF"/>
    <w:rsid w:val="005F5142"/>
    <w:rsid w:val="005F517C"/>
    <w:rsid w:val="005F530B"/>
    <w:rsid w:val="005F53CE"/>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23B"/>
    <w:rsid w:val="00603338"/>
    <w:rsid w:val="00603A2A"/>
    <w:rsid w:val="00603FB6"/>
    <w:rsid w:val="00603FE2"/>
    <w:rsid w:val="00604433"/>
    <w:rsid w:val="00604785"/>
    <w:rsid w:val="00604B8E"/>
    <w:rsid w:val="0060528C"/>
    <w:rsid w:val="00605BCF"/>
    <w:rsid w:val="00606425"/>
    <w:rsid w:val="00606F71"/>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134"/>
    <w:rsid w:val="006142B7"/>
    <w:rsid w:val="00614804"/>
    <w:rsid w:val="006148C9"/>
    <w:rsid w:val="006149D2"/>
    <w:rsid w:val="00614D91"/>
    <w:rsid w:val="00615019"/>
    <w:rsid w:val="00615034"/>
    <w:rsid w:val="006152D8"/>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1E65"/>
    <w:rsid w:val="00622843"/>
    <w:rsid w:val="00622C7F"/>
    <w:rsid w:val="00622C90"/>
    <w:rsid w:val="006230C1"/>
    <w:rsid w:val="006232E4"/>
    <w:rsid w:val="0062356B"/>
    <w:rsid w:val="0062359F"/>
    <w:rsid w:val="006238D3"/>
    <w:rsid w:val="006238F3"/>
    <w:rsid w:val="00624A2A"/>
    <w:rsid w:val="00624B10"/>
    <w:rsid w:val="00624D11"/>
    <w:rsid w:val="00624F26"/>
    <w:rsid w:val="00624FF4"/>
    <w:rsid w:val="0062504E"/>
    <w:rsid w:val="00625300"/>
    <w:rsid w:val="00625823"/>
    <w:rsid w:val="00625DCA"/>
    <w:rsid w:val="00626519"/>
    <w:rsid w:val="00626AF9"/>
    <w:rsid w:val="00626E00"/>
    <w:rsid w:val="00627187"/>
    <w:rsid w:val="00627A75"/>
    <w:rsid w:val="00627AF2"/>
    <w:rsid w:val="00627AF7"/>
    <w:rsid w:val="00627E5E"/>
    <w:rsid w:val="00630022"/>
    <w:rsid w:val="0063061C"/>
    <w:rsid w:val="00630DA1"/>
    <w:rsid w:val="00630FDB"/>
    <w:rsid w:val="00631971"/>
    <w:rsid w:val="00631B23"/>
    <w:rsid w:val="00632205"/>
    <w:rsid w:val="00632352"/>
    <w:rsid w:val="00632757"/>
    <w:rsid w:val="00632A24"/>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2F7"/>
    <w:rsid w:val="006447F3"/>
    <w:rsid w:val="006450B4"/>
    <w:rsid w:val="006459C4"/>
    <w:rsid w:val="00645A8B"/>
    <w:rsid w:val="00645C10"/>
    <w:rsid w:val="006468B7"/>
    <w:rsid w:val="006469E0"/>
    <w:rsid w:val="00646B97"/>
    <w:rsid w:val="00646EAB"/>
    <w:rsid w:val="006471DA"/>
    <w:rsid w:val="00647CD6"/>
    <w:rsid w:val="00650253"/>
    <w:rsid w:val="00650464"/>
    <w:rsid w:val="006505F6"/>
    <w:rsid w:val="00650986"/>
    <w:rsid w:val="00650ABF"/>
    <w:rsid w:val="00650AFD"/>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3B7"/>
    <w:rsid w:val="006624EE"/>
    <w:rsid w:val="00662715"/>
    <w:rsid w:val="00663068"/>
    <w:rsid w:val="00663AE4"/>
    <w:rsid w:val="00663E67"/>
    <w:rsid w:val="0066430E"/>
    <w:rsid w:val="0066441C"/>
    <w:rsid w:val="006644F3"/>
    <w:rsid w:val="00664579"/>
    <w:rsid w:val="00664589"/>
    <w:rsid w:val="00664FF3"/>
    <w:rsid w:val="00665288"/>
    <w:rsid w:val="006653A7"/>
    <w:rsid w:val="006653DF"/>
    <w:rsid w:val="00665461"/>
    <w:rsid w:val="00665848"/>
    <w:rsid w:val="0066597E"/>
    <w:rsid w:val="00665F1F"/>
    <w:rsid w:val="00665FB7"/>
    <w:rsid w:val="0066611A"/>
    <w:rsid w:val="0066635C"/>
    <w:rsid w:val="00666AF7"/>
    <w:rsid w:val="00666C8D"/>
    <w:rsid w:val="00666E3C"/>
    <w:rsid w:val="0066739D"/>
    <w:rsid w:val="006676B1"/>
    <w:rsid w:val="00667E13"/>
    <w:rsid w:val="0067009F"/>
    <w:rsid w:val="0067015E"/>
    <w:rsid w:val="006701BD"/>
    <w:rsid w:val="00670943"/>
    <w:rsid w:val="00670A4D"/>
    <w:rsid w:val="00670BE4"/>
    <w:rsid w:val="006710F2"/>
    <w:rsid w:val="00671270"/>
    <w:rsid w:val="006716C6"/>
    <w:rsid w:val="00671980"/>
    <w:rsid w:val="006720FD"/>
    <w:rsid w:val="006721F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989"/>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3B7A"/>
    <w:rsid w:val="00693C90"/>
    <w:rsid w:val="006940DF"/>
    <w:rsid w:val="0069414E"/>
    <w:rsid w:val="006943C4"/>
    <w:rsid w:val="00694590"/>
    <w:rsid w:val="006946DF"/>
    <w:rsid w:val="00694EC3"/>
    <w:rsid w:val="0069513E"/>
    <w:rsid w:val="00695376"/>
    <w:rsid w:val="006953D5"/>
    <w:rsid w:val="006959C3"/>
    <w:rsid w:val="00695C8D"/>
    <w:rsid w:val="0069618D"/>
    <w:rsid w:val="006965EB"/>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B"/>
    <w:rsid w:val="006B3C1E"/>
    <w:rsid w:val="006B40F6"/>
    <w:rsid w:val="006B4959"/>
    <w:rsid w:val="006B5089"/>
    <w:rsid w:val="006B5147"/>
    <w:rsid w:val="006B5926"/>
    <w:rsid w:val="006B602C"/>
    <w:rsid w:val="006B6B1A"/>
    <w:rsid w:val="006B6B37"/>
    <w:rsid w:val="006B704D"/>
    <w:rsid w:val="006B777A"/>
    <w:rsid w:val="006C0240"/>
    <w:rsid w:val="006C0310"/>
    <w:rsid w:val="006C0322"/>
    <w:rsid w:val="006C03B2"/>
    <w:rsid w:val="006C046C"/>
    <w:rsid w:val="006C05EE"/>
    <w:rsid w:val="006C1194"/>
    <w:rsid w:val="006C15D5"/>
    <w:rsid w:val="006C16B5"/>
    <w:rsid w:val="006C1728"/>
    <w:rsid w:val="006C17C6"/>
    <w:rsid w:val="006C188D"/>
    <w:rsid w:val="006C1A1B"/>
    <w:rsid w:val="006C1B81"/>
    <w:rsid w:val="006C1BE9"/>
    <w:rsid w:val="006C1F56"/>
    <w:rsid w:val="006C3D8B"/>
    <w:rsid w:val="006C3F56"/>
    <w:rsid w:val="006C410F"/>
    <w:rsid w:val="006C44AD"/>
    <w:rsid w:val="006C478B"/>
    <w:rsid w:val="006C4EAB"/>
    <w:rsid w:val="006C55CC"/>
    <w:rsid w:val="006C5715"/>
    <w:rsid w:val="006C6802"/>
    <w:rsid w:val="006C69E6"/>
    <w:rsid w:val="006C6D1F"/>
    <w:rsid w:val="006C745C"/>
    <w:rsid w:val="006C75D1"/>
    <w:rsid w:val="006C7760"/>
    <w:rsid w:val="006C7A69"/>
    <w:rsid w:val="006D02EE"/>
    <w:rsid w:val="006D0344"/>
    <w:rsid w:val="006D06BA"/>
    <w:rsid w:val="006D0DA1"/>
    <w:rsid w:val="006D0EFB"/>
    <w:rsid w:val="006D1591"/>
    <w:rsid w:val="006D16A3"/>
    <w:rsid w:val="006D19F8"/>
    <w:rsid w:val="006D1CE7"/>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E2D"/>
    <w:rsid w:val="006E067B"/>
    <w:rsid w:val="006E0A4D"/>
    <w:rsid w:val="006E105B"/>
    <w:rsid w:val="006E135F"/>
    <w:rsid w:val="006E139A"/>
    <w:rsid w:val="006E2106"/>
    <w:rsid w:val="006E2B78"/>
    <w:rsid w:val="006E2D21"/>
    <w:rsid w:val="006E32B2"/>
    <w:rsid w:val="006E3A26"/>
    <w:rsid w:val="006E4384"/>
    <w:rsid w:val="006E4687"/>
    <w:rsid w:val="006E47B4"/>
    <w:rsid w:val="006E5467"/>
    <w:rsid w:val="006E5D9E"/>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41D"/>
    <w:rsid w:val="006F76E3"/>
    <w:rsid w:val="006F7F7B"/>
    <w:rsid w:val="00700023"/>
    <w:rsid w:val="00700090"/>
    <w:rsid w:val="00700281"/>
    <w:rsid w:val="00700756"/>
    <w:rsid w:val="007007A3"/>
    <w:rsid w:val="00700990"/>
    <w:rsid w:val="00700B47"/>
    <w:rsid w:val="00700CC0"/>
    <w:rsid w:val="00700F17"/>
    <w:rsid w:val="007017D6"/>
    <w:rsid w:val="00701932"/>
    <w:rsid w:val="0070197D"/>
    <w:rsid w:val="00701B9F"/>
    <w:rsid w:val="00701C21"/>
    <w:rsid w:val="00701ECE"/>
    <w:rsid w:val="00702291"/>
    <w:rsid w:val="00702943"/>
    <w:rsid w:val="00702AF0"/>
    <w:rsid w:val="0070300D"/>
    <w:rsid w:val="00703BFE"/>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A6E"/>
    <w:rsid w:val="00706E3B"/>
    <w:rsid w:val="007071F1"/>
    <w:rsid w:val="007074F6"/>
    <w:rsid w:val="007074F9"/>
    <w:rsid w:val="00707583"/>
    <w:rsid w:val="007078C6"/>
    <w:rsid w:val="00710478"/>
    <w:rsid w:val="00710956"/>
    <w:rsid w:val="00710C64"/>
    <w:rsid w:val="00711145"/>
    <w:rsid w:val="00711A5E"/>
    <w:rsid w:val="00711B6D"/>
    <w:rsid w:val="0071215C"/>
    <w:rsid w:val="007123E0"/>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606"/>
    <w:rsid w:val="00723982"/>
    <w:rsid w:val="00723D66"/>
    <w:rsid w:val="007241CF"/>
    <w:rsid w:val="007243A7"/>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6F27"/>
    <w:rsid w:val="00737299"/>
    <w:rsid w:val="007372DC"/>
    <w:rsid w:val="00737404"/>
    <w:rsid w:val="00737489"/>
    <w:rsid w:val="007375EA"/>
    <w:rsid w:val="00737EAE"/>
    <w:rsid w:val="0074057C"/>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52"/>
    <w:rsid w:val="007529D4"/>
    <w:rsid w:val="00752BF3"/>
    <w:rsid w:val="007530AE"/>
    <w:rsid w:val="00753243"/>
    <w:rsid w:val="0075341A"/>
    <w:rsid w:val="00753768"/>
    <w:rsid w:val="00753D79"/>
    <w:rsid w:val="0075400C"/>
    <w:rsid w:val="007545DC"/>
    <w:rsid w:val="00754F24"/>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3EC8"/>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1C6"/>
    <w:rsid w:val="00771703"/>
    <w:rsid w:val="00771970"/>
    <w:rsid w:val="00771BCF"/>
    <w:rsid w:val="00772EAD"/>
    <w:rsid w:val="007732EE"/>
    <w:rsid w:val="007734A4"/>
    <w:rsid w:val="00773B08"/>
    <w:rsid w:val="00773B26"/>
    <w:rsid w:val="00773C4C"/>
    <w:rsid w:val="00773DE2"/>
    <w:rsid w:val="00773F03"/>
    <w:rsid w:val="0077405A"/>
    <w:rsid w:val="007744E9"/>
    <w:rsid w:val="00774576"/>
    <w:rsid w:val="00774619"/>
    <w:rsid w:val="00774C36"/>
    <w:rsid w:val="007750DB"/>
    <w:rsid w:val="007750E7"/>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5EAA"/>
    <w:rsid w:val="007861D8"/>
    <w:rsid w:val="007863CE"/>
    <w:rsid w:val="00786402"/>
    <w:rsid w:val="00786411"/>
    <w:rsid w:val="0078751B"/>
    <w:rsid w:val="00787A63"/>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4F1"/>
    <w:rsid w:val="007948D2"/>
    <w:rsid w:val="00795DEF"/>
    <w:rsid w:val="00795E50"/>
    <w:rsid w:val="007964BD"/>
    <w:rsid w:val="00796596"/>
    <w:rsid w:val="0079677B"/>
    <w:rsid w:val="00797180"/>
    <w:rsid w:val="007971ED"/>
    <w:rsid w:val="00797858"/>
    <w:rsid w:val="00797A7E"/>
    <w:rsid w:val="007A0166"/>
    <w:rsid w:val="007A045D"/>
    <w:rsid w:val="007A0718"/>
    <w:rsid w:val="007A079E"/>
    <w:rsid w:val="007A0DD4"/>
    <w:rsid w:val="007A0DF8"/>
    <w:rsid w:val="007A1A8C"/>
    <w:rsid w:val="007A20AB"/>
    <w:rsid w:val="007A2312"/>
    <w:rsid w:val="007A2666"/>
    <w:rsid w:val="007A2EBF"/>
    <w:rsid w:val="007A3508"/>
    <w:rsid w:val="007A3843"/>
    <w:rsid w:val="007A3CDB"/>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782"/>
    <w:rsid w:val="007B797B"/>
    <w:rsid w:val="007B7D01"/>
    <w:rsid w:val="007C0154"/>
    <w:rsid w:val="007C020E"/>
    <w:rsid w:val="007C0887"/>
    <w:rsid w:val="007C0D6D"/>
    <w:rsid w:val="007C1137"/>
    <w:rsid w:val="007C1819"/>
    <w:rsid w:val="007C18BF"/>
    <w:rsid w:val="007C1C2E"/>
    <w:rsid w:val="007C28A3"/>
    <w:rsid w:val="007C2A98"/>
    <w:rsid w:val="007C2BDF"/>
    <w:rsid w:val="007C2C9E"/>
    <w:rsid w:val="007C2E22"/>
    <w:rsid w:val="007C3158"/>
    <w:rsid w:val="007C363C"/>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1A8"/>
    <w:rsid w:val="007D0625"/>
    <w:rsid w:val="007D0E96"/>
    <w:rsid w:val="007D1027"/>
    <w:rsid w:val="007D15D6"/>
    <w:rsid w:val="007D1932"/>
    <w:rsid w:val="007D1C6D"/>
    <w:rsid w:val="007D1DA0"/>
    <w:rsid w:val="007D2B85"/>
    <w:rsid w:val="007D2C03"/>
    <w:rsid w:val="007D3109"/>
    <w:rsid w:val="007D3448"/>
    <w:rsid w:val="007D37EC"/>
    <w:rsid w:val="007D37FF"/>
    <w:rsid w:val="007D3AAC"/>
    <w:rsid w:val="007D3B66"/>
    <w:rsid w:val="007D3CCB"/>
    <w:rsid w:val="007D3E75"/>
    <w:rsid w:val="007D403E"/>
    <w:rsid w:val="007D541C"/>
    <w:rsid w:val="007D54C4"/>
    <w:rsid w:val="007D55CE"/>
    <w:rsid w:val="007D5928"/>
    <w:rsid w:val="007D59AA"/>
    <w:rsid w:val="007D5A81"/>
    <w:rsid w:val="007D5C0F"/>
    <w:rsid w:val="007D5D0C"/>
    <w:rsid w:val="007D5D9F"/>
    <w:rsid w:val="007D6384"/>
    <w:rsid w:val="007D640C"/>
    <w:rsid w:val="007D6A88"/>
    <w:rsid w:val="007D6BE8"/>
    <w:rsid w:val="007D6C17"/>
    <w:rsid w:val="007D6C4F"/>
    <w:rsid w:val="007D6D49"/>
    <w:rsid w:val="007D704C"/>
    <w:rsid w:val="007D7245"/>
    <w:rsid w:val="007D72D5"/>
    <w:rsid w:val="007D7BB3"/>
    <w:rsid w:val="007E06F6"/>
    <w:rsid w:val="007E0906"/>
    <w:rsid w:val="007E091F"/>
    <w:rsid w:val="007E096A"/>
    <w:rsid w:val="007E17E8"/>
    <w:rsid w:val="007E1E58"/>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8AB"/>
    <w:rsid w:val="007E6CF3"/>
    <w:rsid w:val="007E6EBA"/>
    <w:rsid w:val="007E700E"/>
    <w:rsid w:val="007E718B"/>
    <w:rsid w:val="007E7378"/>
    <w:rsid w:val="007E772D"/>
    <w:rsid w:val="007E79CB"/>
    <w:rsid w:val="007E7D6D"/>
    <w:rsid w:val="007E7E51"/>
    <w:rsid w:val="007F0105"/>
    <w:rsid w:val="007F010C"/>
    <w:rsid w:val="007F0971"/>
    <w:rsid w:val="007F0C1E"/>
    <w:rsid w:val="007F0F20"/>
    <w:rsid w:val="007F1579"/>
    <w:rsid w:val="007F17D2"/>
    <w:rsid w:val="007F1D67"/>
    <w:rsid w:val="007F1D8D"/>
    <w:rsid w:val="007F1E07"/>
    <w:rsid w:val="007F201F"/>
    <w:rsid w:val="007F2147"/>
    <w:rsid w:val="007F2614"/>
    <w:rsid w:val="007F29D9"/>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CBA"/>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5A74"/>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5CAE"/>
    <w:rsid w:val="008162BC"/>
    <w:rsid w:val="008164AC"/>
    <w:rsid w:val="00816507"/>
    <w:rsid w:val="00816559"/>
    <w:rsid w:val="00816A50"/>
    <w:rsid w:val="0081722A"/>
    <w:rsid w:val="0082057C"/>
    <w:rsid w:val="008208BD"/>
    <w:rsid w:val="00821671"/>
    <w:rsid w:val="00821710"/>
    <w:rsid w:val="00821ABA"/>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855"/>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8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19"/>
    <w:rsid w:val="008343DC"/>
    <w:rsid w:val="00834B22"/>
    <w:rsid w:val="00834ECA"/>
    <w:rsid w:val="008351A1"/>
    <w:rsid w:val="00835540"/>
    <w:rsid w:val="0083557A"/>
    <w:rsid w:val="00835873"/>
    <w:rsid w:val="00835A1E"/>
    <w:rsid w:val="00836159"/>
    <w:rsid w:val="008367DD"/>
    <w:rsid w:val="00836B62"/>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47B5"/>
    <w:rsid w:val="008457DE"/>
    <w:rsid w:val="00845801"/>
    <w:rsid w:val="00845A9F"/>
    <w:rsid w:val="00845B68"/>
    <w:rsid w:val="00845F84"/>
    <w:rsid w:val="008461A6"/>
    <w:rsid w:val="00846343"/>
    <w:rsid w:val="008469A2"/>
    <w:rsid w:val="00846D79"/>
    <w:rsid w:val="008475A2"/>
    <w:rsid w:val="00847651"/>
    <w:rsid w:val="00847A75"/>
    <w:rsid w:val="00847E08"/>
    <w:rsid w:val="00850668"/>
    <w:rsid w:val="00850829"/>
    <w:rsid w:val="008509C9"/>
    <w:rsid w:val="00850BCC"/>
    <w:rsid w:val="008510D2"/>
    <w:rsid w:val="008512D6"/>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14"/>
    <w:rsid w:val="008567D0"/>
    <w:rsid w:val="00856839"/>
    <w:rsid w:val="00856BB3"/>
    <w:rsid w:val="0085759B"/>
    <w:rsid w:val="00857B44"/>
    <w:rsid w:val="00857BAE"/>
    <w:rsid w:val="00857C1D"/>
    <w:rsid w:val="00857F99"/>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054"/>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50A"/>
    <w:rsid w:val="0086681A"/>
    <w:rsid w:val="00866EF7"/>
    <w:rsid w:val="0086717E"/>
    <w:rsid w:val="00867388"/>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8E3"/>
    <w:rsid w:val="00881DF8"/>
    <w:rsid w:val="00881E72"/>
    <w:rsid w:val="00881FBD"/>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B43"/>
    <w:rsid w:val="00886E1C"/>
    <w:rsid w:val="0088708C"/>
    <w:rsid w:val="00887CA2"/>
    <w:rsid w:val="00887E7B"/>
    <w:rsid w:val="00887EAE"/>
    <w:rsid w:val="00890F45"/>
    <w:rsid w:val="00890FA8"/>
    <w:rsid w:val="00891152"/>
    <w:rsid w:val="008917ED"/>
    <w:rsid w:val="00891A0D"/>
    <w:rsid w:val="00891C03"/>
    <w:rsid w:val="008920F8"/>
    <w:rsid w:val="008924DA"/>
    <w:rsid w:val="00893580"/>
    <w:rsid w:val="0089365D"/>
    <w:rsid w:val="00893753"/>
    <w:rsid w:val="0089378A"/>
    <w:rsid w:val="00893E27"/>
    <w:rsid w:val="00893F02"/>
    <w:rsid w:val="00894294"/>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8A2"/>
    <w:rsid w:val="008A3A8C"/>
    <w:rsid w:val="008A3DE2"/>
    <w:rsid w:val="008A4493"/>
    <w:rsid w:val="008A454F"/>
    <w:rsid w:val="008A47AE"/>
    <w:rsid w:val="008A4936"/>
    <w:rsid w:val="008A5305"/>
    <w:rsid w:val="008A5638"/>
    <w:rsid w:val="008A56DC"/>
    <w:rsid w:val="008A57B1"/>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69A"/>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3FEB"/>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40D"/>
    <w:rsid w:val="008D150A"/>
    <w:rsid w:val="008D155E"/>
    <w:rsid w:val="008D1DF5"/>
    <w:rsid w:val="008D1E11"/>
    <w:rsid w:val="008D1E76"/>
    <w:rsid w:val="008D1FC8"/>
    <w:rsid w:val="008D2179"/>
    <w:rsid w:val="008D2396"/>
    <w:rsid w:val="008D2516"/>
    <w:rsid w:val="008D2B13"/>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DF9"/>
    <w:rsid w:val="008D6F08"/>
    <w:rsid w:val="008D7769"/>
    <w:rsid w:val="008D77AA"/>
    <w:rsid w:val="008D7817"/>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234"/>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BEC"/>
    <w:rsid w:val="008F1ED1"/>
    <w:rsid w:val="008F2A74"/>
    <w:rsid w:val="008F2AA8"/>
    <w:rsid w:val="008F3187"/>
    <w:rsid w:val="008F3B74"/>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231"/>
    <w:rsid w:val="0090336C"/>
    <w:rsid w:val="00903487"/>
    <w:rsid w:val="0090364E"/>
    <w:rsid w:val="00903C48"/>
    <w:rsid w:val="00903DC0"/>
    <w:rsid w:val="00904437"/>
    <w:rsid w:val="00904505"/>
    <w:rsid w:val="009048F0"/>
    <w:rsid w:val="00904B1A"/>
    <w:rsid w:val="00904C11"/>
    <w:rsid w:val="00905942"/>
    <w:rsid w:val="009059A7"/>
    <w:rsid w:val="00905BD9"/>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2D8"/>
    <w:rsid w:val="0091370C"/>
    <w:rsid w:val="0091390D"/>
    <w:rsid w:val="0091458F"/>
    <w:rsid w:val="00914608"/>
    <w:rsid w:val="009147E1"/>
    <w:rsid w:val="00914F34"/>
    <w:rsid w:val="00915684"/>
    <w:rsid w:val="00915827"/>
    <w:rsid w:val="00915D91"/>
    <w:rsid w:val="00915DAF"/>
    <w:rsid w:val="00915EAB"/>
    <w:rsid w:val="00916153"/>
    <w:rsid w:val="00916162"/>
    <w:rsid w:val="00916364"/>
    <w:rsid w:val="009165E1"/>
    <w:rsid w:val="00916791"/>
    <w:rsid w:val="0091695E"/>
    <w:rsid w:val="00916D34"/>
    <w:rsid w:val="00916E0F"/>
    <w:rsid w:val="00917231"/>
    <w:rsid w:val="00917746"/>
    <w:rsid w:val="00917A82"/>
    <w:rsid w:val="00917B9B"/>
    <w:rsid w:val="009201EA"/>
    <w:rsid w:val="009206A4"/>
    <w:rsid w:val="00920914"/>
    <w:rsid w:val="009209F5"/>
    <w:rsid w:val="00920B33"/>
    <w:rsid w:val="00920BF7"/>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AC"/>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100"/>
    <w:rsid w:val="00935418"/>
    <w:rsid w:val="00935AD2"/>
    <w:rsid w:val="00936A26"/>
    <w:rsid w:val="00936C0A"/>
    <w:rsid w:val="0093721A"/>
    <w:rsid w:val="009374D2"/>
    <w:rsid w:val="00937889"/>
    <w:rsid w:val="00937A78"/>
    <w:rsid w:val="00937D5C"/>
    <w:rsid w:val="00937DA3"/>
    <w:rsid w:val="00937E23"/>
    <w:rsid w:val="00940732"/>
    <w:rsid w:val="0094079D"/>
    <w:rsid w:val="00940C0A"/>
    <w:rsid w:val="00941257"/>
    <w:rsid w:val="00941262"/>
    <w:rsid w:val="00941437"/>
    <w:rsid w:val="009415F2"/>
    <w:rsid w:val="009416D5"/>
    <w:rsid w:val="00941B4D"/>
    <w:rsid w:val="00942010"/>
    <w:rsid w:val="009420D4"/>
    <w:rsid w:val="0094216C"/>
    <w:rsid w:val="00942DF9"/>
    <w:rsid w:val="0094355D"/>
    <w:rsid w:val="00943D4D"/>
    <w:rsid w:val="00943DBA"/>
    <w:rsid w:val="009445AF"/>
    <w:rsid w:val="00944814"/>
    <w:rsid w:val="00944E9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64D"/>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4FD"/>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6DB"/>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054"/>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4E09"/>
    <w:rsid w:val="009856B4"/>
    <w:rsid w:val="009861C3"/>
    <w:rsid w:val="009865E3"/>
    <w:rsid w:val="00986965"/>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04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25C"/>
    <w:rsid w:val="009A5A06"/>
    <w:rsid w:val="009A5B1E"/>
    <w:rsid w:val="009A6158"/>
    <w:rsid w:val="009A68A7"/>
    <w:rsid w:val="009A68ED"/>
    <w:rsid w:val="009A69D7"/>
    <w:rsid w:val="009A6EF5"/>
    <w:rsid w:val="009A6FAC"/>
    <w:rsid w:val="009A7589"/>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B9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724"/>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8AE"/>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683"/>
    <w:rsid w:val="009E30C5"/>
    <w:rsid w:val="009E3127"/>
    <w:rsid w:val="009E324A"/>
    <w:rsid w:val="009E3430"/>
    <w:rsid w:val="009E3B7A"/>
    <w:rsid w:val="009E3CC4"/>
    <w:rsid w:val="009E45E5"/>
    <w:rsid w:val="009E48F2"/>
    <w:rsid w:val="009E4A22"/>
    <w:rsid w:val="009E4A9B"/>
    <w:rsid w:val="009E5168"/>
    <w:rsid w:val="009E51DA"/>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CEF"/>
    <w:rsid w:val="009F3F00"/>
    <w:rsid w:val="009F3FC7"/>
    <w:rsid w:val="009F4334"/>
    <w:rsid w:val="009F4BE5"/>
    <w:rsid w:val="009F4EA3"/>
    <w:rsid w:val="009F4F70"/>
    <w:rsid w:val="009F54BD"/>
    <w:rsid w:val="009F5A2E"/>
    <w:rsid w:val="009F5D39"/>
    <w:rsid w:val="009F5F41"/>
    <w:rsid w:val="009F60A0"/>
    <w:rsid w:val="009F66D1"/>
    <w:rsid w:val="009F7081"/>
    <w:rsid w:val="009F70BE"/>
    <w:rsid w:val="009F7197"/>
    <w:rsid w:val="00A0021C"/>
    <w:rsid w:val="00A006DB"/>
    <w:rsid w:val="00A00EB7"/>
    <w:rsid w:val="00A01965"/>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DF3"/>
    <w:rsid w:val="00A0703D"/>
    <w:rsid w:val="00A0743E"/>
    <w:rsid w:val="00A07616"/>
    <w:rsid w:val="00A076BC"/>
    <w:rsid w:val="00A078A4"/>
    <w:rsid w:val="00A07ADB"/>
    <w:rsid w:val="00A07DFC"/>
    <w:rsid w:val="00A07EAB"/>
    <w:rsid w:val="00A103E4"/>
    <w:rsid w:val="00A103F3"/>
    <w:rsid w:val="00A10791"/>
    <w:rsid w:val="00A10B7D"/>
    <w:rsid w:val="00A12003"/>
    <w:rsid w:val="00A12877"/>
    <w:rsid w:val="00A13157"/>
    <w:rsid w:val="00A139D9"/>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52C"/>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328"/>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473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4FC8"/>
    <w:rsid w:val="00A456CE"/>
    <w:rsid w:val="00A45713"/>
    <w:rsid w:val="00A46920"/>
    <w:rsid w:val="00A46FEC"/>
    <w:rsid w:val="00A47C28"/>
    <w:rsid w:val="00A47C70"/>
    <w:rsid w:val="00A50571"/>
    <w:rsid w:val="00A50CBE"/>
    <w:rsid w:val="00A50D89"/>
    <w:rsid w:val="00A50EAC"/>
    <w:rsid w:val="00A51070"/>
    <w:rsid w:val="00A51460"/>
    <w:rsid w:val="00A5153C"/>
    <w:rsid w:val="00A518B3"/>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0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97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4F0"/>
    <w:rsid w:val="00A717D5"/>
    <w:rsid w:val="00A71A15"/>
    <w:rsid w:val="00A71BF4"/>
    <w:rsid w:val="00A71C25"/>
    <w:rsid w:val="00A71D54"/>
    <w:rsid w:val="00A72085"/>
    <w:rsid w:val="00A7268F"/>
    <w:rsid w:val="00A72917"/>
    <w:rsid w:val="00A72AE8"/>
    <w:rsid w:val="00A7313F"/>
    <w:rsid w:val="00A73220"/>
    <w:rsid w:val="00A7362D"/>
    <w:rsid w:val="00A73E04"/>
    <w:rsid w:val="00A740A9"/>
    <w:rsid w:val="00A74334"/>
    <w:rsid w:val="00A748DF"/>
    <w:rsid w:val="00A7494E"/>
    <w:rsid w:val="00A74A1C"/>
    <w:rsid w:val="00A74F41"/>
    <w:rsid w:val="00A75B81"/>
    <w:rsid w:val="00A75D45"/>
    <w:rsid w:val="00A75EBB"/>
    <w:rsid w:val="00A762B7"/>
    <w:rsid w:val="00A7690C"/>
    <w:rsid w:val="00A77182"/>
    <w:rsid w:val="00A7795F"/>
    <w:rsid w:val="00A77970"/>
    <w:rsid w:val="00A80BB8"/>
    <w:rsid w:val="00A80FDE"/>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6A3"/>
    <w:rsid w:val="00A8685A"/>
    <w:rsid w:val="00A86DBD"/>
    <w:rsid w:val="00A87108"/>
    <w:rsid w:val="00A903AB"/>
    <w:rsid w:val="00A90579"/>
    <w:rsid w:val="00A9058F"/>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3F2"/>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922"/>
    <w:rsid w:val="00AA1D8A"/>
    <w:rsid w:val="00AA1E12"/>
    <w:rsid w:val="00AA2033"/>
    <w:rsid w:val="00AA22A5"/>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C0F"/>
    <w:rsid w:val="00AB1D6C"/>
    <w:rsid w:val="00AB2555"/>
    <w:rsid w:val="00AB2974"/>
    <w:rsid w:val="00AB2C21"/>
    <w:rsid w:val="00AB30C3"/>
    <w:rsid w:val="00AB32CC"/>
    <w:rsid w:val="00AB3436"/>
    <w:rsid w:val="00AB3AD4"/>
    <w:rsid w:val="00AB43FA"/>
    <w:rsid w:val="00AB4CF4"/>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C7943"/>
    <w:rsid w:val="00AD0294"/>
    <w:rsid w:val="00AD08E4"/>
    <w:rsid w:val="00AD09CD"/>
    <w:rsid w:val="00AD0C5F"/>
    <w:rsid w:val="00AD0E72"/>
    <w:rsid w:val="00AD1351"/>
    <w:rsid w:val="00AD1709"/>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5DEF"/>
    <w:rsid w:val="00AD618A"/>
    <w:rsid w:val="00AD65EC"/>
    <w:rsid w:val="00AD6621"/>
    <w:rsid w:val="00AD68C5"/>
    <w:rsid w:val="00AD6C89"/>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812"/>
    <w:rsid w:val="00AF0B39"/>
    <w:rsid w:val="00AF12C9"/>
    <w:rsid w:val="00AF1681"/>
    <w:rsid w:val="00AF1789"/>
    <w:rsid w:val="00AF1A96"/>
    <w:rsid w:val="00AF1C08"/>
    <w:rsid w:val="00AF1C60"/>
    <w:rsid w:val="00AF1DCE"/>
    <w:rsid w:val="00AF1FC6"/>
    <w:rsid w:val="00AF20CA"/>
    <w:rsid w:val="00AF2420"/>
    <w:rsid w:val="00AF268E"/>
    <w:rsid w:val="00AF33B0"/>
    <w:rsid w:val="00AF38FC"/>
    <w:rsid w:val="00AF3B8D"/>
    <w:rsid w:val="00AF43BF"/>
    <w:rsid w:val="00AF4543"/>
    <w:rsid w:val="00AF47B7"/>
    <w:rsid w:val="00AF4B0A"/>
    <w:rsid w:val="00AF4C83"/>
    <w:rsid w:val="00AF5239"/>
    <w:rsid w:val="00AF54E8"/>
    <w:rsid w:val="00AF56B7"/>
    <w:rsid w:val="00AF5FDE"/>
    <w:rsid w:val="00AF6013"/>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BE6"/>
    <w:rsid w:val="00B05DE8"/>
    <w:rsid w:val="00B061E6"/>
    <w:rsid w:val="00B062B9"/>
    <w:rsid w:val="00B06B71"/>
    <w:rsid w:val="00B06CAB"/>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926"/>
    <w:rsid w:val="00B13D54"/>
    <w:rsid w:val="00B13E7D"/>
    <w:rsid w:val="00B13F47"/>
    <w:rsid w:val="00B145C5"/>
    <w:rsid w:val="00B149D1"/>
    <w:rsid w:val="00B14A85"/>
    <w:rsid w:val="00B14B0F"/>
    <w:rsid w:val="00B14F44"/>
    <w:rsid w:val="00B15214"/>
    <w:rsid w:val="00B152D6"/>
    <w:rsid w:val="00B15600"/>
    <w:rsid w:val="00B1595E"/>
    <w:rsid w:val="00B15DB2"/>
    <w:rsid w:val="00B15E87"/>
    <w:rsid w:val="00B167CB"/>
    <w:rsid w:val="00B16C85"/>
    <w:rsid w:val="00B1777B"/>
    <w:rsid w:val="00B17D8E"/>
    <w:rsid w:val="00B17F16"/>
    <w:rsid w:val="00B20262"/>
    <w:rsid w:val="00B20313"/>
    <w:rsid w:val="00B2051A"/>
    <w:rsid w:val="00B209EA"/>
    <w:rsid w:val="00B20FCF"/>
    <w:rsid w:val="00B2101A"/>
    <w:rsid w:val="00B21085"/>
    <w:rsid w:val="00B212C8"/>
    <w:rsid w:val="00B21422"/>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CCD"/>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0F3E"/>
    <w:rsid w:val="00B41AB2"/>
    <w:rsid w:val="00B41E62"/>
    <w:rsid w:val="00B41E67"/>
    <w:rsid w:val="00B426B1"/>
    <w:rsid w:val="00B4295F"/>
    <w:rsid w:val="00B42D42"/>
    <w:rsid w:val="00B43002"/>
    <w:rsid w:val="00B4322A"/>
    <w:rsid w:val="00B43925"/>
    <w:rsid w:val="00B43B7D"/>
    <w:rsid w:val="00B43D44"/>
    <w:rsid w:val="00B43FBB"/>
    <w:rsid w:val="00B444D8"/>
    <w:rsid w:val="00B444E8"/>
    <w:rsid w:val="00B44904"/>
    <w:rsid w:val="00B45079"/>
    <w:rsid w:val="00B4535F"/>
    <w:rsid w:val="00B454C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B31"/>
    <w:rsid w:val="00B62EE5"/>
    <w:rsid w:val="00B63140"/>
    <w:rsid w:val="00B63B0F"/>
    <w:rsid w:val="00B63E5E"/>
    <w:rsid w:val="00B63F77"/>
    <w:rsid w:val="00B64056"/>
    <w:rsid w:val="00B64435"/>
    <w:rsid w:val="00B6469A"/>
    <w:rsid w:val="00B6477B"/>
    <w:rsid w:val="00B648BA"/>
    <w:rsid w:val="00B64D93"/>
    <w:rsid w:val="00B65139"/>
    <w:rsid w:val="00B6530B"/>
    <w:rsid w:val="00B654F3"/>
    <w:rsid w:val="00B6591C"/>
    <w:rsid w:val="00B65ECE"/>
    <w:rsid w:val="00B6614A"/>
    <w:rsid w:val="00B662B9"/>
    <w:rsid w:val="00B662D9"/>
    <w:rsid w:val="00B67000"/>
    <w:rsid w:val="00B67175"/>
    <w:rsid w:val="00B67A63"/>
    <w:rsid w:val="00B67E00"/>
    <w:rsid w:val="00B67EC2"/>
    <w:rsid w:val="00B70063"/>
    <w:rsid w:val="00B7015D"/>
    <w:rsid w:val="00B701E7"/>
    <w:rsid w:val="00B708AF"/>
    <w:rsid w:val="00B70B0F"/>
    <w:rsid w:val="00B71211"/>
    <w:rsid w:val="00B7146E"/>
    <w:rsid w:val="00B71B9B"/>
    <w:rsid w:val="00B71EB6"/>
    <w:rsid w:val="00B7206D"/>
    <w:rsid w:val="00B7258C"/>
    <w:rsid w:val="00B727F3"/>
    <w:rsid w:val="00B73771"/>
    <w:rsid w:val="00B73AE3"/>
    <w:rsid w:val="00B7449F"/>
    <w:rsid w:val="00B74802"/>
    <w:rsid w:val="00B74B2B"/>
    <w:rsid w:val="00B74C4E"/>
    <w:rsid w:val="00B74FF7"/>
    <w:rsid w:val="00B75432"/>
    <w:rsid w:val="00B75C3F"/>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2BD2"/>
    <w:rsid w:val="00B837BA"/>
    <w:rsid w:val="00B8384D"/>
    <w:rsid w:val="00B83DA3"/>
    <w:rsid w:val="00B841EF"/>
    <w:rsid w:val="00B8427D"/>
    <w:rsid w:val="00B8467F"/>
    <w:rsid w:val="00B846A2"/>
    <w:rsid w:val="00B84B08"/>
    <w:rsid w:val="00B85178"/>
    <w:rsid w:val="00B8555F"/>
    <w:rsid w:val="00B86635"/>
    <w:rsid w:val="00B86757"/>
    <w:rsid w:val="00B86F5D"/>
    <w:rsid w:val="00B87024"/>
    <w:rsid w:val="00B871BF"/>
    <w:rsid w:val="00B87683"/>
    <w:rsid w:val="00B87B31"/>
    <w:rsid w:val="00B9028A"/>
    <w:rsid w:val="00B903C1"/>
    <w:rsid w:val="00B906A9"/>
    <w:rsid w:val="00B90E9C"/>
    <w:rsid w:val="00B91067"/>
    <w:rsid w:val="00B91985"/>
    <w:rsid w:val="00B92853"/>
    <w:rsid w:val="00B9314E"/>
    <w:rsid w:val="00B932B0"/>
    <w:rsid w:val="00B93386"/>
    <w:rsid w:val="00B9357D"/>
    <w:rsid w:val="00B9386E"/>
    <w:rsid w:val="00B952F2"/>
    <w:rsid w:val="00B9579E"/>
    <w:rsid w:val="00B95941"/>
    <w:rsid w:val="00B95A8F"/>
    <w:rsid w:val="00B95C75"/>
    <w:rsid w:val="00B960DC"/>
    <w:rsid w:val="00B9627E"/>
    <w:rsid w:val="00B96589"/>
    <w:rsid w:val="00B9659A"/>
    <w:rsid w:val="00B965AB"/>
    <w:rsid w:val="00B96848"/>
    <w:rsid w:val="00B96B44"/>
    <w:rsid w:val="00B97681"/>
    <w:rsid w:val="00B97973"/>
    <w:rsid w:val="00BA05B0"/>
    <w:rsid w:val="00BA07E0"/>
    <w:rsid w:val="00BA0A3F"/>
    <w:rsid w:val="00BA0DA5"/>
    <w:rsid w:val="00BA12F5"/>
    <w:rsid w:val="00BA15FC"/>
    <w:rsid w:val="00BA1803"/>
    <w:rsid w:val="00BA182B"/>
    <w:rsid w:val="00BA1B74"/>
    <w:rsid w:val="00BA1F77"/>
    <w:rsid w:val="00BA2221"/>
    <w:rsid w:val="00BA230D"/>
    <w:rsid w:val="00BA23F2"/>
    <w:rsid w:val="00BA27F5"/>
    <w:rsid w:val="00BA2B4A"/>
    <w:rsid w:val="00BA318A"/>
    <w:rsid w:val="00BA331D"/>
    <w:rsid w:val="00BA3BDC"/>
    <w:rsid w:val="00BA3F3D"/>
    <w:rsid w:val="00BA4294"/>
    <w:rsid w:val="00BA4944"/>
    <w:rsid w:val="00BA4B18"/>
    <w:rsid w:val="00BA5324"/>
    <w:rsid w:val="00BA5389"/>
    <w:rsid w:val="00BA53F5"/>
    <w:rsid w:val="00BA5580"/>
    <w:rsid w:val="00BA571F"/>
    <w:rsid w:val="00BA5CB6"/>
    <w:rsid w:val="00BA63A5"/>
    <w:rsid w:val="00BA6578"/>
    <w:rsid w:val="00BA6C7A"/>
    <w:rsid w:val="00BA6FC0"/>
    <w:rsid w:val="00BA7333"/>
    <w:rsid w:val="00BA782A"/>
    <w:rsid w:val="00BA7C2A"/>
    <w:rsid w:val="00BB082C"/>
    <w:rsid w:val="00BB08B1"/>
    <w:rsid w:val="00BB096F"/>
    <w:rsid w:val="00BB1284"/>
    <w:rsid w:val="00BB171B"/>
    <w:rsid w:val="00BB1CEC"/>
    <w:rsid w:val="00BB1E58"/>
    <w:rsid w:val="00BB2441"/>
    <w:rsid w:val="00BB261A"/>
    <w:rsid w:val="00BB2D5C"/>
    <w:rsid w:val="00BB379E"/>
    <w:rsid w:val="00BB3BEE"/>
    <w:rsid w:val="00BB3FEF"/>
    <w:rsid w:val="00BB4179"/>
    <w:rsid w:val="00BB4248"/>
    <w:rsid w:val="00BB42C3"/>
    <w:rsid w:val="00BB50E6"/>
    <w:rsid w:val="00BB576B"/>
    <w:rsid w:val="00BB586F"/>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77C"/>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4EAD"/>
    <w:rsid w:val="00BC511E"/>
    <w:rsid w:val="00BC5474"/>
    <w:rsid w:val="00BC5C24"/>
    <w:rsid w:val="00BC5F28"/>
    <w:rsid w:val="00BC67DA"/>
    <w:rsid w:val="00BC6903"/>
    <w:rsid w:val="00BC6CA4"/>
    <w:rsid w:val="00BC716D"/>
    <w:rsid w:val="00BC7FAF"/>
    <w:rsid w:val="00BD0454"/>
    <w:rsid w:val="00BD0B49"/>
    <w:rsid w:val="00BD1118"/>
    <w:rsid w:val="00BD11FE"/>
    <w:rsid w:val="00BD142E"/>
    <w:rsid w:val="00BD1560"/>
    <w:rsid w:val="00BD18DA"/>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5FFD"/>
    <w:rsid w:val="00BD6271"/>
    <w:rsid w:val="00BD6B05"/>
    <w:rsid w:val="00BD7012"/>
    <w:rsid w:val="00BD73EE"/>
    <w:rsid w:val="00BD7475"/>
    <w:rsid w:val="00BD752A"/>
    <w:rsid w:val="00BE02A8"/>
    <w:rsid w:val="00BE02AB"/>
    <w:rsid w:val="00BE09CA"/>
    <w:rsid w:val="00BE1022"/>
    <w:rsid w:val="00BE1301"/>
    <w:rsid w:val="00BE1EAF"/>
    <w:rsid w:val="00BE24A2"/>
    <w:rsid w:val="00BE2A2A"/>
    <w:rsid w:val="00BE2E2F"/>
    <w:rsid w:val="00BE3550"/>
    <w:rsid w:val="00BE3BB3"/>
    <w:rsid w:val="00BE40D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001F"/>
    <w:rsid w:val="00BF01D4"/>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87"/>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41D"/>
    <w:rsid w:val="00C04534"/>
    <w:rsid w:val="00C0490B"/>
    <w:rsid w:val="00C04AF6"/>
    <w:rsid w:val="00C04BFE"/>
    <w:rsid w:val="00C05126"/>
    <w:rsid w:val="00C05C67"/>
    <w:rsid w:val="00C06314"/>
    <w:rsid w:val="00C06648"/>
    <w:rsid w:val="00C067A2"/>
    <w:rsid w:val="00C06F30"/>
    <w:rsid w:val="00C07012"/>
    <w:rsid w:val="00C070C1"/>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986"/>
    <w:rsid w:val="00C11B41"/>
    <w:rsid w:val="00C12018"/>
    <w:rsid w:val="00C122B8"/>
    <w:rsid w:val="00C1259A"/>
    <w:rsid w:val="00C12742"/>
    <w:rsid w:val="00C12A99"/>
    <w:rsid w:val="00C12FCA"/>
    <w:rsid w:val="00C12FCB"/>
    <w:rsid w:val="00C1352B"/>
    <w:rsid w:val="00C138AB"/>
    <w:rsid w:val="00C14AA1"/>
    <w:rsid w:val="00C153CF"/>
    <w:rsid w:val="00C1582B"/>
    <w:rsid w:val="00C15A9B"/>
    <w:rsid w:val="00C1629B"/>
    <w:rsid w:val="00C1640A"/>
    <w:rsid w:val="00C16524"/>
    <w:rsid w:val="00C165A9"/>
    <w:rsid w:val="00C16C60"/>
    <w:rsid w:val="00C178D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407"/>
    <w:rsid w:val="00C2379B"/>
    <w:rsid w:val="00C23E1C"/>
    <w:rsid w:val="00C24159"/>
    <w:rsid w:val="00C24547"/>
    <w:rsid w:val="00C24ACB"/>
    <w:rsid w:val="00C251CE"/>
    <w:rsid w:val="00C252D7"/>
    <w:rsid w:val="00C25539"/>
    <w:rsid w:val="00C2585B"/>
    <w:rsid w:val="00C261AF"/>
    <w:rsid w:val="00C2632A"/>
    <w:rsid w:val="00C267F4"/>
    <w:rsid w:val="00C2774F"/>
    <w:rsid w:val="00C27FC9"/>
    <w:rsid w:val="00C302B3"/>
    <w:rsid w:val="00C30818"/>
    <w:rsid w:val="00C30955"/>
    <w:rsid w:val="00C30F83"/>
    <w:rsid w:val="00C30FB7"/>
    <w:rsid w:val="00C30FFD"/>
    <w:rsid w:val="00C316F7"/>
    <w:rsid w:val="00C31AFD"/>
    <w:rsid w:val="00C31C92"/>
    <w:rsid w:val="00C31CEB"/>
    <w:rsid w:val="00C31FA5"/>
    <w:rsid w:val="00C322FE"/>
    <w:rsid w:val="00C328BA"/>
    <w:rsid w:val="00C32AAB"/>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5C4B"/>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2C5C"/>
    <w:rsid w:val="00C43005"/>
    <w:rsid w:val="00C43041"/>
    <w:rsid w:val="00C433F1"/>
    <w:rsid w:val="00C436DA"/>
    <w:rsid w:val="00C43AE3"/>
    <w:rsid w:val="00C43BFF"/>
    <w:rsid w:val="00C43FC3"/>
    <w:rsid w:val="00C4439D"/>
    <w:rsid w:val="00C4441A"/>
    <w:rsid w:val="00C4476B"/>
    <w:rsid w:val="00C447BE"/>
    <w:rsid w:val="00C449A4"/>
    <w:rsid w:val="00C44C53"/>
    <w:rsid w:val="00C454D5"/>
    <w:rsid w:val="00C456C6"/>
    <w:rsid w:val="00C45B40"/>
    <w:rsid w:val="00C45EF5"/>
    <w:rsid w:val="00C45F6D"/>
    <w:rsid w:val="00C4699E"/>
    <w:rsid w:val="00C46B60"/>
    <w:rsid w:val="00C46FE2"/>
    <w:rsid w:val="00C47A21"/>
    <w:rsid w:val="00C47BB4"/>
    <w:rsid w:val="00C47C9B"/>
    <w:rsid w:val="00C501DA"/>
    <w:rsid w:val="00C502FE"/>
    <w:rsid w:val="00C505D2"/>
    <w:rsid w:val="00C505F9"/>
    <w:rsid w:val="00C506F6"/>
    <w:rsid w:val="00C507E1"/>
    <w:rsid w:val="00C508A1"/>
    <w:rsid w:val="00C50BFF"/>
    <w:rsid w:val="00C50C63"/>
    <w:rsid w:val="00C50C72"/>
    <w:rsid w:val="00C5101D"/>
    <w:rsid w:val="00C511AF"/>
    <w:rsid w:val="00C52146"/>
    <w:rsid w:val="00C52499"/>
    <w:rsid w:val="00C52FEB"/>
    <w:rsid w:val="00C53076"/>
    <w:rsid w:val="00C53263"/>
    <w:rsid w:val="00C53942"/>
    <w:rsid w:val="00C53DA5"/>
    <w:rsid w:val="00C5406C"/>
    <w:rsid w:val="00C541A0"/>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6F0"/>
    <w:rsid w:val="00C568D4"/>
    <w:rsid w:val="00C56DA2"/>
    <w:rsid w:val="00C56DE4"/>
    <w:rsid w:val="00C57048"/>
    <w:rsid w:val="00C570ED"/>
    <w:rsid w:val="00C575AF"/>
    <w:rsid w:val="00C57D34"/>
    <w:rsid w:val="00C57ED6"/>
    <w:rsid w:val="00C600EC"/>
    <w:rsid w:val="00C601B6"/>
    <w:rsid w:val="00C602EB"/>
    <w:rsid w:val="00C6099B"/>
    <w:rsid w:val="00C60BC9"/>
    <w:rsid w:val="00C6174A"/>
    <w:rsid w:val="00C61899"/>
    <w:rsid w:val="00C619DD"/>
    <w:rsid w:val="00C61A40"/>
    <w:rsid w:val="00C61D09"/>
    <w:rsid w:val="00C62040"/>
    <w:rsid w:val="00C621A7"/>
    <w:rsid w:val="00C62351"/>
    <w:rsid w:val="00C6249A"/>
    <w:rsid w:val="00C6272E"/>
    <w:rsid w:val="00C62B9B"/>
    <w:rsid w:val="00C63345"/>
    <w:rsid w:val="00C63F21"/>
    <w:rsid w:val="00C63F88"/>
    <w:rsid w:val="00C640EE"/>
    <w:rsid w:val="00C64963"/>
    <w:rsid w:val="00C64A19"/>
    <w:rsid w:val="00C65075"/>
    <w:rsid w:val="00C65E86"/>
    <w:rsid w:val="00C66003"/>
    <w:rsid w:val="00C6612C"/>
    <w:rsid w:val="00C66191"/>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1F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CB4"/>
    <w:rsid w:val="00C93E11"/>
    <w:rsid w:val="00C940A8"/>
    <w:rsid w:val="00C946A4"/>
    <w:rsid w:val="00C94901"/>
    <w:rsid w:val="00C94A2F"/>
    <w:rsid w:val="00C94A3B"/>
    <w:rsid w:val="00C952DD"/>
    <w:rsid w:val="00C95950"/>
    <w:rsid w:val="00C9640C"/>
    <w:rsid w:val="00C96865"/>
    <w:rsid w:val="00C971EC"/>
    <w:rsid w:val="00CA0420"/>
    <w:rsid w:val="00CA0C46"/>
    <w:rsid w:val="00CA0D69"/>
    <w:rsid w:val="00CA0E06"/>
    <w:rsid w:val="00CA114E"/>
    <w:rsid w:val="00CA1378"/>
    <w:rsid w:val="00CA17AF"/>
    <w:rsid w:val="00CA1C7E"/>
    <w:rsid w:val="00CA1ECC"/>
    <w:rsid w:val="00CA1F3F"/>
    <w:rsid w:val="00CA211D"/>
    <w:rsid w:val="00CA242A"/>
    <w:rsid w:val="00CA2868"/>
    <w:rsid w:val="00CA2BD9"/>
    <w:rsid w:val="00CA31AE"/>
    <w:rsid w:val="00CA3B74"/>
    <w:rsid w:val="00CA4EE6"/>
    <w:rsid w:val="00CA513B"/>
    <w:rsid w:val="00CA5E5B"/>
    <w:rsid w:val="00CA6013"/>
    <w:rsid w:val="00CA6256"/>
    <w:rsid w:val="00CA6845"/>
    <w:rsid w:val="00CA69A7"/>
    <w:rsid w:val="00CA6A33"/>
    <w:rsid w:val="00CA6A49"/>
    <w:rsid w:val="00CA6B86"/>
    <w:rsid w:val="00CA6C42"/>
    <w:rsid w:val="00CA6D18"/>
    <w:rsid w:val="00CA6E55"/>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50D"/>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5DA"/>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ACE"/>
    <w:rsid w:val="00CD4BAF"/>
    <w:rsid w:val="00CD4F0C"/>
    <w:rsid w:val="00CD508A"/>
    <w:rsid w:val="00CD51DB"/>
    <w:rsid w:val="00CD52C0"/>
    <w:rsid w:val="00CD5746"/>
    <w:rsid w:val="00CD5967"/>
    <w:rsid w:val="00CD5B45"/>
    <w:rsid w:val="00CD5B5E"/>
    <w:rsid w:val="00CD5B96"/>
    <w:rsid w:val="00CD5E8A"/>
    <w:rsid w:val="00CD6A7E"/>
    <w:rsid w:val="00CD6EED"/>
    <w:rsid w:val="00CD6F5F"/>
    <w:rsid w:val="00CD7249"/>
    <w:rsid w:val="00CD741C"/>
    <w:rsid w:val="00CD78B2"/>
    <w:rsid w:val="00CD7991"/>
    <w:rsid w:val="00CD7AD6"/>
    <w:rsid w:val="00CD7D15"/>
    <w:rsid w:val="00CE0342"/>
    <w:rsid w:val="00CE0BEA"/>
    <w:rsid w:val="00CE0C0A"/>
    <w:rsid w:val="00CE0D14"/>
    <w:rsid w:val="00CE108C"/>
    <w:rsid w:val="00CE1202"/>
    <w:rsid w:val="00CE13E3"/>
    <w:rsid w:val="00CE1416"/>
    <w:rsid w:val="00CE20B8"/>
    <w:rsid w:val="00CE26AC"/>
    <w:rsid w:val="00CE2C80"/>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931"/>
    <w:rsid w:val="00CF1170"/>
    <w:rsid w:val="00CF1312"/>
    <w:rsid w:val="00CF1742"/>
    <w:rsid w:val="00CF19B0"/>
    <w:rsid w:val="00CF19BF"/>
    <w:rsid w:val="00CF1C0E"/>
    <w:rsid w:val="00CF2982"/>
    <w:rsid w:val="00CF29AC"/>
    <w:rsid w:val="00CF331F"/>
    <w:rsid w:val="00CF33FD"/>
    <w:rsid w:val="00CF392C"/>
    <w:rsid w:val="00CF3E65"/>
    <w:rsid w:val="00CF3FC9"/>
    <w:rsid w:val="00CF41C4"/>
    <w:rsid w:val="00CF4651"/>
    <w:rsid w:val="00CF4768"/>
    <w:rsid w:val="00CF4778"/>
    <w:rsid w:val="00CF491D"/>
    <w:rsid w:val="00CF4F5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4C7"/>
    <w:rsid w:val="00D00CC2"/>
    <w:rsid w:val="00D01287"/>
    <w:rsid w:val="00D02577"/>
    <w:rsid w:val="00D02ADA"/>
    <w:rsid w:val="00D02EF5"/>
    <w:rsid w:val="00D03A23"/>
    <w:rsid w:val="00D03C92"/>
    <w:rsid w:val="00D03F0A"/>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811"/>
    <w:rsid w:val="00D10C3D"/>
    <w:rsid w:val="00D11431"/>
    <w:rsid w:val="00D114C3"/>
    <w:rsid w:val="00D114FE"/>
    <w:rsid w:val="00D117A7"/>
    <w:rsid w:val="00D12728"/>
    <w:rsid w:val="00D12EE6"/>
    <w:rsid w:val="00D12F7B"/>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56"/>
    <w:rsid w:val="00D21196"/>
    <w:rsid w:val="00D2134E"/>
    <w:rsid w:val="00D21800"/>
    <w:rsid w:val="00D21928"/>
    <w:rsid w:val="00D21CC6"/>
    <w:rsid w:val="00D22441"/>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898"/>
    <w:rsid w:val="00D27293"/>
    <w:rsid w:val="00D2739B"/>
    <w:rsid w:val="00D27471"/>
    <w:rsid w:val="00D27474"/>
    <w:rsid w:val="00D27676"/>
    <w:rsid w:val="00D27774"/>
    <w:rsid w:val="00D27EF0"/>
    <w:rsid w:val="00D30911"/>
    <w:rsid w:val="00D311A4"/>
    <w:rsid w:val="00D31A36"/>
    <w:rsid w:val="00D31A6E"/>
    <w:rsid w:val="00D31DCA"/>
    <w:rsid w:val="00D31E34"/>
    <w:rsid w:val="00D32452"/>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5F8F"/>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4F1"/>
    <w:rsid w:val="00D52958"/>
    <w:rsid w:val="00D529DD"/>
    <w:rsid w:val="00D52A27"/>
    <w:rsid w:val="00D52BB1"/>
    <w:rsid w:val="00D5314B"/>
    <w:rsid w:val="00D5335A"/>
    <w:rsid w:val="00D53E64"/>
    <w:rsid w:val="00D54751"/>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CB3"/>
    <w:rsid w:val="00D61F4F"/>
    <w:rsid w:val="00D62771"/>
    <w:rsid w:val="00D628D2"/>
    <w:rsid w:val="00D633C6"/>
    <w:rsid w:val="00D638B8"/>
    <w:rsid w:val="00D63BBD"/>
    <w:rsid w:val="00D64275"/>
    <w:rsid w:val="00D6527D"/>
    <w:rsid w:val="00D659E4"/>
    <w:rsid w:val="00D65B11"/>
    <w:rsid w:val="00D65B49"/>
    <w:rsid w:val="00D65E66"/>
    <w:rsid w:val="00D66546"/>
    <w:rsid w:val="00D67007"/>
    <w:rsid w:val="00D673D7"/>
    <w:rsid w:val="00D6774B"/>
    <w:rsid w:val="00D6782C"/>
    <w:rsid w:val="00D67DC1"/>
    <w:rsid w:val="00D702F9"/>
    <w:rsid w:val="00D7044E"/>
    <w:rsid w:val="00D70472"/>
    <w:rsid w:val="00D70852"/>
    <w:rsid w:val="00D70D31"/>
    <w:rsid w:val="00D70D47"/>
    <w:rsid w:val="00D70D75"/>
    <w:rsid w:val="00D71148"/>
    <w:rsid w:val="00D713CA"/>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76"/>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1A3"/>
    <w:rsid w:val="00D84288"/>
    <w:rsid w:val="00D84745"/>
    <w:rsid w:val="00D847D6"/>
    <w:rsid w:val="00D84FCC"/>
    <w:rsid w:val="00D856D8"/>
    <w:rsid w:val="00D858E9"/>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989"/>
    <w:rsid w:val="00D9112A"/>
    <w:rsid w:val="00D916E2"/>
    <w:rsid w:val="00D9179D"/>
    <w:rsid w:val="00D917D1"/>
    <w:rsid w:val="00D91A57"/>
    <w:rsid w:val="00D91DA1"/>
    <w:rsid w:val="00D91F8E"/>
    <w:rsid w:val="00D92292"/>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46C"/>
    <w:rsid w:val="00D96A6B"/>
    <w:rsid w:val="00D96DCE"/>
    <w:rsid w:val="00D9737A"/>
    <w:rsid w:val="00D9745D"/>
    <w:rsid w:val="00D97AFC"/>
    <w:rsid w:val="00D97DB0"/>
    <w:rsid w:val="00D97EF8"/>
    <w:rsid w:val="00DA064A"/>
    <w:rsid w:val="00DA074B"/>
    <w:rsid w:val="00DA0D07"/>
    <w:rsid w:val="00DA175C"/>
    <w:rsid w:val="00DA17FA"/>
    <w:rsid w:val="00DA1805"/>
    <w:rsid w:val="00DA1C03"/>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CF3"/>
    <w:rsid w:val="00DB2DCE"/>
    <w:rsid w:val="00DB2E86"/>
    <w:rsid w:val="00DB34D0"/>
    <w:rsid w:val="00DB3A62"/>
    <w:rsid w:val="00DB3BFD"/>
    <w:rsid w:val="00DB3EF7"/>
    <w:rsid w:val="00DB3F73"/>
    <w:rsid w:val="00DB3FB6"/>
    <w:rsid w:val="00DB44AB"/>
    <w:rsid w:val="00DB45F8"/>
    <w:rsid w:val="00DB4A9C"/>
    <w:rsid w:val="00DB4C80"/>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27B"/>
    <w:rsid w:val="00DC18CC"/>
    <w:rsid w:val="00DC1EF0"/>
    <w:rsid w:val="00DC2020"/>
    <w:rsid w:val="00DC20A0"/>
    <w:rsid w:val="00DC2466"/>
    <w:rsid w:val="00DC2541"/>
    <w:rsid w:val="00DC294B"/>
    <w:rsid w:val="00DC2A0D"/>
    <w:rsid w:val="00DC2B65"/>
    <w:rsid w:val="00DC3160"/>
    <w:rsid w:val="00DC3382"/>
    <w:rsid w:val="00DC346F"/>
    <w:rsid w:val="00DC388A"/>
    <w:rsid w:val="00DC392B"/>
    <w:rsid w:val="00DC3D79"/>
    <w:rsid w:val="00DC452B"/>
    <w:rsid w:val="00DC4787"/>
    <w:rsid w:val="00DC507F"/>
    <w:rsid w:val="00DC51AD"/>
    <w:rsid w:val="00DC5DAF"/>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416"/>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5D3"/>
    <w:rsid w:val="00DD766F"/>
    <w:rsid w:val="00DD7A8D"/>
    <w:rsid w:val="00DE0184"/>
    <w:rsid w:val="00DE0185"/>
    <w:rsid w:val="00DE08BC"/>
    <w:rsid w:val="00DE0DB7"/>
    <w:rsid w:val="00DE17E2"/>
    <w:rsid w:val="00DE1B65"/>
    <w:rsid w:val="00DE1BB8"/>
    <w:rsid w:val="00DE1DED"/>
    <w:rsid w:val="00DE23C2"/>
    <w:rsid w:val="00DE31F3"/>
    <w:rsid w:val="00DE324A"/>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AC0"/>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0BAE"/>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4FC"/>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7E8"/>
    <w:rsid w:val="00E248A7"/>
    <w:rsid w:val="00E24A36"/>
    <w:rsid w:val="00E254A8"/>
    <w:rsid w:val="00E255C1"/>
    <w:rsid w:val="00E25943"/>
    <w:rsid w:val="00E25B70"/>
    <w:rsid w:val="00E26024"/>
    <w:rsid w:val="00E26407"/>
    <w:rsid w:val="00E2670C"/>
    <w:rsid w:val="00E26760"/>
    <w:rsid w:val="00E269BF"/>
    <w:rsid w:val="00E26C94"/>
    <w:rsid w:val="00E27057"/>
    <w:rsid w:val="00E27180"/>
    <w:rsid w:val="00E3029F"/>
    <w:rsid w:val="00E30490"/>
    <w:rsid w:val="00E30B3E"/>
    <w:rsid w:val="00E3111A"/>
    <w:rsid w:val="00E3156E"/>
    <w:rsid w:val="00E31A5E"/>
    <w:rsid w:val="00E31FEF"/>
    <w:rsid w:val="00E329CF"/>
    <w:rsid w:val="00E32B54"/>
    <w:rsid w:val="00E33261"/>
    <w:rsid w:val="00E33424"/>
    <w:rsid w:val="00E334B0"/>
    <w:rsid w:val="00E33D62"/>
    <w:rsid w:val="00E33F85"/>
    <w:rsid w:val="00E34010"/>
    <w:rsid w:val="00E341C2"/>
    <w:rsid w:val="00E34BC4"/>
    <w:rsid w:val="00E34D7D"/>
    <w:rsid w:val="00E34E05"/>
    <w:rsid w:val="00E351FC"/>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DE2"/>
    <w:rsid w:val="00E42ECF"/>
    <w:rsid w:val="00E42FD7"/>
    <w:rsid w:val="00E43240"/>
    <w:rsid w:val="00E432A1"/>
    <w:rsid w:val="00E435A2"/>
    <w:rsid w:val="00E436F1"/>
    <w:rsid w:val="00E4397F"/>
    <w:rsid w:val="00E43E81"/>
    <w:rsid w:val="00E445ED"/>
    <w:rsid w:val="00E44ABC"/>
    <w:rsid w:val="00E44AFE"/>
    <w:rsid w:val="00E450C7"/>
    <w:rsid w:val="00E45776"/>
    <w:rsid w:val="00E45A6B"/>
    <w:rsid w:val="00E45CF0"/>
    <w:rsid w:val="00E45DF3"/>
    <w:rsid w:val="00E461C5"/>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7B7"/>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67B"/>
    <w:rsid w:val="00E54CD3"/>
    <w:rsid w:val="00E5502F"/>
    <w:rsid w:val="00E55644"/>
    <w:rsid w:val="00E5605E"/>
    <w:rsid w:val="00E56CB6"/>
    <w:rsid w:val="00E56E37"/>
    <w:rsid w:val="00E56F8F"/>
    <w:rsid w:val="00E57026"/>
    <w:rsid w:val="00E5702F"/>
    <w:rsid w:val="00E57EB9"/>
    <w:rsid w:val="00E606E1"/>
    <w:rsid w:val="00E60A7D"/>
    <w:rsid w:val="00E60AF0"/>
    <w:rsid w:val="00E60C28"/>
    <w:rsid w:val="00E61AD1"/>
    <w:rsid w:val="00E62004"/>
    <w:rsid w:val="00E6219A"/>
    <w:rsid w:val="00E6222D"/>
    <w:rsid w:val="00E63311"/>
    <w:rsid w:val="00E63E2E"/>
    <w:rsid w:val="00E63EBF"/>
    <w:rsid w:val="00E642A5"/>
    <w:rsid w:val="00E64763"/>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0FCC"/>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87D"/>
    <w:rsid w:val="00E74B07"/>
    <w:rsid w:val="00E74DCD"/>
    <w:rsid w:val="00E74E12"/>
    <w:rsid w:val="00E75D58"/>
    <w:rsid w:val="00E75D9C"/>
    <w:rsid w:val="00E75E9F"/>
    <w:rsid w:val="00E763C9"/>
    <w:rsid w:val="00E7651E"/>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96F"/>
    <w:rsid w:val="00E87C4C"/>
    <w:rsid w:val="00E9045A"/>
    <w:rsid w:val="00E909AA"/>
    <w:rsid w:val="00E90C2E"/>
    <w:rsid w:val="00E90CFA"/>
    <w:rsid w:val="00E91162"/>
    <w:rsid w:val="00E912DD"/>
    <w:rsid w:val="00E9178F"/>
    <w:rsid w:val="00E918CE"/>
    <w:rsid w:val="00E91FC8"/>
    <w:rsid w:val="00E921AA"/>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B10"/>
    <w:rsid w:val="00EA4D3A"/>
    <w:rsid w:val="00EA53A8"/>
    <w:rsid w:val="00EA5755"/>
    <w:rsid w:val="00EA57D3"/>
    <w:rsid w:val="00EA5861"/>
    <w:rsid w:val="00EA6001"/>
    <w:rsid w:val="00EA6090"/>
    <w:rsid w:val="00EA6349"/>
    <w:rsid w:val="00EA6A70"/>
    <w:rsid w:val="00EA6B6D"/>
    <w:rsid w:val="00EA7214"/>
    <w:rsid w:val="00EA78F1"/>
    <w:rsid w:val="00EA7AFB"/>
    <w:rsid w:val="00EA7E36"/>
    <w:rsid w:val="00EB0194"/>
    <w:rsid w:val="00EB01B5"/>
    <w:rsid w:val="00EB0A3C"/>
    <w:rsid w:val="00EB101D"/>
    <w:rsid w:val="00EB15CE"/>
    <w:rsid w:val="00EB1C61"/>
    <w:rsid w:val="00EB1E09"/>
    <w:rsid w:val="00EB1F90"/>
    <w:rsid w:val="00EB24F6"/>
    <w:rsid w:val="00EB34A4"/>
    <w:rsid w:val="00EB39A8"/>
    <w:rsid w:val="00EB3A9A"/>
    <w:rsid w:val="00EB4A0C"/>
    <w:rsid w:val="00EB54A4"/>
    <w:rsid w:val="00EB55DF"/>
    <w:rsid w:val="00EB5B11"/>
    <w:rsid w:val="00EB5E5C"/>
    <w:rsid w:val="00EB69D3"/>
    <w:rsid w:val="00EB6A09"/>
    <w:rsid w:val="00EB6BB2"/>
    <w:rsid w:val="00EB6DBB"/>
    <w:rsid w:val="00EB7260"/>
    <w:rsid w:val="00EB7443"/>
    <w:rsid w:val="00EB776D"/>
    <w:rsid w:val="00EB7F9E"/>
    <w:rsid w:val="00EC0743"/>
    <w:rsid w:val="00EC09A7"/>
    <w:rsid w:val="00EC0DE0"/>
    <w:rsid w:val="00EC0EE0"/>
    <w:rsid w:val="00EC1355"/>
    <w:rsid w:val="00EC188E"/>
    <w:rsid w:val="00EC18B1"/>
    <w:rsid w:val="00EC19C1"/>
    <w:rsid w:val="00EC19CE"/>
    <w:rsid w:val="00EC22EA"/>
    <w:rsid w:val="00EC2581"/>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54A"/>
    <w:rsid w:val="00ED4CA7"/>
    <w:rsid w:val="00ED4D57"/>
    <w:rsid w:val="00ED4DD6"/>
    <w:rsid w:val="00ED4E49"/>
    <w:rsid w:val="00ED502C"/>
    <w:rsid w:val="00ED5BF5"/>
    <w:rsid w:val="00ED5ED6"/>
    <w:rsid w:val="00ED61CF"/>
    <w:rsid w:val="00ED62EF"/>
    <w:rsid w:val="00ED675F"/>
    <w:rsid w:val="00ED6999"/>
    <w:rsid w:val="00ED74E1"/>
    <w:rsid w:val="00ED7955"/>
    <w:rsid w:val="00ED7CC3"/>
    <w:rsid w:val="00ED7D0B"/>
    <w:rsid w:val="00ED7D2C"/>
    <w:rsid w:val="00EE003D"/>
    <w:rsid w:val="00EE0184"/>
    <w:rsid w:val="00EE08F3"/>
    <w:rsid w:val="00EE10F7"/>
    <w:rsid w:val="00EE15D7"/>
    <w:rsid w:val="00EE18AC"/>
    <w:rsid w:val="00EE1A0B"/>
    <w:rsid w:val="00EE1EC0"/>
    <w:rsid w:val="00EE20CC"/>
    <w:rsid w:val="00EE2282"/>
    <w:rsid w:val="00EE2484"/>
    <w:rsid w:val="00EE24DE"/>
    <w:rsid w:val="00EE3110"/>
    <w:rsid w:val="00EE31E2"/>
    <w:rsid w:val="00EE322A"/>
    <w:rsid w:val="00EE3425"/>
    <w:rsid w:val="00EE3CB0"/>
    <w:rsid w:val="00EE44D7"/>
    <w:rsid w:val="00EE4C40"/>
    <w:rsid w:val="00EE5202"/>
    <w:rsid w:val="00EE59E1"/>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6EE"/>
    <w:rsid w:val="00EF297C"/>
    <w:rsid w:val="00EF30D1"/>
    <w:rsid w:val="00EF3675"/>
    <w:rsid w:val="00EF3BA9"/>
    <w:rsid w:val="00EF3C96"/>
    <w:rsid w:val="00EF3DA1"/>
    <w:rsid w:val="00EF3E9B"/>
    <w:rsid w:val="00EF48F4"/>
    <w:rsid w:val="00EF4900"/>
    <w:rsid w:val="00EF4E3A"/>
    <w:rsid w:val="00EF507B"/>
    <w:rsid w:val="00EF5716"/>
    <w:rsid w:val="00EF6412"/>
    <w:rsid w:val="00EF6508"/>
    <w:rsid w:val="00EF6540"/>
    <w:rsid w:val="00EF6555"/>
    <w:rsid w:val="00EF66E8"/>
    <w:rsid w:val="00EF685D"/>
    <w:rsid w:val="00EF6913"/>
    <w:rsid w:val="00EF69C7"/>
    <w:rsid w:val="00EF6C87"/>
    <w:rsid w:val="00EF6DC9"/>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2AD"/>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24F"/>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923"/>
    <w:rsid w:val="00F30AF8"/>
    <w:rsid w:val="00F30F16"/>
    <w:rsid w:val="00F31433"/>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76"/>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FD6"/>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A86"/>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EFF"/>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1E8"/>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35C"/>
    <w:rsid w:val="00F74685"/>
    <w:rsid w:val="00F74C35"/>
    <w:rsid w:val="00F74FD9"/>
    <w:rsid w:val="00F7537C"/>
    <w:rsid w:val="00F75C80"/>
    <w:rsid w:val="00F76005"/>
    <w:rsid w:val="00F767CD"/>
    <w:rsid w:val="00F76DC9"/>
    <w:rsid w:val="00F76E41"/>
    <w:rsid w:val="00F77674"/>
    <w:rsid w:val="00F77A62"/>
    <w:rsid w:val="00F77FD4"/>
    <w:rsid w:val="00F8013C"/>
    <w:rsid w:val="00F80228"/>
    <w:rsid w:val="00F80390"/>
    <w:rsid w:val="00F80391"/>
    <w:rsid w:val="00F805D5"/>
    <w:rsid w:val="00F80813"/>
    <w:rsid w:val="00F80B33"/>
    <w:rsid w:val="00F80BCB"/>
    <w:rsid w:val="00F80DF1"/>
    <w:rsid w:val="00F81041"/>
    <w:rsid w:val="00F8117C"/>
    <w:rsid w:val="00F814FE"/>
    <w:rsid w:val="00F816A8"/>
    <w:rsid w:val="00F81A6F"/>
    <w:rsid w:val="00F82253"/>
    <w:rsid w:val="00F828DD"/>
    <w:rsid w:val="00F82DBD"/>
    <w:rsid w:val="00F8302D"/>
    <w:rsid w:val="00F831D8"/>
    <w:rsid w:val="00F836BB"/>
    <w:rsid w:val="00F83972"/>
    <w:rsid w:val="00F83EB5"/>
    <w:rsid w:val="00F842EC"/>
    <w:rsid w:val="00F84E25"/>
    <w:rsid w:val="00F853C6"/>
    <w:rsid w:val="00F85DCD"/>
    <w:rsid w:val="00F8652E"/>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79B"/>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557"/>
    <w:rsid w:val="00F9781B"/>
    <w:rsid w:val="00F97D9B"/>
    <w:rsid w:val="00F97EAE"/>
    <w:rsid w:val="00F97EE7"/>
    <w:rsid w:val="00FA0A64"/>
    <w:rsid w:val="00FA0C72"/>
    <w:rsid w:val="00FA0CA5"/>
    <w:rsid w:val="00FA0FAD"/>
    <w:rsid w:val="00FA123A"/>
    <w:rsid w:val="00FA14B2"/>
    <w:rsid w:val="00FA1F3A"/>
    <w:rsid w:val="00FA207C"/>
    <w:rsid w:val="00FA242F"/>
    <w:rsid w:val="00FA2680"/>
    <w:rsid w:val="00FA2A04"/>
    <w:rsid w:val="00FA2B0D"/>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A7D8A"/>
    <w:rsid w:val="00FB03B7"/>
    <w:rsid w:val="00FB0996"/>
    <w:rsid w:val="00FB0C97"/>
    <w:rsid w:val="00FB122F"/>
    <w:rsid w:val="00FB1489"/>
    <w:rsid w:val="00FB15B1"/>
    <w:rsid w:val="00FB2697"/>
    <w:rsid w:val="00FB2B5A"/>
    <w:rsid w:val="00FB2B91"/>
    <w:rsid w:val="00FB2BA9"/>
    <w:rsid w:val="00FB3109"/>
    <w:rsid w:val="00FB31F1"/>
    <w:rsid w:val="00FB3272"/>
    <w:rsid w:val="00FB3297"/>
    <w:rsid w:val="00FB3871"/>
    <w:rsid w:val="00FB3DAC"/>
    <w:rsid w:val="00FB4055"/>
    <w:rsid w:val="00FB4564"/>
    <w:rsid w:val="00FB457D"/>
    <w:rsid w:val="00FB52B8"/>
    <w:rsid w:val="00FB5498"/>
    <w:rsid w:val="00FB54B2"/>
    <w:rsid w:val="00FB5562"/>
    <w:rsid w:val="00FB68A1"/>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1D"/>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563"/>
    <w:rsid w:val="00FD0B77"/>
    <w:rsid w:val="00FD0F0A"/>
    <w:rsid w:val="00FD1299"/>
    <w:rsid w:val="00FD12A0"/>
    <w:rsid w:val="00FD1621"/>
    <w:rsid w:val="00FD1625"/>
    <w:rsid w:val="00FD19B9"/>
    <w:rsid w:val="00FD1A39"/>
    <w:rsid w:val="00FD20F1"/>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5702"/>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BA1"/>
    <w:rsid w:val="00FE5DAE"/>
    <w:rsid w:val="00FE5E55"/>
    <w:rsid w:val="00FE5FF8"/>
    <w:rsid w:val="00FE60EA"/>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0BD"/>
    <w:rsid w:val="00FF3502"/>
    <w:rsid w:val="00FF3671"/>
    <w:rsid w:val="00FF3D5C"/>
    <w:rsid w:val="00FF3F6A"/>
    <w:rsid w:val="00FF4143"/>
    <w:rsid w:val="00FF42F7"/>
    <w:rsid w:val="00FF4DF7"/>
    <w:rsid w:val="00FF4F9A"/>
    <w:rsid w:val="00FF55B1"/>
    <w:rsid w:val="00FF59A8"/>
    <w:rsid w:val="00FF60BD"/>
    <w:rsid w:val="00FF6548"/>
    <w:rsid w:val="00FF6998"/>
    <w:rsid w:val="00FF6BAE"/>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B33C0"/>
  <w15:docId w15:val="{6C7DD1D5-A288-4540-B0DA-FDBAD9E8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5"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C5"/>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qFormat/>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customStyle="1" w:styleId="Default">
    <w:name w:val="Default"/>
    <w:rsid w:val="00196E8D"/>
    <w:pPr>
      <w:autoSpaceDE w:val="0"/>
      <w:autoSpaceDN w:val="0"/>
      <w:adjustRightInd w:val="0"/>
    </w:pPr>
    <w:rPr>
      <w:color w:val="000000"/>
      <w:sz w:val="24"/>
      <w:szCs w:val="24"/>
    </w:rPr>
  </w:style>
  <w:style w:type="paragraph" w:styleId="ListNumber">
    <w:name w:val="List Number"/>
    <w:basedOn w:val="Normal"/>
    <w:uiPriority w:val="99"/>
    <w:qFormat/>
    <w:rsid w:val="00E42ECF"/>
    <w:pPr>
      <w:numPr>
        <w:numId w:val="3"/>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E42ECF"/>
    <w:pPr>
      <w:numPr>
        <w:ilvl w:val="1"/>
        <w:numId w:val="3"/>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E42ECF"/>
    <w:pPr>
      <w:numPr>
        <w:ilvl w:val="2"/>
        <w:numId w:val="3"/>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E42ECF"/>
    <w:pPr>
      <w:numPr>
        <w:ilvl w:val="3"/>
        <w:numId w:val="3"/>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E42ECF"/>
    <w:pPr>
      <w:numPr>
        <w:ilvl w:val="4"/>
        <w:numId w:val="3"/>
      </w:numPr>
      <w:spacing w:after="200" w:line="276" w:lineRule="auto"/>
    </w:pPr>
    <w:rPr>
      <w:rFonts w:ascii="Arial" w:eastAsia="Calibri" w:hAnsi="Arial"/>
      <w:sz w:val="22"/>
      <w:szCs w:val="22"/>
      <w:lang w:eastAsia="en-US"/>
    </w:rPr>
  </w:style>
  <w:style w:type="table" w:styleId="TableGrid">
    <w:name w:val="Table Grid"/>
    <w:basedOn w:val="TableNormal"/>
    <w:uiPriority w:val="39"/>
    <w:rsid w:val="0022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
    <w:basedOn w:val="Normal"/>
    <w:rsid w:val="00C35C4B"/>
    <w:pPr>
      <w:tabs>
        <w:tab w:val="right" w:pos="1531"/>
      </w:tabs>
      <w:spacing w:before="40"/>
      <w:ind w:left="1644" w:hanging="1644"/>
    </w:pPr>
    <w:rPr>
      <w:sz w:val="22"/>
      <w:szCs w:val="20"/>
    </w:rPr>
  </w:style>
  <w:style w:type="paragraph" w:customStyle="1" w:styleId="TableListParagraph">
    <w:name w:val="Table List Paragraph"/>
    <w:basedOn w:val="ListParagraph"/>
    <w:qFormat/>
    <w:rsid w:val="004B55EE"/>
    <w:pPr>
      <w:numPr>
        <w:numId w:val="12"/>
      </w:numPr>
      <w:spacing w:before="60" w:after="60" w:line="276" w:lineRule="auto"/>
      <w:contextualSpacing w:val="0"/>
    </w:pPr>
    <w:rPr>
      <w:rFonts w:eastAsia="MS PGothic"/>
      <w:color w:val="000000" w:themeColor="text1"/>
      <w:sz w:val="22"/>
      <w:szCs w:val="22"/>
      <w:lang w:val="en-AU" w:eastAsia="en-US"/>
    </w:rPr>
  </w:style>
  <w:style w:type="paragraph" w:styleId="BodyText">
    <w:name w:val="Body Text"/>
    <w:basedOn w:val="Normal"/>
    <w:link w:val="BodyTextChar"/>
    <w:rsid w:val="00703BFE"/>
    <w:pPr>
      <w:spacing w:before="120" w:after="240" w:line="240" w:lineRule="atLeast"/>
      <w:ind w:firstLine="360"/>
      <w:jc w:val="both"/>
    </w:pPr>
    <w:rPr>
      <w:rFonts w:ascii="Calibri" w:eastAsiaTheme="minorEastAsia" w:hAnsi="Calibri" w:cstheme="minorBidi"/>
      <w:sz w:val="20"/>
      <w:szCs w:val="22"/>
      <w:lang w:eastAsia="en-US"/>
    </w:rPr>
  </w:style>
  <w:style w:type="character" w:customStyle="1" w:styleId="BodyTextChar">
    <w:name w:val="Body Text Char"/>
    <w:basedOn w:val="DefaultParagraphFont"/>
    <w:link w:val="BodyText"/>
    <w:rsid w:val="00703BFE"/>
    <w:rPr>
      <w:rFonts w:ascii="Calibri" w:eastAsiaTheme="minorEastAsia" w:hAnsi="Calibri" w:cstheme="minorBidi"/>
      <w:szCs w:val="22"/>
      <w:lang w:eastAsia="en-US"/>
    </w:rPr>
  </w:style>
  <w:style w:type="paragraph" w:customStyle="1" w:styleId="subsection">
    <w:name w:val="subsection"/>
    <w:aliases w:val="ss"/>
    <w:basedOn w:val="Normal"/>
    <w:link w:val="subsectionChar"/>
    <w:rsid w:val="00EB0194"/>
    <w:pPr>
      <w:tabs>
        <w:tab w:val="right" w:pos="1021"/>
      </w:tabs>
      <w:spacing w:before="180"/>
      <w:ind w:left="1134" w:hanging="1134"/>
    </w:pPr>
    <w:rPr>
      <w:sz w:val="22"/>
      <w:szCs w:val="20"/>
    </w:rPr>
  </w:style>
  <w:style w:type="paragraph" w:customStyle="1" w:styleId="paragraphsub">
    <w:name w:val="paragraph(sub)"/>
    <w:aliases w:val="aa"/>
    <w:basedOn w:val="Normal"/>
    <w:rsid w:val="00EB0194"/>
    <w:pPr>
      <w:tabs>
        <w:tab w:val="right" w:pos="1985"/>
      </w:tabs>
      <w:spacing w:before="40"/>
      <w:ind w:left="2098" w:hanging="2098"/>
    </w:pPr>
    <w:rPr>
      <w:sz w:val="22"/>
      <w:szCs w:val="20"/>
    </w:rPr>
  </w:style>
  <w:style w:type="character" w:customStyle="1" w:styleId="subsectionChar">
    <w:name w:val="subsection Char"/>
    <w:aliases w:val="ss Char"/>
    <w:basedOn w:val="DefaultParagraphFont"/>
    <w:link w:val="subsection"/>
    <w:locked/>
    <w:rsid w:val="00EB0194"/>
    <w:rPr>
      <w:sz w:val="22"/>
    </w:rPr>
  </w:style>
  <w:style w:type="character" w:styleId="FollowedHyperlink">
    <w:name w:val="FollowedHyperlink"/>
    <w:basedOn w:val="DefaultParagraphFont"/>
    <w:semiHidden/>
    <w:unhideWhenUsed/>
    <w:rsid w:val="00B71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166">
      <w:bodyDiv w:val="1"/>
      <w:marLeft w:val="0"/>
      <w:marRight w:val="0"/>
      <w:marTop w:val="0"/>
      <w:marBottom w:val="0"/>
      <w:divBdr>
        <w:top w:val="none" w:sz="0" w:space="0" w:color="auto"/>
        <w:left w:val="none" w:sz="0" w:space="0" w:color="auto"/>
        <w:bottom w:val="none" w:sz="0" w:space="0" w:color="auto"/>
        <w:right w:val="none" w:sz="0" w:space="0" w:color="auto"/>
      </w:divBdr>
    </w:div>
    <w:div w:id="53704567">
      <w:bodyDiv w:val="1"/>
      <w:marLeft w:val="0"/>
      <w:marRight w:val="0"/>
      <w:marTop w:val="0"/>
      <w:marBottom w:val="0"/>
      <w:divBdr>
        <w:top w:val="none" w:sz="0" w:space="0" w:color="auto"/>
        <w:left w:val="none" w:sz="0" w:space="0" w:color="auto"/>
        <w:bottom w:val="none" w:sz="0" w:space="0" w:color="auto"/>
        <w:right w:val="none" w:sz="0" w:space="0" w:color="auto"/>
      </w:divBdr>
    </w:div>
    <w:div w:id="158153832">
      <w:bodyDiv w:val="1"/>
      <w:marLeft w:val="0"/>
      <w:marRight w:val="0"/>
      <w:marTop w:val="0"/>
      <w:marBottom w:val="0"/>
      <w:divBdr>
        <w:top w:val="none" w:sz="0" w:space="0" w:color="auto"/>
        <w:left w:val="none" w:sz="0" w:space="0" w:color="auto"/>
        <w:bottom w:val="none" w:sz="0" w:space="0" w:color="auto"/>
        <w:right w:val="none" w:sz="0" w:space="0" w:color="auto"/>
      </w:divBdr>
    </w:div>
    <w:div w:id="193075700">
      <w:bodyDiv w:val="1"/>
      <w:marLeft w:val="0"/>
      <w:marRight w:val="0"/>
      <w:marTop w:val="0"/>
      <w:marBottom w:val="0"/>
      <w:divBdr>
        <w:top w:val="none" w:sz="0" w:space="0" w:color="auto"/>
        <w:left w:val="none" w:sz="0" w:space="0" w:color="auto"/>
        <w:bottom w:val="none" w:sz="0" w:space="0" w:color="auto"/>
        <w:right w:val="none" w:sz="0" w:space="0" w:color="auto"/>
      </w:divBdr>
    </w:div>
    <w:div w:id="219369334">
      <w:bodyDiv w:val="1"/>
      <w:marLeft w:val="0"/>
      <w:marRight w:val="0"/>
      <w:marTop w:val="0"/>
      <w:marBottom w:val="0"/>
      <w:divBdr>
        <w:top w:val="none" w:sz="0" w:space="0" w:color="auto"/>
        <w:left w:val="none" w:sz="0" w:space="0" w:color="auto"/>
        <w:bottom w:val="none" w:sz="0" w:space="0" w:color="auto"/>
        <w:right w:val="none" w:sz="0" w:space="0" w:color="auto"/>
      </w:divBdr>
    </w:div>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512576708">
      <w:bodyDiv w:val="1"/>
      <w:marLeft w:val="0"/>
      <w:marRight w:val="0"/>
      <w:marTop w:val="0"/>
      <w:marBottom w:val="0"/>
      <w:divBdr>
        <w:top w:val="none" w:sz="0" w:space="0" w:color="auto"/>
        <w:left w:val="none" w:sz="0" w:space="0" w:color="auto"/>
        <w:bottom w:val="none" w:sz="0" w:space="0" w:color="auto"/>
        <w:right w:val="none" w:sz="0" w:space="0" w:color="auto"/>
      </w:divBdr>
    </w:div>
    <w:div w:id="574434934">
      <w:bodyDiv w:val="1"/>
      <w:marLeft w:val="0"/>
      <w:marRight w:val="0"/>
      <w:marTop w:val="0"/>
      <w:marBottom w:val="0"/>
      <w:divBdr>
        <w:top w:val="none" w:sz="0" w:space="0" w:color="auto"/>
        <w:left w:val="none" w:sz="0" w:space="0" w:color="auto"/>
        <w:bottom w:val="none" w:sz="0" w:space="0" w:color="auto"/>
        <w:right w:val="none" w:sz="0" w:space="0" w:color="auto"/>
      </w:divBdr>
      <w:divsChild>
        <w:div w:id="698242452">
          <w:marLeft w:val="0"/>
          <w:marRight w:val="0"/>
          <w:marTop w:val="0"/>
          <w:marBottom w:val="0"/>
          <w:divBdr>
            <w:top w:val="none" w:sz="0" w:space="0" w:color="auto"/>
            <w:left w:val="none" w:sz="0" w:space="0" w:color="auto"/>
            <w:bottom w:val="none" w:sz="0" w:space="0" w:color="auto"/>
            <w:right w:val="none" w:sz="0" w:space="0" w:color="auto"/>
          </w:divBdr>
          <w:divsChild>
            <w:div w:id="579484891">
              <w:marLeft w:val="0"/>
              <w:marRight w:val="0"/>
              <w:marTop w:val="0"/>
              <w:marBottom w:val="0"/>
              <w:divBdr>
                <w:top w:val="none" w:sz="0" w:space="0" w:color="auto"/>
                <w:left w:val="none" w:sz="0" w:space="0" w:color="auto"/>
                <w:bottom w:val="none" w:sz="0" w:space="0" w:color="auto"/>
                <w:right w:val="none" w:sz="0" w:space="0" w:color="auto"/>
              </w:divBdr>
              <w:divsChild>
                <w:div w:id="240876934">
                  <w:marLeft w:val="0"/>
                  <w:marRight w:val="0"/>
                  <w:marTop w:val="0"/>
                  <w:marBottom w:val="0"/>
                  <w:divBdr>
                    <w:top w:val="none" w:sz="0" w:space="0" w:color="auto"/>
                    <w:left w:val="none" w:sz="0" w:space="0" w:color="auto"/>
                    <w:bottom w:val="none" w:sz="0" w:space="0" w:color="auto"/>
                    <w:right w:val="none" w:sz="0" w:space="0" w:color="auto"/>
                  </w:divBdr>
                  <w:divsChild>
                    <w:div w:id="1208494170">
                      <w:marLeft w:val="0"/>
                      <w:marRight w:val="0"/>
                      <w:marTop w:val="0"/>
                      <w:marBottom w:val="0"/>
                      <w:divBdr>
                        <w:top w:val="none" w:sz="0" w:space="0" w:color="auto"/>
                        <w:left w:val="none" w:sz="0" w:space="0" w:color="auto"/>
                        <w:bottom w:val="none" w:sz="0" w:space="0" w:color="auto"/>
                        <w:right w:val="none" w:sz="0" w:space="0" w:color="auto"/>
                      </w:divBdr>
                      <w:divsChild>
                        <w:div w:id="876698509">
                          <w:marLeft w:val="0"/>
                          <w:marRight w:val="0"/>
                          <w:marTop w:val="0"/>
                          <w:marBottom w:val="0"/>
                          <w:divBdr>
                            <w:top w:val="none" w:sz="0" w:space="0" w:color="auto"/>
                            <w:left w:val="none" w:sz="0" w:space="0" w:color="auto"/>
                            <w:bottom w:val="none" w:sz="0" w:space="0" w:color="auto"/>
                            <w:right w:val="none" w:sz="0" w:space="0" w:color="auto"/>
                          </w:divBdr>
                          <w:divsChild>
                            <w:div w:id="229851495">
                              <w:marLeft w:val="0"/>
                              <w:marRight w:val="0"/>
                              <w:marTop w:val="0"/>
                              <w:marBottom w:val="0"/>
                              <w:divBdr>
                                <w:top w:val="none" w:sz="0" w:space="0" w:color="auto"/>
                                <w:left w:val="none" w:sz="0" w:space="0" w:color="auto"/>
                                <w:bottom w:val="none" w:sz="0" w:space="0" w:color="auto"/>
                                <w:right w:val="none" w:sz="0" w:space="0" w:color="auto"/>
                              </w:divBdr>
                              <w:divsChild>
                                <w:div w:id="1041634486">
                                  <w:marLeft w:val="0"/>
                                  <w:marRight w:val="0"/>
                                  <w:marTop w:val="0"/>
                                  <w:marBottom w:val="0"/>
                                  <w:divBdr>
                                    <w:top w:val="none" w:sz="0" w:space="0" w:color="auto"/>
                                    <w:left w:val="none" w:sz="0" w:space="0" w:color="auto"/>
                                    <w:bottom w:val="none" w:sz="0" w:space="0" w:color="auto"/>
                                    <w:right w:val="none" w:sz="0" w:space="0" w:color="auto"/>
                                  </w:divBdr>
                                  <w:divsChild>
                                    <w:div w:id="228468553">
                                      <w:marLeft w:val="0"/>
                                      <w:marRight w:val="0"/>
                                      <w:marTop w:val="0"/>
                                      <w:marBottom w:val="0"/>
                                      <w:divBdr>
                                        <w:top w:val="none" w:sz="0" w:space="0" w:color="auto"/>
                                        <w:left w:val="none" w:sz="0" w:space="0" w:color="auto"/>
                                        <w:bottom w:val="none" w:sz="0" w:space="0" w:color="auto"/>
                                        <w:right w:val="none" w:sz="0" w:space="0" w:color="auto"/>
                                      </w:divBdr>
                                      <w:divsChild>
                                        <w:div w:id="306934882">
                                          <w:marLeft w:val="0"/>
                                          <w:marRight w:val="0"/>
                                          <w:marTop w:val="0"/>
                                          <w:marBottom w:val="0"/>
                                          <w:divBdr>
                                            <w:top w:val="none" w:sz="0" w:space="0" w:color="auto"/>
                                            <w:left w:val="none" w:sz="0" w:space="0" w:color="auto"/>
                                            <w:bottom w:val="none" w:sz="0" w:space="0" w:color="auto"/>
                                            <w:right w:val="none" w:sz="0" w:space="0" w:color="auto"/>
                                          </w:divBdr>
                                          <w:divsChild>
                                            <w:div w:id="628438163">
                                              <w:marLeft w:val="0"/>
                                              <w:marRight w:val="0"/>
                                              <w:marTop w:val="0"/>
                                              <w:marBottom w:val="0"/>
                                              <w:divBdr>
                                                <w:top w:val="none" w:sz="0" w:space="0" w:color="auto"/>
                                                <w:left w:val="none" w:sz="0" w:space="0" w:color="auto"/>
                                                <w:bottom w:val="none" w:sz="0" w:space="0" w:color="auto"/>
                                                <w:right w:val="none" w:sz="0" w:space="0" w:color="auto"/>
                                              </w:divBdr>
                                              <w:divsChild>
                                                <w:div w:id="793601749">
                                                  <w:marLeft w:val="0"/>
                                                  <w:marRight w:val="0"/>
                                                  <w:marTop w:val="0"/>
                                                  <w:marBottom w:val="0"/>
                                                  <w:divBdr>
                                                    <w:top w:val="none" w:sz="0" w:space="0" w:color="auto"/>
                                                    <w:left w:val="none" w:sz="0" w:space="0" w:color="auto"/>
                                                    <w:bottom w:val="none" w:sz="0" w:space="0" w:color="auto"/>
                                                    <w:right w:val="none" w:sz="0" w:space="0" w:color="auto"/>
                                                  </w:divBdr>
                                                  <w:divsChild>
                                                    <w:div w:id="232981188">
                                                      <w:marLeft w:val="0"/>
                                                      <w:marRight w:val="0"/>
                                                      <w:marTop w:val="0"/>
                                                      <w:marBottom w:val="0"/>
                                                      <w:divBdr>
                                                        <w:top w:val="none" w:sz="0" w:space="0" w:color="auto"/>
                                                        <w:left w:val="none" w:sz="0" w:space="0" w:color="auto"/>
                                                        <w:bottom w:val="none" w:sz="0" w:space="0" w:color="auto"/>
                                                        <w:right w:val="none" w:sz="0" w:space="0" w:color="auto"/>
                                                      </w:divBdr>
                                                      <w:divsChild>
                                                        <w:div w:id="17571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734547907">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849295906">
      <w:bodyDiv w:val="1"/>
      <w:marLeft w:val="0"/>
      <w:marRight w:val="0"/>
      <w:marTop w:val="0"/>
      <w:marBottom w:val="0"/>
      <w:divBdr>
        <w:top w:val="none" w:sz="0" w:space="0" w:color="auto"/>
        <w:left w:val="none" w:sz="0" w:space="0" w:color="auto"/>
        <w:bottom w:val="none" w:sz="0" w:space="0" w:color="auto"/>
        <w:right w:val="none" w:sz="0" w:space="0" w:color="auto"/>
      </w:divBdr>
    </w:div>
    <w:div w:id="875965853">
      <w:bodyDiv w:val="1"/>
      <w:marLeft w:val="0"/>
      <w:marRight w:val="0"/>
      <w:marTop w:val="0"/>
      <w:marBottom w:val="0"/>
      <w:divBdr>
        <w:top w:val="none" w:sz="0" w:space="0" w:color="auto"/>
        <w:left w:val="none" w:sz="0" w:space="0" w:color="auto"/>
        <w:bottom w:val="none" w:sz="0" w:space="0" w:color="auto"/>
        <w:right w:val="none" w:sz="0" w:space="0" w:color="auto"/>
      </w:divBdr>
    </w:div>
    <w:div w:id="987172124">
      <w:bodyDiv w:val="1"/>
      <w:marLeft w:val="0"/>
      <w:marRight w:val="0"/>
      <w:marTop w:val="0"/>
      <w:marBottom w:val="0"/>
      <w:divBdr>
        <w:top w:val="none" w:sz="0" w:space="0" w:color="auto"/>
        <w:left w:val="none" w:sz="0" w:space="0" w:color="auto"/>
        <w:bottom w:val="none" w:sz="0" w:space="0" w:color="auto"/>
        <w:right w:val="none" w:sz="0" w:space="0" w:color="auto"/>
      </w:divBdr>
    </w:div>
    <w:div w:id="988898858">
      <w:bodyDiv w:val="1"/>
      <w:marLeft w:val="0"/>
      <w:marRight w:val="0"/>
      <w:marTop w:val="0"/>
      <w:marBottom w:val="0"/>
      <w:divBdr>
        <w:top w:val="none" w:sz="0" w:space="0" w:color="auto"/>
        <w:left w:val="none" w:sz="0" w:space="0" w:color="auto"/>
        <w:bottom w:val="none" w:sz="0" w:space="0" w:color="auto"/>
        <w:right w:val="none" w:sz="0" w:space="0" w:color="auto"/>
      </w:divBdr>
    </w:div>
    <w:div w:id="1053893594">
      <w:bodyDiv w:val="1"/>
      <w:marLeft w:val="0"/>
      <w:marRight w:val="0"/>
      <w:marTop w:val="0"/>
      <w:marBottom w:val="0"/>
      <w:divBdr>
        <w:top w:val="none" w:sz="0" w:space="0" w:color="auto"/>
        <w:left w:val="none" w:sz="0" w:space="0" w:color="auto"/>
        <w:bottom w:val="none" w:sz="0" w:space="0" w:color="auto"/>
        <w:right w:val="none" w:sz="0" w:space="0" w:color="auto"/>
      </w:divBdr>
      <w:divsChild>
        <w:div w:id="447429828">
          <w:marLeft w:val="0"/>
          <w:marRight w:val="0"/>
          <w:marTop w:val="0"/>
          <w:marBottom w:val="0"/>
          <w:divBdr>
            <w:top w:val="none" w:sz="0" w:space="0" w:color="auto"/>
            <w:left w:val="none" w:sz="0" w:space="0" w:color="auto"/>
            <w:bottom w:val="none" w:sz="0" w:space="0" w:color="auto"/>
            <w:right w:val="none" w:sz="0" w:space="0" w:color="auto"/>
          </w:divBdr>
          <w:divsChild>
            <w:div w:id="699008591">
              <w:marLeft w:val="0"/>
              <w:marRight w:val="0"/>
              <w:marTop w:val="0"/>
              <w:marBottom w:val="0"/>
              <w:divBdr>
                <w:top w:val="none" w:sz="0" w:space="0" w:color="auto"/>
                <w:left w:val="none" w:sz="0" w:space="0" w:color="auto"/>
                <w:bottom w:val="none" w:sz="0" w:space="0" w:color="auto"/>
                <w:right w:val="none" w:sz="0" w:space="0" w:color="auto"/>
              </w:divBdr>
              <w:divsChild>
                <w:div w:id="1008946496">
                  <w:marLeft w:val="0"/>
                  <w:marRight w:val="0"/>
                  <w:marTop w:val="0"/>
                  <w:marBottom w:val="0"/>
                  <w:divBdr>
                    <w:top w:val="none" w:sz="0" w:space="0" w:color="auto"/>
                    <w:left w:val="none" w:sz="0" w:space="0" w:color="auto"/>
                    <w:bottom w:val="none" w:sz="0" w:space="0" w:color="auto"/>
                    <w:right w:val="none" w:sz="0" w:space="0" w:color="auto"/>
                  </w:divBdr>
                  <w:divsChild>
                    <w:div w:id="64256250">
                      <w:marLeft w:val="0"/>
                      <w:marRight w:val="0"/>
                      <w:marTop w:val="0"/>
                      <w:marBottom w:val="0"/>
                      <w:divBdr>
                        <w:top w:val="none" w:sz="0" w:space="0" w:color="auto"/>
                        <w:left w:val="none" w:sz="0" w:space="0" w:color="auto"/>
                        <w:bottom w:val="none" w:sz="0" w:space="0" w:color="auto"/>
                        <w:right w:val="none" w:sz="0" w:space="0" w:color="auto"/>
                      </w:divBdr>
                      <w:divsChild>
                        <w:div w:id="1213273717">
                          <w:marLeft w:val="0"/>
                          <w:marRight w:val="0"/>
                          <w:marTop w:val="0"/>
                          <w:marBottom w:val="0"/>
                          <w:divBdr>
                            <w:top w:val="none" w:sz="0" w:space="0" w:color="auto"/>
                            <w:left w:val="none" w:sz="0" w:space="0" w:color="auto"/>
                            <w:bottom w:val="none" w:sz="0" w:space="0" w:color="auto"/>
                            <w:right w:val="none" w:sz="0" w:space="0" w:color="auto"/>
                          </w:divBdr>
                          <w:divsChild>
                            <w:div w:id="1022321289">
                              <w:marLeft w:val="0"/>
                              <w:marRight w:val="0"/>
                              <w:marTop w:val="0"/>
                              <w:marBottom w:val="0"/>
                              <w:divBdr>
                                <w:top w:val="none" w:sz="0" w:space="0" w:color="auto"/>
                                <w:left w:val="none" w:sz="0" w:space="0" w:color="auto"/>
                                <w:bottom w:val="none" w:sz="0" w:space="0" w:color="auto"/>
                                <w:right w:val="none" w:sz="0" w:space="0" w:color="auto"/>
                              </w:divBdr>
                              <w:divsChild>
                                <w:div w:id="1646154512">
                                  <w:marLeft w:val="0"/>
                                  <w:marRight w:val="0"/>
                                  <w:marTop w:val="0"/>
                                  <w:marBottom w:val="0"/>
                                  <w:divBdr>
                                    <w:top w:val="none" w:sz="0" w:space="0" w:color="auto"/>
                                    <w:left w:val="none" w:sz="0" w:space="0" w:color="auto"/>
                                    <w:bottom w:val="none" w:sz="0" w:space="0" w:color="auto"/>
                                    <w:right w:val="none" w:sz="0" w:space="0" w:color="auto"/>
                                  </w:divBdr>
                                  <w:divsChild>
                                    <w:div w:id="14325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3630">
      <w:bodyDiv w:val="1"/>
      <w:marLeft w:val="0"/>
      <w:marRight w:val="0"/>
      <w:marTop w:val="0"/>
      <w:marBottom w:val="0"/>
      <w:divBdr>
        <w:top w:val="none" w:sz="0" w:space="0" w:color="auto"/>
        <w:left w:val="none" w:sz="0" w:space="0" w:color="auto"/>
        <w:bottom w:val="none" w:sz="0" w:space="0" w:color="auto"/>
        <w:right w:val="none" w:sz="0" w:space="0" w:color="auto"/>
      </w:divBdr>
      <w:divsChild>
        <w:div w:id="1378971547">
          <w:marLeft w:val="0"/>
          <w:marRight w:val="0"/>
          <w:marTop w:val="0"/>
          <w:marBottom w:val="0"/>
          <w:divBdr>
            <w:top w:val="none" w:sz="0" w:space="0" w:color="auto"/>
            <w:left w:val="none" w:sz="0" w:space="0" w:color="auto"/>
            <w:bottom w:val="none" w:sz="0" w:space="0" w:color="auto"/>
            <w:right w:val="none" w:sz="0" w:space="0" w:color="auto"/>
          </w:divBdr>
          <w:divsChild>
            <w:div w:id="413861644">
              <w:marLeft w:val="0"/>
              <w:marRight w:val="0"/>
              <w:marTop w:val="0"/>
              <w:marBottom w:val="0"/>
              <w:divBdr>
                <w:top w:val="none" w:sz="0" w:space="0" w:color="auto"/>
                <w:left w:val="none" w:sz="0" w:space="0" w:color="auto"/>
                <w:bottom w:val="none" w:sz="0" w:space="0" w:color="auto"/>
                <w:right w:val="none" w:sz="0" w:space="0" w:color="auto"/>
              </w:divBdr>
              <w:divsChild>
                <w:div w:id="1626741329">
                  <w:marLeft w:val="0"/>
                  <w:marRight w:val="0"/>
                  <w:marTop w:val="0"/>
                  <w:marBottom w:val="0"/>
                  <w:divBdr>
                    <w:top w:val="none" w:sz="0" w:space="0" w:color="auto"/>
                    <w:left w:val="none" w:sz="0" w:space="0" w:color="auto"/>
                    <w:bottom w:val="none" w:sz="0" w:space="0" w:color="auto"/>
                    <w:right w:val="none" w:sz="0" w:space="0" w:color="auto"/>
                  </w:divBdr>
                  <w:divsChild>
                    <w:div w:id="598950529">
                      <w:marLeft w:val="0"/>
                      <w:marRight w:val="0"/>
                      <w:marTop w:val="0"/>
                      <w:marBottom w:val="0"/>
                      <w:divBdr>
                        <w:top w:val="none" w:sz="0" w:space="0" w:color="auto"/>
                        <w:left w:val="none" w:sz="0" w:space="0" w:color="auto"/>
                        <w:bottom w:val="none" w:sz="0" w:space="0" w:color="auto"/>
                        <w:right w:val="none" w:sz="0" w:space="0" w:color="auto"/>
                      </w:divBdr>
                      <w:divsChild>
                        <w:div w:id="2144228993">
                          <w:marLeft w:val="0"/>
                          <w:marRight w:val="0"/>
                          <w:marTop w:val="0"/>
                          <w:marBottom w:val="0"/>
                          <w:divBdr>
                            <w:top w:val="none" w:sz="0" w:space="0" w:color="auto"/>
                            <w:left w:val="none" w:sz="0" w:space="0" w:color="auto"/>
                            <w:bottom w:val="none" w:sz="0" w:space="0" w:color="auto"/>
                            <w:right w:val="none" w:sz="0" w:space="0" w:color="auto"/>
                          </w:divBdr>
                          <w:divsChild>
                            <w:div w:id="1917934708">
                              <w:marLeft w:val="0"/>
                              <w:marRight w:val="0"/>
                              <w:marTop w:val="0"/>
                              <w:marBottom w:val="0"/>
                              <w:divBdr>
                                <w:top w:val="none" w:sz="0" w:space="0" w:color="auto"/>
                                <w:left w:val="none" w:sz="0" w:space="0" w:color="auto"/>
                                <w:bottom w:val="none" w:sz="0" w:space="0" w:color="auto"/>
                                <w:right w:val="none" w:sz="0" w:space="0" w:color="auto"/>
                              </w:divBdr>
                              <w:divsChild>
                                <w:div w:id="1757752599">
                                  <w:marLeft w:val="0"/>
                                  <w:marRight w:val="0"/>
                                  <w:marTop w:val="0"/>
                                  <w:marBottom w:val="0"/>
                                  <w:divBdr>
                                    <w:top w:val="none" w:sz="0" w:space="0" w:color="auto"/>
                                    <w:left w:val="none" w:sz="0" w:space="0" w:color="auto"/>
                                    <w:bottom w:val="none" w:sz="0" w:space="0" w:color="auto"/>
                                    <w:right w:val="none" w:sz="0" w:space="0" w:color="auto"/>
                                  </w:divBdr>
                                  <w:divsChild>
                                    <w:div w:id="1246955116">
                                      <w:marLeft w:val="0"/>
                                      <w:marRight w:val="0"/>
                                      <w:marTop w:val="0"/>
                                      <w:marBottom w:val="0"/>
                                      <w:divBdr>
                                        <w:top w:val="none" w:sz="0" w:space="0" w:color="auto"/>
                                        <w:left w:val="none" w:sz="0" w:space="0" w:color="auto"/>
                                        <w:bottom w:val="none" w:sz="0" w:space="0" w:color="auto"/>
                                        <w:right w:val="none" w:sz="0" w:space="0" w:color="auto"/>
                                      </w:divBdr>
                                      <w:divsChild>
                                        <w:div w:id="1561474447">
                                          <w:marLeft w:val="0"/>
                                          <w:marRight w:val="0"/>
                                          <w:marTop w:val="0"/>
                                          <w:marBottom w:val="0"/>
                                          <w:divBdr>
                                            <w:top w:val="none" w:sz="0" w:space="0" w:color="auto"/>
                                            <w:left w:val="none" w:sz="0" w:space="0" w:color="auto"/>
                                            <w:bottom w:val="none" w:sz="0" w:space="0" w:color="auto"/>
                                            <w:right w:val="none" w:sz="0" w:space="0" w:color="auto"/>
                                          </w:divBdr>
                                          <w:divsChild>
                                            <w:div w:id="760226607">
                                              <w:marLeft w:val="0"/>
                                              <w:marRight w:val="0"/>
                                              <w:marTop w:val="0"/>
                                              <w:marBottom w:val="0"/>
                                              <w:divBdr>
                                                <w:top w:val="none" w:sz="0" w:space="0" w:color="auto"/>
                                                <w:left w:val="none" w:sz="0" w:space="0" w:color="auto"/>
                                                <w:bottom w:val="none" w:sz="0" w:space="0" w:color="auto"/>
                                                <w:right w:val="none" w:sz="0" w:space="0" w:color="auto"/>
                                              </w:divBdr>
                                              <w:divsChild>
                                                <w:div w:id="2012445165">
                                                  <w:marLeft w:val="0"/>
                                                  <w:marRight w:val="0"/>
                                                  <w:marTop w:val="0"/>
                                                  <w:marBottom w:val="0"/>
                                                  <w:divBdr>
                                                    <w:top w:val="none" w:sz="0" w:space="0" w:color="auto"/>
                                                    <w:left w:val="none" w:sz="0" w:space="0" w:color="auto"/>
                                                    <w:bottom w:val="none" w:sz="0" w:space="0" w:color="auto"/>
                                                    <w:right w:val="none" w:sz="0" w:space="0" w:color="auto"/>
                                                  </w:divBdr>
                                                  <w:divsChild>
                                                    <w:div w:id="1791826522">
                                                      <w:marLeft w:val="0"/>
                                                      <w:marRight w:val="0"/>
                                                      <w:marTop w:val="0"/>
                                                      <w:marBottom w:val="0"/>
                                                      <w:divBdr>
                                                        <w:top w:val="none" w:sz="0" w:space="0" w:color="auto"/>
                                                        <w:left w:val="none" w:sz="0" w:space="0" w:color="auto"/>
                                                        <w:bottom w:val="none" w:sz="0" w:space="0" w:color="auto"/>
                                                        <w:right w:val="none" w:sz="0" w:space="0" w:color="auto"/>
                                                      </w:divBdr>
                                                      <w:divsChild>
                                                        <w:div w:id="19970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2891412">
      <w:bodyDiv w:val="1"/>
      <w:marLeft w:val="0"/>
      <w:marRight w:val="0"/>
      <w:marTop w:val="0"/>
      <w:marBottom w:val="0"/>
      <w:divBdr>
        <w:top w:val="none" w:sz="0" w:space="0" w:color="auto"/>
        <w:left w:val="none" w:sz="0" w:space="0" w:color="auto"/>
        <w:bottom w:val="none" w:sz="0" w:space="0" w:color="auto"/>
        <w:right w:val="none" w:sz="0" w:space="0" w:color="auto"/>
      </w:divBdr>
    </w:div>
    <w:div w:id="1222403314">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26484713">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573810273">
      <w:bodyDiv w:val="1"/>
      <w:marLeft w:val="0"/>
      <w:marRight w:val="0"/>
      <w:marTop w:val="0"/>
      <w:marBottom w:val="0"/>
      <w:divBdr>
        <w:top w:val="none" w:sz="0" w:space="0" w:color="auto"/>
        <w:left w:val="none" w:sz="0" w:space="0" w:color="auto"/>
        <w:bottom w:val="none" w:sz="0" w:space="0" w:color="auto"/>
        <w:right w:val="none" w:sz="0" w:space="0" w:color="auto"/>
      </w:divBdr>
    </w:div>
    <w:div w:id="1677806352">
      <w:bodyDiv w:val="1"/>
      <w:marLeft w:val="0"/>
      <w:marRight w:val="0"/>
      <w:marTop w:val="0"/>
      <w:marBottom w:val="0"/>
      <w:divBdr>
        <w:top w:val="none" w:sz="0" w:space="0" w:color="auto"/>
        <w:left w:val="none" w:sz="0" w:space="0" w:color="auto"/>
        <w:bottom w:val="none" w:sz="0" w:space="0" w:color="auto"/>
        <w:right w:val="none" w:sz="0" w:space="0" w:color="auto"/>
      </w:divBdr>
    </w:div>
    <w:div w:id="1729956320">
      <w:bodyDiv w:val="1"/>
      <w:marLeft w:val="0"/>
      <w:marRight w:val="0"/>
      <w:marTop w:val="0"/>
      <w:marBottom w:val="0"/>
      <w:divBdr>
        <w:top w:val="none" w:sz="0" w:space="0" w:color="auto"/>
        <w:left w:val="none" w:sz="0" w:space="0" w:color="auto"/>
        <w:bottom w:val="none" w:sz="0" w:space="0" w:color="auto"/>
        <w:right w:val="none" w:sz="0" w:space="0" w:color="auto"/>
      </w:divBdr>
      <w:divsChild>
        <w:div w:id="1747024387">
          <w:marLeft w:val="0"/>
          <w:marRight w:val="0"/>
          <w:marTop w:val="0"/>
          <w:marBottom w:val="0"/>
          <w:divBdr>
            <w:top w:val="none" w:sz="0" w:space="0" w:color="auto"/>
            <w:left w:val="none" w:sz="0" w:space="0" w:color="auto"/>
            <w:bottom w:val="none" w:sz="0" w:space="0" w:color="auto"/>
            <w:right w:val="none" w:sz="0" w:space="0" w:color="auto"/>
          </w:divBdr>
          <w:divsChild>
            <w:div w:id="1858037283">
              <w:marLeft w:val="0"/>
              <w:marRight w:val="0"/>
              <w:marTop w:val="0"/>
              <w:marBottom w:val="0"/>
              <w:divBdr>
                <w:top w:val="none" w:sz="0" w:space="0" w:color="auto"/>
                <w:left w:val="none" w:sz="0" w:space="0" w:color="auto"/>
                <w:bottom w:val="none" w:sz="0" w:space="0" w:color="auto"/>
                <w:right w:val="none" w:sz="0" w:space="0" w:color="auto"/>
              </w:divBdr>
              <w:divsChild>
                <w:div w:id="798375596">
                  <w:marLeft w:val="0"/>
                  <w:marRight w:val="0"/>
                  <w:marTop w:val="0"/>
                  <w:marBottom w:val="0"/>
                  <w:divBdr>
                    <w:top w:val="none" w:sz="0" w:space="0" w:color="auto"/>
                    <w:left w:val="none" w:sz="0" w:space="0" w:color="auto"/>
                    <w:bottom w:val="none" w:sz="0" w:space="0" w:color="auto"/>
                    <w:right w:val="none" w:sz="0" w:space="0" w:color="auto"/>
                  </w:divBdr>
                  <w:divsChild>
                    <w:div w:id="1072121238">
                      <w:marLeft w:val="0"/>
                      <w:marRight w:val="0"/>
                      <w:marTop w:val="0"/>
                      <w:marBottom w:val="0"/>
                      <w:divBdr>
                        <w:top w:val="none" w:sz="0" w:space="0" w:color="auto"/>
                        <w:left w:val="none" w:sz="0" w:space="0" w:color="auto"/>
                        <w:bottom w:val="none" w:sz="0" w:space="0" w:color="auto"/>
                        <w:right w:val="none" w:sz="0" w:space="0" w:color="auto"/>
                      </w:divBdr>
                      <w:divsChild>
                        <w:div w:id="1857234992">
                          <w:marLeft w:val="0"/>
                          <w:marRight w:val="0"/>
                          <w:marTop w:val="0"/>
                          <w:marBottom w:val="0"/>
                          <w:divBdr>
                            <w:top w:val="none" w:sz="0" w:space="0" w:color="auto"/>
                            <w:left w:val="none" w:sz="0" w:space="0" w:color="auto"/>
                            <w:bottom w:val="none" w:sz="0" w:space="0" w:color="auto"/>
                            <w:right w:val="none" w:sz="0" w:space="0" w:color="auto"/>
                          </w:divBdr>
                          <w:divsChild>
                            <w:div w:id="519781436">
                              <w:marLeft w:val="0"/>
                              <w:marRight w:val="0"/>
                              <w:marTop w:val="0"/>
                              <w:marBottom w:val="0"/>
                              <w:divBdr>
                                <w:top w:val="none" w:sz="0" w:space="0" w:color="auto"/>
                                <w:left w:val="none" w:sz="0" w:space="0" w:color="auto"/>
                                <w:bottom w:val="none" w:sz="0" w:space="0" w:color="auto"/>
                                <w:right w:val="none" w:sz="0" w:space="0" w:color="auto"/>
                              </w:divBdr>
                              <w:divsChild>
                                <w:div w:id="1407219187">
                                  <w:marLeft w:val="0"/>
                                  <w:marRight w:val="0"/>
                                  <w:marTop w:val="0"/>
                                  <w:marBottom w:val="0"/>
                                  <w:divBdr>
                                    <w:top w:val="none" w:sz="0" w:space="0" w:color="auto"/>
                                    <w:left w:val="none" w:sz="0" w:space="0" w:color="auto"/>
                                    <w:bottom w:val="none" w:sz="0" w:space="0" w:color="auto"/>
                                    <w:right w:val="none" w:sz="0" w:space="0" w:color="auto"/>
                                  </w:divBdr>
                                  <w:divsChild>
                                    <w:div w:id="1142237002">
                                      <w:marLeft w:val="0"/>
                                      <w:marRight w:val="0"/>
                                      <w:marTop w:val="0"/>
                                      <w:marBottom w:val="0"/>
                                      <w:divBdr>
                                        <w:top w:val="none" w:sz="0" w:space="0" w:color="auto"/>
                                        <w:left w:val="none" w:sz="0" w:space="0" w:color="auto"/>
                                        <w:bottom w:val="none" w:sz="0" w:space="0" w:color="auto"/>
                                        <w:right w:val="none" w:sz="0" w:space="0" w:color="auto"/>
                                      </w:divBdr>
                                      <w:divsChild>
                                        <w:div w:id="1309357525">
                                          <w:marLeft w:val="0"/>
                                          <w:marRight w:val="0"/>
                                          <w:marTop w:val="0"/>
                                          <w:marBottom w:val="0"/>
                                          <w:divBdr>
                                            <w:top w:val="none" w:sz="0" w:space="0" w:color="auto"/>
                                            <w:left w:val="none" w:sz="0" w:space="0" w:color="auto"/>
                                            <w:bottom w:val="none" w:sz="0" w:space="0" w:color="auto"/>
                                            <w:right w:val="none" w:sz="0" w:space="0" w:color="auto"/>
                                          </w:divBdr>
                                          <w:divsChild>
                                            <w:div w:id="703478700">
                                              <w:marLeft w:val="0"/>
                                              <w:marRight w:val="0"/>
                                              <w:marTop w:val="0"/>
                                              <w:marBottom w:val="0"/>
                                              <w:divBdr>
                                                <w:top w:val="none" w:sz="0" w:space="0" w:color="auto"/>
                                                <w:left w:val="none" w:sz="0" w:space="0" w:color="auto"/>
                                                <w:bottom w:val="none" w:sz="0" w:space="0" w:color="auto"/>
                                                <w:right w:val="none" w:sz="0" w:space="0" w:color="auto"/>
                                              </w:divBdr>
                                              <w:divsChild>
                                                <w:div w:id="1951543173">
                                                  <w:marLeft w:val="0"/>
                                                  <w:marRight w:val="0"/>
                                                  <w:marTop w:val="0"/>
                                                  <w:marBottom w:val="0"/>
                                                  <w:divBdr>
                                                    <w:top w:val="none" w:sz="0" w:space="0" w:color="auto"/>
                                                    <w:left w:val="none" w:sz="0" w:space="0" w:color="auto"/>
                                                    <w:bottom w:val="none" w:sz="0" w:space="0" w:color="auto"/>
                                                    <w:right w:val="none" w:sz="0" w:space="0" w:color="auto"/>
                                                  </w:divBdr>
                                                  <w:divsChild>
                                                    <w:div w:id="553155616">
                                                      <w:marLeft w:val="0"/>
                                                      <w:marRight w:val="0"/>
                                                      <w:marTop w:val="0"/>
                                                      <w:marBottom w:val="0"/>
                                                      <w:divBdr>
                                                        <w:top w:val="none" w:sz="0" w:space="0" w:color="auto"/>
                                                        <w:left w:val="none" w:sz="0" w:space="0" w:color="auto"/>
                                                        <w:bottom w:val="none" w:sz="0" w:space="0" w:color="auto"/>
                                                        <w:right w:val="none" w:sz="0" w:space="0" w:color="auto"/>
                                                      </w:divBdr>
                                                      <w:divsChild>
                                                        <w:div w:id="562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7263798">
      <w:bodyDiv w:val="1"/>
      <w:marLeft w:val="0"/>
      <w:marRight w:val="0"/>
      <w:marTop w:val="0"/>
      <w:marBottom w:val="0"/>
      <w:divBdr>
        <w:top w:val="none" w:sz="0" w:space="0" w:color="auto"/>
        <w:left w:val="none" w:sz="0" w:space="0" w:color="auto"/>
        <w:bottom w:val="none" w:sz="0" w:space="0" w:color="auto"/>
        <w:right w:val="none" w:sz="0" w:space="0" w:color="auto"/>
      </w:divBdr>
    </w:div>
    <w:div w:id="1890455308">
      <w:bodyDiv w:val="1"/>
      <w:marLeft w:val="0"/>
      <w:marRight w:val="0"/>
      <w:marTop w:val="0"/>
      <w:marBottom w:val="0"/>
      <w:divBdr>
        <w:top w:val="none" w:sz="0" w:space="0" w:color="auto"/>
        <w:left w:val="none" w:sz="0" w:space="0" w:color="auto"/>
        <w:bottom w:val="none" w:sz="0" w:space="0" w:color="auto"/>
        <w:right w:val="none" w:sz="0" w:space="0" w:color="auto"/>
      </w:divBdr>
    </w:div>
    <w:div w:id="1933123089">
      <w:bodyDiv w:val="1"/>
      <w:marLeft w:val="0"/>
      <w:marRight w:val="0"/>
      <w:marTop w:val="0"/>
      <w:marBottom w:val="0"/>
      <w:divBdr>
        <w:top w:val="none" w:sz="0" w:space="0" w:color="auto"/>
        <w:left w:val="none" w:sz="0" w:space="0" w:color="auto"/>
        <w:bottom w:val="none" w:sz="0" w:space="0" w:color="auto"/>
        <w:right w:val="none" w:sz="0" w:space="0" w:color="auto"/>
      </w:divBdr>
    </w:div>
    <w:div w:id="1943296587">
      <w:bodyDiv w:val="1"/>
      <w:marLeft w:val="0"/>
      <w:marRight w:val="0"/>
      <w:marTop w:val="0"/>
      <w:marBottom w:val="0"/>
      <w:divBdr>
        <w:top w:val="none" w:sz="0" w:space="0" w:color="auto"/>
        <w:left w:val="none" w:sz="0" w:space="0" w:color="auto"/>
        <w:bottom w:val="none" w:sz="0" w:space="0" w:color="auto"/>
        <w:right w:val="none" w:sz="0" w:space="0" w:color="auto"/>
      </w:divBdr>
    </w:div>
    <w:div w:id="2072340328">
      <w:bodyDiv w:val="1"/>
      <w:marLeft w:val="0"/>
      <w:marRight w:val="0"/>
      <w:marTop w:val="0"/>
      <w:marBottom w:val="0"/>
      <w:divBdr>
        <w:top w:val="none" w:sz="0" w:space="0" w:color="auto"/>
        <w:left w:val="none" w:sz="0" w:space="0" w:color="auto"/>
        <w:bottom w:val="none" w:sz="0" w:space="0" w:color="auto"/>
        <w:right w:val="none" w:sz="0" w:space="0" w:color="auto"/>
      </w:divBdr>
      <w:divsChild>
        <w:div w:id="1389259209">
          <w:marLeft w:val="0"/>
          <w:marRight w:val="0"/>
          <w:marTop w:val="0"/>
          <w:marBottom w:val="0"/>
          <w:divBdr>
            <w:top w:val="none" w:sz="0" w:space="0" w:color="auto"/>
            <w:left w:val="none" w:sz="0" w:space="0" w:color="auto"/>
            <w:bottom w:val="none" w:sz="0" w:space="0" w:color="auto"/>
            <w:right w:val="none" w:sz="0" w:space="0" w:color="auto"/>
          </w:divBdr>
          <w:divsChild>
            <w:div w:id="1913421511">
              <w:marLeft w:val="0"/>
              <w:marRight w:val="0"/>
              <w:marTop w:val="0"/>
              <w:marBottom w:val="0"/>
              <w:divBdr>
                <w:top w:val="none" w:sz="0" w:space="0" w:color="auto"/>
                <w:left w:val="none" w:sz="0" w:space="0" w:color="auto"/>
                <w:bottom w:val="none" w:sz="0" w:space="0" w:color="auto"/>
                <w:right w:val="none" w:sz="0" w:space="0" w:color="auto"/>
              </w:divBdr>
              <w:divsChild>
                <w:div w:id="1439133413">
                  <w:marLeft w:val="0"/>
                  <w:marRight w:val="0"/>
                  <w:marTop w:val="0"/>
                  <w:marBottom w:val="0"/>
                  <w:divBdr>
                    <w:top w:val="none" w:sz="0" w:space="0" w:color="auto"/>
                    <w:left w:val="none" w:sz="0" w:space="0" w:color="auto"/>
                    <w:bottom w:val="none" w:sz="0" w:space="0" w:color="auto"/>
                    <w:right w:val="none" w:sz="0" w:space="0" w:color="auto"/>
                  </w:divBdr>
                  <w:divsChild>
                    <w:div w:id="1087076850">
                      <w:marLeft w:val="0"/>
                      <w:marRight w:val="0"/>
                      <w:marTop w:val="0"/>
                      <w:marBottom w:val="0"/>
                      <w:divBdr>
                        <w:top w:val="none" w:sz="0" w:space="0" w:color="auto"/>
                        <w:left w:val="none" w:sz="0" w:space="0" w:color="auto"/>
                        <w:bottom w:val="none" w:sz="0" w:space="0" w:color="auto"/>
                        <w:right w:val="none" w:sz="0" w:space="0" w:color="auto"/>
                      </w:divBdr>
                      <w:divsChild>
                        <w:div w:id="1084492595">
                          <w:marLeft w:val="0"/>
                          <w:marRight w:val="0"/>
                          <w:marTop w:val="0"/>
                          <w:marBottom w:val="0"/>
                          <w:divBdr>
                            <w:top w:val="none" w:sz="0" w:space="0" w:color="auto"/>
                            <w:left w:val="none" w:sz="0" w:space="0" w:color="auto"/>
                            <w:bottom w:val="none" w:sz="0" w:space="0" w:color="auto"/>
                            <w:right w:val="none" w:sz="0" w:space="0" w:color="auto"/>
                          </w:divBdr>
                          <w:divsChild>
                            <w:div w:id="788399286">
                              <w:marLeft w:val="0"/>
                              <w:marRight w:val="0"/>
                              <w:marTop w:val="0"/>
                              <w:marBottom w:val="0"/>
                              <w:divBdr>
                                <w:top w:val="none" w:sz="0" w:space="0" w:color="auto"/>
                                <w:left w:val="none" w:sz="0" w:space="0" w:color="auto"/>
                                <w:bottom w:val="none" w:sz="0" w:space="0" w:color="auto"/>
                                <w:right w:val="none" w:sz="0" w:space="0" w:color="auto"/>
                              </w:divBdr>
                              <w:divsChild>
                                <w:div w:id="1436243368">
                                  <w:marLeft w:val="0"/>
                                  <w:marRight w:val="0"/>
                                  <w:marTop w:val="0"/>
                                  <w:marBottom w:val="0"/>
                                  <w:divBdr>
                                    <w:top w:val="none" w:sz="0" w:space="0" w:color="auto"/>
                                    <w:left w:val="none" w:sz="0" w:space="0" w:color="auto"/>
                                    <w:bottom w:val="none" w:sz="0" w:space="0" w:color="auto"/>
                                    <w:right w:val="none" w:sz="0" w:space="0" w:color="auto"/>
                                  </w:divBdr>
                                  <w:divsChild>
                                    <w:div w:id="154029020">
                                      <w:marLeft w:val="0"/>
                                      <w:marRight w:val="0"/>
                                      <w:marTop w:val="0"/>
                                      <w:marBottom w:val="0"/>
                                      <w:divBdr>
                                        <w:top w:val="none" w:sz="0" w:space="0" w:color="auto"/>
                                        <w:left w:val="none" w:sz="0" w:space="0" w:color="auto"/>
                                        <w:bottom w:val="none" w:sz="0" w:space="0" w:color="auto"/>
                                        <w:right w:val="none" w:sz="0" w:space="0" w:color="auto"/>
                                      </w:divBdr>
                                      <w:divsChild>
                                        <w:div w:id="1897887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7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qld.gov.au/LEGISLTN/CURRENT/G/GuardAdminA0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ursingmidwiferyboard.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sa.gov.au/LZ/C/A/CONSENT%20TO%20MEDICAL%20TREATMENT%20AND%20PALLIATIVE%20CARE%20ACT%201995/CURRENT/1995.26.U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lboard.gov.au" TargetMode="External"/><Relationship Id="rId5" Type="http://schemas.openxmlformats.org/officeDocument/2006/relationships/numbering" Target="numbering.xml"/><Relationship Id="rId15" Type="http://schemas.openxmlformats.org/officeDocument/2006/relationships/hyperlink" Target="http://www.legislation.sa.gov.au/LZ/C/A/CONSENT%20TO%20MEDICAL%20TREATMENT%20AND%20PALLIATIVE%20CARE%20ACT%201995/CURRENT/1995.26.U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qld.gov.au/LEGISLTN/CURRENT/P/PowersofAttA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55B425C-E9A4-4855-97EC-92FCD26F0A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A8711FA6325942BED722B51304201E" ma:contentTypeVersion="" ma:contentTypeDescription="PDMS Document Site Content Type" ma:contentTypeScope="" ma:versionID="8db853f2ceede9146c55ad88f589f595">
  <xsd:schema xmlns:xsd="http://www.w3.org/2001/XMLSchema" xmlns:xs="http://www.w3.org/2001/XMLSchema" xmlns:p="http://schemas.microsoft.com/office/2006/metadata/properties" xmlns:ns2="655B425C-E9A4-4855-97EC-92FCD26F0A86" targetNamespace="http://schemas.microsoft.com/office/2006/metadata/properties" ma:root="true" ma:fieldsID="1051ce40bad1c87e4def3199d3e9fb66" ns2:_="">
    <xsd:import namespace="655B425C-E9A4-4855-97EC-92FCD26F0A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425C-E9A4-4855-97EC-92FCD26F0A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1BD0-4A85-4900-A524-1CA419BB48E5}">
  <ds:schemaRefs>
    <ds:schemaRef ds:uri="http://schemas.microsoft.com/sharepoint/v3/contenttype/forms"/>
  </ds:schemaRefs>
</ds:datastoreItem>
</file>

<file path=customXml/itemProps2.xml><?xml version="1.0" encoding="utf-8"?>
<ds:datastoreItem xmlns:ds="http://schemas.openxmlformats.org/officeDocument/2006/customXml" ds:itemID="{3C8791DD-383B-40A6-B46B-E8D9E52EB443}">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55B425C-E9A4-4855-97EC-92FCD26F0A8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D22F9D2-5521-42A3-8B47-50B4D95A9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B425C-E9A4-4855-97EC-92FCD26F0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2B8E6-A1AF-4723-899F-0274A31B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Nadine, Tamara</cp:lastModifiedBy>
  <cp:revision>2</cp:revision>
  <cp:lastPrinted>2019-10-30T04:50:00Z</cp:lastPrinted>
  <dcterms:created xsi:type="dcterms:W3CDTF">2019-11-25T01:22:00Z</dcterms:created>
  <dcterms:modified xsi:type="dcterms:W3CDTF">2019-11-25T01:22:00Z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0x010100266966F133664895A6EE3632470D45F500F9A8711FA6325942BED722B51304201E</vt:lpwstr>
  </property>
</Properties>
</file>