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052FF" w14:textId="22406AF6" w:rsidR="005D1FA6" w:rsidRPr="005D1FA6" w:rsidRDefault="005D1FA6" w:rsidP="005D1FA6">
      <w:pPr>
        <w:jc w:val="center"/>
        <w:rPr>
          <w:rFonts w:ascii="Times New Roman" w:eastAsia="Times New Roman" w:hAnsi="Times New Roman" w:cs="Times New Roman"/>
          <w:b/>
          <w:color w:val="auto"/>
          <w:sz w:val="24"/>
          <w:szCs w:val="24"/>
          <w:lang w:eastAsia="en-AU"/>
        </w:rPr>
      </w:pPr>
      <w:r w:rsidRPr="005D1FA6">
        <w:rPr>
          <w:rFonts w:ascii="Times New Roman" w:eastAsia="Times New Roman" w:hAnsi="Times New Roman" w:cs="Times New Roman"/>
          <w:b/>
          <w:color w:val="auto"/>
          <w:sz w:val="24"/>
          <w:szCs w:val="24"/>
          <w:lang w:eastAsia="en-AU"/>
        </w:rPr>
        <w:t>Banking, Insurance</w:t>
      </w:r>
      <w:r w:rsidR="00A55F3A">
        <w:rPr>
          <w:rFonts w:ascii="Times New Roman" w:eastAsia="Times New Roman" w:hAnsi="Times New Roman" w:cs="Times New Roman"/>
          <w:b/>
          <w:color w:val="auto"/>
          <w:sz w:val="24"/>
          <w:szCs w:val="24"/>
          <w:lang w:eastAsia="en-AU"/>
        </w:rPr>
        <w:t>,</w:t>
      </w:r>
      <w:r w:rsidRPr="005D1FA6">
        <w:rPr>
          <w:rFonts w:ascii="Times New Roman" w:eastAsia="Times New Roman" w:hAnsi="Times New Roman" w:cs="Times New Roman"/>
          <w:b/>
          <w:color w:val="auto"/>
          <w:sz w:val="24"/>
          <w:szCs w:val="24"/>
          <w:lang w:eastAsia="en-AU"/>
        </w:rPr>
        <w:t xml:space="preserve"> Life Insurance </w:t>
      </w:r>
      <w:r w:rsidR="00A55F3A">
        <w:rPr>
          <w:rFonts w:ascii="Times New Roman" w:eastAsia="Times New Roman" w:hAnsi="Times New Roman" w:cs="Times New Roman"/>
          <w:b/>
          <w:color w:val="auto"/>
          <w:sz w:val="24"/>
          <w:szCs w:val="24"/>
          <w:lang w:eastAsia="en-AU"/>
        </w:rPr>
        <w:t xml:space="preserve">and Superannuation </w:t>
      </w:r>
      <w:r w:rsidRPr="005D1FA6">
        <w:rPr>
          <w:rFonts w:ascii="Times New Roman" w:eastAsia="Times New Roman" w:hAnsi="Times New Roman" w:cs="Times New Roman"/>
          <w:b/>
          <w:color w:val="auto"/>
          <w:sz w:val="24"/>
          <w:szCs w:val="24"/>
          <w:lang w:eastAsia="en-AU"/>
        </w:rPr>
        <w:t xml:space="preserve">(prudential standard) determination No. </w:t>
      </w:r>
      <w:r w:rsidR="001B7ACB">
        <w:rPr>
          <w:rFonts w:ascii="Times New Roman" w:eastAsia="Times New Roman" w:hAnsi="Times New Roman" w:cs="Times New Roman"/>
          <w:b/>
          <w:color w:val="auto"/>
          <w:sz w:val="24"/>
          <w:szCs w:val="24"/>
          <w:lang w:eastAsia="en-AU"/>
        </w:rPr>
        <w:t>1</w:t>
      </w:r>
      <w:r w:rsidRPr="005D1FA6">
        <w:rPr>
          <w:rFonts w:ascii="Times New Roman" w:eastAsia="Times New Roman" w:hAnsi="Times New Roman" w:cs="Times New Roman"/>
          <w:b/>
          <w:color w:val="auto"/>
          <w:sz w:val="24"/>
          <w:szCs w:val="24"/>
          <w:lang w:eastAsia="en-AU"/>
        </w:rPr>
        <w:t xml:space="preserve"> of 2019</w:t>
      </w:r>
    </w:p>
    <w:p w14:paraId="3C5CE544" w14:textId="77777777" w:rsidR="005D1FA6" w:rsidRPr="005D1FA6" w:rsidRDefault="005D1FA6" w:rsidP="005D1FA6">
      <w:pPr>
        <w:tabs>
          <w:tab w:val="left" w:pos="360"/>
        </w:tabs>
        <w:jc w:val="center"/>
        <w:rPr>
          <w:rFonts w:ascii="Times New Roman" w:eastAsia="Times New Roman" w:hAnsi="Times New Roman" w:cs="Times New Roman"/>
          <w:b/>
          <w:color w:val="auto"/>
          <w:sz w:val="24"/>
          <w:szCs w:val="24"/>
          <w:u w:val="single"/>
          <w:lang w:eastAsia="en-AU"/>
        </w:rPr>
      </w:pPr>
      <w:bookmarkStart w:id="0" w:name="bkInstrumentSubTitle"/>
      <w:bookmarkEnd w:id="0"/>
      <w:r w:rsidRPr="005D1FA6">
        <w:rPr>
          <w:rFonts w:ascii="Times New Roman" w:eastAsia="Times New Roman" w:hAnsi="Times New Roman" w:cs="Times New Roman"/>
          <w:b/>
          <w:color w:val="auto"/>
          <w:sz w:val="24"/>
          <w:szCs w:val="24"/>
          <w:u w:val="single"/>
          <w:lang w:eastAsia="en-AU"/>
        </w:rPr>
        <w:t>EXPLANATORY STATEMENT</w:t>
      </w:r>
    </w:p>
    <w:p w14:paraId="52D4395E" w14:textId="77777777" w:rsidR="005D1FA6" w:rsidRPr="005D1FA6" w:rsidRDefault="005D1FA6" w:rsidP="005D1FA6">
      <w:pPr>
        <w:jc w:val="center"/>
        <w:rPr>
          <w:rFonts w:ascii="Times New Roman" w:eastAsia="Times New Roman" w:hAnsi="Times New Roman" w:cs="Times New Roman"/>
          <w:b/>
          <w:color w:val="auto"/>
          <w:sz w:val="24"/>
          <w:szCs w:val="24"/>
          <w:lang w:eastAsia="en-AU"/>
        </w:rPr>
      </w:pPr>
      <w:r w:rsidRPr="005D1FA6">
        <w:rPr>
          <w:rFonts w:ascii="Times New Roman" w:eastAsia="Times New Roman" w:hAnsi="Times New Roman" w:cs="Times New Roman"/>
          <w:b/>
          <w:color w:val="auto"/>
          <w:sz w:val="24"/>
          <w:szCs w:val="24"/>
          <w:lang w:eastAsia="en-AU"/>
        </w:rPr>
        <w:t>Prepared by the Australian Prudential Regulation Authority (APRA)</w:t>
      </w:r>
    </w:p>
    <w:p w14:paraId="32A9B8EB" w14:textId="77777777" w:rsidR="005D1FA6" w:rsidRPr="005D1FA6" w:rsidRDefault="005D1FA6" w:rsidP="005D1FA6">
      <w:pPr>
        <w:tabs>
          <w:tab w:val="left" w:pos="360"/>
        </w:tabs>
        <w:jc w:val="center"/>
        <w:rPr>
          <w:rFonts w:ascii="Times New Roman" w:eastAsia="Times New Roman" w:hAnsi="Times New Roman" w:cs="Times New Roman"/>
          <w:sz w:val="24"/>
          <w:szCs w:val="24"/>
          <w:lang w:eastAsia="en-AU"/>
        </w:rPr>
      </w:pPr>
      <w:r w:rsidRPr="005D1FA6">
        <w:rPr>
          <w:rFonts w:ascii="Times New Roman" w:eastAsia="Times New Roman" w:hAnsi="Times New Roman" w:cs="Times New Roman"/>
          <w:i/>
          <w:color w:val="auto"/>
          <w:sz w:val="24"/>
          <w:szCs w:val="24"/>
          <w:lang w:eastAsia="en-AU"/>
        </w:rPr>
        <w:t>Banking Act 1959</w:t>
      </w:r>
      <w:r w:rsidRPr="005D1FA6">
        <w:rPr>
          <w:rFonts w:ascii="Times New Roman" w:eastAsia="Times New Roman" w:hAnsi="Times New Roman" w:cs="Times New Roman"/>
          <w:color w:val="auto"/>
          <w:sz w:val="24"/>
          <w:szCs w:val="24"/>
          <w:lang w:eastAsia="en-AU"/>
        </w:rPr>
        <w:t xml:space="preserve">, </w:t>
      </w:r>
      <w:r w:rsidRPr="005D1FA6">
        <w:rPr>
          <w:rFonts w:ascii="Times New Roman" w:eastAsia="Times New Roman" w:hAnsi="Times New Roman" w:cs="Times New Roman"/>
          <w:sz w:val="24"/>
          <w:szCs w:val="24"/>
          <w:lang w:eastAsia="en-AU"/>
        </w:rPr>
        <w:t>section 11AF</w:t>
      </w:r>
    </w:p>
    <w:p w14:paraId="3427ED2F" w14:textId="77777777" w:rsidR="005D1FA6" w:rsidRPr="005D1FA6" w:rsidRDefault="005D1FA6" w:rsidP="005D1FA6">
      <w:pPr>
        <w:jc w:val="center"/>
        <w:rPr>
          <w:rFonts w:ascii="Helvetica Neue" w:eastAsia="Times New Roman" w:hAnsi="Helvetica Neue" w:cs="Times New Roman"/>
          <w:color w:val="auto"/>
          <w:sz w:val="19"/>
          <w:szCs w:val="19"/>
          <w:lang w:eastAsia="en-AU"/>
        </w:rPr>
      </w:pPr>
      <w:r w:rsidRPr="005D1FA6">
        <w:rPr>
          <w:rFonts w:ascii="Times New Roman" w:eastAsia="Times New Roman" w:hAnsi="Times New Roman" w:cs="Times New Roman"/>
          <w:i/>
          <w:iCs/>
          <w:sz w:val="24"/>
          <w:szCs w:val="24"/>
          <w:lang w:eastAsia="en-AU"/>
        </w:rPr>
        <w:t>Insurance Act 1973</w:t>
      </w:r>
      <w:r w:rsidRPr="005D1FA6">
        <w:rPr>
          <w:rFonts w:ascii="Times New Roman" w:eastAsia="Times New Roman" w:hAnsi="Times New Roman" w:cs="Times New Roman"/>
          <w:sz w:val="24"/>
          <w:szCs w:val="24"/>
          <w:lang w:eastAsia="en-AU"/>
        </w:rPr>
        <w:t>, section 32</w:t>
      </w:r>
    </w:p>
    <w:p w14:paraId="7AC2E76E" w14:textId="77777777" w:rsidR="005D1FA6" w:rsidRPr="00B973F5" w:rsidRDefault="005D1FA6" w:rsidP="005D1FA6">
      <w:pPr>
        <w:jc w:val="center"/>
        <w:rPr>
          <w:rFonts w:ascii="Helvetica Neue" w:eastAsia="Times New Roman" w:hAnsi="Helvetica Neue" w:cs="Times New Roman"/>
          <w:color w:val="auto"/>
          <w:sz w:val="19"/>
          <w:szCs w:val="19"/>
          <w:lang w:eastAsia="en-AU"/>
        </w:rPr>
      </w:pPr>
      <w:r w:rsidRPr="005D1FA6">
        <w:rPr>
          <w:rFonts w:ascii="Times New Roman" w:eastAsia="Times New Roman" w:hAnsi="Times New Roman" w:cs="Times New Roman"/>
          <w:i/>
          <w:iCs/>
          <w:sz w:val="24"/>
          <w:szCs w:val="24"/>
          <w:lang w:eastAsia="en-AU"/>
        </w:rPr>
        <w:t>Life Insurance Act 1995</w:t>
      </w:r>
      <w:r w:rsidRPr="005D1FA6">
        <w:rPr>
          <w:rFonts w:ascii="Times New Roman" w:eastAsia="Times New Roman" w:hAnsi="Times New Roman" w:cs="Times New Roman"/>
          <w:sz w:val="24"/>
          <w:szCs w:val="24"/>
          <w:lang w:eastAsia="en-AU"/>
        </w:rPr>
        <w:t>, section 230A</w:t>
      </w:r>
    </w:p>
    <w:p w14:paraId="00A75C36" w14:textId="7B3CA287" w:rsidR="00A55F3A" w:rsidRPr="00A55F3A" w:rsidRDefault="00A55F3A" w:rsidP="005D1FA6">
      <w:pPr>
        <w:jc w:val="center"/>
        <w:rPr>
          <w:rFonts w:ascii="Times New Roman" w:eastAsia="Times New Roman" w:hAnsi="Times New Roman" w:cs="Times New Roman"/>
          <w:i/>
          <w:iCs/>
          <w:sz w:val="24"/>
          <w:szCs w:val="24"/>
          <w:lang w:eastAsia="en-AU"/>
        </w:rPr>
      </w:pPr>
      <w:r w:rsidRPr="00A55F3A">
        <w:rPr>
          <w:rFonts w:ascii="Times New Roman" w:eastAsia="Times New Roman" w:hAnsi="Times New Roman" w:cs="Times New Roman"/>
          <w:i/>
          <w:iCs/>
          <w:sz w:val="24"/>
          <w:szCs w:val="24"/>
          <w:lang w:eastAsia="en-AU"/>
        </w:rPr>
        <w:t xml:space="preserve">Superannuation </w:t>
      </w:r>
      <w:r>
        <w:rPr>
          <w:rFonts w:ascii="Times New Roman" w:eastAsia="Times New Roman" w:hAnsi="Times New Roman" w:cs="Times New Roman"/>
          <w:i/>
          <w:iCs/>
          <w:sz w:val="24"/>
          <w:szCs w:val="24"/>
          <w:lang w:eastAsia="en-AU"/>
        </w:rPr>
        <w:t>Industry (Supervision) Act 1993</w:t>
      </w:r>
      <w:r w:rsidRPr="00A55F3A">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section 34C</w:t>
      </w:r>
    </w:p>
    <w:p w14:paraId="2235727B" w14:textId="77777777" w:rsidR="005D1FA6" w:rsidRPr="005D1FA6" w:rsidRDefault="005D1FA6" w:rsidP="005D1FA6">
      <w:pPr>
        <w:widowControl w:val="0"/>
        <w:rPr>
          <w:rFonts w:ascii="Times New Roman" w:eastAsia="Times New Roman" w:hAnsi="Times New Roman" w:cs="Times New Roman"/>
          <w:color w:val="auto"/>
          <w:sz w:val="24"/>
          <w:szCs w:val="24"/>
          <w:lang w:eastAsia="en-AU"/>
        </w:rPr>
      </w:pPr>
      <w:bookmarkStart w:id="1" w:name="bkAct"/>
      <w:bookmarkStart w:id="2" w:name="bkExplanatory"/>
      <w:bookmarkEnd w:id="1"/>
      <w:bookmarkEnd w:id="2"/>
      <w:r w:rsidRPr="005D1FA6">
        <w:rPr>
          <w:rFonts w:ascii="Times New Roman" w:eastAsia="Times New Roman" w:hAnsi="Times New Roman" w:cs="Times New Roman"/>
          <w:color w:val="auto"/>
          <w:sz w:val="24"/>
          <w:szCs w:val="24"/>
          <w:lang w:eastAsia="en-AU"/>
        </w:rPr>
        <w:t>APRA may, in writing, determine a prudential standard that applies to an APRA-regulated institution under:</w:t>
      </w:r>
    </w:p>
    <w:p w14:paraId="7775948C" w14:textId="77777777" w:rsidR="005D1FA6" w:rsidRPr="005D1FA6" w:rsidRDefault="005D1FA6" w:rsidP="005D1FA6">
      <w:pPr>
        <w:widowControl w:val="0"/>
        <w:numPr>
          <w:ilvl w:val="0"/>
          <w:numId w:val="13"/>
        </w:numPr>
        <w:spacing w:after="0"/>
        <w:ind w:left="567" w:hanging="567"/>
        <w:jc w:val="left"/>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subsection 11AF(1) of the </w:t>
      </w:r>
      <w:r w:rsidRPr="005D1FA6">
        <w:rPr>
          <w:rFonts w:ascii="Times New Roman" w:eastAsia="Times New Roman" w:hAnsi="Times New Roman" w:cs="Times New Roman"/>
          <w:i/>
          <w:iCs/>
          <w:color w:val="auto"/>
          <w:sz w:val="24"/>
          <w:szCs w:val="24"/>
          <w:lang w:eastAsia="en-AU"/>
        </w:rPr>
        <w:t>Banking Act 1959</w:t>
      </w:r>
      <w:r w:rsidRPr="005D1FA6">
        <w:rPr>
          <w:rFonts w:ascii="Times New Roman" w:eastAsia="Times New Roman" w:hAnsi="Times New Roman" w:cs="Times New Roman"/>
          <w:color w:val="auto"/>
          <w:sz w:val="24"/>
          <w:szCs w:val="24"/>
          <w:lang w:eastAsia="en-AU"/>
        </w:rPr>
        <w:t xml:space="preserve"> (Banking Act),  in relation to authorised deposit-taking institutions (ADIs) and authorised non-operating holding companies (authorised banking NOHCs);</w:t>
      </w:r>
    </w:p>
    <w:p w14:paraId="74D0C414" w14:textId="77777777" w:rsidR="005D1FA6" w:rsidRPr="005D1FA6" w:rsidRDefault="005D1FA6" w:rsidP="005D1FA6">
      <w:pPr>
        <w:widowControl w:val="0"/>
        <w:numPr>
          <w:ilvl w:val="0"/>
          <w:numId w:val="13"/>
        </w:numPr>
        <w:spacing w:after="0"/>
        <w:ind w:left="567" w:hanging="567"/>
        <w:jc w:val="left"/>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subsection 32(1) of the </w:t>
      </w:r>
      <w:r w:rsidRPr="005D1FA6">
        <w:rPr>
          <w:rFonts w:ascii="Times New Roman" w:eastAsia="Times New Roman" w:hAnsi="Times New Roman" w:cs="Times New Roman"/>
          <w:i/>
          <w:iCs/>
          <w:color w:val="auto"/>
          <w:sz w:val="24"/>
          <w:szCs w:val="24"/>
          <w:lang w:eastAsia="en-AU"/>
        </w:rPr>
        <w:t>Insurance Act 1973</w:t>
      </w:r>
      <w:r w:rsidRPr="005D1FA6">
        <w:rPr>
          <w:rFonts w:ascii="Times New Roman" w:eastAsia="Times New Roman" w:hAnsi="Times New Roman" w:cs="Times New Roman"/>
          <w:color w:val="auto"/>
          <w:sz w:val="24"/>
          <w:szCs w:val="24"/>
          <w:lang w:eastAsia="en-AU"/>
        </w:rPr>
        <w:t xml:space="preserve"> (Insurance Act), in relation to general insurers and authorised non-operating holding companies (authorised insurance NOHCs); </w:t>
      </w:r>
    </w:p>
    <w:p w14:paraId="07FF31F9" w14:textId="77777777" w:rsidR="005D1FA6" w:rsidRPr="005D1FA6" w:rsidRDefault="005D1FA6" w:rsidP="005D1FA6">
      <w:pPr>
        <w:widowControl w:val="0"/>
        <w:numPr>
          <w:ilvl w:val="0"/>
          <w:numId w:val="13"/>
        </w:numPr>
        <w:spacing w:after="0"/>
        <w:ind w:left="567" w:hanging="567"/>
        <w:jc w:val="left"/>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subsection 230A(1) of the </w:t>
      </w:r>
      <w:r w:rsidRPr="005D1FA6">
        <w:rPr>
          <w:rFonts w:ascii="Times New Roman" w:eastAsia="Times New Roman" w:hAnsi="Times New Roman" w:cs="Times New Roman"/>
          <w:i/>
          <w:iCs/>
          <w:color w:val="auto"/>
          <w:sz w:val="24"/>
          <w:szCs w:val="24"/>
          <w:lang w:eastAsia="en-AU"/>
        </w:rPr>
        <w:t>Life Insurance Act 1995</w:t>
      </w:r>
      <w:r w:rsidRPr="005D1FA6">
        <w:rPr>
          <w:rFonts w:ascii="Times New Roman" w:eastAsia="Times New Roman" w:hAnsi="Times New Roman" w:cs="Times New Roman"/>
          <w:color w:val="auto"/>
          <w:sz w:val="24"/>
          <w:szCs w:val="24"/>
          <w:lang w:eastAsia="en-AU"/>
        </w:rPr>
        <w:t xml:space="preserve"> (Life Insurance Act), in relation to life companies (including friendly societies) and registered non-operating holding companies (registered life NOHCs); and </w:t>
      </w:r>
    </w:p>
    <w:p w14:paraId="642CD6ED" w14:textId="77777777" w:rsidR="005D1FA6" w:rsidRPr="005D1FA6" w:rsidRDefault="005D1FA6" w:rsidP="005D1FA6">
      <w:pPr>
        <w:widowControl w:val="0"/>
        <w:numPr>
          <w:ilvl w:val="0"/>
          <w:numId w:val="13"/>
        </w:numPr>
        <w:ind w:left="567" w:hanging="567"/>
        <w:jc w:val="left"/>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subsection 34(C) of the </w:t>
      </w:r>
      <w:r w:rsidRPr="005D1FA6">
        <w:rPr>
          <w:rFonts w:ascii="Times New Roman" w:eastAsia="Times New Roman" w:hAnsi="Times New Roman" w:cs="Times New Roman"/>
          <w:i/>
          <w:color w:val="auto"/>
          <w:sz w:val="24"/>
          <w:szCs w:val="24"/>
          <w:lang w:eastAsia="en-AU"/>
        </w:rPr>
        <w:t xml:space="preserve">Superannuation Industry (Supervision) Act 1993 </w:t>
      </w:r>
      <w:r w:rsidRPr="005D1FA6">
        <w:rPr>
          <w:rFonts w:ascii="Times New Roman" w:eastAsia="Times New Roman" w:hAnsi="Times New Roman" w:cs="Times New Roman"/>
          <w:color w:val="auto"/>
          <w:sz w:val="24"/>
          <w:szCs w:val="24"/>
          <w:lang w:eastAsia="en-AU"/>
        </w:rPr>
        <w:t xml:space="preserve">(SIS Act), in relation to Registered Superannuation Entity Licensees (RSELs). </w:t>
      </w:r>
    </w:p>
    <w:p w14:paraId="549CABF1" w14:textId="0CE8894A" w:rsidR="005D1FA6" w:rsidRPr="005D1FA6" w:rsidRDefault="005D1FA6" w:rsidP="005D1FA6">
      <w:pPr>
        <w:widowControl w:val="0"/>
        <w:rPr>
          <w:rFonts w:ascii="Times New Roman" w:eastAsia="Times New Roman" w:hAnsi="Times New Roman" w:cs="Times New Roman"/>
          <w:color w:val="auto"/>
          <w:sz w:val="24"/>
          <w:szCs w:val="24"/>
          <w:lang w:eastAsia="en-AU"/>
        </w:rPr>
      </w:pPr>
      <w:r w:rsidRPr="00FD4428">
        <w:rPr>
          <w:rFonts w:ascii="Times New Roman" w:eastAsia="Times New Roman" w:hAnsi="Times New Roman" w:cs="Times New Roman"/>
          <w:color w:val="auto"/>
          <w:sz w:val="24"/>
          <w:szCs w:val="24"/>
          <w:lang w:eastAsia="en-AU"/>
        </w:rPr>
        <w:t xml:space="preserve">On </w:t>
      </w:r>
      <w:r w:rsidR="00FD4428" w:rsidRPr="00FD4428">
        <w:rPr>
          <w:rFonts w:ascii="Times New Roman" w:eastAsia="Times New Roman" w:hAnsi="Times New Roman" w:cs="Times New Roman"/>
          <w:color w:val="auto"/>
          <w:sz w:val="24"/>
          <w:szCs w:val="24"/>
          <w:lang w:eastAsia="en-AU"/>
        </w:rPr>
        <w:t>22 November</w:t>
      </w:r>
      <w:r w:rsidR="00FD4428">
        <w:rPr>
          <w:rFonts w:ascii="Times New Roman" w:eastAsia="Times New Roman" w:hAnsi="Times New Roman" w:cs="Times New Roman"/>
          <w:color w:val="auto"/>
          <w:sz w:val="24"/>
          <w:szCs w:val="24"/>
          <w:lang w:eastAsia="en-AU"/>
        </w:rPr>
        <w:t xml:space="preserve"> </w:t>
      </w:r>
      <w:r w:rsidRPr="005D1FA6">
        <w:rPr>
          <w:rFonts w:ascii="Times New Roman" w:eastAsia="Times New Roman" w:hAnsi="Times New Roman" w:cs="Times New Roman"/>
          <w:color w:val="auto"/>
          <w:sz w:val="24"/>
          <w:szCs w:val="24"/>
          <w:lang w:eastAsia="en-AU"/>
        </w:rPr>
        <w:t xml:space="preserve">2019, APRA made Banking, </w:t>
      </w:r>
      <w:r w:rsidRPr="005D1FA6">
        <w:rPr>
          <w:rFonts w:ascii="Times New Roman" w:eastAsia="Times New Roman" w:hAnsi="Times New Roman" w:cs="Times New Roman"/>
          <w:color w:val="auto"/>
          <w:sz w:val="24"/>
          <w:szCs w:val="24"/>
          <w:lang w:val="en-US" w:eastAsia="en-AU"/>
        </w:rPr>
        <w:t>Insurance</w:t>
      </w:r>
      <w:r w:rsidR="0030554C">
        <w:rPr>
          <w:rFonts w:ascii="Times New Roman" w:eastAsia="Times New Roman" w:hAnsi="Times New Roman" w:cs="Times New Roman"/>
          <w:color w:val="auto"/>
          <w:sz w:val="24"/>
          <w:szCs w:val="24"/>
          <w:lang w:val="en-US" w:eastAsia="en-AU"/>
        </w:rPr>
        <w:t>,</w:t>
      </w:r>
      <w:r w:rsidRPr="005D1FA6">
        <w:rPr>
          <w:rFonts w:ascii="Times New Roman" w:eastAsia="Times New Roman" w:hAnsi="Times New Roman" w:cs="Times New Roman"/>
          <w:color w:val="auto"/>
          <w:sz w:val="24"/>
          <w:szCs w:val="24"/>
          <w:lang w:val="en-US" w:eastAsia="en-AU"/>
        </w:rPr>
        <w:t xml:space="preserve"> Life Insurance </w:t>
      </w:r>
      <w:r w:rsidR="0030554C">
        <w:rPr>
          <w:rFonts w:ascii="Times New Roman" w:eastAsia="Times New Roman" w:hAnsi="Times New Roman" w:cs="Times New Roman"/>
          <w:color w:val="auto"/>
          <w:sz w:val="24"/>
          <w:szCs w:val="24"/>
          <w:lang w:val="en-US" w:eastAsia="en-AU"/>
        </w:rPr>
        <w:t xml:space="preserve">and Superannuation </w:t>
      </w:r>
      <w:r w:rsidRPr="005D1FA6">
        <w:rPr>
          <w:rFonts w:ascii="Times New Roman" w:eastAsia="Times New Roman" w:hAnsi="Times New Roman" w:cs="Times New Roman"/>
          <w:color w:val="auto"/>
          <w:sz w:val="24"/>
          <w:szCs w:val="24"/>
          <w:lang w:val="en-US" w:eastAsia="en-AU"/>
        </w:rPr>
        <w:t xml:space="preserve">(prudential standard) determination No. </w:t>
      </w:r>
      <w:r w:rsidR="001B7ACB">
        <w:rPr>
          <w:rFonts w:ascii="Times New Roman" w:eastAsia="Times New Roman" w:hAnsi="Times New Roman" w:cs="Times New Roman"/>
          <w:color w:val="auto"/>
          <w:sz w:val="24"/>
          <w:szCs w:val="24"/>
          <w:lang w:val="en-US" w:eastAsia="en-AU"/>
        </w:rPr>
        <w:t>1</w:t>
      </w:r>
      <w:r w:rsidRPr="005D1FA6">
        <w:rPr>
          <w:rFonts w:ascii="Times New Roman" w:eastAsia="Times New Roman" w:hAnsi="Times New Roman" w:cs="Times New Roman"/>
          <w:color w:val="auto"/>
          <w:sz w:val="24"/>
          <w:szCs w:val="24"/>
          <w:lang w:val="en-US" w:eastAsia="en-AU"/>
        </w:rPr>
        <w:t xml:space="preserve"> of 2019</w:t>
      </w:r>
      <w:r w:rsidRPr="005D1FA6">
        <w:rPr>
          <w:rFonts w:ascii="Times New Roman" w:eastAsia="Times New Roman" w:hAnsi="Times New Roman" w:cs="Times New Roman"/>
          <w:color w:val="auto"/>
          <w:sz w:val="24"/>
          <w:szCs w:val="24"/>
          <w:lang w:eastAsia="en-AU"/>
        </w:rPr>
        <w:t xml:space="preserve"> (the instrument) which revokes</w:t>
      </w:r>
      <w:r w:rsidRPr="005D1FA6">
        <w:rPr>
          <w:rFonts w:ascii="Times New Roman" w:eastAsia="Times New Roman" w:hAnsi="Times New Roman" w:cs="Times New Roman"/>
          <w:i/>
          <w:color w:val="auto"/>
          <w:sz w:val="24"/>
          <w:szCs w:val="24"/>
          <w:lang w:eastAsia="en-AU"/>
        </w:rPr>
        <w:t xml:space="preserve"> Prudential Standard CPS 226 Margining and risk mitigation for non-centrally cleared derivatives </w:t>
      </w:r>
      <w:r w:rsidRPr="005D1FA6">
        <w:rPr>
          <w:rFonts w:ascii="Times New Roman" w:eastAsia="Times New Roman" w:hAnsi="Times New Roman" w:cs="Times New Roman"/>
          <w:color w:val="auto"/>
          <w:sz w:val="24"/>
          <w:szCs w:val="24"/>
          <w:lang w:eastAsia="en-AU"/>
        </w:rPr>
        <w:t>made under Banking, Insurance, Life Insurance and Superannuation (prudential standard) determination No. 1 of 2017</w:t>
      </w:r>
      <w:r w:rsidRPr="005D1FA6">
        <w:rPr>
          <w:rFonts w:ascii="Times New Roman" w:eastAsia="Times New Roman" w:hAnsi="Times New Roman" w:cs="Times New Roman"/>
          <w:i/>
          <w:color w:val="auto"/>
          <w:sz w:val="24"/>
          <w:szCs w:val="24"/>
          <w:lang w:eastAsia="en-AU"/>
        </w:rPr>
        <w:t xml:space="preserve"> </w:t>
      </w:r>
      <w:r w:rsidRPr="005D1FA6">
        <w:rPr>
          <w:rFonts w:ascii="Times New Roman" w:eastAsia="Times New Roman" w:hAnsi="Times New Roman" w:cs="Times New Roman"/>
          <w:iCs/>
          <w:color w:val="auto"/>
          <w:sz w:val="24"/>
          <w:szCs w:val="24"/>
          <w:lang w:val="en-US" w:eastAsia="en-AU"/>
        </w:rPr>
        <w:t>and</w:t>
      </w:r>
      <w:r w:rsidRPr="005D1FA6">
        <w:rPr>
          <w:rFonts w:ascii="Times New Roman" w:eastAsia="Times New Roman" w:hAnsi="Times New Roman" w:cs="Times New Roman"/>
          <w:color w:val="auto"/>
          <w:sz w:val="24"/>
          <w:szCs w:val="24"/>
          <w:lang w:eastAsia="en-AU"/>
        </w:rPr>
        <w:t xml:space="preserve"> determines a new </w:t>
      </w:r>
      <w:r w:rsidRPr="005D1FA6">
        <w:rPr>
          <w:rFonts w:ascii="Times New Roman" w:eastAsia="Times New Roman" w:hAnsi="Times New Roman" w:cs="Times New Roman"/>
          <w:i/>
          <w:color w:val="auto"/>
          <w:sz w:val="24"/>
          <w:szCs w:val="24"/>
          <w:lang w:eastAsia="en-AU"/>
        </w:rPr>
        <w:t xml:space="preserve">Prudential Standard CPS 226 Margining and risk mitigation for non-centrally cleared derivatives </w:t>
      </w:r>
      <w:r w:rsidRPr="005D1FA6">
        <w:rPr>
          <w:rFonts w:ascii="Times New Roman" w:eastAsia="Times New Roman" w:hAnsi="Times New Roman" w:cs="Times New Roman"/>
          <w:color w:val="auto"/>
          <w:sz w:val="24"/>
          <w:szCs w:val="24"/>
          <w:lang w:eastAsia="en-AU"/>
        </w:rPr>
        <w:t>(CPS 226).</w:t>
      </w:r>
      <w:r w:rsidRPr="005D1FA6">
        <w:rPr>
          <w:rFonts w:ascii="Times New Roman" w:eastAsia="Times New Roman" w:hAnsi="Times New Roman" w:cs="Times New Roman"/>
          <w:color w:val="auto"/>
          <w:sz w:val="24"/>
          <w:szCs w:val="24"/>
          <w:lang w:val="en-US" w:eastAsia="en-AU"/>
        </w:rPr>
        <w:t xml:space="preserve"> </w:t>
      </w:r>
    </w:p>
    <w:p w14:paraId="197D2754" w14:textId="2F8814EE" w:rsidR="005D1FA6" w:rsidRPr="005D1FA6" w:rsidRDefault="005D1FA6" w:rsidP="005D1FA6">
      <w:pPr>
        <w:widowControl w:val="0"/>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The instrument commences on upon registration on the Federal Register of Legislation. </w:t>
      </w:r>
    </w:p>
    <w:p w14:paraId="715A6EC5" w14:textId="77777777" w:rsidR="005D1FA6" w:rsidRPr="005D1FA6" w:rsidRDefault="005D1FA6" w:rsidP="005D1FA6">
      <w:pPr>
        <w:keepNext/>
        <w:numPr>
          <w:ilvl w:val="0"/>
          <w:numId w:val="12"/>
        </w:numPr>
        <w:spacing w:after="0"/>
        <w:ind w:left="0" w:firstLine="0"/>
        <w:jc w:val="left"/>
        <w:outlineLvl w:val="0"/>
        <w:rPr>
          <w:rFonts w:ascii="Times New Roman" w:eastAsia="Times New Roman" w:hAnsi="Times New Roman" w:cs="Times New Roman"/>
          <w:b/>
          <w:color w:val="auto"/>
          <w:sz w:val="24"/>
          <w:szCs w:val="24"/>
          <w:lang w:eastAsia="en-AU"/>
        </w:rPr>
      </w:pPr>
      <w:r w:rsidRPr="005D1FA6">
        <w:rPr>
          <w:rFonts w:ascii="Times New Roman" w:eastAsia="Times New Roman" w:hAnsi="Times New Roman" w:cs="Times New Roman"/>
          <w:b/>
          <w:color w:val="auto"/>
          <w:sz w:val="24"/>
          <w:szCs w:val="24"/>
          <w:lang w:eastAsia="en-AU"/>
        </w:rPr>
        <w:t>Background</w:t>
      </w:r>
    </w:p>
    <w:p w14:paraId="355870AE" w14:textId="77777777" w:rsidR="005D1FA6" w:rsidRPr="005D1FA6" w:rsidRDefault="005D1FA6" w:rsidP="005D1FA6">
      <w:pPr>
        <w:outlineLvl w:val="0"/>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1CE79975" w14:textId="77777777" w:rsidR="005D1FA6" w:rsidRPr="005D1FA6" w:rsidRDefault="005D1FA6" w:rsidP="005D1FA6">
      <w:pPr>
        <w:keepNext/>
        <w:outlineLvl w:val="0"/>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In 2015, the BCBS and IOSCO finalised minimum standards for margin requirements for non-centrally cleared derivatives transactions (‘the BCBS-IOSCO framework’). Of relevance to the revised CPS 226 is that the BCBS-IOSCO framework requires the exchange of initial margin. Initial margin protects against the potential future exposure that may arise from future changes in the mark-to-markets value of a non-centrally cleared derivative during the period of time that is assumed to be required to close-out </w:t>
      </w:r>
      <w:r w:rsidRPr="005D1FA6">
        <w:rPr>
          <w:rFonts w:ascii="Times New Roman" w:eastAsia="Times New Roman" w:hAnsi="Times New Roman" w:cs="Times New Roman"/>
          <w:color w:val="auto"/>
          <w:sz w:val="24"/>
          <w:szCs w:val="24"/>
          <w:lang w:eastAsia="en-AU"/>
        </w:rPr>
        <w:lastRenderedPageBreak/>
        <w:t xml:space="preserve">and replace the position following a counterparty default. In December 2016, APRA implemented margin requirements for non-centrally cleared derivatives based on the BCBS-IOSCO framework, which commenced in March 2017 and under which the initial margin requirements were subject to a multi-year phase-in timetable. </w:t>
      </w:r>
    </w:p>
    <w:p w14:paraId="7BF6D399" w14:textId="77777777" w:rsidR="005D1FA6" w:rsidRPr="005D1FA6" w:rsidRDefault="005D1FA6" w:rsidP="005D1FA6">
      <w:pPr>
        <w:keepNext/>
        <w:outlineLvl w:val="0"/>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In March 2019, the BCBS and IOSCO published a statement noting that the BCBS-IOSCO framework does not specify documentation, custodial or operational requirements if the bilateral initial margin does not exceed the initial margin threshold. The threshold represents the point at which covered entities are not required to post and collect initial margin. The statement also clarified that amendments made to legacy derivative contracts solely for the purpose of addressing interest rate benchmark reforms do not require the application of margin requirements under the BCBS-IOSCO framework. </w:t>
      </w:r>
    </w:p>
    <w:p w14:paraId="47209A54" w14:textId="6B39F3FF" w:rsidR="005D1FA6" w:rsidRPr="005D1FA6" w:rsidRDefault="005D1FA6" w:rsidP="005D1FA6">
      <w:pPr>
        <w:keepNext/>
        <w:outlineLvl w:val="0"/>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In July 2019, the BCBS and IOSCO agreed to extend the phase-in timetable under the BCBS-IO</w:t>
      </w:r>
      <w:r w:rsidR="008D7014">
        <w:rPr>
          <w:rFonts w:ascii="Times New Roman" w:eastAsia="Times New Roman" w:hAnsi="Times New Roman" w:cs="Times New Roman"/>
          <w:color w:val="auto"/>
          <w:sz w:val="24"/>
          <w:szCs w:val="24"/>
          <w:lang w:eastAsia="en-AU"/>
        </w:rPr>
        <w:t>S</w:t>
      </w:r>
      <w:r w:rsidRPr="005D1FA6">
        <w:rPr>
          <w:rFonts w:ascii="Times New Roman" w:eastAsia="Times New Roman" w:hAnsi="Times New Roman" w:cs="Times New Roman"/>
          <w:color w:val="auto"/>
          <w:sz w:val="24"/>
          <w:szCs w:val="24"/>
          <w:lang w:eastAsia="en-AU"/>
        </w:rPr>
        <w:t>CO framework by one year to 1 September 2021. To facilitate this extension, the BCBS and IO</w:t>
      </w:r>
      <w:r w:rsidR="008D7014">
        <w:rPr>
          <w:rFonts w:ascii="Times New Roman" w:eastAsia="Times New Roman" w:hAnsi="Times New Roman" w:cs="Times New Roman"/>
          <w:color w:val="auto"/>
          <w:sz w:val="24"/>
          <w:szCs w:val="24"/>
          <w:lang w:eastAsia="en-AU"/>
        </w:rPr>
        <w:t>S</w:t>
      </w:r>
      <w:r w:rsidRPr="005D1FA6">
        <w:rPr>
          <w:rFonts w:ascii="Times New Roman" w:eastAsia="Times New Roman" w:hAnsi="Times New Roman" w:cs="Times New Roman"/>
          <w:color w:val="auto"/>
          <w:sz w:val="24"/>
          <w:szCs w:val="24"/>
          <w:lang w:eastAsia="en-AU"/>
        </w:rPr>
        <w:t xml:space="preserve">CO also introduced an additional implementation phase commencing 1 September 2020 requiring covered entities with an aggregate average notional amount of non-centrally cleared derivative exceeding EUR 50 billion to comply from this time. </w:t>
      </w:r>
    </w:p>
    <w:p w14:paraId="48CD6B32" w14:textId="77777777" w:rsidR="005D1FA6" w:rsidRPr="005D1FA6" w:rsidRDefault="005D1FA6" w:rsidP="005D1FA6">
      <w:pPr>
        <w:keepNext/>
        <w:numPr>
          <w:ilvl w:val="0"/>
          <w:numId w:val="12"/>
        </w:numPr>
        <w:spacing w:after="0"/>
        <w:ind w:left="0" w:firstLine="0"/>
        <w:jc w:val="left"/>
        <w:outlineLvl w:val="0"/>
        <w:rPr>
          <w:rFonts w:ascii="Times New Roman" w:eastAsia="Times New Roman" w:hAnsi="Times New Roman" w:cs="Times New Roman"/>
          <w:b/>
          <w:color w:val="auto"/>
          <w:sz w:val="24"/>
          <w:szCs w:val="24"/>
          <w:lang w:eastAsia="en-AU"/>
        </w:rPr>
      </w:pPr>
      <w:bookmarkStart w:id="3" w:name="bkBackground"/>
      <w:bookmarkEnd w:id="3"/>
      <w:r w:rsidRPr="005D1FA6">
        <w:rPr>
          <w:rFonts w:ascii="Times New Roman" w:eastAsia="Times New Roman" w:hAnsi="Times New Roman" w:cs="Times New Roman"/>
          <w:b/>
          <w:color w:val="auto"/>
          <w:sz w:val="24"/>
          <w:szCs w:val="24"/>
          <w:lang w:eastAsia="en-AU"/>
        </w:rPr>
        <w:t>Purpose and operation of the instrument</w:t>
      </w:r>
    </w:p>
    <w:p w14:paraId="0B963F79" w14:textId="77777777" w:rsidR="005D1FA6" w:rsidRPr="005D1FA6" w:rsidRDefault="005D1FA6" w:rsidP="005D1FA6">
      <w:pPr>
        <w:rPr>
          <w:rFonts w:ascii="Times New Roman" w:eastAsia="Times New Roman" w:hAnsi="Times New Roman" w:cs="Times New Roman"/>
          <w:color w:val="auto"/>
          <w:sz w:val="24"/>
          <w:szCs w:val="24"/>
          <w:lang w:eastAsia="en-AU"/>
        </w:rPr>
      </w:pPr>
      <w:bookmarkStart w:id="4" w:name="bkPurpose"/>
      <w:bookmarkEnd w:id="4"/>
      <w:r w:rsidRPr="005D1FA6">
        <w:rPr>
          <w:rFonts w:ascii="Times New Roman" w:eastAsia="Times New Roman" w:hAnsi="Times New Roman" w:cs="Times New Roman"/>
          <w:color w:val="auto"/>
          <w:sz w:val="24"/>
          <w:szCs w:val="24"/>
          <w:lang w:eastAsia="en-AU"/>
        </w:rPr>
        <w:t xml:space="preserve">The purpose of the instrument is to revoke the existing CPS 226 and replace it with a new version of CPS 226. </w:t>
      </w:r>
    </w:p>
    <w:p w14:paraId="4E47B03E" w14:textId="77777777" w:rsidR="00E6338A" w:rsidRPr="005D1FA6" w:rsidRDefault="00E6338A" w:rsidP="001B7ACB">
      <w:pPr>
        <w:keepNext/>
        <w:numPr>
          <w:ilvl w:val="0"/>
          <w:numId w:val="0"/>
        </w:numPr>
        <w:shd w:val="clear" w:color="auto" w:fill="FFFFFF"/>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iCs/>
          <w:color w:val="auto"/>
          <w:sz w:val="24"/>
          <w:szCs w:val="24"/>
          <w:lang w:eastAsia="en-AU"/>
        </w:rPr>
        <w:t xml:space="preserve">CPS 226 applies to institutions in the banking, general insurance, life insurance and superannuation industries. Under CPS 226, an entity that actively transacts in non-centrally cleared derivatives is required to exchange collateral as appropriate to those transactions to manage the risk of counterparty default, and to have policies and procedures to manage its risks in undertaking that derivatives activity. </w:t>
      </w:r>
    </w:p>
    <w:p w14:paraId="1E0DC46C" w14:textId="77777777" w:rsidR="005D1FA6" w:rsidRPr="005D1FA6" w:rsidRDefault="005D1FA6" w:rsidP="005D1FA6">
      <w:pPr>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The new version of CPS 226 aligns APRA’s margin requirements with the amended BCBS-IOSCO framework and the statement made by the BCBS and IOSCO in March 2019. The key changes are to: </w:t>
      </w:r>
    </w:p>
    <w:p w14:paraId="1135374F" w14:textId="1EDFB833" w:rsidR="005D1FA6" w:rsidRPr="005D1FA6" w:rsidRDefault="005D1FA6" w:rsidP="005D1FA6">
      <w:pPr>
        <w:numPr>
          <w:ilvl w:val="0"/>
          <w:numId w:val="16"/>
        </w:numPr>
        <w:ind w:left="357" w:hanging="357"/>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delay the final implementation phase for initial margin requirements by one year from 1 September 2020 to 1 September 202</w:t>
      </w:r>
      <w:r w:rsidR="00D158F7">
        <w:rPr>
          <w:rFonts w:ascii="Times New Roman" w:eastAsia="Times New Roman" w:hAnsi="Times New Roman" w:cs="Times New Roman"/>
          <w:color w:val="auto"/>
          <w:sz w:val="24"/>
          <w:szCs w:val="24"/>
          <w:lang w:eastAsia="en-AU"/>
        </w:rPr>
        <w:t>1</w:t>
      </w:r>
      <w:r w:rsidRPr="005D1FA6">
        <w:rPr>
          <w:rFonts w:ascii="Times New Roman" w:eastAsia="Times New Roman" w:hAnsi="Times New Roman" w:cs="Times New Roman"/>
          <w:color w:val="auto"/>
          <w:sz w:val="24"/>
          <w:szCs w:val="24"/>
          <w:lang w:eastAsia="en-AU"/>
        </w:rPr>
        <w:t xml:space="preserve"> and in doing so, increase the qualifying level of aggregate average notion amount (AANA) of non-centrally cleared derivatives applicable from 1 September 2020 from AUD 12 billion to AUD 75 billion, and defer the application of margin requirements to covered entities with an AANA of non-centrally cleared derivatives greater than AUD 12 billion to 1 September 2021; </w:t>
      </w:r>
    </w:p>
    <w:p w14:paraId="41977D88" w14:textId="77777777" w:rsidR="005D1FA6" w:rsidRPr="005D1FA6" w:rsidRDefault="005D1FA6" w:rsidP="005D1FA6">
      <w:pPr>
        <w:numPr>
          <w:ilvl w:val="0"/>
          <w:numId w:val="16"/>
        </w:numPr>
        <w:ind w:left="357" w:hanging="357"/>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clarify that an APRA covered entity is not required to have initial margin documentation, custodial arrangements and operational processes in place for posting and collecting initial margin in cases where the bilateral initial margin amount for a particular trading relationship is less than the AUD 75 million initial margin; and</w:t>
      </w:r>
    </w:p>
    <w:p w14:paraId="6BB7AE35" w14:textId="5C83C3F8" w:rsidR="005D1FA6" w:rsidRPr="005D1FA6" w:rsidRDefault="003E1836" w:rsidP="005D1FA6">
      <w:pPr>
        <w:numPr>
          <w:ilvl w:val="0"/>
          <w:numId w:val="16"/>
        </w:numPr>
        <w:ind w:left="357" w:hanging="357"/>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clarify</w:t>
      </w:r>
      <w:r w:rsidR="005D1FA6" w:rsidRPr="005D1FA6">
        <w:rPr>
          <w:rFonts w:ascii="Times New Roman" w:eastAsia="Times New Roman" w:hAnsi="Times New Roman" w:cs="Times New Roman"/>
          <w:color w:val="auto"/>
          <w:sz w:val="24"/>
          <w:szCs w:val="24"/>
          <w:lang w:eastAsia="en-AU"/>
        </w:rPr>
        <w:t xml:space="preserve"> that amending contracts for existing derivative transactions solely for the purpose of addressing benchmark reforms</w:t>
      </w:r>
      <w:r>
        <w:rPr>
          <w:rFonts w:ascii="Times New Roman" w:eastAsia="Times New Roman" w:hAnsi="Times New Roman" w:cs="Times New Roman"/>
          <w:color w:val="auto"/>
          <w:sz w:val="24"/>
          <w:szCs w:val="24"/>
          <w:lang w:eastAsia="en-AU"/>
        </w:rPr>
        <w:t xml:space="preserve"> and the application of standard trade </w:t>
      </w:r>
      <w:r>
        <w:rPr>
          <w:rFonts w:ascii="Times New Roman" w:eastAsia="Times New Roman" w:hAnsi="Times New Roman" w:cs="Times New Roman"/>
          <w:color w:val="auto"/>
          <w:sz w:val="24"/>
          <w:szCs w:val="24"/>
          <w:lang w:eastAsia="en-AU"/>
        </w:rPr>
        <w:lastRenderedPageBreak/>
        <w:t>maintenance processes on grandfathered transactions</w:t>
      </w:r>
      <w:r w:rsidR="005D1FA6" w:rsidRPr="005D1FA6">
        <w:rPr>
          <w:rFonts w:ascii="Times New Roman" w:eastAsia="Times New Roman" w:hAnsi="Times New Roman" w:cs="Times New Roman"/>
          <w:color w:val="auto"/>
          <w:sz w:val="24"/>
          <w:szCs w:val="24"/>
          <w:lang w:eastAsia="en-AU"/>
        </w:rPr>
        <w:t xml:space="preserve"> </w:t>
      </w:r>
      <w:r>
        <w:rPr>
          <w:rFonts w:ascii="Times New Roman" w:eastAsia="Times New Roman" w:hAnsi="Times New Roman" w:cs="Times New Roman"/>
          <w:color w:val="auto"/>
          <w:sz w:val="24"/>
          <w:szCs w:val="24"/>
          <w:lang w:eastAsia="en-AU"/>
        </w:rPr>
        <w:t xml:space="preserve">do </w:t>
      </w:r>
      <w:r w:rsidR="005D1FA6" w:rsidRPr="005D1FA6">
        <w:rPr>
          <w:rFonts w:ascii="Times New Roman" w:eastAsia="Times New Roman" w:hAnsi="Times New Roman" w:cs="Times New Roman"/>
          <w:color w:val="auto"/>
          <w:sz w:val="24"/>
          <w:szCs w:val="24"/>
          <w:lang w:eastAsia="en-AU"/>
        </w:rPr>
        <w:t>not qualify as new derivative transactions and are, therefore, not sub</w:t>
      </w:r>
      <w:r>
        <w:rPr>
          <w:rFonts w:ascii="Times New Roman" w:eastAsia="Times New Roman" w:hAnsi="Times New Roman" w:cs="Times New Roman"/>
          <w:color w:val="auto"/>
          <w:sz w:val="24"/>
          <w:szCs w:val="24"/>
          <w:lang w:eastAsia="en-AU"/>
        </w:rPr>
        <w:t xml:space="preserve">ject to the margin requirements. </w:t>
      </w:r>
    </w:p>
    <w:p w14:paraId="00A3255D" w14:textId="77777777" w:rsidR="005D1FA6" w:rsidRPr="005D1FA6" w:rsidRDefault="005D1FA6" w:rsidP="005D1FA6">
      <w:pPr>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The new version of CPS 226 also makes minor changes to update or remove out-of-date references. </w:t>
      </w:r>
    </w:p>
    <w:p w14:paraId="0DDD08E0" w14:textId="3BC1150D" w:rsidR="005D1FA6" w:rsidRPr="00BD54C9" w:rsidRDefault="005D1FA6" w:rsidP="005D1FA6">
      <w:pPr>
        <w:rPr>
          <w:rFonts w:ascii="Times New Roman" w:eastAsia="Times New Roman" w:hAnsi="Times New Roman" w:cs="Times New Roman"/>
          <w:color w:val="auto"/>
          <w:sz w:val="24"/>
          <w:szCs w:val="24"/>
          <w:highlight w:val="yellow"/>
          <w:lang w:eastAsia="en-AU"/>
        </w:rPr>
      </w:pPr>
      <w:r w:rsidRPr="00BD54C9">
        <w:rPr>
          <w:rFonts w:ascii="Times New Roman" w:eastAsia="Times New Roman" w:hAnsi="Times New Roman" w:cs="Times New Roman"/>
          <w:color w:val="auto"/>
          <w:sz w:val="24"/>
          <w:szCs w:val="24"/>
          <w:lang w:eastAsia="en-AU"/>
        </w:rPr>
        <w:t>Where CPS 226 refers to an Act, Regulation or prudential standard</w:t>
      </w:r>
      <w:r w:rsidR="004B1919">
        <w:rPr>
          <w:rFonts w:ascii="Times New Roman" w:eastAsia="Times New Roman" w:hAnsi="Times New Roman" w:cs="Times New Roman"/>
          <w:color w:val="auto"/>
          <w:sz w:val="24"/>
          <w:szCs w:val="24"/>
          <w:lang w:eastAsia="en-AU"/>
        </w:rPr>
        <w:t xml:space="preserve"> and </w:t>
      </w:r>
      <w:r w:rsidR="004B1919" w:rsidRPr="004B1919">
        <w:rPr>
          <w:rFonts w:ascii="Helvetica Neue" w:hAnsi="Helvetica Neue"/>
          <w:sz w:val="24"/>
          <w:szCs w:val="24"/>
        </w:rPr>
        <w:t xml:space="preserve">Australian Accounting Standard AASB </w:t>
      </w:r>
      <w:r w:rsidR="004B1919" w:rsidRPr="004B1919">
        <w:rPr>
          <w:rFonts w:ascii="Times New Roman" w:hAnsi="Times New Roman" w:cs="Times New Roman"/>
          <w:sz w:val="24"/>
          <w:szCs w:val="24"/>
        </w:rPr>
        <w:t xml:space="preserve">10 </w:t>
      </w:r>
      <w:r w:rsidR="004B1919" w:rsidRPr="004B1919">
        <w:rPr>
          <w:rFonts w:ascii="Times New Roman" w:hAnsi="Times New Roman" w:cs="Times New Roman"/>
          <w:i/>
          <w:sz w:val="24"/>
          <w:szCs w:val="24"/>
        </w:rPr>
        <w:t>Consolidated Financial Statements</w:t>
      </w:r>
      <w:r w:rsidRPr="004B1919">
        <w:rPr>
          <w:rFonts w:ascii="Times New Roman" w:eastAsia="Times New Roman" w:hAnsi="Times New Roman" w:cs="Times New Roman"/>
          <w:color w:val="auto"/>
          <w:sz w:val="24"/>
          <w:szCs w:val="24"/>
          <w:lang w:eastAsia="en-AU"/>
        </w:rPr>
        <w:t>, this is a reference to the document as it exists from time</w:t>
      </w:r>
      <w:r w:rsidRPr="00BD54C9">
        <w:rPr>
          <w:rFonts w:ascii="Times New Roman" w:eastAsia="Times New Roman" w:hAnsi="Times New Roman" w:cs="Times New Roman"/>
          <w:color w:val="auto"/>
          <w:sz w:val="24"/>
          <w:szCs w:val="24"/>
          <w:lang w:eastAsia="en-AU"/>
        </w:rPr>
        <w:t xml:space="preserve"> to time, and which is available on the Federal Register of Legislation at </w:t>
      </w:r>
      <w:hyperlink r:id="rId13" w:history="1">
        <w:r w:rsidRPr="00BD54C9">
          <w:rPr>
            <w:rFonts w:ascii="Times New Roman" w:eastAsia="Times New Roman" w:hAnsi="Times New Roman" w:cs="Times New Roman"/>
            <w:color w:val="0000FF"/>
            <w:sz w:val="24"/>
            <w:szCs w:val="24"/>
            <w:u w:val="single"/>
            <w:lang w:eastAsia="en-AU"/>
          </w:rPr>
          <w:t>www.legislation.gov.au</w:t>
        </w:r>
      </w:hyperlink>
      <w:r w:rsidRPr="00BD54C9">
        <w:rPr>
          <w:rFonts w:ascii="Times New Roman" w:eastAsia="Times New Roman" w:hAnsi="Times New Roman" w:cs="Times New Roman"/>
          <w:color w:val="auto"/>
          <w:sz w:val="24"/>
          <w:szCs w:val="24"/>
          <w:lang w:eastAsia="en-AU"/>
        </w:rPr>
        <w:t xml:space="preserve">. CPS 226 also incorporates by reference the BCBS-IOSCO framework as it exists at 23 July 2019 and the IOSCO Risk Mitigation Standards as they exist at 28 January 2015. These documents are available at: BCBS-IOSCO framework: </w:t>
      </w:r>
      <w:hyperlink r:id="rId14" w:history="1">
        <w:r w:rsidRPr="00BD54C9">
          <w:rPr>
            <w:rFonts w:ascii="Times New Roman" w:eastAsia="Times New Roman" w:hAnsi="Times New Roman" w:cs="Times New Roman"/>
            <w:color w:val="0000FF"/>
            <w:sz w:val="24"/>
            <w:szCs w:val="24"/>
            <w:u w:val="single"/>
            <w:lang w:eastAsia="en-AU"/>
          </w:rPr>
          <w:t>https://www.bis.org/bcbs/publ/d475.pdf</w:t>
        </w:r>
      </w:hyperlink>
      <w:r w:rsidRPr="00BD54C9">
        <w:rPr>
          <w:rFonts w:ascii="Times New Roman" w:eastAsia="Times New Roman" w:hAnsi="Times New Roman" w:cs="Times New Roman"/>
          <w:color w:val="auto"/>
          <w:sz w:val="24"/>
          <w:szCs w:val="24"/>
          <w:lang w:eastAsia="en-AU"/>
        </w:rPr>
        <w:t xml:space="preserve">; and IOSCO Risk Mitigation Standards: </w:t>
      </w:r>
      <w:hyperlink r:id="rId15" w:history="1">
        <w:r w:rsidRPr="00BD54C9">
          <w:rPr>
            <w:rFonts w:ascii="Times New Roman" w:eastAsia="Times New Roman" w:hAnsi="Times New Roman" w:cs="Times New Roman"/>
            <w:color w:val="0000FF"/>
            <w:sz w:val="24"/>
            <w:szCs w:val="24"/>
            <w:u w:val="single"/>
            <w:lang w:eastAsia="en-AU"/>
          </w:rPr>
          <w:t>https://www.iosco.org/library/pubdocs/pdf/IOSCOPD469.pdf</w:t>
        </w:r>
      </w:hyperlink>
      <w:r w:rsidRPr="00BD54C9">
        <w:rPr>
          <w:rFonts w:ascii="Times New Roman" w:eastAsia="Times New Roman" w:hAnsi="Times New Roman" w:cs="Times New Roman"/>
          <w:color w:val="auto"/>
          <w:sz w:val="24"/>
          <w:szCs w:val="24"/>
          <w:lang w:eastAsia="en-AU"/>
        </w:rPr>
        <w:t>.</w:t>
      </w:r>
    </w:p>
    <w:p w14:paraId="73AA33AB" w14:textId="77777777" w:rsidR="005D1FA6" w:rsidRPr="005D1FA6" w:rsidRDefault="005D1FA6" w:rsidP="005D1FA6">
      <w:pPr>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The prudential standards provide for APRA to exercise various discretions.</w:t>
      </w:r>
      <w:r w:rsidRPr="005D1FA6">
        <w:rPr>
          <w:rFonts w:ascii="Trebuchet MS" w:eastAsia="Times New Roman" w:hAnsi="Trebuchet MS" w:cs="Times New Roman"/>
          <w:b/>
          <w:color w:val="auto"/>
          <w:sz w:val="26"/>
          <w:lang w:eastAsia="en-AU"/>
        </w:rPr>
        <w:t xml:space="preserve"> </w:t>
      </w:r>
      <w:r w:rsidRPr="005D1FA6">
        <w:rPr>
          <w:rFonts w:ascii="Times New Roman" w:eastAsia="Times New Roman" w:hAnsi="Times New Roman" w:cs="Times New Roman"/>
          <w:color w:val="auto"/>
          <w:sz w:val="24"/>
          <w:szCs w:val="24"/>
          <w:lang w:eastAsia="en-AU"/>
        </w:rPr>
        <w:t xml:space="preserve">Decisions made by the APRA exercising those discretions are not subject to merits review. This is because these decisions are preliminary decisions that may facilitate or lead to substantive decisions which are subject to merits review. </w:t>
      </w:r>
    </w:p>
    <w:p w14:paraId="638D1899" w14:textId="1E5EDFED" w:rsidR="005D1FA6" w:rsidRPr="005D1FA6" w:rsidRDefault="00D338AA" w:rsidP="005D1FA6">
      <w:pPr>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Under the Banking Act, Insurance Act and Life Insurance Act, a</w:t>
      </w:r>
      <w:r w:rsidR="005D1FA6" w:rsidRPr="005D1FA6">
        <w:rPr>
          <w:rFonts w:ascii="Times New Roman" w:eastAsia="Times New Roman" w:hAnsi="Times New Roman" w:cs="Times New Roman"/>
          <w:color w:val="auto"/>
          <w:sz w:val="24"/>
          <w:szCs w:val="24"/>
          <w:lang w:eastAsia="en-AU"/>
        </w:rPr>
        <w:t xml:space="preserve"> breach of a prudential standard is a breach of the enabling legislation, as each enabling Act provides that regulated entities</w:t>
      </w:r>
      <w:r w:rsidR="001B7ACB">
        <w:rPr>
          <w:rFonts w:ascii="Times New Roman" w:eastAsia="Times New Roman" w:hAnsi="Times New Roman" w:cs="Times New Roman"/>
          <w:color w:val="auto"/>
          <w:sz w:val="24"/>
          <w:szCs w:val="24"/>
          <w:lang w:eastAsia="en-AU"/>
        </w:rPr>
        <w:t xml:space="preserve"> must comply with the standard.</w:t>
      </w:r>
      <w:r w:rsidR="005D1FA6" w:rsidRPr="005D1FA6">
        <w:rPr>
          <w:rFonts w:ascii="Times New Roman" w:eastAsia="Times New Roman" w:hAnsi="Times New Roman" w:cs="Times New Roman"/>
          <w:color w:val="auto"/>
          <w:sz w:val="24"/>
          <w:szCs w:val="24"/>
          <w:lang w:eastAsia="en-AU"/>
        </w:rPr>
        <w:t xml:space="preserve"> </w:t>
      </w:r>
      <w:r>
        <w:rPr>
          <w:rFonts w:ascii="Times New Roman" w:eastAsia="Times New Roman" w:hAnsi="Times New Roman" w:cs="Times New Roman"/>
          <w:color w:val="auto"/>
          <w:sz w:val="24"/>
          <w:szCs w:val="24"/>
          <w:lang w:eastAsia="en-AU"/>
        </w:rPr>
        <w:t xml:space="preserve">Under the SIS Act, it is a condition on all RSE licences that the RSE licensee must comply with the RSE licensee law, which includes prudential standards. </w:t>
      </w:r>
      <w:r w:rsidR="005D1FA6" w:rsidRPr="005D1FA6">
        <w:rPr>
          <w:rFonts w:ascii="Times New Roman" w:eastAsia="Times New Roman" w:hAnsi="Times New Roman" w:cs="Times New Roman"/>
          <w:color w:val="auto"/>
          <w:sz w:val="24"/>
          <w:szCs w:val="24"/>
          <w:lang w:eastAsia="en-AU"/>
        </w:rPr>
        <w:t>However there are no penalties prescribed for breach of the prudential standards</w:t>
      </w:r>
      <w:r>
        <w:rPr>
          <w:rFonts w:ascii="Times New Roman" w:eastAsia="Times New Roman" w:hAnsi="Times New Roman" w:cs="Times New Roman"/>
          <w:color w:val="auto"/>
          <w:sz w:val="24"/>
          <w:szCs w:val="24"/>
          <w:lang w:eastAsia="en-AU"/>
        </w:rPr>
        <w:t xml:space="preserve"> under any of these Acts</w:t>
      </w:r>
      <w:r w:rsidR="005D1FA6" w:rsidRPr="005D1FA6">
        <w:rPr>
          <w:rFonts w:ascii="Times New Roman" w:eastAsia="Times New Roman" w:hAnsi="Times New Roman" w:cs="Times New Roman"/>
          <w:color w:val="auto"/>
          <w:sz w:val="24"/>
          <w:szCs w:val="24"/>
          <w:lang w:eastAsia="en-AU"/>
        </w:rPr>
        <w:t xml:space="preserve">. Instead an entity’s breach of the enabling legislation </w:t>
      </w:r>
      <w:r>
        <w:rPr>
          <w:rFonts w:ascii="Times New Roman" w:eastAsia="Times New Roman" w:hAnsi="Times New Roman" w:cs="Times New Roman"/>
          <w:color w:val="auto"/>
          <w:sz w:val="24"/>
          <w:szCs w:val="24"/>
          <w:lang w:eastAsia="en-AU"/>
        </w:rPr>
        <w:t xml:space="preserve">or RSE licence condition </w:t>
      </w:r>
      <w:r w:rsidR="005D1FA6" w:rsidRPr="005D1FA6">
        <w:rPr>
          <w:rFonts w:ascii="Times New Roman" w:eastAsia="Times New Roman" w:hAnsi="Times New Roman" w:cs="Times New Roman"/>
          <w:color w:val="auto"/>
          <w:sz w:val="24"/>
          <w:szCs w:val="24"/>
          <w:lang w:eastAsia="en-AU"/>
        </w:rPr>
        <w:t xml:space="preserve">is grounds for APRA to make further, substantive decisions under the </w:t>
      </w:r>
      <w:r>
        <w:rPr>
          <w:rFonts w:ascii="Times New Roman" w:eastAsia="Times New Roman" w:hAnsi="Times New Roman" w:cs="Times New Roman"/>
          <w:color w:val="auto"/>
          <w:sz w:val="24"/>
          <w:szCs w:val="24"/>
          <w:lang w:eastAsia="en-AU"/>
        </w:rPr>
        <w:t xml:space="preserve">relevant </w:t>
      </w:r>
      <w:r w:rsidR="00CB5DC7">
        <w:rPr>
          <w:rFonts w:ascii="Times New Roman" w:eastAsia="Times New Roman" w:hAnsi="Times New Roman" w:cs="Times New Roman"/>
          <w:color w:val="auto"/>
          <w:sz w:val="24"/>
          <w:szCs w:val="24"/>
          <w:lang w:eastAsia="en-AU"/>
        </w:rPr>
        <w:t xml:space="preserve">enabling legislation </w:t>
      </w:r>
      <w:r w:rsidR="005D1FA6" w:rsidRPr="005D1FA6">
        <w:rPr>
          <w:rFonts w:ascii="Times New Roman" w:eastAsia="Times New Roman" w:hAnsi="Times New Roman" w:cs="Times New Roman"/>
          <w:color w:val="auto"/>
          <w:sz w:val="24"/>
          <w:szCs w:val="24"/>
          <w:lang w:eastAsia="en-AU"/>
        </w:rPr>
        <w:t>in relation to the entity. Those decisions are</w:t>
      </w:r>
      <w:r w:rsidR="00CB5DC7">
        <w:rPr>
          <w:rFonts w:ascii="Times New Roman" w:eastAsia="Times New Roman" w:hAnsi="Times New Roman" w:cs="Times New Roman"/>
          <w:color w:val="auto"/>
          <w:sz w:val="24"/>
          <w:szCs w:val="24"/>
          <w:lang w:eastAsia="en-AU"/>
        </w:rPr>
        <w:t>, as the case may be</w:t>
      </w:r>
      <w:r w:rsidR="005D1FA6" w:rsidRPr="005D1FA6">
        <w:rPr>
          <w:rFonts w:ascii="Times New Roman" w:eastAsia="Times New Roman" w:hAnsi="Times New Roman" w:cs="Times New Roman"/>
          <w:color w:val="auto"/>
          <w:sz w:val="24"/>
          <w:szCs w:val="24"/>
          <w:lang w:eastAsia="en-AU"/>
        </w:rPr>
        <w:t>:</w:t>
      </w:r>
    </w:p>
    <w:p w14:paraId="36F5965A" w14:textId="144069BD" w:rsidR="005D1FA6" w:rsidRPr="005D1FA6" w:rsidRDefault="005D1FA6" w:rsidP="005D1FA6">
      <w:pPr>
        <w:numPr>
          <w:ilvl w:val="0"/>
          <w:numId w:val="14"/>
        </w:numPr>
        <w:ind w:left="360"/>
        <w:jc w:val="left"/>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to revoke </w:t>
      </w:r>
      <w:r w:rsidR="009D5347">
        <w:rPr>
          <w:rFonts w:ascii="Times New Roman" w:eastAsia="Times New Roman" w:hAnsi="Times New Roman" w:cs="Times New Roman"/>
          <w:color w:val="auto"/>
          <w:sz w:val="24"/>
          <w:szCs w:val="24"/>
          <w:lang w:eastAsia="en-AU"/>
        </w:rPr>
        <w:t xml:space="preserve">a licence </w:t>
      </w:r>
      <w:r w:rsidRPr="005D1FA6">
        <w:rPr>
          <w:rFonts w:ascii="Times New Roman" w:eastAsia="Times New Roman" w:hAnsi="Times New Roman" w:cs="Times New Roman"/>
          <w:color w:val="auto"/>
          <w:sz w:val="24"/>
          <w:szCs w:val="24"/>
          <w:lang w:eastAsia="en-AU"/>
        </w:rPr>
        <w:t>to carry on banking business (s.9A Banking Act)</w:t>
      </w:r>
      <w:r w:rsidR="00CB5DC7">
        <w:rPr>
          <w:rFonts w:ascii="Times New Roman" w:eastAsia="Times New Roman" w:hAnsi="Times New Roman" w:cs="Times New Roman"/>
          <w:color w:val="auto"/>
          <w:sz w:val="24"/>
          <w:szCs w:val="24"/>
          <w:lang w:eastAsia="en-AU"/>
        </w:rPr>
        <w:t>, insurance business (s. 15 Insurance Act)</w:t>
      </w:r>
      <w:r w:rsidR="00D10138">
        <w:rPr>
          <w:rFonts w:ascii="Times New Roman" w:eastAsia="Times New Roman" w:hAnsi="Times New Roman" w:cs="Times New Roman"/>
          <w:color w:val="auto"/>
          <w:sz w:val="24"/>
          <w:szCs w:val="24"/>
          <w:lang w:eastAsia="en-AU"/>
        </w:rPr>
        <w:t xml:space="preserve"> </w:t>
      </w:r>
      <w:r w:rsidR="009D5347">
        <w:rPr>
          <w:rFonts w:ascii="Times New Roman" w:eastAsia="Times New Roman" w:hAnsi="Times New Roman" w:cs="Times New Roman"/>
          <w:color w:val="auto"/>
          <w:sz w:val="24"/>
          <w:szCs w:val="24"/>
          <w:lang w:eastAsia="en-AU"/>
        </w:rPr>
        <w:t xml:space="preserve">or </w:t>
      </w:r>
      <w:r w:rsidR="00D10138">
        <w:rPr>
          <w:rFonts w:ascii="Times New Roman" w:eastAsia="Times New Roman" w:hAnsi="Times New Roman" w:cs="Times New Roman"/>
          <w:color w:val="auto"/>
          <w:sz w:val="24"/>
          <w:szCs w:val="24"/>
          <w:lang w:eastAsia="en-AU"/>
        </w:rPr>
        <w:t xml:space="preserve">life </w:t>
      </w:r>
      <w:r w:rsidR="009D5347">
        <w:rPr>
          <w:rFonts w:ascii="Times New Roman" w:eastAsia="Times New Roman" w:hAnsi="Times New Roman" w:cs="Times New Roman"/>
          <w:color w:val="auto"/>
          <w:sz w:val="24"/>
          <w:szCs w:val="24"/>
          <w:lang w:eastAsia="en-AU"/>
        </w:rPr>
        <w:t xml:space="preserve">insurance business </w:t>
      </w:r>
      <w:r w:rsidR="00D10138">
        <w:rPr>
          <w:rFonts w:ascii="Times New Roman" w:eastAsia="Times New Roman" w:hAnsi="Times New Roman" w:cs="Times New Roman"/>
          <w:color w:val="auto"/>
          <w:sz w:val="24"/>
          <w:szCs w:val="24"/>
          <w:lang w:eastAsia="en-AU"/>
        </w:rPr>
        <w:t>(s.26 Life Insurance Act)</w:t>
      </w:r>
      <w:r w:rsidR="0038001E">
        <w:rPr>
          <w:rFonts w:ascii="Times New Roman" w:eastAsia="Times New Roman" w:hAnsi="Times New Roman" w:cs="Times New Roman"/>
          <w:color w:val="auto"/>
          <w:sz w:val="24"/>
          <w:szCs w:val="24"/>
          <w:lang w:eastAsia="en-AU"/>
        </w:rPr>
        <w:t>,</w:t>
      </w:r>
      <w:r w:rsidR="00CB5DC7">
        <w:rPr>
          <w:rFonts w:ascii="Times New Roman" w:eastAsia="Times New Roman" w:hAnsi="Times New Roman" w:cs="Times New Roman"/>
          <w:color w:val="auto"/>
          <w:sz w:val="24"/>
          <w:szCs w:val="24"/>
          <w:lang w:eastAsia="en-AU"/>
        </w:rPr>
        <w:t xml:space="preserve"> </w:t>
      </w:r>
      <w:r w:rsidR="00D10138">
        <w:rPr>
          <w:rFonts w:ascii="Times New Roman" w:eastAsia="Times New Roman" w:hAnsi="Times New Roman" w:cs="Times New Roman"/>
          <w:color w:val="auto"/>
          <w:sz w:val="24"/>
          <w:szCs w:val="24"/>
          <w:lang w:eastAsia="en-AU"/>
        </w:rPr>
        <w:t xml:space="preserve">or </w:t>
      </w:r>
      <w:r w:rsidR="00D338AA">
        <w:rPr>
          <w:rFonts w:ascii="Times New Roman" w:eastAsia="Times New Roman" w:hAnsi="Times New Roman" w:cs="Times New Roman"/>
          <w:color w:val="auto"/>
          <w:sz w:val="24"/>
          <w:szCs w:val="24"/>
          <w:lang w:eastAsia="en-AU"/>
        </w:rPr>
        <w:t>operate a</w:t>
      </w:r>
      <w:r w:rsidR="00CD4F74">
        <w:rPr>
          <w:rFonts w:ascii="Times New Roman" w:eastAsia="Times New Roman" w:hAnsi="Times New Roman" w:cs="Times New Roman"/>
          <w:color w:val="auto"/>
          <w:sz w:val="24"/>
          <w:szCs w:val="24"/>
          <w:lang w:eastAsia="en-AU"/>
        </w:rPr>
        <w:t>n APRA-regulated</w:t>
      </w:r>
      <w:r w:rsidR="00D338AA">
        <w:rPr>
          <w:rFonts w:ascii="Times New Roman" w:eastAsia="Times New Roman" w:hAnsi="Times New Roman" w:cs="Times New Roman"/>
          <w:color w:val="auto"/>
          <w:sz w:val="24"/>
          <w:szCs w:val="24"/>
          <w:lang w:eastAsia="en-AU"/>
        </w:rPr>
        <w:t xml:space="preserve"> superannuation fund </w:t>
      </w:r>
      <w:r w:rsidR="003A5FA1">
        <w:rPr>
          <w:rFonts w:ascii="Times New Roman" w:eastAsia="Times New Roman" w:hAnsi="Times New Roman" w:cs="Times New Roman"/>
          <w:color w:val="auto"/>
          <w:sz w:val="24"/>
          <w:szCs w:val="24"/>
          <w:lang w:eastAsia="en-AU"/>
        </w:rPr>
        <w:t>(s.29G SIS Act)</w:t>
      </w:r>
      <w:r w:rsidRPr="005D1FA6">
        <w:rPr>
          <w:rFonts w:ascii="Times New Roman" w:eastAsia="Times New Roman" w:hAnsi="Times New Roman" w:cs="Times New Roman"/>
          <w:color w:val="auto"/>
          <w:sz w:val="24"/>
          <w:szCs w:val="24"/>
          <w:lang w:eastAsia="en-AU"/>
        </w:rPr>
        <w:t>; and</w:t>
      </w:r>
    </w:p>
    <w:p w14:paraId="0695BC56" w14:textId="06253568" w:rsidR="005D1FA6" w:rsidRPr="005D1FA6" w:rsidRDefault="005D1FA6" w:rsidP="005D1FA6">
      <w:pPr>
        <w:numPr>
          <w:ilvl w:val="0"/>
          <w:numId w:val="14"/>
        </w:numPr>
        <w:ind w:left="360"/>
        <w:jc w:val="left"/>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to issue a direction to the </w:t>
      </w:r>
      <w:r w:rsidR="00457E7B">
        <w:rPr>
          <w:rFonts w:ascii="Times New Roman" w:eastAsia="Times New Roman" w:hAnsi="Times New Roman" w:cs="Times New Roman"/>
          <w:color w:val="auto"/>
          <w:sz w:val="24"/>
          <w:szCs w:val="24"/>
          <w:lang w:eastAsia="en-AU"/>
        </w:rPr>
        <w:t>regulated entity</w:t>
      </w:r>
      <w:r w:rsidRPr="005D1FA6">
        <w:rPr>
          <w:rFonts w:ascii="Times New Roman" w:eastAsia="Times New Roman" w:hAnsi="Times New Roman" w:cs="Times New Roman"/>
          <w:color w:val="auto"/>
          <w:sz w:val="24"/>
          <w:szCs w:val="24"/>
          <w:lang w:eastAsia="en-AU"/>
        </w:rPr>
        <w:t>, including a direction to comply with the whole or part of a prudential standard (s.11CA Banking Act</w:t>
      </w:r>
      <w:r w:rsidR="00457E7B">
        <w:rPr>
          <w:rFonts w:ascii="Times New Roman" w:eastAsia="Times New Roman" w:hAnsi="Times New Roman" w:cs="Times New Roman"/>
          <w:color w:val="auto"/>
          <w:sz w:val="24"/>
          <w:szCs w:val="24"/>
          <w:lang w:eastAsia="en-AU"/>
        </w:rPr>
        <w:t xml:space="preserve">, s.104 Insurance Act, </w:t>
      </w:r>
      <w:r w:rsidR="00CD4F74">
        <w:rPr>
          <w:rFonts w:ascii="Times New Roman" w:eastAsia="Times New Roman" w:hAnsi="Times New Roman" w:cs="Times New Roman"/>
          <w:color w:val="auto"/>
          <w:sz w:val="24"/>
          <w:szCs w:val="24"/>
          <w:lang w:eastAsia="en-AU"/>
        </w:rPr>
        <w:t>s.230B Life Insurance Act</w:t>
      </w:r>
      <w:r w:rsidR="003A5FA1">
        <w:rPr>
          <w:rFonts w:ascii="Times New Roman" w:eastAsia="Times New Roman" w:hAnsi="Times New Roman" w:cs="Times New Roman"/>
          <w:color w:val="auto"/>
          <w:sz w:val="24"/>
          <w:szCs w:val="24"/>
          <w:lang w:eastAsia="en-AU"/>
        </w:rPr>
        <w:t xml:space="preserve"> or </w:t>
      </w:r>
      <w:r w:rsidR="008631F5">
        <w:rPr>
          <w:rFonts w:ascii="Times New Roman" w:eastAsia="Times New Roman" w:hAnsi="Times New Roman" w:cs="Times New Roman"/>
          <w:color w:val="auto"/>
          <w:sz w:val="24"/>
          <w:szCs w:val="24"/>
          <w:lang w:eastAsia="en-AU"/>
        </w:rPr>
        <w:t>s.131D SIS Act</w:t>
      </w:r>
      <w:r w:rsidRPr="005D1FA6">
        <w:rPr>
          <w:rFonts w:ascii="Times New Roman" w:eastAsia="Times New Roman" w:hAnsi="Times New Roman" w:cs="Times New Roman"/>
          <w:color w:val="auto"/>
          <w:sz w:val="24"/>
          <w:szCs w:val="24"/>
          <w:lang w:eastAsia="en-AU"/>
        </w:rPr>
        <w:t>).</w:t>
      </w:r>
      <w:r w:rsidR="008631F5">
        <w:rPr>
          <w:rFonts w:ascii="Times New Roman" w:eastAsia="Times New Roman" w:hAnsi="Times New Roman" w:cs="Times New Roman"/>
          <w:color w:val="auto"/>
          <w:sz w:val="24"/>
          <w:szCs w:val="24"/>
          <w:lang w:eastAsia="en-AU"/>
        </w:rPr>
        <w:t xml:space="preserve"> </w:t>
      </w:r>
    </w:p>
    <w:p w14:paraId="3966E737" w14:textId="12E3FBCB" w:rsidR="005D1FA6" w:rsidRPr="005D1FA6" w:rsidRDefault="005D1FA6" w:rsidP="005D1FA6">
      <w:pPr>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It is only at this stage that an entity is exposed to a penalty: loss of licence or </w:t>
      </w:r>
      <w:r w:rsidR="000151A8">
        <w:rPr>
          <w:rFonts w:ascii="Times New Roman" w:eastAsia="Times New Roman" w:hAnsi="Times New Roman" w:cs="Times New Roman"/>
          <w:color w:val="auto"/>
          <w:sz w:val="24"/>
          <w:szCs w:val="24"/>
          <w:lang w:eastAsia="en-AU"/>
        </w:rPr>
        <w:t xml:space="preserve">imposition of a </w:t>
      </w:r>
      <w:r w:rsidRPr="005D1FA6">
        <w:rPr>
          <w:rFonts w:ascii="Times New Roman" w:eastAsia="Times New Roman" w:hAnsi="Times New Roman" w:cs="Times New Roman"/>
          <w:color w:val="auto"/>
          <w:sz w:val="24"/>
          <w:szCs w:val="24"/>
          <w:lang w:eastAsia="en-AU"/>
        </w:rPr>
        <w:t>penalty if it breaches the direction (</w:t>
      </w:r>
      <w:r w:rsidR="000151A8">
        <w:rPr>
          <w:rFonts w:ascii="Times New Roman" w:eastAsia="Times New Roman" w:hAnsi="Times New Roman" w:cs="Times New Roman"/>
          <w:color w:val="auto"/>
          <w:sz w:val="24"/>
          <w:szCs w:val="24"/>
          <w:lang w:eastAsia="en-AU"/>
        </w:rPr>
        <w:t xml:space="preserve">50 penalty units each day under </w:t>
      </w:r>
      <w:r w:rsidRPr="005D1FA6">
        <w:rPr>
          <w:rFonts w:ascii="Times New Roman" w:eastAsia="Times New Roman" w:hAnsi="Times New Roman" w:cs="Times New Roman"/>
          <w:color w:val="auto"/>
          <w:sz w:val="24"/>
          <w:szCs w:val="24"/>
          <w:lang w:eastAsia="en-AU"/>
        </w:rPr>
        <w:t>s.11CG Banking Act</w:t>
      </w:r>
      <w:r w:rsidR="00CD4F74">
        <w:rPr>
          <w:rFonts w:ascii="Times New Roman" w:eastAsia="Times New Roman" w:hAnsi="Times New Roman" w:cs="Times New Roman"/>
          <w:color w:val="auto"/>
          <w:sz w:val="24"/>
          <w:szCs w:val="24"/>
          <w:lang w:eastAsia="en-AU"/>
        </w:rPr>
        <w:t>, s.108 Insurance Act</w:t>
      </w:r>
      <w:r w:rsidR="000151A8">
        <w:rPr>
          <w:rFonts w:ascii="Times New Roman" w:eastAsia="Times New Roman" w:hAnsi="Times New Roman" w:cs="Times New Roman"/>
          <w:color w:val="auto"/>
          <w:sz w:val="24"/>
          <w:szCs w:val="24"/>
          <w:lang w:eastAsia="en-AU"/>
        </w:rPr>
        <w:t xml:space="preserve"> and</w:t>
      </w:r>
      <w:r w:rsidR="00CD4F74">
        <w:rPr>
          <w:rFonts w:ascii="Times New Roman" w:eastAsia="Times New Roman" w:hAnsi="Times New Roman" w:cs="Times New Roman"/>
          <w:color w:val="auto"/>
          <w:sz w:val="24"/>
          <w:szCs w:val="24"/>
          <w:lang w:eastAsia="en-AU"/>
        </w:rPr>
        <w:t xml:space="preserve"> s.230F Life Insurance Act</w:t>
      </w:r>
      <w:r w:rsidR="000151A8">
        <w:rPr>
          <w:rFonts w:ascii="Times New Roman" w:eastAsia="Times New Roman" w:hAnsi="Times New Roman" w:cs="Times New Roman"/>
          <w:color w:val="auto"/>
          <w:sz w:val="24"/>
          <w:szCs w:val="24"/>
          <w:lang w:eastAsia="en-AU"/>
        </w:rPr>
        <w:t>, 100 penalty units each day under</w:t>
      </w:r>
      <w:r w:rsidR="00CD4F74">
        <w:rPr>
          <w:rFonts w:ascii="Times New Roman" w:eastAsia="Times New Roman" w:hAnsi="Times New Roman" w:cs="Times New Roman"/>
          <w:color w:val="auto"/>
          <w:sz w:val="24"/>
          <w:szCs w:val="24"/>
          <w:lang w:eastAsia="en-AU"/>
        </w:rPr>
        <w:t xml:space="preserve"> </w:t>
      </w:r>
      <w:r w:rsidR="007E748C">
        <w:rPr>
          <w:rFonts w:ascii="Times New Roman" w:eastAsia="Times New Roman" w:hAnsi="Times New Roman" w:cs="Times New Roman"/>
          <w:color w:val="auto"/>
          <w:sz w:val="24"/>
          <w:szCs w:val="24"/>
          <w:lang w:eastAsia="en-AU"/>
        </w:rPr>
        <w:t>s.131DD SIS Act</w:t>
      </w:r>
      <w:r w:rsidRPr="005D1FA6">
        <w:rPr>
          <w:rFonts w:ascii="Times New Roman" w:eastAsia="Times New Roman" w:hAnsi="Times New Roman" w:cs="Times New Roman"/>
          <w:color w:val="auto"/>
          <w:sz w:val="24"/>
          <w:szCs w:val="24"/>
          <w:lang w:eastAsia="en-AU"/>
        </w:rPr>
        <w:t>)</w:t>
      </w:r>
      <w:r w:rsidR="006A5714">
        <w:rPr>
          <w:rStyle w:val="FootnoteReference"/>
          <w:rFonts w:ascii="Times New Roman" w:eastAsia="Times New Roman" w:hAnsi="Times New Roman" w:cs="Times New Roman"/>
          <w:color w:val="auto"/>
          <w:szCs w:val="24"/>
          <w:lang w:eastAsia="en-AU"/>
        </w:rPr>
        <w:footnoteReference w:id="1"/>
      </w:r>
      <w:r w:rsidRPr="005D1FA6">
        <w:rPr>
          <w:rFonts w:ascii="Times New Roman" w:eastAsia="Times New Roman" w:hAnsi="Times New Roman" w:cs="Times New Roman"/>
          <w:color w:val="auto"/>
          <w:sz w:val="24"/>
          <w:szCs w:val="24"/>
          <w:lang w:eastAsia="en-AU"/>
        </w:rPr>
        <w:t>. The subsequent substantive decisions of APRA to impose a direction or revoke a licence are subject to merits review. In nearly all cases</w:t>
      </w:r>
      <w:r w:rsidRPr="005D1FA6">
        <w:rPr>
          <w:rFonts w:ascii="Times New Roman" w:eastAsia="Times New Roman" w:hAnsi="Times New Roman" w:cs="Times New Roman"/>
          <w:color w:val="auto"/>
          <w:sz w:val="24"/>
          <w:szCs w:val="24"/>
          <w:vertAlign w:val="superscript"/>
          <w:lang w:eastAsia="en-AU"/>
        </w:rPr>
        <w:footnoteReference w:id="2"/>
      </w:r>
      <w:r w:rsidRPr="005D1FA6">
        <w:rPr>
          <w:rFonts w:ascii="Times New Roman" w:eastAsia="Times New Roman" w:hAnsi="Times New Roman" w:cs="Times New Roman"/>
          <w:color w:val="auto"/>
          <w:sz w:val="24"/>
          <w:szCs w:val="24"/>
          <w:lang w:eastAsia="en-AU"/>
        </w:rPr>
        <w:t xml:space="preserve"> </w:t>
      </w:r>
      <w:r w:rsidRPr="005D1FA6">
        <w:rPr>
          <w:rFonts w:ascii="Times New Roman" w:eastAsia="Times New Roman" w:hAnsi="Times New Roman" w:cs="Times New Roman"/>
          <w:color w:val="auto"/>
          <w:sz w:val="24"/>
          <w:szCs w:val="24"/>
          <w:lang w:eastAsia="en-AU"/>
        </w:rPr>
        <w:lastRenderedPageBreak/>
        <w:t>the decisions are preceded by a full consultation with the regulated entity to raise any concerns they may have in relation to the decision.</w:t>
      </w:r>
    </w:p>
    <w:p w14:paraId="3BC0F6C2" w14:textId="77777777" w:rsidR="005D1FA6" w:rsidRPr="005D1FA6" w:rsidRDefault="005D1FA6" w:rsidP="005D1FA6">
      <w:pPr>
        <w:numPr>
          <w:ilvl w:val="0"/>
          <w:numId w:val="12"/>
        </w:numPr>
        <w:spacing w:after="0"/>
        <w:jc w:val="left"/>
        <w:rPr>
          <w:rFonts w:ascii="Times New Roman" w:eastAsia="Times New Roman" w:hAnsi="Times New Roman" w:cs="Times New Roman"/>
          <w:b/>
          <w:color w:val="auto"/>
          <w:sz w:val="24"/>
          <w:szCs w:val="24"/>
          <w:lang w:eastAsia="en-AU"/>
        </w:rPr>
      </w:pPr>
      <w:bookmarkStart w:id="6" w:name="bkoperation"/>
      <w:bookmarkStart w:id="7" w:name="bkConsultationNo"/>
      <w:bookmarkEnd w:id="6"/>
      <w:bookmarkEnd w:id="7"/>
      <w:r w:rsidRPr="005D1FA6">
        <w:rPr>
          <w:rFonts w:ascii="Times New Roman" w:eastAsia="Times New Roman" w:hAnsi="Times New Roman" w:cs="Times New Roman"/>
          <w:b/>
          <w:color w:val="auto"/>
          <w:sz w:val="24"/>
          <w:szCs w:val="24"/>
          <w:lang w:eastAsia="en-AU"/>
        </w:rPr>
        <w:t>Consultation</w:t>
      </w:r>
    </w:p>
    <w:p w14:paraId="5F40AF89" w14:textId="77777777" w:rsidR="00BD54C9" w:rsidRDefault="005D1FA6" w:rsidP="005D1FA6">
      <w:pPr>
        <w:spacing w:after="0"/>
        <w:jc w:val="left"/>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APRA undertook a consultation on its proposed changes to the margin requirements in August 2019. APRA received a total of </w:t>
      </w:r>
      <w:r w:rsidR="003E1836">
        <w:rPr>
          <w:rFonts w:ascii="Times New Roman" w:eastAsia="Times New Roman" w:hAnsi="Times New Roman" w:cs="Times New Roman"/>
          <w:color w:val="auto"/>
          <w:sz w:val="24"/>
          <w:szCs w:val="24"/>
          <w:lang w:eastAsia="en-AU"/>
        </w:rPr>
        <w:t>eight</w:t>
      </w:r>
      <w:r w:rsidRPr="005D1FA6">
        <w:rPr>
          <w:rFonts w:ascii="Times New Roman" w:eastAsia="Times New Roman" w:hAnsi="Times New Roman" w:cs="Times New Roman"/>
          <w:color w:val="auto"/>
          <w:sz w:val="24"/>
          <w:szCs w:val="24"/>
          <w:lang w:eastAsia="en-AU"/>
        </w:rPr>
        <w:t xml:space="preserve"> submissions from ADIs, industry bodies, and other interested parties. All respondents supported the proposals. </w:t>
      </w:r>
    </w:p>
    <w:p w14:paraId="34C28AB8" w14:textId="77777777" w:rsidR="00791318" w:rsidRDefault="00791318" w:rsidP="005D1FA6">
      <w:pPr>
        <w:spacing w:after="0"/>
        <w:jc w:val="left"/>
        <w:rPr>
          <w:rFonts w:ascii="Times New Roman" w:eastAsia="Times New Roman" w:hAnsi="Times New Roman" w:cs="Times New Roman"/>
          <w:color w:val="auto"/>
          <w:sz w:val="24"/>
          <w:szCs w:val="24"/>
          <w:lang w:eastAsia="en-AU"/>
        </w:rPr>
      </w:pPr>
    </w:p>
    <w:p w14:paraId="74C738C8" w14:textId="75B51CFA" w:rsidR="005D1FA6" w:rsidRPr="005D1FA6" w:rsidRDefault="00BD54C9" w:rsidP="00BD54C9">
      <w:pPr>
        <w:numPr>
          <w:ilvl w:val="0"/>
          <w:numId w:val="0"/>
        </w:numPr>
        <w:spacing w:after="0"/>
        <w:jc w:val="left"/>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Respondents requested additional clarification of what constitutes a genuine amendment to an existing derivative transaction,</w:t>
      </w:r>
      <w:r w:rsidRPr="00BD54C9">
        <w:rPr>
          <w:rFonts w:ascii="Times New Roman" w:eastAsia="Times New Roman" w:hAnsi="Times New Roman" w:cs="Times New Roman"/>
          <w:color w:val="auto"/>
          <w:sz w:val="24"/>
          <w:szCs w:val="24"/>
          <w:lang w:eastAsia="en-AU"/>
        </w:rPr>
        <w:t xml:space="preserve"> </w:t>
      </w:r>
      <w:r w:rsidRPr="005D1FA6">
        <w:rPr>
          <w:rFonts w:ascii="Times New Roman" w:eastAsia="Times New Roman" w:hAnsi="Times New Roman" w:cs="Times New Roman"/>
          <w:color w:val="auto"/>
          <w:sz w:val="24"/>
          <w:szCs w:val="24"/>
          <w:lang w:eastAsia="en-AU"/>
        </w:rPr>
        <w:t>which are not subject to initial margin requirements under CPS 226</w:t>
      </w:r>
      <w:r>
        <w:rPr>
          <w:rFonts w:ascii="Times New Roman" w:eastAsia="Times New Roman" w:hAnsi="Times New Roman" w:cs="Times New Roman"/>
          <w:color w:val="auto"/>
          <w:sz w:val="24"/>
          <w:szCs w:val="24"/>
          <w:lang w:eastAsia="en-AU"/>
        </w:rPr>
        <w:t xml:space="preserve">. It was also </w:t>
      </w:r>
      <w:r w:rsidR="005D1FA6" w:rsidRPr="005D1FA6">
        <w:rPr>
          <w:rFonts w:ascii="Times New Roman" w:eastAsia="Times New Roman" w:hAnsi="Times New Roman" w:cs="Times New Roman"/>
          <w:color w:val="auto"/>
          <w:sz w:val="24"/>
          <w:szCs w:val="24"/>
          <w:lang w:eastAsia="en-AU"/>
        </w:rPr>
        <w:t xml:space="preserve">requested that the footnote be broader than specifying that amending contracts for existing derivative transactions solely for the purpose of addressing interest rate benchmark reforms, such as the LIBOR reforms, would not qualify </w:t>
      </w:r>
      <w:r w:rsidR="0015672B">
        <w:rPr>
          <w:rFonts w:ascii="Times New Roman" w:eastAsia="Times New Roman" w:hAnsi="Times New Roman" w:cs="Times New Roman"/>
          <w:color w:val="auto"/>
          <w:sz w:val="24"/>
          <w:szCs w:val="24"/>
          <w:lang w:eastAsia="en-AU"/>
        </w:rPr>
        <w:t xml:space="preserve">as new derivative transactions. </w:t>
      </w:r>
      <w:r w:rsidR="00FA0620">
        <w:rPr>
          <w:rFonts w:ascii="Times New Roman" w:eastAsia="Times New Roman" w:hAnsi="Times New Roman" w:cs="Times New Roman"/>
          <w:color w:val="auto"/>
          <w:sz w:val="24"/>
          <w:szCs w:val="24"/>
          <w:lang w:eastAsia="en-AU"/>
        </w:rPr>
        <w:t xml:space="preserve">In response to the requests raised in submissions, APRA has made drafting changes </w:t>
      </w:r>
      <w:r w:rsidR="007368F1">
        <w:rPr>
          <w:rFonts w:ascii="Times New Roman" w:eastAsia="Times New Roman" w:hAnsi="Times New Roman" w:cs="Times New Roman"/>
          <w:color w:val="auto"/>
          <w:sz w:val="24"/>
          <w:szCs w:val="24"/>
          <w:lang w:eastAsia="en-AU"/>
        </w:rPr>
        <w:t xml:space="preserve">further </w:t>
      </w:r>
      <w:r w:rsidR="00FA0620">
        <w:rPr>
          <w:rFonts w:ascii="Times New Roman" w:eastAsia="Times New Roman" w:hAnsi="Times New Roman" w:cs="Times New Roman"/>
          <w:color w:val="auto"/>
          <w:sz w:val="24"/>
          <w:szCs w:val="24"/>
          <w:lang w:eastAsia="en-AU"/>
        </w:rPr>
        <w:t xml:space="preserve">to </w:t>
      </w:r>
      <w:r w:rsidR="007368F1">
        <w:rPr>
          <w:rFonts w:ascii="Times New Roman" w:eastAsia="Times New Roman" w:hAnsi="Times New Roman" w:cs="Times New Roman"/>
          <w:color w:val="auto"/>
          <w:sz w:val="24"/>
          <w:szCs w:val="24"/>
          <w:lang w:eastAsia="en-AU"/>
        </w:rPr>
        <w:t xml:space="preserve">the </w:t>
      </w:r>
      <w:r w:rsidR="00FA0620">
        <w:rPr>
          <w:rFonts w:ascii="Times New Roman" w:eastAsia="Times New Roman" w:hAnsi="Times New Roman" w:cs="Times New Roman"/>
          <w:color w:val="auto"/>
          <w:sz w:val="24"/>
          <w:szCs w:val="24"/>
          <w:lang w:eastAsia="en-AU"/>
        </w:rPr>
        <w:t xml:space="preserve">extract of CPS 226 that was released for consultation. </w:t>
      </w:r>
    </w:p>
    <w:p w14:paraId="19DA355D" w14:textId="77777777" w:rsidR="005D1FA6" w:rsidRPr="005D1FA6" w:rsidRDefault="005D1FA6" w:rsidP="005D1FA6">
      <w:pPr>
        <w:spacing w:after="0"/>
        <w:jc w:val="left"/>
        <w:rPr>
          <w:rFonts w:ascii="Times New Roman" w:eastAsia="Times New Roman" w:hAnsi="Times New Roman" w:cs="Times New Roman"/>
          <w:color w:val="auto"/>
          <w:sz w:val="24"/>
          <w:szCs w:val="24"/>
          <w:lang w:eastAsia="en-AU"/>
        </w:rPr>
      </w:pPr>
    </w:p>
    <w:p w14:paraId="633DE90E" w14:textId="77777777" w:rsidR="005D1FA6" w:rsidRPr="005D1FA6" w:rsidRDefault="005D1FA6" w:rsidP="005D1FA6">
      <w:pPr>
        <w:tabs>
          <w:tab w:val="left" w:pos="360"/>
        </w:tabs>
        <w:rPr>
          <w:rFonts w:ascii="Times New Roman" w:eastAsia="Times New Roman" w:hAnsi="Times New Roman" w:cs="Times New Roman"/>
          <w:b/>
          <w:color w:val="auto"/>
          <w:sz w:val="24"/>
          <w:szCs w:val="24"/>
          <w:lang w:eastAsia="en-AU"/>
        </w:rPr>
      </w:pPr>
      <w:bookmarkStart w:id="8" w:name="bkConsultation"/>
      <w:bookmarkStart w:id="9" w:name="bkRISNO"/>
      <w:bookmarkStart w:id="10" w:name="bkRIS"/>
      <w:bookmarkEnd w:id="8"/>
      <w:bookmarkEnd w:id="9"/>
      <w:r w:rsidRPr="005D1FA6">
        <w:rPr>
          <w:rFonts w:ascii="Times New Roman" w:eastAsia="Times New Roman" w:hAnsi="Times New Roman" w:cs="Times New Roman"/>
          <w:b/>
          <w:color w:val="auto"/>
          <w:sz w:val="24"/>
          <w:szCs w:val="24"/>
          <w:lang w:eastAsia="en-AU"/>
        </w:rPr>
        <w:t xml:space="preserve">4. </w:t>
      </w:r>
      <w:r w:rsidRPr="005D1FA6">
        <w:rPr>
          <w:rFonts w:ascii="Times New Roman" w:eastAsia="Times New Roman" w:hAnsi="Times New Roman" w:cs="Times New Roman"/>
          <w:b/>
          <w:color w:val="auto"/>
          <w:sz w:val="24"/>
          <w:szCs w:val="24"/>
          <w:lang w:eastAsia="en-AU"/>
        </w:rPr>
        <w:tab/>
        <w:t>Regulation Impact Statement</w:t>
      </w:r>
    </w:p>
    <w:bookmarkEnd w:id="10"/>
    <w:p w14:paraId="5922A7BC" w14:textId="77777777" w:rsidR="005D1FA6" w:rsidRPr="005D1FA6" w:rsidRDefault="005D1FA6" w:rsidP="005D1FA6">
      <w:pPr>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The Office of Best Practice Regulation has advised that a Regulation Impact Statement is not required for this legislative instrument.</w:t>
      </w:r>
    </w:p>
    <w:p w14:paraId="2189B57C" w14:textId="77777777" w:rsidR="005D1FA6" w:rsidRPr="005D1FA6" w:rsidRDefault="005D1FA6" w:rsidP="005D1FA6">
      <w:pPr>
        <w:tabs>
          <w:tab w:val="left" w:pos="360"/>
        </w:tabs>
        <w:rPr>
          <w:rFonts w:ascii="Times New Roman" w:eastAsia="Times New Roman" w:hAnsi="Times New Roman" w:cs="Times New Roman"/>
          <w:b/>
          <w:color w:val="auto"/>
          <w:sz w:val="24"/>
          <w:szCs w:val="24"/>
          <w:lang w:eastAsia="en-AU"/>
        </w:rPr>
      </w:pPr>
      <w:r w:rsidRPr="005D1FA6">
        <w:rPr>
          <w:rFonts w:ascii="Times New Roman" w:eastAsia="Times New Roman" w:hAnsi="Times New Roman" w:cs="Times New Roman"/>
          <w:b/>
          <w:color w:val="auto"/>
          <w:sz w:val="24"/>
          <w:szCs w:val="24"/>
          <w:lang w:eastAsia="en-AU"/>
        </w:rPr>
        <w:t>5.</w:t>
      </w:r>
      <w:r w:rsidRPr="005D1FA6">
        <w:rPr>
          <w:rFonts w:ascii="Times New Roman" w:eastAsia="Times New Roman" w:hAnsi="Times New Roman" w:cs="Times New Roman"/>
          <w:b/>
          <w:color w:val="auto"/>
          <w:sz w:val="24"/>
          <w:szCs w:val="24"/>
          <w:lang w:eastAsia="en-AU"/>
        </w:rPr>
        <w:tab/>
        <w:t>Statement of compatibility prepared in accordance with Part 3 of the Human Rights (Parliamentary Scrutiny) Act 2011</w:t>
      </w:r>
    </w:p>
    <w:p w14:paraId="3B0415E3" w14:textId="77777777" w:rsidR="005D1FA6" w:rsidRPr="005D1FA6" w:rsidRDefault="005D1FA6" w:rsidP="005D1FA6">
      <w:pPr>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color w:val="auto"/>
          <w:sz w:val="24"/>
          <w:szCs w:val="24"/>
          <w:lang w:eastAsia="en-AU"/>
        </w:rPr>
        <w:t xml:space="preserve">A Statement of compatibility prepared in accordance with Part 3 of the </w:t>
      </w:r>
      <w:r w:rsidRPr="005D1FA6">
        <w:rPr>
          <w:rFonts w:ascii="Times New Roman" w:eastAsia="Times New Roman" w:hAnsi="Times New Roman" w:cs="Times New Roman"/>
          <w:i/>
          <w:color w:val="auto"/>
          <w:sz w:val="24"/>
          <w:szCs w:val="24"/>
          <w:lang w:eastAsia="en-AU"/>
        </w:rPr>
        <w:t>Human Rights (Parliamentary Scrutiny) Act 2011</w:t>
      </w:r>
      <w:r w:rsidRPr="005D1FA6">
        <w:rPr>
          <w:rFonts w:ascii="Times New Roman" w:eastAsia="Times New Roman" w:hAnsi="Times New Roman" w:cs="Times New Roman"/>
          <w:color w:val="auto"/>
          <w:sz w:val="24"/>
          <w:szCs w:val="24"/>
          <w:lang w:eastAsia="en-AU"/>
        </w:rPr>
        <w:t xml:space="preserve"> is provided at Attachment A to this Explanatory Statement.</w:t>
      </w:r>
    </w:p>
    <w:p w14:paraId="26C87604" w14:textId="77777777" w:rsidR="005D1FA6" w:rsidRPr="005D1FA6" w:rsidRDefault="005D1FA6" w:rsidP="005D1FA6">
      <w:pPr>
        <w:spacing w:after="0"/>
        <w:jc w:val="left"/>
        <w:rPr>
          <w:rFonts w:ascii="Times New Roman" w:eastAsia="Times New Roman" w:hAnsi="Times New Roman" w:cs="Times New Roman"/>
          <w:color w:val="auto"/>
          <w:sz w:val="24"/>
          <w:szCs w:val="24"/>
          <w:lang w:eastAsia="en-AU"/>
        </w:rPr>
      </w:pPr>
      <w:r w:rsidRPr="005D1FA6">
        <w:rPr>
          <w:rFonts w:ascii="Times New Roman" w:eastAsia="Times New Roman" w:hAnsi="Times New Roman" w:cs="Times New Roman"/>
          <w:b/>
          <w:color w:val="auto"/>
          <w:sz w:val="24"/>
          <w:szCs w:val="24"/>
          <w:lang w:eastAsia="en-AU"/>
        </w:rPr>
        <w:br w:type="page"/>
      </w:r>
    </w:p>
    <w:p w14:paraId="7364350B" w14:textId="77777777" w:rsidR="005D1FA6" w:rsidRPr="005D1FA6" w:rsidRDefault="005D1FA6" w:rsidP="005D1FA6">
      <w:pPr>
        <w:shd w:val="clear" w:color="auto" w:fill="FFFFFF"/>
        <w:spacing w:before="100" w:beforeAutospacing="1" w:after="0"/>
        <w:jc w:val="left"/>
        <w:rPr>
          <w:rFonts w:ascii="Times New Roman" w:eastAsia="Times New Roman" w:hAnsi="Times New Roman" w:cs="Times New Roman"/>
          <w:b/>
          <w:bCs/>
          <w:color w:val="auto"/>
          <w:sz w:val="24"/>
          <w:szCs w:val="24"/>
          <w:lang w:eastAsia="en-AU"/>
        </w:rPr>
      </w:pPr>
      <w:r w:rsidRPr="005D1FA6">
        <w:rPr>
          <w:rFonts w:ascii="Times New Roman" w:eastAsia="Times New Roman" w:hAnsi="Times New Roman" w:cs="Times New Roman"/>
          <w:b/>
          <w:bCs/>
          <w:color w:val="auto"/>
          <w:sz w:val="24"/>
          <w:szCs w:val="24"/>
          <w:lang w:eastAsia="en-AU"/>
        </w:rPr>
        <w:lastRenderedPageBreak/>
        <w:t>Attachment A</w:t>
      </w:r>
    </w:p>
    <w:p w14:paraId="6653CCAC" w14:textId="77777777" w:rsidR="005D1FA6" w:rsidRPr="005D1FA6" w:rsidRDefault="005D1FA6" w:rsidP="005D1FA6">
      <w:pPr>
        <w:shd w:val="clear" w:color="auto" w:fill="FFFFFF"/>
        <w:spacing w:before="100" w:beforeAutospacing="1" w:after="0"/>
        <w:jc w:val="center"/>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b/>
          <w:bCs/>
          <w:color w:val="auto"/>
          <w:sz w:val="24"/>
          <w:szCs w:val="24"/>
          <w:lang w:eastAsia="en-AU"/>
        </w:rPr>
        <w:t>Statement of Compatibility with Human Rights</w:t>
      </w:r>
    </w:p>
    <w:p w14:paraId="37DFCF0E" w14:textId="77777777" w:rsidR="005D1FA6" w:rsidRPr="005D1FA6" w:rsidRDefault="005D1FA6" w:rsidP="005D1FA6">
      <w:pPr>
        <w:shd w:val="clear" w:color="auto" w:fill="FFFFFF"/>
        <w:spacing w:before="100" w:beforeAutospacing="1" w:after="0"/>
        <w:jc w:val="center"/>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i/>
          <w:iCs/>
          <w:color w:val="auto"/>
          <w:sz w:val="24"/>
          <w:szCs w:val="24"/>
          <w:lang w:eastAsia="en-AU"/>
        </w:rPr>
        <w:t xml:space="preserve">Prepared </w:t>
      </w:r>
      <w:r w:rsidRPr="00B973F5">
        <w:rPr>
          <w:rFonts w:ascii="Times New Roman" w:eastAsia="Times New Roman" w:hAnsi="Times New Roman" w:cs="Times New Roman"/>
          <w:i/>
          <w:iCs/>
          <w:color w:val="auto"/>
          <w:sz w:val="24"/>
          <w:szCs w:val="24"/>
          <w:lang w:eastAsia="en-AU"/>
        </w:rPr>
        <w:t>in</w:t>
      </w:r>
      <w:r w:rsidRPr="005D1FA6">
        <w:rPr>
          <w:rFonts w:ascii="Times New Roman" w:eastAsia="Times New Roman" w:hAnsi="Times New Roman" w:cs="Times New Roman"/>
          <w:i/>
          <w:iCs/>
          <w:color w:val="auto"/>
          <w:sz w:val="24"/>
          <w:szCs w:val="24"/>
          <w:lang w:eastAsia="en-AU"/>
        </w:rPr>
        <w:t xml:space="preserve"> accordance with Part 3 of the Human Rights (Parliamentary Scrutiny) Act 2011</w:t>
      </w:r>
    </w:p>
    <w:p w14:paraId="20172D7F" w14:textId="139111BB" w:rsidR="005D1FA6" w:rsidRPr="005D1FA6" w:rsidRDefault="005D1FA6" w:rsidP="005D1FA6">
      <w:pPr>
        <w:shd w:val="clear" w:color="auto" w:fill="FFFFFF"/>
        <w:spacing w:before="120"/>
        <w:jc w:val="center"/>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color w:val="auto"/>
          <w:sz w:val="24"/>
          <w:szCs w:val="24"/>
          <w:lang w:eastAsia="en-AU"/>
        </w:rPr>
        <w:t xml:space="preserve">Banking, Insurance, Life Insurance and Superannuation (prudential standard) determination No. </w:t>
      </w:r>
      <w:r w:rsidR="001B7ACB">
        <w:rPr>
          <w:rFonts w:ascii="Times New Roman" w:eastAsia="Times New Roman" w:hAnsi="Times New Roman" w:cs="Times New Roman"/>
          <w:color w:val="auto"/>
          <w:sz w:val="24"/>
          <w:szCs w:val="24"/>
          <w:lang w:eastAsia="en-AU"/>
        </w:rPr>
        <w:t>1</w:t>
      </w:r>
      <w:r w:rsidRPr="005D1FA6">
        <w:rPr>
          <w:rFonts w:ascii="Times New Roman" w:eastAsia="Times New Roman" w:hAnsi="Times New Roman" w:cs="Times New Roman"/>
          <w:color w:val="auto"/>
          <w:sz w:val="24"/>
          <w:szCs w:val="24"/>
          <w:lang w:eastAsia="en-AU"/>
        </w:rPr>
        <w:t xml:space="preserve"> of 2019 </w:t>
      </w:r>
    </w:p>
    <w:p w14:paraId="343919B5" w14:textId="77777777" w:rsidR="005D1FA6" w:rsidRPr="005D1FA6" w:rsidRDefault="005D1FA6" w:rsidP="005D1FA6">
      <w:pPr>
        <w:numPr>
          <w:ilvl w:val="0"/>
          <w:numId w:val="0"/>
        </w:numPr>
        <w:shd w:val="clear" w:color="auto" w:fill="FFFFFF"/>
        <w:jc w:val="left"/>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color w:val="auto"/>
          <w:sz w:val="24"/>
          <w:szCs w:val="24"/>
          <w:lang w:eastAsia="en-AU"/>
        </w:rPr>
        <w:t xml:space="preserve">This Legislative Instrument is compatible with the human rights and freedoms recognised or declared in the international instruments listed in section 3 of the </w:t>
      </w:r>
      <w:r w:rsidRPr="005D1FA6">
        <w:rPr>
          <w:rFonts w:ascii="Times New Roman" w:eastAsia="Times New Roman" w:hAnsi="Times New Roman" w:cs="Times New Roman"/>
          <w:i/>
          <w:iCs/>
          <w:color w:val="auto"/>
          <w:sz w:val="24"/>
          <w:szCs w:val="24"/>
          <w:lang w:eastAsia="en-AU"/>
        </w:rPr>
        <w:t>Human Rights (Parliamentary Scrutiny) Act 2011</w:t>
      </w:r>
      <w:r w:rsidRPr="005D1FA6">
        <w:rPr>
          <w:rFonts w:ascii="Times New Roman" w:eastAsia="Times New Roman" w:hAnsi="Times New Roman" w:cs="Times New Roman"/>
          <w:color w:val="auto"/>
          <w:sz w:val="24"/>
          <w:szCs w:val="24"/>
          <w:lang w:eastAsia="en-AU"/>
        </w:rPr>
        <w:t xml:space="preserve"> (HRPS Act)</w:t>
      </w:r>
      <w:r w:rsidRPr="005D1FA6">
        <w:rPr>
          <w:rFonts w:ascii="Times New Roman" w:eastAsia="Times New Roman" w:hAnsi="Times New Roman" w:cs="Times New Roman"/>
          <w:i/>
          <w:iCs/>
          <w:color w:val="auto"/>
          <w:sz w:val="24"/>
          <w:szCs w:val="24"/>
          <w:lang w:eastAsia="en-AU"/>
        </w:rPr>
        <w:t>.</w:t>
      </w:r>
    </w:p>
    <w:p w14:paraId="0D9C13EB" w14:textId="77777777" w:rsidR="005D1FA6" w:rsidRPr="005D1FA6" w:rsidRDefault="005D1FA6" w:rsidP="005D1FA6">
      <w:pPr>
        <w:keepNext/>
        <w:numPr>
          <w:ilvl w:val="0"/>
          <w:numId w:val="0"/>
        </w:numPr>
        <w:shd w:val="clear" w:color="auto" w:fill="FFFFFF"/>
        <w:jc w:val="left"/>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b/>
          <w:bCs/>
          <w:color w:val="auto"/>
          <w:sz w:val="24"/>
          <w:szCs w:val="24"/>
          <w:lang w:eastAsia="en-AU"/>
        </w:rPr>
        <w:t>Overview of the Legislative Instrument</w:t>
      </w:r>
    </w:p>
    <w:p w14:paraId="37B4C5B6" w14:textId="3938B043" w:rsidR="005D1FA6" w:rsidRPr="005D1FA6" w:rsidRDefault="005D1FA6" w:rsidP="005D1FA6">
      <w:pPr>
        <w:keepNext/>
        <w:numPr>
          <w:ilvl w:val="0"/>
          <w:numId w:val="0"/>
        </w:numPr>
        <w:shd w:val="clear" w:color="auto" w:fill="FFFFFF"/>
        <w:jc w:val="left"/>
        <w:rPr>
          <w:rFonts w:ascii="Times New Roman" w:eastAsia="Times New Roman" w:hAnsi="Times New Roman" w:cs="Times New Roman"/>
          <w:iCs/>
          <w:color w:val="auto"/>
          <w:sz w:val="24"/>
          <w:szCs w:val="24"/>
          <w:lang w:eastAsia="en-AU"/>
        </w:rPr>
      </w:pPr>
      <w:r w:rsidRPr="005D1FA6">
        <w:rPr>
          <w:rFonts w:ascii="Times New Roman" w:eastAsia="Times New Roman" w:hAnsi="Times New Roman" w:cs="Times New Roman"/>
          <w:color w:val="auto"/>
          <w:sz w:val="24"/>
          <w:szCs w:val="24"/>
          <w:lang w:eastAsia="en-AU"/>
        </w:rPr>
        <w:t xml:space="preserve">This legislative instrument makes Banking, Insurance, Life Insurance and Superannuation (prudential standard) determination No. </w:t>
      </w:r>
      <w:r w:rsidR="001B7ACB">
        <w:rPr>
          <w:rFonts w:ascii="Times New Roman" w:eastAsia="Times New Roman" w:hAnsi="Times New Roman" w:cs="Times New Roman"/>
          <w:color w:val="auto"/>
          <w:sz w:val="24"/>
          <w:szCs w:val="24"/>
          <w:lang w:eastAsia="en-AU"/>
        </w:rPr>
        <w:t>1</w:t>
      </w:r>
      <w:r w:rsidRPr="005D1FA6">
        <w:rPr>
          <w:rFonts w:ascii="Times New Roman" w:eastAsia="Times New Roman" w:hAnsi="Times New Roman" w:cs="Times New Roman"/>
          <w:color w:val="auto"/>
          <w:sz w:val="24"/>
          <w:szCs w:val="24"/>
          <w:lang w:eastAsia="en-AU"/>
        </w:rPr>
        <w:t xml:space="preserve"> of 201</w:t>
      </w:r>
      <w:r w:rsidR="00553D42">
        <w:rPr>
          <w:rFonts w:ascii="Times New Roman" w:eastAsia="Times New Roman" w:hAnsi="Times New Roman" w:cs="Times New Roman"/>
          <w:color w:val="auto"/>
          <w:sz w:val="24"/>
          <w:szCs w:val="24"/>
          <w:lang w:eastAsia="en-AU"/>
        </w:rPr>
        <w:t>9</w:t>
      </w:r>
      <w:r w:rsidRPr="005D1FA6">
        <w:rPr>
          <w:rFonts w:ascii="Times New Roman" w:eastAsia="Times New Roman" w:hAnsi="Times New Roman" w:cs="Times New Roman"/>
          <w:color w:val="auto"/>
          <w:sz w:val="24"/>
          <w:szCs w:val="24"/>
          <w:lang w:eastAsia="en-AU"/>
        </w:rPr>
        <w:t xml:space="preserve">, which revokes </w:t>
      </w:r>
      <w:r w:rsidRPr="005D1FA6">
        <w:rPr>
          <w:rFonts w:ascii="Times New Roman" w:eastAsia="Times New Roman" w:hAnsi="Times New Roman" w:cs="Times New Roman"/>
          <w:i/>
          <w:color w:val="auto"/>
          <w:sz w:val="24"/>
          <w:szCs w:val="24"/>
          <w:lang w:eastAsia="en-AU"/>
        </w:rPr>
        <w:t>Prudential Standard CPS 226 Margining and risk mitigation for non-centrally cleared derivatives</w:t>
      </w:r>
      <w:r w:rsidRPr="005D1FA6">
        <w:rPr>
          <w:rFonts w:ascii="Times New Roman" w:eastAsia="Times New Roman" w:hAnsi="Times New Roman" w:cs="Times New Roman"/>
          <w:color w:val="auto"/>
          <w:sz w:val="24"/>
          <w:szCs w:val="24"/>
          <w:lang w:eastAsia="en-AU"/>
        </w:rPr>
        <w:t xml:space="preserve"> made under Banking, Insurance, Life Insurance and Superannuation (prudential standard) determination No. 1 of 201</w:t>
      </w:r>
      <w:r w:rsidR="00553D42">
        <w:rPr>
          <w:rFonts w:ascii="Times New Roman" w:eastAsia="Times New Roman" w:hAnsi="Times New Roman" w:cs="Times New Roman"/>
          <w:color w:val="auto"/>
          <w:sz w:val="24"/>
          <w:szCs w:val="24"/>
          <w:lang w:eastAsia="en-AU"/>
        </w:rPr>
        <w:t>7</w:t>
      </w:r>
      <w:r w:rsidRPr="005D1FA6">
        <w:rPr>
          <w:rFonts w:ascii="Times New Roman" w:eastAsia="Times New Roman" w:hAnsi="Times New Roman" w:cs="Times New Roman"/>
          <w:color w:val="auto"/>
          <w:sz w:val="24"/>
          <w:szCs w:val="24"/>
          <w:lang w:eastAsia="en-AU"/>
        </w:rPr>
        <w:t xml:space="preserve">, and determines a new </w:t>
      </w:r>
      <w:r w:rsidRPr="005D1FA6">
        <w:rPr>
          <w:rFonts w:ascii="Times New Roman" w:eastAsia="Times New Roman" w:hAnsi="Times New Roman" w:cs="Times New Roman"/>
          <w:i/>
          <w:iCs/>
          <w:color w:val="auto"/>
          <w:sz w:val="24"/>
          <w:szCs w:val="24"/>
          <w:lang w:eastAsia="en-AU"/>
        </w:rPr>
        <w:t>Prudential Standard CPS 226 Margining and risk mitigation for non-centrally cleared derivatives</w:t>
      </w:r>
      <w:r w:rsidRPr="005D1FA6">
        <w:rPr>
          <w:rFonts w:ascii="Times New Roman" w:eastAsia="Times New Roman" w:hAnsi="Times New Roman" w:cs="Times New Roman"/>
          <w:iCs/>
          <w:color w:val="auto"/>
          <w:sz w:val="24"/>
          <w:szCs w:val="24"/>
          <w:lang w:eastAsia="en-AU"/>
        </w:rPr>
        <w:t xml:space="preserve"> (CPS 226). </w:t>
      </w:r>
    </w:p>
    <w:p w14:paraId="2D119875" w14:textId="77777777" w:rsidR="005D1FA6" w:rsidRPr="005D1FA6" w:rsidRDefault="005D1FA6" w:rsidP="005D1FA6">
      <w:pPr>
        <w:keepNext/>
        <w:numPr>
          <w:ilvl w:val="0"/>
          <w:numId w:val="0"/>
        </w:numPr>
        <w:shd w:val="clear" w:color="auto" w:fill="FFFFFF"/>
        <w:jc w:val="left"/>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iCs/>
          <w:color w:val="auto"/>
          <w:sz w:val="24"/>
          <w:szCs w:val="24"/>
          <w:lang w:eastAsia="en-AU"/>
        </w:rPr>
        <w:t xml:space="preserve">CPS 226 applies to institutions in the banking, general insurance, life insurance and superannuation industries. Under CPS 226, an entity that actively transacts in non-centrally cleared derivatives is required to exchange collateral as appropriate to those transactions to manage the risk of counterparty default, and to have policies and procedures to manage its risks in undertaking that derivatives activity. </w:t>
      </w:r>
    </w:p>
    <w:p w14:paraId="171282F8" w14:textId="77777777" w:rsidR="005D1FA6" w:rsidRPr="005D1FA6" w:rsidRDefault="005D1FA6" w:rsidP="005D1FA6">
      <w:pPr>
        <w:keepNext/>
        <w:numPr>
          <w:ilvl w:val="0"/>
          <w:numId w:val="0"/>
        </w:numPr>
        <w:shd w:val="clear" w:color="auto" w:fill="FFFFFF"/>
        <w:jc w:val="left"/>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b/>
          <w:bCs/>
          <w:color w:val="auto"/>
          <w:sz w:val="24"/>
          <w:szCs w:val="24"/>
          <w:lang w:eastAsia="en-AU"/>
        </w:rPr>
        <w:t>Human rights implications</w:t>
      </w:r>
    </w:p>
    <w:p w14:paraId="3C371BFE" w14:textId="77777777" w:rsidR="005D1FA6" w:rsidRPr="005D1FA6" w:rsidRDefault="005D1FA6" w:rsidP="005D1FA6">
      <w:pPr>
        <w:shd w:val="clear" w:color="auto" w:fill="FFFFFF"/>
        <w:spacing w:before="100" w:beforeAutospacing="1"/>
        <w:jc w:val="left"/>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color w:val="auto"/>
          <w:sz w:val="24"/>
          <w:szCs w:val="24"/>
          <w:lang w:eastAsia="en-AU"/>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2939A615" w14:textId="77777777" w:rsidR="005D1FA6" w:rsidRPr="005D1FA6" w:rsidRDefault="005D1FA6" w:rsidP="005D1FA6">
      <w:pPr>
        <w:keepNext/>
        <w:numPr>
          <w:ilvl w:val="0"/>
          <w:numId w:val="0"/>
        </w:numPr>
        <w:shd w:val="clear" w:color="auto" w:fill="FFFFFF"/>
        <w:jc w:val="left"/>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b/>
          <w:bCs/>
          <w:color w:val="auto"/>
          <w:sz w:val="24"/>
          <w:szCs w:val="24"/>
          <w:lang w:eastAsia="en-AU"/>
        </w:rPr>
        <w:t>Conclusion</w:t>
      </w:r>
    </w:p>
    <w:p w14:paraId="23A5400F" w14:textId="77777777" w:rsidR="005D1FA6" w:rsidRPr="005D1FA6" w:rsidRDefault="005D1FA6" w:rsidP="005D1FA6">
      <w:pPr>
        <w:numPr>
          <w:ilvl w:val="0"/>
          <w:numId w:val="0"/>
        </w:numPr>
        <w:shd w:val="clear" w:color="auto" w:fill="FFFFFF"/>
        <w:jc w:val="left"/>
        <w:rPr>
          <w:rFonts w:ascii="Times New Roman" w:eastAsia="Times New Roman" w:hAnsi="Times New Roman" w:cs="Times New Roman"/>
          <w:color w:val="auto"/>
          <w:sz w:val="24"/>
          <w:szCs w:val="24"/>
          <w:lang w:val="en-US" w:eastAsia="en-AU"/>
        </w:rPr>
      </w:pPr>
      <w:r w:rsidRPr="005D1FA6">
        <w:rPr>
          <w:rFonts w:ascii="Times New Roman" w:eastAsia="Times New Roman" w:hAnsi="Times New Roman" w:cs="Times New Roman"/>
          <w:color w:val="auto"/>
          <w:sz w:val="24"/>
          <w:szCs w:val="24"/>
          <w:lang w:eastAsia="en-AU"/>
        </w:rPr>
        <w:t xml:space="preserve">This Legislative Instrument is compatible with human rights as it does not raise any human rights issues. </w:t>
      </w:r>
    </w:p>
    <w:p w14:paraId="15973D6B" w14:textId="77777777" w:rsidR="005D1FA6" w:rsidRPr="005D1FA6" w:rsidRDefault="005D1FA6" w:rsidP="005D1FA6">
      <w:pPr>
        <w:spacing w:after="0"/>
        <w:jc w:val="left"/>
        <w:rPr>
          <w:rFonts w:ascii="Trebuchet MS" w:eastAsia="Times New Roman" w:hAnsi="Trebuchet MS" w:cs="Times New Roman"/>
          <w:color w:val="auto"/>
          <w:sz w:val="24"/>
          <w:szCs w:val="24"/>
          <w:lang w:eastAsia="en-AU"/>
        </w:rPr>
      </w:pPr>
    </w:p>
    <w:p w14:paraId="661BEDA9" w14:textId="77777777" w:rsidR="005D1FA6" w:rsidRPr="005D1FA6" w:rsidRDefault="005D1FA6" w:rsidP="005D1FA6">
      <w:pPr>
        <w:jc w:val="left"/>
        <w:rPr>
          <w:rFonts w:ascii="Trebuchet MS" w:eastAsia="Times New Roman" w:hAnsi="Trebuchet MS" w:cs="Times New Roman"/>
          <w:color w:val="auto"/>
          <w:sz w:val="24"/>
          <w:szCs w:val="24"/>
          <w:lang w:eastAsia="en-AU"/>
        </w:rPr>
      </w:pPr>
    </w:p>
    <w:p w14:paraId="58796AA6" w14:textId="77777777" w:rsidR="00A533A9" w:rsidRPr="00A34ADD" w:rsidRDefault="00A533A9" w:rsidP="00A34ADD"/>
    <w:sectPr w:rsidR="00A533A9" w:rsidRPr="00A34ADD" w:rsidSect="003D5032">
      <w:footerReference w:type="default" r:id="rId16"/>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C1C73" w14:textId="77777777" w:rsidR="005D1FA6" w:rsidRPr="000D4EDE" w:rsidRDefault="005D1FA6" w:rsidP="000D4EDE">
      <w:r>
        <w:separator/>
      </w:r>
    </w:p>
  </w:endnote>
  <w:endnote w:type="continuationSeparator" w:id="0">
    <w:p w14:paraId="556ABFD2" w14:textId="77777777" w:rsidR="005D1FA6" w:rsidRPr="000D4EDE" w:rsidRDefault="005D1FA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498712"/>
      <w:docPartObj>
        <w:docPartGallery w:val="Page Numbers (Bottom of Page)"/>
        <w:docPartUnique/>
      </w:docPartObj>
    </w:sdtPr>
    <w:sdtEndPr/>
    <w:sdtContent>
      <w:sdt>
        <w:sdtPr>
          <w:id w:val="860082579"/>
          <w:docPartObj>
            <w:docPartGallery w:val="Page Numbers (Top of Page)"/>
            <w:docPartUnique/>
          </w:docPartObj>
        </w:sdtPr>
        <w:sdtEndPr/>
        <w:sdtContent>
          <w:p w14:paraId="6FC2DDCE" w14:textId="77777777" w:rsidR="00226412" w:rsidRPr="00226412" w:rsidRDefault="005D1FA6" w:rsidP="00226412">
            <w:pPr>
              <w:pStyle w:val="Footer"/>
              <w:jc w:val="center"/>
            </w:pPr>
            <w:r w:rsidRPr="00073573">
              <w:rPr>
                <w:rFonts w:ascii="Times New Roman" w:hAnsi="Times New Roman"/>
                <w:bCs/>
                <w:sz w:val="24"/>
                <w:szCs w:val="24"/>
              </w:rPr>
              <w:fldChar w:fldCharType="begin"/>
            </w:r>
            <w:r w:rsidRPr="00073573">
              <w:rPr>
                <w:rFonts w:ascii="Times New Roman" w:hAnsi="Times New Roman"/>
                <w:bCs/>
                <w:sz w:val="24"/>
                <w:szCs w:val="24"/>
              </w:rPr>
              <w:instrText xml:space="preserve"> PAGE </w:instrText>
            </w:r>
            <w:r w:rsidRPr="00073573">
              <w:rPr>
                <w:rFonts w:ascii="Times New Roman" w:hAnsi="Times New Roman"/>
                <w:bCs/>
                <w:sz w:val="24"/>
                <w:szCs w:val="24"/>
              </w:rPr>
              <w:fldChar w:fldCharType="separate"/>
            </w:r>
            <w:r w:rsidR="00FD4428">
              <w:rPr>
                <w:rFonts w:ascii="Times New Roman" w:hAnsi="Times New Roman"/>
                <w:bCs/>
                <w:noProof/>
                <w:sz w:val="24"/>
                <w:szCs w:val="24"/>
              </w:rPr>
              <w:t>3</w:t>
            </w:r>
            <w:r w:rsidRPr="00073573">
              <w:rPr>
                <w:rFonts w:ascii="Times New Roman" w:hAnsi="Times New Roman"/>
                <w:bCs/>
                <w:sz w:val="24"/>
                <w:szCs w:val="24"/>
              </w:rPr>
              <w:fldChar w:fldCharType="end"/>
            </w:r>
          </w:p>
        </w:sdtContent>
      </w:sdt>
    </w:sdtContent>
  </w:sdt>
  <w:p w14:paraId="21C40D11" w14:textId="77777777" w:rsidR="00226412" w:rsidRDefault="00FD4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9A6BA" w14:textId="77777777" w:rsidR="005D1FA6" w:rsidRPr="000D4EDE" w:rsidRDefault="005D1FA6" w:rsidP="000D4EDE">
      <w:r>
        <w:separator/>
      </w:r>
    </w:p>
  </w:footnote>
  <w:footnote w:type="continuationSeparator" w:id="0">
    <w:p w14:paraId="016C7503" w14:textId="77777777" w:rsidR="005D1FA6" w:rsidRPr="000D4EDE" w:rsidRDefault="005D1FA6" w:rsidP="000D4EDE">
      <w:r>
        <w:continuationSeparator/>
      </w:r>
    </w:p>
  </w:footnote>
  <w:footnote w:id="1">
    <w:p w14:paraId="4F479F2C" w14:textId="716A4BEB" w:rsidR="006A5714" w:rsidRDefault="006A5714">
      <w:pPr>
        <w:pStyle w:val="FootnoteText"/>
      </w:pPr>
      <w:r>
        <w:rPr>
          <w:rStyle w:val="FootnoteReference"/>
        </w:rPr>
        <w:footnoteRef/>
      </w:r>
      <w:r>
        <w:t xml:space="preserve"> </w:t>
      </w:r>
      <w:r w:rsidRPr="001B7ACB">
        <w:rPr>
          <w:rFonts w:ascii="Times New Roman" w:hAnsi="Times New Roman" w:cs="Times New Roman"/>
        </w:rPr>
        <w:t>The exception is s</w:t>
      </w:r>
      <w:r>
        <w:rPr>
          <w:rFonts w:ascii="Times New Roman" w:hAnsi="Times New Roman" w:cs="Times New Roman"/>
        </w:rPr>
        <w:t xml:space="preserve">.54B of the SIS Act, which provides that breach of a covenant under s.52 or 52A is a civil penalty provision.  The covenants include </w:t>
      </w:r>
      <w:r w:rsidR="00722D7E">
        <w:rPr>
          <w:rFonts w:ascii="Times New Roman" w:hAnsi="Times New Roman" w:cs="Times New Roman"/>
        </w:rPr>
        <w:t xml:space="preserve">a requirement to comply with </w:t>
      </w:r>
      <w:r w:rsidR="00722D7E" w:rsidRPr="00722D7E">
        <w:rPr>
          <w:rFonts w:ascii="Times New Roman" w:hAnsi="Times New Roman" w:cs="Times New Roman"/>
        </w:rPr>
        <w:t xml:space="preserve">prudential standards in relation to </w:t>
      </w:r>
      <w:r w:rsidR="00C53F76">
        <w:rPr>
          <w:rFonts w:ascii="Times New Roman" w:hAnsi="Times New Roman" w:cs="Times New Roman"/>
        </w:rPr>
        <w:t>specified topics</w:t>
      </w:r>
      <w:r w:rsidR="000823AA">
        <w:rPr>
          <w:rFonts w:ascii="Times New Roman" w:hAnsi="Times New Roman" w:cs="Times New Roman"/>
        </w:rPr>
        <w:t xml:space="preserve"> (conflicts, capital requirements for operational risk</w:t>
      </w:r>
      <w:r w:rsidR="003C7D5A">
        <w:rPr>
          <w:rFonts w:ascii="Times New Roman" w:hAnsi="Times New Roman" w:cs="Times New Roman"/>
        </w:rPr>
        <w:t>,</w:t>
      </w:r>
      <w:r w:rsidR="003A6B37">
        <w:rPr>
          <w:rFonts w:ascii="Times New Roman" w:hAnsi="Times New Roman" w:cs="Times New Roman"/>
        </w:rPr>
        <w:t xml:space="preserve"> Mysuper and choice products)</w:t>
      </w:r>
      <w:r w:rsidR="00FD4428">
        <w:rPr>
          <w:rFonts w:ascii="Times New Roman" w:hAnsi="Times New Roman" w:cs="Times New Roman"/>
        </w:rPr>
        <w:t xml:space="preserve">. </w:t>
      </w:r>
      <w:bookmarkStart w:id="5" w:name="_GoBack"/>
      <w:bookmarkEnd w:id="5"/>
      <w:r w:rsidR="00722D7E">
        <w:rPr>
          <w:rFonts w:ascii="Times New Roman" w:hAnsi="Times New Roman" w:cs="Times New Roman"/>
        </w:rPr>
        <w:t xml:space="preserve">CPS 226 is not a standard in relation to </w:t>
      </w:r>
      <w:r w:rsidR="003A6B37">
        <w:rPr>
          <w:rFonts w:ascii="Times New Roman" w:hAnsi="Times New Roman" w:cs="Times New Roman"/>
        </w:rPr>
        <w:t>any of these topics</w:t>
      </w:r>
      <w:r w:rsidR="00722D7E">
        <w:rPr>
          <w:rFonts w:ascii="Times New Roman" w:hAnsi="Times New Roman" w:cs="Times New Roman"/>
        </w:rPr>
        <w:t>.</w:t>
      </w:r>
    </w:p>
  </w:footnote>
  <w:footnote w:id="2">
    <w:p w14:paraId="0187F319" w14:textId="268BFB3D" w:rsidR="005D1FA6" w:rsidRPr="001B7ACB" w:rsidRDefault="005D1FA6" w:rsidP="001B7ACB">
      <w:pPr>
        <w:pStyle w:val="FootnoteText"/>
        <w:rPr>
          <w:rFonts w:ascii="Times New Roman" w:hAnsi="Times New Roman"/>
        </w:rPr>
      </w:pPr>
      <w:r>
        <w:rPr>
          <w:rStyle w:val="FootnoteReference"/>
        </w:rPr>
        <w:footnoteRef/>
      </w:r>
      <w:r>
        <w:t xml:space="preserve"> </w:t>
      </w:r>
      <w:r w:rsidR="00DE5182">
        <w:rPr>
          <w:rFonts w:ascii="Times New Roman" w:hAnsi="Times New Roman"/>
        </w:rPr>
        <w:t xml:space="preserve">The </w:t>
      </w:r>
      <w:r w:rsidR="004C5BEE">
        <w:rPr>
          <w:rFonts w:ascii="Times New Roman" w:hAnsi="Times New Roman"/>
        </w:rPr>
        <w:t>Banking Act, Insurance Act</w:t>
      </w:r>
      <w:r w:rsidR="00DE5182">
        <w:rPr>
          <w:rFonts w:ascii="Times New Roman" w:hAnsi="Times New Roman"/>
        </w:rPr>
        <w:t xml:space="preserve"> and Life Insurance Act</w:t>
      </w:r>
      <w:r w:rsidR="004C5BEE">
        <w:rPr>
          <w:rFonts w:ascii="Times New Roman" w:hAnsi="Times New Roman"/>
        </w:rPr>
        <w:t xml:space="preserve"> </w:t>
      </w:r>
      <w:r w:rsidRPr="00424F4B">
        <w:rPr>
          <w:rFonts w:ascii="Times New Roman" w:hAnsi="Times New Roman"/>
        </w:rPr>
        <w:t>specifically provide that APRA does not need to consult where APRA is satisfied that doing so could result in a delay in revocation that would be</w:t>
      </w:r>
      <w:r w:rsidR="00DE5182">
        <w:rPr>
          <w:rFonts w:ascii="Times New Roman" w:hAnsi="Times New Roman"/>
        </w:rPr>
        <w:t xml:space="preserve"> contrary to the national interest or the interests of depositors with the body corporate (s9A(4) Banking Act), contrary to the national interest (s.15(4) Insurance Act), or contrary to the public interest (s26(5) Life Insurance Act), respectively. </w:t>
      </w:r>
      <w:r w:rsidR="00DB0850">
        <w:rPr>
          <w:rFonts w:ascii="Times New Roman" w:hAnsi="Times New Roman"/>
        </w:rPr>
        <w:t>C</w:t>
      </w:r>
      <w:r w:rsidR="0014323B">
        <w:rPr>
          <w:rFonts w:ascii="Times New Roman" w:hAnsi="Times New Roman"/>
        </w:rPr>
        <w:t xml:space="preserve">onsultation </w:t>
      </w:r>
      <w:r w:rsidR="00DB0850">
        <w:rPr>
          <w:rFonts w:ascii="Times New Roman" w:hAnsi="Times New Roman"/>
        </w:rPr>
        <w:t xml:space="preserve">is not specifically required </w:t>
      </w:r>
      <w:r w:rsidR="0014323B">
        <w:rPr>
          <w:rFonts w:ascii="Times New Roman" w:hAnsi="Times New Roman"/>
        </w:rPr>
        <w:t>under the SIS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8"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F327004"/>
    <w:multiLevelType w:val="hybridMultilevel"/>
    <w:tmpl w:val="71F0604C"/>
    <w:lvl w:ilvl="0" w:tplc="9110B8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71513B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8738E6"/>
    <w:multiLevelType w:val="hybridMultilevel"/>
    <w:tmpl w:val="43604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 w:numId="3">
    <w:abstractNumId w:val="4"/>
  </w:num>
  <w:num w:numId="4">
    <w:abstractNumId w:val="11"/>
  </w:num>
  <w:num w:numId="5">
    <w:abstractNumId w:val="14"/>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3"/>
  </w:num>
  <w:num w:numId="12">
    <w:abstractNumId w:val="6"/>
  </w:num>
  <w:num w:numId="13">
    <w:abstractNumId w:val="8"/>
  </w:num>
  <w:num w:numId="14">
    <w:abstractNumId w:val="10"/>
  </w:num>
  <w:num w:numId="15">
    <w:abstractNumId w:val="1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styleLockTheme/>
  <w:styleLockQFSet/>
  <w:defaultTabStop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A6"/>
    <w:rsid w:val="00004ED1"/>
    <w:rsid w:val="00005D98"/>
    <w:rsid w:val="00005F96"/>
    <w:rsid w:val="00007262"/>
    <w:rsid w:val="00011C96"/>
    <w:rsid w:val="000141B9"/>
    <w:rsid w:val="000151A8"/>
    <w:rsid w:val="00034A19"/>
    <w:rsid w:val="00036F9E"/>
    <w:rsid w:val="000413B3"/>
    <w:rsid w:val="000453D9"/>
    <w:rsid w:val="000573E5"/>
    <w:rsid w:val="00057B71"/>
    <w:rsid w:val="0007202C"/>
    <w:rsid w:val="00072B30"/>
    <w:rsid w:val="00072B64"/>
    <w:rsid w:val="0007319C"/>
    <w:rsid w:val="000732AA"/>
    <w:rsid w:val="000767DD"/>
    <w:rsid w:val="0008011A"/>
    <w:rsid w:val="000823AA"/>
    <w:rsid w:val="00084F8B"/>
    <w:rsid w:val="000851D0"/>
    <w:rsid w:val="00086D07"/>
    <w:rsid w:val="00086F71"/>
    <w:rsid w:val="00093915"/>
    <w:rsid w:val="000949AD"/>
    <w:rsid w:val="00095109"/>
    <w:rsid w:val="00096B0F"/>
    <w:rsid w:val="000A490E"/>
    <w:rsid w:val="000B04C5"/>
    <w:rsid w:val="000B63CA"/>
    <w:rsid w:val="000B752A"/>
    <w:rsid w:val="000C14D9"/>
    <w:rsid w:val="000C15C7"/>
    <w:rsid w:val="000D4EDE"/>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4323B"/>
    <w:rsid w:val="00155789"/>
    <w:rsid w:val="0015672B"/>
    <w:rsid w:val="00157C98"/>
    <w:rsid w:val="00163AF1"/>
    <w:rsid w:val="001653B6"/>
    <w:rsid w:val="00165BF6"/>
    <w:rsid w:val="00174B0F"/>
    <w:rsid w:val="0018235E"/>
    <w:rsid w:val="00184187"/>
    <w:rsid w:val="001A4EA4"/>
    <w:rsid w:val="001A664F"/>
    <w:rsid w:val="001B2DB7"/>
    <w:rsid w:val="001B3A9F"/>
    <w:rsid w:val="001B7ACB"/>
    <w:rsid w:val="001D0C02"/>
    <w:rsid w:val="001D3D43"/>
    <w:rsid w:val="001E0F51"/>
    <w:rsid w:val="001E55BF"/>
    <w:rsid w:val="001E6DD6"/>
    <w:rsid w:val="001F6E1A"/>
    <w:rsid w:val="001F780A"/>
    <w:rsid w:val="001F7917"/>
    <w:rsid w:val="00200613"/>
    <w:rsid w:val="00214883"/>
    <w:rsid w:val="002156F6"/>
    <w:rsid w:val="00220550"/>
    <w:rsid w:val="002301A2"/>
    <w:rsid w:val="00236C2D"/>
    <w:rsid w:val="002374B7"/>
    <w:rsid w:val="00240126"/>
    <w:rsid w:val="00241D16"/>
    <w:rsid w:val="00242384"/>
    <w:rsid w:val="0024304D"/>
    <w:rsid w:val="00244826"/>
    <w:rsid w:val="00247ACA"/>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7504"/>
    <w:rsid w:val="002C0D97"/>
    <w:rsid w:val="002C66D1"/>
    <w:rsid w:val="002C7065"/>
    <w:rsid w:val="002C7F4A"/>
    <w:rsid w:val="002D2804"/>
    <w:rsid w:val="002D4B6C"/>
    <w:rsid w:val="002D5274"/>
    <w:rsid w:val="002E1EE3"/>
    <w:rsid w:val="002F0135"/>
    <w:rsid w:val="002F0C2C"/>
    <w:rsid w:val="00300655"/>
    <w:rsid w:val="00303D18"/>
    <w:rsid w:val="0030554C"/>
    <w:rsid w:val="00307ADD"/>
    <w:rsid w:val="00307E55"/>
    <w:rsid w:val="00312A66"/>
    <w:rsid w:val="003130CA"/>
    <w:rsid w:val="0032180D"/>
    <w:rsid w:val="00326464"/>
    <w:rsid w:val="003306A5"/>
    <w:rsid w:val="00332EE4"/>
    <w:rsid w:val="00354ACE"/>
    <w:rsid w:val="00355D40"/>
    <w:rsid w:val="00371AAC"/>
    <w:rsid w:val="00371F54"/>
    <w:rsid w:val="0037770C"/>
    <w:rsid w:val="00377C8B"/>
    <w:rsid w:val="0038001E"/>
    <w:rsid w:val="00383A95"/>
    <w:rsid w:val="00385CA0"/>
    <w:rsid w:val="003A2733"/>
    <w:rsid w:val="003A3021"/>
    <w:rsid w:val="003A5FA1"/>
    <w:rsid w:val="003A627E"/>
    <w:rsid w:val="003A6B37"/>
    <w:rsid w:val="003A79EE"/>
    <w:rsid w:val="003B6E16"/>
    <w:rsid w:val="003C180A"/>
    <w:rsid w:val="003C1E25"/>
    <w:rsid w:val="003C7D5A"/>
    <w:rsid w:val="003D27CB"/>
    <w:rsid w:val="003D329D"/>
    <w:rsid w:val="003E1836"/>
    <w:rsid w:val="003E6BF6"/>
    <w:rsid w:val="003F0F0D"/>
    <w:rsid w:val="003F1D85"/>
    <w:rsid w:val="0040173E"/>
    <w:rsid w:val="00435339"/>
    <w:rsid w:val="004410DC"/>
    <w:rsid w:val="0044447D"/>
    <w:rsid w:val="00450C67"/>
    <w:rsid w:val="00457E7B"/>
    <w:rsid w:val="00460CF7"/>
    <w:rsid w:val="00463FA8"/>
    <w:rsid w:val="00466648"/>
    <w:rsid w:val="00472CBC"/>
    <w:rsid w:val="004765B3"/>
    <w:rsid w:val="004843CA"/>
    <w:rsid w:val="0049113A"/>
    <w:rsid w:val="00493DAA"/>
    <w:rsid w:val="00494335"/>
    <w:rsid w:val="00495A4C"/>
    <w:rsid w:val="004967A1"/>
    <w:rsid w:val="004B1919"/>
    <w:rsid w:val="004B584E"/>
    <w:rsid w:val="004C1106"/>
    <w:rsid w:val="004C5BEE"/>
    <w:rsid w:val="004C6D4B"/>
    <w:rsid w:val="004C766B"/>
    <w:rsid w:val="004D33E3"/>
    <w:rsid w:val="004D76C1"/>
    <w:rsid w:val="004D7C22"/>
    <w:rsid w:val="004E2269"/>
    <w:rsid w:val="004E451A"/>
    <w:rsid w:val="004F3339"/>
    <w:rsid w:val="004F68B6"/>
    <w:rsid w:val="004F72A2"/>
    <w:rsid w:val="004F78E5"/>
    <w:rsid w:val="005026D4"/>
    <w:rsid w:val="00503A51"/>
    <w:rsid w:val="00506774"/>
    <w:rsid w:val="00512309"/>
    <w:rsid w:val="00515590"/>
    <w:rsid w:val="00531D01"/>
    <w:rsid w:val="00541D54"/>
    <w:rsid w:val="00542522"/>
    <w:rsid w:val="00543DF5"/>
    <w:rsid w:val="0054526E"/>
    <w:rsid w:val="00545CE1"/>
    <w:rsid w:val="005476B5"/>
    <w:rsid w:val="00553D42"/>
    <w:rsid w:val="005549D7"/>
    <w:rsid w:val="005602DA"/>
    <w:rsid w:val="00562087"/>
    <w:rsid w:val="005678FC"/>
    <w:rsid w:val="0057138A"/>
    <w:rsid w:val="00573327"/>
    <w:rsid w:val="00592F64"/>
    <w:rsid w:val="005A3F63"/>
    <w:rsid w:val="005A59D0"/>
    <w:rsid w:val="005B073E"/>
    <w:rsid w:val="005B227F"/>
    <w:rsid w:val="005B7801"/>
    <w:rsid w:val="005C5891"/>
    <w:rsid w:val="005D04CC"/>
    <w:rsid w:val="005D1FA6"/>
    <w:rsid w:val="005D5FAE"/>
    <w:rsid w:val="005E4BC9"/>
    <w:rsid w:val="005F29B7"/>
    <w:rsid w:val="00606EB5"/>
    <w:rsid w:val="00606FC8"/>
    <w:rsid w:val="00616C90"/>
    <w:rsid w:val="00617FDA"/>
    <w:rsid w:val="0062116F"/>
    <w:rsid w:val="00623FD7"/>
    <w:rsid w:val="00625048"/>
    <w:rsid w:val="00626087"/>
    <w:rsid w:val="00634E4C"/>
    <w:rsid w:val="00636B8B"/>
    <w:rsid w:val="00641EAA"/>
    <w:rsid w:val="006427FE"/>
    <w:rsid w:val="006506C1"/>
    <w:rsid w:val="00657459"/>
    <w:rsid w:val="0065747A"/>
    <w:rsid w:val="00662E28"/>
    <w:rsid w:val="0066674D"/>
    <w:rsid w:val="00666A78"/>
    <w:rsid w:val="00676C12"/>
    <w:rsid w:val="0069375D"/>
    <w:rsid w:val="0069407C"/>
    <w:rsid w:val="0069574E"/>
    <w:rsid w:val="006969C0"/>
    <w:rsid w:val="006A1921"/>
    <w:rsid w:val="006A2303"/>
    <w:rsid w:val="006A2C82"/>
    <w:rsid w:val="006A5714"/>
    <w:rsid w:val="006D2A45"/>
    <w:rsid w:val="006D315C"/>
    <w:rsid w:val="006D71B8"/>
    <w:rsid w:val="006E4272"/>
    <w:rsid w:val="006F145A"/>
    <w:rsid w:val="006F27CB"/>
    <w:rsid w:val="006F359B"/>
    <w:rsid w:val="006F5865"/>
    <w:rsid w:val="00701EC6"/>
    <w:rsid w:val="00706179"/>
    <w:rsid w:val="00714F78"/>
    <w:rsid w:val="007152B0"/>
    <w:rsid w:val="007170F7"/>
    <w:rsid w:val="00717589"/>
    <w:rsid w:val="00722D7E"/>
    <w:rsid w:val="00722F9F"/>
    <w:rsid w:val="007253B8"/>
    <w:rsid w:val="007368F1"/>
    <w:rsid w:val="00736E7D"/>
    <w:rsid w:val="007509A6"/>
    <w:rsid w:val="00753F83"/>
    <w:rsid w:val="007541B0"/>
    <w:rsid w:val="0075469B"/>
    <w:rsid w:val="00755163"/>
    <w:rsid w:val="00756AAB"/>
    <w:rsid w:val="00757F63"/>
    <w:rsid w:val="007645AE"/>
    <w:rsid w:val="00764992"/>
    <w:rsid w:val="00765749"/>
    <w:rsid w:val="0077425E"/>
    <w:rsid w:val="00775AA0"/>
    <w:rsid w:val="007770FA"/>
    <w:rsid w:val="00791318"/>
    <w:rsid w:val="00791738"/>
    <w:rsid w:val="00791780"/>
    <w:rsid w:val="00792D37"/>
    <w:rsid w:val="007A0EB7"/>
    <w:rsid w:val="007B6871"/>
    <w:rsid w:val="007B7899"/>
    <w:rsid w:val="007C08B1"/>
    <w:rsid w:val="007C2CC2"/>
    <w:rsid w:val="007C38BD"/>
    <w:rsid w:val="007C79AA"/>
    <w:rsid w:val="007D31DA"/>
    <w:rsid w:val="007D72C5"/>
    <w:rsid w:val="007E525D"/>
    <w:rsid w:val="007E748C"/>
    <w:rsid w:val="007F0323"/>
    <w:rsid w:val="007F379E"/>
    <w:rsid w:val="007F3F7A"/>
    <w:rsid w:val="007F471C"/>
    <w:rsid w:val="00800C90"/>
    <w:rsid w:val="008125F8"/>
    <w:rsid w:val="008208A8"/>
    <w:rsid w:val="00826012"/>
    <w:rsid w:val="00834CE0"/>
    <w:rsid w:val="0084110F"/>
    <w:rsid w:val="00844B1D"/>
    <w:rsid w:val="00844F5C"/>
    <w:rsid w:val="00845843"/>
    <w:rsid w:val="00846D34"/>
    <w:rsid w:val="00863020"/>
    <w:rsid w:val="008631F5"/>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A7A88"/>
    <w:rsid w:val="008B6868"/>
    <w:rsid w:val="008B6D24"/>
    <w:rsid w:val="008C34F7"/>
    <w:rsid w:val="008C6A43"/>
    <w:rsid w:val="008D080C"/>
    <w:rsid w:val="008D1867"/>
    <w:rsid w:val="008D6437"/>
    <w:rsid w:val="008D6EDF"/>
    <w:rsid w:val="008D7014"/>
    <w:rsid w:val="008E3EF5"/>
    <w:rsid w:val="008F33B5"/>
    <w:rsid w:val="00901414"/>
    <w:rsid w:val="00906799"/>
    <w:rsid w:val="00922193"/>
    <w:rsid w:val="00924152"/>
    <w:rsid w:val="0093194D"/>
    <w:rsid w:val="00934C3F"/>
    <w:rsid w:val="00940F82"/>
    <w:rsid w:val="009417AE"/>
    <w:rsid w:val="00945B3F"/>
    <w:rsid w:val="00950DCB"/>
    <w:rsid w:val="00952D47"/>
    <w:rsid w:val="00952D4C"/>
    <w:rsid w:val="00960246"/>
    <w:rsid w:val="009720E1"/>
    <w:rsid w:val="00974F0E"/>
    <w:rsid w:val="00975CD7"/>
    <w:rsid w:val="00980CA1"/>
    <w:rsid w:val="00985E70"/>
    <w:rsid w:val="0098783B"/>
    <w:rsid w:val="00993C2B"/>
    <w:rsid w:val="00996392"/>
    <w:rsid w:val="009979F4"/>
    <w:rsid w:val="009A246D"/>
    <w:rsid w:val="009A45B2"/>
    <w:rsid w:val="009A5585"/>
    <w:rsid w:val="009A59D5"/>
    <w:rsid w:val="009B2CB7"/>
    <w:rsid w:val="009C2198"/>
    <w:rsid w:val="009D2DDD"/>
    <w:rsid w:val="009D5347"/>
    <w:rsid w:val="009E04C1"/>
    <w:rsid w:val="009E0C10"/>
    <w:rsid w:val="009E4116"/>
    <w:rsid w:val="009E529F"/>
    <w:rsid w:val="00A10DA6"/>
    <w:rsid w:val="00A151E9"/>
    <w:rsid w:val="00A15DBB"/>
    <w:rsid w:val="00A259F2"/>
    <w:rsid w:val="00A2758A"/>
    <w:rsid w:val="00A33802"/>
    <w:rsid w:val="00A34ADD"/>
    <w:rsid w:val="00A37162"/>
    <w:rsid w:val="00A37E51"/>
    <w:rsid w:val="00A51E2D"/>
    <w:rsid w:val="00A5319F"/>
    <w:rsid w:val="00A533A9"/>
    <w:rsid w:val="00A53541"/>
    <w:rsid w:val="00A53690"/>
    <w:rsid w:val="00A55F3A"/>
    <w:rsid w:val="00A62D31"/>
    <w:rsid w:val="00A63380"/>
    <w:rsid w:val="00A768BD"/>
    <w:rsid w:val="00A8129D"/>
    <w:rsid w:val="00A82188"/>
    <w:rsid w:val="00A865C7"/>
    <w:rsid w:val="00A909CC"/>
    <w:rsid w:val="00A964A5"/>
    <w:rsid w:val="00A97E3B"/>
    <w:rsid w:val="00AA00CB"/>
    <w:rsid w:val="00AA20A1"/>
    <w:rsid w:val="00AA41F2"/>
    <w:rsid w:val="00AB039E"/>
    <w:rsid w:val="00AB4206"/>
    <w:rsid w:val="00AC7E54"/>
    <w:rsid w:val="00AE6A4E"/>
    <w:rsid w:val="00AE7B98"/>
    <w:rsid w:val="00AF129F"/>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4D47"/>
    <w:rsid w:val="00B85D7B"/>
    <w:rsid w:val="00B900EA"/>
    <w:rsid w:val="00B91069"/>
    <w:rsid w:val="00B92842"/>
    <w:rsid w:val="00B973F5"/>
    <w:rsid w:val="00BA2713"/>
    <w:rsid w:val="00BA2941"/>
    <w:rsid w:val="00BA4BE7"/>
    <w:rsid w:val="00BA4C61"/>
    <w:rsid w:val="00BA627A"/>
    <w:rsid w:val="00BB0037"/>
    <w:rsid w:val="00BB22FA"/>
    <w:rsid w:val="00BD12A1"/>
    <w:rsid w:val="00BD1D09"/>
    <w:rsid w:val="00BD54C9"/>
    <w:rsid w:val="00BD7B83"/>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53F76"/>
    <w:rsid w:val="00C62BF5"/>
    <w:rsid w:val="00C636DA"/>
    <w:rsid w:val="00C67E22"/>
    <w:rsid w:val="00C72271"/>
    <w:rsid w:val="00C72A17"/>
    <w:rsid w:val="00C81356"/>
    <w:rsid w:val="00C813CD"/>
    <w:rsid w:val="00C858D9"/>
    <w:rsid w:val="00C87DA0"/>
    <w:rsid w:val="00CA4E4D"/>
    <w:rsid w:val="00CA6FF9"/>
    <w:rsid w:val="00CB4238"/>
    <w:rsid w:val="00CB5938"/>
    <w:rsid w:val="00CB5B27"/>
    <w:rsid w:val="00CB5DC7"/>
    <w:rsid w:val="00CC13F5"/>
    <w:rsid w:val="00CC1A64"/>
    <w:rsid w:val="00CC34EB"/>
    <w:rsid w:val="00CC66EA"/>
    <w:rsid w:val="00CD3C17"/>
    <w:rsid w:val="00CD4F74"/>
    <w:rsid w:val="00CE1F9C"/>
    <w:rsid w:val="00CE2E48"/>
    <w:rsid w:val="00CF0184"/>
    <w:rsid w:val="00CF55F6"/>
    <w:rsid w:val="00CF59E0"/>
    <w:rsid w:val="00CF6672"/>
    <w:rsid w:val="00CF6D48"/>
    <w:rsid w:val="00D021F7"/>
    <w:rsid w:val="00D069C7"/>
    <w:rsid w:val="00D078A2"/>
    <w:rsid w:val="00D10138"/>
    <w:rsid w:val="00D158F7"/>
    <w:rsid w:val="00D21123"/>
    <w:rsid w:val="00D26BB7"/>
    <w:rsid w:val="00D338AA"/>
    <w:rsid w:val="00D367EB"/>
    <w:rsid w:val="00D36C91"/>
    <w:rsid w:val="00D41871"/>
    <w:rsid w:val="00D45954"/>
    <w:rsid w:val="00D461C2"/>
    <w:rsid w:val="00D61AAE"/>
    <w:rsid w:val="00D64CB8"/>
    <w:rsid w:val="00D720AE"/>
    <w:rsid w:val="00D72FD8"/>
    <w:rsid w:val="00D92A45"/>
    <w:rsid w:val="00D9697A"/>
    <w:rsid w:val="00DA3023"/>
    <w:rsid w:val="00DA4C48"/>
    <w:rsid w:val="00DA727D"/>
    <w:rsid w:val="00DB0850"/>
    <w:rsid w:val="00DB53A7"/>
    <w:rsid w:val="00DD170F"/>
    <w:rsid w:val="00DE0A8A"/>
    <w:rsid w:val="00DE5182"/>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32F82"/>
    <w:rsid w:val="00E40B36"/>
    <w:rsid w:val="00E51672"/>
    <w:rsid w:val="00E522FC"/>
    <w:rsid w:val="00E55EE5"/>
    <w:rsid w:val="00E61784"/>
    <w:rsid w:val="00E625B3"/>
    <w:rsid w:val="00E6338A"/>
    <w:rsid w:val="00E64743"/>
    <w:rsid w:val="00E7257D"/>
    <w:rsid w:val="00E728CB"/>
    <w:rsid w:val="00E7336F"/>
    <w:rsid w:val="00E74F3B"/>
    <w:rsid w:val="00E76262"/>
    <w:rsid w:val="00E84A6B"/>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BDE"/>
    <w:rsid w:val="00F06EE2"/>
    <w:rsid w:val="00F074DC"/>
    <w:rsid w:val="00F15632"/>
    <w:rsid w:val="00F17535"/>
    <w:rsid w:val="00F20949"/>
    <w:rsid w:val="00F24F8F"/>
    <w:rsid w:val="00F303B2"/>
    <w:rsid w:val="00F307E0"/>
    <w:rsid w:val="00F34D63"/>
    <w:rsid w:val="00F57F7A"/>
    <w:rsid w:val="00F62D33"/>
    <w:rsid w:val="00F64AB3"/>
    <w:rsid w:val="00F6570B"/>
    <w:rsid w:val="00F67615"/>
    <w:rsid w:val="00F76C98"/>
    <w:rsid w:val="00F804CD"/>
    <w:rsid w:val="00F80750"/>
    <w:rsid w:val="00F8281A"/>
    <w:rsid w:val="00F85F59"/>
    <w:rsid w:val="00F86538"/>
    <w:rsid w:val="00F86717"/>
    <w:rsid w:val="00F86DD4"/>
    <w:rsid w:val="00F97C7A"/>
    <w:rsid w:val="00FA0620"/>
    <w:rsid w:val="00FA2909"/>
    <w:rsid w:val="00FA3CEC"/>
    <w:rsid w:val="00FB4CF2"/>
    <w:rsid w:val="00FC4845"/>
    <w:rsid w:val="00FC6B03"/>
    <w:rsid w:val="00FD06D5"/>
    <w:rsid w:val="00FD28FF"/>
    <w:rsid w:val="00FD4428"/>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8EA719"/>
  <w15:chartTrackingRefBased/>
  <w15:docId w15:val="{B7E281EB-73AA-4B1B-8EE7-707ABA92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osco.org/library/pubdocs/pdf/IOSCOPD469.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s.org/bcbs/publ/d47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im/teams/POLICYCROSS/PublicWorkspace/Forms/Standard%20Content/APRAWordTemplate2018.dotx"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Prudential policy development</TermName>
          <TermId>4cf81ba0-32a2-4f8f-8216-9e632903331b</TermId>
        </TermInfo>
      </Terms>
    </i05115a133414b4dabee2531e4b46b67>
    <h67caa35a4114acd8e15fe89b3f29f9e xmlns="814d62cb-2db6-4c25-ab62-b9075facbc11">
      <Terms xmlns="http://schemas.microsoft.com/office/infopath/2007/PartnerControl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8</Value>
      <Value>2</Value>
      <Value>1</Value>
      <Value>70</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Cross Industry</TermName>
          <TermId xmlns="http://schemas.microsoft.com/office/infopath/2007/PartnerControls">72fe5b41-a18b-4402-ad9b-cffc85b73640</TermId>
        </TermInfo>
      </Term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CPS 226 Margining and risk mitigation for non-centrally cleared derivatives</TermName>
          <TermId xmlns="http://schemas.microsoft.com/office/infopath/2007/PartnerControls">48bf42bd-f08a-4e58-88b4-2cbd64b7717d</TermId>
        </TermInfo>
      </Terms>
    </aa36a5a650d54f768f171f4d17b8b238>
    <_dlc_DocId xmlns="814d62cb-2db6-4c25-ab62-b9075facbc11">ZJAVK2R6YUWZ-1564177049-2483</_dlc_DocId>
    <_dlc_DocIdUrl xmlns="814d62cb-2db6-4c25-ab62-b9075facbc11">
      <Url>https://im/teams/POLICYCROSS/_layouts/15/DocIdRedir.aspx?ID=ZJAVK2R6YUWZ-1564177049-2483</Url>
      <Description>ZJAVK2R6YUWZ-1564177049-2483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73F48D3F97A7D94F839C873D661D0BB3" ma:contentTypeVersion="47" ma:contentTypeDescription="Create a new document." ma:contentTypeScope="" ma:versionID="a6d23b69fc16116a3eee6dd6137b9360">
  <xsd:schema xmlns:xsd="http://www.w3.org/2001/XMLSchema" xmlns:xs="http://www.w3.org/2001/XMLSchema" xmlns:p="http://schemas.microsoft.com/office/2006/metadata/properties" xmlns:ns1="814d62cb-2db6-4c25-ab62-b9075facbc11" targetNamespace="http://schemas.microsoft.com/office/2006/metadata/properties" ma:root="true" ma:fieldsID="df8dcb10fd0dc6f7b72f702064e8ccc2"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fc98694d-6dd8-4ac8-9f33-dd5d4f84b5bf}" ma:internalName="TaxCatchAll" ma:showField="CatchAllData" ma:web="8519a14e-5c73-4f9a-a3a9-27c320967c4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fc98694d-6dd8-4ac8-9f33-dd5d4f84b5bf}" ma:internalName="TaxCatchAllLabel" ma:readOnly="true" ma:showField="CatchAllDataLabel" ma:web="8519a14e-5c73-4f9a-a3a9-27c320967c4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774F-ECC9-4EC9-803A-EDE8BFFDE1D2}">
  <ds:schemaRefs>
    <ds:schemaRef ds:uri="Microsoft.SharePoint.Taxonomy.ContentTypeSync"/>
  </ds:schemaRefs>
</ds:datastoreItem>
</file>

<file path=customXml/itemProps2.xml><?xml version="1.0" encoding="utf-8"?>
<ds:datastoreItem xmlns:ds="http://schemas.openxmlformats.org/officeDocument/2006/customXml" ds:itemID="{90ABC62D-492B-42B5-B255-C6E08DA8AB9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14d62cb-2db6-4c25-ab62-b9075facbc11"/>
    <ds:schemaRef ds:uri="http://www.w3.org/XML/1998/namespace"/>
    <ds:schemaRef ds:uri="http://purl.org/dc/dcmitype/"/>
  </ds:schemaRefs>
</ds:datastoreItem>
</file>

<file path=customXml/itemProps3.xml><?xml version="1.0" encoding="utf-8"?>
<ds:datastoreItem xmlns:ds="http://schemas.openxmlformats.org/officeDocument/2006/customXml" ds:itemID="{84A578F6-636E-4DFE-B31E-2B4E246003FC}">
  <ds:schemaRefs>
    <ds:schemaRef ds:uri="http://schemas.microsoft.com/sharepoint/v3/contenttype/forms"/>
  </ds:schemaRefs>
</ds:datastoreItem>
</file>

<file path=customXml/itemProps4.xml><?xml version="1.0" encoding="utf-8"?>
<ds:datastoreItem xmlns:ds="http://schemas.openxmlformats.org/officeDocument/2006/customXml" ds:itemID="{6FCCB7A3-5D98-4BD0-84D3-4169BC7BC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2919BD-E7F2-4E4A-A30C-250809FF47C2}">
  <ds:schemaRefs>
    <ds:schemaRef ds:uri="http://schemas.microsoft.com/sharepoint/events"/>
  </ds:schemaRefs>
</ds:datastoreItem>
</file>

<file path=customXml/itemProps6.xml><?xml version="1.0" encoding="utf-8"?>
<ds:datastoreItem xmlns:ds="http://schemas.openxmlformats.org/officeDocument/2006/customXml" ds:itemID="{B7FEDEE3-B812-4888-986F-F6CFA9B4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APRAWordTemplate2018.dotx</Template>
  <TotalTime>153</TotalTime>
  <Pages>5</Pages>
  <Words>1766</Words>
  <Characters>10211</Characters>
  <Application>Microsoft Office Word</Application>
  <DocSecurity>0</DocSecurity>
  <Lines>182</Lines>
  <Paragraphs>61</Paragraphs>
  <ScaleCrop>false</ScaleCrop>
  <HeadingPairs>
    <vt:vector size="2" baseType="variant">
      <vt:variant>
        <vt:lpstr>Title</vt:lpstr>
      </vt:variant>
      <vt:variant>
        <vt:i4>1</vt:i4>
      </vt:variant>
    </vt:vector>
  </HeadingPairs>
  <TitlesOfParts>
    <vt:vector size="1" baseType="lpstr">
      <vt:lpstr>ES - CPS 226</vt:lpstr>
    </vt:vector>
  </TitlesOfParts>
  <Company>APRA</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CPS 226</dc:title>
  <dc:subject/>
  <dc:creator>Caitlin Switzer</dc:creator>
  <cp:keywords>[SEC=UNCLASSIFIED]</cp:keywords>
  <dc:description/>
  <cp:lastModifiedBy>Caitlin Switzer</cp:lastModifiedBy>
  <cp:revision>9</cp:revision>
  <cp:lastPrinted>2019-11-12T22:26:00Z</cp:lastPrinted>
  <dcterms:created xsi:type="dcterms:W3CDTF">2019-11-12T22:58:00Z</dcterms:created>
  <dcterms:modified xsi:type="dcterms:W3CDTF">2019-11-22T02:44:00Z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1D295D45743DC0866629CAFEA80E3CE2AF3CABAC</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71975753525F09C8169376DFEBA32F4B2827BC5C</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1A64E0B4B3A44BA9A557D85AF7A5E2FD</vt:lpwstr>
  </property>
  <property fmtid="{D5CDD505-2E9C-101B-9397-08002B2CF9AE}" pid="16" name="PM_OriginationTimeStamp">
    <vt:lpwstr>2019-11-12T22:25:59Z</vt:lpwstr>
  </property>
  <property fmtid="{D5CDD505-2E9C-101B-9397-08002B2CF9AE}" pid="17" name="PM_Hash_Version">
    <vt:lpwstr>2018.0</vt:lpwstr>
  </property>
  <property fmtid="{D5CDD505-2E9C-101B-9397-08002B2CF9AE}" pid="18" name="PM_Hash_Salt_Prev">
    <vt:lpwstr>2DFF3ECB3FA123A8247F75D3FE52DFA8</vt:lpwstr>
  </property>
  <property fmtid="{D5CDD505-2E9C-101B-9397-08002B2CF9AE}" pid="19" name="PM_Hash_Salt">
    <vt:lpwstr>98F038F7464A0F30B34974F5E14C11E0</vt:lpwstr>
  </property>
  <property fmtid="{D5CDD505-2E9C-101B-9397-08002B2CF9AE}" pid="20" name="ContentTypeId">
    <vt:lpwstr>0x0101008CA7A4F8331B45C7B0D3158B4994D0CA020073F48D3F97A7D94F839C873D661D0BB3</vt:lpwstr>
  </property>
  <property fmtid="{D5CDD505-2E9C-101B-9397-08002B2CF9AE}" pid="21" name="APRAExternalOrganisation">
    <vt:lpwstr/>
  </property>
  <property fmtid="{D5CDD505-2E9C-101B-9397-08002B2CF9AE}" pid="22" name="APRAIRTR">
    <vt:lpwstr/>
  </property>
  <property fmtid="{D5CDD505-2E9C-101B-9397-08002B2CF9AE}" pid="23" name="APRAPeriod">
    <vt:lpwstr/>
  </property>
  <property fmtid="{D5CDD505-2E9C-101B-9397-08002B2CF9AE}" pid="24" name="APRACostCentre">
    <vt:lpwstr/>
  </property>
  <property fmtid="{D5CDD505-2E9C-101B-9397-08002B2CF9AE}" pid="25" name="IT system type">
    <vt:lpwstr/>
  </property>
  <property fmtid="{D5CDD505-2E9C-101B-9397-08002B2CF9AE}" pid="26" name="APRACategory">
    <vt:lpwstr/>
  </property>
  <property fmtid="{D5CDD505-2E9C-101B-9397-08002B2CF9AE}" pid="27" name="APRAPRSG">
    <vt:lpwstr>70;#CPS 226 Margining and risk mitigation for non-centrally cleared derivatives|48bf42bd-f08a-4e58-88b4-2cbd64b7717d</vt:lpwstr>
  </property>
  <property fmtid="{D5CDD505-2E9C-101B-9397-08002B2CF9AE}" pid="28" name="APRADocumentType">
    <vt:lpwstr/>
  </property>
  <property fmtid="{D5CDD505-2E9C-101B-9397-08002B2CF9AE}" pid="29" name="APRAStatus">
    <vt:lpwstr>1;#Draft|0e1556d2-3fe8-443a-ada7-3620563b46b3</vt:lpwstr>
  </property>
  <property fmtid="{D5CDD505-2E9C-101B-9397-08002B2CF9AE}" pid="30" name="APRAActivity">
    <vt:lpwstr>2;#Prudential policy development|4cf81ba0-32a2-4f8f-8216-9e632903331b</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
  </property>
  <property fmtid="{D5CDD505-2E9C-101B-9397-08002B2CF9AE}" pid="34" name="APRAIndustry">
    <vt:lpwstr>8;#Cross Industry|72fe5b41-a18b-4402-ad9b-cffc85b73640</vt:lpwstr>
  </property>
  <property fmtid="{D5CDD505-2E9C-101B-9397-08002B2CF9AE}" pid="35" name="_dlc_DocIdItemGuid">
    <vt:lpwstr>84823b4f-ee1f-41bf-8088-57acd70376a4</vt:lpwstr>
  </property>
  <property fmtid="{D5CDD505-2E9C-101B-9397-08002B2CF9AE}" pid="36" name="RecordPoint_WorkflowType">
    <vt:lpwstr>ActiveSubmitStub</vt:lpwstr>
  </property>
  <property fmtid="{D5CDD505-2E9C-101B-9397-08002B2CF9AE}" pid="37" name="RecordPoint_ActiveItemWebId">
    <vt:lpwstr>{8519a14e-5c73-4f9a-a3a9-27c320967c41}</vt:lpwstr>
  </property>
  <property fmtid="{D5CDD505-2E9C-101B-9397-08002B2CF9AE}" pid="38" name="RecordPoint_ActiveItemSiteId">
    <vt:lpwstr>{2cada49c-ae30-40b5-bba4-93d447100c6c}</vt:lpwstr>
  </property>
  <property fmtid="{D5CDD505-2E9C-101B-9397-08002B2CF9AE}" pid="39" name="RecordPoint_ActiveItemListId">
    <vt:lpwstr>{697db2ba-7734-4e83-9523-7ac0d89b7c37}</vt:lpwstr>
  </property>
  <property fmtid="{D5CDD505-2E9C-101B-9397-08002B2CF9AE}" pid="40" name="RecordPoint_ActiveItemUniqueId">
    <vt:lpwstr>{84823b4f-ee1f-41bf-8088-57acd70376a4}</vt:lpwstr>
  </property>
  <property fmtid="{D5CDD505-2E9C-101B-9397-08002B2CF9AE}" pid="41" name="RecordPoint_RecordNumberSubmitted">
    <vt:lpwstr>R0000886490</vt:lpwstr>
  </property>
  <property fmtid="{D5CDD505-2E9C-101B-9397-08002B2CF9AE}" pid="42" name="RecordPoint_SubmissionCompleted">
    <vt:lpwstr>2019-11-19T12:40:00.9298721+11:00</vt:lpwstr>
  </property>
  <property fmtid="{D5CDD505-2E9C-101B-9397-08002B2CF9AE}" pid="43" name="IsLocked">
    <vt:lpwstr>Yes</vt:lpwstr>
  </property>
  <property fmtid="{D5CDD505-2E9C-101B-9397-08002B2CF9AE}" pid="44" name="PM_SecurityClassification_Prev">
    <vt:lpwstr>UNCLASSIFIED</vt:lpwstr>
  </property>
  <property fmtid="{D5CDD505-2E9C-101B-9397-08002B2CF9AE}" pid="45" name="PM_Qualifier_Prev">
    <vt:lpwstr/>
  </property>
  <property fmtid="{D5CDD505-2E9C-101B-9397-08002B2CF9AE}" pid="46" name="PM_Note">
    <vt:lpwstr/>
  </property>
  <property fmtid="{D5CDD505-2E9C-101B-9397-08002B2CF9AE}" pid="47" name="PM_Markers">
    <vt:lpwstr/>
  </property>
</Properties>
</file>