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32A7" w14:textId="7A47228B" w:rsidR="004775B8" w:rsidRPr="00812D63" w:rsidRDefault="004775B8" w:rsidP="005D5CD3">
      <w:pPr>
        <w:pStyle w:val="Heading4"/>
        <w:spacing w:after="240"/>
        <w:rPr>
          <w:rFonts w:asciiTheme="minorHAnsi" w:hAnsiTheme="minorHAnsi" w:cstheme="minorHAnsi"/>
          <w:sz w:val="24"/>
          <w:szCs w:val="24"/>
        </w:rPr>
      </w:pPr>
      <w:r w:rsidRPr="00812D63">
        <w:rPr>
          <w:rFonts w:asciiTheme="minorHAnsi" w:hAnsiTheme="minorHAnsi" w:cstheme="minorHAnsi"/>
          <w:sz w:val="24"/>
          <w:szCs w:val="24"/>
        </w:rPr>
        <w:t>EXPLANATORY STATEMENT</w:t>
      </w:r>
    </w:p>
    <w:p w14:paraId="3B6DE93D" w14:textId="77777777" w:rsidR="004775B8" w:rsidRPr="00812D63" w:rsidRDefault="004775B8" w:rsidP="005D5CD3">
      <w:pPr>
        <w:pStyle w:val="Heading5"/>
        <w:spacing w:after="240"/>
        <w:rPr>
          <w:rFonts w:asciiTheme="minorHAnsi" w:hAnsiTheme="minorHAnsi" w:cstheme="minorHAnsi"/>
          <w:b/>
          <w:sz w:val="24"/>
          <w:szCs w:val="24"/>
        </w:rPr>
      </w:pPr>
      <w:r w:rsidRPr="00812D63">
        <w:rPr>
          <w:rFonts w:asciiTheme="minorHAnsi" w:hAnsiTheme="minorHAnsi" w:cstheme="minorHAnsi"/>
          <w:b/>
          <w:sz w:val="24"/>
          <w:szCs w:val="24"/>
        </w:rPr>
        <w:t>NATIONAL HEALTH ACT 1953</w:t>
      </w:r>
    </w:p>
    <w:p w14:paraId="0299A853" w14:textId="31A024FF" w:rsidR="00686B8D" w:rsidRPr="00812D63" w:rsidRDefault="00686B8D" w:rsidP="005D5CD3">
      <w:pPr>
        <w:pStyle w:val="Heading4"/>
        <w:spacing w:after="240"/>
        <w:rPr>
          <w:rFonts w:asciiTheme="minorHAnsi" w:hAnsiTheme="minorHAnsi" w:cstheme="minorHAnsi"/>
          <w:sz w:val="24"/>
          <w:szCs w:val="24"/>
        </w:rPr>
      </w:pPr>
      <w:r w:rsidRPr="00812D63">
        <w:rPr>
          <w:rFonts w:asciiTheme="minorHAnsi" w:hAnsiTheme="minorHAnsi" w:cstheme="minorHAnsi"/>
          <w:i/>
          <w:sz w:val="24"/>
          <w:szCs w:val="24"/>
        </w:rPr>
        <w:t>National Health (</w:t>
      </w:r>
      <w:r w:rsidR="0091639A" w:rsidRPr="00812D63">
        <w:rPr>
          <w:rFonts w:asciiTheme="minorHAnsi" w:hAnsiTheme="minorHAnsi" w:cstheme="minorHAnsi"/>
          <w:i/>
          <w:sz w:val="24"/>
          <w:szCs w:val="24"/>
        </w:rPr>
        <w:t>Take Home Naloxone Pilot)</w:t>
      </w:r>
      <w:r w:rsidRPr="00812D63">
        <w:rPr>
          <w:rFonts w:asciiTheme="minorHAnsi" w:hAnsiTheme="minorHAnsi" w:cstheme="minorHAnsi"/>
          <w:i/>
          <w:sz w:val="24"/>
          <w:szCs w:val="24"/>
        </w:rPr>
        <w:t xml:space="preserve"> Special Arrangement </w:t>
      </w:r>
      <w:r w:rsidR="00686B08" w:rsidRPr="00812D63">
        <w:rPr>
          <w:rFonts w:asciiTheme="minorHAnsi" w:hAnsiTheme="minorHAnsi" w:cstheme="minorHAnsi"/>
          <w:i/>
          <w:sz w:val="24"/>
          <w:szCs w:val="24"/>
        </w:rPr>
        <w:t>201</w:t>
      </w:r>
      <w:r w:rsidR="009D6162" w:rsidRPr="00812D63">
        <w:rPr>
          <w:rFonts w:asciiTheme="minorHAnsi" w:hAnsiTheme="minorHAnsi" w:cstheme="minorHAnsi"/>
          <w:i/>
          <w:sz w:val="24"/>
          <w:szCs w:val="24"/>
        </w:rPr>
        <w:t>9</w:t>
      </w:r>
      <w:r w:rsidRPr="00812D63">
        <w:rPr>
          <w:rFonts w:asciiTheme="minorHAnsi" w:hAnsiTheme="minorHAnsi" w:cstheme="minorHAnsi"/>
          <w:i/>
          <w:sz w:val="24"/>
          <w:szCs w:val="24"/>
        </w:rPr>
        <w:t xml:space="preserve"> </w:t>
      </w:r>
      <w:r w:rsidRPr="00843563">
        <w:rPr>
          <w:rFonts w:asciiTheme="minorHAnsi" w:hAnsiTheme="minorHAnsi" w:cstheme="minorHAnsi"/>
          <w:sz w:val="24"/>
          <w:szCs w:val="24"/>
        </w:rPr>
        <w:t>PB</w:t>
      </w:r>
      <w:r w:rsidR="0076035C">
        <w:rPr>
          <w:rFonts w:asciiTheme="minorHAnsi" w:hAnsiTheme="minorHAnsi" w:cstheme="minorHAnsi"/>
          <w:sz w:val="24"/>
          <w:szCs w:val="24"/>
        </w:rPr>
        <w:t> </w:t>
      </w:r>
      <w:r w:rsidR="00843563" w:rsidRPr="00843563">
        <w:rPr>
          <w:rFonts w:asciiTheme="minorHAnsi" w:hAnsiTheme="minorHAnsi" w:cstheme="minorHAnsi"/>
          <w:sz w:val="24"/>
          <w:szCs w:val="24"/>
        </w:rPr>
        <w:t>97</w:t>
      </w:r>
      <w:r w:rsidR="0076035C">
        <w:rPr>
          <w:rFonts w:asciiTheme="minorHAnsi" w:hAnsiTheme="minorHAnsi" w:cstheme="minorHAnsi"/>
          <w:sz w:val="24"/>
          <w:szCs w:val="24"/>
        </w:rPr>
        <w:t> </w:t>
      </w:r>
      <w:r w:rsidRPr="00843563">
        <w:rPr>
          <w:rFonts w:asciiTheme="minorHAnsi" w:hAnsiTheme="minorHAnsi" w:cstheme="minorHAnsi"/>
          <w:sz w:val="24"/>
          <w:szCs w:val="24"/>
        </w:rPr>
        <w:t>of</w:t>
      </w:r>
      <w:r w:rsidR="0076035C">
        <w:rPr>
          <w:rFonts w:asciiTheme="minorHAnsi" w:hAnsiTheme="minorHAnsi" w:cstheme="minorHAnsi"/>
          <w:sz w:val="24"/>
          <w:szCs w:val="24"/>
        </w:rPr>
        <w:t> </w:t>
      </w:r>
      <w:r w:rsidR="00DC64D3" w:rsidRPr="00843563">
        <w:rPr>
          <w:rFonts w:asciiTheme="minorHAnsi" w:hAnsiTheme="minorHAnsi" w:cstheme="minorHAnsi"/>
          <w:sz w:val="24"/>
          <w:szCs w:val="24"/>
        </w:rPr>
        <w:t>201</w:t>
      </w:r>
      <w:r w:rsidR="009D6162" w:rsidRPr="00843563">
        <w:rPr>
          <w:rFonts w:asciiTheme="minorHAnsi" w:hAnsiTheme="minorHAnsi" w:cstheme="minorHAnsi"/>
          <w:sz w:val="24"/>
          <w:szCs w:val="24"/>
        </w:rPr>
        <w:t>9</w:t>
      </w:r>
    </w:p>
    <w:p w14:paraId="5BDB1F7D" w14:textId="77777777" w:rsidR="004775B8" w:rsidRPr="00812D63" w:rsidRDefault="004775B8" w:rsidP="005D5CD3">
      <w:pPr>
        <w:pStyle w:val="Heading60"/>
        <w:spacing w:after="240"/>
        <w:jc w:val="left"/>
        <w:rPr>
          <w:rFonts w:asciiTheme="minorHAnsi" w:hAnsiTheme="minorHAnsi" w:cstheme="minorHAnsi"/>
          <w:sz w:val="24"/>
          <w:szCs w:val="24"/>
        </w:rPr>
      </w:pPr>
      <w:r w:rsidRPr="00812D63">
        <w:rPr>
          <w:rFonts w:asciiTheme="minorHAnsi" w:hAnsiTheme="minorHAnsi" w:cstheme="minorHAnsi"/>
          <w:sz w:val="24"/>
          <w:szCs w:val="24"/>
        </w:rPr>
        <w:t>Authority</w:t>
      </w:r>
    </w:p>
    <w:p w14:paraId="0053E61E" w14:textId="77777777" w:rsidR="00F3611D" w:rsidRPr="00812D63" w:rsidRDefault="00686B8D"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Subsection 100(1) of the </w:t>
      </w:r>
      <w:r w:rsidRPr="00812D63">
        <w:rPr>
          <w:rFonts w:asciiTheme="minorHAnsi" w:hAnsiTheme="minorHAnsi" w:cstheme="minorHAnsi"/>
          <w:i/>
          <w:sz w:val="22"/>
          <w:szCs w:val="22"/>
        </w:rPr>
        <w:t>National Health Act 1953</w:t>
      </w:r>
      <w:r w:rsidRPr="00812D63">
        <w:rPr>
          <w:rFonts w:asciiTheme="minorHAnsi" w:hAnsiTheme="minorHAnsi" w:cstheme="minorHAnsi"/>
          <w:sz w:val="22"/>
          <w:szCs w:val="22"/>
        </w:rPr>
        <w:t xml:space="preserve"> (the Act) enables the Minister to make special arrangements for</w:t>
      </w:r>
      <w:r w:rsidR="00473BA4" w:rsidRPr="00812D63">
        <w:rPr>
          <w:rFonts w:asciiTheme="minorHAnsi" w:hAnsiTheme="minorHAnsi" w:cstheme="minorHAnsi"/>
          <w:sz w:val="22"/>
          <w:szCs w:val="22"/>
        </w:rPr>
        <w:t xml:space="preserve"> the supply of pharmaceutical benefits.</w:t>
      </w:r>
      <w:r w:rsidR="00EE0EEE" w:rsidRPr="00812D63">
        <w:rPr>
          <w:rFonts w:asciiTheme="minorHAnsi" w:hAnsiTheme="minorHAnsi" w:cstheme="minorHAnsi"/>
          <w:sz w:val="22"/>
          <w:szCs w:val="22"/>
        </w:rPr>
        <w:t xml:space="preserve"> </w:t>
      </w:r>
    </w:p>
    <w:p w14:paraId="2DAFC000" w14:textId="77777777" w:rsidR="0017330C" w:rsidRPr="00812D63" w:rsidRDefault="0017330C"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Subsection 100(3) </w:t>
      </w:r>
      <w:r w:rsidR="00E75D31" w:rsidRPr="00812D63">
        <w:rPr>
          <w:rFonts w:asciiTheme="minorHAnsi" w:hAnsiTheme="minorHAnsi" w:cstheme="minorHAnsi"/>
          <w:sz w:val="22"/>
          <w:szCs w:val="22"/>
        </w:rPr>
        <w:t xml:space="preserve">of the Act </w:t>
      </w:r>
      <w:r w:rsidRPr="00812D63">
        <w:rPr>
          <w:rFonts w:asciiTheme="minorHAnsi" w:hAnsiTheme="minorHAnsi" w:cstheme="minorHAnsi"/>
          <w:sz w:val="22"/>
          <w:szCs w:val="22"/>
        </w:rPr>
        <w:t>provides that Part VII of the Act, and instruments made for the purposes of Part VII</w:t>
      </w:r>
      <w:r w:rsidR="00845804" w:rsidRPr="00812D63">
        <w:rPr>
          <w:rFonts w:asciiTheme="minorHAnsi" w:hAnsiTheme="minorHAnsi" w:cstheme="minorHAnsi"/>
          <w:sz w:val="22"/>
          <w:szCs w:val="22"/>
        </w:rPr>
        <w:t>,</w:t>
      </w:r>
      <w:r w:rsidRPr="00812D63">
        <w:rPr>
          <w:rFonts w:asciiTheme="minorHAnsi" w:hAnsiTheme="minorHAnsi" w:cstheme="minorHAnsi"/>
          <w:sz w:val="22"/>
          <w:szCs w:val="22"/>
        </w:rPr>
        <w:t xml:space="preserve"> have effect subject to a special arrangement made under subsection 100(1). </w:t>
      </w:r>
    </w:p>
    <w:p w14:paraId="3619752F" w14:textId="77777777" w:rsidR="00F3611D" w:rsidRPr="00812D63" w:rsidRDefault="00F3611D" w:rsidP="005D5CD3">
      <w:pPr>
        <w:spacing w:after="240"/>
        <w:jc w:val="left"/>
        <w:rPr>
          <w:rFonts w:asciiTheme="minorHAnsi" w:hAnsiTheme="minorHAnsi" w:cstheme="minorHAnsi"/>
          <w:b/>
          <w:sz w:val="24"/>
          <w:szCs w:val="24"/>
        </w:rPr>
      </w:pPr>
      <w:r w:rsidRPr="00812D63">
        <w:rPr>
          <w:rFonts w:asciiTheme="minorHAnsi" w:hAnsiTheme="minorHAnsi" w:cstheme="minorHAnsi"/>
          <w:b/>
          <w:sz w:val="24"/>
          <w:szCs w:val="24"/>
        </w:rPr>
        <w:t>Purpose</w:t>
      </w:r>
    </w:p>
    <w:p w14:paraId="1ECAB1FA" w14:textId="516CBC3F" w:rsidR="00065738" w:rsidRPr="00812D63" w:rsidRDefault="00C848F0" w:rsidP="00812D63">
      <w:pPr>
        <w:spacing w:after="160"/>
        <w:jc w:val="left"/>
        <w:rPr>
          <w:rFonts w:asciiTheme="minorHAnsi" w:hAnsiTheme="minorHAnsi" w:cstheme="minorHAnsi"/>
          <w:sz w:val="22"/>
          <w:szCs w:val="22"/>
        </w:rPr>
      </w:pPr>
      <w:r>
        <w:rPr>
          <w:rFonts w:asciiTheme="minorHAnsi" w:hAnsiTheme="minorHAnsi" w:cstheme="minorHAnsi"/>
          <w:sz w:val="22"/>
          <w:szCs w:val="22"/>
        </w:rPr>
        <w:t>This is</w:t>
      </w:r>
      <w:r w:rsidR="00F3611D" w:rsidRPr="00812D63">
        <w:rPr>
          <w:rFonts w:asciiTheme="minorHAnsi" w:hAnsiTheme="minorHAnsi" w:cstheme="minorHAnsi"/>
          <w:sz w:val="22"/>
          <w:szCs w:val="22"/>
        </w:rPr>
        <w:t xml:space="preserve"> th</w:t>
      </w:r>
      <w:r w:rsidR="00C24AB5" w:rsidRPr="00812D63">
        <w:rPr>
          <w:rFonts w:asciiTheme="minorHAnsi" w:hAnsiTheme="minorHAnsi" w:cstheme="minorHAnsi"/>
          <w:sz w:val="22"/>
          <w:szCs w:val="22"/>
        </w:rPr>
        <w:t xml:space="preserve">e </w:t>
      </w:r>
      <w:r w:rsidR="009D6162" w:rsidRPr="00812D63">
        <w:rPr>
          <w:rFonts w:asciiTheme="minorHAnsi" w:hAnsiTheme="minorHAnsi" w:cstheme="minorHAnsi"/>
          <w:i/>
          <w:sz w:val="22"/>
          <w:szCs w:val="22"/>
        </w:rPr>
        <w:t xml:space="preserve">National Health (Take Home Naloxone Pilot) Special Arrangement 2019 </w:t>
      </w:r>
      <w:r w:rsidR="00C24AB5" w:rsidRPr="00812D63">
        <w:rPr>
          <w:rFonts w:asciiTheme="minorHAnsi" w:hAnsiTheme="minorHAnsi" w:cstheme="minorHAnsi"/>
          <w:sz w:val="22"/>
          <w:szCs w:val="22"/>
        </w:rPr>
        <w:t xml:space="preserve">(the </w:t>
      </w:r>
      <w:r w:rsidR="005C5D16">
        <w:rPr>
          <w:rFonts w:asciiTheme="minorHAnsi" w:hAnsiTheme="minorHAnsi" w:cstheme="minorHAnsi"/>
          <w:sz w:val="22"/>
          <w:szCs w:val="22"/>
        </w:rPr>
        <w:t>Arrangement</w:t>
      </w:r>
      <w:r w:rsidR="00C24AB5" w:rsidRPr="00812D63">
        <w:rPr>
          <w:rFonts w:asciiTheme="minorHAnsi" w:hAnsiTheme="minorHAnsi" w:cstheme="minorHAnsi"/>
          <w:sz w:val="22"/>
          <w:szCs w:val="22"/>
        </w:rPr>
        <w:t>)</w:t>
      </w:r>
      <w:r w:rsidR="004F77B8">
        <w:rPr>
          <w:rFonts w:asciiTheme="minorHAnsi" w:hAnsiTheme="minorHAnsi" w:cstheme="minorHAnsi"/>
          <w:sz w:val="22"/>
          <w:szCs w:val="22"/>
        </w:rPr>
        <w:t xml:space="preserve">. The purpose of the </w:t>
      </w:r>
      <w:r w:rsidR="005C5D16">
        <w:rPr>
          <w:rFonts w:asciiTheme="minorHAnsi" w:hAnsiTheme="minorHAnsi" w:cstheme="minorHAnsi"/>
          <w:sz w:val="22"/>
          <w:szCs w:val="22"/>
        </w:rPr>
        <w:t>Arrangement</w:t>
      </w:r>
      <w:r w:rsidR="00C24AB5" w:rsidRPr="00812D63">
        <w:rPr>
          <w:rFonts w:asciiTheme="minorHAnsi" w:hAnsiTheme="minorHAnsi" w:cstheme="minorHAnsi"/>
          <w:sz w:val="22"/>
          <w:szCs w:val="22"/>
        </w:rPr>
        <w:t xml:space="preserve"> </w:t>
      </w:r>
      <w:r w:rsidR="00F3611D" w:rsidRPr="00812D63">
        <w:rPr>
          <w:rFonts w:asciiTheme="minorHAnsi" w:hAnsiTheme="minorHAnsi" w:cstheme="minorHAnsi"/>
          <w:sz w:val="22"/>
          <w:szCs w:val="22"/>
        </w:rPr>
        <w:t xml:space="preserve">is to </w:t>
      </w:r>
      <w:r w:rsidR="00065738" w:rsidRPr="00812D63">
        <w:rPr>
          <w:rFonts w:asciiTheme="minorHAnsi" w:hAnsiTheme="minorHAnsi" w:cstheme="minorHAnsi"/>
          <w:sz w:val="22"/>
          <w:szCs w:val="22"/>
        </w:rPr>
        <w:t xml:space="preserve">establish a special arrangement </w:t>
      </w:r>
      <w:r>
        <w:rPr>
          <w:rFonts w:asciiTheme="minorHAnsi" w:hAnsiTheme="minorHAnsi" w:cstheme="minorHAnsi"/>
          <w:sz w:val="22"/>
          <w:szCs w:val="22"/>
        </w:rPr>
        <w:t>under s</w:t>
      </w:r>
      <w:r w:rsidR="00CE1952">
        <w:rPr>
          <w:rFonts w:asciiTheme="minorHAnsi" w:hAnsiTheme="minorHAnsi" w:cstheme="minorHAnsi"/>
          <w:sz w:val="22"/>
          <w:szCs w:val="22"/>
        </w:rPr>
        <w:t> </w:t>
      </w:r>
      <w:r>
        <w:rPr>
          <w:rFonts w:asciiTheme="minorHAnsi" w:hAnsiTheme="minorHAnsi" w:cstheme="minorHAnsi"/>
          <w:sz w:val="22"/>
          <w:szCs w:val="22"/>
        </w:rPr>
        <w:t xml:space="preserve">100(1) of the Act </w:t>
      </w:r>
      <w:r w:rsidR="00065738" w:rsidRPr="00812D63">
        <w:rPr>
          <w:rFonts w:asciiTheme="minorHAnsi" w:hAnsiTheme="minorHAnsi" w:cstheme="minorHAnsi"/>
          <w:sz w:val="22"/>
          <w:szCs w:val="22"/>
        </w:rPr>
        <w:t>to support the implementation of the PBS subsidised Take Home Naloxone Pilot (the Pilot)</w:t>
      </w:r>
      <w:r w:rsidR="00413A62">
        <w:rPr>
          <w:rFonts w:asciiTheme="minorHAnsi" w:hAnsiTheme="minorHAnsi" w:cstheme="minorHAnsi"/>
          <w:sz w:val="22"/>
          <w:szCs w:val="22"/>
        </w:rPr>
        <w:t>,</w:t>
      </w:r>
      <w:r w:rsidR="00065738" w:rsidRPr="00812D63">
        <w:rPr>
          <w:rFonts w:asciiTheme="minorHAnsi" w:hAnsiTheme="minorHAnsi" w:cstheme="minorHAnsi"/>
          <w:sz w:val="22"/>
          <w:szCs w:val="22"/>
        </w:rPr>
        <w:t xml:space="preserve"> which </w:t>
      </w:r>
      <w:r w:rsidR="00413A62" w:rsidRPr="00812D63" w:rsidDel="00C848F0">
        <w:rPr>
          <w:rFonts w:asciiTheme="minorHAnsi" w:hAnsiTheme="minorHAnsi" w:cstheme="minorHAnsi"/>
          <w:sz w:val="22"/>
          <w:szCs w:val="22"/>
          <w:lang w:eastAsia="en-US"/>
        </w:rPr>
        <w:t>will operate from 1 December 2019 to 28 February 2021 in New South Wales</w:t>
      </w:r>
      <w:r w:rsidR="005F7124">
        <w:rPr>
          <w:rFonts w:asciiTheme="minorHAnsi" w:hAnsiTheme="minorHAnsi" w:cstheme="minorHAnsi"/>
          <w:sz w:val="22"/>
          <w:szCs w:val="22"/>
          <w:lang w:eastAsia="en-US"/>
        </w:rPr>
        <w:t xml:space="preserve"> (NSW)</w:t>
      </w:r>
      <w:r w:rsidR="00413A62" w:rsidRPr="00812D63" w:rsidDel="00C848F0">
        <w:rPr>
          <w:rFonts w:asciiTheme="minorHAnsi" w:hAnsiTheme="minorHAnsi" w:cstheme="minorHAnsi"/>
          <w:sz w:val="22"/>
          <w:szCs w:val="22"/>
          <w:lang w:eastAsia="en-US"/>
        </w:rPr>
        <w:t>, Western Australia</w:t>
      </w:r>
      <w:r w:rsidR="005F7124">
        <w:rPr>
          <w:rFonts w:asciiTheme="minorHAnsi" w:hAnsiTheme="minorHAnsi" w:cstheme="minorHAnsi"/>
          <w:sz w:val="22"/>
          <w:szCs w:val="22"/>
          <w:lang w:eastAsia="en-US"/>
        </w:rPr>
        <w:t xml:space="preserve"> (WA),</w:t>
      </w:r>
      <w:r w:rsidR="00413A62" w:rsidRPr="00812D63" w:rsidDel="00C848F0">
        <w:rPr>
          <w:rFonts w:asciiTheme="minorHAnsi" w:hAnsiTheme="minorHAnsi" w:cstheme="minorHAnsi"/>
          <w:sz w:val="22"/>
          <w:szCs w:val="22"/>
          <w:lang w:eastAsia="en-US"/>
        </w:rPr>
        <w:t xml:space="preserve"> and South Australia</w:t>
      </w:r>
      <w:r w:rsidR="005F7124">
        <w:rPr>
          <w:rFonts w:asciiTheme="minorHAnsi" w:hAnsiTheme="minorHAnsi" w:cstheme="minorHAnsi"/>
          <w:sz w:val="22"/>
          <w:szCs w:val="22"/>
          <w:lang w:eastAsia="en-US"/>
        </w:rPr>
        <w:t xml:space="preserve"> (SA)</w:t>
      </w:r>
      <w:r w:rsidR="00413A62">
        <w:rPr>
          <w:rFonts w:asciiTheme="minorHAnsi" w:hAnsiTheme="minorHAnsi" w:cstheme="minorHAnsi"/>
          <w:sz w:val="22"/>
          <w:szCs w:val="22"/>
          <w:lang w:eastAsia="en-US"/>
        </w:rPr>
        <w:t>.</w:t>
      </w:r>
    </w:p>
    <w:p w14:paraId="093427AC" w14:textId="588E11B7" w:rsidR="00415B05" w:rsidRDefault="00065738" w:rsidP="00812D63">
      <w:pPr>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 xml:space="preserve">The Pilot </w:t>
      </w:r>
      <w:r w:rsidR="00CE1952">
        <w:rPr>
          <w:rFonts w:asciiTheme="minorHAnsi" w:hAnsiTheme="minorHAnsi" w:cstheme="minorHAnsi"/>
          <w:sz w:val="22"/>
          <w:szCs w:val="22"/>
          <w:lang w:eastAsia="en-US"/>
        </w:rPr>
        <w:t>aims</w:t>
      </w:r>
      <w:r w:rsidR="00415B05">
        <w:rPr>
          <w:rFonts w:asciiTheme="minorHAnsi" w:hAnsiTheme="minorHAnsi" w:cstheme="minorHAnsi"/>
          <w:sz w:val="22"/>
          <w:szCs w:val="22"/>
          <w:lang w:eastAsia="en-US"/>
        </w:rPr>
        <w:t xml:space="preserve"> </w:t>
      </w:r>
      <w:r w:rsidR="00843563">
        <w:rPr>
          <w:rFonts w:asciiTheme="minorHAnsi" w:hAnsiTheme="minorHAnsi" w:cstheme="minorHAnsi"/>
          <w:sz w:val="22"/>
          <w:szCs w:val="22"/>
          <w:lang w:eastAsia="en-US"/>
        </w:rPr>
        <w:t>to</w:t>
      </w:r>
      <w:r w:rsidRPr="00812D63">
        <w:rPr>
          <w:rFonts w:asciiTheme="minorHAnsi" w:hAnsiTheme="minorHAnsi" w:cstheme="minorHAnsi"/>
          <w:sz w:val="22"/>
          <w:szCs w:val="22"/>
          <w:lang w:eastAsia="en-US"/>
        </w:rPr>
        <w:t xml:space="preserve"> trial the supply of naloxone to persons who are at risk of an opioid overdose</w:t>
      </w:r>
      <w:r w:rsidR="00415B05">
        <w:rPr>
          <w:rFonts w:asciiTheme="minorHAnsi" w:hAnsiTheme="minorHAnsi" w:cstheme="minorHAnsi"/>
          <w:sz w:val="22"/>
          <w:szCs w:val="22"/>
          <w:lang w:eastAsia="en-US"/>
        </w:rPr>
        <w:t>,</w:t>
      </w:r>
      <w:r w:rsidRPr="00812D63">
        <w:rPr>
          <w:rFonts w:asciiTheme="minorHAnsi" w:hAnsiTheme="minorHAnsi" w:cstheme="minorHAnsi"/>
          <w:sz w:val="22"/>
          <w:szCs w:val="22"/>
          <w:lang w:eastAsia="en-US"/>
        </w:rPr>
        <w:t xml:space="preserve"> and persons who are likely </w:t>
      </w:r>
      <w:r w:rsidR="00843563">
        <w:rPr>
          <w:rFonts w:asciiTheme="minorHAnsi" w:hAnsiTheme="minorHAnsi" w:cstheme="minorHAnsi"/>
          <w:sz w:val="22"/>
          <w:szCs w:val="22"/>
          <w:lang w:eastAsia="en-US"/>
        </w:rPr>
        <w:t xml:space="preserve">to </w:t>
      </w:r>
      <w:r w:rsidR="00C848F0">
        <w:rPr>
          <w:rFonts w:asciiTheme="minorHAnsi" w:hAnsiTheme="minorHAnsi" w:cstheme="minorHAnsi"/>
          <w:sz w:val="22"/>
          <w:szCs w:val="22"/>
          <w:lang w:eastAsia="en-US"/>
        </w:rPr>
        <w:t>be able to assist such persons</w:t>
      </w:r>
      <w:r w:rsidR="00B3425F" w:rsidRPr="00812D63">
        <w:rPr>
          <w:rFonts w:asciiTheme="minorHAnsi" w:hAnsiTheme="minorHAnsi" w:cstheme="minorHAnsi"/>
          <w:sz w:val="22"/>
          <w:szCs w:val="22"/>
          <w:lang w:eastAsia="en-US"/>
        </w:rPr>
        <w:t xml:space="preserve">. </w:t>
      </w:r>
      <w:r w:rsidR="00415B05">
        <w:rPr>
          <w:rFonts w:asciiTheme="minorHAnsi" w:hAnsiTheme="minorHAnsi" w:cstheme="minorHAnsi"/>
          <w:sz w:val="22"/>
          <w:szCs w:val="22"/>
          <w:lang w:eastAsia="en-US"/>
        </w:rPr>
        <w:t xml:space="preserve">The </w:t>
      </w:r>
      <w:r w:rsidR="005C5D16">
        <w:rPr>
          <w:rFonts w:asciiTheme="minorHAnsi" w:hAnsiTheme="minorHAnsi" w:cstheme="minorHAnsi"/>
          <w:sz w:val="22"/>
          <w:szCs w:val="22"/>
          <w:lang w:eastAsia="en-US"/>
        </w:rPr>
        <w:t>Arrangement</w:t>
      </w:r>
      <w:r w:rsidR="00415B05">
        <w:rPr>
          <w:rFonts w:asciiTheme="minorHAnsi" w:hAnsiTheme="minorHAnsi" w:cstheme="minorHAnsi"/>
          <w:sz w:val="22"/>
          <w:szCs w:val="22"/>
          <w:lang w:eastAsia="en-US"/>
        </w:rPr>
        <w:t xml:space="preserve"> will allow </w:t>
      </w:r>
      <w:r w:rsidR="00314C46">
        <w:rPr>
          <w:rFonts w:asciiTheme="minorHAnsi" w:hAnsiTheme="minorHAnsi" w:cstheme="minorHAnsi"/>
          <w:sz w:val="22"/>
          <w:szCs w:val="22"/>
          <w:lang w:eastAsia="en-US"/>
        </w:rPr>
        <w:t xml:space="preserve">for </w:t>
      </w:r>
      <w:r w:rsidRPr="00812D63">
        <w:rPr>
          <w:rFonts w:asciiTheme="minorHAnsi" w:hAnsiTheme="minorHAnsi" w:cstheme="minorHAnsi"/>
          <w:sz w:val="22"/>
          <w:szCs w:val="22"/>
          <w:lang w:eastAsia="en-US"/>
        </w:rPr>
        <w:t xml:space="preserve">naloxone </w:t>
      </w:r>
      <w:r w:rsidR="00415B05">
        <w:rPr>
          <w:rFonts w:asciiTheme="minorHAnsi" w:hAnsiTheme="minorHAnsi" w:cstheme="minorHAnsi"/>
          <w:sz w:val="22"/>
          <w:szCs w:val="22"/>
          <w:lang w:eastAsia="en-US"/>
        </w:rPr>
        <w:t>to</w:t>
      </w:r>
      <w:r w:rsidR="00415B05" w:rsidRPr="00812D63">
        <w:rPr>
          <w:rFonts w:asciiTheme="minorHAnsi" w:hAnsiTheme="minorHAnsi" w:cstheme="minorHAnsi"/>
          <w:sz w:val="22"/>
          <w:szCs w:val="22"/>
          <w:lang w:eastAsia="en-US"/>
        </w:rPr>
        <w:t xml:space="preserve"> </w:t>
      </w:r>
      <w:r w:rsidRPr="00812D63">
        <w:rPr>
          <w:rFonts w:asciiTheme="minorHAnsi" w:hAnsiTheme="minorHAnsi" w:cstheme="minorHAnsi"/>
          <w:sz w:val="22"/>
          <w:szCs w:val="22"/>
          <w:lang w:eastAsia="en-US"/>
        </w:rPr>
        <w:t>be supplied</w:t>
      </w:r>
      <w:r w:rsidR="00415B05">
        <w:rPr>
          <w:rFonts w:asciiTheme="minorHAnsi" w:hAnsiTheme="minorHAnsi" w:cstheme="minorHAnsi"/>
          <w:sz w:val="22"/>
          <w:szCs w:val="22"/>
          <w:lang w:eastAsia="en-US"/>
        </w:rPr>
        <w:t xml:space="preserve"> </w:t>
      </w:r>
      <w:r w:rsidR="0012230F">
        <w:rPr>
          <w:rFonts w:asciiTheme="minorHAnsi" w:hAnsiTheme="minorHAnsi" w:cstheme="minorHAnsi"/>
          <w:sz w:val="22"/>
          <w:szCs w:val="22"/>
          <w:lang w:eastAsia="en-US"/>
        </w:rPr>
        <w:t xml:space="preserve">under the Pilot </w:t>
      </w:r>
      <w:r w:rsidR="00415B05">
        <w:rPr>
          <w:rFonts w:asciiTheme="minorHAnsi" w:hAnsiTheme="minorHAnsi" w:cstheme="minorHAnsi"/>
          <w:sz w:val="22"/>
          <w:szCs w:val="22"/>
          <w:lang w:eastAsia="en-US"/>
        </w:rPr>
        <w:t>outside of the normal PBS supply regime. Naloxone will be supplied</w:t>
      </w:r>
      <w:r w:rsidRPr="00812D63">
        <w:rPr>
          <w:rFonts w:asciiTheme="minorHAnsi" w:hAnsiTheme="minorHAnsi" w:cstheme="minorHAnsi"/>
          <w:sz w:val="22"/>
          <w:szCs w:val="22"/>
          <w:lang w:eastAsia="en-US"/>
        </w:rPr>
        <w:t xml:space="preserve"> free of charge and without a prescription </w:t>
      </w:r>
      <w:r w:rsidR="00C848F0">
        <w:rPr>
          <w:rFonts w:asciiTheme="minorHAnsi" w:hAnsiTheme="minorHAnsi" w:cstheme="minorHAnsi"/>
          <w:sz w:val="22"/>
          <w:szCs w:val="22"/>
          <w:lang w:eastAsia="en-US"/>
        </w:rPr>
        <w:t>by hospitals, pharmacists, certain medical practitioners,</w:t>
      </w:r>
      <w:r w:rsidRPr="00812D63">
        <w:rPr>
          <w:rFonts w:asciiTheme="minorHAnsi" w:hAnsiTheme="minorHAnsi" w:cstheme="minorHAnsi"/>
          <w:sz w:val="22"/>
          <w:szCs w:val="22"/>
          <w:lang w:eastAsia="en-US"/>
        </w:rPr>
        <w:t xml:space="preserve"> and other authorised persons or organisations such as needle and syringe programs, alcohol drug treatment centres or correctional release programs</w:t>
      </w:r>
      <w:r w:rsidR="00B3425F" w:rsidRPr="00812D63">
        <w:rPr>
          <w:rFonts w:asciiTheme="minorHAnsi" w:hAnsiTheme="minorHAnsi" w:cstheme="minorHAnsi"/>
          <w:sz w:val="22"/>
          <w:szCs w:val="22"/>
          <w:lang w:eastAsia="en-US"/>
        </w:rPr>
        <w:t xml:space="preserve">. </w:t>
      </w:r>
    </w:p>
    <w:p w14:paraId="20C3E0B1" w14:textId="033DBFBB" w:rsidR="00065738" w:rsidRPr="00812D63" w:rsidRDefault="004F77B8" w:rsidP="00812D63">
      <w:pPr>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Th</w:t>
      </w:r>
      <w:r>
        <w:rPr>
          <w:rFonts w:asciiTheme="minorHAnsi" w:hAnsiTheme="minorHAnsi" w:cstheme="minorHAnsi"/>
          <w:sz w:val="22"/>
          <w:szCs w:val="22"/>
          <w:lang w:eastAsia="en-US"/>
        </w:rPr>
        <w:t>e</w:t>
      </w:r>
      <w:r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00065738" w:rsidRPr="00812D63">
        <w:rPr>
          <w:rFonts w:asciiTheme="minorHAnsi" w:hAnsiTheme="minorHAnsi" w:cstheme="minorHAnsi"/>
          <w:sz w:val="22"/>
          <w:szCs w:val="22"/>
          <w:lang w:eastAsia="en-US"/>
        </w:rPr>
        <w:t xml:space="preserve"> also sets out the requirements in relation to payments for supplies of naloxone and administrative matters relating to the Pilot.</w:t>
      </w:r>
    </w:p>
    <w:p w14:paraId="394CAB4E" w14:textId="0BD77AF5" w:rsidR="00782395" w:rsidRPr="00812D63" w:rsidRDefault="00782395"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A provision</w:t>
      </w:r>
      <w:r w:rsidR="00845804" w:rsidRPr="00812D63">
        <w:rPr>
          <w:rFonts w:asciiTheme="minorHAnsi" w:hAnsiTheme="minorHAnsi" w:cstheme="minorHAnsi"/>
          <w:sz w:val="22"/>
          <w:szCs w:val="22"/>
        </w:rPr>
        <w:t>-</w:t>
      </w:r>
      <w:r w:rsidRPr="00812D63">
        <w:rPr>
          <w:rFonts w:asciiTheme="minorHAnsi" w:hAnsiTheme="minorHAnsi" w:cstheme="minorHAnsi"/>
          <w:sz w:val="22"/>
          <w:szCs w:val="22"/>
        </w:rPr>
        <w:t>by</w:t>
      </w:r>
      <w:r w:rsidR="00845804" w:rsidRPr="00812D63">
        <w:rPr>
          <w:rFonts w:asciiTheme="minorHAnsi" w:hAnsiTheme="minorHAnsi" w:cstheme="minorHAnsi"/>
          <w:sz w:val="22"/>
          <w:szCs w:val="22"/>
        </w:rPr>
        <w:t>-</w:t>
      </w:r>
      <w:r w:rsidRPr="00812D63">
        <w:rPr>
          <w:rFonts w:asciiTheme="minorHAnsi" w:hAnsiTheme="minorHAnsi" w:cstheme="minorHAnsi"/>
          <w:sz w:val="22"/>
          <w:szCs w:val="22"/>
        </w:rPr>
        <w:t>provision description of th</w:t>
      </w:r>
      <w:r w:rsidR="00350552" w:rsidRPr="00812D63">
        <w:rPr>
          <w:rFonts w:asciiTheme="minorHAnsi" w:hAnsiTheme="minorHAnsi" w:cstheme="minorHAnsi"/>
          <w:sz w:val="22"/>
          <w:szCs w:val="22"/>
        </w:rPr>
        <w:t>e</w:t>
      </w:r>
      <w:r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is contained in the </w:t>
      </w:r>
      <w:r w:rsidRPr="00812D63">
        <w:rPr>
          <w:rFonts w:asciiTheme="minorHAnsi" w:hAnsiTheme="minorHAnsi" w:cstheme="minorHAnsi"/>
          <w:sz w:val="22"/>
          <w:szCs w:val="22"/>
          <w:u w:val="single"/>
        </w:rPr>
        <w:t>Attachment</w:t>
      </w:r>
      <w:r w:rsidRPr="00812D63">
        <w:rPr>
          <w:rFonts w:asciiTheme="minorHAnsi" w:hAnsiTheme="minorHAnsi" w:cstheme="minorHAnsi"/>
          <w:sz w:val="22"/>
          <w:szCs w:val="22"/>
        </w:rPr>
        <w:t>.</w:t>
      </w:r>
    </w:p>
    <w:p w14:paraId="40337FD4" w14:textId="77777777" w:rsidR="00CE2E56" w:rsidRPr="00812D63" w:rsidRDefault="00CE2E56" w:rsidP="005D5CD3">
      <w:pPr>
        <w:pStyle w:val="Heading60"/>
        <w:keepNext w:val="0"/>
        <w:keepLines w:val="0"/>
        <w:spacing w:after="240"/>
        <w:jc w:val="left"/>
        <w:rPr>
          <w:rFonts w:asciiTheme="minorHAnsi" w:hAnsiTheme="minorHAnsi" w:cstheme="minorHAnsi"/>
          <w:sz w:val="24"/>
          <w:szCs w:val="24"/>
        </w:rPr>
      </w:pPr>
      <w:r w:rsidRPr="00812D63">
        <w:rPr>
          <w:rFonts w:asciiTheme="minorHAnsi" w:hAnsiTheme="minorHAnsi" w:cstheme="minorHAnsi"/>
          <w:sz w:val="24"/>
          <w:szCs w:val="24"/>
        </w:rPr>
        <w:t>Consultation</w:t>
      </w:r>
    </w:p>
    <w:p w14:paraId="385D3407" w14:textId="49E468BB" w:rsidR="004C4395" w:rsidRPr="00843563" w:rsidRDefault="004C4395"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The design of the Pilot established as a result of this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has occurred in close consultation with </w:t>
      </w:r>
      <w:r w:rsidR="00AA6218" w:rsidRPr="00812D63">
        <w:rPr>
          <w:rFonts w:asciiTheme="minorHAnsi" w:hAnsiTheme="minorHAnsi" w:cstheme="minorHAnsi"/>
          <w:sz w:val="22"/>
          <w:szCs w:val="22"/>
        </w:rPr>
        <w:t xml:space="preserve">the NSW Ministry of Health, the WA Mental Health Commission and SA </w:t>
      </w:r>
      <w:r w:rsidR="000E03D9" w:rsidRPr="00812D63">
        <w:rPr>
          <w:rFonts w:asciiTheme="minorHAnsi" w:hAnsiTheme="minorHAnsi" w:cstheme="minorHAnsi"/>
          <w:sz w:val="22"/>
          <w:szCs w:val="22"/>
        </w:rPr>
        <w:t>Health</w:t>
      </w:r>
      <w:r w:rsidR="00B3425F" w:rsidRPr="00843563">
        <w:rPr>
          <w:rFonts w:asciiTheme="minorHAnsi" w:hAnsiTheme="minorHAnsi" w:cstheme="minorHAnsi"/>
          <w:sz w:val="22"/>
          <w:szCs w:val="22"/>
        </w:rPr>
        <w:t xml:space="preserve">. </w:t>
      </w:r>
      <w:r w:rsidR="00AA6218" w:rsidRPr="00843563">
        <w:rPr>
          <w:rFonts w:asciiTheme="minorHAnsi" w:hAnsiTheme="minorHAnsi" w:cstheme="minorHAnsi"/>
          <w:sz w:val="22"/>
          <w:szCs w:val="22"/>
        </w:rPr>
        <w:t xml:space="preserve">This </w:t>
      </w:r>
      <w:r w:rsidR="005C5D16">
        <w:rPr>
          <w:rFonts w:asciiTheme="minorHAnsi" w:hAnsiTheme="minorHAnsi" w:cstheme="minorHAnsi"/>
          <w:sz w:val="22"/>
          <w:szCs w:val="22"/>
        </w:rPr>
        <w:t>Arrangement</w:t>
      </w:r>
      <w:r w:rsidR="00AA6218" w:rsidRPr="00843563">
        <w:rPr>
          <w:rFonts w:asciiTheme="minorHAnsi" w:hAnsiTheme="minorHAnsi" w:cstheme="minorHAnsi"/>
          <w:sz w:val="22"/>
          <w:szCs w:val="22"/>
        </w:rPr>
        <w:t xml:space="preserve"> was circulated to the relevant state agencies for comment</w:t>
      </w:r>
      <w:r w:rsidR="00812D63" w:rsidRPr="00843563">
        <w:rPr>
          <w:rFonts w:asciiTheme="minorHAnsi" w:hAnsiTheme="minorHAnsi" w:cstheme="minorHAnsi"/>
          <w:sz w:val="22"/>
          <w:szCs w:val="22"/>
        </w:rPr>
        <w:t xml:space="preserve"> and no significant comment on the nature of the </w:t>
      </w:r>
      <w:r w:rsidR="005C5D16">
        <w:rPr>
          <w:rFonts w:asciiTheme="minorHAnsi" w:hAnsiTheme="minorHAnsi" w:cstheme="minorHAnsi"/>
          <w:sz w:val="22"/>
          <w:szCs w:val="22"/>
        </w:rPr>
        <w:t>Arrangement</w:t>
      </w:r>
      <w:r w:rsidR="00812D63" w:rsidRPr="00843563">
        <w:rPr>
          <w:rFonts w:asciiTheme="minorHAnsi" w:hAnsiTheme="minorHAnsi" w:cstheme="minorHAnsi"/>
          <w:sz w:val="22"/>
          <w:szCs w:val="22"/>
        </w:rPr>
        <w:t xml:space="preserve"> was received.</w:t>
      </w:r>
    </w:p>
    <w:p w14:paraId="12BBB066" w14:textId="5F961A69" w:rsidR="008468D6" w:rsidRPr="00812D63" w:rsidRDefault="00AA6218"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In relation to the listing of naloxone, and selection of brands, forms and strengths for inclusion within the Pilot advice was sought from the Pharmaceutical Benefits Advisory Committee (PBAC).</w:t>
      </w:r>
    </w:p>
    <w:p w14:paraId="456AFE5D" w14:textId="6B76788A" w:rsidR="00CE2E56" w:rsidRPr="00812D63" w:rsidRDefault="00A56514"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The PBAC is </w:t>
      </w:r>
      <w:r w:rsidR="00CE2E56" w:rsidRPr="00812D63">
        <w:rPr>
          <w:rFonts w:asciiTheme="minorHAnsi" w:hAnsiTheme="minorHAnsi" w:cstheme="minorHAnsi"/>
          <w:sz w:val="22"/>
          <w:szCs w:val="22"/>
        </w:rPr>
        <w:t>an independent expert body established by section 100A of the Act, which makes recommendations to the Minister for Health about which drugs and medicinal preparations should be available as pharmaceutical benefits</w:t>
      </w:r>
      <w:r w:rsidR="00E9492F" w:rsidRPr="00812D63">
        <w:rPr>
          <w:rFonts w:asciiTheme="minorHAnsi" w:hAnsiTheme="minorHAnsi" w:cstheme="minorHAnsi"/>
          <w:sz w:val="22"/>
          <w:szCs w:val="22"/>
        </w:rPr>
        <w:t xml:space="preserve"> and the circumstances in which they should be available</w:t>
      </w:r>
      <w:r w:rsidR="00B3425F" w:rsidRPr="00812D63">
        <w:rPr>
          <w:rFonts w:asciiTheme="minorHAnsi" w:hAnsiTheme="minorHAnsi" w:cstheme="minorHAnsi"/>
          <w:sz w:val="22"/>
          <w:szCs w:val="22"/>
        </w:rPr>
        <w:t xml:space="preserve">. </w:t>
      </w:r>
      <w:r w:rsidR="00CE2E56" w:rsidRPr="00812D63">
        <w:rPr>
          <w:rFonts w:asciiTheme="minorHAnsi" w:hAnsiTheme="minorHAnsi" w:cstheme="minorHAnsi"/>
          <w:sz w:val="22"/>
          <w:szCs w:val="22"/>
        </w:rPr>
        <w:t>Part VII of the Act only applies to drugs or medicinal prepar</w:t>
      </w:r>
      <w:r w:rsidR="000402A5" w:rsidRPr="00812D63">
        <w:rPr>
          <w:rFonts w:asciiTheme="minorHAnsi" w:hAnsiTheme="minorHAnsi" w:cstheme="minorHAnsi"/>
          <w:sz w:val="22"/>
          <w:szCs w:val="22"/>
        </w:rPr>
        <w:t>ations recommended by the PBAC.</w:t>
      </w:r>
    </w:p>
    <w:p w14:paraId="34AD104D" w14:textId="52D7B93B" w:rsidR="00805005" w:rsidRPr="00812D63" w:rsidRDefault="00CE2E56"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lastRenderedPageBreak/>
        <w:t xml:space="preserve">PBAC members are </w:t>
      </w:r>
      <w:r w:rsidR="00392E3C" w:rsidRPr="00812D63">
        <w:rPr>
          <w:rFonts w:asciiTheme="minorHAnsi" w:hAnsiTheme="minorHAnsi" w:cstheme="minorHAnsi"/>
          <w:sz w:val="22"/>
          <w:szCs w:val="22"/>
        </w:rPr>
        <w:t xml:space="preserve">appointed following nomination by prescribed organisations and associations </w:t>
      </w:r>
      <w:r w:rsidRPr="00812D63">
        <w:rPr>
          <w:rFonts w:asciiTheme="minorHAnsi" w:hAnsiTheme="minorHAnsi" w:cstheme="minorHAnsi"/>
          <w:sz w:val="22"/>
          <w:szCs w:val="22"/>
        </w:rPr>
        <w:t>from consumers, health economists, practising community pharmacists, general practitioners, clinical pharmacologists and specialists, with at least one member selected from each of th</w:t>
      </w:r>
      <w:r w:rsidR="00A32146" w:rsidRPr="00812D63">
        <w:rPr>
          <w:rFonts w:asciiTheme="minorHAnsi" w:hAnsiTheme="minorHAnsi" w:cstheme="minorHAnsi"/>
          <w:sz w:val="22"/>
          <w:szCs w:val="22"/>
        </w:rPr>
        <w:t>e</w:t>
      </w:r>
      <w:r w:rsidR="006071AB" w:rsidRPr="00812D63">
        <w:rPr>
          <w:rFonts w:asciiTheme="minorHAnsi" w:hAnsiTheme="minorHAnsi" w:cstheme="minorHAnsi"/>
          <w:sz w:val="22"/>
          <w:szCs w:val="22"/>
        </w:rPr>
        <w:t>se interests or professions</w:t>
      </w:r>
      <w:r w:rsidR="00B3425F" w:rsidRPr="00812D63">
        <w:rPr>
          <w:rFonts w:asciiTheme="minorHAnsi" w:hAnsiTheme="minorHAnsi" w:cstheme="minorHAnsi"/>
          <w:sz w:val="22"/>
          <w:szCs w:val="22"/>
        </w:rPr>
        <w:t xml:space="preserve">. </w:t>
      </w:r>
      <w:r w:rsidR="006071AB" w:rsidRPr="00812D63">
        <w:rPr>
          <w:rFonts w:asciiTheme="minorHAnsi" w:hAnsiTheme="minorHAnsi" w:cstheme="minorHAnsi"/>
          <w:sz w:val="22"/>
          <w:szCs w:val="22"/>
        </w:rPr>
        <w:t>R</w:t>
      </w:r>
      <w:r w:rsidRPr="00812D63">
        <w:rPr>
          <w:rFonts w:asciiTheme="minorHAnsi" w:hAnsiTheme="minorHAnsi" w:cstheme="minorHAnsi"/>
          <w:sz w:val="22"/>
          <w:szCs w:val="22"/>
        </w:rPr>
        <w:t>e</w:t>
      </w:r>
      <w:r w:rsidR="00392E3C" w:rsidRPr="00812D63">
        <w:rPr>
          <w:rFonts w:asciiTheme="minorHAnsi" w:hAnsiTheme="minorHAnsi" w:cstheme="minorHAnsi"/>
          <w:sz w:val="22"/>
          <w:szCs w:val="22"/>
        </w:rPr>
        <w:t>maining members are persons whom</w:t>
      </w:r>
      <w:r w:rsidRPr="00812D63">
        <w:rPr>
          <w:rFonts w:asciiTheme="minorHAnsi" w:hAnsiTheme="minorHAnsi" w:cstheme="minorHAnsi"/>
          <w:sz w:val="22"/>
          <w:szCs w:val="22"/>
        </w:rPr>
        <w:t xml:space="preserve"> the Minister is satisfied have qualifications and experience in a field relevant to the functions of the PBAC, and that would enable them to contribute meaningfully t</w:t>
      </w:r>
      <w:r w:rsidR="002C60CC" w:rsidRPr="00812D63">
        <w:rPr>
          <w:rFonts w:asciiTheme="minorHAnsi" w:hAnsiTheme="minorHAnsi" w:cstheme="minorHAnsi"/>
          <w:sz w:val="22"/>
          <w:szCs w:val="22"/>
        </w:rPr>
        <w:t>o the deliberations of the PBAC.</w:t>
      </w:r>
    </w:p>
    <w:p w14:paraId="67A10708" w14:textId="52BCB145" w:rsidR="00AA6218" w:rsidRPr="00812D63" w:rsidRDefault="00AA6218"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has been prepared by the Office of Parliamentary Counsel.</w:t>
      </w:r>
    </w:p>
    <w:p w14:paraId="4294C263" w14:textId="53CD80D0" w:rsidR="00F3611D" w:rsidRPr="00812D63" w:rsidRDefault="00473BA4" w:rsidP="00812D63">
      <w:pPr>
        <w:spacing w:after="160"/>
        <w:jc w:val="left"/>
        <w:rPr>
          <w:rFonts w:asciiTheme="minorHAnsi" w:hAnsiTheme="minorHAnsi" w:cstheme="minorHAnsi"/>
          <w:sz w:val="22"/>
          <w:szCs w:val="22"/>
        </w:rPr>
      </w:pPr>
      <w:r w:rsidRPr="00812D63">
        <w:rPr>
          <w:rFonts w:asciiTheme="minorHAnsi" w:hAnsiTheme="minorHAnsi" w:cstheme="minorHAnsi"/>
          <w:sz w:val="22"/>
          <w:szCs w:val="22"/>
        </w:rPr>
        <w:t>Th</w:t>
      </w:r>
      <w:r w:rsidR="00350552" w:rsidRPr="00812D63">
        <w:rPr>
          <w:rFonts w:asciiTheme="minorHAnsi" w:hAnsiTheme="minorHAnsi" w:cstheme="minorHAnsi"/>
          <w:sz w:val="22"/>
          <w:szCs w:val="22"/>
        </w:rPr>
        <w:t>e</w:t>
      </w:r>
      <w:r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commences on 1</w:t>
      </w:r>
      <w:r w:rsidR="00074E80" w:rsidRPr="00812D63">
        <w:rPr>
          <w:rFonts w:asciiTheme="minorHAnsi" w:hAnsiTheme="minorHAnsi" w:cstheme="minorHAnsi"/>
          <w:sz w:val="22"/>
          <w:szCs w:val="22"/>
        </w:rPr>
        <w:t> </w:t>
      </w:r>
      <w:r w:rsidR="009D6162" w:rsidRPr="00812D63">
        <w:rPr>
          <w:rFonts w:asciiTheme="minorHAnsi" w:hAnsiTheme="minorHAnsi" w:cstheme="minorHAnsi"/>
          <w:sz w:val="22"/>
          <w:szCs w:val="22"/>
        </w:rPr>
        <w:t>December 2019</w:t>
      </w:r>
      <w:r w:rsidRPr="00812D63">
        <w:rPr>
          <w:rFonts w:asciiTheme="minorHAnsi" w:hAnsiTheme="minorHAnsi" w:cstheme="minorHAnsi"/>
          <w:sz w:val="22"/>
          <w:szCs w:val="22"/>
        </w:rPr>
        <w:t>.</w:t>
      </w:r>
    </w:p>
    <w:p w14:paraId="5FF21A11" w14:textId="18307423" w:rsidR="00F3611D" w:rsidRPr="00812D63" w:rsidRDefault="00F3611D" w:rsidP="00812D63">
      <w:pPr>
        <w:spacing w:after="160"/>
        <w:jc w:val="left"/>
        <w:rPr>
          <w:rFonts w:asciiTheme="minorHAnsi" w:hAnsiTheme="minorHAnsi" w:cstheme="minorHAnsi"/>
          <w:i/>
          <w:sz w:val="22"/>
          <w:szCs w:val="22"/>
        </w:rPr>
      </w:pPr>
      <w:r w:rsidRPr="00812D63">
        <w:rPr>
          <w:rFonts w:asciiTheme="minorHAnsi" w:hAnsiTheme="minorHAnsi" w:cstheme="minorHAnsi"/>
          <w:sz w:val="22"/>
          <w:szCs w:val="22"/>
        </w:rPr>
        <w:t>Th</w:t>
      </w:r>
      <w:r w:rsidR="00350552" w:rsidRPr="00812D63">
        <w:rPr>
          <w:rFonts w:asciiTheme="minorHAnsi" w:hAnsiTheme="minorHAnsi" w:cstheme="minorHAnsi"/>
          <w:sz w:val="22"/>
          <w:szCs w:val="22"/>
        </w:rPr>
        <w:t>e</w:t>
      </w:r>
      <w:r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is a legislative instrument for the purposes of the </w:t>
      </w:r>
      <w:r w:rsidRPr="00812D63">
        <w:rPr>
          <w:rFonts w:asciiTheme="minorHAnsi" w:hAnsiTheme="minorHAnsi" w:cstheme="minorHAnsi"/>
          <w:i/>
          <w:sz w:val="22"/>
          <w:szCs w:val="22"/>
        </w:rPr>
        <w:t>Legislat</w:t>
      </w:r>
      <w:r w:rsidR="006734AD" w:rsidRPr="00812D63">
        <w:rPr>
          <w:rFonts w:asciiTheme="minorHAnsi" w:hAnsiTheme="minorHAnsi" w:cstheme="minorHAnsi"/>
          <w:i/>
          <w:sz w:val="22"/>
          <w:szCs w:val="22"/>
        </w:rPr>
        <w:t>ion</w:t>
      </w:r>
      <w:r w:rsidRPr="00812D63">
        <w:rPr>
          <w:rFonts w:asciiTheme="minorHAnsi" w:hAnsiTheme="minorHAnsi" w:cstheme="minorHAnsi"/>
          <w:i/>
          <w:sz w:val="22"/>
          <w:szCs w:val="22"/>
        </w:rPr>
        <w:t xml:space="preserve"> </w:t>
      </w:r>
      <w:r w:rsidR="00CE7E07" w:rsidRPr="00812D63">
        <w:rPr>
          <w:rFonts w:asciiTheme="minorHAnsi" w:hAnsiTheme="minorHAnsi" w:cstheme="minorHAnsi"/>
          <w:i/>
          <w:sz w:val="22"/>
          <w:szCs w:val="22"/>
        </w:rPr>
        <w:t>Act 2003.</w:t>
      </w:r>
    </w:p>
    <w:p w14:paraId="65DEF0AA" w14:textId="77777777" w:rsidR="0014157B" w:rsidRPr="00812D63" w:rsidRDefault="0073452D" w:rsidP="005D5CD3">
      <w:pPr>
        <w:keepLines w:val="0"/>
        <w:spacing w:after="240"/>
        <w:jc w:val="right"/>
        <w:rPr>
          <w:rFonts w:asciiTheme="minorHAnsi" w:hAnsiTheme="minorHAnsi" w:cstheme="minorHAnsi"/>
          <w:b/>
          <w:sz w:val="24"/>
          <w:szCs w:val="24"/>
          <w:lang w:eastAsia="en-US"/>
        </w:rPr>
      </w:pPr>
      <w:r w:rsidRPr="00812D63">
        <w:rPr>
          <w:rFonts w:asciiTheme="minorHAnsi" w:hAnsiTheme="minorHAnsi" w:cstheme="minorHAnsi"/>
          <w:i/>
          <w:sz w:val="24"/>
          <w:szCs w:val="24"/>
        </w:rPr>
        <w:br w:type="page"/>
      </w:r>
      <w:r w:rsidR="0014157B" w:rsidRPr="00812D63">
        <w:rPr>
          <w:rFonts w:asciiTheme="minorHAnsi" w:hAnsiTheme="minorHAnsi" w:cstheme="minorHAnsi"/>
          <w:b/>
          <w:sz w:val="24"/>
          <w:szCs w:val="24"/>
          <w:lang w:eastAsia="en-US"/>
        </w:rPr>
        <w:lastRenderedPageBreak/>
        <w:t>ATTACHMENT</w:t>
      </w:r>
    </w:p>
    <w:p w14:paraId="34C39894" w14:textId="1BBDB905" w:rsidR="0014157B" w:rsidRPr="00812D63" w:rsidRDefault="00EF6EDA" w:rsidP="005D5CD3">
      <w:pPr>
        <w:keepLines w:val="0"/>
        <w:spacing w:after="240"/>
        <w:jc w:val="left"/>
        <w:rPr>
          <w:rFonts w:asciiTheme="minorHAnsi" w:hAnsiTheme="minorHAnsi" w:cstheme="minorHAnsi"/>
          <w:b/>
          <w:i/>
          <w:sz w:val="24"/>
          <w:szCs w:val="24"/>
          <w:lang w:eastAsia="en-US"/>
        </w:rPr>
      </w:pPr>
      <w:r w:rsidRPr="00812D63">
        <w:rPr>
          <w:rFonts w:asciiTheme="minorHAnsi" w:hAnsiTheme="minorHAnsi" w:cstheme="minorHAnsi"/>
          <w:b/>
          <w:i/>
          <w:sz w:val="24"/>
          <w:szCs w:val="24"/>
          <w:lang w:eastAsia="en-US"/>
        </w:rPr>
        <w:t>DETAILS</w:t>
      </w:r>
      <w:r w:rsidR="0014157B" w:rsidRPr="00812D63">
        <w:rPr>
          <w:rFonts w:asciiTheme="minorHAnsi" w:hAnsiTheme="minorHAnsi" w:cstheme="minorHAnsi"/>
          <w:b/>
          <w:i/>
          <w:sz w:val="24"/>
          <w:szCs w:val="24"/>
          <w:lang w:eastAsia="en-US"/>
        </w:rPr>
        <w:t xml:space="preserve"> OF THE </w:t>
      </w:r>
      <w:r w:rsidR="0083549F" w:rsidRPr="00812D63">
        <w:rPr>
          <w:rFonts w:asciiTheme="minorHAnsi" w:hAnsiTheme="minorHAnsi" w:cstheme="minorHAnsi"/>
          <w:b/>
          <w:i/>
          <w:sz w:val="24"/>
          <w:szCs w:val="24"/>
        </w:rPr>
        <w:t>NATIONAL HEALTH (TAKE HOME NALOXONE PILOT) SPECIAL ARRANGEMENT 2019</w:t>
      </w:r>
    </w:p>
    <w:p w14:paraId="4EC1320B" w14:textId="77777777" w:rsidR="0083549F" w:rsidRPr="00812D63" w:rsidRDefault="0083549F" w:rsidP="00473013">
      <w:pPr>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Part 1 - Preliminary</w:t>
      </w:r>
    </w:p>
    <w:p w14:paraId="64A9A663" w14:textId="01D1363B" w:rsidR="0014157B" w:rsidRPr="00812D63" w:rsidRDefault="00FF2005"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1</w:t>
      </w:r>
      <w:r w:rsidRPr="00812D63">
        <w:rPr>
          <w:rFonts w:asciiTheme="minorHAnsi" w:hAnsiTheme="minorHAnsi" w:cstheme="minorHAnsi"/>
          <w:b/>
          <w:sz w:val="24"/>
          <w:szCs w:val="24"/>
          <w:lang w:eastAsia="en-US"/>
        </w:rPr>
        <w:tab/>
        <w:t>Name</w:t>
      </w:r>
    </w:p>
    <w:p w14:paraId="5B610E5D" w14:textId="7753200C" w:rsidR="0014157B" w:rsidRPr="00812D63" w:rsidRDefault="0014157B" w:rsidP="00473013">
      <w:pPr>
        <w:keepLines w:val="0"/>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 xml:space="preserve">This section provides that </w:t>
      </w:r>
      <w:r w:rsidR="00413A62" w:rsidRPr="00812D63">
        <w:rPr>
          <w:rFonts w:asciiTheme="minorHAnsi" w:hAnsiTheme="minorHAnsi" w:cstheme="minorHAnsi"/>
          <w:sz w:val="22"/>
          <w:szCs w:val="22"/>
          <w:lang w:eastAsia="en-US"/>
        </w:rPr>
        <w:t>th</w:t>
      </w:r>
      <w:r w:rsidR="00413A62">
        <w:rPr>
          <w:rFonts w:asciiTheme="minorHAnsi" w:hAnsiTheme="minorHAnsi" w:cstheme="minorHAnsi"/>
          <w:sz w:val="22"/>
          <w:szCs w:val="22"/>
          <w:lang w:eastAsia="en-US"/>
        </w:rPr>
        <w:t>e</w:t>
      </w:r>
      <w:r w:rsidR="00413A62"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Pr="00812D63">
        <w:rPr>
          <w:rFonts w:asciiTheme="minorHAnsi" w:hAnsiTheme="minorHAnsi" w:cstheme="minorHAnsi"/>
          <w:sz w:val="22"/>
          <w:szCs w:val="22"/>
          <w:lang w:eastAsia="en-US"/>
        </w:rPr>
        <w:t xml:space="preserve"> is the </w:t>
      </w:r>
      <w:r w:rsidR="0083549F" w:rsidRPr="00812D63">
        <w:rPr>
          <w:rFonts w:asciiTheme="minorHAnsi" w:hAnsiTheme="minorHAnsi" w:cstheme="minorHAnsi"/>
          <w:i/>
          <w:sz w:val="22"/>
          <w:szCs w:val="22"/>
        </w:rPr>
        <w:t>National Health (Take Home Naloxone Pilot) Special Arrangement 2019</w:t>
      </w:r>
      <w:r w:rsidR="00413A62">
        <w:rPr>
          <w:rFonts w:asciiTheme="minorHAnsi" w:hAnsiTheme="minorHAnsi" w:cstheme="minorHAnsi"/>
          <w:sz w:val="22"/>
          <w:szCs w:val="22"/>
          <w:lang w:eastAsia="en-US"/>
        </w:rPr>
        <w:t>. It can also</w:t>
      </w:r>
      <w:r w:rsidRPr="00812D63">
        <w:rPr>
          <w:rFonts w:asciiTheme="minorHAnsi" w:hAnsiTheme="minorHAnsi" w:cstheme="minorHAnsi"/>
          <w:sz w:val="22"/>
          <w:szCs w:val="22"/>
          <w:lang w:eastAsia="en-US"/>
        </w:rPr>
        <w:t xml:space="preserve"> be cited as PB</w:t>
      </w:r>
      <w:r w:rsidR="000E03D9" w:rsidRPr="00812D63">
        <w:rPr>
          <w:rFonts w:asciiTheme="minorHAnsi" w:hAnsiTheme="minorHAnsi" w:cstheme="minorHAnsi"/>
          <w:sz w:val="22"/>
          <w:szCs w:val="22"/>
          <w:lang w:eastAsia="en-US"/>
        </w:rPr>
        <w:t xml:space="preserve"> 97</w:t>
      </w:r>
      <w:r w:rsidR="00362F8F" w:rsidRPr="00812D63">
        <w:rPr>
          <w:rFonts w:asciiTheme="minorHAnsi" w:hAnsiTheme="minorHAnsi" w:cstheme="minorHAnsi"/>
          <w:sz w:val="22"/>
          <w:szCs w:val="22"/>
          <w:lang w:eastAsia="en-US"/>
        </w:rPr>
        <w:t> </w:t>
      </w:r>
      <w:r w:rsidR="00410CEA" w:rsidRPr="00812D63">
        <w:rPr>
          <w:rFonts w:asciiTheme="minorHAnsi" w:hAnsiTheme="minorHAnsi" w:cstheme="minorHAnsi"/>
          <w:sz w:val="22"/>
          <w:szCs w:val="22"/>
          <w:lang w:eastAsia="en-US"/>
        </w:rPr>
        <w:t>of</w:t>
      </w:r>
      <w:r w:rsidR="00362F8F" w:rsidRPr="00812D63">
        <w:rPr>
          <w:rFonts w:asciiTheme="minorHAnsi" w:hAnsiTheme="minorHAnsi" w:cstheme="minorHAnsi"/>
          <w:sz w:val="22"/>
          <w:szCs w:val="22"/>
          <w:lang w:eastAsia="en-US"/>
        </w:rPr>
        <w:t> </w:t>
      </w:r>
      <w:r w:rsidR="0083549F" w:rsidRPr="00812D63">
        <w:rPr>
          <w:rFonts w:asciiTheme="minorHAnsi" w:hAnsiTheme="minorHAnsi" w:cstheme="minorHAnsi"/>
          <w:sz w:val="22"/>
          <w:szCs w:val="22"/>
          <w:lang w:eastAsia="en-US"/>
        </w:rPr>
        <w:t>2019</w:t>
      </w:r>
      <w:r w:rsidRPr="00812D63">
        <w:rPr>
          <w:rFonts w:asciiTheme="minorHAnsi" w:hAnsiTheme="minorHAnsi" w:cstheme="minorHAnsi"/>
          <w:sz w:val="22"/>
          <w:szCs w:val="22"/>
          <w:lang w:eastAsia="en-US"/>
        </w:rPr>
        <w:t>.</w:t>
      </w:r>
    </w:p>
    <w:p w14:paraId="3570DCED" w14:textId="77777777" w:rsidR="0014157B" w:rsidRPr="00812D63" w:rsidRDefault="0014157B"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2</w:t>
      </w:r>
      <w:r w:rsidRPr="00812D63">
        <w:rPr>
          <w:rFonts w:asciiTheme="minorHAnsi" w:hAnsiTheme="minorHAnsi" w:cstheme="minorHAnsi"/>
          <w:b/>
          <w:sz w:val="24"/>
          <w:szCs w:val="24"/>
          <w:lang w:eastAsia="en-US"/>
        </w:rPr>
        <w:tab/>
        <w:t>Commencement</w:t>
      </w:r>
    </w:p>
    <w:p w14:paraId="45D85374" w14:textId="24D13080" w:rsidR="0014157B" w:rsidRPr="00812D63" w:rsidRDefault="0014157B" w:rsidP="00473013">
      <w:pPr>
        <w:keepLines w:val="0"/>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 xml:space="preserve">This section provides that </w:t>
      </w:r>
      <w:r w:rsidR="00413A62" w:rsidRPr="00812D63">
        <w:rPr>
          <w:rFonts w:asciiTheme="minorHAnsi" w:hAnsiTheme="minorHAnsi" w:cstheme="minorHAnsi"/>
          <w:sz w:val="22"/>
          <w:szCs w:val="22"/>
          <w:lang w:eastAsia="en-US"/>
        </w:rPr>
        <w:t>th</w:t>
      </w:r>
      <w:r w:rsidR="00413A62">
        <w:rPr>
          <w:rFonts w:asciiTheme="minorHAnsi" w:hAnsiTheme="minorHAnsi" w:cstheme="minorHAnsi"/>
          <w:sz w:val="22"/>
          <w:szCs w:val="22"/>
          <w:lang w:eastAsia="en-US"/>
        </w:rPr>
        <w:t>e</w:t>
      </w:r>
      <w:r w:rsidR="00413A62"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Pr="00812D63">
        <w:rPr>
          <w:rFonts w:asciiTheme="minorHAnsi" w:hAnsiTheme="minorHAnsi" w:cstheme="minorHAnsi"/>
          <w:sz w:val="22"/>
          <w:szCs w:val="22"/>
          <w:lang w:eastAsia="en-US"/>
        </w:rPr>
        <w:t xml:space="preserve"> commences on </w:t>
      </w:r>
      <w:r w:rsidR="005E00A0" w:rsidRPr="00812D63">
        <w:rPr>
          <w:rFonts w:asciiTheme="minorHAnsi" w:hAnsiTheme="minorHAnsi" w:cstheme="minorHAnsi"/>
          <w:sz w:val="22"/>
          <w:szCs w:val="22"/>
          <w:lang w:eastAsia="en-US"/>
        </w:rPr>
        <w:t>1</w:t>
      </w:r>
      <w:r w:rsidR="00362F8F" w:rsidRPr="00812D63">
        <w:rPr>
          <w:rFonts w:asciiTheme="minorHAnsi" w:hAnsiTheme="minorHAnsi" w:cstheme="minorHAnsi"/>
          <w:sz w:val="22"/>
          <w:szCs w:val="22"/>
          <w:lang w:eastAsia="en-US"/>
        </w:rPr>
        <w:t> </w:t>
      </w:r>
      <w:r w:rsidR="0083549F" w:rsidRPr="00812D63">
        <w:rPr>
          <w:rFonts w:asciiTheme="minorHAnsi" w:hAnsiTheme="minorHAnsi" w:cstheme="minorHAnsi"/>
          <w:sz w:val="22"/>
          <w:szCs w:val="22"/>
          <w:lang w:eastAsia="en-US"/>
        </w:rPr>
        <w:t>December 2019</w:t>
      </w:r>
      <w:r w:rsidRPr="00812D63">
        <w:rPr>
          <w:rFonts w:asciiTheme="minorHAnsi" w:hAnsiTheme="minorHAnsi" w:cstheme="minorHAnsi"/>
          <w:sz w:val="22"/>
          <w:szCs w:val="22"/>
          <w:lang w:eastAsia="en-US"/>
        </w:rPr>
        <w:t xml:space="preserve">. </w:t>
      </w:r>
    </w:p>
    <w:p w14:paraId="17065D70" w14:textId="77777777" w:rsidR="00686B08" w:rsidRPr="00812D63" w:rsidRDefault="0084372F"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3</w:t>
      </w:r>
      <w:r w:rsidR="0014157B" w:rsidRPr="00812D63">
        <w:rPr>
          <w:rFonts w:asciiTheme="minorHAnsi" w:hAnsiTheme="minorHAnsi" w:cstheme="minorHAnsi"/>
          <w:b/>
          <w:sz w:val="24"/>
          <w:szCs w:val="24"/>
          <w:lang w:eastAsia="en-US"/>
        </w:rPr>
        <w:tab/>
      </w:r>
      <w:r w:rsidR="00686B08" w:rsidRPr="00812D63">
        <w:rPr>
          <w:rFonts w:asciiTheme="minorHAnsi" w:hAnsiTheme="minorHAnsi" w:cstheme="minorHAnsi"/>
          <w:b/>
          <w:sz w:val="24"/>
          <w:szCs w:val="24"/>
          <w:lang w:eastAsia="en-US"/>
        </w:rPr>
        <w:t>Authority</w:t>
      </w:r>
      <w:bookmarkStart w:id="0" w:name="_GoBack"/>
      <w:bookmarkEnd w:id="0"/>
    </w:p>
    <w:p w14:paraId="6A3B526C" w14:textId="202D58EF" w:rsidR="00686B08" w:rsidRPr="00812D63" w:rsidRDefault="00686B08" w:rsidP="00473013">
      <w:pPr>
        <w:keepLines w:val="0"/>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 xml:space="preserve">This section provides that </w:t>
      </w:r>
      <w:r w:rsidR="00413A62" w:rsidRPr="00812D63">
        <w:rPr>
          <w:rFonts w:asciiTheme="minorHAnsi" w:hAnsiTheme="minorHAnsi" w:cstheme="minorHAnsi"/>
          <w:sz w:val="22"/>
          <w:szCs w:val="22"/>
          <w:lang w:eastAsia="en-US"/>
        </w:rPr>
        <w:t>th</w:t>
      </w:r>
      <w:r w:rsidR="00413A62">
        <w:rPr>
          <w:rFonts w:asciiTheme="minorHAnsi" w:hAnsiTheme="minorHAnsi" w:cstheme="minorHAnsi"/>
          <w:sz w:val="22"/>
          <w:szCs w:val="22"/>
          <w:lang w:eastAsia="en-US"/>
        </w:rPr>
        <w:t>e</w:t>
      </w:r>
      <w:r w:rsidR="00413A62"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Pr="00812D63">
        <w:rPr>
          <w:rFonts w:asciiTheme="minorHAnsi" w:hAnsiTheme="minorHAnsi" w:cstheme="minorHAnsi"/>
          <w:sz w:val="22"/>
          <w:szCs w:val="22"/>
          <w:lang w:eastAsia="en-US"/>
        </w:rPr>
        <w:t xml:space="preserve"> is made </w:t>
      </w:r>
      <w:r w:rsidRPr="00091970">
        <w:rPr>
          <w:rFonts w:asciiTheme="minorHAnsi" w:hAnsiTheme="minorHAnsi" w:cstheme="minorHAnsi"/>
          <w:sz w:val="22"/>
          <w:szCs w:val="22"/>
          <w:lang w:eastAsia="en-US"/>
        </w:rPr>
        <w:t xml:space="preserve">under section </w:t>
      </w:r>
      <w:r w:rsidRPr="00812D63">
        <w:rPr>
          <w:rFonts w:asciiTheme="minorHAnsi" w:hAnsiTheme="minorHAnsi" w:cstheme="minorHAnsi"/>
          <w:sz w:val="22"/>
          <w:szCs w:val="22"/>
          <w:lang w:eastAsia="en-US"/>
        </w:rPr>
        <w:t xml:space="preserve">100 of the </w:t>
      </w:r>
      <w:r w:rsidRPr="00812D63">
        <w:rPr>
          <w:rFonts w:asciiTheme="minorHAnsi" w:hAnsiTheme="minorHAnsi" w:cstheme="minorHAnsi"/>
          <w:i/>
          <w:sz w:val="22"/>
          <w:szCs w:val="22"/>
          <w:lang w:eastAsia="en-US"/>
        </w:rPr>
        <w:t>National Health Act 1953</w:t>
      </w:r>
      <w:r w:rsidRPr="00812D63">
        <w:rPr>
          <w:rFonts w:asciiTheme="minorHAnsi" w:hAnsiTheme="minorHAnsi" w:cstheme="minorHAnsi"/>
          <w:sz w:val="22"/>
          <w:szCs w:val="22"/>
          <w:lang w:eastAsia="en-US"/>
        </w:rPr>
        <w:t>.</w:t>
      </w:r>
    </w:p>
    <w:p w14:paraId="00D5F70B" w14:textId="77777777" w:rsidR="0083549F" w:rsidRPr="00812D63" w:rsidRDefault="0083549F"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4</w:t>
      </w:r>
      <w:r w:rsidRPr="00812D63">
        <w:rPr>
          <w:rFonts w:asciiTheme="minorHAnsi" w:hAnsiTheme="minorHAnsi" w:cstheme="minorHAnsi"/>
          <w:b/>
          <w:sz w:val="24"/>
          <w:szCs w:val="24"/>
          <w:lang w:eastAsia="en-US"/>
        </w:rPr>
        <w:tab/>
        <w:t>Repeal of this instrument</w:t>
      </w:r>
    </w:p>
    <w:p w14:paraId="2B731380" w14:textId="61C16E33" w:rsidR="0083549F" w:rsidRPr="00812D63" w:rsidRDefault="0083549F" w:rsidP="00473013">
      <w:pPr>
        <w:keepLines w:val="0"/>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 xml:space="preserve">This section provides that </w:t>
      </w:r>
      <w:r w:rsidR="00413A62" w:rsidRPr="00812D63">
        <w:rPr>
          <w:rFonts w:asciiTheme="minorHAnsi" w:hAnsiTheme="minorHAnsi" w:cstheme="minorHAnsi"/>
          <w:sz w:val="22"/>
          <w:szCs w:val="22"/>
          <w:lang w:eastAsia="en-US"/>
        </w:rPr>
        <w:t>th</w:t>
      </w:r>
      <w:r w:rsidR="00413A62">
        <w:rPr>
          <w:rFonts w:asciiTheme="minorHAnsi" w:hAnsiTheme="minorHAnsi" w:cstheme="minorHAnsi"/>
          <w:sz w:val="22"/>
          <w:szCs w:val="22"/>
          <w:lang w:eastAsia="en-US"/>
        </w:rPr>
        <w:t>e</w:t>
      </w:r>
      <w:r w:rsidR="00413A62"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Pr="00812D63">
        <w:rPr>
          <w:rFonts w:asciiTheme="minorHAnsi" w:hAnsiTheme="minorHAnsi" w:cstheme="minorHAnsi"/>
          <w:sz w:val="22"/>
          <w:szCs w:val="22"/>
          <w:lang w:eastAsia="en-US"/>
        </w:rPr>
        <w:t xml:space="preserve"> is repealed </w:t>
      </w:r>
      <w:r w:rsidR="00ED605D" w:rsidRPr="00812D63">
        <w:rPr>
          <w:rFonts w:asciiTheme="minorHAnsi" w:hAnsiTheme="minorHAnsi" w:cstheme="minorHAnsi"/>
          <w:sz w:val="22"/>
          <w:szCs w:val="22"/>
          <w:lang w:eastAsia="en-US"/>
        </w:rPr>
        <w:t>on 1 May 2021</w:t>
      </w:r>
      <w:r w:rsidRPr="00812D63">
        <w:rPr>
          <w:rFonts w:asciiTheme="minorHAnsi" w:hAnsiTheme="minorHAnsi" w:cstheme="minorHAnsi"/>
          <w:sz w:val="22"/>
          <w:szCs w:val="22"/>
          <w:lang w:eastAsia="en-US"/>
        </w:rPr>
        <w:t>.</w:t>
      </w:r>
    </w:p>
    <w:p w14:paraId="78BFD94F" w14:textId="77777777" w:rsidR="0083549F" w:rsidRPr="00812D63" w:rsidRDefault="0083549F"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5</w:t>
      </w:r>
      <w:r w:rsidRPr="00812D63">
        <w:rPr>
          <w:rFonts w:asciiTheme="minorHAnsi" w:hAnsiTheme="minorHAnsi" w:cstheme="minorHAnsi"/>
          <w:b/>
          <w:sz w:val="24"/>
          <w:szCs w:val="24"/>
          <w:lang w:eastAsia="en-US"/>
        </w:rPr>
        <w:tab/>
        <w:t>Simplified outline of this instrument</w:t>
      </w:r>
      <w:r w:rsidR="00686B08" w:rsidRPr="00812D63">
        <w:rPr>
          <w:rFonts w:asciiTheme="minorHAnsi" w:hAnsiTheme="minorHAnsi" w:cstheme="minorHAnsi"/>
          <w:b/>
          <w:sz w:val="24"/>
          <w:szCs w:val="24"/>
          <w:lang w:eastAsia="en-US"/>
        </w:rPr>
        <w:tab/>
      </w:r>
    </w:p>
    <w:p w14:paraId="2EF2F8CD" w14:textId="6F5CED49" w:rsidR="0012230F" w:rsidRDefault="00242832" w:rsidP="00C93AEF">
      <w:pPr>
        <w:keepLines w:val="0"/>
        <w:spacing w:after="8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This section provides a summary of the Pilot</w:t>
      </w:r>
      <w:r w:rsidR="0012230F">
        <w:rPr>
          <w:rFonts w:asciiTheme="minorHAnsi" w:hAnsiTheme="minorHAnsi" w:cstheme="minorHAnsi"/>
          <w:sz w:val="22"/>
          <w:szCs w:val="22"/>
          <w:lang w:eastAsia="en-US"/>
        </w:rPr>
        <w:t xml:space="preserve"> and explains the purpose of the </w:t>
      </w:r>
      <w:r w:rsidR="005C5D16">
        <w:rPr>
          <w:rFonts w:asciiTheme="minorHAnsi" w:hAnsiTheme="minorHAnsi" w:cstheme="minorHAnsi"/>
          <w:sz w:val="22"/>
          <w:szCs w:val="22"/>
          <w:lang w:eastAsia="en-US"/>
        </w:rPr>
        <w:t>Arrangement</w:t>
      </w:r>
      <w:r w:rsidR="00B3425F" w:rsidRPr="00812D63">
        <w:rPr>
          <w:rFonts w:asciiTheme="minorHAnsi" w:hAnsiTheme="minorHAnsi" w:cstheme="minorHAnsi"/>
          <w:sz w:val="22"/>
          <w:szCs w:val="22"/>
          <w:lang w:eastAsia="en-US"/>
        </w:rPr>
        <w:t xml:space="preserve">. </w:t>
      </w:r>
      <w:r w:rsidRPr="00812D63">
        <w:rPr>
          <w:rFonts w:asciiTheme="minorHAnsi" w:hAnsiTheme="minorHAnsi" w:cstheme="minorHAnsi"/>
          <w:sz w:val="22"/>
          <w:szCs w:val="22"/>
          <w:lang w:eastAsia="en-US"/>
        </w:rPr>
        <w:t>It states that</w:t>
      </w:r>
      <w:r w:rsidR="0012230F">
        <w:rPr>
          <w:rFonts w:asciiTheme="minorHAnsi" w:hAnsiTheme="minorHAnsi" w:cstheme="minorHAnsi"/>
          <w:sz w:val="22"/>
          <w:szCs w:val="22"/>
          <w:lang w:eastAsia="en-US"/>
        </w:rPr>
        <w:t>:</w:t>
      </w:r>
    </w:p>
    <w:p w14:paraId="379DD2A7" w14:textId="00BBB451" w:rsidR="0012230F" w:rsidRDefault="00F941E4" w:rsidP="00C93AEF">
      <w:pPr>
        <w:pStyle w:val="ListParagraph"/>
        <w:numPr>
          <w:ilvl w:val="0"/>
          <w:numId w:val="31"/>
        </w:numPr>
        <w:spacing w:after="80"/>
        <w:rPr>
          <w:rFonts w:asciiTheme="minorHAnsi" w:hAnsiTheme="minorHAnsi" w:cstheme="minorHAnsi"/>
        </w:rPr>
      </w:pPr>
      <w:r>
        <w:rPr>
          <w:rFonts w:asciiTheme="minorHAnsi" w:hAnsiTheme="minorHAnsi" w:cstheme="minorHAnsi"/>
        </w:rPr>
        <w:t>T</w:t>
      </w:r>
      <w:r w:rsidR="00242832" w:rsidRPr="0012230F">
        <w:rPr>
          <w:rFonts w:asciiTheme="minorHAnsi" w:hAnsiTheme="minorHAnsi" w:cstheme="minorHAnsi"/>
        </w:rPr>
        <w:t xml:space="preserve">he purpose of </w:t>
      </w:r>
      <w:r w:rsidR="00413A62" w:rsidRPr="0012230F">
        <w:rPr>
          <w:rFonts w:asciiTheme="minorHAnsi" w:hAnsiTheme="minorHAnsi" w:cstheme="minorHAnsi"/>
        </w:rPr>
        <w:t xml:space="preserve">the </w:t>
      </w:r>
      <w:r w:rsidR="005C5D16">
        <w:rPr>
          <w:rFonts w:asciiTheme="minorHAnsi" w:hAnsiTheme="minorHAnsi" w:cstheme="minorHAnsi"/>
        </w:rPr>
        <w:t>Arrangement</w:t>
      </w:r>
      <w:r w:rsidR="00242832" w:rsidRPr="0012230F">
        <w:rPr>
          <w:rFonts w:asciiTheme="minorHAnsi" w:hAnsiTheme="minorHAnsi" w:cstheme="minorHAnsi"/>
        </w:rPr>
        <w:t xml:space="preserve"> is to make a special arrangement that will allow for a trial of the supply of na</w:t>
      </w:r>
      <w:r w:rsidR="00FF2005" w:rsidRPr="0012230F">
        <w:rPr>
          <w:rFonts w:asciiTheme="minorHAnsi" w:hAnsiTheme="minorHAnsi" w:cstheme="minorHAnsi"/>
        </w:rPr>
        <w:t>loxone to persons who are at risk of an opioid overdose and persons who are likely to be able to assist such persons</w:t>
      </w:r>
      <w:r w:rsidR="00B3425F" w:rsidRPr="0012230F">
        <w:rPr>
          <w:rFonts w:asciiTheme="minorHAnsi" w:hAnsiTheme="minorHAnsi" w:cstheme="minorHAnsi"/>
        </w:rPr>
        <w:t>.</w:t>
      </w:r>
    </w:p>
    <w:p w14:paraId="756F7F60" w14:textId="37E70064" w:rsidR="0012230F" w:rsidRDefault="00F941E4" w:rsidP="00C93AEF">
      <w:pPr>
        <w:pStyle w:val="ListParagraph"/>
        <w:numPr>
          <w:ilvl w:val="0"/>
          <w:numId w:val="31"/>
        </w:numPr>
        <w:spacing w:after="80"/>
        <w:rPr>
          <w:rFonts w:asciiTheme="minorHAnsi" w:hAnsiTheme="minorHAnsi" w:cstheme="minorHAnsi"/>
        </w:rPr>
      </w:pPr>
      <w:r>
        <w:rPr>
          <w:rFonts w:asciiTheme="minorHAnsi" w:hAnsiTheme="minorHAnsi" w:cstheme="minorHAnsi"/>
        </w:rPr>
        <w:t>T</w:t>
      </w:r>
      <w:r w:rsidR="00242832" w:rsidRPr="0012230F">
        <w:rPr>
          <w:rFonts w:asciiTheme="minorHAnsi" w:hAnsiTheme="minorHAnsi" w:cstheme="minorHAnsi"/>
        </w:rPr>
        <w:t xml:space="preserve">hrough the Pilot, naloxone will be supplied </w:t>
      </w:r>
      <w:r w:rsidR="0012230F">
        <w:rPr>
          <w:rFonts w:asciiTheme="minorHAnsi" w:hAnsiTheme="minorHAnsi" w:cstheme="minorHAnsi"/>
        </w:rPr>
        <w:t xml:space="preserve">from 1 December 2019 to 28 February 2021 in NSW, WA and SA </w:t>
      </w:r>
      <w:r w:rsidR="00242832" w:rsidRPr="0012230F">
        <w:rPr>
          <w:rFonts w:asciiTheme="minorHAnsi" w:hAnsiTheme="minorHAnsi" w:cstheme="minorHAnsi"/>
        </w:rPr>
        <w:t>free of charge and without a prescription by hospitals, pharmacists, certain medical practitioners and other authorised persons and organisations</w:t>
      </w:r>
      <w:r w:rsidR="00B3425F" w:rsidRPr="0012230F">
        <w:rPr>
          <w:rFonts w:asciiTheme="minorHAnsi" w:hAnsiTheme="minorHAnsi" w:cstheme="minorHAnsi"/>
        </w:rPr>
        <w:t>.</w:t>
      </w:r>
    </w:p>
    <w:p w14:paraId="5EA9CD6F" w14:textId="388FA2DC" w:rsidR="00FF2005" w:rsidRPr="0012230F" w:rsidRDefault="002860AA" w:rsidP="00C93AEF">
      <w:pPr>
        <w:pStyle w:val="ListParagraph"/>
        <w:numPr>
          <w:ilvl w:val="0"/>
          <w:numId w:val="31"/>
        </w:numPr>
        <w:spacing w:after="160"/>
        <w:rPr>
          <w:rFonts w:asciiTheme="minorHAnsi" w:hAnsiTheme="minorHAnsi" w:cstheme="minorHAnsi"/>
        </w:rPr>
      </w:pPr>
      <w:r w:rsidRPr="0012230F">
        <w:rPr>
          <w:rFonts w:asciiTheme="minorHAnsi" w:hAnsiTheme="minorHAnsi" w:cstheme="minorHAnsi"/>
        </w:rPr>
        <w:t xml:space="preserve">The </w:t>
      </w:r>
      <w:r w:rsidR="005C5D16">
        <w:rPr>
          <w:rFonts w:asciiTheme="minorHAnsi" w:hAnsiTheme="minorHAnsi" w:cstheme="minorHAnsi"/>
        </w:rPr>
        <w:t>Arrangement</w:t>
      </w:r>
      <w:r w:rsidRPr="0012230F">
        <w:rPr>
          <w:rFonts w:asciiTheme="minorHAnsi" w:hAnsiTheme="minorHAnsi" w:cstheme="minorHAnsi"/>
        </w:rPr>
        <w:t xml:space="preserve"> will set out payment arrangements and administrative matters relating to the supply of naloxone as part of the Pilot</w:t>
      </w:r>
      <w:r w:rsidR="00B3425F" w:rsidRPr="0012230F">
        <w:rPr>
          <w:rFonts w:asciiTheme="minorHAnsi" w:hAnsiTheme="minorHAnsi" w:cstheme="minorHAnsi"/>
        </w:rPr>
        <w:t xml:space="preserve">. </w:t>
      </w:r>
    </w:p>
    <w:p w14:paraId="5E81D71D" w14:textId="026601F4" w:rsidR="00FF2005" w:rsidRPr="00812D63" w:rsidRDefault="001747C8" w:rsidP="00473013">
      <w:pPr>
        <w:keepLines w:val="0"/>
        <w:spacing w:after="160"/>
        <w:jc w:val="left"/>
        <w:rPr>
          <w:rFonts w:asciiTheme="minorHAnsi" w:hAnsiTheme="minorHAnsi" w:cstheme="minorHAnsi"/>
          <w:sz w:val="22"/>
          <w:szCs w:val="22"/>
          <w:lang w:eastAsia="en-US"/>
        </w:rPr>
      </w:pPr>
      <w:r w:rsidRPr="00812D63">
        <w:rPr>
          <w:rFonts w:asciiTheme="minorHAnsi" w:hAnsiTheme="minorHAnsi" w:cstheme="minorHAnsi"/>
          <w:sz w:val="22"/>
          <w:szCs w:val="22"/>
          <w:lang w:eastAsia="en-US"/>
        </w:rPr>
        <w:t>The note to Section 5 clarifies that</w:t>
      </w:r>
      <w:r w:rsidR="00473013">
        <w:rPr>
          <w:rFonts w:asciiTheme="minorHAnsi" w:hAnsiTheme="minorHAnsi" w:cstheme="minorHAnsi"/>
          <w:sz w:val="22"/>
          <w:szCs w:val="22"/>
          <w:lang w:eastAsia="en-US"/>
        </w:rPr>
        <w:t xml:space="preserve"> </w:t>
      </w:r>
      <w:r w:rsidR="00FF2005" w:rsidRPr="00812D63">
        <w:rPr>
          <w:rFonts w:asciiTheme="minorHAnsi" w:hAnsiTheme="minorHAnsi" w:cstheme="minorHAnsi"/>
          <w:sz w:val="22"/>
          <w:szCs w:val="22"/>
          <w:lang w:eastAsia="en-US"/>
        </w:rPr>
        <w:t xml:space="preserve">Part VII of the Act, and regulations or other instruments made for the purposes of that Part, have effect subject to this </w:t>
      </w:r>
      <w:r w:rsidR="005C5D16">
        <w:rPr>
          <w:rFonts w:asciiTheme="minorHAnsi" w:hAnsiTheme="minorHAnsi" w:cstheme="minorHAnsi"/>
          <w:sz w:val="22"/>
          <w:szCs w:val="22"/>
          <w:lang w:eastAsia="en-US"/>
        </w:rPr>
        <w:t>Arrangement</w:t>
      </w:r>
      <w:r w:rsidR="00FF2005" w:rsidRPr="00812D63">
        <w:rPr>
          <w:rFonts w:asciiTheme="minorHAnsi" w:hAnsiTheme="minorHAnsi" w:cstheme="minorHAnsi"/>
          <w:sz w:val="22"/>
          <w:szCs w:val="22"/>
          <w:lang w:eastAsia="en-US"/>
        </w:rPr>
        <w:t xml:space="preserve"> (see subsection 100(3) of the Act).</w:t>
      </w:r>
    </w:p>
    <w:p w14:paraId="3F89D916" w14:textId="0FDA119C" w:rsidR="00FF2005" w:rsidRPr="00812D63" w:rsidRDefault="003831AC" w:rsidP="00473013">
      <w:pPr>
        <w:keepLines w:val="0"/>
        <w:spacing w:after="160"/>
        <w:jc w:val="left"/>
        <w:rPr>
          <w:rFonts w:asciiTheme="minorHAnsi" w:hAnsiTheme="minorHAnsi" w:cstheme="minorHAnsi"/>
          <w:sz w:val="22"/>
          <w:szCs w:val="22"/>
          <w:lang w:eastAsia="en-US"/>
        </w:rPr>
      </w:pPr>
      <w:r>
        <w:rPr>
          <w:rFonts w:asciiTheme="minorHAnsi" w:hAnsiTheme="minorHAnsi" w:cstheme="minorHAnsi"/>
          <w:sz w:val="22"/>
          <w:szCs w:val="22"/>
          <w:lang w:eastAsia="en-US"/>
        </w:rPr>
        <w:t>The</w:t>
      </w:r>
      <w:r w:rsidR="001747C8" w:rsidRPr="00812D63">
        <w:rPr>
          <w:rFonts w:asciiTheme="minorHAnsi" w:hAnsiTheme="minorHAnsi" w:cstheme="minorHAnsi"/>
          <w:sz w:val="22"/>
          <w:szCs w:val="22"/>
          <w:lang w:eastAsia="en-US"/>
        </w:rPr>
        <w:t xml:space="preserve"> </w:t>
      </w:r>
      <w:r w:rsidR="00FF2005" w:rsidRPr="00812D63">
        <w:rPr>
          <w:rFonts w:asciiTheme="minorHAnsi" w:hAnsiTheme="minorHAnsi" w:cstheme="minorHAnsi"/>
          <w:sz w:val="22"/>
          <w:szCs w:val="22"/>
          <w:lang w:eastAsia="en-US"/>
        </w:rPr>
        <w:t xml:space="preserve">simplified outline </w:t>
      </w:r>
      <w:r w:rsidR="001747C8" w:rsidRPr="00812D63">
        <w:rPr>
          <w:rFonts w:asciiTheme="minorHAnsi" w:hAnsiTheme="minorHAnsi" w:cstheme="minorHAnsi"/>
          <w:sz w:val="22"/>
          <w:szCs w:val="22"/>
          <w:lang w:eastAsia="en-US"/>
        </w:rPr>
        <w:t>is</w:t>
      </w:r>
      <w:r w:rsidR="00FF2005" w:rsidRPr="00812D63">
        <w:rPr>
          <w:rFonts w:asciiTheme="minorHAnsi" w:hAnsiTheme="minorHAnsi" w:cstheme="minorHAnsi"/>
          <w:sz w:val="22"/>
          <w:szCs w:val="22"/>
          <w:lang w:eastAsia="en-US"/>
        </w:rPr>
        <w:t xml:space="preserve"> included to assist readers to understand the substantive provisions, </w:t>
      </w:r>
      <w:r>
        <w:rPr>
          <w:rFonts w:asciiTheme="minorHAnsi" w:hAnsiTheme="minorHAnsi" w:cstheme="minorHAnsi"/>
          <w:sz w:val="22"/>
          <w:szCs w:val="22"/>
          <w:lang w:eastAsia="en-US"/>
        </w:rPr>
        <w:t>and</w:t>
      </w:r>
      <w:r w:rsidRPr="00812D63">
        <w:rPr>
          <w:rFonts w:asciiTheme="minorHAnsi" w:hAnsiTheme="minorHAnsi" w:cstheme="minorHAnsi"/>
          <w:sz w:val="22"/>
          <w:szCs w:val="22"/>
          <w:lang w:eastAsia="en-US"/>
        </w:rPr>
        <w:t xml:space="preserve"> </w:t>
      </w:r>
      <w:r w:rsidR="001747C8" w:rsidRPr="00812D63">
        <w:rPr>
          <w:rFonts w:asciiTheme="minorHAnsi" w:hAnsiTheme="minorHAnsi" w:cstheme="minorHAnsi"/>
          <w:sz w:val="22"/>
          <w:szCs w:val="22"/>
          <w:lang w:eastAsia="en-US"/>
        </w:rPr>
        <w:t>is</w:t>
      </w:r>
      <w:r w:rsidR="00FF2005" w:rsidRPr="00812D63">
        <w:rPr>
          <w:rFonts w:asciiTheme="minorHAnsi" w:hAnsiTheme="minorHAnsi" w:cstheme="minorHAnsi"/>
          <w:sz w:val="22"/>
          <w:szCs w:val="22"/>
          <w:lang w:eastAsia="en-US"/>
        </w:rPr>
        <w:t xml:space="preserve"> not intended to be comprehensive</w:t>
      </w:r>
      <w:r w:rsidR="00B3425F" w:rsidRPr="00812D63">
        <w:rPr>
          <w:rFonts w:asciiTheme="minorHAnsi" w:hAnsiTheme="minorHAnsi" w:cstheme="minorHAnsi"/>
          <w:sz w:val="22"/>
          <w:szCs w:val="22"/>
          <w:lang w:eastAsia="en-US"/>
        </w:rPr>
        <w:t xml:space="preserve">. </w:t>
      </w:r>
      <w:r w:rsidR="00FF2005" w:rsidRPr="00812D63">
        <w:rPr>
          <w:rFonts w:asciiTheme="minorHAnsi" w:hAnsiTheme="minorHAnsi" w:cstheme="minorHAnsi"/>
          <w:sz w:val="22"/>
          <w:szCs w:val="22"/>
          <w:lang w:eastAsia="en-US"/>
        </w:rPr>
        <w:t>It is intended that readers should rely on the substantive provisions</w:t>
      </w:r>
      <w:r w:rsidR="001747C8" w:rsidRPr="00812D63">
        <w:rPr>
          <w:rFonts w:asciiTheme="minorHAnsi" w:hAnsiTheme="minorHAnsi" w:cstheme="minorHAnsi"/>
          <w:sz w:val="22"/>
          <w:szCs w:val="22"/>
          <w:lang w:eastAsia="en-US"/>
        </w:rPr>
        <w:t xml:space="preserve"> of </w:t>
      </w:r>
      <w:r w:rsidR="00CE1952" w:rsidRPr="00812D63">
        <w:rPr>
          <w:rFonts w:asciiTheme="minorHAnsi" w:hAnsiTheme="minorHAnsi" w:cstheme="minorHAnsi"/>
          <w:sz w:val="22"/>
          <w:szCs w:val="22"/>
          <w:lang w:eastAsia="en-US"/>
        </w:rPr>
        <w:t>th</w:t>
      </w:r>
      <w:r w:rsidR="00CE1952">
        <w:rPr>
          <w:rFonts w:asciiTheme="minorHAnsi" w:hAnsiTheme="minorHAnsi" w:cstheme="minorHAnsi"/>
          <w:sz w:val="22"/>
          <w:szCs w:val="22"/>
          <w:lang w:eastAsia="en-US"/>
        </w:rPr>
        <w:t>e</w:t>
      </w:r>
      <w:r w:rsidR="00CE1952" w:rsidRPr="00812D63">
        <w:rPr>
          <w:rFonts w:asciiTheme="minorHAnsi" w:hAnsiTheme="minorHAnsi" w:cstheme="minorHAnsi"/>
          <w:sz w:val="22"/>
          <w:szCs w:val="22"/>
          <w:lang w:eastAsia="en-US"/>
        </w:rPr>
        <w:t xml:space="preserve"> </w:t>
      </w:r>
      <w:r w:rsidR="005C5D16">
        <w:rPr>
          <w:rFonts w:asciiTheme="minorHAnsi" w:hAnsiTheme="minorHAnsi" w:cstheme="minorHAnsi"/>
          <w:sz w:val="22"/>
          <w:szCs w:val="22"/>
          <w:lang w:eastAsia="en-US"/>
        </w:rPr>
        <w:t>Arrangement</w:t>
      </w:r>
      <w:r w:rsidR="00FF2005" w:rsidRPr="00812D63">
        <w:rPr>
          <w:rFonts w:asciiTheme="minorHAnsi" w:hAnsiTheme="minorHAnsi" w:cstheme="minorHAnsi"/>
          <w:sz w:val="22"/>
          <w:szCs w:val="22"/>
          <w:lang w:eastAsia="en-US"/>
        </w:rPr>
        <w:t>.</w:t>
      </w:r>
    </w:p>
    <w:p w14:paraId="5333B2EA" w14:textId="77777777" w:rsidR="0083549F" w:rsidRPr="00812D63" w:rsidRDefault="0083549F" w:rsidP="00473013">
      <w:pPr>
        <w:keepLines w:val="0"/>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6 Definitions</w:t>
      </w:r>
    </w:p>
    <w:p w14:paraId="01ACC8DA" w14:textId="77777777" w:rsidR="005C5D16" w:rsidRDefault="0083549F" w:rsidP="003C1AAA">
      <w:pPr>
        <w:rPr>
          <w:rFonts w:asciiTheme="minorHAnsi" w:hAnsiTheme="minorHAnsi" w:cstheme="minorHAnsi"/>
          <w:iCs/>
          <w:sz w:val="22"/>
          <w:szCs w:val="22"/>
        </w:rPr>
      </w:pPr>
      <w:r w:rsidRPr="00812D63">
        <w:rPr>
          <w:rFonts w:asciiTheme="minorHAnsi" w:hAnsiTheme="minorHAnsi" w:cstheme="minorHAnsi"/>
          <w:sz w:val="22"/>
          <w:szCs w:val="22"/>
        </w:rPr>
        <w:t xml:space="preserve">A number of expressions used in the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are defined in section 6</w:t>
      </w:r>
      <w:r w:rsidR="003E1454">
        <w:rPr>
          <w:rFonts w:asciiTheme="minorHAnsi" w:hAnsiTheme="minorHAnsi" w:cstheme="minorHAnsi"/>
          <w:iCs/>
          <w:sz w:val="22"/>
          <w:szCs w:val="22"/>
        </w:rPr>
        <w:t>.</w:t>
      </w:r>
      <w:r w:rsidR="005C5D16">
        <w:rPr>
          <w:rFonts w:asciiTheme="minorHAnsi" w:hAnsiTheme="minorHAnsi" w:cstheme="minorHAnsi"/>
          <w:iCs/>
          <w:sz w:val="22"/>
          <w:szCs w:val="22"/>
        </w:rPr>
        <w:t xml:space="preserve">  </w:t>
      </w:r>
    </w:p>
    <w:p w14:paraId="19DD64A8" w14:textId="4088EC07" w:rsidR="005C5D16" w:rsidRDefault="005C5D16" w:rsidP="00FE6FD0">
      <w:pPr>
        <w:rPr>
          <w:rFonts w:asciiTheme="minorHAnsi" w:hAnsiTheme="minorHAnsi" w:cstheme="minorHAnsi"/>
          <w:iCs/>
          <w:sz w:val="22"/>
          <w:szCs w:val="22"/>
        </w:rPr>
      </w:pPr>
      <w:r>
        <w:rPr>
          <w:rFonts w:asciiTheme="minorHAnsi" w:hAnsiTheme="minorHAnsi" w:cstheme="minorHAnsi"/>
          <w:iCs/>
          <w:sz w:val="22"/>
          <w:szCs w:val="22"/>
        </w:rPr>
        <w:t xml:space="preserve">These generally provide that terms have the same meaning as in the Act.  </w:t>
      </w:r>
      <w:r w:rsidRPr="00812D63">
        <w:rPr>
          <w:rFonts w:asciiTheme="minorHAnsi" w:hAnsiTheme="minorHAnsi" w:cstheme="minorHAnsi"/>
          <w:sz w:val="22"/>
          <w:szCs w:val="22"/>
        </w:rPr>
        <w:t>The terms approved supplier, approved hospital authority</w:t>
      </w:r>
      <w:r>
        <w:rPr>
          <w:rFonts w:asciiTheme="minorHAnsi" w:hAnsiTheme="minorHAnsi" w:cstheme="minorHAnsi"/>
          <w:sz w:val="22"/>
          <w:szCs w:val="22"/>
        </w:rPr>
        <w:t xml:space="preserve">, </w:t>
      </w:r>
      <w:r w:rsidRPr="00812D63">
        <w:rPr>
          <w:rFonts w:asciiTheme="minorHAnsi" w:hAnsiTheme="minorHAnsi" w:cstheme="minorHAnsi"/>
          <w:sz w:val="22"/>
          <w:szCs w:val="22"/>
        </w:rPr>
        <w:t xml:space="preserve">approved medical practitioner </w:t>
      </w:r>
      <w:r>
        <w:rPr>
          <w:rFonts w:asciiTheme="minorHAnsi" w:hAnsiTheme="minorHAnsi" w:cstheme="minorHAnsi"/>
          <w:sz w:val="22"/>
          <w:szCs w:val="22"/>
        </w:rPr>
        <w:t xml:space="preserve">and </w:t>
      </w:r>
      <w:r w:rsidRPr="00812D63">
        <w:rPr>
          <w:rFonts w:asciiTheme="minorHAnsi" w:hAnsiTheme="minorHAnsi" w:cstheme="minorHAnsi"/>
          <w:sz w:val="22"/>
          <w:szCs w:val="22"/>
        </w:rPr>
        <w:t xml:space="preserve">approved pharmacist have the same meanings as </w:t>
      </w:r>
      <w:r>
        <w:rPr>
          <w:rFonts w:asciiTheme="minorHAnsi" w:hAnsiTheme="minorHAnsi" w:cstheme="minorHAnsi"/>
          <w:sz w:val="22"/>
          <w:szCs w:val="22"/>
        </w:rPr>
        <w:t xml:space="preserve">in Part VII of </w:t>
      </w:r>
      <w:r w:rsidRPr="00812D63">
        <w:rPr>
          <w:rFonts w:asciiTheme="minorHAnsi" w:hAnsiTheme="minorHAnsi" w:cstheme="minorHAnsi"/>
          <w:iCs/>
          <w:sz w:val="22"/>
          <w:szCs w:val="22"/>
        </w:rPr>
        <w:t>the Act</w:t>
      </w:r>
      <w:r>
        <w:rPr>
          <w:rFonts w:asciiTheme="minorHAnsi" w:hAnsiTheme="minorHAnsi" w:cstheme="minorHAnsi"/>
          <w:iCs/>
          <w:sz w:val="22"/>
          <w:szCs w:val="22"/>
        </w:rPr>
        <w:t xml:space="preserve"> (see s 84 of the Act, as well as ss 90, 92 and 94, which deal further with the </w:t>
      </w:r>
      <w:r w:rsidRPr="00812D63">
        <w:rPr>
          <w:rFonts w:asciiTheme="minorHAnsi" w:hAnsiTheme="minorHAnsi" w:cstheme="minorHAnsi"/>
          <w:iCs/>
          <w:sz w:val="22"/>
          <w:szCs w:val="22"/>
        </w:rPr>
        <w:t>terms</w:t>
      </w:r>
      <w:r w:rsidRPr="00812D63">
        <w:rPr>
          <w:rFonts w:asciiTheme="minorHAnsi" w:hAnsiTheme="minorHAnsi" w:cstheme="minorHAnsi"/>
          <w:i/>
          <w:iCs/>
          <w:sz w:val="22"/>
          <w:szCs w:val="22"/>
        </w:rPr>
        <w:t xml:space="preserve"> </w:t>
      </w:r>
      <w:r w:rsidRPr="00812D63">
        <w:rPr>
          <w:rFonts w:asciiTheme="minorHAnsi" w:hAnsiTheme="minorHAnsi" w:cstheme="minorHAnsi"/>
          <w:sz w:val="22"/>
          <w:szCs w:val="22"/>
        </w:rPr>
        <w:t>approved pharmacist, approved hospital authority and approved medical practitioner</w:t>
      </w:r>
      <w:r w:rsidRPr="00812D63">
        <w:rPr>
          <w:rFonts w:asciiTheme="minorHAnsi" w:hAnsiTheme="minorHAnsi" w:cstheme="minorHAnsi"/>
          <w:iCs/>
          <w:sz w:val="22"/>
          <w:szCs w:val="22"/>
        </w:rPr>
        <w:t xml:space="preserve">). </w:t>
      </w:r>
    </w:p>
    <w:p w14:paraId="06DE1CE6" w14:textId="77777777" w:rsidR="00FE6FD0" w:rsidRPr="00812D63" w:rsidRDefault="00FE6FD0" w:rsidP="00FE6FD0">
      <w:pPr>
        <w:spacing w:after="160"/>
        <w:jc w:val="left"/>
        <w:rPr>
          <w:rFonts w:asciiTheme="minorHAnsi" w:hAnsiTheme="minorHAnsi" w:cstheme="minorHAnsi"/>
          <w:sz w:val="22"/>
          <w:szCs w:val="22"/>
        </w:rPr>
      </w:pPr>
      <w:r w:rsidRPr="00812D63">
        <w:rPr>
          <w:rFonts w:asciiTheme="minorHAnsi" w:hAnsiTheme="minorHAnsi" w:cstheme="minorHAnsi"/>
          <w:sz w:val="22"/>
          <w:szCs w:val="22"/>
        </w:rPr>
        <w:lastRenderedPageBreak/>
        <w:t xml:space="preserve">Section 6 defines an </w:t>
      </w:r>
      <w:r>
        <w:rPr>
          <w:rFonts w:asciiTheme="minorHAnsi" w:hAnsiTheme="minorHAnsi" w:cstheme="minorHAnsi"/>
          <w:sz w:val="22"/>
          <w:szCs w:val="22"/>
        </w:rPr>
        <w:t>‘</w:t>
      </w:r>
      <w:r w:rsidRPr="00812D63">
        <w:rPr>
          <w:rFonts w:asciiTheme="minorHAnsi" w:hAnsiTheme="minorHAnsi" w:cstheme="minorHAnsi"/>
          <w:sz w:val="22"/>
          <w:szCs w:val="22"/>
        </w:rPr>
        <w:t>authorised alternative supplier’ as being a person or organisation that has premises located within a participating jurisdiction; has been authorised by an authority of the participating jurisdiction for the purposes of supplying a designated pharmaceutical benefit. To be authorised, the state authority must have provided a written notice to the Secretary of the Department of Health that states that the person or organisation is authorised to participate and includes their name and contact details</w:t>
      </w:r>
      <w:r>
        <w:rPr>
          <w:rFonts w:asciiTheme="minorHAnsi" w:hAnsiTheme="minorHAnsi" w:cstheme="minorHAnsi"/>
          <w:sz w:val="22"/>
          <w:szCs w:val="22"/>
        </w:rPr>
        <w:t xml:space="preserve">.. </w:t>
      </w:r>
      <w:r w:rsidRPr="00812D63">
        <w:rPr>
          <w:rFonts w:asciiTheme="minorHAnsi" w:hAnsiTheme="minorHAnsi" w:cstheme="minorHAnsi"/>
          <w:sz w:val="22"/>
          <w:szCs w:val="22"/>
        </w:rPr>
        <w:t>Authorised alternative suppliers may include, but are not limited to, organisations such as needle and syringe programs, alcohol and drug treatment centres, homeless shelters and custodial release services.</w:t>
      </w:r>
    </w:p>
    <w:p w14:paraId="0C929A21" w14:textId="0C2C9BBE" w:rsidR="00FE6FD0" w:rsidRDefault="00FE6FD0" w:rsidP="00FE6FD0">
      <w:pPr>
        <w:rPr>
          <w:rFonts w:asciiTheme="minorHAnsi" w:hAnsiTheme="minorHAnsi" w:cstheme="minorHAnsi"/>
          <w:sz w:val="22"/>
          <w:szCs w:val="22"/>
        </w:rPr>
      </w:pPr>
      <w:r w:rsidRPr="009955B7">
        <w:rPr>
          <w:rFonts w:asciiTheme="minorHAnsi" w:hAnsiTheme="minorHAnsi" w:cstheme="minorHAnsi"/>
          <w:sz w:val="22"/>
          <w:szCs w:val="22"/>
        </w:rPr>
        <w:t>The</w:t>
      </w:r>
      <w:r w:rsidRPr="009955B7">
        <w:rPr>
          <w:rFonts w:asciiTheme="minorHAnsi" w:hAnsiTheme="minorHAnsi" w:cstheme="minorHAnsi"/>
          <w:iCs/>
          <w:sz w:val="22"/>
          <w:szCs w:val="22"/>
        </w:rPr>
        <w:t xml:space="preserve"> term ‘day admitted patient’ is defined as being a person who is on a particular day admitted to the hospital for treatment and discharged on that same </w:t>
      </w:r>
      <w:r w:rsidRPr="005C5D16">
        <w:rPr>
          <w:rFonts w:asciiTheme="minorHAnsi" w:hAnsiTheme="minorHAnsi" w:cstheme="minorHAnsi"/>
          <w:sz w:val="22"/>
          <w:szCs w:val="22"/>
        </w:rPr>
        <w:t>day.</w:t>
      </w:r>
    </w:p>
    <w:p w14:paraId="42BCFCFB" w14:textId="177D83B3" w:rsidR="005C5D16" w:rsidRDefault="005C5D16" w:rsidP="005C5D16">
      <w:pPr>
        <w:spacing w:after="80"/>
        <w:jc w:val="left"/>
        <w:rPr>
          <w:rFonts w:asciiTheme="minorHAnsi" w:hAnsiTheme="minorHAnsi" w:cstheme="minorHAnsi"/>
          <w:sz w:val="22"/>
          <w:szCs w:val="22"/>
        </w:rPr>
      </w:pPr>
      <w:r>
        <w:rPr>
          <w:rFonts w:asciiTheme="minorHAnsi" w:hAnsiTheme="minorHAnsi" w:cstheme="minorHAnsi"/>
          <w:sz w:val="22"/>
          <w:szCs w:val="22"/>
        </w:rPr>
        <w:t>Section 6 defines a</w:t>
      </w:r>
      <w:r w:rsidRPr="00812D63" w:rsidDel="003C1AAA">
        <w:rPr>
          <w:rFonts w:asciiTheme="minorHAnsi" w:hAnsiTheme="minorHAnsi" w:cstheme="minorHAnsi"/>
          <w:sz w:val="22"/>
          <w:szCs w:val="22"/>
        </w:rPr>
        <w:t xml:space="preserve"> </w:t>
      </w:r>
      <w:r w:rsidR="00FE6FD0">
        <w:rPr>
          <w:rFonts w:asciiTheme="minorHAnsi" w:hAnsiTheme="minorHAnsi" w:cstheme="minorHAnsi"/>
          <w:sz w:val="22"/>
          <w:szCs w:val="22"/>
        </w:rPr>
        <w:t>‘</w:t>
      </w:r>
      <w:r w:rsidRPr="00812D63" w:rsidDel="003C1AAA">
        <w:rPr>
          <w:rFonts w:asciiTheme="minorHAnsi" w:hAnsiTheme="minorHAnsi" w:cstheme="minorHAnsi"/>
          <w:sz w:val="22"/>
          <w:szCs w:val="22"/>
        </w:rPr>
        <w:t>designated person</w:t>
      </w:r>
      <w:r w:rsidR="00FE6FD0">
        <w:rPr>
          <w:rFonts w:asciiTheme="minorHAnsi" w:hAnsiTheme="minorHAnsi" w:cstheme="minorHAnsi"/>
          <w:sz w:val="22"/>
          <w:szCs w:val="22"/>
        </w:rPr>
        <w:t>’</w:t>
      </w:r>
      <w:r w:rsidRPr="00812D63" w:rsidDel="003C1AAA">
        <w:rPr>
          <w:rFonts w:asciiTheme="minorHAnsi" w:hAnsiTheme="minorHAnsi" w:cstheme="minorHAnsi"/>
          <w:sz w:val="22"/>
          <w:szCs w:val="22"/>
        </w:rPr>
        <w:t xml:space="preserve"> </w:t>
      </w:r>
      <w:r>
        <w:rPr>
          <w:rFonts w:asciiTheme="minorHAnsi" w:hAnsiTheme="minorHAnsi" w:cstheme="minorHAnsi"/>
          <w:sz w:val="22"/>
          <w:szCs w:val="22"/>
        </w:rPr>
        <w:t>a</w:t>
      </w:r>
      <w:r w:rsidRPr="00812D63" w:rsidDel="003C1AAA">
        <w:rPr>
          <w:rFonts w:asciiTheme="minorHAnsi" w:hAnsiTheme="minorHAnsi" w:cstheme="minorHAnsi"/>
          <w:sz w:val="22"/>
          <w:szCs w:val="22"/>
        </w:rPr>
        <w:t xml:space="preserve">s somebody who is at risk of an opioid overdose or somebody who is likely to be able to assist somebody experiencing an opioid overdose. </w:t>
      </w:r>
      <w:r w:rsidRPr="0017052B">
        <w:rPr>
          <w:rFonts w:asciiTheme="minorHAnsi" w:hAnsiTheme="minorHAnsi" w:cstheme="minorHAnsi"/>
          <w:sz w:val="22"/>
          <w:szCs w:val="22"/>
        </w:rPr>
        <w:t>As a guide, the following are some non-exhaustive examples of people who would be included in the definition</w:t>
      </w:r>
      <w:r>
        <w:rPr>
          <w:rFonts w:asciiTheme="minorHAnsi" w:hAnsiTheme="minorHAnsi" w:cstheme="minorHAnsi"/>
          <w:sz w:val="22"/>
          <w:szCs w:val="22"/>
        </w:rPr>
        <w:t>:</w:t>
      </w:r>
      <w:r w:rsidRPr="0017052B" w:rsidDel="0017052B">
        <w:rPr>
          <w:rFonts w:asciiTheme="minorHAnsi" w:hAnsiTheme="minorHAnsi" w:cstheme="minorHAnsi"/>
          <w:sz w:val="22"/>
          <w:szCs w:val="22"/>
        </w:rPr>
        <w:t xml:space="preserve"> </w:t>
      </w:r>
    </w:p>
    <w:p w14:paraId="67420B1D" w14:textId="77777777" w:rsidR="005C5D16" w:rsidRDefault="005C5D16" w:rsidP="005C5D16">
      <w:pPr>
        <w:pStyle w:val="ListParagraph"/>
        <w:numPr>
          <w:ilvl w:val="0"/>
          <w:numId w:val="16"/>
        </w:numPr>
        <w:spacing w:after="80"/>
        <w:rPr>
          <w:rFonts w:asciiTheme="minorHAnsi" w:hAnsiTheme="minorHAnsi" w:cstheme="minorHAnsi"/>
        </w:rPr>
      </w:pPr>
      <w:r w:rsidRPr="0017052B" w:rsidDel="003C1AAA">
        <w:rPr>
          <w:rFonts w:asciiTheme="minorHAnsi" w:hAnsiTheme="minorHAnsi" w:cstheme="minorHAnsi"/>
        </w:rPr>
        <w:t>persons who take prescription opioid medications,</w:t>
      </w:r>
    </w:p>
    <w:p w14:paraId="6BB140E2" w14:textId="77777777" w:rsidR="005C5D16" w:rsidRDefault="005C5D16" w:rsidP="005C5D16">
      <w:pPr>
        <w:pStyle w:val="ListParagraph"/>
        <w:numPr>
          <w:ilvl w:val="0"/>
          <w:numId w:val="16"/>
        </w:numPr>
        <w:spacing w:after="80"/>
        <w:rPr>
          <w:rFonts w:asciiTheme="minorHAnsi" w:hAnsiTheme="minorHAnsi" w:cstheme="minorHAnsi"/>
        </w:rPr>
      </w:pPr>
      <w:r>
        <w:rPr>
          <w:rFonts w:asciiTheme="minorHAnsi" w:hAnsiTheme="minorHAnsi" w:cstheme="minorHAnsi"/>
        </w:rPr>
        <w:t>persons</w:t>
      </w:r>
      <w:r w:rsidRPr="0017052B" w:rsidDel="003C1AAA">
        <w:rPr>
          <w:rFonts w:asciiTheme="minorHAnsi" w:hAnsiTheme="minorHAnsi" w:cstheme="minorHAnsi"/>
        </w:rPr>
        <w:t xml:space="preserve"> who use opioid substances illicitly</w:t>
      </w:r>
      <w:r>
        <w:rPr>
          <w:rFonts w:asciiTheme="minorHAnsi" w:hAnsiTheme="minorHAnsi" w:cstheme="minorHAnsi"/>
        </w:rPr>
        <w:t>,</w:t>
      </w:r>
      <w:r w:rsidRPr="0017052B" w:rsidDel="003C1AAA">
        <w:rPr>
          <w:rFonts w:asciiTheme="minorHAnsi" w:hAnsiTheme="minorHAnsi" w:cstheme="minorHAnsi"/>
        </w:rPr>
        <w:t xml:space="preserve"> or</w:t>
      </w:r>
    </w:p>
    <w:p w14:paraId="0A1306C8" w14:textId="779309CA" w:rsidR="005C5D16" w:rsidRDefault="005C5D16" w:rsidP="005C5D16">
      <w:pPr>
        <w:pStyle w:val="ListParagraph"/>
        <w:numPr>
          <w:ilvl w:val="0"/>
          <w:numId w:val="16"/>
        </w:numPr>
        <w:spacing w:after="160"/>
        <w:rPr>
          <w:rFonts w:asciiTheme="minorHAnsi" w:hAnsiTheme="minorHAnsi" w:cstheme="minorHAnsi"/>
        </w:rPr>
      </w:pPr>
      <w:r w:rsidRPr="0017052B" w:rsidDel="003C1AAA">
        <w:rPr>
          <w:rFonts w:asciiTheme="minorHAnsi" w:hAnsiTheme="minorHAnsi" w:cstheme="minorHAnsi"/>
        </w:rPr>
        <w:t>a friend, family member or support person</w:t>
      </w:r>
      <w:r>
        <w:rPr>
          <w:rFonts w:asciiTheme="minorHAnsi" w:hAnsiTheme="minorHAnsi" w:cstheme="minorHAnsi"/>
        </w:rPr>
        <w:t xml:space="preserve"> of either of the above category of persons,</w:t>
      </w:r>
      <w:r w:rsidRPr="0017052B" w:rsidDel="003C1AAA">
        <w:rPr>
          <w:rFonts w:asciiTheme="minorHAnsi" w:hAnsiTheme="minorHAnsi" w:cstheme="minorHAnsi"/>
        </w:rPr>
        <w:t xml:space="preserve"> who is likely to witness an opioid overdose.</w:t>
      </w:r>
    </w:p>
    <w:p w14:paraId="2A620287" w14:textId="77777777" w:rsidR="002F344D" w:rsidRPr="00812D63" w:rsidRDefault="002F344D" w:rsidP="00473013">
      <w:pPr>
        <w:keepNext/>
        <w:spacing w:after="160"/>
        <w:jc w:val="left"/>
        <w:rPr>
          <w:rFonts w:asciiTheme="minorHAnsi" w:hAnsiTheme="minorHAnsi" w:cstheme="minorHAnsi"/>
          <w:b/>
          <w:sz w:val="24"/>
          <w:szCs w:val="24"/>
        </w:rPr>
      </w:pPr>
      <w:bookmarkStart w:id="1" w:name="_Toc24385250"/>
      <w:r w:rsidRPr="00812D63">
        <w:rPr>
          <w:rFonts w:asciiTheme="minorHAnsi" w:hAnsiTheme="minorHAnsi" w:cstheme="minorHAnsi"/>
          <w:b/>
          <w:sz w:val="24"/>
          <w:szCs w:val="24"/>
        </w:rPr>
        <w:t>Part 2 – Special Arrangement supplies of designated pharmaceutical benefits</w:t>
      </w:r>
    </w:p>
    <w:p w14:paraId="4649C0DA" w14:textId="1D91EB64" w:rsidR="002F344D" w:rsidRPr="00812D63" w:rsidRDefault="002F344D" w:rsidP="00473013">
      <w:pPr>
        <w:keepNext/>
        <w:spacing w:after="160"/>
        <w:jc w:val="left"/>
        <w:rPr>
          <w:rStyle w:val="CharSectno"/>
          <w:rFonts w:asciiTheme="minorHAnsi" w:hAnsiTheme="minorHAnsi" w:cstheme="minorHAnsi"/>
          <w:b/>
          <w:sz w:val="24"/>
          <w:szCs w:val="24"/>
        </w:rPr>
      </w:pPr>
      <w:r w:rsidRPr="00812D63">
        <w:rPr>
          <w:rFonts w:asciiTheme="minorHAnsi" w:hAnsiTheme="minorHAnsi" w:cstheme="minorHAnsi"/>
          <w:b/>
          <w:sz w:val="24"/>
          <w:szCs w:val="24"/>
        </w:rPr>
        <w:t>Division 1 – Preliminary</w:t>
      </w:r>
    </w:p>
    <w:p w14:paraId="5E21EBB1" w14:textId="28AE2F68" w:rsidR="002F344D" w:rsidRPr="00812D63" w:rsidRDefault="002F344D" w:rsidP="00473013">
      <w:pPr>
        <w:keepNext/>
        <w:tabs>
          <w:tab w:val="left" w:pos="1134"/>
        </w:tabs>
        <w:spacing w:after="160"/>
        <w:jc w:val="left"/>
        <w:rPr>
          <w:rFonts w:asciiTheme="minorHAnsi" w:hAnsiTheme="minorHAnsi" w:cstheme="minorHAnsi"/>
          <w:b/>
          <w:sz w:val="24"/>
          <w:szCs w:val="24"/>
          <w:lang w:eastAsia="en-US"/>
        </w:rPr>
      </w:pPr>
      <w:r w:rsidRPr="00812D63">
        <w:rPr>
          <w:rFonts w:asciiTheme="minorHAnsi" w:hAnsiTheme="minorHAnsi" w:cstheme="minorHAnsi"/>
          <w:b/>
          <w:sz w:val="24"/>
          <w:szCs w:val="24"/>
          <w:lang w:eastAsia="en-US"/>
        </w:rPr>
        <w:t>Section 7</w:t>
      </w:r>
      <w:r w:rsidR="0048018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 xml:space="preserve">Definition of </w:t>
      </w:r>
      <w:r w:rsidRPr="00812D63">
        <w:rPr>
          <w:rFonts w:asciiTheme="minorHAnsi" w:hAnsiTheme="minorHAnsi" w:cstheme="minorHAnsi"/>
          <w:b/>
          <w:i/>
          <w:sz w:val="24"/>
          <w:szCs w:val="24"/>
          <w:lang w:eastAsia="en-US"/>
        </w:rPr>
        <w:t>special arrangement supply</w:t>
      </w:r>
      <w:bookmarkEnd w:id="1"/>
    </w:p>
    <w:p w14:paraId="6730DDEF" w14:textId="6CD1CC15" w:rsidR="00480181" w:rsidRPr="00812D63" w:rsidRDefault="00480181"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sets out the criteria that must be met by </w:t>
      </w:r>
      <w:r w:rsidR="005631B9">
        <w:rPr>
          <w:rFonts w:asciiTheme="minorHAnsi" w:hAnsiTheme="minorHAnsi" w:cstheme="minorHAnsi"/>
          <w:sz w:val="22"/>
          <w:szCs w:val="22"/>
        </w:rPr>
        <w:t>different</w:t>
      </w:r>
      <w:r w:rsidRPr="00812D63">
        <w:rPr>
          <w:rFonts w:asciiTheme="minorHAnsi" w:hAnsiTheme="minorHAnsi" w:cstheme="minorHAnsi"/>
          <w:sz w:val="22"/>
          <w:szCs w:val="22"/>
        </w:rPr>
        <w:t xml:space="preserve"> types</w:t>
      </w:r>
      <w:r w:rsidR="005631B9">
        <w:rPr>
          <w:rFonts w:asciiTheme="minorHAnsi" w:hAnsiTheme="minorHAnsi" w:cstheme="minorHAnsi"/>
          <w:sz w:val="22"/>
          <w:szCs w:val="22"/>
        </w:rPr>
        <w:t xml:space="preserve"> of suppliers</w:t>
      </w:r>
      <w:r w:rsidRPr="00812D63">
        <w:rPr>
          <w:rFonts w:asciiTheme="minorHAnsi" w:hAnsiTheme="minorHAnsi" w:cstheme="minorHAnsi"/>
          <w:sz w:val="22"/>
          <w:szCs w:val="22"/>
        </w:rPr>
        <w:t xml:space="preserve"> in order </w:t>
      </w:r>
      <w:r w:rsidR="005631B9">
        <w:rPr>
          <w:rFonts w:asciiTheme="minorHAnsi" w:hAnsiTheme="minorHAnsi" w:cstheme="minorHAnsi"/>
          <w:sz w:val="22"/>
          <w:szCs w:val="22"/>
        </w:rPr>
        <w:t>for their supply of a</w:t>
      </w:r>
      <w:r w:rsidRPr="00812D63">
        <w:rPr>
          <w:rFonts w:asciiTheme="minorHAnsi" w:hAnsiTheme="minorHAnsi" w:cstheme="minorHAnsi"/>
          <w:sz w:val="22"/>
          <w:szCs w:val="22"/>
        </w:rPr>
        <w:t xml:space="preserve"> des</w:t>
      </w:r>
      <w:r w:rsidR="00AB6FBA" w:rsidRPr="00812D63">
        <w:rPr>
          <w:rFonts w:asciiTheme="minorHAnsi" w:hAnsiTheme="minorHAnsi" w:cstheme="minorHAnsi"/>
          <w:sz w:val="22"/>
          <w:szCs w:val="22"/>
        </w:rPr>
        <w:t>ignated pharmaceutical benefit</w:t>
      </w:r>
      <w:r w:rsidRPr="00812D63">
        <w:rPr>
          <w:rFonts w:asciiTheme="minorHAnsi" w:hAnsiTheme="minorHAnsi" w:cstheme="minorHAnsi"/>
          <w:sz w:val="22"/>
          <w:szCs w:val="22"/>
        </w:rPr>
        <w:t xml:space="preserve"> </w:t>
      </w:r>
      <w:r w:rsidR="005631B9">
        <w:rPr>
          <w:rFonts w:asciiTheme="minorHAnsi" w:hAnsiTheme="minorHAnsi" w:cstheme="minorHAnsi"/>
          <w:sz w:val="22"/>
          <w:szCs w:val="22"/>
        </w:rPr>
        <w:t>(defined in s 6</w:t>
      </w:r>
      <w:r w:rsidR="00994FAA">
        <w:rPr>
          <w:rFonts w:asciiTheme="minorHAnsi" w:hAnsiTheme="minorHAnsi" w:cstheme="minorHAnsi"/>
          <w:sz w:val="22"/>
          <w:szCs w:val="22"/>
        </w:rPr>
        <w:t xml:space="preserve"> as the</w:t>
      </w:r>
      <w:r w:rsidR="00994FAA" w:rsidRPr="00812D63">
        <w:rPr>
          <w:rFonts w:asciiTheme="minorHAnsi" w:hAnsiTheme="minorHAnsi" w:cstheme="minorHAnsi"/>
          <w:sz w:val="22"/>
          <w:szCs w:val="22"/>
        </w:rPr>
        <w:t xml:space="preserve"> drug naloxone in the forms and strengths set out in the table included at Schedule 1 of the </w:t>
      </w:r>
      <w:r w:rsidR="005C5D16">
        <w:rPr>
          <w:rFonts w:asciiTheme="minorHAnsi" w:hAnsiTheme="minorHAnsi" w:cstheme="minorHAnsi"/>
          <w:sz w:val="22"/>
          <w:szCs w:val="22"/>
        </w:rPr>
        <w:t>Arrangement</w:t>
      </w:r>
      <w:r w:rsidR="005631B9">
        <w:rPr>
          <w:rFonts w:asciiTheme="minorHAnsi" w:hAnsiTheme="minorHAnsi" w:cstheme="minorHAnsi"/>
          <w:sz w:val="22"/>
          <w:szCs w:val="22"/>
        </w:rPr>
        <w:t>) to be a ‘special arrangement supply’.</w:t>
      </w:r>
      <w:r w:rsidR="00A55130">
        <w:rPr>
          <w:rFonts w:asciiTheme="minorHAnsi" w:hAnsiTheme="minorHAnsi" w:cstheme="minorHAnsi"/>
          <w:sz w:val="22"/>
          <w:szCs w:val="22"/>
        </w:rPr>
        <w:t xml:space="preserve"> </w:t>
      </w:r>
    </w:p>
    <w:p w14:paraId="33E68C48" w14:textId="10A5DA70" w:rsidR="00480181" w:rsidRPr="00812D63" w:rsidRDefault="003E1454" w:rsidP="00473013">
      <w:pPr>
        <w:spacing w:after="80"/>
        <w:jc w:val="left"/>
        <w:rPr>
          <w:rFonts w:asciiTheme="minorHAnsi" w:hAnsiTheme="minorHAnsi" w:cstheme="minorHAnsi"/>
          <w:sz w:val="22"/>
          <w:szCs w:val="22"/>
        </w:rPr>
      </w:pPr>
      <w:r>
        <w:rPr>
          <w:rFonts w:asciiTheme="minorHAnsi" w:hAnsiTheme="minorHAnsi" w:cstheme="minorHAnsi"/>
          <w:sz w:val="22"/>
          <w:szCs w:val="22"/>
        </w:rPr>
        <w:t xml:space="preserve">For </w:t>
      </w:r>
      <w:r w:rsidR="00480181" w:rsidRPr="00812D63">
        <w:rPr>
          <w:rFonts w:asciiTheme="minorHAnsi" w:hAnsiTheme="minorHAnsi" w:cstheme="minorHAnsi"/>
          <w:sz w:val="22"/>
          <w:szCs w:val="22"/>
        </w:rPr>
        <w:t>approved hospital authorit</w:t>
      </w:r>
      <w:r>
        <w:rPr>
          <w:rFonts w:asciiTheme="minorHAnsi" w:hAnsiTheme="minorHAnsi" w:cstheme="minorHAnsi"/>
          <w:sz w:val="22"/>
          <w:szCs w:val="22"/>
        </w:rPr>
        <w:t>ies</w:t>
      </w:r>
      <w:r w:rsidR="00480181" w:rsidRPr="00812D63">
        <w:rPr>
          <w:rFonts w:asciiTheme="minorHAnsi" w:hAnsiTheme="minorHAnsi" w:cstheme="minorHAnsi"/>
          <w:sz w:val="22"/>
          <w:szCs w:val="22"/>
        </w:rPr>
        <w:t>, approved medical practitioner</w:t>
      </w:r>
      <w:r>
        <w:rPr>
          <w:rFonts w:asciiTheme="minorHAnsi" w:hAnsiTheme="minorHAnsi" w:cstheme="minorHAnsi"/>
          <w:sz w:val="22"/>
          <w:szCs w:val="22"/>
        </w:rPr>
        <w:t>s</w:t>
      </w:r>
      <w:r w:rsidR="00480181" w:rsidRPr="00812D63">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480181" w:rsidRPr="00812D63">
        <w:rPr>
          <w:rFonts w:asciiTheme="minorHAnsi" w:hAnsiTheme="minorHAnsi" w:cstheme="minorHAnsi"/>
          <w:sz w:val="22"/>
          <w:szCs w:val="22"/>
        </w:rPr>
        <w:t>approved pharmacist</w:t>
      </w:r>
      <w:r>
        <w:rPr>
          <w:rFonts w:asciiTheme="minorHAnsi" w:hAnsiTheme="minorHAnsi" w:cstheme="minorHAnsi"/>
          <w:sz w:val="22"/>
          <w:szCs w:val="22"/>
        </w:rPr>
        <w:t>s</w:t>
      </w:r>
      <w:r w:rsidR="00C93AEF">
        <w:rPr>
          <w:rFonts w:asciiTheme="minorHAnsi" w:hAnsiTheme="minorHAnsi" w:cstheme="minorHAnsi"/>
          <w:sz w:val="22"/>
          <w:szCs w:val="22"/>
        </w:rPr>
        <w:t>,</w:t>
      </w:r>
      <w:r w:rsidR="00C93AEF" w:rsidRPr="00812D63">
        <w:rPr>
          <w:rFonts w:asciiTheme="minorHAnsi" w:hAnsiTheme="minorHAnsi" w:cstheme="minorHAnsi"/>
          <w:sz w:val="22"/>
          <w:szCs w:val="22"/>
        </w:rPr>
        <w:t xml:space="preserve"> ss</w:t>
      </w:r>
      <w:r w:rsidR="00E72804" w:rsidRPr="00812D63">
        <w:rPr>
          <w:rFonts w:asciiTheme="minorHAnsi" w:hAnsiTheme="minorHAnsi" w:cstheme="minorHAnsi"/>
          <w:sz w:val="22"/>
          <w:szCs w:val="22"/>
        </w:rPr>
        <w:t xml:space="preserve"> </w:t>
      </w:r>
      <w:r w:rsidR="004B2F15" w:rsidRPr="00812D63">
        <w:rPr>
          <w:rFonts w:asciiTheme="minorHAnsi" w:hAnsiTheme="minorHAnsi" w:cstheme="minorHAnsi"/>
          <w:sz w:val="22"/>
          <w:szCs w:val="22"/>
        </w:rPr>
        <w:t>7(1)</w:t>
      </w:r>
      <w:r w:rsidR="00A55130">
        <w:rPr>
          <w:rFonts w:asciiTheme="minorHAnsi" w:hAnsiTheme="minorHAnsi" w:cstheme="minorHAnsi"/>
          <w:sz w:val="22"/>
          <w:szCs w:val="22"/>
        </w:rPr>
        <w:t>-</w:t>
      </w:r>
      <w:r w:rsidR="004B2F15" w:rsidRPr="00812D63">
        <w:rPr>
          <w:rFonts w:asciiTheme="minorHAnsi" w:hAnsiTheme="minorHAnsi" w:cstheme="minorHAnsi"/>
          <w:sz w:val="22"/>
          <w:szCs w:val="22"/>
        </w:rPr>
        <w:t xml:space="preserve">(3) </w:t>
      </w:r>
      <w:r w:rsidR="00576C0D">
        <w:rPr>
          <w:rFonts w:asciiTheme="minorHAnsi" w:hAnsiTheme="minorHAnsi" w:cstheme="minorHAnsi"/>
          <w:sz w:val="22"/>
          <w:szCs w:val="22"/>
        </w:rPr>
        <w:t>provide</w:t>
      </w:r>
      <w:r w:rsidR="00576C0D" w:rsidRPr="00812D63">
        <w:rPr>
          <w:rFonts w:asciiTheme="minorHAnsi" w:hAnsiTheme="minorHAnsi" w:cstheme="minorHAnsi"/>
          <w:sz w:val="22"/>
          <w:szCs w:val="22"/>
        </w:rPr>
        <w:t xml:space="preserve"> </w:t>
      </w:r>
      <w:r w:rsidR="004B2F15" w:rsidRPr="00812D63">
        <w:rPr>
          <w:rFonts w:asciiTheme="minorHAnsi" w:hAnsiTheme="minorHAnsi" w:cstheme="minorHAnsi"/>
          <w:sz w:val="22"/>
          <w:szCs w:val="22"/>
        </w:rPr>
        <w:t>that</w:t>
      </w:r>
      <w:r w:rsidR="00661466">
        <w:rPr>
          <w:rFonts w:asciiTheme="minorHAnsi" w:hAnsiTheme="minorHAnsi" w:cstheme="minorHAnsi"/>
          <w:sz w:val="22"/>
          <w:szCs w:val="22"/>
        </w:rPr>
        <w:t xml:space="preserve"> </w:t>
      </w:r>
      <w:r w:rsidR="00E72804">
        <w:rPr>
          <w:rFonts w:asciiTheme="minorHAnsi" w:hAnsiTheme="minorHAnsi" w:cstheme="minorHAnsi"/>
          <w:sz w:val="22"/>
          <w:szCs w:val="22"/>
        </w:rPr>
        <w:t>a supply</w:t>
      </w:r>
      <w:r w:rsidR="00661466">
        <w:rPr>
          <w:rFonts w:asciiTheme="minorHAnsi" w:hAnsiTheme="minorHAnsi" w:cstheme="minorHAnsi"/>
          <w:sz w:val="22"/>
          <w:szCs w:val="22"/>
        </w:rPr>
        <w:t xml:space="preserve"> of a designated pharmaceutical benefit will be a special arrangement supply if the benefit is</w:t>
      </w:r>
      <w:r w:rsidR="0017052B">
        <w:rPr>
          <w:rFonts w:asciiTheme="minorHAnsi" w:hAnsiTheme="minorHAnsi" w:cstheme="minorHAnsi"/>
          <w:sz w:val="22"/>
          <w:szCs w:val="22"/>
        </w:rPr>
        <w:t xml:space="preserve"> supplied</w:t>
      </w:r>
      <w:r w:rsidR="00480181" w:rsidRPr="00812D63">
        <w:rPr>
          <w:rFonts w:asciiTheme="minorHAnsi" w:hAnsiTheme="minorHAnsi" w:cstheme="minorHAnsi"/>
          <w:sz w:val="22"/>
          <w:szCs w:val="22"/>
        </w:rPr>
        <w:t>:</w:t>
      </w:r>
    </w:p>
    <w:p w14:paraId="2EA06519" w14:textId="64906AE7" w:rsidR="00480181" w:rsidRPr="00812D63" w:rsidRDefault="00480181"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on or after 1 December 2019</w:t>
      </w:r>
      <w:r w:rsidR="00576C0D">
        <w:rPr>
          <w:rFonts w:asciiTheme="minorHAnsi" w:hAnsiTheme="minorHAnsi" w:cstheme="minorHAnsi"/>
        </w:rPr>
        <w:t>,</w:t>
      </w:r>
      <w:r w:rsidRPr="00812D63">
        <w:rPr>
          <w:rFonts w:asciiTheme="minorHAnsi" w:hAnsiTheme="minorHAnsi" w:cstheme="minorHAnsi"/>
        </w:rPr>
        <w:t xml:space="preserve"> and before 1 March 2021;</w:t>
      </w:r>
    </w:p>
    <w:p w14:paraId="5A5339BC" w14:textId="13620F57" w:rsidR="00480181" w:rsidRPr="00812D63" w:rsidRDefault="00480181"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within a participating jurisdiction</w:t>
      </w:r>
      <w:r w:rsidR="003C11C4" w:rsidRPr="00812D63">
        <w:rPr>
          <w:rFonts w:asciiTheme="minorHAnsi" w:hAnsiTheme="minorHAnsi" w:cstheme="minorHAnsi"/>
        </w:rPr>
        <w:t xml:space="preserve"> (defined in section 6 as being New South Wales, South Australia or Western Australia)</w:t>
      </w:r>
      <w:r w:rsidRPr="00812D63">
        <w:rPr>
          <w:rFonts w:asciiTheme="minorHAnsi" w:hAnsiTheme="minorHAnsi" w:cstheme="minorHAnsi"/>
        </w:rPr>
        <w:t>;</w:t>
      </w:r>
    </w:p>
    <w:p w14:paraId="187524C0" w14:textId="5E8CFC6C" w:rsidR="008A4E8F" w:rsidRPr="00812D63" w:rsidRDefault="00480181"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 xml:space="preserve">to a person meeting the definition of a designated person; </w:t>
      </w:r>
    </w:p>
    <w:p w14:paraId="45DAD057" w14:textId="041DEC71" w:rsidR="00480181" w:rsidRPr="00812D63" w:rsidRDefault="008A4E8F"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 xml:space="preserve">without a prescription; </w:t>
      </w:r>
      <w:r w:rsidR="00480181" w:rsidRPr="00812D63">
        <w:rPr>
          <w:rFonts w:asciiTheme="minorHAnsi" w:hAnsiTheme="minorHAnsi" w:cstheme="minorHAnsi"/>
        </w:rPr>
        <w:t>and</w:t>
      </w:r>
    </w:p>
    <w:p w14:paraId="76777AC9" w14:textId="7FF57C10" w:rsidR="00480181" w:rsidRPr="00812D63" w:rsidRDefault="003E1454" w:rsidP="003E1454">
      <w:pPr>
        <w:pStyle w:val="ListParagraph"/>
        <w:numPr>
          <w:ilvl w:val="0"/>
          <w:numId w:val="16"/>
        </w:numPr>
        <w:spacing w:after="160"/>
        <w:rPr>
          <w:rFonts w:asciiTheme="minorHAnsi" w:hAnsiTheme="minorHAnsi" w:cstheme="minorHAnsi"/>
        </w:rPr>
      </w:pPr>
      <w:r>
        <w:rPr>
          <w:rFonts w:asciiTheme="minorHAnsi" w:hAnsiTheme="minorHAnsi" w:cstheme="minorHAnsi"/>
        </w:rPr>
        <w:t xml:space="preserve">by a </w:t>
      </w:r>
      <w:r w:rsidR="00E72804">
        <w:rPr>
          <w:rFonts w:asciiTheme="minorHAnsi" w:hAnsiTheme="minorHAnsi" w:cstheme="minorHAnsi"/>
        </w:rPr>
        <w:t>hospital authorit</w:t>
      </w:r>
      <w:r>
        <w:rPr>
          <w:rFonts w:asciiTheme="minorHAnsi" w:hAnsiTheme="minorHAnsi" w:cstheme="minorHAnsi"/>
        </w:rPr>
        <w:t>y</w:t>
      </w:r>
      <w:r w:rsidR="00E72804">
        <w:rPr>
          <w:rFonts w:asciiTheme="minorHAnsi" w:hAnsiTheme="minorHAnsi" w:cstheme="minorHAnsi"/>
        </w:rPr>
        <w:t xml:space="preserve">, approved medical practitioner </w:t>
      </w:r>
      <w:r>
        <w:rPr>
          <w:rFonts w:asciiTheme="minorHAnsi" w:hAnsiTheme="minorHAnsi" w:cstheme="minorHAnsi"/>
        </w:rPr>
        <w:t>or</w:t>
      </w:r>
      <w:r w:rsidR="00E72804">
        <w:rPr>
          <w:rFonts w:asciiTheme="minorHAnsi" w:hAnsiTheme="minorHAnsi" w:cstheme="minorHAnsi"/>
        </w:rPr>
        <w:t xml:space="preserve"> approved pharmacist </w:t>
      </w:r>
      <w:r>
        <w:rPr>
          <w:rFonts w:asciiTheme="minorHAnsi" w:hAnsiTheme="minorHAnsi" w:cstheme="minorHAnsi"/>
        </w:rPr>
        <w:t xml:space="preserve">that has </w:t>
      </w:r>
      <w:r w:rsidR="00480181" w:rsidRPr="00812D63">
        <w:rPr>
          <w:rFonts w:asciiTheme="minorHAnsi" w:hAnsiTheme="minorHAnsi" w:cstheme="minorHAnsi"/>
        </w:rPr>
        <w:t xml:space="preserve">not been notified as an </w:t>
      </w:r>
      <w:r w:rsidR="00E72804">
        <w:rPr>
          <w:rFonts w:asciiTheme="minorHAnsi" w:hAnsiTheme="minorHAnsi" w:cstheme="minorHAnsi"/>
        </w:rPr>
        <w:t>‘</w:t>
      </w:r>
      <w:r w:rsidR="00480181" w:rsidRPr="00C93AEF">
        <w:rPr>
          <w:rFonts w:asciiTheme="minorHAnsi" w:hAnsiTheme="minorHAnsi" w:cstheme="minorHAnsi"/>
        </w:rPr>
        <w:t>excluded approved supplier</w:t>
      </w:r>
      <w:r w:rsidR="00E72804">
        <w:rPr>
          <w:rFonts w:asciiTheme="minorHAnsi" w:hAnsiTheme="minorHAnsi" w:cstheme="minorHAnsi"/>
        </w:rPr>
        <w:t>’</w:t>
      </w:r>
      <w:r w:rsidR="00480181" w:rsidRPr="00812D63">
        <w:rPr>
          <w:rFonts w:asciiTheme="minorHAnsi" w:hAnsiTheme="minorHAnsi" w:cstheme="minorHAnsi"/>
        </w:rPr>
        <w:t xml:space="preserve"> by their participating jurisdiction</w:t>
      </w:r>
      <w:r w:rsidR="00E72804">
        <w:rPr>
          <w:rFonts w:asciiTheme="minorHAnsi" w:hAnsiTheme="minorHAnsi" w:cstheme="minorHAnsi"/>
        </w:rPr>
        <w:t xml:space="preserve"> (‘excluded approved supplier’</w:t>
      </w:r>
      <w:r>
        <w:rPr>
          <w:rFonts w:asciiTheme="minorHAnsi" w:hAnsiTheme="minorHAnsi" w:cstheme="minorHAnsi"/>
        </w:rPr>
        <w:t xml:space="preserve"> is defined in s 6</w:t>
      </w:r>
      <w:r w:rsidR="00E72804">
        <w:rPr>
          <w:rFonts w:asciiTheme="minorHAnsi" w:hAnsiTheme="minorHAnsi" w:cstheme="minorHAnsi"/>
        </w:rPr>
        <w:t>)</w:t>
      </w:r>
      <w:r w:rsidR="00480181" w:rsidRPr="00812D63">
        <w:rPr>
          <w:rFonts w:asciiTheme="minorHAnsi" w:hAnsiTheme="minorHAnsi" w:cstheme="minorHAnsi"/>
        </w:rPr>
        <w:t>.</w:t>
      </w:r>
    </w:p>
    <w:p w14:paraId="3EDC39E6" w14:textId="1A99DB06" w:rsidR="00ED3ABB" w:rsidRPr="00812D63" w:rsidRDefault="00DC73FD" w:rsidP="00C93AEF">
      <w:pPr>
        <w:spacing w:after="80"/>
        <w:jc w:val="left"/>
        <w:rPr>
          <w:rFonts w:asciiTheme="minorHAnsi" w:hAnsiTheme="minorHAnsi" w:cstheme="minorHAnsi"/>
          <w:sz w:val="22"/>
          <w:szCs w:val="22"/>
        </w:rPr>
      </w:pPr>
      <w:r w:rsidRPr="00812D63">
        <w:rPr>
          <w:rFonts w:asciiTheme="minorHAnsi" w:hAnsiTheme="minorHAnsi" w:cstheme="minorHAnsi"/>
          <w:sz w:val="22"/>
          <w:szCs w:val="22"/>
        </w:rPr>
        <w:t>Subs</w:t>
      </w:r>
      <w:r w:rsidR="000137DF" w:rsidRPr="00812D63">
        <w:rPr>
          <w:rFonts w:asciiTheme="minorHAnsi" w:hAnsiTheme="minorHAnsi" w:cstheme="minorHAnsi"/>
          <w:sz w:val="22"/>
          <w:szCs w:val="22"/>
        </w:rPr>
        <w:t xml:space="preserve">ection </w:t>
      </w:r>
      <w:r w:rsidRPr="00812D63">
        <w:rPr>
          <w:rFonts w:asciiTheme="minorHAnsi" w:hAnsiTheme="minorHAnsi" w:cstheme="minorHAnsi"/>
          <w:sz w:val="22"/>
          <w:szCs w:val="22"/>
        </w:rPr>
        <w:t>7(1)</w:t>
      </w:r>
      <w:r w:rsidR="00ED3ABB" w:rsidRPr="00812D63">
        <w:rPr>
          <w:rFonts w:asciiTheme="minorHAnsi" w:hAnsiTheme="minorHAnsi" w:cstheme="minorHAnsi"/>
          <w:sz w:val="22"/>
          <w:szCs w:val="22"/>
        </w:rPr>
        <w:t xml:space="preserve"> </w:t>
      </w:r>
      <w:r w:rsidR="00480181" w:rsidRPr="00812D63">
        <w:rPr>
          <w:rFonts w:asciiTheme="minorHAnsi" w:hAnsiTheme="minorHAnsi" w:cstheme="minorHAnsi"/>
          <w:sz w:val="22"/>
          <w:szCs w:val="22"/>
        </w:rPr>
        <w:t>set</w:t>
      </w:r>
      <w:r w:rsidR="002503FA" w:rsidRPr="00812D63">
        <w:rPr>
          <w:rFonts w:asciiTheme="minorHAnsi" w:hAnsiTheme="minorHAnsi" w:cstheme="minorHAnsi"/>
          <w:sz w:val="22"/>
          <w:szCs w:val="22"/>
        </w:rPr>
        <w:t>s</w:t>
      </w:r>
      <w:r w:rsidR="00480181" w:rsidRPr="00812D63">
        <w:rPr>
          <w:rFonts w:asciiTheme="minorHAnsi" w:hAnsiTheme="minorHAnsi" w:cstheme="minorHAnsi"/>
          <w:sz w:val="22"/>
          <w:szCs w:val="22"/>
        </w:rPr>
        <w:t xml:space="preserve"> out </w:t>
      </w:r>
      <w:r w:rsidR="00ED3ABB" w:rsidRPr="00812D63">
        <w:rPr>
          <w:rFonts w:asciiTheme="minorHAnsi" w:hAnsiTheme="minorHAnsi" w:cstheme="minorHAnsi"/>
          <w:sz w:val="22"/>
          <w:szCs w:val="22"/>
        </w:rPr>
        <w:t xml:space="preserve">additional </w:t>
      </w:r>
      <w:r w:rsidR="00480181" w:rsidRPr="00812D63">
        <w:rPr>
          <w:rFonts w:asciiTheme="minorHAnsi" w:hAnsiTheme="minorHAnsi" w:cstheme="minorHAnsi"/>
          <w:sz w:val="22"/>
          <w:szCs w:val="22"/>
        </w:rPr>
        <w:t>criteria</w:t>
      </w:r>
      <w:r w:rsidR="00357664" w:rsidRPr="00812D63">
        <w:rPr>
          <w:rFonts w:asciiTheme="minorHAnsi" w:hAnsiTheme="minorHAnsi" w:cstheme="minorHAnsi"/>
          <w:sz w:val="22"/>
          <w:szCs w:val="22"/>
        </w:rPr>
        <w:t xml:space="preserve"> </w:t>
      </w:r>
      <w:r w:rsidR="00480181" w:rsidRPr="00812D63">
        <w:rPr>
          <w:rFonts w:asciiTheme="minorHAnsi" w:hAnsiTheme="minorHAnsi" w:cstheme="minorHAnsi"/>
          <w:sz w:val="22"/>
          <w:szCs w:val="22"/>
        </w:rPr>
        <w:t xml:space="preserve">for </w:t>
      </w:r>
      <w:r w:rsidR="00480181" w:rsidRPr="00C93AEF">
        <w:rPr>
          <w:rFonts w:asciiTheme="minorHAnsi" w:hAnsiTheme="minorHAnsi" w:cstheme="minorHAnsi"/>
          <w:sz w:val="22"/>
          <w:szCs w:val="22"/>
        </w:rPr>
        <w:t xml:space="preserve">approved hospital </w:t>
      </w:r>
      <w:r w:rsidR="00843563" w:rsidRPr="00C93AEF">
        <w:rPr>
          <w:rFonts w:asciiTheme="minorHAnsi" w:hAnsiTheme="minorHAnsi" w:cstheme="minorHAnsi"/>
          <w:sz w:val="22"/>
          <w:szCs w:val="22"/>
        </w:rPr>
        <w:t>authorities</w:t>
      </w:r>
      <w:r w:rsidR="003E1454">
        <w:rPr>
          <w:rFonts w:asciiTheme="minorHAnsi" w:hAnsiTheme="minorHAnsi" w:cstheme="minorHAnsi"/>
          <w:sz w:val="22"/>
          <w:szCs w:val="22"/>
        </w:rPr>
        <w:t xml:space="preserve"> </w:t>
      </w:r>
      <w:r w:rsidR="003E1454" w:rsidRPr="00812D63">
        <w:rPr>
          <w:rFonts w:asciiTheme="minorHAnsi" w:hAnsiTheme="minorHAnsi" w:cstheme="minorHAnsi"/>
          <w:sz w:val="22"/>
          <w:szCs w:val="22"/>
        </w:rPr>
        <w:t>to make a supply of a designated pharmaceutical benefit under the special arrangement</w:t>
      </w:r>
      <w:r w:rsidR="0017052B">
        <w:rPr>
          <w:rFonts w:asciiTheme="minorHAnsi" w:hAnsiTheme="minorHAnsi" w:cstheme="minorHAnsi"/>
          <w:sz w:val="22"/>
          <w:szCs w:val="22"/>
        </w:rPr>
        <w:t>.</w:t>
      </w:r>
      <w:r w:rsidR="00843563" w:rsidRPr="00812D63">
        <w:rPr>
          <w:rFonts w:asciiTheme="minorHAnsi" w:hAnsiTheme="minorHAnsi" w:cstheme="minorHAnsi"/>
          <w:sz w:val="22"/>
          <w:szCs w:val="22"/>
        </w:rPr>
        <w:t xml:space="preserve"> </w:t>
      </w:r>
      <w:r w:rsidR="0017052B">
        <w:rPr>
          <w:rFonts w:asciiTheme="minorHAnsi" w:hAnsiTheme="minorHAnsi" w:cstheme="minorHAnsi"/>
          <w:sz w:val="22"/>
          <w:szCs w:val="22"/>
        </w:rPr>
        <w:t>S</w:t>
      </w:r>
      <w:r w:rsidR="00480181" w:rsidRPr="00812D63">
        <w:rPr>
          <w:rFonts w:asciiTheme="minorHAnsi" w:hAnsiTheme="minorHAnsi" w:cstheme="minorHAnsi"/>
          <w:sz w:val="22"/>
          <w:szCs w:val="22"/>
        </w:rPr>
        <w:t>upply</w:t>
      </w:r>
      <w:r w:rsidR="0017052B">
        <w:rPr>
          <w:rFonts w:asciiTheme="minorHAnsi" w:hAnsiTheme="minorHAnsi" w:cstheme="minorHAnsi"/>
          <w:sz w:val="22"/>
          <w:szCs w:val="22"/>
        </w:rPr>
        <w:t xml:space="preserve"> by a designated hospital authority will only be a special arrangement supply if it is supplied</w:t>
      </w:r>
      <w:r w:rsidR="00480181" w:rsidRPr="00812D63">
        <w:rPr>
          <w:rFonts w:asciiTheme="minorHAnsi" w:hAnsiTheme="minorHAnsi" w:cstheme="minorHAnsi"/>
          <w:sz w:val="22"/>
          <w:szCs w:val="22"/>
        </w:rPr>
        <w:t xml:space="preserve"> to designated persons who</w:t>
      </w:r>
      <w:r w:rsidR="00ED3ABB" w:rsidRPr="00812D63">
        <w:rPr>
          <w:rFonts w:asciiTheme="minorHAnsi" w:hAnsiTheme="minorHAnsi" w:cstheme="minorHAnsi"/>
          <w:sz w:val="22"/>
          <w:szCs w:val="22"/>
        </w:rPr>
        <w:t>, at the time of supply</w:t>
      </w:r>
      <w:r w:rsidR="0017052B">
        <w:rPr>
          <w:rFonts w:asciiTheme="minorHAnsi" w:hAnsiTheme="minorHAnsi" w:cstheme="minorHAnsi"/>
          <w:sz w:val="22"/>
          <w:szCs w:val="22"/>
        </w:rPr>
        <w:t>,</w:t>
      </w:r>
      <w:r w:rsidR="00ED3ABB" w:rsidRPr="00812D63">
        <w:rPr>
          <w:rFonts w:asciiTheme="minorHAnsi" w:hAnsiTheme="minorHAnsi" w:cstheme="minorHAnsi"/>
          <w:sz w:val="22"/>
          <w:szCs w:val="22"/>
        </w:rPr>
        <w:t xml:space="preserve"> are:</w:t>
      </w:r>
    </w:p>
    <w:p w14:paraId="3ED2832D" w14:textId="7D5B774B" w:rsidR="00EF4E89" w:rsidRPr="00812D63" w:rsidRDefault="00ED3ABB"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day admitted patient of the hospital</w:t>
      </w:r>
      <w:r w:rsidR="00EF4E89" w:rsidRPr="00812D63">
        <w:rPr>
          <w:rFonts w:asciiTheme="minorHAnsi" w:hAnsiTheme="minorHAnsi" w:cstheme="minorHAnsi"/>
        </w:rPr>
        <w:t>; or</w:t>
      </w:r>
    </w:p>
    <w:p w14:paraId="28132815" w14:textId="4EA75363" w:rsidR="00EF4E89" w:rsidRPr="00812D63" w:rsidRDefault="00EF4E89"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patient on discharge; or</w:t>
      </w:r>
    </w:p>
    <w:p w14:paraId="4B71724F" w14:textId="77777777" w:rsidR="00EF4E89" w:rsidRPr="00812D63" w:rsidRDefault="00EF4E89"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lastRenderedPageBreak/>
        <w:t xml:space="preserve">a non-admitted patient; or </w:t>
      </w:r>
    </w:p>
    <w:p w14:paraId="0059DBB9" w14:textId="77777777" w:rsidR="00610945" w:rsidRPr="00812D63" w:rsidRDefault="00610945" w:rsidP="00473013">
      <w:pPr>
        <w:pStyle w:val="ListParagraph"/>
        <w:numPr>
          <w:ilvl w:val="0"/>
          <w:numId w:val="16"/>
        </w:numPr>
        <w:spacing w:after="160"/>
        <w:rPr>
          <w:rFonts w:asciiTheme="minorHAnsi" w:hAnsiTheme="minorHAnsi" w:cstheme="minorHAnsi"/>
        </w:rPr>
      </w:pPr>
      <w:r w:rsidRPr="00812D63">
        <w:rPr>
          <w:rFonts w:asciiTheme="minorHAnsi" w:hAnsiTheme="minorHAnsi" w:cstheme="minorHAnsi"/>
        </w:rPr>
        <w:t>somebody who is not a patient receiving treatment in or at the hospital.</w:t>
      </w:r>
    </w:p>
    <w:p w14:paraId="3FFD1674" w14:textId="51EC8AD7" w:rsidR="00375F9E" w:rsidRPr="00812D63" w:rsidRDefault="00A4436D" w:rsidP="00C93AEF">
      <w:pPr>
        <w:spacing w:after="80"/>
        <w:jc w:val="left"/>
        <w:rPr>
          <w:rFonts w:asciiTheme="minorHAnsi" w:hAnsiTheme="minorHAnsi" w:cstheme="minorHAnsi"/>
          <w:sz w:val="22"/>
          <w:szCs w:val="22"/>
        </w:rPr>
      </w:pPr>
      <w:r w:rsidRPr="00812D63">
        <w:rPr>
          <w:rFonts w:asciiTheme="minorHAnsi" w:hAnsiTheme="minorHAnsi" w:cstheme="minorHAnsi"/>
          <w:sz w:val="22"/>
          <w:szCs w:val="22"/>
        </w:rPr>
        <w:t xml:space="preserve">The following scenarios are provided as examples to assist in interpreting the types of situations where </w:t>
      </w:r>
      <w:r w:rsidR="003E1454">
        <w:rPr>
          <w:rFonts w:asciiTheme="minorHAnsi" w:hAnsiTheme="minorHAnsi" w:cstheme="minorHAnsi"/>
          <w:sz w:val="22"/>
          <w:szCs w:val="22"/>
        </w:rPr>
        <w:t xml:space="preserve">a supply of </w:t>
      </w:r>
      <w:r w:rsidRPr="00812D63">
        <w:rPr>
          <w:rFonts w:asciiTheme="minorHAnsi" w:hAnsiTheme="minorHAnsi" w:cstheme="minorHAnsi"/>
          <w:sz w:val="22"/>
          <w:szCs w:val="22"/>
        </w:rPr>
        <w:t xml:space="preserve">naloxone </w:t>
      </w:r>
      <w:r w:rsidR="003E1454">
        <w:rPr>
          <w:rFonts w:asciiTheme="minorHAnsi" w:hAnsiTheme="minorHAnsi" w:cstheme="minorHAnsi"/>
          <w:sz w:val="22"/>
          <w:szCs w:val="22"/>
        </w:rPr>
        <w:t>will be a special arrangement supply capable of being</w:t>
      </w:r>
      <w:r w:rsidRPr="00812D63">
        <w:rPr>
          <w:rFonts w:asciiTheme="minorHAnsi" w:hAnsiTheme="minorHAnsi" w:cstheme="minorHAnsi"/>
          <w:sz w:val="22"/>
          <w:szCs w:val="22"/>
        </w:rPr>
        <w:t xml:space="preserve"> supplied and claimed under the</w:t>
      </w:r>
      <w:r w:rsidR="00E72637" w:rsidRPr="00812D63">
        <w:rPr>
          <w:rFonts w:asciiTheme="minorHAnsi" w:hAnsiTheme="minorHAnsi" w:cstheme="minorHAnsi"/>
          <w:sz w:val="22"/>
          <w:szCs w:val="22"/>
        </w:rPr>
        <w:t xml:space="preserve"> special arrangement</w:t>
      </w:r>
      <w:r w:rsidR="00357664" w:rsidRPr="00812D63">
        <w:rPr>
          <w:rFonts w:asciiTheme="minorHAnsi" w:hAnsiTheme="minorHAnsi" w:cstheme="minorHAnsi"/>
          <w:sz w:val="22"/>
          <w:szCs w:val="22"/>
        </w:rPr>
        <w:t xml:space="preserve"> from an approved hospital authority</w:t>
      </w:r>
      <w:r w:rsidR="00B3425F" w:rsidRPr="00812D63">
        <w:rPr>
          <w:rFonts w:asciiTheme="minorHAnsi" w:hAnsiTheme="minorHAnsi" w:cstheme="minorHAnsi"/>
          <w:sz w:val="22"/>
          <w:szCs w:val="22"/>
        </w:rPr>
        <w:t xml:space="preserve">. </w:t>
      </w:r>
    </w:p>
    <w:p w14:paraId="0575D657" w14:textId="29AB6DA4" w:rsidR="00375F9E" w:rsidRPr="00812D63" w:rsidRDefault="00356D38"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 xml:space="preserve">a patient is discharged from hospital </w:t>
      </w:r>
      <w:r w:rsidR="005C5D16">
        <w:rPr>
          <w:rFonts w:asciiTheme="minorHAnsi" w:hAnsiTheme="minorHAnsi" w:cstheme="minorHAnsi"/>
        </w:rPr>
        <w:t>after</w:t>
      </w:r>
      <w:r w:rsidR="005C5D16" w:rsidRPr="00812D63">
        <w:rPr>
          <w:rFonts w:asciiTheme="minorHAnsi" w:hAnsiTheme="minorHAnsi" w:cstheme="minorHAnsi"/>
        </w:rPr>
        <w:t xml:space="preserve"> </w:t>
      </w:r>
      <w:r w:rsidR="00D87B36" w:rsidRPr="00812D63">
        <w:rPr>
          <w:rFonts w:asciiTheme="minorHAnsi" w:hAnsiTheme="minorHAnsi" w:cstheme="minorHAnsi"/>
        </w:rPr>
        <w:t xml:space="preserve">being an in-patient or day admitted patient for a surgical event with prescription opioids and is provided </w:t>
      </w:r>
      <w:r w:rsidR="007F4692">
        <w:rPr>
          <w:rFonts w:asciiTheme="minorHAnsi" w:hAnsiTheme="minorHAnsi" w:cstheme="minorHAnsi"/>
        </w:rPr>
        <w:t xml:space="preserve">naloxone </w:t>
      </w:r>
      <w:r w:rsidR="00D87B36" w:rsidRPr="00812D63">
        <w:rPr>
          <w:rFonts w:asciiTheme="minorHAnsi" w:hAnsiTheme="minorHAnsi" w:cstheme="minorHAnsi"/>
        </w:rPr>
        <w:t>at point of discharge;</w:t>
      </w:r>
    </w:p>
    <w:p w14:paraId="5F409AC2" w14:textId="364EA53F" w:rsidR="00D87B36" w:rsidRPr="00812D63" w:rsidRDefault="005D72B4"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patient attends a drug and alcohol clinic as an outpatient (considered to be a non-admitted patient) and is provided naloxone as part of their attendance;</w:t>
      </w:r>
    </w:p>
    <w:p w14:paraId="02264446" w14:textId="2A44DB6A" w:rsidR="005D72B4" w:rsidRPr="00812D63" w:rsidRDefault="005D72B4"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patient is brought to emergency experiencing an opioid overdose and is treated within emergency then discharged or released later that same day and provided naloxone at point of discharge;</w:t>
      </w:r>
    </w:p>
    <w:p w14:paraId="5B6099A6" w14:textId="1C96AF58" w:rsidR="00D87B36" w:rsidRPr="00812D63" w:rsidRDefault="00A53873" w:rsidP="00473013">
      <w:pPr>
        <w:pStyle w:val="ListParagraph"/>
        <w:numPr>
          <w:ilvl w:val="0"/>
          <w:numId w:val="16"/>
        </w:numPr>
        <w:spacing w:after="80"/>
        <w:rPr>
          <w:rFonts w:asciiTheme="minorHAnsi" w:hAnsiTheme="minorHAnsi" w:cstheme="minorHAnsi"/>
        </w:rPr>
      </w:pPr>
      <w:r w:rsidRPr="00812D63">
        <w:rPr>
          <w:rFonts w:asciiTheme="minorHAnsi" w:hAnsiTheme="minorHAnsi" w:cstheme="minorHAnsi"/>
        </w:rPr>
        <w:t xml:space="preserve">a patient is brought to emergency experiencing an opioid overdose and is treated and then transferred to a ward as </w:t>
      </w:r>
      <w:r w:rsidR="005C5D16">
        <w:rPr>
          <w:rFonts w:asciiTheme="minorHAnsi" w:hAnsiTheme="minorHAnsi" w:cstheme="minorHAnsi"/>
        </w:rPr>
        <w:t>an</w:t>
      </w:r>
      <w:r w:rsidR="005C5D16" w:rsidRPr="00812D63">
        <w:rPr>
          <w:rFonts w:asciiTheme="minorHAnsi" w:hAnsiTheme="minorHAnsi" w:cstheme="minorHAnsi"/>
        </w:rPr>
        <w:t xml:space="preserve"> </w:t>
      </w:r>
      <w:r w:rsidRPr="00812D63">
        <w:rPr>
          <w:rFonts w:asciiTheme="minorHAnsi" w:hAnsiTheme="minorHAnsi" w:cstheme="minorHAnsi"/>
        </w:rPr>
        <w:t>admitted patient</w:t>
      </w:r>
      <w:r w:rsidR="00B3425F" w:rsidRPr="00812D63">
        <w:rPr>
          <w:rFonts w:asciiTheme="minorHAnsi" w:hAnsiTheme="minorHAnsi" w:cstheme="minorHAnsi"/>
        </w:rPr>
        <w:t xml:space="preserve">. </w:t>
      </w:r>
      <w:r w:rsidR="00026C4A" w:rsidRPr="00812D63">
        <w:rPr>
          <w:rFonts w:asciiTheme="minorHAnsi" w:hAnsiTheme="minorHAnsi" w:cstheme="minorHAnsi"/>
        </w:rPr>
        <w:t>The patient is discharged several days later and provided naloxone at point of discharge;</w:t>
      </w:r>
    </w:p>
    <w:p w14:paraId="0B75997D" w14:textId="74D86F2E" w:rsidR="00A53873" w:rsidRPr="00812D63" w:rsidRDefault="00026C4A" w:rsidP="00473013">
      <w:pPr>
        <w:pStyle w:val="ListParagraph"/>
        <w:numPr>
          <w:ilvl w:val="0"/>
          <w:numId w:val="16"/>
        </w:numPr>
        <w:spacing w:after="160"/>
        <w:rPr>
          <w:rFonts w:asciiTheme="minorHAnsi" w:hAnsiTheme="minorHAnsi" w:cstheme="minorHAnsi"/>
        </w:rPr>
      </w:pPr>
      <w:r w:rsidRPr="00812D63">
        <w:rPr>
          <w:rFonts w:asciiTheme="minorHAnsi" w:hAnsiTheme="minorHAnsi" w:cstheme="minorHAnsi"/>
        </w:rPr>
        <w:t xml:space="preserve">a friend, family member or support person of the patient in any of the above scenarios may access naloxone from an approved hospital </w:t>
      </w:r>
      <w:r w:rsidR="008A4E8F" w:rsidRPr="00812D63">
        <w:rPr>
          <w:rFonts w:asciiTheme="minorHAnsi" w:hAnsiTheme="minorHAnsi" w:cstheme="minorHAnsi"/>
        </w:rPr>
        <w:t>authority.</w:t>
      </w:r>
    </w:p>
    <w:p w14:paraId="7F485E77" w14:textId="490D65F9" w:rsidR="00357664" w:rsidRPr="00812D63" w:rsidRDefault="00357664"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list of examples is provided as a guide only and </w:t>
      </w:r>
      <w:r w:rsidR="005C5D16">
        <w:rPr>
          <w:rFonts w:asciiTheme="minorHAnsi" w:hAnsiTheme="minorHAnsi" w:cstheme="minorHAnsi"/>
          <w:sz w:val="22"/>
          <w:szCs w:val="22"/>
        </w:rPr>
        <w:t xml:space="preserve">is </w:t>
      </w:r>
      <w:r w:rsidRPr="00812D63">
        <w:rPr>
          <w:rFonts w:asciiTheme="minorHAnsi" w:hAnsiTheme="minorHAnsi" w:cstheme="minorHAnsi"/>
          <w:sz w:val="22"/>
          <w:szCs w:val="22"/>
        </w:rPr>
        <w:t xml:space="preserve">not meant </w:t>
      </w:r>
      <w:r w:rsidR="003E1454">
        <w:rPr>
          <w:rFonts w:asciiTheme="minorHAnsi" w:hAnsiTheme="minorHAnsi" w:cstheme="minorHAnsi"/>
          <w:sz w:val="22"/>
          <w:szCs w:val="22"/>
        </w:rPr>
        <w:t>to be exhaustive</w:t>
      </w:r>
      <w:r w:rsidRPr="00812D63">
        <w:rPr>
          <w:rFonts w:asciiTheme="minorHAnsi" w:hAnsiTheme="minorHAnsi" w:cstheme="minorHAnsi"/>
          <w:sz w:val="22"/>
          <w:szCs w:val="22"/>
        </w:rPr>
        <w:t>.</w:t>
      </w:r>
    </w:p>
    <w:p w14:paraId="595B2CF9" w14:textId="5A8D0E75" w:rsidR="00126999" w:rsidRPr="00812D63" w:rsidRDefault="004B2F15"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Subsection 7(4) outlines the criteria that must be met for an ‘</w:t>
      </w:r>
      <w:r w:rsidR="00D56744" w:rsidRPr="00812D63">
        <w:rPr>
          <w:rFonts w:asciiTheme="minorHAnsi" w:hAnsiTheme="minorHAnsi" w:cstheme="minorHAnsi"/>
          <w:sz w:val="22"/>
          <w:szCs w:val="22"/>
        </w:rPr>
        <w:t xml:space="preserve">authorised alternative supplier’ to make a supply of a designated pharmaceutical benefit under the </w:t>
      </w:r>
      <w:r w:rsidR="00843563" w:rsidRPr="00812D63">
        <w:rPr>
          <w:rFonts w:asciiTheme="minorHAnsi" w:hAnsiTheme="minorHAnsi" w:cstheme="minorHAnsi"/>
          <w:sz w:val="22"/>
          <w:szCs w:val="22"/>
        </w:rPr>
        <w:t>special arrangement</w:t>
      </w:r>
      <w:r w:rsidR="00B3425F" w:rsidRPr="00812D63">
        <w:rPr>
          <w:rFonts w:asciiTheme="minorHAnsi" w:hAnsiTheme="minorHAnsi" w:cstheme="minorHAnsi"/>
          <w:sz w:val="22"/>
          <w:szCs w:val="22"/>
        </w:rPr>
        <w:t xml:space="preserve">. </w:t>
      </w:r>
    </w:p>
    <w:p w14:paraId="5A39E491" w14:textId="49049729" w:rsidR="00C21CB1" w:rsidRPr="00812D63" w:rsidRDefault="001269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As for approved suppliers, authorised alternative suppliers may only supply a designated pharmaceutical benefit where the supply is made on or after 1 December 2019 and before 1 March 2021 and that the supply is made in a participating jurisdiction to a designated person.</w:t>
      </w:r>
    </w:p>
    <w:p w14:paraId="481EDEEE" w14:textId="32224D87" w:rsidR="00480181" w:rsidRPr="00812D63" w:rsidRDefault="00357664"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Subsection </w:t>
      </w:r>
      <w:r w:rsidR="00C74F3A" w:rsidRPr="00812D63">
        <w:rPr>
          <w:rFonts w:asciiTheme="minorHAnsi" w:hAnsiTheme="minorHAnsi" w:cstheme="minorHAnsi"/>
          <w:sz w:val="22"/>
          <w:szCs w:val="22"/>
        </w:rPr>
        <w:t>7(5)</w:t>
      </w:r>
      <w:r w:rsidR="00480181" w:rsidRPr="00812D63">
        <w:rPr>
          <w:rFonts w:asciiTheme="minorHAnsi" w:hAnsiTheme="minorHAnsi" w:cstheme="minorHAnsi"/>
          <w:sz w:val="22"/>
          <w:szCs w:val="22"/>
        </w:rPr>
        <w:t xml:space="preserve"> clarifies that the policy intent of the </w:t>
      </w:r>
      <w:r w:rsidR="005C5D16">
        <w:rPr>
          <w:rFonts w:asciiTheme="minorHAnsi" w:hAnsiTheme="minorHAnsi" w:cstheme="minorHAnsi"/>
          <w:sz w:val="22"/>
          <w:szCs w:val="22"/>
        </w:rPr>
        <w:t>Arrangement</w:t>
      </w:r>
      <w:r w:rsidR="00480181" w:rsidRPr="00812D63">
        <w:rPr>
          <w:rFonts w:asciiTheme="minorHAnsi" w:hAnsiTheme="minorHAnsi" w:cstheme="minorHAnsi"/>
          <w:sz w:val="22"/>
          <w:szCs w:val="22"/>
        </w:rPr>
        <w:t xml:space="preserve"> is not to extend access to state funded ambulance services for the purposes of treating somebody who is experiencing an opioid overdose</w:t>
      </w:r>
      <w:r w:rsidR="00B3425F" w:rsidRPr="00812D63">
        <w:rPr>
          <w:rFonts w:asciiTheme="minorHAnsi" w:hAnsiTheme="minorHAnsi" w:cstheme="minorHAnsi"/>
          <w:sz w:val="22"/>
          <w:szCs w:val="22"/>
        </w:rPr>
        <w:t xml:space="preserve">. </w:t>
      </w:r>
      <w:r w:rsidR="00480181" w:rsidRPr="00812D63">
        <w:rPr>
          <w:rFonts w:asciiTheme="minorHAnsi" w:hAnsiTheme="minorHAnsi" w:cstheme="minorHAnsi"/>
          <w:sz w:val="22"/>
          <w:szCs w:val="22"/>
        </w:rPr>
        <w:t>The intention is that this will be funded as part of normal state funding responsibilities</w:t>
      </w:r>
      <w:r w:rsidR="00B3425F" w:rsidRPr="00812D63">
        <w:rPr>
          <w:rFonts w:asciiTheme="minorHAnsi" w:hAnsiTheme="minorHAnsi" w:cstheme="minorHAnsi"/>
          <w:sz w:val="22"/>
          <w:szCs w:val="22"/>
        </w:rPr>
        <w:t xml:space="preserve">. </w:t>
      </w:r>
    </w:p>
    <w:p w14:paraId="01C436AE" w14:textId="77777777" w:rsidR="002F344D" w:rsidRPr="00812D63" w:rsidRDefault="002F344D" w:rsidP="00473013">
      <w:pPr>
        <w:keepNext/>
        <w:spacing w:after="160"/>
        <w:jc w:val="left"/>
        <w:rPr>
          <w:rFonts w:asciiTheme="minorHAnsi" w:hAnsiTheme="minorHAnsi" w:cstheme="minorHAnsi"/>
          <w:b/>
          <w:sz w:val="24"/>
          <w:szCs w:val="24"/>
        </w:rPr>
      </w:pPr>
      <w:bookmarkStart w:id="2" w:name="_Toc24385251"/>
      <w:r w:rsidRPr="00812D63">
        <w:rPr>
          <w:rFonts w:asciiTheme="minorHAnsi" w:hAnsiTheme="minorHAnsi" w:cstheme="minorHAnsi"/>
          <w:b/>
          <w:sz w:val="24"/>
          <w:szCs w:val="24"/>
        </w:rPr>
        <w:t>Division 2—Special arrangement supplies of designated pharmaceutical benefits</w:t>
      </w:r>
      <w:bookmarkEnd w:id="2"/>
    </w:p>
    <w:p w14:paraId="5F725387" w14:textId="521972F1" w:rsidR="002F344D" w:rsidRPr="00812D63" w:rsidRDefault="002F344D" w:rsidP="00473013">
      <w:pPr>
        <w:keepLines w:val="0"/>
        <w:tabs>
          <w:tab w:val="left" w:pos="1134"/>
        </w:tabs>
        <w:spacing w:after="160"/>
        <w:jc w:val="left"/>
        <w:rPr>
          <w:rFonts w:asciiTheme="minorHAnsi" w:hAnsiTheme="minorHAnsi" w:cstheme="minorHAnsi"/>
          <w:b/>
          <w:sz w:val="24"/>
          <w:szCs w:val="24"/>
          <w:lang w:eastAsia="en-US"/>
        </w:rPr>
      </w:pPr>
      <w:bookmarkStart w:id="3" w:name="_Toc24385252"/>
      <w:r w:rsidRPr="00812D63">
        <w:rPr>
          <w:rFonts w:asciiTheme="minorHAnsi" w:hAnsiTheme="minorHAnsi" w:cstheme="minorHAnsi"/>
          <w:b/>
          <w:sz w:val="24"/>
          <w:szCs w:val="24"/>
          <w:lang w:eastAsia="en-US"/>
        </w:rPr>
        <w:t>Section 8</w:t>
      </w:r>
      <w:r w:rsidR="0048018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Definition of value for safety net purposes for supplies</w:t>
      </w:r>
      <w:bookmarkEnd w:id="3"/>
    </w:p>
    <w:p w14:paraId="1A37B513" w14:textId="1BE2EA92" w:rsidR="00A30696" w:rsidRDefault="005D161F" w:rsidP="00473013">
      <w:pPr>
        <w:spacing w:after="160"/>
        <w:jc w:val="left"/>
        <w:rPr>
          <w:rFonts w:asciiTheme="minorHAnsi" w:hAnsiTheme="minorHAnsi" w:cstheme="minorHAnsi"/>
          <w:sz w:val="22"/>
          <w:szCs w:val="22"/>
        </w:rPr>
      </w:pPr>
      <w:r>
        <w:rPr>
          <w:rFonts w:asciiTheme="minorHAnsi" w:hAnsiTheme="minorHAnsi" w:cstheme="minorHAnsi"/>
          <w:sz w:val="22"/>
          <w:szCs w:val="22"/>
        </w:rPr>
        <w:t>Section 8(1) provides that the ‘value for safety net purposes’ of a special arrangement supply of a designated pharmaceutical benefit is zero. Section 8(2) provides that the definition in s </w:t>
      </w:r>
      <w:r w:rsidR="00742E6A">
        <w:rPr>
          <w:rFonts w:asciiTheme="minorHAnsi" w:hAnsiTheme="minorHAnsi" w:cstheme="minorHAnsi"/>
          <w:sz w:val="22"/>
          <w:szCs w:val="22"/>
        </w:rPr>
        <w:t>8</w:t>
      </w:r>
      <w:r>
        <w:rPr>
          <w:rFonts w:asciiTheme="minorHAnsi" w:hAnsiTheme="minorHAnsi" w:cstheme="minorHAnsi"/>
          <w:sz w:val="22"/>
          <w:szCs w:val="22"/>
        </w:rPr>
        <w:t xml:space="preserve"> applies despite the definition in s 84(1) of the Act. </w:t>
      </w:r>
    </w:p>
    <w:p w14:paraId="03232EAB" w14:textId="1AF8B31A" w:rsidR="00A30696" w:rsidRDefault="00A30696"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w:t>
      </w:r>
      <w:r w:rsidR="00C80DBA">
        <w:rPr>
          <w:rFonts w:asciiTheme="minorHAnsi" w:hAnsiTheme="minorHAnsi" w:cstheme="minorHAnsi"/>
          <w:sz w:val="22"/>
          <w:szCs w:val="22"/>
        </w:rPr>
        <w:t>ub</w:t>
      </w:r>
      <w:r w:rsidR="004E0D93">
        <w:rPr>
          <w:rFonts w:asciiTheme="minorHAnsi" w:hAnsiTheme="minorHAnsi" w:cstheme="minorHAnsi"/>
          <w:sz w:val="22"/>
          <w:szCs w:val="22"/>
        </w:rPr>
        <w:t>s</w:t>
      </w:r>
      <w:r w:rsidRPr="00812D63">
        <w:rPr>
          <w:rFonts w:asciiTheme="minorHAnsi" w:hAnsiTheme="minorHAnsi" w:cstheme="minorHAnsi"/>
          <w:sz w:val="22"/>
          <w:szCs w:val="22"/>
        </w:rPr>
        <w:t xml:space="preserve">ection 84(1) of the Act </w:t>
      </w:r>
      <w:r>
        <w:rPr>
          <w:rFonts w:asciiTheme="minorHAnsi" w:hAnsiTheme="minorHAnsi" w:cstheme="minorHAnsi"/>
          <w:sz w:val="22"/>
          <w:szCs w:val="22"/>
        </w:rPr>
        <w:t xml:space="preserve">relevantly </w:t>
      </w:r>
      <w:r w:rsidRPr="00812D63">
        <w:rPr>
          <w:rFonts w:asciiTheme="minorHAnsi" w:hAnsiTheme="minorHAnsi" w:cstheme="minorHAnsi"/>
          <w:sz w:val="22"/>
          <w:szCs w:val="22"/>
        </w:rPr>
        <w:t>defines the term ‘</w:t>
      </w:r>
      <w:r w:rsidRPr="00C93AEF">
        <w:rPr>
          <w:rFonts w:asciiTheme="minorHAnsi" w:hAnsiTheme="minorHAnsi" w:cstheme="minorHAnsi"/>
          <w:iCs/>
          <w:sz w:val="22"/>
          <w:szCs w:val="22"/>
        </w:rPr>
        <w:t>value of safety net purpose</w:t>
      </w:r>
      <w:r w:rsidRPr="00634DBE">
        <w:rPr>
          <w:rFonts w:asciiTheme="minorHAnsi" w:hAnsiTheme="minorHAnsi" w:cstheme="minorHAnsi"/>
          <w:sz w:val="22"/>
          <w:szCs w:val="22"/>
        </w:rPr>
        <w:t>’</w:t>
      </w:r>
      <w:r w:rsidRPr="00812D63">
        <w:rPr>
          <w:rFonts w:asciiTheme="minorHAnsi" w:hAnsiTheme="minorHAnsi" w:cstheme="minorHAnsi"/>
          <w:sz w:val="22"/>
          <w:szCs w:val="22"/>
        </w:rPr>
        <w:t xml:space="preserve"> for the supply of a pharmaceutical benefit to be the amount prescribed by regulations made for the purposes of subsection 84C(1E) of the Act.</w:t>
      </w:r>
    </w:p>
    <w:p w14:paraId="1AFBC678" w14:textId="7E322B70" w:rsidR="00480181" w:rsidRPr="00812D63" w:rsidRDefault="00480181"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The purpose of s</w:t>
      </w:r>
      <w:r w:rsidR="005D161F">
        <w:rPr>
          <w:rFonts w:asciiTheme="minorHAnsi" w:hAnsiTheme="minorHAnsi" w:cstheme="minorHAnsi"/>
          <w:sz w:val="22"/>
          <w:szCs w:val="22"/>
        </w:rPr>
        <w:t xml:space="preserve"> </w:t>
      </w:r>
      <w:r w:rsidR="00B3425F" w:rsidRPr="00812D63">
        <w:rPr>
          <w:rFonts w:asciiTheme="minorHAnsi" w:hAnsiTheme="minorHAnsi" w:cstheme="minorHAnsi"/>
          <w:sz w:val="22"/>
          <w:szCs w:val="22"/>
        </w:rPr>
        <w:t>8</w:t>
      </w:r>
      <w:r w:rsidRPr="00812D63">
        <w:rPr>
          <w:rFonts w:asciiTheme="minorHAnsi" w:hAnsiTheme="minorHAnsi" w:cstheme="minorHAnsi"/>
          <w:sz w:val="22"/>
          <w:szCs w:val="22"/>
        </w:rPr>
        <w:t xml:space="preserve"> of </w:t>
      </w:r>
      <w:r w:rsidR="008736FA">
        <w:rPr>
          <w:rFonts w:asciiTheme="minorHAnsi" w:hAnsiTheme="minorHAnsi" w:cstheme="minorHAnsi"/>
          <w:sz w:val="22"/>
          <w:szCs w:val="22"/>
        </w:rPr>
        <w:t>the</w:t>
      </w:r>
      <w:r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is to set out that despite the definition in the Act, there will be no value attributed towards a person’s safety net for </w:t>
      </w:r>
      <w:r w:rsidR="007F4692">
        <w:rPr>
          <w:rFonts w:asciiTheme="minorHAnsi" w:hAnsiTheme="minorHAnsi" w:cstheme="minorHAnsi"/>
          <w:sz w:val="22"/>
          <w:szCs w:val="22"/>
        </w:rPr>
        <w:t xml:space="preserve">a supply allowed through this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 That is, because there is no patient contribution charged to the patient</w:t>
      </w:r>
      <w:r w:rsidR="004E0D93">
        <w:rPr>
          <w:rFonts w:asciiTheme="minorHAnsi" w:hAnsiTheme="minorHAnsi" w:cstheme="minorHAnsi"/>
          <w:sz w:val="22"/>
          <w:szCs w:val="22"/>
        </w:rPr>
        <w:t>,</w:t>
      </w:r>
      <w:r w:rsidR="00B3425F" w:rsidRPr="00812D63">
        <w:rPr>
          <w:rFonts w:asciiTheme="minorHAnsi" w:hAnsiTheme="minorHAnsi" w:cstheme="minorHAnsi"/>
          <w:sz w:val="22"/>
          <w:szCs w:val="22"/>
        </w:rPr>
        <w:t xml:space="preserve"> there is correspondingly no financial amount that can be counted towards the patient’s safety net </w:t>
      </w:r>
      <w:r w:rsidR="004E353D">
        <w:rPr>
          <w:rFonts w:asciiTheme="minorHAnsi" w:hAnsiTheme="minorHAnsi" w:cstheme="minorHAnsi"/>
          <w:sz w:val="22"/>
          <w:szCs w:val="22"/>
        </w:rPr>
        <w:t xml:space="preserve">benefit </w:t>
      </w:r>
      <w:r w:rsidR="00B3425F" w:rsidRPr="00812D63">
        <w:rPr>
          <w:rFonts w:asciiTheme="minorHAnsi" w:hAnsiTheme="minorHAnsi" w:cstheme="minorHAnsi"/>
          <w:sz w:val="22"/>
          <w:szCs w:val="22"/>
        </w:rPr>
        <w:t xml:space="preserve">when receiving a supply of naloxone through this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 xml:space="preserve">. </w:t>
      </w:r>
    </w:p>
    <w:p w14:paraId="5F516CE6" w14:textId="7AD2A46D" w:rsidR="002F344D" w:rsidRPr="00812D63" w:rsidRDefault="002F344D" w:rsidP="00473013">
      <w:pPr>
        <w:keepNext/>
        <w:keepLines w:val="0"/>
        <w:tabs>
          <w:tab w:val="left" w:pos="1134"/>
        </w:tabs>
        <w:spacing w:after="160"/>
        <w:jc w:val="left"/>
        <w:rPr>
          <w:rFonts w:asciiTheme="minorHAnsi" w:hAnsiTheme="minorHAnsi" w:cstheme="minorHAnsi"/>
          <w:b/>
          <w:sz w:val="24"/>
          <w:szCs w:val="24"/>
          <w:lang w:eastAsia="en-US"/>
        </w:rPr>
      </w:pPr>
      <w:bookmarkStart w:id="4" w:name="_Toc24385253"/>
      <w:r w:rsidRPr="00812D63">
        <w:rPr>
          <w:rFonts w:asciiTheme="minorHAnsi" w:hAnsiTheme="minorHAnsi" w:cstheme="minorHAnsi"/>
          <w:b/>
          <w:sz w:val="24"/>
          <w:szCs w:val="24"/>
          <w:lang w:eastAsia="en-US"/>
        </w:rPr>
        <w:lastRenderedPageBreak/>
        <w:t>Section 9</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Designated persons entitled to receive supplies free of charge</w:t>
      </w:r>
      <w:bookmarkEnd w:id="4"/>
    </w:p>
    <w:p w14:paraId="537737B0" w14:textId="6944D30C" w:rsidR="00A30696" w:rsidRDefault="00742E6A" w:rsidP="00473013">
      <w:pPr>
        <w:spacing w:after="160"/>
        <w:jc w:val="left"/>
        <w:rPr>
          <w:rFonts w:asciiTheme="minorHAnsi" w:hAnsiTheme="minorHAnsi" w:cstheme="minorHAnsi"/>
          <w:sz w:val="22"/>
          <w:szCs w:val="22"/>
        </w:rPr>
      </w:pPr>
      <w:r>
        <w:rPr>
          <w:rFonts w:asciiTheme="minorHAnsi" w:hAnsiTheme="minorHAnsi" w:cstheme="minorHAnsi"/>
          <w:sz w:val="22"/>
          <w:szCs w:val="22"/>
        </w:rPr>
        <w:t>S</w:t>
      </w:r>
      <w:r w:rsidR="00AD61AE">
        <w:rPr>
          <w:rFonts w:asciiTheme="minorHAnsi" w:hAnsiTheme="minorHAnsi" w:cstheme="minorHAnsi"/>
          <w:sz w:val="22"/>
          <w:szCs w:val="22"/>
        </w:rPr>
        <w:t>ubs</w:t>
      </w:r>
      <w:r>
        <w:rPr>
          <w:rFonts w:asciiTheme="minorHAnsi" w:hAnsiTheme="minorHAnsi" w:cstheme="minorHAnsi"/>
          <w:sz w:val="22"/>
          <w:szCs w:val="22"/>
        </w:rPr>
        <w:t>ection 9(1) provides that a designated person is entitled to receive a special arrangement supply of a designated pharmaceutical benefit without payment or provision of money or other consideration</w:t>
      </w:r>
      <w:r w:rsidR="00A30696">
        <w:rPr>
          <w:rFonts w:asciiTheme="minorHAnsi" w:hAnsiTheme="minorHAnsi" w:cstheme="minorHAnsi"/>
          <w:sz w:val="22"/>
          <w:szCs w:val="22"/>
        </w:rPr>
        <w:t>. S</w:t>
      </w:r>
      <w:r w:rsidR="00AD61AE">
        <w:rPr>
          <w:rFonts w:asciiTheme="minorHAnsi" w:hAnsiTheme="minorHAnsi" w:cstheme="minorHAnsi"/>
          <w:sz w:val="22"/>
          <w:szCs w:val="22"/>
        </w:rPr>
        <w:t>ubs</w:t>
      </w:r>
      <w:r>
        <w:rPr>
          <w:rFonts w:asciiTheme="minorHAnsi" w:hAnsiTheme="minorHAnsi" w:cstheme="minorHAnsi"/>
          <w:sz w:val="22"/>
          <w:szCs w:val="22"/>
        </w:rPr>
        <w:t xml:space="preserve">ection 9(2) provides that s 9(1) has effect in addition to s 86 of the Act. </w:t>
      </w:r>
    </w:p>
    <w:p w14:paraId="6345E33C" w14:textId="4051D8FA" w:rsidR="00A30696" w:rsidRDefault="00A30696"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Section 86 of the Act states that an eligible person </w:t>
      </w:r>
      <w:r>
        <w:rPr>
          <w:rFonts w:asciiTheme="minorHAnsi" w:hAnsiTheme="minorHAnsi" w:cstheme="minorHAnsi"/>
          <w:sz w:val="22"/>
          <w:szCs w:val="22"/>
        </w:rPr>
        <w:t>who is receiving certain kinds of treatment is entitled to receive</w:t>
      </w:r>
      <w:r w:rsidRPr="00812D63">
        <w:rPr>
          <w:rFonts w:asciiTheme="minorHAnsi" w:hAnsiTheme="minorHAnsi" w:cstheme="minorHAnsi"/>
          <w:sz w:val="22"/>
          <w:szCs w:val="22"/>
        </w:rPr>
        <w:t xml:space="preserve"> a pharmaceutical benefit without payment or provision of money or other consideration</w:t>
      </w:r>
      <w:r>
        <w:rPr>
          <w:rFonts w:asciiTheme="minorHAnsi" w:hAnsiTheme="minorHAnsi" w:cstheme="minorHAnsi"/>
          <w:sz w:val="22"/>
          <w:szCs w:val="22"/>
        </w:rPr>
        <w:t>,</w:t>
      </w:r>
      <w:r w:rsidRPr="00812D63">
        <w:rPr>
          <w:rFonts w:asciiTheme="minorHAnsi" w:hAnsiTheme="minorHAnsi" w:cstheme="minorHAnsi"/>
          <w:sz w:val="22"/>
          <w:szCs w:val="22"/>
        </w:rPr>
        <w:t xml:space="preserve"> other than a charge made in accordance with s 87. Section 87 sets out the fees that an approved supplier may charge to a person receiving a pharmaceutical benefit</w:t>
      </w:r>
      <w:r>
        <w:rPr>
          <w:rFonts w:asciiTheme="minorHAnsi" w:hAnsiTheme="minorHAnsi" w:cstheme="minorHAnsi"/>
          <w:sz w:val="22"/>
          <w:szCs w:val="22"/>
        </w:rPr>
        <w:t xml:space="preserve"> in certain circumstances</w:t>
      </w:r>
      <w:r w:rsidRPr="00812D63">
        <w:rPr>
          <w:rFonts w:asciiTheme="minorHAnsi" w:hAnsiTheme="minorHAnsi" w:cstheme="minorHAnsi"/>
          <w:sz w:val="22"/>
          <w:szCs w:val="22"/>
        </w:rPr>
        <w:t>.</w:t>
      </w:r>
    </w:p>
    <w:p w14:paraId="62A6D23E" w14:textId="3D778ED2" w:rsidR="00480181" w:rsidRPr="00812D63" w:rsidRDefault="00480181"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The purpose of s </w:t>
      </w:r>
      <w:r w:rsidR="00B3425F" w:rsidRPr="00812D63">
        <w:rPr>
          <w:rFonts w:asciiTheme="minorHAnsi" w:hAnsiTheme="minorHAnsi" w:cstheme="minorHAnsi"/>
          <w:sz w:val="22"/>
          <w:szCs w:val="22"/>
        </w:rPr>
        <w:t>9</w:t>
      </w:r>
      <w:r w:rsidRPr="00812D63">
        <w:rPr>
          <w:rFonts w:asciiTheme="minorHAnsi" w:hAnsiTheme="minorHAnsi" w:cstheme="minorHAnsi"/>
          <w:sz w:val="22"/>
          <w:szCs w:val="22"/>
        </w:rPr>
        <w:t xml:space="preserve"> of </w:t>
      </w:r>
      <w:r w:rsidR="00A30696" w:rsidRPr="00812D63">
        <w:rPr>
          <w:rFonts w:asciiTheme="minorHAnsi" w:hAnsiTheme="minorHAnsi" w:cstheme="minorHAnsi"/>
          <w:sz w:val="22"/>
          <w:szCs w:val="22"/>
        </w:rPr>
        <w:t>th</w:t>
      </w:r>
      <w:r w:rsidR="00A30696">
        <w:rPr>
          <w:rFonts w:asciiTheme="minorHAnsi" w:hAnsiTheme="minorHAnsi" w:cstheme="minorHAnsi"/>
          <w:sz w:val="22"/>
          <w:szCs w:val="22"/>
        </w:rPr>
        <w:t>e</w:t>
      </w:r>
      <w:r w:rsidR="00A30696"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is to </w:t>
      </w:r>
      <w:r w:rsidR="00011FBF">
        <w:rPr>
          <w:rFonts w:asciiTheme="minorHAnsi" w:hAnsiTheme="minorHAnsi" w:cstheme="minorHAnsi"/>
          <w:sz w:val="22"/>
          <w:szCs w:val="22"/>
        </w:rPr>
        <w:t>set out</w:t>
      </w:r>
      <w:r w:rsidRPr="00812D63">
        <w:rPr>
          <w:rFonts w:asciiTheme="minorHAnsi" w:hAnsiTheme="minorHAnsi" w:cstheme="minorHAnsi"/>
          <w:sz w:val="22"/>
          <w:szCs w:val="22"/>
        </w:rPr>
        <w:t xml:space="preserve"> that, </w:t>
      </w:r>
      <w:r w:rsidR="00A30696">
        <w:rPr>
          <w:rFonts w:asciiTheme="minorHAnsi" w:hAnsiTheme="minorHAnsi" w:cstheme="minorHAnsi"/>
          <w:sz w:val="22"/>
          <w:szCs w:val="22"/>
        </w:rPr>
        <w:t>in addition to what is set out in</w:t>
      </w:r>
      <w:r w:rsidR="00A30696"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s 86 of the Act, a designated person is entitled to receive a </w:t>
      </w:r>
      <w:r w:rsidR="00A30696">
        <w:rPr>
          <w:rFonts w:asciiTheme="minorHAnsi" w:hAnsiTheme="minorHAnsi" w:cstheme="minorHAnsi"/>
          <w:sz w:val="22"/>
          <w:szCs w:val="22"/>
        </w:rPr>
        <w:t xml:space="preserve">special arrangement </w:t>
      </w:r>
      <w:r w:rsidRPr="00812D63">
        <w:rPr>
          <w:rFonts w:asciiTheme="minorHAnsi" w:hAnsiTheme="minorHAnsi" w:cstheme="minorHAnsi"/>
          <w:sz w:val="22"/>
          <w:szCs w:val="22"/>
        </w:rPr>
        <w:t>supply of a designated pharmaceutical benefit</w:t>
      </w:r>
      <w:r w:rsidR="00A30696">
        <w:rPr>
          <w:rFonts w:asciiTheme="minorHAnsi" w:hAnsiTheme="minorHAnsi" w:cstheme="minorHAnsi"/>
          <w:sz w:val="22"/>
          <w:szCs w:val="22"/>
        </w:rPr>
        <w:t xml:space="preserve"> without payment</w:t>
      </w:r>
      <w:r w:rsidR="00B3425F" w:rsidRPr="00812D63">
        <w:rPr>
          <w:rFonts w:asciiTheme="minorHAnsi" w:hAnsiTheme="minorHAnsi" w:cstheme="minorHAnsi"/>
          <w:sz w:val="22"/>
          <w:szCs w:val="22"/>
        </w:rPr>
        <w:t xml:space="preserve">. </w:t>
      </w:r>
      <w:r w:rsidR="00A30696">
        <w:rPr>
          <w:rFonts w:asciiTheme="minorHAnsi" w:hAnsiTheme="minorHAnsi" w:cstheme="minorHAnsi"/>
          <w:sz w:val="22"/>
          <w:szCs w:val="22"/>
        </w:rPr>
        <w:t>It is intended that</w:t>
      </w:r>
      <w:r w:rsidRPr="00812D63">
        <w:rPr>
          <w:rFonts w:asciiTheme="minorHAnsi" w:hAnsiTheme="minorHAnsi" w:cstheme="minorHAnsi"/>
          <w:sz w:val="22"/>
          <w:szCs w:val="22"/>
        </w:rPr>
        <w:t xml:space="preserve"> </w:t>
      </w:r>
      <w:r w:rsidR="00A30696">
        <w:rPr>
          <w:rFonts w:asciiTheme="minorHAnsi" w:hAnsiTheme="minorHAnsi" w:cstheme="minorHAnsi"/>
          <w:sz w:val="22"/>
          <w:szCs w:val="22"/>
        </w:rPr>
        <w:t>a</w:t>
      </w:r>
      <w:r w:rsidR="00A30696"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person receiving naloxone </w:t>
      </w:r>
      <w:r w:rsidR="00812D63">
        <w:rPr>
          <w:rFonts w:asciiTheme="minorHAnsi" w:hAnsiTheme="minorHAnsi" w:cstheme="minorHAnsi"/>
          <w:sz w:val="22"/>
          <w:szCs w:val="22"/>
        </w:rPr>
        <w:t xml:space="preserve">supplied under </w:t>
      </w:r>
      <w:r w:rsidR="00F54C01">
        <w:rPr>
          <w:rFonts w:asciiTheme="minorHAnsi" w:hAnsiTheme="minorHAnsi" w:cstheme="minorHAnsi"/>
          <w:sz w:val="22"/>
          <w:szCs w:val="22"/>
        </w:rPr>
        <w:t xml:space="preserve">the </w:t>
      </w:r>
      <w:r w:rsidR="005C5D16">
        <w:rPr>
          <w:rFonts w:asciiTheme="minorHAnsi" w:hAnsiTheme="minorHAnsi" w:cstheme="minorHAnsi"/>
          <w:sz w:val="22"/>
          <w:szCs w:val="22"/>
        </w:rPr>
        <w:t>Arrangement</w:t>
      </w:r>
      <w:r w:rsidR="00812D63">
        <w:rPr>
          <w:rFonts w:asciiTheme="minorHAnsi" w:hAnsiTheme="minorHAnsi" w:cstheme="minorHAnsi"/>
          <w:sz w:val="22"/>
          <w:szCs w:val="22"/>
        </w:rPr>
        <w:t xml:space="preserve"> </w:t>
      </w:r>
      <w:r w:rsidR="00A30696">
        <w:rPr>
          <w:rFonts w:asciiTheme="minorHAnsi" w:hAnsiTheme="minorHAnsi" w:cstheme="minorHAnsi"/>
          <w:sz w:val="22"/>
          <w:szCs w:val="22"/>
        </w:rPr>
        <w:t xml:space="preserve">will </w:t>
      </w:r>
      <w:r w:rsidRPr="00812D63">
        <w:rPr>
          <w:rFonts w:asciiTheme="minorHAnsi" w:hAnsiTheme="minorHAnsi" w:cstheme="minorHAnsi"/>
          <w:sz w:val="22"/>
          <w:szCs w:val="22"/>
        </w:rPr>
        <w:t xml:space="preserve">not be charged </w:t>
      </w:r>
      <w:r w:rsidR="00A30696">
        <w:rPr>
          <w:rFonts w:asciiTheme="minorHAnsi" w:hAnsiTheme="minorHAnsi" w:cstheme="minorHAnsi"/>
          <w:sz w:val="22"/>
          <w:szCs w:val="22"/>
        </w:rPr>
        <w:t>the fees specified in s 87</w:t>
      </w:r>
      <w:r w:rsidR="00B3425F" w:rsidRPr="00812D63">
        <w:rPr>
          <w:rFonts w:asciiTheme="minorHAnsi" w:hAnsiTheme="minorHAnsi" w:cstheme="minorHAnsi"/>
          <w:sz w:val="22"/>
          <w:szCs w:val="22"/>
        </w:rPr>
        <w:t xml:space="preserve"> </w:t>
      </w:r>
      <w:r w:rsidRPr="00812D63">
        <w:rPr>
          <w:rFonts w:asciiTheme="minorHAnsi" w:hAnsiTheme="minorHAnsi" w:cstheme="minorHAnsi"/>
          <w:sz w:val="22"/>
          <w:szCs w:val="22"/>
        </w:rPr>
        <w:t>for suppl</w:t>
      </w:r>
      <w:r w:rsidR="00B3425F" w:rsidRPr="00812D63">
        <w:rPr>
          <w:rFonts w:asciiTheme="minorHAnsi" w:hAnsiTheme="minorHAnsi" w:cstheme="minorHAnsi"/>
          <w:sz w:val="22"/>
          <w:szCs w:val="22"/>
        </w:rPr>
        <w:t xml:space="preserve">ies made under </w:t>
      </w:r>
      <w:r w:rsidR="00F54C01" w:rsidRPr="00812D63">
        <w:rPr>
          <w:rFonts w:asciiTheme="minorHAnsi" w:hAnsiTheme="minorHAnsi" w:cstheme="minorHAnsi"/>
          <w:sz w:val="22"/>
          <w:szCs w:val="22"/>
        </w:rPr>
        <w:t>th</w:t>
      </w:r>
      <w:r w:rsidR="00F54C01">
        <w:rPr>
          <w:rFonts w:asciiTheme="minorHAnsi" w:hAnsiTheme="minorHAnsi" w:cstheme="minorHAnsi"/>
          <w:sz w:val="22"/>
          <w:szCs w:val="22"/>
        </w:rPr>
        <w:t>e</w:t>
      </w:r>
      <w:r w:rsidR="00F54C01"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 xml:space="preserve">. </w:t>
      </w:r>
    </w:p>
    <w:p w14:paraId="58904058" w14:textId="18A4FAD2" w:rsidR="002F344D" w:rsidRPr="00812D63" w:rsidRDefault="002F344D" w:rsidP="00473013">
      <w:pPr>
        <w:keepLines w:val="0"/>
        <w:tabs>
          <w:tab w:val="left" w:pos="1134"/>
        </w:tabs>
        <w:spacing w:after="160"/>
        <w:jc w:val="left"/>
        <w:rPr>
          <w:rFonts w:asciiTheme="minorHAnsi" w:hAnsiTheme="minorHAnsi" w:cstheme="minorHAnsi"/>
          <w:b/>
          <w:sz w:val="24"/>
          <w:szCs w:val="24"/>
          <w:lang w:eastAsia="en-US"/>
        </w:rPr>
      </w:pPr>
      <w:bookmarkStart w:id="5" w:name="_Toc24385254"/>
      <w:r w:rsidRPr="00812D63">
        <w:rPr>
          <w:rFonts w:asciiTheme="minorHAnsi" w:hAnsiTheme="minorHAnsi" w:cstheme="minorHAnsi"/>
          <w:b/>
          <w:sz w:val="24"/>
          <w:szCs w:val="24"/>
          <w:lang w:eastAsia="en-US"/>
        </w:rPr>
        <w:t>Section 10</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Suppliers not to demand or receive payment for supplies or services</w:t>
      </w:r>
      <w:bookmarkEnd w:id="5"/>
    </w:p>
    <w:p w14:paraId="7C3E056D" w14:textId="0846BBF3" w:rsidR="00AD61AE" w:rsidRDefault="00AD61AE" w:rsidP="00473013">
      <w:pPr>
        <w:spacing w:after="160"/>
        <w:jc w:val="left"/>
        <w:rPr>
          <w:rFonts w:asciiTheme="minorHAnsi" w:hAnsiTheme="minorHAnsi" w:cstheme="minorHAnsi"/>
          <w:sz w:val="22"/>
          <w:szCs w:val="22"/>
        </w:rPr>
      </w:pPr>
      <w:r>
        <w:rPr>
          <w:rFonts w:asciiTheme="minorHAnsi" w:hAnsiTheme="minorHAnsi" w:cstheme="minorHAnsi"/>
          <w:sz w:val="22"/>
          <w:szCs w:val="22"/>
        </w:rPr>
        <w:t>S</w:t>
      </w:r>
      <w:r w:rsidR="00480181" w:rsidRPr="00812D63">
        <w:rPr>
          <w:rFonts w:asciiTheme="minorHAnsi" w:hAnsiTheme="minorHAnsi" w:cstheme="minorHAnsi"/>
          <w:sz w:val="22"/>
          <w:szCs w:val="22"/>
        </w:rPr>
        <w:t>ubsection 1</w:t>
      </w:r>
      <w:r w:rsidR="00B3425F" w:rsidRPr="00812D63">
        <w:rPr>
          <w:rFonts w:asciiTheme="minorHAnsi" w:hAnsiTheme="minorHAnsi" w:cstheme="minorHAnsi"/>
          <w:sz w:val="22"/>
          <w:szCs w:val="22"/>
        </w:rPr>
        <w:t>0</w:t>
      </w:r>
      <w:r w:rsidR="00480181" w:rsidRPr="00812D63">
        <w:rPr>
          <w:rFonts w:asciiTheme="minorHAnsi" w:hAnsiTheme="minorHAnsi" w:cstheme="minorHAnsi"/>
          <w:sz w:val="22"/>
          <w:szCs w:val="22"/>
        </w:rPr>
        <w:t xml:space="preserve">(1) sets out that an approved supplier may not demand or receive a payment, or other valuable consideration, for the </w:t>
      </w:r>
      <w:r>
        <w:rPr>
          <w:rFonts w:asciiTheme="minorHAnsi" w:hAnsiTheme="minorHAnsi" w:cstheme="minorHAnsi"/>
          <w:sz w:val="22"/>
          <w:szCs w:val="22"/>
        </w:rPr>
        <w:t xml:space="preserve">special arrangement </w:t>
      </w:r>
      <w:r w:rsidR="00480181" w:rsidRPr="00812D63">
        <w:rPr>
          <w:rFonts w:asciiTheme="minorHAnsi" w:hAnsiTheme="minorHAnsi" w:cstheme="minorHAnsi"/>
          <w:sz w:val="22"/>
          <w:szCs w:val="22"/>
        </w:rPr>
        <w:t>supply of a designated pharmaceutical benefit (</w:t>
      </w:r>
      <w:r w:rsidR="00011FBF" w:rsidRPr="00812D63">
        <w:rPr>
          <w:rFonts w:asciiTheme="minorHAnsi" w:hAnsiTheme="minorHAnsi" w:cstheme="minorHAnsi"/>
          <w:sz w:val="22"/>
          <w:szCs w:val="22"/>
        </w:rPr>
        <w:t>i.e.</w:t>
      </w:r>
      <w:r w:rsidR="00480181" w:rsidRPr="00812D63">
        <w:rPr>
          <w:rFonts w:asciiTheme="minorHAnsi" w:hAnsiTheme="minorHAnsi" w:cstheme="minorHAnsi"/>
          <w:sz w:val="22"/>
          <w:szCs w:val="22"/>
        </w:rPr>
        <w:t xml:space="preserve"> naloxone) other than the payment from the Commonwealth</w:t>
      </w:r>
      <w:r w:rsidR="00B3425F" w:rsidRPr="00812D63">
        <w:rPr>
          <w:rFonts w:asciiTheme="minorHAnsi" w:hAnsiTheme="minorHAnsi" w:cstheme="minorHAnsi"/>
          <w:sz w:val="22"/>
          <w:szCs w:val="22"/>
        </w:rPr>
        <w:t xml:space="preserve">. </w:t>
      </w:r>
      <w:r>
        <w:rPr>
          <w:rFonts w:asciiTheme="minorHAnsi" w:hAnsiTheme="minorHAnsi" w:cstheme="minorHAnsi"/>
          <w:sz w:val="22"/>
          <w:szCs w:val="22"/>
        </w:rPr>
        <w:t>Subsection 10(3)</w:t>
      </w:r>
      <w:r w:rsidR="00C80DBA">
        <w:rPr>
          <w:rFonts w:asciiTheme="minorHAnsi" w:hAnsiTheme="minorHAnsi" w:cstheme="minorHAnsi"/>
          <w:sz w:val="22"/>
          <w:szCs w:val="22"/>
        </w:rPr>
        <w:t xml:space="preserve"> provides that s 10(1) has effect despite s 87 of the Act. </w:t>
      </w:r>
      <w:r w:rsidR="00FA397D">
        <w:rPr>
          <w:rFonts w:asciiTheme="minorHAnsi" w:hAnsiTheme="minorHAnsi" w:cstheme="minorHAnsi"/>
          <w:sz w:val="22"/>
          <w:szCs w:val="22"/>
        </w:rPr>
        <w:t>(</w:t>
      </w:r>
      <w:r w:rsidRPr="00812D63">
        <w:rPr>
          <w:rFonts w:asciiTheme="minorHAnsi" w:hAnsiTheme="minorHAnsi" w:cstheme="minorHAnsi"/>
          <w:sz w:val="22"/>
          <w:szCs w:val="22"/>
        </w:rPr>
        <w:t xml:space="preserve">Section 87 </w:t>
      </w:r>
      <w:r>
        <w:rPr>
          <w:rFonts w:asciiTheme="minorHAnsi" w:hAnsiTheme="minorHAnsi" w:cstheme="minorHAnsi"/>
          <w:sz w:val="22"/>
          <w:szCs w:val="22"/>
        </w:rPr>
        <w:t xml:space="preserve">of the Act </w:t>
      </w:r>
      <w:r w:rsidRPr="00812D63">
        <w:rPr>
          <w:rFonts w:asciiTheme="minorHAnsi" w:hAnsiTheme="minorHAnsi" w:cstheme="minorHAnsi"/>
          <w:sz w:val="22"/>
          <w:szCs w:val="22"/>
        </w:rPr>
        <w:t>sets out the fees that an approved supplier may charge to a person receiving a pharmaceutical benefit</w:t>
      </w:r>
      <w:r w:rsidR="00FA397D">
        <w:rPr>
          <w:rFonts w:asciiTheme="minorHAnsi" w:hAnsiTheme="minorHAnsi" w:cstheme="minorHAnsi"/>
          <w:sz w:val="22"/>
          <w:szCs w:val="22"/>
        </w:rPr>
        <w:t>)</w:t>
      </w:r>
      <w:r w:rsidRPr="00812D63">
        <w:rPr>
          <w:rFonts w:asciiTheme="minorHAnsi" w:hAnsiTheme="minorHAnsi" w:cstheme="minorHAnsi"/>
          <w:sz w:val="22"/>
          <w:szCs w:val="22"/>
        </w:rPr>
        <w:t xml:space="preserve">. </w:t>
      </w:r>
    </w:p>
    <w:p w14:paraId="6915B3E3" w14:textId="37875016" w:rsidR="00480181" w:rsidRPr="00812D63" w:rsidRDefault="00480181"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Subsection 1</w:t>
      </w:r>
      <w:r w:rsidR="00B3425F" w:rsidRPr="00812D63">
        <w:rPr>
          <w:rFonts w:asciiTheme="minorHAnsi" w:hAnsiTheme="minorHAnsi" w:cstheme="minorHAnsi"/>
          <w:sz w:val="22"/>
          <w:szCs w:val="22"/>
        </w:rPr>
        <w:t>0</w:t>
      </w:r>
      <w:r w:rsidRPr="00812D63">
        <w:rPr>
          <w:rFonts w:asciiTheme="minorHAnsi" w:hAnsiTheme="minorHAnsi" w:cstheme="minorHAnsi"/>
          <w:sz w:val="22"/>
          <w:szCs w:val="22"/>
        </w:rPr>
        <w:t>(2</w:t>
      </w:r>
      <w:r w:rsidR="00F941E4" w:rsidRPr="00812D63">
        <w:rPr>
          <w:rFonts w:asciiTheme="minorHAnsi" w:hAnsiTheme="minorHAnsi" w:cstheme="minorHAnsi"/>
          <w:sz w:val="22"/>
          <w:szCs w:val="22"/>
        </w:rPr>
        <w:t xml:space="preserve">) </w:t>
      </w:r>
      <w:r w:rsidR="00F941E4">
        <w:rPr>
          <w:rFonts w:asciiTheme="minorHAnsi" w:hAnsiTheme="minorHAnsi" w:cstheme="minorHAnsi"/>
          <w:sz w:val="22"/>
          <w:szCs w:val="22"/>
        </w:rPr>
        <w:t>provides</w:t>
      </w:r>
      <w:r w:rsidR="007B6F11">
        <w:rPr>
          <w:rFonts w:asciiTheme="minorHAnsi" w:hAnsiTheme="minorHAnsi" w:cstheme="minorHAnsi"/>
          <w:sz w:val="22"/>
          <w:szCs w:val="22"/>
        </w:rPr>
        <w:t xml:space="preserve"> that an</w:t>
      </w:r>
      <w:r w:rsidRPr="00812D63">
        <w:rPr>
          <w:rFonts w:asciiTheme="minorHAnsi" w:hAnsiTheme="minorHAnsi" w:cstheme="minorHAnsi"/>
          <w:sz w:val="22"/>
          <w:szCs w:val="22"/>
        </w:rPr>
        <w:t xml:space="preserve"> approved supplier </w:t>
      </w:r>
      <w:r w:rsidR="007B6F11">
        <w:rPr>
          <w:rFonts w:asciiTheme="minorHAnsi" w:hAnsiTheme="minorHAnsi" w:cstheme="minorHAnsi"/>
          <w:sz w:val="22"/>
          <w:szCs w:val="22"/>
        </w:rPr>
        <w:t xml:space="preserve">must not </w:t>
      </w:r>
      <w:r w:rsidRPr="00812D63">
        <w:rPr>
          <w:rFonts w:asciiTheme="minorHAnsi" w:hAnsiTheme="minorHAnsi" w:cstheme="minorHAnsi"/>
          <w:sz w:val="22"/>
          <w:szCs w:val="22"/>
        </w:rPr>
        <w:t>demand or receive a payment, or other valuable consideration, for a service associated with the supply of the designated pharmaceutical benefit.</w:t>
      </w:r>
    </w:p>
    <w:p w14:paraId="00A30155" w14:textId="3D686A2E" w:rsidR="00480181" w:rsidRPr="00812D63" w:rsidRDefault="00B3425F"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Similarly, s</w:t>
      </w:r>
      <w:r w:rsidR="00480181" w:rsidRPr="00812D63">
        <w:rPr>
          <w:rFonts w:asciiTheme="minorHAnsi" w:hAnsiTheme="minorHAnsi" w:cstheme="minorHAnsi"/>
          <w:sz w:val="22"/>
          <w:szCs w:val="22"/>
        </w:rPr>
        <w:t>ubsection 1</w:t>
      </w:r>
      <w:r w:rsidRPr="00812D63">
        <w:rPr>
          <w:rFonts w:asciiTheme="minorHAnsi" w:hAnsiTheme="minorHAnsi" w:cstheme="minorHAnsi"/>
          <w:sz w:val="22"/>
          <w:szCs w:val="22"/>
        </w:rPr>
        <w:t>0</w:t>
      </w:r>
      <w:r w:rsidR="00480181" w:rsidRPr="00812D63">
        <w:rPr>
          <w:rFonts w:asciiTheme="minorHAnsi" w:hAnsiTheme="minorHAnsi" w:cstheme="minorHAnsi"/>
          <w:sz w:val="22"/>
          <w:szCs w:val="22"/>
        </w:rPr>
        <w:t xml:space="preserve">(4) </w:t>
      </w:r>
      <w:r w:rsidRPr="00812D63">
        <w:rPr>
          <w:rFonts w:asciiTheme="minorHAnsi" w:hAnsiTheme="minorHAnsi" w:cstheme="minorHAnsi"/>
          <w:sz w:val="22"/>
          <w:szCs w:val="22"/>
        </w:rPr>
        <w:t>specifies</w:t>
      </w:r>
      <w:r w:rsidR="00480181" w:rsidRPr="00812D63">
        <w:rPr>
          <w:rFonts w:asciiTheme="minorHAnsi" w:hAnsiTheme="minorHAnsi" w:cstheme="minorHAnsi"/>
          <w:sz w:val="22"/>
          <w:szCs w:val="22"/>
        </w:rPr>
        <w:t xml:space="preserve"> that an authorised alternative supplier must not demand or receive a payment, or other valuable consideration, for the supply, or service associated with the supply, of a designated pharmaceutical benefit.</w:t>
      </w:r>
    </w:p>
    <w:p w14:paraId="463ED9B9" w14:textId="4138FB79" w:rsidR="002F344D" w:rsidRPr="00812D63" w:rsidRDefault="002F344D" w:rsidP="00473013">
      <w:pPr>
        <w:keepLines w:val="0"/>
        <w:tabs>
          <w:tab w:val="left" w:pos="1134"/>
        </w:tabs>
        <w:spacing w:after="160"/>
        <w:jc w:val="left"/>
        <w:rPr>
          <w:rFonts w:asciiTheme="minorHAnsi" w:hAnsiTheme="minorHAnsi" w:cstheme="minorHAnsi"/>
          <w:b/>
          <w:sz w:val="24"/>
          <w:szCs w:val="24"/>
          <w:lang w:eastAsia="en-US"/>
        </w:rPr>
      </w:pPr>
      <w:bookmarkStart w:id="6" w:name="_Toc24385255"/>
      <w:r w:rsidRPr="00812D63">
        <w:rPr>
          <w:rFonts w:asciiTheme="minorHAnsi" w:hAnsiTheme="minorHAnsi" w:cstheme="minorHAnsi"/>
          <w:b/>
          <w:sz w:val="24"/>
          <w:szCs w:val="24"/>
          <w:lang w:eastAsia="en-US"/>
        </w:rPr>
        <w:t>Section 11</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hospital authorities</w:t>
      </w:r>
      <w:bookmarkEnd w:id="6"/>
    </w:p>
    <w:p w14:paraId="5AD05257" w14:textId="728BFD32" w:rsidR="00FA397D" w:rsidRPr="00812D63" w:rsidRDefault="00FA397D" w:rsidP="00FA397D">
      <w:pPr>
        <w:spacing w:after="80"/>
        <w:jc w:val="left"/>
        <w:rPr>
          <w:rFonts w:asciiTheme="minorHAnsi" w:hAnsiTheme="minorHAnsi" w:cstheme="minorHAnsi"/>
          <w:color w:val="0070C0"/>
          <w:sz w:val="22"/>
          <w:szCs w:val="22"/>
        </w:rPr>
      </w:pPr>
      <w:r w:rsidRPr="00812D63">
        <w:rPr>
          <w:rFonts w:asciiTheme="minorHAnsi" w:hAnsiTheme="minorHAnsi" w:cstheme="minorHAnsi"/>
          <w:sz w:val="22"/>
          <w:szCs w:val="22"/>
        </w:rPr>
        <w:t>S</w:t>
      </w:r>
      <w:r>
        <w:rPr>
          <w:rFonts w:asciiTheme="minorHAnsi" w:hAnsiTheme="minorHAnsi" w:cstheme="minorHAnsi"/>
          <w:sz w:val="22"/>
          <w:szCs w:val="22"/>
        </w:rPr>
        <w:t>ubs</w:t>
      </w:r>
      <w:r w:rsidRPr="00812D63">
        <w:rPr>
          <w:rFonts w:asciiTheme="minorHAnsi" w:hAnsiTheme="minorHAnsi" w:cstheme="minorHAnsi"/>
          <w:sz w:val="22"/>
          <w:szCs w:val="22"/>
        </w:rPr>
        <w:t>ection 11</w:t>
      </w:r>
      <w:r>
        <w:rPr>
          <w:rFonts w:asciiTheme="minorHAnsi" w:hAnsiTheme="minorHAnsi" w:cstheme="minorHAnsi"/>
          <w:sz w:val="22"/>
          <w:szCs w:val="22"/>
        </w:rPr>
        <w:t>(1)</w:t>
      </w:r>
      <w:r w:rsidRPr="00812D63">
        <w:rPr>
          <w:rFonts w:asciiTheme="minorHAnsi" w:hAnsiTheme="minorHAnsi" w:cstheme="minorHAnsi"/>
          <w:sz w:val="22"/>
          <w:szCs w:val="22"/>
        </w:rPr>
        <w:t xml:space="preserve"> sets out the requirements that must be met for a designated person to receive a </w:t>
      </w:r>
      <w:r>
        <w:rPr>
          <w:rFonts w:asciiTheme="minorHAnsi" w:hAnsiTheme="minorHAnsi" w:cstheme="minorHAnsi"/>
          <w:sz w:val="22"/>
          <w:szCs w:val="22"/>
        </w:rPr>
        <w:t xml:space="preserve">special arrangement </w:t>
      </w:r>
      <w:r w:rsidRPr="00812D63">
        <w:rPr>
          <w:rFonts w:asciiTheme="minorHAnsi" w:hAnsiTheme="minorHAnsi" w:cstheme="minorHAnsi"/>
          <w:sz w:val="22"/>
          <w:szCs w:val="22"/>
        </w:rPr>
        <w:t>supply of a designated pharmaceutical benefit from an approved hospital authority.</w:t>
      </w:r>
      <w:r>
        <w:rPr>
          <w:rFonts w:asciiTheme="minorHAnsi" w:hAnsiTheme="minorHAnsi" w:cstheme="minorHAnsi"/>
          <w:sz w:val="22"/>
          <w:szCs w:val="22"/>
        </w:rPr>
        <w:t xml:space="preserve"> </w:t>
      </w:r>
      <w:r w:rsidRPr="00812D63">
        <w:rPr>
          <w:rFonts w:asciiTheme="minorHAnsi" w:hAnsiTheme="minorHAnsi" w:cstheme="minorHAnsi"/>
          <w:sz w:val="22"/>
          <w:szCs w:val="22"/>
        </w:rPr>
        <w:t>Th</w:t>
      </w:r>
      <w:r>
        <w:rPr>
          <w:rFonts w:asciiTheme="minorHAnsi" w:hAnsiTheme="minorHAnsi" w:cstheme="minorHAnsi"/>
          <w:sz w:val="22"/>
          <w:szCs w:val="22"/>
        </w:rPr>
        <w:t>ese</w:t>
      </w:r>
      <w:r w:rsidRPr="00812D63">
        <w:rPr>
          <w:rFonts w:asciiTheme="minorHAnsi" w:hAnsiTheme="minorHAnsi" w:cstheme="minorHAnsi"/>
          <w:sz w:val="22"/>
          <w:szCs w:val="22"/>
        </w:rPr>
        <w:t xml:space="preserve"> </w:t>
      </w:r>
      <w:r>
        <w:rPr>
          <w:rFonts w:asciiTheme="minorHAnsi" w:hAnsiTheme="minorHAnsi" w:cstheme="minorHAnsi"/>
          <w:sz w:val="22"/>
          <w:szCs w:val="22"/>
        </w:rPr>
        <w:t>requirements are</w:t>
      </w:r>
      <w:r w:rsidRPr="00812D63">
        <w:rPr>
          <w:rFonts w:asciiTheme="minorHAnsi" w:hAnsiTheme="minorHAnsi" w:cstheme="minorHAnsi"/>
          <w:sz w:val="22"/>
          <w:szCs w:val="22"/>
        </w:rPr>
        <w:t xml:space="preserve"> that the person must be:</w:t>
      </w:r>
    </w:p>
    <w:p w14:paraId="04F3B82A" w14:textId="77777777" w:rsidR="00FA397D" w:rsidRPr="00812D63" w:rsidRDefault="00FA397D" w:rsidP="00FA397D">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day admitted patient of the hospital; or</w:t>
      </w:r>
    </w:p>
    <w:p w14:paraId="14ECCD98" w14:textId="77777777" w:rsidR="00FA397D" w:rsidRPr="00812D63" w:rsidRDefault="00FA397D" w:rsidP="00FA397D">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patient on discharge from the hospital; or</w:t>
      </w:r>
    </w:p>
    <w:p w14:paraId="5B980BBF" w14:textId="77777777" w:rsidR="00FA397D" w:rsidRPr="00812D63" w:rsidRDefault="00FA397D" w:rsidP="00FA397D">
      <w:pPr>
        <w:pStyle w:val="ListParagraph"/>
        <w:numPr>
          <w:ilvl w:val="0"/>
          <w:numId w:val="16"/>
        </w:numPr>
        <w:spacing w:after="80"/>
        <w:rPr>
          <w:rFonts w:asciiTheme="minorHAnsi" w:hAnsiTheme="minorHAnsi" w:cstheme="minorHAnsi"/>
        </w:rPr>
      </w:pPr>
      <w:r w:rsidRPr="00812D63">
        <w:rPr>
          <w:rFonts w:asciiTheme="minorHAnsi" w:hAnsiTheme="minorHAnsi" w:cstheme="minorHAnsi"/>
        </w:rPr>
        <w:t>a non-admitted patient of the hospital; or</w:t>
      </w:r>
    </w:p>
    <w:p w14:paraId="73077BD2" w14:textId="047586A1" w:rsidR="00FA397D" w:rsidRPr="00812D63" w:rsidRDefault="00FA397D" w:rsidP="00FA397D">
      <w:pPr>
        <w:pStyle w:val="ListParagraph"/>
        <w:numPr>
          <w:ilvl w:val="0"/>
          <w:numId w:val="16"/>
        </w:numPr>
        <w:spacing w:after="160"/>
        <w:rPr>
          <w:rFonts w:asciiTheme="minorHAnsi" w:hAnsiTheme="minorHAnsi" w:cstheme="minorHAnsi"/>
        </w:rPr>
      </w:pPr>
      <w:r w:rsidRPr="00812D63">
        <w:rPr>
          <w:rFonts w:asciiTheme="minorHAnsi" w:hAnsiTheme="minorHAnsi" w:cstheme="minorHAnsi"/>
        </w:rPr>
        <w:t xml:space="preserve">not a patient </w:t>
      </w:r>
      <w:r>
        <w:rPr>
          <w:rFonts w:asciiTheme="minorHAnsi" w:hAnsiTheme="minorHAnsi" w:cstheme="minorHAnsi"/>
        </w:rPr>
        <w:t>receiving treatment in or at the ho</w:t>
      </w:r>
      <w:r w:rsidR="006A735F">
        <w:rPr>
          <w:rFonts w:asciiTheme="minorHAnsi" w:hAnsiTheme="minorHAnsi" w:cstheme="minorHAnsi"/>
        </w:rPr>
        <w:t>sp</w:t>
      </w:r>
      <w:r>
        <w:rPr>
          <w:rFonts w:asciiTheme="minorHAnsi" w:hAnsiTheme="minorHAnsi" w:cstheme="minorHAnsi"/>
        </w:rPr>
        <w:t>ital</w:t>
      </w:r>
      <w:r w:rsidRPr="00812D63">
        <w:rPr>
          <w:rFonts w:asciiTheme="minorHAnsi" w:hAnsiTheme="minorHAnsi" w:cstheme="minorHAnsi"/>
        </w:rPr>
        <w:t xml:space="preserve">.  </w:t>
      </w:r>
    </w:p>
    <w:p w14:paraId="4AE1FDBF" w14:textId="0AEFCF15" w:rsidR="00FA397D" w:rsidRDefault="00FA397D"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The la</w:t>
      </w:r>
      <w:r>
        <w:rPr>
          <w:rFonts w:asciiTheme="minorHAnsi" w:hAnsiTheme="minorHAnsi" w:cstheme="minorHAnsi"/>
          <w:sz w:val="22"/>
          <w:szCs w:val="22"/>
        </w:rPr>
        <w:t xml:space="preserve">st </w:t>
      </w:r>
      <w:r w:rsidR="009B6DFD">
        <w:rPr>
          <w:rFonts w:asciiTheme="minorHAnsi" w:hAnsiTheme="minorHAnsi" w:cstheme="minorHAnsi"/>
          <w:sz w:val="22"/>
          <w:szCs w:val="22"/>
        </w:rPr>
        <w:t>requirement</w:t>
      </w:r>
      <w:r w:rsidRPr="00812D63">
        <w:rPr>
          <w:rFonts w:asciiTheme="minorHAnsi" w:hAnsiTheme="minorHAnsi" w:cstheme="minorHAnsi"/>
          <w:sz w:val="22"/>
          <w:szCs w:val="22"/>
        </w:rPr>
        <w:t xml:space="preserve"> is intended to </w:t>
      </w:r>
      <w:r w:rsidR="009B6DFD">
        <w:rPr>
          <w:rFonts w:asciiTheme="minorHAnsi" w:hAnsiTheme="minorHAnsi" w:cstheme="minorHAnsi"/>
          <w:sz w:val="22"/>
          <w:szCs w:val="22"/>
        </w:rPr>
        <w:t xml:space="preserve">ensure that an approved hospital authority can, for instance, supply naloxone to a person who </w:t>
      </w:r>
      <w:r w:rsidRPr="00812D63">
        <w:rPr>
          <w:rFonts w:asciiTheme="minorHAnsi" w:hAnsiTheme="minorHAnsi" w:cstheme="minorHAnsi"/>
          <w:sz w:val="22"/>
          <w:szCs w:val="22"/>
        </w:rPr>
        <w:t>walk</w:t>
      </w:r>
      <w:r w:rsidR="009B6DFD">
        <w:rPr>
          <w:rFonts w:asciiTheme="minorHAnsi" w:hAnsiTheme="minorHAnsi" w:cstheme="minorHAnsi"/>
          <w:sz w:val="22"/>
          <w:szCs w:val="22"/>
        </w:rPr>
        <w:t>s</w:t>
      </w:r>
      <w:r w:rsidRPr="00812D63">
        <w:rPr>
          <w:rFonts w:asciiTheme="minorHAnsi" w:hAnsiTheme="minorHAnsi" w:cstheme="minorHAnsi"/>
          <w:sz w:val="22"/>
          <w:szCs w:val="22"/>
        </w:rPr>
        <w:t xml:space="preserve"> in</w:t>
      </w:r>
      <w:r w:rsidR="009B6DFD">
        <w:rPr>
          <w:rFonts w:asciiTheme="minorHAnsi" w:hAnsiTheme="minorHAnsi" w:cstheme="minorHAnsi"/>
          <w:sz w:val="22"/>
          <w:szCs w:val="22"/>
        </w:rPr>
        <w:t>to the hospital</w:t>
      </w:r>
      <w:r w:rsidRPr="00812D63">
        <w:rPr>
          <w:rFonts w:asciiTheme="minorHAnsi" w:hAnsiTheme="minorHAnsi" w:cstheme="minorHAnsi"/>
          <w:sz w:val="22"/>
          <w:szCs w:val="22"/>
        </w:rPr>
        <w:t xml:space="preserve"> off the street seeking access to naloxone</w:t>
      </w:r>
      <w:r w:rsidR="009B6DFD">
        <w:rPr>
          <w:rFonts w:asciiTheme="minorHAnsi" w:hAnsiTheme="minorHAnsi" w:cstheme="minorHAnsi"/>
          <w:sz w:val="22"/>
          <w:szCs w:val="22"/>
        </w:rPr>
        <w:t>,</w:t>
      </w:r>
      <w:r w:rsidRPr="00812D63">
        <w:rPr>
          <w:rFonts w:asciiTheme="minorHAnsi" w:hAnsiTheme="minorHAnsi" w:cstheme="minorHAnsi"/>
          <w:sz w:val="22"/>
          <w:szCs w:val="22"/>
        </w:rPr>
        <w:t xml:space="preserve"> or </w:t>
      </w:r>
      <w:r w:rsidR="009B6DFD">
        <w:rPr>
          <w:rFonts w:asciiTheme="minorHAnsi" w:hAnsiTheme="minorHAnsi" w:cstheme="minorHAnsi"/>
          <w:sz w:val="22"/>
          <w:szCs w:val="22"/>
        </w:rPr>
        <w:t>to</w:t>
      </w:r>
      <w:r w:rsidRPr="00812D63">
        <w:rPr>
          <w:rFonts w:asciiTheme="minorHAnsi" w:hAnsiTheme="minorHAnsi" w:cstheme="minorHAnsi"/>
          <w:sz w:val="22"/>
          <w:szCs w:val="22"/>
        </w:rPr>
        <w:t xml:space="preserve"> a friend or family member of a patient</w:t>
      </w:r>
      <w:r w:rsidR="009B6DFD">
        <w:rPr>
          <w:rFonts w:asciiTheme="minorHAnsi" w:hAnsiTheme="minorHAnsi" w:cstheme="minorHAnsi"/>
          <w:sz w:val="22"/>
          <w:szCs w:val="22"/>
        </w:rPr>
        <w:t xml:space="preserve"> in the hospital</w:t>
      </w:r>
      <w:r w:rsidRPr="00812D63">
        <w:rPr>
          <w:rFonts w:asciiTheme="minorHAnsi" w:hAnsiTheme="minorHAnsi" w:cstheme="minorHAnsi"/>
          <w:sz w:val="22"/>
          <w:szCs w:val="22"/>
        </w:rPr>
        <w:t>.</w:t>
      </w:r>
      <w:r w:rsidR="00C93AEF">
        <w:rPr>
          <w:rFonts w:asciiTheme="minorHAnsi" w:hAnsiTheme="minorHAnsi" w:cstheme="minorHAnsi"/>
          <w:sz w:val="22"/>
          <w:szCs w:val="22"/>
        </w:rPr>
        <w:t xml:space="preserve"> </w:t>
      </w:r>
      <w:r w:rsidR="00D33301">
        <w:rPr>
          <w:rFonts w:asciiTheme="minorHAnsi" w:hAnsiTheme="minorHAnsi" w:cstheme="minorHAnsi"/>
          <w:sz w:val="22"/>
          <w:szCs w:val="22"/>
        </w:rPr>
        <w:t>Subsection 11(1)(b) ensures that a</w:t>
      </w:r>
      <w:r w:rsidR="00D33301" w:rsidRPr="00812D63">
        <w:rPr>
          <w:rFonts w:asciiTheme="minorHAnsi" w:hAnsiTheme="minorHAnsi" w:cstheme="minorHAnsi"/>
          <w:sz w:val="22"/>
          <w:szCs w:val="22"/>
        </w:rPr>
        <w:t xml:space="preserve"> designated person may only access a supply of a designated pharmaceutical benefit from an approved hospital authority that has not been subject to a notification excluding the hospital from making supplies under the </w:t>
      </w:r>
      <w:r w:rsidR="005C5D16">
        <w:rPr>
          <w:rFonts w:asciiTheme="minorHAnsi" w:hAnsiTheme="minorHAnsi" w:cstheme="minorHAnsi"/>
          <w:sz w:val="22"/>
          <w:szCs w:val="22"/>
        </w:rPr>
        <w:t>Arrangement</w:t>
      </w:r>
      <w:r w:rsidR="00D33301" w:rsidRPr="00812D63">
        <w:rPr>
          <w:rFonts w:asciiTheme="minorHAnsi" w:hAnsiTheme="minorHAnsi" w:cstheme="minorHAnsi"/>
          <w:sz w:val="22"/>
          <w:szCs w:val="22"/>
        </w:rPr>
        <w:t>.</w:t>
      </w:r>
    </w:p>
    <w:p w14:paraId="2F48E184" w14:textId="14D3FEF5" w:rsidR="00480181" w:rsidRDefault="009B6DFD" w:rsidP="00473013">
      <w:pPr>
        <w:spacing w:after="160"/>
        <w:jc w:val="left"/>
        <w:rPr>
          <w:rFonts w:asciiTheme="minorHAnsi" w:hAnsiTheme="minorHAnsi" w:cstheme="minorHAnsi"/>
          <w:sz w:val="22"/>
          <w:szCs w:val="22"/>
        </w:rPr>
      </w:pPr>
      <w:r>
        <w:rPr>
          <w:rFonts w:asciiTheme="minorHAnsi" w:hAnsiTheme="minorHAnsi" w:cstheme="minorHAnsi"/>
          <w:sz w:val="22"/>
          <w:szCs w:val="22"/>
        </w:rPr>
        <w:lastRenderedPageBreak/>
        <w:t>Subsection 11(2) provides that s 11(1) has effect despite ss 89 and 94 of the Act. S</w:t>
      </w:r>
      <w:r w:rsidR="00480181" w:rsidRPr="00812D63">
        <w:rPr>
          <w:rFonts w:asciiTheme="minorHAnsi" w:hAnsiTheme="minorHAnsi" w:cstheme="minorHAnsi"/>
          <w:sz w:val="22"/>
          <w:szCs w:val="22"/>
        </w:rPr>
        <w:t xml:space="preserve">ection 89 </w:t>
      </w:r>
      <w:r>
        <w:rPr>
          <w:rFonts w:asciiTheme="minorHAnsi" w:hAnsiTheme="minorHAnsi" w:cstheme="minorHAnsi"/>
          <w:sz w:val="22"/>
          <w:szCs w:val="22"/>
        </w:rPr>
        <w:t xml:space="preserve">of the Act relevantly provides that </w:t>
      </w:r>
      <w:r w:rsidR="00480181" w:rsidRPr="00812D63">
        <w:rPr>
          <w:rFonts w:asciiTheme="minorHAnsi" w:hAnsiTheme="minorHAnsi" w:cstheme="minorHAnsi"/>
          <w:sz w:val="22"/>
          <w:szCs w:val="22"/>
        </w:rPr>
        <w:t>an eligible person cannot receive a pharmaceutical benefit unless it is supplied by an approved pharmacist, at or from the pharmacists approved premises, on the presentation of a prescription</w:t>
      </w:r>
      <w:r>
        <w:rPr>
          <w:rFonts w:asciiTheme="minorHAnsi" w:hAnsiTheme="minorHAnsi" w:cstheme="minorHAnsi"/>
          <w:sz w:val="22"/>
          <w:szCs w:val="22"/>
        </w:rPr>
        <w:t xml:space="preserve">. Section 94 provides that hospital authority can be approved by the Minister to </w:t>
      </w:r>
      <w:r w:rsidR="00DA41D1">
        <w:rPr>
          <w:rFonts w:asciiTheme="minorHAnsi" w:hAnsiTheme="minorHAnsi" w:cstheme="minorHAnsi"/>
          <w:sz w:val="22"/>
          <w:szCs w:val="22"/>
        </w:rPr>
        <w:t xml:space="preserve">supply </w:t>
      </w:r>
      <w:r w:rsidR="00DA41D1" w:rsidRPr="00DA41D1">
        <w:rPr>
          <w:rFonts w:asciiTheme="minorHAnsi" w:hAnsiTheme="minorHAnsi" w:cstheme="minorHAnsi"/>
          <w:sz w:val="22"/>
          <w:szCs w:val="22"/>
        </w:rPr>
        <w:t>pharmaceutical benefits to patients receiving treatment in or at the hospital</w:t>
      </w:r>
      <w:r w:rsidR="00DA41D1">
        <w:rPr>
          <w:rFonts w:asciiTheme="minorHAnsi" w:hAnsiTheme="minorHAnsi" w:cstheme="minorHAnsi"/>
          <w:sz w:val="22"/>
          <w:szCs w:val="22"/>
        </w:rPr>
        <w:t>.</w:t>
      </w:r>
      <w:r>
        <w:rPr>
          <w:rFonts w:asciiTheme="minorHAnsi" w:hAnsiTheme="minorHAnsi" w:cstheme="minorHAnsi"/>
          <w:sz w:val="22"/>
          <w:szCs w:val="22"/>
        </w:rPr>
        <w:t xml:space="preserve"> </w:t>
      </w:r>
      <w:r w:rsidR="00480181" w:rsidRPr="00812D63">
        <w:rPr>
          <w:rFonts w:asciiTheme="minorHAnsi" w:hAnsiTheme="minorHAnsi" w:cstheme="minorHAnsi"/>
          <w:sz w:val="22"/>
          <w:szCs w:val="22"/>
        </w:rPr>
        <w:t xml:space="preserve"> </w:t>
      </w:r>
    </w:p>
    <w:p w14:paraId="5BF63239" w14:textId="0BE88115" w:rsidR="004F168D" w:rsidRPr="004F168D" w:rsidRDefault="004F168D" w:rsidP="00473013">
      <w:pPr>
        <w:spacing w:after="160"/>
        <w:jc w:val="left"/>
        <w:rPr>
          <w:rFonts w:asciiTheme="minorHAnsi" w:hAnsiTheme="minorHAnsi" w:cstheme="minorHAnsi"/>
          <w:sz w:val="22"/>
          <w:szCs w:val="22"/>
        </w:rPr>
      </w:pPr>
      <w:r>
        <w:rPr>
          <w:rFonts w:asciiTheme="minorHAnsi" w:hAnsiTheme="minorHAnsi" w:cstheme="minorHAnsi"/>
          <w:sz w:val="22"/>
          <w:szCs w:val="22"/>
        </w:rPr>
        <w:t xml:space="preserve">Subsection 11(3) provides that a designated person is entitled to receive a special arrangement supply of a designated pharmaceutical benefit by an approved hospital authority without a prescription. Subsection 11(4) provides that s 11(3) has effect despite the Act and the </w:t>
      </w:r>
      <w:r>
        <w:rPr>
          <w:rFonts w:asciiTheme="minorHAnsi" w:hAnsiTheme="minorHAnsi" w:cstheme="minorHAnsi"/>
          <w:i/>
          <w:sz w:val="22"/>
          <w:szCs w:val="22"/>
        </w:rPr>
        <w:t>National Health (Pharmaceutical Benefits) Regulations 2017</w:t>
      </w:r>
      <w:r w:rsidR="00E22F41">
        <w:rPr>
          <w:rFonts w:asciiTheme="minorHAnsi" w:hAnsiTheme="minorHAnsi" w:cstheme="minorHAnsi"/>
          <w:i/>
          <w:sz w:val="22"/>
          <w:szCs w:val="22"/>
        </w:rPr>
        <w:t xml:space="preserve"> </w:t>
      </w:r>
      <w:r w:rsidR="00E22F41">
        <w:rPr>
          <w:rFonts w:asciiTheme="minorHAnsi" w:hAnsiTheme="minorHAnsi" w:cstheme="minorHAnsi"/>
          <w:sz w:val="22"/>
          <w:szCs w:val="22"/>
        </w:rPr>
        <w:t>(the Regulations)</w:t>
      </w:r>
      <w:r>
        <w:rPr>
          <w:rFonts w:asciiTheme="minorHAnsi" w:hAnsiTheme="minorHAnsi" w:cstheme="minorHAnsi"/>
          <w:i/>
          <w:sz w:val="22"/>
          <w:szCs w:val="22"/>
        </w:rPr>
        <w:t xml:space="preserve">. </w:t>
      </w:r>
      <w:r w:rsidRPr="004F168D">
        <w:rPr>
          <w:rFonts w:asciiTheme="minorHAnsi" w:hAnsiTheme="minorHAnsi" w:cstheme="minorHAnsi"/>
          <w:sz w:val="22"/>
          <w:szCs w:val="22"/>
        </w:rPr>
        <w:t>The note</w:t>
      </w:r>
      <w:r>
        <w:rPr>
          <w:rFonts w:asciiTheme="minorHAnsi" w:hAnsiTheme="minorHAnsi" w:cstheme="minorHAnsi"/>
          <w:sz w:val="22"/>
          <w:szCs w:val="22"/>
        </w:rPr>
        <w:t xml:space="preserve"> to s 11(4) lists the sections of the Act and the </w:t>
      </w:r>
      <w:r w:rsidR="00E22F41">
        <w:rPr>
          <w:rFonts w:asciiTheme="minorHAnsi" w:hAnsiTheme="minorHAnsi" w:cstheme="minorHAnsi"/>
          <w:sz w:val="22"/>
          <w:szCs w:val="22"/>
        </w:rPr>
        <w:t xml:space="preserve">Regulations </w:t>
      </w:r>
      <w:r>
        <w:rPr>
          <w:rFonts w:asciiTheme="minorHAnsi" w:hAnsiTheme="minorHAnsi" w:cstheme="minorHAnsi"/>
          <w:sz w:val="22"/>
          <w:szCs w:val="22"/>
        </w:rPr>
        <w:t xml:space="preserve">which deal with the supply of pharmaceutical benefits by approved hospital authorities on prescription. </w:t>
      </w:r>
    </w:p>
    <w:p w14:paraId="7ABB0D21" w14:textId="11EFF9D4" w:rsidR="002F344D" w:rsidRPr="00812D63" w:rsidRDefault="002F344D" w:rsidP="00473013">
      <w:pPr>
        <w:keepLines w:val="0"/>
        <w:tabs>
          <w:tab w:val="left" w:pos="1134"/>
        </w:tabs>
        <w:spacing w:after="160"/>
        <w:jc w:val="left"/>
        <w:rPr>
          <w:rFonts w:asciiTheme="minorHAnsi" w:hAnsiTheme="minorHAnsi" w:cstheme="minorHAnsi"/>
        </w:rPr>
      </w:pPr>
      <w:bookmarkStart w:id="7" w:name="_Toc24385256"/>
      <w:r w:rsidRPr="00812D63">
        <w:rPr>
          <w:rFonts w:asciiTheme="minorHAnsi" w:hAnsiTheme="minorHAnsi" w:cstheme="minorHAnsi"/>
          <w:b/>
          <w:sz w:val="24"/>
          <w:szCs w:val="24"/>
          <w:lang w:eastAsia="en-US"/>
        </w:rPr>
        <w:t>Section 12</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medical practitioners</w:t>
      </w:r>
      <w:bookmarkEnd w:id="7"/>
    </w:p>
    <w:p w14:paraId="1C05B167" w14:textId="0C4DA490" w:rsidR="004F168D" w:rsidRDefault="004F168D" w:rsidP="00473013">
      <w:pPr>
        <w:spacing w:after="160"/>
        <w:jc w:val="left"/>
        <w:rPr>
          <w:rFonts w:asciiTheme="minorHAnsi" w:hAnsiTheme="minorHAnsi" w:cstheme="minorHAnsi"/>
          <w:sz w:val="22"/>
          <w:szCs w:val="22"/>
        </w:rPr>
      </w:pPr>
      <w:r>
        <w:rPr>
          <w:rFonts w:asciiTheme="minorHAnsi" w:hAnsiTheme="minorHAnsi" w:cstheme="minorHAnsi"/>
          <w:sz w:val="22"/>
          <w:szCs w:val="22"/>
        </w:rPr>
        <w:t>Section 1</w:t>
      </w:r>
      <w:r w:rsidR="00585281">
        <w:rPr>
          <w:rFonts w:asciiTheme="minorHAnsi" w:hAnsiTheme="minorHAnsi" w:cstheme="minorHAnsi"/>
          <w:sz w:val="22"/>
          <w:szCs w:val="22"/>
        </w:rPr>
        <w:t>2</w:t>
      </w:r>
      <w:r>
        <w:rPr>
          <w:rFonts w:asciiTheme="minorHAnsi" w:hAnsiTheme="minorHAnsi" w:cstheme="minorHAnsi"/>
          <w:sz w:val="22"/>
          <w:szCs w:val="22"/>
        </w:rPr>
        <w:t xml:space="preserve"> provides that a designated person is entitled to</w:t>
      </w:r>
      <w:r w:rsidR="00547436">
        <w:rPr>
          <w:rFonts w:asciiTheme="minorHAnsi" w:hAnsiTheme="minorHAnsi" w:cstheme="minorHAnsi"/>
          <w:sz w:val="22"/>
          <w:szCs w:val="22"/>
        </w:rPr>
        <w:t xml:space="preserve"> </w:t>
      </w:r>
      <w:r>
        <w:rPr>
          <w:rFonts w:asciiTheme="minorHAnsi" w:hAnsiTheme="minorHAnsi" w:cstheme="minorHAnsi"/>
          <w:sz w:val="22"/>
          <w:szCs w:val="22"/>
        </w:rPr>
        <w:t>receive a special arrangement supply of a designated pharmaceutical benefit by an approved medical practitioner who is not an excluded approved supplier</w:t>
      </w:r>
      <w:r w:rsidR="00547436">
        <w:rPr>
          <w:rFonts w:asciiTheme="minorHAnsi" w:hAnsiTheme="minorHAnsi" w:cstheme="minorHAnsi"/>
          <w:sz w:val="22"/>
          <w:szCs w:val="22"/>
        </w:rPr>
        <w:t>, without a prescription</w:t>
      </w:r>
      <w:r>
        <w:rPr>
          <w:rFonts w:asciiTheme="minorHAnsi" w:hAnsiTheme="minorHAnsi" w:cstheme="minorHAnsi"/>
          <w:sz w:val="22"/>
          <w:szCs w:val="22"/>
        </w:rPr>
        <w:t>. Subsection 13(2) specifies that s</w:t>
      </w:r>
      <w:r w:rsidR="00547436">
        <w:rPr>
          <w:rFonts w:asciiTheme="minorHAnsi" w:hAnsiTheme="minorHAnsi" w:cstheme="minorHAnsi"/>
          <w:sz w:val="22"/>
          <w:szCs w:val="22"/>
        </w:rPr>
        <w:t> </w:t>
      </w:r>
      <w:r>
        <w:rPr>
          <w:rFonts w:asciiTheme="minorHAnsi" w:hAnsiTheme="minorHAnsi" w:cstheme="minorHAnsi"/>
          <w:sz w:val="22"/>
          <w:szCs w:val="22"/>
        </w:rPr>
        <w:t xml:space="preserve">13 has effect despite </w:t>
      </w:r>
      <w:r w:rsidR="00E22F41">
        <w:rPr>
          <w:rFonts w:asciiTheme="minorHAnsi" w:hAnsiTheme="minorHAnsi" w:cstheme="minorHAnsi"/>
          <w:sz w:val="22"/>
          <w:szCs w:val="22"/>
        </w:rPr>
        <w:t>the</w:t>
      </w:r>
      <w:r w:rsidR="00E22F41">
        <w:rPr>
          <w:rFonts w:asciiTheme="minorHAnsi" w:hAnsiTheme="minorHAnsi" w:cstheme="minorHAnsi"/>
          <w:iCs/>
          <w:sz w:val="22"/>
          <w:szCs w:val="22"/>
        </w:rPr>
        <w:t xml:space="preserve"> Regulations</w:t>
      </w:r>
      <w:r>
        <w:rPr>
          <w:rFonts w:asciiTheme="minorHAnsi" w:hAnsiTheme="minorHAnsi" w:cstheme="minorHAnsi"/>
          <w:sz w:val="22"/>
          <w:szCs w:val="22"/>
        </w:rPr>
        <w:t xml:space="preserve">. </w:t>
      </w:r>
    </w:p>
    <w:p w14:paraId="736CB6B2" w14:textId="2834A5F0" w:rsidR="00EE058C" w:rsidRPr="00812D63" w:rsidRDefault="00EE058C"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The </w:t>
      </w:r>
      <w:r w:rsidR="00E22F41" w:rsidRPr="00E22F41">
        <w:rPr>
          <w:rFonts w:asciiTheme="minorHAnsi" w:hAnsiTheme="minorHAnsi" w:cstheme="minorHAnsi"/>
          <w:iCs/>
          <w:sz w:val="22"/>
          <w:szCs w:val="22"/>
        </w:rPr>
        <w:t>Regulations</w:t>
      </w:r>
      <w:r w:rsidRPr="00E22F41">
        <w:rPr>
          <w:rFonts w:asciiTheme="minorHAnsi" w:hAnsiTheme="minorHAnsi" w:cstheme="minorHAnsi"/>
          <w:sz w:val="22"/>
          <w:szCs w:val="22"/>
        </w:rPr>
        <w:t>,</w:t>
      </w:r>
      <w:r w:rsidRPr="00812D63">
        <w:rPr>
          <w:rFonts w:asciiTheme="minorHAnsi" w:hAnsiTheme="minorHAnsi" w:cstheme="minorHAnsi"/>
          <w:sz w:val="22"/>
          <w:szCs w:val="22"/>
        </w:rPr>
        <w:t xml:space="preserve"> specifically sections</w:t>
      </w:r>
      <w:r w:rsidR="00F46CA3" w:rsidRPr="00812D63">
        <w:rPr>
          <w:rFonts w:asciiTheme="minorHAnsi" w:hAnsiTheme="minorHAnsi" w:cstheme="minorHAnsi"/>
          <w:sz w:val="22"/>
          <w:szCs w:val="22"/>
        </w:rPr>
        <w:t> </w:t>
      </w:r>
      <w:r w:rsidRPr="00812D63">
        <w:rPr>
          <w:rFonts w:asciiTheme="minorHAnsi" w:hAnsiTheme="minorHAnsi" w:cstheme="minorHAnsi"/>
          <w:sz w:val="22"/>
          <w:szCs w:val="22"/>
        </w:rPr>
        <w:t>44, 48, 52 and 53, set out the circumstances that must be met for the supply of a pharmaceutical benefit by an approved medical practitioner on prescription in various circumstances (for example, on first presentation of a prescription, supplies in cases of urgency, authority prescriptions, repeat authorisations and situations where deferred supply is required)</w:t>
      </w:r>
      <w:r w:rsidR="00B3425F" w:rsidRPr="00812D63">
        <w:rPr>
          <w:rFonts w:asciiTheme="minorHAnsi" w:hAnsiTheme="minorHAnsi" w:cstheme="minorHAnsi"/>
          <w:sz w:val="22"/>
          <w:szCs w:val="22"/>
        </w:rPr>
        <w:t xml:space="preserve">. </w:t>
      </w:r>
    </w:p>
    <w:p w14:paraId="2CA9CE64" w14:textId="5B3BAE71" w:rsidR="00EE058C" w:rsidRPr="00812D63" w:rsidRDefault="00547436" w:rsidP="00473013">
      <w:pPr>
        <w:spacing w:after="160"/>
        <w:jc w:val="left"/>
        <w:rPr>
          <w:rFonts w:asciiTheme="minorHAnsi" w:hAnsiTheme="minorHAnsi" w:cstheme="minorHAnsi"/>
          <w:sz w:val="22"/>
          <w:szCs w:val="22"/>
        </w:rPr>
      </w:pPr>
      <w:r>
        <w:rPr>
          <w:rFonts w:asciiTheme="minorHAnsi" w:hAnsiTheme="minorHAnsi" w:cstheme="minorHAnsi"/>
          <w:sz w:val="22"/>
          <w:szCs w:val="22"/>
        </w:rPr>
        <w:t>S</w:t>
      </w:r>
      <w:r w:rsidR="00EE058C" w:rsidRPr="00812D63">
        <w:rPr>
          <w:rFonts w:asciiTheme="minorHAnsi" w:hAnsiTheme="minorHAnsi" w:cstheme="minorHAnsi"/>
          <w:sz w:val="22"/>
          <w:szCs w:val="22"/>
        </w:rPr>
        <w:t xml:space="preserve">ection </w:t>
      </w:r>
      <w:r w:rsidR="00585281" w:rsidRPr="00812D63">
        <w:rPr>
          <w:rFonts w:asciiTheme="minorHAnsi" w:hAnsiTheme="minorHAnsi" w:cstheme="minorHAnsi"/>
          <w:sz w:val="22"/>
          <w:szCs w:val="22"/>
        </w:rPr>
        <w:t>1</w:t>
      </w:r>
      <w:r w:rsidR="00585281">
        <w:rPr>
          <w:rFonts w:asciiTheme="minorHAnsi" w:hAnsiTheme="minorHAnsi" w:cstheme="minorHAnsi"/>
          <w:sz w:val="22"/>
          <w:szCs w:val="22"/>
        </w:rPr>
        <w:t>2</w:t>
      </w:r>
      <w:r w:rsidR="00585281" w:rsidRPr="00812D63">
        <w:rPr>
          <w:rFonts w:asciiTheme="minorHAnsi" w:hAnsiTheme="minorHAnsi" w:cstheme="minorHAnsi"/>
          <w:sz w:val="22"/>
          <w:szCs w:val="22"/>
        </w:rPr>
        <w:t xml:space="preserve"> </w:t>
      </w:r>
      <w:r>
        <w:rPr>
          <w:rFonts w:asciiTheme="minorHAnsi" w:hAnsiTheme="minorHAnsi" w:cstheme="minorHAnsi"/>
          <w:sz w:val="22"/>
          <w:szCs w:val="22"/>
        </w:rPr>
        <w:t>ensures that</w:t>
      </w:r>
      <w:r w:rsidR="00EE058C" w:rsidRPr="00812D63">
        <w:rPr>
          <w:rFonts w:asciiTheme="minorHAnsi" w:hAnsiTheme="minorHAnsi" w:cstheme="minorHAnsi"/>
          <w:sz w:val="22"/>
          <w:szCs w:val="22"/>
        </w:rPr>
        <w:t xml:space="preserve"> a designated person </w:t>
      </w:r>
      <w:r>
        <w:rPr>
          <w:rFonts w:asciiTheme="minorHAnsi" w:hAnsiTheme="minorHAnsi" w:cstheme="minorHAnsi"/>
          <w:sz w:val="22"/>
          <w:szCs w:val="22"/>
        </w:rPr>
        <w:t xml:space="preserve">is entitled </w:t>
      </w:r>
      <w:r w:rsidR="00EE058C" w:rsidRPr="00812D63">
        <w:rPr>
          <w:rFonts w:asciiTheme="minorHAnsi" w:hAnsiTheme="minorHAnsi" w:cstheme="minorHAnsi"/>
          <w:sz w:val="22"/>
          <w:szCs w:val="22"/>
        </w:rPr>
        <w:t xml:space="preserve">to receive a supply of a </w:t>
      </w:r>
      <w:r>
        <w:rPr>
          <w:rFonts w:asciiTheme="minorHAnsi" w:hAnsiTheme="minorHAnsi" w:cstheme="minorHAnsi"/>
          <w:sz w:val="22"/>
          <w:szCs w:val="22"/>
        </w:rPr>
        <w:t xml:space="preserve">designated </w:t>
      </w:r>
      <w:r w:rsidR="00EE058C" w:rsidRPr="00812D63">
        <w:rPr>
          <w:rFonts w:asciiTheme="minorHAnsi" w:hAnsiTheme="minorHAnsi" w:cstheme="minorHAnsi"/>
          <w:sz w:val="22"/>
          <w:szCs w:val="22"/>
        </w:rPr>
        <w:t xml:space="preserve">pharmaceutical benefit under </w:t>
      </w:r>
      <w:r w:rsidRPr="00812D63">
        <w:rPr>
          <w:rFonts w:asciiTheme="minorHAnsi" w:hAnsiTheme="minorHAnsi" w:cstheme="minorHAnsi"/>
          <w:sz w:val="22"/>
          <w:szCs w:val="22"/>
        </w:rPr>
        <w:t>th</w:t>
      </w:r>
      <w:r>
        <w:rPr>
          <w:rFonts w:asciiTheme="minorHAnsi" w:hAnsiTheme="minorHAnsi" w:cstheme="minorHAnsi"/>
          <w:sz w:val="22"/>
          <w:szCs w:val="22"/>
        </w:rPr>
        <w:t xml:space="preserve">e </w:t>
      </w:r>
      <w:r w:rsidR="005C5D16">
        <w:rPr>
          <w:rFonts w:asciiTheme="minorHAnsi" w:hAnsiTheme="minorHAnsi" w:cstheme="minorHAnsi"/>
          <w:sz w:val="22"/>
          <w:szCs w:val="22"/>
        </w:rPr>
        <w:t>Arrangement</w:t>
      </w:r>
      <w:r w:rsidR="00EE058C" w:rsidRPr="00812D63">
        <w:rPr>
          <w:rFonts w:asciiTheme="minorHAnsi" w:hAnsiTheme="minorHAnsi" w:cstheme="minorHAnsi"/>
          <w:sz w:val="22"/>
          <w:szCs w:val="22"/>
        </w:rPr>
        <w:t xml:space="preserve"> by an approved medical practitioner</w:t>
      </w:r>
      <w:r>
        <w:rPr>
          <w:rFonts w:asciiTheme="minorHAnsi" w:hAnsiTheme="minorHAnsi" w:cstheme="minorHAnsi"/>
          <w:sz w:val="22"/>
          <w:szCs w:val="22"/>
        </w:rPr>
        <w:t>,</w:t>
      </w:r>
      <w:r w:rsidR="00EE058C" w:rsidRPr="00812D63">
        <w:rPr>
          <w:rFonts w:asciiTheme="minorHAnsi" w:hAnsiTheme="minorHAnsi" w:cstheme="minorHAnsi"/>
          <w:sz w:val="22"/>
          <w:szCs w:val="22"/>
        </w:rPr>
        <w:t xml:space="preserve"> despite the requirements set out in the Regulations</w:t>
      </w:r>
      <w:r w:rsidR="00B3425F" w:rsidRPr="00812D63">
        <w:rPr>
          <w:rFonts w:asciiTheme="minorHAnsi" w:hAnsiTheme="minorHAnsi" w:cstheme="minorHAnsi"/>
          <w:sz w:val="22"/>
          <w:szCs w:val="22"/>
        </w:rPr>
        <w:t xml:space="preserve">. </w:t>
      </w:r>
    </w:p>
    <w:p w14:paraId="7AC538B5" w14:textId="0869D11C" w:rsidR="002F344D" w:rsidRPr="00812D63" w:rsidRDefault="002F344D" w:rsidP="00473013">
      <w:pPr>
        <w:keepLines w:val="0"/>
        <w:tabs>
          <w:tab w:val="left" w:pos="1134"/>
        </w:tabs>
        <w:spacing w:after="160"/>
        <w:jc w:val="left"/>
        <w:rPr>
          <w:rFonts w:asciiTheme="minorHAnsi" w:hAnsiTheme="minorHAnsi" w:cstheme="minorHAnsi"/>
          <w:b/>
          <w:sz w:val="24"/>
          <w:szCs w:val="24"/>
          <w:lang w:eastAsia="en-US"/>
        </w:rPr>
      </w:pPr>
      <w:bookmarkStart w:id="8" w:name="_Toc24385257"/>
      <w:r w:rsidRPr="00812D63">
        <w:rPr>
          <w:rFonts w:asciiTheme="minorHAnsi" w:hAnsiTheme="minorHAnsi" w:cstheme="minorHAnsi"/>
          <w:b/>
          <w:sz w:val="24"/>
          <w:szCs w:val="24"/>
          <w:lang w:eastAsia="en-US"/>
        </w:rPr>
        <w:t>Section 13</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pharmacists</w:t>
      </w:r>
      <w:bookmarkEnd w:id="8"/>
    </w:p>
    <w:p w14:paraId="39A225CD" w14:textId="05D1CBEE" w:rsidR="00EE058C" w:rsidRPr="00812D63" w:rsidRDefault="00E22F41" w:rsidP="00473013">
      <w:pPr>
        <w:spacing w:after="160"/>
        <w:jc w:val="left"/>
        <w:rPr>
          <w:rFonts w:asciiTheme="minorHAnsi" w:hAnsiTheme="minorHAnsi" w:cstheme="minorHAnsi"/>
          <w:sz w:val="22"/>
          <w:szCs w:val="22"/>
        </w:rPr>
      </w:pPr>
      <w:r>
        <w:rPr>
          <w:rFonts w:asciiTheme="minorHAnsi" w:hAnsiTheme="minorHAnsi" w:cstheme="minorHAnsi"/>
          <w:sz w:val="22"/>
          <w:szCs w:val="22"/>
        </w:rPr>
        <w:t>Under s</w:t>
      </w:r>
      <w:r w:rsidRPr="00812D63">
        <w:rPr>
          <w:rFonts w:asciiTheme="minorHAnsi" w:hAnsiTheme="minorHAnsi" w:cstheme="minorHAnsi"/>
          <w:sz w:val="22"/>
          <w:szCs w:val="22"/>
        </w:rPr>
        <w:t xml:space="preserve"> </w:t>
      </w:r>
      <w:r w:rsidR="00EE058C" w:rsidRPr="00812D63">
        <w:rPr>
          <w:rFonts w:asciiTheme="minorHAnsi" w:hAnsiTheme="minorHAnsi" w:cstheme="minorHAnsi"/>
          <w:sz w:val="22"/>
          <w:szCs w:val="22"/>
        </w:rPr>
        <w:t>1</w:t>
      </w:r>
      <w:r w:rsidR="00153DFD" w:rsidRPr="00812D63">
        <w:rPr>
          <w:rFonts w:asciiTheme="minorHAnsi" w:hAnsiTheme="minorHAnsi" w:cstheme="minorHAnsi"/>
          <w:sz w:val="22"/>
          <w:szCs w:val="22"/>
        </w:rPr>
        <w:t>3</w:t>
      </w:r>
      <w:r w:rsidR="00EE058C" w:rsidRPr="00812D63">
        <w:rPr>
          <w:rFonts w:asciiTheme="minorHAnsi" w:hAnsiTheme="minorHAnsi" w:cstheme="minorHAnsi"/>
          <w:sz w:val="22"/>
          <w:szCs w:val="22"/>
        </w:rPr>
        <w:t xml:space="preserve"> a designated person is entitled to receive a supply of a designated pharmaceutical benefit under th</w:t>
      </w:r>
      <w:r w:rsidR="00C06961" w:rsidRPr="00812D63">
        <w:rPr>
          <w:rFonts w:asciiTheme="minorHAnsi" w:hAnsiTheme="minorHAnsi" w:cstheme="minorHAnsi"/>
          <w:sz w:val="22"/>
          <w:szCs w:val="22"/>
        </w:rPr>
        <w:t xml:space="preserve">is </w:t>
      </w:r>
      <w:r w:rsidR="005C5D16">
        <w:rPr>
          <w:rFonts w:asciiTheme="minorHAnsi" w:hAnsiTheme="minorHAnsi" w:cstheme="minorHAnsi"/>
          <w:sz w:val="22"/>
          <w:szCs w:val="22"/>
        </w:rPr>
        <w:t>Arrangement</w:t>
      </w:r>
      <w:r w:rsidR="00EE058C" w:rsidRPr="00812D63">
        <w:rPr>
          <w:rFonts w:asciiTheme="minorHAnsi" w:hAnsiTheme="minorHAnsi" w:cstheme="minorHAnsi"/>
          <w:sz w:val="22"/>
          <w:szCs w:val="22"/>
        </w:rPr>
        <w:t xml:space="preserve"> by an approved pharmacist</w:t>
      </w:r>
      <w:r w:rsidR="00585281">
        <w:rPr>
          <w:rFonts w:asciiTheme="minorHAnsi" w:hAnsiTheme="minorHAnsi" w:cstheme="minorHAnsi"/>
          <w:sz w:val="22"/>
          <w:szCs w:val="22"/>
        </w:rPr>
        <w:t xml:space="preserve"> without a prescription, as long as the pharmacist is not an excluded approved supplier</w:t>
      </w:r>
      <w:r w:rsidR="00C06961" w:rsidRPr="00812D63">
        <w:rPr>
          <w:rFonts w:asciiTheme="minorHAnsi" w:hAnsiTheme="minorHAnsi" w:cstheme="minorHAnsi"/>
          <w:sz w:val="22"/>
          <w:szCs w:val="22"/>
        </w:rPr>
        <w:t>.</w:t>
      </w:r>
      <w:r w:rsidR="00B3425F" w:rsidRPr="00812D63">
        <w:rPr>
          <w:rFonts w:asciiTheme="minorHAnsi" w:hAnsiTheme="minorHAnsi" w:cstheme="minorHAnsi"/>
          <w:sz w:val="22"/>
          <w:szCs w:val="22"/>
        </w:rPr>
        <w:t xml:space="preserve"> </w:t>
      </w:r>
    </w:p>
    <w:p w14:paraId="1C9104E3" w14:textId="730A4657" w:rsidR="00EE058C" w:rsidRPr="00812D63" w:rsidRDefault="00EE058C"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Section 1</w:t>
      </w:r>
      <w:r w:rsidR="00EE105B" w:rsidRPr="00812D63">
        <w:rPr>
          <w:rFonts w:asciiTheme="minorHAnsi" w:hAnsiTheme="minorHAnsi" w:cstheme="minorHAnsi"/>
          <w:sz w:val="22"/>
          <w:szCs w:val="22"/>
        </w:rPr>
        <w:t>3</w:t>
      </w:r>
      <w:r w:rsidR="00585281">
        <w:rPr>
          <w:rFonts w:asciiTheme="minorHAnsi" w:hAnsiTheme="minorHAnsi" w:cstheme="minorHAnsi"/>
          <w:sz w:val="22"/>
          <w:szCs w:val="22"/>
        </w:rPr>
        <w:t>(2)</w:t>
      </w:r>
      <w:r w:rsidRPr="00812D63">
        <w:rPr>
          <w:rFonts w:asciiTheme="minorHAnsi" w:hAnsiTheme="minorHAnsi" w:cstheme="minorHAnsi"/>
          <w:sz w:val="22"/>
          <w:szCs w:val="22"/>
        </w:rPr>
        <w:t xml:space="preserve"> further clarifies that </w:t>
      </w:r>
      <w:r w:rsidR="00585281">
        <w:rPr>
          <w:rFonts w:asciiTheme="minorHAnsi" w:hAnsiTheme="minorHAnsi" w:cstheme="minorHAnsi"/>
          <w:sz w:val="22"/>
          <w:szCs w:val="22"/>
        </w:rPr>
        <w:t>s 13</w:t>
      </w:r>
      <w:r w:rsidRPr="00812D63">
        <w:rPr>
          <w:rFonts w:asciiTheme="minorHAnsi" w:hAnsiTheme="minorHAnsi" w:cstheme="minorHAnsi"/>
          <w:sz w:val="22"/>
          <w:szCs w:val="22"/>
        </w:rPr>
        <w:t xml:space="preserve"> has effect despite section 89 of the Act which only permits supply by an approved pharmacist, on presentation of a prescription, to occur at or from the premises at which the pharmacist holds an approval.</w:t>
      </w:r>
    </w:p>
    <w:p w14:paraId="74ED3C0D" w14:textId="1C5B4A29" w:rsidR="002F344D" w:rsidRPr="00812D63" w:rsidRDefault="002F344D" w:rsidP="00473013">
      <w:pPr>
        <w:keepLines w:val="0"/>
        <w:tabs>
          <w:tab w:val="left" w:pos="1134"/>
        </w:tabs>
        <w:spacing w:after="160"/>
        <w:jc w:val="left"/>
        <w:rPr>
          <w:rFonts w:asciiTheme="minorHAnsi" w:hAnsiTheme="minorHAnsi" w:cstheme="minorHAnsi"/>
          <w:b/>
          <w:sz w:val="24"/>
          <w:szCs w:val="24"/>
          <w:lang w:eastAsia="en-US"/>
        </w:rPr>
      </w:pPr>
      <w:bookmarkStart w:id="9" w:name="_Toc24385258"/>
      <w:r w:rsidRPr="00812D63">
        <w:rPr>
          <w:rFonts w:asciiTheme="minorHAnsi" w:hAnsiTheme="minorHAnsi" w:cstheme="minorHAnsi"/>
          <w:b/>
          <w:sz w:val="24"/>
          <w:szCs w:val="24"/>
          <w:lang w:eastAsia="en-US"/>
        </w:rPr>
        <w:t>Section 14</w:t>
      </w:r>
      <w:r w:rsidR="00C06961"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authorised alternative suppliers</w:t>
      </w:r>
      <w:bookmarkEnd w:id="9"/>
    </w:p>
    <w:p w14:paraId="71A5EE72" w14:textId="12F46DD6" w:rsidR="00EE058C" w:rsidRPr="00812D63" w:rsidRDefault="00EE058C"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Section 1</w:t>
      </w:r>
      <w:r w:rsidR="00153DFD" w:rsidRPr="00812D63">
        <w:rPr>
          <w:rFonts w:asciiTheme="minorHAnsi" w:hAnsiTheme="minorHAnsi" w:cstheme="minorHAnsi"/>
          <w:sz w:val="22"/>
          <w:szCs w:val="22"/>
        </w:rPr>
        <w:t>4</w:t>
      </w:r>
      <w:r w:rsidRPr="00812D63">
        <w:rPr>
          <w:rFonts w:asciiTheme="minorHAnsi" w:hAnsiTheme="minorHAnsi" w:cstheme="minorHAnsi"/>
          <w:sz w:val="22"/>
          <w:szCs w:val="22"/>
        </w:rPr>
        <w:t xml:space="preserve"> </w:t>
      </w:r>
      <w:r w:rsidR="00A408C8">
        <w:rPr>
          <w:rFonts w:asciiTheme="minorHAnsi" w:hAnsiTheme="minorHAnsi" w:cstheme="minorHAnsi"/>
          <w:sz w:val="22"/>
          <w:szCs w:val="22"/>
        </w:rPr>
        <w:t>provides</w:t>
      </w:r>
      <w:r w:rsidR="00A408C8"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that a designated person is entitled to receive a </w:t>
      </w:r>
      <w:r w:rsidR="00A408C8">
        <w:rPr>
          <w:rFonts w:asciiTheme="minorHAnsi" w:hAnsiTheme="minorHAnsi" w:cstheme="minorHAnsi"/>
          <w:sz w:val="22"/>
          <w:szCs w:val="22"/>
        </w:rPr>
        <w:t xml:space="preserve">special arrangement supply of a </w:t>
      </w:r>
      <w:r w:rsidRPr="00812D63">
        <w:rPr>
          <w:rFonts w:asciiTheme="minorHAnsi" w:hAnsiTheme="minorHAnsi" w:cstheme="minorHAnsi"/>
          <w:sz w:val="22"/>
          <w:szCs w:val="22"/>
        </w:rPr>
        <w:t>designated pharmaceutical bene</w:t>
      </w:r>
      <w:r w:rsidR="00011FBF">
        <w:rPr>
          <w:rFonts w:asciiTheme="minorHAnsi" w:hAnsiTheme="minorHAnsi" w:cstheme="minorHAnsi"/>
          <w:sz w:val="22"/>
          <w:szCs w:val="22"/>
        </w:rPr>
        <w:t xml:space="preserve">fit </w:t>
      </w:r>
      <w:r w:rsidRPr="00812D63">
        <w:rPr>
          <w:rFonts w:asciiTheme="minorHAnsi" w:hAnsiTheme="minorHAnsi" w:cstheme="minorHAnsi"/>
          <w:sz w:val="22"/>
          <w:szCs w:val="22"/>
        </w:rPr>
        <w:t xml:space="preserve">by an authorised alternative supplier. </w:t>
      </w:r>
      <w:r w:rsidR="00DC54E7">
        <w:rPr>
          <w:rFonts w:asciiTheme="minorHAnsi" w:hAnsiTheme="minorHAnsi" w:cstheme="minorHAnsi"/>
          <w:sz w:val="22"/>
          <w:szCs w:val="22"/>
        </w:rPr>
        <w:t xml:space="preserve">Section 14(2) provides that this </w:t>
      </w:r>
      <w:r w:rsidRPr="00812D63">
        <w:rPr>
          <w:rFonts w:asciiTheme="minorHAnsi" w:hAnsiTheme="minorHAnsi" w:cstheme="minorHAnsi"/>
          <w:sz w:val="22"/>
          <w:szCs w:val="22"/>
        </w:rPr>
        <w:t>supply is allowed despite the provisions of section 89 of the Act</w:t>
      </w:r>
      <w:r w:rsidR="00DC54E7">
        <w:rPr>
          <w:rFonts w:asciiTheme="minorHAnsi" w:hAnsiTheme="minorHAnsi" w:cstheme="minorHAnsi"/>
          <w:sz w:val="22"/>
          <w:szCs w:val="22"/>
        </w:rPr>
        <w:t xml:space="preserve"> </w:t>
      </w:r>
      <w:r w:rsidRPr="00812D63">
        <w:rPr>
          <w:rFonts w:asciiTheme="minorHAnsi" w:hAnsiTheme="minorHAnsi" w:cstheme="minorHAnsi"/>
          <w:sz w:val="22"/>
          <w:szCs w:val="22"/>
        </w:rPr>
        <w:t>which</w:t>
      </w:r>
      <w:r w:rsidR="00DC54E7">
        <w:rPr>
          <w:rFonts w:asciiTheme="minorHAnsi" w:hAnsiTheme="minorHAnsi" w:cstheme="minorHAnsi"/>
          <w:sz w:val="22"/>
          <w:szCs w:val="22"/>
        </w:rPr>
        <w:t>,</w:t>
      </w:r>
      <w:r w:rsidRPr="00812D63">
        <w:rPr>
          <w:rFonts w:asciiTheme="minorHAnsi" w:hAnsiTheme="minorHAnsi" w:cstheme="minorHAnsi"/>
          <w:sz w:val="22"/>
          <w:szCs w:val="22"/>
        </w:rPr>
        <w:t xml:space="preserve"> </w:t>
      </w:r>
      <w:r w:rsidR="00DC54E7">
        <w:rPr>
          <w:rFonts w:asciiTheme="minorHAnsi" w:hAnsiTheme="minorHAnsi" w:cstheme="minorHAnsi"/>
          <w:sz w:val="22"/>
          <w:szCs w:val="22"/>
        </w:rPr>
        <w:t xml:space="preserve">relevantly, </w:t>
      </w:r>
      <w:r w:rsidRPr="00812D63">
        <w:rPr>
          <w:rFonts w:asciiTheme="minorHAnsi" w:hAnsiTheme="minorHAnsi" w:cstheme="minorHAnsi"/>
          <w:sz w:val="22"/>
          <w:szCs w:val="22"/>
        </w:rPr>
        <w:t xml:space="preserve">only </w:t>
      </w:r>
      <w:r w:rsidRPr="00091970">
        <w:rPr>
          <w:rFonts w:asciiTheme="minorHAnsi" w:hAnsiTheme="minorHAnsi" w:cstheme="minorHAnsi"/>
          <w:sz w:val="22"/>
          <w:szCs w:val="22"/>
        </w:rPr>
        <w:t xml:space="preserve">permit </w:t>
      </w:r>
      <w:r w:rsidRPr="00812D63">
        <w:rPr>
          <w:rFonts w:asciiTheme="minorHAnsi" w:hAnsiTheme="minorHAnsi" w:cstheme="minorHAnsi"/>
          <w:sz w:val="22"/>
          <w:szCs w:val="22"/>
        </w:rPr>
        <w:t>the supply of a pharmaceutical benefit by an approved pharmacist, on presentation of a prescription, to occur at or from the premises at which the pharmacist holds an approval.</w:t>
      </w:r>
    </w:p>
    <w:p w14:paraId="71A11B4A" w14:textId="773C8D8B" w:rsidR="00EE105B" w:rsidRPr="00812D63" w:rsidRDefault="00011FBF" w:rsidP="00473013">
      <w:pPr>
        <w:spacing w:after="160"/>
        <w:jc w:val="left"/>
        <w:rPr>
          <w:rFonts w:asciiTheme="minorHAnsi" w:hAnsiTheme="minorHAnsi" w:cstheme="minorHAnsi"/>
          <w:sz w:val="22"/>
          <w:szCs w:val="22"/>
        </w:rPr>
      </w:pPr>
      <w:r w:rsidRPr="004E353D">
        <w:rPr>
          <w:rFonts w:asciiTheme="minorHAnsi" w:hAnsiTheme="minorHAnsi" w:cstheme="minorHAnsi"/>
          <w:sz w:val="22"/>
          <w:szCs w:val="22"/>
        </w:rPr>
        <w:t xml:space="preserve">For example, </w:t>
      </w:r>
      <w:r w:rsidR="004E353D">
        <w:rPr>
          <w:rFonts w:asciiTheme="minorHAnsi" w:hAnsiTheme="minorHAnsi" w:cstheme="minorHAnsi"/>
          <w:sz w:val="22"/>
          <w:szCs w:val="22"/>
        </w:rPr>
        <w:t>a needle and syringe program</w:t>
      </w:r>
      <w:r w:rsidR="00293438">
        <w:rPr>
          <w:rFonts w:asciiTheme="minorHAnsi" w:hAnsiTheme="minorHAnsi" w:cstheme="minorHAnsi"/>
          <w:sz w:val="22"/>
          <w:szCs w:val="22"/>
        </w:rPr>
        <w:t>,</w:t>
      </w:r>
      <w:r w:rsidR="004E353D">
        <w:rPr>
          <w:rFonts w:asciiTheme="minorHAnsi" w:hAnsiTheme="minorHAnsi" w:cstheme="minorHAnsi"/>
          <w:sz w:val="22"/>
          <w:szCs w:val="22"/>
        </w:rPr>
        <w:t xml:space="preserve"> </w:t>
      </w:r>
      <w:r w:rsidR="00293438">
        <w:rPr>
          <w:rFonts w:asciiTheme="minorHAnsi" w:hAnsiTheme="minorHAnsi" w:cstheme="minorHAnsi"/>
          <w:sz w:val="22"/>
          <w:szCs w:val="22"/>
        </w:rPr>
        <w:t xml:space="preserve">authorised </w:t>
      </w:r>
      <w:r w:rsidR="00BC50AC">
        <w:rPr>
          <w:rFonts w:asciiTheme="minorHAnsi" w:hAnsiTheme="minorHAnsi" w:cstheme="minorHAnsi"/>
          <w:sz w:val="22"/>
          <w:szCs w:val="22"/>
        </w:rPr>
        <w:t>by</w:t>
      </w:r>
      <w:r w:rsidR="00293438">
        <w:rPr>
          <w:rFonts w:asciiTheme="minorHAnsi" w:hAnsiTheme="minorHAnsi" w:cstheme="minorHAnsi"/>
          <w:sz w:val="22"/>
          <w:szCs w:val="22"/>
        </w:rPr>
        <w:t xml:space="preserve"> written notice to the Secretary by their participating state authority in accordance </w:t>
      </w:r>
      <w:r w:rsidR="00BC50AC">
        <w:rPr>
          <w:rFonts w:asciiTheme="minorHAnsi" w:hAnsiTheme="minorHAnsi" w:cstheme="minorHAnsi"/>
          <w:sz w:val="22"/>
          <w:szCs w:val="22"/>
        </w:rPr>
        <w:t>with</w:t>
      </w:r>
      <w:r w:rsidR="00293438">
        <w:rPr>
          <w:rFonts w:asciiTheme="minorHAnsi" w:hAnsiTheme="minorHAnsi" w:cstheme="minorHAnsi"/>
          <w:sz w:val="22"/>
          <w:szCs w:val="22"/>
        </w:rPr>
        <w:t xml:space="preserve"> the definition of an ‘authorised approved supplier’ under s6, would under </w:t>
      </w:r>
      <w:r w:rsidR="00DC54E7" w:rsidRPr="004E353D">
        <w:rPr>
          <w:rFonts w:asciiTheme="minorHAnsi" w:hAnsiTheme="minorHAnsi" w:cstheme="minorHAnsi"/>
          <w:sz w:val="22"/>
          <w:szCs w:val="22"/>
        </w:rPr>
        <w:t>s 14</w:t>
      </w:r>
      <w:r w:rsidR="00BC50AC">
        <w:rPr>
          <w:rFonts w:asciiTheme="minorHAnsi" w:hAnsiTheme="minorHAnsi" w:cstheme="minorHAnsi"/>
          <w:sz w:val="22"/>
          <w:szCs w:val="22"/>
        </w:rPr>
        <w:t xml:space="preserve"> be able </w:t>
      </w:r>
      <w:r w:rsidR="00EE105B" w:rsidRPr="004E353D">
        <w:rPr>
          <w:rFonts w:asciiTheme="minorHAnsi" w:hAnsiTheme="minorHAnsi" w:cstheme="minorHAnsi"/>
          <w:sz w:val="22"/>
          <w:szCs w:val="22"/>
        </w:rPr>
        <w:t>to supply naloxone</w:t>
      </w:r>
      <w:r w:rsidR="00AA5C74" w:rsidRPr="004E353D">
        <w:rPr>
          <w:rFonts w:asciiTheme="minorHAnsi" w:hAnsiTheme="minorHAnsi" w:cstheme="minorHAnsi"/>
          <w:sz w:val="22"/>
          <w:szCs w:val="22"/>
        </w:rPr>
        <w:t xml:space="preserve"> in accordance with the </w:t>
      </w:r>
      <w:r w:rsidR="005C5D16" w:rsidRPr="004E353D">
        <w:rPr>
          <w:rFonts w:asciiTheme="minorHAnsi" w:hAnsiTheme="minorHAnsi" w:cstheme="minorHAnsi"/>
          <w:sz w:val="22"/>
          <w:szCs w:val="22"/>
        </w:rPr>
        <w:t>Arrangement</w:t>
      </w:r>
      <w:r w:rsidR="00EE105B" w:rsidRPr="004E353D">
        <w:rPr>
          <w:rFonts w:asciiTheme="minorHAnsi" w:hAnsiTheme="minorHAnsi" w:cstheme="minorHAnsi"/>
          <w:sz w:val="22"/>
          <w:szCs w:val="22"/>
        </w:rPr>
        <w:t xml:space="preserve"> to a person at risk of opioid overdose (or their family or friend).</w:t>
      </w:r>
    </w:p>
    <w:p w14:paraId="4CE14ADC" w14:textId="5DFD77D8" w:rsidR="002F344D" w:rsidRPr="00812D63" w:rsidRDefault="002F344D" w:rsidP="00D1178C">
      <w:pPr>
        <w:keepNext/>
        <w:keepLines w:val="0"/>
        <w:tabs>
          <w:tab w:val="left" w:pos="1134"/>
        </w:tabs>
        <w:spacing w:after="160"/>
        <w:jc w:val="left"/>
        <w:rPr>
          <w:rFonts w:asciiTheme="minorHAnsi" w:hAnsiTheme="minorHAnsi" w:cstheme="minorHAnsi"/>
          <w:b/>
          <w:sz w:val="24"/>
          <w:szCs w:val="24"/>
          <w:lang w:eastAsia="en-US"/>
        </w:rPr>
      </w:pPr>
      <w:bookmarkStart w:id="10" w:name="_Toc24385259"/>
      <w:r w:rsidRPr="00812D63">
        <w:rPr>
          <w:rFonts w:asciiTheme="minorHAnsi" w:hAnsiTheme="minorHAnsi" w:cstheme="minorHAnsi"/>
          <w:b/>
          <w:sz w:val="24"/>
          <w:szCs w:val="24"/>
          <w:lang w:eastAsia="en-US"/>
        </w:rPr>
        <w:lastRenderedPageBreak/>
        <w:t>Section 15</w:t>
      </w:r>
      <w:r w:rsidR="00EE105B"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Maximum quantity or number of units for supplies</w:t>
      </w:r>
      <w:bookmarkEnd w:id="10"/>
    </w:p>
    <w:p w14:paraId="0FABF139" w14:textId="68A2E65F" w:rsidR="00EE058C" w:rsidRPr="00812D63" w:rsidRDefault="00EE058C"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sets out that the maximum quantity or number of units of a designated pharmaceutical benefit that may be supplied </w:t>
      </w:r>
      <w:r w:rsidR="00BF77A7">
        <w:rPr>
          <w:rFonts w:asciiTheme="minorHAnsi" w:hAnsiTheme="minorHAnsi" w:cstheme="minorHAnsi"/>
          <w:sz w:val="22"/>
          <w:szCs w:val="22"/>
        </w:rPr>
        <w:t xml:space="preserve">to a designated person </w:t>
      </w:r>
      <w:r w:rsidRPr="00812D63">
        <w:rPr>
          <w:rFonts w:asciiTheme="minorHAnsi" w:hAnsiTheme="minorHAnsi" w:cstheme="minorHAnsi"/>
          <w:sz w:val="22"/>
          <w:szCs w:val="22"/>
        </w:rPr>
        <w:t xml:space="preserve">on any one occasion is the number specified within the table included in clause 1 of Schedule 1 </w:t>
      </w:r>
      <w:r w:rsidR="00BF77A7">
        <w:rPr>
          <w:rFonts w:asciiTheme="minorHAnsi" w:hAnsiTheme="minorHAnsi" w:cstheme="minorHAnsi"/>
          <w:sz w:val="22"/>
          <w:szCs w:val="22"/>
        </w:rPr>
        <w:t xml:space="preserve">in the column </w:t>
      </w:r>
      <w:r w:rsidRPr="00812D63">
        <w:rPr>
          <w:rFonts w:asciiTheme="minorHAnsi" w:hAnsiTheme="minorHAnsi" w:cstheme="minorHAnsi"/>
          <w:sz w:val="22"/>
          <w:szCs w:val="22"/>
        </w:rPr>
        <w:t xml:space="preserve">headed ‘Maximum Quantity or number of </w:t>
      </w:r>
      <w:r w:rsidR="00153DFD" w:rsidRPr="00812D63">
        <w:rPr>
          <w:rFonts w:asciiTheme="minorHAnsi" w:hAnsiTheme="minorHAnsi" w:cstheme="minorHAnsi"/>
          <w:sz w:val="22"/>
          <w:szCs w:val="22"/>
        </w:rPr>
        <w:t>units’</w:t>
      </w:r>
      <w:r w:rsidRPr="00812D63">
        <w:rPr>
          <w:rFonts w:asciiTheme="minorHAnsi" w:hAnsiTheme="minorHAnsi" w:cstheme="minorHAnsi"/>
          <w:sz w:val="22"/>
          <w:szCs w:val="22"/>
        </w:rPr>
        <w:t>.</w:t>
      </w:r>
      <w:r w:rsidR="00EE105B" w:rsidRPr="00812D63">
        <w:rPr>
          <w:rFonts w:asciiTheme="minorHAnsi" w:hAnsiTheme="minorHAnsi" w:cstheme="minorHAnsi"/>
          <w:sz w:val="22"/>
          <w:szCs w:val="22"/>
        </w:rPr>
        <w:t xml:space="preserve"> </w:t>
      </w:r>
    </w:p>
    <w:p w14:paraId="2C9F656E" w14:textId="148DA075" w:rsidR="002F344D" w:rsidRPr="00812D63" w:rsidRDefault="002F344D" w:rsidP="00473013">
      <w:pPr>
        <w:keepLines w:val="0"/>
        <w:spacing w:after="160"/>
        <w:jc w:val="left"/>
        <w:rPr>
          <w:rFonts w:asciiTheme="minorHAnsi" w:hAnsiTheme="minorHAnsi" w:cstheme="minorHAnsi"/>
          <w:b/>
          <w:sz w:val="24"/>
          <w:szCs w:val="24"/>
          <w:lang w:eastAsia="en-US"/>
        </w:rPr>
      </w:pPr>
      <w:bookmarkStart w:id="11" w:name="_Toc24385260"/>
      <w:r w:rsidRPr="00812D63">
        <w:rPr>
          <w:rFonts w:asciiTheme="minorHAnsi" w:hAnsiTheme="minorHAnsi" w:cstheme="minorHAnsi"/>
          <w:b/>
          <w:sz w:val="24"/>
          <w:szCs w:val="24"/>
          <w:lang w:eastAsia="en-US"/>
        </w:rPr>
        <w:t>Section 16</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No limit on number of occasions for supplies</w:t>
      </w:r>
      <w:bookmarkEnd w:id="11"/>
    </w:p>
    <w:p w14:paraId="49E8F150" w14:textId="1793D3A9" w:rsidR="008B6E99" w:rsidRPr="00812D63"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specifies that there is no </w:t>
      </w:r>
      <w:r w:rsidR="00011FBF">
        <w:rPr>
          <w:rFonts w:asciiTheme="minorHAnsi" w:hAnsiTheme="minorHAnsi" w:cstheme="minorHAnsi"/>
          <w:sz w:val="22"/>
          <w:szCs w:val="22"/>
        </w:rPr>
        <w:t xml:space="preserve">time </w:t>
      </w:r>
      <w:r w:rsidRPr="00812D63">
        <w:rPr>
          <w:rFonts w:asciiTheme="minorHAnsi" w:hAnsiTheme="minorHAnsi" w:cstheme="minorHAnsi"/>
          <w:sz w:val="22"/>
          <w:szCs w:val="22"/>
        </w:rPr>
        <w:t xml:space="preserve">limit imposed on the number of occasions on which a designated person may receive a designated pharmaceutical benefit </w:t>
      </w:r>
      <w:r w:rsidR="00BF79C2">
        <w:rPr>
          <w:rFonts w:asciiTheme="minorHAnsi" w:hAnsiTheme="minorHAnsi" w:cstheme="minorHAnsi"/>
          <w:sz w:val="22"/>
          <w:szCs w:val="22"/>
        </w:rPr>
        <w:t xml:space="preserve">supplied </w:t>
      </w:r>
      <w:r w:rsidR="007F4692">
        <w:rPr>
          <w:rFonts w:asciiTheme="minorHAnsi" w:hAnsiTheme="minorHAnsi" w:cstheme="minorHAnsi"/>
          <w:sz w:val="22"/>
          <w:szCs w:val="22"/>
        </w:rPr>
        <w:t xml:space="preserve">in accordance with </w:t>
      </w:r>
      <w:r w:rsidR="00AA5C74">
        <w:rPr>
          <w:rFonts w:asciiTheme="minorHAnsi" w:hAnsiTheme="minorHAnsi" w:cstheme="minorHAnsi"/>
          <w:sz w:val="22"/>
          <w:szCs w:val="22"/>
        </w:rPr>
        <w:t xml:space="preserve">the </w:t>
      </w:r>
      <w:r w:rsidR="005C5D16">
        <w:rPr>
          <w:rFonts w:asciiTheme="minorHAnsi" w:hAnsiTheme="minorHAnsi" w:cstheme="minorHAnsi"/>
          <w:sz w:val="22"/>
          <w:szCs w:val="22"/>
        </w:rPr>
        <w:t>Arrangement</w:t>
      </w:r>
      <w:r w:rsidRPr="00812D63">
        <w:rPr>
          <w:rFonts w:asciiTheme="minorHAnsi" w:hAnsiTheme="minorHAnsi" w:cstheme="minorHAnsi"/>
          <w:sz w:val="22"/>
          <w:szCs w:val="22"/>
        </w:rPr>
        <w:t>.</w:t>
      </w:r>
      <w:r w:rsidR="00011FBF">
        <w:rPr>
          <w:rFonts w:asciiTheme="minorHAnsi" w:hAnsiTheme="minorHAnsi" w:cstheme="minorHAnsi"/>
          <w:sz w:val="22"/>
          <w:szCs w:val="22"/>
        </w:rPr>
        <w:t xml:space="preserve"> For example, a </w:t>
      </w:r>
      <w:r w:rsidR="00AC6F23">
        <w:rPr>
          <w:rFonts w:asciiTheme="minorHAnsi" w:hAnsiTheme="minorHAnsi" w:cstheme="minorHAnsi"/>
          <w:sz w:val="22"/>
          <w:szCs w:val="22"/>
        </w:rPr>
        <w:t xml:space="preserve">designated </w:t>
      </w:r>
      <w:r w:rsidR="00011FBF">
        <w:rPr>
          <w:rFonts w:asciiTheme="minorHAnsi" w:hAnsiTheme="minorHAnsi" w:cstheme="minorHAnsi"/>
          <w:sz w:val="22"/>
          <w:szCs w:val="22"/>
        </w:rPr>
        <w:t xml:space="preserve">person may </w:t>
      </w:r>
      <w:r w:rsidR="00AC6F23">
        <w:rPr>
          <w:rFonts w:asciiTheme="minorHAnsi" w:hAnsiTheme="minorHAnsi" w:cstheme="minorHAnsi"/>
          <w:sz w:val="22"/>
          <w:szCs w:val="22"/>
        </w:rPr>
        <w:t xml:space="preserve">be supplied with </w:t>
      </w:r>
      <w:r w:rsidR="00011FBF">
        <w:rPr>
          <w:rFonts w:asciiTheme="minorHAnsi" w:hAnsiTheme="minorHAnsi" w:cstheme="minorHAnsi"/>
          <w:sz w:val="22"/>
          <w:szCs w:val="22"/>
        </w:rPr>
        <w:t xml:space="preserve">naloxone </w:t>
      </w:r>
      <w:r w:rsidR="00AC6F23">
        <w:rPr>
          <w:rFonts w:asciiTheme="minorHAnsi" w:hAnsiTheme="minorHAnsi" w:cstheme="minorHAnsi"/>
          <w:sz w:val="22"/>
          <w:szCs w:val="22"/>
        </w:rPr>
        <w:t xml:space="preserve">in accordance with the </w:t>
      </w:r>
      <w:r w:rsidR="005C5D16">
        <w:rPr>
          <w:rFonts w:asciiTheme="minorHAnsi" w:hAnsiTheme="minorHAnsi" w:cstheme="minorHAnsi"/>
          <w:sz w:val="22"/>
          <w:szCs w:val="22"/>
        </w:rPr>
        <w:t>Arrangement</w:t>
      </w:r>
      <w:r w:rsidR="00AC6F23">
        <w:rPr>
          <w:rFonts w:asciiTheme="minorHAnsi" w:hAnsiTheme="minorHAnsi" w:cstheme="minorHAnsi"/>
          <w:sz w:val="22"/>
          <w:szCs w:val="22"/>
        </w:rPr>
        <w:t xml:space="preserve"> </w:t>
      </w:r>
      <w:r w:rsidR="00011FBF">
        <w:rPr>
          <w:rFonts w:asciiTheme="minorHAnsi" w:hAnsiTheme="minorHAnsi" w:cstheme="minorHAnsi"/>
          <w:sz w:val="22"/>
          <w:szCs w:val="22"/>
        </w:rPr>
        <w:t>twice on the same day or on subsequent days if needed.</w:t>
      </w:r>
    </w:p>
    <w:p w14:paraId="5E76D72E" w14:textId="77777777" w:rsidR="002F344D" w:rsidRPr="00812D63" w:rsidRDefault="002F344D" w:rsidP="00473013">
      <w:pPr>
        <w:keepNext/>
        <w:spacing w:after="160"/>
        <w:jc w:val="left"/>
        <w:rPr>
          <w:rFonts w:asciiTheme="minorHAnsi" w:hAnsiTheme="minorHAnsi" w:cstheme="minorHAnsi"/>
          <w:b/>
          <w:sz w:val="24"/>
          <w:szCs w:val="24"/>
        </w:rPr>
      </w:pPr>
      <w:bookmarkStart w:id="12" w:name="_Toc24385261"/>
      <w:r w:rsidRPr="00812D63">
        <w:rPr>
          <w:rFonts w:asciiTheme="minorHAnsi" w:hAnsiTheme="minorHAnsi" w:cstheme="minorHAnsi"/>
          <w:b/>
          <w:sz w:val="24"/>
          <w:szCs w:val="24"/>
        </w:rPr>
        <w:t>Division 3—Payment for special arrangement supplies of designated pharmaceutical benefits</w:t>
      </w:r>
      <w:bookmarkEnd w:id="12"/>
    </w:p>
    <w:p w14:paraId="1029F73A" w14:textId="6078FF16" w:rsidR="002F344D" w:rsidRPr="00812D63" w:rsidRDefault="002F344D" w:rsidP="00473013">
      <w:pPr>
        <w:keepLines w:val="0"/>
        <w:spacing w:after="160"/>
        <w:jc w:val="left"/>
        <w:rPr>
          <w:rFonts w:asciiTheme="minorHAnsi" w:hAnsiTheme="minorHAnsi" w:cstheme="minorHAnsi"/>
          <w:b/>
          <w:sz w:val="24"/>
          <w:szCs w:val="24"/>
          <w:lang w:eastAsia="en-US"/>
        </w:rPr>
      </w:pPr>
      <w:bookmarkStart w:id="13" w:name="_Toc24385262"/>
      <w:r w:rsidRPr="00812D63">
        <w:rPr>
          <w:rFonts w:asciiTheme="minorHAnsi" w:hAnsiTheme="minorHAnsi" w:cstheme="minorHAnsi"/>
          <w:b/>
          <w:sz w:val="24"/>
          <w:szCs w:val="24"/>
          <w:lang w:eastAsia="en-US"/>
        </w:rPr>
        <w:t>Section 17</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hospital authorities to certain patients</w:t>
      </w:r>
      <w:bookmarkEnd w:id="13"/>
    </w:p>
    <w:p w14:paraId="2237696E" w14:textId="717A7E25" w:rsidR="006173A4" w:rsidRDefault="00BF79C2" w:rsidP="00C93AEF">
      <w:pPr>
        <w:spacing w:after="80"/>
        <w:jc w:val="left"/>
        <w:rPr>
          <w:rFonts w:asciiTheme="minorHAnsi" w:hAnsiTheme="minorHAnsi" w:cstheme="minorHAnsi"/>
          <w:sz w:val="22"/>
          <w:szCs w:val="22"/>
        </w:rPr>
      </w:pPr>
      <w:r>
        <w:rPr>
          <w:rFonts w:asciiTheme="minorHAnsi" w:hAnsiTheme="minorHAnsi" w:cstheme="minorHAnsi"/>
          <w:sz w:val="22"/>
          <w:szCs w:val="22"/>
        </w:rPr>
        <w:t>Subsection 17(1)</w:t>
      </w:r>
      <w:r w:rsidR="008B6E99" w:rsidRPr="00812D63">
        <w:rPr>
          <w:rFonts w:asciiTheme="minorHAnsi" w:hAnsiTheme="minorHAnsi" w:cstheme="minorHAnsi"/>
          <w:sz w:val="22"/>
          <w:szCs w:val="22"/>
        </w:rPr>
        <w:t xml:space="preserve"> </w:t>
      </w:r>
      <w:r w:rsidR="006173A4">
        <w:rPr>
          <w:rFonts w:asciiTheme="minorHAnsi" w:hAnsiTheme="minorHAnsi" w:cstheme="minorHAnsi"/>
          <w:sz w:val="22"/>
          <w:szCs w:val="22"/>
        </w:rPr>
        <w:t>provides</w:t>
      </w:r>
      <w:r w:rsidR="006173A4"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that</w:t>
      </w:r>
      <w:r w:rsidR="006173A4">
        <w:rPr>
          <w:rFonts w:asciiTheme="minorHAnsi" w:hAnsiTheme="minorHAnsi" w:cstheme="minorHAnsi"/>
          <w:sz w:val="22"/>
          <w:szCs w:val="22"/>
        </w:rPr>
        <w:t xml:space="preserve"> an approved hospital authority is entitled to payment from the Commonwealth for a supply of </w:t>
      </w:r>
      <w:r w:rsidR="006173A4" w:rsidRPr="00812D63">
        <w:rPr>
          <w:rFonts w:asciiTheme="minorHAnsi" w:hAnsiTheme="minorHAnsi" w:cstheme="minorHAnsi"/>
          <w:sz w:val="22"/>
          <w:szCs w:val="22"/>
        </w:rPr>
        <w:t xml:space="preserve">a designated pharmaceutical benefit under this </w:t>
      </w:r>
      <w:r w:rsidR="005C5D16">
        <w:rPr>
          <w:rFonts w:asciiTheme="minorHAnsi" w:hAnsiTheme="minorHAnsi" w:cstheme="minorHAnsi"/>
          <w:sz w:val="22"/>
          <w:szCs w:val="22"/>
        </w:rPr>
        <w:t>Arrangement</w:t>
      </w:r>
      <w:r w:rsidR="008B6E99" w:rsidRPr="00812D63">
        <w:rPr>
          <w:rFonts w:asciiTheme="minorHAnsi" w:hAnsiTheme="minorHAnsi" w:cstheme="minorHAnsi"/>
          <w:sz w:val="22"/>
          <w:szCs w:val="22"/>
        </w:rPr>
        <w:t xml:space="preserve"> where </w:t>
      </w:r>
      <w:r w:rsidR="006173A4">
        <w:rPr>
          <w:rFonts w:asciiTheme="minorHAnsi" w:hAnsiTheme="minorHAnsi" w:cstheme="minorHAnsi"/>
          <w:sz w:val="22"/>
          <w:szCs w:val="22"/>
        </w:rPr>
        <w:t>the</w:t>
      </w:r>
      <w:r w:rsidR="006173A4"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 xml:space="preserve">approved hospital authority makes </w:t>
      </w:r>
      <w:r w:rsidR="006173A4">
        <w:rPr>
          <w:rFonts w:asciiTheme="minorHAnsi" w:hAnsiTheme="minorHAnsi" w:cstheme="minorHAnsi"/>
          <w:sz w:val="22"/>
          <w:szCs w:val="22"/>
        </w:rPr>
        <w:t xml:space="preserve">the </w:t>
      </w:r>
      <w:r w:rsidR="008B6E99" w:rsidRPr="00812D63">
        <w:rPr>
          <w:rFonts w:asciiTheme="minorHAnsi" w:hAnsiTheme="minorHAnsi" w:cstheme="minorHAnsi"/>
          <w:sz w:val="22"/>
          <w:szCs w:val="22"/>
        </w:rPr>
        <w:t>supply</w:t>
      </w:r>
      <w:r w:rsidR="006173A4">
        <w:rPr>
          <w:rFonts w:asciiTheme="minorHAnsi" w:hAnsiTheme="minorHAnsi" w:cstheme="minorHAnsi"/>
          <w:sz w:val="22"/>
          <w:szCs w:val="22"/>
        </w:rPr>
        <w:t xml:space="preserve"> to the following categories of patients of a hospital of which the approved hospital authority is the governing body or proprietor:</w:t>
      </w:r>
    </w:p>
    <w:p w14:paraId="51F4D418" w14:textId="677C5765" w:rsidR="006173A4" w:rsidRDefault="006173A4" w:rsidP="00C93AEF">
      <w:pPr>
        <w:pStyle w:val="ListParagraph"/>
        <w:numPr>
          <w:ilvl w:val="0"/>
          <w:numId w:val="30"/>
        </w:numPr>
        <w:spacing w:after="80"/>
        <w:rPr>
          <w:rFonts w:asciiTheme="minorHAnsi" w:hAnsiTheme="minorHAnsi" w:cstheme="minorHAnsi"/>
        </w:rPr>
      </w:pPr>
      <w:r>
        <w:rPr>
          <w:rFonts w:asciiTheme="minorHAnsi" w:hAnsiTheme="minorHAnsi" w:cstheme="minorHAnsi"/>
        </w:rPr>
        <w:t>day admitted patients</w:t>
      </w:r>
    </w:p>
    <w:p w14:paraId="67F73001" w14:textId="28FABF33" w:rsidR="006173A4" w:rsidRDefault="006173A4" w:rsidP="00C93AEF">
      <w:pPr>
        <w:pStyle w:val="ListParagraph"/>
        <w:numPr>
          <w:ilvl w:val="0"/>
          <w:numId w:val="30"/>
        </w:numPr>
        <w:spacing w:after="80"/>
        <w:rPr>
          <w:rFonts w:asciiTheme="minorHAnsi" w:hAnsiTheme="minorHAnsi" w:cstheme="minorHAnsi"/>
        </w:rPr>
      </w:pPr>
      <w:r>
        <w:rPr>
          <w:rFonts w:asciiTheme="minorHAnsi" w:hAnsiTheme="minorHAnsi" w:cstheme="minorHAnsi"/>
        </w:rPr>
        <w:t>patients on discharge, and</w:t>
      </w:r>
    </w:p>
    <w:p w14:paraId="7D6A5DB7" w14:textId="5CFE75D1" w:rsidR="006173A4" w:rsidRPr="006173A4" w:rsidRDefault="006173A4" w:rsidP="00C93AEF">
      <w:pPr>
        <w:pStyle w:val="ListParagraph"/>
        <w:numPr>
          <w:ilvl w:val="0"/>
          <w:numId w:val="30"/>
        </w:numPr>
        <w:spacing w:after="160"/>
        <w:rPr>
          <w:rFonts w:asciiTheme="minorHAnsi" w:hAnsiTheme="minorHAnsi" w:cstheme="minorHAnsi"/>
        </w:rPr>
      </w:pPr>
      <w:r>
        <w:rPr>
          <w:rFonts w:asciiTheme="minorHAnsi" w:hAnsiTheme="minorHAnsi" w:cstheme="minorHAnsi"/>
        </w:rPr>
        <w:t xml:space="preserve">non admitted patients. </w:t>
      </w:r>
    </w:p>
    <w:p w14:paraId="2BB8130C" w14:textId="19B7ED6D" w:rsidR="006173A4" w:rsidRDefault="008F7024" w:rsidP="006229D8">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 To receive payment, the approved hospital authority </w:t>
      </w:r>
      <w:r w:rsidR="008B6E99" w:rsidRPr="00812D63">
        <w:rPr>
          <w:rFonts w:asciiTheme="minorHAnsi" w:hAnsiTheme="minorHAnsi" w:cstheme="minorHAnsi"/>
          <w:sz w:val="22"/>
          <w:szCs w:val="22"/>
        </w:rPr>
        <w:t xml:space="preserve">must make a claim in accordance with the requirements of section 20 of </w:t>
      </w:r>
      <w:r w:rsidR="006173A4" w:rsidRPr="00812D63">
        <w:rPr>
          <w:rFonts w:asciiTheme="minorHAnsi" w:hAnsiTheme="minorHAnsi" w:cstheme="minorHAnsi"/>
          <w:sz w:val="22"/>
          <w:szCs w:val="22"/>
        </w:rPr>
        <w:t>th</w:t>
      </w:r>
      <w:r w:rsidR="006173A4">
        <w:rPr>
          <w:rFonts w:asciiTheme="minorHAnsi" w:hAnsiTheme="minorHAnsi" w:cstheme="minorHAnsi"/>
          <w:sz w:val="22"/>
          <w:szCs w:val="22"/>
        </w:rPr>
        <w:t>e</w:t>
      </w:r>
      <w:r w:rsidR="006173A4"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w:t>
      </w:r>
      <w:r w:rsidRPr="00812D63">
        <w:rPr>
          <w:rFonts w:asciiTheme="minorHAnsi" w:hAnsiTheme="minorHAnsi" w:cstheme="minorHAnsi"/>
          <w:sz w:val="22"/>
          <w:szCs w:val="22"/>
        </w:rPr>
        <w:t xml:space="preserve"> </w:t>
      </w:r>
    </w:p>
    <w:p w14:paraId="5D4DC2E2" w14:textId="1D4CBEB6" w:rsidR="0011520B" w:rsidRDefault="008B6E99" w:rsidP="00C93AEF">
      <w:pPr>
        <w:spacing w:after="80"/>
        <w:jc w:val="left"/>
        <w:rPr>
          <w:rFonts w:asciiTheme="minorHAnsi" w:hAnsiTheme="minorHAnsi" w:cstheme="minorHAnsi"/>
          <w:sz w:val="22"/>
          <w:szCs w:val="22"/>
        </w:rPr>
      </w:pPr>
      <w:r w:rsidRPr="00812D63">
        <w:rPr>
          <w:rFonts w:asciiTheme="minorHAnsi" w:hAnsiTheme="minorHAnsi" w:cstheme="minorHAnsi"/>
          <w:sz w:val="22"/>
          <w:szCs w:val="22"/>
        </w:rPr>
        <w:t xml:space="preserve">The note </w:t>
      </w:r>
      <w:r w:rsidR="006173A4">
        <w:rPr>
          <w:rFonts w:asciiTheme="minorHAnsi" w:hAnsiTheme="minorHAnsi" w:cstheme="minorHAnsi"/>
          <w:sz w:val="22"/>
          <w:szCs w:val="22"/>
        </w:rPr>
        <w:t xml:space="preserve">to s 17 </w:t>
      </w:r>
      <w:r w:rsidRPr="00812D63">
        <w:rPr>
          <w:rFonts w:asciiTheme="minorHAnsi" w:hAnsiTheme="minorHAnsi" w:cstheme="minorHAnsi"/>
          <w:sz w:val="22"/>
          <w:szCs w:val="22"/>
        </w:rPr>
        <w:t xml:space="preserve">clarifies that payment </w:t>
      </w:r>
      <w:r w:rsidR="0011520B">
        <w:rPr>
          <w:rFonts w:asciiTheme="minorHAnsi" w:hAnsiTheme="minorHAnsi" w:cstheme="minorHAnsi"/>
          <w:sz w:val="22"/>
          <w:szCs w:val="22"/>
        </w:rPr>
        <w:t xml:space="preserve">under s 17 </w:t>
      </w:r>
      <w:r w:rsidRPr="00812D63">
        <w:rPr>
          <w:rFonts w:asciiTheme="minorHAnsi" w:hAnsiTheme="minorHAnsi" w:cstheme="minorHAnsi"/>
          <w:sz w:val="22"/>
          <w:szCs w:val="22"/>
        </w:rPr>
        <w:t>will be in accordance with the rates determined by the Minister under subsection 99(4) of the Act.</w:t>
      </w:r>
      <w:r w:rsidR="008F7024" w:rsidRPr="00812D63">
        <w:rPr>
          <w:rFonts w:asciiTheme="minorHAnsi" w:hAnsiTheme="minorHAnsi" w:cstheme="minorHAnsi"/>
          <w:sz w:val="22"/>
          <w:szCs w:val="22"/>
        </w:rPr>
        <w:t xml:space="preserve"> At the time of making this </w:t>
      </w:r>
      <w:r w:rsidR="005C5D16">
        <w:rPr>
          <w:rFonts w:asciiTheme="minorHAnsi" w:hAnsiTheme="minorHAnsi" w:cstheme="minorHAnsi"/>
          <w:sz w:val="22"/>
          <w:szCs w:val="22"/>
        </w:rPr>
        <w:t>Arrangement</w:t>
      </w:r>
      <w:r w:rsidR="008F7024" w:rsidRPr="00812D63">
        <w:rPr>
          <w:rFonts w:asciiTheme="minorHAnsi" w:hAnsiTheme="minorHAnsi" w:cstheme="minorHAnsi"/>
          <w:sz w:val="22"/>
          <w:szCs w:val="22"/>
        </w:rPr>
        <w:t>, the relevant determination</w:t>
      </w:r>
      <w:r w:rsidR="000D4BFD" w:rsidRPr="00812D63">
        <w:rPr>
          <w:rFonts w:asciiTheme="minorHAnsi" w:hAnsiTheme="minorHAnsi" w:cstheme="minorHAnsi"/>
          <w:sz w:val="22"/>
          <w:szCs w:val="22"/>
        </w:rPr>
        <w:t>s are</w:t>
      </w:r>
      <w:r w:rsidR="0011520B">
        <w:rPr>
          <w:rFonts w:asciiTheme="minorHAnsi" w:hAnsiTheme="minorHAnsi" w:cstheme="minorHAnsi"/>
          <w:sz w:val="22"/>
          <w:szCs w:val="22"/>
        </w:rPr>
        <w:t>:</w:t>
      </w:r>
    </w:p>
    <w:p w14:paraId="3DEEA996" w14:textId="5029393D" w:rsidR="0011520B" w:rsidRDefault="0011520B" w:rsidP="00C93AEF">
      <w:pPr>
        <w:pStyle w:val="ListParagraph"/>
        <w:numPr>
          <w:ilvl w:val="0"/>
          <w:numId w:val="29"/>
        </w:numPr>
        <w:spacing w:after="80"/>
        <w:rPr>
          <w:rFonts w:asciiTheme="minorHAnsi" w:hAnsiTheme="minorHAnsi" w:cstheme="minorHAnsi"/>
        </w:rPr>
      </w:pPr>
      <w:r>
        <w:rPr>
          <w:rFonts w:asciiTheme="minorHAnsi" w:hAnsiTheme="minorHAnsi" w:cstheme="minorHAnsi"/>
        </w:rPr>
        <w:t xml:space="preserve">the </w:t>
      </w:r>
      <w:r w:rsidR="006229D8" w:rsidRPr="0011520B">
        <w:rPr>
          <w:rFonts w:asciiTheme="minorHAnsi" w:hAnsiTheme="minorHAnsi" w:cstheme="minorHAnsi"/>
          <w:i/>
        </w:rPr>
        <w:t>National Health (Pharmaceutical benefits supplied by private hospitals) Determination 2010</w:t>
      </w:r>
      <w:r>
        <w:rPr>
          <w:rFonts w:asciiTheme="minorHAnsi" w:hAnsiTheme="minorHAnsi" w:cstheme="minorHAnsi"/>
          <w:i/>
        </w:rPr>
        <w:t>,</w:t>
      </w:r>
      <w:r w:rsidR="006229D8" w:rsidRPr="0011520B">
        <w:rPr>
          <w:rFonts w:asciiTheme="minorHAnsi" w:hAnsiTheme="minorHAnsi" w:cstheme="minorHAnsi"/>
        </w:rPr>
        <w:t xml:space="preserve"> and</w:t>
      </w:r>
    </w:p>
    <w:p w14:paraId="46E6B008" w14:textId="5885C3DB" w:rsidR="006229D8" w:rsidRPr="0011520B" w:rsidRDefault="006229D8" w:rsidP="00C93AEF">
      <w:pPr>
        <w:pStyle w:val="ListParagraph"/>
        <w:numPr>
          <w:ilvl w:val="0"/>
          <w:numId w:val="29"/>
        </w:numPr>
        <w:spacing w:after="160"/>
        <w:rPr>
          <w:rFonts w:asciiTheme="minorHAnsi" w:hAnsiTheme="minorHAnsi" w:cstheme="minorHAnsi"/>
        </w:rPr>
      </w:pPr>
      <w:r w:rsidRPr="0011520B">
        <w:rPr>
          <w:rFonts w:asciiTheme="minorHAnsi" w:hAnsiTheme="minorHAnsi" w:cstheme="minorHAnsi"/>
        </w:rPr>
        <w:t xml:space="preserve">the </w:t>
      </w:r>
      <w:r w:rsidRPr="0011520B">
        <w:rPr>
          <w:rFonts w:asciiTheme="minorHAnsi" w:hAnsiTheme="minorHAnsi" w:cstheme="minorHAnsi"/>
          <w:i/>
        </w:rPr>
        <w:t>National Health (Commonwealth Price—Pharmaceutical Benefits Supplied by Public Hospitals) Determination 2017.</w:t>
      </w:r>
    </w:p>
    <w:p w14:paraId="076F27CB" w14:textId="4AB2EF5B" w:rsidR="008B6E99" w:rsidRPr="00812D63"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Subsection 1</w:t>
      </w:r>
      <w:r w:rsidR="000D4BFD" w:rsidRPr="00812D63">
        <w:rPr>
          <w:rFonts w:asciiTheme="minorHAnsi" w:hAnsiTheme="minorHAnsi" w:cstheme="minorHAnsi"/>
          <w:sz w:val="22"/>
          <w:szCs w:val="22"/>
        </w:rPr>
        <w:t>7</w:t>
      </w:r>
      <w:r w:rsidRPr="00812D63">
        <w:rPr>
          <w:rFonts w:asciiTheme="minorHAnsi" w:hAnsiTheme="minorHAnsi" w:cstheme="minorHAnsi"/>
          <w:sz w:val="22"/>
          <w:szCs w:val="22"/>
        </w:rPr>
        <w:t xml:space="preserve">(2) </w:t>
      </w:r>
      <w:r w:rsidR="00E75020">
        <w:rPr>
          <w:rFonts w:asciiTheme="minorHAnsi" w:hAnsiTheme="minorHAnsi" w:cstheme="minorHAnsi"/>
          <w:sz w:val="22"/>
          <w:szCs w:val="22"/>
        </w:rPr>
        <w:t xml:space="preserve">ensures </w:t>
      </w:r>
      <w:r w:rsidRPr="00812D63">
        <w:rPr>
          <w:rFonts w:asciiTheme="minorHAnsi" w:hAnsiTheme="minorHAnsi" w:cstheme="minorHAnsi"/>
          <w:sz w:val="22"/>
          <w:szCs w:val="22"/>
        </w:rPr>
        <w:t xml:space="preserve">that the claim for payment arrangements relating to the supply of pharmaceutical benefits determined under s 99AAA of the Act do not apply to the claiming requirements for approved hospital authorities established under this </w:t>
      </w:r>
      <w:r w:rsidR="005C5D16">
        <w:rPr>
          <w:rFonts w:asciiTheme="minorHAnsi" w:hAnsiTheme="minorHAnsi" w:cstheme="minorHAnsi"/>
          <w:sz w:val="22"/>
          <w:szCs w:val="22"/>
        </w:rPr>
        <w:t>Arrangement</w:t>
      </w:r>
      <w:r w:rsidRPr="00812D63">
        <w:rPr>
          <w:rFonts w:asciiTheme="minorHAnsi" w:hAnsiTheme="minorHAnsi" w:cstheme="minorHAnsi"/>
          <w:sz w:val="22"/>
          <w:szCs w:val="22"/>
        </w:rPr>
        <w:t>.</w:t>
      </w:r>
    </w:p>
    <w:p w14:paraId="0F410686" w14:textId="771126A4" w:rsidR="002F344D" w:rsidRPr="00812D63" w:rsidRDefault="002F344D" w:rsidP="00C93AEF">
      <w:pPr>
        <w:keepNext/>
        <w:keepLines w:val="0"/>
        <w:spacing w:after="160"/>
        <w:jc w:val="left"/>
        <w:rPr>
          <w:rFonts w:asciiTheme="minorHAnsi" w:hAnsiTheme="minorHAnsi" w:cstheme="minorHAnsi"/>
          <w:b/>
          <w:sz w:val="24"/>
          <w:szCs w:val="24"/>
          <w:lang w:eastAsia="en-US"/>
        </w:rPr>
      </w:pPr>
      <w:bookmarkStart w:id="14" w:name="_Toc24385263"/>
      <w:r w:rsidRPr="00812D63">
        <w:rPr>
          <w:rFonts w:asciiTheme="minorHAnsi" w:hAnsiTheme="minorHAnsi" w:cstheme="minorHAnsi"/>
          <w:b/>
          <w:sz w:val="24"/>
          <w:szCs w:val="24"/>
          <w:lang w:eastAsia="en-US"/>
        </w:rPr>
        <w:t>Section 18</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hospital authorities to persons who are not patients</w:t>
      </w:r>
      <w:bookmarkEnd w:id="14"/>
    </w:p>
    <w:p w14:paraId="0F4D9BB5" w14:textId="1E8E6600" w:rsidR="008B6E99" w:rsidRPr="00812D63" w:rsidRDefault="008B6E99" w:rsidP="00067A40">
      <w:pPr>
        <w:spacing w:after="80"/>
        <w:jc w:val="left"/>
        <w:rPr>
          <w:rFonts w:asciiTheme="minorHAnsi" w:hAnsiTheme="minorHAnsi" w:cstheme="minorHAnsi"/>
          <w:sz w:val="22"/>
          <w:szCs w:val="22"/>
        </w:rPr>
      </w:pPr>
      <w:r w:rsidRPr="00812D63">
        <w:rPr>
          <w:rFonts w:asciiTheme="minorHAnsi" w:hAnsiTheme="minorHAnsi" w:cstheme="minorHAnsi"/>
          <w:sz w:val="22"/>
          <w:szCs w:val="22"/>
        </w:rPr>
        <w:t>Section 1</w:t>
      </w:r>
      <w:r w:rsidR="000D4BFD" w:rsidRPr="00812D63">
        <w:rPr>
          <w:rFonts w:asciiTheme="minorHAnsi" w:hAnsiTheme="minorHAnsi" w:cstheme="minorHAnsi"/>
          <w:sz w:val="22"/>
          <w:szCs w:val="22"/>
        </w:rPr>
        <w:t>8</w:t>
      </w:r>
      <w:r w:rsidRPr="00812D63">
        <w:rPr>
          <w:rFonts w:asciiTheme="minorHAnsi" w:hAnsiTheme="minorHAnsi" w:cstheme="minorHAnsi"/>
          <w:sz w:val="22"/>
          <w:szCs w:val="22"/>
        </w:rPr>
        <w:t xml:space="preserve"> sets out the </w:t>
      </w:r>
      <w:r w:rsidR="00114109">
        <w:rPr>
          <w:rFonts w:asciiTheme="minorHAnsi" w:hAnsiTheme="minorHAnsi" w:cstheme="minorHAnsi"/>
          <w:sz w:val="22"/>
          <w:szCs w:val="22"/>
        </w:rPr>
        <w:t>arrangements</w:t>
      </w:r>
      <w:r w:rsidR="00114109"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for an approved hospital authority to </w:t>
      </w:r>
      <w:r w:rsidR="00114109">
        <w:rPr>
          <w:rFonts w:asciiTheme="minorHAnsi" w:hAnsiTheme="minorHAnsi" w:cstheme="minorHAnsi"/>
          <w:sz w:val="22"/>
          <w:szCs w:val="22"/>
        </w:rPr>
        <w:t xml:space="preserve">receive payment in respect of special arrangement </w:t>
      </w:r>
      <w:r w:rsidRPr="00812D63">
        <w:rPr>
          <w:rFonts w:asciiTheme="minorHAnsi" w:hAnsiTheme="minorHAnsi" w:cstheme="minorHAnsi"/>
          <w:sz w:val="22"/>
          <w:szCs w:val="22"/>
        </w:rPr>
        <w:t>suppl</w:t>
      </w:r>
      <w:r w:rsidR="00114109">
        <w:rPr>
          <w:rFonts w:asciiTheme="minorHAnsi" w:hAnsiTheme="minorHAnsi" w:cstheme="minorHAnsi"/>
          <w:sz w:val="22"/>
          <w:szCs w:val="22"/>
        </w:rPr>
        <w:t>ies</w:t>
      </w:r>
      <w:r w:rsidRPr="00812D63">
        <w:rPr>
          <w:rFonts w:asciiTheme="minorHAnsi" w:hAnsiTheme="minorHAnsi" w:cstheme="minorHAnsi"/>
          <w:sz w:val="22"/>
          <w:szCs w:val="22"/>
        </w:rPr>
        <w:t xml:space="preserve"> to a person who is not a patient of </w:t>
      </w:r>
      <w:r w:rsidR="00114109">
        <w:rPr>
          <w:rFonts w:asciiTheme="minorHAnsi" w:hAnsiTheme="minorHAnsi" w:cstheme="minorHAnsi"/>
          <w:sz w:val="22"/>
          <w:szCs w:val="22"/>
        </w:rPr>
        <w:t>a</w:t>
      </w:r>
      <w:r w:rsidR="00114109" w:rsidRPr="00812D63">
        <w:rPr>
          <w:rFonts w:asciiTheme="minorHAnsi" w:hAnsiTheme="minorHAnsi" w:cstheme="minorHAnsi"/>
          <w:sz w:val="22"/>
          <w:szCs w:val="22"/>
        </w:rPr>
        <w:t xml:space="preserve"> </w:t>
      </w:r>
      <w:r w:rsidRPr="00812D63">
        <w:rPr>
          <w:rFonts w:asciiTheme="minorHAnsi" w:hAnsiTheme="minorHAnsi" w:cstheme="minorHAnsi"/>
          <w:sz w:val="22"/>
          <w:szCs w:val="22"/>
        </w:rPr>
        <w:t>hospital</w:t>
      </w:r>
      <w:r w:rsidR="00114109">
        <w:rPr>
          <w:rFonts w:asciiTheme="minorHAnsi" w:hAnsiTheme="minorHAnsi" w:cstheme="minorHAnsi"/>
          <w:sz w:val="22"/>
          <w:szCs w:val="22"/>
        </w:rPr>
        <w:t xml:space="preserve"> in respect of which the authority is approved</w:t>
      </w:r>
      <w:r w:rsidR="00B3425F"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Specifically, this section sets out that: </w:t>
      </w:r>
    </w:p>
    <w:p w14:paraId="2F5B22D5" w14:textId="62C26526" w:rsidR="008B6E99" w:rsidRPr="00812D63" w:rsidRDefault="00114109" w:rsidP="00067A40">
      <w:pPr>
        <w:pStyle w:val="ListParagraph"/>
        <w:numPr>
          <w:ilvl w:val="0"/>
          <w:numId w:val="18"/>
        </w:numPr>
        <w:spacing w:after="80"/>
        <w:rPr>
          <w:rFonts w:asciiTheme="minorHAnsi" w:hAnsiTheme="minorHAnsi" w:cstheme="minorHAnsi"/>
        </w:rPr>
      </w:pPr>
      <w:r>
        <w:rPr>
          <w:rFonts w:asciiTheme="minorHAnsi" w:hAnsiTheme="minorHAnsi" w:cstheme="minorHAnsi"/>
        </w:rPr>
        <w:t xml:space="preserve">the </w:t>
      </w:r>
      <w:r w:rsidR="008B6E99" w:rsidRPr="00812D63">
        <w:rPr>
          <w:rFonts w:asciiTheme="minorHAnsi" w:hAnsiTheme="minorHAnsi" w:cstheme="minorHAnsi"/>
        </w:rPr>
        <w:t xml:space="preserve">approved hospital authority is entitled to payment from the </w:t>
      </w:r>
      <w:r w:rsidR="006229D8" w:rsidRPr="00812D63">
        <w:rPr>
          <w:rFonts w:asciiTheme="minorHAnsi" w:hAnsiTheme="minorHAnsi" w:cstheme="minorHAnsi"/>
        </w:rPr>
        <w:t xml:space="preserve">Commonwealth </w:t>
      </w:r>
      <w:r w:rsidR="008B6E99" w:rsidRPr="00812D63">
        <w:rPr>
          <w:rFonts w:asciiTheme="minorHAnsi" w:hAnsiTheme="minorHAnsi" w:cstheme="minorHAnsi"/>
        </w:rPr>
        <w:t xml:space="preserve">in respect of a supply of a designated pharmaceutical benefit where the person is not a </w:t>
      </w:r>
      <w:r w:rsidR="008B6E99" w:rsidRPr="00812D63">
        <w:rPr>
          <w:rFonts w:asciiTheme="minorHAnsi" w:hAnsiTheme="minorHAnsi" w:cstheme="minorHAnsi"/>
        </w:rPr>
        <w:lastRenderedPageBreak/>
        <w:t>patient receiving treatment in or at a hospital in respect of which the authority is approved</w:t>
      </w:r>
      <w:r w:rsidR="00B3425F" w:rsidRPr="00812D63">
        <w:rPr>
          <w:rFonts w:asciiTheme="minorHAnsi" w:hAnsiTheme="minorHAnsi" w:cstheme="minorHAnsi"/>
        </w:rPr>
        <w:t xml:space="preserve">. </w:t>
      </w:r>
    </w:p>
    <w:p w14:paraId="56540212" w14:textId="57EBD81A" w:rsidR="008B6E99" w:rsidRPr="00812D63" w:rsidRDefault="00114109" w:rsidP="00067A40">
      <w:pPr>
        <w:pStyle w:val="ListParagraph"/>
        <w:numPr>
          <w:ilvl w:val="0"/>
          <w:numId w:val="18"/>
        </w:numPr>
        <w:spacing w:after="80"/>
        <w:rPr>
          <w:rFonts w:asciiTheme="minorHAnsi" w:hAnsiTheme="minorHAnsi" w:cstheme="minorHAnsi"/>
        </w:rPr>
      </w:pPr>
      <w:r>
        <w:rPr>
          <w:rFonts w:asciiTheme="minorHAnsi" w:hAnsiTheme="minorHAnsi" w:cstheme="minorHAnsi"/>
        </w:rPr>
        <w:t xml:space="preserve">the </w:t>
      </w:r>
      <w:r w:rsidR="008B6E99" w:rsidRPr="00812D63">
        <w:rPr>
          <w:rFonts w:asciiTheme="minorHAnsi" w:hAnsiTheme="minorHAnsi" w:cstheme="minorHAnsi"/>
        </w:rPr>
        <w:t>rate of payment that will be made by the Commonwealth is consistent with the conditions determined by the Minister under subsection 99(4) of the Act</w:t>
      </w:r>
      <w:r w:rsidR="008F7024" w:rsidRPr="00812D63">
        <w:rPr>
          <w:rFonts w:asciiTheme="minorHAnsi" w:hAnsiTheme="minorHAnsi" w:cstheme="minorHAnsi"/>
        </w:rPr>
        <w:t xml:space="preserve"> (the relevant determination</w:t>
      </w:r>
      <w:r w:rsidR="000D4BFD" w:rsidRPr="00812D63">
        <w:rPr>
          <w:rFonts w:asciiTheme="minorHAnsi" w:hAnsiTheme="minorHAnsi" w:cstheme="minorHAnsi"/>
        </w:rPr>
        <w:t>s are</w:t>
      </w:r>
      <w:r w:rsidR="008F7024" w:rsidRPr="00812D63">
        <w:rPr>
          <w:rFonts w:asciiTheme="minorHAnsi" w:hAnsiTheme="minorHAnsi" w:cstheme="minorHAnsi"/>
        </w:rPr>
        <w:t xml:space="preserve"> </w:t>
      </w:r>
      <w:r w:rsidR="006229D8">
        <w:rPr>
          <w:rFonts w:asciiTheme="minorHAnsi" w:hAnsiTheme="minorHAnsi" w:cstheme="minorHAnsi"/>
        </w:rPr>
        <w:t>noted above against s 17</w:t>
      </w:r>
      <w:r w:rsidR="000D4BFD" w:rsidRPr="00812D63">
        <w:rPr>
          <w:rFonts w:asciiTheme="minorHAnsi" w:hAnsiTheme="minorHAnsi" w:cstheme="minorHAnsi"/>
        </w:rPr>
        <w:t>)</w:t>
      </w:r>
      <w:r w:rsidR="008B6E99" w:rsidRPr="00812D63">
        <w:rPr>
          <w:rFonts w:asciiTheme="minorHAnsi" w:hAnsiTheme="minorHAnsi" w:cstheme="minorHAnsi"/>
        </w:rPr>
        <w:t>; and</w:t>
      </w:r>
    </w:p>
    <w:p w14:paraId="6FE04B52" w14:textId="5529A9DD" w:rsidR="008B6E99" w:rsidRPr="00812D63" w:rsidRDefault="00114109" w:rsidP="00473013">
      <w:pPr>
        <w:pStyle w:val="ListParagraph"/>
        <w:numPr>
          <w:ilvl w:val="0"/>
          <w:numId w:val="18"/>
        </w:numPr>
        <w:spacing w:after="160"/>
        <w:ind w:left="357" w:hanging="357"/>
        <w:rPr>
          <w:rFonts w:asciiTheme="minorHAnsi" w:hAnsiTheme="minorHAnsi" w:cstheme="minorHAnsi"/>
        </w:rPr>
      </w:pPr>
      <w:r>
        <w:rPr>
          <w:rFonts w:asciiTheme="minorHAnsi" w:hAnsiTheme="minorHAnsi" w:cstheme="minorHAnsi"/>
        </w:rPr>
        <w:t xml:space="preserve">the </w:t>
      </w:r>
      <w:r w:rsidR="008B6E99" w:rsidRPr="00812D63">
        <w:rPr>
          <w:rFonts w:asciiTheme="minorHAnsi" w:hAnsiTheme="minorHAnsi" w:cstheme="minorHAnsi"/>
        </w:rPr>
        <w:t xml:space="preserve">approved hospital authority must make a claim for payment in accordance with the requirements of section 20 of </w:t>
      </w:r>
      <w:r w:rsidRPr="00812D63">
        <w:rPr>
          <w:rFonts w:asciiTheme="minorHAnsi" w:hAnsiTheme="minorHAnsi" w:cstheme="minorHAnsi"/>
        </w:rPr>
        <w:t>th</w:t>
      </w:r>
      <w:r>
        <w:rPr>
          <w:rFonts w:asciiTheme="minorHAnsi" w:hAnsiTheme="minorHAnsi" w:cstheme="minorHAnsi"/>
        </w:rPr>
        <w:t xml:space="preserve">e </w:t>
      </w:r>
      <w:r w:rsidR="005C5D16">
        <w:rPr>
          <w:rFonts w:asciiTheme="minorHAnsi" w:hAnsiTheme="minorHAnsi" w:cstheme="minorHAnsi"/>
        </w:rPr>
        <w:t>Arrangement</w:t>
      </w:r>
      <w:r w:rsidR="00001F0C" w:rsidRPr="00812D63">
        <w:rPr>
          <w:rFonts w:asciiTheme="minorHAnsi" w:hAnsiTheme="minorHAnsi" w:cstheme="minorHAnsi"/>
        </w:rPr>
        <w:t xml:space="preserve"> </w:t>
      </w:r>
      <w:r w:rsidR="008B6E99" w:rsidRPr="00812D63">
        <w:rPr>
          <w:rFonts w:asciiTheme="minorHAnsi" w:hAnsiTheme="minorHAnsi" w:cstheme="minorHAnsi"/>
        </w:rPr>
        <w:t>in order to receive a payment for the supply of a designated pharmaceutical benefit.</w:t>
      </w:r>
    </w:p>
    <w:p w14:paraId="0FD092C5" w14:textId="11D9F9DD" w:rsidR="002F344D" w:rsidRPr="00812D63" w:rsidRDefault="002F344D" w:rsidP="00473013">
      <w:pPr>
        <w:keepLines w:val="0"/>
        <w:spacing w:after="160"/>
        <w:jc w:val="left"/>
        <w:rPr>
          <w:rFonts w:asciiTheme="minorHAnsi" w:hAnsiTheme="minorHAnsi" w:cstheme="minorHAnsi"/>
          <w:b/>
          <w:sz w:val="24"/>
          <w:szCs w:val="24"/>
          <w:lang w:eastAsia="en-US"/>
        </w:rPr>
      </w:pPr>
      <w:bookmarkStart w:id="15" w:name="_Toc24385264"/>
      <w:r w:rsidRPr="00812D63">
        <w:rPr>
          <w:rFonts w:asciiTheme="minorHAnsi" w:hAnsiTheme="minorHAnsi" w:cstheme="minorHAnsi"/>
          <w:b/>
          <w:sz w:val="24"/>
          <w:szCs w:val="24"/>
          <w:lang w:eastAsia="en-US"/>
        </w:rPr>
        <w:t>Section 19</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by approved medical practitioners and approved pharmacists</w:t>
      </w:r>
      <w:bookmarkEnd w:id="15"/>
    </w:p>
    <w:p w14:paraId="62B048F1" w14:textId="6EF98951" w:rsidR="008B6E99" w:rsidRPr="00812D63"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states that where an approved medical practitioner or approved pharmacist </w:t>
      </w:r>
      <w:r w:rsidR="00B70F66" w:rsidRPr="00812D63">
        <w:rPr>
          <w:rFonts w:asciiTheme="minorHAnsi" w:hAnsiTheme="minorHAnsi" w:cstheme="minorHAnsi"/>
          <w:sz w:val="22"/>
          <w:szCs w:val="22"/>
        </w:rPr>
        <w:t>w</w:t>
      </w:r>
      <w:r w:rsidR="00B70F66">
        <w:rPr>
          <w:rFonts w:asciiTheme="minorHAnsi" w:hAnsiTheme="minorHAnsi" w:cstheme="minorHAnsi"/>
          <w:sz w:val="22"/>
          <w:szCs w:val="22"/>
        </w:rPr>
        <w:t>ants</w:t>
      </w:r>
      <w:r w:rsidR="00B70F66" w:rsidRPr="00812D63">
        <w:rPr>
          <w:rFonts w:asciiTheme="minorHAnsi" w:hAnsiTheme="minorHAnsi" w:cstheme="minorHAnsi"/>
          <w:sz w:val="22"/>
          <w:szCs w:val="22"/>
        </w:rPr>
        <w:t xml:space="preserve"> </w:t>
      </w:r>
      <w:r w:rsidR="000D4BFD" w:rsidRPr="00812D63">
        <w:rPr>
          <w:rFonts w:asciiTheme="minorHAnsi" w:hAnsiTheme="minorHAnsi" w:cstheme="minorHAnsi"/>
          <w:sz w:val="22"/>
          <w:szCs w:val="22"/>
        </w:rPr>
        <w:t xml:space="preserve">to receive payment </w:t>
      </w:r>
      <w:r w:rsidR="00B70F66">
        <w:rPr>
          <w:rFonts w:asciiTheme="minorHAnsi" w:hAnsiTheme="minorHAnsi" w:cstheme="minorHAnsi"/>
          <w:sz w:val="22"/>
          <w:szCs w:val="22"/>
        </w:rPr>
        <w:t xml:space="preserve">from the Commonwealth </w:t>
      </w:r>
      <w:r w:rsidR="000D4BFD" w:rsidRPr="00812D63">
        <w:rPr>
          <w:rFonts w:asciiTheme="minorHAnsi" w:hAnsiTheme="minorHAnsi" w:cstheme="minorHAnsi"/>
          <w:sz w:val="22"/>
          <w:szCs w:val="22"/>
        </w:rPr>
        <w:t xml:space="preserve">for a supply made under </w:t>
      </w:r>
      <w:r w:rsidR="00B70F66" w:rsidRPr="00812D63">
        <w:rPr>
          <w:rFonts w:asciiTheme="minorHAnsi" w:hAnsiTheme="minorHAnsi" w:cstheme="minorHAnsi"/>
          <w:sz w:val="22"/>
          <w:szCs w:val="22"/>
        </w:rPr>
        <w:t>th</w:t>
      </w:r>
      <w:r w:rsidR="00B70F66">
        <w:rPr>
          <w:rFonts w:asciiTheme="minorHAnsi" w:hAnsiTheme="minorHAnsi" w:cstheme="minorHAnsi"/>
          <w:sz w:val="22"/>
          <w:szCs w:val="22"/>
        </w:rPr>
        <w:t>e</w:t>
      </w:r>
      <w:r w:rsidR="00B70F66"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00B70F66">
        <w:rPr>
          <w:rFonts w:asciiTheme="minorHAnsi" w:hAnsiTheme="minorHAnsi" w:cstheme="minorHAnsi"/>
          <w:sz w:val="22"/>
          <w:szCs w:val="22"/>
        </w:rPr>
        <w:t xml:space="preserve">, </w:t>
      </w:r>
      <w:r w:rsidR="000D4BFD" w:rsidRPr="00812D63">
        <w:rPr>
          <w:rFonts w:asciiTheme="minorHAnsi" w:hAnsiTheme="minorHAnsi" w:cstheme="minorHAnsi"/>
          <w:sz w:val="22"/>
          <w:szCs w:val="22"/>
        </w:rPr>
        <w:t xml:space="preserve">they must lodge a claim </w:t>
      </w:r>
      <w:r w:rsidR="00B70F66">
        <w:rPr>
          <w:rFonts w:asciiTheme="minorHAnsi" w:hAnsiTheme="minorHAnsi" w:cstheme="minorHAnsi"/>
          <w:sz w:val="22"/>
          <w:szCs w:val="22"/>
        </w:rPr>
        <w:t>in accordance with s 20</w:t>
      </w:r>
      <w:r w:rsidR="000D4BFD" w:rsidRPr="00812D63">
        <w:rPr>
          <w:rFonts w:asciiTheme="minorHAnsi" w:hAnsiTheme="minorHAnsi" w:cstheme="minorHAnsi"/>
          <w:sz w:val="22"/>
          <w:szCs w:val="22"/>
        </w:rPr>
        <w:t xml:space="preserve">.  </w:t>
      </w:r>
      <w:r w:rsidRPr="00812D63">
        <w:rPr>
          <w:rFonts w:asciiTheme="minorHAnsi" w:hAnsiTheme="minorHAnsi" w:cstheme="minorHAnsi"/>
          <w:sz w:val="22"/>
          <w:szCs w:val="22"/>
        </w:rPr>
        <w:t>The note clarifies that such payment will be in accordance with s 99 of the Act</w:t>
      </w:r>
      <w:r w:rsidR="000D4BFD" w:rsidRPr="00812D63">
        <w:rPr>
          <w:rFonts w:asciiTheme="minorHAnsi" w:hAnsiTheme="minorHAnsi" w:cstheme="minorHAnsi"/>
          <w:sz w:val="22"/>
          <w:szCs w:val="22"/>
        </w:rPr>
        <w:t xml:space="preserve"> </w:t>
      </w:r>
      <w:r w:rsidR="00F238EE">
        <w:rPr>
          <w:rFonts w:asciiTheme="minorHAnsi" w:hAnsiTheme="minorHAnsi" w:cstheme="minorHAnsi"/>
          <w:sz w:val="22"/>
          <w:szCs w:val="22"/>
        </w:rPr>
        <w:t xml:space="preserve">(see also </w:t>
      </w:r>
      <w:r w:rsidR="006229D8" w:rsidRPr="006229D8">
        <w:rPr>
          <w:rFonts w:asciiTheme="minorHAnsi" w:hAnsiTheme="minorHAnsi" w:cstheme="minorHAnsi"/>
          <w:sz w:val="22"/>
          <w:szCs w:val="22"/>
        </w:rPr>
        <w:t xml:space="preserve">the </w:t>
      </w:r>
      <w:r w:rsidR="006229D8" w:rsidRPr="006229D8">
        <w:rPr>
          <w:rFonts w:asciiTheme="minorHAnsi" w:hAnsiTheme="minorHAnsi" w:cstheme="minorHAnsi"/>
          <w:i/>
          <w:sz w:val="22"/>
          <w:szCs w:val="22"/>
        </w:rPr>
        <w:t>Commonwealth price (Pharmaceutical benefits supplied by approved pharmacists) Determination 2015</w:t>
      </w:r>
      <w:r w:rsidR="00F238EE">
        <w:rPr>
          <w:rFonts w:asciiTheme="minorHAnsi" w:hAnsiTheme="minorHAnsi" w:cstheme="minorHAnsi"/>
          <w:i/>
          <w:sz w:val="22"/>
          <w:szCs w:val="22"/>
        </w:rPr>
        <w:t xml:space="preserve">, </w:t>
      </w:r>
      <w:r w:rsidR="00F238EE" w:rsidRPr="00F238EE">
        <w:rPr>
          <w:rFonts w:asciiTheme="minorHAnsi" w:hAnsiTheme="minorHAnsi" w:cstheme="minorHAnsi"/>
          <w:sz w:val="22"/>
          <w:szCs w:val="22"/>
        </w:rPr>
        <w:t>which a</w:t>
      </w:r>
      <w:r w:rsidR="00F238EE" w:rsidRPr="00812D63">
        <w:rPr>
          <w:rFonts w:asciiTheme="minorHAnsi" w:hAnsiTheme="minorHAnsi" w:cstheme="minorHAnsi"/>
          <w:sz w:val="22"/>
          <w:szCs w:val="22"/>
        </w:rPr>
        <w:t xml:space="preserve">t the time of making this </w:t>
      </w:r>
      <w:r w:rsidR="005C5D16">
        <w:rPr>
          <w:rFonts w:asciiTheme="minorHAnsi" w:hAnsiTheme="minorHAnsi" w:cstheme="minorHAnsi"/>
          <w:sz w:val="22"/>
          <w:szCs w:val="22"/>
        </w:rPr>
        <w:t>Arrangement</w:t>
      </w:r>
      <w:r w:rsidR="00F238EE" w:rsidRPr="00812D63">
        <w:rPr>
          <w:rFonts w:asciiTheme="minorHAnsi" w:hAnsiTheme="minorHAnsi" w:cstheme="minorHAnsi"/>
          <w:sz w:val="22"/>
          <w:szCs w:val="22"/>
        </w:rPr>
        <w:t xml:space="preserve">, </w:t>
      </w:r>
      <w:r w:rsidR="00F238EE">
        <w:rPr>
          <w:rFonts w:asciiTheme="minorHAnsi" w:hAnsiTheme="minorHAnsi" w:cstheme="minorHAnsi"/>
          <w:sz w:val="22"/>
          <w:szCs w:val="22"/>
        </w:rPr>
        <w:t xml:space="preserve">relevantly determines the Commonwealth price </w:t>
      </w:r>
      <w:r w:rsidR="00D7603E">
        <w:rPr>
          <w:rFonts w:asciiTheme="minorHAnsi" w:hAnsiTheme="minorHAnsi" w:cstheme="minorHAnsi"/>
          <w:sz w:val="22"/>
          <w:szCs w:val="22"/>
        </w:rPr>
        <w:t xml:space="preserve">for </w:t>
      </w:r>
      <w:r w:rsidR="00F238EE">
        <w:rPr>
          <w:rFonts w:asciiTheme="minorHAnsi" w:hAnsiTheme="minorHAnsi" w:cstheme="minorHAnsi"/>
          <w:sz w:val="22"/>
          <w:szCs w:val="22"/>
        </w:rPr>
        <w:t>pharmaceutical benefits)</w:t>
      </w:r>
      <w:r w:rsidR="006229D8" w:rsidRPr="006229D8">
        <w:rPr>
          <w:rFonts w:asciiTheme="minorHAnsi" w:hAnsiTheme="minorHAnsi" w:cstheme="minorHAnsi"/>
          <w:i/>
          <w:sz w:val="22"/>
          <w:szCs w:val="22"/>
        </w:rPr>
        <w:t>.</w:t>
      </w:r>
    </w:p>
    <w:p w14:paraId="6159A04C" w14:textId="04AE7298" w:rsidR="000D4BFD" w:rsidRPr="00812D63" w:rsidRDefault="000D4BFD"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Subsection </w:t>
      </w:r>
      <w:r w:rsidR="00D7603E">
        <w:rPr>
          <w:rFonts w:asciiTheme="minorHAnsi" w:hAnsiTheme="minorHAnsi" w:cstheme="minorHAnsi"/>
          <w:sz w:val="22"/>
          <w:szCs w:val="22"/>
        </w:rPr>
        <w:t xml:space="preserve">19(2) </w:t>
      </w:r>
      <w:r w:rsidRPr="00812D63">
        <w:rPr>
          <w:rFonts w:asciiTheme="minorHAnsi" w:hAnsiTheme="minorHAnsi" w:cstheme="minorHAnsi"/>
          <w:sz w:val="22"/>
          <w:szCs w:val="22"/>
        </w:rPr>
        <w:t xml:space="preserve">clarifies that the </w:t>
      </w:r>
      <w:r w:rsidR="00D7603E" w:rsidRPr="00812D63">
        <w:rPr>
          <w:rFonts w:asciiTheme="minorHAnsi" w:hAnsiTheme="minorHAnsi" w:cstheme="minorHAnsi"/>
          <w:sz w:val="22"/>
          <w:szCs w:val="22"/>
        </w:rPr>
        <w:t>claim</w:t>
      </w:r>
      <w:r w:rsidR="00D7603E">
        <w:rPr>
          <w:rFonts w:asciiTheme="minorHAnsi" w:hAnsiTheme="minorHAnsi" w:cstheme="minorHAnsi"/>
          <w:sz w:val="22"/>
          <w:szCs w:val="22"/>
        </w:rPr>
        <w:t xml:space="preserve"> for payment</w:t>
      </w:r>
      <w:r w:rsidR="00D7603E"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requirements specific to this </w:t>
      </w:r>
      <w:r w:rsidR="005C5D16">
        <w:rPr>
          <w:rFonts w:asciiTheme="minorHAnsi" w:hAnsiTheme="minorHAnsi" w:cstheme="minorHAnsi"/>
          <w:sz w:val="22"/>
          <w:szCs w:val="22"/>
        </w:rPr>
        <w:t>Arrangement</w:t>
      </w:r>
      <w:r w:rsidRPr="00812D63">
        <w:rPr>
          <w:rFonts w:asciiTheme="minorHAnsi" w:hAnsiTheme="minorHAnsi" w:cstheme="minorHAnsi"/>
          <w:sz w:val="22"/>
          <w:szCs w:val="22"/>
        </w:rPr>
        <w:t xml:space="preserve"> operate despite the claim</w:t>
      </w:r>
      <w:r w:rsidR="00D7603E">
        <w:rPr>
          <w:rFonts w:asciiTheme="minorHAnsi" w:hAnsiTheme="minorHAnsi" w:cstheme="minorHAnsi"/>
          <w:sz w:val="22"/>
          <w:szCs w:val="22"/>
        </w:rPr>
        <w:t xml:space="preserve"> for payment arrangements </w:t>
      </w:r>
      <w:r w:rsidRPr="00812D63">
        <w:rPr>
          <w:rFonts w:asciiTheme="minorHAnsi" w:hAnsiTheme="minorHAnsi" w:cstheme="minorHAnsi"/>
          <w:sz w:val="22"/>
          <w:szCs w:val="22"/>
        </w:rPr>
        <w:t>set out within section 99AAA of the Act.</w:t>
      </w:r>
    </w:p>
    <w:p w14:paraId="6D373173" w14:textId="7B6A79A8" w:rsidR="002F344D" w:rsidRPr="00812D63" w:rsidRDefault="002F344D" w:rsidP="006229D8">
      <w:pPr>
        <w:keepNext/>
        <w:keepLines w:val="0"/>
        <w:spacing w:after="160"/>
        <w:jc w:val="left"/>
        <w:rPr>
          <w:rFonts w:asciiTheme="minorHAnsi" w:hAnsiTheme="minorHAnsi" w:cstheme="minorHAnsi"/>
          <w:b/>
          <w:sz w:val="24"/>
          <w:szCs w:val="24"/>
          <w:lang w:eastAsia="en-US"/>
        </w:rPr>
      </w:pPr>
      <w:bookmarkStart w:id="16" w:name="_Toc24385265"/>
      <w:r w:rsidRPr="00812D63">
        <w:rPr>
          <w:rFonts w:asciiTheme="minorHAnsi" w:hAnsiTheme="minorHAnsi" w:cstheme="minorHAnsi"/>
          <w:b/>
          <w:sz w:val="24"/>
          <w:szCs w:val="24"/>
          <w:lang w:eastAsia="en-US"/>
        </w:rPr>
        <w:t>Section 20</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Claims for payment by approved suppliers</w:t>
      </w:r>
      <w:bookmarkEnd w:id="16"/>
    </w:p>
    <w:p w14:paraId="04F2513E" w14:textId="6B94BDA6" w:rsidR="008B6E99" w:rsidRPr="00812D63" w:rsidRDefault="008B6E99" w:rsidP="00C93AEF">
      <w:pPr>
        <w:keepNext/>
        <w:spacing w:after="80"/>
        <w:jc w:val="left"/>
        <w:rPr>
          <w:rFonts w:asciiTheme="minorHAnsi" w:hAnsiTheme="minorHAnsi" w:cstheme="minorHAnsi"/>
          <w:sz w:val="22"/>
          <w:szCs w:val="22"/>
        </w:rPr>
      </w:pPr>
      <w:r w:rsidRPr="00812D63">
        <w:rPr>
          <w:rFonts w:asciiTheme="minorHAnsi" w:hAnsiTheme="minorHAnsi" w:cstheme="minorHAnsi"/>
          <w:sz w:val="22"/>
          <w:szCs w:val="22"/>
        </w:rPr>
        <w:t xml:space="preserve">Section 20 </w:t>
      </w:r>
      <w:r w:rsidR="001157ED">
        <w:rPr>
          <w:rFonts w:asciiTheme="minorHAnsi" w:hAnsiTheme="minorHAnsi" w:cstheme="minorHAnsi"/>
          <w:sz w:val="22"/>
          <w:szCs w:val="22"/>
        </w:rPr>
        <w:t xml:space="preserve">sets out the claim for payment requirements for </w:t>
      </w:r>
      <w:r w:rsidRPr="00812D63">
        <w:rPr>
          <w:rFonts w:asciiTheme="minorHAnsi" w:hAnsiTheme="minorHAnsi" w:cstheme="minorHAnsi"/>
          <w:sz w:val="22"/>
          <w:szCs w:val="22"/>
        </w:rPr>
        <w:t xml:space="preserve">the purposes of subsections </w:t>
      </w:r>
      <w:r w:rsidR="000D4BFD" w:rsidRPr="00812D63">
        <w:rPr>
          <w:rFonts w:asciiTheme="minorHAnsi" w:hAnsiTheme="minorHAnsi" w:cstheme="minorHAnsi"/>
          <w:sz w:val="22"/>
          <w:szCs w:val="22"/>
        </w:rPr>
        <w:t xml:space="preserve">17(1), </w:t>
      </w:r>
      <w:r w:rsidRPr="00812D63">
        <w:rPr>
          <w:rFonts w:asciiTheme="minorHAnsi" w:hAnsiTheme="minorHAnsi" w:cstheme="minorHAnsi"/>
          <w:sz w:val="22"/>
          <w:szCs w:val="22"/>
        </w:rPr>
        <w:t>18(</w:t>
      </w:r>
      <w:r w:rsidR="000D4BFD" w:rsidRPr="00812D63">
        <w:rPr>
          <w:rFonts w:asciiTheme="minorHAnsi" w:hAnsiTheme="minorHAnsi" w:cstheme="minorHAnsi"/>
          <w:sz w:val="22"/>
          <w:szCs w:val="22"/>
        </w:rPr>
        <w:t>3</w:t>
      </w:r>
      <w:r w:rsidRPr="00812D63">
        <w:rPr>
          <w:rFonts w:asciiTheme="minorHAnsi" w:hAnsiTheme="minorHAnsi" w:cstheme="minorHAnsi"/>
          <w:sz w:val="22"/>
          <w:szCs w:val="22"/>
        </w:rPr>
        <w:t>) and 19(</w:t>
      </w:r>
      <w:r w:rsidR="000D4BFD" w:rsidRPr="00812D63">
        <w:rPr>
          <w:rFonts w:asciiTheme="minorHAnsi" w:hAnsiTheme="minorHAnsi" w:cstheme="minorHAnsi"/>
          <w:sz w:val="22"/>
          <w:szCs w:val="22"/>
        </w:rPr>
        <w:t>1</w:t>
      </w:r>
      <w:r w:rsidRPr="00812D63">
        <w:rPr>
          <w:rFonts w:asciiTheme="minorHAnsi" w:hAnsiTheme="minorHAnsi" w:cstheme="minorHAnsi"/>
          <w:sz w:val="22"/>
          <w:szCs w:val="22"/>
        </w:rPr>
        <w:t>)</w:t>
      </w:r>
      <w:r w:rsidR="001157ED">
        <w:rPr>
          <w:rFonts w:asciiTheme="minorHAnsi" w:hAnsiTheme="minorHAnsi" w:cstheme="minorHAnsi"/>
          <w:sz w:val="22"/>
          <w:szCs w:val="22"/>
        </w:rPr>
        <w:t>. It provides</w:t>
      </w:r>
      <w:r w:rsidRPr="00812D63">
        <w:rPr>
          <w:rFonts w:asciiTheme="minorHAnsi" w:hAnsiTheme="minorHAnsi" w:cstheme="minorHAnsi"/>
          <w:sz w:val="22"/>
          <w:szCs w:val="22"/>
        </w:rPr>
        <w:t xml:space="preserve"> that </w:t>
      </w:r>
      <w:r w:rsidR="000D4BFD" w:rsidRPr="00812D63">
        <w:rPr>
          <w:rFonts w:asciiTheme="minorHAnsi" w:hAnsiTheme="minorHAnsi" w:cstheme="minorHAnsi"/>
          <w:sz w:val="22"/>
          <w:szCs w:val="22"/>
        </w:rPr>
        <w:t>an approved supplier</w:t>
      </w:r>
      <w:r w:rsidRPr="00812D63">
        <w:rPr>
          <w:rFonts w:asciiTheme="minorHAnsi" w:hAnsiTheme="minorHAnsi" w:cstheme="minorHAnsi"/>
          <w:sz w:val="22"/>
          <w:szCs w:val="22"/>
        </w:rPr>
        <w:t xml:space="preserve"> must undertake the following in order to make a claim for payment:</w:t>
      </w:r>
    </w:p>
    <w:p w14:paraId="5F236CDF" w14:textId="4F749595" w:rsidR="008B6E99" w:rsidRPr="00812D63" w:rsidRDefault="008B6E99" w:rsidP="00C93AEF">
      <w:pPr>
        <w:pStyle w:val="ListParagraph"/>
        <w:numPr>
          <w:ilvl w:val="0"/>
          <w:numId w:val="18"/>
        </w:numPr>
        <w:spacing w:after="80"/>
        <w:rPr>
          <w:rFonts w:asciiTheme="minorHAnsi" w:hAnsiTheme="minorHAnsi" w:cstheme="minorHAnsi"/>
        </w:rPr>
      </w:pPr>
      <w:r w:rsidRPr="00812D63">
        <w:rPr>
          <w:rFonts w:asciiTheme="minorHAnsi" w:hAnsiTheme="minorHAnsi" w:cstheme="minorHAnsi"/>
        </w:rPr>
        <w:t xml:space="preserve">submit a claim in writing to the Secretary; </w:t>
      </w:r>
    </w:p>
    <w:p w14:paraId="6D148D70" w14:textId="6173B0D3" w:rsidR="008B6E99" w:rsidRPr="00812D63" w:rsidRDefault="008B6E99" w:rsidP="00C93AEF">
      <w:pPr>
        <w:pStyle w:val="ListParagraph"/>
        <w:keepNext/>
        <w:numPr>
          <w:ilvl w:val="0"/>
          <w:numId w:val="18"/>
        </w:numPr>
        <w:spacing w:after="80"/>
        <w:ind w:hanging="357"/>
        <w:rPr>
          <w:rFonts w:asciiTheme="minorHAnsi" w:hAnsiTheme="minorHAnsi" w:cstheme="minorHAnsi"/>
        </w:rPr>
      </w:pPr>
      <w:r w:rsidRPr="00812D63">
        <w:rPr>
          <w:rFonts w:asciiTheme="minorHAnsi" w:hAnsiTheme="minorHAnsi" w:cstheme="minorHAnsi"/>
        </w:rPr>
        <w:t xml:space="preserve">include </w:t>
      </w:r>
      <w:r w:rsidR="000D4BFD" w:rsidRPr="00812D63">
        <w:rPr>
          <w:rFonts w:asciiTheme="minorHAnsi" w:hAnsiTheme="minorHAnsi" w:cstheme="minorHAnsi"/>
        </w:rPr>
        <w:t>the following mandatory information:</w:t>
      </w:r>
    </w:p>
    <w:p w14:paraId="1B630C49" w14:textId="77777777" w:rsidR="000D4BFD" w:rsidRPr="00812D63" w:rsidRDefault="000D4BFD" w:rsidP="00C93AEF">
      <w:pPr>
        <w:pStyle w:val="paragraphsub"/>
        <w:keepNext/>
        <w:numPr>
          <w:ilvl w:val="0"/>
          <w:numId w:val="22"/>
        </w:numPr>
        <w:spacing w:before="0" w:after="80"/>
        <w:ind w:hanging="357"/>
        <w:rPr>
          <w:rFonts w:asciiTheme="minorHAnsi" w:hAnsiTheme="minorHAnsi" w:cstheme="minorHAnsi"/>
          <w:szCs w:val="22"/>
        </w:rPr>
      </w:pPr>
      <w:r w:rsidRPr="00812D63">
        <w:rPr>
          <w:rFonts w:asciiTheme="minorHAnsi" w:hAnsiTheme="minorHAnsi" w:cstheme="minorHAnsi"/>
          <w:szCs w:val="22"/>
        </w:rPr>
        <w:tab/>
        <w:t>the benefit supplied;</w:t>
      </w:r>
    </w:p>
    <w:p w14:paraId="41DB1593" w14:textId="27B34BA8" w:rsidR="000D4BFD" w:rsidRPr="00812D63" w:rsidRDefault="000D4BFD" w:rsidP="00C93AEF">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the date the benefit was supplied;</w:t>
      </w:r>
    </w:p>
    <w:p w14:paraId="0CD78611" w14:textId="60F8BA82" w:rsidR="000D4BFD" w:rsidRPr="00812D63" w:rsidRDefault="000D4BFD" w:rsidP="00C93AEF">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the postcode in which the benefit was supplied;</w:t>
      </w:r>
    </w:p>
    <w:p w14:paraId="433EEF9A" w14:textId="02E4C2D9" w:rsidR="000D4BFD" w:rsidRPr="00812D63" w:rsidRDefault="000D4BFD" w:rsidP="00C93AEF">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the title of the individual who interacted with the person to whom the benefit was supplied;</w:t>
      </w:r>
    </w:p>
    <w:p w14:paraId="607AADFA" w14:textId="0D0B8FFF" w:rsidR="000D4BFD" w:rsidRPr="00812D63" w:rsidRDefault="000D4BFD" w:rsidP="00C93AEF">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whether the person to whom the benefit was supplied was given a patient information sheet;</w:t>
      </w:r>
    </w:p>
    <w:p w14:paraId="5D713127" w14:textId="26EF825F" w:rsidR="000D4BFD" w:rsidRPr="00812D63" w:rsidRDefault="000D4BFD" w:rsidP="00067A40">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whether the person to whom the benefit was supplied consented to the use of their de</w:t>
      </w:r>
      <w:r w:rsidRPr="00812D63">
        <w:rPr>
          <w:rFonts w:asciiTheme="minorHAnsi" w:hAnsiTheme="minorHAnsi" w:cstheme="minorHAnsi"/>
          <w:szCs w:val="22"/>
        </w:rPr>
        <w:noBreakHyphen/>
        <w:t xml:space="preserve">identified data for evaluation of the supply of designated pharmaceutical benefits in accordance with </w:t>
      </w:r>
      <w:r w:rsidR="001157ED" w:rsidRPr="00812D63">
        <w:rPr>
          <w:rFonts w:asciiTheme="minorHAnsi" w:hAnsiTheme="minorHAnsi" w:cstheme="minorHAnsi"/>
          <w:szCs w:val="22"/>
        </w:rPr>
        <w:t>th</w:t>
      </w:r>
      <w:r w:rsidR="001157ED">
        <w:rPr>
          <w:rFonts w:asciiTheme="minorHAnsi" w:hAnsiTheme="minorHAnsi" w:cstheme="minorHAnsi"/>
          <w:szCs w:val="22"/>
        </w:rPr>
        <w:t xml:space="preserve">e </w:t>
      </w:r>
      <w:r w:rsidR="005C5D16">
        <w:rPr>
          <w:rFonts w:asciiTheme="minorHAnsi" w:hAnsiTheme="minorHAnsi" w:cstheme="minorHAnsi"/>
          <w:szCs w:val="22"/>
        </w:rPr>
        <w:t>Arrangement</w:t>
      </w:r>
      <w:r w:rsidRPr="00812D63">
        <w:rPr>
          <w:rFonts w:asciiTheme="minorHAnsi" w:hAnsiTheme="minorHAnsi" w:cstheme="minorHAnsi"/>
          <w:szCs w:val="22"/>
        </w:rPr>
        <w:t>; and</w:t>
      </w:r>
    </w:p>
    <w:p w14:paraId="28638C61" w14:textId="3FCE4E31" w:rsidR="000D4BFD" w:rsidRPr="00812D63" w:rsidRDefault="000D4BFD" w:rsidP="00067A40">
      <w:pPr>
        <w:pStyle w:val="ListParagraph"/>
        <w:numPr>
          <w:ilvl w:val="0"/>
          <w:numId w:val="18"/>
        </w:numPr>
        <w:spacing w:after="80"/>
        <w:rPr>
          <w:rFonts w:asciiTheme="minorHAnsi" w:hAnsiTheme="minorHAnsi" w:cstheme="minorHAnsi"/>
        </w:rPr>
      </w:pPr>
      <w:r w:rsidRPr="00812D63">
        <w:rPr>
          <w:rFonts w:asciiTheme="minorHAnsi" w:hAnsiTheme="minorHAnsi" w:cstheme="minorHAnsi"/>
        </w:rPr>
        <w:t>where such consent is provided:</w:t>
      </w:r>
    </w:p>
    <w:p w14:paraId="744281D7" w14:textId="793D2F49" w:rsidR="000D4BFD" w:rsidRPr="00B42775" w:rsidRDefault="000D4BFD" w:rsidP="00067A40">
      <w:pPr>
        <w:pStyle w:val="paragraphsub"/>
        <w:numPr>
          <w:ilvl w:val="0"/>
          <w:numId w:val="22"/>
        </w:numPr>
        <w:spacing w:before="0" w:after="80"/>
        <w:rPr>
          <w:rFonts w:asciiTheme="minorHAnsi" w:hAnsiTheme="minorHAnsi" w:cstheme="minorHAnsi"/>
          <w:szCs w:val="22"/>
        </w:rPr>
      </w:pPr>
      <w:r w:rsidRPr="00812D63">
        <w:rPr>
          <w:rFonts w:asciiTheme="minorHAnsi" w:hAnsiTheme="minorHAnsi" w:cstheme="minorHAnsi"/>
          <w:szCs w:val="22"/>
        </w:rPr>
        <w:tab/>
        <w:t xml:space="preserve">whether the person is at risk of an opioid overdose, or is likely to be able to assist </w:t>
      </w:r>
      <w:r w:rsidRPr="00B42775">
        <w:rPr>
          <w:rFonts w:asciiTheme="minorHAnsi" w:hAnsiTheme="minorHAnsi" w:cstheme="minorHAnsi"/>
          <w:szCs w:val="22"/>
        </w:rPr>
        <w:t>such a person;</w:t>
      </w:r>
    </w:p>
    <w:p w14:paraId="367BFBE8" w14:textId="5AA5BB03" w:rsidR="000D4BFD" w:rsidRPr="00B42775" w:rsidRDefault="000D4BFD" w:rsidP="00067A40">
      <w:pPr>
        <w:pStyle w:val="paragraphsub"/>
        <w:numPr>
          <w:ilvl w:val="0"/>
          <w:numId w:val="22"/>
        </w:numPr>
        <w:spacing w:before="0" w:after="80"/>
        <w:rPr>
          <w:rFonts w:asciiTheme="minorHAnsi" w:hAnsiTheme="minorHAnsi" w:cstheme="minorHAnsi"/>
          <w:szCs w:val="22"/>
        </w:rPr>
      </w:pPr>
      <w:r w:rsidRPr="00B42775">
        <w:rPr>
          <w:rFonts w:asciiTheme="minorHAnsi" w:hAnsiTheme="minorHAnsi" w:cstheme="minorHAnsi"/>
          <w:szCs w:val="22"/>
        </w:rPr>
        <w:tab/>
        <w:t>for a person at risk of an opioid overdose—whether the opioids concerned are prescribed for the person;</w:t>
      </w:r>
    </w:p>
    <w:p w14:paraId="4D7BD536" w14:textId="1663936C" w:rsidR="000D4BFD" w:rsidRPr="00B42775" w:rsidRDefault="000D4BFD" w:rsidP="00067A40">
      <w:pPr>
        <w:pStyle w:val="paragraphsub"/>
        <w:numPr>
          <w:ilvl w:val="0"/>
          <w:numId w:val="22"/>
        </w:numPr>
        <w:spacing w:before="0" w:after="80"/>
        <w:rPr>
          <w:rFonts w:asciiTheme="minorHAnsi" w:hAnsiTheme="minorHAnsi" w:cstheme="minorHAnsi"/>
          <w:szCs w:val="22"/>
        </w:rPr>
      </w:pPr>
      <w:r w:rsidRPr="00B42775">
        <w:rPr>
          <w:rFonts w:asciiTheme="minorHAnsi" w:hAnsiTheme="minorHAnsi" w:cstheme="minorHAnsi"/>
          <w:szCs w:val="22"/>
        </w:rPr>
        <w:tab/>
        <w:t xml:space="preserve">whether the person had previously received a supply of </w:t>
      </w:r>
      <w:r w:rsidR="001157ED">
        <w:rPr>
          <w:rFonts w:asciiTheme="minorHAnsi" w:hAnsiTheme="minorHAnsi" w:cstheme="minorHAnsi"/>
          <w:szCs w:val="22"/>
        </w:rPr>
        <w:t xml:space="preserve">a designated pharmaceutical </w:t>
      </w:r>
      <w:r w:rsidRPr="00B42775">
        <w:rPr>
          <w:rFonts w:asciiTheme="minorHAnsi" w:hAnsiTheme="minorHAnsi" w:cstheme="minorHAnsi"/>
          <w:szCs w:val="22"/>
        </w:rPr>
        <w:t>benefit;</w:t>
      </w:r>
    </w:p>
    <w:p w14:paraId="22AF61F8" w14:textId="0742EA9D" w:rsidR="000D4BFD" w:rsidRPr="00B42775" w:rsidRDefault="000D4BFD" w:rsidP="00067A40">
      <w:pPr>
        <w:pStyle w:val="paragraphsub"/>
        <w:numPr>
          <w:ilvl w:val="0"/>
          <w:numId w:val="22"/>
        </w:numPr>
        <w:spacing w:before="0" w:after="80"/>
        <w:rPr>
          <w:rFonts w:asciiTheme="minorHAnsi" w:hAnsiTheme="minorHAnsi" w:cstheme="minorHAnsi"/>
          <w:szCs w:val="22"/>
        </w:rPr>
      </w:pPr>
      <w:r w:rsidRPr="00B42775">
        <w:rPr>
          <w:rFonts w:asciiTheme="minorHAnsi" w:hAnsiTheme="minorHAnsi" w:cstheme="minorHAnsi"/>
          <w:szCs w:val="22"/>
        </w:rPr>
        <w:t xml:space="preserve">if the person had previously received a supply of </w:t>
      </w:r>
      <w:r w:rsidR="001157ED">
        <w:rPr>
          <w:rFonts w:asciiTheme="minorHAnsi" w:hAnsiTheme="minorHAnsi" w:cstheme="minorHAnsi"/>
          <w:szCs w:val="22"/>
        </w:rPr>
        <w:t xml:space="preserve">a designated pharmaceutical </w:t>
      </w:r>
      <w:r w:rsidRPr="00B42775">
        <w:rPr>
          <w:rFonts w:asciiTheme="minorHAnsi" w:hAnsiTheme="minorHAnsi" w:cstheme="minorHAnsi"/>
          <w:szCs w:val="22"/>
        </w:rPr>
        <w:t>benefit—the reason for receiving a further supply of the benefit;</w:t>
      </w:r>
    </w:p>
    <w:p w14:paraId="3D4E2968" w14:textId="56C104B7" w:rsidR="000D4BFD" w:rsidRPr="00812D63" w:rsidRDefault="000D4BFD" w:rsidP="00067A40">
      <w:pPr>
        <w:pStyle w:val="paragraphsub"/>
        <w:numPr>
          <w:ilvl w:val="0"/>
          <w:numId w:val="22"/>
        </w:numPr>
        <w:spacing w:before="0" w:after="80"/>
        <w:rPr>
          <w:rFonts w:asciiTheme="minorHAnsi" w:hAnsiTheme="minorHAnsi" w:cstheme="minorHAnsi"/>
          <w:szCs w:val="22"/>
        </w:rPr>
      </w:pPr>
      <w:r w:rsidRPr="00B42775">
        <w:rPr>
          <w:rFonts w:asciiTheme="minorHAnsi" w:hAnsiTheme="minorHAnsi" w:cstheme="minorHAnsi"/>
          <w:szCs w:val="22"/>
        </w:rPr>
        <w:lastRenderedPageBreak/>
        <w:t>whether</w:t>
      </w:r>
      <w:r w:rsidRPr="00812D63">
        <w:rPr>
          <w:rFonts w:asciiTheme="minorHAnsi" w:hAnsiTheme="minorHAnsi" w:cstheme="minorHAnsi"/>
          <w:szCs w:val="22"/>
        </w:rPr>
        <w:t xml:space="preserve"> educative information or advice was provided to the person with the supply of the benefit;</w:t>
      </w:r>
      <w:r w:rsidR="00001F0C">
        <w:rPr>
          <w:rFonts w:asciiTheme="minorHAnsi" w:hAnsiTheme="minorHAnsi" w:cstheme="minorHAnsi"/>
          <w:szCs w:val="22"/>
        </w:rPr>
        <w:t xml:space="preserve"> and</w:t>
      </w:r>
    </w:p>
    <w:p w14:paraId="7A974B1A" w14:textId="0005F105" w:rsidR="000D4BFD" w:rsidRPr="00812D63" w:rsidRDefault="000D4BFD" w:rsidP="00473013">
      <w:pPr>
        <w:pStyle w:val="paragraphsub"/>
        <w:numPr>
          <w:ilvl w:val="0"/>
          <w:numId w:val="22"/>
        </w:numPr>
        <w:spacing w:before="0" w:after="160"/>
        <w:ind w:left="714" w:hanging="357"/>
        <w:rPr>
          <w:rFonts w:asciiTheme="minorHAnsi" w:hAnsiTheme="minorHAnsi" w:cstheme="minorHAnsi"/>
          <w:szCs w:val="22"/>
        </w:rPr>
      </w:pPr>
      <w:r w:rsidRPr="00812D63">
        <w:rPr>
          <w:rFonts w:asciiTheme="minorHAnsi" w:hAnsiTheme="minorHAnsi" w:cstheme="minorHAnsi"/>
          <w:szCs w:val="22"/>
        </w:rPr>
        <w:t>the person’s gender.</w:t>
      </w:r>
    </w:p>
    <w:p w14:paraId="783C4AD4" w14:textId="69242B60" w:rsidR="008B6E99" w:rsidRPr="00812D63" w:rsidRDefault="002F344D" w:rsidP="00473013">
      <w:pPr>
        <w:keepLines w:val="0"/>
        <w:spacing w:after="160"/>
        <w:jc w:val="left"/>
        <w:rPr>
          <w:rFonts w:asciiTheme="minorHAnsi" w:hAnsiTheme="minorHAnsi" w:cstheme="minorHAnsi"/>
          <w:b/>
          <w:sz w:val="24"/>
          <w:szCs w:val="24"/>
          <w:lang w:eastAsia="en-US"/>
        </w:rPr>
      </w:pPr>
      <w:bookmarkStart w:id="17" w:name="_Toc24385266"/>
      <w:r w:rsidRPr="00812D63">
        <w:rPr>
          <w:rFonts w:asciiTheme="minorHAnsi" w:hAnsiTheme="minorHAnsi" w:cstheme="minorHAnsi"/>
          <w:b/>
          <w:sz w:val="24"/>
          <w:szCs w:val="24"/>
          <w:lang w:eastAsia="en-US"/>
        </w:rPr>
        <w:t>Section 21</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Supplies to authorised alternative suppliers</w:t>
      </w:r>
      <w:bookmarkEnd w:id="17"/>
    </w:p>
    <w:p w14:paraId="7310F38B" w14:textId="09F76AD5" w:rsidR="0016132D"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sets out </w:t>
      </w:r>
      <w:r w:rsidR="0016132D">
        <w:rPr>
          <w:rFonts w:asciiTheme="minorHAnsi" w:hAnsiTheme="minorHAnsi" w:cstheme="minorHAnsi"/>
          <w:sz w:val="22"/>
          <w:szCs w:val="22"/>
        </w:rPr>
        <w:t xml:space="preserve">arrangements </w:t>
      </w:r>
      <w:r w:rsidRPr="00812D63">
        <w:rPr>
          <w:rFonts w:asciiTheme="minorHAnsi" w:hAnsiTheme="minorHAnsi" w:cstheme="minorHAnsi"/>
          <w:sz w:val="22"/>
          <w:szCs w:val="22"/>
        </w:rPr>
        <w:t xml:space="preserve">for a person to receive payment </w:t>
      </w:r>
      <w:r w:rsidR="0016132D">
        <w:rPr>
          <w:rFonts w:asciiTheme="minorHAnsi" w:hAnsiTheme="minorHAnsi" w:cstheme="minorHAnsi"/>
          <w:sz w:val="22"/>
          <w:szCs w:val="22"/>
        </w:rPr>
        <w:t xml:space="preserve">from the Commonwealth </w:t>
      </w:r>
      <w:r w:rsidRPr="00812D63">
        <w:rPr>
          <w:rFonts w:asciiTheme="minorHAnsi" w:hAnsiTheme="minorHAnsi" w:cstheme="minorHAnsi"/>
          <w:sz w:val="22"/>
          <w:szCs w:val="22"/>
        </w:rPr>
        <w:t xml:space="preserve">for </w:t>
      </w:r>
      <w:r w:rsidR="0016132D">
        <w:rPr>
          <w:rFonts w:asciiTheme="minorHAnsi" w:hAnsiTheme="minorHAnsi" w:cstheme="minorHAnsi"/>
          <w:sz w:val="22"/>
          <w:szCs w:val="22"/>
        </w:rPr>
        <w:t>supplying</w:t>
      </w:r>
      <w:r w:rsidRPr="00812D63">
        <w:rPr>
          <w:rFonts w:asciiTheme="minorHAnsi" w:hAnsiTheme="minorHAnsi" w:cstheme="minorHAnsi"/>
          <w:sz w:val="22"/>
          <w:szCs w:val="22"/>
        </w:rPr>
        <w:t xml:space="preserve"> designated pharmaceutical benefits to authorised alternative suppliers</w:t>
      </w:r>
      <w:r w:rsidR="00B3425F" w:rsidRPr="00812D63">
        <w:rPr>
          <w:rFonts w:asciiTheme="minorHAnsi" w:hAnsiTheme="minorHAnsi" w:cstheme="minorHAnsi"/>
          <w:sz w:val="22"/>
          <w:szCs w:val="22"/>
        </w:rPr>
        <w:t>.</w:t>
      </w:r>
    </w:p>
    <w:p w14:paraId="51DDB927" w14:textId="36625719" w:rsidR="008B6E99" w:rsidRPr="00812D63"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Subsection 2</w:t>
      </w:r>
      <w:r w:rsidR="000D4BFD" w:rsidRPr="00812D63">
        <w:rPr>
          <w:rFonts w:asciiTheme="minorHAnsi" w:hAnsiTheme="minorHAnsi" w:cstheme="minorHAnsi"/>
          <w:sz w:val="22"/>
          <w:szCs w:val="22"/>
        </w:rPr>
        <w:t>1</w:t>
      </w:r>
      <w:r w:rsidRPr="00812D63">
        <w:rPr>
          <w:rFonts w:asciiTheme="minorHAnsi" w:hAnsiTheme="minorHAnsi" w:cstheme="minorHAnsi"/>
          <w:sz w:val="22"/>
          <w:szCs w:val="22"/>
        </w:rPr>
        <w:t xml:space="preserve">(1) establishes an entitlement to payment from the </w:t>
      </w:r>
      <w:r w:rsidR="00B03EF9">
        <w:rPr>
          <w:rFonts w:asciiTheme="minorHAnsi" w:hAnsiTheme="minorHAnsi" w:cstheme="minorHAnsi"/>
          <w:sz w:val="22"/>
          <w:szCs w:val="22"/>
        </w:rPr>
        <w:t>C</w:t>
      </w:r>
      <w:r w:rsidRPr="00812D63">
        <w:rPr>
          <w:rFonts w:asciiTheme="minorHAnsi" w:hAnsiTheme="minorHAnsi" w:cstheme="minorHAnsi"/>
          <w:sz w:val="22"/>
          <w:szCs w:val="22"/>
        </w:rPr>
        <w:t>ommonwealth for persons making such a supply</w:t>
      </w:r>
      <w:r w:rsidR="00B3425F" w:rsidRPr="00812D63">
        <w:rPr>
          <w:rFonts w:asciiTheme="minorHAnsi" w:hAnsiTheme="minorHAnsi" w:cstheme="minorHAnsi"/>
          <w:sz w:val="22"/>
          <w:szCs w:val="22"/>
        </w:rPr>
        <w:t xml:space="preserve">. </w:t>
      </w:r>
      <w:r w:rsidR="0016132D" w:rsidRPr="00812D63">
        <w:rPr>
          <w:rFonts w:asciiTheme="minorHAnsi" w:hAnsiTheme="minorHAnsi" w:cstheme="minorHAnsi"/>
          <w:sz w:val="22"/>
          <w:szCs w:val="22"/>
        </w:rPr>
        <w:t>Th</w:t>
      </w:r>
      <w:r w:rsidR="0016132D">
        <w:rPr>
          <w:rFonts w:asciiTheme="minorHAnsi" w:hAnsiTheme="minorHAnsi" w:cstheme="minorHAnsi"/>
          <w:sz w:val="22"/>
          <w:szCs w:val="22"/>
        </w:rPr>
        <w:t>ese persons</w:t>
      </w:r>
      <w:r w:rsidR="0016132D" w:rsidRPr="00812D63">
        <w:rPr>
          <w:rFonts w:asciiTheme="minorHAnsi" w:hAnsiTheme="minorHAnsi" w:cstheme="minorHAnsi"/>
          <w:sz w:val="22"/>
          <w:szCs w:val="22"/>
        </w:rPr>
        <w:t xml:space="preserve"> </w:t>
      </w:r>
      <w:r w:rsidRPr="00812D63">
        <w:rPr>
          <w:rFonts w:asciiTheme="minorHAnsi" w:hAnsiTheme="minorHAnsi" w:cstheme="minorHAnsi"/>
          <w:sz w:val="22"/>
          <w:szCs w:val="22"/>
        </w:rPr>
        <w:t>may be, for example, a responsible person (pharmaceutical company), a wholesale distributor, a State or Territory government department or a public hospital (who is an approved hospital authority).</w:t>
      </w:r>
    </w:p>
    <w:p w14:paraId="4214E150" w14:textId="3EAB3829" w:rsidR="008B6E99" w:rsidRPr="00812D63"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Subsection 2</w:t>
      </w:r>
      <w:r w:rsidR="000D4BFD" w:rsidRPr="00812D63">
        <w:rPr>
          <w:rFonts w:asciiTheme="minorHAnsi" w:hAnsiTheme="minorHAnsi" w:cstheme="minorHAnsi"/>
          <w:sz w:val="22"/>
          <w:szCs w:val="22"/>
        </w:rPr>
        <w:t>1</w:t>
      </w:r>
      <w:r w:rsidRPr="00812D63">
        <w:rPr>
          <w:rFonts w:asciiTheme="minorHAnsi" w:hAnsiTheme="minorHAnsi" w:cstheme="minorHAnsi"/>
          <w:sz w:val="22"/>
          <w:szCs w:val="22"/>
        </w:rPr>
        <w:t xml:space="preserve">(2) states that the </w:t>
      </w:r>
      <w:r w:rsidR="000D4BFD" w:rsidRPr="00812D63">
        <w:rPr>
          <w:rFonts w:asciiTheme="minorHAnsi" w:hAnsiTheme="minorHAnsi" w:cstheme="minorHAnsi"/>
          <w:sz w:val="22"/>
          <w:szCs w:val="22"/>
        </w:rPr>
        <w:t>amount</w:t>
      </w:r>
      <w:r w:rsidRPr="00812D63">
        <w:rPr>
          <w:rFonts w:asciiTheme="minorHAnsi" w:hAnsiTheme="minorHAnsi" w:cstheme="minorHAnsi"/>
          <w:sz w:val="22"/>
          <w:szCs w:val="22"/>
        </w:rPr>
        <w:t xml:space="preserve"> paid </w:t>
      </w:r>
      <w:r w:rsidR="000D4BFD" w:rsidRPr="00812D63">
        <w:rPr>
          <w:rFonts w:asciiTheme="minorHAnsi" w:hAnsiTheme="minorHAnsi" w:cstheme="minorHAnsi"/>
          <w:sz w:val="22"/>
          <w:szCs w:val="22"/>
        </w:rPr>
        <w:t xml:space="preserve">for supplies to </w:t>
      </w:r>
      <w:r w:rsidRPr="00812D63">
        <w:rPr>
          <w:rFonts w:asciiTheme="minorHAnsi" w:hAnsiTheme="minorHAnsi" w:cstheme="minorHAnsi"/>
          <w:sz w:val="22"/>
          <w:szCs w:val="22"/>
        </w:rPr>
        <w:t>authorised alternative supplier</w:t>
      </w:r>
      <w:r w:rsidR="000D4BFD" w:rsidRPr="00812D63">
        <w:rPr>
          <w:rFonts w:asciiTheme="minorHAnsi" w:hAnsiTheme="minorHAnsi" w:cstheme="minorHAnsi"/>
          <w:sz w:val="22"/>
          <w:szCs w:val="22"/>
        </w:rPr>
        <w:t>s</w:t>
      </w:r>
      <w:r w:rsidRPr="00812D63">
        <w:rPr>
          <w:rFonts w:asciiTheme="minorHAnsi" w:hAnsiTheme="minorHAnsi" w:cstheme="minorHAnsi"/>
          <w:sz w:val="22"/>
          <w:szCs w:val="22"/>
        </w:rPr>
        <w:t xml:space="preserve"> will be the equivalent of the approved ex-manufacturer price of the listed brand of the pharmaceutical item of the designated pharmaceutical benefit.</w:t>
      </w:r>
      <w:r w:rsidR="00584B88">
        <w:rPr>
          <w:rFonts w:asciiTheme="minorHAnsi" w:hAnsiTheme="minorHAnsi" w:cstheme="minorHAnsi"/>
          <w:sz w:val="22"/>
          <w:szCs w:val="22"/>
        </w:rPr>
        <w:t xml:space="preserve"> ‘Approved ex-manufacturer price’ is given the same meaning as in Part VII of the Act (s 6). </w:t>
      </w:r>
    </w:p>
    <w:p w14:paraId="3614933A" w14:textId="1E04CD3A" w:rsidR="008B6E99" w:rsidRPr="00812D63" w:rsidRDefault="008B6E99" w:rsidP="00067A40">
      <w:pPr>
        <w:spacing w:after="80"/>
        <w:jc w:val="left"/>
        <w:rPr>
          <w:rFonts w:asciiTheme="minorHAnsi" w:hAnsiTheme="minorHAnsi" w:cstheme="minorHAnsi"/>
          <w:sz w:val="22"/>
          <w:szCs w:val="22"/>
        </w:rPr>
      </w:pPr>
      <w:r w:rsidRPr="00812D63">
        <w:rPr>
          <w:rFonts w:asciiTheme="minorHAnsi" w:hAnsiTheme="minorHAnsi" w:cstheme="minorHAnsi"/>
          <w:sz w:val="22"/>
          <w:szCs w:val="22"/>
        </w:rPr>
        <w:t>Subsections 2</w:t>
      </w:r>
      <w:r w:rsidR="000D4BFD" w:rsidRPr="00812D63">
        <w:rPr>
          <w:rFonts w:asciiTheme="minorHAnsi" w:hAnsiTheme="minorHAnsi" w:cstheme="minorHAnsi"/>
          <w:sz w:val="22"/>
          <w:szCs w:val="22"/>
        </w:rPr>
        <w:t>1</w:t>
      </w:r>
      <w:r w:rsidRPr="00812D63">
        <w:rPr>
          <w:rFonts w:asciiTheme="minorHAnsi" w:hAnsiTheme="minorHAnsi" w:cstheme="minorHAnsi"/>
          <w:sz w:val="22"/>
          <w:szCs w:val="22"/>
        </w:rPr>
        <w:t>(3) and 2</w:t>
      </w:r>
      <w:r w:rsidR="000D4BFD" w:rsidRPr="00812D63">
        <w:rPr>
          <w:rFonts w:asciiTheme="minorHAnsi" w:hAnsiTheme="minorHAnsi" w:cstheme="minorHAnsi"/>
          <w:sz w:val="22"/>
          <w:szCs w:val="22"/>
        </w:rPr>
        <w:t>1</w:t>
      </w:r>
      <w:r w:rsidRPr="00812D63">
        <w:rPr>
          <w:rFonts w:asciiTheme="minorHAnsi" w:hAnsiTheme="minorHAnsi" w:cstheme="minorHAnsi"/>
          <w:sz w:val="22"/>
          <w:szCs w:val="22"/>
        </w:rPr>
        <w:t xml:space="preserve">(4) </w:t>
      </w:r>
      <w:r w:rsidR="000D4BFD" w:rsidRPr="00812D63">
        <w:rPr>
          <w:rFonts w:asciiTheme="minorHAnsi" w:hAnsiTheme="minorHAnsi" w:cstheme="minorHAnsi"/>
          <w:sz w:val="22"/>
          <w:szCs w:val="22"/>
        </w:rPr>
        <w:t xml:space="preserve">state </w:t>
      </w:r>
      <w:r w:rsidR="00B933D4" w:rsidRPr="00812D63">
        <w:rPr>
          <w:rFonts w:asciiTheme="minorHAnsi" w:hAnsiTheme="minorHAnsi" w:cstheme="minorHAnsi"/>
          <w:sz w:val="22"/>
          <w:szCs w:val="22"/>
        </w:rPr>
        <w:t>that i</w:t>
      </w:r>
      <w:r w:rsidRPr="00812D63">
        <w:rPr>
          <w:rFonts w:asciiTheme="minorHAnsi" w:hAnsiTheme="minorHAnsi" w:cstheme="minorHAnsi"/>
          <w:sz w:val="22"/>
          <w:szCs w:val="22"/>
        </w:rPr>
        <w:t>f a person wishes to receive a payment for a supply of a designated pharmaceutical benefit to an authorised alternative supplier, they must lodge a claim with the Commonwealth</w:t>
      </w:r>
      <w:r w:rsidR="00584B88">
        <w:rPr>
          <w:rFonts w:asciiTheme="minorHAnsi" w:hAnsiTheme="minorHAnsi" w:cstheme="minorHAnsi"/>
          <w:sz w:val="22"/>
          <w:szCs w:val="22"/>
        </w:rPr>
        <w:t>, which</w:t>
      </w:r>
      <w:r w:rsidRPr="00812D63">
        <w:rPr>
          <w:rFonts w:asciiTheme="minorHAnsi" w:hAnsiTheme="minorHAnsi" w:cstheme="minorHAnsi"/>
          <w:sz w:val="22"/>
          <w:szCs w:val="22"/>
        </w:rPr>
        <w:t xml:space="preserve"> must: </w:t>
      </w:r>
    </w:p>
    <w:p w14:paraId="4E60F7C1" w14:textId="7962350C" w:rsidR="008B6E99" w:rsidRPr="00812D63" w:rsidRDefault="008B6E99" w:rsidP="00067A40">
      <w:pPr>
        <w:pStyle w:val="ListParagraph"/>
        <w:numPr>
          <w:ilvl w:val="0"/>
          <w:numId w:val="18"/>
        </w:numPr>
        <w:spacing w:after="80"/>
        <w:rPr>
          <w:rFonts w:asciiTheme="minorHAnsi" w:hAnsiTheme="minorHAnsi" w:cstheme="minorHAnsi"/>
        </w:rPr>
      </w:pPr>
      <w:r w:rsidRPr="00812D63">
        <w:rPr>
          <w:rFonts w:asciiTheme="minorHAnsi" w:hAnsiTheme="minorHAnsi" w:cstheme="minorHAnsi"/>
        </w:rPr>
        <w:t>be made in writing to the Secretary; and</w:t>
      </w:r>
    </w:p>
    <w:p w14:paraId="790D7F3A" w14:textId="77777777" w:rsidR="008B6E99" w:rsidRPr="00812D63" w:rsidRDefault="008B6E99" w:rsidP="00067A40">
      <w:pPr>
        <w:pStyle w:val="ListParagraph"/>
        <w:numPr>
          <w:ilvl w:val="0"/>
          <w:numId w:val="18"/>
        </w:numPr>
        <w:spacing w:after="80"/>
        <w:rPr>
          <w:rFonts w:asciiTheme="minorHAnsi" w:hAnsiTheme="minorHAnsi" w:cstheme="minorHAnsi"/>
        </w:rPr>
      </w:pPr>
      <w:r w:rsidRPr="00812D63">
        <w:rPr>
          <w:rFonts w:asciiTheme="minorHAnsi" w:hAnsiTheme="minorHAnsi" w:cstheme="minorHAnsi"/>
        </w:rPr>
        <w:t>include:</w:t>
      </w:r>
    </w:p>
    <w:p w14:paraId="15D6C54A" w14:textId="77777777" w:rsidR="008B6E99" w:rsidRPr="00812D63" w:rsidRDefault="008B6E99" w:rsidP="00067A40">
      <w:pPr>
        <w:pStyle w:val="ListParagraph"/>
        <w:numPr>
          <w:ilvl w:val="0"/>
          <w:numId w:val="19"/>
        </w:numPr>
        <w:spacing w:after="80"/>
        <w:rPr>
          <w:rFonts w:asciiTheme="minorHAnsi" w:hAnsiTheme="minorHAnsi" w:cstheme="minorHAnsi"/>
        </w:rPr>
      </w:pPr>
      <w:r w:rsidRPr="00812D63">
        <w:rPr>
          <w:rFonts w:asciiTheme="minorHAnsi" w:hAnsiTheme="minorHAnsi" w:cstheme="minorHAnsi"/>
        </w:rPr>
        <w:t>the name and address of the authorised alternative supplier; and</w:t>
      </w:r>
    </w:p>
    <w:p w14:paraId="6B5B6D0A" w14:textId="095F9B7B" w:rsidR="008B6E99" w:rsidRPr="00812D63" w:rsidRDefault="008B6E99" w:rsidP="00473013">
      <w:pPr>
        <w:pStyle w:val="ListParagraph"/>
        <w:numPr>
          <w:ilvl w:val="0"/>
          <w:numId w:val="19"/>
        </w:numPr>
        <w:spacing w:after="160"/>
        <w:rPr>
          <w:rFonts w:asciiTheme="minorHAnsi" w:hAnsiTheme="minorHAnsi" w:cstheme="minorHAnsi"/>
        </w:rPr>
      </w:pPr>
      <w:r w:rsidRPr="00812D63">
        <w:rPr>
          <w:rFonts w:asciiTheme="minorHAnsi" w:hAnsiTheme="minorHAnsi" w:cstheme="minorHAnsi"/>
        </w:rPr>
        <w:t xml:space="preserve">for </w:t>
      </w:r>
      <w:r w:rsidR="00584B88">
        <w:rPr>
          <w:rFonts w:asciiTheme="minorHAnsi" w:hAnsiTheme="minorHAnsi" w:cstheme="minorHAnsi"/>
        </w:rPr>
        <w:t>each day covered by</w:t>
      </w:r>
      <w:r w:rsidRPr="00812D63">
        <w:rPr>
          <w:rFonts w:asciiTheme="minorHAnsi" w:hAnsiTheme="minorHAnsi" w:cstheme="minorHAnsi"/>
        </w:rPr>
        <w:t xml:space="preserve"> the claim</w:t>
      </w:r>
      <w:r w:rsidR="00584B88">
        <w:rPr>
          <w:rFonts w:asciiTheme="minorHAnsi" w:hAnsiTheme="minorHAnsi" w:cstheme="minorHAnsi"/>
        </w:rPr>
        <w:t>,</w:t>
      </w:r>
      <w:r w:rsidRPr="00812D63">
        <w:rPr>
          <w:rFonts w:asciiTheme="minorHAnsi" w:hAnsiTheme="minorHAnsi" w:cstheme="minorHAnsi"/>
        </w:rPr>
        <w:t xml:space="preserve"> the volume of each </w:t>
      </w:r>
      <w:r w:rsidR="00584B88">
        <w:rPr>
          <w:rFonts w:asciiTheme="minorHAnsi" w:hAnsiTheme="minorHAnsi" w:cstheme="minorHAnsi"/>
        </w:rPr>
        <w:t xml:space="preserve">designated pharmaceutical </w:t>
      </w:r>
      <w:r w:rsidRPr="00812D63">
        <w:rPr>
          <w:rFonts w:asciiTheme="minorHAnsi" w:hAnsiTheme="minorHAnsi" w:cstheme="minorHAnsi"/>
        </w:rPr>
        <w:t>benefit supplied.</w:t>
      </w:r>
    </w:p>
    <w:p w14:paraId="278555EF" w14:textId="652B60BC" w:rsidR="002F344D" w:rsidRPr="00812D63" w:rsidRDefault="002F344D" w:rsidP="007F4692">
      <w:pPr>
        <w:keepNext/>
        <w:keepLines w:val="0"/>
        <w:spacing w:after="160"/>
        <w:jc w:val="left"/>
        <w:rPr>
          <w:rFonts w:asciiTheme="minorHAnsi" w:hAnsiTheme="minorHAnsi" w:cstheme="minorHAnsi"/>
          <w:b/>
          <w:sz w:val="24"/>
          <w:szCs w:val="24"/>
          <w:lang w:eastAsia="en-US"/>
        </w:rPr>
      </w:pPr>
      <w:bookmarkStart w:id="18" w:name="_Toc24385267"/>
      <w:r w:rsidRPr="00812D63">
        <w:rPr>
          <w:rFonts w:asciiTheme="minorHAnsi" w:hAnsiTheme="minorHAnsi" w:cstheme="minorHAnsi"/>
          <w:b/>
          <w:sz w:val="24"/>
          <w:szCs w:val="24"/>
          <w:lang w:eastAsia="en-US"/>
        </w:rPr>
        <w:t>Section 22</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Secretary to determine and pay claims</w:t>
      </w:r>
      <w:bookmarkEnd w:id="18"/>
    </w:p>
    <w:p w14:paraId="40EABDF0" w14:textId="17F0B658" w:rsidR="008B6E99" w:rsidRDefault="008B6E99"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This section </w:t>
      </w:r>
      <w:r w:rsidR="008F6D06">
        <w:rPr>
          <w:rFonts w:asciiTheme="minorHAnsi" w:hAnsiTheme="minorHAnsi" w:cstheme="minorHAnsi"/>
          <w:sz w:val="22"/>
          <w:szCs w:val="22"/>
        </w:rPr>
        <w:t>confers the functions of</w:t>
      </w:r>
      <w:r w:rsidRPr="00812D63">
        <w:rPr>
          <w:rFonts w:asciiTheme="minorHAnsi" w:hAnsiTheme="minorHAnsi" w:cstheme="minorHAnsi"/>
          <w:sz w:val="22"/>
          <w:szCs w:val="22"/>
        </w:rPr>
        <w:t xml:space="preserve"> determin</w:t>
      </w:r>
      <w:r w:rsidR="008F6D06">
        <w:rPr>
          <w:rFonts w:asciiTheme="minorHAnsi" w:hAnsiTheme="minorHAnsi" w:cstheme="minorHAnsi"/>
          <w:sz w:val="22"/>
          <w:szCs w:val="22"/>
        </w:rPr>
        <w:t>ing</w:t>
      </w:r>
      <w:r w:rsidRPr="00812D63">
        <w:rPr>
          <w:rFonts w:asciiTheme="minorHAnsi" w:hAnsiTheme="minorHAnsi" w:cstheme="minorHAnsi"/>
          <w:sz w:val="22"/>
          <w:szCs w:val="22"/>
        </w:rPr>
        <w:t xml:space="preserve"> the amount payable for claim</w:t>
      </w:r>
      <w:r w:rsidR="008F6D06">
        <w:rPr>
          <w:rFonts w:asciiTheme="minorHAnsi" w:hAnsiTheme="minorHAnsi" w:cstheme="minorHAnsi"/>
          <w:sz w:val="22"/>
          <w:szCs w:val="22"/>
        </w:rPr>
        <w:t>s</w:t>
      </w:r>
      <w:r w:rsidRPr="00812D63">
        <w:rPr>
          <w:rFonts w:asciiTheme="minorHAnsi" w:hAnsiTheme="minorHAnsi" w:cstheme="minorHAnsi"/>
          <w:sz w:val="22"/>
          <w:szCs w:val="22"/>
        </w:rPr>
        <w:t xml:space="preserve"> made under Part </w:t>
      </w:r>
      <w:r w:rsidR="008F6D06">
        <w:rPr>
          <w:rFonts w:asciiTheme="minorHAnsi" w:hAnsiTheme="minorHAnsi" w:cstheme="minorHAnsi"/>
          <w:sz w:val="22"/>
          <w:szCs w:val="22"/>
        </w:rPr>
        <w:t xml:space="preserve">2 of the </w:t>
      </w:r>
      <w:r w:rsidR="005C5D16">
        <w:rPr>
          <w:rFonts w:asciiTheme="minorHAnsi" w:hAnsiTheme="minorHAnsi" w:cstheme="minorHAnsi"/>
          <w:sz w:val="22"/>
          <w:szCs w:val="22"/>
        </w:rPr>
        <w:t>Arrangement</w:t>
      </w:r>
      <w:r w:rsidR="008F6D06">
        <w:rPr>
          <w:rFonts w:asciiTheme="minorHAnsi" w:hAnsiTheme="minorHAnsi" w:cstheme="minorHAnsi"/>
          <w:sz w:val="22"/>
          <w:szCs w:val="22"/>
        </w:rPr>
        <w:t xml:space="preserve">, </w:t>
      </w:r>
      <w:r w:rsidRPr="00812D63">
        <w:rPr>
          <w:rFonts w:asciiTheme="minorHAnsi" w:hAnsiTheme="minorHAnsi" w:cstheme="minorHAnsi"/>
          <w:sz w:val="22"/>
          <w:szCs w:val="22"/>
        </w:rPr>
        <w:t>and mak</w:t>
      </w:r>
      <w:r w:rsidR="008F6D06">
        <w:rPr>
          <w:rFonts w:asciiTheme="minorHAnsi" w:hAnsiTheme="minorHAnsi" w:cstheme="minorHAnsi"/>
          <w:sz w:val="22"/>
          <w:szCs w:val="22"/>
        </w:rPr>
        <w:t>ing</w:t>
      </w:r>
      <w:r w:rsidRPr="00812D63">
        <w:rPr>
          <w:rFonts w:asciiTheme="minorHAnsi" w:hAnsiTheme="minorHAnsi" w:cstheme="minorHAnsi"/>
          <w:sz w:val="22"/>
          <w:szCs w:val="22"/>
        </w:rPr>
        <w:t xml:space="preserve"> any payment relating to the claim</w:t>
      </w:r>
      <w:r w:rsidR="008F6D06">
        <w:rPr>
          <w:rFonts w:asciiTheme="minorHAnsi" w:hAnsiTheme="minorHAnsi" w:cstheme="minorHAnsi"/>
          <w:sz w:val="22"/>
          <w:szCs w:val="22"/>
        </w:rPr>
        <w:t>, on the Secretary</w:t>
      </w:r>
      <w:r w:rsidRPr="00812D63">
        <w:rPr>
          <w:rFonts w:asciiTheme="minorHAnsi" w:hAnsiTheme="minorHAnsi" w:cstheme="minorHAnsi"/>
          <w:sz w:val="22"/>
          <w:szCs w:val="22"/>
        </w:rPr>
        <w:t>.</w:t>
      </w:r>
      <w:r w:rsidR="008F6D06">
        <w:rPr>
          <w:rFonts w:asciiTheme="minorHAnsi" w:hAnsiTheme="minorHAnsi" w:cstheme="minorHAnsi"/>
          <w:sz w:val="22"/>
          <w:szCs w:val="22"/>
        </w:rPr>
        <w:t xml:space="preserve"> </w:t>
      </w:r>
    </w:p>
    <w:p w14:paraId="349B6A3D" w14:textId="3BDE8A10" w:rsidR="0026557C" w:rsidRPr="00812D63" w:rsidRDefault="00AA1012" w:rsidP="00473013">
      <w:pPr>
        <w:spacing w:after="160"/>
        <w:jc w:val="left"/>
        <w:rPr>
          <w:rFonts w:asciiTheme="minorHAnsi" w:hAnsiTheme="minorHAnsi" w:cstheme="minorHAnsi"/>
          <w:sz w:val="22"/>
          <w:szCs w:val="22"/>
        </w:rPr>
      </w:pPr>
      <w:r>
        <w:rPr>
          <w:rFonts w:asciiTheme="minorHAnsi" w:hAnsiTheme="minorHAnsi" w:cstheme="minorHAnsi"/>
          <w:sz w:val="22"/>
          <w:szCs w:val="22"/>
        </w:rPr>
        <w:t xml:space="preserve">The Secretary may authorise third parties to perform these functions in accordance with s 25 of the </w:t>
      </w:r>
      <w:r w:rsidR="005C5D16">
        <w:rPr>
          <w:rFonts w:asciiTheme="minorHAnsi" w:hAnsiTheme="minorHAnsi" w:cstheme="minorHAnsi"/>
          <w:sz w:val="22"/>
          <w:szCs w:val="22"/>
        </w:rPr>
        <w:t>Arrangement</w:t>
      </w:r>
      <w:r>
        <w:rPr>
          <w:rFonts w:asciiTheme="minorHAnsi" w:hAnsiTheme="minorHAnsi" w:cstheme="minorHAnsi"/>
          <w:sz w:val="22"/>
          <w:szCs w:val="22"/>
        </w:rPr>
        <w:t xml:space="preserve">. </w:t>
      </w:r>
    </w:p>
    <w:p w14:paraId="171F0ED4" w14:textId="77777777" w:rsidR="002F344D" w:rsidRPr="00812D63" w:rsidRDefault="002F344D" w:rsidP="00473013">
      <w:pPr>
        <w:keepNext/>
        <w:spacing w:after="160"/>
        <w:jc w:val="left"/>
        <w:rPr>
          <w:rFonts w:asciiTheme="minorHAnsi" w:hAnsiTheme="minorHAnsi" w:cstheme="minorHAnsi"/>
          <w:b/>
          <w:sz w:val="24"/>
          <w:szCs w:val="24"/>
        </w:rPr>
      </w:pPr>
      <w:bookmarkStart w:id="19" w:name="_Toc24385268"/>
      <w:r w:rsidRPr="00812D63">
        <w:rPr>
          <w:rFonts w:asciiTheme="minorHAnsi" w:hAnsiTheme="minorHAnsi" w:cstheme="minorHAnsi"/>
          <w:b/>
          <w:sz w:val="24"/>
          <w:szCs w:val="24"/>
        </w:rPr>
        <w:t>Division 4—Administration</w:t>
      </w:r>
      <w:bookmarkEnd w:id="19"/>
    </w:p>
    <w:p w14:paraId="1D88A712" w14:textId="28996521" w:rsidR="002F344D" w:rsidRPr="00812D63" w:rsidRDefault="002F344D" w:rsidP="00473013">
      <w:pPr>
        <w:keepLines w:val="0"/>
        <w:spacing w:after="160"/>
        <w:jc w:val="left"/>
        <w:rPr>
          <w:rFonts w:asciiTheme="minorHAnsi" w:hAnsiTheme="minorHAnsi" w:cstheme="minorHAnsi"/>
          <w:b/>
          <w:sz w:val="24"/>
          <w:szCs w:val="24"/>
          <w:lang w:eastAsia="en-US"/>
        </w:rPr>
      </w:pPr>
      <w:bookmarkStart w:id="20" w:name="_Toc24385269"/>
      <w:r w:rsidRPr="00812D63">
        <w:rPr>
          <w:rFonts w:asciiTheme="minorHAnsi" w:hAnsiTheme="minorHAnsi" w:cstheme="minorHAnsi"/>
          <w:b/>
          <w:sz w:val="24"/>
          <w:szCs w:val="24"/>
          <w:lang w:eastAsia="en-US"/>
        </w:rPr>
        <w:t>Section 23</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Secretary may request information from authorised alternative suppliers</w:t>
      </w:r>
      <w:bookmarkEnd w:id="20"/>
    </w:p>
    <w:p w14:paraId="40D7C311" w14:textId="1416459F" w:rsidR="008B6E99" w:rsidRPr="00812D63" w:rsidRDefault="008F6D06" w:rsidP="00473013">
      <w:pPr>
        <w:spacing w:after="160"/>
        <w:jc w:val="left"/>
        <w:rPr>
          <w:rFonts w:asciiTheme="minorHAnsi" w:hAnsiTheme="minorHAnsi" w:cstheme="minorHAnsi"/>
          <w:sz w:val="22"/>
          <w:szCs w:val="22"/>
        </w:rPr>
      </w:pPr>
      <w:r>
        <w:rPr>
          <w:rFonts w:asciiTheme="minorHAnsi" w:hAnsiTheme="minorHAnsi" w:cstheme="minorHAnsi"/>
          <w:sz w:val="22"/>
          <w:szCs w:val="22"/>
        </w:rPr>
        <w:t>Under s</w:t>
      </w:r>
      <w:r w:rsidRPr="00812D63">
        <w:rPr>
          <w:rFonts w:asciiTheme="minorHAnsi" w:hAnsiTheme="minorHAnsi" w:cstheme="minorHAnsi"/>
          <w:sz w:val="22"/>
          <w:szCs w:val="22"/>
        </w:rPr>
        <w:t xml:space="preserve"> </w:t>
      </w:r>
      <w:r w:rsidR="00B933D4" w:rsidRPr="00812D63">
        <w:rPr>
          <w:rFonts w:asciiTheme="minorHAnsi" w:hAnsiTheme="minorHAnsi" w:cstheme="minorHAnsi"/>
          <w:sz w:val="22"/>
          <w:szCs w:val="22"/>
        </w:rPr>
        <w:t xml:space="preserve">23 the Secretary </w:t>
      </w:r>
      <w:r>
        <w:rPr>
          <w:rFonts w:asciiTheme="minorHAnsi" w:hAnsiTheme="minorHAnsi" w:cstheme="minorHAnsi"/>
          <w:sz w:val="22"/>
          <w:szCs w:val="22"/>
        </w:rPr>
        <w:t>may</w:t>
      </w:r>
      <w:r w:rsidRPr="00812D63">
        <w:rPr>
          <w:rFonts w:asciiTheme="minorHAnsi" w:hAnsiTheme="minorHAnsi" w:cstheme="minorHAnsi"/>
          <w:sz w:val="22"/>
          <w:szCs w:val="22"/>
        </w:rPr>
        <w:t xml:space="preserve"> </w:t>
      </w:r>
      <w:r w:rsidR="00B933D4" w:rsidRPr="00812D63">
        <w:rPr>
          <w:rFonts w:asciiTheme="minorHAnsi" w:hAnsiTheme="minorHAnsi" w:cstheme="minorHAnsi"/>
          <w:sz w:val="22"/>
          <w:szCs w:val="22"/>
        </w:rPr>
        <w:t>request</w:t>
      </w:r>
      <w:r>
        <w:rPr>
          <w:rFonts w:asciiTheme="minorHAnsi" w:hAnsiTheme="minorHAnsi" w:cstheme="minorHAnsi"/>
          <w:sz w:val="22"/>
          <w:szCs w:val="22"/>
        </w:rPr>
        <w:t xml:space="preserve"> </w:t>
      </w:r>
      <w:r w:rsidR="00B933D4" w:rsidRPr="00812D63">
        <w:rPr>
          <w:rFonts w:asciiTheme="minorHAnsi" w:hAnsiTheme="minorHAnsi" w:cstheme="minorHAnsi"/>
          <w:sz w:val="22"/>
          <w:szCs w:val="22"/>
        </w:rPr>
        <w:t xml:space="preserve">an authorised alternative supplier to provide the information </w:t>
      </w:r>
      <w:r>
        <w:rPr>
          <w:rFonts w:asciiTheme="minorHAnsi" w:hAnsiTheme="minorHAnsi" w:cstheme="minorHAnsi"/>
          <w:sz w:val="22"/>
          <w:szCs w:val="22"/>
        </w:rPr>
        <w:t>mentioned in</w:t>
      </w:r>
      <w:r w:rsidR="00B933D4" w:rsidRPr="00812D63">
        <w:rPr>
          <w:rFonts w:asciiTheme="minorHAnsi" w:hAnsiTheme="minorHAnsi" w:cstheme="minorHAnsi"/>
          <w:sz w:val="22"/>
          <w:szCs w:val="22"/>
        </w:rPr>
        <w:t xml:space="preserve"> </w:t>
      </w:r>
      <w:r>
        <w:rPr>
          <w:rFonts w:asciiTheme="minorHAnsi" w:hAnsiTheme="minorHAnsi" w:cstheme="minorHAnsi"/>
          <w:sz w:val="22"/>
          <w:szCs w:val="22"/>
        </w:rPr>
        <w:t xml:space="preserve">ss </w:t>
      </w:r>
      <w:r w:rsidR="00B933D4" w:rsidRPr="00812D63">
        <w:rPr>
          <w:rFonts w:asciiTheme="minorHAnsi" w:hAnsiTheme="minorHAnsi" w:cstheme="minorHAnsi"/>
          <w:sz w:val="22"/>
          <w:szCs w:val="22"/>
        </w:rPr>
        <w:t xml:space="preserve">20(b) and (c) in relation to supplies that they </w:t>
      </w:r>
      <w:r>
        <w:rPr>
          <w:rFonts w:asciiTheme="minorHAnsi" w:hAnsiTheme="minorHAnsi" w:cstheme="minorHAnsi"/>
          <w:sz w:val="22"/>
          <w:szCs w:val="22"/>
        </w:rPr>
        <w:t>have made</w:t>
      </w:r>
      <w:r w:rsidRPr="00812D63">
        <w:rPr>
          <w:rFonts w:asciiTheme="minorHAnsi" w:hAnsiTheme="minorHAnsi" w:cstheme="minorHAnsi"/>
          <w:sz w:val="22"/>
          <w:szCs w:val="22"/>
        </w:rPr>
        <w:t xml:space="preserve"> </w:t>
      </w:r>
      <w:r w:rsidR="00B933D4" w:rsidRPr="00812D63">
        <w:rPr>
          <w:rFonts w:asciiTheme="minorHAnsi" w:hAnsiTheme="minorHAnsi" w:cstheme="minorHAnsi"/>
          <w:sz w:val="22"/>
          <w:szCs w:val="22"/>
        </w:rPr>
        <w:t xml:space="preserve">of designated pharmaceutical benefits to designated persons under </w:t>
      </w:r>
      <w:r w:rsidR="00FE0E79" w:rsidRPr="00812D63">
        <w:rPr>
          <w:rFonts w:asciiTheme="minorHAnsi" w:hAnsiTheme="minorHAnsi" w:cstheme="minorHAnsi"/>
          <w:sz w:val="22"/>
          <w:szCs w:val="22"/>
        </w:rPr>
        <w:t>th</w:t>
      </w:r>
      <w:r w:rsidR="00FE0E79">
        <w:rPr>
          <w:rFonts w:asciiTheme="minorHAnsi" w:hAnsiTheme="minorHAnsi" w:cstheme="minorHAnsi"/>
          <w:sz w:val="22"/>
          <w:szCs w:val="22"/>
        </w:rPr>
        <w:t>e</w:t>
      </w:r>
      <w:r w:rsidR="00FE0E79" w:rsidRPr="00812D63">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00B933D4" w:rsidRPr="00812D63">
        <w:rPr>
          <w:rFonts w:asciiTheme="minorHAnsi" w:hAnsiTheme="minorHAnsi" w:cstheme="minorHAnsi"/>
          <w:sz w:val="22"/>
          <w:szCs w:val="22"/>
        </w:rPr>
        <w:t xml:space="preserve">.  The </w:t>
      </w:r>
      <w:r>
        <w:rPr>
          <w:rFonts w:asciiTheme="minorHAnsi" w:hAnsiTheme="minorHAnsi" w:cstheme="minorHAnsi"/>
          <w:sz w:val="22"/>
          <w:szCs w:val="22"/>
        </w:rPr>
        <w:t xml:space="preserve">Secretary’s </w:t>
      </w:r>
      <w:r w:rsidR="00B933D4" w:rsidRPr="00812D63">
        <w:rPr>
          <w:rFonts w:asciiTheme="minorHAnsi" w:hAnsiTheme="minorHAnsi" w:cstheme="minorHAnsi"/>
          <w:sz w:val="22"/>
          <w:szCs w:val="22"/>
        </w:rPr>
        <w:t>request must be made in writing</w:t>
      </w:r>
      <w:r>
        <w:rPr>
          <w:rFonts w:asciiTheme="minorHAnsi" w:hAnsiTheme="minorHAnsi" w:cstheme="minorHAnsi"/>
          <w:sz w:val="22"/>
          <w:szCs w:val="22"/>
        </w:rPr>
        <w:t>,</w:t>
      </w:r>
      <w:r w:rsidR="00B933D4" w:rsidRPr="00812D63">
        <w:rPr>
          <w:rFonts w:asciiTheme="minorHAnsi" w:hAnsiTheme="minorHAnsi" w:cstheme="minorHAnsi"/>
          <w:sz w:val="22"/>
          <w:szCs w:val="22"/>
        </w:rPr>
        <w:t xml:space="preserve"> and </w:t>
      </w:r>
      <w:r>
        <w:rPr>
          <w:rFonts w:asciiTheme="minorHAnsi" w:hAnsiTheme="minorHAnsi" w:cstheme="minorHAnsi"/>
          <w:sz w:val="22"/>
          <w:szCs w:val="22"/>
        </w:rPr>
        <w:t>must specify a day for complying with the request which is</w:t>
      </w:r>
      <w:r w:rsidRPr="00812D63">
        <w:rPr>
          <w:rFonts w:asciiTheme="minorHAnsi" w:hAnsiTheme="minorHAnsi" w:cstheme="minorHAnsi"/>
          <w:sz w:val="22"/>
          <w:szCs w:val="22"/>
        </w:rPr>
        <w:t xml:space="preserve"> </w:t>
      </w:r>
      <w:r w:rsidR="00B933D4" w:rsidRPr="00812D63">
        <w:rPr>
          <w:rFonts w:asciiTheme="minorHAnsi" w:hAnsiTheme="minorHAnsi" w:cstheme="minorHAnsi"/>
          <w:sz w:val="22"/>
          <w:szCs w:val="22"/>
        </w:rPr>
        <w:t>a minimum of 28 days after the</w:t>
      </w:r>
      <w:r>
        <w:rPr>
          <w:rFonts w:asciiTheme="minorHAnsi" w:hAnsiTheme="minorHAnsi" w:cstheme="minorHAnsi"/>
          <w:sz w:val="22"/>
          <w:szCs w:val="22"/>
        </w:rPr>
        <w:t xml:space="preserve"> day of the</w:t>
      </w:r>
      <w:r w:rsidR="00B933D4" w:rsidRPr="00812D63">
        <w:rPr>
          <w:rFonts w:asciiTheme="minorHAnsi" w:hAnsiTheme="minorHAnsi" w:cstheme="minorHAnsi"/>
          <w:sz w:val="22"/>
          <w:szCs w:val="22"/>
        </w:rPr>
        <w:t xml:space="preserve"> request.</w:t>
      </w:r>
    </w:p>
    <w:p w14:paraId="181620F8" w14:textId="2F305F89" w:rsidR="002F344D" w:rsidRPr="00812D63" w:rsidRDefault="002F344D" w:rsidP="00C93AEF">
      <w:pPr>
        <w:keepNext/>
        <w:keepLines w:val="0"/>
        <w:spacing w:after="160"/>
        <w:jc w:val="left"/>
        <w:rPr>
          <w:rFonts w:asciiTheme="minorHAnsi" w:hAnsiTheme="minorHAnsi" w:cstheme="minorHAnsi"/>
          <w:b/>
          <w:sz w:val="24"/>
          <w:szCs w:val="24"/>
          <w:lang w:eastAsia="en-US"/>
        </w:rPr>
      </w:pPr>
      <w:bookmarkStart w:id="21" w:name="_Toc24385270"/>
      <w:r w:rsidRPr="00812D63">
        <w:rPr>
          <w:rFonts w:asciiTheme="minorHAnsi" w:hAnsiTheme="minorHAnsi" w:cstheme="minorHAnsi"/>
          <w:b/>
          <w:sz w:val="24"/>
          <w:szCs w:val="24"/>
          <w:lang w:eastAsia="en-US"/>
        </w:rPr>
        <w:t>Section 24</w:t>
      </w:r>
      <w:r w:rsidR="00874D0D"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Authorised alternative suppliers to supply information on request</w:t>
      </w:r>
      <w:bookmarkEnd w:id="21"/>
    </w:p>
    <w:p w14:paraId="0553901B" w14:textId="6347F76E" w:rsidR="008B6E99" w:rsidRPr="00812D63" w:rsidRDefault="00B933D4"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Section 24 requires an authorised alternative supplier to comply with any written request </w:t>
      </w:r>
      <w:r w:rsidR="007E3A70">
        <w:rPr>
          <w:rFonts w:asciiTheme="minorHAnsi" w:hAnsiTheme="minorHAnsi" w:cstheme="minorHAnsi"/>
          <w:sz w:val="22"/>
          <w:szCs w:val="22"/>
        </w:rPr>
        <w:t xml:space="preserve">for information </w:t>
      </w:r>
      <w:r w:rsidRPr="00812D63">
        <w:rPr>
          <w:rFonts w:asciiTheme="minorHAnsi" w:hAnsiTheme="minorHAnsi" w:cstheme="minorHAnsi"/>
          <w:sz w:val="22"/>
          <w:szCs w:val="22"/>
        </w:rPr>
        <w:t>made by the Secretary under s 23. The authorised alternative supplier must comply with the request by the date specified within the request.</w:t>
      </w:r>
    </w:p>
    <w:p w14:paraId="03324E86" w14:textId="77B6D0A4" w:rsidR="002F344D" w:rsidRPr="00812D63" w:rsidRDefault="002F344D" w:rsidP="00EC6236">
      <w:pPr>
        <w:keepNext/>
        <w:keepLines w:val="0"/>
        <w:spacing w:after="160"/>
        <w:jc w:val="left"/>
        <w:rPr>
          <w:rFonts w:asciiTheme="minorHAnsi" w:hAnsiTheme="minorHAnsi" w:cstheme="minorHAnsi"/>
          <w:b/>
          <w:sz w:val="24"/>
          <w:szCs w:val="24"/>
          <w:lang w:eastAsia="en-US"/>
        </w:rPr>
      </w:pPr>
      <w:bookmarkStart w:id="22" w:name="_Toc24385271"/>
      <w:r w:rsidRPr="00812D63">
        <w:rPr>
          <w:rFonts w:asciiTheme="minorHAnsi" w:hAnsiTheme="minorHAnsi" w:cstheme="minorHAnsi"/>
          <w:b/>
          <w:sz w:val="24"/>
          <w:szCs w:val="24"/>
          <w:lang w:eastAsia="en-US"/>
        </w:rPr>
        <w:lastRenderedPageBreak/>
        <w:t>Section 25</w:t>
      </w:r>
      <w:r w:rsidR="00B933D4" w:rsidRPr="00812D63">
        <w:rPr>
          <w:rFonts w:asciiTheme="minorHAnsi" w:hAnsiTheme="minorHAnsi" w:cstheme="minorHAnsi"/>
          <w:b/>
          <w:sz w:val="24"/>
          <w:szCs w:val="24"/>
          <w:lang w:eastAsia="en-US"/>
        </w:rPr>
        <w:tab/>
      </w:r>
      <w:r w:rsidRPr="00812D63">
        <w:rPr>
          <w:rFonts w:asciiTheme="minorHAnsi" w:hAnsiTheme="minorHAnsi" w:cstheme="minorHAnsi"/>
          <w:b/>
          <w:sz w:val="24"/>
          <w:szCs w:val="24"/>
          <w:lang w:eastAsia="en-US"/>
        </w:rPr>
        <w:t>Secretary may authorise persons to perform functions or exercise powers</w:t>
      </w:r>
      <w:bookmarkEnd w:id="22"/>
    </w:p>
    <w:p w14:paraId="5FF8862D" w14:textId="3D61ED18" w:rsidR="00AA1012" w:rsidRDefault="00AA1012" w:rsidP="00473013">
      <w:pPr>
        <w:spacing w:after="160"/>
        <w:jc w:val="left"/>
        <w:rPr>
          <w:rFonts w:asciiTheme="minorHAnsi" w:hAnsiTheme="minorHAnsi" w:cstheme="minorHAnsi"/>
          <w:sz w:val="22"/>
          <w:szCs w:val="22"/>
        </w:rPr>
      </w:pPr>
      <w:r>
        <w:rPr>
          <w:rFonts w:asciiTheme="minorHAnsi" w:hAnsiTheme="minorHAnsi" w:cstheme="minorHAnsi"/>
          <w:sz w:val="22"/>
          <w:szCs w:val="22"/>
        </w:rPr>
        <w:t>Sub</w:t>
      </w:r>
      <w:r w:rsidR="008D2E9F">
        <w:rPr>
          <w:rFonts w:asciiTheme="minorHAnsi" w:hAnsiTheme="minorHAnsi" w:cstheme="minorHAnsi"/>
          <w:sz w:val="22"/>
          <w:szCs w:val="22"/>
        </w:rPr>
        <w:t>s</w:t>
      </w:r>
      <w:r>
        <w:rPr>
          <w:rFonts w:asciiTheme="minorHAnsi" w:hAnsiTheme="minorHAnsi" w:cstheme="minorHAnsi"/>
          <w:sz w:val="22"/>
          <w:szCs w:val="22"/>
        </w:rPr>
        <w:t>ection 25(1)</w:t>
      </w:r>
      <w:r w:rsidR="008B6E99" w:rsidRPr="00812D63">
        <w:rPr>
          <w:rFonts w:asciiTheme="minorHAnsi" w:hAnsiTheme="minorHAnsi" w:cstheme="minorHAnsi"/>
          <w:sz w:val="22"/>
          <w:szCs w:val="22"/>
        </w:rPr>
        <w:t xml:space="preserve"> </w:t>
      </w:r>
      <w:r>
        <w:rPr>
          <w:rFonts w:asciiTheme="minorHAnsi" w:hAnsiTheme="minorHAnsi" w:cstheme="minorHAnsi"/>
          <w:sz w:val="22"/>
          <w:szCs w:val="22"/>
        </w:rPr>
        <w:t>empowers</w:t>
      </w:r>
      <w:r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 xml:space="preserve">the Secretary to </w:t>
      </w:r>
      <w:r>
        <w:rPr>
          <w:rFonts w:asciiTheme="minorHAnsi" w:hAnsiTheme="minorHAnsi" w:cstheme="minorHAnsi"/>
          <w:sz w:val="22"/>
          <w:szCs w:val="22"/>
        </w:rPr>
        <w:t>authorise</w:t>
      </w:r>
      <w:r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a third party, with suitable qualifications and experience, to perform</w:t>
      </w:r>
      <w:r w:rsidR="008F6D06">
        <w:rPr>
          <w:rFonts w:asciiTheme="minorHAnsi" w:hAnsiTheme="minorHAnsi" w:cstheme="minorHAnsi"/>
          <w:sz w:val="22"/>
          <w:szCs w:val="22"/>
        </w:rPr>
        <w:t xml:space="preserve"> any of the Secretary’s</w:t>
      </w:r>
      <w:r w:rsidR="008B6E99" w:rsidRPr="00812D63">
        <w:rPr>
          <w:rFonts w:asciiTheme="minorHAnsi" w:hAnsiTheme="minorHAnsi" w:cstheme="minorHAnsi"/>
          <w:sz w:val="22"/>
          <w:szCs w:val="22"/>
        </w:rPr>
        <w:t xml:space="preserve"> functions </w:t>
      </w:r>
      <w:r w:rsidR="008F6D06">
        <w:rPr>
          <w:rFonts w:asciiTheme="minorHAnsi" w:hAnsiTheme="minorHAnsi" w:cstheme="minorHAnsi"/>
          <w:sz w:val="22"/>
          <w:szCs w:val="22"/>
        </w:rPr>
        <w:t xml:space="preserve">or </w:t>
      </w:r>
      <w:r>
        <w:rPr>
          <w:rFonts w:asciiTheme="minorHAnsi" w:hAnsiTheme="minorHAnsi" w:cstheme="minorHAnsi"/>
          <w:sz w:val="22"/>
          <w:szCs w:val="22"/>
        </w:rPr>
        <w:t xml:space="preserve">exercise any of the Secretary’s </w:t>
      </w:r>
      <w:r w:rsidR="008F6D06">
        <w:rPr>
          <w:rFonts w:asciiTheme="minorHAnsi" w:hAnsiTheme="minorHAnsi" w:cstheme="minorHAnsi"/>
          <w:sz w:val="22"/>
          <w:szCs w:val="22"/>
        </w:rPr>
        <w:t>powers under the</w:t>
      </w:r>
      <w:r>
        <w:rPr>
          <w:rFonts w:asciiTheme="minorHAnsi" w:hAnsiTheme="minorHAnsi" w:cstheme="minorHAnsi"/>
          <w:sz w:val="22"/>
          <w:szCs w:val="22"/>
        </w:rPr>
        <w:t xml:space="preserve">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 xml:space="preserve">This </w:t>
      </w:r>
      <w:r>
        <w:rPr>
          <w:rFonts w:asciiTheme="minorHAnsi" w:hAnsiTheme="minorHAnsi" w:cstheme="minorHAnsi"/>
          <w:sz w:val="22"/>
          <w:szCs w:val="22"/>
        </w:rPr>
        <w:t>authorisation</w:t>
      </w:r>
      <w:r w:rsidRPr="00812D63">
        <w:rPr>
          <w:rFonts w:asciiTheme="minorHAnsi" w:hAnsiTheme="minorHAnsi" w:cstheme="minorHAnsi"/>
          <w:sz w:val="22"/>
          <w:szCs w:val="22"/>
        </w:rPr>
        <w:t xml:space="preserve"> </w:t>
      </w:r>
      <w:r>
        <w:rPr>
          <w:rFonts w:asciiTheme="minorHAnsi" w:hAnsiTheme="minorHAnsi" w:cstheme="minorHAnsi"/>
          <w:sz w:val="22"/>
          <w:szCs w:val="22"/>
        </w:rPr>
        <w:t xml:space="preserve">must be in writing. </w:t>
      </w:r>
    </w:p>
    <w:p w14:paraId="63740D08" w14:textId="7B874D51" w:rsidR="00AA1012" w:rsidRDefault="00AA1012" w:rsidP="00473013">
      <w:pPr>
        <w:spacing w:after="160"/>
        <w:jc w:val="left"/>
        <w:rPr>
          <w:rFonts w:asciiTheme="minorHAnsi" w:hAnsiTheme="minorHAnsi" w:cstheme="minorHAnsi"/>
          <w:sz w:val="22"/>
          <w:szCs w:val="22"/>
        </w:rPr>
      </w:pPr>
      <w:r>
        <w:rPr>
          <w:rFonts w:asciiTheme="minorHAnsi" w:hAnsiTheme="minorHAnsi" w:cstheme="minorHAnsi"/>
          <w:sz w:val="22"/>
          <w:szCs w:val="22"/>
        </w:rPr>
        <w:t>Subsection 25(2) provides that the authorisation may</w:t>
      </w:r>
      <w:r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 xml:space="preserve">be </w:t>
      </w:r>
      <w:r>
        <w:rPr>
          <w:rFonts w:asciiTheme="minorHAnsi" w:hAnsiTheme="minorHAnsi" w:cstheme="minorHAnsi"/>
          <w:sz w:val="22"/>
          <w:szCs w:val="22"/>
        </w:rPr>
        <w:t>in the form of a contract entered into by the Secretary</w:t>
      </w:r>
      <w:r w:rsidRPr="00812D63">
        <w:rPr>
          <w:rFonts w:asciiTheme="minorHAnsi" w:hAnsiTheme="minorHAnsi" w:cstheme="minorHAnsi"/>
          <w:sz w:val="22"/>
          <w:szCs w:val="22"/>
        </w:rPr>
        <w:t xml:space="preserve"> </w:t>
      </w:r>
      <w:r w:rsidR="008B6E99" w:rsidRPr="00812D63">
        <w:rPr>
          <w:rFonts w:asciiTheme="minorHAnsi" w:hAnsiTheme="minorHAnsi" w:cstheme="minorHAnsi"/>
          <w:sz w:val="22"/>
          <w:szCs w:val="22"/>
        </w:rPr>
        <w:t>on behalf of the Commonwealth.</w:t>
      </w:r>
      <w:r w:rsidR="00B933D4" w:rsidRPr="00812D63">
        <w:rPr>
          <w:rFonts w:asciiTheme="minorHAnsi" w:hAnsiTheme="minorHAnsi" w:cstheme="minorHAnsi"/>
          <w:sz w:val="22"/>
          <w:szCs w:val="22"/>
        </w:rPr>
        <w:t xml:space="preserve">  </w:t>
      </w:r>
    </w:p>
    <w:p w14:paraId="2DF7860C" w14:textId="10AE0840" w:rsidR="008B6E99" w:rsidRPr="00812D63" w:rsidRDefault="00B933D4"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 xml:space="preserve">A person authorised under </w:t>
      </w:r>
      <w:r w:rsidR="00AA1012">
        <w:rPr>
          <w:rFonts w:asciiTheme="minorHAnsi" w:hAnsiTheme="minorHAnsi" w:cstheme="minorHAnsi"/>
          <w:sz w:val="22"/>
          <w:szCs w:val="22"/>
        </w:rPr>
        <w:t>s 25</w:t>
      </w:r>
      <w:r w:rsidRPr="00812D63">
        <w:rPr>
          <w:rFonts w:asciiTheme="minorHAnsi" w:hAnsiTheme="minorHAnsi" w:cstheme="minorHAnsi"/>
          <w:sz w:val="22"/>
          <w:szCs w:val="22"/>
        </w:rPr>
        <w:t xml:space="preserve"> must comply with any directions issue</w:t>
      </w:r>
      <w:r w:rsidR="0026557C">
        <w:rPr>
          <w:rFonts w:asciiTheme="minorHAnsi" w:hAnsiTheme="minorHAnsi" w:cstheme="minorHAnsi"/>
          <w:sz w:val="22"/>
          <w:szCs w:val="22"/>
        </w:rPr>
        <w:t>d</w:t>
      </w:r>
      <w:r w:rsidRPr="00812D63">
        <w:rPr>
          <w:rFonts w:asciiTheme="minorHAnsi" w:hAnsiTheme="minorHAnsi" w:cstheme="minorHAnsi"/>
          <w:sz w:val="22"/>
          <w:szCs w:val="22"/>
        </w:rPr>
        <w:t xml:space="preserve"> by the Secretary in relation to the performance of the functions or exercise of the powers specified in the authorisation</w:t>
      </w:r>
      <w:r w:rsidR="00AA1012">
        <w:rPr>
          <w:rFonts w:asciiTheme="minorHAnsi" w:hAnsiTheme="minorHAnsi" w:cstheme="minorHAnsi"/>
          <w:sz w:val="22"/>
          <w:szCs w:val="22"/>
        </w:rPr>
        <w:t xml:space="preserve"> (s 25(3))</w:t>
      </w:r>
      <w:r w:rsidR="0026557C">
        <w:rPr>
          <w:rFonts w:asciiTheme="minorHAnsi" w:hAnsiTheme="minorHAnsi" w:cstheme="minorHAnsi"/>
          <w:sz w:val="22"/>
          <w:szCs w:val="22"/>
        </w:rPr>
        <w:t>.</w:t>
      </w:r>
    </w:p>
    <w:p w14:paraId="588828F7" w14:textId="543CE96C" w:rsidR="004034A7" w:rsidRPr="00812D63" w:rsidRDefault="004034A7" w:rsidP="00473013">
      <w:pPr>
        <w:keepNext/>
        <w:spacing w:after="160"/>
        <w:jc w:val="left"/>
        <w:rPr>
          <w:rFonts w:asciiTheme="minorHAnsi" w:hAnsiTheme="minorHAnsi" w:cstheme="minorHAnsi"/>
          <w:b/>
          <w:sz w:val="24"/>
          <w:szCs w:val="24"/>
        </w:rPr>
      </w:pPr>
      <w:r w:rsidRPr="00812D63">
        <w:rPr>
          <w:rFonts w:asciiTheme="minorHAnsi" w:hAnsiTheme="minorHAnsi" w:cstheme="minorHAnsi"/>
          <w:b/>
          <w:sz w:val="24"/>
          <w:szCs w:val="24"/>
        </w:rPr>
        <w:t>Schedule 1 – Designated pharmaceutical benefits and maximum quantities or numbers of units</w:t>
      </w:r>
    </w:p>
    <w:p w14:paraId="7A988410" w14:textId="3FD3A77B" w:rsidR="004034A7" w:rsidRPr="00812D63" w:rsidRDefault="00AA1012" w:rsidP="00473013">
      <w:pPr>
        <w:keepNext/>
        <w:spacing w:after="160"/>
        <w:jc w:val="left"/>
        <w:rPr>
          <w:rFonts w:asciiTheme="minorHAnsi" w:hAnsiTheme="minorHAnsi" w:cstheme="minorHAnsi"/>
          <w:sz w:val="24"/>
          <w:szCs w:val="24"/>
        </w:rPr>
      </w:pPr>
      <w:r>
        <w:rPr>
          <w:rFonts w:asciiTheme="minorHAnsi" w:hAnsiTheme="minorHAnsi" w:cstheme="minorHAnsi"/>
          <w:b/>
          <w:sz w:val="24"/>
          <w:szCs w:val="24"/>
        </w:rPr>
        <w:t>Clause</w:t>
      </w:r>
      <w:r w:rsidRPr="00812D63">
        <w:rPr>
          <w:rFonts w:asciiTheme="minorHAnsi" w:hAnsiTheme="minorHAnsi" w:cstheme="minorHAnsi"/>
          <w:b/>
          <w:sz w:val="24"/>
          <w:szCs w:val="24"/>
        </w:rPr>
        <w:t xml:space="preserve"> </w:t>
      </w:r>
      <w:r w:rsidR="004034A7" w:rsidRPr="00812D63">
        <w:rPr>
          <w:rFonts w:asciiTheme="minorHAnsi" w:hAnsiTheme="minorHAnsi" w:cstheme="minorHAnsi"/>
          <w:b/>
          <w:sz w:val="24"/>
          <w:szCs w:val="24"/>
        </w:rPr>
        <w:t>1</w:t>
      </w:r>
      <w:r w:rsidR="004034A7" w:rsidRPr="00812D63">
        <w:rPr>
          <w:rFonts w:asciiTheme="minorHAnsi" w:hAnsiTheme="minorHAnsi" w:cstheme="minorHAnsi"/>
          <w:b/>
          <w:sz w:val="24"/>
          <w:szCs w:val="24"/>
        </w:rPr>
        <w:tab/>
        <w:t>Designated pharmaceutical benefits</w:t>
      </w:r>
    </w:p>
    <w:p w14:paraId="0A99AE43" w14:textId="097C30BE" w:rsidR="00002F5B" w:rsidRPr="00812D63" w:rsidRDefault="00002F5B" w:rsidP="00473013">
      <w:pPr>
        <w:spacing w:after="160"/>
        <w:jc w:val="left"/>
        <w:rPr>
          <w:rFonts w:asciiTheme="minorHAnsi" w:hAnsiTheme="minorHAnsi" w:cstheme="minorHAnsi"/>
          <w:sz w:val="22"/>
          <w:szCs w:val="22"/>
        </w:rPr>
      </w:pPr>
      <w:r w:rsidRPr="00812D63">
        <w:rPr>
          <w:rFonts w:asciiTheme="minorHAnsi" w:hAnsiTheme="minorHAnsi" w:cstheme="minorHAnsi"/>
          <w:sz w:val="22"/>
          <w:szCs w:val="22"/>
        </w:rPr>
        <w:t>Th</w:t>
      </w:r>
      <w:r w:rsidR="00AA1012">
        <w:rPr>
          <w:rFonts w:asciiTheme="minorHAnsi" w:hAnsiTheme="minorHAnsi" w:cstheme="minorHAnsi"/>
          <w:sz w:val="22"/>
          <w:szCs w:val="22"/>
        </w:rPr>
        <w:t>e table in this</w:t>
      </w:r>
      <w:r w:rsidRPr="00812D63">
        <w:rPr>
          <w:rFonts w:asciiTheme="minorHAnsi" w:hAnsiTheme="minorHAnsi" w:cstheme="minorHAnsi"/>
          <w:sz w:val="22"/>
          <w:szCs w:val="22"/>
        </w:rPr>
        <w:t xml:space="preserve"> </w:t>
      </w:r>
      <w:r w:rsidR="00AA1012">
        <w:rPr>
          <w:rFonts w:asciiTheme="minorHAnsi" w:hAnsiTheme="minorHAnsi" w:cstheme="minorHAnsi"/>
          <w:sz w:val="22"/>
          <w:szCs w:val="22"/>
        </w:rPr>
        <w:t xml:space="preserve">clause </w:t>
      </w:r>
      <w:r w:rsidRPr="00812D63">
        <w:rPr>
          <w:rFonts w:asciiTheme="minorHAnsi" w:hAnsiTheme="minorHAnsi" w:cstheme="minorHAnsi"/>
          <w:sz w:val="22"/>
          <w:szCs w:val="22"/>
        </w:rPr>
        <w:t xml:space="preserve">sets out </w:t>
      </w:r>
      <w:r w:rsidR="00AA1012">
        <w:rPr>
          <w:rFonts w:asciiTheme="minorHAnsi" w:hAnsiTheme="minorHAnsi" w:cstheme="minorHAnsi"/>
          <w:sz w:val="22"/>
          <w:szCs w:val="22"/>
        </w:rPr>
        <w:t>each</w:t>
      </w:r>
      <w:r w:rsidR="00AA1012"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pharmaceutical benefit that </w:t>
      </w:r>
      <w:r w:rsidR="007F4692" w:rsidRPr="00812D63">
        <w:rPr>
          <w:rFonts w:asciiTheme="minorHAnsi" w:hAnsiTheme="minorHAnsi" w:cstheme="minorHAnsi"/>
          <w:sz w:val="22"/>
          <w:szCs w:val="22"/>
        </w:rPr>
        <w:t>is</w:t>
      </w:r>
      <w:r w:rsidRPr="00812D63">
        <w:rPr>
          <w:rFonts w:asciiTheme="minorHAnsi" w:hAnsiTheme="minorHAnsi" w:cstheme="minorHAnsi"/>
          <w:sz w:val="22"/>
          <w:szCs w:val="22"/>
        </w:rPr>
        <w:t xml:space="preserve"> a designated pharmaceutical benefit for the purposes of this </w:t>
      </w:r>
      <w:r w:rsidR="005C5D16">
        <w:rPr>
          <w:rFonts w:asciiTheme="minorHAnsi" w:hAnsiTheme="minorHAnsi" w:cstheme="minorHAnsi"/>
          <w:sz w:val="22"/>
          <w:szCs w:val="22"/>
        </w:rPr>
        <w:t>Arrangement</w:t>
      </w:r>
      <w:r w:rsidR="00B3425F" w:rsidRPr="00812D63">
        <w:rPr>
          <w:rFonts w:asciiTheme="minorHAnsi" w:hAnsiTheme="minorHAnsi" w:cstheme="minorHAnsi"/>
          <w:sz w:val="22"/>
          <w:szCs w:val="22"/>
        </w:rPr>
        <w:t xml:space="preserve">. </w:t>
      </w:r>
      <w:r w:rsidRPr="00812D63">
        <w:rPr>
          <w:rFonts w:asciiTheme="minorHAnsi" w:hAnsiTheme="minorHAnsi" w:cstheme="minorHAnsi"/>
          <w:sz w:val="22"/>
          <w:szCs w:val="22"/>
        </w:rPr>
        <w:t xml:space="preserve">The </w:t>
      </w:r>
      <w:r w:rsidR="00AA1012">
        <w:rPr>
          <w:rFonts w:asciiTheme="minorHAnsi" w:hAnsiTheme="minorHAnsi" w:cstheme="minorHAnsi"/>
          <w:sz w:val="22"/>
          <w:szCs w:val="22"/>
        </w:rPr>
        <w:t>table</w:t>
      </w:r>
      <w:r w:rsidRPr="00812D63">
        <w:rPr>
          <w:rFonts w:asciiTheme="minorHAnsi" w:hAnsiTheme="minorHAnsi" w:cstheme="minorHAnsi"/>
          <w:sz w:val="22"/>
          <w:szCs w:val="22"/>
        </w:rPr>
        <w:t xml:space="preserve"> sets out </w:t>
      </w:r>
      <w:r w:rsidR="007B226C">
        <w:rPr>
          <w:rFonts w:asciiTheme="minorHAnsi" w:hAnsiTheme="minorHAnsi" w:cstheme="minorHAnsi"/>
          <w:sz w:val="22"/>
          <w:szCs w:val="22"/>
        </w:rPr>
        <w:t xml:space="preserve">that naloxone in the forms and </w:t>
      </w:r>
      <w:r w:rsidR="007E3A70">
        <w:rPr>
          <w:rFonts w:asciiTheme="minorHAnsi" w:hAnsiTheme="minorHAnsi" w:cstheme="minorHAnsi"/>
          <w:sz w:val="22"/>
          <w:szCs w:val="22"/>
        </w:rPr>
        <w:t xml:space="preserve">of the </w:t>
      </w:r>
      <w:r w:rsidR="007B226C">
        <w:rPr>
          <w:rFonts w:asciiTheme="minorHAnsi" w:hAnsiTheme="minorHAnsi" w:cstheme="minorHAnsi"/>
          <w:sz w:val="22"/>
          <w:szCs w:val="22"/>
        </w:rPr>
        <w:t>brands specified, administered in the manners specified</w:t>
      </w:r>
      <w:r w:rsidR="007E3A70">
        <w:rPr>
          <w:rFonts w:asciiTheme="minorHAnsi" w:hAnsiTheme="minorHAnsi" w:cstheme="minorHAnsi"/>
          <w:sz w:val="22"/>
          <w:szCs w:val="22"/>
        </w:rPr>
        <w:t>,</w:t>
      </w:r>
      <w:r w:rsidR="007B226C">
        <w:rPr>
          <w:rFonts w:asciiTheme="minorHAnsi" w:hAnsiTheme="minorHAnsi" w:cstheme="minorHAnsi"/>
          <w:sz w:val="22"/>
          <w:szCs w:val="22"/>
        </w:rPr>
        <w:t xml:space="preserve"> and </w:t>
      </w:r>
      <w:r w:rsidR="00CF3AA0">
        <w:rPr>
          <w:rFonts w:asciiTheme="minorHAnsi" w:hAnsiTheme="minorHAnsi" w:cstheme="minorHAnsi"/>
          <w:sz w:val="22"/>
          <w:szCs w:val="22"/>
        </w:rPr>
        <w:t>to the maximum quantity specified</w:t>
      </w:r>
      <w:r w:rsidR="007E3A70">
        <w:rPr>
          <w:rFonts w:asciiTheme="minorHAnsi" w:hAnsiTheme="minorHAnsi" w:cstheme="minorHAnsi"/>
          <w:sz w:val="22"/>
          <w:szCs w:val="22"/>
        </w:rPr>
        <w:t>,</w:t>
      </w:r>
      <w:r w:rsidR="00CF3AA0">
        <w:rPr>
          <w:rFonts w:asciiTheme="minorHAnsi" w:hAnsiTheme="minorHAnsi" w:cstheme="minorHAnsi"/>
          <w:sz w:val="22"/>
          <w:szCs w:val="22"/>
        </w:rPr>
        <w:t xml:space="preserve"> will be a designated pharmaceutical benefit.  </w:t>
      </w:r>
    </w:p>
    <w:p w14:paraId="48B3E9BC" w14:textId="77777777" w:rsidR="009D3A18" w:rsidRPr="00812D63" w:rsidRDefault="00CF4F84" w:rsidP="005D5CD3">
      <w:pPr>
        <w:spacing w:after="240"/>
        <w:jc w:val="left"/>
        <w:rPr>
          <w:rFonts w:asciiTheme="minorHAnsi" w:hAnsiTheme="minorHAnsi" w:cstheme="minorHAnsi"/>
          <w:b/>
          <w:i/>
          <w:sz w:val="24"/>
          <w:szCs w:val="24"/>
        </w:rPr>
      </w:pPr>
      <w:r w:rsidRPr="00812D63">
        <w:rPr>
          <w:rFonts w:asciiTheme="minorHAnsi" w:hAnsiTheme="minorHAnsi" w:cstheme="minorHAnsi"/>
          <w:sz w:val="24"/>
          <w:szCs w:val="24"/>
        </w:rPr>
        <w:br w:type="page"/>
      </w:r>
    </w:p>
    <w:p w14:paraId="391ABEFE" w14:textId="77777777" w:rsidR="0038460B" w:rsidRPr="00812D63" w:rsidRDefault="0038460B" w:rsidP="005D5CD3">
      <w:pPr>
        <w:spacing w:after="240"/>
        <w:jc w:val="left"/>
        <w:rPr>
          <w:rFonts w:asciiTheme="minorHAnsi" w:hAnsiTheme="minorHAnsi" w:cstheme="minorHAnsi"/>
          <w:sz w:val="24"/>
          <w:szCs w:val="24"/>
        </w:rPr>
      </w:pPr>
    </w:p>
    <w:p w14:paraId="521DFB80" w14:textId="77777777" w:rsidR="009D3A18" w:rsidRPr="00812D63" w:rsidRDefault="0072797E" w:rsidP="005D5CD3">
      <w:pPr>
        <w:spacing w:after="240"/>
        <w:jc w:val="left"/>
        <w:rPr>
          <w:rFonts w:asciiTheme="minorHAnsi" w:hAnsiTheme="minorHAnsi" w:cstheme="minorHAnsi"/>
          <w:sz w:val="24"/>
          <w:szCs w:val="24"/>
        </w:rPr>
      </w:pPr>
      <w:r w:rsidRPr="00812D63">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022095B" wp14:editId="64CDD095">
                <wp:simplePos x="0" y="0"/>
                <wp:positionH relativeFrom="column">
                  <wp:posOffset>-332105</wp:posOffset>
                </wp:positionH>
                <wp:positionV relativeFrom="paragraph">
                  <wp:posOffset>-534670</wp:posOffset>
                </wp:positionV>
                <wp:extent cx="6162675" cy="96012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601200"/>
                        </a:xfrm>
                        <a:prstGeom prst="rect">
                          <a:avLst/>
                        </a:prstGeom>
                        <a:solidFill>
                          <a:srgbClr val="FFFFFF"/>
                        </a:solidFill>
                        <a:ln w="76200" cmpd="tri">
                          <a:solidFill>
                            <a:srgbClr val="000000"/>
                          </a:solidFill>
                          <a:miter lim="800000"/>
                          <a:headEnd/>
                          <a:tailEnd/>
                        </a:ln>
                      </wps:spPr>
                      <wps:txbx>
                        <w:txbxContent>
                          <w:p w14:paraId="1E487D15" w14:textId="77777777" w:rsidR="00326590" w:rsidRPr="00812D63" w:rsidRDefault="00326590" w:rsidP="00A264B1">
                            <w:pPr>
                              <w:spacing w:before="120"/>
                              <w:jc w:val="center"/>
                              <w:rPr>
                                <w:rFonts w:asciiTheme="minorHAnsi" w:hAnsiTheme="minorHAnsi" w:cstheme="minorHAnsi"/>
                                <w:b/>
                                <w:sz w:val="26"/>
                                <w:szCs w:val="26"/>
                              </w:rPr>
                            </w:pPr>
                            <w:r w:rsidRPr="00812D63">
                              <w:rPr>
                                <w:rFonts w:asciiTheme="minorHAnsi" w:hAnsiTheme="minorHAnsi" w:cstheme="minorHAnsi"/>
                                <w:b/>
                                <w:sz w:val="26"/>
                                <w:szCs w:val="26"/>
                              </w:rPr>
                              <w:t>Statement of Compatibility with Human Rights</w:t>
                            </w:r>
                          </w:p>
                          <w:p w14:paraId="5DF36206" w14:textId="77777777" w:rsidR="00326590" w:rsidRPr="00812D63" w:rsidRDefault="00326590" w:rsidP="00A264B1">
                            <w:pPr>
                              <w:spacing w:before="120"/>
                              <w:jc w:val="center"/>
                              <w:rPr>
                                <w:rFonts w:asciiTheme="minorHAnsi" w:hAnsiTheme="minorHAnsi" w:cstheme="minorHAnsi"/>
                                <w:i/>
                                <w:sz w:val="18"/>
                                <w:szCs w:val="18"/>
                              </w:rPr>
                            </w:pPr>
                            <w:r w:rsidRPr="00812D63">
                              <w:rPr>
                                <w:rFonts w:asciiTheme="minorHAnsi" w:hAnsiTheme="minorHAnsi" w:cstheme="minorHAnsi"/>
                                <w:i/>
                                <w:sz w:val="18"/>
                                <w:szCs w:val="18"/>
                              </w:rPr>
                              <w:t>Prepared in accordance with Part 3 of the Human Rights (Parliamentary Scrutiny) Act 2011</w:t>
                            </w:r>
                          </w:p>
                          <w:p w14:paraId="5D046063" w14:textId="77777777" w:rsidR="00326590" w:rsidRPr="00812D63" w:rsidRDefault="00326590" w:rsidP="00586745">
                            <w:pPr>
                              <w:spacing w:after="0"/>
                              <w:jc w:val="center"/>
                              <w:rPr>
                                <w:rFonts w:asciiTheme="minorHAnsi" w:hAnsiTheme="minorHAnsi" w:cstheme="minorHAnsi"/>
                                <w:sz w:val="18"/>
                                <w:szCs w:val="18"/>
                              </w:rPr>
                            </w:pPr>
                          </w:p>
                          <w:p w14:paraId="0BF29880" w14:textId="163EFCBC" w:rsidR="00326590" w:rsidRPr="00812D63" w:rsidRDefault="00326590" w:rsidP="00CA2141">
                            <w:pPr>
                              <w:pStyle w:val="Heading4"/>
                              <w:spacing w:after="0"/>
                              <w:rPr>
                                <w:rFonts w:asciiTheme="minorHAnsi" w:hAnsiTheme="minorHAnsi" w:cstheme="minorHAnsi"/>
                                <w:i/>
                                <w:sz w:val="24"/>
                                <w:szCs w:val="24"/>
                                <w:lang w:eastAsia="en-US"/>
                              </w:rPr>
                            </w:pPr>
                            <w:r w:rsidRPr="00812D63">
                              <w:rPr>
                                <w:rFonts w:asciiTheme="minorHAnsi" w:hAnsiTheme="minorHAnsi" w:cstheme="minorHAnsi"/>
                                <w:i/>
                                <w:sz w:val="24"/>
                                <w:szCs w:val="24"/>
                              </w:rPr>
                              <w:t>National Health (Take Home Naloxone Pilot) Special Arrangement 2019</w:t>
                            </w:r>
                          </w:p>
                          <w:p w14:paraId="74D11481" w14:textId="77777777" w:rsidR="00326590" w:rsidRPr="00812D63" w:rsidRDefault="00326590" w:rsidP="00CA2141">
                            <w:pPr>
                              <w:pStyle w:val="Heading4"/>
                              <w:spacing w:after="0"/>
                              <w:rPr>
                                <w:rFonts w:asciiTheme="minorHAnsi" w:hAnsiTheme="minorHAnsi" w:cstheme="minorHAnsi"/>
                                <w:b w:val="0"/>
                                <w:sz w:val="22"/>
                                <w:szCs w:val="22"/>
                              </w:rPr>
                            </w:pPr>
                          </w:p>
                          <w:p w14:paraId="140C86F0" w14:textId="646443E3" w:rsidR="00326590" w:rsidRPr="00812D63" w:rsidRDefault="00326590" w:rsidP="003B03B7">
                            <w:pPr>
                              <w:spacing w:after="0"/>
                              <w:jc w:val="center"/>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i/>
                                <w:sz w:val="22"/>
                                <w:szCs w:val="22"/>
                              </w:rPr>
                              <w:t xml:space="preserve">National Health (Take Home Naloxone Pilot) Special Arrangement 2019 </w:t>
                            </w:r>
                            <w:r w:rsidR="00AD7866">
                              <w:rPr>
                                <w:rFonts w:asciiTheme="minorHAnsi" w:hAnsiTheme="minorHAnsi" w:cstheme="minorHAnsi"/>
                                <w:sz w:val="22"/>
                                <w:szCs w:val="22"/>
                              </w:rPr>
                              <w:t>(the Arrangement)</w:t>
                            </w:r>
                            <w:r w:rsidRPr="00812D63">
                              <w:rPr>
                                <w:rFonts w:asciiTheme="minorHAnsi" w:hAnsiTheme="minorHAnsi" w:cstheme="minorHAnsi"/>
                                <w:sz w:val="22"/>
                                <w:szCs w:val="22"/>
                              </w:rPr>
                              <w:t xml:space="preserve"> is compatible with the human rights and freedoms recognised or declared in the international instruments listed in section 3 of the </w:t>
                            </w:r>
                            <w:r w:rsidRPr="00812D63">
                              <w:rPr>
                                <w:rFonts w:asciiTheme="minorHAnsi" w:hAnsiTheme="minorHAnsi" w:cstheme="minorHAnsi"/>
                                <w:i/>
                                <w:sz w:val="22"/>
                                <w:szCs w:val="22"/>
                              </w:rPr>
                              <w:t>Human Rights (Parliamentary Scrutiny) Act</w:t>
                            </w:r>
                            <w:r w:rsidR="00AD7866">
                              <w:rPr>
                                <w:rFonts w:asciiTheme="minorHAnsi" w:hAnsiTheme="minorHAnsi" w:cstheme="minorHAnsi"/>
                                <w:i/>
                                <w:sz w:val="22"/>
                                <w:szCs w:val="22"/>
                              </w:rPr>
                              <w:t> </w:t>
                            </w:r>
                            <w:r w:rsidRPr="00812D63">
                              <w:rPr>
                                <w:rFonts w:asciiTheme="minorHAnsi" w:hAnsiTheme="minorHAnsi" w:cstheme="minorHAnsi"/>
                                <w:i/>
                                <w:sz w:val="22"/>
                                <w:szCs w:val="22"/>
                              </w:rPr>
                              <w:t>2011</w:t>
                            </w:r>
                            <w:r w:rsidRPr="00812D63">
                              <w:rPr>
                                <w:rFonts w:asciiTheme="minorHAnsi" w:hAnsiTheme="minorHAnsi" w:cstheme="minorHAnsi"/>
                                <w:sz w:val="22"/>
                                <w:szCs w:val="22"/>
                              </w:rPr>
                              <w:t>.</w:t>
                            </w:r>
                          </w:p>
                          <w:p w14:paraId="3FA15238" w14:textId="77777777" w:rsidR="00326590" w:rsidRPr="00812D63" w:rsidRDefault="00326590" w:rsidP="00586745">
                            <w:pPr>
                              <w:spacing w:after="0"/>
                              <w:jc w:val="center"/>
                              <w:rPr>
                                <w:rFonts w:asciiTheme="minorHAnsi" w:hAnsiTheme="minorHAnsi" w:cstheme="minorHAnsi"/>
                                <w:sz w:val="22"/>
                                <w:szCs w:val="22"/>
                              </w:rPr>
                            </w:pPr>
                          </w:p>
                          <w:p w14:paraId="2ADC0E8E" w14:textId="77777777" w:rsidR="00326590" w:rsidRPr="00812D63" w:rsidRDefault="00326590" w:rsidP="005258CC">
                            <w:pPr>
                              <w:rPr>
                                <w:rFonts w:asciiTheme="minorHAnsi" w:hAnsiTheme="minorHAnsi" w:cstheme="minorHAnsi"/>
                                <w:b/>
                                <w:sz w:val="22"/>
                                <w:szCs w:val="22"/>
                              </w:rPr>
                            </w:pPr>
                            <w:r w:rsidRPr="00812D63">
                              <w:rPr>
                                <w:rFonts w:asciiTheme="minorHAnsi" w:hAnsiTheme="minorHAnsi" w:cstheme="minorHAnsi"/>
                                <w:b/>
                                <w:sz w:val="22"/>
                                <w:szCs w:val="22"/>
                              </w:rPr>
                              <w:t>Overview of the Legislative Instrument</w:t>
                            </w:r>
                          </w:p>
                          <w:p w14:paraId="632DBE09" w14:textId="0C7A4011"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The purpose of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made under subsection 100 of the </w:t>
                            </w:r>
                            <w:r w:rsidRPr="00812D63">
                              <w:rPr>
                                <w:rFonts w:asciiTheme="minorHAnsi" w:hAnsiTheme="minorHAnsi" w:cstheme="minorHAnsi"/>
                                <w:i/>
                                <w:sz w:val="22"/>
                                <w:szCs w:val="22"/>
                              </w:rPr>
                              <w:t>National Health Act 1953</w:t>
                            </w:r>
                            <w:r w:rsidRPr="00812D63">
                              <w:rPr>
                                <w:rFonts w:asciiTheme="minorHAnsi" w:hAnsiTheme="minorHAnsi" w:cstheme="minorHAnsi"/>
                                <w:iCs/>
                                <w:sz w:val="22"/>
                                <w:szCs w:val="22"/>
                              </w:rPr>
                              <w:t xml:space="preserve"> (the Act)</w:t>
                            </w:r>
                            <w:r w:rsidRPr="00812D63">
                              <w:rPr>
                                <w:rFonts w:asciiTheme="minorHAnsi" w:hAnsiTheme="minorHAnsi" w:cstheme="minorHAnsi"/>
                                <w:sz w:val="22"/>
                                <w:szCs w:val="22"/>
                              </w:rPr>
                              <w:t xml:space="preserve">, is to establish the requirements of supply of a pharmaceutical benefit, naloxone, through a PBS subsidised Take Home Naloxone Pilot (the Pilot). </w:t>
                            </w:r>
                          </w:p>
                          <w:p w14:paraId="1213D57C" w14:textId="2EA33BFC"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The Pilot seeks to address a growing rate of deaths from accidental overdose due to opioid use, both via illicit drugs and prescription medications. Through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naloxone will be made available for free to a person at risk of or likely to witness an opioid overdose. The person will not be required to obtain or present a prescription to access naloxone.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will enable supply of naloxone to occur through a wide variety of settings </w:t>
                            </w:r>
                            <w:r>
                              <w:rPr>
                                <w:rFonts w:asciiTheme="minorHAnsi" w:hAnsiTheme="minorHAnsi" w:cstheme="minorHAnsi"/>
                                <w:sz w:val="22"/>
                                <w:szCs w:val="22"/>
                              </w:rPr>
                              <w:t xml:space="preserve">outside of the </w:t>
                            </w:r>
                            <w:r w:rsidRPr="00812D63">
                              <w:rPr>
                                <w:rFonts w:asciiTheme="minorHAnsi" w:hAnsiTheme="minorHAnsi" w:cstheme="minorHAnsi"/>
                                <w:sz w:val="22"/>
                                <w:szCs w:val="22"/>
                              </w:rPr>
                              <w:t>normal supply mechanisms established through the Act</w:t>
                            </w:r>
                            <w:r>
                              <w:rPr>
                                <w:rFonts w:asciiTheme="minorHAnsi" w:hAnsiTheme="minorHAnsi" w:cstheme="minorHAnsi"/>
                                <w:sz w:val="22"/>
                                <w:szCs w:val="22"/>
                              </w:rPr>
                              <w:t>. It will be possible to obtain naloxone from</w:t>
                            </w:r>
                            <w:r w:rsidRPr="00812D63">
                              <w:rPr>
                                <w:rFonts w:asciiTheme="minorHAnsi" w:hAnsiTheme="minorHAnsi" w:cstheme="minorHAnsi"/>
                                <w:sz w:val="22"/>
                                <w:szCs w:val="22"/>
                              </w:rPr>
                              <w:t xml:space="preserve"> pharmacy settings </w:t>
                            </w:r>
                            <w:r>
                              <w:rPr>
                                <w:rFonts w:asciiTheme="minorHAnsi" w:hAnsiTheme="minorHAnsi" w:cstheme="minorHAnsi"/>
                                <w:sz w:val="22"/>
                                <w:szCs w:val="22"/>
                              </w:rPr>
                              <w:t>in addition to</w:t>
                            </w:r>
                            <w:r w:rsidRPr="00812D63">
                              <w:rPr>
                                <w:rFonts w:asciiTheme="minorHAnsi" w:hAnsiTheme="minorHAnsi" w:cstheme="minorHAnsi"/>
                                <w:sz w:val="22"/>
                                <w:szCs w:val="22"/>
                              </w:rPr>
                              <w:t xml:space="preserve"> a number of other access points such as needle and syringe programs, alcohol and drug treatment centres and on release from custodial settings. Where a supply of naloxone is made in accordance with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the Commonwealth will pay a PBS equivalent subsidy for that supply.</w:t>
                            </w:r>
                          </w:p>
                          <w:p w14:paraId="3444D1F7" w14:textId="77777777" w:rsidR="00326590" w:rsidRPr="00812D63" w:rsidRDefault="00326590" w:rsidP="00586745">
                            <w:pPr>
                              <w:spacing w:after="0"/>
                              <w:rPr>
                                <w:rFonts w:asciiTheme="minorHAnsi" w:hAnsiTheme="minorHAnsi" w:cstheme="minorHAnsi"/>
                                <w:b/>
                                <w:sz w:val="22"/>
                                <w:szCs w:val="22"/>
                              </w:rPr>
                            </w:pPr>
                          </w:p>
                          <w:p w14:paraId="4F37C4B9" w14:textId="77777777" w:rsidR="00326590" w:rsidRPr="00812D63" w:rsidRDefault="00326590" w:rsidP="005258CC">
                            <w:pPr>
                              <w:rPr>
                                <w:rFonts w:asciiTheme="minorHAnsi" w:hAnsiTheme="minorHAnsi" w:cstheme="minorHAnsi"/>
                                <w:b/>
                                <w:sz w:val="22"/>
                                <w:szCs w:val="22"/>
                              </w:rPr>
                            </w:pPr>
                            <w:r w:rsidRPr="00812D63">
                              <w:rPr>
                                <w:rFonts w:asciiTheme="minorHAnsi" w:hAnsiTheme="minorHAnsi" w:cstheme="minorHAnsi"/>
                                <w:b/>
                                <w:sz w:val="22"/>
                                <w:szCs w:val="22"/>
                              </w:rPr>
                              <w:t>Human Rights Implications</w:t>
                            </w:r>
                          </w:p>
                          <w:p w14:paraId="2982DECD" w14:textId="744AFBAC"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engages Article</w:t>
                            </w:r>
                            <w:r>
                              <w:rPr>
                                <w:rFonts w:asciiTheme="minorHAnsi" w:hAnsiTheme="minorHAnsi" w:cstheme="minorHAnsi"/>
                                <w:sz w:val="22"/>
                                <w:szCs w:val="22"/>
                              </w:rPr>
                              <w:t>s</w:t>
                            </w:r>
                            <w:r w:rsidRPr="00812D63">
                              <w:rPr>
                                <w:rFonts w:asciiTheme="minorHAnsi" w:hAnsiTheme="minorHAnsi" w:cstheme="minorHAnsi"/>
                                <w:sz w:val="22"/>
                                <w:szCs w:val="22"/>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CAA200A" w14:textId="13880C07" w:rsidR="00326590" w:rsidRPr="00812D63" w:rsidRDefault="00326590" w:rsidP="003B03B7">
                            <w:pPr>
                              <w:spacing w:after="0"/>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assists with the advancement of this right by increasing access to PBS subsidised naloxone through a variety of settings</w:t>
                            </w:r>
                            <w:r>
                              <w:rPr>
                                <w:rFonts w:asciiTheme="minorHAnsi" w:hAnsiTheme="minorHAnsi" w:cstheme="minorHAnsi"/>
                                <w:sz w:val="22"/>
                                <w:szCs w:val="22"/>
                              </w:rPr>
                              <w:t>,</w:t>
                            </w:r>
                            <w:r w:rsidRPr="00812D63">
                              <w:rPr>
                                <w:rFonts w:asciiTheme="minorHAnsi" w:hAnsiTheme="minorHAnsi" w:cstheme="minorHAnsi"/>
                                <w:sz w:val="22"/>
                                <w:szCs w:val="22"/>
                              </w:rPr>
                              <w:t xml:space="preserve"> f</w:t>
                            </w:r>
                            <w:r>
                              <w:rPr>
                                <w:rFonts w:asciiTheme="minorHAnsi" w:hAnsiTheme="minorHAnsi" w:cstheme="minorHAnsi"/>
                                <w:sz w:val="22"/>
                                <w:szCs w:val="22"/>
                              </w:rPr>
                              <w:t>r</w:t>
                            </w:r>
                            <w:r w:rsidRPr="00812D63">
                              <w:rPr>
                                <w:rFonts w:asciiTheme="minorHAnsi" w:hAnsiTheme="minorHAnsi" w:cstheme="minorHAnsi"/>
                                <w:sz w:val="22"/>
                                <w:szCs w:val="22"/>
                              </w:rPr>
                              <w:t>ee of charge</w:t>
                            </w:r>
                            <w:r>
                              <w:rPr>
                                <w:rFonts w:asciiTheme="minorHAnsi" w:hAnsiTheme="minorHAnsi" w:cstheme="minorHAnsi"/>
                                <w:sz w:val="22"/>
                                <w:szCs w:val="22"/>
                              </w:rPr>
                              <w:t>,</w:t>
                            </w:r>
                            <w:r w:rsidRPr="00812D63">
                              <w:rPr>
                                <w:rFonts w:asciiTheme="minorHAnsi" w:hAnsiTheme="minorHAnsi" w:cstheme="minorHAnsi"/>
                                <w:sz w:val="22"/>
                                <w:szCs w:val="22"/>
                              </w:rPr>
                              <w:t xml:space="preserve"> to persons at risk of or likely to witness an opioid overdose.</w:t>
                            </w:r>
                          </w:p>
                          <w:p w14:paraId="459BD0A3" w14:textId="77777777" w:rsidR="00326590" w:rsidRPr="00812D63" w:rsidRDefault="00326590" w:rsidP="00586745">
                            <w:pPr>
                              <w:spacing w:after="0"/>
                              <w:rPr>
                                <w:rFonts w:asciiTheme="minorHAnsi" w:hAnsiTheme="minorHAnsi" w:cstheme="minorHAnsi"/>
                                <w:sz w:val="22"/>
                                <w:szCs w:val="22"/>
                              </w:rPr>
                            </w:pPr>
                          </w:p>
                          <w:p w14:paraId="059FCF1E" w14:textId="77777777" w:rsidR="00326590" w:rsidRPr="00812D63" w:rsidRDefault="00326590" w:rsidP="00A264B1">
                            <w:pPr>
                              <w:rPr>
                                <w:rFonts w:asciiTheme="minorHAnsi" w:hAnsiTheme="minorHAnsi" w:cstheme="minorHAnsi"/>
                                <w:b/>
                                <w:sz w:val="22"/>
                                <w:szCs w:val="22"/>
                              </w:rPr>
                            </w:pPr>
                            <w:r w:rsidRPr="00812D63">
                              <w:rPr>
                                <w:rFonts w:asciiTheme="minorHAnsi" w:hAnsiTheme="minorHAnsi" w:cstheme="minorHAnsi"/>
                                <w:b/>
                                <w:sz w:val="22"/>
                                <w:szCs w:val="22"/>
                              </w:rPr>
                              <w:t>Conclusion</w:t>
                            </w:r>
                          </w:p>
                          <w:p w14:paraId="5ED95377" w14:textId="7BA290F8"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is compatible with human rights because it </w:t>
                            </w:r>
                            <w:r>
                              <w:rPr>
                                <w:rFonts w:asciiTheme="minorHAnsi" w:hAnsiTheme="minorHAnsi" w:cstheme="minorHAnsi"/>
                                <w:sz w:val="22"/>
                                <w:szCs w:val="22"/>
                              </w:rPr>
                              <w:t>promotes the right to health in Articles 2 and 12 of ICESCR</w:t>
                            </w:r>
                            <w:r w:rsidRPr="00812D63">
                              <w:rPr>
                                <w:rFonts w:asciiTheme="minorHAnsi" w:hAnsiTheme="minorHAnsi" w:cstheme="minorHAnsi"/>
                                <w:sz w:val="22"/>
                                <w:szCs w:val="22"/>
                              </w:rPr>
                              <w:t>.</w:t>
                            </w:r>
                          </w:p>
                          <w:p w14:paraId="5263E474" w14:textId="77777777" w:rsidR="00326590" w:rsidRPr="00812D63" w:rsidRDefault="00326590" w:rsidP="00493432">
                            <w:pPr>
                              <w:spacing w:after="0"/>
                              <w:rPr>
                                <w:rFonts w:asciiTheme="minorHAnsi" w:hAnsiTheme="minorHAnsi" w:cstheme="minorHAnsi"/>
                                <w:sz w:val="22"/>
                                <w:szCs w:val="22"/>
                              </w:rPr>
                            </w:pPr>
                          </w:p>
                          <w:p w14:paraId="4500AAAC" w14:textId="2760A7F4" w:rsidR="00326590" w:rsidRPr="00812D63" w:rsidRDefault="00326590" w:rsidP="00BD6760">
                            <w:pPr>
                              <w:widowControl w:val="0"/>
                              <w:tabs>
                                <w:tab w:val="left" w:pos="3119"/>
                              </w:tabs>
                              <w:spacing w:after="0" w:line="300" w:lineRule="atLeast"/>
                              <w:jc w:val="center"/>
                              <w:rPr>
                                <w:rFonts w:asciiTheme="minorHAnsi" w:hAnsiTheme="minorHAnsi" w:cstheme="minorHAnsi"/>
                                <w:b/>
                                <w:sz w:val="22"/>
                                <w:szCs w:val="22"/>
                              </w:rPr>
                            </w:pPr>
                            <w:r w:rsidRPr="00812D63">
                              <w:rPr>
                                <w:rFonts w:asciiTheme="minorHAnsi" w:hAnsiTheme="minorHAnsi" w:cstheme="minorHAnsi"/>
                                <w:b/>
                                <w:sz w:val="22"/>
                                <w:szCs w:val="22"/>
                              </w:rPr>
                              <w:t>Penny Shakespeare</w:t>
                            </w:r>
                          </w:p>
                          <w:p w14:paraId="4217FE8D" w14:textId="74E83B01" w:rsidR="00326590" w:rsidRPr="00812D63" w:rsidRDefault="00326590" w:rsidP="00BD6760">
                            <w:pPr>
                              <w:widowControl w:val="0"/>
                              <w:tabs>
                                <w:tab w:val="left" w:pos="3119"/>
                              </w:tabs>
                              <w:spacing w:after="0" w:line="300" w:lineRule="atLeast"/>
                              <w:jc w:val="center"/>
                              <w:rPr>
                                <w:rFonts w:asciiTheme="minorHAnsi" w:hAnsiTheme="minorHAnsi" w:cstheme="minorHAnsi"/>
                                <w:b/>
                                <w:sz w:val="22"/>
                                <w:szCs w:val="22"/>
                              </w:rPr>
                            </w:pPr>
                            <w:r w:rsidRPr="00812D63">
                              <w:rPr>
                                <w:rFonts w:asciiTheme="minorHAnsi" w:hAnsiTheme="minorHAnsi" w:cstheme="minorHAnsi"/>
                                <w:b/>
                                <w:sz w:val="22"/>
                                <w:szCs w:val="22"/>
                              </w:rPr>
                              <w:t>Deputy Secretary, Health Financing Group</w:t>
                            </w:r>
                          </w:p>
                          <w:p w14:paraId="3370A0E2" w14:textId="77777777" w:rsidR="00326590" w:rsidRPr="00812D63" w:rsidRDefault="00326590" w:rsidP="00095002">
                            <w:pPr>
                              <w:widowControl w:val="0"/>
                              <w:tabs>
                                <w:tab w:val="left" w:pos="3119"/>
                              </w:tabs>
                              <w:spacing w:after="0" w:line="300" w:lineRule="atLeast"/>
                              <w:jc w:val="center"/>
                              <w:rPr>
                                <w:szCs w:val="24"/>
                              </w:rPr>
                            </w:pPr>
                            <w:r w:rsidRPr="00812D63">
                              <w:rPr>
                                <w:rFonts w:asciiTheme="minorHAnsi" w:hAnsiTheme="minorHAnsi" w:cstheme="minorHAnsi"/>
                                <w:b/>
                                <w:sz w:val="22"/>
                                <w:szCs w:val="22"/>
                              </w:rP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095B" id="Rectangle 1" o:spid="_x0000_s1026" style="position:absolute;margin-left:-26.15pt;margin-top:-42.1pt;width:485.25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" strokeweight="6pt">
                <v:stroke linestyle="thickBetweenThin"/>
                <v:textbox inset="5mm,,5mm">
                  <w:txbxContent>
                    <w:p w14:paraId="1E487D15" w14:textId="77777777" w:rsidR="00326590" w:rsidRPr="00812D63" w:rsidRDefault="00326590" w:rsidP="00A264B1">
                      <w:pPr>
                        <w:spacing w:before="120"/>
                        <w:jc w:val="center"/>
                        <w:rPr>
                          <w:rFonts w:asciiTheme="minorHAnsi" w:hAnsiTheme="minorHAnsi" w:cstheme="minorHAnsi"/>
                          <w:b/>
                          <w:sz w:val="26"/>
                          <w:szCs w:val="26"/>
                        </w:rPr>
                      </w:pPr>
                      <w:r w:rsidRPr="00812D63">
                        <w:rPr>
                          <w:rFonts w:asciiTheme="minorHAnsi" w:hAnsiTheme="minorHAnsi" w:cstheme="minorHAnsi"/>
                          <w:b/>
                          <w:sz w:val="26"/>
                          <w:szCs w:val="26"/>
                        </w:rPr>
                        <w:t>Statement of Compatibility with Human Rights</w:t>
                      </w:r>
                    </w:p>
                    <w:p w14:paraId="5DF36206" w14:textId="77777777" w:rsidR="00326590" w:rsidRPr="00812D63" w:rsidRDefault="00326590" w:rsidP="00A264B1">
                      <w:pPr>
                        <w:spacing w:before="120"/>
                        <w:jc w:val="center"/>
                        <w:rPr>
                          <w:rFonts w:asciiTheme="minorHAnsi" w:hAnsiTheme="minorHAnsi" w:cstheme="minorHAnsi"/>
                          <w:i/>
                          <w:sz w:val="18"/>
                          <w:szCs w:val="18"/>
                        </w:rPr>
                      </w:pPr>
                      <w:r w:rsidRPr="00812D63">
                        <w:rPr>
                          <w:rFonts w:asciiTheme="minorHAnsi" w:hAnsiTheme="minorHAnsi" w:cstheme="minorHAnsi"/>
                          <w:i/>
                          <w:sz w:val="18"/>
                          <w:szCs w:val="18"/>
                        </w:rPr>
                        <w:t>Prepared in accordance with Part 3 of the Human Rights (Parliamentary Scrutiny) Act 2011</w:t>
                      </w:r>
                    </w:p>
                    <w:p w14:paraId="5D046063" w14:textId="77777777" w:rsidR="00326590" w:rsidRPr="00812D63" w:rsidRDefault="00326590" w:rsidP="00586745">
                      <w:pPr>
                        <w:spacing w:after="0"/>
                        <w:jc w:val="center"/>
                        <w:rPr>
                          <w:rFonts w:asciiTheme="minorHAnsi" w:hAnsiTheme="minorHAnsi" w:cstheme="minorHAnsi"/>
                          <w:sz w:val="18"/>
                          <w:szCs w:val="18"/>
                        </w:rPr>
                      </w:pPr>
                    </w:p>
                    <w:p w14:paraId="0BF29880" w14:textId="163EFCBC" w:rsidR="00326590" w:rsidRPr="00812D63" w:rsidRDefault="00326590" w:rsidP="00CA2141">
                      <w:pPr>
                        <w:pStyle w:val="Heading4"/>
                        <w:spacing w:after="0"/>
                        <w:rPr>
                          <w:rFonts w:asciiTheme="minorHAnsi" w:hAnsiTheme="minorHAnsi" w:cstheme="minorHAnsi"/>
                          <w:i/>
                          <w:sz w:val="24"/>
                          <w:szCs w:val="24"/>
                          <w:lang w:eastAsia="en-US"/>
                        </w:rPr>
                      </w:pPr>
                      <w:r w:rsidRPr="00812D63">
                        <w:rPr>
                          <w:rFonts w:asciiTheme="minorHAnsi" w:hAnsiTheme="minorHAnsi" w:cstheme="minorHAnsi"/>
                          <w:i/>
                          <w:sz w:val="24"/>
                          <w:szCs w:val="24"/>
                        </w:rPr>
                        <w:t>National Health (Take Home Naloxone Pilot) Special Arrangement 2019</w:t>
                      </w:r>
                    </w:p>
                    <w:p w14:paraId="74D11481" w14:textId="77777777" w:rsidR="00326590" w:rsidRPr="00812D63" w:rsidRDefault="00326590" w:rsidP="00CA2141">
                      <w:pPr>
                        <w:pStyle w:val="Heading4"/>
                        <w:spacing w:after="0"/>
                        <w:rPr>
                          <w:rFonts w:asciiTheme="minorHAnsi" w:hAnsiTheme="minorHAnsi" w:cstheme="minorHAnsi"/>
                          <w:b w:val="0"/>
                          <w:sz w:val="22"/>
                          <w:szCs w:val="22"/>
                        </w:rPr>
                      </w:pPr>
                    </w:p>
                    <w:p w14:paraId="140C86F0" w14:textId="646443E3" w:rsidR="00326590" w:rsidRPr="00812D63" w:rsidRDefault="00326590" w:rsidP="003B03B7">
                      <w:pPr>
                        <w:spacing w:after="0"/>
                        <w:jc w:val="center"/>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i/>
                          <w:sz w:val="22"/>
                          <w:szCs w:val="22"/>
                        </w:rPr>
                        <w:t xml:space="preserve">National Health (Take Home Naloxone Pilot) Special Arrangement 2019 </w:t>
                      </w:r>
                      <w:r w:rsidR="00AD7866">
                        <w:rPr>
                          <w:rFonts w:asciiTheme="minorHAnsi" w:hAnsiTheme="minorHAnsi" w:cstheme="minorHAnsi"/>
                          <w:sz w:val="22"/>
                          <w:szCs w:val="22"/>
                        </w:rPr>
                        <w:t>(the Arrangement)</w:t>
                      </w:r>
                      <w:r w:rsidRPr="00812D63">
                        <w:rPr>
                          <w:rFonts w:asciiTheme="minorHAnsi" w:hAnsiTheme="minorHAnsi" w:cstheme="minorHAnsi"/>
                          <w:sz w:val="22"/>
                          <w:szCs w:val="22"/>
                        </w:rPr>
                        <w:t xml:space="preserve"> is compatible with the human rights and freedoms recognised or declared in the international instruments listed in section 3 of the </w:t>
                      </w:r>
                      <w:r w:rsidRPr="00812D63">
                        <w:rPr>
                          <w:rFonts w:asciiTheme="minorHAnsi" w:hAnsiTheme="minorHAnsi" w:cstheme="minorHAnsi"/>
                          <w:i/>
                          <w:sz w:val="22"/>
                          <w:szCs w:val="22"/>
                        </w:rPr>
                        <w:t>Human Rights (Parliamentary Scrutiny) Act</w:t>
                      </w:r>
                      <w:r w:rsidR="00AD7866">
                        <w:rPr>
                          <w:rFonts w:asciiTheme="minorHAnsi" w:hAnsiTheme="minorHAnsi" w:cstheme="minorHAnsi"/>
                          <w:i/>
                          <w:sz w:val="22"/>
                          <w:szCs w:val="22"/>
                        </w:rPr>
                        <w:t> </w:t>
                      </w:r>
                      <w:r w:rsidRPr="00812D63">
                        <w:rPr>
                          <w:rFonts w:asciiTheme="minorHAnsi" w:hAnsiTheme="minorHAnsi" w:cstheme="minorHAnsi"/>
                          <w:i/>
                          <w:sz w:val="22"/>
                          <w:szCs w:val="22"/>
                        </w:rPr>
                        <w:t>2011</w:t>
                      </w:r>
                      <w:r w:rsidRPr="00812D63">
                        <w:rPr>
                          <w:rFonts w:asciiTheme="minorHAnsi" w:hAnsiTheme="minorHAnsi" w:cstheme="minorHAnsi"/>
                          <w:sz w:val="22"/>
                          <w:szCs w:val="22"/>
                        </w:rPr>
                        <w:t>.</w:t>
                      </w:r>
                    </w:p>
                    <w:p w14:paraId="3FA15238" w14:textId="77777777" w:rsidR="00326590" w:rsidRPr="00812D63" w:rsidRDefault="00326590" w:rsidP="00586745">
                      <w:pPr>
                        <w:spacing w:after="0"/>
                        <w:jc w:val="center"/>
                        <w:rPr>
                          <w:rFonts w:asciiTheme="minorHAnsi" w:hAnsiTheme="minorHAnsi" w:cstheme="minorHAnsi"/>
                          <w:sz w:val="22"/>
                          <w:szCs w:val="22"/>
                        </w:rPr>
                      </w:pPr>
                    </w:p>
                    <w:p w14:paraId="2ADC0E8E" w14:textId="77777777" w:rsidR="00326590" w:rsidRPr="00812D63" w:rsidRDefault="00326590" w:rsidP="005258CC">
                      <w:pPr>
                        <w:rPr>
                          <w:rFonts w:asciiTheme="minorHAnsi" w:hAnsiTheme="minorHAnsi" w:cstheme="minorHAnsi"/>
                          <w:b/>
                          <w:sz w:val="22"/>
                          <w:szCs w:val="22"/>
                        </w:rPr>
                      </w:pPr>
                      <w:r w:rsidRPr="00812D63">
                        <w:rPr>
                          <w:rFonts w:asciiTheme="minorHAnsi" w:hAnsiTheme="minorHAnsi" w:cstheme="minorHAnsi"/>
                          <w:b/>
                          <w:sz w:val="22"/>
                          <w:szCs w:val="22"/>
                        </w:rPr>
                        <w:t>Overview of the Legislative Instrument</w:t>
                      </w:r>
                    </w:p>
                    <w:p w14:paraId="632DBE09" w14:textId="0C7A4011"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The purpose of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made under subsection 100 of the </w:t>
                      </w:r>
                      <w:r w:rsidRPr="00812D63">
                        <w:rPr>
                          <w:rFonts w:asciiTheme="minorHAnsi" w:hAnsiTheme="minorHAnsi" w:cstheme="minorHAnsi"/>
                          <w:i/>
                          <w:sz w:val="22"/>
                          <w:szCs w:val="22"/>
                        </w:rPr>
                        <w:t>National Health Act 1953</w:t>
                      </w:r>
                      <w:r w:rsidRPr="00812D63">
                        <w:rPr>
                          <w:rFonts w:asciiTheme="minorHAnsi" w:hAnsiTheme="minorHAnsi" w:cstheme="minorHAnsi"/>
                          <w:iCs/>
                          <w:sz w:val="22"/>
                          <w:szCs w:val="22"/>
                        </w:rPr>
                        <w:t xml:space="preserve"> (the Act)</w:t>
                      </w:r>
                      <w:r w:rsidRPr="00812D63">
                        <w:rPr>
                          <w:rFonts w:asciiTheme="minorHAnsi" w:hAnsiTheme="minorHAnsi" w:cstheme="minorHAnsi"/>
                          <w:sz w:val="22"/>
                          <w:szCs w:val="22"/>
                        </w:rPr>
                        <w:t xml:space="preserve">, is to establish the requirements of supply of a pharmaceutical benefit, naloxone, through a PBS subsidised Take Home Naloxone Pilot (the Pilot). </w:t>
                      </w:r>
                    </w:p>
                    <w:p w14:paraId="1213D57C" w14:textId="2EA33BFC"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The Pilot seeks to address a growing rate of deaths from accidental overdose due to opioid use, both via illicit drugs and prescription medications. Through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naloxone will be made available for free to a person at risk of </w:t>
                      </w:r>
                      <w:bookmarkStart w:id="23" w:name="_GoBack"/>
                      <w:bookmarkEnd w:id="23"/>
                      <w:r w:rsidRPr="00812D63">
                        <w:rPr>
                          <w:rFonts w:asciiTheme="minorHAnsi" w:hAnsiTheme="minorHAnsi" w:cstheme="minorHAnsi"/>
                          <w:sz w:val="22"/>
                          <w:szCs w:val="22"/>
                        </w:rPr>
                        <w:t xml:space="preserve">or likely to witness an opioid overdose. The person will not be required to obtain or present a prescription to access naloxone.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will enable supply of naloxone to occur through a wide variety of settings </w:t>
                      </w:r>
                      <w:r>
                        <w:rPr>
                          <w:rFonts w:asciiTheme="minorHAnsi" w:hAnsiTheme="minorHAnsi" w:cstheme="minorHAnsi"/>
                          <w:sz w:val="22"/>
                          <w:szCs w:val="22"/>
                        </w:rPr>
                        <w:t xml:space="preserve">outside of the </w:t>
                      </w:r>
                      <w:r w:rsidRPr="00812D63">
                        <w:rPr>
                          <w:rFonts w:asciiTheme="minorHAnsi" w:hAnsiTheme="minorHAnsi" w:cstheme="minorHAnsi"/>
                          <w:sz w:val="22"/>
                          <w:szCs w:val="22"/>
                        </w:rPr>
                        <w:t>normal supply mechanisms established through the Act</w:t>
                      </w:r>
                      <w:r>
                        <w:rPr>
                          <w:rFonts w:asciiTheme="minorHAnsi" w:hAnsiTheme="minorHAnsi" w:cstheme="minorHAnsi"/>
                          <w:sz w:val="22"/>
                          <w:szCs w:val="22"/>
                        </w:rPr>
                        <w:t>. It will be possible to obtain naloxone from</w:t>
                      </w:r>
                      <w:r w:rsidRPr="00812D63">
                        <w:rPr>
                          <w:rFonts w:asciiTheme="minorHAnsi" w:hAnsiTheme="minorHAnsi" w:cstheme="minorHAnsi"/>
                          <w:sz w:val="22"/>
                          <w:szCs w:val="22"/>
                        </w:rPr>
                        <w:t xml:space="preserve"> pharmacy settings </w:t>
                      </w:r>
                      <w:r>
                        <w:rPr>
                          <w:rFonts w:asciiTheme="minorHAnsi" w:hAnsiTheme="minorHAnsi" w:cstheme="minorHAnsi"/>
                          <w:sz w:val="22"/>
                          <w:szCs w:val="22"/>
                        </w:rPr>
                        <w:t>in addition to</w:t>
                      </w:r>
                      <w:r w:rsidRPr="00812D63">
                        <w:rPr>
                          <w:rFonts w:asciiTheme="minorHAnsi" w:hAnsiTheme="minorHAnsi" w:cstheme="minorHAnsi"/>
                          <w:sz w:val="22"/>
                          <w:szCs w:val="22"/>
                        </w:rPr>
                        <w:t xml:space="preserve"> a number of other access points such as needle and syringe programs, alcohol and drug treatment centres and on release from custodial settings. Where a supply of naloxone is made in accordance with 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the Commonwealth will pay a PBS equivalent subsidy for that supply.</w:t>
                      </w:r>
                    </w:p>
                    <w:p w14:paraId="3444D1F7" w14:textId="77777777" w:rsidR="00326590" w:rsidRPr="00812D63" w:rsidRDefault="00326590" w:rsidP="00586745">
                      <w:pPr>
                        <w:spacing w:after="0"/>
                        <w:rPr>
                          <w:rFonts w:asciiTheme="minorHAnsi" w:hAnsiTheme="minorHAnsi" w:cstheme="minorHAnsi"/>
                          <w:b/>
                          <w:sz w:val="22"/>
                          <w:szCs w:val="22"/>
                        </w:rPr>
                      </w:pPr>
                    </w:p>
                    <w:p w14:paraId="4F37C4B9" w14:textId="77777777" w:rsidR="00326590" w:rsidRPr="00812D63" w:rsidRDefault="00326590" w:rsidP="005258CC">
                      <w:pPr>
                        <w:rPr>
                          <w:rFonts w:asciiTheme="minorHAnsi" w:hAnsiTheme="minorHAnsi" w:cstheme="minorHAnsi"/>
                          <w:b/>
                          <w:sz w:val="22"/>
                          <w:szCs w:val="22"/>
                        </w:rPr>
                      </w:pPr>
                      <w:r w:rsidRPr="00812D63">
                        <w:rPr>
                          <w:rFonts w:asciiTheme="minorHAnsi" w:hAnsiTheme="minorHAnsi" w:cstheme="minorHAnsi"/>
                          <w:b/>
                          <w:sz w:val="22"/>
                          <w:szCs w:val="22"/>
                        </w:rPr>
                        <w:t>Human Rights Implications</w:t>
                      </w:r>
                    </w:p>
                    <w:p w14:paraId="2982DECD" w14:textId="744AFBAC"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engages Article</w:t>
                      </w:r>
                      <w:r>
                        <w:rPr>
                          <w:rFonts w:asciiTheme="minorHAnsi" w:hAnsiTheme="minorHAnsi" w:cstheme="minorHAnsi"/>
                          <w:sz w:val="22"/>
                          <w:szCs w:val="22"/>
                        </w:rPr>
                        <w:t>s</w:t>
                      </w:r>
                      <w:r w:rsidRPr="00812D63">
                        <w:rPr>
                          <w:rFonts w:asciiTheme="minorHAnsi" w:hAnsiTheme="minorHAnsi" w:cstheme="minorHAnsi"/>
                          <w:sz w:val="22"/>
                          <w:szCs w:val="22"/>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CAA200A" w14:textId="13880C07" w:rsidR="00326590" w:rsidRPr="00812D63" w:rsidRDefault="00326590" w:rsidP="003B03B7">
                      <w:pPr>
                        <w:spacing w:after="0"/>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assists with the advancement of this right by increasing access to PBS subsidised naloxone through a variety of settings</w:t>
                      </w:r>
                      <w:r>
                        <w:rPr>
                          <w:rFonts w:asciiTheme="minorHAnsi" w:hAnsiTheme="minorHAnsi" w:cstheme="minorHAnsi"/>
                          <w:sz w:val="22"/>
                          <w:szCs w:val="22"/>
                        </w:rPr>
                        <w:t>,</w:t>
                      </w:r>
                      <w:r w:rsidRPr="00812D63">
                        <w:rPr>
                          <w:rFonts w:asciiTheme="minorHAnsi" w:hAnsiTheme="minorHAnsi" w:cstheme="minorHAnsi"/>
                          <w:sz w:val="22"/>
                          <w:szCs w:val="22"/>
                        </w:rPr>
                        <w:t xml:space="preserve"> f</w:t>
                      </w:r>
                      <w:r>
                        <w:rPr>
                          <w:rFonts w:asciiTheme="minorHAnsi" w:hAnsiTheme="minorHAnsi" w:cstheme="minorHAnsi"/>
                          <w:sz w:val="22"/>
                          <w:szCs w:val="22"/>
                        </w:rPr>
                        <w:t>r</w:t>
                      </w:r>
                      <w:r w:rsidRPr="00812D63">
                        <w:rPr>
                          <w:rFonts w:asciiTheme="minorHAnsi" w:hAnsiTheme="minorHAnsi" w:cstheme="minorHAnsi"/>
                          <w:sz w:val="22"/>
                          <w:szCs w:val="22"/>
                        </w:rPr>
                        <w:t>ee of charge</w:t>
                      </w:r>
                      <w:r>
                        <w:rPr>
                          <w:rFonts w:asciiTheme="minorHAnsi" w:hAnsiTheme="minorHAnsi" w:cstheme="minorHAnsi"/>
                          <w:sz w:val="22"/>
                          <w:szCs w:val="22"/>
                        </w:rPr>
                        <w:t>,</w:t>
                      </w:r>
                      <w:r w:rsidRPr="00812D63">
                        <w:rPr>
                          <w:rFonts w:asciiTheme="minorHAnsi" w:hAnsiTheme="minorHAnsi" w:cstheme="minorHAnsi"/>
                          <w:sz w:val="22"/>
                          <w:szCs w:val="22"/>
                        </w:rPr>
                        <w:t xml:space="preserve"> to persons at risk of or likely to witness an opioid overdose.</w:t>
                      </w:r>
                    </w:p>
                    <w:p w14:paraId="459BD0A3" w14:textId="77777777" w:rsidR="00326590" w:rsidRPr="00812D63" w:rsidRDefault="00326590" w:rsidP="00586745">
                      <w:pPr>
                        <w:spacing w:after="0"/>
                        <w:rPr>
                          <w:rFonts w:asciiTheme="minorHAnsi" w:hAnsiTheme="minorHAnsi" w:cstheme="minorHAnsi"/>
                          <w:sz w:val="22"/>
                          <w:szCs w:val="22"/>
                        </w:rPr>
                      </w:pPr>
                    </w:p>
                    <w:p w14:paraId="059FCF1E" w14:textId="77777777" w:rsidR="00326590" w:rsidRPr="00812D63" w:rsidRDefault="00326590" w:rsidP="00A264B1">
                      <w:pPr>
                        <w:rPr>
                          <w:rFonts w:asciiTheme="minorHAnsi" w:hAnsiTheme="minorHAnsi" w:cstheme="minorHAnsi"/>
                          <w:b/>
                          <w:sz w:val="22"/>
                          <w:szCs w:val="22"/>
                        </w:rPr>
                      </w:pPr>
                      <w:r w:rsidRPr="00812D63">
                        <w:rPr>
                          <w:rFonts w:asciiTheme="minorHAnsi" w:hAnsiTheme="minorHAnsi" w:cstheme="minorHAnsi"/>
                          <w:b/>
                          <w:sz w:val="22"/>
                          <w:szCs w:val="22"/>
                        </w:rPr>
                        <w:t>Conclusion</w:t>
                      </w:r>
                    </w:p>
                    <w:p w14:paraId="5ED95377" w14:textId="7BA290F8" w:rsidR="00326590" w:rsidRPr="00812D63" w:rsidRDefault="00326590" w:rsidP="003B03B7">
                      <w:pPr>
                        <w:jc w:val="left"/>
                        <w:rPr>
                          <w:rFonts w:asciiTheme="minorHAnsi" w:hAnsiTheme="minorHAnsi" w:cstheme="minorHAnsi"/>
                          <w:sz w:val="22"/>
                          <w:szCs w:val="22"/>
                        </w:rPr>
                      </w:pPr>
                      <w:r w:rsidRPr="00812D63">
                        <w:rPr>
                          <w:rFonts w:asciiTheme="minorHAnsi" w:hAnsiTheme="minorHAnsi" w:cstheme="minorHAnsi"/>
                          <w:sz w:val="22"/>
                          <w:szCs w:val="22"/>
                        </w:rPr>
                        <w:t xml:space="preserve">This </w:t>
                      </w:r>
                      <w:r w:rsidR="00AD7866">
                        <w:rPr>
                          <w:rFonts w:asciiTheme="minorHAnsi" w:hAnsiTheme="minorHAnsi" w:cstheme="minorHAnsi"/>
                          <w:sz w:val="22"/>
                          <w:szCs w:val="22"/>
                        </w:rPr>
                        <w:t>Arrangement</w:t>
                      </w:r>
                      <w:r w:rsidRPr="00812D63">
                        <w:rPr>
                          <w:rFonts w:asciiTheme="minorHAnsi" w:hAnsiTheme="minorHAnsi" w:cstheme="minorHAnsi"/>
                          <w:sz w:val="22"/>
                          <w:szCs w:val="22"/>
                        </w:rPr>
                        <w:t xml:space="preserve"> is compatible with human rights because it </w:t>
                      </w:r>
                      <w:r>
                        <w:rPr>
                          <w:rFonts w:asciiTheme="minorHAnsi" w:hAnsiTheme="minorHAnsi" w:cstheme="minorHAnsi"/>
                          <w:sz w:val="22"/>
                          <w:szCs w:val="22"/>
                        </w:rPr>
                        <w:t>promotes the right to health in Articles 2 and 12 of ICESCR</w:t>
                      </w:r>
                      <w:r w:rsidRPr="00812D63">
                        <w:rPr>
                          <w:rFonts w:asciiTheme="minorHAnsi" w:hAnsiTheme="minorHAnsi" w:cstheme="minorHAnsi"/>
                          <w:sz w:val="22"/>
                          <w:szCs w:val="22"/>
                        </w:rPr>
                        <w:t>.</w:t>
                      </w:r>
                    </w:p>
                    <w:p w14:paraId="5263E474" w14:textId="77777777" w:rsidR="00326590" w:rsidRPr="00812D63" w:rsidRDefault="00326590" w:rsidP="00493432">
                      <w:pPr>
                        <w:spacing w:after="0"/>
                        <w:rPr>
                          <w:rFonts w:asciiTheme="minorHAnsi" w:hAnsiTheme="minorHAnsi" w:cstheme="minorHAnsi"/>
                          <w:sz w:val="22"/>
                          <w:szCs w:val="22"/>
                        </w:rPr>
                      </w:pPr>
                    </w:p>
                    <w:p w14:paraId="4500AAAC" w14:textId="2760A7F4" w:rsidR="00326590" w:rsidRPr="00812D63" w:rsidRDefault="00326590" w:rsidP="00BD6760">
                      <w:pPr>
                        <w:widowControl w:val="0"/>
                        <w:tabs>
                          <w:tab w:val="left" w:pos="3119"/>
                        </w:tabs>
                        <w:spacing w:after="0" w:line="300" w:lineRule="atLeast"/>
                        <w:jc w:val="center"/>
                        <w:rPr>
                          <w:rFonts w:asciiTheme="minorHAnsi" w:hAnsiTheme="minorHAnsi" w:cstheme="minorHAnsi"/>
                          <w:b/>
                          <w:sz w:val="22"/>
                          <w:szCs w:val="22"/>
                        </w:rPr>
                      </w:pPr>
                      <w:r w:rsidRPr="00812D63">
                        <w:rPr>
                          <w:rFonts w:asciiTheme="minorHAnsi" w:hAnsiTheme="minorHAnsi" w:cstheme="minorHAnsi"/>
                          <w:b/>
                          <w:sz w:val="22"/>
                          <w:szCs w:val="22"/>
                        </w:rPr>
                        <w:t>Penny Shakespeare</w:t>
                      </w:r>
                    </w:p>
                    <w:p w14:paraId="4217FE8D" w14:textId="74E83B01" w:rsidR="00326590" w:rsidRPr="00812D63" w:rsidRDefault="00326590" w:rsidP="00BD6760">
                      <w:pPr>
                        <w:widowControl w:val="0"/>
                        <w:tabs>
                          <w:tab w:val="left" w:pos="3119"/>
                        </w:tabs>
                        <w:spacing w:after="0" w:line="300" w:lineRule="atLeast"/>
                        <w:jc w:val="center"/>
                        <w:rPr>
                          <w:rFonts w:asciiTheme="minorHAnsi" w:hAnsiTheme="minorHAnsi" w:cstheme="minorHAnsi"/>
                          <w:b/>
                          <w:sz w:val="22"/>
                          <w:szCs w:val="22"/>
                        </w:rPr>
                      </w:pPr>
                      <w:r w:rsidRPr="00812D63">
                        <w:rPr>
                          <w:rFonts w:asciiTheme="minorHAnsi" w:hAnsiTheme="minorHAnsi" w:cstheme="minorHAnsi"/>
                          <w:b/>
                          <w:sz w:val="22"/>
                          <w:szCs w:val="22"/>
                        </w:rPr>
                        <w:t>Deputy Secretary, Health Financing Group</w:t>
                      </w:r>
                    </w:p>
                    <w:p w14:paraId="3370A0E2" w14:textId="77777777" w:rsidR="00326590" w:rsidRPr="00812D63" w:rsidRDefault="00326590" w:rsidP="00095002">
                      <w:pPr>
                        <w:widowControl w:val="0"/>
                        <w:tabs>
                          <w:tab w:val="left" w:pos="3119"/>
                        </w:tabs>
                        <w:spacing w:after="0" w:line="300" w:lineRule="atLeast"/>
                        <w:jc w:val="center"/>
                        <w:rPr>
                          <w:szCs w:val="24"/>
                        </w:rPr>
                      </w:pPr>
                      <w:r w:rsidRPr="00812D63">
                        <w:rPr>
                          <w:rFonts w:asciiTheme="minorHAnsi" w:hAnsiTheme="minorHAnsi" w:cstheme="minorHAnsi"/>
                          <w:b/>
                          <w:sz w:val="22"/>
                          <w:szCs w:val="22"/>
                        </w:rPr>
                        <w:t>Department of Health</w:t>
                      </w:r>
                    </w:p>
                  </w:txbxContent>
                </v:textbox>
              </v:rect>
            </w:pict>
          </mc:Fallback>
        </mc:AlternateContent>
      </w:r>
    </w:p>
    <w:p w14:paraId="6346468C" w14:textId="77777777" w:rsidR="00F3611D" w:rsidRPr="00812D63" w:rsidRDefault="00F3611D" w:rsidP="005D5CD3">
      <w:pPr>
        <w:spacing w:after="240"/>
        <w:jc w:val="left"/>
        <w:rPr>
          <w:rFonts w:asciiTheme="minorHAnsi" w:hAnsiTheme="minorHAnsi" w:cstheme="minorHAnsi"/>
          <w:sz w:val="24"/>
          <w:szCs w:val="24"/>
        </w:rPr>
      </w:pPr>
    </w:p>
    <w:p w14:paraId="1A0D5C07" w14:textId="77777777" w:rsidR="00E92FAD" w:rsidRPr="00812D63" w:rsidRDefault="00E92FAD" w:rsidP="005D5CD3">
      <w:pPr>
        <w:spacing w:after="240"/>
        <w:jc w:val="left"/>
        <w:rPr>
          <w:rFonts w:asciiTheme="minorHAnsi" w:hAnsiTheme="minorHAnsi" w:cstheme="minorHAnsi"/>
          <w:sz w:val="24"/>
          <w:szCs w:val="24"/>
        </w:rPr>
      </w:pPr>
    </w:p>
    <w:p w14:paraId="0D9032FE" w14:textId="77777777" w:rsidR="00E92FAD" w:rsidRPr="00812D63" w:rsidRDefault="00E92FAD" w:rsidP="005D5CD3">
      <w:pPr>
        <w:spacing w:after="240"/>
        <w:jc w:val="left"/>
        <w:rPr>
          <w:rFonts w:asciiTheme="minorHAnsi" w:hAnsiTheme="minorHAnsi" w:cstheme="minorHAnsi"/>
          <w:sz w:val="24"/>
          <w:szCs w:val="24"/>
        </w:rPr>
      </w:pPr>
    </w:p>
    <w:sectPr w:rsidR="00E92FAD" w:rsidRPr="00812D63" w:rsidSect="005517D6">
      <w:headerReference w:type="default" r:id="rId8"/>
      <w:footerReference w:type="even" r:id="rId9"/>
      <w:footerReference w:type="default" r:id="rId10"/>
      <w:footerReference w:type="first" r:id="rId11"/>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B1C1" w14:textId="77777777" w:rsidR="00326590" w:rsidRDefault="00326590">
      <w:r>
        <w:separator/>
      </w:r>
    </w:p>
  </w:endnote>
  <w:endnote w:type="continuationSeparator" w:id="0">
    <w:p w14:paraId="02F0AB14" w14:textId="77777777" w:rsidR="00326590" w:rsidRDefault="0032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0635" w14:textId="77777777" w:rsidR="00326590" w:rsidRDefault="00326590">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6813" w14:textId="77777777" w:rsidR="00326590" w:rsidRDefault="00326590">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C71D" w14:textId="77777777" w:rsidR="00326590" w:rsidRDefault="0032659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04FD5" w14:textId="77777777" w:rsidR="00326590" w:rsidRDefault="00326590">
      <w:r>
        <w:separator/>
      </w:r>
    </w:p>
  </w:footnote>
  <w:footnote w:type="continuationSeparator" w:id="0">
    <w:p w14:paraId="5D0884A2" w14:textId="77777777" w:rsidR="00326590" w:rsidRDefault="0032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BE7A" w14:textId="6D7F0980" w:rsidR="00326590" w:rsidRPr="00812D63" w:rsidRDefault="00326590">
    <w:pPr>
      <w:pStyle w:val="Header"/>
      <w:jc w:val="center"/>
      <w:rPr>
        <w:rFonts w:asciiTheme="minorHAnsi" w:hAnsiTheme="minorHAnsi" w:cstheme="minorHAnsi"/>
      </w:rPr>
    </w:pPr>
    <w:r w:rsidRPr="00812D63">
      <w:rPr>
        <w:rFonts w:asciiTheme="minorHAnsi" w:hAnsiTheme="minorHAnsi" w:cstheme="minorHAnsi"/>
      </w:rPr>
      <w:fldChar w:fldCharType="begin"/>
    </w:r>
    <w:r w:rsidRPr="00812D63">
      <w:rPr>
        <w:rFonts w:asciiTheme="minorHAnsi" w:hAnsiTheme="minorHAnsi" w:cstheme="minorHAnsi"/>
      </w:rPr>
      <w:instrText xml:space="preserve"> PAGE   \* MERGEFORMAT </w:instrText>
    </w:r>
    <w:r w:rsidRPr="00812D63">
      <w:rPr>
        <w:rFonts w:asciiTheme="minorHAnsi" w:hAnsiTheme="minorHAnsi" w:cstheme="minorHAnsi"/>
      </w:rPr>
      <w:fldChar w:fldCharType="separate"/>
    </w:r>
    <w:r w:rsidR="00091970">
      <w:rPr>
        <w:rFonts w:asciiTheme="minorHAnsi" w:hAnsiTheme="minorHAnsi" w:cstheme="minorHAnsi"/>
        <w:noProof/>
      </w:rPr>
      <w:t>3</w:t>
    </w:r>
    <w:r w:rsidRPr="00812D63">
      <w:rPr>
        <w:rFonts w:asciiTheme="minorHAnsi" w:hAnsiTheme="minorHAnsi" w:cstheme="minorHAnsi"/>
        <w:noProof/>
      </w:rPr>
      <w:fldChar w:fldCharType="end"/>
    </w:r>
  </w:p>
  <w:p w14:paraId="42CE40BC" w14:textId="77777777" w:rsidR="00326590" w:rsidRDefault="0032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210"/>
    <w:multiLevelType w:val="hybridMultilevel"/>
    <w:tmpl w:val="2DA67F0A"/>
    <w:lvl w:ilvl="0" w:tplc="8990DD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EB2857"/>
    <w:multiLevelType w:val="hybridMultilevel"/>
    <w:tmpl w:val="80E6813A"/>
    <w:lvl w:ilvl="0" w:tplc="8B60866C">
      <w:numFmt w:val="bullet"/>
      <w:lvlText w:val="-"/>
      <w:lvlJc w:val="left"/>
      <w:pPr>
        <w:ind w:left="720" w:hanging="360"/>
      </w:pPr>
      <w:rPr>
        <w:rFonts w:ascii="Calibri" w:eastAsia="Calibr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94CB0"/>
    <w:multiLevelType w:val="hybridMultilevel"/>
    <w:tmpl w:val="86C6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128CC"/>
    <w:multiLevelType w:val="hybridMultilevel"/>
    <w:tmpl w:val="ABCAD912"/>
    <w:lvl w:ilvl="0" w:tplc="558E9282">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75ACD"/>
    <w:multiLevelType w:val="hybridMultilevel"/>
    <w:tmpl w:val="664AB742"/>
    <w:lvl w:ilvl="0" w:tplc="8B60866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A2919"/>
    <w:multiLevelType w:val="hybridMultilevel"/>
    <w:tmpl w:val="43C4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C2405"/>
    <w:multiLevelType w:val="hybridMultilevel"/>
    <w:tmpl w:val="45FE969E"/>
    <w:lvl w:ilvl="0" w:tplc="A2702E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A682A"/>
    <w:multiLevelType w:val="hybridMultilevel"/>
    <w:tmpl w:val="C24A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4263C"/>
    <w:multiLevelType w:val="hybridMultilevel"/>
    <w:tmpl w:val="F25EC5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6B08DC"/>
    <w:multiLevelType w:val="hybridMultilevel"/>
    <w:tmpl w:val="1616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A0222"/>
    <w:multiLevelType w:val="hybridMultilevel"/>
    <w:tmpl w:val="15107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F957EF"/>
    <w:multiLevelType w:val="hybridMultilevel"/>
    <w:tmpl w:val="4620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E0EB6"/>
    <w:multiLevelType w:val="hybridMultilevel"/>
    <w:tmpl w:val="138A00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0B1CAB"/>
    <w:multiLevelType w:val="hybridMultilevel"/>
    <w:tmpl w:val="2294D5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0353E"/>
    <w:multiLevelType w:val="hybridMultilevel"/>
    <w:tmpl w:val="93325782"/>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12FF0"/>
    <w:multiLevelType w:val="hybridMultilevel"/>
    <w:tmpl w:val="9BD023C8"/>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27D14"/>
    <w:multiLevelType w:val="hybridMultilevel"/>
    <w:tmpl w:val="69B009A2"/>
    <w:lvl w:ilvl="0" w:tplc="8B60866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D4C8C"/>
    <w:multiLevelType w:val="hybridMultilevel"/>
    <w:tmpl w:val="85D4746C"/>
    <w:lvl w:ilvl="0" w:tplc="03C02FE4">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F0528"/>
    <w:multiLevelType w:val="hybridMultilevel"/>
    <w:tmpl w:val="DF94C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6467124"/>
    <w:multiLevelType w:val="hybridMultilevel"/>
    <w:tmpl w:val="CDC6AE1E"/>
    <w:lvl w:ilvl="0" w:tplc="8990DD5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073232"/>
    <w:multiLevelType w:val="hybridMultilevel"/>
    <w:tmpl w:val="ED382BB8"/>
    <w:lvl w:ilvl="0" w:tplc="8990DD5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667948"/>
    <w:multiLevelType w:val="hybridMultilevel"/>
    <w:tmpl w:val="2A127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D32E4B"/>
    <w:multiLevelType w:val="hybridMultilevel"/>
    <w:tmpl w:val="4AEE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96F7B"/>
    <w:multiLevelType w:val="hybridMultilevel"/>
    <w:tmpl w:val="472493BC"/>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4006DE"/>
    <w:multiLevelType w:val="hybridMultilevel"/>
    <w:tmpl w:val="27484066"/>
    <w:lvl w:ilvl="0" w:tplc="8990DD5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521066"/>
    <w:multiLevelType w:val="hybridMultilevel"/>
    <w:tmpl w:val="9B56A1B8"/>
    <w:lvl w:ilvl="0" w:tplc="8990DD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3C1706"/>
    <w:multiLevelType w:val="hybridMultilevel"/>
    <w:tmpl w:val="FDF4254E"/>
    <w:lvl w:ilvl="0" w:tplc="207C8E70">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76E6271B"/>
    <w:multiLevelType w:val="hybridMultilevel"/>
    <w:tmpl w:val="C85AAD6C"/>
    <w:lvl w:ilvl="0" w:tplc="8990DD5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3D424A"/>
    <w:multiLevelType w:val="hybridMultilevel"/>
    <w:tmpl w:val="8D94E6D0"/>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0" w15:restartNumberingAfterBreak="0">
    <w:nsid w:val="7DE45BD7"/>
    <w:multiLevelType w:val="hybridMultilevel"/>
    <w:tmpl w:val="19C6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5"/>
  </w:num>
  <w:num w:numId="4">
    <w:abstractNumId w:val="22"/>
  </w:num>
  <w:num w:numId="5">
    <w:abstractNumId w:val="6"/>
  </w:num>
  <w:num w:numId="6">
    <w:abstractNumId w:val="9"/>
  </w:num>
  <w:num w:numId="7">
    <w:abstractNumId w:val="29"/>
  </w:num>
  <w:num w:numId="8">
    <w:abstractNumId w:val="27"/>
  </w:num>
  <w:num w:numId="9">
    <w:abstractNumId w:val="16"/>
  </w:num>
  <w:num w:numId="10">
    <w:abstractNumId w:val="10"/>
  </w:num>
  <w:num w:numId="11">
    <w:abstractNumId w:val="13"/>
  </w:num>
  <w:num w:numId="12">
    <w:abstractNumId w:val="8"/>
  </w:num>
  <w:num w:numId="13">
    <w:abstractNumId w:val="12"/>
  </w:num>
  <w:num w:numId="14">
    <w:abstractNumId w:val="7"/>
  </w:num>
  <w:num w:numId="15">
    <w:abstractNumId w:val="28"/>
  </w:num>
  <w:num w:numId="16">
    <w:abstractNumId w:val="26"/>
  </w:num>
  <w:num w:numId="17">
    <w:abstractNumId w:val="0"/>
  </w:num>
  <w:num w:numId="18">
    <w:abstractNumId w:val="3"/>
  </w:num>
  <w:num w:numId="19">
    <w:abstractNumId w:val="18"/>
  </w:num>
  <w:num w:numId="20">
    <w:abstractNumId w:val="17"/>
  </w:num>
  <w:num w:numId="21">
    <w:abstractNumId w:val="4"/>
  </w:num>
  <w:num w:numId="22">
    <w:abstractNumId w:val="1"/>
  </w:num>
  <w:num w:numId="23">
    <w:abstractNumId w:val="19"/>
  </w:num>
  <w:num w:numId="24">
    <w:abstractNumId w:val="11"/>
  </w:num>
  <w:num w:numId="25">
    <w:abstractNumId w:val="5"/>
  </w:num>
  <w:num w:numId="26">
    <w:abstractNumId w:val="23"/>
  </w:num>
  <w:num w:numId="27">
    <w:abstractNumId w:val="30"/>
  </w:num>
  <w:num w:numId="28">
    <w:abstractNumId w:val="2"/>
  </w:num>
  <w:num w:numId="29">
    <w:abstractNumId w:val="20"/>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B8"/>
    <w:rsid w:val="000007BF"/>
    <w:rsid w:val="00001F0C"/>
    <w:rsid w:val="00002F5B"/>
    <w:rsid w:val="000072DF"/>
    <w:rsid w:val="00007546"/>
    <w:rsid w:val="00010908"/>
    <w:rsid w:val="0001135D"/>
    <w:rsid w:val="00011FBF"/>
    <w:rsid w:val="000137DF"/>
    <w:rsid w:val="00014D17"/>
    <w:rsid w:val="0002028E"/>
    <w:rsid w:val="00026C4A"/>
    <w:rsid w:val="00035063"/>
    <w:rsid w:val="000363BA"/>
    <w:rsid w:val="0003775A"/>
    <w:rsid w:val="000402A5"/>
    <w:rsid w:val="0004343A"/>
    <w:rsid w:val="00046F0C"/>
    <w:rsid w:val="0005046D"/>
    <w:rsid w:val="00050F44"/>
    <w:rsid w:val="00054462"/>
    <w:rsid w:val="00065738"/>
    <w:rsid w:val="00067A40"/>
    <w:rsid w:val="00071F78"/>
    <w:rsid w:val="00072B24"/>
    <w:rsid w:val="00074E80"/>
    <w:rsid w:val="00081423"/>
    <w:rsid w:val="00091970"/>
    <w:rsid w:val="0009362B"/>
    <w:rsid w:val="00093A8E"/>
    <w:rsid w:val="00095002"/>
    <w:rsid w:val="00095FC0"/>
    <w:rsid w:val="000966B0"/>
    <w:rsid w:val="00097B2E"/>
    <w:rsid w:val="00097FF2"/>
    <w:rsid w:val="000A6332"/>
    <w:rsid w:val="000A70C5"/>
    <w:rsid w:val="000B17A7"/>
    <w:rsid w:val="000B4088"/>
    <w:rsid w:val="000B4F90"/>
    <w:rsid w:val="000B6B39"/>
    <w:rsid w:val="000B7A89"/>
    <w:rsid w:val="000C4D0E"/>
    <w:rsid w:val="000D10D6"/>
    <w:rsid w:val="000D119C"/>
    <w:rsid w:val="000D4BFD"/>
    <w:rsid w:val="000E03D9"/>
    <w:rsid w:val="000E2339"/>
    <w:rsid w:val="000E6194"/>
    <w:rsid w:val="000F28C3"/>
    <w:rsid w:val="000F42C2"/>
    <w:rsid w:val="000F6AE4"/>
    <w:rsid w:val="00100FC6"/>
    <w:rsid w:val="0011361D"/>
    <w:rsid w:val="00114109"/>
    <w:rsid w:val="0011520B"/>
    <w:rsid w:val="001157ED"/>
    <w:rsid w:val="00115A5C"/>
    <w:rsid w:val="00117B01"/>
    <w:rsid w:val="00121967"/>
    <w:rsid w:val="0012230F"/>
    <w:rsid w:val="00126953"/>
    <w:rsid w:val="0012698B"/>
    <w:rsid w:val="00126999"/>
    <w:rsid w:val="001305EE"/>
    <w:rsid w:val="00132C3D"/>
    <w:rsid w:val="001350E7"/>
    <w:rsid w:val="00135E8F"/>
    <w:rsid w:val="00140AAB"/>
    <w:rsid w:val="0014157B"/>
    <w:rsid w:val="0014217B"/>
    <w:rsid w:val="00143E23"/>
    <w:rsid w:val="00144583"/>
    <w:rsid w:val="00152829"/>
    <w:rsid w:val="00152C87"/>
    <w:rsid w:val="00153DFD"/>
    <w:rsid w:val="0016132D"/>
    <w:rsid w:val="001632B8"/>
    <w:rsid w:val="0016602B"/>
    <w:rsid w:val="0017052B"/>
    <w:rsid w:val="0017330C"/>
    <w:rsid w:val="001747C8"/>
    <w:rsid w:val="00174BE9"/>
    <w:rsid w:val="001753BB"/>
    <w:rsid w:val="00175CA9"/>
    <w:rsid w:val="00176A8B"/>
    <w:rsid w:val="00176D01"/>
    <w:rsid w:val="00182A3E"/>
    <w:rsid w:val="00182B5D"/>
    <w:rsid w:val="0018489F"/>
    <w:rsid w:val="00184E24"/>
    <w:rsid w:val="001856E2"/>
    <w:rsid w:val="001931FC"/>
    <w:rsid w:val="00196C07"/>
    <w:rsid w:val="001977DF"/>
    <w:rsid w:val="001A36E3"/>
    <w:rsid w:val="001A6A06"/>
    <w:rsid w:val="001A7340"/>
    <w:rsid w:val="001A7BFB"/>
    <w:rsid w:val="001B2FF9"/>
    <w:rsid w:val="001B61DA"/>
    <w:rsid w:val="001C08C3"/>
    <w:rsid w:val="001C0B08"/>
    <w:rsid w:val="001D0D3A"/>
    <w:rsid w:val="001D3333"/>
    <w:rsid w:val="001D584A"/>
    <w:rsid w:val="001E01FA"/>
    <w:rsid w:val="001E48A1"/>
    <w:rsid w:val="001E6300"/>
    <w:rsid w:val="001E6C86"/>
    <w:rsid w:val="001F06DB"/>
    <w:rsid w:val="001F1000"/>
    <w:rsid w:val="002079D5"/>
    <w:rsid w:val="00223AC0"/>
    <w:rsid w:val="00230407"/>
    <w:rsid w:val="00231890"/>
    <w:rsid w:val="00231D39"/>
    <w:rsid w:val="002329AA"/>
    <w:rsid w:val="00242832"/>
    <w:rsid w:val="002503FA"/>
    <w:rsid w:val="00251C29"/>
    <w:rsid w:val="0026020C"/>
    <w:rsid w:val="00263885"/>
    <w:rsid w:val="0026557C"/>
    <w:rsid w:val="00273FB0"/>
    <w:rsid w:val="00275861"/>
    <w:rsid w:val="00275E86"/>
    <w:rsid w:val="002837EF"/>
    <w:rsid w:val="00285E01"/>
    <w:rsid w:val="002860AA"/>
    <w:rsid w:val="0028738D"/>
    <w:rsid w:val="00287D3F"/>
    <w:rsid w:val="002913A8"/>
    <w:rsid w:val="00293438"/>
    <w:rsid w:val="002946FD"/>
    <w:rsid w:val="002A18DA"/>
    <w:rsid w:val="002A42B9"/>
    <w:rsid w:val="002A46FC"/>
    <w:rsid w:val="002B09AE"/>
    <w:rsid w:val="002B0AFA"/>
    <w:rsid w:val="002B23C8"/>
    <w:rsid w:val="002B3B94"/>
    <w:rsid w:val="002B7A9E"/>
    <w:rsid w:val="002C28A9"/>
    <w:rsid w:val="002C35B3"/>
    <w:rsid w:val="002C60CC"/>
    <w:rsid w:val="002D28EA"/>
    <w:rsid w:val="002D43B1"/>
    <w:rsid w:val="002D5CA8"/>
    <w:rsid w:val="002E1E9A"/>
    <w:rsid w:val="002E4B95"/>
    <w:rsid w:val="002F344D"/>
    <w:rsid w:val="002F43B5"/>
    <w:rsid w:val="002F4491"/>
    <w:rsid w:val="002F74A1"/>
    <w:rsid w:val="00301C59"/>
    <w:rsid w:val="00301F03"/>
    <w:rsid w:val="003031FA"/>
    <w:rsid w:val="00303C3A"/>
    <w:rsid w:val="00304A84"/>
    <w:rsid w:val="00314C46"/>
    <w:rsid w:val="00315BE9"/>
    <w:rsid w:val="00322020"/>
    <w:rsid w:val="00326590"/>
    <w:rsid w:val="00326EDC"/>
    <w:rsid w:val="003310A0"/>
    <w:rsid w:val="00333525"/>
    <w:rsid w:val="003402D6"/>
    <w:rsid w:val="00343DAC"/>
    <w:rsid w:val="00345FB6"/>
    <w:rsid w:val="0034681E"/>
    <w:rsid w:val="003474E0"/>
    <w:rsid w:val="00350552"/>
    <w:rsid w:val="003530A5"/>
    <w:rsid w:val="003540E4"/>
    <w:rsid w:val="00355501"/>
    <w:rsid w:val="00356D38"/>
    <w:rsid w:val="00357664"/>
    <w:rsid w:val="00357874"/>
    <w:rsid w:val="00361374"/>
    <w:rsid w:val="00362F8F"/>
    <w:rsid w:val="003651A0"/>
    <w:rsid w:val="00375F9E"/>
    <w:rsid w:val="00381C0F"/>
    <w:rsid w:val="003824FD"/>
    <w:rsid w:val="003831AC"/>
    <w:rsid w:val="0038460B"/>
    <w:rsid w:val="00387896"/>
    <w:rsid w:val="00390AFA"/>
    <w:rsid w:val="00391557"/>
    <w:rsid w:val="00392508"/>
    <w:rsid w:val="00392E3C"/>
    <w:rsid w:val="003A13B3"/>
    <w:rsid w:val="003A1FBE"/>
    <w:rsid w:val="003A3272"/>
    <w:rsid w:val="003A34C5"/>
    <w:rsid w:val="003A4512"/>
    <w:rsid w:val="003A603B"/>
    <w:rsid w:val="003A62B4"/>
    <w:rsid w:val="003A6952"/>
    <w:rsid w:val="003A731B"/>
    <w:rsid w:val="003B0348"/>
    <w:rsid w:val="003B03B7"/>
    <w:rsid w:val="003B0D82"/>
    <w:rsid w:val="003B1883"/>
    <w:rsid w:val="003B1E0C"/>
    <w:rsid w:val="003C11C4"/>
    <w:rsid w:val="003C1AAA"/>
    <w:rsid w:val="003C2C4F"/>
    <w:rsid w:val="003C3ACC"/>
    <w:rsid w:val="003D0979"/>
    <w:rsid w:val="003D15B6"/>
    <w:rsid w:val="003D3B93"/>
    <w:rsid w:val="003D448B"/>
    <w:rsid w:val="003D5808"/>
    <w:rsid w:val="003E1454"/>
    <w:rsid w:val="003E3CE8"/>
    <w:rsid w:val="003E40CD"/>
    <w:rsid w:val="003E4687"/>
    <w:rsid w:val="003E568E"/>
    <w:rsid w:val="003E5F86"/>
    <w:rsid w:val="004034A7"/>
    <w:rsid w:val="004040D1"/>
    <w:rsid w:val="00406D7A"/>
    <w:rsid w:val="00410CEA"/>
    <w:rsid w:val="00413A62"/>
    <w:rsid w:val="00415B05"/>
    <w:rsid w:val="00420CA0"/>
    <w:rsid w:val="00421AB1"/>
    <w:rsid w:val="004315D3"/>
    <w:rsid w:val="00432FFE"/>
    <w:rsid w:val="00436E66"/>
    <w:rsid w:val="0043746C"/>
    <w:rsid w:val="00442D4E"/>
    <w:rsid w:val="00444FB2"/>
    <w:rsid w:val="00445CFC"/>
    <w:rsid w:val="00455A53"/>
    <w:rsid w:val="00466FCD"/>
    <w:rsid w:val="00470717"/>
    <w:rsid w:val="00473013"/>
    <w:rsid w:val="00473BA4"/>
    <w:rsid w:val="004775B8"/>
    <w:rsid w:val="00480181"/>
    <w:rsid w:val="00480529"/>
    <w:rsid w:val="004901C9"/>
    <w:rsid w:val="0049187F"/>
    <w:rsid w:val="00493432"/>
    <w:rsid w:val="0049433A"/>
    <w:rsid w:val="00495D2A"/>
    <w:rsid w:val="004A53E4"/>
    <w:rsid w:val="004A57AC"/>
    <w:rsid w:val="004A6A31"/>
    <w:rsid w:val="004B0FFD"/>
    <w:rsid w:val="004B1EA3"/>
    <w:rsid w:val="004B2F15"/>
    <w:rsid w:val="004C2019"/>
    <w:rsid w:val="004C4395"/>
    <w:rsid w:val="004C7479"/>
    <w:rsid w:val="004D2EFD"/>
    <w:rsid w:val="004D3C0D"/>
    <w:rsid w:val="004D3F0C"/>
    <w:rsid w:val="004D419C"/>
    <w:rsid w:val="004D6998"/>
    <w:rsid w:val="004E0D93"/>
    <w:rsid w:val="004E123D"/>
    <w:rsid w:val="004E15C5"/>
    <w:rsid w:val="004E1AF6"/>
    <w:rsid w:val="004E353D"/>
    <w:rsid w:val="004F010F"/>
    <w:rsid w:val="004F168D"/>
    <w:rsid w:val="004F77B8"/>
    <w:rsid w:val="0050162F"/>
    <w:rsid w:val="00503EF0"/>
    <w:rsid w:val="005139B6"/>
    <w:rsid w:val="00516BB9"/>
    <w:rsid w:val="005243D0"/>
    <w:rsid w:val="005258CC"/>
    <w:rsid w:val="0053299F"/>
    <w:rsid w:val="00532DE8"/>
    <w:rsid w:val="0053542F"/>
    <w:rsid w:val="00536AFA"/>
    <w:rsid w:val="00537232"/>
    <w:rsid w:val="00537342"/>
    <w:rsid w:val="00545D99"/>
    <w:rsid w:val="00547436"/>
    <w:rsid w:val="005517D6"/>
    <w:rsid w:val="005569CF"/>
    <w:rsid w:val="005631B9"/>
    <w:rsid w:val="005713BA"/>
    <w:rsid w:val="005762E8"/>
    <w:rsid w:val="00576C0D"/>
    <w:rsid w:val="00577960"/>
    <w:rsid w:val="00577FF8"/>
    <w:rsid w:val="00581921"/>
    <w:rsid w:val="00584B88"/>
    <w:rsid w:val="00585281"/>
    <w:rsid w:val="00586065"/>
    <w:rsid w:val="00586745"/>
    <w:rsid w:val="005874B7"/>
    <w:rsid w:val="00593B00"/>
    <w:rsid w:val="005956B4"/>
    <w:rsid w:val="005A786B"/>
    <w:rsid w:val="005B4B2E"/>
    <w:rsid w:val="005C2E2E"/>
    <w:rsid w:val="005C5D16"/>
    <w:rsid w:val="005D13B6"/>
    <w:rsid w:val="005D161F"/>
    <w:rsid w:val="005D5CD3"/>
    <w:rsid w:val="005D72B4"/>
    <w:rsid w:val="005E00A0"/>
    <w:rsid w:val="005F0B2F"/>
    <w:rsid w:val="005F0D6D"/>
    <w:rsid w:val="005F379E"/>
    <w:rsid w:val="005F58FA"/>
    <w:rsid w:val="005F6417"/>
    <w:rsid w:val="005F7124"/>
    <w:rsid w:val="006005A8"/>
    <w:rsid w:val="006014D2"/>
    <w:rsid w:val="0060262E"/>
    <w:rsid w:val="006071AB"/>
    <w:rsid w:val="00610410"/>
    <w:rsid w:val="00610945"/>
    <w:rsid w:val="006128D1"/>
    <w:rsid w:val="00614123"/>
    <w:rsid w:val="006166AB"/>
    <w:rsid w:val="006173A4"/>
    <w:rsid w:val="00621BBF"/>
    <w:rsid w:val="00622148"/>
    <w:rsid w:val="006229D8"/>
    <w:rsid w:val="00627068"/>
    <w:rsid w:val="00634DBE"/>
    <w:rsid w:val="00642774"/>
    <w:rsid w:val="00644893"/>
    <w:rsid w:val="00644FB4"/>
    <w:rsid w:val="00650D51"/>
    <w:rsid w:val="00654BBC"/>
    <w:rsid w:val="00656E57"/>
    <w:rsid w:val="006570B4"/>
    <w:rsid w:val="00660130"/>
    <w:rsid w:val="00661466"/>
    <w:rsid w:val="00667725"/>
    <w:rsid w:val="006734AD"/>
    <w:rsid w:val="006743DC"/>
    <w:rsid w:val="00676EC4"/>
    <w:rsid w:val="00680A7F"/>
    <w:rsid w:val="00680B4D"/>
    <w:rsid w:val="00686B08"/>
    <w:rsid w:val="00686B8D"/>
    <w:rsid w:val="0069366C"/>
    <w:rsid w:val="006960C0"/>
    <w:rsid w:val="0069771A"/>
    <w:rsid w:val="006A5B92"/>
    <w:rsid w:val="006A735F"/>
    <w:rsid w:val="006B2E58"/>
    <w:rsid w:val="006B77F8"/>
    <w:rsid w:val="006C2766"/>
    <w:rsid w:val="006D0586"/>
    <w:rsid w:val="006D25D5"/>
    <w:rsid w:val="006D4968"/>
    <w:rsid w:val="006D51DE"/>
    <w:rsid w:val="006D6949"/>
    <w:rsid w:val="006D69A8"/>
    <w:rsid w:val="006D7AAC"/>
    <w:rsid w:val="006E0601"/>
    <w:rsid w:val="006E2168"/>
    <w:rsid w:val="006E6486"/>
    <w:rsid w:val="006E7214"/>
    <w:rsid w:val="006E78B1"/>
    <w:rsid w:val="006F280F"/>
    <w:rsid w:val="006F3151"/>
    <w:rsid w:val="006F452F"/>
    <w:rsid w:val="00702AD5"/>
    <w:rsid w:val="00706238"/>
    <w:rsid w:val="00706606"/>
    <w:rsid w:val="007121F5"/>
    <w:rsid w:val="00713922"/>
    <w:rsid w:val="007227D4"/>
    <w:rsid w:val="00722BF5"/>
    <w:rsid w:val="007251F9"/>
    <w:rsid w:val="0072797E"/>
    <w:rsid w:val="0073452D"/>
    <w:rsid w:val="0073544F"/>
    <w:rsid w:val="007371DF"/>
    <w:rsid w:val="00742E6A"/>
    <w:rsid w:val="00745A24"/>
    <w:rsid w:val="00747CA7"/>
    <w:rsid w:val="00750FD0"/>
    <w:rsid w:val="0075550C"/>
    <w:rsid w:val="00755A66"/>
    <w:rsid w:val="007565CB"/>
    <w:rsid w:val="00757D5C"/>
    <w:rsid w:val="0076035C"/>
    <w:rsid w:val="007610E3"/>
    <w:rsid w:val="0076413C"/>
    <w:rsid w:val="0076789A"/>
    <w:rsid w:val="007821C6"/>
    <w:rsid w:val="00782395"/>
    <w:rsid w:val="00787311"/>
    <w:rsid w:val="00790CFC"/>
    <w:rsid w:val="00795B65"/>
    <w:rsid w:val="007A2C1E"/>
    <w:rsid w:val="007A44E6"/>
    <w:rsid w:val="007A7B92"/>
    <w:rsid w:val="007B226C"/>
    <w:rsid w:val="007B2805"/>
    <w:rsid w:val="007B4BE3"/>
    <w:rsid w:val="007B6D49"/>
    <w:rsid w:val="007B6F11"/>
    <w:rsid w:val="007C09FD"/>
    <w:rsid w:val="007C28EF"/>
    <w:rsid w:val="007C551A"/>
    <w:rsid w:val="007C6AF5"/>
    <w:rsid w:val="007C70AD"/>
    <w:rsid w:val="007D3F31"/>
    <w:rsid w:val="007D4E97"/>
    <w:rsid w:val="007D7BF9"/>
    <w:rsid w:val="007E3A70"/>
    <w:rsid w:val="007F3E6E"/>
    <w:rsid w:val="007F4692"/>
    <w:rsid w:val="007F6ECB"/>
    <w:rsid w:val="00800531"/>
    <w:rsid w:val="0080336D"/>
    <w:rsid w:val="00803E6F"/>
    <w:rsid w:val="00805005"/>
    <w:rsid w:val="00812D63"/>
    <w:rsid w:val="008130DA"/>
    <w:rsid w:val="0081393C"/>
    <w:rsid w:val="00821583"/>
    <w:rsid w:val="00822650"/>
    <w:rsid w:val="008338F7"/>
    <w:rsid w:val="00833B5B"/>
    <w:rsid w:val="00834E6C"/>
    <w:rsid w:val="0083549F"/>
    <w:rsid w:val="00835746"/>
    <w:rsid w:val="008377C4"/>
    <w:rsid w:val="00843563"/>
    <w:rsid w:val="0084372F"/>
    <w:rsid w:val="00845804"/>
    <w:rsid w:val="008468D6"/>
    <w:rsid w:val="008537E2"/>
    <w:rsid w:val="00864B34"/>
    <w:rsid w:val="00872B03"/>
    <w:rsid w:val="008736FA"/>
    <w:rsid w:val="00874D0D"/>
    <w:rsid w:val="00880C75"/>
    <w:rsid w:val="008817DA"/>
    <w:rsid w:val="00882133"/>
    <w:rsid w:val="00882B47"/>
    <w:rsid w:val="00887384"/>
    <w:rsid w:val="008906D7"/>
    <w:rsid w:val="008940DC"/>
    <w:rsid w:val="00894802"/>
    <w:rsid w:val="008A4D65"/>
    <w:rsid w:val="008A4E8F"/>
    <w:rsid w:val="008A6346"/>
    <w:rsid w:val="008B1B36"/>
    <w:rsid w:val="008B2B9D"/>
    <w:rsid w:val="008B67E3"/>
    <w:rsid w:val="008B6E99"/>
    <w:rsid w:val="008C4CBF"/>
    <w:rsid w:val="008C4D4A"/>
    <w:rsid w:val="008C4DEC"/>
    <w:rsid w:val="008C5DFD"/>
    <w:rsid w:val="008D0113"/>
    <w:rsid w:val="008D2E9F"/>
    <w:rsid w:val="008D3CBE"/>
    <w:rsid w:val="008D6090"/>
    <w:rsid w:val="008E14E6"/>
    <w:rsid w:val="008E3220"/>
    <w:rsid w:val="008E36AE"/>
    <w:rsid w:val="008E6865"/>
    <w:rsid w:val="008F01F6"/>
    <w:rsid w:val="008F34FF"/>
    <w:rsid w:val="008F4321"/>
    <w:rsid w:val="008F6D06"/>
    <w:rsid w:val="008F7024"/>
    <w:rsid w:val="00905986"/>
    <w:rsid w:val="009108B6"/>
    <w:rsid w:val="00915AB3"/>
    <w:rsid w:val="0091639A"/>
    <w:rsid w:val="009171C4"/>
    <w:rsid w:val="0091768D"/>
    <w:rsid w:val="00920364"/>
    <w:rsid w:val="009221FB"/>
    <w:rsid w:val="009256C4"/>
    <w:rsid w:val="00932290"/>
    <w:rsid w:val="00937DD5"/>
    <w:rsid w:val="00942455"/>
    <w:rsid w:val="00944B4A"/>
    <w:rsid w:val="00944BC7"/>
    <w:rsid w:val="00944E21"/>
    <w:rsid w:val="00945F25"/>
    <w:rsid w:val="00946F32"/>
    <w:rsid w:val="009470E0"/>
    <w:rsid w:val="009522A1"/>
    <w:rsid w:val="009635C4"/>
    <w:rsid w:val="0096606A"/>
    <w:rsid w:val="00966C5D"/>
    <w:rsid w:val="00972B13"/>
    <w:rsid w:val="00973B93"/>
    <w:rsid w:val="00977D18"/>
    <w:rsid w:val="00985D2A"/>
    <w:rsid w:val="00986CA8"/>
    <w:rsid w:val="00987905"/>
    <w:rsid w:val="00991666"/>
    <w:rsid w:val="00991847"/>
    <w:rsid w:val="00994FAA"/>
    <w:rsid w:val="009972A4"/>
    <w:rsid w:val="009A0760"/>
    <w:rsid w:val="009A0A6D"/>
    <w:rsid w:val="009A63BD"/>
    <w:rsid w:val="009A7DA8"/>
    <w:rsid w:val="009B02AD"/>
    <w:rsid w:val="009B3BF5"/>
    <w:rsid w:val="009B59FE"/>
    <w:rsid w:val="009B6DFD"/>
    <w:rsid w:val="009B7449"/>
    <w:rsid w:val="009C4C6B"/>
    <w:rsid w:val="009D142B"/>
    <w:rsid w:val="009D2571"/>
    <w:rsid w:val="009D3A18"/>
    <w:rsid w:val="009D3F33"/>
    <w:rsid w:val="009D5434"/>
    <w:rsid w:val="009D5DFD"/>
    <w:rsid w:val="009D6162"/>
    <w:rsid w:val="009E0A79"/>
    <w:rsid w:val="009E203F"/>
    <w:rsid w:val="009E5086"/>
    <w:rsid w:val="009F0378"/>
    <w:rsid w:val="009F1E79"/>
    <w:rsid w:val="009F694E"/>
    <w:rsid w:val="00A00CD6"/>
    <w:rsid w:val="00A01449"/>
    <w:rsid w:val="00A05221"/>
    <w:rsid w:val="00A05E7B"/>
    <w:rsid w:val="00A10312"/>
    <w:rsid w:val="00A11B66"/>
    <w:rsid w:val="00A11C2F"/>
    <w:rsid w:val="00A16703"/>
    <w:rsid w:val="00A1731D"/>
    <w:rsid w:val="00A21A9C"/>
    <w:rsid w:val="00A25D8C"/>
    <w:rsid w:val="00A264B1"/>
    <w:rsid w:val="00A30696"/>
    <w:rsid w:val="00A32146"/>
    <w:rsid w:val="00A325A7"/>
    <w:rsid w:val="00A35F92"/>
    <w:rsid w:val="00A3679C"/>
    <w:rsid w:val="00A408C8"/>
    <w:rsid w:val="00A4436D"/>
    <w:rsid w:val="00A46B6D"/>
    <w:rsid w:val="00A472BF"/>
    <w:rsid w:val="00A53308"/>
    <w:rsid w:val="00A53873"/>
    <w:rsid w:val="00A55130"/>
    <w:rsid w:val="00A56514"/>
    <w:rsid w:val="00A572AD"/>
    <w:rsid w:val="00A57DAC"/>
    <w:rsid w:val="00A62E4B"/>
    <w:rsid w:val="00A67CEF"/>
    <w:rsid w:val="00A72694"/>
    <w:rsid w:val="00A7279F"/>
    <w:rsid w:val="00A76A77"/>
    <w:rsid w:val="00A76C94"/>
    <w:rsid w:val="00A80948"/>
    <w:rsid w:val="00A8479B"/>
    <w:rsid w:val="00A90A06"/>
    <w:rsid w:val="00A90F8A"/>
    <w:rsid w:val="00A93535"/>
    <w:rsid w:val="00A93B52"/>
    <w:rsid w:val="00A9430D"/>
    <w:rsid w:val="00AA1012"/>
    <w:rsid w:val="00AA1264"/>
    <w:rsid w:val="00AA1517"/>
    <w:rsid w:val="00AA24D3"/>
    <w:rsid w:val="00AA29D0"/>
    <w:rsid w:val="00AA5C74"/>
    <w:rsid w:val="00AA6218"/>
    <w:rsid w:val="00AB3A93"/>
    <w:rsid w:val="00AB6FBA"/>
    <w:rsid w:val="00AC25A2"/>
    <w:rsid w:val="00AC6F23"/>
    <w:rsid w:val="00AC7301"/>
    <w:rsid w:val="00AD0AB1"/>
    <w:rsid w:val="00AD0C9F"/>
    <w:rsid w:val="00AD0FFE"/>
    <w:rsid w:val="00AD39CE"/>
    <w:rsid w:val="00AD61AE"/>
    <w:rsid w:val="00AD7866"/>
    <w:rsid w:val="00AE2382"/>
    <w:rsid w:val="00AF2AE2"/>
    <w:rsid w:val="00AF39B0"/>
    <w:rsid w:val="00AF62CA"/>
    <w:rsid w:val="00B00697"/>
    <w:rsid w:val="00B01CBB"/>
    <w:rsid w:val="00B020D2"/>
    <w:rsid w:val="00B029AA"/>
    <w:rsid w:val="00B034D5"/>
    <w:rsid w:val="00B03EF9"/>
    <w:rsid w:val="00B0402D"/>
    <w:rsid w:val="00B04981"/>
    <w:rsid w:val="00B04E8E"/>
    <w:rsid w:val="00B075F1"/>
    <w:rsid w:val="00B11527"/>
    <w:rsid w:val="00B11748"/>
    <w:rsid w:val="00B14327"/>
    <w:rsid w:val="00B215C2"/>
    <w:rsid w:val="00B271D5"/>
    <w:rsid w:val="00B32F20"/>
    <w:rsid w:val="00B3425F"/>
    <w:rsid w:val="00B34FBE"/>
    <w:rsid w:val="00B3552F"/>
    <w:rsid w:val="00B35B2C"/>
    <w:rsid w:val="00B42775"/>
    <w:rsid w:val="00B42C07"/>
    <w:rsid w:val="00B42D68"/>
    <w:rsid w:val="00B44F2D"/>
    <w:rsid w:val="00B4742E"/>
    <w:rsid w:val="00B50013"/>
    <w:rsid w:val="00B51B4C"/>
    <w:rsid w:val="00B552EA"/>
    <w:rsid w:val="00B55D97"/>
    <w:rsid w:val="00B60256"/>
    <w:rsid w:val="00B61CCA"/>
    <w:rsid w:val="00B640B3"/>
    <w:rsid w:val="00B67F5E"/>
    <w:rsid w:val="00B70641"/>
    <w:rsid w:val="00B70BF6"/>
    <w:rsid w:val="00B70F66"/>
    <w:rsid w:val="00B801F5"/>
    <w:rsid w:val="00B809A5"/>
    <w:rsid w:val="00B81BBD"/>
    <w:rsid w:val="00B83BD1"/>
    <w:rsid w:val="00B84F81"/>
    <w:rsid w:val="00B87515"/>
    <w:rsid w:val="00B9058E"/>
    <w:rsid w:val="00B927A4"/>
    <w:rsid w:val="00B933D4"/>
    <w:rsid w:val="00B94FDA"/>
    <w:rsid w:val="00B9525F"/>
    <w:rsid w:val="00B97D7D"/>
    <w:rsid w:val="00BA228A"/>
    <w:rsid w:val="00BA5B0B"/>
    <w:rsid w:val="00BB2252"/>
    <w:rsid w:val="00BC20DB"/>
    <w:rsid w:val="00BC26CD"/>
    <w:rsid w:val="00BC50AC"/>
    <w:rsid w:val="00BD2C3F"/>
    <w:rsid w:val="00BD2C4C"/>
    <w:rsid w:val="00BD4D1E"/>
    <w:rsid w:val="00BD5879"/>
    <w:rsid w:val="00BD5E06"/>
    <w:rsid w:val="00BD6760"/>
    <w:rsid w:val="00BD6994"/>
    <w:rsid w:val="00BD7FCF"/>
    <w:rsid w:val="00BE38D0"/>
    <w:rsid w:val="00BE4AF4"/>
    <w:rsid w:val="00BF18C9"/>
    <w:rsid w:val="00BF77A7"/>
    <w:rsid w:val="00BF79C2"/>
    <w:rsid w:val="00C02CF0"/>
    <w:rsid w:val="00C06961"/>
    <w:rsid w:val="00C074EA"/>
    <w:rsid w:val="00C12C0C"/>
    <w:rsid w:val="00C15FB2"/>
    <w:rsid w:val="00C15FCA"/>
    <w:rsid w:val="00C20270"/>
    <w:rsid w:val="00C20738"/>
    <w:rsid w:val="00C21CB1"/>
    <w:rsid w:val="00C237BF"/>
    <w:rsid w:val="00C23C7C"/>
    <w:rsid w:val="00C24AB5"/>
    <w:rsid w:val="00C26799"/>
    <w:rsid w:val="00C31EB0"/>
    <w:rsid w:val="00C32E0C"/>
    <w:rsid w:val="00C3423C"/>
    <w:rsid w:val="00C3786C"/>
    <w:rsid w:val="00C405E1"/>
    <w:rsid w:val="00C432E6"/>
    <w:rsid w:val="00C43EC4"/>
    <w:rsid w:val="00C50363"/>
    <w:rsid w:val="00C51DCF"/>
    <w:rsid w:val="00C60D0E"/>
    <w:rsid w:val="00C646F4"/>
    <w:rsid w:val="00C66F2E"/>
    <w:rsid w:val="00C74F3A"/>
    <w:rsid w:val="00C80DBA"/>
    <w:rsid w:val="00C815D7"/>
    <w:rsid w:val="00C81666"/>
    <w:rsid w:val="00C8258E"/>
    <w:rsid w:val="00C848F0"/>
    <w:rsid w:val="00C875A8"/>
    <w:rsid w:val="00C87CA4"/>
    <w:rsid w:val="00C91024"/>
    <w:rsid w:val="00C93AEF"/>
    <w:rsid w:val="00C969C5"/>
    <w:rsid w:val="00C972CA"/>
    <w:rsid w:val="00CA00A5"/>
    <w:rsid w:val="00CA2141"/>
    <w:rsid w:val="00CA36F4"/>
    <w:rsid w:val="00CA5644"/>
    <w:rsid w:val="00CA6038"/>
    <w:rsid w:val="00CA6298"/>
    <w:rsid w:val="00CA74DE"/>
    <w:rsid w:val="00CA7C49"/>
    <w:rsid w:val="00CA7D29"/>
    <w:rsid w:val="00CB0C06"/>
    <w:rsid w:val="00CB15E1"/>
    <w:rsid w:val="00CB5F6B"/>
    <w:rsid w:val="00CB7B20"/>
    <w:rsid w:val="00CB7C90"/>
    <w:rsid w:val="00CC3D00"/>
    <w:rsid w:val="00CC6E80"/>
    <w:rsid w:val="00CD083D"/>
    <w:rsid w:val="00CD3B27"/>
    <w:rsid w:val="00CD3CB4"/>
    <w:rsid w:val="00CD3DE0"/>
    <w:rsid w:val="00CD7B1B"/>
    <w:rsid w:val="00CD7E24"/>
    <w:rsid w:val="00CE0B8F"/>
    <w:rsid w:val="00CE1952"/>
    <w:rsid w:val="00CE2820"/>
    <w:rsid w:val="00CE2E56"/>
    <w:rsid w:val="00CE36C1"/>
    <w:rsid w:val="00CE5974"/>
    <w:rsid w:val="00CE7A2B"/>
    <w:rsid w:val="00CE7E07"/>
    <w:rsid w:val="00CF3AA0"/>
    <w:rsid w:val="00CF4B1A"/>
    <w:rsid w:val="00CF4F84"/>
    <w:rsid w:val="00CF7075"/>
    <w:rsid w:val="00CF717D"/>
    <w:rsid w:val="00D01134"/>
    <w:rsid w:val="00D0485C"/>
    <w:rsid w:val="00D048EA"/>
    <w:rsid w:val="00D04EAD"/>
    <w:rsid w:val="00D10D84"/>
    <w:rsid w:val="00D1178C"/>
    <w:rsid w:val="00D132F8"/>
    <w:rsid w:val="00D215EA"/>
    <w:rsid w:val="00D24E12"/>
    <w:rsid w:val="00D33301"/>
    <w:rsid w:val="00D3412E"/>
    <w:rsid w:val="00D35CE4"/>
    <w:rsid w:val="00D367DC"/>
    <w:rsid w:val="00D37E3B"/>
    <w:rsid w:val="00D405D3"/>
    <w:rsid w:val="00D41A19"/>
    <w:rsid w:val="00D44C8D"/>
    <w:rsid w:val="00D4570C"/>
    <w:rsid w:val="00D45C89"/>
    <w:rsid w:val="00D47BD4"/>
    <w:rsid w:val="00D51FF4"/>
    <w:rsid w:val="00D56744"/>
    <w:rsid w:val="00D56BCE"/>
    <w:rsid w:val="00D572E1"/>
    <w:rsid w:val="00D63A01"/>
    <w:rsid w:val="00D6449A"/>
    <w:rsid w:val="00D67075"/>
    <w:rsid w:val="00D7259F"/>
    <w:rsid w:val="00D75218"/>
    <w:rsid w:val="00D756A5"/>
    <w:rsid w:val="00D7603E"/>
    <w:rsid w:val="00D81650"/>
    <w:rsid w:val="00D8490F"/>
    <w:rsid w:val="00D85686"/>
    <w:rsid w:val="00D87113"/>
    <w:rsid w:val="00D87B36"/>
    <w:rsid w:val="00D94F1F"/>
    <w:rsid w:val="00D957DA"/>
    <w:rsid w:val="00DA2168"/>
    <w:rsid w:val="00DA41D1"/>
    <w:rsid w:val="00DA7A50"/>
    <w:rsid w:val="00DB0035"/>
    <w:rsid w:val="00DB03EF"/>
    <w:rsid w:val="00DB43C8"/>
    <w:rsid w:val="00DB4DC9"/>
    <w:rsid w:val="00DB70DF"/>
    <w:rsid w:val="00DC54E7"/>
    <w:rsid w:val="00DC64D3"/>
    <w:rsid w:val="00DC73FD"/>
    <w:rsid w:val="00DD293A"/>
    <w:rsid w:val="00DD60F6"/>
    <w:rsid w:val="00DE6905"/>
    <w:rsid w:val="00DE6D34"/>
    <w:rsid w:val="00DE7A78"/>
    <w:rsid w:val="00DE7D05"/>
    <w:rsid w:val="00DF1FD6"/>
    <w:rsid w:val="00DF3773"/>
    <w:rsid w:val="00DF3F50"/>
    <w:rsid w:val="00E05333"/>
    <w:rsid w:val="00E0574A"/>
    <w:rsid w:val="00E06AC2"/>
    <w:rsid w:val="00E074F6"/>
    <w:rsid w:val="00E10BA3"/>
    <w:rsid w:val="00E12A8D"/>
    <w:rsid w:val="00E22156"/>
    <w:rsid w:val="00E22F41"/>
    <w:rsid w:val="00E23A6B"/>
    <w:rsid w:val="00E25829"/>
    <w:rsid w:val="00E27AF0"/>
    <w:rsid w:val="00E27F8C"/>
    <w:rsid w:val="00E35A4D"/>
    <w:rsid w:val="00E37A18"/>
    <w:rsid w:val="00E37C31"/>
    <w:rsid w:val="00E4207A"/>
    <w:rsid w:val="00E429C7"/>
    <w:rsid w:val="00E4451F"/>
    <w:rsid w:val="00E45D8A"/>
    <w:rsid w:val="00E47A9B"/>
    <w:rsid w:val="00E562EB"/>
    <w:rsid w:val="00E659DA"/>
    <w:rsid w:val="00E72637"/>
    <w:rsid w:val="00E72804"/>
    <w:rsid w:val="00E74505"/>
    <w:rsid w:val="00E75020"/>
    <w:rsid w:val="00E756C8"/>
    <w:rsid w:val="00E75D31"/>
    <w:rsid w:val="00E7602D"/>
    <w:rsid w:val="00E81DCA"/>
    <w:rsid w:val="00E8497E"/>
    <w:rsid w:val="00E864E7"/>
    <w:rsid w:val="00E91016"/>
    <w:rsid w:val="00E92FAD"/>
    <w:rsid w:val="00E934C2"/>
    <w:rsid w:val="00E9492F"/>
    <w:rsid w:val="00EA0834"/>
    <w:rsid w:val="00EA1A22"/>
    <w:rsid w:val="00EA299A"/>
    <w:rsid w:val="00EA3CB1"/>
    <w:rsid w:val="00EA5CD1"/>
    <w:rsid w:val="00EB34B9"/>
    <w:rsid w:val="00EC13C8"/>
    <w:rsid w:val="00EC5339"/>
    <w:rsid w:val="00EC6236"/>
    <w:rsid w:val="00EC6F8C"/>
    <w:rsid w:val="00ED3ABB"/>
    <w:rsid w:val="00ED3FA0"/>
    <w:rsid w:val="00ED605D"/>
    <w:rsid w:val="00ED69F8"/>
    <w:rsid w:val="00EE058C"/>
    <w:rsid w:val="00EE0EEE"/>
    <w:rsid w:val="00EE105B"/>
    <w:rsid w:val="00EE12F9"/>
    <w:rsid w:val="00EE59E5"/>
    <w:rsid w:val="00EF431A"/>
    <w:rsid w:val="00EF4E89"/>
    <w:rsid w:val="00EF566D"/>
    <w:rsid w:val="00EF6EDA"/>
    <w:rsid w:val="00F10347"/>
    <w:rsid w:val="00F1288B"/>
    <w:rsid w:val="00F13B85"/>
    <w:rsid w:val="00F152C7"/>
    <w:rsid w:val="00F21CF0"/>
    <w:rsid w:val="00F22AE7"/>
    <w:rsid w:val="00F238EE"/>
    <w:rsid w:val="00F33F24"/>
    <w:rsid w:val="00F3611D"/>
    <w:rsid w:val="00F4071A"/>
    <w:rsid w:val="00F4527E"/>
    <w:rsid w:val="00F46CA3"/>
    <w:rsid w:val="00F5211D"/>
    <w:rsid w:val="00F52206"/>
    <w:rsid w:val="00F54C01"/>
    <w:rsid w:val="00F559B5"/>
    <w:rsid w:val="00F61E55"/>
    <w:rsid w:val="00F61EED"/>
    <w:rsid w:val="00F637A1"/>
    <w:rsid w:val="00F64489"/>
    <w:rsid w:val="00F74CD9"/>
    <w:rsid w:val="00F805F0"/>
    <w:rsid w:val="00F86371"/>
    <w:rsid w:val="00F87F0F"/>
    <w:rsid w:val="00F941E4"/>
    <w:rsid w:val="00FA2060"/>
    <w:rsid w:val="00FA397D"/>
    <w:rsid w:val="00FA4B15"/>
    <w:rsid w:val="00FB1163"/>
    <w:rsid w:val="00FB7AE6"/>
    <w:rsid w:val="00FC6B55"/>
    <w:rsid w:val="00FD096D"/>
    <w:rsid w:val="00FD2151"/>
    <w:rsid w:val="00FD3090"/>
    <w:rsid w:val="00FE079D"/>
    <w:rsid w:val="00FE0903"/>
    <w:rsid w:val="00FE0E79"/>
    <w:rsid w:val="00FE179D"/>
    <w:rsid w:val="00FE466E"/>
    <w:rsid w:val="00FE4E4C"/>
    <w:rsid w:val="00FE6FD0"/>
    <w:rsid w:val="00FE77AF"/>
    <w:rsid w:val="00FF2005"/>
    <w:rsid w:val="00FF3B42"/>
    <w:rsid w:val="00FF43D1"/>
    <w:rsid w:val="00FF5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B8"/>
    <w:pPr>
      <w:keepLines/>
      <w:spacing w:after="120"/>
      <w:jc w:val="both"/>
    </w:pPr>
  </w:style>
  <w:style w:type="paragraph" w:styleId="Heading6">
    <w:name w:val="heading 6"/>
    <w:basedOn w:val="Normal"/>
    <w:next w:val="Normal"/>
    <w:qFormat/>
    <w:rsid w:val="00C31EB0"/>
    <w:pPr>
      <w:keepNext/>
      <w:keepLines w:val="0"/>
      <w:spacing w:before="240" w:after="0"/>
      <w:ind w:right="91"/>
      <w:jc w:val="lef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4775B8"/>
    <w:pPr>
      <w:suppressAutoHyphens/>
      <w:spacing w:before="60" w:after="60"/>
      <w:ind w:left="567" w:hanging="567"/>
    </w:pPr>
  </w:style>
  <w:style w:type="paragraph" w:customStyle="1" w:styleId="Heading4">
    <w:name w:val="Heading4"/>
    <w:basedOn w:val="Normal"/>
    <w:rsid w:val="004775B8"/>
    <w:pPr>
      <w:keepNext/>
      <w:suppressAutoHyphens/>
      <w:jc w:val="center"/>
    </w:pPr>
    <w:rPr>
      <w:b/>
    </w:rPr>
  </w:style>
  <w:style w:type="paragraph" w:customStyle="1" w:styleId="Heading5">
    <w:name w:val="Heading5"/>
    <w:basedOn w:val="Normal"/>
    <w:rsid w:val="004775B8"/>
    <w:pPr>
      <w:keepNext/>
      <w:suppressAutoHyphens/>
      <w:jc w:val="center"/>
    </w:pPr>
    <w:rPr>
      <w:i/>
    </w:rPr>
  </w:style>
  <w:style w:type="paragraph" w:customStyle="1" w:styleId="Heading60">
    <w:name w:val="Heading6"/>
    <w:basedOn w:val="Normal"/>
    <w:rsid w:val="004775B8"/>
    <w:pPr>
      <w:keepNext/>
      <w:suppressAutoHyphens/>
    </w:pPr>
    <w:rPr>
      <w:b/>
    </w:rPr>
  </w:style>
  <w:style w:type="paragraph" w:customStyle="1" w:styleId="Char">
    <w:name w:val="Char"/>
    <w:basedOn w:val="Normal"/>
    <w:rsid w:val="004775B8"/>
    <w:pPr>
      <w:keepLines w:val="0"/>
      <w:spacing w:after="160" w:line="240" w:lineRule="exact"/>
      <w:jc w:val="left"/>
    </w:pPr>
    <w:rPr>
      <w:rFonts w:ascii="Verdana" w:hAnsi="Verdana" w:cs="Verdana"/>
      <w:lang w:val="en-US" w:eastAsia="en-US"/>
    </w:rPr>
  </w:style>
  <w:style w:type="paragraph" w:customStyle="1" w:styleId="A1S">
    <w:name w:val="A1S"/>
    <w:aliases w:val="1.Schedule Amendment"/>
    <w:basedOn w:val="Normal"/>
    <w:next w:val="Normal"/>
    <w:rsid w:val="003540E4"/>
    <w:pPr>
      <w:keepNext/>
      <w:keepLines w:val="0"/>
      <w:spacing w:before="480" w:after="0" w:line="260" w:lineRule="exact"/>
      <w:ind w:left="964" w:hanging="964"/>
      <w:jc w:val="left"/>
    </w:pPr>
    <w:rPr>
      <w:rFonts w:ascii="Arial" w:hAnsi="Arial"/>
      <w:b/>
      <w:sz w:val="24"/>
      <w:szCs w:val="24"/>
    </w:rPr>
  </w:style>
  <w:style w:type="paragraph" w:styleId="BalloonText">
    <w:name w:val="Balloon Text"/>
    <w:basedOn w:val="Normal"/>
    <w:semiHidden/>
    <w:rsid w:val="007565CB"/>
    <w:rPr>
      <w:rFonts w:ascii="Tahoma" w:hAnsi="Tahoma" w:cs="Tahoma"/>
      <w:sz w:val="16"/>
      <w:szCs w:val="16"/>
    </w:rPr>
  </w:style>
  <w:style w:type="paragraph" w:customStyle="1" w:styleId="Char2Char">
    <w:name w:val="Char2 Char"/>
    <w:basedOn w:val="Normal"/>
    <w:rsid w:val="00C31EB0"/>
    <w:pPr>
      <w:keepLines w:val="0"/>
      <w:spacing w:after="160" w:line="240" w:lineRule="exact"/>
      <w:jc w:val="left"/>
    </w:pPr>
    <w:rPr>
      <w:rFonts w:ascii="Verdana" w:hAnsi="Verdana" w:cs="Verdana"/>
      <w:sz w:val="21"/>
      <w:szCs w:val="21"/>
      <w:lang w:val="en-US" w:eastAsia="en-US"/>
    </w:rPr>
  </w:style>
  <w:style w:type="character" w:styleId="CommentReference">
    <w:name w:val="annotation reference"/>
    <w:semiHidden/>
    <w:rsid w:val="00AF39B0"/>
    <w:rPr>
      <w:sz w:val="16"/>
      <w:szCs w:val="16"/>
    </w:rPr>
  </w:style>
  <w:style w:type="paragraph" w:styleId="CommentText">
    <w:name w:val="annotation text"/>
    <w:basedOn w:val="Normal"/>
    <w:link w:val="CommentTextChar"/>
    <w:semiHidden/>
    <w:rsid w:val="00AF39B0"/>
  </w:style>
  <w:style w:type="paragraph" w:styleId="CommentSubject">
    <w:name w:val="annotation subject"/>
    <w:basedOn w:val="CommentText"/>
    <w:next w:val="CommentText"/>
    <w:semiHidden/>
    <w:rsid w:val="00AF39B0"/>
    <w:rPr>
      <w:b/>
      <w:bCs/>
    </w:rPr>
  </w:style>
  <w:style w:type="paragraph" w:customStyle="1" w:styleId="A2S">
    <w:name w:val="A2S"/>
    <w:aliases w:val="Schedule Inst Amendment"/>
    <w:basedOn w:val="Normal"/>
    <w:next w:val="Normal"/>
    <w:rsid w:val="009E203F"/>
    <w:pPr>
      <w:keepNext/>
      <w:keepLines w:val="0"/>
      <w:spacing w:before="120" w:after="0" w:line="260" w:lineRule="exact"/>
      <w:ind w:left="964"/>
      <w:jc w:val="left"/>
    </w:pPr>
    <w:rPr>
      <w:i/>
      <w:sz w:val="24"/>
      <w:szCs w:val="24"/>
    </w:rPr>
  </w:style>
  <w:style w:type="table" w:styleId="TableGrid">
    <w:name w:val="Table Grid"/>
    <w:basedOn w:val="TableNormal"/>
    <w:rsid w:val="00B4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B4742E"/>
    <w:pPr>
      <w:spacing w:after="60"/>
      <w:ind w:left="113" w:hanging="113"/>
      <w:jc w:val="left"/>
    </w:pPr>
    <w:rPr>
      <w:sz w:val="16"/>
    </w:rPr>
  </w:style>
  <w:style w:type="paragraph" w:styleId="Header">
    <w:name w:val="header"/>
    <w:basedOn w:val="Normal"/>
    <w:link w:val="HeaderChar"/>
    <w:uiPriority w:val="99"/>
    <w:rsid w:val="00537342"/>
    <w:pPr>
      <w:tabs>
        <w:tab w:val="center" w:pos="4513"/>
        <w:tab w:val="right" w:pos="9026"/>
      </w:tabs>
    </w:pPr>
  </w:style>
  <w:style w:type="character" w:customStyle="1" w:styleId="HeaderChar">
    <w:name w:val="Header Char"/>
    <w:basedOn w:val="DefaultParagraphFont"/>
    <w:link w:val="Header"/>
    <w:uiPriority w:val="99"/>
    <w:rsid w:val="00537342"/>
  </w:style>
  <w:style w:type="paragraph" w:styleId="ListParagraph">
    <w:name w:val="List Paragraph"/>
    <w:basedOn w:val="Normal"/>
    <w:uiPriority w:val="34"/>
    <w:qFormat/>
    <w:rsid w:val="000A6332"/>
    <w:pPr>
      <w:keepLines w:val="0"/>
      <w:spacing w:after="0"/>
      <w:ind w:left="720"/>
      <w:jc w:val="left"/>
    </w:pPr>
    <w:rPr>
      <w:rFonts w:ascii="Calibri" w:eastAsia="Calibri" w:hAnsi="Calibri"/>
      <w:sz w:val="22"/>
      <w:szCs w:val="22"/>
      <w:lang w:eastAsia="en-US"/>
    </w:rPr>
  </w:style>
  <w:style w:type="character" w:styleId="Hyperlink">
    <w:name w:val="Hyperlink"/>
    <w:basedOn w:val="DefaultParagraphFont"/>
    <w:rsid w:val="002913A8"/>
    <w:rPr>
      <w:color w:val="0000FF" w:themeColor="hyperlink"/>
      <w:u w:val="single"/>
    </w:rPr>
  </w:style>
  <w:style w:type="paragraph" w:customStyle="1" w:styleId="subsection">
    <w:name w:val="subsection"/>
    <w:aliases w:val="ss,Subsection"/>
    <w:basedOn w:val="Normal"/>
    <w:link w:val="subsectionChar"/>
    <w:rsid w:val="00E0574A"/>
    <w:pPr>
      <w:keepLines w:val="0"/>
      <w:tabs>
        <w:tab w:val="right" w:pos="1021"/>
      </w:tabs>
      <w:spacing w:before="180" w:after="0"/>
      <w:ind w:left="1134" w:hanging="1134"/>
      <w:jc w:val="left"/>
    </w:pPr>
    <w:rPr>
      <w:sz w:val="22"/>
    </w:rPr>
  </w:style>
  <w:style w:type="character" w:customStyle="1" w:styleId="subsectionChar">
    <w:name w:val="subsection Char"/>
    <w:aliases w:val="ss Char"/>
    <w:basedOn w:val="DefaultParagraphFont"/>
    <w:link w:val="subsection"/>
    <w:locked/>
    <w:rsid w:val="00E0574A"/>
    <w:rPr>
      <w:sz w:val="22"/>
    </w:rPr>
  </w:style>
  <w:style w:type="paragraph" w:customStyle="1" w:styleId="paragraph">
    <w:name w:val="paragraph"/>
    <w:aliases w:val="a"/>
    <w:basedOn w:val="Normal"/>
    <w:rsid w:val="00072B24"/>
    <w:pPr>
      <w:keepLines w:val="0"/>
      <w:tabs>
        <w:tab w:val="right" w:pos="1531"/>
      </w:tabs>
      <w:spacing w:before="40" w:after="0"/>
      <w:ind w:left="1644" w:hanging="1644"/>
      <w:jc w:val="left"/>
    </w:pPr>
    <w:rPr>
      <w:sz w:val="22"/>
    </w:rPr>
  </w:style>
  <w:style w:type="paragraph" w:customStyle="1" w:styleId="SubsectionHead">
    <w:name w:val="SubsectionHead"/>
    <w:aliases w:val="ssh"/>
    <w:basedOn w:val="Normal"/>
    <w:next w:val="subsection"/>
    <w:rsid w:val="00072B24"/>
    <w:pPr>
      <w:keepNext/>
      <w:spacing w:before="240" w:after="0"/>
      <w:ind w:left="1134"/>
      <w:jc w:val="left"/>
    </w:pPr>
    <w:rPr>
      <w:i/>
      <w:sz w:val="22"/>
    </w:rPr>
  </w:style>
  <w:style w:type="paragraph" w:customStyle="1" w:styleId="paragraphsub">
    <w:name w:val="paragraph(sub)"/>
    <w:aliases w:val="aa"/>
    <w:basedOn w:val="Normal"/>
    <w:rsid w:val="00072B24"/>
    <w:pPr>
      <w:keepLines w:val="0"/>
      <w:tabs>
        <w:tab w:val="right" w:pos="1985"/>
      </w:tabs>
      <w:spacing w:before="40" w:after="0"/>
      <w:ind w:left="2098" w:hanging="2098"/>
      <w:jc w:val="left"/>
    </w:pPr>
    <w:rPr>
      <w:sz w:val="22"/>
    </w:rPr>
  </w:style>
  <w:style w:type="paragraph" w:customStyle="1" w:styleId="notetext">
    <w:name w:val="note(text)"/>
    <w:aliases w:val="n"/>
    <w:basedOn w:val="Normal"/>
    <w:link w:val="notetextChar"/>
    <w:rsid w:val="00072B24"/>
    <w:pPr>
      <w:keepLines w:val="0"/>
      <w:spacing w:before="122" w:after="0"/>
      <w:ind w:left="1985" w:hanging="851"/>
      <w:jc w:val="left"/>
    </w:pPr>
    <w:rPr>
      <w:sz w:val="18"/>
    </w:rPr>
  </w:style>
  <w:style w:type="character" w:customStyle="1" w:styleId="notetextChar">
    <w:name w:val="note(text) Char"/>
    <w:aliases w:val="n Char"/>
    <w:basedOn w:val="DefaultParagraphFont"/>
    <w:link w:val="notetext"/>
    <w:rsid w:val="00072B24"/>
    <w:rPr>
      <w:sz w:val="18"/>
    </w:rPr>
  </w:style>
  <w:style w:type="paragraph" w:customStyle="1" w:styleId="ActHead3">
    <w:name w:val="ActHead 3"/>
    <w:aliases w:val="d"/>
    <w:basedOn w:val="Normal"/>
    <w:next w:val="Normal"/>
    <w:qFormat/>
    <w:rsid w:val="00072B24"/>
    <w:pPr>
      <w:keepNext/>
      <w:spacing w:before="240" w:after="0"/>
      <w:ind w:left="1134" w:hanging="1134"/>
      <w:jc w:val="left"/>
      <w:outlineLvl w:val="2"/>
    </w:pPr>
    <w:rPr>
      <w:b/>
      <w:kern w:val="28"/>
      <w:sz w:val="28"/>
    </w:rPr>
  </w:style>
  <w:style w:type="paragraph" w:customStyle="1" w:styleId="ActHead5">
    <w:name w:val="ActHead 5"/>
    <w:aliases w:val="s"/>
    <w:basedOn w:val="Normal"/>
    <w:next w:val="subsection"/>
    <w:link w:val="ActHead5Char"/>
    <w:qFormat/>
    <w:rsid w:val="00072B24"/>
    <w:pPr>
      <w:keepNext/>
      <w:spacing w:before="280" w:after="0"/>
      <w:ind w:left="1134" w:hanging="1134"/>
      <w:jc w:val="left"/>
      <w:outlineLvl w:val="4"/>
    </w:pPr>
    <w:rPr>
      <w:b/>
      <w:kern w:val="28"/>
      <w:sz w:val="24"/>
    </w:rPr>
  </w:style>
  <w:style w:type="character" w:customStyle="1" w:styleId="CharDivNo">
    <w:name w:val="CharDivNo"/>
    <w:basedOn w:val="DefaultParagraphFont"/>
    <w:uiPriority w:val="1"/>
    <w:qFormat/>
    <w:rsid w:val="00072B24"/>
  </w:style>
  <w:style w:type="character" w:customStyle="1" w:styleId="CharDivText">
    <w:name w:val="CharDivText"/>
    <w:basedOn w:val="DefaultParagraphFont"/>
    <w:uiPriority w:val="1"/>
    <w:qFormat/>
    <w:rsid w:val="00072B24"/>
  </w:style>
  <w:style w:type="character" w:customStyle="1" w:styleId="CharSectno">
    <w:name w:val="CharSectno"/>
    <w:basedOn w:val="DefaultParagraphFont"/>
    <w:qFormat/>
    <w:rsid w:val="00072B24"/>
  </w:style>
  <w:style w:type="paragraph" w:customStyle="1" w:styleId="notedraft">
    <w:name w:val="note(draft)"/>
    <w:aliases w:val="nd"/>
    <w:basedOn w:val="Normal"/>
    <w:rsid w:val="00072B24"/>
    <w:pPr>
      <w:keepLines w:val="0"/>
      <w:spacing w:before="240" w:after="0"/>
      <w:ind w:left="284" w:hanging="284"/>
      <w:jc w:val="left"/>
    </w:pPr>
    <w:rPr>
      <w:i/>
      <w:sz w:val="24"/>
    </w:rPr>
  </w:style>
  <w:style w:type="character" w:customStyle="1" w:styleId="ActHead5Char">
    <w:name w:val="ActHead 5 Char"/>
    <w:aliases w:val="s Char"/>
    <w:link w:val="ActHead5"/>
    <w:rsid w:val="00072B24"/>
    <w:rPr>
      <w:b/>
      <w:kern w:val="28"/>
      <w:sz w:val="24"/>
    </w:rPr>
  </w:style>
  <w:style w:type="paragraph" w:customStyle="1" w:styleId="SOText">
    <w:name w:val="SO Text"/>
    <w:aliases w:val="sot"/>
    <w:link w:val="SOTextChar"/>
    <w:rsid w:val="00FF20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F2005"/>
    <w:rPr>
      <w:rFonts w:eastAsiaTheme="minorHAnsi" w:cstheme="minorBidi"/>
      <w:sz w:val="22"/>
      <w:lang w:eastAsia="en-US"/>
    </w:rPr>
  </w:style>
  <w:style w:type="character" w:customStyle="1" w:styleId="CommentTextChar">
    <w:name w:val="Comment Text Char"/>
    <w:basedOn w:val="DefaultParagraphFont"/>
    <w:link w:val="CommentText"/>
    <w:semiHidden/>
    <w:rsid w:val="00480181"/>
  </w:style>
  <w:style w:type="paragraph" w:customStyle="1" w:styleId="Definition">
    <w:name w:val="Definition"/>
    <w:aliases w:val="dd"/>
    <w:basedOn w:val="Normal"/>
    <w:rsid w:val="00C21CB1"/>
    <w:pPr>
      <w:keepLines w:val="0"/>
      <w:spacing w:before="180" w:after="0"/>
      <w:ind w:left="1134"/>
      <w:jc w:val="left"/>
    </w:pPr>
    <w:rPr>
      <w:sz w:val="22"/>
    </w:rPr>
  </w:style>
  <w:style w:type="paragraph" w:styleId="FootnoteText">
    <w:name w:val="footnote text"/>
    <w:basedOn w:val="Normal"/>
    <w:link w:val="FootnoteTextChar"/>
    <w:semiHidden/>
    <w:unhideWhenUsed/>
    <w:rsid w:val="008736FA"/>
    <w:pPr>
      <w:spacing w:after="0"/>
    </w:pPr>
  </w:style>
  <w:style w:type="character" w:customStyle="1" w:styleId="FootnoteTextChar">
    <w:name w:val="Footnote Text Char"/>
    <w:basedOn w:val="DefaultParagraphFont"/>
    <w:link w:val="FootnoteText"/>
    <w:semiHidden/>
    <w:rsid w:val="008736FA"/>
  </w:style>
  <w:style w:type="character" w:styleId="FootnoteReference">
    <w:name w:val="footnote reference"/>
    <w:basedOn w:val="DefaultParagraphFont"/>
    <w:semiHidden/>
    <w:unhideWhenUsed/>
    <w:rsid w:val="00873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80026">
      <w:bodyDiv w:val="1"/>
      <w:marLeft w:val="0"/>
      <w:marRight w:val="0"/>
      <w:marTop w:val="0"/>
      <w:marBottom w:val="0"/>
      <w:divBdr>
        <w:top w:val="none" w:sz="0" w:space="0" w:color="auto"/>
        <w:left w:val="none" w:sz="0" w:space="0" w:color="auto"/>
        <w:bottom w:val="none" w:sz="0" w:space="0" w:color="auto"/>
        <w:right w:val="none" w:sz="0" w:space="0" w:color="auto"/>
      </w:divBdr>
    </w:div>
    <w:div w:id="1079670940">
      <w:bodyDiv w:val="1"/>
      <w:marLeft w:val="0"/>
      <w:marRight w:val="0"/>
      <w:marTop w:val="0"/>
      <w:marBottom w:val="0"/>
      <w:divBdr>
        <w:top w:val="none" w:sz="0" w:space="0" w:color="auto"/>
        <w:left w:val="none" w:sz="0" w:space="0" w:color="auto"/>
        <w:bottom w:val="none" w:sz="0" w:space="0" w:color="auto"/>
        <w:right w:val="none" w:sz="0" w:space="0" w:color="auto"/>
      </w:divBdr>
    </w:div>
    <w:div w:id="14589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19E1-6FBA-41E6-95F7-473D5B16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4349</Words>
  <Characters>23365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2012-02-22T00:37:00Z</cp:lastPrinted>
  <dcterms:created xsi:type="dcterms:W3CDTF">2019-11-29T05:09:00Z</dcterms:created>
  <dcterms:modified xsi:type="dcterms:W3CDTF">2019-11-29T05:37:00Z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Template Filename">
    <vt:lpwstr/>
  </property>
</Properties>
</file>