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E7E19" w14:textId="77777777" w:rsidR="0048134F" w:rsidRPr="002A5E67" w:rsidRDefault="0048134F" w:rsidP="00CC172B">
      <w:pPr>
        <w:jc w:val="center"/>
        <w:rPr>
          <w:rFonts w:cs="Arial"/>
          <w:b/>
          <w:szCs w:val="22"/>
          <w:u w:val="single"/>
        </w:rPr>
      </w:pPr>
      <w:bookmarkStart w:id="0" w:name="_GoBack"/>
      <w:bookmarkEnd w:id="0"/>
      <w:r w:rsidRPr="002A5E67">
        <w:rPr>
          <w:rFonts w:cs="Arial"/>
          <w:b/>
          <w:szCs w:val="22"/>
          <w:u w:val="single"/>
        </w:rPr>
        <w:t>EXPLANATORY STATEMENT</w:t>
      </w:r>
    </w:p>
    <w:p w14:paraId="720855A1" w14:textId="77777777" w:rsidR="0048134F" w:rsidRPr="002A5E67" w:rsidRDefault="0048134F" w:rsidP="00CC172B">
      <w:pPr>
        <w:rPr>
          <w:rFonts w:cs="Arial"/>
          <w:szCs w:val="22"/>
        </w:rPr>
      </w:pPr>
    </w:p>
    <w:p w14:paraId="44C9E571" w14:textId="77777777" w:rsidR="0048134F" w:rsidRPr="002A5E67" w:rsidRDefault="0048134F" w:rsidP="00CC172B">
      <w:pPr>
        <w:jc w:val="center"/>
        <w:rPr>
          <w:rFonts w:cs="Arial"/>
          <w:i/>
          <w:szCs w:val="22"/>
        </w:rPr>
      </w:pPr>
      <w:r w:rsidRPr="002A5E67">
        <w:rPr>
          <w:rFonts w:cs="Arial"/>
          <w:i/>
          <w:szCs w:val="22"/>
        </w:rPr>
        <w:t>Guidelines issued under section 238-10 of the Higher Education Support Act 2003</w:t>
      </w:r>
    </w:p>
    <w:p w14:paraId="107405E2" w14:textId="77777777" w:rsidR="0048134F" w:rsidRPr="002A5E67" w:rsidRDefault="0048134F" w:rsidP="00CC172B">
      <w:pPr>
        <w:jc w:val="center"/>
        <w:rPr>
          <w:rFonts w:cs="Arial"/>
          <w:szCs w:val="22"/>
          <w:u w:val="single"/>
        </w:rPr>
      </w:pPr>
    </w:p>
    <w:p w14:paraId="5BCFB065" w14:textId="33276BD6" w:rsidR="004113A1" w:rsidRPr="009E6905" w:rsidRDefault="004113A1" w:rsidP="00CC172B">
      <w:pPr>
        <w:jc w:val="center"/>
        <w:rPr>
          <w:rFonts w:cs="Arial"/>
          <w:b/>
          <w:szCs w:val="22"/>
        </w:rPr>
      </w:pPr>
      <w:r>
        <w:rPr>
          <w:rFonts w:cs="Arial"/>
          <w:b/>
          <w:szCs w:val="22"/>
        </w:rPr>
        <w:t>Other Grants</w:t>
      </w:r>
      <w:r w:rsidRPr="009E6905">
        <w:rPr>
          <w:rFonts w:cs="Arial"/>
          <w:b/>
          <w:szCs w:val="22"/>
        </w:rPr>
        <w:t xml:space="preserve"> Guidelines (Research) Amendment (No. 1) 2019</w:t>
      </w:r>
    </w:p>
    <w:p w14:paraId="317F4366" w14:textId="77777777" w:rsidR="0048134F" w:rsidRPr="002A5E67" w:rsidRDefault="0048134F" w:rsidP="00CC172B">
      <w:pPr>
        <w:rPr>
          <w:rFonts w:cs="Arial"/>
          <w:szCs w:val="22"/>
        </w:rPr>
      </w:pPr>
    </w:p>
    <w:p w14:paraId="7A495D7E" w14:textId="47A2973E" w:rsidR="0048134F" w:rsidRPr="002A5E67" w:rsidRDefault="0048134F" w:rsidP="00CC172B">
      <w:pPr>
        <w:rPr>
          <w:rFonts w:cs="Arial"/>
          <w:szCs w:val="22"/>
          <w:u w:val="single"/>
        </w:rPr>
      </w:pPr>
      <w:r w:rsidRPr="002A5E67">
        <w:rPr>
          <w:rFonts w:cs="Arial"/>
          <w:szCs w:val="22"/>
          <w:u w:val="single"/>
        </w:rPr>
        <w:t xml:space="preserve">Issued by the authority of the Minister for </w:t>
      </w:r>
      <w:r w:rsidR="00400550">
        <w:rPr>
          <w:rFonts w:cs="Arial"/>
          <w:szCs w:val="22"/>
          <w:u w:val="single"/>
        </w:rPr>
        <w:t>Education</w:t>
      </w:r>
    </w:p>
    <w:p w14:paraId="6B94A8E0" w14:textId="77777777" w:rsidR="0048134F" w:rsidRPr="002A5E67" w:rsidRDefault="0048134F" w:rsidP="00CC172B">
      <w:pPr>
        <w:rPr>
          <w:rFonts w:cs="Arial"/>
          <w:szCs w:val="22"/>
        </w:rPr>
      </w:pPr>
    </w:p>
    <w:p w14:paraId="411F8E30" w14:textId="77777777" w:rsidR="0048134F" w:rsidRPr="002A5E67" w:rsidRDefault="0048134F" w:rsidP="00CC172B">
      <w:pPr>
        <w:rPr>
          <w:rFonts w:cs="Arial"/>
          <w:szCs w:val="22"/>
        </w:rPr>
      </w:pPr>
    </w:p>
    <w:p w14:paraId="729EA82B" w14:textId="77777777" w:rsidR="0048134F" w:rsidRPr="002A5E67" w:rsidRDefault="0048134F" w:rsidP="00CC172B">
      <w:pPr>
        <w:rPr>
          <w:rFonts w:cs="Arial"/>
          <w:szCs w:val="22"/>
        </w:rPr>
      </w:pPr>
      <w:r w:rsidRPr="00C20FAC">
        <w:rPr>
          <w:rFonts w:cs="Arial"/>
          <w:b/>
          <w:szCs w:val="22"/>
          <w:u w:val="single"/>
        </w:rPr>
        <w:t>Subject:</w:t>
      </w:r>
      <w:r w:rsidRPr="002A5E67">
        <w:rPr>
          <w:rFonts w:cs="Arial"/>
          <w:szCs w:val="22"/>
        </w:rPr>
        <w:tab/>
      </w:r>
      <w:r w:rsidRPr="002A5E67">
        <w:rPr>
          <w:rFonts w:cs="Arial"/>
          <w:szCs w:val="22"/>
        </w:rPr>
        <w:tab/>
      </w:r>
      <w:r w:rsidRPr="002A5E67">
        <w:rPr>
          <w:rFonts w:cs="Arial"/>
          <w:i/>
          <w:szCs w:val="22"/>
        </w:rPr>
        <w:t>Higher Education Support Act 2003</w:t>
      </w:r>
    </w:p>
    <w:p w14:paraId="4BA66691" w14:textId="1AFDF50B" w:rsidR="0048134F" w:rsidRPr="002A5E67" w:rsidRDefault="00C20FAC" w:rsidP="00CC172B">
      <w:pPr>
        <w:ind w:left="1695"/>
        <w:rPr>
          <w:rFonts w:cs="Arial"/>
          <w:szCs w:val="22"/>
        </w:rPr>
      </w:pPr>
      <w:r>
        <w:rPr>
          <w:rFonts w:cs="Arial"/>
          <w:szCs w:val="22"/>
        </w:rPr>
        <w:t xml:space="preserve">Amendment No.1 to the </w:t>
      </w:r>
      <w:r w:rsidR="00FF4E79" w:rsidRPr="00AC5292">
        <w:rPr>
          <w:rFonts w:cs="Arial"/>
          <w:i/>
          <w:szCs w:val="22"/>
        </w:rPr>
        <w:t>Other Grant</w:t>
      </w:r>
      <w:r w:rsidR="000E6DF0" w:rsidRPr="00AC5292">
        <w:rPr>
          <w:rFonts w:cs="Arial"/>
          <w:i/>
          <w:szCs w:val="22"/>
        </w:rPr>
        <w:t>s</w:t>
      </w:r>
      <w:r w:rsidR="00B4481C" w:rsidRPr="00AC5292">
        <w:rPr>
          <w:rFonts w:cs="Arial"/>
          <w:i/>
          <w:szCs w:val="22"/>
        </w:rPr>
        <w:t xml:space="preserve"> Guidelines (Research) 2017</w:t>
      </w:r>
    </w:p>
    <w:p w14:paraId="49B9A6B6" w14:textId="77777777" w:rsidR="0048134F" w:rsidRPr="002A5E67" w:rsidRDefault="0048134F" w:rsidP="00CC172B">
      <w:pPr>
        <w:rPr>
          <w:rFonts w:cs="Arial"/>
          <w:szCs w:val="22"/>
        </w:rPr>
      </w:pPr>
    </w:p>
    <w:p w14:paraId="723D6C61" w14:textId="77777777" w:rsidR="0048134F" w:rsidRPr="0048134F" w:rsidRDefault="00FA52A7" w:rsidP="00CC172B">
      <w:pPr>
        <w:rPr>
          <w:rFonts w:cs="Arial"/>
          <w:b/>
          <w:szCs w:val="22"/>
          <w:u w:val="single"/>
        </w:rPr>
      </w:pPr>
      <w:r w:rsidRPr="00FA52A7">
        <w:rPr>
          <w:rFonts w:cs="Arial"/>
          <w:b/>
          <w:szCs w:val="22"/>
          <w:u w:val="single"/>
        </w:rPr>
        <w:t>Authority</w:t>
      </w:r>
    </w:p>
    <w:p w14:paraId="3973C464" w14:textId="77777777" w:rsidR="0048134F" w:rsidRPr="002A5E67" w:rsidRDefault="0048134F" w:rsidP="00CC172B">
      <w:pPr>
        <w:rPr>
          <w:rFonts w:cs="Arial"/>
          <w:szCs w:val="22"/>
          <w:u w:val="single"/>
        </w:rPr>
      </w:pPr>
    </w:p>
    <w:p w14:paraId="4EAB0244" w14:textId="3E2040B0" w:rsidR="004064F9" w:rsidRDefault="004064F9" w:rsidP="00CC172B">
      <w:pPr>
        <w:autoSpaceDE w:val="0"/>
        <w:autoSpaceDN w:val="0"/>
        <w:adjustRightInd w:val="0"/>
        <w:rPr>
          <w:rFonts w:cs="Arial"/>
        </w:rPr>
      </w:pPr>
      <w:r>
        <w:rPr>
          <w:rFonts w:cs="Arial"/>
        </w:rPr>
        <w:t xml:space="preserve">The Other Grants Guidelines (Research) Amendment (No. 1) 2019 (Amendment Instrument) is made under section 238-10 of the </w:t>
      </w:r>
      <w:r>
        <w:rPr>
          <w:rFonts w:cs="Arial"/>
          <w:i/>
        </w:rPr>
        <w:t>Higher Education Support Act 2003</w:t>
      </w:r>
      <w:r>
        <w:rPr>
          <w:rFonts w:cs="Arial"/>
        </w:rPr>
        <w:t xml:space="preserve"> (Act). The Amendment Instrument amends the </w:t>
      </w:r>
      <w:r w:rsidRPr="00AC5292">
        <w:rPr>
          <w:rFonts w:cs="Arial"/>
          <w:i/>
        </w:rPr>
        <w:t>Other Grants Guidelines (Research) 2017</w:t>
      </w:r>
      <w:r>
        <w:rPr>
          <w:rFonts w:cs="Arial"/>
        </w:rPr>
        <w:t xml:space="preserve"> that was made for the purposes of section 41-15 of the Act and registered on the Federa</w:t>
      </w:r>
      <w:r w:rsidR="00CC172B">
        <w:rPr>
          <w:rFonts w:cs="Arial"/>
        </w:rPr>
        <w:t>l Register of Legislation on 10 </w:t>
      </w:r>
      <w:r>
        <w:rPr>
          <w:rFonts w:cs="Arial"/>
        </w:rPr>
        <w:t>October</w:t>
      </w:r>
      <w:r w:rsidR="00CC172B">
        <w:rPr>
          <w:rFonts w:cs="Arial"/>
        </w:rPr>
        <w:t> </w:t>
      </w:r>
      <w:r>
        <w:rPr>
          <w:rFonts w:cs="Arial"/>
        </w:rPr>
        <w:t>2016 (F2016L01603) (Other Grants Guidelines).</w:t>
      </w:r>
    </w:p>
    <w:p w14:paraId="1182C85E" w14:textId="77777777" w:rsidR="004064F9" w:rsidRDefault="004064F9" w:rsidP="00CC172B">
      <w:pPr>
        <w:autoSpaceDE w:val="0"/>
        <w:autoSpaceDN w:val="0"/>
        <w:adjustRightInd w:val="0"/>
        <w:rPr>
          <w:rFonts w:cs="Arial"/>
        </w:rPr>
      </w:pPr>
    </w:p>
    <w:p w14:paraId="614D7392" w14:textId="1568B25C" w:rsidR="004064F9" w:rsidRDefault="004064F9" w:rsidP="00CC172B">
      <w:pPr>
        <w:autoSpaceDE w:val="0"/>
        <w:autoSpaceDN w:val="0"/>
        <w:adjustRightInd w:val="0"/>
        <w:rPr>
          <w:rFonts w:cs="Arial"/>
        </w:rPr>
      </w:pPr>
      <w:r>
        <w:rPr>
          <w:rFonts w:cs="Arial"/>
        </w:rPr>
        <w:t>Section 238-10 of the Act provides that the Minister may make guidelines providing for matters required or permitted by the Act or necessary or convenient to be provided in order to carry out or give effect to the Act. Item 3 of the table in subsection 238-10(1) of the Act provides that the Minister may make Other Grants Guidelines permitted under Part 2-3 of the Act.</w:t>
      </w:r>
    </w:p>
    <w:p w14:paraId="7357956E" w14:textId="77777777" w:rsidR="004064F9" w:rsidRDefault="004064F9" w:rsidP="00CC172B">
      <w:pPr>
        <w:autoSpaceDE w:val="0"/>
        <w:autoSpaceDN w:val="0"/>
        <w:adjustRightInd w:val="0"/>
        <w:rPr>
          <w:rFonts w:cs="Arial"/>
        </w:rPr>
      </w:pPr>
    </w:p>
    <w:p w14:paraId="020CA4A9" w14:textId="77777777" w:rsidR="004064F9" w:rsidRDefault="004064F9" w:rsidP="00CC172B">
      <w:pPr>
        <w:autoSpaceDE w:val="0"/>
        <w:autoSpaceDN w:val="0"/>
        <w:adjustRightInd w:val="0"/>
        <w:rPr>
          <w:rFonts w:cs="Arial"/>
        </w:rPr>
      </w:pPr>
      <w:r>
        <w:rPr>
          <w:rFonts w:cs="Arial"/>
        </w:rPr>
        <w:t xml:space="preserve">Under subsection 33(3) of the </w:t>
      </w:r>
      <w:r>
        <w:rPr>
          <w:rFonts w:cs="Arial"/>
          <w:i/>
        </w:rPr>
        <w:t>Acts Interpretation Act 1901</w:t>
      </w:r>
      <w:r>
        <w:rPr>
          <w:rFonts w:cs="Arial"/>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0585E107" w14:textId="76987AE1" w:rsidR="0048134F" w:rsidRDefault="0048134F" w:rsidP="00CC172B">
      <w:pPr>
        <w:rPr>
          <w:rFonts w:cs="Arial"/>
          <w:szCs w:val="22"/>
        </w:rPr>
      </w:pPr>
      <w:r w:rsidRPr="002A5E67">
        <w:rPr>
          <w:rFonts w:cs="Arial"/>
          <w:szCs w:val="22"/>
        </w:rPr>
        <w:t> </w:t>
      </w:r>
    </w:p>
    <w:p w14:paraId="62D98297" w14:textId="77777777" w:rsidR="004064F9" w:rsidRDefault="004064F9" w:rsidP="00CC172B">
      <w:pPr>
        <w:rPr>
          <w:rFonts w:cs="Arial"/>
          <w:b/>
          <w:u w:val="single"/>
        </w:rPr>
      </w:pPr>
      <w:r>
        <w:rPr>
          <w:rFonts w:cs="Arial"/>
          <w:b/>
          <w:u w:val="single"/>
        </w:rPr>
        <w:t>Background</w:t>
      </w:r>
    </w:p>
    <w:p w14:paraId="718EDD21" w14:textId="77777777" w:rsidR="00CC172B" w:rsidRDefault="00CC172B" w:rsidP="00CC172B">
      <w:pPr>
        <w:rPr>
          <w:rFonts w:cs="Arial"/>
        </w:rPr>
      </w:pPr>
    </w:p>
    <w:p w14:paraId="4D73C135" w14:textId="57A3FB94" w:rsidR="004064F9" w:rsidRDefault="004064F9" w:rsidP="00CC172B">
      <w:pPr>
        <w:rPr>
          <w:rFonts w:cs="Arial"/>
        </w:rPr>
      </w:pPr>
      <w:r>
        <w:rPr>
          <w:rFonts w:cs="Arial"/>
        </w:rPr>
        <w:t>Section 41-5 of the Act provides that the Other Grants Guidelines may provide for other grants. The purpose of the Other Grants Guidelines is to specify one or more p</w:t>
      </w:r>
      <w:r w:rsidR="001E2C5F">
        <w:rPr>
          <w:rFonts w:cs="Arial"/>
        </w:rPr>
        <w:t>rograms under which grants for particular purposes specified in th</w:t>
      </w:r>
      <w:r w:rsidR="002D7ACA">
        <w:rPr>
          <w:rFonts w:cs="Arial"/>
        </w:rPr>
        <w:t>e table in subsection 41-</w:t>
      </w:r>
      <w:r w:rsidR="001E2C5F">
        <w:rPr>
          <w:rFonts w:cs="Arial"/>
        </w:rPr>
        <w:t>10(1) are to be paid</w:t>
      </w:r>
      <w:r>
        <w:rPr>
          <w:rFonts w:cs="Arial"/>
        </w:rPr>
        <w:t xml:space="preserve">. This includes the Research </w:t>
      </w:r>
      <w:r w:rsidR="001E2C5F">
        <w:rPr>
          <w:rFonts w:cs="Arial"/>
        </w:rPr>
        <w:t>Support</w:t>
      </w:r>
      <w:r>
        <w:rPr>
          <w:rFonts w:cs="Arial"/>
        </w:rPr>
        <w:t xml:space="preserve"> </w:t>
      </w:r>
      <w:r w:rsidR="001E2C5F">
        <w:rPr>
          <w:rFonts w:cs="Arial"/>
        </w:rPr>
        <w:t>Program</w:t>
      </w:r>
      <w:r w:rsidR="00CC172B">
        <w:rPr>
          <w:rFonts w:cs="Arial"/>
        </w:rPr>
        <w:t xml:space="preserve"> (RSP)</w:t>
      </w:r>
      <w:r w:rsidR="001E2C5F">
        <w:rPr>
          <w:rFonts w:cs="Arial"/>
        </w:rPr>
        <w:t>, which</w:t>
      </w:r>
      <w:r>
        <w:rPr>
          <w:rFonts w:cs="Arial"/>
        </w:rPr>
        <w:t xml:space="preserve"> provides </w:t>
      </w:r>
      <w:r w:rsidR="001E2C5F">
        <w:rPr>
          <w:rFonts w:cs="Arial"/>
        </w:rPr>
        <w:t>grants to support the systemic costs of research</w:t>
      </w:r>
      <w:r>
        <w:rPr>
          <w:rFonts w:cs="Arial"/>
        </w:rPr>
        <w:t>.</w:t>
      </w:r>
    </w:p>
    <w:p w14:paraId="5BB85F75" w14:textId="77777777" w:rsidR="00CC172B" w:rsidRDefault="00CC172B" w:rsidP="00CC172B">
      <w:pPr>
        <w:rPr>
          <w:rFonts w:cs="Arial"/>
        </w:rPr>
      </w:pPr>
    </w:p>
    <w:p w14:paraId="6CC7ECBC" w14:textId="0C7ABD2F" w:rsidR="004064F9" w:rsidRDefault="004064F9" w:rsidP="00CC172B">
      <w:pPr>
        <w:rPr>
          <w:rFonts w:cs="Arial"/>
        </w:rPr>
      </w:pPr>
      <w:r>
        <w:rPr>
          <w:rFonts w:cs="Arial"/>
        </w:rPr>
        <w:t>Grants are made to eligible Australian hi</w:t>
      </w:r>
      <w:r w:rsidR="001E2C5F">
        <w:rPr>
          <w:rFonts w:cs="Arial"/>
        </w:rPr>
        <w:t xml:space="preserve">gher education providers (HEPs). </w:t>
      </w:r>
      <w:r w:rsidR="004113A1">
        <w:rPr>
          <w:rFonts w:cs="Arial"/>
        </w:rPr>
        <w:t xml:space="preserve">Eligible </w:t>
      </w:r>
      <w:r>
        <w:rPr>
          <w:rFonts w:cs="Arial"/>
        </w:rPr>
        <w:t>HEPs are Table A providers listed in section 16-15 of the Act and Table B providers listed in section 16-20 of the Act.</w:t>
      </w:r>
    </w:p>
    <w:p w14:paraId="472E05DD" w14:textId="77777777" w:rsidR="004064F9" w:rsidRPr="002A5E67" w:rsidRDefault="004064F9" w:rsidP="00CC172B">
      <w:pPr>
        <w:rPr>
          <w:rFonts w:cs="Arial"/>
          <w:szCs w:val="22"/>
        </w:rPr>
      </w:pPr>
    </w:p>
    <w:p w14:paraId="7C1689E7" w14:textId="77777777" w:rsidR="0048134F" w:rsidRPr="0048134F" w:rsidRDefault="00FA52A7" w:rsidP="00CC172B">
      <w:pPr>
        <w:rPr>
          <w:rFonts w:cs="Arial"/>
          <w:b/>
          <w:szCs w:val="22"/>
          <w:u w:val="single"/>
        </w:rPr>
      </w:pPr>
      <w:r w:rsidRPr="00FA52A7">
        <w:rPr>
          <w:rFonts w:cs="Arial"/>
          <w:b/>
          <w:szCs w:val="22"/>
          <w:u w:val="single"/>
        </w:rPr>
        <w:t>Purpose and operation</w:t>
      </w:r>
    </w:p>
    <w:p w14:paraId="54D38C25" w14:textId="77777777" w:rsidR="009E4363" w:rsidRDefault="009E4363" w:rsidP="00CC172B">
      <w:pPr>
        <w:rPr>
          <w:rFonts w:cs="Arial"/>
          <w:szCs w:val="22"/>
          <w:lang w:eastAsia="en-AU"/>
        </w:rPr>
      </w:pPr>
    </w:p>
    <w:p w14:paraId="52B43750" w14:textId="72326A20" w:rsidR="009E4363" w:rsidRDefault="00EC54EA" w:rsidP="00CC172B">
      <w:pPr>
        <w:rPr>
          <w:rFonts w:cs="Arial"/>
          <w:szCs w:val="22"/>
          <w:lang w:eastAsia="en-AU"/>
        </w:rPr>
      </w:pPr>
      <w:r w:rsidRPr="006B441B">
        <w:rPr>
          <w:rFonts w:cs="Arial"/>
          <w:szCs w:val="24"/>
        </w:rPr>
        <w:t xml:space="preserve">The purpose of this </w:t>
      </w:r>
      <w:r>
        <w:rPr>
          <w:rFonts w:cs="Arial"/>
          <w:szCs w:val="24"/>
        </w:rPr>
        <w:t>legislative i</w:t>
      </w:r>
      <w:r w:rsidRPr="006B441B">
        <w:rPr>
          <w:rFonts w:cs="Arial"/>
          <w:szCs w:val="24"/>
        </w:rPr>
        <w:t xml:space="preserve">nstrument is to </w:t>
      </w:r>
      <w:r w:rsidR="00C20FAC">
        <w:rPr>
          <w:rFonts w:cs="Arial"/>
          <w:szCs w:val="22"/>
          <w:lang w:eastAsia="en-AU"/>
        </w:rPr>
        <w:t xml:space="preserve">amend </w:t>
      </w:r>
      <w:r>
        <w:rPr>
          <w:rFonts w:cs="Arial"/>
          <w:szCs w:val="22"/>
          <w:lang w:eastAsia="en-AU"/>
        </w:rPr>
        <w:t>t</w:t>
      </w:r>
      <w:r w:rsidR="009E4363">
        <w:rPr>
          <w:rFonts w:cs="Arial"/>
          <w:szCs w:val="22"/>
          <w:lang w:eastAsia="en-AU"/>
        </w:rPr>
        <w:t xml:space="preserve">he </w:t>
      </w:r>
      <w:r w:rsidR="00FF4E79" w:rsidRPr="003B3CC5">
        <w:rPr>
          <w:rFonts w:cs="Arial"/>
          <w:szCs w:val="22"/>
          <w:lang w:eastAsia="en-AU"/>
        </w:rPr>
        <w:t>Other Grant</w:t>
      </w:r>
      <w:r w:rsidR="000E6DF0">
        <w:rPr>
          <w:rFonts w:cs="Arial"/>
          <w:szCs w:val="22"/>
          <w:lang w:eastAsia="en-AU"/>
        </w:rPr>
        <w:t>s</w:t>
      </w:r>
      <w:r w:rsidR="00FF4E79" w:rsidRPr="003B3CC5">
        <w:rPr>
          <w:rFonts w:cs="Arial"/>
          <w:szCs w:val="22"/>
          <w:lang w:eastAsia="en-AU"/>
        </w:rPr>
        <w:t xml:space="preserve"> Guidelines</w:t>
      </w:r>
      <w:r w:rsidR="00220D91" w:rsidRPr="00220D91">
        <w:rPr>
          <w:rFonts w:cs="Arial"/>
          <w:szCs w:val="22"/>
          <w:lang w:eastAsia="en-AU"/>
        </w:rPr>
        <w:t xml:space="preserve"> </w:t>
      </w:r>
      <w:r w:rsidR="00220D91">
        <w:rPr>
          <w:rFonts w:cs="Arial"/>
          <w:szCs w:val="22"/>
          <w:lang w:eastAsia="en-AU"/>
        </w:rPr>
        <w:t>to clarify processes for the provision of incorrect data.</w:t>
      </w:r>
    </w:p>
    <w:p w14:paraId="66BAEA07" w14:textId="77777777" w:rsidR="009E4363" w:rsidRDefault="009E4363" w:rsidP="00CC172B">
      <w:pPr>
        <w:rPr>
          <w:rFonts w:cs="Arial"/>
          <w:szCs w:val="22"/>
          <w:lang w:eastAsia="en-AU"/>
        </w:rPr>
      </w:pPr>
    </w:p>
    <w:p w14:paraId="1713640A" w14:textId="77777777" w:rsidR="005F5BD9" w:rsidRPr="00AC5292" w:rsidRDefault="005F5BD9" w:rsidP="005F5BD9">
      <w:pPr>
        <w:rPr>
          <w:rFonts w:cs="Arial"/>
          <w:b/>
          <w:u w:val="single"/>
        </w:rPr>
      </w:pPr>
      <w:r w:rsidRPr="00AC5292">
        <w:rPr>
          <w:rFonts w:cs="Arial"/>
          <w:b/>
          <w:u w:val="single"/>
        </w:rPr>
        <w:t>Commencement</w:t>
      </w:r>
    </w:p>
    <w:p w14:paraId="5DF18B9A" w14:textId="77777777" w:rsidR="005F5BD9" w:rsidRDefault="005F5BD9" w:rsidP="005F5BD9">
      <w:pPr>
        <w:rPr>
          <w:rFonts w:cs="Arial"/>
          <w:b/>
        </w:rPr>
      </w:pPr>
    </w:p>
    <w:p w14:paraId="16858716" w14:textId="77777777" w:rsidR="005F5BD9" w:rsidRDefault="005F5BD9" w:rsidP="005F5BD9">
      <w:pPr>
        <w:rPr>
          <w:rFonts w:cs="Arial"/>
          <w:b/>
        </w:rPr>
      </w:pPr>
      <w:r>
        <w:rPr>
          <w:rFonts w:cs="Arial"/>
        </w:rPr>
        <w:t xml:space="preserve">The Amendment Instrument commences on the day after it is registered on the Federal Register of Legislation. </w:t>
      </w:r>
      <w:r>
        <w:rPr>
          <w:rFonts w:cs="Arial"/>
          <w:b/>
        </w:rPr>
        <w:t xml:space="preserve"> </w:t>
      </w:r>
    </w:p>
    <w:p w14:paraId="20E4B0AD" w14:textId="77777777" w:rsidR="005F5BD9" w:rsidRDefault="005F5BD9" w:rsidP="00CC172B">
      <w:pPr>
        <w:rPr>
          <w:rFonts w:cs="Arial"/>
          <w:b/>
          <w:u w:val="single"/>
        </w:rPr>
      </w:pPr>
    </w:p>
    <w:p w14:paraId="33E51FAD" w14:textId="6ADFA5B3" w:rsidR="00840605" w:rsidRPr="00840605" w:rsidRDefault="00840605" w:rsidP="00CC172B">
      <w:pPr>
        <w:rPr>
          <w:rFonts w:cs="Arial"/>
          <w:b/>
          <w:u w:val="single"/>
        </w:rPr>
      </w:pPr>
      <w:r w:rsidRPr="00840605">
        <w:rPr>
          <w:rFonts w:cs="Arial"/>
          <w:b/>
          <w:u w:val="single"/>
        </w:rPr>
        <w:t>Consultation</w:t>
      </w:r>
    </w:p>
    <w:p w14:paraId="77FD111A" w14:textId="77777777" w:rsidR="00840605" w:rsidRPr="00840605" w:rsidRDefault="00840605" w:rsidP="00CC172B">
      <w:pPr>
        <w:rPr>
          <w:rFonts w:cs="Arial"/>
          <w:b/>
          <w:u w:val="single"/>
        </w:rPr>
      </w:pPr>
    </w:p>
    <w:p w14:paraId="2F649352" w14:textId="566E6634" w:rsidR="00220D91" w:rsidRDefault="00220D91" w:rsidP="00CC172B">
      <w:pPr>
        <w:rPr>
          <w:rFonts w:cs="Arial"/>
          <w:szCs w:val="22"/>
        </w:rPr>
      </w:pPr>
      <w:r>
        <w:rPr>
          <w:rFonts w:cs="Arial"/>
          <w:szCs w:val="22"/>
        </w:rPr>
        <w:lastRenderedPageBreak/>
        <w:t xml:space="preserve">Consultation was not undertaken because the amendments to the Other Grants Guidelines are either minor or technical (such as definitional changes), or are machinery in nature (such as the clarification of the adjustment process). </w:t>
      </w:r>
    </w:p>
    <w:p w14:paraId="5B4BEBCA" w14:textId="77777777" w:rsidR="00840605" w:rsidRPr="00840605" w:rsidRDefault="00840605" w:rsidP="00CC172B">
      <w:pPr>
        <w:rPr>
          <w:rFonts w:cs="Arial"/>
          <w:b/>
          <w:u w:val="single"/>
        </w:rPr>
      </w:pPr>
    </w:p>
    <w:p w14:paraId="0AA18977" w14:textId="77777777" w:rsidR="00840605" w:rsidRPr="00840605" w:rsidRDefault="00840605" w:rsidP="00CC172B">
      <w:pPr>
        <w:rPr>
          <w:rFonts w:cs="Arial"/>
          <w:b/>
          <w:u w:val="single"/>
        </w:rPr>
      </w:pPr>
      <w:r w:rsidRPr="00840605">
        <w:rPr>
          <w:rFonts w:cs="Arial"/>
          <w:b/>
          <w:u w:val="single"/>
        </w:rPr>
        <w:t>Regulatory Impact Statement</w:t>
      </w:r>
    </w:p>
    <w:p w14:paraId="72234EFA" w14:textId="77777777" w:rsidR="00840605" w:rsidRPr="00840605" w:rsidRDefault="00840605" w:rsidP="00CC172B">
      <w:pPr>
        <w:rPr>
          <w:rFonts w:cs="Arial"/>
          <w:b/>
          <w:u w:val="single"/>
        </w:rPr>
      </w:pPr>
    </w:p>
    <w:p w14:paraId="5E0C1965" w14:textId="728D7153" w:rsidR="00220D91" w:rsidRDefault="00220D91" w:rsidP="00CC172B">
      <w:pPr>
        <w:rPr>
          <w:rFonts w:cs="Arial"/>
          <w:szCs w:val="24"/>
        </w:rPr>
      </w:pPr>
      <w:r w:rsidRPr="006B441B">
        <w:rPr>
          <w:rFonts w:cs="Arial"/>
        </w:rPr>
        <w:t>The Office of Best Practice Regulation</w:t>
      </w:r>
      <w:r>
        <w:rPr>
          <w:rFonts w:cs="Arial"/>
        </w:rPr>
        <w:t xml:space="preserve"> (OBPR)</w:t>
      </w:r>
      <w:r w:rsidRPr="006B441B">
        <w:rPr>
          <w:rFonts w:cs="Arial"/>
        </w:rPr>
        <w:t xml:space="preserve"> was consulted and </w:t>
      </w:r>
      <w:r>
        <w:rPr>
          <w:rFonts w:cs="Arial"/>
        </w:rPr>
        <w:t xml:space="preserve">determined </w:t>
      </w:r>
      <w:r w:rsidRPr="006B441B">
        <w:rPr>
          <w:rFonts w:cs="Arial"/>
        </w:rPr>
        <w:t xml:space="preserve">that a Regulation Impact Statement </w:t>
      </w:r>
      <w:r>
        <w:rPr>
          <w:rFonts w:cs="Arial"/>
        </w:rPr>
        <w:t>is not required (OBPR ref 25077</w:t>
      </w:r>
      <w:r w:rsidRPr="006B441B">
        <w:rPr>
          <w:rFonts w:cs="Arial"/>
        </w:rPr>
        <w:t>)</w:t>
      </w:r>
      <w:r>
        <w:rPr>
          <w:rFonts w:cs="Arial"/>
        </w:rPr>
        <w:t xml:space="preserve"> as </w:t>
      </w:r>
      <w:r w:rsidR="008755A2">
        <w:rPr>
          <w:rFonts w:cs="Arial"/>
        </w:rPr>
        <w:t xml:space="preserve">the amendments are </w:t>
      </w:r>
      <w:r w:rsidRPr="00122D71">
        <w:rPr>
          <w:rFonts w:cs="Arial"/>
        </w:rPr>
        <w:t>likely to have no more than minor regulatory impacts on business, community organisations or individuals</w:t>
      </w:r>
      <w:r>
        <w:rPr>
          <w:rFonts w:cs="Arial"/>
        </w:rPr>
        <w:t>.</w:t>
      </w:r>
    </w:p>
    <w:p w14:paraId="57FC821A" w14:textId="627A1D3F" w:rsidR="0048134F" w:rsidRDefault="0048134F" w:rsidP="00CC172B">
      <w:pPr>
        <w:rPr>
          <w:rFonts w:cs="Arial"/>
          <w:szCs w:val="22"/>
        </w:rPr>
      </w:pPr>
    </w:p>
    <w:p w14:paraId="38548849" w14:textId="77777777" w:rsidR="001E2C5F" w:rsidRDefault="001E2C5F" w:rsidP="00CC172B">
      <w:pPr>
        <w:rPr>
          <w:rFonts w:cs="Arial"/>
          <w:b/>
          <w:szCs w:val="22"/>
          <w:u w:val="single"/>
        </w:rPr>
      </w:pPr>
      <w:r>
        <w:rPr>
          <w:rFonts w:cs="Arial"/>
          <w:b/>
          <w:szCs w:val="22"/>
          <w:u w:val="single"/>
        </w:rPr>
        <w:t>Explanation of the provisions</w:t>
      </w:r>
    </w:p>
    <w:p w14:paraId="1DFD1F54" w14:textId="77777777" w:rsidR="001E2C5F" w:rsidRDefault="001E2C5F" w:rsidP="00CC172B">
      <w:pPr>
        <w:rPr>
          <w:rFonts w:cs="Arial"/>
          <w:b/>
          <w:szCs w:val="22"/>
          <w:u w:val="single"/>
        </w:rPr>
      </w:pPr>
    </w:p>
    <w:p w14:paraId="12A7A5F2" w14:textId="77777777" w:rsidR="001E2C5F" w:rsidRDefault="001E2C5F" w:rsidP="00CC172B">
      <w:pPr>
        <w:rPr>
          <w:rFonts w:cs="Arial"/>
          <w:b/>
          <w:szCs w:val="22"/>
          <w:u w:val="single"/>
        </w:rPr>
      </w:pPr>
      <w:r>
        <w:rPr>
          <w:rFonts w:cs="Arial"/>
          <w:b/>
          <w:szCs w:val="22"/>
          <w:u w:val="single"/>
        </w:rPr>
        <w:t>Part 1 - Preliminary</w:t>
      </w:r>
    </w:p>
    <w:p w14:paraId="4495F2E1" w14:textId="77777777" w:rsidR="001E2C5F" w:rsidRDefault="001E2C5F" w:rsidP="00CC172B">
      <w:pPr>
        <w:rPr>
          <w:rFonts w:cs="Arial"/>
          <w:szCs w:val="22"/>
        </w:rPr>
      </w:pPr>
    </w:p>
    <w:p w14:paraId="479383E5" w14:textId="58EFF94F" w:rsidR="001E2C5F" w:rsidRDefault="001E2C5F" w:rsidP="00CC172B">
      <w:pPr>
        <w:rPr>
          <w:rFonts w:cs="Arial"/>
          <w:szCs w:val="22"/>
        </w:rPr>
      </w:pPr>
      <w:r>
        <w:rPr>
          <w:rFonts w:cs="Arial"/>
          <w:szCs w:val="22"/>
        </w:rPr>
        <w:t>This contains preliminary matters relating to the name o</w:t>
      </w:r>
      <w:r w:rsidR="00220D91">
        <w:rPr>
          <w:rFonts w:cs="Arial"/>
          <w:szCs w:val="22"/>
        </w:rPr>
        <w:t xml:space="preserve">f the instrument, commencement and </w:t>
      </w:r>
      <w:r>
        <w:rPr>
          <w:rFonts w:cs="Arial"/>
          <w:szCs w:val="22"/>
        </w:rPr>
        <w:t>authority.</w:t>
      </w:r>
    </w:p>
    <w:p w14:paraId="0137C016" w14:textId="77777777" w:rsidR="001E2C5F" w:rsidRDefault="001E2C5F" w:rsidP="00CC172B">
      <w:pPr>
        <w:rPr>
          <w:rFonts w:cs="Arial"/>
          <w:szCs w:val="22"/>
        </w:rPr>
      </w:pPr>
    </w:p>
    <w:p w14:paraId="52D0C1F1" w14:textId="77777777" w:rsidR="001E2C5F" w:rsidRDefault="001E2C5F" w:rsidP="00CC172B">
      <w:pPr>
        <w:rPr>
          <w:rFonts w:cs="Arial"/>
          <w:b/>
          <w:szCs w:val="22"/>
          <w:u w:val="single"/>
        </w:rPr>
      </w:pPr>
      <w:r>
        <w:rPr>
          <w:rFonts w:cs="Arial"/>
          <w:b/>
          <w:szCs w:val="22"/>
          <w:u w:val="single"/>
        </w:rPr>
        <w:t>Schedule 1 - Amendments</w:t>
      </w:r>
    </w:p>
    <w:p w14:paraId="62B22BF2" w14:textId="63AC09C0" w:rsidR="001E2C5F" w:rsidRDefault="001E2C5F" w:rsidP="00CC172B">
      <w:pPr>
        <w:rPr>
          <w:rFonts w:cs="Arial"/>
          <w:i/>
          <w:color w:val="000000"/>
          <w:szCs w:val="22"/>
        </w:rPr>
      </w:pPr>
    </w:p>
    <w:p w14:paraId="3E93E609" w14:textId="2EA60893" w:rsidR="001E2C5F" w:rsidRDefault="001E2C5F" w:rsidP="00CC172B">
      <w:pPr>
        <w:rPr>
          <w:rFonts w:cs="Arial"/>
          <w:color w:val="000000"/>
          <w:szCs w:val="22"/>
        </w:rPr>
      </w:pPr>
      <w:r>
        <w:rPr>
          <w:rFonts w:cs="Arial"/>
          <w:b/>
          <w:color w:val="000000"/>
          <w:szCs w:val="22"/>
        </w:rPr>
        <w:t>Item 1</w:t>
      </w:r>
      <w:r>
        <w:rPr>
          <w:rFonts w:cs="Arial"/>
          <w:color w:val="000000"/>
          <w:szCs w:val="22"/>
        </w:rPr>
        <w:t xml:space="preserve"> inserts</w:t>
      </w:r>
      <w:r w:rsidR="00937A35">
        <w:rPr>
          <w:rFonts w:cs="Arial"/>
          <w:color w:val="000000"/>
          <w:szCs w:val="22"/>
        </w:rPr>
        <w:t xml:space="preserve"> or amends</w:t>
      </w:r>
      <w:r>
        <w:rPr>
          <w:rFonts w:cs="Arial"/>
          <w:color w:val="000000"/>
          <w:szCs w:val="22"/>
        </w:rPr>
        <w:t xml:space="preserve"> the following definitions into </w:t>
      </w:r>
      <w:r w:rsidR="005F5BD9">
        <w:rPr>
          <w:rFonts w:cs="Arial"/>
          <w:color w:val="000000"/>
          <w:szCs w:val="22"/>
        </w:rPr>
        <w:t xml:space="preserve">section </w:t>
      </w:r>
      <w:r>
        <w:rPr>
          <w:rFonts w:cs="Arial"/>
          <w:color w:val="000000"/>
          <w:szCs w:val="22"/>
        </w:rPr>
        <w:t xml:space="preserve">i.v (Interpretation) of Chapter </w:t>
      </w:r>
      <w:r w:rsidR="005F5BD9">
        <w:rPr>
          <w:rFonts w:cs="Arial"/>
          <w:color w:val="000000"/>
          <w:szCs w:val="22"/>
        </w:rPr>
        <w:t xml:space="preserve">i </w:t>
      </w:r>
      <w:r>
        <w:rPr>
          <w:rFonts w:cs="Arial"/>
          <w:color w:val="000000"/>
          <w:szCs w:val="22"/>
        </w:rPr>
        <w:t>(Introduction):</w:t>
      </w:r>
    </w:p>
    <w:p w14:paraId="4AECB784" w14:textId="77777777" w:rsidR="001E2C5F" w:rsidRDefault="001E2C5F" w:rsidP="00CC172B">
      <w:pPr>
        <w:rPr>
          <w:rFonts w:cs="Arial"/>
          <w:i/>
          <w:color w:val="000000"/>
          <w:szCs w:val="22"/>
        </w:rPr>
      </w:pPr>
      <w:r>
        <w:rPr>
          <w:rFonts w:cs="Arial"/>
          <w:i/>
          <w:color w:val="000000"/>
          <w:szCs w:val="22"/>
        </w:rPr>
        <w:t xml:space="preserve"> </w:t>
      </w:r>
    </w:p>
    <w:p w14:paraId="1796C745" w14:textId="640AACB6" w:rsidR="001E2C5F" w:rsidRPr="00AC5292" w:rsidRDefault="001E2C5F" w:rsidP="00CC172B">
      <w:pPr>
        <w:pStyle w:val="ListParagraph"/>
        <w:numPr>
          <w:ilvl w:val="0"/>
          <w:numId w:val="7"/>
        </w:numPr>
        <w:rPr>
          <w:rFonts w:cs="Arial"/>
          <w:color w:val="000000"/>
          <w:szCs w:val="22"/>
        </w:rPr>
      </w:pPr>
      <w:r>
        <w:rPr>
          <w:bCs/>
        </w:rPr>
        <w:t>The definition for Categories 1 to 4 have been updated.</w:t>
      </w:r>
    </w:p>
    <w:p w14:paraId="0890AB65" w14:textId="0345FE8E" w:rsidR="00AD7A29" w:rsidRDefault="00AD7A29" w:rsidP="00CC172B">
      <w:pPr>
        <w:pStyle w:val="ListParagraph"/>
        <w:numPr>
          <w:ilvl w:val="0"/>
          <w:numId w:val="7"/>
        </w:numPr>
        <w:rPr>
          <w:rFonts w:cs="Arial"/>
          <w:color w:val="000000"/>
          <w:szCs w:val="22"/>
        </w:rPr>
      </w:pPr>
      <w:r>
        <w:rPr>
          <w:bCs/>
        </w:rPr>
        <w:t xml:space="preserve">The definition for the department has been updated. </w:t>
      </w:r>
    </w:p>
    <w:p w14:paraId="0E676B46" w14:textId="7349DA85" w:rsidR="001E2C5F" w:rsidRDefault="001E2C5F" w:rsidP="00CC172B">
      <w:pPr>
        <w:pStyle w:val="ListParagraph"/>
        <w:numPr>
          <w:ilvl w:val="0"/>
          <w:numId w:val="7"/>
        </w:numPr>
        <w:rPr>
          <w:rFonts w:cs="Arial"/>
          <w:color w:val="000000"/>
          <w:szCs w:val="22"/>
        </w:rPr>
      </w:pPr>
      <w:r>
        <w:rPr>
          <w:rFonts w:cs="Arial"/>
          <w:color w:val="000000"/>
          <w:szCs w:val="22"/>
        </w:rPr>
        <w:t>The term ‘R&amp;D’ has been added to the existing defined term ‘research’, with ‘R&amp;D’ to more appropriately reflect the underlying definition of Research and Experimental Development.</w:t>
      </w:r>
      <w:r w:rsidR="005F5BD9" w:rsidRPr="005F5BD9">
        <w:rPr>
          <w:rFonts w:cs="Arial"/>
          <w:color w:val="000000"/>
          <w:szCs w:val="22"/>
        </w:rPr>
        <w:t xml:space="preserve"> </w:t>
      </w:r>
      <w:r w:rsidR="005F5BD9">
        <w:rPr>
          <w:rFonts w:cs="Arial"/>
          <w:color w:val="000000"/>
          <w:szCs w:val="22"/>
        </w:rPr>
        <w:t xml:space="preserve">The definition of Research and Experimental Development contained in the Frascati Manual 2015 (Manual) is incorporated by reference as existing at the commencement of this section. The Manual is published by the Organisation for Economic Cooperation and Development (OECD) and is used by national statistical agencies to collect research and development data. The Manual is publicly available on the OECD website at </w:t>
      </w:r>
      <w:hyperlink r:id="rId10" w:history="1">
        <w:r w:rsidR="005F5BD9" w:rsidRPr="006D34A0">
          <w:rPr>
            <w:rStyle w:val="Hyperlink"/>
            <w:rFonts w:cs="Arial"/>
            <w:szCs w:val="22"/>
          </w:rPr>
          <w:t>http://www.oecd.org/sti/inno/Frascati-Manual.htm</w:t>
        </w:r>
      </w:hyperlink>
      <w:r w:rsidR="005F5BD9">
        <w:rPr>
          <w:rFonts w:cs="Arial"/>
          <w:color w:val="000000"/>
          <w:szCs w:val="22"/>
        </w:rPr>
        <w:t xml:space="preserve">.  </w:t>
      </w:r>
    </w:p>
    <w:p w14:paraId="363447FD" w14:textId="77777777" w:rsidR="000006A6" w:rsidRPr="000877B4" w:rsidRDefault="000006A6" w:rsidP="00CC172B">
      <w:pPr>
        <w:pStyle w:val="ListParagraph"/>
        <w:rPr>
          <w:rFonts w:cs="Arial"/>
          <w:color w:val="000000"/>
          <w:szCs w:val="22"/>
        </w:rPr>
      </w:pPr>
    </w:p>
    <w:p w14:paraId="0EBA87C9" w14:textId="789A03A8" w:rsidR="000006A6" w:rsidRPr="000006A6" w:rsidRDefault="000006A6" w:rsidP="00CC172B">
      <w:pPr>
        <w:rPr>
          <w:rFonts w:cs="Arial"/>
          <w:b/>
          <w:bCs/>
          <w:i/>
          <w:color w:val="000000"/>
          <w:szCs w:val="22"/>
        </w:rPr>
      </w:pPr>
      <w:bookmarkStart w:id="1" w:name="_Toc461175340"/>
      <w:r>
        <w:rPr>
          <w:rFonts w:cs="Arial"/>
          <w:b/>
          <w:bCs/>
          <w:i/>
          <w:color w:val="000000"/>
          <w:szCs w:val="22"/>
        </w:rPr>
        <w:t xml:space="preserve">Chapter 1 - </w:t>
      </w:r>
      <w:bookmarkEnd w:id="1"/>
      <w:r w:rsidR="001E2C5F">
        <w:rPr>
          <w:rFonts w:cs="Arial"/>
          <w:b/>
          <w:bCs/>
          <w:i/>
          <w:color w:val="000000"/>
          <w:szCs w:val="22"/>
        </w:rPr>
        <w:t>Grants to support research by, and the research capability of, higher education providers</w:t>
      </w:r>
    </w:p>
    <w:p w14:paraId="24F7D973" w14:textId="77777777" w:rsidR="0048134F" w:rsidRDefault="0048134F" w:rsidP="00CC172B">
      <w:pPr>
        <w:rPr>
          <w:rFonts w:cs="Arial"/>
          <w:i/>
          <w:color w:val="000000"/>
          <w:szCs w:val="22"/>
        </w:rPr>
      </w:pPr>
    </w:p>
    <w:p w14:paraId="7771C863" w14:textId="77777777" w:rsidR="001E2C5F" w:rsidRDefault="001E2C5F" w:rsidP="00CC172B">
      <w:pPr>
        <w:rPr>
          <w:rFonts w:cs="Arial"/>
          <w:b/>
          <w:color w:val="000000"/>
          <w:szCs w:val="22"/>
          <w:u w:val="single"/>
        </w:rPr>
      </w:pPr>
      <w:r>
        <w:rPr>
          <w:rFonts w:cs="Arial"/>
          <w:b/>
          <w:color w:val="000000"/>
          <w:szCs w:val="22"/>
          <w:u w:val="single"/>
        </w:rPr>
        <w:t>Items 2, 3 and 4</w:t>
      </w:r>
    </w:p>
    <w:p w14:paraId="63217C71" w14:textId="77777777" w:rsidR="001E2C5F" w:rsidRDefault="001E2C5F" w:rsidP="00CC172B">
      <w:pPr>
        <w:rPr>
          <w:rFonts w:cs="Arial"/>
          <w:color w:val="000000"/>
          <w:szCs w:val="22"/>
          <w:u w:val="single"/>
        </w:rPr>
      </w:pPr>
    </w:p>
    <w:p w14:paraId="16AFEC45" w14:textId="15BF4866" w:rsidR="001E2C5F" w:rsidRDefault="001E2C5F" w:rsidP="00CC172B">
      <w:pPr>
        <w:rPr>
          <w:rFonts w:cs="Arial"/>
          <w:color w:val="000000"/>
          <w:szCs w:val="22"/>
        </w:rPr>
      </w:pPr>
      <w:r>
        <w:rPr>
          <w:rFonts w:cs="Arial"/>
          <w:color w:val="000000"/>
          <w:szCs w:val="22"/>
          <w:u w:val="single"/>
        </w:rPr>
        <w:t>These items repeal</w:t>
      </w:r>
      <w:r w:rsidR="003B3CC5">
        <w:rPr>
          <w:rFonts w:cs="Arial"/>
          <w:color w:val="000000"/>
          <w:szCs w:val="22"/>
          <w:u w:val="single"/>
        </w:rPr>
        <w:t xml:space="preserve"> and substitute paragraphs 1.4.</w:t>
      </w:r>
      <w:r>
        <w:rPr>
          <w:rFonts w:cs="Arial"/>
          <w:color w:val="000000"/>
          <w:szCs w:val="22"/>
          <w:u w:val="single"/>
        </w:rPr>
        <w:t>5</w:t>
      </w:r>
      <w:r>
        <w:rPr>
          <w:rFonts w:cs="Arial"/>
          <w:color w:val="000000"/>
          <w:szCs w:val="22"/>
        </w:rPr>
        <w:t xml:space="preserve"> and </w:t>
      </w:r>
      <w:r>
        <w:rPr>
          <w:rFonts w:cs="Arial"/>
          <w:color w:val="000000"/>
          <w:szCs w:val="22"/>
          <w:u w:val="single"/>
        </w:rPr>
        <w:t>1.4.20</w:t>
      </w:r>
      <w:r>
        <w:rPr>
          <w:rFonts w:cs="Arial"/>
          <w:color w:val="000000"/>
          <w:szCs w:val="22"/>
        </w:rPr>
        <w:t xml:space="preserve"> to incorporate the newly created </w:t>
      </w:r>
      <w:r>
        <w:rPr>
          <w:rFonts w:cs="Arial"/>
          <w:color w:val="000000"/>
          <w:szCs w:val="22"/>
          <w:u w:val="single"/>
        </w:rPr>
        <w:t xml:space="preserve">paragraph 1.4.26 </w:t>
      </w:r>
      <w:r>
        <w:rPr>
          <w:rFonts w:cs="Arial"/>
          <w:color w:val="000000"/>
          <w:szCs w:val="22"/>
        </w:rPr>
        <w:t>(adjustments) in the allocation process.</w:t>
      </w:r>
    </w:p>
    <w:p w14:paraId="7607D826" w14:textId="77777777" w:rsidR="001E2C5F" w:rsidRDefault="001E2C5F" w:rsidP="00CC172B">
      <w:pPr>
        <w:rPr>
          <w:rFonts w:cs="Arial"/>
          <w:color w:val="000000"/>
          <w:szCs w:val="22"/>
        </w:rPr>
      </w:pPr>
    </w:p>
    <w:p w14:paraId="25FC15C7" w14:textId="2BCD81A3" w:rsidR="001E2C5F" w:rsidRDefault="001E2C5F" w:rsidP="00CC172B">
      <w:pPr>
        <w:rPr>
          <w:rFonts w:cs="Arial"/>
          <w:color w:val="000000"/>
          <w:szCs w:val="22"/>
        </w:rPr>
      </w:pPr>
      <w:r>
        <w:rPr>
          <w:rFonts w:cs="Arial"/>
          <w:color w:val="000000"/>
          <w:szCs w:val="22"/>
          <w:u w:val="single"/>
        </w:rPr>
        <w:t>Paragraph 1.4.26</w:t>
      </w:r>
      <w:r>
        <w:rPr>
          <w:rFonts w:cs="Arial"/>
          <w:color w:val="000000"/>
          <w:szCs w:val="22"/>
        </w:rPr>
        <w:t xml:space="preserve"> is added to specify an adjustment process in relation to the provision of incorrect Higher Education Research Data Collection (HERDC) data:</w:t>
      </w:r>
    </w:p>
    <w:p w14:paraId="52DC4364" w14:textId="77777777" w:rsidR="001E2C5F" w:rsidRDefault="001E2C5F" w:rsidP="00CC172B">
      <w:pPr>
        <w:rPr>
          <w:rFonts w:cs="Arial"/>
          <w:color w:val="000000"/>
          <w:szCs w:val="22"/>
        </w:rPr>
      </w:pPr>
    </w:p>
    <w:p w14:paraId="671233D5" w14:textId="079B8BE7" w:rsidR="001E2C5F" w:rsidRDefault="001E2C5F" w:rsidP="00CC172B">
      <w:pPr>
        <w:pStyle w:val="ListParagraph"/>
        <w:numPr>
          <w:ilvl w:val="0"/>
          <w:numId w:val="8"/>
        </w:numPr>
        <w:rPr>
          <w:rFonts w:cs="Arial"/>
          <w:color w:val="000000"/>
          <w:szCs w:val="22"/>
        </w:rPr>
      </w:pPr>
      <w:r>
        <w:rPr>
          <w:rFonts w:cs="Arial"/>
          <w:color w:val="000000"/>
          <w:szCs w:val="22"/>
          <w:u w:val="single"/>
        </w:rPr>
        <w:t>Subparagraph 1.4.26 (1)</w:t>
      </w:r>
      <w:r>
        <w:rPr>
          <w:rFonts w:cs="Arial"/>
          <w:color w:val="000000"/>
          <w:szCs w:val="22"/>
        </w:rPr>
        <w:t xml:space="preserve"> sets out that a HEP must provide the </w:t>
      </w:r>
      <w:r w:rsidR="00AD7A29">
        <w:rPr>
          <w:rFonts w:cs="Arial"/>
          <w:color w:val="000000"/>
          <w:szCs w:val="22"/>
        </w:rPr>
        <w:t>Commonwealth Department of Education (</w:t>
      </w:r>
      <w:r>
        <w:rPr>
          <w:rFonts w:cs="Arial"/>
          <w:color w:val="000000"/>
          <w:szCs w:val="22"/>
        </w:rPr>
        <w:t>department</w:t>
      </w:r>
      <w:r w:rsidR="00AD7A29">
        <w:rPr>
          <w:rFonts w:cs="Arial"/>
          <w:color w:val="000000"/>
          <w:szCs w:val="22"/>
        </w:rPr>
        <w:t>)</w:t>
      </w:r>
      <w:r>
        <w:rPr>
          <w:rFonts w:cs="Arial"/>
          <w:color w:val="000000"/>
          <w:szCs w:val="22"/>
        </w:rPr>
        <w:t xml:space="preserve"> with corrected HERDC data if it is determined that incorrect data has previously been provided.</w:t>
      </w:r>
    </w:p>
    <w:p w14:paraId="405B70C9" w14:textId="61AA5088" w:rsidR="001E2C5F" w:rsidRDefault="001E2C5F" w:rsidP="00CC172B">
      <w:pPr>
        <w:pStyle w:val="ListParagraph"/>
        <w:numPr>
          <w:ilvl w:val="0"/>
          <w:numId w:val="8"/>
        </w:numPr>
        <w:rPr>
          <w:rFonts w:cs="Arial"/>
          <w:color w:val="000000"/>
          <w:szCs w:val="22"/>
        </w:rPr>
      </w:pPr>
      <w:r>
        <w:rPr>
          <w:rFonts w:cs="Arial"/>
          <w:color w:val="000000"/>
          <w:szCs w:val="22"/>
          <w:u w:val="single"/>
        </w:rPr>
        <w:t>Subparagraph 1.4.26(2)</w:t>
      </w:r>
      <w:r>
        <w:rPr>
          <w:rFonts w:cs="Arial"/>
          <w:color w:val="000000"/>
          <w:szCs w:val="22"/>
        </w:rPr>
        <w:t xml:space="preserve"> sets out that if corrected data is provided by 1</w:t>
      </w:r>
      <w:r w:rsidR="00CC172B">
        <w:rPr>
          <w:rFonts w:cs="Arial"/>
          <w:color w:val="000000"/>
          <w:szCs w:val="22"/>
        </w:rPr>
        <w:t> </w:t>
      </w:r>
      <w:r>
        <w:rPr>
          <w:rFonts w:cs="Arial"/>
          <w:color w:val="000000"/>
          <w:szCs w:val="22"/>
        </w:rPr>
        <w:t xml:space="preserve">October in the year the data was first provided then the corrected data will be used in the annual process of calculating </w:t>
      </w:r>
      <w:r w:rsidR="00220D91">
        <w:rPr>
          <w:rFonts w:cs="Arial"/>
          <w:color w:val="000000"/>
          <w:szCs w:val="22"/>
        </w:rPr>
        <w:t>RSP</w:t>
      </w:r>
      <w:r>
        <w:rPr>
          <w:rFonts w:cs="Arial"/>
          <w:color w:val="000000"/>
          <w:szCs w:val="22"/>
        </w:rPr>
        <w:t xml:space="preserve"> grant amounts and replaces the incorrect data. For example, if a HEP provided incorrect 2017 HERDC data on 30</w:t>
      </w:r>
      <w:r w:rsidR="00CC172B">
        <w:rPr>
          <w:rFonts w:cs="Arial"/>
          <w:color w:val="000000"/>
          <w:szCs w:val="22"/>
        </w:rPr>
        <w:t> </w:t>
      </w:r>
      <w:r>
        <w:rPr>
          <w:rFonts w:cs="Arial"/>
          <w:color w:val="000000"/>
          <w:szCs w:val="22"/>
        </w:rPr>
        <w:t>June</w:t>
      </w:r>
      <w:r w:rsidR="00CC172B">
        <w:rPr>
          <w:rFonts w:cs="Arial"/>
          <w:color w:val="000000"/>
          <w:szCs w:val="22"/>
        </w:rPr>
        <w:t> </w:t>
      </w:r>
      <w:r>
        <w:rPr>
          <w:rFonts w:cs="Arial"/>
          <w:color w:val="000000"/>
          <w:szCs w:val="22"/>
        </w:rPr>
        <w:t>2018 and corrected 2017 HERDC data on 30 September 2018 then the corrected data would be included in the annual process of calculating R</w:t>
      </w:r>
      <w:r w:rsidR="00220D91">
        <w:rPr>
          <w:rFonts w:cs="Arial"/>
          <w:color w:val="000000"/>
          <w:szCs w:val="22"/>
        </w:rPr>
        <w:t>S</w:t>
      </w:r>
      <w:r>
        <w:rPr>
          <w:rFonts w:cs="Arial"/>
          <w:color w:val="000000"/>
          <w:szCs w:val="22"/>
        </w:rPr>
        <w:t>P grant amounts.</w:t>
      </w:r>
    </w:p>
    <w:p w14:paraId="0F0292E8" w14:textId="2BE1CBCA" w:rsidR="001E2C5F" w:rsidRDefault="001E2C5F" w:rsidP="00CC172B">
      <w:pPr>
        <w:pStyle w:val="ListParagraph"/>
        <w:numPr>
          <w:ilvl w:val="0"/>
          <w:numId w:val="8"/>
        </w:numPr>
        <w:rPr>
          <w:rFonts w:cs="Arial"/>
          <w:color w:val="000000"/>
          <w:szCs w:val="22"/>
        </w:rPr>
      </w:pPr>
      <w:r>
        <w:rPr>
          <w:rFonts w:cs="Arial"/>
          <w:color w:val="000000"/>
          <w:szCs w:val="22"/>
          <w:u w:val="single"/>
        </w:rPr>
        <w:t>Subparagraph 1.4.26(3)</w:t>
      </w:r>
      <w:r>
        <w:rPr>
          <w:rFonts w:cs="Arial"/>
          <w:color w:val="000000"/>
          <w:szCs w:val="22"/>
        </w:rPr>
        <w:t xml:space="preserve"> sets out that if corrected data is provided after 1 October in the year the data was first provided then the corrected data will not be used in the annual process of calculating R</w:t>
      </w:r>
      <w:r w:rsidR="00220D91">
        <w:rPr>
          <w:rFonts w:cs="Arial"/>
          <w:color w:val="000000"/>
          <w:szCs w:val="22"/>
        </w:rPr>
        <w:t>S</w:t>
      </w:r>
      <w:r>
        <w:rPr>
          <w:rFonts w:cs="Arial"/>
          <w:color w:val="000000"/>
          <w:szCs w:val="22"/>
        </w:rPr>
        <w:t>P grant amounts. For example, if a HEP provided incorrect 2017 HERDC data on 30 June 2018 and corrected 2017 HERDC data on 30 October 2018 then the corrected data would not be included in the annual process of calculating R</w:t>
      </w:r>
      <w:r w:rsidR="00220D91">
        <w:rPr>
          <w:rFonts w:cs="Arial"/>
          <w:color w:val="000000"/>
          <w:szCs w:val="22"/>
        </w:rPr>
        <w:t>S</w:t>
      </w:r>
      <w:r>
        <w:rPr>
          <w:rFonts w:cs="Arial"/>
          <w:color w:val="000000"/>
          <w:szCs w:val="22"/>
        </w:rPr>
        <w:t>P grant amounts.</w:t>
      </w:r>
    </w:p>
    <w:p w14:paraId="70CA977C" w14:textId="16DCAB43" w:rsidR="001E2C5F" w:rsidRDefault="001E2C5F" w:rsidP="00CC172B">
      <w:pPr>
        <w:pStyle w:val="ListParagraph"/>
        <w:numPr>
          <w:ilvl w:val="0"/>
          <w:numId w:val="8"/>
        </w:numPr>
        <w:rPr>
          <w:rFonts w:cs="Arial"/>
          <w:color w:val="000000"/>
          <w:szCs w:val="22"/>
        </w:rPr>
      </w:pPr>
      <w:r>
        <w:rPr>
          <w:rFonts w:cs="Arial"/>
          <w:color w:val="000000"/>
          <w:szCs w:val="22"/>
          <w:u w:val="single"/>
        </w:rPr>
        <w:t>Subparagraph 1.4.26(4)</w:t>
      </w:r>
      <w:r>
        <w:rPr>
          <w:rFonts w:cs="Arial"/>
          <w:color w:val="000000"/>
          <w:szCs w:val="22"/>
        </w:rPr>
        <w:t xml:space="preserve"> sets out that if the provision of incorrect data has resulted in an overpayment to the HEP then the HEP must repay the overpayment to the department. For example, if a HEP provided incorrect 2017 HERDC data on 30 June 2018 and corrected 2017 HERDC data on 30 October 2018 and the corrected data resulted in an overpayment in the HEPs R</w:t>
      </w:r>
      <w:r w:rsidR="00220D91">
        <w:rPr>
          <w:rFonts w:cs="Arial"/>
          <w:color w:val="000000"/>
          <w:szCs w:val="22"/>
        </w:rPr>
        <w:t>S</w:t>
      </w:r>
      <w:r>
        <w:rPr>
          <w:rFonts w:cs="Arial"/>
          <w:color w:val="000000"/>
          <w:szCs w:val="22"/>
        </w:rPr>
        <w:t>P grant amount, then the HEP would have to repay</w:t>
      </w:r>
      <w:r w:rsidR="00AF6D4E">
        <w:rPr>
          <w:rFonts w:cs="Arial"/>
          <w:color w:val="000000"/>
          <w:szCs w:val="22"/>
        </w:rPr>
        <w:t xml:space="preserve"> </w:t>
      </w:r>
      <w:r>
        <w:rPr>
          <w:rFonts w:cs="Arial"/>
          <w:color w:val="000000"/>
          <w:szCs w:val="22"/>
        </w:rPr>
        <w:t>the overpayment to the department.</w:t>
      </w:r>
    </w:p>
    <w:p w14:paraId="191625AD" w14:textId="77777777" w:rsidR="00AD7A29" w:rsidRDefault="00AD7A29">
      <w:pPr>
        <w:rPr>
          <w:rFonts w:cs="Arial"/>
          <w:b/>
          <w:bCs/>
          <w:lang w:eastAsia="en-AU"/>
        </w:rPr>
      </w:pPr>
      <w:r>
        <w:rPr>
          <w:rFonts w:cs="Arial"/>
          <w:b/>
          <w:bCs/>
          <w:lang w:eastAsia="en-AU"/>
        </w:rPr>
        <w:br w:type="page"/>
      </w:r>
    </w:p>
    <w:p w14:paraId="31ACBE61" w14:textId="39EECC08" w:rsidR="0048134F" w:rsidRPr="00136495" w:rsidRDefault="0048134F" w:rsidP="00CC172B">
      <w:pPr>
        <w:autoSpaceDE w:val="0"/>
        <w:autoSpaceDN w:val="0"/>
        <w:adjustRightInd w:val="0"/>
        <w:jc w:val="center"/>
        <w:rPr>
          <w:rFonts w:cs="Arial"/>
          <w:b/>
          <w:bCs/>
          <w:lang w:eastAsia="en-AU"/>
        </w:rPr>
      </w:pPr>
      <w:r w:rsidRPr="00136495">
        <w:rPr>
          <w:rFonts w:cs="Arial"/>
          <w:b/>
          <w:bCs/>
          <w:lang w:eastAsia="en-AU"/>
        </w:rPr>
        <w:t>Statement of Compatibility with Human Rights</w:t>
      </w:r>
    </w:p>
    <w:p w14:paraId="4B104CFB" w14:textId="77777777" w:rsidR="0048134F" w:rsidRPr="00136495" w:rsidRDefault="0048134F" w:rsidP="00CC172B">
      <w:pPr>
        <w:autoSpaceDE w:val="0"/>
        <w:autoSpaceDN w:val="0"/>
        <w:adjustRightInd w:val="0"/>
        <w:jc w:val="center"/>
        <w:rPr>
          <w:rFonts w:cs="Arial"/>
          <w:bCs/>
          <w:i/>
          <w:lang w:eastAsia="en-AU"/>
        </w:rPr>
      </w:pPr>
      <w:r w:rsidRPr="00136495">
        <w:rPr>
          <w:rFonts w:cs="Arial"/>
          <w:bCs/>
          <w:i/>
          <w:lang w:eastAsia="en-AU"/>
        </w:rPr>
        <w:t>Prepared in accordance with Part 3 of the Human Rights (Parliamentary Scrutiny) Act 2011</w:t>
      </w:r>
    </w:p>
    <w:p w14:paraId="4B66066F" w14:textId="77777777" w:rsidR="0048134F" w:rsidRPr="00136495" w:rsidRDefault="0048134F" w:rsidP="00CC172B">
      <w:pPr>
        <w:autoSpaceDE w:val="0"/>
        <w:autoSpaceDN w:val="0"/>
        <w:adjustRightInd w:val="0"/>
        <w:jc w:val="center"/>
        <w:rPr>
          <w:rFonts w:cs="Arial"/>
          <w:bCs/>
          <w:i/>
          <w:lang w:eastAsia="en-AU"/>
        </w:rPr>
      </w:pPr>
    </w:p>
    <w:p w14:paraId="2411B495" w14:textId="33A3421B" w:rsidR="0048134F" w:rsidRPr="00136495" w:rsidRDefault="004064F9" w:rsidP="00CC172B">
      <w:pPr>
        <w:autoSpaceDE w:val="0"/>
        <w:autoSpaceDN w:val="0"/>
        <w:adjustRightInd w:val="0"/>
        <w:jc w:val="center"/>
        <w:rPr>
          <w:rFonts w:cs="Arial"/>
          <w:b/>
          <w:bCs/>
          <w:lang w:eastAsia="en-AU"/>
        </w:rPr>
      </w:pPr>
      <w:r>
        <w:rPr>
          <w:rFonts w:cs="Arial"/>
          <w:b/>
          <w:bCs/>
          <w:lang w:eastAsia="en-AU"/>
        </w:rPr>
        <w:t>O</w:t>
      </w:r>
      <w:r w:rsidR="00AD7A29">
        <w:rPr>
          <w:rFonts w:cs="Arial"/>
          <w:b/>
          <w:bCs/>
          <w:lang w:eastAsia="en-AU"/>
        </w:rPr>
        <w:t>ther Grants Guidelines (Research) Amendment (No.1) 2019</w:t>
      </w:r>
    </w:p>
    <w:p w14:paraId="56496CF4" w14:textId="77777777" w:rsidR="0048134F" w:rsidRPr="00136495" w:rsidRDefault="0048134F" w:rsidP="00CC172B">
      <w:pPr>
        <w:autoSpaceDE w:val="0"/>
        <w:autoSpaceDN w:val="0"/>
        <w:adjustRightInd w:val="0"/>
        <w:jc w:val="center"/>
        <w:rPr>
          <w:rFonts w:cs="Arial"/>
          <w:b/>
          <w:bCs/>
          <w:lang w:eastAsia="en-AU"/>
        </w:rPr>
      </w:pPr>
    </w:p>
    <w:p w14:paraId="59E5A8A7" w14:textId="740F768D" w:rsidR="0048134F" w:rsidRPr="00136495" w:rsidRDefault="0048134F" w:rsidP="00CC172B">
      <w:pPr>
        <w:autoSpaceDE w:val="0"/>
        <w:autoSpaceDN w:val="0"/>
        <w:adjustRightInd w:val="0"/>
        <w:rPr>
          <w:rFonts w:cs="Arial"/>
          <w:bCs/>
          <w:lang w:eastAsia="en-AU"/>
        </w:rPr>
      </w:pPr>
      <w:r w:rsidRPr="00136495">
        <w:rPr>
          <w:rFonts w:cs="Arial"/>
          <w:bCs/>
          <w:lang w:eastAsia="en-AU"/>
        </w:rPr>
        <w:t xml:space="preserve">This </w:t>
      </w:r>
      <w:r w:rsidR="00C85262">
        <w:rPr>
          <w:rFonts w:cs="Arial"/>
        </w:rPr>
        <w:t xml:space="preserve">Amendment Instrument </w:t>
      </w:r>
      <w:r w:rsidRPr="00136495">
        <w:rPr>
          <w:rFonts w:cs="Arial"/>
          <w:bCs/>
          <w:lang w:eastAsia="en-AU"/>
        </w:rPr>
        <w:t xml:space="preserve">is compatible with human rights and freedoms recognised or declared in the international instruments listed in section 3 of the </w:t>
      </w:r>
      <w:r w:rsidRPr="00136495">
        <w:rPr>
          <w:rFonts w:cs="Arial"/>
          <w:bCs/>
          <w:i/>
          <w:lang w:eastAsia="en-AU"/>
        </w:rPr>
        <w:t>Human Rights (Parliamentary Scrutiny) Act 2011</w:t>
      </w:r>
      <w:r w:rsidRPr="00136495">
        <w:rPr>
          <w:rFonts w:cs="Arial"/>
          <w:bCs/>
          <w:lang w:eastAsia="en-AU"/>
        </w:rPr>
        <w:t>.</w:t>
      </w:r>
    </w:p>
    <w:p w14:paraId="5A83EA9B" w14:textId="77777777" w:rsidR="0048134F" w:rsidRPr="00136495" w:rsidRDefault="0048134F" w:rsidP="00CC172B">
      <w:pPr>
        <w:autoSpaceDE w:val="0"/>
        <w:autoSpaceDN w:val="0"/>
        <w:adjustRightInd w:val="0"/>
        <w:rPr>
          <w:rFonts w:cs="Arial"/>
          <w:bCs/>
          <w:lang w:eastAsia="en-AU"/>
        </w:rPr>
      </w:pPr>
    </w:p>
    <w:p w14:paraId="11CC1148" w14:textId="1A1B3C40" w:rsidR="0048134F" w:rsidRPr="00136495" w:rsidRDefault="0048134F" w:rsidP="00CC172B">
      <w:pPr>
        <w:autoSpaceDE w:val="0"/>
        <w:autoSpaceDN w:val="0"/>
        <w:adjustRightInd w:val="0"/>
        <w:rPr>
          <w:rFonts w:cs="Arial"/>
          <w:b/>
          <w:bCs/>
          <w:lang w:eastAsia="en-AU"/>
        </w:rPr>
      </w:pPr>
      <w:r w:rsidRPr="00136495">
        <w:rPr>
          <w:rFonts w:cs="Arial"/>
          <w:b/>
          <w:bCs/>
          <w:lang w:eastAsia="en-AU"/>
        </w:rPr>
        <w:t xml:space="preserve">Overview of the </w:t>
      </w:r>
      <w:r w:rsidR="00C85262" w:rsidRPr="003B3CC5">
        <w:rPr>
          <w:rFonts w:cs="Arial"/>
          <w:b/>
        </w:rPr>
        <w:t>Amendment Instrument</w:t>
      </w:r>
    </w:p>
    <w:p w14:paraId="5CBFA9E2" w14:textId="77777777" w:rsidR="0048134F" w:rsidRPr="00136495" w:rsidRDefault="0048134F" w:rsidP="00CC172B">
      <w:pPr>
        <w:autoSpaceDE w:val="0"/>
        <w:autoSpaceDN w:val="0"/>
        <w:adjustRightInd w:val="0"/>
        <w:rPr>
          <w:rFonts w:cs="Arial"/>
          <w:b/>
          <w:bCs/>
          <w:lang w:eastAsia="en-AU"/>
        </w:rPr>
      </w:pPr>
    </w:p>
    <w:p w14:paraId="7B63E8FD" w14:textId="3B8D4F3D" w:rsidR="001E2C5F" w:rsidRDefault="001E2C5F" w:rsidP="00CC172B">
      <w:pPr>
        <w:autoSpaceDE w:val="0"/>
        <w:autoSpaceDN w:val="0"/>
        <w:adjustRightInd w:val="0"/>
        <w:rPr>
          <w:rFonts w:cs="Arial"/>
        </w:rPr>
      </w:pPr>
      <w:r>
        <w:rPr>
          <w:rFonts w:cs="Arial"/>
        </w:rPr>
        <w:t xml:space="preserve">The Other Grants Guidelines (Research) Amendment (No. 1) 2019 (Amendment Instrument) is made under section 238-10 of the </w:t>
      </w:r>
      <w:r>
        <w:rPr>
          <w:rFonts w:cs="Arial"/>
          <w:i/>
        </w:rPr>
        <w:t>Higher Education Support Act 2003</w:t>
      </w:r>
      <w:r>
        <w:rPr>
          <w:rFonts w:cs="Arial"/>
        </w:rPr>
        <w:t xml:space="preserve"> (Act). </w:t>
      </w:r>
    </w:p>
    <w:p w14:paraId="75576A91" w14:textId="77777777" w:rsidR="00FD2C31" w:rsidRDefault="00FD2C31" w:rsidP="00CC172B">
      <w:pPr>
        <w:autoSpaceDE w:val="0"/>
        <w:autoSpaceDN w:val="0"/>
        <w:adjustRightInd w:val="0"/>
        <w:rPr>
          <w:rFonts w:cs="Arial"/>
          <w:bCs/>
          <w:lang w:eastAsia="en-AU"/>
        </w:rPr>
      </w:pPr>
    </w:p>
    <w:p w14:paraId="3FE51BD1" w14:textId="7CAF5C90" w:rsidR="0048134F" w:rsidRPr="00136495" w:rsidRDefault="00FD2C31" w:rsidP="00CC172B">
      <w:pPr>
        <w:autoSpaceDE w:val="0"/>
        <w:autoSpaceDN w:val="0"/>
        <w:adjustRightInd w:val="0"/>
        <w:rPr>
          <w:rFonts w:cs="Arial"/>
          <w:bCs/>
          <w:lang w:eastAsia="en-AU"/>
        </w:rPr>
      </w:pPr>
      <w:r>
        <w:rPr>
          <w:rFonts w:cs="Arial"/>
        </w:rPr>
        <w:t xml:space="preserve">The Amendment Instrument amends the </w:t>
      </w:r>
      <w:r w:rsidR="00D76C90">
        <w:rPr>
          <w:rFonts w:cs="Arial"/>
          <w:bCs/>
          <w:i/>
          <w:lang w:eastAsia="en-AU"/>
        </w:rPr>
        <w:t>Other Grant</w:t>
      </w:r>
      <w:r w:rsidR="000E6DF0">
        <w:rPr>
          <w:rFonts w:cs="Arial"/>
          <w:bCs/>
          <w:i/>
          <w:lang w:eastAsia="en-AU"/>
        </w:rPr>
        <w:t>s</w:t>
      </w:r>
      <w:r w:rsidR="00D76C90">
        <w:rPr>
          <w:rFonts w:cs="Arial"/>
          <w:bCs/>
          <w:i/>
          <w:lang w:eastAsia="en-AU"/>
        </w:rPr>
        <w:t xml:space="preserve"> Guidelines</w:t>
      </w:r>
      <w:r w:rsidR="00FA52A7" w:rsidRPr="00FA52A7">
        <w:rPr>
          <w:rFonts w:cs="Arial"/>
          <w:bCs/>
          <w:i/>
          <w:lang w:eastAsia="en-AU"/>
        </w:rPr>
        <w:t xml:space="preserve"> (Research) 201</w:t>
      </w:r>
      <w:r w:rsidR="00D76C90">
        <w:rPr>
          <w:rFonts w:cs="Arial"/>
          <w:bCs/>
          <w:i/>
          <w:lang w:eastAsia="en-AU"/>
        </w:rPr>
        <w:t>7</w:t>
      </w:r>
      <w:r w:rsidR="0048134F" w:rsidRPr="00136495">
        <w:rPr>
          <w:rFonts w:cs="Arial"/>
          <w:bCs/>
          <w:lang w:eastAsia="en-AU"/>
        </w:rPr>
        <w:t xml:space="preserve"> </w:t>
      </w:r>
      <w:r>
        <w:rPr>
          <w:rFonts w:cs="Arial"/>
        </w:rPr>
        <w:t>that was made for the purposes of section 41-15 of the Act and registered on the Federal Register of Legislation on 10 October 2016 (F2016L01603) (Other Grants Guidelines).</w:t>
      </w:r>
    </w:p>
    <w:p w14:paraId="5368FD29" w14:textId="77777777" w:rsidR="0048134F" w:rsidRPr="00136495" w:rsidRDefault="0048134F" w:rsidP="00CC172B">
      <w:pPr>
        <w:autoSpaceDE w:val="0"/>
        <w:autoSpaceDN w:val="0"/>
        <w:adjustRightInd w:val="0"/>
        <w:rPr>
          <w:rFonts w:cs="Arial"/>
          <w:bCs/>
          <w:lang w:eastAsia="en-AU"/>
        </w:rPr>
      </w:pPr>
    </w:p>
    <w:p w14:paraId="3CD61201" w14:textId="254F4022" w:rsidR="00D76C90" w:rsidRPr="00D76C90" w:rsidRDefault="00D76C90" w:rsidP="00CC172B">
      <w:pPr>
        <w:autoSpaceDE w:val="0"/>
        <w:autoSpaceDN w:val="0"/>
        <w:adjustRightInd w:val="0"/>
        <w:rPr>
          <w:rFonts w:cs="Arial"/>
          <w:szCs w:val="22"/>
          <w:lang w:eastAsia="en-AU"/>
        </w:rPr>
      </w:pPr>
      <w:r w:rsidRPr="00D76C90">
        <w:rPr>
          <w:rFonts w:cs="Arial"/>
          <w:szCs w:val="22"/>
          <w:lang w:eastAsia="en-AU"/>
        </w:rPr>
        <w:t xml:space="preserve">The </w:t>
      </w:r>
      <w:r w:rsidR="00834AE5">
        <w:rPr>
          <w:rFonts w:cs="Arial"/>
          <w:szCs w:val="22"/>
          <w:lang w:eastAsia="en-AU"/>
        </w:rPr>
        <w:t xml:space="preserve">Other Grants </w:t>
      </w:r>
      <w:r w:rsidRPr="00D76C90">
        <w:rPr>
          <w:rFonts w:cs="Arial"/>
          <w:szCs w:val="22"/>
          <w:lang w:eastAsia="en-AU"/>
        </w:rPr>
        <w:t xml:space="preserve">Guidelines identify programs under which grants for purposes specified in the Act are to be paid to higher education providers and other eligible bodies. The </w:t>
      </w:r>
      <w:r w:rsidR="00834AE5">
        <w:rPr>
          <w:rFonts w:cs="Arial"/>
          <w:szCs w:val="22"/>
          <w:lang w:eastAsia="en-AU"/>
        </w:rPr>
        <w:t xml:space="preserve">Other Grants </w:t>
      </w:r>
      <w:r w:rsidRPr="00D76C90">
        <w:rPr>
          <w:rFonts w:cs="Arial"/>
          <w:szCs w:val="22"/>
          <w:lang w:eastAsia="en-AU"/>
        </w:rPr>
        <w:t xml:space="preserve">Guidelines also set out the purpose and programs under which grants may be made for research. These include grants to support research by, and the research capability of, </w:t>
      </w:r>
      <w:r w:rsidR="00FD2C31">
        <w:rPr>
          <w:rFonts w:cs="Arial"/>
          <w:szCs w:val="22"/>
          <w:lang w:eastAsia="en-AU"/>
        </w:rPr>
        <w:t>higher education providers</w:t>
      </w:r>
      <w:r w:rsidRPr="00D76C90">
        <w:rPr>
          <w:rFonts w:cs="Arial"/>
          <w:szCs w:val="22"/>
          <w:lang w:eastAsia="en-AU"/>
        </w:rPr>
        <w:t>.</w:t>
      </w:r>
    </w:p>
    <w:p w14:paraId="648BB064" w14:textId="616B22CF" w:rsidR="0048134F" w:rsidRPr="00136495" w:rsidRDefault="0048134F" w:rsidP="00CC172B">
      <w:pPr>
        <w:autoSpaceDE w:val="0"/>
        <w:autoSpaceDN w:val="0"/>
        <w:adjustRightInd w:val="0"/>
        <w:rPr>
          <w:rFonts w:cs="Arial"/>
          <w:bCs/>
          <w:lang w:eastAsia="en-AU"/>
        </w:rPr>
      </w:pPr>
    </w:p>
    <w:p w14:paraId="5DFAD35A" w14:textId="77777777" w:rsidR="0048134F" w:rsidRPr="00136495" w:rsidRDefault="0048134F" w:rsidP="00CC172B">
      <w:pPr>
        <w:autoSpaceDE w:val="0"/>
        <w:autoSpaceDN w:val="0"/>
        <w:adjustRightInd w:val="0"/>
        <w:rPr>
          <w:rFonts w:cs="Arial"/>
          <w:b/>
          <w:bCs/>
          <w:lang w:eastAsia="en-AU"/>
        </w:rPr>
      </w:pPr>
      <w:r w:rsidRPr="00136495">
        <w:rPr>
          <w:rFonts w:cs="Arial"/>
          <w:b/>
          <w:bCs/>
          <w:lang w:eastAsia="en-AU"/>
        </w:rPr>
        <w:t>Human Rights implications</w:t>
      </w:r>
    </w:p>
    <w:p w14:paraId="7A8B1A87" w14:textId="77777777" w:rsidR="0048134F" w:rsidRPr="00136495" w:rsidRDefault="0048134F" w:rsidP="00CC172B">
      <w:pPr>
        <w:autoSpaceDE w:val="0"/>
        <w:autoSpaceDN w:val="0"/>
        <w:adjustRightInd w:val="0"/>
        <w:rPr>
          <w:rFonts w:cs="Arial"/>
          <w:bCs/>
          <w:lang w:eastAsia="en-AU"/>
        </w:rPr>
      </w:pPr>
    </w:p>
    <w:p w14:paraId="5D8B8516" w14:textId="77777777" w:rsidR="00FD2C31" w:rsidRDefault="00FD2C31" w:rsidP="00CC172B">
      <w:pPr>
        <w:rPr>
          <w:rFonts w:cs="Arial"/>
          <w:szCs w:val="22"/>
        </w:rPr>
      </w:pPr>
      <w:r>
        <w:rPr>
          <w:rFonts w:cs="Arial"/>
          <w:szCs w:val="22"/>
        </w:rPr>
        <w:t xml:space="preserve">The </w:t>
      </w:r>
      <w:r>
        <w:rPr>
          <w:rFonts w:cs="Arial"/>
        </w:rPr>
        <w:t xml:space="preserve">Amendment Instrument </w:t>
      </w:r>
      <w:r>
        <w:rPr>
          <w:rFonts w:cs="Arial"/>
          <w:szCs w:val="22"/>
        </w:rPr>
        <w:t>engages the following human rights:</w:t>
      </w:r>
    </w:p>
    <w:p w14:paraId="4C7D793A" w14:textId="77777777" w:rsidR="00FD2C31" w:rsidRDefault="00FD2C31" w:rsidP="00CC172B">
      <w:pPr>
        <w:pStyle w:val="ListParagraph"/>
        <w:numPr>
          <w:ilvl w:val="0"/>
          <w:numId w:val="9"/>
        </w:numPr>
        <w:rPr>
          <w:rFonts w:cs="Arial"/>
          <w:szCs w:val="22"/>
        </w:rPr>
      </w:pPr>
      <w:r>
        <w:rPr>
          <w:rFonts w:cs="Arial"/>
          <w:szCs w:val="22"/>
        </w:rPr>
        <w:t xml:space="preserve">the right to education – Article 13 of the </w:t>
      </w:r>
      <w:r>
        <w:rPr>
          <w:rFonts w:cs="Arial"/>
          <w:i/>
          <w:szCs w:val="22"/>
        </w:rPr>
        <w:t xml:space="preserve">International Covenant on Economic, Social and Cultural Rights </w:t>
      </w:r>
      <w:r>
        <w:rPr>
          <w:rFonts w:cs="Arial"/>
          <w:szCs w:val="22"/>
        </w:rPr>
        <w:t>(ICESCR)</w:t>
      </w:r>
    </w:p>
    <w:p w14:paraId="04A096EB" w14:textId="77777777" w:rsidR="00FD2C31" w:rsidRDefault="00FD2C31" w:rsidP="00CC172B">
      <w:pPr>
        <w:pStyle w:val="ListParagraph"/>
        <w:numPr>
          <w:ilvl w:val="0"/>
          <w:numId w:val="9"/>
        </w:numPr>
        <w:rPr>
          <w:rFonts w:cs="Arial"/>
          <w:szCs w:val="22"/>
        </w:rPr>
      </w:pPr>
      <w:r>
        <w:rPr>
          <w:rFonts w:cs="Arial"/>
          <w:szCs w:val="22"/>
        </w:rPr>
        <w:t xml:space="preserve">the right to enjoy the benefits of scientific progress and its applications – Article 15 of the ICESCR </w:t>
      </w:r>
    </w:p>
    <w:p w14:paraId="2CF9B197" w14:textId="77777777" w:rsidR="00CC172B" w:rsidRDefault="00CC172B" w:rsidP="00CC172B">
      <w:pPr>
        <w:autoSpaceDE w:val="0"/>
        <w:autoSpaceDN w:val="0"/>
        <w:adjustRightInd w:val="0"/>
        <w:rPr>
          <w:rFonts w:cs="Arial"/>
          <w:i/>
          <w:lang w:eastAsia="en-AU"/>
        </w:rPr>
      </w:pPr>
    </w:p>
    <w:p w14:paraId="4585B064" w14:textId="3A24B327" w:rsidR="005A0AE1" w:rsidRDefault="005A0AE1" w:rsidP="00CC172B">
      <w:pPr>
        <w:autoSpaceDE w:val="0"/>
        <w:autoSpaceDN w:val="0"/>
        <w:adjustRightInd w:val="0"/>
        <w:rPr>
          <w:rFonts w:cs="Arial"/>
          <w:i/>
          <w:lang w:eastAsia="en-AU"/>
        </w:rPr>
      </w:pPr>
      <w:r>
        <w:rPr>
          <w:rFonts w:cs="Arial"/>
          <w:i/>
          <w:lang w:eastAsia="en-AU"/>
        </w:rPr>
        <w:t xml:space="preserve">Right to education </w:t>
      </w:r>
    </w:p>
    <w:p w14:paraId="34CCD634" w14:textId="77777777" w:rsidR="005A0AE1" w:rsidRDefault="005A0AE1" w:rsidP="00CC172B">
      <w:pPr>
        <w:autoSpaceDE w:val="0"/>
        <w:autoSpaceDN w:val="0"/>
        <w:adjustRightInd w:val="0"/>
        <w:rPr>
          <w:rFonts w:cs="Arial"/>
          <w:i/>
          <w:lang w:eastAsia="en-AU"/>
        </w:rPr>
      </w:pPr>
    </w:p>
    <w:p w14:paraId="69578E97" w14:textId="4DE181D5" w:rsidR="00E66B10" w:rsidRPr="00491087" w:rsidRDefault="00E66B10" w:rsidP="00CC172B">
      <w:pPr>
        <w:rPr>
          <w:rFonts w:cs="Arial"/>
          <w:szCs w:val="22"/>
        </w:rPr>
      </w:pPr>
      <w:r w:rsidRPr="00491087">
        <w:rPr>
          <w:rFonts w:cs="Arial"/>
          <w:szCs w:val="22"/>
        </w:rPr>
        <w:t xml:space="preserve">The </w:t>
      </w:r>
      <w:r w:rsidR="00C85262">
        <w:rPr>
          <w:rFonts w:cs="Arial"/>
        </w:rPr>
        <w:t xml:space="preserve">Amendment Instrument </w:t>
      </w:r>
      <w:r w:rsidRPr="006B441B">
        <w:rPr>
          <w:rFonts w:cs="Arial"/>
          <w:szCs w:val="22"/>
        </w:rPr>
        <w:t>engage</w:t>
      </w:r>
      <w:r>
        <w:rPr>
          <w:rFonts w:cs="Arial"/>
          <w:szCs w:val="22"/>
        </w:rPr>
        <w:t>s</w:t>
      </w:r>
      <w:r w:rsidRPr="006B441B">
        <w:rPr>
          <w:rFonts w:cs="Arial"/>
          <w:szCs w:val="22"/>
        </w:rPr>
        <w:t xml:space="preserve"> the right to education contained in </w:t>
      </w:r>
      <w:r w:rsidR="00AC5292">
        <w:rPr>
          <w:rFonts w:cs="Arial"/>
          <w:szCs w:val="22"/>
        </w:rPr>
        <w:t>A</w:t>
      </w:r>
      <w:r w:rsidRPr="006B441B">
        <w:rPr>
          <w:rFonts w:cs="Arial"/>
          <w:szCs w:val="22"/>
        </w:rPr>
        <w:t xml:space="preserve">rticle 13 of the </w:t>
      </w:r>
      <w:r w:rsidRPr="00491087">
        <w:rPr>
          <w:rFonts w:cs="Arial"/>
          <w:szCs w:val="22"/>
        </w:rPr>
        <w:t>ICESCR.</w:t>
      </w:r>
      <w:r>
        <w:rPr>
          <w:rFonts w:cs="Arial"/>
          <w:szCs w:val="22"/>
        </w:rPr>
        <w:t xml:space="preserve"> The right to education recognises the important personal, societal, economic and intellectual benefits of education. </w:t>
      </w:r>
    </w:p>
    <w:p w14:paraId="76F035C3" w14:textId="77777777" w:rsidR="00CC172B" w:rsidRDefault="00CC172B" w:rsidP="00CC172B">
      <w:pPr>
        <w:rPr>
          <w:rFonts w:cs="Arial"/>
          <w:szCs w:val="22"/>
        </w:rPr>
      </w:pPr>
    </w:p>
    <w:p w14:paraId="0B8F56BB" w14:textId="1CC61A6B" w:rsidR="00E66B10" w:rsidRDefault="000B2EF3" w:rsidP="00CC172B">
      <w:pPr>
        <w:rPr>
          <w:rFonts w:cs="Arial"/>
          <w:szCs w:val="22"/>
        </w:rPr>
      </w:pPr>
      <w:r w:rsidRPr="000B2EF3">
        <w:rPr>
          <w:rFonts w:cs="Arial"/>
          <w:szCs w:val="22"/>
        </w:rPr>
        <w:t xml:space="preserve">The </w:t>
      </w:r>
      <w:r w:rsidR="00C85262">
        <w:rPr>
          <w:rFonts w:cs="Arial"/>
        </w:rPr>
        <w:t xml:space="preserve">Amendment Instrument </w:t>
      </w:r>
      <w:r w:rsidRPr="000B2EF3">
        <w:rPr>
          <w:rFonts w:cs="Arial"/>
          <w:szCs w:val="22"/>
        </w:rPr>
        <w:t xml:space="preserve">engages the right to education by supporting a high quality research </w:t>
      </w:r>
      <w:r w:rsidR="003B3CC5" w:rsidRPr="000B2EF3">
        <w:rPr>
          <w:rFonts w:cs="Arial"/>
          <w:szCs w:val="22"/>
        </w:rPr>
        <w:t>environment, which provides academics</w:t>
      </w:r>
      <w:r w:rsidRPr="000B2EF3">
        <w:rPr>
          <w:rFonts w:cs="Arial"/>
          <w:szCs w:val="22"/>
        </w:rPr>
        <w:t xml:space="preserve"> employed in higher education institutions with the necessary systems and resources to deliver high qualit</w:t>
      </w:r>
      <w:r>
        <w:rPr>
          <w:rFonts w:cs="Arial"/>
          <w:szCs w:val="22"/>
        </w:rPr>
        <w:t>y research training to students</w:t>
      </w:r>
      <w:r w:rsidR="00E66B10">
        <w:rPr>
          <w:rFonts w:cs="Arial"/>
          <w:szCs w:val="22"/>
        </w:rPr>
        <w:t>.</w:t>
      </w:r>
    </w:p>
    <w:p w14:paraId="0BE6CB51" w14:textId="77777777" w:rsidR="00CC172B" w:rsidRDefault="00CC172B" w:rsidP="00CC172B">
      <w:pPr>
        <w:rPr>
          <w:rFonts w:cs="Arial"/>
          <w:szCs w:val="22"/>
        </w:rPr>
      </w:pPr>
    </w:p>
    <w:p w14:paraId="14FEEF9F" w14:textId="0016F5F8" w:rsidR="00E66B10" w:rsidRDefault="00E66B10" w:rsidP="00CC172B">
      <w:pPr>
        <w:rPr>
          <w:rFonts w:cs="Arial"/>
          <w:szCs w:val="22"/>
        </w:rPr>
      </w:pPr>
      <w:r>
        <w:rPr>
          <w:rFonts w:cs="Arial"/>
          <w:szCs w:val="22"/>
        </w:rPr>
        <w:t xml:space="preserve">The </w:t>
      </w:r>
      <w:r w:rsidR="00C85262">
        <w:rPr>
          <w:rFonts w:cs="Arial"/>
        </w:rPr>
        <w:t xml:space="preserve">Amendment Instrument </w:t>
      </w:r>
      <w:r>
        <w:rPr>
          <w:rFonts w:cs="Arial"/>
          <w:szCs w:val="22"/>
        </w:rPr>
        <w:t xml:space="preserve">is compatible with the right to education. </w:t>
      </w:r>
    </w:p>
    <w:p w14:paraId="0C916DC6" w14:textId="77777777" w:rsidR="005A0AE1" w:rsidRDefault="005A0AE1" w:rsidP="00CC172B">
      <w:pPr>
        <w:autoSpaceDE w:val="0"/>
        <w:autoSpaceDN w:val="0"/>
        <w:adjustRightInd w:val="0"/>
      </w:pPr>
    </w:p>
    <w:p w14:paraId="6E546EED" w14:textId="77777777" w:rsidR="00E66B10" w:rsidRPr="00226697" w:rsidRDefault="00E66B10" w:rsidP="00CC172B">
      <w:pPr>
        <w:rPr>
          <w:rFonts w:cs="Arial"/>
          <w:i/>
          <w:szCs w:val="22"/>
        </w:rPr>
      </w:pPr>
      <w:r w:rsidRPr="00226697">
        <w:rPr>
          <w:rFonts w:cs="Arial"/>
          <w:i/>
          <w:szCs w:val="22"/>
        </w:rPr>
        <w:t xml:space="preserve">Right </w:t>
      </w:r>
      <w:r>
        <w:rPr>
          <w:rFonts w:cs="Arial"/>
          <w:i/>
          <w:szCs w:val="22"/>
        </w:rPr>
        <w:t>to enjoy the benefits of scientific progress and its applications</w:t>
      </w:r>
    </w:p>
    <w:p w14:paraId="1C984293" w14:textId="77777777" w:rsidR="00CC172B" w:rsidRDefault="00CC172B" w:rsidP="00CC172B">
      <w:pPr>
        <w:rPr>
          <w:rFonts w:cs="Arial"/>
          <w:szCs w:val="22"/>
        </w:rPr>
      </w:pPr>
    </w:p>
    <w:p w14:paraId="38306D57" w14:textId="2585E468" w:rsidR="00E66B10" w:rsidRPr="00491087" w:rsidRDefault="00E66B10" w:rsidP="00CC172B">
      <w:pPr>
        <w:rPr>
          <w:rFonts w:cs="Arial"/>
          <w:szCs w:val="22"/>
        </w:rPr>
      </w:pPr>
      <w:r w:rsidRPr="006B441B">
        <w:rPr>
          <w:rFonts w:cs="Arial"/>
          <w:szCs w:val="22"/>
        </w:rPr>
        <w:t xml:space="preserve">The </w:t>
      </w:r>
      <w:r w:rsidR="00C85262">
        <w:rPr>
          <w:rFonts w:cs="Arial"/>
        </w:rPr>
        <w:t xml:space="preserve">Amendment Instrument </w:t>
      </w:r>
      <w:r w:rsidRPr="006B441B">
        <w:rPr>
          <w:rFonts w:cs="Arial"/>
          <w:szCs w:val="22"/>
        </w:rPr>
        <w:t>engage</w:t>
      </w:r>
      <w:r>
        <w:rPr>
          <w:rFonts w:cs="Arial"/>
          <w:szCs w:val="22"/>
        </w:rPr>
        <w:t>s</w:t>
      </w:r>
      <w:r w:rsidRPr="006B441B">
        <w:rPr>
          <w:rFonts w:cs="Arial"/>
          <w:szCs w:val="22"/>
        </w:rPr>
        <w:t xml:space="preserve"> the right to enjoy the benefits of scientific progress and its applications contained in Article 15 of the </w:t>
      </w:r>
      <w:r>
        <w:rPr>
          <w:rFonts w:cs="Arial"/>
          <w:szCs w:val="22"/>
        </w:rPr>
        <w:t>ICESCR</w:t>
      </w:r>
      <w:r w:rsidRPr="00491087">
        <w:rPr>
          <w:rFonts w:cs="Arial"/>
          <w:szCs w:val="22"/>
        </w:rPr>
        <w:t>.</w:t>
      </w:r>
    </w:p>
    <w:p w14:paraId="21FA80F4" w14:textId="77777777" w:rsidR="00CC172B" w:rsidRDefault="00CC172B" w:rsidP="00CC172B">
      <w:pPr>
        <w:rPr>
          <w:rFonts w:cs="Arial"/>
          <w:szCs w:val="22"/>
        </w:rPr>
      </w:pPr>
    </w:p>
    <w:p w14:paraId="34DF642B" w14:textId="7EABDAEC" w:rsidR="00E66B10" w:rsidRDefault="00E66B10" w:rsidP="00CC172B">
      <w:pPr>
        <w:rPr>
          <w:rFonts w:cs="Arial"/>
          <w:szCs w:val="22"/>
        </w:rPr>
      </w:pPr>
      <w:r w:rsidRPr="00491087">
        <w:rPr>
          <w:rFonts w:cs="Arial"/>
          <w:szCs w:val="22"/>
        </w:rPr>
        <w:t xml:space="preserve">The </w:t>
      </w:r>
      <w:r w:rsidR="00C85262">
        <w:rPr>
          <w:rFonts w:cs="Arial"/>
        </w:rPr>
        <w:t xml:space="preserve">Amendment Instrument </w:t>
      </w:r>
      <w:r w:rsidRPr="00491087">
        <w:rPr>
          <w:rFonts w:cs="Arial"/>
          <w:szCs w:val="22"/>
        </w:rPr>
        <w:t>promote</w:t>
      </w:r>
      <w:r>
        <w:rPr>
          <w:rFonts w:cs="Arial"/>
          <w:szCs w:val="22"/>
        </w:rPr>
        <w:t>s</w:t>
      </w:r>
      <w:r w:rsidRPr="00491087">
        <w:rPr>
          <w:rFonts w:cs="Arial"/>
          <w:szCs w:val="22"/>
        </w:rPr>
        <w:t xml:space="preserve"> improving access to scientific research facilities and its applications as an important step towards ensuring this right can be enjoyed by all Australians.</w:t>
      </w:r>
    </w:p>
    <w:p w14:paraId="59C4C3D6" w14:textId="77777777" w:rsidR="00CC172B" w:rsidRDefault="00CC172B" w:rsidP="00CC172B">
      <w:pPr>
        <w:rPr>
          <w:rFonts w:cs="Arial"/>
          <w:szCs w:val="22"/>
        </w:rPr>
      </w:pPr>
    </w:p>
    <w:p w14:paraId="52AF9628" w14:textId="6E2698E7" w:rsidR="000B2EF3" w:rsidRDefault="000B2EF3" w:rsidP="00CC172B">
      <w:pPr>
        <w:rPr>
          <w:rFonts w:cs="Arial"/>
          <w:szCs w:val="22"/>
        </w:rPr>
      </w:pPr>
      <w:r w:rsidRPr="000B2EF3">
        <w:rPr>
          <w:rFonts w:cs="Arial"/>
          <w:szCs w:val="22"/>
        </w:rPr>
        <w:t xml:space="preserve">The </w:t>
      </w:r>
      <w:r w:rsidR="00C85262">
        <w:rPr>
          <w:rFonts w:cs="Arial"/>
        </w:rPr>
        <w:t xml:space="preserve">Amendment Instrument </w:t>
      </w:r>
      <w:r w:rsidRPr="000B2EF3">
        <w:rPr>
          <w:rFonts w:cs="Arial"/>
          <w:szCs w:val="22"/>
        </w:rPr>
        <w:t>supports a high quality research environment for Australia’s higher education sector. This environment allows for academics to strengthen Australia’s knowledge base, and enhance the contribution of Australia’s research capabilities to national economic development, international competitiveness and the attainment of social goals.</w:t>
      </w:r>
    </w:p>
    <w:p w14:paraId="03364947" w14:textId="77777777" w:rsidR="00CC172B" w:rsidRDefault="00CC172B" w:rsidP="00CC172B">
      <w:pPr>
        <w:rPr>
          <w:rFonts w:cs="Arial"/>
          <w:szCs w:val="22"/>
        </w:rPr>
      </w:pPr>
    </w:p>
    <w:p w14:paraId="58960DB1" w14:textId="16923CE1" w:rsidR="005A0AE1" w:rsidRDefault="00E66B10" w:rsidP="00CC172B">
      <w:pPr>
        <w:rPr>
          <w:rFonts w:cs="Arial"/>
          <w:lang w:eastAsia="en-AU"/>
        </w:rPr>
      </w:pPr>
      <w:r>
        <w:rPr>
          <w:rFonts w:cs="Arial"/>
          <w:szCs w:val="22"/>
        </w:rPr>
        <w:t xml:space="preserve">The </w:t>
      </w:r>
      <w:r w:rsidR="00C85262">
        <w:rPr>
          <w:rFonts w:cs="Arial"/>
        </w:rPr>
        <w:t xml:space="preserve">Amendment Instrument </w:t>
      </w:r>
      <w:r>
        <w:rPr>
          <w:rFonts w:cs="Arial"/>
          <w:szCs w:val="22"/>
        </w:rPr>
        <w:t>is compatible with the right to enjoy the benefits of scientific progress and its applications.</w:t>
      </w:r>
    </w:p>
    <w:p w14:paraId="61EA8785" w14:textId="77777777" w:rsidR="0048134F" w:rsidRPr="00136495" w:rsidRDefault="0048134F" w:rsidP="00CC172B">
      <w:pPr>
        <w:autoSpaceDE w:val="0"/>
        <w:autoSpaceDN w:val="0"/>
        <w:adjustRightInd w:val="0"/>
        <w:rPr>
          <w:rFonts w:cs="Arial"/>
          <w:b/>
          <w:lang w:eastAsia="en-AU"/>
        </w:rPr>
      </w:pPr>
    </w:p>
    <w:p w14:paraId="7D5DF16C" w14:textId="77777777" w:rsidR="0048134F" w:rsidRPr="00136495" w:rsidRDefault="0048134F" w:rsidP="00CC172B">
      <w:pPr>
        <w:autoSpaceDE w:val="0"/>
        <w:autoSpaceDN w:val="0"/>
        <w:adjustRightInd w:val="0"/>
        <w:rPr>
          <w:rFonts w:cs="Arial"/>
          <w:b/>
          <w:bCs/>
          <w:lang w:eastAsia="en-AU"/>
        </w:rPr>
      </w:pPr>
      <w:r w:rsidRPr="00136495">
        <w:rPr>
          <w:rFonts w:cs="Arial"/>
          <w:b/>
          <w:bCs/>
          <w:lang w:eastAsia="en-AU"/>
        </w:rPr>
        <w:t>Conclusion</w:t>
      </w:r>
    </w:p>
    <w:p w14:paraId="32E16E86" w14:textId="77777777" w:rsidR="00CC172B" w:rsidRDefault="00CC172B" w:rsidP="00CC172B">
      <w:pPr>
        <w:autoSpaceDE w:val="0"/>
        <w:autoSpaceDN w:val="0"/>
        <w:adjustRightInd w:val="0"/>
        <w:rPr>
          <w:rFonts w:cs="Arial"/>
          <w:bCs/>
          <w:lang w:eastAsia="en-AU"/>
        </w:rPr>
      </w:pPr>
    </w:p>
    <w:p w14:paraId="1803C2F5" w14:textId="1AA123A7" w:rsidR="0048134F" w:rsidRPr="00136495" w:rsidRDefault="0048134F" w:rsidP="00CC172B">
      <w:pPr>
        <w:autoSpaceDE w:val="0"/>
        <w:autoSpaceDN w:val="0"/>
        <w:adjustRightInd w:val="0"/>
        <w:rPr>
          <w:rFonts w:cs="Arial"/>
          <w:bCs/>
          <w:lang w:eastAsia="en-AU"/>
        </w:rPr>
      </w:pPr>
      <w:r w:rsidRPr="00136495">
        <w:rPr>
          <w:rFonts w:cs="Arial"/>
          <w:bCs/>
          <w:lang w:eastAsia="en-AU"/>
        </w:rPr>
        <w:t xml:space="preserve">This </w:t>
      </w:r>
      <w:r w:rsidR="00C85262">
        <w:rPr>
          <w:rFonts w:cs="Arial"/>
        </w:rPr>
        <w:t xml:space="preserve">Amendment Instrument </w:t>
      </w:r>
      <w:r w:rsidRPr="00136495">
        <w:rPr>
          <w:rFonts w:cs="Arial"/>
          <w:bCs/>
          <w:lang w:eastAsia="en-AU"/>
        </w:rPr>
        <w:t>is compatible with human rights because it advances the protection of human rights.</w:t>
      </w:r>
    </w:p>
    <w:p w14:paraId="635AFB42" w14:textId="77777777" w:rsidR="0048134F" w:rsidRDefault="0048134F" w:rsidP="00CC172B">
      <w:pPr>
        <w:autoSpaceDE w:val="0"/>
        <w:autoSpaceDN w:val="0"/>
        <w:adjustRightInd w:val="0"/>
        <w:rPr>
          <w:rFonts w:cs="Arial"/>
          <w:b/>
          <w:bCs/>
          <w:lang w:eastAsia="en-AU"/>
        </w:rPr>
      </w:pPr>
    </w:p>
    <w:p w14:paraId="3465ED0B" w14:textId="77777777" w:rsidR="00237363" w:rsidRPr="00136495" w:rsidRDefault="00237363" w:rsidP="00CC172B">
      <w:pPr>
        <w:autoSpaceDE w:val="0"/>
        <w:autoSpaceDN w:val="0"/>
        <w:adjustRightInd w:val="0"/>
        <w:rPr>
          <w:rFonts w:cs="Arial"/>
          <w:b/>
          <w:bCs/>
          <w:lang w:eastAsia="en-AU"/>
        </w:rPr>
      </w:pPr>
    </w:p>
    <w:p w14:paraId="054981F6" w14:textId="77777777" w:rsidR="00CC172B" w:rsidRDefault="00CC172B" w:rsidP="00CC172B">
      <w:pPr>
        <w:autoSpaceDE w:val="0"/>
        <w:autoSpaceDN w:val="0"/>
        <w:adjustRightInd w:val="0"/>
        <w:rPr>
          <w:rFonts w:cs="Arial"/>
          <w:b/>
          <w:bCs/>
          <w:lang w:eastAsia="en-AU"/>
        </w:rPr>
      </w:pPr>
      <w:r>
        <w:rPr>
          <w:rFonts w:cs="Arial"/>
          <w:b/>
          <w:bCs/>
          <w:lang w:eastAsia="en-AU"/>
        </w:rPr>
        <w:t>Dan Tehan</w:t>
      </w:r>
    </w:p>
    <w:p w14:paraId="44C65BF6" w14:textId="77777777" w:rsidR="00CC172B" w:rsidRDefault="00CC172B" w:rsidP="00CC172B">
      <w:pPr>
        <w:autoSpaceDE w:val="0"/>
        <w:autoSpaceDN w:val="0"/>
        <w:adjustRightInd w:val="0"/>
        <w:rPr>
          <w:rFonts w:cs="Arial"/>
          <w:b/>
          <w:bCs/>
          <w:lang w:eastAsia="en-AU"/>
        </w:rPr>
      </w:pPr>
    </w:p>
    <w:p w14:paraId="45437F36" w14:textId="34FC0E89" w:rsidR="0048134F" w:rsidRPr="00237363" w:rsidRDefault="0085565E" w:rsidP="00CC172B">
      <w:pPr>
        <w:autoSpaceDE w:val="0"/>
        <w:autoSpaceDN w:val="0"/>
        <w:adjustRightInd w:val="0"/>
        <w:rPr>
          <w:rFonts w:cs="Arial"/>
          <w:szCs w:val="22"/>
        </w:rPr>
      </w:pPr>
      <w:r w:rsidRPr="0085565E">
        <w:rPr>
          <w:rFonts w:cs="Arial"/>
          <w:b/>
          <w:bCs/>
          <w:lang w:eastAsia="en-AU"/>
        </w:rPr>
        <w:t xml:space="preserve">Minister for </w:t>
      </w:r>
      <w:r w:rsidR="00724762">
        <w:rPr>
          <w:rFonts w:cs="Arial"/>
          <w:b/>
          <w:bCs/>
          <w:lang w:eastAsia="en-AU"/>
        </w:rPr>
        <w:t>Education</w:t>
      </w:r>
    </w:p>
    <w:sectPr w:rsidR="0048134F" w:rsidRPr="00237363" w:rsidSect="00B4410E">
      <w:footerReference w:type="even" r:id="rId11"/>
      <w:footerReference w:type="default" r:id="rId12"/>
      <w:pgSz w:w="11906" w:h="16838" w:code="9"/>
      <w:pgMar w:top="1418" w:right="1134" w:bottom="1418" w:left="1418"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DDA95" w14:textId="77777777" w:rsidR="00237363" w:rsidRDefault="00237363">
      <w:r>
        <w:separator/>
      </w:r>
    </w:p>
  </w:endnote>
  <w:endnote w:type="continuationSeparator" w:id="0">
    <w:p w14:paraId="45D649C6" w14:textId="77777777" w:rsidR="00237363" w:rsidRDefault="00237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E25D7" w14:textId="77777777" w:rsidR="00237363" w:rsidRDefault="005329D8" w:rsidP="00E12AEC">
    <w:pPr>
      <w:pStyle w:val="Footer"/>
      <w:framePr w:wrap="around" w:vAnchor="text" w:hAnchor="margin" w:xAlign="right" w:y="1"/>
      <w:rPr>
        <w:rStyle w:val="PageNumber"/>
      </w:rPr>
    </w:pPr>
    <w:r>
      <w:rPr>
        <w:rStyle w:val="PageNumber"/>
      </w:rPr>
      <w:fldChar w:fldCharType="begin"/>
    </w:r>
    <w:r w:rsidR="00237363">
      <w:rPr>
        <w:rStyle w:val="PageNumber"/>
      </w:rPr>
      <w:instrText xml:space="preserve">PAGE  </w:instrText>
    </w:r>
    <w:r>
      <w:rPr>
        <w:rStyle w:val="PageNumber"/>
      </w:rPr>
      <w:fldChar w:fldCharType="end"/>
    </w:r>
  </w:p>
  <w:p w14:paraId="446E7E26" w14:textId="77777777" w:rsidR="00237363" w:rsidRDefault="00237363" w:rsidP="00E12A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98DE2" w14:textId="376F1C38" w:rsidR="00237363" w:rsidRPr="002E3367" w:rsidRDefault="005329D8" w:rsidP="002E3367">
    <w:pPr>
      <w:pStyle w:val="Footer"/>
      <w:framePr w:wrap="around" w:vAnchor="text" w:hAnchor="page" w:x="5761" w:y="-387"/>
      <w:rPr>
        <w:rStyle w:val="PageNumber"/>
        <w:rFonts w:cs="Arial"/>
        <w:sz w:val="20"/>
      </w:rPr>
    </w:pPr>
    <w:r w:rsidRPr="002E3367">
      <w:rPr>
        <w:rStyle w:val="PageNumber"/>
        <w:rFonts w:cs="Arial"/>
        <w:sz w:val="20"/>
      </w:rPr>
      <w:fldChar w:fldCharType="begin"/>
    </w:r>
    <w:r w:rsidR="00237363" w:rsidRPr="002E3367">
      <w:rPr>
        <w:rStyle w:val="PageNumber"/>
        <w:rFonts w:cs="Arial"/>
        <w:sz w:val="20"/>
      </w:rPr>
      <w:instrText xml:space="preserve">PAGE  </w:instrText>
    </w:r>
    <w:r w:rsidRPr="002E3367">
      <w:rPr>
        <w:rStyle w:val="PageNumber"/>
        <w:rFonts w:cs="Arial"/>
        <w:sz w:val="20"/>
      </w:rPr>
      <w:fldChar w:fldCharType="separate"/>
    </w:r>
    <w:r w:rsidR="003972A7">
      <w:rPr>
        <w:rStyle w:val="PageNumber"/>
        <w:rFonts w:cs="Arial"/>
        <w:noProof/>
        <w:sz w:val="20"/>
      </w:rPr>
      <w:t>1</w:t>
    </w:r>
    <w:r w:rsidRPr="002E3367">
      <w:rPr>
        <w:rStyle w:val="PageNumber"/>
        <w:rFonts w:cs="Arial"/>
        <w:sz w:val="20"/>
      </w:rPr>
      <w:fldChar w:fldCharType="end"/>
    </w:r>
  </w:p>
  <w:p w14:paraId="7504CD59" w14:textId="77777777" w:rsidR="00237363" w:rsidRDefault="00237363" w:rsidP="00E12AE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4391F" w14:textId="77777777" w:rsidR="00237363" w:rsidRDefault="00237363">
      <w:r>
        <w:separator/>
      </w:r>
    </w:p>
  </w:footnote>
  <w:footnote w:type="continuationSeparator" w:id="0">
    <w:p w14:paraId="4EB4BD42" w14:textId="77777777" w:rsidR="00237363" w:rsidRDefault="00237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35E5"/>
    <w:multiLevelType w:val="hybridMultilevel"/>
    <w:tmpl w:val="B608E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7110FD"/>
    <w:multiLevelType w:val="hybridMultilevel"/>
    <w:tmpl w:val="C3841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BDB2EA2"/>
    <w:multiLevelType w:val="hybridMultilevel"/>
    <w:tmpl w:val="512C5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6B47FCA"/>
    <w:multiLevelType w:val="hybridMultilevel"/>
    <w:tmpl w:val="702A8AB0"/>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4" w15:restartNumberingAfterBreak="0">
    <w:nsid w:val="64252C86"/>
    <w:multiLevelType w:val="hybridMultilevel"/>
    <w:tmpl w:val="273CA6F8"/>
    <w:lvl w:ilvl="0" w:tplc="BB34418C">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CC51323"/>
    <w:multiLevelType w:val="hybridMultilevel"/>
    <w:tmpl w:val="D37AAFBE"/>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3"/>
  </w:num>
  <w:num w:numId="6">
    <w:abstractNumId w:val="0"/>
  </w:num>
  <w:num w:numId="7">
    <w:abstractNumId w:val="1"/>
  </w:num>
  <w:num w:numId="8">
    <w:abstractNumId w:val="5"/>
  </w:num>
  <w:num w:numId="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10E"/>
    <w:rsid w:val="00000646"/>
    <w:rsid w:val="000006A6"/>
    <w:rsid w:val="000024CB"/>
    <w:rsid w:val="00002601"/>
    <w:rsid w:val="00002891"/>
    <w:rsid w:val="00005905"/>
    <w:rsid w:val="00012C3B"/>
    <w:rsid w:val="000143C0"/>
    <w:rsid w:val="000145E4"/>
    <w:rsid w:val="0001597D"/>
    <w:rsid w:val="00022CD8"/>
    <w:rsid w:val="00026C2A"/>
    <w:rsid w:val="0003008A"/>
    <w:rsid w:val="00034E60"/>
    <w:rsid w:val="00034F72"/>
    <w:rsid w:val="000369AE"/>
    <w:rsid w:val="00037D93"/>
    <w:rsid w:val="00046EB0"/>
    <w:rsid w:val="00047D23"/>
    <w:rsid w:val="00051650"/>
    <w:rsid w:val="000519FF"/>
    <w:rsid w:val="00053C56"/>
    <w:rsid w:val="000614EA"/>
    <w:rsid w:val="0006207C"/>
    <w:rsid w:val="00062E76"/>
    <w:rsid w:val="000652B2"/>
    <w:rsid w:val="00065E49"/>
    <w:rsid w:val="00070A19"/>
    <w:rsid w:val="00077359"/>
    <w:rsid w:val="0008169A"/>
    <w:rsid w:val="000834F5"/>
    <w:rsid w:val="000847A3"/>
    <w:rsid w:val="000856D1"/>
    <w:rsid w:val="000859E7"/>
    <w:rsid w:val="0008637E"/>
    <w:rsid w:val="000877B4"/>
    <w:rsid w:val="00096193"/>
    <w:rsid w:val="000A19B0"/>
    <w:rsid w:val="000A3D26"/>
    <w:rsid w:val="000A474B"/>
    <w:rsid w:val="000A47FA"/>
    <w:rsid w:val="000A6471"/>
    <w:rsid w:val="000B2EF3"/>
    <w:rsid w:val="000B7179"/>
    <w:rsid w:val="000C0178"/>
    <w:rsid w:val="000C210D"/>
    <w:rsid w:val="000D378F"/>
    <w:rsid w:val="000E10AF"/>
    <w:rsid w:val="000E6D9E"/>
    <w:rsid w:val="000E6DED"/>
    <w:rsid w:val="000E6DF0"/>
    <w:rsid w:val="000E75D2"/>
    <w:rsid w:val="000F0EFC"/>
    <w:rsid w:val="000F2E2A"/>
    <w:rsid w:val="000F5454"/>
    <w:rsid w:val="000F5BAA"/>
    <w:rsid w:val="00100E63"/>
    <w:rsid w:val="0010191B"/>
    <w:rsid w:val="001034E7"/>
    <w:rsid w:val="001110A2"/>
    <w:rsid w:val="00112E79"/>
    <w:rsid w:val="00113F5E"/>
    <w:rsid w:val="00114603"/>
    <w:rsid w:val="0011463B"/>
    <w:rsid w:val="00114EC2"/>
    <w:rsid w:val="00120D52"/>
    <w:rsid w:val="00121596"/>
    <w:rsid w:val="00136495"/>
    <w:rsid w:val="00141573"/>
    <w:rsid w:val="001419BC"/>
    <w:rsid w:val="001436B2"/>
    <w:rsid w:val="00144E11"/>
    <w:rsid w:val="00145C5C"/>
    <w:rsid w:val="001526AB"/>
    <w:rsid w:val="0016002B"/>
    <w:rsid w:val="00160D3A"/>
    <w:rsid w:val="00164B1C"/>
    <w:rsid w:val="001710E5"/>
    <w:rsid w:val="00171FCC"/>
    <w:rsid w:val="0017419E"/>
    <w:rsid w:val="001814CD"/>
    <w:rsid w:val="0018284A"/>
    <w:rsid w:val="001843A0"/>
    <w:rsid w:val="001912B7"/>
    <w:rsid w:val="00192644"/>
    <w:rsid w:val="00193EEC"/>
    <w:rsid w:val="0019508B"/>
    <w:rsid w:val="001A2A36"/>
    <w:rsid w:val="001A32F2"/>
    <w:rsid w:val="001A355E"/>
    <w:rsid w:val="001A73F0"/>
    <w:rsid w:val="001B4A92"/>
    <w:rsid w:val="001B52DC"/>
    <w:rsid w:val="001C0653"/>
    <w:rsid w:val="001C0E3C"/>
    <w:rsid w:val="001D06CB"/>
    <w:rsid w:val="001D1EDB"/>
    <w:rsid w:val="001D6880"/>
    <w:rsid w:val="001E2767"/>
    <w:rsid w:val="001E2C5F"/>
    <w:rsid w:val="001E565A"/>
    <w:rsid w:val="002017BE"/>
    <w:rsid w:val="002028EB"/>
    <w:rsid w:val="002032DB"/>
    <w:rsid w:val="002055DD"/>
    <w:rsid w:val="00210946"/>
    <w:rsid w:val="002112F7"/>
    <w:rsid w:val="00215C98"/>
    <w:rsid w:val="002179C7"/>
    <w:rsid w:val="00220D91"/>
    <w:rsid w:val="0022147F"/>
    <w:rsid w:val="00227F9B"/>
    <w:rsid w:val="00231C76"/>
    <w:rsid w:val="00235974"/>
    <w:rsid w:val="00237363"/>
    <w:rsid w:val="002425A6"/>
    <w:rsid w:val="002511F7"/>
    <w:rsid w:val="002512DC"/>
    <w:rsid w:val="00251B2A"/>
    <w:rsid w:val="0025347A"/>
    <w:rsid w:val="00254B08"/>
    <w:rsid w:val="002553C8"/>
    <w:rsid w:val="002574D0"/>
    <w:rsid w:val="00263743"/>
    <w:rsid w:val="00263CF9"/>
    <w:rsid w:val="0026404C"/>
    <w:rsid w:val="00265CA0"/>
    <w:rsid w:val="0026634D"/>
    <w:rsid w:val="00266ADE"/>
    <w:rsid w:val="0026773A"/>
    <w:rsid w:val="00271DA3"/>
    <w:rsid w:val="002726C8"/>
    <w:rsid w:val="0029487E"/>
    <w:rsid w:val="00294D6C"/>
    <w:rsid w:val="00295248"/>
    <w:rsid w:val="002A3D37"/>
    <w:rsid w:val="002A5748"/>
    <w:rsid w:val="002A5E67"/>
    <w:rsid w:val="002B198D"/>
    <w:rsid w:val="002B2FC1"/>
    <w:rsid w:val="002C2C61"/>
    <w:rsid w:val="002C78B5"/>
    <w:rsid w:val="002D2C1B"/>
    <w:rsid w:val="002D314C"/>
    <w:rsid w:val="002D3AF1"/>
    <w:rsid w:val="002D7ACA"/>
    <w:rsid w:val="002E3367"/>
    <w:rsid w:val="002E54FD"/>
    <w:rsid w:val="002F54A8"/>
    <w:rsid w:val="0030327A"/>
    <w:rsid w:val="00305D2A"/>
    <w:rsid w:val="0031220E"/>
    <w:rsid w:val="003138A9"/>
    <w:rsid w:val="0031426D"/>
    <w:rsid w:val="00316007"/>
    <w:rsid w:val="00320321"/>
    <w:rsid w:val="00320BB4"/>
    <w:rsid w:val="00325D8C"/>
    <w:rsid w:val="0032667F"/>
    <w:rsid w:val="00341585"/>
    <w:rsid w:val="00347225"/>
    <w:rsid w:val="00347B48"/>
    <w:rsid w:val="00352D10"/>
    <w:rsid w:val="0035306C"/>
    <w:rsid w:val="00363A93"/>
    <w:rsid w:val="0036451F"/>
    <w:rsid w:val="003652BB"/>
    <w:rsid w:val="0036648F"/>
    <w:rsid w:val="00371494"/>
    <w:rsid w:val="00371D48"/>
    <w:rsid w:val="003735A9"/>
    <w:rsid w:val="0037603D"/>
    <w:rsid w:val="0037730B"/>
    <w:rsid w:val="00380BCE"/>
    <w:rsid w:val="0038757F"/>
    <w:rsid w:val="003917C8"/>
    <w:rsid w:val="003937A8"/>
    <w:rsid w:val="003972A7"/>
    <w:rsid w:val="003A68E9"/>
    <w:rsid w:val="003B13F2"/>
    <w:rsid w:val="003B3CC5"/>
    <w:rsid w:val="003B519E"/>
    <w:rsid w:val="003B5950"/>
    <w:rsid w:val="003C1371"/>
    <w:rsid w:val="003C17C1"/>
    <w:rsid w:val="003C38AE"/>
    <w:rsid w:val="003C565C"/>
    <w:rsid w:val="003C65AC"/>
    <w:rsid w:val="003C7A79"/>
    <w:rsid w:val="003D412C"/>
    <w:rsid w:val="003D5403"/>
    <w:rsid w:val="003D5F97"/>
    <w:rsid w:val="003E2A43"/>
    <w:rsid w:val="003E6B1E"/>
    <w:rsid w:val="003F01F9"/>
    <w:rsid w:val="003F0247"/>
    <w:rsid w:val="003F06E4"/>
    <w:rsid w:val="003F0C28"/>
    <w:rsid w:val="003F16BE"/>
    <w:rsid w:val="003F670B"/>
    <w:rsid w:val="003F7396"/>
    <w:rsid w:val="00400550"/>
    <w:rsid w:val="00401777"/>
    <w:rsid w:val="00401B71"/>
    <w:rsid w:val="004064F9"/>
    <w:rsid w:val="004113A1"/>
    <w:rsid w:val="0041286C"/>
    <w:rsid w:val="004145ED"/>
    <w:rsid w:val="00415E17"/>
    <w:rsid w:val="00415F06"/>
    <w:rsid w:val="004161BF"/>
    <w:rsid w:val="00423DD4"/>
    <w:rsid w:val="00424884"/>
    <w:rsid w:val="004249DF"/>
    <w:rsid w:val="00425CC8"/>
    <w:rsid w:val="00426186"/>
    <w:rsid w:val="00432BC2"/>
    <w:rsid w:val="00433005"/>
    <w:rsid w:val="0043353B"/>
    <w:rsid w:val="00435711"/>
    <w:rsid w:val="0043591C"/>
    <w:rsid w:val="00436819"/>
    <w:rsid w:val="0044299C"/>
    <w:rsid w:val="00445E9C"/>
    <w:rsid w:val="004470FD"/>
    <w:rsid w:val="004476CE"/>
    <w:rsid w:val="0045367A"/>
    <w:rsid w:val="004605E0"/>
    <w:rsid w:val="00461CD0"/>
    <w:rsid w:val="00463F8A"/>
    <w:rsid w:val="00466835"/>
    <w:rsid w:val="004723CF"/>
    <w:rsid w:val="0048134F"/>
    <w:rsid w:val="0048443D"/>
    <w:rsid w:val="004876E9"/>
    <w:rsid w:val="004901C4"/>
    <w:rsid w:val="004A008E"/>
    <w:rsid w:val="004A054A"/>
    <w:rsid w:val="004A2925"/>
    <w:rsid w:val="004A378D"/>
    <w:rsid w:val="004A6ADA"/>
    <w:rsid w:val="004B0E12"/>
    <w:rsid w:val="004B395C"/>
    <w:rsid w:val="004D14EC"/>
    <w:rsid w:val="004D52CF"/>
    <w:rsid w:val="004F08B5"/>
    <w:rsid w:val="004F13FC"/>
    <w:rsid w:val="004F14BB"/>
    <w:rsid w:val="004F5347"/>
    <w:rsid w:val="00500407"/>
    <w:rsid w:val="00502FF9"/>
    <w:rsid w:val="005036C5"/>
    <w:rsid w:val="0051518A"/>
    <w:rsid w:val="00520732"/>
    <w:rsid w:val="00521ED7"/>
    <w:rsid w:val="005272B8"/>
    <w:rsid w:val="00531E26"/>
    <w:rsid w:val="005329D8"/>
    <w:rsid w:val="0053463E"/>
    <w:rsid w:val="00534A78"/>
    <w:rsid w:val="00543491"/>
    <w:rsid w:val="00544230"/>
    <w:rsid w:val="0054502F"/>
    <w:rsid w:val="005467AA"/>
    <w:rsid w:val="0055671A"/>
    <w:rsid w:val="0056158B"/>
    <w:rsid w:val="005624FE"/>
    <w:rsid w:val="0056591E"/>
    <w:rsid w:val="00565E8C"/>
    <w:rsid w:val="00566D7E"/>
    <w:rsid w:val="00567542"/>
    <w:rsid w:val="00573661"/>
    <w:rsid w:val="00573A71"/>
    <w:rsid w:val="00577528"/>
    <w:rsid w:val="00582D7D"/>
    <w:rsid w:val="005838C2"/>
    <w:rsid w:val="0058593E"/>
    <w:rsid w:val="00596174"/>
    <w:rsid w:val="005A0AE1"/>
    <w:rsid w:val="005A2DD3"/>
    <w:rsid w:val="005B2C39"/>
    <w:rsid w:val="005B5A79"/>
    <w:rsid w:val="005C1BE1"/>
    <w:rsid w:val="005C1BE7"/>
    <w:rsid w:val="005C3E11"/>
    <w:rsid w:val="005C78FD"/>
    <w:rsid w:val="005D236C"/>
    <w:rsid w:val="005D49B7"/>
    <w:rsid w:val="005D4D5B"/>
    <w:rsid w:val="005D5800"/>
    <w:rsid w:val="005E02F8"/>
    <w:rsid w:val="005E2A12"/>
    <w:rsid w:val="005E3A69"/>
    <w:rsid w:val="005E63C3"/>
    <w:rsid w:val="005E6F49"/>
    <w:rsid w:val="005F1466"/>
    <w:rsid w:val="005F2BF4"/>
    <w:rsid w:val="005F5A04"/>
    <w:rsid w:val="005F5BD9"/>
    <w:rsid w:val="005F6128"/>
    <w:rsid w:val="006155B7"/>
    <w:rsid w:val="006172C0"/>
    <w:rsid w:val="00617886"/>
    <w:rsid w:val="0062058B"/>
    <w:rsid w:val="0062148A"/>
    <w:rsid w:val="00622613"/>
    <w:rsid w:val="006315D6"/>
    <w:rsid w:val="006323A9"/>
    <w:rsid w:val="006354FC"/>
    <w:rsid w:val="00635BAE"/>
    <w:rsid w:val="00637657"/>
    <w:rsid w:val="00646A42"/>
    <w:rsid w:val="006525BB"/>
    <w:rsid w:val="00653992"/>
    <w:rsid w:val="006555BD"/>
    <w:rsid w:val="006622FA"/>
    <w:rsid w:val="0066357A"/>
    <w:rsid w:val="006649A6"/>
    <w:rsid w:val="00666A97"/>
    <w:rsid w:val="00672212"/>
    <w:rsid w:val="00680409"/>
    <w:rsid w:val="00683A4F"/>
    <w:rsid w:val="006873EC"/>
    <w:rsid w:val="00693E6E"/>
    <w:rsid w:val="00696236"/>
    <w:rsid w:val="006A197C"/>
    <w:rsid w:val="006A2896"/>
    <w:rsid w:val="006A465D"/>
    <w:rsid w:val="006A56CA"/>
    <w:rsid w:val="006C2378"/>
    <w:rsid w:val="006C2A0F"/>
    <w:rsid w:val="006C71D6"/>
    <w:rsid w:val="006C7D2E"/>
    <w:rsid w:val="006D0EE0"/>
    <w:rsid w:val="006D64C1"/>
    <w:rsid w:val="006D76CB"/>
    <w:rsid w:val="006E48CB"/>
    <w:rsid w:val="006E5CFF"/>
    <w:rsid w:val="006F2FAE"/>
    <w:rsid w:val="006F3277"/>
    <w:rsid w:val="00702B63"/>
    <w:rsid w:val="00706F44"/>
    <w:rsid w:val="007137C8"/>
    <w:rsid w:val="0071750F"/>
    <w:rsid w:val="00720C88"/>
    <w:rsid w:val="00721811"/>
    <w:rsid w:val="00721CC2"/>
    <w:rsid w:val="00724762"/>
    <w:rsid w:val="00725139"/>
    <w:rsid w:val="0072552C"/>
    <w:rsid w:val="0072679A"/>
    <w:rsid w:val="0072785B"/>
    <w:rsid w:val="00727D91"/>
    <w:rsid w:val="0073089A"/>
    <w:rsid w:val="0073103A"/>
    <w:rsid w:val="007320F1"/>
    <w:rsid w:val="00737AB0"/>
    <w:rsid w:val="00740936"/>
    <w:rsid w:val="00747972"/>
    <w:rsid w:val="007513BF"/>
    <w:rsid w:val="00751F44"/>
    <w:rsid w:val="00752849"/>
    <w:rsid w:val="0076054D"/>
    <w:rsid w:val="0076416B"/>
    <w:rsid w:val="00766386"/>
    <w:rsid w:val="007663FF"/>
    <w:rsid w:val="00766B3A"/>
    <w:rsid w:val="00767C7C"/>
    <w:rsid w:val="00771ADC"/>
    <w:rsid w:val="0077494F"/>
    <w:rsid w:val="00775F4E"/>
    <w:rsid w:val="0077610B"/>
    <w:rsid w:val="00776BEE"/>
    <w:rsid w:val="007811A7"/>
    <w:rsid w:val="00782788"/>
    <w:rsid w:val="00792211"/>
    <w:rsid w:val="007970C2"/>
    <w:rsid w:val="007972AE"/>
    <w:rsid w:val="007A314F"/>
    <w:rsid w:val="007A663C"/>
    <w:rsid w:val="007C1AD8"/>
    <w:rsid w:val="007C2CA9"/>
    <w:rsid w:val="007C7C20"/>
    <w:rsid w:val="007D1EB4"/>
    <w:rsid w:val="007D2C37"/>
    <w:rsid w:val="007D3671"/>
    <w:rsid w:val="007D4C77"/>
    <w:rsid w:val="007D59A4"/>
    <w:rsid w:val="007D7746"/>
    <w:rsid w:val="007E4D89"/>
    <w:rsid w:val="007F1630"/>
    <w:rsid w:val="007F2C12"/>
    <w:rsid w:val="007F76BD"/>
    <w:rsid w:val="00804FD1"/>
    <w:rsid w:val="00806486"/>
    <w:rsid w:val="008068FA"/>
    <w:rsid w:val="00820FA1"/>
    <w:rsid w:val="00824D96"/>
    <w:rsid w:val="008250CF"/>
    <w:rsid w:val="0082544E"/>
    <w:rsid w:val="00827368"/>
    <w:rsid w:val="00831450"/>
    <w:rsid w:val="00834AE5"/>
    <w:rsid w:val="00836714"/>
    <w:rsid w:val="00840605"/>
    <w:rsid w:val="00851227"/>
    <w:rsid w:val="00851F07"/>
    <w:rsid w:val="0085565E"/>
    <w:rsid w:val="00857460"/>
    <w:rsid w:val="00861338"/>
    <w:rsid w:val="008626F3"/>
    <w:rsid w:val="008656F8"/>
    <w:rsid w:val="00866177"/>
    <w:rsid w:val="0087057D"/>
    <w:rsid w:val="008716FC"/>
    <w:rsid w:val="008755A2"/>
    <w:rsid w:val="00882DDC"/>
    <w:rsid w:val="008834C0"/>
    <w:rsid w:val="008867DA"/>
    <w:rsid w:val="008914F2"/>
    <w:rsid w:val="008930EB"/>
    <w:rsid w:val="00895BD9"/>
    <w:rsid w:val="00896EAA"/>
    <w:rsid w:val="008A43E9"/>
    <w:rsid w:val="008B114C"/>
    <w:rsid w:val="008B327E"/>
    <w:rsid w:val="008C0E48"/>
    <w:rsid w:val="008C7B69"/>
    <w:rsid w:val="008D07E6"/>
    <w:rsid w:val="008D177B"/>
    <w:rsid w:val="008D1F42"/>
    <w:rsid w:val="008D49E3"/>
    <w:rsid w:val="008E172D"/>
    <w:rsid w:val="008F346A"/>
    <w:rsid w:val="008F3718"/>
    <w:rsid w:val="00915A2A"/>
    <w:rsid w:val="0092140B"/>
    <w:rsid w:val="0092143A"/>
    <w:rsid w:val="00923591"/>
    <w:rsid w:val="009251A2"/>
    <w:rsid w:val="0092682E"/>
    <w:rsid w:val="00932720"/>
    <w:rsid w:val="009371A3"/>
    <w:rsid w:val="00937A35"/>
    <w:rsid w:val="00941981"/>
    <w:rsid w:val="00945AB2"/>
    <w:rsid w:val="00953C7E"/>
    <w:rsid w:val="00955EC1"/>
    <w:rsid w:val="00956A8C"/>
    <w:rsid w:val="00964A56"/>
    <w:rsid w:val="00967532"/>
    <w:rsid w:val="009705A2"/>
    <w:rsid w:val="00972752"/>
    <w:rsid w:val="00975FA3"/>
    <w:rsid w:val="0097718D"/>
    <w:rsid w:val="00977411"/>
    <w:rsid w:val="009776D3"/>
    <w:rsid w:val="00980AD9"/>
    <w:rsid w:val="009831D4"/>
    <w:rsid w:val="009858D2"/>
    <w:rsid w:val="00994694"/>
    <w:rsid w:val="00997716"/>
    <w:rsid w:val="009B1E69"/>
    <w:rsid w:val="009B38BA"/>
    <w:rsid w:val="009B4C67"/>
    <w:rsid w:val="009B567F"/>
    <w:rsid w:val="009C1C7B"/>
    <w:rsid w:val="009D0441"/>
    <w:rsid w:val="009D43E7"/>
    <w:rsid w:val="009D6602"/>
    <w:rsid w:val="009E18B5"/>
    <w:rsid w:val="009E1D35"/>
    <w:rsid w:val="009E4363"/>
    <w:rsid w:val="009E5DF6"/>
    <w:rsid w:val="009F3AAF"/>
    <w:rsid w:val="009F63DD"/>
    <w:rsid w:val="00A0310F"/>
    <w:rsid w:val="00A03192"/>
    <w:rsid w:val="00A1241A"/>
    <w:rsid w:val="00A158D0"/>
    <w:rsid w:val="00A169A8"/>
    <w:rsid w:val="00A17AAB"/>
    <w:rsid w:val="00A264C9"/>
    <w:rsid w:val="00A271AF"/>
    <w:rsid w:val="00A27D0F"/>
    <w:rsid w:val="00A331C5"/>
    <w:rsid w:val="00A3356D"/>
    <w:rsid w:val="00A35BAC"/>
    <w:rsid w:val="00A35EB6"/>
    <w:rsid w:val="00A412AE"/>
    <w:rsid w:val="00A430ED"/>
    <w:rsid w:val="00A45D09"/>
    <w:rsid w:val="00A4696D"/>
    <w:rsid w:val="00A54ED9"/>
    <w:rsid w:val="00A64094"/>
    <w:rsid w:val="00A64CDA"/>
    <w:rsid w:val="00A65C56"/>
    <w:rsid w:val="00A707D8"/>
    <w:rsid w:val="00A70C71"/>
    <w:rsid w:val="00A72CC0"/>
    <w:rsid w:val="00A83713"/>
    <w:rsid w:val="00A838AA"/>
    <w:rsid w:val="00A84946"/>
    <w:rsid w:val="00A85319"/>
    <w:rsid w:val="00A8547D"/>
    <w:rsid w:val="00A85C5B"/>
    <w:rsid w:val="00A86D75"/>
    <w:rsid w:val="00A90224"/>
    <w:rsid w:val="00A932ED"/>
    <w:rsid w:val="00A934FB"/>
    <w:rsid w:val="00A93F08"/>
    <w:rsid w:val="00A95448"/>
    <w:rsid w:val="00AA5A87"/>
    <w:rsid w:val="00AB0605"/>
    <w:rsid w:val="00AB4336"/>
    <w:rsid w:val="00AB4F32"/>
    <w:rsid w:val="00AB5DF9"/>
    <w:rsid w:val="00AC5292"/>
    <w:rsid w:val="00AC6FB6"/>
    <w:rsid w:val="00AC7E30"/>
    <w:rsid w:val="00AD70EF"/>
    <w:rsid w:val="00AD7A29"/>
    <w:rsid w:val="00AE2019"/>
    <w:rsid w:val="00AE5C59"/>
    <w:rsid w:val="00AF0FA0"/>
    <w:rsid w:val="00AF288A"/>
    <w:rsid w:val="00AF6D4E"/>
    <w:rsid w:val="00B0063B"/>
    <w:rsid w:val="00B00CCB"/>
    <w:rsid w:val="00B01E19"/>
    <w:rsid w:val="00B0212C"/>
    <w:rsid w:val="00B04A3C"/>
    <w:rsid w:val="00B05A36"/>
    <w:rsid w:val="00B05E46"/>
    <w:rsid w:val="00B22E1D"/>
    <w:rsid w:val="00B31E0E"/>
    <w:rsid w:val="00B3203C"/>
    <w:rsid w:val="00B350B3"/>
    <w:rsid w:val="00B37EFC"/>
    <w:rsid w:val="00B436FB"/>
    <w:rsid w:val="00B4410E"/>
    <w:rsid w:val="00B444D7"/>
    <w:rsid w:val="00B4481C"/>
    <w:rsid w:val="00B522FC"/>
    <w:rsid w:val="00B52315"/>
    <w:rsid w:val="00B5409E"/>
    <w:rsid w:val="00B61B3B"/>
    <w:rsid w:val="00B636FF"/>
    <w:rsid w:val="00B65E40"/>
    <w:rsid w:val="00B671FA"/>
    <w:rsid w:val="00B74063"/>
    <w:rsid w:val="00B8286D"/>
    <w:rsid w:val="00B839F4"/>
    <w:rsid w:val="00B85C4B"/>
    <w:rsid w:val="00B872BF"/>
    <w:rsid w:val="00B91996"/>
    <w:rsid w:val="00B93EC3"/>
    <w:rsid w:val="00B951C3"/>
    <w:rsid w:val="00B960FB"/>
    <w:rsid w:val="00B962C3"/>
    <w:rsid w:val="00B96C55"/>
    <w:rsid w:val="00B96F4F"/>
    <w:rsid w:val="00B976ED"/>
    <w:rsid w:val="00BA1FD3"/>
    <w:rsid w:val="00BA3F34"/>
    <w:rsid w:val="00BA7CE3"/>
    <w:rsid w:val="00BC07DD"/>
    <w:rsid w:val="00BD090B"/>
    <w:rsid w:val="00BD3D85"/>
    <w:rsid w:val="00BD4C26"/>
    <w:rsid w:val="00BE1205"/>
    <w:rsid w:val="00BE27DF"/>
    <w:rsid w:val="00BE3F5F"/>
    <w:rsid w:val="00BE5627"/>
    <w:rsid w:val="00BE6873"/>
    <w:rsid w:val="00BF5996"/>
    <w:rsid w:val="00BF6456"/>
    <w:rsid w:val="00BF7570"/>
    <w:rsid w:val="00C01732"/>
    <w:rsid w:val="00C035C2"/>
    <w:rsid w:val="00C04E04"/>
    <w:rsid w:val="00C1473E"/>
    <w:rsid w:val="00C16978"/>
    <w:rsid w:val="00C16EC9"/>
    <w:rsid w:val="00C20FAC"/>
    <w:rsid w:val="00C307D1"/>
    <w:rsid w:val="00C30998"/>
    <w:rsid w:val="00C32314"/>
    <w:rsid w:val="00C465B8"/>
    <w:rsid w:val="00C46E75"/>
    <w:rsid w:val="00C52F8F"/>
    <w:rsid w:val="00C619A4"/>
    <w:rsid w:val="00C6270D"/>
    <w:rsid w:val="00C7157A"/>
    <w:rsid w:val="00C73540"/>
    <w:rsid w:val="00C74A96"/>
    <w:rsid w:val="00C75BD6"/>
    <w:rsid w:val="00C7781E"/>
    <w:rsid w:val="00C83FE0"/>
    <w:rsid w:val="00C85262"/>
    <w:rsid w:val="00C86CF4"/>
    <w:rsid w:val="00C924DF"/>
    <w:rsid w:val="00C92EDF"/>
    <w:rsid w:val="00C96DEF"/>
    <w:rsid w:val="00CA5AB8"/>
    <w:rsid w:val="00CC0FC7"/>
    <w:rsid w:val="00CC172B"/>
    <w:rsid w:val="00CD2B58"/>
    <w:rsid w:val="00CD609B"/>
    <w:rsid w:val="00CE083B"/>
    <w:rsid w:val="00CE3F78"/>
    <w:rsid w:val="00CF022D"/>
    <w:rsid w:val="00CF035A"/>
    <w:rsid w:val="00CF2541"/>
    <w:rsid w:val="00CF3FB6"/>
    <w:rsid w:val="00CF55E5"/>
    <w:rsid w:val="00D00DE5"/>
    <w:rsid w:val="00D01A0C"/>
    <w:rsid w:val="00D0661B"/>
    <w:rsid w:val="00D0757C"/>
    <w:rsid w:val="00D14603"/>
    <w:rsid w:val="00D1654C"/>
    <w:rsid w:val="00D2362B"/>
    <w:rsid w:val="00D27275"/>
    <w:rsid w:val="00D308E2"/>
    <w:rsid w:val="00D348D6"/>
    <w:rsid w:val="00D42ADF"/>
    <w:rsid w:val="00D4390E"/>
    <w:rsid w:val="00D43940"/>
    <w:rsid w:val="00D4453E"/>
    <w:rsid w:val="00D44DAC"/>
    <w:rsid w:val="00D45674"/>
    <w:rsid w:val="00D50817"/>
    <w:rsid w:val="00D528E0"/>
    <w:rsid w:val="00D560B9"/>
    <w:rsid w:val="00D56491"/>
    <w:rsid w:val="00D714D2"/>
    <w:rsid w:val="00D7275C"/>
    <w:rsid w:val="00D76C90"/>
    <w:rsid w:val="00D80C7F"/>
    <w:rsid w:val="00D82E1A"/>
    <w:rsid w:val="00D835B5"/>
    <w:rsid w:val="00D87211"/>
    <w:rsid w:val="00D91344"/>
    <w:rsid w:val="00D91F9A"/>
    <w:rsid w:val="00D92B46"/>
    <w:rsid w:val="00D94466"/>
    <w:rsid w:val="00DA288E"/>
    <w:rsid w:val="00DA3664"/>
    <w:rsid w:val="00DA51DB"/>
    <w:rsid w:val="00DB22BA"/>
    <w:rsid w:val="00DB557A"/>
    <w:rsid w:val="00DB779B"/>
    <w:rsid w:val="00DD2B29"/>
    <w:rsid w:val="00DD2DDF"/>
    <w:rsid w:val="00DD3615"/>
    <w:rsid w:val="00DD53AF"/>
    <w:rsid w:val="00DD65B6"/>
    <w:rsid w:val="00DD7147"/>
    <w:rsid w:val="00DE3130"/>
    <w:rsid w:val="00DE3D7D"/>
    <w:rsid w:val="00DF2A62"/>
    <w:rsid w:val="00DF436E"/>
    <w:rsid w:val="00DF5C43"/>
    <w:rsid w:val="00E006BB"/>
    <w:rsid w:val="00E041BE"/>
    <w:rsid w:val="00E1103E"/>
    <w:rsid w:val="00E12AEC"/>
    <w:rsid w:val="00E14650"/>
    <w:rsid w:val="00E17E61"/>
    <w:rsid w:val="00E209E4"/>
    <w:rsid w:val="00E223F3"/>
    <w:rsid w:val="00E320C2"/>
    <w:rsid w:val="00E34280"/>
    <w:rsid w:val="00E41260"/>
    <w:rsid w:val="00E445A3"/>
    <w:rsid w:val="00E451A3"/>
    <w:rsid w:val="00E506D1"/>
    <w:rsid w:val="00E52C9C"/>
    <w:rsid w:val="00E61156"/>
    <w:rsid w:val="00E61D67"/>
    <w:rsid w:val="00E62E4C"/>
    <w:rsid w:val="00E65DE5"/>
    <w:rsid w:val="00E66B10"/>
    <w:rsid w:val="00E67735"/>
    <w:rsid w:val="00E762ED"/>
    <w:rsid w:val="00E90745"/>
    <w:rsid w:val="00E90DDD"/>
    <w:rsid w:val="00E91DFA"/>
    <w:rsid w:val="00E923C6"/>
    <w:rsid w:val="00E9554F"/>
    <w:rsid w:val="00E96412"/>
    <w:rsid w:val="00E964C5"/>
    <w:rsid w:val="00EA153E"/>
    <w:rsid w:val="00EA42D6"/>
    <w:rsid w:val="00EA6499"/>
    <w:rsid w:val="00EC0027"/>
    <w:rsid w:val="00EC54EA"/>
    <w:rsid w:val="00ED43AB"/>
    <w:rsid w:val="00ED52A4"/>
    <w:rsid w:val="00ED7207"/>
    <w:rsid w:val="00EF6BC5"/>
    <w:rsid w:val="00F012D4"/>
    <w:rsid w:val="00F04F7C"/>
    <w:rsid w:val="00F053FB"/>
    <w:rsid w:val="00F05E86"/>
    <w:rsid w:val="00F135ED"/>
    <w:rsid w:val="00F23E4A"/>
    <w:rsid w:val="00F25341"/>
    <w:rsid w:val="00F273DD"/>
    <w:rsid w:val="00F42DFC"/>
    <w:rsid w:val="00F4494E"/>
    <w:rsid w:val="00F521EC"/>
    <w:rsid w:val="00F55642"/>
    <w:rsid w:val="00F679F6"/>
    <w:rsid w:val="00F72DA9"/>
    <w:rsid w:val="00F73C5C"/>
    <w:rsid w:val="00F77CA5"/>
    <w:rsid w:val="00F80DC3"/>
    <w:rsid w:val="00F83A64"/>
    <w:rsid w:val="00F90337"/>
    <w:rsid w:val="00F94DEF"/>
    <w:rsid w:val="00FA0615"/>
    <w:rsid w:val="00FA076F"/>
    <w:rsid w:val="00FA1A24"/>
    <w:rsid w:val="00FA21D3"/>
    <w:rsid w:val="00FA52A7"/>
    <w:rsid w:val="00FA6277"/>
    <w:rsid w:val="00FA70D6"/>
    <w:rsid w:val="00FB1A8C"/>
    <w:rsid w:val="00FB2F67"/>
    <w:rsid w:val="00FB75E5"/>
    <w:rsid w:val="00FC0421"/>
    <w:rsid w:val="00FC1F4E"/>
    <w:rsid w:val="00FC282D"/>
    <w:rsid w:val="00FD16BC"/>
    <w:rsid w:val="00FD1D95"/>
    <w:rsid w:val="00FD2C31"/>
    <w:rsid w:val="00FD3DC6"/>
    <w:rsid w:val="00FE3334"/>
    <w:rsid w:val="00FF142E"/>
    <w:rsid w:val="00FF145E"/>
    <w:rsid w:val="00FF16E9"/>
    <w:rsid w:val="00FF2BD5"/>
    <w:rsid w:val="00FF4E79"/>
    <w:rsid w:val="00FF5B4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EF5A9D"/>
  <w15:docId w15:val="{B90AA29B-E87B-4789-B03B-C7509D00D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998"/>
    <w:rPr>
      <w:rFonts w:ascii="Arial" w:hAnsi="Arial"/>
      <w:szCs w:val="20"/>
      <w:lang w:eastAsia="en-US"/>
    </w:rPr>
  </w:style>
  <w:style w:type="paragraph" w:styleId="Heading1">
    <w:name w:val="heading 1"/>
    <w:basedOn w:val="Normal"/>
    <w:next w:val="Normal"/>
    <w:link w:val="Heading1Char"/>
    <w:uiPriority w:val="99"/>
    <w:qFormat/>
    <w:rsid w:val="00FD16BC"/>
    <w:pPr>
      <w:keepNext/>
      <w:spacing w:before="240" w:after="60"/>
      <w:outlineLvl w:val="0"/>
    </w:pPr>
    <w:rPr>
      <w:rFonts w:eastAsia="Batang" w:cs="Arial"/>
      <w:b/>
      <w:bCs/>
      <w:sz w:val="28"/>
      <w:szCs w:val="32"/>
    </w:rPr>
  </w:style>
  <w:style w:type="paragraph" w:styleId="Heading2">
    <w:name w:val="heading 2"/>
    <w:basedOn w:val="Normal"/>
    <w:next w:val="Normal"/>
    <w:link w:val="Heading2Char"/>
    <w:uiPriority w:val="99"/>
    <w:qFormat/>
    <w:rsid w:val="00FD16BC"/>
    <w:pPr>
      <w:keepNext/>
      <w:spacing w:before="240" w:after="60"/>
      <w:outlineLvl w:val="1"/>
    </w:pPr>
    <w:rPr>
      <w:rFonts w:cs="Arial"/>
      <w:b/>
      <w:bCs/>
      <w:iCs/>
      <w:sz w:val="26"/>
      <w:szCs w:val="28"/>
    </w:rPr>
  </w:style>
  <w:style w:type="paragraph" w:styleId="Heading3">
    <w:name w:val="heading 3"/>
    <w:basedOn w:val="Normal"/>
    <w:next w:val="Normal"/>
    <w:link w:val="Heading3Char"/>
    <w:uiPriority w:val="99"/>
    <w:qFormat/>
    <w:rsid w:val="00FD16BC"/>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4182"/>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D34182"/>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D34182"/>
    <w:rPr>
      <w:rFonts w:asciiTheme="majorHAnsi" w:eastAsiaTheme="majorEastAsia" w:hAnsiTheme="majorHAnsi" w:cstheme="majorBidi"/>
      <w:b/>
      <w:bCs/>
      <w:sz w:val="26"/>
      <w:szCs w:val="26"/>
      <w:lang w:eastAsia="en-US"/>
    </w:rPr>
  </w:style>
  <w:style w:type="character" w:styleId="Hyperlink">
    <w:name w:val="Hyperlink"/>
    <w:basedOn w:val="DefaultParagraphFont"/>
    <w:uiPriority w:val="99"/>
    <w:rsid w:val="00A45D09"/>
    <w:rPr>
      <w:rFonts w:cs="Times New Roman"/>
      <w:color w:val="0000FF"/>
      <w:u w:val="single"/>
    </w:rPr>
  </w:style>
  <w:style w:type="paragraph" w:customStyle="1" w:styleId="CharChar1CharCharCharChar">
    <w:name w:val="Char Char1 Char Char Char Char"/>
    <w:basedOn w:val="Normal"/>
    <w:uiPriority w:val="99"/>
    <w:rsid w:val="00FB75E5"/>
  </w:style>
  <w:style w:type="character" w:customStyle="1" w:styleId="BodyTextChar">
    <w:name w:val="Body Text Char"/>
    <w:basedOn w:val="DefaultParagraphFont"/>
    <w:link w:val="BodyText"/>
    <w:uiPriority w:val="99"/>
    <w:locked/>
    <w:rsid w:val="007D1EB4"/>
    <w:rPr>
      <w:rFonts w:ascii="Arial" w:hAnsi="Arial" w:cs="Times New Roman"/>
      <w:color w:val="0000FF"/>
      <w:sz w:val="22"/>
      <w:lang w:val="en-AU" w:eastAsia="en-US" w:bidi="ar-SA"/>
    </w:rPr>
  </w:style>
  <w:style w:type="paragraph" w:styleId="BodyText">
    <w:name w:val="Body Text"/>
    <w:basedOn w:val="Normal"/>
    <w:link w:val="BodyTextChar"/>
    <w:uiPriority w:val="99"/>
    <w:rsid w:val="007D1EB4"/>
    <w:pPr>
      <w:keepLines/>
      <w:widowControl w:val="0"/>
      <w:ind w:right="-567"/>
    </w:pPr>
    <w:rPr>
      <w:color w:val="0000FF"/>
    </w:rPr>
  </w:style>
  <w:style w:type="character" w:customStyle="1" w:styleId="BodyTextChar1">
    <w:name w:val="Body Text Char1"/>
    <w:basedOn w:val="DefaultParagraphFont"/>
    <w:uiPriority w:val="99"/>
    <w:semiHidden/>
    <w:rsid w:val="00D34182"/>
    <w:rPr>
      <w:rFonts w:ascii="Arial" w:hAnsi="Arial"/>
      <w:szCs w:val="20"/>
      <w:lang w:eastAsia="en-US"/>
    </w:rPr>
  </w:style>
  <w:style w:type="paragraph" w:styleId="Footer">
    <w:name w:val="footer"/>
    <w:basedOn w:val="Normal"/>
    <w:link w:val="FooterChar"/>
    <w:uiPriority w:val="99"/>
    <w:rsid w:val="00E12AEC"/>
    <w:pPr>
      <w:tabs>
        <w:tab w:val="center" w:pos="4153"/>
        <w:tab w:val="right" w:pos="8306"/>
      </w:tabs>
    </w:pPr>
  </w:style>
  <w:style w:type="character" w:customStyle="1" w:styleId="FooterChar">
    <w:name w:val="Footer Char"/>
    <w:basedOn w:val="DefaultParagraphFont"/>
    <w:link w:val="Footer"/>
    <w:uiPriority w:val="99"/>
    <w:semiHidden/>
    <w:rsid w:val="00D34182"/>
    <w:rPr>
      <w:rFonts w:ascii="Arial" w:hAnsi="Arial"/>
      <w:szCs w:val="20"/>
      <w:lang w:eastAsia="en-US"/>
    </w:rPr>
  </w:style>
  <w:style w:type="character" w:styleId="PageNumber">
    <w:name w:val="page number"/>
    <w:basedOn w:val="DefaultParagraphFont"/>
    <w:uiPriority w:val="99"/>
    <w:rsid w:val="00E12AEC"/>
    <w:rPr>
      <w:rFonts w:cs="Times New Roman"/>
    </w:rPr>
  </w:style>
  <w:style w:type="paragraph" w:styleId="Header">
    <w:name w:val="header"/>
    <w:basedOn w:val="Normal"/>
    <w:link w:val="HeaderChar"/>
    <w:uiPriority w:val="99"/>
    <w:rsid w:val="00E12AEC"/>
    <w:pPr>
      <w:tabs>
        <w:tab w:val="center" w:pos="4153"/>
        <w:tab w:val="right" w:pos="8306"/>
      </w:tabs>
    </w:pPr>
  </w:style>
  <w:style w:type="character" w:customStyle="1" w:styleId="HeaderChar">
    <w:name w:val="Header Char"/>
    <w:basedOn w:val="DefaultParagraphFont"/>
    <w:link w:val="Header"/>
    <w:uiPriority w:val="99"/>
    <w:semiHidden/>
    <w:rsid w:val="00D34182"/>
    <w:rPr>
      <w:rFonts w:ascii="Arial" w:hAnsi="Arial"/>
      <w:szCs w:val="20"/>
      <w:lang w:eastAsia="en-US"/>
    </w:rPr>
  </w:style>
  <w:style w:type="paragraph" w:styleId="BalloonText">
    <w:name w:val="Balloon Text"/>
    <w:basedOn w:val="Normal"/>
    <w:link w:val="BalloonTextChar"/>
    <w:uiPriority w:val="99"/>
    <w:semiHidden/>
    <w:rsid w:val="00ED52A4"/>
    <w:rPr>
      <w:rFonts w:ascii="Tahoma" w:hAnsi="Tahoma" w:cs="Tahoma"/>
      <w:sz w:val="16"/>
      <w:szCs w:val="16"/>
    </w:rPr>
  </w:style>
  <w:style w:type="character" w:customStyle="1" w:styleId="BalloonTextChar">
    <w:name w:val="Balloon Text Char"/>
    <w:basedOn w:val="DefaultParagraphFont"/>
    <w:link w:val="BalloonText"/>
    <w:uiPriority w:val="99"/>
    <w:semiHidden/>
    <w:rsid w:val="00D34182"/>
    <w:rPr>
      <w:sz w:val="0"/>
      <w:szCs w:val="0"/>
      <w:lang w:eastAsia="en-US"/>
    </w:rPr>
  </w:style>
  <w:style w:type="character" w:customStyle="1" w:styleId="Heading2CharChar1">
    <w:name w:val="Heading 2 Char Char1"/>
    <w:aliases w:val="Heading 2 Char1 Char Char1,Heading 2 Char Char Char Char1,Heading 2 Char3 Char Char Char Char,Heading 2 Char2 Char Char Char Char Char,Heading 2 Char1 Char Char Char Char Char Char,Heading 2 Char Char Char Char Char Char Char Char"/>
    <w:basedOn w:val="DefaultParagraphFont"/>
    <w:uiPriority w:val="99"/>
    <w:rsid w:val="00A84946"/>
    <w:rPr>
      <w:rFonts w:ascii="Arial" w:hAnsi="Arial" w:cs="Arial"/>
      <w:b/>
      <w:bCs/>
      <w:iCs/>
      <w:sz w:val="28"/>
      <w:szCs w:val="28"/>
      <w:lang w:val="en-AU" w:eastAsia="en-US" w:bidi="ar-SA"/>
    </w:rPr>
  </w:style>
  <w:style w:type="paragraph" w:styleId="NormalWeb">
    <w:name w:val="Normal (Web)"/>
    <w:basedOn w:val="Normal"/>
    <w:uiPriority w:val="99"/>
    <w:rsid w:val="00E67735"/>
    <w:pPr>
      <w:spacing w:before="100" w:beforeAutospacing="1" w:after="100" w:afterAutospacing="1"/>
    </w:pPr>
    <w:rPr>
      <w:rFonts w:ascii="Times New Roman" w:hAnsi="Times New Roman"/>
      <w:sz w:val="24"/>
      <w:szCs w:val="24"/>
      <w:lang w:eastAsia="en-AU"/>
    </w:rPr>
  </w:style>
  <w:style w:type="character" w:styleId="Emphasis">
    <w:name w:val="Emphasis"/>
    <w:basedOn w:val="DefaultParagraphFont"/>
    <w:uiPriority w:val="99"/>
    <w:qFormat/>
    <w:rsid w:val="006E5CFF"/>
    <w:rPr>
      <w:rFonts w:cs="Times New Roman"/>
      <w:i/>
      <w:iCs/>
    </w:rPr>
  </w:style>
  <w:style w:type="character" w:styleId="CommentReference">
    <w:name w:val="annotation reference"/>
    <w:basedOn w:val="DefaultParagraphFont"/>
    <w:uiPriority w:val="99"/>
    <w:semiHidden/>
    <w:rsid w:val="00F04F7C"/>
    <w:rPr>
      <w:rFonts w:cs="Times New Roman"/>
      <w:sz w:val="16"/>
      <w:szCs w:val="16"/>
    </w:rPr>
  </w:style>
  <w:style w:type="paragraph" w:styleId="CommentText">
    <w:name w:val="annotation text"/>
    <w:basedOn w:val="Normal"/>
    <w:link w:val="CommentTextChar"/>
    <w:uiPriority w:val="99"/>
    <w:semiHidden/>
    <w:rsid w:val="00F04F7C"/>
    <w:rPr>
      <w:sz w:val="20"/>
    </w:rPr>
  </w:style>
  <w:style w:type="character" w:customStyle="1" w:styleId="CommentTextChar">
    <w:name w:val="Comment Text Char"/>
    <w:basedOn w:val="DefaultParagraphFont"/>
    <w:link w:val="CommentText"/>
    <w:uiPriority w:val="99"/>
    <w:semiHidden/>
    <w:rsid w:val="00D34182"/>
    <w:rPr>
      <w:rFonts w:ascii="Arial" w:hAnsi="Arial"/>
      <w:sz w:val="20"/>
      <w:szCs w:val="20"/>
      <w:lang w:eastAsia="en-US"/>
    </w:rPr>
  </w:style>
  <w:style w:type="paragraph" w:styleId="CommentSubject">
    <w:name w:val="annotation subject"/>
    <w:basedOn w:val="CommentText"/>
    <w:next w:val="CommentText"/>
    <w:link w:val="CommentSubjectChar"/>
    <w:uiPriority w:val="99"/>
    <w:semiHidden/>
    <w:rsid w:val="00F04F7C"/>
    <w:rPr>
      <w:b/>
      <w:bCs/>
    </w:rPr>
  </w:style>
  <w:style w:type="character" w:customStyle="1" w:styleId="CommentSubjectChar">
    <w:name w:val="Comment Subject Char"/>
    <w:basedOn w:val="CommentTextChar"/>
    <w:link w:val="CommentSubject"/>
    <w:uiPriority w:val="99"/>
    <w:semiHidden/>
    <w:rsid w:val="00D34182"/>
    <w:rPr>
      <w:rFonts w:ascii="Arial" w:hAnsi="Arial"/>
      <w:b/>
      <w:bCs/>
      <w:sz w:val="20"/>
      <w:szCs w:val="20"/>
      <w:lang w:eastAsia="en-US"/>
    </w:rPr>
  </w:style>
  <w:style w:type="paragraph" w:styleId="ListParagraph">
    <w:name w:val="List Paragraph"/>
    <w:aliases w:val="List Paragraph1,Recommendation,List Paragraph11,L,bullet point list,0Bullet,Bullet point,Bullets,Content descriptions,DDM Gen Text,Dot point 1.5 line spacing,List Paragraph - bullets,List Paragraph Number,NAST Quote,NFP GP Bulleted List"/>
    <w:basedOn w:val="Normal"/>
    <w:link w:val="ListParagraphChar"/>
    <w:uiPriority w:val="34"/>
    <w:qFormat/>
    <w:rsid w:val="000877B4"/>
    <w:pPr>
      <w:ind w:left="720"/>
      <w:contextualSpacing/>
    </w:pPr>
  </w:style>
  <w:style w:type="character" w:customStyle="1" w:styleId="ListParagraphChar">
    <w:name w:val="List Paragraph Char"/>
    <w:aliases w:val="List Paragraph1 Char,Recommendation Char,List Paragraph11 Char,L Char,bullet point list Char,0Bullet Char,Bullet point Char,Bullets Char,Content descriptions Char,DDM Gen Text Char,Dot point 1.5 line spacing Char,NAST Quote Char"/>
    <w:basedOn w:val="DefaultParagraphFont"/>
    <w:link w:val="ListParagraph"/>
    <w:uiPriority w:val="34"/>
    <w:locked/>
    <w:rsid w:val="00E66B10"/>
    <w:rPr>
      <w:rFonts w:ascii="Arial" w:hAnsi="Arial"/>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424440">
      <w:bodyDiv w:val="1"/>
      <w:marLeft w:val="0"/>
      <w:marRight w:val="0"/>
      <w:marTop w:val="0"/>
      <w:marBottom w:val="0"/>
      <w:divBdr>
        <w:top w:val="none" w:sz="0" w:space="0" w:color="auto"/>
        <w:left w:val="none" w:sz="0" w:space="0" w:color="auto"/>
        <w:bottom w:val="none" w:sz="0" w:space="0" w:color="auto"/>
        <w:right w:val="none" w:sz="0" w:space="0" w:color="auto"/>
      </w:divBdr>
    </w:div>
    <w:div w:id="865992911">
      <w:bodyDiv w:val="1"/>
      <w:marLeft w:val="0"/>
      <w:marRight w:val="0"/>
      <w:marTop w:val="0"/>
      <w:marBottom w:val="0"/>
      <w:divBdr>
        <w:top w:val="none" w:sz="0" w:space="0" w:color="auto"/>
        <w:left w:val="none" w:sz="0" w:space="0" w:color="auto"/>
        <w:bottom w:val="none" w:sz="0" w:space="0" w:color="auto"/>
        <w:right w:val="none" w:sz="0" w:space="0" w:color="auto"/>
      </w:divBdr>
    </w:div>
    <w:div w:id="874389987">
      <w:bodyDiv w:val="1"/>
      <w:marLeft w:val="0"/>
      <w:marRight w:val="0"/>
      <w:marTop w:val="0"/>
      <w:marBottom w:val="0"/>
      <w:divBdr>
        <w:top w:val="none" w:sz="0" w:space="0" w:color="auto"/>
        <w:left w:val="none" w:sz="0" w:space="0" w:color="auto"/>
        <w:bottom w:val="none" w:sz="0" w:space="0" w:color="auto"/>
        <w:right w:val="none" w:sz="0" w:space="0" w:color="auto"/>
      </w:divBdr>
    </w:div>
    <w:div w:id="922882907">
      <w:bodyDiv w:val="1"/>
      <w:marLeft w:val="0"/>
      <w:marRight w:val="0"/>
      <w:marTop w:val="0"/>
      <w:marBottom w:val="0"/>
      <w:divBdr>
        <w:top w:val="none" w:sz="0" w:space="0" w:color="auto"/>
        <w:left w:val="none" w:sz="0" w:space="0" w:color="auto"/>
        <w:bottom w:val="none" w:sz="0" w:space="0" w:color="auto"/>
        <w:right w:val="none" w:sz="0" w:space="0" w:color="auto"/>
      </w:divBdr>
    </w:div>
    <w:div w:id="927033768">
      <w:bodyDiv w:val="1"/>
      <w:marLeft w:val="0"/>
      <w:marRight w:val="0"/>
      <w:marTop w:val="0"/>
      <w:marBottom w:val="0"/>
      <w:divBdr>
        <w:top w:val="none" w:sz="0" w:space="0" w:color="auto"/>
        <w:left w:val="none" w:sz="0" w:space="0" w:color="auto"/>
        <w:bottom w:val="none" w:sz="0" w:space="0" w:color="auto"/>
        <w:right w:val="none" w:sz="0" w:space="0" w:color="auto"/>
      </w:divBdr>
    </w:div>
    <w:div w:id="1206212714">
      <w:bodyDiv w:val="1"/>
      <w:marLeft w:val="0"/>
      <w:marRight w:val="0"/>
      <w:marTop w:val="0"/>
      <w:marBottom w:val="0"/>
      <w:divBdr>
        <w:top w:val="none" w:sz="0" w:space="0" w:color="auto"/>
        <w:left w:val="none" w:sz="0" w:space="0" w:color="auto"/>
        <w:bottom w:val="none" w:sz="0" w:space="0" w:color="auto"/>
        <w:right w:val="none" w:sz="0" w:space="0" w:color="auto"/>
      </w:divBdr>
    </w:div>
    <w:div w:id="1326281610">
      <w:bodyDiv w:val="1"/>
      <w:marLeft w:val="0"/>
      <w:marRight w:val="0"/>
      <w:marTop w:val="0"/>
      <w:marBottom w:val="0"/>
      <w:divBdr>
        <w:top w:val="none" w:sz="0" w:space="0" w:color="auto"/>
        <w:left w:val="none" w:sz="0" w:space="0" w:color="auto"/>
        <w:bottom w:val="none" w:sz="0" w:space="0" w:color="auto"/>
        <w:right w:val="none" w:sz="0" w:space="0" w:color="auto"/>
      </w:divBdr>
      <w:divsChild>
        <w:div w:id="169371210">
          <w:marLeft w:val="0"/>
          <w:marRight w:val="0"/>
          <w:marTop w:val="0"/>
          <w:marBottom w:val="0"/>
          <w:divBdr>
            <w:top w:val="none" w:sz="0" w:space="0" w:color="auto"/>
            <w:left w:val="none" w:sz="0" w:space="0" w:color="auto"/>
            <w:bottom w:val="none" w:sz="0" w:space="0" w:color="auto"/>
            <w:right w:val="none" w:sz="0" w:space="0" w:color="auto"/>
          </w:divBdr>
          <w:divsChild>
            <w:div w:id="1285111192">
              <w:marLeft w:val="0"/>
              <w:marRight w:val="0"/>
              <w:marTop w:val="0"/>
              <w:marBottom w:val="0"/>
              <w:divBdr>
                <w:top w:val="none" w:sz="0" w:space="0" w:color="auto"/>
                <w:left w:val="none" w:sz="0" w:space="0" w:color="auto"/>
                <w:bottom w:val="none" w:sz="0" w:space="0" w:color="auto"/>
                <w:right w:val="none" w:sz="0" w:space="0" w:color="auto"/>
              </w:divBdr>
              <w:divsChild>
                <w:div w:id="1450860843">
                  <w:marLeft w:val="0"/>
                  <w:marRight w:val="0"/>
                  <w:marTop w:val="0"/>
                  <w:marBottom w:val="0"/>
                  <w:divBdr>
                    <w:top w:val="none" w:sz="0" w:space="0" w:color="auto"/>
                    <w:left w:val="none" w:sz="0" w:space="0" w:color="auto"/>
                    <w:bottom w:val="none" w:sz="0" w:space="0" w:color="auto"/>
                    <w:right w:val="none" w:sz="0" w:space="0" w:color="auto"/>
                  </w:divBdr>
                  <w:divsChild>
                    <w:div w:id="899442721">
                      <w:marLeft w:val="0"/>
                      <w:marRight w:val="0"/>
                      <w:marTop w:val="0"/>
                      <w:marBottom w:val="0"/>
                      <w:divBdr>
                        <w:top w:val="none" w:sz="0" w:space="0" w:color="auto"/>
                        <w:left w:val="none" w:sz="0" w:space="0" w:color="auto"/>
                        <w:bottom w:val="none" w:sz="0" w:space="0" w:color="auto"/>
                        <w:right w:val="none" w:sz="0" w:space="0" w:color="auto"/>
                      </w:divBdr>
                      <w:divsChild>
                        <w:div w:id="1568565310">
                          <w:marLeft w:val="0"/>
                          <w:marRight w:val="0"/>
                          <w:marTop w:val="0"/>
                          <w:marBottom w:val="0"/>
                          <w:divBdr>
                            <w:top w:val="single" w:sz="6" w:space="0" w:color="828282"/>
                            <w:left w:val="single" w:sz="6" w:space="0" w:color="828282"/>
                            <w:bottom w:val="single" w:sz="6" w:space="0" w:color="828282"/>
                            <w:right w:val="single" w:sz="6" w:space="0" w:color="828282"/>
                          </w:divBdr>
                          <w:divsChild>
                            <w:div w:id="1944610252">
                              <w:marLeft w:val="0"/>
                              <w:marRight w:val="0"/>
                              <w:marTop w:val="0"/>
                              <w:marBottom w:val="0"/>
                              <w:divBdr>
                                <w:top w:val="none" w:sz="0" w:space="0" w:color="auto"/>
                                <w:left w:val="none" w:sz="0" w:space="0" w:color="auto"/>
                                <w:bottom w:val="none" w:sz="0" w:space="0" w:color="auto"/>
                                <w:right w:val="none" w:sz="0" w:space="0" w:color="auto"/>
                              </w:divBdr>
                              <w:divsChild>
                                <w:div w:id="1542133808">
                                  <w:marLeft w:val="0"/>
                                  <w:marRight w:val="0"/>
                                  <w:marTop w:val="0"/>
                                  <w:marBottom w:val="0"/>
                                  <w:divBdr>
                                    <w:top w:val="none" w:sz="0" w:space="0" w:color="auto"/>
                                    <w:left w:val="none" w:sz="0" w:space="0" w:color="auto"/>
                                    <w:bottom w:val="none" w:sz="0" w:space="0" w:color="auto"/>
                                    <w:right w:val="none" w:sz="0" w:space="0" w:color="auto"/>
                                  </w:divBdr>
                                  <w:divsChild>
                                    <w:div w:id="1770999672">
                                      <w:marLeft w:val="0"/>
                                      <w:marRight w:val="0"/>
                                      <w:marTop w:val="0"/>
                                      <w:marBottom w:val="0"/>
                                      <w:divBdr>
                                        <w:top w:val="none" w:sz="0" w:space="0" w:color="auto"/>
                                        <w:left w:val="none" w:sz="0" w:space="0" w:color="auto"/>
                                        <w:bottom w:val="none" w:sz="0" w:space="0" w:color="auto"/>
                                        <w:right w:val="none" w:sz="0" w:space="0" w:color="auto"/>
                                      </w:divBdr>
                                      <w:divsChild>
                                        <w:div w:id="1050542870">
                                          <w:marLeft w:val="0"/>
                                          <w:marRight w:val="0"/>
                                          <w:marTop w:val="0"/>
                                          <w:marBottom w:val="0"/>
                                          <w:divBdr>
                                            <w:top w:val="none" w:sz="0" w:space="0" w:color="auto"/>
                                            <w:left w:val="none" w:sz="0" w:space="0" w:color="auto"/>
                                            <w:bottom w:val="none" w:sz="0" w:space="0" w:color="auto"/>
                                            <w:right w:val="none" w:sz="0" w:space="0" w:color="auto"/>
                                          </w:divBdr>
                                          <w:divsChild>
                                            <w:div w:id="609819074">
                                              <w:marLeft w:val="0"/>
                                              <w:marRight w:val="0"/>
                                              <w:marTop w:val="0"/>
                                              <w:marBottom w:val="0"/>
                                              <w:divBdr>
                                                <w:top w:val="none" w:sz="0" w:space="0" w:color="auto"/>
                                                <w:left w:val="none" w:sz="0" w:space="0" w:color="auto"/>
                                                <w:bottom w:val="none" w:sz="0" w:space="0" w:color="auto"/>
                                                <w:right w:val="none" w:sz="0" w:space="0" w:color="auto"/>
                                              </w:divBdr>
                                              <w:divsChild>
                                                <w:div w:id="7262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9696613">
      <w:bodyDiv w:val="1"/>
      <w:marLeft w:val="0"/>
      <w:marRight w:val="0"/>
      <w:marTop w:val="0"/>
      <w:marBottom w:val="0"/>
      <w:divBdr>
        <w:top w:val="none" w:sz="0" w:space="0" w:color="auto"/>
        <w:left w:val="none" w:sz="0" w:space="0" w:color="auto"/>
        <w:bottom w:val="none" w:sz="0" w:space="0" w:color="auto"/>
        <w:right w:val="none" w:sz="0" w:space="0" w:color="auto"/>
      </w:divBdr>
    </w:div>
    <w:div w:id="1387411560">
      <w:bodyDiv w:val="1"/>
      <w:marLeft w:val="0"/>
      <w:marRight w:val="0"/>
      <w:marTop w:val="0"/>
      <w:marBottom w:val="0"/>
      <w:divBdr>
        <w:top w:val="none" w:sz="0" w:space="0" w:color="auto"/>
        <w:left w:val="none" w:sz="0" w:space="0" w:color="auto"/>
        <w:bottom w:val="none" w:sz="0" w:space="0" w:color="auto"/>
        <w:right w:val="none" w:sz="0" w:space="0" w:color="auto"/>
      </w:divBdr>
    </w:div>
    <w:div w:id="1646623263">
      <w:bodyDiv w:val="1"/>
      <w:marLeft w:val="0"/>
      <w:marRight w:val="0"/>
      <w:marTop w:val="0"/>
      <w:marBottom w:val="0"/>
      <w:divBdr>
        <w:top w:val="none" w:sz="0" w:space="0" w:color="auto"/>
        <w:left w:val="none" w:sz="0" w:space="0" w:color="auto"/>
        <w:bottom w:val="none" w:sz="0" w:space="0" w:color="auto"/>
        <w:right w:val="none" w:sz="0" w:space="0" w:color="auto"/>
      </w:divBdr>
    </w:div>
    <w:div w:id="1703237857">
      <w:bodyDiv w:val="1"/>
      <w:marLeft w:val="0"/>
      <w:marRight w:val="0"/>
      <w:marTop w:val="0"/>
      <w:marBottom w:val="0"/>
      <w:divBdr>
        <w:top w:val="none" w:sz="0" w:space="0" w:color="auto"/>
        <w:left w:val="none" w:sz="0" w:space="0" w:color="auto"/>
        <w:bottom w:val="none" w:sz="0" w:space="0" w:color="auto"/>
        <w:right w:val="none" w:sz="0" w:space="0" w:color="auto"/>
      </w:divBdr>
    </w:div>
    <w:div w:id="1742169986">
      <w:marLeft w:val="0"/>
      <w:marRight w:val="0"/>
      <w:marTop w:val="0"/>
      <w:marBottom w:val="0"/>
      <w:divBdr>
        <w:top w:val="none" w:sz="0" w:space="0" w:color="auto"/>
        <w:left w:val="none" w:sz="0" w:space="0" w:color="auto"/>
        <w:bottom w:val="none" w:sz="0" w:space="0" w:color="auto"/>
        <w:right w:val="none" w:sz="0" w:space="0" w:color="auto"/>
      </w:divBdr>
    </w:div>
    <w:div w:id="1742169987">
      <w:marLeft w:val="0"/>
      <w:marRight w:val="0"/>
      <w:marTop w:val="0"/>
      <w:marBottom w:val="0"/>
      <w:divBdr>
        <w:top w:val="none" w:sz="0" w:space="0" w:color="auto"/>
        <w:left w:val="none" w:sz="0" w:space="0" w:color="auto"/>
        <w:bottom w:val="none" w:sz="0" w:space="0" w:color="auto"/>
        <w:right w:val="none" w:sz="0" w:space="0" w:color="auto"/>
      </w:divBdr>
    </w:div>
    <w:div w:id="1742169988">
      <w:marLeft w:val="0"/>
      <w:marRight w:val="0"/>
      <w:marTop w:val="0"/>
      <w:marBottom w:val="0"/>
      <w:divBdr>
        <w:top w:val="none" w:sz="0" w:space="0" w:color="auto"/>
        <w:left w:val="none" w:sz="0" w:space="0" w:color="auto"/>
        <w:bottom w:val="none" w:sz="0" w:space="0" w:color="auto"/>
        <w:right w:val="none" w:sz="0" w:space="0" w:color="auto"/>
      </w:divBdr>
    </w:div>
    <w:div w:id="1742169989">
      <w:marLeft w:val="0"/>
      <w:marRight w:val="0"/>
      <w:marTop w:val="0"/>
      <w:marBottom w:val="0"/>
      <w:divBdr>
        <w:top w:val="none" w:sz="0" w:space="0" w:color="auto"/>
        <w:left w:val="none" w:sz="0" w:space="0" w:color="auto"/>
        <w:bottom w:val="none" w:sz="0" w:space="0" w:color="auto"/>
        <w:right w:val="none" w:sz="0" w:space="0" w:color="auto"/>
      </w:divBdr>
    </w:div>
    <w:div w:id="1742169990">
      <w:marLeft w:val="0"/>
      <w:marRight w:val="0"/>
      <w:marTop w:val="0"/>
      <w:marBottom w:val="0"/>
      <w:divBdr>
        <w:top w:val="none" w:sz="0" w:space="0" w:color="auto"/>
        <w:left w:val="none" w:sz="0" w:space="0" w:color="auto"/>
        <w:bottom w:val="none" w:sz="0" w:space="0" w:color="auto"/>
        <w:right w:val="none" w:sz="0" w:space="0" w:color="auto"/>
      </w:divBdr>
    </w:div>
    <w:div w:id="1742169991">
      <w:marLeft w:val="0"/>
      <w:marRight w:val="0"/>
      <w:marTop w:val="0"/>
      <w:marBottom w:val="0"/>
      <w:divBdr>
        <w:top w:val="none" w:sz="0" w:space="0" w:color="auto"/>
        <w:left w:val="none" w:sz="0" w:space="0" w:color="auto"/>
        <w:bottom w:val="none" w:sz="0" w:space="0" w:color="auto"/>
        <w:right w:val="none" w:sz="0" w:space="0" w:color="auto"/>
      </w:divBdr>
    </w:div>
    <w:div w:id="1742169992">
      <w:marLeft w:val="0"/>
      <w:marRight w:val="0"/>
      <w:marTop w:val="0"/>
      <w:marBottom w:val="0"/>
      <w:divBdr>
        <w:top w:val="none" w:sz="0" w:space="0" w:color="auto"/>
        <w:left w:val="none" w:sz="0" w:space="0" w:color="auto"/>
        <w:bottom w:val="none" w:sz="0" w:space="0" w:color="auto"/>
        <w:right w:val="none" w:sz="0" w:space="0" w:color="auto"/>
      </w:divBdr>
    </w:div>
    <w:div w:id="1742169993">
      <w:marLeft w:val="0"/>
      <w:marRight w:val="0"/>
      <w:marTop w:val="0"/>
      <w:marBottom w:val="0"/>
      <w:divBdr>
        <w:top w:val="none" w:sz="0" w:space="0" w:color="auto"/>
        <w:left w:val="none" w:sz="0" w:space="0" w:color="auto"/>
        <w:bottom w:val="none" w:sz="0" w:space="0" w:color="auto"/>
        <w:right w:val="none" w:sz="0" w:space="0" w:color="auto"/>
      </w:divBdr>
    </w:div>
    <w:div w:id="1742169994">
      <w:marLeft w:val="0"/>
      <w:marRight w:val="0"/>
      <w:marTop w:val="0"/>
      <w:marBottom w:val="0"/>
      <w:divBdr>
        <w:top w:val="none" w:sz="0" w:space="0" w:color="auto"/>
        <w:left w:val="none" w:sz="0" w:space="0" w:color="auto"/>
        <w:bottom w:val="none" w:sz="0" w:space="0" w:color="auto"/>
        <w:right w:val="none" w:sz="0" w:space="0" w:color="auto"/>
      </w:divBdr>
    </w:div>
    <w:div w:id="1742169995">
      <w:marLeft w:val="0"/>
      <w:marRight w:val="0"/>
      <w:marTop w:val="0"/>
      <w:marBottom w:val="0"/>
      <w:divBdr>
        <w:top w:val="none" w:sz="0" w:space="0" w:color="auto"/>
        <w:left w:val="none" w:sz="0" w:space="0" w:color="auto"/>
        <w:bottom w:val="none" w:sz="0" w:space="0" w:color="auto"/>
        <w:right w:val="none" w:sz="0" w:space="0" w:color="auto"/>
      </w:divBdr>
    </w:div>
    <w:div w:id="1742169996">
      <w:marLeft w:val="0"/>
      <w:marRight w:val="0"/>
      <w:marTop w:val="0"/>
      <w:marBottom w:val="0"/>
      <w:divBdr>
        <w:top w:val="none" w:sz="0" w:space="0" w:color="auto"/>
        <w:left w:val="none" w:sz="0" w:space="0" w:color="auto"/>
        <w:bottom w:val="none" w:sz="0" w:space="0" w:color="auto"/>
        <w:right w:val="none" w:sz="0" w:space="0" w:color="auto"/>
      </w:divBdr>
    </w:div>
    <w:div w:id="1742169997">
      <w:marLeft w:val="0"/>
      <w:marRight w:val="0"/>
      <w:marTop w:val="0"/>
      <w:marBottom w:val="0"/>
      <w:divBdr>
        <w:top w:val="none" w:sz="0" w:space="0" w:color="auto"/>
        <w:left w:val="none" w:sz="0" w:space="0" w:color="auto"/>
        <w:bottom w:val="none" w:sz="0" w:space="0" w:color="auto"/>
        <w:right w:val="none" w:sz="0" w:space="0" w:color="auto"/>
      </w:divBdr>
    </w:div>
    <w:div w:id="1742169998">
      <w:marLeft w:val="0"/>
      <w:marRight w:val="0"/>
      <w:marTop w:val="0"/>
      <w:marBottom w:val="0"/>
      <w:divBdr>
        <w:top w:val="none" w:sz="0" w:space="0" w:color="auto"/>
        <w:left w:val="none" w:sz="0" w:space="0" w:color="auto"/>
        <w:bottom w:val="none" w:sz="0" w:space="0" w:color="auto"/>
        <w:right w:val="none" w:sz="0" w:space="0" w:color="auto"/>
      </w:divBdr>
    </w:div>
    <w:div w:id="1742169999">
      <w:marLeft w:val="0"/>
      <w:marRight w:val="0"/>
      <w:marTop w:val="0"/>
      <w:marBottom w:val="0"/>
      <w:divBdr>
        <w:top w:val="none" w:sz="0" w:space="0" w:color="auto"/>
        <w:left w:val="none" w:sz="0" w:space="0" w:color="auto"/>
        <w:bottom w:val="none" w:sz="0" w:space="0" w:color="auto"/>
        <w:right w:val="none" w:sz="0" w:space="0" w:color="auto"/>
      </w:divBdr>
    </w:div>
    <w:div w:id="1742170002">
      <w:marLeft w:val="0"/>
      <w:marRight w:val="0"/>
      <w:marTop w:val="0"/>
      <w:marBottom w:val="0"/>
      <w:divBdr>
        <w:top w:val="none" w:sz="0" w:space="0" w:color="auto"/>
        <w:left w:val="none" w:sz="0" w:space="0" w:color="auto"/>
        <w:bottom w:val="none" w:sz="0" w:space="0" w:color="auto"/>
        <w:right w:val="none" w:sz="0" w:space="0" w:color="auto"/>
      </w:divBdr>
    </w:div>
    <w:div w:id="1742170003">
      <w:marLeft w:val="0"/>
      <w:marRight w:val="0"/>
      <w:marTop w:val="0"/>
      <w:marBottom w:val="0"/>
      <w:divBdr>
        <w:top w:val="none" w:sz="0" w:space="0" w:color="auto"/>
        <w:left w:val="none" w:sz="0" w:space="0" w:color="auto"/>
        <w:bottom w:val="none" w:sz="0" w:space="0" w:color="auto"/>
        <w:right w:val="none" w:sz="0" w:space="0" w:color="auto"/>
      </w:divBdr>
    </w:div>
    <w:div w:id="1742170004">
      <w:marLeft w:val="0"/>
      <w:marRight w:val="0"/>
      <w:marTop w:val="0"/>
      <w:marBottom w:val="0"/>
      <w:divBdr>
        <w:top w:val="none" w:sz="0" w:space="0" w:color="auto"/>
        <w:left w:val="none" w:sz="0" w:space="0" w:color="auto"/>
        <w:bottom w:val="none" w:sz="0" w:space="0" w:color="auto"/>
        <w:right w:val="none" w:sz="0" w:space="0" w:color="auto"/>
      </w:divBdr>
    </w:div>
    <w:div w:id="1742170005">
      <w:marLeft w:val="0"/>
      <w:marRight w:val="0"/>
      <w:marTop w:val="0"/>
      <w:marBottom w:val="0"/>
      <w:divBdr>
        <w:top w:val="none" w:sz="0" w:space="0" w:color="auto"/>
        <w:left w:val="none" w:sz="0" w:space="0" w:color="auto"/>
        <w:bottom w:val="none" w:sz="0" w:space="0" w:color="auto"/>
        <w:right w:val="none" w:sz="0" w:space="0" w:color="auto"/>
      </w:divBdr>
    </w:div>
    <w:div w:id="1742170006">
      <w:marLeft w:val="0"/>
      <w:marRight w:val="0"/>
      <w:marTop w:val="0"/>
      <w:marBottom w:val="0"/>
      <w:divBdr>
        <w:top w:val="none" w:sz="0" w:space="0" w:color="auto"/>
        <w:left w:val="none" w:sz="0" w:space="0" w:color="auto"/>
        <w:bottom w:val="none" w:sz="0" w:space="0" w:color="auto"/>
        <w:right w:val="none" w:sz="0" w:space="0" w:color="auto"/>
      </w:divBdr>
    </w:div>
    <w:div w:id="1742170007">
      <w:marLeft w:val="0"/>
      <w:marRight w:val="0"/>
      <w:marTop w:val="0"/>
      <w:marBottom w:val="0"/>
      <w:divBdr>
        <w:top w:val="none" w:sz="0" w:space="0" w:color="auto"/>
        <w:left w:val="none" w:sz="0" w:space="0" w:color="auto"/>
        <w:bottom w:val="none" w:sz="0" w:space="0" w:color="auto"/>
        <w:right w:val="none" w:sz="0" w:space="0" w:color="auto"/>
      </w:divBdr>
    </w:div>
    <w:div w:id="1742170008">
      <w:marLeft w:val="0"/>
      <w:marRight w:val="0"/>
      <w:marTop w:val="0"/>
      <w:marBottom w:val="0"/>
      <w:divBdr>
        <w:top w:val="none" w:sz="0" w:space="0" w:color="auto"/>
        <w:left w:val="none" w:sz="0" w:space="0" w:color="auto"/>
        <w:bottom w:val="none" w:sz="0" w:space="0" w:color="auto"/>
        <w:right w:val="none" w:sz="0" w:space="0" w:color="auto"/>
      </w:divBdr>
      <w:divsChild>
        <w:div w:id="1742170015">
          <w:marLeft w:val="0"/>
          <w:marRight w:val="0"/>
          <w:marTop w:val="0"/>
          <w:marBottom w:val="0"/>
          <w:divBdr>
            <w:top w:val="none" w:sz="0" w:space="0" w:color="auto"/>
            <w:left w:val="none" w:sz="0" w:space="0" w:color="auto"/>
            <w:bottom w:val="none" w:sz="0" w:space="0" w:color="auto"/>
            <w:right w:val="none" w:sz="0" w:space="0" w:color="auto"/>
          </w:divBdr>
        </w:div>
      </w:divsChild>
    </w:div>
    <w:div w:id="1742170009">
      <w:marLeft w:val="0"/>
      <w:marRight w:val="0"/>
      <w:marTop w:val="0"/>
      <w:marBottom w:val="0"/>
      <w:divBdr>
        <w:top w:val="none" w:sz="0" w:space="0" w:color="auto"/>
        <w:left w:val="none" w:sz="0" w:space="0" w:color="auto"/>
        <w:bottom w:val="none" w:sz="0" w:space="0" w:color="auto"/>
        <w:right w:val="none" w:sz="0" w:space="0" w:color="auto"/>
      </w:divBdr>
    </w:div>
    <w:div w:id="1742170010">
      <w:marLeft w:val="0"/>
      <w:marRight w:val="0"/>
      <w:marTop w:val="0"/>
      <w:marBottom w:val="0"/>
      <w:divBdr>
        <w:top w:val="none" w:sz="0" w:space="0" w:color="auto"/>
        <w:left w:val="none" w:sz="0" w:space="0" w:color="auto"/>
        <w:bottom w:val="none" w:sz="0" w:space="0" w:color="auto"/>
        <w:right w:val="none" w:sz="0" w:space="0" w:color="auto"/>
      </w:divBdr>
      <w:divsChild>
        <w:div w:id="1742170000">
          <w:marLeft w:val="0"/>
          <w:marRight w:val="0"/>
          <w:marTop w:val="0"/>
          <w:marBottom w:val="0"/>
          <w:divBdr>
            <w:top w:val="none" w:sz="0" w:space="0" w:color="auto"/>
            <w:left w:val="none" w:sz="0" w:space="0" w:color="auto"/>
            <w:bottom w:val="none" w:sz="0" w:space="0" w:color="auto"/>
            <w:right w:val="none" w:sz="0" w:space="0" w:color="auto"/>
          </w:divBdr>
        </w:div>
      </w:divsChild>
    </w:div>
    <w:div w:id="1742170011">
      <w:marLeft w:val="0"/>
      <w:marRight w:val="0"/>
      <w:marTop w:val="0"/>
      <w:marBottom w:val="0"/>
      <w:divBdr>
        <w:top w:val="none" w:sz="0" w:space="0" w:color="auto"/>
        <w:left w:val="none" w:sz="0" w:space="0" w:color="auto"/>
        <w:bottom w:val="none" w:sz="0" w:space="0" w:color="auto"/>
        <w:right w:val="none" w:sz="0" w:space="0" w:color="auto"/>
      </w:divBdr>
    </w:div>
    <w:div w:id="1742170012">
      <w:marLeft w:val="0"/>
      <w:marRight w:val="0"/>
      <w:marTop w:val="0"/>
      <w:marBottom w:val="0"/>
      <w:divBdr>
        <w:top w:val="none" w:sz="0" w:space="0" w:color="auto"/>
        <w:left w:val="none" w:sz="0" w:space="0" w:color="auto"/>
        <w:bottom w:val="none" w:sz="0" w:space="0" w:color="auto"/>
        <w:right w:val="none" w:sz="0" w:space="0" w:color="auto"/>
      </w:divBdr>
      <w:divsChild>
        <w:div w:id="1742170001">
          <w:marLeft w:val="0"/>
          <w:marRight w:val="0"/>
          <w:marTop w:val="0"/>
          <w:marBottom w:val="0"/>
          <w:divBdr>
            <w:top w:val="none" w:sz="0" w:space="0" w:color="auto"/>
            <w:left w:val="none" w:sz="0" w:space="0" w:color="auto"/>
            <w:bottom w:val="none" w:sz="0" w:space="0" w:color="auto"/>
            <w:right w:val="none" w:sz="0" w:space="0" w:color="auto"/>
          </w:divBdr>
        </w:div>
      </w:divsChild>
    </w:div>
    <w:div w:id="1742170013">
      <w:marLeft w:val="0"/>
      <w:marRight w:val="0"/>
      <w:marTop w:val="0"/>
      <w:marBottom w:val="0"/>
      <w:divBdr>
        <w:top w:val="none" w:sz="0" w:space="0" w:color="auto"/>
        <w:left w:val="none" w:sz="0" w:space="0" w:color="auto"/>
        <w:bottom w:val="none" w:sz="0" w:space="0" w:color="auto"/>
        <w:right w:val="none" w:sz="0" w:space="0" w:color="auto"/>
      </w:divBdr>
    </w:div>
    <w:div w:id="1742170014">
      <w:marLeft w:val="0"/>
      <w:marRight w:val="0"/>
      <w:marTop w:val="0"/>
      <w:marBottom w:val="0"/>
      <w:divBdr>
        <w:top w:val="none" w:sz="0" w:space="0" w:color="auto"/>
        <w:left w:val="none" w:sz="0" w:space="0" w:color="auto"/>
        <w:bottom w:val="none" w:sz="0" w:space="0" w:color="auto"/>
        <w:right w:val="none" w:sz="0" w:space="0" w:color="auto"/>
      </w:divBdr>
    </w:div>
    <w:div w:id="1742170016">
      <w:marLeft w:val="0"/>
      <w:marRight w:val="0"/>
      <w:marTop w:val="0"/>
      <w:marBottom w:val="0"/>
      <w:divBdr>
        <w:top w:val="none" w:sz="0" w:space="0" w:color="auto"/>
        <w:left w:val="none" w:sz="0" w:space="0" w:color="auto"/>
        <w:bottom w:val="none" w:sz="0" w:space="0" w:color="auto"/>
        <w:right w:val="none" w:sz="0" w:space="0" w:color="auto"/>
      </w:divBdr>
    </w:div>
    <w:div w:id="1742170017">
      <w:marLeft w:val="0"/>
      <w:marRight w:val="0"/>
      <w:marTop w:val="0"/>
      <w:marBottom w:val="0"/>
      <w:divBdr>
        <w:top w:val="none" w:sz="0" w:space="0" w:color="auto"/>
        <w:left w:val="none" w:sz="0" w:space="0" w:color="auto"/>
        <w:bottom w:val="none" w:sz="0" w:space="0" w:color="auto"/>
        <w:right w:val="none" w:sz="0" w:space="0" w:color="auto"/>
      </w:divBdr>
    </w:div>
    <w:div w:id="1742170018">
      <w:marLeft w:val="0"/>
      <w:marRight w:val="0"/>
      <w:marTop w:val="0"/>
      <w:marBottom w:val="0"/>
      <w:divBdr>
        <w:top w:val="none" w:sz="0" w:space="0" w:color="auto"/>
        <w:left w:val="none" w:sz="0" w:space="0" w:color="auto"/>
        <w:bottom w:val="none" w:sz="0" w:space="0" w:color="auto"/>
        <w:right w:val="none" w:sz="0" w:space="0" w:color="auto"/>
      </w:divBdr>
    </w:div>
    <w:div w:id="1742170019">
      <w:marLeft w:val="0"/>
      <w:marRight w:val="0"/>
      <w:marTop w:val="0"/>
      <w:marBottom w:val="0"/>
      <w:divBdr>
        <w:top w:val="none" w:sz="0" w:space="0" w:color="auto"/>
        <w:left w:val="none" w:sz="0" w:space="0" w:color="auto"/>
        <w:bottom w:val="none" w:sz="0" w:space="0" w:color="auto"/>
        <w:right w:val="none" w:sz="0" w:space="0" w:color="auto"/>
      </w:divBdr>
    </w:div>
    <w:div w:id="1742170020">
      <w:marLeft w:val="0"/>
      <w:marRight w:val="0"/>
      <w:marTop w:val="0"/>
      <w:marBottom w:val="0"/>
      <w:divBdr>
        <w:top w:val="none" w:sz="0" w:space="0" w:color="auto"/>
        <w:left w:val="none" w:sz="0" w:space="0" w:color="auto"/>
        <w:bottom w:val="none" w:sz="0" w:space="0" w:color="auto"/>
        <w:right w:val="none" w:sz="0" w:space="0" w:color="auto"/>
      </w:divBdr>
    </w:div>
    <w:div w:id="1742170021">
      <w:marLeft w:val="0"/>
      <w:marRight w:val="0"/>
      <w:marTop w:val="0"/>
      <w:marBottom w:val="0"/>
      <w:divBdr>
        <w:top w:val="none" w:sz="0" w:space="0" w:color="auto"/>
        <w:left w:val="none" w:sz="0" w:space="0" w:color="auto"/>
        <w:bottom w:val="none" w:sz="0" w:space="0" w:color="auto"/>
        <w:right w:val="none" w:sz="0" w:space="0" w:color="auto"/>
      </w:divBdr>
    </w:div>
    <w:div w:id="1909531008">
      <w:bodyDiv w:val="1"/>
      <w:marLeft w:val="0"/>
      <w:marRight w:val="0"/>
      <w:marTop w:val="0"/>
      <w:marBottom w:val="0"/>
      <w:divBdr>
        <w:top w:val="none" w:sz="0" w:space="0" w:color="auto"/>
        <w:left w:val="none" w:sz="0" w:space="0" w:color="auto"/>
        <w:bottom w:val="none" w:sz="0" w:space="0" w:color="auto"/>
        <w:right w:val="none" w:sz="0" w:space="0" w:color="auto"/>
      </w:divBdr>
    </w:div>
    <w:div w:id="203753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oecd.org/sti/inno/Frascati-Manual.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387533B1-FA5D-4064-98F1-7F80588BCCE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568FC976122C347801CE4072903EC06" ma:contentTypeVersion="" ma:contentTypeDescription="PDMS Document Site Content Type" ma:contentTypeScope="" ma:versionID="de348d096c3d652f3a22c960d4926d04">
  <xsd:schema xmlns:xsd="http://www.w3.org/2001/XMLSchema" xmlns:xs="http://www.w3.org/2001/XMLSchema" xmlns:p="http://schemas.microsoft.com/office/2006/metadata/properties" xmlns:ns2="387533B1-FA5D-4064-98F1-7F80588BCCE4" targetNamespace="http://schemas.microsoft.com/office/2006/metadata/properties" ma:root="true" ma:fieldsID="fb2c222abe5bf5e6e231a4181e5ef8f0" ns2:_="">
    <xsd:import namespace="387533B1-FA5D-4064-98F1-7F80588BCCE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7533B1-FA5D-4064-98F1-7F80588BCCE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C256AC-CD71-4063-858F-31F8D11D1044}">
  <ds:schemaRefs>
    <ds:schemaRef ds:uri="http://schemas.openxmlformats.org/package/2006/metadata/core-properties"/>
    <ds:schemaRef ds:uri="http://schemas.microsoft.com/office/2006/documentManagement/types"/>
    <ds:schemaRef ds:uri="http://schemas.microsoft.com/office/infopath/2007/PartnerControls"/>
    <ds:schemaRef ds:uri="387533B1-FA5D-4064-98F1-7F80588BCCE4"/>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5CA5C001-A614-4B6A-9C16-DFD17A16613A}">
  <ds:schemaRefs>
    <ds:schemaRef ds:uri="http://schemas.microsoft.com/sharepoint/v3/contenttype/forms"/>
  </ds:schemaRefs>
</ds:datastoreItem>
</file>

<file path=customXml/itemProps3.xml><?xml version="1.0" encoding="utf-8"?>
<ds:datastoreItem xmlns:ds="http://schemas.openxmlformats.org/officeDocument/2006/customXml" ds:itemID="{C0DD357C-9D37-4679-A0E4-140CA4078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7533B1-FA5D-4064-98F1-7F80588BCC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584D3226.dotm</Template>
  <TotalTime>0</TotalTime>
  <Pages>5</Pages>
  <Words>1382</Words>
  <Characters>7882</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Australian Government</Company>
  <LinksUpToDate>false</LinksUpToDate>
  <CharactersWithSpaces>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CHISLETT,Lachlan</dc:creator>
  <cp:keywords/>
  <dc:description/>
  <cp:lastModifiedBy>HARRIS,Sonia</cp:lastModifiedBy>
  <cp:revision>2</cp:revision>
  <cp:lastPrinted>2012-11-01T05:27:00Z</cp:lastPrinted>
  <dcterms:created xsi:type="dcterms:W3CDTF">2019-12-03T01:09:00Z</dcterms:created>
  <dcterms:modified xsi:type="dcterms:W3CDTF">2019-12-03T01:09:00Z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0x010100266966F133664895A6EE3632470D45F500F568FC976122C347801CE4072903EC06</vt:lpwstr>
  </property>
</Properties>
</file>