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8C" w:rsidRDefault="0010538C" w:rsidP="0010538C">
      <w:pPr>
        <w:pStyle w:val="Heading2"/>
        <w:ind w:left="0" w:firstLine="0"/>
      </w:pPr>
      <w:bookmarkStart w:id="0" w:name="_GoBack"/>
      <w:bookmarkEnd w:id="0"/>
      <w:r>
        <w:t>Explanatory Statement</w:t>
      </w:r>
    </w:p>
    <w:p w:rsidR="0010538C" w:rsidRPr="000576EB" w:rsidRDefault="0010538C" w:rsidP="0010538C">
      <w:pPr>
        <w:rPr>
          <w:b/>
          <w:lang w:val="en-AU" w:eastAsia="en-GB" w:bidi="ar-SA"/>
        </w:rPr>
      </w:pPr>
      <w:r w:rsidRPr="000576EB">
        <w:rPr>
          <w:b/>
          <w:lang w:val="en-AU" w:eastAsia="en-GB" w:bidi="ar-SA"/>
        </w:rPr>
        <w:t>1.</w:t>
      </w:r>
      <w:r w:rsidRPr="000576EB">
        <w:rPr>
          <w:b/>
          <w:lang w:val="en-AU" w:eastAsia="en-GB" w:bidi="ar-SA"/>
        </w:rPr>
        <w:tab/>
        <w:t>Authority</w:t>
      </w:r>
    </w:p>
    <w:p w:rsidR="0010538C" w:rsidRDefault="0010538C" w:rsidP="0010538C">
      <w:pPr>
        <w:rPr>
          <w:lang w:val="en-AU" w:eastAsia="en-GB" w:bidi="ar-SA"/>
        </w:rPr>
      </w:pPr>
    </w:p>
    <w:p w:rsidR="0010538C" w:rsidRPr="007B229D" w:rsidRDefault="0010538C" w:rsidP="0010538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 xml:space="preserve">Act) provides </w:t>
      </w:r>
      <w:r w:rsidRPr="007B229D">
        <w:rPr>
          <w:rFonts w:eastAsia="Calibri" w:cs="Arial"/>
          <w:bCs/>
          <w:szCs w:val="22"/>
          <w:lang w:val="en-AU" w:bidi="ar-SA"/>
        </w:rPr>
        <w:t xml:space="preserve">that the functions of Food Standards Australia New Zealand (the Authority) include the development of standards and variations of standards for inclusion in the </w:t>
      </w:r>
      <w:r w:rsidRPr="007B229D">
        <w:rPr>
          <w:rFonts w:eastAsia="Calibri" w:cs="Arial"/>
          <w:bCs/>
          <w:i/>
          <w:szCs w:val="22"/>
          <w:lang w:val="en-AU" w:bidi="ar-SA"/>
        </w:rPr>
        <w:t>Australia New Zealand Food Standards Code</w:t>
      </w:r>
      <w:r w:rsidRPr="007B229D">
        <w:rPr>
          <w:rFonts w:eastAsia="Calibri" w:cs="Arial"/>
          <w:bCs/>
          <w:szCs w:val="22"/>
          <w:lang w:val="en-AU" w:bidi="ar-SA"/>
        </w:rPr>
        <w:t xml:space="preserve"> (the Code).</w:t>
      </w:r>
    </w:p>
    <w:p w:rsidR="0010538C" w:rsidRPr="007B229D" w:rsidRDefault="0010538C" w:rsidP="0010538C">
      <w:pPr>
        <w:widowControl/>
        <w:autoSpaceDE w:val="0"/>
        <w:autoSpaceDN w:val="0"/>
        <w:adjustRightInd w:val="0"/>
        <w:rPr>
          <w:rFonts w:eastAsia="Calibri" w:cs="Arial"/>
          <w:bCs/>
          <w:szCs w:val="22"/>
          <w:lang w:val="en-AU" w:bidi="ar-SA"/>
        </w:rPr>
      </w:pPr>
    </w:p>
    <w:p w:rsidR="0010538C" w:rsidRPr="007B229D" w:rsidRDefault="0010538C" w:rsidP="0010538C">
      <w:pPr>
        <w:widowControl/>
        <w:autoSpaceDE w:val="0"/>
        <w:autoSpaceDN w:val="0"/>
        <w:adjustRightInd w:val="0"/>
        <w:rPr>
          <w:rFonts w:eastAsia="Calibri" w:cs="Arial"/>
          <w:bCs/>
          <w:szCs w:val="22"/>
          <w:lang w:val="en-AU" w:bidi="ar-SA"/>
        </w:rPr>
      </w:pPr>
      <w:r w:rsidRPr="007B229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10538C" w:rsidRPr="007B229D" w:rsidRDefault="0010538C" w:rsidP="0010538C">
      <w:pPr>
        <w:widowControl/>
        <w:autoSpaceDE w:val="0"/>
        <w:autoSpaceDN w:val="0"/>
        <w:adjustRightInd w:val="0"/>
        <w:rPr>
          <w:rFonts w:eastAsia="Calibri" w:cs="Arial"/>
          <w:bCs/>
          <w:szCs w:val="22"/>
          <w:lang w:val="en-AU" w:bidi="ar-SA"/>
        </w:rPr>
      </w:pPr>
    </w:p>
    <w:p w:rsidR="0010538C" w:rsidRPr="00066548" w:rsidRDefault="0010538C" w:rsidP="0010538C">
      <w:pPr>
        <w:widowControl/>
        <w:autoSpaceDE w:val="0"/>
        <w:autoSpaceDN w:val="0"/>
        <w:adjustRightInd w:val="0"/>
        <w:rPr>
          <w:rFonts w:eastAsia="Calibri" w:cs="Arial"/>
          <w:bCs/>
          <w:szCs w:val="22"/>
          <w:lang w:val="en-AU" w:bidi="ar-SA"/>
        </w:rPr>
      </w:pPr>
      <w:r w:rsidRPr="007B229D">
        <w:rPr>
          <w:rFonts w:eastAsia="Calibri" w:cs="Arial"/>
          <w:bCs/>
          <w:szCs w:val="22"/>
          <w:lang w:val="en-AU" w:bidi="ar-SA"/>
        </w:rPr>
        <w:t xml:space="preserve">The Authority accepted Application A1173 which seeks to lower the minimum protein requirement in all </w:t>
      </w:r>
      <w:r>
        <w:rPr>
          <w:rFonts w:eastAsia="Calibri" w:cs="Arial"/>
          <w:bCs/>
          <w:szCs w:val="22"/>
          <w:lang w:val="en-AU" w:bidi="ar-SA"/>
        </w:rPr>
        <w:t xml:space="preserve">regular </w:t>
      </w:r>
      <w:r w:rsidRPr="007B229D">
        <w:rPr>
          <w:rFonts w:eastAsia="Calibri" w:cs="Arial"/>
          <w:bCs/>
          <w:szCs w:val="22"/>
          <w:lang w:val="en-AU" w:bidi="ar-SA"/>
        </w:rPr>
        <w:t xml:space="preserve">follow-on formula. The Authority considered </w:t>
      </w:r>
      <w:r w:rsidRPr="008B4689">
        <w:rPr>
          <w:rFonts w:eastAsia="Calibri" w:cs="Arial"/>
          <w:bCs/>
          <w:color w:val="000000" w:themeColor="text1"/>
          <w:szCs w:val="22"/>
          <w:lang w:val="en-AU" w:bidi="ar-SA"/>
        </w:rPr>
        <w:t xml:space="preserve">the </w:t>
      </w:r>
      <w:r>
        <w:rPr>
          <w:rFonts w:eastAsia="Calibri" w:cs="Arial"/>
          <w:bCs/>
          <w:color w:val="000000" w:themeColor="text1"/>
          <w:szCs w:val="22"/>
          <w:lang w:val="en-AU" w:bidi="ar-SA"/>
        </w:rPr>
        <w:t>Application</w:t>
      </w:r>
      <w:r w:rsidRPr="008B4689">
        <w:rPr>
          <w:rFonts w:eastAsia="Calibri" w:cs="Arial"/>
          <w:bCs/>
          <w:color w:val="000000" w:themeColor="text1"/>
          <w:szCs w:val="22"/>
          <w:lang w:val="en-AU" w:bidi="ar-SA"/>
        </w:rPr>
        <w:t xml:space="preserve"> in accordance with Division 1 of Part 3 and has prepared a draft Standard</w:t>
      </w:r>
      <w:r w:rsidRPr="00066548">
        <w:rPr>
          <w:rFonts w:eastAsia="Calibri" w:cs="Arial"/>
          <w:bCs/>
          <w:szCs w:val="22"/>
          <w:lang w:val="en-AU" w:bidi="ar-SA"/>
        </w:rPr>
        <w:t xml:space="preserve">. </w:t>
      </w:r>
    </w:p>
    <w:p w:rsidR="0010538C" w:rsidRPr="00066548" w:rsidRDefault="0010538C" w:rsidP="0010538C">
      <w:pPr>
        <w:widowControl/>
        <w:autoSpaceDE w:val="0"/>
        <w:autoSpaceDN w:val="0"/>
        <w:adjustRightInd w:val="0"/>
        <w:rPr>
          <w:rFonts w:eastAsia="Calibri" w:cs="Arial"/>
          <w:bCs/>
          <w:szCs w:val="22"/>
          <w:lang w:val="en-AU" w:bidi="ar-SA"/>
        </w:rPr>
      </w:pPr>
    </w:p>
    <w:p w:rsidR="0010538C" w:rsidRPr="00D13E34" w:rsidRDefault="0010538C" w:rsidP="0010538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10538C" w:rsidRPr="00D13E34" w:rsidRDefault="0010538C" w:rsidP="0010538C">
      <w:pPr>
        <w:widowControl/>
        <w:autoSpaceDE w:val="0"/>
        <w:autoSpaceDN w:val="0"/>
        <w:adjustRightInd w:val="0"/>
        <w:rPr>
          <w:rFonts w:eastAsia="Calibri" w:cs="Arial"/>
          <w:bCs/>
          <w:szCs w:val="22"/>
          <w:lang w:val="en-AU" w:bidi="ar-SA"/>
        </w:rPr>
      </w:pPr>
    </w:p>
    <w:p w:rsidR="0010538C" w:rsidRPr="00D13E34" w:rsidRDefault="0010538C" w:rsidP="0010538C">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rsidR="0010538C" w:rsidRDefault="0010538C" w:rsidP="0010538C">
      <w:pPr>
        <w:rPr>
          <w:lang w:val="en-AU" w:eastAsia="en-GB" w:bidi="ar-SA"/>
        </w:rPr>
      </w:pPr>
    </w:p>
    <w:p w:rsidR="0010538C" w:rsidRDefault="0010538C" w:rsidP="0010538C">
      <w:pPr>
        <w:rPr>
          <w:b/>
          <w:lang w:val="en-AU" w:eastAsia="en-GB" w:bidi="ar-SA"/>
        </w:rPr>
      </w:pPr>
      <w:r>
        <w:rPr>
          <w:b/>
          <w:lang w:val="en-AU" w:eastAsia="en-GB" w:bidi="ar-SA"/>
        </w:rPr>
        <w:t>2.</w:t>
      </w:r>
      <w:r>
        <w:rPr>
          <w:b/>
          <w:lang w:val="en-AU" w:eastAsia="en-GB" w:bidi="ar-SA"/>
        </w:rPr>
        <w:tab/>
        <w:t>Purpose</w:t>
      </w:r>
    </w:p>
    <w:p w:rsidR="0010538C" w:rsidRDefault="0010538C" w:rsidP="0010538C">
      <w:pPr>
        <w:rPr>
          <w:lang w:val="en-AU" w:eastAsia="en-GB" w:bidi="ar-SA"/>
        </w:rPr>
      </w:pPr>
    </w:p>
    <w:p w:rsidR="0010538C" w:rsidRDefault="0010538C" w:rsidP="0010538C">
      <w:pPr>
        <w:rPr>
          <w:lang w:val="en-AU" w:eastAsia="en-GB" w:bidi="ar-SA"/>
        </w:rPr>
      </w:pPr>
      <w:r w:rsidRPr="005E5A9A">
        <w:rPr>
          <w:rFonts w:cs="Arial"/>
          <w:szCs w:val="22"/>
          <w:lang w:val="en-AU" w:eastAsia="en-GB" w:bidi="ar-SA"/>
        </w:rPr>
        <w:t xml:space="preserve">The Authority has </w:t>
      </w:r>
      <w:r>
        <w:rPr>
          <w:rFonts w:cs="Arial"/>
          <w:szCs w:val="22"/>
          <w:lang w:val="en-AU" w:eastAsia="en-GB" w:bidi="ar-SA"/>
        </w:rPr>
        <w:t>approved</w:t>
      </w:r>
      <w:r w:rsidRPr="005E5A9A">
        <w:rPr>
          <w:rFonts w:cs="Arial"/>
          <w:szCs w:val="22"/>
          <w:lang w:val="en-AU" w:eastAsia="en-GB" w:bidi="ar-SA"/>
        </w:rPr>
        <w:t xml:space="preserve"> </w:t>
      </w:r>
      <w:r w:rsidRPr="00EE3B09">
        <w:rPr>
          <w:rFonts w:cs="Arial"/>
          <w:szCs w:val="22"/>
          <w:lang w:val="en-AU" w:eastAsia="en-GB" w:bidi="ar-SA"/>
        </w:rPr>
        <w:t xml:space="preserve">a draft amendment to </w:t>
      </w:r>
      <w:r w:rsidRPr="00382552">
        <w:rPr>
          <w:rFonts w:cs="Arial"/>
          <w:szCs w:val="22"/>
        </w:rPr>
        <w:t>paragraph 2.9.1</w:t>
      </w:r>
      <w:r w:rsidRPr="00477F97">
        <w:rPr>
          <w:rFonts w:cs="Arial" w:hint="eastAsia"/>
          <w:szCs w:val="22"/>
        </w:rPr>
        <w:t>—</w:t>
      </w:r>
      <w:r w:rsidRPr="005E5A9A">
        <w:rPr>
          <w:rFonts w:cs="Arial"/>
          <w:szCs w:val="22"/>
        </w:rPr>
        <w:t>9(2)(b) in Standard 2.9.1 to</w:t>
      </w:r>
      <w:r>
        <w:rPr>
          <w:rFonts w:cs="Arial"/>
          <w:szCs w:val="22"/>
        </w:rPr>
        <w:t>:</w:t>
      </w:r>
      <w:r w:rsidRPr="005E5A9A">
        <w:rPr>
          <w:rFonts w:cs="Arial"/>
          <w:szCs w:val="22"/>
        </w:rPr>
        <w:t xml:space="preserve"> permit a lower protein minimum in milk-based follow-on formula</w:t>
      </w:r>
      <w:r>
        <w:rPr>
          <w:rFonts w:cs="Arial"/>
          <w:szCs w:val="22"/>
        </w:rPr>
        <w:t>;</w:t>
      </w:r>
      <w:r w:rsidRPr="005E5A9A">
        <w:rPr>
          <w:rFonts w:cs="Arial"/>
          <w:szCs w:val="22"/>
        </w:rPr>
        <w:t xml:space="preserve"> and retain the current minimum for all other </w:t>
      </w:r>
      <w:r w:rsidRPr="00382552">
        <w:rPr>
          <w:rFonts w:cs="Arial"/>
          <w:szCs w:val="22"/>
        </w:rPr>
        <w:t xml:space="preserve">follow-on formulas with the exception of follow-on formula </w:t>
      </w:r>
      <w:r>
        <w:t xml:space="preserve">for special dietary use </w:t>
      </w:r>
      <w:r w:rsidRPr="00382552">
        <w:rPr>
          <w:rFonts w:cs="Arial"/>
          <w:szCs w:val="22"/>
        </w:rPr>
        <w:t xml:space="preserve">based on a protein substitute. </w:t>
      </w:r>
      <w:r>
        <w:rPr>
          <w:rFonts w:cs="Arial"/>
          <w:szCs w:val="22"/>
        </w:rPr>
        <w:t xml:space="preserve">The protein compositional requirements for </w:t>
      </w:r>
      <w:r w:rsidRPr="00F3302D">
        <w:rPr>
          <w:rFonts w:cs="Arial"/>
          <w:szCs w:val="22"/>
        </w:rPr>
        <w:t xml:space="preserve">an infant formula product </w:t>
      </w:r>
      <w:r>
        <w:t xml:space="preserve">for special dietary use </w:t>
      </w:r>
      <w:r w:rsidRPr="00F3302D">
        <w:rPr>
          <w:rFonts w:cs="Arial"/>
          <w:szCs w:val="22"/>
        </w:rPr>
        <w:t>based on a protein substitute</w:t>
      </w:r>
      <w:r>
        <w:rPr>
          <w:rFonts w:cs="Arial"/>
          <w:szCs w:val="22"/>
        </w:rPr>
        <w:t xml:space="preserve"> are imposed by </w:t>
      </w:r>
      <w:r w:rsidRPr="00F3302D">
        <w:rPr>
          <w:rFonts w:cs="Arial"/>
          <w:szCs w:val="22"/>
        </w:rPr>
        <w:t>section 2.9.1—15</w:t>
      </w:r>
      <w:r>
        <w:rPr>
          <w:rFonts w:cs="Arial"/>
          <w:szCs w:val="22"/>
        </w:rPr>
        <w:t xml:space="preserve"> and not by p</w:t>
      </w:r>
      <w:r w:rsidRPr="00EE3B09">
        <w:rPr>
          <w:rFonts w:cs="Arial"/>
          <w:szCs w:val="22"/>
        </w:rPr>
        <w:t>aragraph 2.9.1—9(2)</w:t>
      </w:r>
      <w:r>
        <w:rPr>
          <w:rFonts w:cs="Arial"/>
          <w:szCs w:val="22"/>
        </w:rPr>
        <w:t>(b)</w:t>
      </w:r>
      <w:r>
        <w:t>.</w:t>
      </w:r>
    </w:p>
    <w:p w:rsidR="0010538C" w:rsidRDefault="0010538C" w:rsidP="0010538C">
      <w:pPr>
        <w:rPr>
          <w:lang w:val="en-AU" w:eastAsia="en-GB" w:bidi="ar-SA"/>
        </w:rPr>
      </w:pPr>
    </w:p>
    <w:p w:rsidR="0010538C" w:rsidRPr="000576EB" w:rsidRDefault="0010538C" w:rsidP="0010538C">
      <w:pPr>
        <w:rPr>
          <w:b/>
          <w:lang w:val="en-AU" w:eastAsia="en-GB" w:bidi="ar-SA"/>
        </w:rPr>
      </w:pPr>
      <w:r w:rsidRPr="000576EB">
        <w:rPr>
          <w:b/>
          <w:lang w:val="en-AU" w:eastAsia="en-GB" w:bidi="ar-SA"/>
        </w:rPr>
        <w:t>3.</w:t>
      </w:r>
      <w:r w:rsidRPr="000576EB">
        <w:rPr>
          <w:b/>
          <w:lang w:val="en-AU" w:eastAsia="en-GB" w:bidi="ar-SA"/>
        </w:rPr>
        <w:tab/>
        <w:t>Documents incorporated by reference</w:t>
      </w:r>
    </w:p>
    <w:p w:rsidR="0010538C" w:rsidRDefault="0010538C" w:rsidP="0010538C">
      <w:pPr>
        <w:rPr>
          <w:lang w:val="en-AU" w:eastAsia="en-GB" w:bidi="ar-SA"/>
        </w:rPr>
      </w:pPr>
    </w:p>
    <w:p w:rsidR="0010538C" w:rsidRPr="00D13E34" w:rsidRDefault="0010538C" w:rsidP="0010538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10538C" w:rsidRDefault="0010538C" w:rsidP="0010538C">
      <w:pPr>
        <w:rPr>
          <w:lang w:val="en-AU" w:eastAsia="en-GB" w:bidi="ar-SA"/>
        </w:rPr>
      </w:pPr>
    </w:p>
    <w:p w:rsidR="0010538C" w:rsidRPr="000576EB" w:rsidRDefault="0010538C" w:rsidP="0010538C">
      <w:pPr>
        <w:rPr>
          <w:b/>
          <w:lang w:val="en-AU" w:eastAsia="en-GB" w:bidi="ar-SA"/>
        </w:rPr>
      </w:pPr>
      <w:r w:rsidRPr="000576EB">
        <w:rPr>
          <w:b/>
          <w:lang w:val="en-AU" w:eastAsia="en-GB" w:bidi="ar-SA"/>
        </w:rPr>
        <w:t>4.</w:t>
      </w:r>
      <w:r w:rsidRPr="000576EB">
        <w:rPr>
          <w:b/>
          <w:lang w:val="en-AU" w:eastAsia="en-GB" w:bidi="ar-SA"/>
        </w:rPr>
        <w:tab/>
        <w:t>Consultation</w:t>
      </w:r>
    </w:p>
    <w:p w:rsidR="0010538C" w:rsidRDefault="0010538C" w:rsidP="0010538C">
      <w:pPr>
        <w:rPr>
          <w:lang w:val="en-AU" w:eastAsia="en-GB" w:bidi="ar-SA"/>
        </w:rPr>
      </w:pPr>
    </w:p>
    <w:p w:rsidR="0010538C" w:rsidRPr="007B229D" w:rsidRDefault="0010538C" w:rsidP="0010538C">
      <w:pPr>
        <w:rPr>
          <w:lang w:val="en-AU"/>
        </w:rPr>
      </w:pPr>
      <w:r w:rsidRPr="007B229D">
        <w:rPr>
          <w:szCs w:val="22"/>
        </w:rPr>
        <w:t xml:space="preserve">In accordance with the procedure in Division 1 of Part 3 of the FSANZ Act, </w:t>
      </w:r>
      <w:r w:rsidRPr="007B229D">
        <w:rPr>
          <w:rFonts w:eastAsia="Calibri" w:cs="Arial"/>
          <w:bCs/>
          <w:szCs w:val="22"/>
          <w:lang w:val="en-AU" w:bidi="ar-SA"/>
        </w:rPr>
        <w:t>the Authority</w:t>
      </w:r>
      <w:r w:rsidRPr="007B229D">
        <w:rPr>
          <w:szCs w:val="22"/>
        </w:rPr>
        <w:t xml:space="preserve">’s consideration of Application A1173 included one round of public consultation following an assessment and the preparation of a draft variation Standard and associated assessment summary and report. Submissions were called for on </w:t>
      </w:r>
      <w:r>
        <w:rPr>
          <w:szCs w:val="22"/>
        </w:rPr>
        <w:t xml:space="preserve">Thursday </w:t>
      </w:r>
      <w:r w:rsidRPr="00130EBC">
        <w:rPr>
          <w:szCs w:val="22"/>
        </w:rPr>
        <w:t>16</w:t>
      </w:r>
      <w:r>
        <w:rPr>
          <w:szCs w:val="22"/>
        </w:rPr>
        <w:t xml:space="preserve"> May</w:t>
      </w:r>
      <w:r w:rsidRPr="007B229D">
        <w:rPr>
          <w:szCs w:val="22"/>
        </w:rPr>
        <w:t xml:space="preserve"> 201</w:t>
      </w:r>
      <w:r>
        <w:rPr>
          <w:szCs w:val="22"/>
        </w:rPr>
        <w:t>9</w:t>
      </w:r>
      <w:r w:rsidRPr="007B229D">
        <w:rPr>
          <w:szCs w:val="22"/>
        </w:rPr>
        <w:t xml:space="preserve"> for a four-week consultation period. </w:t>
      </w:r>
    </w:p>
    <w:p w:rsidR="0010538C" w:rsidRPr="007B229D" w:rsidRDefault="0010538C" w:rsidP="0010538C">
      <w:pPr>
        <w:rPr>
          <w:rFonts w:eastAsia="Calibri"/>
          <w:szCs w:val="22"/>
          <w:lang w:val="en-AU" w:bidi="ar-SA"/>
        </w:rPr>
      </w:pPr>
    </w:p>
    <w:p w:rsidR="0010538C" w:rsidRPr="007B229D" w:rsidRDefault="0010538C" w:rsidP="0010538C">
      <w:pPr>
        <w:widowControl/>
        <w:autoSpaceDE w:val="0"/>
        <w:autoSpaceDN w:val="0"/>
        <w:adjustRightInd w:val="0"/>
        <w:rPr>
          <w:rFonts w:cs="Arial"/>
          <w:szCs w:val="22"/>
        </w:rPr>
      </w:pPr>
      <w:r w:rsidRPr="007B229D">
        <w:rPr>
          <w:rFonts w:eastAsia="Calibri" w:cs="Arial"/>
          <w:bCs/>
          <w:szCs w:val="22"/>
          <w:lang w:val="en-AU" w:bidi="ar-SA"/>
        </w:rPr>
        <w:t xml:space="preserve">A Regulation Impact Statement was not required because the proposed variations to Standard 2.9.1 </w:t>
      </w:r>
      <w:r w:rsidRPr="007B229D">
        <w:t xml:space="preserve">are likely to have a minor impact on business and individuals. </w:t>
      </w:r>
    </w:p>
    <w:p w:rsidR="0010538C" w:rsidRPr="00066548" w:rsidRDefault="0010538C" w:rsidP="0010538C">
      <w:pPr>
        <w:rPr>
          <w:lang w:val="en-AU" w:eastAsia="en-GB" w:bidi="ar-SA"/>
        </w:rPr>
      </w:pPr>
    </w:p>
    <w:p w:rsidR="0010538C" w:rsidRDefault="0010538C" w:rsidP="0010538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10538C" w:rsidRDefault="0010538C" w:rsidP="0010538C">
      <w:pPr>
        <w:rPr>
          <w:rFonts w:eastAsiaTheme="minorHAnsi"/>
          <w:lang w:val="en-AU" w:bidi="ar-SA"/>
        </w:rPr>
      </w:pPr>
    </w:p>
    <w:p w:rsidR="0010538C" w:rsidRDefault="0010538C" w:rsidP="0010538C">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10538C" w:rsidRDefault="0010538C" w:rsidP="0010538C">
      <w:pPr>
        <w:rPr>
          <w:rFonts w:eastAsiaTheme="minorHAnsi"/>
          <w:lang w:val="en-AU" w:bidi="ar-SA"/>
        </w:rPr>
      </w:pPr>
    </w:p>
    <w:p w:rsidR="0010538C" w:rsidRPr="00432A42" w:rsidRDefault="0010538C" w:rsidP="0010538C">
      <w:pPr>
        <w:rPr>
          <w:b/>
          <w:lang w:val="en-AU" w:eastAsia="en-GB" w:bidi="ar-SA"/>
        </w:rPr>
      </w:pPr>
      <w:r w:rsidRPr="00432A42">
        <w:rPr>
          <w:b/>
        </w:rPr>
        <w:t>6.</w:t>
      </w:r>
      <w:r w:rsidRPr="00432A42">
        <w:rPr>
          <w:b/>
        </w:rPr>
        <w:tab/>
      </w:r>
      <w:r>
        <w:rPr>
          <w:b/>
          <w:lang w:val="en-AU" w:eastAsia="en-GB" w:bidi="ar-SA"/>
        </w:rPr>
        <w:t>Variation</w:t>
      </w:r>
    </w:p>
    <w:p w:rsidR="0010538C" w:rsidRPr="00432A42" w:rsidRDefault="0010538C" w:rsidP="0010538C">
      <w:pPr>
        <w:rPr>
          <w:b/>
        </w:rPr>
      </w:pPr>
    </w:p>
    <w:p w:rsidR="0010538C" w:rsidRDefault="0010538C" w:rsidP="0010538C">
      <w:r w:rsidRPr="003D5E83">
        <w:t>Item [1</w:t>
      </w:r>
      <w:r>
        <w:t>.1</w:t>
      </w:r>
      <w:r w:rsidRPr="003D5E83">
        <w:t>]</w:t>
      </w:r>
      <w:r w:rsidRPr="00782942">
        <w:rPr>
          <w:i/>
        </w:rPr>
        <w:t xml:space="preserve"> </w:t>
      </w:r>
      <w:r w:rsidRPr="00782942">
        <w:t>varies</w:t>
      </w:r>
      <w:r w:rsidRPr="00782942">
        <w:rPr>
          <w:i/>
        </w:rPr>
        <w:t xml:space="preserve"> </w:t>
      </w:r>
      <w:r>
        <w:t>paragraph 2.9.1</w:t>
      </w:r>
      <w:r>
        <w:rPr>
          <w:rFonts w:ascii="Helvetica Neue" w:hAnsi="Helvetica Neue"/>
          <w:sz w:val="19"/>
          <w:szCs w:val="19"/>
        </w:rPr>
        <w:t>—</w:t>
      </w:r>
      <w:r>
        <w:t xml:space="preserve">9(2)(b) of Standard 2.9.1 by omitting the existing paragraph and substituting a new paragraph. </w:t>
      </w:r>
    </w:p>
    <w:p w:rsidR="0010538C" w:rsidRDefault="0010538C" w:rsidP="0010538C"/>
    <w:p w:rsidR="0010538C" w:rsidRDefault="0010538C" w:rsidP="0010538C">
      <w:r>
        <w:t xml:space="preserve">The new paragraph will require: a milk-based follow-on formula to have a </w:t>
      </w:r>
      <w:r w:rsidRPr="00FC5463">
        <w:rPr>
          <w:szCs w:val="20"/>
        </w:rPr>
        <w:t>protein</w:t>
      </w:r>
      <w:r>
        <w:t xml:space="preserve"> content of no less than 0.38</w:t>
      </w:r>
      <w:r w:rsidRPr="001D1563">
        <w:t xml:space="preserve"> g/100 kJ an</w:t>
      </w:r>
      <w:r>
        <w:t>d no more than 1.3 g/100 kJ; and all other follow-on</w:t>
      </w:r>
      <w:r w:rsidRPr="001D1563">
        <w:t xml:space="preserve"> formula</w:t>
      </w:r>
      <w:r>
        <w:t>s</w:t>
      </w:r>
      <w:r>
        <w:rPr>
          <w:szCs w:val="20"/>
        </w:rPr>
        <w:t xml:space="preserve"> </w:t>
      </w:r>
      <w:r w:rsidRPr="005E5A9A">
        <w:rPr>
          <w:szCs w:val="22"/>
        </w:rPr>
        <w:t xml:space="preserve">– </w:t>
      </w:r>
      <w:r>
        <w:rPr>
          <w:szCs w:val="22"/>
        </w:rPr>
        <w:t>with the exception of</w:t>
      </w:r>
      <w:r w:rsidRPr="005E5A9A">
        <w:rPr>
          <w:szCs w:val="22"/>
        </w:rPr>
        <w:t xml:space="preserve"> </w:t>
      </w:r>
      <w:r w:rsidRPr="00477F97">
        <w:rPr>
          <w:szCs w:val="22"/>
        </w:rPr>
        <w:t>follow</w:t>
      </w:r>
      <w:r>
        <w:rPr>
          <w:szCs w:val="22"/>
        </w:rPr>
        <w:t>-</w:t>
      </w:r>
      <w:r w:rsidRPr="00477F97">
        <w:rPr>
          <w:szCs w:val="22"/>
        </w:rPr>
        <w:t xml:space="preserve">on formula </w:t>
      </w:r>
      <w:r>
        <w:t xml:space="preserve">for special dietary use </w:t>
      </w:r>
      <w:r>
        <w:rPr>
          <w:szCs w:val="22"/>
        </w:rPr>
        <w:t xml:space="preserve">based on a </w:t>
      </w:r>
      <w:r w:rsidRPr="00477F97">
        <w:rPr>
          <w:szCs w:val="22"/>
        </w:rPr>
        <w:t>protein substitute</w:t>
      </w:r>
      <w:r w:rsidRPr="005E5A9A">
        <w:rPr>
          <w:szCs w:val="22"/>
        </w:rPr>
        <w:t xml:space="preserve"> </w:t>
      </w:r>
      <w:r>
        <w:rPr>
          <w:szCs w:val="22"/>
        </w:rPr>
        <w:t>–</w:t>
      </w:r>
      <w:r w:rsidRPr="005E5A9A">
        <w:rPr>
          <w:szCs w:val="22"/>
        </w:rPr>
        <w:t xml:space="preserve"> </w:t>
      </w:r>
      <w:r w:rsidRPr="00EE3B09">
        <w:rPr>
          <w:szCs w:val="22"/>
        </w:rPr>
        <w:t>to</w:t>
      </w:r>
      <w:r>
        <w:rPr>
          <w:szCs w:val="20"/>
        </w:rPr>
        <w:t xml:space="preserve"> have </w:t>
      </w:r>
      <w:r w:rsidRPr="00FC5463">
        <w:rPr>
          <w:szCs w:val="20"/>
        </w:rPr>
        <w:t>a</w:t>
      </w:r>
      <w:r>
        <w:rPr>
          <w:szCs w:val="20"/>
        </w:rPr>
        <w:t xml:space="preserve"> </w:t>
      </w:r>
      <w:r w:rsidRPr="00FC5463">
        <w:rPr>
          <w:szCs w:val="20"/>
        </w:rPr>
        <w:t>protein</w:t>
      </w:r>
      <w:r>
        <w:t xml:space="preserve"> content of no less than 0.45</w:t>
      </w:r>
      <w:r w:rsidRPr="001D1563">
        <w:t xml:space="preserve"> g/100 kJ an</w:t>
      </w:r>
      <w:r>
        <w:t xml:space="preserve">d no more than 1.3 g/100 kJ. </w:t>
      </w:r>
      <w:r>
        <w:br/>
      </w:r>
    </w:p>
    <w:p w:rsidR="0010538C" w:rsidRPr="007B229D" w:rsidRDefault="0010538C" w:rsidP="0010538C">
      <w:r>
        <w:t xml:space="preserve">The new paragraph will not prescribe the </w:t>
      </w:r>
      <w:r w:rsidRPr="00FC5463">
        <w:rPr>
          <w:szCs w:val="20"/>
        </w:rPr>
        <w:t>protein</w:t>
      </w:r>
      <w:r>
        <w:t xml:space="preserve"> content for </w:t>
      </w:r>
      <w:r w:rsidRPr="00F3302D">
        <w:rPr>
          <w:szCs w:val="22"/>
        </w:rPr>
        <w:t>follow</w:t>
      </w:r>
      <w:r>
        <w:rPr>
          <w:szCs w:val="22"/>
        </w:rPr>
        <w:t>-</w:t>
      </w:r>
      <w:r w:rsidRPr="00F3302D">
        <w:rPr>
          <w:szCs w:val="22"/>
        </w:rPr>
        <w:t xml:space="preserve">on formula </w:t>
      </w:r>
      <w:r>
        <w:t xml:space="preserve">for special dietary use </w:t>
      </w:r>
      <w:r>
        <w:rPr>
          <w:szCs w:val="22"/>
        </w:rPr>
        <w:t xml:space="preserve">based on a </w:t>
      </w:r>
      <w:r w:rsidRPr="00F3302D">
        <w:rPr>
          <w:szCs w:val="22"/>
        </w:rPr>
        <w:t>protein substitute</w:t>
      </w:r>
      <w:r>
        <w:rPr>
          <w:szCs w:val="22"/>
        </w:rPr>
        <w:t xml:space="preserve">. This is because section </w:t>
      </w:r>
      <w:r>
        <w:t>2.9.1</w:t>
      </w:r>
      <w:r>
        <w:rPr>
          <w:rFonts w:ascii="Helvetica Neue" w:hAnsi="Helvetica Neue"/>
          <w:sz w:val="19"/>
          <w:szCs w:val="19"/>
        </w:rPr>
        <w:t>—</w:t>
      </w:r>
      <w:r>
        <w:t xml:space="preserve">9(2) does not set the protein content for the latter. </w:t>
      </w:r>
      <w:r>
        <w:rPr>
          <w:rFonts w:cs="Arial"/>
          <w:szCs w:val="22"/>
        </w:rPr>
        <w:t>Instead, s</w:t>
      </w:r>
      <w:r w:rsidRPr="008249BE">
        <w:rPr>
          <w:rFonts w:cs="Arial"/>
          <w:szCs w:val="22"/>
        </w:rPr>
        <w:t xml:space="preserve">ection 2.9.1—15 </w:t>
      </w:r>
      <w:r>
        <w:rPr>
          <w:rFonts w:cs="Arial"/>
          <w:szCs w:val="22"/>
        </w:rPr>
        <w:t xml:space="preserve">currently </w:t>
      </w:r>
      <w:r w:rsidRPr="008249BE">
        <w:rPr>
          <w:rFonts w:cs="Arial"/>
          <w:szCs w:val="22"/>
        </w:rPr>
        <w:t>sets the compositional</w:t>
      </w:r>
      <w:r>
        <w:rPr>
          <w:rFonts w:cs="Arial"/>
          <w:szCs w:val="22"/>
        </w:rPr>
        <w:t xml:space="preserve"> requirements for infant formula products, including follow-on formula, that are </w:t>
      </w:r>
      <w:r>
        <w:t xml:space="preserve">for special dietary use </w:t>
      </w:r>
      <w:r>
        <w:rPr>
          <w:szCs w:val="22"/>
        </w:rPr>
        <w:t xml:space="preserve">based on a </w:t>
      </w:r>
      <w:r w:rsidRPr="00F3302D">
        <w:rPr>
          <w:szCs w:val="22"/>
        </w:rPr>
        <w:t>protein substitute</w:t>
      </w:r>
      <w:r>
        <w:rPr>
          <w:szCs w:val="22"/>
        </w:rPr>
        <w:t xml:space="preserve">. Paragraph </w:t>
      </w:r>
      <w:r w:rsidRPr="00F3302D">
        <w:rPr>
          <w:rFonts w:cs="Arial"/>
          <w:szCs w:val="22"/>
        </w:rPr>
        <w:t>2.9.1—15</w:t>
      </w:r>
      <w:r>
        <w:rPr>
          <w:rFonts w:cs="Arial"/>
          <w:szCs w:val="22"/>
        </w:rPr>
        <w:t xml:space="preserve">(2)(c) currently requires these products to have a protein content of no less than 0.45g/100kJ and no more than 1.4g/100kJ. </w:t>
      </w:r>
    </w:p>
    <w:p w:rsidR="0010538C" w:rsidRPr="00477F97" w:rsidRDefault="0010538C" w:rsidP="0010538C">
      <w:pPr>
        <w:widowControl/>
      </w:pPr>
    </w:p>
    <w:p w:rsidR="00D5526B" w:rsidRPr="0010538C" w:rsidRDefault="0010538C" w:rsidP="0010538C">
      <w:pPr>
        <w:rPr>
          <w:b/>
        </w:rPr>
      </w:pPr>
      <w:r w:rsidRPr="005E5A9A">
        <w:rPr>
          <w:rFonts w:cs="Arial"/>
          <w:szCs w:val="22"/>
        </w:rPr>
        <w:t>Item [1.2]</w:t>
      </w:r>
      <w:r w:rsidRPr="00EE3B09">
        <w:rPr>
          <w:rFonts w:cs="Arial"/>
          <w:i/>
          <w:szCs w:val="22"/>
        </w:rPr>
        <w:t xml:space="preserve"> </w:t>
      </w:r>
      <w:r w:rsidRPr="00382552">
        <w:rPr>
          <w:rFonts w:cs="Arial"/>
          <w:szCs w:val="22"/>
        </w:rPr>
        <w:t>inserts a note after</w:t>
      </w:r>
      <w:r w:rsidRPr="00382552">
        <w:rPr>
          <w:rFonts w:cs="Arial"/>
          <w:i/>
          <w:szCs w:val="22"/>
        </w:rPr>
        <w:t xml:space="preserve"> </w:t>
      </w:r>
      <w:r w:rsidRPr="00382552">
        <w:rPr>
          <w:rFonts w:cs="Arial"/>
          <w:szCs w:val="22"/>
        </w:rPr>
        <w:t>section 2.9.1</w:t>
      </w:r>
      <w:r w:rsidRPr="00477F97">
        <w:rPr>
          <w:rFonts w:cs="Arial" w:hint="eastAsia"/>
          <w:szCs w:val="22"/>
        </w:rPr>
        <w:t>—</w:t>
      </w:r>
      <w:r w:rsidRPr="005E5A9A">
        <w:rPr>
          <w:rFonts w:cs="Arial"/>
          <w:szCs w:val="22"/>
        </w:rPr>
        <w:t xml:space="preserve">9(2) </w:t>
      </w:r>
      <w:r w:rsidRPr="00EE3B09">
        <w:rPr>
          <w:rFonts w:cs="Arial"/>
          <w:szCs w:val="22"/>
        </w:rPr>
        <w:t>of Standard 2.9.1</w:t>
      </w:r>
      <w:r>
        <w:rPr>
          <w:rFonts w:cs="Arial"/>
          <w:szCs w:val="22"/>
        </w:rPr>
        <w:t>. This note is to assist the reader and</w:t>
      </w:r>
      <w:r w:rsidRPr="005E5A9A">
        <w:rPr>
          <w:rFonts w:cs="Arial"/>
          <w:szCs w:val="22"/>
        </w:rPr>
        <w:t xml:space="preserve"> </w:t>
      </w:r>
      <w:r>
        <w:rPr>
          <w:rFonts w:cs="Arial"/>
          <w:szCs w:val="22"/>
        </w:rPr>
        <w:t>advises</w:t>
      </w:r>
      <w:r w:rsidRPr="005E5A9A">
        <w:rPr>
          <w:rFonts w:cs="Arial"/>
          <w:szCs w:val="22"/>
        </w:rPr>
        <w:t xml:space="preserve"> that </w:t>
      </w:r>
      <w:r w:rsidRPr="00477F97">
        <w:rPr>
          <w:rFonts w:cs="Arial"/>
          <w:szCs w:val="22"/>
        </w:rPr>
        <w:t>s</w:t>
      </w:r>
      <w:r w:rsidRPr="00477F97">
        <w:rPr>
          <w:rFonts w:cs="Arial"/>
          <w:szCs w:val="22"/>
          <w:lang w:eastAsia="en-AU"/>
        </w:rPr>
        <w:t>ection 2.9.1—15</w:t>
      </w:r>
      <w:r w:rsidRPr="00477F97">
        <w:rPr>
          <w:rFonts w:cs="Arial"/>
          <w:szCs w:val="22"/>
        </w:rPr>
        <w:t xml:space="preserve"> </w:t>
      </w:r>
      <w:r>
        <w:rPr>
          <w:rFonts w:cs="Arial"/>
          <w:szCs w:val="22"/>
        </w:rPr>
        <w:t>– as opposed to</w:t>
      </w:r>
      <w:r w:rsidRPr="005E5A9A">
        <w:rPr>
          <w:rFonts w:cs="Arial"/>
          <w:szCs w:val="22"/>
        </w:rPr>
        <w:t xml:space="preserve"> </w:t>
      </w:r>
      <w:r>
        <w:rPr>
          <w:rFonts w:cs="Arial"/>
          <w:szCs w:val="22"/>
        </w:rPr>
        <w:t xml:space="preserve">section </w:t>
      </w:r>
      <w:r w:rsidRPr="005E5A9A">
        <w:rPr>
          <w:rFonts w:cs="Arial"/>
          <w:szCs w:val="22"/>
        </w:rPr>
        <w:t>2.9.1</w:t>
      </w:r>
      <w:r w:rsidRPr="00477F97">
        <w:rPr>
          <w:rFonts w:cs="Arial" w:hint="eastAsia"/>
          <w:szCs w:val="22"/>
        </w:rPr>
        <w:t>—</w:t>
      </w:r>
      <w:r w:rsidRPr="005E5A9A">
        <w:rPr>
          <w:rFonts w:cs="Arial"/>
          <w:szCs w:val="22"/>
        </w:rPr>
        <w:t xml:space="preserve">9(2) </w:t>
      </w:r>
      <w:r>
        <w:rPr>
          <w:rFonts w:cs="Arial"/>
          <w:szCs w:val="22"/>
        </w:rPr>
        <w:t>–</w:t>
      </w:r>
      <w:r w:rsidRPr="005E5A9A">
        <w:rPr>
          <w:rFonts w:cs="Arial"/>
          <w:szCs w:val="22"/>
        </w:rPr>
        <w:t xml:space="preserve"> </w:t>
      </w:r>
      <w:r w:rsidRPr="00477F97">
        <w:rPr>
          <w:rFonts w:cs="Arial"/>
          <w:szCs w:val="22"/>
        </w:rPr>
        <w:t xml:space="preserve">sets the </w:t>
      </w:r>
      <w:r w:rsidRPr="00477F97">
        <w:rPr>
          <w:rFonts w:cs="Arial"/>
          <w:szCs w:val="22"/>
          <w:lang w:eastAsia="en-AU"/>
        </w:rPr>
        <w:t xml:space="preserve">protein content </w:t>
      </w:r>
      <w:r w:rsidRPr="00477F97">
        <w:rPr>
          <w:rFonts w:cs="Arial"/>
          <w:szCs w:val="22"/>
        </w:rPr>
        <w:t>for infant formula and follow</w:t>
      </w:r>
      <w:r>
        <w:rPr>
          <w:rFonts w:cs="Arial"/>
          <w:szCs w:val="22"/>
        </w:rPr>
        <w:t>-</w:t>
      </w:r>
      <w:r w:rsidRPr="00477F97">
        <w:rPr>
          <w:rFonts w:cs="Arial"/>
          <w:szCs w:val="22"/>
        </w:rPr>
        <w:t xml:space="preserve">on formula that are </w:t>
      </w:r>
      <w:r>
        <w:t xml:space="preserve">for special dietary use </w:t>
      </w:r>
      <w:r w:rsidRPr="00477F97">
        <w:rPr>
          <w:rFonts w:cs="Arial"/>
          <w:szCs w:val="22"/>
        </w:rPr>
        <w:t>based on a *protein substitute</w:t>
      </w:r>
      <w:r>
        <w:rPr>
          <w:rFonts w:cs="Arial"/>
          <w:szCs w:val="22"/>
        </w:rPr>
        <w:t>.</w:t>
      </w:r>
    </w:p>
    <w:sectPr w:rsidR="00D5526B" w:rsidRPr="0010538C"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EF" w:rsidRDefault="002855EF" w:rsidP="0010538C">
      <w:r>
        <w:separator/>
      </w:r>
    </w:p>
  </w:endnote>
  <w:endnote w:type="continuationSeparator" w:id="0">
    <w:p w:rsidR="002855EF" w:rsidRDefault="002855EF" w:rsidP="001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EF" w:rsidRDefault="002855EF" w:rsidP="0010538C">
      <w:r>
        <w:separator/>
      </w:r>
    </w:p>
  </w:footnote>
  <w:footnote w:type="continuationSeparator" w:id="0">
    <w:p w:rsidR="002855EF" w:rsidRDefault="002855EF" w:rsidP="001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8C"/>
    <w:rsid w:val="0000542C"/>
    <w:rsid w:val="00041643"/>
    <w:rsid w:val="000622E7"/>
    <w:rsid w:val="00066854"/>
    <w:rsid w:val="00066D85"/>
    <w:rsid w:val="000A38F8"/>
    <w:rsid w:val="000B0051"/>
    <w:rsid w:val="000F2196"/>
    <w:rsid w:val="0010538C"/>
    <w:rsid w:val="001734EA"/>
    <w:rsid w:val="00184403"/>
    <w:rsid w:val="00191770"/>
    <w:rsid w:val="001C5126"/>
    <w:rsid w:val="001E696B"/>
    <w:rsid w:val="002232B1"/>
    <w:rsid w:val="00234C31"/>
    <w:rsid w:val="002855EF"/>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81A0"/>
  <w15:chartTrackingRefBased/>
  <w15:docId w15:val="{7205DBEA-23D8-471C-B1F6-F8D4085F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10538C"/>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EC65E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locked/>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locked/>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04702"/>
    <w:pPr>
      <w:widowControl/>
    </w:pPr>
    <w:rPr>
      <w:sz w:val="16"/>
      <w:szCs w:val="20"/>
      <w:lang w:bidi="ar-SA"/>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locked/>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2163-D7B2-42B1-B53C-B83B613E12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3CCCEBA-F8C5-4E1B-BFC2-C6D393A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Explanatory Statement</vt:lpstr>
    </vt:vector>
  </TitlesOfParts>
  <Company>Food Standards Australia New Zealand</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2</cp:revision>
  <dcterms:created xsi:type="dcterms:W3CDTF">2019-12-02T11:12:00Z</dcterms:created>
  <dcterms:modified xsi:type="dcterms:W3CDTF">2019-12-02T11:14:00Z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10943454-e6c6-410d-af24-cd9613a459bf</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ies>
</file>