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B0C2" w14:textId="0DC88667" w:rsidR="00FE5D7D" w:rsidRPr="00FE5D7D" w:rsidRDefault="00D82614" w:rsidP="00FE5D7D">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Superannuation (prudential standard</w:t>
      </w:r>
      <w:r w:rsidR="00FE5D7D" w:rsidRPr="00FE5D7D">
        <w:rPr>
          <w:rFonts w:ascii="Times New Roman" w:eastAsia="Times New Roman" w:hAnsi="Times New Roman" w:cs="Times New Roman"/>
          <w:b/>
          <w:bCs/>
          <w:sz w:val="24"/>
          <w:szCs w:val="24"/>
          <w:lang w:eastAsia="en-AU"/>
        </w:rPr>
        <w:t xml:space="preserve">) determination </w:t>
      </w:r>
      <w:r w:rsidR="007C4EBB">
        <w:rPr>
          <w:rFonts w:ascii="Times New Roman" w:eastAsia="Times New Roman" w:hAnsi="Times New Roman" w:cs="Times New Roman"/>
          <w:b/>
          <w:bCs/>
          <w:sz w:val="24"/>
          <w:szCs w:val="24"/>
          <w:lang w:eastAsia="en-AU"/>
        </w:rPr>
        <w:t>Nos.</w:t>
      </w:r>
      <w:r w:rsidR="0085496D">
        <w:rPr>
          <w:rFonts w:ascii="Times New Roman" w:eastAsia="Times New Roman" w:hAnsi="Times New Roman" w:cs="Times New Roman"/>
          <w:b/>
          <w:bCs/>
          <w:sz w:val="24"/>
          <w:szCs w:val="24"/>
          <w:lang w:eastAsia="en-AU"/>
        </w:rPr>
        <w:t xml:space="preserve"> </w:t>
      </w:r>
      <w:r w:rsidR="00FF12AD">
        <w:rPr>
          <w:rFonts w:ascii="Times New Roman" w:eastAsia="Times New Roman" w:hAnsi="Times New Roman" w:cs="Times New Roman"/>
          <w:b/>
          <w:bCs/>
          <w:sz w:val="24"/>
          <w:szCs w:val="24"/>
          <w:lang w:eastAsia="en-AU"/>
        </w:rPr>
        <w:t>2 and 3</w:t>
      </w:r>
      <w:r w:rsidRPr="00D82614">
        <w:rPr>
          <w:rFonts w:ascii="Times New Roman" w:eastAsia="Times New Roman" w:hAnsi="Times New Roman" w:cs="Times New Roman"/>
          <w:b/>
          <w:bCs/>
          <w:sz w:val="24"/>
          <w:szCs w:val="24"/>
          <w:lang w:eastAsia="en-AU"/>
        </w:rPr>
        <w:t xml:space="preserve"> </w:t>
      </w:r>
      <w:r w:rsidR="00FE5D7D" w:rsidRPr="00FE5D7D">
        <w:rPr>
          <w:rFonts w:ascii="Times New Roman" w:eastAsia="Times New Roman" w:hAnsi="Times New Roman" w:cs="Times New Roman"/>
          <w:b/>
          <w:bCs/>
          <w:sz w:val="24"/>
          <w:szCs w:val="24"/>
          <w:lang w:eastAsia="en-AU"/>
        </w:rPr>
        <w:t>of 201</w:t>
      </w:r>
      <w:r>
        <w:rPr>
          <w:rFonts w:ascii="Times New Roman" w:eastAsia="Times New Roman" w:hAnsi="Times New Roman" w:cs="Times New Roman"/>
          <w:b/>
          <w:bCs/>
          <w:sz w:val="24"/>
          <w:szCs w:val="24"/>
          <w:lang w:eastAsia="en-AU"/>
        </w:rPr>
        <w:t>9</w:t>
      </w:r>
    </w:p>
    <w:p w14:paraId="282DE310" w14:textId="77777777" w:rsidR="00FE5D7D" w:rsidRPr="00FE5D7D" w:rsidRDefault="00FE5D7D" w:rsidP="00FE5D7D">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bookmarkStart w:id="0" w:name="bkStart"/>
      <w:bookmarkStart w:id="1" w:name="bkInstrumentSubTitle"/>
      <w:bookmarkEnd w:id="0"/>
      <w:bookmarkEnd w:id="1"/>
      <w:r w:rsidRPr="00FE5D7D">
        <w:rPr>
          <w:rFonts w:ascii="Times New Roman" w:eastAsia="Times New Roman" w:hAnsi="Times New Roman" w:cs="Times New Roman"/>
          <w:b/>
          <w:bCs/>
          <w:sz w:val="24"/>
          <w:szCs w:val="24"/>
          <w:u w:val="single"/>
          <w:lang w:eastAsia="en-AU"/>
        </w:rPr>
        <w:t>EXPLANATORY STATEMENT</w:t>
      </w:r>
    </w:p>
    <w:p w14:paraId="036C9576" w14:textId="77777777" w:rsidR="00FE5D7D" w:rsidRPr="00FE5D7D" w:rsidRDefault="00FE5D7D" w:rsidP="00FE5D7D">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Prepared by the Australian Prudential Regulation Authority (APRA)</w:t>
      </w:r>
    </w:p>
    <w:p w14:paraId="77AE8FA1" w14:textId="77777777" w:rsidR="00FE5D7D" w:rsidRPr="00FE5D7D" w:rsidRDefault="007C4EBB" w:rsidP="00FE5D7D">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bookmarkStart w:id="2" w:name="bkExplanatory"/>
      <w:bookmarkStart w:id="3" w:name="bkAct"/>
      <w:bookmarkEnd w:id="2"/>
      <w:bookmarkEnd w:id="3"/>
      <w:r>
        <w:rPr>
          <w:rFonts w:ascii="&amp;quot" w:hAnsi="&amp;quot"/>
          <w:i/>
          <w:iCs/>
          <w:color w:val="000000"/>
        </w:rPr>
        <w:t>Superannuation Industry (Supervision) Act 1993,</w:t>
      </w:r>
      <w:r w:rsidR="00CA48D5">
        <w:rPr>
          <w:rFonts w:ascii="&amp;quot" w:hAnsi="&amp;quot"/>
          <w:color w:val="000000"/>
        </w:rPr>
        <w:t xml:space="preserve"> section 34C</w:t>
      </w:r>
    </w:p>
    <w:p w14:paraId="7EC9036D" w14:textId="77777777" w:rsidR="00CA48D5" w:rsidRDefault="00CA48D5" w:rsidP="00FE5D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CA48D5">
        <w:rPr>
          <w:rFonts w:ascii="Times New Roman" w:eastAsia="Times New Roman" w:hAnsi="Times New Roman" w:cs="Times New Roman"/>
          <w:sz w:val="24"/>
          <w:szCs w:val="24"/>
          <w:lang w:eastAsia="en-AU"/>
        </w:rPr>
        <w:t xml:space="preserve">Under subsection </w:t>
      </w:r>
      <w:proofErr w:type="gramStart"/>
      <w:r w:rsidRPr="00CA48D5">
        <w:rPr>
          <w:rFonts w:ascii="Times New Roman" w:eastAsia="Times New Roman" w:hAnsi="Times New Roman" w:cs="Times New Roman"/>
          <w:sz w:val="24"/>
          <w:szCs w:val="24"/>
          <w:lang w:eastAsia="en-AU"/>
        </w:rPr>
        <w:t>34C(</w:t>
      </w:r>
      <w:proofErr w:type="gramEnd"/>
      <w:r w:rsidRPr="00CA48D5">
        <w:rPr>
          <w:rFonts w:ascii="Times New Roman" w:eastAsia="Times New Roman" w:hAnsi="Times New Roman" w:cs="Times New Roman"/>
          <w:sz w:val="24"/>
          <w:szCs w:val="24"/>
          <w:lang w:eastAsia="en-AU"/>
        </w:rPr>
        <w:t xml:space="preserve">1) of the </w:t>
      </w:r>
      <w:r w:rsidRPr="00767676">
        <w:rPr>
          <w:rFonts w:ascii="Times New Roman" w:eastAsia="Times New Roman" w:hAnsi="Times New Roman" w:cs="Times New Roman"/>
          <w:i/>
          <w:sz w:val="24"/>
          <w:szCs w:val="24"/>
          <w:lang w:eastAsia="en-AU"/>
        </w:rPr>
        <w:t>Superannuation Industry (Supervision) Act 1993</w:t>
      </w:r>
      <w:r w:rsidRPr="00CA48D5">
        <w:rPr>
          <w:rFonts w:ascii="Times New Roman" w:eastAsia="Times New Roman" w:hAnsi="Times New Roman" w:cs="Times New Roman"/>
          <w:sz w:val="24"/>
          <w:szCs w:val="24"/>
          <w:lang w:eastAsia="en-AU"/>
        </w:rPr>
        <w:t xml:space="preserve"> (the Act), APRA has the power to determine standards (prudential standards), in writing, in relation to prudential matters to be complied with by all RSE licensees of registrable superannuation entities (RSEs). </w:t>
      </w:r>
    </w:p>
    <w:p w14:paraId="7F3F9DB5" w14:textId="26C3C1E5" w:rsidR="00FE5D7D" w:rsidRPr="0033343C" w:rsidRDefault="00FE5D7D" w:rsidP="0033343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FE5D7D">
        <w:rPr>
          <w:rFonts w:ascii="Times New Roman" w:eastAsia="Times New Roman" w:hAnsi="Times New Roman" w:cs="Times New Roman"/>
          <w:sz w:val="24"/>
          <w:szCs w:val="24"/>
          <w:lang w:eastAsia="en-AU"/>
        </w:rPr>
        <w:t>On</w:t>
      </w:r>
      <w:r w:rsidR="0033343C">
        <w:rPr>
          <w:rFonts w:ascii="Times New Roman" w:eastAsia="Times New Roman" w:hAnsi="Times New Roman" w:cs="Times New Roman"/>
          <w:sz w:val="24"/>
          <w:szCs w:val="24"/>
          <w:lang w:eastAsia="en-AU"/>
        </w:rPr>
        <w:t xml:space="preserve"> </w:t>
      </w:r>
      <w:r w:rsidR="00B505E4">
        <w:rPr>
          <w:rFonts w:ascii="Times New Roman" w:eastAsia="Times New Roman" w:hAnsi="Times New Roman" w:cs="Times New Roman"/>
          <w:sz w:val="24"/>
          <w:szCs w:val="24"/>
          <w:lang w:eastAsia="en-AU"/>
        </w:rPr>
        <w:t>2</w:t>
      </w:r>
      <w:bookmarkStart w:id="4" w:name="_GoBack"/>
      <w:bookmarkEnd w:id="4"/>
      <w:r w:rsidR="00026DAF">
        <w:rPr>
          <w:rFonts w:ascii="Times New Roman" w:eastAsia="Times New Roman" w:hAnsi="Times New Roman" w:cs="Times New Roman"/>
          <w:sz w:val="24"/>
          <w:szCs w:val="24"/>
          <w:lang w:eastAsia="en-AU"/>
        </w:rPr>
        <w:t xml:space="preserve"> December</w:t>
      </w:r>
      <w:r w:rsidRPr="00FE5D7D">
        <w:rPr>
          <w:rFonts w:ascii="Times New Roman" w:eastAsia="Times New Roman" w:hAnsi="Times New Roman" w:cs="Times New Roman"/>
          <w:sz w:val="24"/>
          <w:szCs w:val="24"/>
          <w:lang w:eastAsia="en-AU"/>
        </w:rPr>
        <w:t xml:space="preserve"> 201</w:t>
      </w:r>
      <w:r w:rsidR="00CA48D5">
        <w:rPr>
          <w:rFonts w:ascii="Times New Roman" w:eastAsia="Times New Roman" w:hAnsi="Times New Roman" w:cs="Times New Roman"/>
          <w:sz w:val="24"/>
          <w:szCs w:val="24"/>
          <w:lang w:eastAsia="en-AU"/>
        </w:rPr>
        <w:t>9</w:t>
      </w:r>
      <w:r w:rsidR="0033343C">
        <w:rPr>
          <w:rFonts w:ascii="Times New Roman" w:eastAsia="Times New Roman" w:hAnsi="Times New Roman" w:cs="Times New Roman"/>
          <w:sz w:val="24"/>
          <w:szCs w:val="24"/>
          <w:lang w:eastAsia="en-AU"/>
        </w:rPr>
        <w:t>,</w:t>
      </w:r>
      <w:r w:rsidRPr="00FE5D7D">
        <w:rPr>
          <w:rFonts w:ascii="Times New Roman" w:eastAsia="Times New Roman" w:hAnsi="Times New Roman" w:cs="Times New Roman"/>
          <w:sz w:val="24"/>
          <w:szCs w:val="24"/>
          <w:lang w:eastAsia="en-AU"/>
        </w:rPr>
        <w:t xml:space="preserve"> APRA made </w:t>
      </w:r>
      <w:r w:rsidR="00052D5A">
        <w:rPr>
          <w:rFonts w:ascii="Times New Roman" w:eastAsia="Times New Roman" w:hAnsi="Times New Roman" w:cs="Times New Roman"/>
          <w:sz w:val="24"/>
          <w:szCs w:val="24"/>
          <w:lang w:val="en-US" w:eastAsia="en-AU"/>
        </w:rPr>
        <w:t>Superannuation</w:t>
      </w:r>
      <w:r w:rsidRPr="00FE5D7D">
        <w:rPr>
          <w:rFonts w:ascii="Times New Roman" w:eastAsia="Times New Roman" w:hAnsi="Times New Roman" w:cs="Times New Roman"/>
          <w:sz w:val="24"/>
          <w:szCs w:val="24"/>
          <w:lang w:val="en-US" w:eastAsia="en-AU"/>
        </w:rPr>
        <w:t xml:space="preserve"> (prudential standards) determination No. </w:t>
      </w:r>
      <w:r w:rsidR="00052D5A">
        <w:rPr>
          <w:rFonts w:ascii="Times New Roman" w:eastAsia="Times New Roman" w:hAnsi="Times New Roman" w:cs="Times New Roman"/>
          <w:sz w:val="24"/>
          <w:szCs w:val="24"/>
          <w:lang w:val="en-US" w:eastAsia="en-AU"/>
        </w:rPr>
        <w:t>2</w:t>
      </w:r>
      <w:r w:rsidRPr="00FE5D7D">
        <w:rPr>
          <w:rFonts w:ascii="Times New Roman" w:eastAsia="Times New Roman" w:hAnsi="Times New Roman" w:cs="Times New Roman"/>
          <w:sz w:val="24"/>
          <w:szCs w:val="24"/>
          <w:lang w:val="en-US" w:eastAsia="en-AU"/>
        </w:rPr>
        <w:t xml:space="preserve"> of 201</w:t>
      </w:r>
      <w:r w:rsidR="00052D5A">
        <w:rPr>
          <w:rFonts w:ascii="Times New Roman" w:eastAsia="Times New Roman" w:hAnsi="Times New Roman" w:cs="Times New Roman"/>
          <w:sz w:val="24"/>
          <w:szCs w:val="24"/>
          <w:lang w:val="en-US" w:eastAsia="en-AU"/>
        </w:rPr>
        <w:t>9</w:t>
      </w:r>
      <w:r w:rsidRPr="00FE5D7D">
        <w:rPr>
          <w:rFonts w:ascii="Times New Roman" w:eastAsia="Times New Roman" w:hAnsi="Times New Roman" w:cs="Times New Roman"/>
          <w:sz w:val="24"/>
          <w:szCs w:val="24"/>
          <w:lang w:val="en-US" w:eastAsia="en-AU"/>
        </w:rPr>
        <w:t xml:space="preserve"> which </w:t>
      </w:r>
      <w:r w:rsidRPr="00FE5D7D">
        <w:rPr>
          <w:rFonts w:ascii="Times New Roman" w:eastAsia="Times New Roman" w:hAnsi="Times New Roman" w:cs="Times New Roman"/>
          <w:sz w:val="24"/>
          <w:szCs w:val="24"/>
          <w:lang w:eastAsia="en-AU"/>
        </w:rPr>
        <w:t xml:space="preserve">determines a </w:t>
      </w:r>
      <w:r w:rsidRPr="00FE5D7D">
        <w:rPr>
          <w:rFonts w:ascii="Times New Roman" w:eastAsia="Times New Roman" w:hAnsi="Times New Roman" w:cs="Times New Roman"/>
          <w:sz w:val="24"/>
          <w:szCs w:val="24"/>
          <w:shd w:val="clear" w:color="auto" w:fill="FFFFFF"/>
          <w:lang w:eastAsia="en-AU"/>
        </w:rPr>
        <w:t>new</w:t>
      </w:r>
      <w:r w:rsidRPr="00FE5D7D">
        <w:rPr>
          <w:rFonts w:ascii="Times New Roman" w:eastAsia="Times New Roman" w:hAnsi="Times New Roman" w:cs="Times New Roman"/>
          <w:i/>
          <w:iCs/>
          <w:sz w:val="24"/>
          <w:szCs w:val="24"/>
          <w:lang w:eastAsia="en-AU"/>
        </w:rPr>
        <w:t xml:space="preserve"> Prudential Standard </w:t>
      </w:r>
      <w:r w:rsidR="00052D5A">
        <w:rPr>
          <w:rFonts w:ascii="Times New Roman" w:eastAsia="Times New Roman" w:hAnsi="Times New Roman" w:cs="Times New Roman"/>
          <w:i/>
          <w:iCs/>
          <w:sz w:val="24"/>
          <w:szCs w:val="24"/>
          <w:lang w:eastAsia="en-AU"/>
        </w:rPr>
        <w:t>SPS</w:t>
      </w:r>
      <w:r w:rsidRPr="00FE5D7D">
        <w:rPr>
          <w:rFonts w:ascii="Times New Roman" w:eastAsia="Times New Roman" w:hAnsi="Times New Roman" w:cs="Times New Roman"/>
          <w:i/>
          <w:iCs/>
          <w:sz w:val="24"/>
          <w:szCs w:val="24"/>
          <w:lang w:eastAsia="en-AU"/>
        </w:rPr>
        <w:t xml:space="preserve"> </w:t>
      </w:r>
      <w:r w:rsidR="00052D5A">
        <w:rPr>
          <w:rFonts w:ascii="Times New Roman" w:eastAsia="Times New Roman" w:hAnsi="Times New Roman" w:cs="Times New Roman"/>
          <w:i/>
          <w:iCs/>
          <w:sz w:val="24"/>
          <w:szCs w:val="24"/>
          <w:lang w:eastAsia="en-AU"/>
        </w:rPr>
        <w:t>515</w:t>
      </w:r>
      <w:r w:rsidRPr="00FE5D7D">
        <w:rPr>
          <w:rFonts w:ascii="Times New Roman" w:eastAsia="Times New Roman" w:hAnsi="Times New Roman" w:cs="Times New Roman"/>
          <w:i/>
          <w:iCs/>
          <w:sz w:val="24"/>
          <w:szCs w:val="24"/>
          <w:lang w:eastAsia="en-AU"/>
        </w:rPr>
        <w:t xml:space="preserve"> </w:t>
      </w:r>
      <w:r w:rsidR="00052D5A">
        <w:rPr>
          <w:rFonts w:ascii="Times New Roman" w:eastAsia="Times New Roman" w:hAnsi="Times New Roman" w:cs="Times New Roman"/>
          <w:i/>
          <w:iCs/>
          <w:sz w:val="24"/>
          <w:szCs w:val="24"/>
          <w:lang w:eastAsia="en-AU"/>
        </w:rPr>
        <w:t>Strategic Planning and Member Outcomes</w:t>
      </w:r>
      <w:r w:rsidRPr="00FE5D7D">
        <w:rPr>
          <w:rFonts w:ascii="Times New Roman" w:eastAsia="Times New Roman" w:hAnsi="Times New Roman" w:cs="Times New Roman"/>
          <w:i/>
          <w:iCs/>
          <w:sz w:val="24"/>
          <w:szCs w:val="24"/>
          <w:lang w:eastAsia="en-AU"/>
        </w:rPr>
        <w:t xml:space="preserve"> </w:t>
      </w:r>
      <w:r w:rsidRPr="00FE5D7D">
        <w:rPr>
          <w:rFonts w:ascii="Times New Roman" w:eastAsia="Times New Roman" w:hAnsi="Times New Roman" w:cs="Times New Roman"/>
          <w:sz w:val="24"/>
          <w:szCs w:val="24"/>
          <w:lang w:eastAsia="en-AU"/>
        </w:rPr>
        <w:t>(</w:t>
      </w:r>
      <w:r w:rsidR="00052D5A">
        <w:rPr>
          <w:rFonts w:ascii="Times New Roman" w:eastAsia="Times New Roman" w:hAnsi="Times New Roman" w:cs="Times New Roman"/>
          <w:sz w:val="24"/>
          <w:szCs w:val="24"/>
          <w:lang w:eastAsia="en-AU"/>
        </w:rPr>
        <w:t>SP</w:t>
      </w:r>
      <w:r w:rsidRPr="00FE5D7D">
        <w:rPr>
          <w:rFonts w:ascii="Times New Roman" w:eastAsia="Times New Roman" w:hAnsi="Times New Roman" w:cs="Times New Roman"/>
          <w:sz w:val="24"/>
          <w:szCs w:val="24"/>
          <w:lang w:eastAsia="en-AU"/>
        </w:rPr>
        <w:t xml:space="preserve">S </w:t>
      </w:r>
      <w:r w:rsidR="00052D5A">
        <w:rPr>
          <w:rFonts w:ascii="Times New Roman" w:eastAsia="Times New Roman" w:hAnsi="Times New Roman" w:cs="Times New Roman"/>
          <w:sz w:val="24"/>
          <w:szCs w:val="24"/>
          <w:lang w:eastAsia="en-AU"/>
        </w:rPr>
        <w:t>515</w:t>
      </w:r>
      <w:r w:rsidRPr="00FE5D7D">
        <w:rPr>
          <w:rFonts w:ascii="Times New Roman" w:eastAsia="Times New Roman" w:hAnsi="Times New Roman" w:cs="Times New Roman"/>
          <w:sz w:val="24"/>
          <w:szCs w:val="24"/>
          <w:lang w:eastAsia="en-AU"/>
        </w:rPr>
        <w:t>)</w:t>
      </w:r>
      <w:r w:rsidR="0033343C">
        <w:rPr>
          <w:rFonts w:ascii="Times New Roman" w:eastAsia="Times New Roman" w:hAnsi="Times New Roman" w:cs="Times New Roman"/>
          <w:sz w:val="24"/>
          <w:szCs w:val="24"/>
          <w:lang w:val="en-US" w:eastAsia="en-AU"/>
        </w:rPr>
        <w:t>.</w:t>
      </w:r>
    </w:p>
    <w:p w14:paraId="6BB58372" w14:textId="7365939D" w:rsidR="00FF12AD" w:rsidRPr="00FE5D7D" w:rsidRDefault="0033343C" w:rsidP="0033343C">
      <w:pPr>
        <w:shd w:val="clear" w:color="auto" w:fill="FFFFFF"/>
        <w:spacing w:before="100" w:beforeAutospacing="1" w:after="240" w:line="240" w:lineRule="auto"/>
        <w:jc w:val="both"/>
        <w:rPr>
          <w:rFonts w:ascii="Arial" w:eastAsia="Times New Roman" w:hAnsi="Arial" w:cs="Arial"/>
          <w:sz w:val="19"/>
          <w:szCs w:val="19"/>
          <w:lang w:val="en-US" w:eastAsia="en-AU"/>
        </w:rPr>
      </w:pPr>
      <w:r>
        <w:rPr>
          <w:rFonts w:ascii="Times New Roman" w:eastAsia="Times New Roman" w:hAnsi="Times New Roman" w:cs="Times New Roman"/>
          <w:sz w:val="24"/>
          <w:szCs w:val="24"/>
          <w:lang w:val="en-US" w:eastAsia="en-AU"/>
        </w:rPr>
        <w:t xml:space="preserve">On </w:t>
      </w:r>
      <w:r w:rsidR="00B505E4">
        <w:rPr>
          <w:rFonts w:ascii="Times New Roman" w:eastAsia="Times New Roman" w:hAnsi="Times New Roman" w:cs="Times New Roman"/>
          <w:sz w:val="24"/>
          <w:szCs w:val="24"/>
          <w:lang w:val="en-US" w:eastAsia="en-AU"/>
        </w:rPr>
        <w:t>4</w:t>
      </w:r>
      <w:r>
        <w:rPr>
          <w:rFonts w:ascii="Times New Roman" w:eastAsia="Times New Roman" w:hAnsi="Times New Roman" w:cs="Times New Roman"/>
          <w:sz w:val="24"/>
          <w:szCs w:val="24"/>
          <w:lang w:val="en-US" w:eastAsia="en-AU"/>
        </w:rPr>
        <w:t xml:space="preserve"> December 2019, APRA made </w:t>
      </w:r>
      <w:r w:rsidR="00FF12AD">
        <w:rPr>
          <w:rFonts w:ascii="Times New Roman" w:eastAsia="Times New Roman" w:hAnsi="Times New Roman" w:cs="Times New Roman"/>
          <w:sz w:val="24"/>
          <w:szCs w:val="24"/>
          <w:lang w:val="en-US" w:eastAsia="en-AU"/>
        </w:rPr>
        <w:t>Superannuation</w:t>
      </w:r>
      <w:r w:rsidR="00FF12AD" w:rsidRPr="00FE5D7D">
        <w:rPr>
          <w:rFonts w:ascii="Times New Roman" w:eastAsia="Times New Roman" w:hAnsi="Times New Roman" w:cs="Times New Roman"/>
          <w:sz w:val="24"/>
          <w:szCs w:val="24"/>
          <w:lang w:val="en-US" w:eastAsia="en-AU"/>
        </w:rPr>
        <w:t xml:space="preserve"> (prudential standard</w:t>
      </w:r>
      <w:r w:rsidR="00FF12AD">
        <w:rPr>
          <w:rFonts w:ascii="Times New Roman" w:eastAsia="Times New Roman" w:hAnsi="Times New Roman" w:cs="Times New Roman"/>
          <w:sz w:val="24"/>
          <w:szCs w:val="24"/>
          <w:lang w:val="en-US" w:eastAsia="en-AU"/>
        </w:rPr>
        <w:t>s</w:t>
      </w:r>
      <w:r>
        <w:rPr>
          <w:rFonts w:ascii="Times New Roman" w:eastAsia="Times New Roman" w:hAnsi="Times New Roman" w:cs="Times New Roman"/>
          <w:sz w:val="24"/>
          <w:szCs w:val="24"/>
          <w:lang w:val="en-US" w:eastAsia="en-AU"/>
        </w:rPr>
        <w:t xml:space="preserve">) determination No. </w:t>
      </w:r>
      <w:r w:rsidR="00FF12AD">
        <w:rPr>
          <w:rFonts w:ascii="Times New Roman" w:eastAsia="Times New Roman" w:hAnsi="Times New Roman" w:cs="Times New Roman"/>
          <w:sz w:val="24"/>
          <w:szCs w:val="24"/>
          <w:lang w:val="en-US" w:eastAsia="en-AU"/>
        </w:rPr>
        <w:t>3</w:t>
      </w:r>
      <w:r w:rsidR="00FF12AD" w:rsidRPr="00FE5D7D">
        <w:rPr>
          <w:rFonts w:ascii="Times New Roman" w:eastAsia="Times New Roman" w:hAnsi="Times New Roman" w:cs="Times New Roman"/>
          <w:sz w:val="24"/>
          <w:szCs w:val="24"/>
          <w:lang w:val="en-US" w:eastAsia="en-AU"/>
        </w:rPr>
        <w:t xml:space="preserve"> of 201</w:t>
      </w:r>
      <w:r w:rsidR="00FF12AD">
        <w:rPr>
          <w:rFonts w:ascii="Times New Roman" w:eastAsia="Times New Roman" w:hAnsi="Times New Roman" w:cs="Times New Roman"/>
          <w:sz w:val="24"/>
          <w:szCs w:val="24"/>
          <w:lang w:val="en-US" w:eastAsia="en-AU"/>
        </w:rPr>
        <w:t>9</w:t>
      </w:r>
      <w:r w:rsidR="00FF12AD" w:rsidRPr="00FE5D7D">
        <w:rPr>
          <w:rFonts w:ascii="Times New Roman" w:eastAsia="Times New Roman" w:hAnsi="Times New Roman" w:cs="Times New Roman"/>
          <w:sz w:val="24"/>
          <w:szCs w:val="24"/>
          <w:lang w:val="en-US" w:eastAsia="en-AU"/>
        </w:rPr>
        <w:t xml:space="preserve">, which </w:t>
      </w:r>
      <w:r w:rsidR="00FF12AD" w:rsidRPr="00FE5D7D">
        <w:rPr>
          <w:rFonts w:ascii="Times New Roman" w:eastAsia="Times New Roman" w:hAnsi="Times New Roman" w:cs="Times New Roman"/>
          <w:sz w:val="24"/>
          <w:szCs w:val="24"/>
          <w:shd w:val="clear" w:color="auto" w:fill="FFFFFF"/>
          <w:lang w:eastAsia="en-AU"/>
        </w:rPr>
        <w:t>revokes</w:t>
      </w:r>
      <w:r w:rsidR="00FF12AD" w:rsidRPr="00FE5D7D">
        <w:rPr>
          <w:rFonts w:ascii="Times New Roman" w:eastAsia="Times New Roman" w:hAnsi="Times New Roman" w:cs="Times New Roman"/>
          <w:sz w:val="24"/>
          <w:szCs w:val="24"/>
          <w:lang w:eastAsia="en-AU"/>
        </w:rPr>
        <w:t xml:space="preserve"> </w:t>
      </w:r>
      <w:r w:rsidR="00FF12AD" w:rsidRPr="00FE5D7D">
        <w:rPr>
          <w:rFonts w:ascii="Times New Roman" w:eastAsia="Times New Roman" w:hAnsi="Times New Roman" w:cs="Times New Roman"/>
          <w:i/>
          <w:iCs/>
          <w:sz w:val="24"/>
          <w:szCs w:val="24"/>
          <w:lang w:eastAsia="en-AU"/>
        </w:rPr>
        <w:t>Prudential Standard</w:t>
      </w:r>
      <w:r w:rsidR="00FF12AD" w:rsidRPr="00FE5D7D">
        <w:rPr>
          <w:rFonts w:ascii="Times New Roman" w:eastAsia="Times New Roman" w:hAnsi="Times New Roman" w:cs="Times New Roman"/>
          <w:sz w:val="24"/>
          <w:szCs w:val="24"/>
          <w:lang w:eastAsia="en-AU"/>
        </w:rPr>
        <w:t xml:space="preserve"> </w:t>
      </w:r>
      <w:r w:rsidR="00FF12AD">
        <w:rPr>
          <w:rFonts w:ascii="Times New Roman" w:eastAsia="Times New Roman" w:hAnsi="Times New Roman" w:cs="Times New Roman"/>
          <w:i/>
          <w:iCs/>
          <w:sz w:val="24"/>
          <w:szCs w:val="24"/>
          <w:lang w:val="en-US" w:eastAsia="en-AU"/>
        </w:rPr>
        <w:t>SPS</w:t>
      </w:r>
      <w:r w:rsidR="00FF12AD" w:rsidRPr="00FE5D7D">
        <w:rPr>
          <w:rFonts w:ascii="Times New Roman" w:eastAsia="Times New Roman" w:hAnsi="Times New Roman" w:cs="Times New Roman"/>
          <w:i/>
          <w:iCs/>
          <w:sz w:val="24"/>
          <w:szCs w:val="24"/>
          <w:lang w:val="en-US" w:eastAsia="en-AU"/>
        </w:rPr>
        <w:t xml:space="preserve"> </w:t>
      </w:r>
      <w:r w:rsidR="00FF12AD">
        <w:rPr>
          <w:rFonts w:ascii="Times New Roman" w:eastAsia="Times New Roman" w:hAnsi="Times New Roman" w:cs="Times New Roman"/>
          <w:i/>
          <w:iCs/>
          <w:sz w:val="24"/>
          <w:szCs w:val="24"/>
          <w:lang w:val="en-US" w:eastAsia="en-AU"/>
        </w:rPr>
        <w:t>2</w:t>
      </w:r>
      <w:r w:rsidR="00FF12AD" w:rsidRPr="00FE5D7D">
        <w:rPr>
          <w:rFonts w:ascii="Times New Roman" w:eastAsia="Times New Roman" w:hAnsi="Times New Roman" w:cs="Times New Roman"/>
          <w:i/>
          <w:iCs/>
          <w:sz w:val="24"/>
          <w:szCs w:val="24"/>
          <w:lang w:val="en-US" w:eastAsia="en-AU"/>
        </w:rPr>
        <w:t xml:space="preserve">20 </w:t>
      </w:r>
      <w:r w:rsidR="00FF12AD">
        <w:rPr>
          <w:rFonts w:ascii="Times New Roman" w:eastAsia="Times New Roman" w:hAnsi="Times New Roman" w:cs="Times New Roman"/>
          <w:i/>
          <w:iCs/>
          <w:sz w:val="24"/>
          <w:szCs w:val="24"/>
          <w:lang w:val="en-US" w:eastAsia="en-AU"/>
        </w:rPr>
        <w:t>Risk Management</w:t>
      </w:r>
      <w:r w:rsidR="00FF12AD" w:rsidRPr="00FE5D7D">
        <w:rPr>
          <w:rFonts w:ascii="Times New Roman" w:eastAsia="Times New Roman" w:hAnsi="Times New Roman" w:cs="Times New Roman"/>
          <w:i/>
          <w:iCs/>
          <w:sz w:val="24"/>
          <w:szCs w:val="24"/>
          <w:lang w:val="en-US" w:eastAsia="en-AU"/>
        </w:rPr>
        <w:t xml:space="preserve"> </w:t>
      </w:r>
      <w:r w:rsidR="00FF12AD">
        <w:rPr>
          <w:rFonts w:ascii="Times New Roman" w:eastAsia="Times New Roman" w:hAnsi="Times New Roman" w:cs="Times New Roman"/>
          <w:iCs/>
          <w:sz w:val="24"/>
          <w:szCs w:val="24"/>
          <w:lang w:val="en-US" w:eastAsia="en-AU"/>
        </w:rPr>
        <w:t xml:space="preserve">(existing SPS 220) </w:t>
      </w:r>
      <w:r w:rsidR="00FF12AD" w:rsidRPr="00FE5D7D">
        <w:rPr>
          <w:rFonts w:ascii="Times New Roman" w:eastAsia="Times New Roman" w:hAnsi="Times New Roman" w:cs="Times New Roman"/>
          <w:sz w:val="24"/>
          <w:szCs w:val="24"/>
          <w:lang w:eastAsia="en-AU"/>
        </w:rPr>
        <w:t xml:space="preserve">made under </w:t>
      </w:r>
      <w:r w:rsidR="00FF12AD">
        <w:rPr>
          <w:rFonts w:ascii="Times New Roman" w:eastAsia="Times New Roman" w:hAnsi="Times New Roman" w:cs="Times New Roman"/>
          <w:sz w:val="24"/>
          <w:szCs w:val="24"/>
          <w:lang w:eastAsia="en-AU"/>
        </w:rPr>
        <w:t>Superannuation</w:t>
      </w:r>
      <w:r w:rsidR="00FF12AD" w:rsidRPr="00FE5D7D">
        <w:rPr>
          <w:rFonts w:ascii="Times New Roman" w:eastAsia="Times New Roman" w:hAnsi="Times New Roman" w:cs="Times New Roman"/>
          <w:sz w:val="24"/>
          <w:szCs w:val="24"/>
          <w:lang w:eastAsia="en-AU"/>
        </w:rPr>
        <w:t xml:space="preserve"> determination No. </w:t>
      </w:r>
      <w:r w:rsidR="00FF12AD">
        <w:rPr>
          <w:rFonts w:ascii="Times New Roman" w:eastAsia="Times New Roman" w:hAnsi="Times New Roman" w:cs="Times New Roman"/>
          <w:sz w:val="24"/>
          <w:szCs w:val="24"/>
          <w:lang w:eastAsia="en-AU"/>
        </w:rPr>
        <w:t>2</w:t>
      </w:r>
      <w:r w:rsidR="00FF12AD" w:rsidRPr="00FE5D7D">
        <w:rPr>
          <w:rFonts w:ascii="Times New Roman" w:eastAsia="Times New Roman" w:hAnsi="Times New Roman" w:cs="Times New Roman"/>
          <w:sz w:val="24"/>
          <w:szCs w:val="24"/>
          <w:lang w:eastAsia="en-AU"/>
        </w:rPr>
        <w:t xml:space="preserve"> of 201</w:t>
      </w:r>
      <w:r w:rsidR="00FF12AD">
        <w:rPr>
          <w:rFonts w:ascii="Times New Roman" w:eastAsia="Times New Roman" w:hAnsi="Times New Roman" w:cs="Times New Roman"/>
          <w:sz w:val="24"/>
          <w:szCs w:val="24"/>
          <w:lang w:eastAsia="en-AU"/>
        </w:rPr>
        <w:t xml:space="preserve">2 </w:t>
      </w:r>
      <w:r w:rsidR="00FF12AD" w:rsidRPr="00FE5D7D">
        <w:rPr>
          <w:rFonts w:ascii="Times New Roman" w:eastAsia="Times New Roman" w:hAnsi="Times New Roman" w:cs="Times New Roman"/>
          <w:sz w:val="24"/>
          <w:szCs w:val="24"/>
          <w:lang w:eastAsia="en-AU"/>
        </w:rPr>
        <w:t xml:space="preserve">and determines a </w:t>
      </w:r>
      <w:r w:rsidR="00FF12AD" w:rsidRPr="00FE5D7D">
        <w:rPr>
          <w:rFonts w:ascii="Times New Roman" w:eastAsia="Times New Roman" w:hAnsi="Times New Roman" w:cs="Times New Roman"/>
          <w:sz w:val="24"/>
          <w:szCs w:val="24"/>
          <w:shd w:val="clear" w:color="auto" w:fill="FFFFFF"/>
          <w:lang w:eastAsia="en-AU"/>
        </w:rPr>
        <w:t>new</w:t>
      </w:r>
      <w:r w:rsidR="00FF12AD" w:rsidRPr="00FE5D7D">
        <w:rPr>
          <w:rFonts w:ascii="Times New Roman" w:eastAsia="Times New Roman" w:hAnsi="Times New Roman" w:cs="Times New Roman"/>
          <w:i/>
          <w:iCs/>
          <w:sz w:val="24"/>
          <w:szCs w:val="24"/>
          <w:lang w:eastAsia="en-AU"/>
        </w:rPr>
        <w:t xml:space="preserve"> Prudential Standard </w:t>
      </w:r>
      <w:r w:rsidR="00FF12AD">
        <w:rPr>
          <w:rFonts w:ascii="Times New Roman" w:eastAsia="Times New Roman" w:hAnsi="Times New Roman" w:cs="Times New Roman"/>
          <w:i/>
          <w:iCs/>
          <w:sz w:val="24"/>
          <w:szCs w:val="24"/>
          <w:lang w:eastAsia="en-AU"/>
        </w:rPr>
        <w:t>SPS</w:t>
      </w:r>
      <w:r w:rsidR="00FF12AD" w:rsidRPr="00FE5D7D">
        <w:rPr>
          <w:rFonts w:ascii="Times New Roman" w:eastAsia="Times New Roman" w:hAnsi="Times New Roman" w:cs="Times New Roman"/>
          <w:i/>
          <w:iCs/>
          <w:sz w:val="24"/>
          <w:szCs w:val="24"/>
          <w:lang w:eastAsia="en-AU"/>
        </w:rPr>
        <w:t xml:space="preserve"> </w:t>
      </w:r>
      <w:r w:rsidR="00FF12AD">
        <w:rPr>
          <w:rFonts w:ascii="Times New Roman" w:eastAsia="Times New Roman" w:hAnsi="Times New Roman" w:cs="Times New Roman"/>
          <w:i/>
          <w:iCs/>
          <w:sz w:val="24"/>
          <w:szCs w:val="24"/>
          <w:lang w:eastAsia="en-AU"/>
        </w:rPr>
        <w:t>2</w:t>
      </w:r>
      <w:r w:rsidR="00FF12AD" w:rsidRPr="00FE5D7D">
        <w:rPr>
          <w:rFonts w:ascii="Times New Roman" w:eastAsia="Times New Roman" w:hAnsi="Times New Roman" w:cs="Times New Roman"/>
          <w:i/>
          <w:iCs/>
          <w:sz w:val="24"/>
          <w:szCs w:val="24"/>
          <w:lang w:eastAsia="en-AU"/>
        </w:rPr>
        <w:t xml:space="preserve">20 </w:t>
      </w:r>
      <w:r w:rsidR="00FF12AD">
        <w:rPr>
          <w:rFonts w:ascii="Times New Roman" w:eastAsia="Times New Roman" w:hAnsi="Times New Roman" w:cs="Times New Roman"/>
          <w:i/>
          <w:iCs/>
          <w:sz w:val="24"/>
          <w:szCs w:val="24"/>
          <w:lang w:val="en-US" w:eastAsia="en-AU"/>
        </w:rPr>
        <w:t>Risk Management</w:t>
      </w:r>
      <w:r w:rsidR="00FF12AD" w:rsidRPr="00FE5D7D">
        <w:rPr>
          <w:rFonts w:ascii="Times New Roman" w:eastAsia="Times New Roman" w:hAnsi="Times New Roman" w:cs="Times New Roman"/>
          <w:i/>
          <w:iCs/>
          <w:sz w:val="24"/>
          <w:szCs w:val="24"/>
          <w:lang w:val="en-US" w:eastAsia="en-AU"/>
        </w:rPr>
        <w:t xml:space="preserve"> </w:t>
      </w:r>
      <w:r w:rsidR="00FF12AD">
        <w:rPr>
          <w:rFonts w:ascii="Times New Roman" w:eastAsia="Times New Roman" w:hAnsi="Times New Roman" w:cs="Times New Roman"/>
          <w:sz w:val="24"/>
          <w:szCs w:val="24"/>
          <w:lang w:eastAsia="en-AU"/>
        </w:rPr>
        <w:t>(SPS 2</w:t>
      </w:r>
      <w:r>
        <w:rPr>
          <w:rFonts w:ascii="Times New Roman" w:eastAsia="Times New Roman" w:hAnsi="Times New Roman" w:cs="Times New Roman"/>
          <w:sz w:val="24"/>
          <w:szCs w:val="24"/>
          <w:lang w:eastAsia="en-AU"/>
        </w:rPr>
        <w:t>20).</w:t>
      </w:r>
    </w:p>
    <w:p w14:paraId="46921FED" w14:textId="77777777" w:rsidR="00FE5D7D" w:rsidRPr="00FE5D7D" w:rsidRDefault="00FE5D7D" w:rsidP="00FE5D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sz w:val="24"/>
          <w:szCs w:val="24"/>
          <w:lang w:eastAsia="en-AU"/>
        </w:rPr>
        <w:t>The instruments commence on 1 J</w:t>
      </w:r>
      <w:r w:rsidR="00052D5A">
        <w:rPr>
          <w:rFonts w:ascii="Times New Roman" w:eastAsia="Times New Roman" w:hAnsi="Times New Roman" w:cs="Times New Roman"/>
          <w:sz w:val="24"/>
          <w:szCs w:val="24"/>
          <w:lang w:eastAsia="en-AU"/>
        </w:rPr>
        <w:t>anuary 2020</w:t>
      </w:r>
      <w:r w:rsidRPr="00FE5D7D">
        <w:rPr>
          <w:rFonts w:ascii="Times New Roman" w:eastAsia="Times New Roman" w:hAnsi="Times New Roman" w:cs="Times New Roman"/>
          <w:sz w:val="24"/>
          <w:szCs w:val="24"/>
          <w:lang w:eastAsia="en-AU"/>
        </w:rPr>
        <w:t xml:space="preserve">.   </w:t>
      </w:r>
    </w:p>
    <w:p w14:paraId="6EDF994B" w14:textId="77777777" w:rsidR="00FE5D7D" w:rsidRPr="00FE5D7D" w:rsidRDefault="00FE5D7D" w:rsidP="00FE5D7D">
      <w:pPr>
        <w:shd w:val="clear" w:color="auto" w:fill="FFFFFF"/>
        <w:spacing w:after="240" w:line="240" w:lineRule="auto"/>
        <w:ind w:left="567" w:hanging="567"/>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1.</w:t>
      </w:r>
      <w:r w:rsidRPr="00FE5D7D">
        <w:rPr>
          <w:rFonts w:ascii="Times New Roman" w:eastAsia="Times New Roman" w:hAnsi="Times New Roman" w:cs="Times New Roman"/>
          <w:b/>
          <w:bCs/>
          <w:sz w:val="14"/>
          <w:szCs w:val="14"/>
          <w:lang w:eastAsia="en-AU"/>
        </w:rPr>
        <w:t xml:space="preserve">             </w:t>
      </w:r>
      <w:r w:rsidRPr="00FE5D7D">
        <w:rPr>
          <w:rFonts w:ascii="Times New Roman" w:eastAsia="Times New Roman" w:hAnsi="Times New Roman" w:cs="Times New Roman"/>
          <w:b/>
          <w:bCs/>
          <w:sz w:val="24"/>
          <w:szCs w:val="24"/>
          <w:lang w:eastAsia="en-AU"/>
        </w:rPr>
        <w:t>Background</w:t>
      </w:r>
    </w:p>
    <w:p w14:paraId="1308B60E" w14:textId="77777777" w:rsidR="00FE5D7D" w:rsidRDefault="00FE5D7D" w:rsidP="00FE5D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F3769C">
        <w:rPr>
          <w:rFonts w:ascii="Times New Roman" w:eastAsia="Times New Roman" w:hAnsi="Times New Roman" w:cs="Times New Roman"/>
          <w:sz w:val="24"/>
          <w:szCs w:val="24"/>
          <w:lang w:eastAsia="en-AU"/>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503CE877" w14:textId="77777777" w:rsidR="007041A7" w:rsidRDefault="007041A7" w:rsidP="00FE5D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F3769C">
        <w:rPr>
          <w:rFonts w:ascii="Times New Roman" w:eastAsia="Times New Roman" w:hAnsi="Times New Roman" w:cs="Times New Roman"/>
          <w:sz w:val="24"/>
          <w:szCs w:val="24"/>
          <w:lang w:eastAsia="en-AU"/>
        </w:rPr>
        <w:t xml:space="preserve">APRA carries out this mandate through a multi-layered prudential framework that encompasses licensing and supervision of institutions. APRA is empowered under the </w:t>
      </w:r>
      <w:r>
        <w:rPr>
          <w:rFonts w:ascii="Times New Roman" w:eastAsia="Times New Roman" w:hAnsi="Times New Roman" w:cs="Times New Roman"/>
          <w:sz w:val="24"/>
          <w:szCs w:val="24"/>
          <w:lang w:eastAsia="en-AU"/>
        </w:rPr>
        <w:t>Act</w:t>
      </w:r>
      <w:r w:rsidRPr="00F3769C">
        <w:rPr>
          <w:rFonts w:ascii="Times New Roman" w:eastAsia="Times New Roman" w:hAnsi="Times New Roman" w:cs="Times New Roman"/>
          <w:sz w:val="24"/>
          <w:szCs w:val="24"/>
          <w:lang w:eastAsia="en-AU"/>
        </w:rPr>
        <w:t xml:space="preserve"> to issue legally binding prudential standards that set out specific prudential requirements with which APRA-regulated institutions in </w:t>
      </w:r>
      <w:r>
        <w:rPr>
          <w:rFonts w:ascii="Times New Roman" w:eastAsia="Times New Roman" w:hAnsi="Times New Roman" w:cs="Times New Roman"/>
          <w:sz w:val="24"/>
          <w:szCs w:val="24"/>
          <w:lang w:eastAsia="en-AU"/>
        </w:rPr>
        <w:t>the superannuation</w:t>
      </w:r>
      <w:r w:rsidRPr="00F3769C">
        <w:rPr>
          <w:rFonts w:ascii="Times New Roman" w:eastAsia="Times New Roman" w:hAnsi="Times New Roman" w:cs="Times New Roman"/>
          <w:sz w:val="24"/>
          <w:szCs w:val="24"/>
          <w:lang w:eastAsia="en-AU"/>
        </w:rPr>
        <w:t xml:space="preserve"> industry must comply. These standards are supported by prudential practice guides which clarify APRA’s expectations with regard to prudential requirements.</w:t>
      </w:r>
    </w:p>
    <w:p w14:paraId="4BAEEB9B" w14:textId="7A6CB17B" w:rsidR="007C7B89" w:rsidRDefault="007041A7" w:rsidP="003D41D3">
      <w:pPr>
        <w:shd w:val="clear" w:color="auto" w:fill="FFFFFF"/>
        <w:spacing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Since 2017</w:t>
      </w:r>
      <w:r w:rsidR="007C7B8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APRA has undertaken extensive consultation with industry on the introduction of new prudential requirements for RSE licensees </w:t>
      </w:r>
      <w:r w:rsidR="00302E41">
        <w:rPr>
          <w:rFonts w:ascii="Times New Roman" w:eastAsia="Times New Roman" w:hAnsi="Times New Roman" w:cs="Times New Roman"/>
          <w:sz w:val="24"/>
          <w:szCs w:val="24"/>
          <w:lang w:eastAsia="en-AU"/>
        </w:rPr>
        <w:t xml:space="preserve">to </w:t>
      </w:r>
      <w:r w:rsidR="00183AC9">
        <w:rPr>
          <w:rFonts w:ascii="Times New Roman" w:eastAsia="Times New Roman" w:hAnsi="Times New Roman" w:cs="Times New Roman"/>
          <w:sz w:val="24"/>
          <w:szCs w:val="24"/>
          <w:lang w:eastAsia="en-AU"/>
        </w:rPr>
        <w:t>lift</w:t>
      </w:r>
      <w:r w:rsidR="00302E41">
        <w:rPr>
          <w:rFonts w:ascii="Times New Roman" w:eastAsia="Times New Roman" w:hAnsi="Times New Roman" w:cs="Times New Roman"/>
          <w:sz w:val="24"/>
          <w:szCs w:val="24"/>
          <w:lang w:eastAsia="en-AU"/>
        </w:rPr>
        <w:t xml:space="preserve"> </w:t>
      </w:r>
      <w:r w:rsidR="00183AC9">
        <w:rPr>
          <w:rFonts w:ascii="Times New Roman" w:eastAsia="Times New Roman" w:hAnsi="Times New Roman" w:cs="Times New Roman"/>
          <w:sz w:val="24"/>
          <w:szCs w:val="24"/>
          <w:lang w:eastAsia="en-AU"/>
        </w:rPr>
        <w:t>industry wide</w:t>
      </w:r>
      <w:r w:rsidR="00302E41">
        <w:rPr>
          <w:rFonts w:ascii="Times New Roman" w:eastAsia="Times New Roman" w:hAnsi="Times New Roman" w:cs="Times New Roman"/>
          <w:sz w:val="24"/>
          <w:szCs w:val="24"/>
          <w:lang w:eastAsia="en-AU"/>
        </w:rPr>
        <w:t xml:space="preserve"> </w:t>
      </w:r>
      <w:r w:rsidR="00E24363">
        <w:rPr>
          <w:rFonts w:ascii="Times New Roman" w:eastAsia="Times New Roman" w:hAnsi="Times New Roman" w:cs="Times New Roman"/>
          <w:sz w:val="24"/>
          <w:szCs w:val="24"/>
          <w:lang w:eastAsia="en-AU"/>
        </w:rPr>
        <w:t>strategic</w:t>
      </w:r>
      <w:r w:rsidR="00302E41">
        <w:rPr>
          <w:rFonts w:ascii="Times New Roman" w:eastAsia="Times New Roman" w:hAnsi="Times New Roman" w:cs="Times New Roman"/>
          <w:sz w:val="24"/>
          <w:szCs w:val="24"/>
          <w:lang w:eastAsia="en-AU"/>
        </w:rPr>
        <w:t xml:space="preserve"> </w:t>
      </w:r>
      <w:r w:rsidR="00183AC9">
        <w:rPr>
          <w:rFonts w:ascii="Times New Roman" w:eastAsia="Times New Roman" w:hAnsi="Times New Roman" w:cs="Times New Roman"/>
          <w:sz w:val="24"/>
          <w:szCs w:val="24"/>
          <w:lang w:eastAsia="en-AU"/>
        </w:rPr>
        <w:t>planning</w:t>
      </w:r>
      <w:r w:rsidR="00E24363">
        <w:rPr>
          <w:rFonts w:ascii="Times New Roman" w:eastAsia="Times New Roman" w:hAnsi="Times New Roman" w:cs="Times New Roman"/>
          <w:sz w:val="24"/>
          <w:szCs w:val="24"/>
          <w:lang w:eastAsia="en-AU"/>
        </w:rPr>
        <w:t xml:space="preserve"> </w:t>
      </w:r>
      <w:r w:rsidR="00302E41">
        <w:rPr>
          <w:rFonts w:ascii="Times New Roman" w:eastAsia="Times New Roman" w:hAnsi="Times New Roman" w:cs="Times New Roman"/>
          <w:sz w:val="24"/>
          <w:szCs w:val="24"/>
          <w:lang w:eastAsia="en-AU"/>
        </w:rPr>
        <w:t xml:space="preserve">and ensure a focus by all RSE licensees on the delivery of quality member outcomes. </w:t>
      </w:r>
    </w:p>
    <w:p w14:paraId="10917300" w14:textId="1998C5EA" w:rsidR="0053501C" w:rsidRDefault="00DC1DBE" w:rsidP="003D41D3">
      <w:pPr>
        <w:shd w:val="clear" w:color="auto" w:fill="FFFFFF"/>
        <w:spacing w:after="240" w:line="240" w:lineRule="auto"/>
        <w:jc w:val="both"/>
        <w:rPr>
          <w:rFonts w:ascii="Times New Roman" w:eastAsia="Times New Roman" w:hAnsi="Times New Roman" w:cs="Times New Roman"/>
          <w:sz w:val="24"/>
          <w:szCs w:val="24"/>
          <w:lang w:eastAsia="en-AU"/>
        </w:rPr>
      </w:pPr>
      <w:r w:rsidRPr="00650264">
        <w:rPr>
          <w:rFonts w:ascii="Times New Roman" w:eastAsia="Times New Roman" w:hAnsi="Times New Roman" w:cs="Times New Roman"/>
          <w:sz w:val="24"/>
          <w:szCs w:val="24"/>
          <w:lang w:eastAsia="en-AU"/>
        </w:rPr>
        <w:t>SPS 515</w:t>
      </w:r>
      <w:r>
        <w:rPr>
          <w:rFonts w:ascii="Times New Roman" w:eastAsia="Times New Roman" w:hAnsi="Times New Roman" w:cs="Times New Roman"/>
          <w:sz w:val="24"/>
          <w:szCs w:val="24"/>
          <w:lang w:eastAsia="en-AU"/>
        </w:rPr>
        <w:t xml:space="preserve"> </w:t>
      </w:r>
      <w:r w:rsidR="00A341E0">
        <w:rPr>
          <w:rFonts w:ascii="Times New Roman" w:eastAsia="Times New Roman" w:hAnsi="Times New Roman" w:cs="Times New Roman"/>
          <w:sz w:val="24"/>
          <w:szCs w:val="24"/>
          <w:lang w:eastAsia="en-AU"/>
        </w:rPr>
        <w:t xml:space="preserve">sets new </w:t>
      </w:r>
      <w:r w:rsidR="00A341E0" w:rsidRPr="00A341E0">
        <w:rPr>
          <w:rFonts w:ascii="Times New Roman" w:eastAsia="Times New Roman" w:hAnsi="Times New Roman" w:cs="Times New Roman"/>
          <w:sz w:val="24"/>
          <w:szCs w:val="24"/>
          <w:lang w:eastAsia="en-AU"/>
        </w:rPr>
        <w:t>requirements for an RSE licensee to annually review its performance in achieving its strategic objectives, including the delivery of member outcomes, supported by sound strategic and business plann</w:t>
      </w:r>
      <w:r w:rsidR="00A341E0">
        <w:rPr>
          <w:rFonts w:ascii="Times New Roman" w:eastAsia="Times New Roman" w:hAnsi="Times New Roman" w:cs="Times New Roman"/>
          <w:sz w:val="24"/>
          <w:szCs w:val="24"/>
          <w:lang w:eastAsia="en-AU"/>
        </w:rPr>
        <w:t xml:space="preserve">ing and expenditure management; </w:t>
      </w:r>
      <w:r>
        <w:rPr>
          <w:rFonts w:ascii="Times New Roman" w:eastAsia="Times New Roman" w:hAnsi="Times New Roman" w:cs="Times New Roman"/>
          <w:sz w:val="24"/>
          <w:szCs w:val="24"/>
          <w:lang w:eastAsia="en-AU"/>
        </w:rPr>
        <w:t xml:space="preserve">and supports the introduction of </w:t>
      </w:r>
      <w:r w:rsidR="00CB57AA">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product-based member outcomes assessment under section 52 of the Act.</w:t>
      </w:r>
    </w:p>
    <w:p w14:paraId="36F58ABC" w14:textId="36E1AD93" w:rsidR="00767676" w:rsidRPr="00183AC9" w:rsidRDefault="00663C59" w:rsidP="00FE5D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Existing</w:t>
      </w:r>
      <w:r w:rsidR="003D55BF">
        <w:rPr>
          <w:rFonts w:ascii="Times New Roman" w:eastAsia="Times New Roman" w:hAnsi="Times New Roman" w:cs="Times New Roman"/>
          <w:sz w:val="24"/>
          <w:szCs w:val="24"/>
          <w:lang w:eastAsia="en-AU"/>
        </w:rPr>
        <w:t xml:space="preserve"> SPS 220 set</w:t>
      </w:r>
      <w:r>
        <w:rPr>
          <w:rFonts w:ascii="Times New Roman" w:eastAsia="Times New Roman" w:hAnsi="Times New Roman" w:cs="Times New Roman"/>
          <w:sz w:val="24"/>
          <w:szCs w:val="24"/>
          <w:lang w:eastAsia="en-AU"/>
        </w:rPr>
        <w:t>s</w:t>
      </w:r>
      <w:r w:rsidR="003D55BF">
        <w:rPr>
          <w:rFonts w:ascii="Times New Roman" w:eastAsia="Times New Roman" w:hAnsi="Times New Roman" w:cs="Times New Roman"/>
          <w:sz w:val="24"/>
          <w:szCs w:val="24"/>
          <w:lang w:eastAsia="en-AU"/>
        </w:rPr>
        <w:t xml:space="preserve"> out requirements for each RSE licensee in regards to</w:t>
      </w:r>
      <w:r w:rsidR="008C6DA4">
        <w:rPr>
          <w:rFonts w:ascii="Times New Roman" w:eastAsia="Times New Roman" w:hAnsi="Times New Roman" w:cs="Times New Roman"/>
          <w:sz w:val="24"/>
          <w:szCs w:val="24"/>
          <w:lang w:eastAsia="en-AU"/>
        </w:rPr>
        <w:t xml:space="preserve"> effective</w:t>
      </w:r>
      <w:r w:rsidR="003D55BF">
        <w:rPr>
          <w:rFonts w:ascii="Times New Roman" w:eastAsia="Times New Roman" w:hAnsi="Times New Roman" w:cs="Times New Roman"/>
          <w:sz w:val="24"/>
          <w:szCs w:val="24"/>
          <w:lang w:eastAsia="en-AU"/>
        </w:rPr>
        <w:t xml:space="preserve"> risk management, breach reporting and strategic planning. </w:t>
      </w:r>
      <w:r w:rsidR="008C6DA4">
        <w:rPr>
          <w:rFonts w:ascii="Times New Roman" w:eastAsia="Times New Roman" w:hAnsi="Times New Roman" w:cs="Times New Roman"/>
          <w:sz w:val="24"/>
          <w:szCs w:val="24"/>
          <w:lang w:eastAsia="en-AU"/>
        </w:rPr>
        <w:t xml:space="preserve">The strategic planning aspect of </w:t>
      </w:r>
      <w:r>
        <w:rPr>
          <w:rFonts w:ascii="Times New Roman" w:eastAsia="Times New Roman" w:hAnsi="Times New Roman" w:cs="Times New Roman"/>
          <w:sz w:val="24"/>
          <w:szCs w:val="24"/>
          <w:lang w:eastAsia="en-AU"/>
        </w:rPr>
        <w:t xml:space="preserve">existing </w:t>
      </w:r>
      <w:r w:rsidR="003D55BF">
        <w:rPr>
          <w:rFonts w:ascii="Times New Roman" w:eastAsia="Times New Roman" w:hAnsi="Times New Roman" w:cs="Times New Roman"/>
          <w:sz w:val="24"/>
          <w:szCs w:val="24"/>
          <w:lang w:eastAsia="en-AU"/>
        </w:rPr>
        <w:t>SPS 220 require</w:t>
      </w:r>
      <w:r>
        <w:rPr>
          <w:rFonts w:ascii="Times New Roman" w:eastAsia="Times New Roman" w:hAnsi="Times New Roman" w:cs="Times New Roman"/>
          <w:sz w:val="24"/>
          <w:szCs w:val="24"/>
          <w:lang w:eastAsia="en-AU"/>
        </w:rPr>
        <w:t>s</w:t>
      </w:r>
      <w:r w:rsidR="003D55BF">
        <w:rPr>
          <w:rFonts w:ascii="Times New Roman" w:eastAsia="Times New Roman" w:hAnsi="Times New Roman" w:cs="Times New Roman"/>
          <w:sz w:val="24"/>
          <w:szCs w:val="24"/>
          <w:lang w:eastAsia="en-AU"/>
        </w:rPr>
        <w:t xml:space="preserve"> each RSE licensee to maintain a rolling three to five year business plan that </w:t>
      </w:r>
      <w:r w:rsidR="003D55BF">
        <w:rPr>
          <w:rFonts w:ascii="Times New Roman" w:eastAsia="Times New Roman" w:hAnsi="Times New Roman" w:cs="Times New Roman"/>
          <w:sz w:val="24"/>
          <w:szCs w:val="24"/>
          <w:lang w:eastAsia="en-AU"/>
        </w:rPr>
        <w:lastRenderedPageBreak/>
        <w:t>cover</w:t>
      </w:r>
      <w:r w:rsidR="00977F90">
        <w:rPr>
          <w:rFonts w:ascii="Times New Roman" w:eastAsia="Times New Roman" w:hAnsi="Times New Roman" w:cs="Times New Roman"/>
          <w:sz w:val="24"/>
          <w:szCs w:val="24"/>
          <w:lang w:eastAsia="en-AU"/>
        </w:rPr>
        <w:t>s</w:t>
      </w:r>
      <w:r w:rsidR="003D55BF">
        <w:rPr>
          <w:rFonts w:ascii="Times New Roman" w:eastAsia="Times New Roman" w:hAnsi="Times New Roman" w:cs="Times New Roman"/>
          <w:sz w:val="24"/>
          <w:szCs w:val="24"/>
          <w:lang w:eastAsia="en-AU"/>
        </w:rPr>
        <w:t xml:space="preserve"> the entirety of </w:t>
      </w:r>
      <w:r w:rsidR="008C6DA4">
        <w:rPr>
          <w:rFonts w:ascii="Times New Roman" w:eastAsia="Times New Roman" w:hAnsi="Times New Roman" w:cs="Times New Roman"/>
          <w:sz w:val="24"/>
          <w:szCs w:val="24"/>
          <w:lang w:eastAsia="en-AU"/>
        </w:rPr>
        <w:t>its business operations</w:t>
      </w:r>
      <w:r w:rsidR="005B420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Existing </w:t>
      </w:r>
      <w:r w:rsidR="005B4204">
        <w:rPr>
          <w:rFonts w:ascii="Times New Roman" w:eastAsia="Times New Roman" w:hAnsi="Times New Roman" w:cs="Times New Roman"/>
          <w:sz w:val="24"/>
          <w:szCs w:val="24"/>
          <w:lang w:eastAsia="en-AU"/>
        </w:rPr>
        <w:t>SPS 220</w:t>
      </w:r>
      <w:r w:rsidR="008C6DA4">
        <w:rPr>
          <w:rFonts w:ascii="Times New Roman" w:eastAsia="Times New Roman" w:hAnsi="Times New Roman" w:cs="Times New Roman"/>
          <w:sz w:val="24"/>
          <w:szCs w:val="24"/>
          <w:lang w:eastAsia="en-AU"/>
        </w:rPr>
        <w:t xml:space="preserve"> </w:t>
      </w:r>
      <w:r w:rsidR="00E24363">
        <w:rPr>
          <w:rFonts w:ascii="Times New Roman" w:eastAsia="Times New Roman" w:hAnsi="Times New Roman" w:cs="Times New Roman"/>
          <w:sz w:val="24"/>
          <w:szCs w:val="24"/>
          <w:lang w:eastAsia="en-AU"/>
        </w:rPr>
        <w:t xml:space="preserve">also </w:t>
      </w:r>
      <w:r w:rsidR="00977F90">
        <w:rPr>
          <w:rFonts w:ascii="Times New Roman" w:eastAsia="Times New Roman" w:hAnsi="Times New Roman" w:cs="Times New Roman"/>
          <w:sz w:val="24"/>
          <w:szCs w:val="24"/>
          <w:lang w:eastAsia="en-AU"/>
        </w:rPr>
        <w:t>specifies</w:t>
      </w:r>
      <w:r w:rsidR="008C6DA4">
        <w:rPr>
          <w:rFonts w:ascii="Times New Roman" w:eastAsia="Times New Roman" w:hAnsi="Times New Roman" w:cs="Times New Roman"/>
          <w:sz w:val="24"/>
          <w:szCs w:val="24"/>
          <w:lang w:eastAsia="en-AU"/>
        </w:rPr>
        <w:t xml:space="preserve"> the role of the Board and the frequency of </w:t>
      </w:r>
      <w:r w:rsidR="00977F90">
        <w:rPr>
          <w:rFonts w:ascii="Times New Roman" w:eastAsia="Times New Roman" w:hAnsi="Times New Roman" w:cs="Times New Roman"/>
          <w:sz w:val="24"/>
          <w:szCs w:val="24"/>
          <w:lang w:eastAsia="en-AU"/>
        </w:rPr>
        <w:t>required updates to the business plan</w:t>
      </w:r>
      <w:r w:rsidR="008C6DA4">
        <w:rPr>
          <w:rFonts w:ascii="Times New Roman" w:eastAsia="Times New Roman" w:hAnsi="Times New Roman" w:cs="Times New Roman"/>
          <w:sz w:val="24"/>
          <w:szCs w:val="24"/>
          <w:lang w:eastAsia="en-AU"/>
        </w:rPr>
        <w:t>.</w:t>
      </w:r>
    </w:p>
    <w:p w14:paraId="04D82FEF"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Purpose of the instruments</w:t>
      </w:r>
    </w:p>
    <w:p w14:paraId="26E5EBFC" w14:textId="7C45F76D" w:rsidR="00C709B7" w:rsidRDefault="00C709B7" w:rsidP="00FE5D7D">
      <w:pPr>
        <w:shd w:val="clear" w:color="auto" w:fill="FFFFFF"/>
        <w:spacing w:before="100" w:beforeAutospacing="1" w:after="240" w:line="240" w:lineRule="auto"/>
        <w:jc w:val="both"/>
        <w:rPr>
          <w:rFonts w:ascii="Times New Roman" w:eastAsia="Times New Roman" w:hAnsi="Times New Roman" w:cs="Times New Roman"/>
          <w:sz w:val="24"/>
          <w:szCs w:val="24"/>
          <w:lang w:eastAsia="en-AU"/>
        </w:rPr>
      </w:pPr>
      <w:r w:rsidRPr="00FE5D7D">
        <w:rPr>
          <w:rFonts w:ascii="Times New Roman" w:eastAsia="Times New Roman" w:hAnsi="Times New Roman" w:cs="Times New Roman"/>
          <w:sz w:val="24"/>
          <w:szCs w:val="24"/>
          <w:lang w:eastAsia="en-AU"/>
        </w:rPr>
        <w:t xml:space="preserve">The purpose of </w:t>
      </w:r>
      <w:r>
        <w:rPr>
          <w:rFonts w:ascii="Times New Roman" w:eastAsia="Times New Roman" w:hAnsi="Times New Roman" w:cs="Times New Roman"/>
          <w:sz w:val="24"/>
          <w:szCs w:val="24"/>
          <w:lang w:val="en-US" w:eastAsia="en-AU"/>
        </w:rPr>
        <w:t>Superannuation</w:t>
      </w:r>
      <w:r w:rsidRPr="00FE5D7D">
        <w:rPr>
          <w:rFonts w:ascii="Times New Roman" w:eastAsia="Times New Roman" w:hAnsi="Times New Roman" w:cs="Times New Roman"/>
          <w:sz w:val="24"/>
          <w:szCs w:val="24"/>
          <w:lang w:val="en-US" w:eastAsia="en-AU"/>
        </w:rPr>
        <w:t xml:space="preserve"> (prudential standard</w:t>
      </w:r>
      <w:r>
        <w:rPr>
          <w:rFonts w:ascii="Times New Roman" w:eastAsia="Times New Roman" w:hAnsi="Times New Roman" w:cs="Times New Roman"/>
          <w:sz w:val="24"/>
          <w:szCs w:val="24"/>
          <w:lang w:val="en-US" w:eastAsia="en-AU"/>
        </w:rPr>
        <w:t>s</w:t>
      </w:r>
      <w:r w:rsidRPr="00FE5D7D">
        <w:rPr>
          <w:rFonts w:ascii="Times New Roman" w:eastAsia="Times New Roman" w:hAnsi="Times New Roman" w:cs="Times New Roman"/>
          <w:sz w:val="24"/>
          <w:szCs w:val="24"/>
          <w:lang w:val="en-US" w:eastAsia="en-AU"/>
        </w:rPr>
        <w:t xml:space="preserve">) determination No. </w:t>
      </w:r>
      <w:r w:rsidR="00885250">
        <w:rPr>
          <w:rFonts w:ascii="Times New Roman" w:eastAsia="Times New Roman" w:hAnsi="Times New Roman" w:cs="Times New Roman"/>
          <w:sz w:val="24"/>
          <w:szCs w:val="24"/>
          <w:lang w:val="en-US" w:eastAsia="en-AU"/>
        </w:rPr>
        <w:t>2</w:t>
      </w:r>
      <w:r w:rsidRPr="00FE5D7D">
        <w:rPr>
          <w:rFonts w:ascii="Times New Roman" w:eastAsia="Times New Roman" w:hAnsi="Times New Roman" w:cs="Times New Roman"/>
          <w:sz w:val="24"/>
          <w:szCs w:val="24"/>
          <w:lang w:val="en-US" w:eastAsia="en-AU"/>
        </w:rPr>
        <w:t xml:space="preserve"> of 201</w:t>
      </w:r>
      <w:r>
        <w:rPr>
          <w:rFonts w:ascii="Times New Roman" w:eastAsia="Times New Roman" w:hAnsi="Times New Roman" w:cs="Times New Roman"/>
          <w:sz w:val="24"/>
          <w:szCs w:val="24"/>
          <w:lang w:val="en-US" w:eastAsia="en-AU"/>
        </w:rPr>
        <w:t>9</w:t>
      </w:r>
      <w:r w:rsidRPr="00FE5D7D">
        <w:rPr>
          <w:rFonts w:ascii="Times New Roman" w:eastAsia="Times New Roman" w:hAnsi="Times New Roman" w:cs="Times New Roman"/>
          <w:sz w:val="24"/>
          <w:szCs w:val="24"/>
          <w:lang w:val="en-US" w:eastAsia="en-AU"/>
        </w:rPr>
        <w:t xml:space="preserve"> </w:t>
      </w:r>
      <w:r w:rsidRPr="00FE5D7D">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to</w:t>
      </w:r>
      <w:r w:rsidR="00CA6FCF">
        <w:rPr>
          <w:rFonts w:ascii="Times New Roman" w:eastAsia="Times New Roman" w:hAnsi="Times New Roman" w:cs="Times New Roman"/>
          <w:sz w:val="24"/>
          <w:szCs w:val="24"/>
          <w:lang w:eastAsia="en-AU"/>
        </w:rPr>
        <w:t xml:space="preserve"> </w:t>
      </w:r>
      <w:r w:rsidR="007C7B89">
        <w:rPr>
          <w:rFonts w:ascii="Times New Roman" w:eastAsia="Times New Roman" w:hAnsi="Times New Roman" w:cs="Times New Roman"/>
          <w:sz w:val="24"/>
          <w:szCs w:val="24"/>
          <w:lang w:eastAsia="en-AU"/>
        </w:rPr>
        <w:t xml:space="preserve">determine SPS 515 and </w:t>
      </w:r>
      <w:r w:rsidR="00CA6FCF">
        <w:rPr>
          <w:rFonts w:ascii="Times New Roman" w:eastAsia="Times New Roman" w:hAnsi="Times New Roman" w:cs="Times New Roman"/>
          <w:sz w:val="24"/>
          <w:szCs w:val="24"/>
          <w:lang w:eastAsia="en-AU"/>
        </w:rPr>
        <w:t xml:space="preserve">set out </w:t>
      </w:r>
      <w:r w:rsidR="00B27A99">
        <w:rPr>
          <w:rFonts w:ascii="Times New Roman" w:eastAsia="Times New Roman" w:hAnsi="Times New Roman" w:cs="Times New Roman"/>
          <w:sz w:val="24"/>
          <w:szCs w:val="24"/>
          <w:lang w:eastAsia="en-AU"/>
        </w:rPr>
        <w:t xml:space="preserve">in SPS 515 </w:t>
      </w:r>
      <w:r w:rsidR="00A341E0">
        <w:rPr>
          <w:rFonts w:ascii="Times New Roman" w:eastAsia="Times New Roman" w:hAnsi="Times New Roman" w:cs="Times New Roman"/>
          <w:sz w:val="24"/>
          <w:szCs w:val="24"/>
          <w:lang w:eastAsia="en-AU"/>
        </w:rPr>
        <w:t xml:space="preserve">new </w:t>
      </w:r>
      <w:r w:rsidR="00CA6FCF">
        <w:rPr>
          <w:rFonts w:ascii="Times New Roman" w:eastAsia="Times New Roman" w:hAnsi="Times New Roman" w:cs="Times New Roman"/>
          <w:sz w:val="24"/>
          <w:szCs w:val="24"/>
          <w:lang w:eastAsia="en-AU"/>
        </w:rPr>
        <w:t>prudential requirements for an RSE licensee to</w:t>
      </w:r>
      <w:r w:rsidR="00CA6FCF" w:rsidRPr="00CA6FCF">
        <w:rPr>
          <w:rFonts w:ascii="Times New Roman" w:eastAsia="Times New Roman" w:hAnsi="Times New Roman" w:cs="Times New Roman"/>
          <w:sz w:val="24"/>
          <w:szCs w:val="24"/>
          <w:lang w:eastAsia="en-AU"/>
        </w:rPr>
        <w:t xml:space="preserve"> </w:t>
      </w:r>
      <w:r w:rsidR="00824B49" w:rsidRPr="004E6784">
        <w:rPr>
          <w:rFonts w:ascii="Times New Roman" w:hAnsi="Times New Roman" w:cs="Times New Roman"/>
          <w:sz w:val="24"/>
          <w:szCs w:val="24"/>
        </w:rPr>
        <w:t xml:space="preserve">annually review its performance in achieving its strategic objectives, including the delivery of member outcomes, </w:t>
      </w:r>
      <w:r w:rsidR="00CA6FCF" w:rsidRPr="00CA6FCF">
        <w:rPr>
          <w:rFonts w:ascii="Times New Roman" w:eastAsia="Times New Roman" w:hAnsi="Times New Roman" w:cs="Times New Roman"/>
          <w:sz w:val="24"/>
          <w:szCs w:val="24"/>
          <w:lang w:eastAsia="en-AU"/>
        </w:rPr>
        <w:t>supported by sound strategic and bus</w:t>
      </w:r>
      <w:r w:rsidR="00D32EE8">
        <w:rPr>
          <w:rFonts w:ascii="Times New Roman" w:eastAsia="Times New Roman" w:hAnsi="Times New Roman" w:cs="Times New Roman"/>
          <w:sz w:val="24"/>
          <w:szCs w:val="24"/>
          <w:lang w:eastAsia="en-AU"/>
        </w:rPr>
        <w:t>iness plan</w:t>
      </w:r>
      <w:r w:rsidR="00A341E0">
        <w:rPr>
          <w:rFonts w:ascii="Times New Roman" w:eastAsia="Times New Roman" w:hAnsi="Times New Roman" w:cs="Times New Roman"/>
          <w:sz w:val="24"/>
          <w:szCs w:val="24"/>
          <w:lang w:eastAsia="en-AU"/>
        </w:rPr>
        <w:t>ning and expenditure management; and to support</w:t>
      </w:r>
      <w:r w:rsidR="00A341E0" w:rsidRPr="00A341E0">
        <w:rPr>
          <w:rFonts w:ascii="Times New Roman" w:eastAsia="Times New Roman" w:hAnsi="Times New Roman" w:cs="Times New Roman"/>
          <w:sz w:val="24"/>
          <w:szCs w:val="24"/>
          <w:lang w:eastAsia="en-AU"/>
        </w:rPr>
        <w:t xml:space="preserve"> the introduction of the product-based member outcomes assessment under section 52 of the Act.</w:t>
      </w:r>
    </w:p>
    <w:p w14:paraId="5CFA6B5E" w14:textId="523CDFE9" w:rsidR="00885250" w:rsidRDefault="00885250" w:rsidP="00885250">
      <w:pPr>
        <w:shd w:val="clear" w:color="auto" w:fill="FFFFFF"/>
        <w:spacing w:before="100" w:beforeAutospacing="1" w:after="240" w:line="240" w:lineRule="auto"/>
        <w:jc w:val="both"/>
        <w:rPr>
          <w:rFonts w:ascii="Times New Roman" w:eastAsia="Times New Roman" w:hAnsi="Times New Roman" w:cs="Times New Roman"/>
          <w:sz w:val="24"/>
          <w:szCs w:val="24"/>
          <w:lang w:eastAsia="en-AU"/>
        </w:rPr>
      </w:pPr>
      <w:r w:rsidRPr="00FE5D7D">
        <w:rPr>
          <w:rFonts w:ascii="Times New Roman" w:eastAsia="Times New Roman" w:hAnsi="Times New Roman" w:cs="Times New Roman"/>
          <w:sz w:val="24"/>
          <w:szCs w:val="24"/>
          <w:lang w:eastAsia="en-AU"/>
        </w:rPr>
        <w:t xml:space="preserve">The purpose of </w:t>
      </w:r>
      <w:r>
        <w:rPr>
          <w:rFonts w:ascii="Times New Roman" w:eastAsia="Times New Roman" w:hAnsi="Times New Roman" w:cs="Times New Roman"/>
          <w:sz w:val="24"/>
          <w:szCs w:val="24"/>
          <w:lang w:val="en-US" w:eastAsia="en-AU"/>
        </w:rPr>
        <w:t>Superannuation</w:t>
      </w:r>
      <w:r w:rsidRPr="00FE5D7D">
        <w:rPr>
          <w:rFonts w:ascii="Times New Roman" w:eastAsia="Times New Roman" w:hAnsi="Times New Roman" w:cs="Times New Roman"/>
          <w:sz w:val="24"/>
          <w:szCs w:val="24"/>
          <w:lang w:val="en-US" w:eastAsia="en-AU"/>
        </w:rPr>
        <w:t xml:space="preserve"> (prudential standard</w:t>
      </w:r>
      <w:r>
        <w:rPr>
          <w:rFonts w:ascii="Times New Roman" w:eastAsia="Times New Roman" w:hAnsi="Times New Roman" w:cs="Times New Roman"/>
          <w:sz w:val="24"/>
          <w:szCs w:val="24"/>
          <w:lang w:val="en-US" w:eastAsia="en-AU"/>
        </w:rPr>
        <w:t>s</w:t>
      </w:r>
      <w:r w:rsidRPr="00FE5D7D">
        <w:rPr>
          <w:rFonts w:ascii="Times New Roman" w:eastAsia="Times New Roman" w:hAnsi="Times New Roman" w:cs="Times New Roman"/>
          <w:sz w:val="24"/>
          <w:szCs w:val="24"/>
          <w:lang w:val="en-US" w:eastAsia="en-AU"/>
        </w:rPr>
        <w:t xml:space="preserve">) determination No. </w:t>
      </w:r>
      <w:r>
        <w:rPr>
          <w:rFonts w:ascii="Times New Roman" w:eastAsia="Times New Roman" w:hAnsi="Times New Roman" w:cs="Times New Roman"/>
          <w:sz w:val="24"/>
          <w:szCs w:val="24"/>
          <w:lang w:val="en-US" w:eastAsia="en-AU"/>
        </w:rPr>
        <w:t>3</w:t>
      </w:r>
      <w:r w:rsidRPr="00FE5D7D">
        <w:rPr>
          <w:rFonts w:ascii="Times New Roman" w:eastAsia="Times New Roman" w:hAnsi="Times New Roman" w:cs="Times New Roman"/>
          <w:sz w:val="24"/>
          <w:szCs w:val="24"/>
          <w:lang w:val="en-US" w:eastAsia="en-AU"/>
        </w:rPr>
        <w:t xml:space="preserve"> of 201</w:t>
      </w:r>
      <w:r>
        <w:rPr>
          <w:rFonts w:ascii="Times New Roman" w:eastAsia="Times New Roman" w:hAnsi="Times New Roman" w:cs="Times New Roman"/>
          <w:sz w:val="24"/>
          <w:szCs w:val="24"/>
          <w:lang w:val="en-US" w:eastAsia="en-AU"/>
        </w:rPr>
        <w:t>9</w:t>
      </w:r>
      <w:r w:rsidRPr="00FE5D7D">
        <w:rPr>
          <w:rFonts w:ascii="Times New Roman" w:eastAsia="Times New Roman" w:hAnsi="Times New Roman" w:cs="Times New Roman"/>
          <w:sz w:val="24"/>
          <w:szCs w:val="24"/>
          <w:lang w:val="en-US" w:eastAsia="en-AU"/>
        </w:rPr>
        <w:t xml:space="preserve"> </w:t>
      </w:r>
      <w:r w:rsidRPr="00FE5D7D">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to</w:t>
      </w:r>
      <w:r w:rsidRPr="00FE5D7D">
        <w:rPr>
          <w:rFonts w:ascii="Times New Roman" w:eastAsia="Times New Roman" w:hAnsi="Times New Roman" w:cs="Times New Roman"/>
          <w:sz w:val="24"/>
          <w:szCs w:val="24"/>
          <w:lang w:eastAsia="en-AU"/>
        </w:rPr>
        <w:t xml:space="preserve"> revoke and replace</w:t>
      </w:r>
      <w:r>
        <w:rPr>
          <w:rFonts w:ascii="Times New Roman" w:eastAsia="Times New Roman" w:hAnsi="Times New Roman" w:cs="Times New Roman"/>
          <w:sz w:val="24"/>
          <w:szCs w:val="24"/>
          <w:lang w:eastAsia="en-AU"/>
        </w:rPr>
        <w:t xml:space="preserve"> existing</w:t>
      </w:r>
      <w:r w:rsidRPr="00FE5D7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SPS 220</w:t>
      </w:r>
      <w:r w:rsidRPr="00FE5D7D">
        <w:rPr>
          <w:rFonts w:ascii="Times New Roman" w:eastAsia="Times New Roman" w:hAnsi="Times New Roman" w:cs="Times New Roman"/>
          <w:sz w:val="24"/>
          <w:szCs w:val="24"/>
          <w:lang w:eastAsia="en-AU"/>
        </w:rPr>
        <w:t xml:space="preserve"> with </w:t>
      </w:r>
      <w:r>
        <w:rPr>
          <w:rFonts w:ascii="Times New Roman" w:eastAsia="Times New Roman" w:hAnsi="Times New Roman" w:cs="Times New Roman"/>
          <w:sz w:val="24"/>
          <w:szCs w:val="24"/>
          <w:lang w:eastAsia="en-AU"/>
        </w:rPr>
        <w:t>a new version</w:t>
      </w:r>
      <w:r w:rsidRPr="00FE5D7D">
        <w:rPr>
          <w:rFonts w:ascii="Times New Roman" w:eastAsia="Times New Roman" w:hAnsi="Times New Roman" w:cs="Times New Roman"/>
          <w:sz w:val="24"/>
          <w:szCs w:val="24"/>
          <w:lang w:eastAsia="en-AU"/>
        </w:rPr>
        <w:t xml:space="preserve"> of th</w:t>
      </w:r>
      <w:r>
        <w:rPr>
          <w:rFonts w:ascii="Times New Roman" w:eastAsia="Times New Roman" w:hAnsi="Times New Roman" w:cs="Times New Roman"/>
          <w:sz w:val="24"/>
          <w:szCs w:val="24"/>
          <w:lang w:eastAsia="en-AU"/>
        </w:rPr>
        <w:t>e</w:t>
      </w:r>
      <w:r w:rsidRPr="00FE5D7D">
        <w:rPr>
          <w:rFonts w:ascii="Times New Roman" w:eastAsia="Times New Roman" w:hAnsi="Times New Roman" w:cs="Times New Roman"/>
          <w:sz w:val="24"/>
          <w:szCs w:val="24"/>
          <w:lang w:eastAsia="en-AU"/>
        </w:rPr>
        <w:t xml:space="preserve"> standard. </w:t>
      </w:r>
      <w:r>
        <w:rPr>
          <w:rFonts w:ascii="Times New Roman" w:eastAsia="Times New Roman" w:hAnsi="Times New Roman" w:cs="Times New Roman"/>
          <w:sz w:val="24"/>
          <w:szCs w:val="24"/>
          <w:lang w:eastAsia="en-AU"/>
        </w:rPr>
        <w:t xml:space="preserve">The changes to SPS 220 are minor and intended to ensure the core strategic objectives and business planning requirements are located in SPS 515. </w:t>
      </w:r>
    </w:p>
    <w:p w14:paraId="5D9AF172" w14:textId="77777777" w:rsidR="00FE5D7D" w:rsidRPr="00FE5D7D" w:rsidRDefault="00FE5D7D" w:rsidP="00FE5D7D">
      <w:pPr>
        <w:keepNext/>
        <w:shd w:val="clear" w:color="auto" w:fill="FFFFFF"/>
        <w:spacing w:after="240" w:line="240" w:lineRule="auto"/>
        <w:ind w:left="567" w:hanging="567"/>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2.</w:t>
      </w:r>
      <w:r w:rsidRPr="00FE5D7D">
        <w:rPr>
          <w:rFonts w:ascii="Times New Roman" w:eastAsia="Times New Roman" w:hAnsi="Times New Roman" w:cs="Times New Roman"/>
          <w:b/>
          <w:bCs/>
          <w:sz w:val="14"/>
          <w:szCs w:val="14"/>
          <w:lang w:eastAsia="en-AU"/>
        </w:rPr>
        <w:t xml:space="preserve">             </w:t>
      </w:r>
      <w:r w:rsidRPr="00FE5D7D">
        <w:rPr>
          <w:rFonts w:ascii="Times New Roman" w:eastAsia="Times New Roman" w:hAnsi="Times New Roman" w:cs="Times New Roman"/>
          <w:b/>
          <w:bCs/>
          <w:sz w:val="24"/>
          <w:szCs w:val="24"/>
          <w:lang w:eastAsia="en-AU"/>
        </w:rPr>
        <w:t>Operation of the instruments</w:t>
      </w:r>
    </w:p>
    <w:p w14:paraId="1918CFC2" w14:textId="77777777" w:rsidR="00FE5D7D" w:rsidRPr="00FE5D7D" w:rsidRDefault="00797282"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SPS</w:t>
      </w:r>
      <w:r w:rsidR="00FE5D7D" w:rsidRPr="00FE5D7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515</w:t>
      </w:r>
      <w:r w:rsidR="00FE5D7D" w:rsidRPr="00FE5D7D">
        <w:rPr>
          <w:rFonts w:ascii="Times New Roman" w:eastAsia="Times New Roman" w:hAnsi="Times New Roman" w:cs="Times New Roman"/>
          <w:sz w:val="24"/>
          <w:szCs w:val="24"/>
          <w:lang w:eastAsia="en-AU"/>
        </w:rPr>
        <w:t xml:space="preserve"> </w:t>
      </w:r>
      <w:r w:rsidR="00E83DCE">
        <w:rPr>
          <w:rFonts w:ascii="Times New Roman" w:eastAsia="Times New Roman" w:hAnsi="Times New Roman" w:cs="Times New Roman"/>
          <w:sz w:val="24"/>
          <w:szCs w:val="24"/>
          <w:lang w:eastAsia="en-AU"/>
        </w:rPr>
        <w:t>requires an RSE licensee to</w:t>
      </w:r>
      <w:r w:rsidR="00FE5D7D" w:rsidRPr="00FE5D7D">
        <w:rPr>
          <w:rFonts w:ascii="Times New Roman" w:eastAsia="Times New Roman" w:hAnsi="Times New Roman" w:cs="Times New Roman"/>
          <w:sz w:val="24"/>
          <w:szCs w:val="24"/>
          <w:lang w:eastAsia="en-AU"/>
        </w:rPr>
        <w:t>:</w:t>
      </w:r>
    </w:p>
    <w:p w14:paraId="67E6F833" w14:textId="77777777" w:rsidR="00FE5D7D" w:rsidRDefault="007721C5" w:rsidP="00BF7DB0">
      <w:pPr>
        <w:pStyle w:val="ListParagraph"/>
        <w:numPr>
          <w:ilvl w:val="0"/>
          <w:numId w:val="2"/>
        </w:numPr>
        <w:shd w:val="clear" w:color="auto" w:fill="FFFFFF"/>
        <w:spacing w:after="240" w:afterAutospacing="0"/>
        <w:ind w:left="629" w:hanging="629"/>
        <w:jc w:val="both"/>
      </w:pPr>
      <w:r w:rsidRPr="007721C5">
        <w:t xml:space="preserve">approve strategic objectives that support it in achieving the outcomes it seeks for beneficiaries and the sound and prudent management of </w:t>
      </w:r>
      <w:r w:rsidR="00E83DCE">
        <w:t>its</w:t>
      </w:r>
      <w:r w:rsidRPr="007721C5">
        <w:t xml:space="preserve"> business operations;</w:t>
      </w:r>
    </w:p>
    <w:p w14:paraId="22CCBB9C" w14:textId="77777777" w:rsidR="00FE5D7D" w:rsidRDefault="004F02DC" w:rsidP="00BF7DB0">
      <w:pPr>
        <w:pStyle w:val="ListParagraph"/>
        <w:numPr>
          <w:ilvl w:val="0"/>
          <w:numId w:val="2"/>
        </w:numPr>
        <w:shd w:val="clear" w:color="auto" w:fill="FFFFFF"/>
        <w:spacing w:after="240" w:afterAutospacing="0"/>
        <w:ind w:left="629" w:hanging="629"/>
        <w:jc w:val="both"/>
      </w:pPr>
      <w:r w:rsidRPr="004F02DC">
        <w:t xml:space="preserve">maintain a Board approved business plan that sets out the approach for implementation of </w:t>
      </w:r>
      <w:r w:rsidR="00E83DCE">
        <w:t xml:space="preserve">its </w:t>
      </w:r>
      <w:r w:rsidRPr="004F02DC">
        <w:t>strategic objectives;</w:t>
      </w:r>
    </w:p>
    <w:p w14:paraId="2346058C" w14:textId="77777777" w:rsidR="00FE5D7D" w:rsidRPr="00BF7DB0" w:rsidRDefault="00E83DCE" w:rsidP="00BF7DB0">
      <w:pPr>
        <w:pStyle w:val="ListParagraph"/>
        <w:numPr>
          <w:ilvl w:val="0"/>
          <w:numId w:val="2"/>
        </w:numPr>
        <w:shd w:val="clear" w:color="auto" w:fill="FFFFFF"/>
        <w:spacing w:after="240" w:afterAutospacing="0"/>
        <w:ind w:left="629" w:hanging="629"/>
        <w:jc w:val="both"/>
      </w:pPr>
      <w:r>
        <w:t xml:space="preserve">undertake </w:t>
      </w:r>
      <w:r w:rsidR="004F02DC" w:rsidRPr="004F02DC">
        <w:t xml:space="preserve">annually </w:t>
      </w:r>
      <w:r>
        <w:t xml:space="preserve">a business performance </w:t>
      </w:r>
      <w:r w:rsidR="004F02DC" w:rsidRPr="004F02DC">
        <w:t>review</w:t>
      </w:r>
      <w:r>
        <w:t xml:space="preserve"> to assess</w:t>
      </w:r>
      <w:r w:rsidR="004F02DC" w:rsidRPr="004F02DC">
        <w:t xml:space="preserve"> its performance in achieving its strategic objectives and </w:t>
      </w:r>
      <w:r>
        <w:t xml:space="preserve">to </w:t>
      </w:r>
      <w:r w:rsidR="004F02DC" w:rsidRPr="004F02DC">
        <w:t>incorporate any actions to improve performance in its business plan;</w:t>
      </w:r>
    </w:p>
    <w:p w14:paraId="504F9656" w14:textId="77777777" w:rsidR="00FE5D7D" w:rsidRPr="00BF7DB0" w:rsidRDefault="00E83DCE" w:rsidP="00BF7DB0">
      <w:pPr>
        <w:pStyle w:val="ListParagraph"/>
        <w:numPr>
          <w:ilvl w:val="0"/>
          <w:numId w:val="2"/>
        </w:numPr>
        <w:shd w:val="clear" w:color="auto" w:fill="FFFFFF"/>
        <w:spacing w:after="240" w:afterAutospacing="0"/>
        <w:ind w:left="629" w:hanging="629"/>
        <w:jc w:val="both"/>
      </w:pPr>
      <w:r>
        <w:t xml:space="preserve">ensure that </w:t>
      </w:r>
      <w:r w:rsidR="004F02DC" w:rsidRPr="004F02DC">
        <w:t xml:space="preserve">decisions to incur significant fund expenditure support </w:t>
      </w:r>
      <w:r>
        <w:t>it</w:t>
      </w:r>
      <w:r w:rsidR="004F02DC" w:rsidRPr="004F02DC">
        <w:t xml:space="preserve"> in achieving its strategic objectives and </w:t>
      </w:r>
      <w:r>
        <w:t xml:space="preserve">that </w:t>
      </w:r>
      <w:r w:rsidR="004F02DC" w:rsidRPr="004F02DC">
        <w:t>those decisions are monitored a</w:t>
      </w:r>
      <w:r w:rsidR="004F02DC">
        <w:t>gainst their expected outcomes;</w:t>
      </w:r>
      <w:r w:rsidR="00F3769C">
        <w:t xml:space="preserve"> and</w:t>
      </w:r>
    </w:p>
    <w:p w14:paraId="18475037" w14:textId="3714B067" w:rsidR="00FE5D7D" w:rsidRDefault="00E83DCE" w:rsidP="00BF7DB0">
      <w:pPr>
        <w:pStyle w:val="ListParagraph"/>
        <w:numPr>
          <w:ilvl w:val="0"/>
          <w:numId w:val="2"/>
        </w:numPr>
        <w:shd w:val="clear" w:color="auto" w:fill="FFFFFF"/>
        <w:spacing w:after="240" w:afterAutospacing="0"/>
        <w:ind w:left="629" w:hanging="629"/>
        <w:jc w:val="both"/>
      </w:pPr>
      <w:proofErr w:type="gramStart"/>
      <w:r>
        <w:t>ensure</w:t>
      </w:r>
      <w:proofErr w:type="gramEnd"/>
      <w:r>
        <w:t xml:space="preserve"> </w:t>
      </w:r>
      <w:r w:rsidR="004F02DC" w:rsidRPr="004F02DC">
        <w:t>the outcomes assessment required under section 52(9) of the Act addresses the ad</w:t>
      </w:r>
      <w:r w:rsidR="00BF7DB0">
        <w:t xml:space="preserve">ditional factors set out in SPS 515. </w:t>
      </w:r>
    </w:p>
    <w:p w14:paraId="298D42D0" w14:textId="77777777" w:rsidR="00FE3EB3" w:rsidRPr="00FE5D7D" w:rsidRDefault="00FE3EB3" w:rsidP="00FE3EB3">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revised SPS</w:t>
      </w:r>
      <w:r w:rsidRPr="00FE5D7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220</w:t>
      </w:r>
      <w:r w:rsidRPr="00FE5D7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requires an RSE licensee to</w:t>
      </w:r>
      <w:r w:rsidRPr="00FE5D7D">
        <w:rPr>
          <w:rFonts w:ascii="Times New Roman" w:eastAsia="Times New Roman" w:hAnsi="Times New Roman" w:cs="Times New Roman"/>
          <w:sz w:val="24"/>
          <w:szCs w:val="24"/>
          <w:lang w:eastAsia="en-AU"/>
        </w:rPr>
        <w:t>:</w:t>
      </w:r>
    </w:p>
    <w:p w14:paraId="2B48EBD9" w14:textId="77777777" w:rsidR="00FE3EB3" w:rsidRPr="00BF7DB0" w:rsidRDefault="00FE3EB3" w:rsidP="00FE3EB3">
      <w:pPr>
        <w:pStyle w:val="ListParagraph"/>
        <w:numPr>
          <w:ilvl w:val="0"/>
          <w:numId w:val="2"/>
        </w:numPr>
        <w:shd w:val="clear" w:color="auto" w:fill="FFFFFF"/>
        <w:spacing w:after="240" w:afterAutospacing="0"/>
        <w:ind w:left="629" w:hanging="629"/>
        <w:jc w:val="both"/>
        <w:rPr>
          <w:rFonts w:ascii="Arial" w:hAnsi="Arial" w:cs="Arial"/>
          <w:sz w:val="19"/>
          <w:szCs w:val="19"/>
          <w:lang w:val="en-US"/>
        </w:rPr>
      </w:pPr>
      <w:r w:rsidRPr="00BF7DB0">
        <w:t>maintain a risk management framework that is appropriate to the size, business mix and complexity of its business operations;</w:t>
      </w:r>
    </w:p>
    <w:p w14:paraId="278CA5D8" w14:textId="77777777" w:rsidR="00FE3EB3" w:rsidRPr="00BF7DB0" w:rsidRDefault="00FE3EB3" w:rsidP="00FE3EB3">
      <w:pPr>
        <w:pStyle w:val="ListParagraph"/>
        <w:numPr>
          <w:ilvl w:val="0"/>
          <w:numId w:val="2"/>
        </w:numPr>
        <w:shd w:val="clear" w:color="auto" w:fill="FFFFFF"/>
        <w:spacing w:after="240" w:afterAutospacing="0"/>
        <w:ind w:left="629" w:hanging="629"/>
        <w:jc w:val="both"/>
        <w:rPr>
          <w:rFonts w:ascii="Arial" w:hAnsi="Arial" w:cs="Arial"/>
          <w:sz w:val="19"/>
          <w:szCs w:val="19"/>
          <w:lang w:val="en-US"/>
        </w:rPr>
      </w:pPr>
      <w:r w:rsidRPr="00BF7DB0">
        <w:t>maintain a Board-approved risk appetite statement;</w:t>
      </w:r>
    </w:p>
    <w:p w14:paraId="59C32A48" w14:textId="77777777" w:rsidR="00FE3EB3" w:rsidRPr="00BF7DB0" w:rsidRDefault="00FE3EB3" w:rsidP="00FE3EB3">
      <w:pPr>
        <w:pStyle w:val="ListParagraph"/>
        <w:numPr>
          <w:ilvl w:val="0"/>
          <w:numId w:val="2"/>
        </w:numPr>
        <w:shd w:val="clear" w:color="auto" w:fill="FFFFFF"/>
        <w:spacing w:after="240" w:afterAutospacing="0"/>
        <w:ind w:left="629" w:hanging="629"/>
        <w:jc w:val="both"/>
        <w:rPr>
          <w:lang w:val="en-US"/>
        </w:rPr>
      </w:pPr>
      <w:r w:rsidRPr="00BF7DB0">
        <w:t>maintain a Board-approved risk management strategy that describes the key elements of the risk management framework that give effect to the approach to managing risk;</w:t>
      </w:r>
    </w:p>
    <w:p w14:paraId="2F39EBB1" w14:textId="77777777" w:rsidR="00FE3EB3" w:rsidRPr="00BF7DB0" w:rsidRDefault="00FE3EB3" w:rsidP="00FE3EB3">
      <w:pPr>
        <w:pStyle w:val="ListParagraph"/>
        <w:numPr>
          <w:ilvl w:val="0"/>
          <w:numId w:val="2"/>
        </w:numPr>
        <w:shd w:val="clear" w:color="auto" w:fill="FFFFFF"/>
        <w:spacing w:after="240" w:afterAutospacing="0"/>
        <w:ind w:left="629" w:hanging="629"/>
        <w:jc w:val="both"/>
        <w:rPr>
          <w:rFonts w:ascii="Arial" w:hAnsi="Arial" w:cs="Arial"/>
          <w:sz w:val="19"/>
          <w:szCs w:val="19"/>
          <w:lang w:val="en-US"/>
        </w:rPr>
      </w:pPr>
      <w:r w:rsidRPr="00BF7DB0">
        <w:t>maintain adequate resources to ensure compliance with this Prudential Standard; and</w:t>
      </w:r>
    </w:p>
    <w:p w14:paraId="5C13AF7A" w14:textId="77777777" w:rsidR="00FE3EB3" w:rsidRPr="00BF7DB0" w:rsidRDefault="00FE3EB3" w:rsidP="00FE3EB3">
      <w:pPr>
        <w:pStyle w:val="ListParagraph"/>
        <w:numPr>
          <w:ilvl w:val="0"/>
          <w:numId w:val="2"/>
        </w:numPr>
        <w:shd w:val="clear" w:color="auto" w:fill="FFFFFF"/>
        <w:spacing w:after="240"/>
        <w:jc w:val="both"/>
        <w:rPr>
          <w:rFonts w:ascii="Arial" w:hAnsi="Arial" w:cs="Arial"/>
          <w:sz w:val="19"/>
          <w:szCs w:val="19"/>
          <w:lang w:val="en-US"/>
        </w:rPr>
      </w:pPr>
      <w:proofErr w:type="gramStart"/>
      <w:r w:rsidRPr="00BF7DB0">
        <w:lastRenderedPageBreak/>
        <w:t>notify</w:t>
      </w:r>
      <w:proofErr w:type="gramEnd"/>
      <w:r w:rsidRPr="00BF7DB0">
        <w:t xml:space="preserve"> APRA when the RSE licensee becomes aware of a significant breach of, or material deviation from, the risk management framework, or discovers that the risk management framework does not adequately address a material risk.</w:t>
      </w:r>
    </w:p>
    <w:p w14:paraId="02DD01D6" w14:textId="79452E78" w:rsidR="001C7EFB" w:rsidRDefault="001C7EFB" w:rsidP="001C7EFB">
      <w:pPr>
        <w:spacing w:before="100" w:beforeAutospacing="1" w:after="100" w:afterAutospacing="1" w:line="240" w:lineRule="auto"/>
        <w:jc w:val="both"/>
        <w:rPr>
          <w:rFonts w:ascii="Times New Roman" w:eastAsia="Times New Roman" w:hAnsi="Times New Roman" w:cs="Times New Roman"/>
          <w:sz w:val="24"/>
          <w:szCs w:val="24"/>
          <w:lang w:eastAsia="en-AU"/>
        </w:rPr>
      </w:pPr>
      <w:r w:rsidRPr="001C7EFB">
        <w:rPr>
          <w:rFonts w:ascii="Times New Roman" w:eastAsia="Times New Roman" w:hAnsi="Times New Roman" w:cs="Times New Roman"/>
          <w:sz w:val="24"/>
          <w:szCs w:val="24"/>
          <w:lang w:eastAsia="en-AU"/>
        </w:rPr>
        <w:t>Where SPS 220 and SPS 515 refer to an Act, Regulation</w:t>
      </w:r>
      <w:r w:rsidR="005B4204">
        <w:rPr>
          <w:rFonts w:ascii="Times New Roman" w:eastAsia="Times New Roman" w:hAnsi="Times New Roman" w:cs="Times New Roman"/>
          <w:sz w:val="24"/>
          <w:szCs w:val="24"/>
          <w:lang w:eastAsia="en-AU"/>
        </w:rPr>
        <w:t>,</w:t>
      </w:r>
      <w:r w:rsidRPr="001C7EFB">
        <w:rPr>
          <w:rFonts w:ascii="Times New Roman" w:eastAsia="Times New Roman" w:hAnsi="Times New Roman" w:cs="Times New Roman"/>
          <w:sz w:val="24"/>
          <w:szCs w:val="24"/>
          <w:lang w:eastAsia="en-AU"/>
        </w:rPr>
        <w:t xml:space="preserve"> </w:t>
      </w:r>
      <w:r w:rsidR="000D7A0F">
        <w:rPr>
          <w:rFonts w:ascii="Times New Roman" w:eastAsia="Times New Roman" w:hAnsi="Times New Roman" w:cs="Times New Roman"/>
          <w:sz w:val="24"/>
          <w:szCs w:val="24"/>
          <w:lang w:eastAsia="en-AU"/>
        </w:rPr>
        <w:t>P</w:t>
      </w:r>
      <w:r w:rsidRPr="001C7EFB">
        <w:rPr>
          <w:rFonts w:ascii="Times New Roman" w:eastAsia="Times New Roman" w:hAnsi="Times New Roman" w:cs="Times New Roman"/>
          <w:sz w:val="24"/>
          <w:szCs w:val="24"/>
          <w:lang w:eastAsia="en-AU"/>
        </w:rPr>
        <w:t xml:space="preserve">rudential </w:t>
      </w:r>
      <w:r w:rsidR="000D7A0F">
        <w:rPr>
          <w:rFonts w:ascii="Times New Roman" w:eastAsia="Times New Roman" w:hAnsi="Times New Roman" w:cs="Times New Roman"/>
          <w:sz w:val="24"/>
          <w:szCs w:val="24"/>
          <w:lang w:eastAsia="en-AU"/>
        </w:rPr>
        <w:t>S</w:t>
      </w:r>
      <w:r w:rsidRPr="001C7EFB">
        <w:rPr>
          <w:rFonts w:ascii="Times New Roman" w:eastAsia="Times New Roman" w:hAnsi="Times New Roman" w:cs="Times New Roman"/>
          <w:sz w:val="24"/>
          <w:szCs w:val="24"/>
          <w:lang w:eastAsia="en-AU"/>
        </w:rPr>
        <w:t xml:space="preserve">tandard </w:t>
      </w:r>
      <w:r w:rsidR="005B4204">
        <w:rPr>
          <w:rFonts w:ascii="Times New Roman" w:eastAsia="Times New Roman" w:hAnsi="Times New Roman" w:cs="Times New Roman"/>
          <w:sz w:val="24"/>
          <w:szCs w:val="24"/>
          <w:lang w:eastAsia="en-AU"/>
        </w:rPr>
        <w:t xml:space="preserve">or Reporting Standard, </w:t>
      </w:r>
      <w:r w:rsidRPr="001C7EFB">
        <w:rPr>
          <w:rFonts w:ascii="Times New Roman" w:eastAsia="Times New Roman" w:hAnsi="Times New Roman" w:cs="Times New Roman"/>
          <w:sz w:val="24"/>
          <w:szCs w:val="24"/>
          <w:lang w:eastAsia="en-AU"/>
        </w:rPr>
        <w:t xml:space="preserve">this is a reference to the document as it exists from time to time, and which is available on the Federal Register of Legislation at </w:t>
      </w:r>
      <w:hyperlink r:id="rId13" w:history="1">
        <w:r w:rsidRPr="001C7EFB">
          <w:rPr>
            <w:rFonts w:ascii="Times New Roman" w:eastAsia="Times New Roman" w:hAnsi="Times New Roman" w:cs="Times New Roman"/>
            <w:color w:val="10418E"/>
            <w:sz w:val="24"/>
            <w:szCs w:val="24"/>
            <w:lang w:eastAsia="en-AU"/>
          </w:rPr>
          <w:t>www.legislation.gov.au</w:t>
        </w:r>
      </w:hyperlink>
      <w:r w:rsidRPr="001C7EFB">
        <w:rPr>
          <w:rFonts w:ascii="Times New Roman" w:eastAsia="Times New Roman" w:hAnsi="Times New Roman" w:cs="Times New Roman"/>
          <w:sz w:val="24"/>
          <w:szCs w:val="24"/>
          <w:lang w:eastAsia="en-AU"/>
        </w:rPr>
        <w:t>.</w:t>
      </w:r>
    </w:p>
    <w:p w14:paraId="685113AE" w14:textId="77777777" w:rsidR="00602C94" w:rsidRPr="003D41D3" w:rsidRDefault="00602C94" w:rsidP="00602C94">
      <w:pPr>
        <w:spacing w:before="100" w:beforeAutospacing="1" w:after="100" w:afterAutospacing="1" w:line="240" w:lineRule="auto"/>
        <w:jc w:val="both"/>
        <w:rPr>
          <w:rFonts w:ascii="Times New Roman" w:eastAsia="Times New Roman" w:hAnsi="Times New Roman" w:cs="Times New Roman"/>
          <w:i/>
          <w:sz w:val="24"/>
          <w:szCs w:val="24"/>
          <w:lang w:eastAsia="en-AU"/>
        </w:rPr>
      </w:pPr>
      <w:r w:rsidRPr="003D41D3">
        <w:rPr>
          <w:rFonts w:ascii="Times New Roman" w:eastAsia="Times New Roman" w:hAnsi="Times New Roman" w:cs="Times New Roman"/>
          <w:i/>
          <w:sz w:val="24"/>
          <w:szCs w:val="24"/>
          <w:lang w:eastAsia="en-AU"/>
        </w:rPr>
        <w:t>Merits review</w:t>
      </w:r>
    </w:p>
    <w:p w14:paraId="4923A36D" w14:textId="5BAB1F1B" w:rsidR="00602C94" w:rsidRPr="00602C94" w:rsidRDefault="00602C94" w:rsidP="00602C94">
      <w:pPr>
        <w:spacing w:before="100" w:beforeAutospacing="1" w:after="100" w:afterAutospacing="1" w:line="240" w:lineRule="auto"/>
        <w:jc w:val="both"/>
        <w:rPr>
          <w:rFonts w:ascii="Times New Roman" w:eastAsia="Times New Roman" w:hAnsi="Times New Roman" w:cs="Times New Roman"/>
          <w:sz w:val="24"/>
          <w:szCs w:val="24"/>
          <w:lang w:eastAsia="en-AU"/>
        </w:rPr>
      </w:pPr>
      <w:r w:rsidRPr="00602C94">
        <w:rPr>
          <w:rFonts w:ascii="Times New Roman" w:eastAsia="Times New Roman" w:hAnsi="Times New Roman" w:cs="Times New Roman"/>
          <w:sz w:val="24"/>
          <w:szCs w:val="24"/>
          <w:lang w:eastAsia="en-AU"/>
        </w:rPr>
        <w:t>The prudential standards provide for APRA to exercise various dis</w:t>
      </w:r>
      <w:r w:rsidR="004F113B">
        <w:rPr>
          <w:rFonts w:ascii="Times New Roman" w:eastAsia="Times New Roman" w:hAnsi="Times New Roman" w:cs="Times New Roman"/>
          <w:sz w:val="24"/>
          <w:szCs w:val="24"/>
          <w:lang w:eastAsia="en-AU"/>
        </w:rPr>
        <w:t xml:space="preserve">cretions. Decisions made by </w:t>
      </w:r>
      <w:r w:rsidRPr="00602C94">
        <w:rPr>
          <w:rFonts w:ascii="Times New Roman" w:eastAsia="Times New Roman" w:hAnsi="Times New Roman" w:cs="Times New Roman"/>
          <w:sz w:val="24"/>
          <w:szCs w:val="24"/>
          <w:lang w:eastAsia="en-AU"/>
        </w:rPr>
        <w:t xml:space="preserve">APRA exercising those discretions are not subject to merits review. This is because these decisions are preliminary decisions that may facilitate or lead to substantive decisions which are subject to merits review. </w:t>
      </w:r>
    </w:p>
    <w:p w14:paraId="774179D7" w14:textId="0F4158C0" w:rsidR="00602C94" w:rsidRPr="00602C94" w:rsidRDefault="00602C94" w:rsidP="00602C94">
      <w:pPr>
        <w:spacing w:before="100" w:beforeAutospacing="1" w:after="100" w:afterAutospacing="1" w:line="240" w:lineRule="auto"/>
        <w:jc w:val="both"/>
        <w:rPr>
          <w:rFonts w:ascii="Times New Roman" w:eastAsia="Times New Roman" w:hAnsi="Times New Roman" w:cs="Times New Roman"/>
          <w:sz w:val="24"/>
          <w:szCs w:val="24"/>
          <w:lang w:eastAsia="en-AU"/>
        </w:rPr>
      </w:pPr>
      <w:r w:rsidRPr="00602C94">
        <w:rPr>
          <w:rFonts w:ascii="Times New Roman" w:eastAsia="Times New Roman" w:hAnsi="Times New Roman" w:cs="Times New Roman"/>
          <w:sz w:val="24"/>
          <w:szCs w:val="24"/>
          <w:lang w:eastAsia="en-AU"/>
        </w:rPr>
        <w:t xml:space="preserve">Under the Act, it is a condition on all RSE licences that the RSE licensee must comply with the RSE licensee law, which includes prudential standards. However there are no penalties prescribed for breach of </w:t>
      </w:r>
      <w:r w:rsidR="00742F69">
        <w:rPr>
          <w:rFonts w:ascii="Times New Roman" w:eastAsia="Times New Roman" w:hAnsi="Times New Roman" w:cs="Times New Roman"/>
          <w:sz w:val="24"/>
          <w:szCs w:val="24"/>
          <w:lang w:eastAsia="en-AU"/>
        </w:rPr>
        <w:t xml:space="preserve">the prudential standards under </w:t>
      </w:r>
      <w:r w:rsidRPr="00602C94">
        <w:rPr>
          <w:rFonts w:ascii="Times New Roman" w:eastAsia="Times New Roman" w:hAnsi="Times New Roman" w:cs="Times New Roman"/>
          <w:sz w:val="24"/>
          <w:szCs w:val="24"/>
          <w:lang w:eastAsia="en-AU"/>
        </w:rPr>
        <w:t>the</w:t>
      </w:r>
      <w:r w:rsidR="00742F69">
        <w:rPr>
          <w:rFonts w:ascii="Times New Roman" w:eastAsia="Times New Roman" w:hAnsi="Times New Roman" w:cs="Times New Roman"/>
          <w:sz w:val="24"/>
          <w:szCs w:val="24"/>
          <w:lang w:eastAsia="en-AU"/>
        </w:rPr>
        <w:t xml:space="preserve"> Act. Instead a</w:t>
      </w:r>
      <w:r w:rsidR="00077D90">
        <w:rPr>
          <w:rFonts w:ascii="Times New Roman" w:eastAsia="Times New Roman" w:hAnsi="Times New Roman" w:cs="Times New Roman"/>
          <w:sz w:val="24"/>
          <w:szCs w:val="24"/>
          <w:lang w:eastAsia="en-AU"/>
        </w:rPr>
        <w:t>n</w:t>
      </w:r>
      <w:r w:rsidR="00742F69">
        <w:rPr>
          <w:rFonts w:ascii="Times New Roman" w:eastAsia="Times New Roman" w:hAnsi="Times New Roman" w:cs="Times New Roman"/>
          <w:sz w:val="24"/>
          <w:szCs w:val="24"/>
          <w:lang w:eastAsia="en-AU"/>
        </w:rPr>
        <w:t xml:space="preserve"> RSE licensee’s</w:t>
      </w:r>
      <w:r w:rsidRPr="00602C94">
        <w:rPr>
          <w:rFonts w:ascii="Times New Roman" w:eastAsia="Times New Roman" w:hAnsi="Times New Roman" w:cs="Times New Roman"/>
          <w:sz w:val="24"/>
          <w:szCs w:val="24"/>
          <w:lang w:eastAsia="en-AU"/>
        </w:rPr>
        <w:t xml:space="preserve"> breach of </w:t>
      </w:r>
      <w:r w:rsidR="00742F69">
        <w:rPr>
          <w:rFonts w:ascii="Times New Roman" w:eastAsia="Times New Roman" w:hAnsi="Times New Roman" w:cs="Times New Roman"/>
          <w:sz w:val="24"/>
          <w:szCs w:val="24"/>
          <w:lang w:eastAsia="en-AU"/>
        </w:rPr>
        <w:t>an</w:t>
      </w:r>
      <w:r w:rsidRPr="00602C94">
        <w:rPr>
          <w:rFonts w:ascii="Times New Roman" w:eastAsia="Times New Roman" w:hAnsi="Times New Roman" w:cs="Times New Roman"/>
          <w:sz w:val="24"/>
          <w:szCs w:val="24"/>
          <w:lang w:eastAsia="en-AU"/>
        </w:rPr>
        <w:t xml:space="preserve"> RSE lice</w:t>
      </w:r>
      <w:r w:rsidR="00077D90">
        <w:rPr>
          <w:rFonts w:ascii="Times New Roman" w:eastAsia="Times New Roman" w:hAnsi="Times New Roman" w:cs="Times New Roman"/>
          <w:sz w:val="24"/>
          <w:szCs w:val="24"/>
          <w:lang w:eastAsia="en-AU"/>
        </w:rPr>
        <w:t>nce condition is grounds for</w:t>
      </w:r>
      <w:r w:rsidRPr="00602C94">
        <w:rPr>
          <w:rFonts w:ascii="Times New Roman" w:eastAsia="Times New Roman" w:hAnsi="Times New Roman" w:cs="Times New Roman"/>
          <w:sz w:val="24"/>
          <w:szCs w:val="24"/>
          <w:lang w:eastAsia="en-AU"/>
        </w:rPr>
        <w:t xml:space="preserve"> APRA to make further, subst</w:t>
      </w:r>
      <w:r w:rsidR="00742F69">
        <w:rPr>
          <w:rFonts w:ascii="Times New Roman" w:eastAsia="Times New Roman" w:hAnsi="Times New Roman" w:cs="Times New Roman"/>
          <w:sz w:val="24"/>
          <w:szCs w:val="24"/>
          <w:lang w:eastAsia="en-AU"/>
        </w:rPr>
        <w:t>antive decisions under the Act in relation to the RSE licensee</w:t>
      </w:r>
      <w:r w:rsidRPr="00602C94">
        <w:rPr>
          <w:rFonts w:ascii="Times New Roman" w:eastAsia="Times New Roman" w:hAnsi="Times New Roman" w:cs="Times New Roman"/>
          <w:sz w:val="24"/>
          <w:szCs w:val="24"/>
          <w:lang w:eastAsia="en-AU"/>
        </w:rPr>
        <w:t>. Those decisions are, as the case may be:</w:t>
      </w:r>
    </w:p>
    <w:p w14:paraId="25EC26DE" w14:textId="7CF805D1" w:rsidR="00602C94" w:rsidRPr="00602C94" w:rsidRDefault="00B27B76" w:rsidP="00602C94">
      <w:pPr>
        <w:spacing w:before="100" w:beforeAutospacing="1" w:after="100" w:afterAutospacing="1"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to</w:t>
      </w:r>
      <w:proofErr w:type="gramEnd"/>
      <w:r>
        <w:rPr>
          <w:rFonts w:ascii="Times New Roman" w:eastAsia="Times New Roman" w:hAnsi="Times New Roman" w:cs="Times New Roman"/>
          <w:sz w:val="24"/>
          <w:szCs w:val="24"/>
          <w:lang w:eastAsia="en-AU"/>
        </w:rPr>
        <w:t xml:space="preserve"> cancel</w:t>
      </w:r>
      <w:r w:rsidR="00602C94" w:rsidRPr="00602C94">
        <w:rPr>
          <w:rFonts w:ascii="Times New Roman" w:eastAsia="Times New Roman" w:hAnsi="Times New Roman" w:cs="Times New Roman"/>
          <w:sz w:val="24"/>
          <w:szCs w:val="24"/>
          <w:lang w:eastAsia="en-AU"/>
        </w:rPr>
        <w:t xml:space="preserve"> a licenc</w:t>
      </w:r>
      <w:r w:rsidR="00077D90">
        <w:rPr>
          <w:rFonts w:ascii="Times New Roman" w:eastAsia="Times New Roman" w:hAnsi="Times New Roman" w:cs="Times New Roman"/>
          <w:sz w:val="24"/>
          <w:szCs w:val="24"/>
          <w:lang w:eastAsia="en-AU"/>
        </w:rPr>
        <w:t>e</w:t>
      </w:r>
      <w:r w:rsidR="00742F69">
        <w:rPr>
          <w:rFonts w:ascii="Times New Roman" w:eastAsia="Times New Roman" w:hAnsi="Times New Roman" w:cs="Times New Roman"/>
          <w:sz w:val="24"/>
          <w:szCs w:val="24"/>
          <w:lang w:eastAsia="en-AU"/>
        </w:rPr>
        <w:t xml:space="preserve"> to </w:t>
      </w:r>
      <w:r w:rsidR="00602C94" w:rsidRPr="00602C94">
        <w:rPr>
          <w:rFonts w:ascii="Times New Roman" w:eastAsia="Times New Roman" w:hAnsi="Times New Roman" w:cs="Times New Roman"/>
          <w:sz w:val="24"/>
          <w:szCs w:val="24"/>
          <w:lang w:eastAsia="en-AU"/>
        </w:rPr>
        <w:t>operate an APRA-regulated superannuation fund (s</w:t>
      </w:r>
      <w:r w:rsidR="00742F69">
        <w:rPr>
          <w:rFonts w:ascii="Times New Roman" w:eastAsia="Times New Roman" w:hAnsi="Times New Roman" w:cs="Times New Roman"/>
          <w:sz w:val="24"/>
          <w:szCs w:val="24"/>
          <w:lang w:eastAsia="en-AU"/>
        </w:rPr>
        <w:t xml:space="preserve">ection </w:t>
      </w:r>
      <w:r w:rsidR="00602C94" w:rsidRPr="00602C94">
        <w:rPr>
          <w:rFonts w:ascii="Times New Roman" w:eastAsia="Times New Roman" w:hAnsi="Times New Roman" w:cs="Times New Roman"/>
          <w:sz w:val="24"/>
          <w:szCs w:val="24"/>
          <w:lang w:eastAsia="en-AU"/>
        </w:rPr>
        <w:t xml:space="preserve">29G </w:t>
      </w:r>
      <w:r w:rsidR="00742F69">
        <w:rPr>
          <w:rFonts w:ascii="Times New Roman" w:eastAsia="Times New Roman" w:hAnsi="Times New Roman" w:cs="Times New Roman"/>
          <w:sz w:val="24"/>
          <w:szCs w:val="24"/>
          <w:lang w:eastAsia="en-AU"/>
        </w:rPr>
        <w:t>of the</w:t>
      </w:r>
      <w:r w:rsidR="00602C94" w:rsidRPr="00602C94">
        <w:rPr>
          <w:rFonts w:ascii="Times New Roman" w:eastAsia="Times New Roman" w:hAnsi="Times New Roman" w:cs="Times New Roman"/>
          <w:sz w:val="24"/>
          <w:szCs w:val="24"/>
          <w:lang w:eastAsia="en-AU"/>
        </w:rPr>
        <w:t xml:space="preserve"> Act); and</w:t>
      </w:r>
    </w:p>
    <w:p w14:paraId="6F9BCC91" w14:textId="0DCA9D64" w:rsidR="00602C94" w:rsidRPr="00602C94" w:rsidRDefault="00602C94" w:rsidP="00602C94">
      <w:pPr>
        <w:spacing w:before="100" w:beforeAutospacing="1" w:after="100" w:afterAutospacing="1" w:line="240" w:lineRule="auto"/>
        <w:jc w:val="both"/>
        <w:rPr>
          <w:rFonts w:ascii="Times New Roman" w:eastAsia="Times New Roman" w:hAnsi="Times New Roman" w:cs="Times New Roman"/>
          <w:sz w:val="24"/>
          <w:szCs w:val="24"/>
          <w:lang w:eastAsia="en-AU"/>
        </w:rPr>
      </w:pPr>
      <w:r w:rsidRPr="00602C94">
        <w:rPr>
          <w:rFonts w:ascii="Times New Roman" w:eastAsia="Times New Roman" w:hAnsi="Times New Roman" w:cs="Times New Roman"/>
          <w:sz w:val="24"/>
          <w:szCs w:val="24"/>
          <w:lang w:eastAsia="en-AU"/>
        </w:rPr>
        <w:t>(b)</w:t>
      </w:r>
      <w:r w:rsidR="00742F69">
        <w:rPr>
          <w:rFonts w:ascii="Times New Roman" w:eastAsia="Times New Roman" w:hAnsi="Times New Roman" w:cs="Times New Roman"/>
          <w:sz w:val="24"/>
          <w:szCs w:val="24"/>
          <w:lang w:eastAsia="en-AU"/>
        </w:rPr>
        <w:tab/>
      </w:r>
      <w:proofErr w:type="gramStart"/>
      <w:r w:rsidR="00742F69">
        <w:rPr>
          <w:rFonts w:ascii="Times New Roman" w:eastAsia="Times New Roman" w:hAnsi="Times New Roman" w:cs="Times New Roman"/>
          <w:sz w:val="24"/>
          <w:szCs w:val="24"/>
          <w:lang w:eastAsia="en-AU"/>
        </w:rPr>
        <w:t>to</w:t>
      </w:r>
      <w:proofErr w:type="gramEnd"/>
      <w:r w:rsidR="00742F69">
        <w:rPr>
          <w:rFonts w:ascii="Times New Roman" w:eastAsia="Times New Roman" w:hAnsi="Times New Roman" w:cs="Times New Roman"/>
          <w:sz w:val="24"/>
          <w:szCs w:val="24"/>
          <w:lang w:eastAsia="en-AU"/>
        </w:rPr>
        <w:t xml:space="preserve"> issue a direction to the RSE licensee</w:t>
      </w:r>
      <w:r w:rsidRPr="00602C94">
        <w:rPr>
          <w:rFonts w:ascii="Times New Roman" w:eastAsia="Times New Roman" w:hAnsi="Times New Roman" w:cs="Times New Roman"/>
          <w:sz w:val="24"/>
          <w:szCs w:val="24"/>
          <w:lang w:eastAsia="en-AU"/>
        </w:rPr>
        <w:t>, including a direction to comply with the whole or part of a prudent</w:t>
      </w:r>
      <w:r w:rsidR="00742F69">
        <w:rPr>
          <w:rFonts w:ascii="Times New Roman" w:eastAsia="Times New Roman" w:hAnsi="Times New Roman" w:cs="Times New Roman"/>
          <w:sz w:val="24"/>
          <w:szCs w:val="24"/>
          <w:lang w:eastAsia="en-AU"/>
        </w:rPr>
        <w:t>ial standard (</w:t>
      </w:r>
      <w:r w:rsidRPr="00602C94">
        <w:rPr>
          <w:rFonts w:ascii="Times New Roman" w:eastAsia="Times New Roman" w:hAnsi="Times New Roman" w:cs="Times New Roman"/>
          <w:sz w:val="24"/>
          <w:szCs w:val="24"/>
          <w:lang w:eastAsia="en-AU"/>
        </w:rPr>
        <w:t>s</w:t>
      </w:r>
      <w:r w:rsidR="00742F69">
        <w:rPr>
          <w:rFonts w:ascii="Times New Roman" w:eastAsia="Times New Roman" w:hAnsi="Times New Roman" w:cs="Times New Roman"/>
          <w:sz w:val="24"/>
          <w:szCs w:val="24"/>
          <w:lang w:eastAsia="en-AU"/>
        </w:rPr>
        <w:t>ection</w:t>
      </w:r>
      <w:r w:rsidR="00077D90">
        <w:rPr>
          <w:rFonts w:ascii="Times New Roman" w:eastAsia="Times New Roman" w:hAnsi="Times New Roman" w:cs="Times New Roman"/>
          <w:sz w:val="24"/>
          <w:szCs w:val="24"/>
          <w:lang w:eastAsia="en-AU"/>
        </w:rPr>
        <w:t xml:space="preserve"> </w:t>
      </w:r>
      <w:r w:rsidR="00742F69">
        <w:rPr>
          <w:rFonts w:ascii="Times New Roman" w:eastAsia="Times New Roman" w:hAnsi="Times New Roman" w:cs="Times New Roman"/>
          <w:sz w:val="24"/>
          <w:szCs w:val="24"/>
          <w:lang w:eastAsia="en-AU"/>
        </w:rPr>
        <w:t>131D of the</w:t>
      </w:r>
      <w:r w:rsidRPr="00602C94">
        <w:rPr>
          <w:rFonts w:ascii="Times New Roman" w:eastAsia="Times New Roman" w:hAnsi="Times New Roman" w:cs="Times New Roman"/>
          <w:sz w:val="24"/>
          <w:szCs w:val="24"/>
          <w:lang w:eastAsia="en-AU"/>
        </w:rPr>
        <w:t xml:space="preserve"> Act). </w:t>
      </w:r>
    </w:p>
    <w:p w14:paraId="46192431" w14:textId="3104CB76" w:rsidR="00907F20" w:rsidRPr="001C7EFB" w:rsidRDefault="00602C94" w:rsidP="001C7EFB">
      <w:pPr>
        <w:spacing w:before="100" w:beforeAutospacing="1" w:after="100" w:afterAutospacing="1" w:line="240" w:lineRule="auto"/>
        <w:jc w:val="both"/>
        <w:rPr>
          <w:rFonts w:ascii="Times New Roman" w:eastAsia="Times New Roman" w:hAnsi="Times New Roman" w:cs="Times New Roman"/>
          <w:sz w:val="24"/>
          <w:szCs w:val="24"/>
          <w:lang w:eastAsia="en-AU"/>
        </w:rPr>
      </w:pPr>
      <w:r w:rsidRPr="00602C94">
        <w:rPr>
          <w:rFonts w:ascii="Times New Roman" w:eastAsia="Times New Roman" w:hAnsi="Times New Roman" w:cs="Times New Roman"/>
          <w:sz w:val="24"/>
          <w:szCs w:val="24"/>
          <w:lang w:eastAsia="en-AU"/>
        </w:rPr>
        <w:t>It is o</w:t>
      </w:r>
      <w:r w:rsidR="00433438">
        <w:rPr>
          <w:rFonts w:ascii="Times New Roman" w:eastAsia="Times New Roman" w:hAnsi="Times New Roman" w:cs="Times New Roman"/>
          <w:sz w:val="24"/>
          <w:szCs w:val="24"/>
          <w:lang w:eastAsia="en-AU"/>
        </w:rPr>
        <w:t>nly at this stage that a</w:t>
      </w:r>
      <w:r w:rsidR="00077D90">
        <w:rPr>
          <w:rFonts w:ascii="Times New Roman" w:eastAsia="Times New Roman" w:hAnsi="Times New Roman" w:cs="Times New Roman"/>
          <w:sz w:val="24"/>
          <w:szCs w:val="24"/>
          <w:lang w:eastAsia="en-AU"/>
        </w:rPr>
        <w:t>n</w:t>
      </w:r>
      <w:r w:rsidR="00433438">
        <w:rPr>
          <w:rFonts w:ascii="Times New Roman" w:eastAsia="Times New Roman" w:hAnsi="Times New Roman" w:cs="Times New Roman"/>
          <w:sz w:val="24"/>
          <w:szCs w:val="24"/>
          <w:lang w:eastAsia="en-AU"/>
        </w:rPr>
        <w:t xml:space="preserve"> RSE licensee</w:t>
      </w:r>
      <w:r w:rsidRPr="00602C94">
        <w:rPr>
          <w:rFonts w:ascii="Times New Roman" w:eastAsia="Times New Roman" w:hAnsi="Times New Roman" w:cs="Times New Roman"/>
          <w:sz w:val="24"/>
          <w:szCs w:val="24"/>
          <w:lang w:eastAsia="en-AU"/>
        </w:rPr>
        <w:t xml:space="preserve"> is exposed to a pe</w:t>
      </w:r>
      <w:r w:rsidR="00433438">
        <w:rPr>
          <w:rFonts w:ascii="Times New Roman" w:eastAsia="Times New Roman" w:hAnsi="Times New Roman" w:cs="Times New Roman"/>
          <w:sz w:val="24"/>
          <w:szCs w:val="24"/>
          <w:lang w:eastAsia="en-AU"/>
        </w:rPr>
        <w:t>nalty</w:t>
      </w:r>
      <w:r w:rsidR="00B4345C" w:rsidRPr="0059540C">
        <w:rPr>
          <w:rFonts w:ascii="Times New Roman" w:eastAsia="Times New Roman" w:hAnsi="Times New Roman" w:cs="Times New Roman"/>
          <w:sz w:val="24"/>
          <w:szCs w:val="24"/>
          <w:lang w:eastAsia="en-AU"/>
        </w:rPr>
        <w:t>: loss of licence or</w:t>
      </w:r>
      <w:r w:rsidR="003B1DFA">
        <w:rPr>
          <w:rFonts w:ascii="Times New Roman" w:eastAsia="Times New Roman" w:hAnsi="Times New Roman" w:cs="Times New Roman"/>
          <w:sz w:val="24"/>
          <w:szCs w:val="24"/>
          <w:lang w:eastAsia="en-AU"/>
        </w:rPr>
        <w:t xml:space="preserve"> 10</w:t>
      </w:r>
      <w:r w:rsidRPr="00602C94">
        <w:rPr>
          <w:rFonts w:ascii="Times New Roman" w:eastAsia="Times New Roman" w:hAnsi="Times New Roman" w:cs="Times New Roman"/>
          <w:sz w:val="24"/>
          <w:szCs w:val="24"/>
          <w:lang w:eastAsia="en-AU"/>
        </w:rPr>
        <w:t>0 penalty units each day i</w:t>
      </w:r>
      <w:r w:rsidR="005111B6">
        <w:rPr>
          <w:rFonts w:ascii="Times New Roman" w:eastAsia="Times New Roman" w:hAnsi="Times New Roman" w:cs="Times New Roman"/>
          <w:sz w:val="24"/>
          <w:szCs w:val="24"/>
          <w:lang w:eastAsia="en-AU"/>
        </w:rPr>
        <w:t>f it breaches the direction (</w:t>
      </w:r>
      <w:r w:rsidRPr="00602C94">
        <w:rPr>
          <w:rFonts w:ascii="Times New Roman" w:eastAsia="Times New Roman" w:hAnsi="Times New Roman" w:cs="Times New Roman"/>
          <w:sz w:val="24"/>
          <w:szCs w:val="24"/>
          <w:lang w:eastAsia="en-AU"/>
        </w:rPr>
        <w:t>s</w:t>
      </w:r>
      <w:r w:rsidR="00077D90">
        <w:rPr>
          <w:rFonts w:ascii="Times New Roman" w:eastAsia="Times New Roman" w:hAnsi="Times New Roman" w:cs="Times New Roman"/>
          <w:sz w:val="24"/>
          <w:szCs w:val="24"/>
          <w:lang w:eastAsia="en-AU"/>
        </w:rPr>
        <w:t>ection 131DD of the</w:t>
      </w:r>
      <w:r w:rsidRPr="00602C94">
        <w:rPr>
          <w:rFonts w:ascii="Times New Roman" w:eastAsia="Times New Roman" w:hAnsi="Times New Roman" w:cs="Times New Roman"/>
          <w:sz w:val="24"/>
          <w:szCs w:val="24"/>
          <w:lang w:eastAsia="en-AU"/>
        </w:rPr>
        <w:t xml:space="preserve"> Act</w:t>
      </w:r>
      <w:r w:rsidR="00477096">
        <w:rPr>
          <w:rStyle w:val="FootnoteReference"/>
          <w:rFonts w:ascii="Times New Roman" w:eastAsia="Times New Roman" w:hAnsi="Times New Roman" w:cs="Times New Roman"/>
          <w:sz w:val="24"/>
          <w:szCs w:val="24"/>
          <w:lang w:eastAsia="en-AU"/>
        </w:rPr>
        <w:footnoteReference w:id="2"/>
      </w:r>
      <w:r w:rsidRPr="00602C94">
        <w:rPr>
          <w:rFonts w:ascii="Times New Roman" w:eastAsia="Times New Roman" w:hAnsi="Times New Roman" w:cs="Times New Roman"/>
          <w:sz w:val="24"/>
          <w:szCs w:val="24"/>
          <w:lang w:eastAsia="en-AU"/>
        </w:rPr>
        <w:t>). The subsequent substantive decisions of APRA to impose a direction are subject to merits review.</w:t>
      </w:r>
    </w:p>
    <w:p w14:paraId="4D8E52FA" w14:textId="77777777" w:rsidR="00FE5D7D" w:rsidRPr="00FE5D7D" w:rsidRDefault="00FE5D7D" w:rsidP="00FE5D7D">
      <w:pPr>
        <w:shd w:val="clear" w:color="auto" w:fill="FFFFFF"/>
        <w:spacing w:after="240" w:line="240" w:lineRule="auto"/>
        <w:ind w:left="567" w:hanging="567"/>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3.</w:t>
      </w:r>
      <w:r w:rsidRPr="00FE5D7D">
        <w:rPr>
          <w:rFonts w:ascii="Times New Roman" w:eastAsia="Times New Roman" w:hAnsi="Times New Roman" w:cs="Times New Roman"/>
          <w:b/>
          <w:bCs/>
          <w:sz w:val="14"/>
          <w:szCs w:val="14"/>
          <w:lang w:eastAsia="en-AU"/>
        </w:rPr>
        <w:t xml:space="preserve">             </w:t>
      </w:r>
      <w:r w:rsidRPr="00FE5D7D">
        <w:rPr>
          <w:rFonts w:ascii="Times New Roman" w:eastAsia="Times New Roman" w:hAnsi="Times New Roman" w:cs="Times New Roman"/>
          <w:b/>
          <w:bCs/>
          <w:sz w:val="24"/>
          <w:szCs w:val="24"/>
          <w:lang w:eastAsia="en-AU"/>
        </w:rPr>
        <w:t>Consultation</w:t>
      </w:r>
    </w:p>
    <w:p w14:paraId="68121F3A" w14:textId="6240EECC" w:rsidR="00F3769C" w:rsidRDefault="000A4C0E" w:rsidP="000A4C0E">
      <w:pPr>
        <w:shd w:val="clear" w:color="auto" w:fill="FFFFFF"/>
        <w:spacing w:after="240" w:line="240" w:lineRule="auto"/>
        <w:jc w:val="both"/>
        <w:rPr>
          <w:rFonts w:ascii="Times New Roman" w:eastAsia="Times New Roman" w:hAnsi="Times New Roman" w:cs="Times New Roman"/>
          <w:sz w:val="24"/>
          <w:szCs w:val="24"/>
          <w:lang w:eastAsia="en-AU"/>
        </w:rPr>
      </w:pPr>
      <w:bookmarkStart w:id="5" w:name="bkConsultation"/>
      <w:bookmarkEnd w:id="5"/>
      <w:r>
        <w:rPr>
          <w:rFonts w:ascii="Times New Roman" w:eastAsia="Times New Roman" w:hAnsi="Times New Roman" w:cs="Times New Roman"/>
          <w:sz w:val="24"/>
          <w:szCs w:val="24"/>
          <w:lang w:eastAsia="en-AU"/>
        </w:rPr>
        <w:t>APRA</w:t>
      </w:r>
      <w:r w:rsidR="005B0EE6">
        <w:rPr>
          <w:rFonts w:ascii="Times New Roman" w:eastAsia="Times New Roman" w:hAnsi="Times New Roman" w:cs="Times New Roman"/>
          <w:sz w:val="24"/>
          <w:szCs w:val="24"/>
          <w:lang w:eastAsia="en-AU"/>
        </w:rPr>
        <w:t xml:space="preserve"> consulted widely on SPS 515 and SPS 220.</w:t>
      </w:r>
      <w:r>
        <w:rPr>
          <w:rFonts w:ascii="Times New Roman" w:eastAsia="Times New Roman" w:hAnsi="Times New Roman" w:cs="Times New Roman"/>
          <w:sz w:val="24"/>
          <w:szCs w:val="24"/>
          <w:lang w:eastAsia="en-AU"/>
        </w:rPr>
        <w:t xml:space="preserve"> </w:t>
      </w:r>
      <w:r w:rsidR="005B0EE6">
        <w:rPr>
          <w:rFonts w:ascii="Times New Roman" w:eastAsia="Times New Roman" w:hAnsi="Times New Roman" w:cs="Times New Roman"/>
          <w:sz w:val="24"/>
          <w:szCs w:val="24"/>
          <w:lang w:eastAsia="en-AU"/>
        </w:rPr>
        <w:t>Consultation commenced</w:t>
      </w:r>
      <w:r w:rsidR="007C7B89">
        <w:rPr>
          <w:rFonts w:ascii="Times New Roman" w:eastAsia="Times New Roman" w:hAnsi="Times New Roman" w:cs="Times New Roman"/>
          <w:sz w:val="24"/>
          <w:szCs w:val="24"/>
          <w:lang w:eastAsia="en-AU"/>
        </w:rPr>
        <w:t xml:space="preserve"> on </w:t>
      </w:r>
      <w:r w:rsidR="005B0EE6">
        <w:rPr>
          <w:rFonts w:ascii="Times New Roman" w:eastAsia="Times New Roman" w:hAnsi="Times New Roman" w:cs="Times New Roman"/>
          <w:sz w:val="24"/>
          <w:szCs w:val="24"/>
          <w:lang w:eastAsia="en-AU"/>
        </w:rPr>
        <w:t>updates to the prudential framework</w:t>
      </w:r>
      <w:r w:rsidR="007C7B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August 2017. A further round of extensive consultation was undertaken from December 2017 to March 2018</w:t>
      </w:r>
      <w:r w:rsidR="00F610A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following the release of a discussion paper</w:t>
      </w:r>
      <w:r w:rsidR="001A300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draft prudential standards</w:t>
      </w:r>
      <w:r w:rsidR="001A3006">
        <w:rPr>
          <w:rFonts w:ascii="Times New Roman" w:eastAsia="Times New Roman" w:hAnsi="Times New Roman" w:cs="Times New Roman"/>
          <w:sz w:val="24"/>
          <w:szCs w:val="24"/>
          <w:lang w:eastAsia="en-AU"/>
        </w:rPr>
        <w:t xml:space="preserve"> SPS 515 and SPS 220 and supporting guidance</w:t>
      </w:r>
      <w:r>
        <w:rPr>
          <w:rFonts w:ascii="Times New Roman" w:eastAsia="Times New Roman" w:hAnsi="Times New Roman" w:cs="Times New Roman"/>
          <w:sz w:val="24"/>
          <w:szCs w:val="24"/>
          <w:lang w:eastAsia="en-AU"/>
        </w:rPr>
        <w:t xml:space="preserve">. </w:t>
      </w:r>
      <w:r w:rsidR="003D6F78" w:rsidRPr="003D6F78">
        <w:rPr>
          <w:rFonts w:ascii="Times New Roman" w:eastAsia="Times New Roman" w:hAnsi="Times New Roman" w:cs="Times New Roman"/>
          <w:sz w:val="24"/>
          <w:szCs w:val="24"/>
          <w:lang w:eastAsia="en-AU"/>
        </w:rPr>
        <w:t xml:space="preserve">Generally, industry stakeholders were supportive of the intent of the proposed changes. However, concerns were </w:t>
      </w:r>
      <w:r w:rsidR="003D6F78" w:rsidRPr="003D6F78">
        <w:rPr>
          <w:rFonts w:ascii="Times New Roman" w:eastAsia="Times New Roman" w:hAnsi="Times New Roman" w:cs="Times New Roman"/>
          <w:sz w:val="24"/>
          <w:szCs w:val="24"/>
          <w:lang w:eastAsia="en-AU"/>
        </w:rPr>
        <w:lastRenderedPageBreak/>
        <w:t>raised regarding the level of prescription proposed in some areas and some aspects of implementation.</w:t>
      </w:r>
      <w:r w:rsidR="003D6F78">
        <w:rPr>
          <w:rFonts w:ascii="Times New Roman" w:eastAsia="Times New Roman" w:hAnsi="Times New Roman" w:cs="Times New Roman"/>
          <w:sz w:val="24"/>
          <w:szCs w:val="24"/>
          <w:lang w:eastAsia="en-AU"/>
        </w:rPr>
        <w:t xml:space="preserve"> Some of the more prescriptive elements were removed from the business performance review requirements in response and further clarity </w:t>
      </w:r>
      <w:r w:rsidR="00084B9B">
        <w:rPr>
          <w:rFonts w:ascii="Times New Roman" w:eastAsia="Times New Roman" w:hAnsi="Times New Roman" w:cs="Times New Roman"/>
          <w:sz w:val="24"/>
          <w:szCs w:val="24"/>
          <w:lang w:eastAsia="en-AU"/>
        </w:rPr>
        <w:t xml:space="preserve">was </w:t>
      </w:r>
      <w:r w:rsidR="003D6F78">
        <w:rPr>
          <w:rFonts w:ascii="Times New Roman" w:eastAsia="Times New Roman" w:hAnsi="Times New Roman" w:cs="Times New Roman"/>
          <w:sz w:val="24"/>
          <w:szCs w:val="24"/>
          <w:lang w:eastAsia="en-AU"/>
        </w:rPr>
        <w:t xml:space="preserve">given about implementation expectations. </w:t>
      </w:r>
      <w:r w:rsidR="004B5A55">
        <w:rPr>
          <w:rFonts w:ascii="Times New Roman" w:eastAsia="Times New Roman" w:hAnsi="Times New Roman" w:cs="Times New Roman"/>
          <w:sz w:val="24"/>
          <w:szCs w:val="24"/>
          <w:lang w:eastAsia="en-AU"/>
        </w:rPr>
        <w:t xml:space="preserve">APRA released final prudential standards and supporting guidance in December 2018. </w:t>
      </w:r>
    </w:p>
    <w:p w14:paraId="1A44EF2E" w14:textId="0328F371" w:rsidR="000A4C0E" w:rsidRPr="000A4C0E" w:rsidRDefault="000A4C0E" w:rsidP="000A4C0E">
      <w:pPr>
        <w:shd w:val="clear" w:color="auto" w:fill="FFFFFF"/>
        <w:spacing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Following the passage of</w:t>
      </w:r>
      <w:r w:rsidR="00937F5D">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w:t>
      </w:r>
      <w:r w:rsidRPr="000A4C0E">
        <w:rPr>
          <w:rFonts w:ascii="Times New Roman" w:eastAsia="Times New Roman" w:hAnsi="Times New Roman" w:cs="Times New Roman"/>
          <w:i/>
          <w:sz w:val="24"/>
          <w:szCs w:val="24"/>
          <w:lang w:eastAsia="en-AU"/>
        </w:rPr>
        <w:t xml:space="preserve">Treasury Laws Amendment (Improving Accountability and Member Outcomes in Superannuation Measures) No.1 </w:t>
      </w:r>
      <w:r w:rsidR="00977F90">
        <w:rPr>
          <w:rFonts w:ascii="Times New Roman" w:eastAsia="Times New Roman" w:hAnsi="Times New Roman" w:cs="Times New Roman"/>
          <w:i/>
          <w:sz w:val="24"/>
          <w:szCs w:val="24"/>
          <w:lang w:eastAsia="en-AU"/>
        </w:rPr>
        <w:t xml:space="preserve">Act 2019 </w:t>
      </w:r>
      <w:r w:rsidR="00977F90">
        <w:rPr>
          <w:rFonts w:ascii="Times New Roman" w:eastAsia="Times New Roman" w:hAnsi="Times New Roman" w:cs="Times New Roman"/>
          <w:sz w:val="24"/>
          <w:szCs w:val="24"/>
          <w:lang w:eastAsia="en-AU"/>
        </w:rPr>
        <w:t>(the Member Outcomes Act)</w:t>
      </w:r>
      <w:r>
        <w:rPr>
          <w:rFonts w:ascii="Times New Roman" w:eastAsia="Times New Roman" w:hAnsi="Times New Roman" w:cs="Times New Roman"/>
          <w:i/>
          <w:sz w:val="24"/>
          <w:szCs w:val="24"/>
          <w:lang w:eastAsia="en-AU"/>
        </w:rPr>
        <w:t xml:space="preserve"> </w:t>
      </w:r>
      <w:r w:rsidR="00357BED">
        <w:rPr>
          <w:rFonts w:ascii="Times New Roman" w:eastAsia="Times New Roman" w:hAnsi="Times New Roman" w:cs="Times New Roman"/>
          <w:sz w:val="24"/>
          <w:szCs w:val="24"/>
          <w:lang w:eastAsia="en-AU"/>
        </w:rPr>
        <w:t>in April 2019</w:t>
      </w:r>
      <w:r w:rsidR="00F610A3">
        <w:rPr>
          <w:rFonts w:ascii="Times New Roman" w:eastAsia="Times New Roman" w:hAnsi="Times New Roman" w:cs="Times New Roman"/>
          <w:sz w:val="24"/>
          <w:szCs w:val="24"/>
          <w:lang w:eastAsia="en-AU"/>
        </w:rPr>
        <w:t>,</w:t>
      </w:r>
      <w:r w:rsidR="00357B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APRA determined that</w:t>
      </w:r>
      <w:r w:rsidR="004239C8">
        <w:rPr>
          <w:rFonts w:ascii="Times New Roman" w:eastAsia="Times New Roman" w:hAnsi="Times New Roman" w:cs="Times New Roman"/>
          <w:sz w:val="24"/>
          <w:szCs w:val="24"/>
          <w:lang w:eastAsia="en-AU"/>
        </w:rPr>
        <w:t xml:space="preserve"> corresponding</w:t>
      </w:r>
      <w:r>
        <w:rPr>
          <w:rFonts w:ascii="Times New Roman" w:eastAsia="Times New Roman" w:hAnsi="Times New Roman" w:cs="Times New Roman"/>
          <w:sz w:val="24"/>
          <w:szCs w:val="24"/>
          <w:lang w:eastAsia="en-AU"/>
        </w:rPr>
        <w:t xml:space="preserve"> c</w:t>
      </w:r>
      <w:r w:rsidR="004B5A55">
        <w:rPr>
          <w:rFonts w:ascii="Times New Roman" w:eastAsia="Times New Roman" w:hAnsi="Times New Roman" w:cs="Times New Roman"/>
          <w:sz w:val="24"/>
          <w:szCs w:val="24"/>
          <w:lang w:eastAsia="en-AU"/>
        </w:rPr>
        <w:t>hanges were required to SPS 515. APRA consulted on the proposed changes</w:t>
      </w:r>
      <w:r w:rsidR="00357BED">
        <w:rPr>
          <w:rFonts w:ascii="Times New Roman" w:eastAsia="Times New Roman" w:hAnsi="Times New Roman" w:cs="Times New Roman"/>
          <w:sz w:val="24"/>
          <w:szCs w:val="24"/>
          <w:lang w:eastAsia="en-AU"/>
        </w:rPr>
        <w:t xml:space="preserve"> to SPS 515</w:t>
      </w:r>
      <w:r w:rsidR="004B5A55">
        <w:rPr>
          <w:rFonts w:ascii="Times New Roman" w:eastAsia="Times New Roman" w:hAnsi="Times New Roman" w:cs="Times New Roman"/>
          <w:sz w:val="24"/>
          <w:szCs w:val="24"/>
          <w:lang w:eastAsia="en-AU"/>
        </w:rPr>
        <w:t xml:space="preserve"> </w:t>
      </w:r>
      <w:r w:rsidR="00357BED">
        <w:rPr>
          <w:rFonts w:ascii="Times New Roman" w:eastAsia="Times New Roman" w:hAnsi="Times New Roman" w:cs="Times New Roman"/>
          <w:sz w:val="24"/>
          <w:szCs w:val="24"/>
          <w:lang w:eastAsia="en-AU"/>
        </w:rPr>
        <w:t xml:space="preserve">from April 2019 to May 2019. </w:t>
      </w:r>
      <w:r w:rsidR="00541A8E">
        <w:rPr>
          <w:rFonts w:ascii="Times New Roman" w:eastAsia="Times New Roman" w:hAnsi="Times New Roman" w:cs="Times New Roman"/>
          <w:sz w:val="24"/>
          <w:szCs w:val="24"/>
          <w:lang w:eastAsia="en-AU"/>
        </w:rPr>
        <w:t>Stakeholders expressed broad support, however some drafting issues were highlighted and further guidance requested. In response, APRA made drafting amendments where appropriate and sought to provide further guidance on the key components of SPS 515.</w:t>
      </w:r>
    </w:p>
    <w:p w14:paraId="61987BE5" w14:textId="77777777" w:rsidR="00FE5D7D" w:rsidRPr="00FE5D7D" w:rsidRDefault="00FE5D7D" w:rsidP="00FE5D7D">
      <w:pPr>
        <w:shd w:val="clear" w:color="auto" w:fill="FFFFFF"/>
        <w:spacing w:after="240" w:line="240" w:lineRule="auto"/>
        <w:ind w:left="567" w:hanging="567"/>
        <w:jc w:val="both"/>
        <w:rPr>
          <w:rFonts w:ascii="Arial" w:eastAsia="Times New Roman" w:hAnsi="Arial" w:cs="Arial"/>
          <w:sz w:val="19"/>
          <w:szCs w:val="19"/>
          <w:lang w:val="en-US" w:eastAsia="en-AU"/>
        </w:rPr>
      </w:pPr>
      <w:r w:rsidRPr="00FE5D7D">
        <w:rPr>
          <w:rFonts w:ascii="Times New Roman" w:eastAsia="Times New Roman" w:hAnsi="Times New Roman" w:cs="Times New Roman"/>
          <w:b/>
          <w:bCs/>
          <w:sz w:val="24"/>
          <w:szCs w:val="24"/>
          <w:lang w:eastAsia="en-AU"/>
        </w:rPr>
        <w:t>4.</w:t>
      </w:r>
      <w:r w:rsidRPr="00FE5D7D">
        <w:rPr>
          <w:rFonts w:ascii="Times New Roman" w:eastAsia="Times New Roman" w:hAnsi="Times New Roman" w:cs="Times New Roman"/>
          <w:b/>
          <w:bCs/>
          <w:sz w:val="14"/>
          <w:szCs w:val="14"/>
          <w:lang w:eastAsia="en-AU"/>
        </w:rPr>
        <w:t xml:space="preserve">             </w:t>
      </w:r>
      <w:r w:rsidRPr="00FE5D7D">
        <w:rPr>
          <w:rFonts w:ascii="Times New Roman" w:eastAsia="Times New Roman" w:hAnsi="Times New Roman" w:cs="Times New Roman"/>
          <w:b/>
          <w:bCs/>
          <w:sz w:val="24"/>
          <w:szCs w:val="24"/>
          <w:lang w:eastAsia="en-AU"/>
        </w:rPr>
        <w:t>Regulation Impact Statement</w:t>
      </w:r>
    </w:p>
    <w:p w14:paraId="31D5E545" w14:textId="5BE02FEA" w:rsidR="00DA6736" w:rsidRDefault="00D64282" w:rsidP="00D64282">
      <w:pPr>
        <w:shd w:val="clear" w:color="auto" w:fill="FFFFFF"/>
        <w:spacing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agreement with the </w:t>
      </w:r>
      <w:r w:rsidRPr="00BF7DB0">
        <w:rPr>
          <w:rFonts w:ascii="Times New Roman" w:eastAsia="Times New Roman" w:hAnsi="Times New Roman" w:cs="Times New Roman"/>
          <w:sz w:val="24"/>
          <w:szCs w:val="24"/>
          <w:lang w:eastAsia="en-AU"/>
        </w:rPr>
        <w:t xml:space="preserve">Office </w:t>
      </w:r>
      <w:r>
        <w:rPr>
          <w:rFonts w:ascii="Times New Roman" w:eastAsia="Times New Roman" w:hAnsi="Times New Roman" w:cs="Times New Roman"/>
          <w:sz w:val="24"/>
          <w:szCs w:val="24"/>
          <w:lang w:eastAsia="en-AU"/>
        </w:rPr>
        <w:t>of Best Practice Regulation (OBPR)</w:t>
      </w:r>
      <w:r w:rsidR="0098175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AD177C">
        <w:rPr>
          <w:rFonts w:ascii="Times New Roman" w:eastAsia="Times New Roman" w:hAnsi="Times New Roman" w:cs="Times New Roman"/>
          <w:sz w:val="24"/>
          <w:szCs w:val="24"/>
          <w:lang w:eastAsia="en-AU"/>
        </w:rPr>
        <w:t>APRA pr</w:t>
      </w:r>
      <w:r>
        <w:rPr>
          <w:rFonts w:ascii="Times New Roman" w:eastAsia="Times New Roman" w:hAnsi="Times New Roman" w:cs="Times New Roman"/>
          <w:sz w:val="24"/>
          <w:szCs w:val="24"/>
          <w:lang w:eastAsia="en-AU"/>
        </w:rPr>
        <w:t xml:space="preserve">epared an independent review of the regulatory impacts of </w:t>
      </w:r>
      <w:r w:rsidR="00F610A3">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prudential framework changes released in December 2018.</w:t>
      </w:r>
      <w:r w:rsidR="009E18C7">
        <w:rPr>
          <w:rFonts w:ascii="Times New Roman" w:eastAsia="Times New Roman" w:hAnsi="Times New Roman" w:cs="Times New Roman"/>
          <w:sz w:val="24"/>
          <w:szCs w:val="24"/>
          <w:lang w:eastAsia="en-AU"/>
        </w:rPr>
        <w:t xml:space="preserve"> This included the revision of SPS 220 and the introduction of the new standard SPS 515.</w:t>
      </w:r>
      <w:r>
        <w:rPr>
          <w:rFonts w:ascii="Times New Roman" w:eastAsia="Times New Roman" w:hAnsi="Times New Roman" w:cs="Times New Roman"/>
          <w:sz w:val="24"/>
          <w:szCs w:val="24"/>
          <w:lang w:eastAsia="en-AU"/>
        </w:rPr>
        <w:t xml:space="preserve"> The independent review is available </w:t>
      </w:r>
      <w:r w:rsidR="005B0EE6">
        <w:rPr>
          <w:rFonts w:ascii="Times New Roman" w:eastAsia="Times New Roman" w:hAnsi="Times New Roman" w:cs="Times New Roman"/>
          <w:sz w:val="24"/>
          <w:szCs w:val="24"/>
          <w:lang w:eastAsia="en-AU"/>
        </w:rPr>
        <w:t>at</w:t>
      </w:r>
      <w:r w:rsidR="003D41D3">
        <w:rPr>
          <w:rFonts w:ascii="Times New Roman" w:eastAsia="Times New Roman" w:hAnsi="Times New Roman" w:cs="Times New Roman"/>
          <w:sz w:val="24"/>
          <w:szCs w:val="24"/>
          <w:lang w:eastAsia="en-AU"/>
        </w:rPr>
        <w:t xml:space="preserve"> </w:t>
      </w:r>
      <w:hyperlink r:id="rId14" w:history="1">
        <w:r w:rsidR="005B0EE6" w:rsidRPr="00171857">
          <w:rPr>
            <w:rStyle w:val="Hyperlink"/>
            <w:rFonts w:ascii="Times New Roman" w:eastAsia="Times New Roman" w:hAnsi="Times New Roman" w:cs="Times New Roman"/>
            <w:sz w:val="24"/>
            <w:szCs w:val="24"/>
            <w:lang w:eastAsia="en-AU"/>
          </w:rPr>
          <w:t>https://ris.pmc.gov.au</w:t>
        </w:r>
      </w:hyperlink>
      <w:r w:rsidR="005B0EE6">
        <w:rPr>
          <w:rFonts w:ascii="Times New Roman" w:eastAsia="Times New Roman" w:hAnsi="Times New Roman" w:cs="Times New Roman"/>
          <w:sz w:val="24"/>
          <w:szCs w:val="24"/>
          <w:lang w:eastAsia="en-AU"/>
        </w:rPr>
        <w:t xml:space="preserve">. </w:t>
      </w:r>
    </w:p>
    <w:p w14:paraId="75C9632D" w14:textId="04462000" w:rsidR="00BF7DB0" w:rsidRDefault="001A3006" w:rsidP="00D64282">
      <w:pPr>
        <w:shd w:val="clear" w:color="auto" w:fill="FFFFFF"/>
        <w:spacing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Following the </w:t>
      </w:r>
      <w:r w:rsidR="00B340EA">
        <w:rPr>
          <w:rFonts w:ascii="Times New Roman" w:eastAsia="Times New Roman" w:hAnsi="Times New Roman" w:cs="Times New Roman"/>
          <w:sz w:val="24"/>
          <w:szCs w:val="24"/>
          <w:lang w:eastAsia="en-AU"/>
        </w:rPr>
        <w:t xml:space="preserve">passage of </w:t>
      </w:r>
      <w:r w:rsidR="00977F90">
        <w:rPr>
          <w:rFonts w:ascii="Times New Roman" w:eastAsia="Times New Roman" w:hAnsi="Times New Roman" w:cs="Times New Roman"/>
          <w:sz w:val="24"/>
          <w:szCs w:val="24"/>
          <w:lang w:eastAsia="en-AU"/>
        </w:rPr>
        <w:t>the Member Outcomes Act</w:t>
      </w:r>
      <w:r>
        <w:rPr>
          <w:rFonts w:ascii="Times New Roman" w:eastAsia="Times New Roman" w:hAnsi="Times New Roman" w:cs="Times New Roman"/>
          <w:sz w:val="24"/>
          <w:szCs w:val="24"/>
          <w:lang w:eastAsia="en-AU"/>
        </w:rPr>
        <w:t>, APRA made consequential changes to SPS 515.</w:t>
      </w:r>
      <w:r w:rsidRPr="00BF7DB0">
        <w:rPr>
          <w:rFonts w:ascii="Times New Roman" w:eastAsia="Times New Roman" w:hAnsi="Times New Roman" w:cs="Times New Roman"/>
          <w:sz w:val="24"/>
          <w:szCs w:val="24"/>
          <w:lang w:eastAsia="en-AU"/>
        </w:rPr>
        <w:t xml:space="preserve"> </w:t>
      </w:r>
      <w:r w:rsidR="00BF7DB0" w:rsidRPr="00BF7DB0">
        <w:rPr>
          <w:rFonts w:ascii="Times New Roman" w:eastAsia="Times New Roman" w:hAnsi="Times New Roman" w:cs="Times New Roman"/>
          <w:sz w:val="24"/>
          <w:szCs w:val="24"/>
          <w:lang w:eastAsia="en-AU"/>
        </w:rPr>
        <w:t xml:space="preserve">The </w:t>
      </w:r>
      <w:r w:rsidR="00BF2452">
        <w:rPr>
          <w:rFonts w:ascii="Times New Roman" w:eastAsia="Times New Roman" w:hAnsi="Times New Roman" w:cs="Times New Roman"/>
          <w:sz w:val="24"/>
          <w:szCs w:val="24"/>
          <w:lang w:eastAsia="en-AU"/>
        </w:rPr>
        <w:t>OBPR</w:t>
      </w:r>
      <w:r w:rsidR="00DA6736">
        <w:rPr>
          <w:rFonts w:ascii="Times New Roman" w:eastAsia="Times New Roman" w:hAnsi="Times New Roman" w:cs="Times New Roman"/>
          <w:sz w:val="24"/>
          <w:szCs w:val="24"/>
          <w:lang w:eastAsia="en-AU"/>
        </w:rPr>
        <w:t xml:space="preserve"> </w:t>
      </w:r>
      <w:r w:rsidR="00BF7DB0" w:rsidRPr="00BF7DB0">
        <w:rPr>
          <w:rFonts w:ascii="Times New Roman" w:eastAsia="Times New Roman" w:hAnsi="Times New Roman" w:cs="Times New Roman"/>
          <w:sz w:val="24"/>
          <w:szCs w:val="24"/>
          <w:lang w:eastAsia="en-AU"/>
        </w:rPr>
        <w:t>advised that a Reg</w:t>
      </w:r>
      <w:r w:rsidR="00D64282">
        <w:rPr>
          <w:rFonts w:ascii="Times New Roman" w:eastAsia="Times New Roman" w:hAnsi="Times New Roman" w:cs="Times New Roman"/>
          <w:sz w:val="24"/>
          <w:szCs w:val="24"/>
          <w:lang w:eastAsia="en-AU"/>
        </w:rPr>
        <w:t>ulation Impact Statement was</w:t>
      </w:r>
      <w:r w:rsidR="00BF7DB0">
        <w:rPr>
          <w:rFonts w:ascii="Times New Roman" w:eastAsia="Times New Roman" w:hAnsi="Times New Roman" w:cs="Times New Roman"/>
          <w:sz w:val="24"/>
          <w:szCs w:val="24"/>
          <w:lang w:eastAsia="en-AU"/>
        </w:rPr>
        <w:t xml:space="preserve"> not </w:t>
      </w:r>
      <w:r w:rsidR="00BF7DB0" w:rsidRPr="00BF7DB0">
        <w:rPr>
          <w:rFonts w:ascii="Times New Roman" w:eastAsia="Times New Roman" w:hAnsi="Times New Roman" w:cs="Times New Roman"/>
          <w:sz w:val="24"/>
          <w:szCs w:val="24"/>
          <w:lang w:eastAsia="en-AU"/>
        </w:rPr>
        <w:t>required for</w:t>
      </w:r>
      <w:r w:rsidR="00DA6736">
        <w:rPr>
          <w:rFonts w:ascii="Times New Roman" w:eastAsia="Times New Roman" w:hAnsi="Times New Roman" w:cs="Times New Roman"/>
          <w:sz w:val="24"/>
          <w:szCs w:val="24"/>
          <w:lang w:eastAsia="en-AU"/>
        </w:rPr>
        <w:t xml:space="preserve"> the </w:t>
      </w:r>
      <w:r w:rsidR="00A45CEB">
        <w:rPr>
          <w:rFonts w:ascii="Times New Roman" w:eastAsia="Times New Roman" w:hAnsi="Times New Roman" w:cs="Times New Roman"/>
          <w:sz w:val="24"/>
          <w:szCs w:val="24"/>
          <w:lang w:eastAsia="en-AU"/>
        </w:rPr>
        <w:t xml:space="preserve">later </w:t>
      </w:r>
      <w:r w:rsidR="00DA6736">
        <w:rPr>
          <w:rFonts w:ascii="Times New Roman" w:eastAsia="Times New Roman" w:hAnsi="Times New Roman" w:cs="Times New Roman"/>
          <w:sz w:val="24"/>
          <w:szCs w:val="24"/>
          <w:lang w:eastAsia="en-AU"/>
        </w:rPr>
        <w:t>changes to SPS 515</w:t>
      </w:r>
      <w:r w:rsidR="00B340EA">
        <w:rPr>
          <w:rFonts w:ascii="Times New Roman" w:eastAsia="Times New Roman" w:hAnsi="Times New Roman" w:cs="Times New Roman"/>
          <w:sz w:val="24"/>
          <w:szCs w:val="24"/>
          <w:lang w:eastAsia="en-AU"/>
        </w:rPr>
        <w:t>.</w:t>
      </w:r>
    </w:p>
    <w:p w14:paraId="49EEB0C1" w14:textId="77777777" w:rsidR="00FE5D7D" w:rsidRPr="00BF7DB0" w:rsidRDefault="00FE5D7D" w:rsidP="00FE5D7D">
      <w:pPr>
        <w:shd w:val="clear" w:color="auto" w:fill="FFFFFF"/>
        <w:spacing w:after="240" w:line="240" w:lineRule="auto"/>
        <w:ind w:left="567" w:hanging="567"/>
        <w:jc w:val="both"/>
        <w:rPr>
          <w:rFonts w:ascii="Times New Roman" w:eastAsia="Times New Roman" w:hAnsi="Times New Roman" w:cs="Times New Roman"/>
          <w:b/>
          <w:bCs/>
          <w:sz w:val="24"/>
          <w:szCs w:val="24"/>
          <w:lang w:eastAsia="en-AU"/>
        </w:rPr>
      </w:pPr>
      <w:r w:rsidRPr="00BF7DB0">
        <w:rPr>
          <w:rFonts w:ascii="Times New Roman" w:eastAsia="Times New Roman" w:hAnsi="Times New Roman" w:cs="Times New Roman"/>
          <w:b/>
          <w:bCs/>
          <w:sz w:val="24"/>
          <w:szCs w:val="24"/>
          <w:lang w:eastAsia="en-AU"/>
        </w:rPr>
        <w:t>5.</w:t>
      </w:r>
      <w:r w:rsidR="00BF7DB0">
        <w:rPr>
          <w:rFonts w:ascii="Times New Roman" w:eastAsia="Times New Roman" w:hAnsi="Times New Roman" w:cs="Times New Roman"/>
          <w:b/>
          <w:bCs/>
          <w:sz w:val="24"/>
          <w:szCs w:val="24"/>
          <w:lang w:eastAsia="en-AU"/>
        </w:rPr>
        <w:t>      </w:t>
      </w:r>
      <w:r w:rsidRPr="00BF7DB0">
        <w:rPr>
          <w:rFonts w:ascii="Times New Roman" w:eastAsia="Times New Roman" w:hAnsi="Times New Roman" w:cs="Times New Roman"/>
          <w:b/>
          <w:bCs/>
          <w:sz w:val="24"/>
          <w:szCs w:val="24"/>
          <w:lang w:eastAsia="en-AU"/>
        </w:rPr>
        <w:t>Statement of compatibility prepared in accordance with Part 3 of the Human Rights (Parliamentary Scrutiny) Act 2011</w:t>
      </w:r>
    </w:p>
    <w:p w14:paraId="64FFBC3F" w14:textId="77777777" w:rsidR="00FE5D7D" w:rsidRPr="007F3E02" w:rsidRDefault="00FE5D7D" w:rsidP="00FE5D7D">
      <w:pPr>
        <w:shd w:val="clear" w:color="auto" w:fill="FFFFFF"/>
        <w:spacing w:after="240" w:line="240" w:lineRule="auto"/>
        <w:jc w:val="both"/>
        <w:rPr>
          <w:rFonts w:ascii="Times New Roman" w:eastAsia="Times New Roman" w:hAnsi="Times New Roman" w:cs="Times New Roman"/>
          <w:sz w:val="24"/>
          <w:szCs w:val="24"/>
          <w:lang w:eastAsia="en-AU"/>
        </w:rPr>
      </w:pPr>
      <w:r w:rsidRPr="007F3E02">
        <w:rPr>
          <w:rFonts w:ascii="Times New Roman" w:eastAsia="Times New Roman" w:hAnsi="Times New Roman" w:cs="Times New Roman"/>
          <w:sz w:val="24"/>
          <w:szCs w:val="24"/>
          <w:lang w:eastAsia="en-AU"/>
        </w:rPr>
        <w:t xml:space="preserve">A Statement of compatibility prepared in accordance with Part 3 of the </w:t>
      </w:r>
      <w:r w:rsidRPr="008C6DA4">
        <w:rPr>
          <w:rFonts w:ascii="Times New Roman" w:eastAsia="Times New Roman" w:hAnsi="Times New Roman" w:cs="Times New Roman"/>
          <w:i/>
          <w:sz w:val="24"/>
          <w:szCs w:val="24"/>
          <w:lang w:eastAsia="en-AU"/>
        </w:rPr>
        <w:t>Human Rights (Parliamentary Scrutiny) Act 2011</w:t>
      </w:r>
      <w:r w:rsidRPr="007F3E02">
        <w:rPr>
          <w:rFonts w:ascii="Times New Roman" w:eastAsia="Times New Roman" w:hAnsi="Times New Roman" w:cs="Times New Roman"/>
          <w:sz w:val="24"/>
          <w:szCs w:val="24"/>
          <w:lang w:eastAsia="en-AU"/>
        </w:rPr>
        <w:t xml:space="preserve"> is provided at Attachment A to this Explanatory Statement.</w:t>
      </w:r>
    </w:p>
    <w:p w14:paraId="41E59873" w14:textId="77777777" w:rsidR="00FE5D7D" w:rsidRPr="00FE5D7D" w:rsidRDefault="00FE5D7D" w:rsidP="00FE5D7D">
      <w:pPr>
        <w:shd w:val="clear" w:color="auto" w:fill="FFFFFF"/>
        <w:spacing w:after="240" w:line="240" w:lineRule="auto"/>
        <w:jc w:val="both"/>
        <w:rPr>
          <w:rFonts w:ascii="Arial" w:eastAsia="Times New Roman" w:hAnsi="Arial" w:cs="Arial"/>
          <w:sz w:val="19"/>
          <w:szCs w:val="19"/>
          <w:lang w:val="en-US" w:eastAsia="en-AU"/>
        </w:rPr>
      </w:pPr>
      <w:r w:rsidRPr="00FE5D7D">
        <w:rPr>
          <w:rFonts w:ascii="Arial" w:eastAsia="Times New Roman" w:hAnsi="Arial" w:cs="Arial"/>
          <w:sz w:val="24"/>
          <w:szCs w:val="24"/>
          <w:lang w:val="en-GB" w:eastAsia="en-AU"/>
        </w:rPr>
        <w:t> </w:t>
      </w:r>
    </w:p>
    <w:p w14:paraId="20164C45"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sz w:val="24"/>
          <w:szCs w:val="24"/>
          <w:lang w:eastAsia="en-AU"/>
        </w:rPr>
        <w:br w:type="page"/>
      </w:r>
      <w:r w:rsidRPr="00FE5D7D">
        <w:rPr>
          <w:rFonts w:ascii="Times New Roman" w:eastAsia="Times New Roman" w:hAnsi="Times New Roman" w:cs="Times New Roman"/>
          <w:sz w:val="24"/>
          <w:szCs w:val="24"/>
          <w:lang w:eastAsia="en-AU"/>
        </w:rPr>
        <w:lastRenderedPageBreak/>
        <w:t> </w:t>
      </w:r>
    </w:p>
    <w:p w14:paraId="1278BA67" w14:textId="77777777" w:rsidR="00FE5D7D" w:rsidRPr="003D41D3" w:rsidRDefault="00FE5D7D" w:rsidP="003D41D3">
      <w:pPr>
        <w:shd w:val="clear" w:color="auto" w:fill="FFFFFF"/>
        <w:spacing w:after="240" w:line="240" w:lineRule="auto"/>
        <w:rPr>
          <w:rFonts w:ascii="Times New Roman" w:eastAsia="Times New Roman" w:hAnsi="Times New Roman" w:cs="Times New Roman"/>
          <w:b/>
          <w:sz w:val="19"/>
          <w:szCs w:val="19"/>
          <w:lang w:val="en-US" w:eastAsia="en-AU"/>
        </w:rPr>
      </w:pPr>
      <w:r w:rsidRPr="003D41D3">
        <w:rPr>
          <w:rFonts w:ascii="Times New Roman" w:eastAsia="Times New Roman" w:hAnsi="Times New Roman" w:cs="Times New Roman"/>
          <w:b/>
          <w:sz w:val="24"/>
          <w:szCs w:val="24"/>
          <w:lang w:val="en-GB" w:eastAsia="en-AU"/>
        </w:rPr>
        <w:t>ATTACHMENT A</w:t>
      </w:r>
    </w:p>
    <w:p w14:paraId="3C93B1E6" w14:textId="77777777" w:rsidR="00FE5D7D" w:rsidRPr="003D41D3" w:rsidRDefault="00FE5D7D" w:rsidP="00FE5D7D">
      <w:pPr>
        <w:shd w:val="clear" w:color="auto" w:fill="FFFFFF"/>
        <w:spacing w:after="240" w:line="240" w:lineRule="auto"/>
        <w:jc w:val="center"/>
        <w:rPr>
          <w:rFonts w:ascii="Times New Roman" w:eastAsia="Times New Roman" w:hAnsi="Times New Roman" w:cs="Times New Roman"/>
          <w:sz w:val="19"/>
          <w:szCs w:val="19"/>
          <w:lang w:val="en-US" w:eastAsia="en-AU"/>
        </w:rPr>
      </w:pPr>
      <w:r w:rsidRPr="003D41D3">
        <w:rPr>
          <w:rFonts w:ascii="Times New Roman" w:eastAsia="Times New Roman" w:hAnsi="Times New Roman" w:cs="Times New Roman"/>
          <w:sz w:val="24"/>
          <w:szCs w:val="24"/>
          <w:lang w:eastAsia="en-AU"/>
        </w:rPr>
        <w:t>Statement of Compatibility with Human Rights</w:t>
      </w:r>
    </w:p>
    <w:p w14:paraId="091C8C0A" w14:textId="77777777" w:rsidR="00FE5D7D" w:rsidRPr="00FE5D7D" w:rsidRDefault="00FE5D7D" w:rsidP="00FE5D7D">
      <w:pPr>
        <w:shd w:val="clear" w:color="auto" w:fill="FFFFFF"/>
        <w:spacing w:before="100" w:beforeAutospacing="1" w:after="240" w:line="240" w:lineRule="auto"/>
        <w:jc w:val="center"/>
        <w:outlineLvl w:val="0"/>
        <w:rPr>
          <w:rFonts w:ascii="Arial" w:eastAsia="Times New Roman" w:hAnsi="Arial" w:cs="Arial"/>
          <w:b/>
          <w:bCs/>
          <w:kern w:val="36"/>
          <w:sz w:val="48"/>
          <w:szCs w:val="48"/>
          <w:lang w:val="en-US" w:eastAsia="en-AU"/>
        </w:rPr>
      </w:pPr>
      <w:r w:rsidRPr="00FE5D7D">
        <w:rPr>
          <w:rFonts w:ascii="Times New Roman" w:eastAsia="Times New Roman" w:hAnsi="Times New Roman" w:cs="Times New Roman"/>
          <w:kern w:val="36"/>
          <w:sz w:val="24"/>
          <w:szCs w:val="24"/>
          <w:lang w:eastAsia="en-AU"/>
        </w:rPr>
        <w:t xml:space="preserve">Prepared in accordance with Part 3 of the </w:t>
      </w:r>
      <w:r w:rsidRPr="00FE5D7D">
        <w:rPr>
          <w:rFonts w:ascii="Times New Roman" w:eastAsia="Times New Roman" w:hAnsi="Times New Roman" w:cs="Times New Roman"/>
          <w:i/>
          <w:iCs/>
          <w:kern w:val="36"/>
          <w:sz w:val="24"/>
          <w:szCs w:val="24"/>
          <w:lang w:eastAsia="en-AU"/>
        </w:rPr>
        <w:t>Human Rights (Parliamentary Scrutiny) Act 2011</w:t>
      </w:r>
    </w:p>
    <w:p w14:paraId="27351A0D" w14:textId="446F6647" w:rsidR="00FE5D7D" w:rsidRPr="00FE5D7D" w:rsidRDefault="00676C25" w:rsidP="00FE5D7D">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Superannuation</w:t>
      </w:r>
      <w:r w:rsidR="00FE5D7D" w:rsidRPr="00FE5D7D">
        <w:rPr>
          <w:rFonts w:ascii="Times New Roman" w:eastAsia="Times New Roman" w:hAnsi="Times New Roman" w:cs="Times New Roman"/>
          <w:b/>
          <w:bCs/>
          <w:sz w:val="24"/>
          <w:szCs w:val="24"/>
          <w:lang w:eastAsia="en-AU"/>
        </w:rPr>
        <w:t xml:space="preserve"> (prudential standard) determinations Nos.</w:t>
      </w:r>
      <w:r w:rsidR="00462768">
        <w:rPr>
          <w:rFonts w:ascii="Times New Roman" w:eastAsia="Times New Roman" w:hAnsi="Times New Roman" w:cs="Times New Roman"/>
          <w:b/>
          <w:bCs/>
          <w:sz w:val="24"/>
          <w:szCs w:val="24"/>
          <w:lang w:eastAsia="en-AU"/>
        </w:rPr>
        <w:t xml:space="preserve"> </w:t>
      </w:r>
      <w:r w:rsidR="00885250">
        <w:rPr>
          <w:rFonts w:ascii="Times New Roman" w:eastAsia="Times New Roman" w:hAnsi="Times New Roman" w:cs="Times New Roman"/>
          <w:b/>
          <w:bCs/>
          <w:sz w:val="24"/>
          <w:szCs w:val="24"/>
          <w:lang w:eastAsia="en-AU"/>
        </w:rPr>
        <w:t>2</w:t>
      </w:r>
      <w:r w:rsidR="00FE5D7D" w:rsidRPr="00FE5D7D">
        <w:rPr>
          <w:rFonts w:ascii="Times New Roman" w:eastAsia="Times New Roman" w:hAnsi="Times New Roman" w:cs="Times New Roman"/>
          <w:b/>
          <w:bCs/>
          <w:sz w:val="24"/>
          <w:szCs w:val="24"/>
          <w:lang w:eastAsia="en-AU"/>
        </w:rPr>
        <w:t xml:space="preserve"> </w:t>
      </w:r>
      <w:r w:rsidR="00462768">
        <w:rPr>
          <w:rFonts w:ascii="Times New Roman" w:eastAsia="Times New Roman" w:hAnsi="Times New Roman" w:cs="Times New Roman"/>
          <w:b/>
          <w:bCs/>
          <w:sz w:val="24"/>
          <w:szCs w:val="24"/>
          <w:lang w:eastAsia="en-AU"/>
        </w:rPr>
        <w:t>and</w:t>
      </w:r>
      <w:r w:rsidR="00FE5D7D" w:rsidRPr="00FE5D7D">
        <w:rPr>
          <w:rFonts w:ascii="Times New Roman" w:eastAsia="Times New Roman" w:hAnsi="Times New Roman" w:cs="Times New Roman"/>
          <w:b/>
          <w:bCs/>
          <w:sz w:val="24"/>
          <w:szCs w:val="24"/>
          <w:lang w:eastAsia="en-AU"/>
        </w:rPr>
        <w:t xml:space="preserve"> </w:t>
      </w:r>
      <w:r w:rsidR="00885250">
        <w:rPr>
          <w:rFonts w:ascii="Times New Roman" w:eastAsia="Times New Roman" w:hAnsi="Times New Roman" w:cs="Times New Roman"/>
          <w:b/>
          <w:bCs/>
          <w:sz w:val="24"/>
          <w:szCs w:val="24"/>
          <w:lang w:eastAsia="en-AU"/>
        </w:rPr>
        <w:t>3</w:t>
      </w:r>
      <w:r w:rsidR="00FE5D7D" w:rsidRPr="00FE5D7D">
        <w:rPr>
          <w:rFonts w:ascii="Times New Roman" w:eastAsia="Times New Roman" w:hAnsi="Times New Roman" w:cs="Times New Roman"/>
          <w:b/>
          <w:bCs/>
          <w:sz w:val="24"/>
          <w:szCs w:val="24"/>
          <w:lang w:eastAsia="en-AU"/>
        </w:rPr>
        <w:t xml:space="preserve"> of 201</w:t>
      </w:r>
      <w:r>
        <w:rPr>
          <w:rFonts w:ascii="Times New Roman" w:eastAsia="Times New Roman" w:hAnsi="Times New Roman" w:cs="Times New Roman"/>
          <w:b/>
          <w:bCs/>
          <w:sz w:val="24"/>
          <w:szCs w:val="24"/>
          <w:lang w:eastAsia="en-AU"/>
        </w:rPr>
        <w:t>9</w:t>
      </w:r>
    </w:p>
    <w:p w14:paraId="3B3523F6"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sz w:val="24"/>
          <w:szCs w:val="24"/>
          <w:lang w:eastAsia="en-AU"/>
        </w:rPr>
        <w:t>These Legislative Instruments are compatible with the human rights and freedoms recognised or declared in the international instrument</w:t>
      </w:r>
      <w:r w:rsidR="00981755">
        <w:rPr>
          <w:rFonts w:ascii="Times New Roman" w:eastAsia="Times New Roman" w:hAnsi="Times New Roman" w:cs="Times New Roman"/>
          <w:sz w:val="24"/>
          <w:szCs w:val="24"/>
          <w:lang w:eastAsia="en-AU"/>
        </w:rPr>
        <w:t>s</w:t>
      </w:r>
      <w:r w:rsidRPr="00FE5D7D">
        <w:rPr>
          <w:rFonts w:ascii="Times New Roman" w:eastAsia="Times New Roman" w:hAnsi="Times New Roman" w:cs="Times New Roman"/>
          <w:sz w:val="24"/>
          <w:szCs w:val="24"/>
          <w:lang w:eastAsia="en-AU"/>
        </w:rPr>
        <w:t xml:space="preserve"> listed in section 3 of the </w:t>
      </w:r>
      <w:r w:rsidRPr="00FE5D7D">
        <w:rPr>
          <w:rFonts w:ascii="Times New Roman" w:eastAsia="Times New Roman" w:hAnsi="Times New Roman" w:cs="Times New Roman"/>
          <w:i/>
          <w:iCs/>
          <w:sz w:val="24"/>
          <w:szCs w:val="24"/>
          <w:lang w:eastAsia="en-AU"/>
        </w:rPr>
        <w:t>Human Rights (Parliamentary Scrutiny) Act 2011</w:t>
      </w:r>
      <w:r w:rsidRPr="00FE5D7D">
        <w:rPr>
          <w:rFonts w:ascii="Times New Roman" w:eastAsia="Times New Roman" w:hAnsi="Times New Roman" w:cs="Times New Roman"/>
          <w:sz w:val="24"/>
          <w:szCs w:val="24"/>
          <w:lang w:eastAsia="en-AU"/>
        </w:rPr>
        <w:t xml:space="preserve"> (HRPS Act).</w:t>
      </w:r>
    </w:p>
    <w:p w14:paraId="00B179E6"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Overview of the Legislative Instruments</w:t>
      </w:r>
    </w:p>
    <w:p w14:paraId="339E24C1" w14:textId="77777777" w:rsidR="00206B58" w:rsidRDefault="00511EC5" w:rsidP="00FE5D7D">
      <w:pPr>
        <w:shd w:val="clear" w:color="auto" w:fill="FFFFFF"/>
        <w:spacing w:before="100" w:beforeAutospacing="1" w:after="240" w:line="240" w:lineRule="auto"/>
        <w:jc w:val="both"/>
        <w:rPr>
          <w:rFonts w:ascii="Times New Roman" w:eastAsia="Times New Roman" w:hAnsi="Times New Roman" w:cs="Times New Roman"/>
          <w:sz w:val="24"/>
          <w:szCs w:val="24"/>
          <w:lang w:eastAsia="en-AU"/>
        </w:rPr>
      </w:pPr>
      <w:r w:rsidRPr="00807B75">
        <w:rPr>
          <w:rFonts w:ascii="Times New Roman" w:eastAsia="Times New Roman" w:hAnsi="Times New Roman" w:cs="Times New Roman"/>
          <w:sz w:val="24"/>
          <w:szCs w:val="24"/>
          <w:lang w:eastAsia="en-AU"/>
        </w:rPr>
        <w:t xml:space="preserve">The </w:t>
      </w:r>
      <w:r w:rsidR="00B1792B">
        <w:rPr>
          <w:rFonts w:ascii="Times New Roman" w:eastAsia="Times New Roman" w:hAnsi="Times New Roman" w:cs="Times New Roman"/>
          <w:sz w:val="24"/>
          <w:szCs w:val="24"/>
          <w:lang w:eastAsia="en-AU"/>
        </w:rPr>
        <w:t>p</w:t>
      </w:r>
      <w:r w:rsidR="00B1792B" w:rsidRPr="00807B75">
        <w:rPr>
          <w:rFonts w:ascii="Times New Roman" w:eastAsia="Times New Roman" w:hAnsi="Times New Roman" w:cs="Times New Roman"/>
          <w:sz w:val="24"/>
          <w:szCs w:val="24"/>
          <w:lang w:eastAsia="en-AU"/>
        </w:rPr>
        <w:t>urpose</w:t>
      </w:r>
      <w:r w:rsidR="00807B75" w:rsidRPr="00807B75">
        <w:rPr>
          <w:rFonts w:ascii="Times New Roman" w:eastAsia="Times New Roman" w:hAnsi="Times New Roman" w:cs="Times New Roman"/>
          <w:sz w:val="24"/>
          <w:szCs w:val="24"/>
          <w:lang w:eastAsia="en-AU"/>
        </w:rPr>
        <w:t xml:space="preserve"> of </w:t>
      </w:r>
      <w:r w:rsidR="00E27690">
        <w:rPr>
          <w:rFonts w:ascii="Times New Roman" w:eastAsia="Times New Roman" w:hAnsi="Times New Roman" w:cs="Times New Roman"/>
          <w:sz w:val="24"/>
          <w:szCs w:val="24"/>
          <w:lang w:eastAsia="en-AU"/>
        </w:rPr>
        <w:t xml:space="preserve">these instruments is to </w:t>
      </w:r>
      <w:r w:rsidR="00981755">
        <w:rPr>
          <w:rFonts w:ascii="Times New Roman" w:eastAsia="Times New Roman" w:hAnsi="Times New Roman" w:cs="Times New Roman"/>
          <w:sz w:val="24"/>
          <w:szCs w:val="24"/>
          <w:lang w:eastAsia="en-AU"/>
        </w:rPr>
        <w:t xml:space="preserve">revoke </w:t>
      </w:r>
      <w:r w:rsidR="00981755" w:rsidRPr="00FE5D7D">
        <w:rPr>
          <w:rFonts w:ascii="Times New Roman" w:eastAsia="Times New Roman" w:hAnsi="Times New Roman" w:cs="Times New Roman"/>
          <w:i/>
          <w:iCs/>
          <w:sz w:val="24"/>
          <w:szCs w:val="24"/>
          <w:lang w:eastAsia="en-AU"/>
        </w:rPr>
        <w:t xml:space="preserve">Prudential Standard </w:t>
      </w:r>
      <w:r w:rsidR="00981755">
        <w:rPr>
          <w:rFonts w:ascii="Times New Roman" w:eastAsia="Times New Roman" w:hAnsi="Times New Roman" w:cs="Times New Roman"/>
          <w:i/>
          <w:iCs/>
          <w:sz w:val="24"/>
          <w:szCs w:val="24"/>
          <w:lang w:eastAsia="en-AU"/>
        </w:rPr>
        <w:t>SPS</w:t>
      </w:r>
      <w:r w:rsidR="00981755" w:rsidRPr="00FE5D7D">
        <w:rPr>
          <w:rFonts w:ascii="Times New Roman" w:eastAsia="Times New Roman" w:hAnsi="Times New Roman" w:cs="Times New Roman"/>
          <w:i/>
          <w:iCs/>
          <w:sz w:val="24"/>
          <w:szCs w:val="24"/>
          <w:lang w:eastAsia="en-AU"/>
        </w:rPr>
        <w:t xml:space="preserve"> </w:t>
      </w:r>
      <w:r w:rsidR="00981755">
        <w:rPr>
          <w:rFonts w:ascii="Times New Roman" w:eastAsia="Times New Roman" w:hAnsi="Times New Roman" w:cs="Times New Roman"/>
          <w:i/>
          <w:iCs/>
          <w:sz w:val="24"/>
          <w:szCs w:val="24"/>
          <w:lang w:eastAsia="en-AU"/>
        </w:rPr>
        <w:t>2</w:t>
      </w:r>
      <w:r w:rsidR="00981755" w:rsidRPr="00FE5D7D">
        <w:rPr>
          <w:rFonts w:ascii="Times New Roman" w:eastAsia="Times New Roman" w:hAnsi="Times New Roman" w:cs="Times New Roman"/>
          <w:i/>
          <w:iCs/>
          <w:sz w:val="24"/>
          <w:szCs w:val="24"/>
          <w:lang w:eastAsia="en-AU"/>
        </w:rPr>
        <w:t xml:space="preserve">20 </w:t>
      </w:r>
      <w:r w:rsidR="00981755">
        <w:rPr>
          <w:rFonts w:ascii="Times New Roman" w:eastAsia="Times New Roman" w:hAnsi="Times New Roman" w:cs="Times New Roman"/>
          <w:i/>
          <w:iCs/>
          <w:sz w:val="24"/>
          <w:szCs w:val="24"/>
          <w:lang w:val="en-US" w:eastAsia="en-AU"/>
        </w:rPr>
        <w:t>Risk Management</w:t>
      </w:r>
      <w:r w:rsidR="00981755" w:rsidRPr="00FE5D7D">
        <w:rPr>
          <w:rFonts w:ascii="Times New Roman" w:eastAsia="Times New Roman" w:hAnsi="Times New Roman" w:cs="Times New Roman"/>
          <w:i/>
          <w:iCs/>
          <w:sz w:val="24"/>
          <w:szCs w:val="24"/>
          <w:lang w:val="en-US" w:eastAsia="en-AU"/>
        </w:rPr>
        <w:t xml:space="preserve"> </w:t>
      </w:r>
      <w:r w:rsidR="00981755">
        <w:rPr>
          <w:rFonts w:ascii="Times New Roman" w:eastAsia="Times New Roman" w:hAnsi="Times New Roman" w:cs="Times New Roman"/>
          <w:iCs/>
          <w:sz w:val="24"/>
          <w:szCs w:val="24"/>
          <w:lang w:val="en-US" w:eastAsia="en-AU"/>
        </w:rPr>
        <w:t xml:space="preserve">determined by APRA in 2012 and replace it with a new </w:t>
      </w:r>
      <w:r w:rsidR="00981755" w:rsidRPr="00FE5D7D">
        <w:rPr>
          <w:rFonts w:ascii="Times New Roman" w:eastAsia="Times New Roman" w:hAnsi="Times New Roman" w:cs="Times New Roman"/>
          <w:i/>
          <w:iCs/>
          <w:sz w:val="24"/>
          <w:szCs w:val="24"/>
          <w:lang w:eastAsia="en-AU"/>
        </w:rPr>
        <w:t xml:space="preserve">Prudential Standard </w:t>
      </w:r>
      <w:r w:rsidR="00981755">
        <w:rPr>
          <w:rFonts w:ascii="Times New Roman" w:eastAsia="Times New Roman" w:hAnsi="Times New Roman" w:cs="Times New Roman"/>
          <w:i/>
          <w:iCs/>
          <w:sz w:val="24"/>
          <w:szCs w:val="24"/>
          <w:lang w:eastAsia="en-AU"/>
        </w:rPr>
        <w:t>SPS</w:t>
      </w:r>
      <w:r w:rsidR="00981755" w:rsidRPr="00FE5D7D">
        <w:rPr>
          <w:rFonts w:ascii="Times New Roman" w:eastAsia="Times New Roman" w:hAnsi="Times New Roman" w:cs="Times New Roman"/>
          <w:i/>
          <w:iCs/>
          <w:sz w:val="24"/>
          <w:szCs w:val="24"/>
          <w:lang w:eastAsia="en-AU"/>
        </w:rPr>
        <w:t xml:space="preserve"> </w:t>
      </w:r>
      <w:r w:rsidR="00981755">
        <w:rPr>
          <w:rFonts w:ascii="Times New Roman" w:eastAsia="Times New Roman" w:hAnsi="Times New Roman" w:cs="Times New Roman"/>
          <w:i/>
          <w:iCs/>
          <w:sz w:val="24"/>
          <w:szCs w:val="24"/>
          <w:lang w:eastAsia="en-AU"/>
        </w:rPr>
        <w:t>2</w:t>
      </w:r>
      <w:r w:rsidR="00981755" w:rsidRPr="00FE5D7D">
        <w:rPr>
          <w:rFonts w:ascii="Times New Roman" w:eastAsia="Times New Roman" w:hAnsi="Times New Roman" w:cs="Times New Roman"/>
          <w:i/>
          <w:iCs/>
          <w:sz w:val="24"/>
          <w:szCs w:val="24"/>
          <w:lang w:eastAsia="en-AU"/>
        </w:rPr>
        <w:t xml:space="preserve">20 </w:t>
      </w:r>
      <w:r w:rsidR="00981755">
        <w:rPr>
          <w:rFonts w:ascii="Times New Roman" w:eastAsia="Times New Roman" w:hAnsi="Times New Roman" w:cs="Times New Roman"/>
          <w:i/>
          <w:iCs/>
          <w:sz w:val="24"/>
          <w:szCs w:val="24"/>
          <w:lang w:val="en-US" w:eastAsia="en-AU"/>
        </w:rPr>
        <w:t>Risk Management</w:t>
      </w:r>
      <w:r w:rsidR="00206B58">
        <w:rPr>
          <w:rFonts w:ascii="Times New Roman" w:eastAsia="Times New Roman" w:hAnsi="Times New Roman" w:cs="Times New Roman"/>
          <w:i/>
          <w:iCs/>
          <w:sz w:val="24"/>
          <w:szCs w:val="24"/>
          <w:lang w:val="en-US" w:eastAsia="en-AU"/>
        </w:rPr>
        <w:t xml:space="preserve"> </w:t>
      </w:r>
      <w:r w:rsidR="00206B58">
        <w:rPr>
          <w:rFonts w:ascii="Times New Roman" w:eastAsia="Times New Roman" w:hAnsi="Times New Roman" w:cs="Times New Roman"/>
          <w:iCs/>
          <w:sz w:val="24"/>
          <w:szCs w:val="24"/>
          <w:lang w:val="en-US" w:eastAsia="en-AU"/>
        </w:rPr>
        <w:t xml:space="preserve">(SPS 220), and to determine </w:t>
      </w:r>
      <w:r w:rsidR="00206B58" w:rsidRPr="00FE5D7D">
        <w:rPr>
          <w:rFonts w:ascii="Times New Roman" w:eastAsia="Times New Roman" w:hAnsi="Times New Roman" w:cs="Times New Roman"/>
          <w:i/>
          <w:iCs/>
          <w:sz w:val="24"/>
          <w:szCs w:val="24"/>
          <w:lang w:eastAsia="en-AU"/>
        </w:rPr>
        <w:t xml:space="preserve">Prudential Standard </w:t>
      </w:r>
      <w:r w:rsidR="00206B58">
        <w:rPr>
          <w:rFonts w:ascii="Times New Roman" w:eastAsia="Times New Roman" w:hAnsi="Times New Roman" w:cs="Times New Roman"/>
          <w:i/>
          <w:iCs/>
          <w:sz w:val="24"/>
          <w:szCs w:val="24"/>
          <w:lang w:eastAsia="en-AU"/>
        </w:rPr>
        <w:t>SPS</w:t>
      </w:r>
      <w:r w:rsidR="00206B58" w:rsidRPr="00FE5D7D">
        <w:rPr>
          <w:rFonts w:ascii="Times New Roman" w:eastAsia="Times New Roman" w:hAnsi="Times New Roman" w:cs="Times New Roman"/>
          <w:i/>
          <w:iCs/>
          <w:sz w:val="24"/>
          <w:szCs w:val="24"/>
          <w:lang w:eastAsia="en-AU"/>
        </w:rPr>
        <w:t xml:space="preserve"> </w:t>
      </w:r>
      <w:r w:rsidR="00206B58">
        <w:rPr>
          <w:rFonts w:ascii="Times New Roman" w:eastAsia="Times New Roman" w:hAnsi="Times New Roman" w:cs="Times New Roman"/>
          <w:i/>
          <w:iCs/>
          <w:sz w:val="24"/>
          <w:szCs w:val="24"/>
          <w:lang w:eastAsia="en-AU"/>
        </w:rPr>
        <w:t>515</w:t>
      </w:r>
      <w:r w:rsidR="00206B58" w:rsidRPr="00FE5D7D">
        <w:rPr>
          <w:rFonts w:ascii="Times New Roman" w:eastAsia="Times New Roman" w:hAnsi="Times New Roman" w:cs="Times New Roman"/>
          <w:i/>
          <w:iCs/>
          <w:sz w:val="24"/>
          <w:szCs w:val="24"/>
          <w:lang w:eastAsia="en-AU"/>
        </w:rPr>
        <w:t xml:space="preserve"> </w:t>
      </w:r>
      <w:r w:rsidR="00206B58">
        <w:rPr>
          <w:rFonts w:ascii="Times New Roman" w:eastAsia="Times New Roman" w:hAnsi="Times New Roman" w:cs="Times New Roman"/>
          <w:i/>
          <w:iCs/>
          <w:sz w:val="24"/>
          <w:szCs w:val="24"/>
          <w:lang w:eastAsia="en-AU"/>
        </w:rPr>
        <w:t xml:space="preserve">Strategic Planning and Member Outcomes </w:t>
      </w:r>
      <w:r w:rsidR="00206B58">
        <w:rPr>
          <w:rFonts w:ascii="Times New Roman" w:eastAsia="Times New Roman" w:hAnsi="Times New Roman" w:cs="Times New Roman"/>
          <w:iCs/>
          <w:sz w:val="24"/>
          <w:szCs w:val="24"/>
          <w:lang w:eastAsia="en-AU"/>
        </w:rPr>
        <w:t>(SPS 515). The instruments</w:t>
      </w:r>
      <w:r w:rsidR="00981755" w:rsidRPr="00FE5D7D">
        <w:rPr>
          <w:rFonts w:ascii="Times New Roman" w:eastAsia="Times New Roman" w:hAnsi="Times New Roman" w:cs="Times New Roman"/>
          <w:i/>
          <w:iCs/>
          <w:sz w:val="24"/>
          <w:szCs w:val="24"/>
          <w:lang w:val="en-US" w:eastAsia="en-AU"/>
        </w:rPr>
        <w:t xml:space="preserve"> </w:t>
      </w:r>
      <w:r w:rsidR="00E27690">
        <w:rPr>
          <w:rFonts w:ascii="Times New Roman" w:eastAsia="Times New Roman" w:hAnsi="Times New Roman" w:cs="Times New Roman"/>
          <w:sz w:val="24"/>
          <w:szCs w:val="24"/>
          <w:lang w:eastAsia="en-AU"/>
        </w:rPr>
        <w:t>set out prudential requirements</w:t>
      </w:r>
      <w:r w:rsidR="00807B75" w:rsidRPr="00807B75">
        <w:rPr>
          <w:rFonts w:ascii="Times New Roman" w:eastAsia="Times New Roman" w:hAnsi="Times New Roman" w:cs="Times New Roman"/>
          <w:sz w:val="24"/>
          <w:szCs w:val="24"/>
          <w:lang w:eastAsia="en-AU"/>
        </w:rPr>
        <w:t xml:space="preserve"> </w:t>
      </w:r>
      <w:r w:rsidR="00E27690">
        <w:rPr>
          <w:rFonts w:ascii="Times New Roman" w:eastAsia="Times New Roman" w:hAnsi="Times New Roman" w:cs="Times New Roman"/>
          <w:sz w:val="24"/>
          <w:szCs w:val="24"/>
          <w:lang w:eastAsia="en-AU"/>
        </w:rPr>
        <w:t>for</w:t>
      </w:r>
      <w:r w:rsidR="00807B75" w:rsidRPr="00807B75">
        <w:rPr>
          <w:rFonts w:ascii="Times New Roman" w:eastAsia="Times New Roman" w:hAnsi="Times New Roman" w:cs="Times New Roman"/>
          <w:sz w:val="24"/>
          <w:szCs w:val="24"/>
          <w:lang w:eastAsia="en-AU"/>
        </w:rPr>
        <w:t xml:space="preserve"> RSE licensee</w:t>
      </w:r>
      <w:r w:rsidR="00E27690">
        <w:rPr>
          <w:rFonts w:ascii="Times New Roman" w:eastAsia="Times New Roman" w:hAnsi="Times New Roman" w:cs="Times New Roman"/>
          <w:sz w:val="24"/>
          <w:szCs w:val="24"/>
          <w:lang w:eastAsia="en-AU"/>
        </w:rPr>
        <w:t>s</w:t>
      </w:r>
      <w:r w:rsidR="00807B75" w:rsidRPr="00807B75">
        <w:rPr>
          <w:rFonts w:ascii="Times New Roman" w:eastAsia="Times New Roman" w:hAnsi="Times New Roman" w:cs="Times New Roman"/>
          <w:sz w:val="24"/>
          <w:szCs w:val="24"/>
          <w:lang w:eastAsia="en-AU"/>
        </w:rPr>
        <w:t xml:space="preserve"> to </w:t>
      </w:r>
      <w:r w:rsidR="00E27690">
        <w:rPr>
          <w:rFonts w:ascii="Times New Roman" w:eastAsia="Times New Roman" w:hAnsi="Times New Roman" w:cs="Times New Roman"/>
          <w:sz w:val="24"/>
          <w:szCs w:val="24"/>
          <w:lang w:eastAsia="en-AU"/>
        </w:rPr>
        <w:t xml:space="preserve">lift </w:t>
      </w:r>
      <w:r w:rsidR="000967C4">
        <w:rPr>
          <w:rFonts w:ascii="Times New Roman" w:eastAsia="Times New Roman" w:hAnsi="Times New Roman" w:cs="Times New Roman"/>
          <w:sz w:val="24"/>
          <w:szCs w:val="24"/>
          <w:lang w:eastAsia="en-AU"/>
        </w:rPr>
        <w:t xml:space="preserve">the quality of </w:t>
      </w:r>
      <w:r w:rsidR="00E27690">
        <w:rPr>
          <w:rFonts w:ascii="Times New Roman" w:eastAsia="Times New Roman" w:hAnsi="Times New Roman" w:cs="Times New Roman"/>
          <w:sz w:val="24"/>
          <w:szCs w:val="24"/>
          <w:lang w:eastAsia="en-AU"/>
        </w:rPr>
        <w:t>strategic plann</w:t>
      </w:r>
      <w:r w:rsidR="00EA0840">
        <w:rPr>
          <w:rFonts w:ascii="Times New Roman" w:eastAsia="Times New Roman" w:hAnsi="Times New Roman" w:cs="Times New Roman"/>
          <w:sz w:val="24"/>
          <w:szCs w:val="24"/>
          <w:lang w:eastAsia="en-AU"/>
        </w:rPr>
        <w:t>ing and the focus on member out</w:t>
      </w:r>
      <w:r w:rsidR="00E27690">
        <w:rPr>
          <w:rFonts w:ascii="Times New Roman" w:eastAsia="Times New Roman" w:hAnsi="Times New Roman" w:cs="Times New Roman"/>
          <w:sz w:val="24"/>
          <w:szCs w:val="24"/>
          <w:lang w:eastAsia="en-AU"/>
        </w:rPr>
        <w:t>c</w:t>
      </w:r>
      <w:r w:rsidR="00EA0840">
        <w:rPr>
          <w:rFonts w:ascii="Times New Roman" w:eastAsia="Times New Roman" w:hAnsi="Times New Roman" w:cs="Times New Roman"/>
          <w:sz w:val="24"/>
          <w:szCs w:val="24"/>
          <w:lang w:eastAsia="en-AU"/>
        </w:rPr>
        <w:t>o</w:t>
      </w:r>
      <w:r w:rsidR="00E27690">
        <w:rPr>
          <w:rFonts w:ascii="Times New Roman" w:eastAsia="Times New Roman" w:hAnsi="Times New Roman" w:cs="Times New Roman"/>
          <w:sz w:val="24"/>
          <w:szCs w:val="24"/>
          <w:lang w:eastAsia="en-AU"/>
        </w:rPr>
        <w:t xml:space="preserve">mes across the industry. </w:t>
      </w:r>
    </w:p>
    <w:p w14:paraId="54F4BC6E" w14:textId="4E5D7848" w:rsidR="00206B58" w:rsidRDefault="00EA0840" w:rsidP="00FE5D7D">
      <w:pPr>
        <w:shd w:val="clear" w:color="auto" w:fill="FFFFFF"/>
        <w:spacing w:before="100" w:beforeAutospacing="1"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SPS 515 </w:t>
      </w:r>
      <w:r w:rsidR="00206B58">
        <w:rPr>
          <w:rFonts w:ascii="Times New Roman" w:eastAsia="Times New Roman" w:hAnsi="Times New Roman" w:cs="Times New Roman"/>
          <w:sz w:val="24"/>
          <w:szCs w:val="24"/>
          <w:lang w:eastAsia="en-AU"/>
        </w:rPr>
        <w:t xml:space="preserve">requires </w:t>
      </w:r>
      <w:r>
        <w:rPr>
          <w:rFonts w:ascii="Times New Roman" w:eastAsia="Times New Roman" w:hAnsi="Times New Roman" w:cs="Times New Roman"/>
          <w:sz w:val="24"/>
          <w:szCs w:val="24"/>
          <w:lang w:eastAsia="en-AU"/>
        </w:rPr>
        <w:t>RSE</w:t>
      </w:r>
      <w:r w:rsidR="00791143">
        <w:rPr>
          <w:rFonts w:ascii="Times New Roman" w:eastAsia="Times New Roman" w:hAnsi="Times New Roman" w:cs="Times New Roman"/>
          <w:sz w:val="24"/>
          <w:szCs w:val="24"/>
          <w:lang w:eastAsia="en-AU"/>
        </w:rPr>
        <w:t xml:space="preserve"> licen</w:t>
      </w:r>
      <w:r w:rsidR="00A45CEB">
        <w:rPr>
          <w:rFonts w:ascii="Times New Roman" w:eastAsia="Times New Roman" w:hAnsi="Times New Roman" w:cs="Times New Roman"/>
          <w:sz w:val="24"/>
          <w:szCs w:val="24"/>
          <w:lang w:eastAsia="en-AU"/>
        </w:rPr>
        <w:t>s</w:t>
      </w:r>
      <w:r w:rsidR="00791143">
        <w:rPr>
          <w:rFonts w:ascii="Times New Roman" w:eastAsia="Times New Roman" w:hAnsi="Times New Roman" w:cs="Times New Roman"/>
          <w:sz w:val="24"/>
          <w:szCs w:val="24"/>
          <w:lang w:eastAsia="en-AU"/>
        </w:rPr>
        <w:t>ees</w:t>
      </w:r>
      <w:r>
        <w:rPr>
          <w:rFonts w:ascii="Times New Roman" w:eastAsia="Times New Roman" w:hAnsi="Times New Roman" w:cs="Times New Roman"/>
          <w:sz w:val="24"/>
          <w:szCs w:val="24"/>
          <w:lang w:eastAsia="en-AU"/>
        </w:rPr>
        <w:t xml:space="preserve"> to assess</w:t>
      </w:r>
      <w:r w:rsidR="00B65AE3">
        <w:rPr>
          <w:rFonts w:ascii="Times New Roman" w:eastAsia="Times New Roman" w:hAnsi="Times New Roman" w:cs="Times New Roman"/>
          <w:sz w:val="24"/>
          <w:szCs w:val="24"/>
          <w:lang w:eastAsia="en-AU"/>
        </w:rPr>
        <w:t xml:space="preserve"> past performance</w:t>
      </w:r>
      <w:r w:rsidR="00791143">
        <w:rPr>
          <w:rFonts w:ascii="Times New Roman" w:eastAsia="Times New Roman" w:hAnsi="Times New Roman" w:cs="Times New Roman"/>
          <w:sz w:val="24"/>
          <w:szCs w:val="24"/>
          <w:lang w:eastAsia="en-AU"/>
        </w:rPr>
        <w:t>, including</w:t>
      </w:r>
      <w:r w:rsidR="00B65AE3">
        <w:rPr>
          <w:rFonts w:ascii="Times New Roman" w:eastAsia="Times New Roman" w:hAnsi="Times New Roman" w:cs="Times New Roman"/>
          <w:sz w:val="24"/>
          <w:szCs w:val="24"/>
          <w:lang w:eastAsia="en-AU"/>
        </w:rPr>
        <w:t xml:space="preserve"> </w:t>
      </w:r>
      <w:r w:rsidR="00807B75" w:rsidRPr="00807B75">
        <w:rPr>
          <w:rFonts w:ascii="Times New Roman" w:eastAsia="Times New Roman" w:hAnsi="Times New Roman" w:cs="Times New Roman"/>
          <w:sz w:val="24"/>
          <w:szCs w:val="24"/>
          <w:lang w:eastAsia="en-AU"/>
        </w:rPr>
        <w:t>taking into account the</w:t>
      </w:r>
      <w:r w:rsidR="00B65AE3">
        <w:rPr>
          <w:rFonts w:ascii="Times New Roman" w:eastAsia="Times New Roman" w:hAnsi="Times New Roman" w:cs="Times New Roman"/>
          <w:sz w:val="24"/>
          <w:szCs w:val="24"/>
          <w:lang w:eastAsia="en-AU"/>
        </w:rPr>
        <w:t xml:space="preserve"> legislated outcomes assessment</w:t>
      </w:r>
      <w:r w:rsidR="00791143">
        <w:rPr>
          <w:rFonts w:ascii="Times New Roman" w:eastAsia="Times New Roman" w:hAnsi="Times New Roman" w:cs="Times New Roman"/>
          <w:sz w:val="24"/>
          <w:szCs w:val="24"/>
          <w:lang w:eastAsia="en-AU"/>
        </w:rPr>
        <w:t>,</w:t>
      </w:r>
      <w:r w:rsidR="00807B75" w:rsidRPr="00807B75">
        <w:rPr>
          <w:rFonts w:ascii="Times New Roman" w:eastAsia="Times New Roman" w:hAnsi="Times New Roman" w:cs="Times New Roman"/>
          <w:sz w:val="24"/>
          <w:szCs w:val="24"/>
          <w:lang w:eastAsia="en-AU"/>
        </w:rPr>
        <w:t xml:space="preserve"> and identify </w:t>
      </w:r>
      <w:r w:rsidR="00791143">
        <w:rPr>
          <w:rFonts w:ascii="Times New Roman" w:eastAsia="Times New Roman" w:hAnsi="Times New Roman" w:cs="Times New Roman"/>
          <w:sz w:val="24"/>
          <w:szCs w:val="24"/>
          <w:lang w:eastAsia="en-AU"/>
        </w:rPr>
        <w:t xml:space="preserve">areas for </w:t>
      </w:r>
      <w:r w:rsidR="00807B75" w:rsidRPr="00807B75">
        <w:rPr>
          <w:rFonts w:ascii="Times New Roman" w:eastAsia="Times New Roman" w:hAnsi="Times New Roman" w:cs="Times New Roman"/>
          <w:sz w:val="24"/>
          <w:szCs w:val="24"/>
          <w:lang w:eastAsia="en-AU"/>
        </w:rPr>
        <w:t>improvement</w:t>
      </w:r>
      <w:r w:rsidR="00A45CEB">
        <w:rPr>
          <w:rFonts w:ascii="Times New Roman" w:eastAsia="Times New Roman" w:hAnsi="Times New Roman" w:cs="Times New Roman"/>
          <w:sz w:val="24"/>
          <w:szCs w:val="24"/>
          <w:lang w:eastAsia="en-AU"/>
        </w:rPr>
        <w:t xml:space="preserve"> in future</w:t>
      </w:r>
      <w:r w:rsidR="00E27690">
        <w:rPr>
          <w:rFonts w:ascii="Times New Roman" w:eastAsia="Times New Roman" w:hAnsi="Times New Roman" w:cs="Times New Roman"/>
          <w:sz w:val="24"/>
          <w:szCs w:val="24"/>
          <w:lang w:eastAsia="en-AU"/>
        </w:rPr>
        <w:t xml:space="preserve">. These </w:t>
      </w:r>
      <w:r w:rsidR="00791143">
        <w:rPr>
          <w:rFonts w:ascii="Times New Roman" w:eastAsia="Times New Roman" w:hAnsi="Times New Roman" w:cs="Times New Roman"/>
          <w:sz w:val="24"/>
          <w:szCs w:val="24"/>
          <w:lang w:eastAsia="en-AU"/>
        </w:rPr>
        <w:t>requirements</w:t>
      </w:r>
      <w:r w:rsidR="00E27690">
        <w:rPr>
          <w:rFonts w:ascii="Times New Roman" w:eastAsia="Times New Roman" w:hAnsi="Times New Roman" w:cs="Times New Roman"/>
          <w:sz w:val="24"/>
          <w:szCs w:val="24"/>
          <w:lang w:eastAsia="en-AU"/>
        </w:rPr>
        <w:t xml:space="preserve"> are envisaged to</w:t>
      </w:r>
      <w:r w:rsidR="00807B75" w:rsidRPr="00807B75">
        <w:rPr>
          <w:rFonts w:ascii="Times New Roman" w:eastAsia="Times New Roman" w:hAnsi="Times New Roman" w:cs="Times New Roman"/>
          <w:sz w:val="24"/>
          <w:szCs w:val="24"/>
          <w:lang w:eastAsia="en-AU"/>
        </w:rPr>
        <w:t xml:space="preserve"> enhance the sound and prudent management of</w:t>
      </w:r>
      <w:r w:rsidR="00791143">
        <w:rPr>
          <w:rFonts w:ascii="Times New Roman" w:eastAsia="Times New Roman" w:hAnsi="Times New Roman" w:cs="Times New Roman"/>
          <w:sz w:val="24"/>
          <w:szCs w:val="24"/>
          <w:lang w:eastAsia="en-AU"/>
        </w:rPr>
        <w:t xml:space="preserve"> all</w:t>
      </w:r>
      <w:r w:rsidR="009A584B">
        <w:rPr>
          <w:rFonts w:ascii="Times New Roman" w:eastAsia="Times New Roman" w:hAnsi="Times New Roman" w:cs="Times New Roman"/>
          <w:sz w:val="24"/>
          <w:szCs w:val="24"/>
          <w:lang w:eastAsia="en-AU"/>
        </w:rPr>
        <w:t xml:space="preserve"> RSE</w:t>
      </w:r>
      <w:r w:rsidR="00791143">
        <w:rPr>
          <w:rFonts w:ascii="Times New Roman" w:eastAsia="Times New Roman" w:hAnsi="Times New Roman" w:cs="Times New Roman"/>
          <w:sz w:val="24"/>
          <w:szCs w:val="24"/>
          <w:lang w:eastAsia="en-AU"/>
        </w:rPr>
        <w:t xml:space="preserve"> licensees’</w:t>
      </w:r>
      <w:r w:rsidR="009A584B" w:rsidRPr="00807B75">
        <w:rPr>
          <w:rFonts w:ascii="Times New Roman" w:eastAsia="Times New Roman" w:hAnsi="Times New Roman" w:cs="Times New Roman"/>
          <w:sz w:val="24"/>
          <w:szCs w:val="24"/>
          <w:lang w:eastAsia="en-AU"/>
        </w:rPr>
        <w:t xml:space="preserve"> </w:t>
      </w:r>
      <w:r w:rsidR="00807B75" w:rsidRPr="00807B75">
        <w:rPr>
          <w:rFonts w:ascii="Times New Roman" w:eastAsia="Times New Roman" w:hAnsi="Times New Roman" w:cs="Times New Roman"/>
          <w:sz w:val="24"/>
          <w:szCs w:val="24"/>
          <w:lang w:eastAsia="en-AU"/>
        </w:rPr>
        <w:t>business operations and drive the sustainable delivery of quality outcomes to members</w:t>
      </w:r>
      <w:r w:rsidR="00791143">
        <w:rPr>
          <w:rFonts w:ascii="Times New Roman" w:eastAsia="Times New Roman" w:hAnsi="Times New Roman" w:cs="Times New Roman"/>
          <w:sz w:val="24"/>
          <w:szCs w:val="24"/>
          <w:lang w:eastAsia="en-AU"/>
        </w:rPr>
        <w:t xml:space="preserve"> across the superannuation industry</w:t>
      </w:r>
      <w:r w:rsidR="00E27690">
        <w:rPr>
          <w:rFonts w:ascii="Times New Roman" w:eastAsia="Times New Roman" w:hAnsi="Times New Roman" w:cs="Times New Roman"/>
          <w:sz w:val="24"/>
          <w:szCs w:val="24"/>
          <w:lang w:eastAsia="en-AU"/>
        </w:rPr>
        <w:t xml:space="preserve">. </w:t>
      </w:r>
    </w:p>
    <w:p w14:paraId="4BEDB5C5" w14:textId="77777777" w:rsidR="00807B75" w:rsidRDefault="00EA0840" w:rsidP="00FE5D7D">
      <w:pPr>
        <w:shd w:val="clear" w:color="auto" w:fill="FFFFFF"/>
        <w:spacing w:before="100" w:beforeAutospacing="1"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SPS 220</w:t>
      </w:r>
      <w:r w:rsidR="00206B58">
        <w:rPr>
          <w:rFonts w:ascii="Times New Roman" w:eastAsia="Times New Roman" w:hAnsi="Times New Roman" w:cs="Times New Roman"/>
          <w:sz w:val="24"/>
          <w:szCs w:val="24"/>
          <w:lang w:eastAsia="en-AU"/>
        </w:rPr>
        <w:t xml:space="preserve"> is being remade</w:t>
      </w:r>
      <w:r>
        <w:rPr>
          <w:rFonts w:ascii="Times New Roman" w:eastAsia="Times New Roman" w:hAnsi="Times New Roman" w:cs="Times New Roman"/>
          <w:sz w:val="24"/>
          <w:szCs w:val="24"/>
          <w:lang w:eastAsia="en-AU"/>
        </w:rPr>
        <w:t xml:space="preserve"> to ensure the core strategic objectives and business planning requirements are located in SPS 515. </w:t>
      </w:r>
    </w:p>
    <w:p w14:paraId="796314A3"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Human rights implications</w:t>
      </w:r>
    </w:p>
    <w:p w14:paraId="691BBBC1"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3769C">
        <w:rPr>
          <w:rFonts w:ascii="Times New Roman" w:eastAsia="Times New Roman" w:hAnsi="Times New Roman" w:cs="Times New Roman"/>
          <w:sz w:val="24"/>
          <w:szCs w:val="24"/>
          <w:lang w:eastAsia="en-AU"/>
        </w:rPr>
        <w:t>APRA has assessed the instruments against the international instruments listed in section 3 of the HRPS Act and has determined that the instruments do not engage any of the applicable rights or freedoms.</w:t>
      </w:r>
      <w:r w:rsidR="00206B58">
        <w:rPr>
          <w:rFonts w:ascii="Times New Roman" w:eastAsia="Times New Roman" w:hAnsi="Times New Roman" w:cs="Times New Roman"/>
          <w:sz w:val="24"/>
          <w:szCs w:val="24"/>
          <w:lang w:eastAsia="en-AU"/>
        </w:rPr>
        <w:t xml:space="preserve"> Accordingly, in APRA’s assessment, the instruments are compatible with human rights.</w:t>
      </w:r>
    </w:p>
    <w:p w14:paraId="67FED5C5"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b/>
          <w:bCs/>
          <w:sz w:val="24"/>
          <w:szCs w:val="24"/>
          <w:lang w:eastAsia="en-AU"/>
        </w:rPr>
        <w:t>Conclusion</w:t>
      </w:r>
    </w:p>
    <w:p w14:paraId="365BCDAB" w14:textId="77777777" w:rsidR="00FE5D7D" w:rsidRPr="00FE5D7D" w:rsidRDefault="00FE5D7D" w:rsidP="00FE5D7D">
      <w:pPr>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FE5D7D">
        <w:rPr>
          <w:rFonts w:ascii="Times New Roman" w:eastAsia="Times New Roman" w:hAnsi="Times New Roman" w:cs="Times New Roman"/>
          <w:sz w:val="24"/>
          <w:szCs w:val="24"/>
          <w:lang w:eastAsia="en-AU"/>
        </w:rPr>
        <w:t>These Legislative Instruments are compatible with human rights as they do not raise any human rights issues.</w:t>
      </w:r>
    </w:p>
    <w:p w14:paraId="7AEDF08F" w14:textId="77777777" w:rsidR="00D2795C" w:rsidRDefault="00D2795C"/>
    <w:sectPr w:rsidR="00D27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B56D" w14:textId="77777777" w:rsidR="00EE3563" w:rsidRDefault="00EE3563" w:rsidP="00B52C9A">
      <w:pPr>
        <w:spacing w:after="0" w:line="240" w:lineRule="auto"/>
      </w:pPr>
      <w:r>
        <w:separator/>
      </w:r>
    </w:p>
  </w:endnote>
  <w:endnote w:type="continuationSeparator" w:id="0">
    <w:p w14:paraId="281A9167" w14:textId="77777777" w:rsidR="00EE3563" w:rsidRDefault="00EE3563" w:rsidP="00B52C9A">
      <w:pPr>
        <w:spacing w:after="0" w:line="240" w:lineRule="auto"/>
      </w:pPr>
      <w:r>
        <w:continuationSeparator/>
      </w:r>
    </w:p>
  </w:endnote>
  <w:endnote w:type="continuationNotice" w:id="1">
    <w:p w14:paraId="6BD7C4CA" w14:textId="77777777" w:rsidR="00EE3563" w:rsidRDefault="00EE3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9223" w14:textId="77777777" w:rsidR="00EE3563" w:rsidRDefault="00EE3563" w:rsidP="00B52C9A">
      <w:pPr>
        <w:spacing w:after="0" w:line="240" w:lineRule="auto"/>
      </w:pPr>
      <w:r>
        <w:separator/>
      </w:r>
    </w:p>
  </w:footnote>
  <w:footnote w:type="continuationSeparator" w:id="0">
    <w:p w14:paraId="3BE6D5A9" w14:textId="77777777" w:rsidR="00EE3563" w:rsidRDefault="00EE3563" w:rsidP="00B52C9A">
      <w:pPr>
        <w:spacing w:after="0" w:line="240" w:lineRule="auto"/>
      </w:pPr>
      <w:r>
        <w:continuationSeparator/>
      </w:r>
    </w:p>
  </w:footnote>
  <w:footnote w:type="continuationNotice" w:id="1">
    <w:p w14:paraId="7E9C826F" w14:textId="77777777" w:rsidR="00EE3563" w:rsidRDefault="00EE3563">
      <w:pPr>
        <w:spacing w:after="0" w:line="240" w:lineRule="auto"/>
      </w:pPr>
    </w:p>
  </w:footnote>
  <w:footnote w:id="2">
    <w:p w14:paraId="1FFE484F" w14:textId="3B9F7827" w:rsidR="00477096" w:rsidRDefault="00477096" w:rsidP="00477096">
      <w:pPr>
        <w:pStyle w:val="FootnoteText"/>
      </w:pPr>
      <w:r>
        <w:rPr>
          <w:rStyle w:val="FootnoteReference"/>
        </w:rPr>
        <w:footnoteRef/>
      </w:r>
      <w:r>
        <w:t xml:space="preserve"> </w:t>
      </w:r>
      <w:r w:rsidRPr="00081F83">
        <w:rPr>
          <w:rFonts w:ascii="Times New Roman" w:hAnsi="Times New Roman" w:cs="Times New Roman"/>
        </w:rPr>
        <w:t>The exception is s</w:t>
      </w:r>
      <w:r>
        <w:rPr>
          <w:rFonts w:ascii="Times New Roman" w:hAnsi="Times New Roman" w:cs="Times New Roman"/>
        </w:rPr>
        <w:t xml:space="preserve">ection 54B of the Act, which provides that breach of a covenant under sections 52 or 52A is a civil penalty provision.  </w:t>
      </w:r>
      <w:r w:rsidR="00A41995">
        <w:rPr>
          <w:rFonts w:ascii="Times New Roman" w:hAnsi="Times New Roman" w:cs="Times New Roman"/>
        </w:rPr>
        <w:t xml:space="preserve">The covenants include a requirement to comply with </w:t>
      </w:r>
      <w:r w:rsidR="00A41995" w:rsidRPr="00722D7E">
        <w:rPr>
          <w:rFonts w:ascii="Times New Roman" w:hAnsi="Times New Roman" w:cs="Times New Roman"/>
        </w:rPr>
        <w:t xml:space="preserve">prudential standards in relation to </w:t>
      </w:r>
      <w:r w:rsidR="00A41995">
        <w:rPr>
          <w:rFonts w:ascii="Times New Roman" w:hAnsi="Times New Roman" w:cs="Times New Roman"/>
        </w:rPr>
        <w:t>specified topics (conflicts, capital requirements for operational risk,</w:t>
      </w:r>
      <w:r w:rsidR="00EB3C4C">
        <w:rPr>
          <w:rFonts w:ascii="Times New Roman" w:hAnsi="Times New Roman" w:cs="Times New Roman"/>
        </w:rPr>
        <w:t xml:space="preserve"> </w:t>
      </w:r>
      <w:proofErr w:type="spellStart"/>
      <w:r w:rsidR="00EB3C4C">
        <w:rPr>
          <w:rFonts w:ascii="Times New Roman" w:hAnsi="Times New Roman" w:cs="Times New Roman"/>
        </w:rPr>
        <w:t>MyS</w:t>
      </w:r>
      <w:r w:rsidR="00A41995">
        <w:rPr>
          <w:rFonts w:ascii="Times New Roman" w:hAnsi="Times New Roman" w:cs="Times New Roman"/>
        </w:rPr>
        <w:t>uper</w:t>
      </w:r>
      <w:proofErr w:type="spellEnd"/>
      <w:r w:rsidR="00A41995">
        <w:rPr>
          <w:rFonts w:ascii="Times New Roman" w:hAnsi="Times New Roman" w:cs="Times New Roman"/>
        </w:rPr>
        <w:t xml:space="preserve"> and choice products). </w:t>
      </w:r>
      <w:r w:rsidR="00995D63">
        <w:rPr>
          <w:rFonts w:ascii="Times New Roman" w:hAnsi="Times New Roman" w:cs="Times New Roman"/>
        </w:rPr>
        <w:t xml:space="preserve"> </w:t>
      </w:r>
      <w:r w:rsidR="00A41995">
        <w:rPr>
          <w:rFonts w:ascii="Times New Roman" w:hAnsi="Times New Roman" w:cs="Times New Roman"/>
        </w:rPr>
        <w:t>CPS 220 is not a standard in relation to any of these topics.</w:t>
      </w:r>
      <w:r w:rsidR="00995D63">
        <w:rPr>
          <w:rFonts w:ascii="Times New Roman" w:hAnsi="Times New Roman" w:cs="Times New Roman"/>
        </w:rPr>
        <w:t xml:space="preserve"> </w:t>
      </w:r>
      <w:r w:rsidR="00BD3EB1">
        <w:rPr>
          <w:rFonts w:ascii="Times New Roman" w:hAnsi="Times New Roman" w:cs="Times New Roman"/>
        </w:rPr>
        <w:t xml:space="preserve"> Paragraph 23 of S</w:t>
      </w:r>
      <w:r w:rsidR="00A41995">
        <w:rPr>
          <w:rFonts w:ascii="Times New Roman" w:hAnsi="Times New Roman" w:cs="Times New Roman"/>
        </w:rPr>
        <w:t xml:space="preserve">PS 515 </w:t>
      </w:r>
      <w:r w:rsidR="00EB3C4C">
        <w:rPr>
          <w:rFonts w:ascii="Times New Roman" w:hAnsi="Times New Roman" w:cs="Times New Roman"/>
        </w:rPr>
        <w:t>provides</w:t>
      </w:r>
      <w:r w:rsidR="00A41995">
        <w:rPr>
          <w:rFonts w:ascii="Times New Roman" w:hAnsi="Times New Roman" w:cs="Times New Roman"/>
        </w:rPr>
        <w:t xml:space="preserve"> relevant matters </w:t>
      </w:r>
      <w:r w:rsidR="00EB3C4C">
        <w:rPr>
          <w:rFonts w:ascii="Times New Roman" w:hAnsi="Times New Roman" w:cs="Times New Roman"/>
        </w:rPr>
        <w:t xml:space="preserve">an RSE licensee must assess for the purpose of determining whether the financial interests of members who hold a </w:t>
      </w:r>
      <w:proofErr w:type="spellStart"/>
      <w:r w:rsidR="00EB3C4C">
        <w:rPr>
          <w:rFonts w:ascii="Times New Roman" w:hAnsi="Times New Roman" w:cs="Times New Roman"/>
        </w:rPr>
        <w:t>MySuper</w:t>
      </w:r>
      <w:proofErr w:type="spellEnd"/>
      <w:r w:rsidR="00EB3C4C">
        <w:rPr>
          <w:rFonts w:ascii="Times New Roman" w:hAnsi="Times New Roman" w:cs="Times New Roman"/>
        </w:rPr>
        <w:t xml:space="preserve"> or choice product are being promoted by the trustee</w:t>
      </w:r>
      <w:r w:rsidR="00BD3EB1">
        <w:rPr>
          <w:rFonts w:ascii="Times New Roman" w:hAnsi="Times New Roman" w:cs="Times New Roman"/>
        </w:rPr>
        <w:t xml:space="preserve"> under s</w:t>
      </w:r>
      <w:r w:rsidR="00EB3C4C">
        <w:rPr>
          <w:rFonts w:ascii="Times New Roman" w:hAnsi="Times New Roman" w:cs="Times New Roman"/>
        </w:rPr>
        <w:t xml:space="preserve">ection 52(11)(e) of the SIS Act.  </w:t>
      </w:r>
      <w:r w:rsidR="00BD3EB1">
        <w:rPr>
          <w:rFonts w:ascii="Times New Roman" w:hAnsi="Times New Roman" w:cs="Times New Roman"/>
        </w:rPr>
        <w:t xml:space="preserve">Decisions made by APRA exercising discretions </w:t>
      </w:r>
      <w:r w:rsidR="001B3630">
        <w:rPr>
          <w:rFonts w:ascii="Times New Roman" w:hAnsi="Times New Roman" w:cs="Times New Roman"/>
        </w:rPr>
        <w:t xml:space="preserve">in relation to paragraph 23 of SPS 515 are not subject to merits review. </w:t>
      </w:r>
      <w:r w:rsidR="00995D63">
        <w:rPr>
          <w:rFonts w:ascii="Times New Roman" w:hAnsi="Times New Roman" w:cs="Times New Roman"/>
        </w:rPr>
        <w:t xml:space="preserve"> </w:t>
      </w:r>
      <w:r w:rsidR="001B3630">
        <w:rPr>
          <w:rFonts w:ascii="Times New Roman" w:hAnsi="Times New Roman" w:cs="Times New Roman"/>
        </w:rPr>
        <w:t xml:space="preserve">APRA requires transparent and accurate assessments of </w:t>
      </w:r>
      <w:proofErr w:type="spellStart"/>
      <w:r w:rsidR="001B3630">
        <w:rPr>
          <w:rFonts w:ascii="Times New Roman" w:hAnsi="Times New Roman" w:cs="Times New Roman"/>
        </w:rPr>
        <w:t>MySuper</w:t>
      </w:r>
      <w:proofErr w:type="spellEnd"/>
      <w:r w:rsidR="001B3630">
        <w:rPr>
          <w:rFonts w:ascii="Times New Roman" w:hAnsi="Times New Roman" w:cs="Times New Roman"/>
        </w:rPr>
        <w:t xml:space="preserve"> and choice products from RSE licensees to monitor an RSE licensee’s compliance with the covenant in section 52 of the SIS Act. </w:t>
      </w:r>
      <w:r w:rsidR="00995D63">
        <w:rPr>
          <w:rFonts w:ascii="Times New Roman" w:hAnsi="Times New Roman" w:cs="Times New Roman"/>
        </w:rPr>
        <w:t xml:space="preserve"> </w:t>
      </w:r>
      <w:r w:rsidR="001B3630">
        <w:rPr>
          <w:rFonts w:ascii="Times New Roman" w:hAnsi="Times New Roman" w:cs="Times New Roman"/>
        </w:rPr>
        <w:t xml:space="preserve">Uncertain or inconsistent assessments can compromise APRA’s ability to effectively supervise an RSE licensee. </w:t>
      </w:r>
      <w:r w:rsidR="00995D63">
        <w:rPr>
          <w:rFonts w:ascii="Times New Roman" w:hAnsi="Times New Roman" w:cs="Times New Roman"/>
        </w:rPr>
        <w:t xml:space="preserve"> </w:t>
      </w:r>
      <w:r w:rsidR="001B3630">
        <w:rPr>
          <w:rFonts w:ascii="Times New Roman" w:hAnsi="Times New Roman" w:cs="Times New Roman"/>
        </w:rPr>
        <w:t xml:space="preserve">APRA’s decisions to exercise discretion in relation to paragraph 23 of SPS 515 are therefore important financial decisions with a significant public interest element, the outcomes of which must be final to provide certainty for the regulated entities in the fast moving regulatory environment.  </w:t>
      </w:r>
      <w:r w:rsidR="00BD3EB1">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6D4"/>
    <w:multiLevelType w:val="hybridMultilevel"/>
    <w:tmpl w:val="8C7284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14F3D5C"/>
    <w:multiLevelType w:val="hybridMultilevel"/>
    <w:tmpl w:val="7054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CD0CBF"/>
    <w:multiLevelType w:val="hybridMultilevel"/>
    <w:tmpl w:val="DA84761C"/>
    <w:lvl w:ilvl="0" w:tplc="D870D3FA">
      <w:numFmt w:val="bullet"/>
      <w:lvlText w:val=""/>
      <w:lvlJc w:val="left"/>
      <w:pPr>
        <w:ind w:left="630" w:hanging="630"/>
      </w:pPr>
      <w:rPr>
        <w:rFonts w:ascii="Symbol" w:eastAsia="Times New Roman" w:hAnsi="Symbol" w:cs="Aria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144850"/>
    <w:multiLevelType w:val="hybridMultilevel"/>
    <w:tmpl w:val="EDB2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527113"/>
    <w:multiLevelType w:val="hybridMultilevel"/>
    <w:tmpl w:val="4F40C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7D"/>
    <w:rsid w:val="0000116A"/>
    <w:rsid w:val="00026DAF"/>
    <w:rsid w:val="000353C7"/>
    <w:rsid w:val="00052D5A"/>
    <w:rsid w:val="00075D13"/>
    <w:rsid w:val="00077D90"/>
    <w:rsid w:val="00081294"/>
    <w:rsid w:val="00084B9B"/>
    <w:rsid w:val="0008522E"/>
    <w:rsid w:val="000967C4"/>
    <w:rsid w:val="000A0925"/>
    <w:rsid w:val="000A4C0E"/>
    <w:rsid w:val="000D7A0F"/>
    <w:rsid w:val="000F2FFF"/>
    <w:rsid w:val="00106138"/>
    <w:rsid w:val="0011569E"/>
    <w:rsid w:val="00117DAE"/>
    <w:rsid w:val="001346B7"/>
    <w:rsid w:val="00143132"/>
    <w:rsid w:val="00183AC9"/>
    <w:rsid w:val="001A3006"/>
    <w:rsid w:val="001B3630"/>
    <w:rsid w:val="001C09B4"/>
    <w:rsid w:val="001C7EFB"/>
    <w:rsid w:val="001D1B61"/>
    <w:rsid w:val="001D2CB8"/>
    <w:rsid w:val="00204EBD"/>
    <w:rsid w:val="00206B58"/>
    <w:rsid w:val="002462DE"/>
    <w:rsid w:val="00257382"/>
    <w:rsid w:val="00262D8D"/>
    <w:rsid w:val="00274E4C"/>
    <w:rsid w:val="00281A5C"/>
    <w:rsid w:val="0028407B"/>
    <w:rsid w:val="002968A4"/>
    <w:rsid w:val="00302E41"/>
    <w:rsid w:val="0033343C"/>
    <w:rsid w:val="00357BED"/>
    <w:rsid w:val="00357C2E"/>
    <w:rsid w:val="00363B72"/>
    <w:rsid w:val="00376A34"/>
    <w:rsid w:val="0039103F"/>
    <w:rsid w:val="003979E6"/>
    <w:rsid w:val="003A3643"/>
    <w:rsid w:val="003B1DFA"/>
    <w:rsid w:val="003B31AE"/>
    <w:rsid w:val="003C7DAB"/>
    <w:rsid w:val="003D41D3"/>
    <w:rsid w:val="003D55BF"/>
    <w:rsid w:val="003D6F78"/>
    <w:rsid w:val="003E4131"/>
    <w:rsid w:val="003F3D84"/>
    <w:rsid w:val="004239C8"/>
    <w:rsid w:val="00424BF3"/>
    <w:rsid w:val="00433438"/>
    <w:rsid w:val="00462768"/>
    <w:rsid w:val="00477096"/>
    <w:rsid w:val="00477CF3"/>
    <w:rsid w:val="004A1F1B"/>
    <w:rsid w:val="004A32DA"/>
    <w:rsid w:val="004B5A55"/>
    <w:rsid w:val="004C1AFA"/>
    <w:rsid w:val="004D29FE"/>
    <w:rsid w:val="004E61D2"/>
    <w:rsid w:val="004E6784"/>
    <w:rsid w:val="004F02DC"/>
    <w:rsid w:val="004F113B"/>
    <w:rsid w:val="004F3258"/>
    <w:rsid w:val="004F4A95"/>
    <w:rsid w:val="00500B2A"/>
    <w:rsid w:val="005111B6"/>
    <w:rsid w:val="00511C1B"/>
    <w:rsid w:val="00511EC5"/>
    <w:rsid w:val="005131F0"/>
    <w:rsid w:val="005139D1"/>
    <w:rsid w:val="00520B40"/>
    <w:rsid w:val="0053501C"/>
    <w:rsid w:val="00541A8E"/>
    <w:rsid w:val="00577DF4"/>
    <w:rsid w:val="0058115E"/>
    <w:rsid w:val="0059540C"/>
    <w:rsid w:val="00596E6D"/>
    <w:rsid w:val="005B0EE6"/>
    <w:rsid w:val="005B4204"/>
    <w:rsid w:val="005C66C7"/>
    <w:rsid w:val="005D2A01"/>
    <w:rsid w:val="005F1112"/>
    <w:rsid w:val="005F221B"/>
    <w:rsid w:val="00602C94"/>
    <w:rsid w:val="0060653B"/>
    <w:rsid w:val="00610B7D"/>
    <w:rsid w:val="00611E1B"/>
    <w:rsid w:val="00631065"/>
    <w:rsid w:val="00635AB7"/>
    <w:rsid w:val="00663C59"/>
    <w:rsid w:val="00676C25"/>
    <w:rsid w:val="0068307B"/>
    <w:rsid w:val="00683AC0"/>
    <w:rsid w:val="006B5AC5"/>
    <w:rsid w:val="006D68F2"/>
    <w:rsid w:val="006E6173"/>
    <w:rsid w:val="007041A7"/>
    <w:rsid w:val="00742F69"/>
    <w:rsid w:val="00767676"/>
    <w:rsid w:val="007721C5"/>
    <w:rsid w:val="00791143"/>
    <w:rsid w:val="00797282"/>
    <w:rsid w:val="0079745A"/>
    <w:rsid w:val="007C4EBB"/>
    <w:rsid w:val="007C7B89"/>
    <w:rsid w:val="007D0DFF"/>
    <w:rsid w:val="007D7F05"/>
    <w:rsid w:val="007F1DF8"/>
    <w:rsid w:val="007F2E79"/>
    <w:rsid w:val="007F3E02"/>
    <w:rsid w:val="007F5EAF"/>
    <w:rsid w:val="00807B75"/>
    <w:rsid w:val="0081739E"/>
    <w:rsid w:val="00824B49"/>
    <w:rsid w:val="0085496D"/>
    <w:rsid w:val="008574B4"/>
    <w:rsid w:val="00885250"/>
    <w:rsid w:val="008910C5"/>
    <w:rsid w:val="008B4E39"/>
    <w:rsid w:val="008C6DA4"/>
    <w:rsid w:val="008E6CD0"/>
    <w:rsid w:val="008F5242"/>
    <w:rsid w:val="0090489A"/>
    <w:rsid w:val="00907F20"/>
    <w:rsid w:val="00937F5D"/>
    <w:rsid w:val="009607FF"/>
    <w:rsid w:val="00967AD4"/>
    <w:rsid w:val="00977F90"/>
    <w:rsid w:val="00981755"/>
    <w:rsid w:val="009918C4"/>
    <w:rsid w:val="00991D10"/>
    <w:rsid w:val="00994274"/>
    <w:rsid w:val="00995D63"/>
    <w:rsid w:val="009963C2"/>
    <w:rsid w:val="009A584B"/>
    <w:rsid w:val="009E0BAA"/>
    <w:rsid w:val="009E18C7"/>
    <w:rsid w:val="009E72DA"/>
    <w:rsid w:val="009F462C"/>
    <w:rsid w:val="00A231F9"/>
    <w:rsid w:val="00A341E0"/>
    <w:rsid w:val="00A41995"/>
    <w:rsid w:val="00A45CEB"/>
    <w:rsid w:val="00A7742E"/>
    <w:rsid w:val="00A83A87"/>
    <w:rsid w:val="00A87ABF"/>
    <w:rsid w:val="00AC3519"/>
    <w:rsid w:val="00AD177C"/>
    <w:rsid w:val="00AE172E"/>
    <w:rsid w:val="00AF5A8C"/>
    <w:rsid w:val="00B07E10"/>
    <w:rsid w:val="00B14C3C"/>
    <w:rsid w:val="00B1792B"/>
    <w:rsid w:val="00B17FD1"/>
    <w:rsid w:val="00B2673D"/>
    <w:rsid w:val="00B27A99"/>
    <w:rsid w:val="00B27B76"/>
    <w:rsid w:val="00B340EA"/>
    <w:rsid w:val="00B4345C"/>
    <w:rsid w:val="00B47D05"/>
    <w:rsid w:val="00B505E4"/>
    <w:rsid w:val="00B52C9A"/>
    <w:rsid w:val="00B65AE3"/>
    <w:rsid w:val="00B65CF8"/>
    <w:rsid w:val="00B676A8"/>
    <w:rsid w:val="00B83593"/>
    <w:rsid w:val="00BA2091"/>
    <w:rsid w:val="00BD1294"/>
    <w:rsid w:val="00BD3EB1"/>
    <w:rsid w:val="00BE2ABB"/>
    <w:rsid w:val="00BF2452"/>
    <w:rsid w:val="00BF7DB0"/>
    <w:rsid w:val="00C03FCC"/>
    <w:rsid w:val="00C0686C"/>
    <w:rsid w:val="00C31E8E"/>
    <w:rsid w:val="00C4578A"/>
    <w:rsid w:val="00C532A5"/>
    <w:rsid w:val="00C56E1F"/>
    <w:rsid w:val="00C709B7"/>
    <w:rsid w:val="00CA48D5"/>
    <w:rsid w:val="00CA48E0"/>
    <w:rsid w:val="00CA6FCF"/>
    <w:rsid w:val="00CB57AA"/>
    <w:rsid w:val="00CD22B7"/>
    <w:rsid w:val="00D13E7E"/>
    <w:rsid w:val="00D17A38"/>
    <w:rsid w:val="00D2082A"/>
    <w:rsid w:val="00D2795C"/>
    <w:rsid w:val="00D32EE8"/>
    <w:rsid w:val="00D37B7C"/>
    <w:rsid w:val="00D41733"/>
    <w:rsid w:val="00D64282"/>
    <w:rsid w:val="00D82614"/>
    <w:rsid w:val="00D92D37"/>
    <w:rsid w:val="00DA6736"/>
    <w:rsid w:val="00DB5467"/>
    <w:rsid w:val="00DC1DBE"/>
    <w:rsid w:val="00DC29A2"/>
    <w:rsid w:val="00DE2312"/>
    <w:rsid w:val="00E1411B"/>
    <w:rsid w:val="00E17B6C"/>
    <w:rsid w:val="00E24363"/>
    <w:rsid w:val="00E27690"/>
    <w:rsid w:val="00E3532E"/>
    <w:rsid w:val="00E362B6"/>
    <w:rsid w:val="00E706B9"/>
    <w:rsid w:val="00E83DCE"/>
    <w:rsid w:val="00E94999"/>
    <w:rsid w:val="00EA0840"/>
    <w:rsid w:val="00EB2E18"/>
    <w:rsid w:val="00EB368F"/>
    <w:rsid w:val="00EB3C4C"/>
    <w:rsid w:val="00EB60CB"/>
    <w:rsid w:val="00EB701C"/>
    <w:rsid w:val="00EE1B5F"/>
    <w:rsid w:val="00EE3563"/>
    <w:rsid w:val="00EF6C63"/>
    <w:rsid w:val="00F271BE"/>
    <w:rsid w:val="00F3769C"/>
    <w:rsid w:val="00F37CE6"/>
    <w:rsid w:val="00F40749"/>
    <w:rsid w:val="00F41935"/>
    <w:rsid w:val="00F54863"/>
    <w:rsid w:val="00F610A3"/>
    <w:rsid w:val="00F6581F"/>
    <w:rsid w:val="00F80869"/>
    <w:rsid w:val="00F866E0"/>
    <w:rsid w:val="00F91760"/>
    <w:rsid w:val="00FA2A7E"/>
    <w:rsid w:val="00FB7E5C"/>
    <w:rsid w:val="00FC057A"/>
    <w:rsid w:val="00FE1989"/>
    <w:rsid w:val="00FE3EB3"/>
    <w:rsid w:val="00FE5D7D"/>
    <w:rsid w:val="00FF12AD"/>
    <w:rsid w:val="00FF2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C1BFBAF"/>
  <w15:chartTrackingRefBased/>
  <w15:docId w15:val="{39B642CD-5BFA-4C9E-92CF-8CAB1CCB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7D"/>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FE5D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ranormalchar">
    <w:name w:val="apranormalchar"/>
    <w:basedOn w:val="DefaultParagraphFont"/>
    <w:rsid w:val="00FE5D7D"/>
  </w:style>
  <w:style w:type="paragraph" w:customStyle="1" w:styleId="default">
    <w:name w:val="default"/>
    <w:basedOn w:val="Normal"/>
    <w:rsid w:val="00FE5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pranormal">
    <w:name w:val="apranormal"/>
    <w:basedOn w:val="Normal"/>
    <w:rsid w:val="00FE5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
    <w:name w:val="heading"/>
    <w:basedOn w:val="Normal"/>
    <w:rsid w:val="00FE5D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32EE8"/>
    <w:rPr>
      <w:sz w:val="16"/>
      <w:szCs w:val="16"/>
    </w:rPr>
  </w:style>
  <w:style w:type="paragraph" w:styleId="CommentText">
    <w:name w:val="annotation text"/>
    <w:basedOn w:val="Normal"/>
    <w:link w:val="CommentTextChar"/>
    <w:uiPriority w:val="99"/>
    <w:unhideWhenUsed/>
    <w:rsid w:val="00D32EE8"/>
    <w:pPr>
      <w:spacing w:line="240" w:lineRule="auto"/>
    </w:pPr>
    <w:rPr>
      <w:sz w:val="20"/>
      <w:szCs w:val="20"/>
    </w:rPr>
  </w:style>
  <w:style w:type="character" w:customStyle="1" w:styleId="CommentTextChar">
    <w:name w:val="Comment Text Char"/>
    <w:basedOn w:val="DefaultParagraphFont"/>
    <w:link w:val="CommentText"/>
    <w:uiPriority w:val="99"/>
    <w:rsid w:val="00D32EE8"/>
    <w:rPr>
      <w:sz w:val="20"/>
      <w:szCs w:val="20"/>
    </w:rPr>
  </w:style>
  <w:style w:type="paragraph" w:styleId="CommentSubject">
    <w:name w:val="annotation subject"/>
    <w:basedOn w:val="CommentText"/>
    <w:next w:val="CommentText"/>
    <w:link w:val="CommentSubjectChar"/>
    <w:uiPriority w:val="99"/>
    <w:semiHidden/>
    <w:unhideWhenUsed/>
    <w:rsid w:val="00D32EE8"/>
    <w:rPr>
      <w:b/>
      <w:bCs/>
    </w:rPr>
  </w:style>
  <w:style w:type="character" w:customStyle="1" w:styleId="CommentSubjectChar">
    <w:name w:val="Comment Subject Char"/>
    <w:basedOn w:val="CommentTextChar"/>
    <w:link w:val="CommentSubject"/>
    <w:uiPriority w:val="99"/>
    <w:semiHidden/>
    <w:rsid w:val="00D32EE8"/>
    <w:rPr>
      <w:b/>
      <w:bCs/>
      <w:sz w:val="20"/>
      <w:szCs w:val="20"/>
    </w:rPr>
  </w:style>
  <w:style w:type="paragraph" w:styleId="BalloonText">
    <w:name w:val="Balloon Text"/>
    <w:basedOn w:val="Normal"/>
    <w:link w:val="BalloonTextChar"/>
    <w:uiPriority w:val="99"/>
    <w:semiHidden/>
    <w:unhideWhenUsed/>
    <w:rsid w:val="00D32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E8"/>
    <w:rPr>
      <w:rFonts w:ascii="Segoe UI" w:hAnsi="Segoe UI" w:cs="Segoe UI"/>
      <w:sz w:val="18"/>
      <w:szCs w:val="18"/>
    </w:rPr>
  </w:style>
  <w:style w:type="paragraph" w:styleId="Header">
    <w:name w:val="header"/>
    <w:basedOn w:val="Normal"/>
    <w:link w:val="HeaderChar"/>
    <w:uiPriority w:val="99"/>
    <w:semiHidden/>
    <w:unhideWhenUsed/>
    <w:rsid w:val="000F2F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FFF"/>
  </w:style>
  <w:style w:type="paragraph" w:styleId="Footer">
    <w:name w:val="footer"/>
    <w:basedOn w:val="Normal"/>
    <w:link w:val="FooterChar"/>
    <w:uiPriority w:val="99"/>
    <w:semiHidden/>
    <w:unhideWhenUsed/>
    <w:rsid w:val="000F2F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2FFF"/>
  </w:style>
  <w:style w:type="character" w:styleId="Hyperlink">
    <w:name w:val="Hyperlink"/>
    <w:basedOn w:val="DefaultParagraphFont"/>
    <w:uiPriority w:val="99"/>
    <w:unhideWhenUsed/>
    <w:rsid w:val="00EE1B5F"/>
    <w:rPr>
      <w:color w:val="0563C1" w:themeColor="hyperlink"/>
      <w:u w:val="single"/>
    </w:rPr>
  </w:style>
  <w:style w:type="character" w:styleId="FollowedHyperlink">
    <w:name w:val="FollowedHyperlink"/>
    <w:basedOn w:val="DefaultParagraphFont"/>
    <w:uiPriority w:val="99"/>
    <w:semiHidden/>
    <w:unhideWhenUsed/>
    <w:rsid w:val="00BE2ABB"/>
    <w:rPr>
      <w:color w:val="954F72" w:themeColor="followedHyperlink"/>
      <w:u w:val="single"/>
    </w:rPr>
  </w:style>
  <w:style w:type="paragraph" w:styleId="FootnoteText">
    <w:name w:val="footnote text"/>
    <w:basedOn w:val="Normal"/>
    <w:link w:val="FootnoteTextChar"/>
    <w:uiPriority w:val="99"/>
    <w:semiHidden/>
    <w:unhideWhenUsed/>
    <w:rsid w:val="00433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438"/>
    <w:rPr>
      <w:sz w:val="20"/>
      <w:szCs w:val="20"/>
    </w:rPr>
  </w:style>
  <w:style w:type="character" w:styleId="FootnoteReference">
    <w:name w:val="footnote reference"/>
    <w:basedOn w:val="DefaultParagraphFont"/>
    <w:uiPriority w:val="99"/>
    <w:semiHidden/>
    <w:unhideWhenUsed/>
    <w:rsid w:val="00433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78866">
      <w:bodyDiv w:val="1"/>
      <w:marLeft w:val="0"/>
      <w:marRight w:val="0"/>
      <w:marTop w:val="0"/>
      <w:marBottom w:val="0"/>
      <w:divBdr>
        <w:top w:val="none" w:sz="0" w:space="0" w:color="auto"/>
        <w:left w:val="none" w:sz="0" w:space="0" w:color="auto"/>
        <w:bottom w:val="none" w:sz="0" w:space="0" w:color="auto"/>
        <w:right w:val="none" w:sz="0" w:space="0" w:color="auto"/>
      </w:divBdr>
      <w:divsChild>
        <w:div w:id="21366644">
          <w:marLeft w:val="0"/>
          <w:marRight w:val="0"/>
          <w:marTop w:val="0"/>
          <w:marBottom w:val="0"/>
          <w:divBdr>
            <w:top w:val="none" w:sz="0" w:space="0" w:color="auto"/>
            <w:left w:val="none" w:sz="0" w:space="0" w:color="auto"/>
            <w:bottom w:val="none" w:sz="0" w:space="0" w:color="auto"/>
            <w:right w:val="none" w:sz="0" w:space="0" w:color="auto"/>
          </w:divBdr>
          <w:divsChild>
            <w:div w:id="1037044974">
              <w:marLeft w:val="0"/>
              <w:marRight w:val="0"/>
              <w:marTop w:val="0"/>
              <w:marBottom w:val="0"/>
              <w:divBdr>
                <w:top w:val="none" w:sz="0" w:space="0" w:color="auto"/>
                <w:left w:val="none" w:sz="0" w:space="0" w:color="auto"/>
                <w:bottom w:val="none" w:sz="0" w:space="0" w:color="auto"/>
                <w:right w:val="none" w:sz="0" w:space="0" w:color="auto"/>
              </w:divBdr>
              <w:divsChild>
                <w:div w:id="1090153538">
                  <w:marLeft w:val="0"/>
                  <w:marRight w:val="0"/>
                  <w:marTop w:val="0"/>
                  <w:marBottom w:val="0"/>
                  <w:divBdr>
                    <w:top w:val="none" w:sz="0" w:space="0" w:color="auto"/>
                    <w:left w:val="none" w:sz="0" w:space="0" w:color="auto"/>
                    <w:bottom w:val="none" w:sz="0" w:space="0" w:color="auto"/>
                    <w:right w:val="none" w:sz="0" w:space="0" w:color="auto"/>
                  </w:divBdr>
                  <w:divsChild>
                    <w:div w:id="109472193">
                      <w:marLeft w:val="0"/>
                      <w:marRight w:val="0"/>
                      <w:marTop w:val="0"/>
                      <w:marBottom w:val="0"/>
                      <w:divBdr>
                        <w:top w:val="none" w:sz="0" w:space="0" w:color="auto"/>
                        <w:left w:val="none" w:sz="0" w:space="0" w:color="auto"/>
                        <w:bottom w:val="none" w:sz="0" w:space="0" w:color="auto"/>
                        <w:right w:val="none" w:sz="0" w:space="0" w:color="auto"/>
                      </w:divBdr>
                      <w:divsChild>
                        <w:div w:id="454642450">
                          <w:marLeft w:val="0"/>
                          <w:marRight w:val="0"/>
                          <w:marTop w:val="0"/>
                          <w:marBottom w:val="0"/>
                          <w:divBdr>
                            <w:top w:val="none" w:sz="0" w:space="0" w:color="auto"/>
                            <w:left w:val="none" w:sz="0" w:space="0" w:color="auto"/>
                            <w:bottom w:val="none" w:sz="0" w:space="0" w:color="auto"/>
                            <w:right w:val="none" w:sz="0" w:space="0" w:color="auto"/>
                          </w:divBdr>
                          <w:divsChild>
                            <w:div w:id="1649818886">
                              <w:marLeft w:val="0"/>
                              <w:marRight w:val="0"/>
                              <w:marTop w:val="0"/>
                              <w:marBottom w:val="0"/>
                              <w:divBdr>
                                <w:top w:val="none" w:sz="0" w:space="0" w:color="auto"/>
                                <w:left w:val="none" w:sz="0" w:space="0" w:color="auto"/>
                                <w:bottom w:val="none" w:sz="0" w:space="0" w:color="auto"/>
                                <w:right w:val="none" w:sz="0" w:space="0" w:color="auto"/>
                              </w:divBdr>
                              <w:divsChild>
                                <w:div w:id="949819079">
                                  <w:marLeft w:val="0"/>
                                  <w:marRight w:val="0"/>
                                  <w:marTop w:val="0"/>
                                  <w:marBottom w:val="0"/>
                                  <w:divBdr>
                                    <w:top w:val="none" w:sz="0" w:space="0" w:color="auto"/>
                                    <w:left w:val="none" w:sz="0" w:space="0" w:color="auto"/>
                                    <w:bottom w:val="none" w:sz="0" w:space="0" w:color="auto"/>
                                    <w:right w:val="none" w:sz="0" w:space="0" w:color="auto"/>
                                  </w:divBdr>
                                  <w:divsChild>
                                    <w:div w:id="1939097730">
                                      <w:marLeft w:val="0"/>
                                      <w:marRight w:val="0"/>
                                      <w:marTop w:val="0"/>
                                      <w:marBottom w:val="0"/>
                                      <w:divBdr>
                                        <w:top w:val="none" w:sz="0" w:space="0" w:color="auto"/>
                                        <w:left w:val="none" w:sz="0" w:space="0" w:color="auto"/>
                                        <w:bottom w:val="none" w:sz="0" w:space="0" w:color="auto"/>
                                        <w:right w:val="none" w:sz="0" w:space="0" w:color="auto"/>
                                      </w:divBdr>
                                      <w:divsChild>
                                        <w:div w:id="1416049017">
                                          <w:marLeft w:val="0"/>
                                          <w:marRight w:val="0"/>
                                          <w:marTop w:val="0"/>
                                          <w:marBottom w:val="0"/>
                                          <w:divBdr>
                                            <w:top w:val="none" w:sz="0" w:space="0" w:color="auto"/>
                                            <w:left w:val="none" w:sz="0" w:space="0" w:color="auto"/>
                                            <w:bottom w:val="none" w:sz="0" w:space="0" w:color="auto"/>
                                            <w:right w:val="none" w:sz="0" w:space="0" w:color="auto"/>
                                          </w:divBdr>
                                          <w:divsChild>
                                            <w:div w:id="266741985">
                                              <w:marLeft w:val="0"/>
                                              <w:marRight w:val="0"/>
                                              <w:marTop w:val="0"/>
                                              <w:marBottom w:val="0"/>
                                              <w:divBdr>
                                                <w:top w:val="none" w:sz="0" w:space="0" w:color="auto"/>
                                                <w:left w:val="none" w:sz="0" w:space="0" w:color="auto"/>
                                                <w:bottom w:val="none" w:sz="0" w:space="0" w:color="auto"/>
                                                <w:right w:val="none" w:sz="0" w:space="0" w:color="auto"/>
                                              </w:divBdr>
                                              <w:divsChild>
                                                <w:div w:id="444737346">
                                                  <w:marLeft w:val="0"/>
                                                  <w:marRight w:val="0"/>
                                                  <w:marTop w:val="0"/>
                                                  <w:marBottom w:val="0"/>
                                                  <w:divBdr>
                                                    <w:top w:val="none" w:sz="0" w:space="0" w:color="auto"/>
                                                    <w:left w:val="none" w:sz="0" w:space="0" w:color="auto"/>
                                                    <w:bottom w:val="none" w:sz="0" w:space="0" w:color="auto"/>
                                                    <w:right w:val="none" w:sz="0" w:space="0" w:color="auto"/>
                                                  </w:divBdr>
                                                  <w:divsChild>
                                                    <w:div w:id="84766378">
                                                      <w:marLeft w:val="0"/>
                                                      <w:marRight w:val="0"/>
                                                      <w:marTop w:val="0"/>
                                                      <w:marBottom w:val="0"/>
                                                      <w:divBdr>
                                                        <w:top w:val="none" w:sz="0" w:space="0" w:color="auto"/>
                                                        <w:left w:val="none" w:sz="0" w:space="0" w:color="auto"/>
                                                        <w:bottom w:val="none" w:sz="0" w:space="0" w:color="auto"/>
                                                        <w:right w:val="none" w:sz="0" w:space="0" w:color="auto"/>
                                                      </w:divBdr>
                                                      <w:divsChild>
                                                        <w:div w:id="12704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is.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E372D7CF3824E4FB2A05E5797D698C0" ma:contentTypeVersion="48" ma:contentTypeDescription="Create a new document." ma:contentTypeScope="" ma:versionID="1de133a436e5644648f65983624b03a7">
  <xsd:schema xmlns:xsd="http://www.w3.org/2001/XMLSchema" xmlns:xs="http://www.w3.org/2001/XMLSchema" xmlns:p="http://schemas.microsoft.com/office/2006/metadata/properties" xmlns:ns1="814d62cb-2db6-4c25-ab62-b9075facbc11" xmlns:ns3="http://schemas.microsoft.com/sharepoint/v4" targetNamespace="http://schemas.microsoft.com/office/2006/metadata/properties" ma:root="true" ma:fieldsID="eb7cefb58c7c7853e9113ebc2dcb6345" ns1:_="" ns3:_="">
    <xsd:import namespace="814d62cb-2db6-4c25-ab62-b9075facbc11"/>
    <xsd:import namespace="http://schemas.microsoft.com/sharepoint/v4"/>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4e742ea0-3834-4189-a728-c94c6f19792a}" ma:internalName="TaxCatchAll" ma:showField="CatchAllData"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4e742ea0-3834-4189-a728-c94c6f19792a}" ma:internalName="TaxCatchAllLabel" ma:readOnly="true" ma:showField="CatchAllDataLabel"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Prudential policy development</TermName>
          <TermId>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IconOverlay xmlns="http://schemas.microsoft.com/sharepoint/v4"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110</Value>
      <Value>2</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YF4TAER6Q5NU-117848022-8267</_dlc_DocId>
    <_dlc_DocIdUrl xmlns="814d62cb-2db6-4c25-ab62-b9075facbc11">
      <Url>https://im/teams/POLICYSUP/_layouts/15/DocIdRedir.aspx?ID=YF4TAER6Q5NU-117848022-8267</Url>
      <Description>YF4TAER6Q5NU-117848022-8267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561C-5933-4359-AFE4-B19A64BEA1E4}">
  <ds:schemaRefs>
    <ds:schemaRef ds:uri="Microsoft.SharePoint.Taxonomy.ContentTypeSync"/>
  </ds:schemaRefs>
</ds:datastoreItem>
</file>

<file path=customXml/itemProps2.xml><?xml version="1.0" encoding="utf-8"?>
<ds:datastoreItem xmlns:ds="http://schemas.openxmlformats.org/officeDocument/2006/customXml" ds:itemID="{35E7AA30-5796-4A87-901C-A2FC1946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DB067-33A0-4716-BC9B-92F7DD103B82}">
  <ds:schemaRefs>
    <ds:schemaRef ds:uri="814d62cb-2db6-4c25-ab62-b9075facbc1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191A39-257F-4CB9-8925-9F73BAA52B61}">
  <ds:schemaRefs>
    <ds:schemaRef ds:uri="http://schemas.microsoft.com/sharepoint/v3/contenttype/forms"/>
  </ds:schemaRefs>
</ds:datastoreItem>
</file>

<file path=customXml/itemProps5.xml><?xml version="1.0" encoding="utf-8"?>
<ds:datastoreItem xmlns:ds="http://schemas.openxmlformats.org/officeDocument/2006/customXml" ds:itemID="{1CF64B71-E695-45AF-B896-7C4C07A8EC7A}">
  <ds:schemaRefs>
    <ds:schemaRef ds:uri="http://schemas.microsoft.com/sharepoint/events"/>
  </ds:schemaRefs>
</ds:datastoreItem>
</file>

<file path=customXml/itemProps6.xml><?xml version="1.0" encoding="utf-8"?>
<ds:datastoreItem xmlns:ds="http://schemas.openxmlformats.org/officeDocument/2006/customXml" ds:itemID="{DE3F2F58-C9D7-466D-81A8-D0639147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1648</Words>
  <Characters>9298</Characters>
  <Application>Microsoft Office Word</Application>
  <DocSecurity>0</DocSecurity>
  <Lines>155</Lines>
  <Paragraphs>58</Paragraphs>
  <ScaleCrop>false</ScaleCrop>
  <HeadingPairs>
    <vt:vector size="2" baseType="variant">
      <vt:variant>
        <vt:lpstr>Title</vt:lpstr>
      </vt:variant>
      <vt:variant>
        <vt:i4>1</vt:i4>
      </vt:variant>
    </vt:vector>
  </HeadingPairs>
  <TitlesOfParts>
    <vt:vector size="1" baseType="lpstr">
      <vt:lpstr>SPS 515 and SPS 220 Explanatory Statement</vt:lpstr>
    </vt:vector>
  </TitlesOfParts>
  <Company>APRA</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 515 and SPS 220 Explanatory Statement</dc:title>
  <dc:subject/>
  <dc:creator>Butler, David</dc:creator>
  <cp:keywords> [SEC=UNCLASSIFIED]</cp:keywords>
  <dc:description/>
  <cp:lastModifiedBy>Li, Joanne</cp:lastModifiedBy>
  <cp:revision>8</cp:revision>
  <cp:lastPrinted>2019-12-03T22:21:00Z</cp:lastPrinted>
  <dcterms:created xsi:type="dcterms:W3CDTF">2019-12-02T06:43:00Z</dcterms:created>
  <dcterms:modified xsi:type="dcterms:W3CDTF">2019-12-04T03:58:00Z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Qualifier">
    <vt:lpwstr/>
  </property>
  <property fmtid="{D5CDD505-2E9C-101B-9397-08002B2CF9AE}" pid="7" name="PM_ProtectiveMarkingImage_Header">
    <vt:lpwstr>C:\Program Files (x86)\Common Files\janusNET Shared\janusSEAL\Images\DocumentSlashBlue.png</vt:lpwstr>
  </property>
  <property fmtid="{D5CDD505-2E9C-101B-9397-08002B2CF9AE}" pid="8" name="PM_InsertionValue">
    <vt:lpwstr>UNCLASSIFIED</vt:lpwstr>
  </property>
  <property fmtid="{D5CDD505-2E9C-101B-9397-08002B2CF9AE}" pid="9" name="PM_ProtectiveMarkingValue_Header">
    <vt:lpwstr>UNCLASSIFIED</vt:lpwstr>
  </property>
  <property fmtid="{D5CDD505-2E9C-101B-9397-08002B2CF9AE}" pid="10" name="PM_ProtectiveMarkingImage_Footer">
    <vt:lpwstr>C:\Program Files (x86)\Common Files\janusNET Shared\janusSEAL\Images\DocumentSlashBlue.png</vt:lpwstr>
  </property>
  <property fmtid="{D5CDD505-2E9C-101B-9397-08002B2CF9AE}" pid="11" name="PM_Namespace">
    <vt:lpwstr>gov.au</vt:lpwstr>
  </property>
  <property fmtid="{D5CDD505-2E9C-101B-9397-08002B2CF9AE}" pid="12" name="PM_Version">
    <vt:lpwstr>2012.3</vt:lpwstr>
  </property>
  <property fmtid="{D5CDD505-2E9C-101B-9397-08002B2CF9AE}" pid="13" name="PM_Originating_FileId">
    <vt:lpwstr>65C31DA09E72474384F2DFABB352CE14</vt:lpwstr>
  </property>
  <property fmtid="{D5CDD505-2E9C-101B-9397-08002B2CF9AE}" pid="14" name="PM_Note">
    <vt:lpwstr/>
  </property>
  <property fmtid="{D5CDD505-2E9C-101B-9397-08002B2CF9AE}" pid="15" name="PM_Markers">
    <vt:lpwstr/>
  </property>
  <property fmtid="{D5CDD505-2E9C-101B-9397-08002B2CF9AE}" pid="16" name="PM_Hash_Version">
    <vt:lpwstr>2018.0</vt:lpwstr>
  </property>
  <property fmtid="{D5CDD505-2E9C-101B-9397-08002B2CF9AE}" pid="17" name="PM_SecurityClassification_Prev">
    <vt:lpwstr>UNCLASSIFIED</vt:lpwstr>
  </property>
  <property fmtid="{D5CDD505-2E9C-101B-9397-08002B2CF9AE}" pid="18" name="PM_Qualifier_Prev">
    <vt:lpwstr/>
  </property>
  <property fmtid="{D5CDD505-2E9C-101B-9397-08002B2CF9AE}" pid="19" name="ContentTypeId">
    <vt:lpwstr>0x0101008CA7A4F8331B45C7B0D3158B4994D0CA0200EE372D7CF3824E4FB2A05E5797D698C0</vt:lpwstr>
  </property>
  <property fmtid="{D5CDD505-2E9C-101B-9397-08002B2CF9AE}" pid="20" name="PM_Originator_Hash_SHA1">
    <vt:lpwstr>DBF2C23E4BADD8D7D0B29BB6B332033121013C98</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DocumentType">
    <vt:lpwstr>110;#Explanatory statement|b22f2e2f-3f73-411b-9a7c-34264d26fa25</vt:lpwstr>
  </property>
  <property fmtid="{D5CDD505-2E9C-101B-9397-08002B2CF9AE}" pid="29" name="APRAStatus">
    <vt:lpwstr>1;#Draft|0e1556d2-3fe8-443a-ada7-3620563b46b3</vt:lpwstr>
  </property>
  <property fmtid="{D5CDD505-2E9C-101B-9397-08002B2CF9AE}" pid="30" name="APRAActivity">
    <vt:lpwstr>2;#Prudential policy development|4cf81ba0-32a2-4f8f-8216-9e632903331b</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
  </property>
  <property fmtid="{D5CDD505-2E9C-101B-9397-08002B2CF9AE}" pid="34" name="APRAIndustry">
    <vt:lpwstr/>
  </property>
  <property fmtid="{D5CDD505-2E9C-101B-9397-08002B2CF9AE}" pid="35" name="_dlc_DocIdItemGuid">
    <vt:lpwstr>7973efba-256d-4b0c-aded-fd0cf60e76cf</vt:lpwstr>
  </property>
  <property fmtid="{D5CDD505-2E9C-101B-9397-08002B2CF9AE}" pid="36" name="RecordPoint_WorkflowType">
    <vt:lpwstr>ActiveSubmitStub</vt:lpwstr>
  </property>
  <property fmtid="{D5CDD505-2E9C-101B-9397-08002B2CF9AE}" pid="37" name="RecordPoint_ActiveItemSiteId">
    <vt:lpwstr>{ae9a005d-dc89-4193-b925-482cbb4c4076}</vt:lpwstr>
  </property>
  <property fmtid="{D5CDD505-2E9C-101B-9397-08002B2CF9AE}" pid="38" name="RecordPoint_ActiveItemListId">
    <vt:lpwstr>{c9117ecd-25f5-482e-a866-d2ab15fdb28a}</vt:lpwstr>
  </property>
  <property fmtid="{D5CDD505-2E9C-101B-9397-08002B2CF9AE}" pid="39" name="RecordPoint_ActiveItemUniqueId">
    <vt:lpwstr>{7973efba-256d-4b0c-aded-fd0cf60e76cf}</vt:lpwstr>
  </property>
  <property fmtid="{D5CDD505-2E9C-101B-9397-08002B2CF9AE}" pid="40" name="RecordPoint_ActiveItemWebId">
    <vt:lpwstr>{d0094546-2c4f-42c1-bfb6-36e147bcdf78}</vt:lpwstr>
  </property>
  <property fmtid="{D5CDD505-2E9C-101B-9397-08002B2CF9AE}" pid="41" name="RecordPoint_RecordNumberSubmitted">
    <vt:lpwstr>R0000959481</vt:lpwstr>
  </property>
  <property fmtid="{D5CDD505-2E9C-101B-9397-08002B2CF9AE}" pid="42" name="IsLocked">
    <vt:lpwstr>Yes</vt:lpwstr>
  </property>
  <property fmtid="{D5CDD505-2E9C-101B-9397-08002B2CF9AE}" pid="43" name="PM_Hash_SHA1">
    <vt:lpwstr>29F56FA82B05149E6DE7C6808B384BF32C10AAFE</vt:lpwstr>
  </property>
  <property fmtid="{D5CDD505-2E9C-101B-9397-08002B2CF9AE}" pid="44" name="PM_OriginationTimeStamp">
    <vt:lpwstr>2019-12-04T03:58:15Z</vt:lpwstr>
  </property>
  <property fmtid="{D5CDD505-2E9C-101B-9397-08002B2CF9AE}" pid="45" name="PM_Hash_Salt_Prev">
    <vt:lpwstr>F32A4160D2522D3725238F75CE5F5063</vt:lpwstr>
  </property>
  <property fmtid="{D5CDD505-2E9C-101B-9397-08002B2CF9AE}" pid="46" name="PM_Hash_Salt">
    <vt:lpwstr>A6B4C9D919562312A4B4720597C93BD1</vt:lpwstr>
  </property>
  <property fmtid="{D5CDD505-2E9C-101B-9397-08002B2CF9AE}" pid="47" name="RecordPoint_SubmissionCompleted">
    <vt:lpwstr>2019-12-02T12:13:18.6019493+11:00</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