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C6" w:rsidRPr="00E10AC6" w:rsidRDefault="002B79B8" w:rsidP="00E10AC6">
      <w:pPr>
        <w:spacing w:before="0" w:after="0"/>
        <w:rPr>
          <w:rFonts w:ascii="Times New Roman" w:eastAsia="Times New Roman" w:hAnsi="Times New Roman"/>
          <w:color w:val="000000"/>
          <w:sz w:val="24"/>
          <w:szCs w:val="24"/>
          <w:lang w:eastAsia="en-AU"/>
        </w:rPr>
      </w:pPr>
      <w:bookmarkStart w:id="0" w:name="_Toc168113228"/>
      <w:r w:rsidRPr="00E10AC6">
        <w:rPr>
          <w:rFonts w:ascii="Times New Roman" w:eastAsia="Times New Roman" w:hAnsi="Times New Roman"/>
          <w:noProof/>
          <w:color w:val="000000"/>
          <w:sz w:val="24"/>
          <w:szCs w:val="24"/>
          <w:lang w:eastAsia="en-AU"/>
        </w:rPr>
        <w:drawing>
          <wp:inline distT="0" distB="0" distL="0" distR="0">
            <wp:extent cx="1419860" cy="11017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9860" cy="1101725"/>
                    </a:xfrm>
                    <a:prstGeom prst="rect">
                      <a:avLst/>
                    </a:prstGeom>
                    <a:noFill/>
                    <a:ln>
                      <a:noFill/>
                    </a:ln>
                  </pic:spPr>
                </pic:pic>
              </a:graphicData>
            </a:graphic>
          </wp:inline>
        </w:drawing>
      </w:r>
    </w:p>
    <w:p w:rsidR="00E10AC6" w:rsidRPr="00E10AC6" w:rsidRDefault="00E10AC6" w:rsidP="00E10AC6">
      <w:pPr>
        <w:spacing w:before="480" w:after="0"/>
        <w:rPr>
          <w:rFonts w:ascii="Arial" w:eastAsia="Times New Roman" w:hAnsi="Arial" w:cs="Arial"/>
          <w:b/>
          <w:bCs/>
          <w:color w:val="000000"/>
          <w:sz w:val="40"/>
          <w:szCs w:val="40"/>
        </w:rPr>
      </w:pPr>
      <w:r w:rsidRPr="00E10AC6">
        <w:rPr>
          <w:rFonts w:ascii="Arial" w:eastAsia="Times New Roman" w:hAnsi="Arial" w:cs="Arial"/>
          <w:b/>
          <w:bCs/>
          <w:color w:val="000000"/>
          <w:sz w:val="40"/>
          <w:szCs w:val="40"/>
        </w:rPr>
        <w:t xml:space="preserve">Superannuation (prudential standard) determination No. </w:t>
      </w:r>
      <w:r w:rsidR="007E7D73">
        <w:rPr>
          <w:rFonts w:ascii="Arial" w:eastAsia="Times New Roman" w:hAnsi="Arial" w:cs="Arial"/>
          <w:b/>
          <w:bCs/>
          <w:color w:val="000000"/>
          <w:sz w:val="40"/>
          <w:szCs w:val="40"/>
        </w:rPr>
        <w:t>3</w:t>
      </w:r>
      <w:r w:rsidRPr="00E10AC6">
        <w:rPr>
          <w:rFonts w:ascii="Arial" w:eastAsia="Times New Roman" w:hAnsi="Arial" w:cs="Arial"/>
          <w:b/>
          <w:bCs/>
          <w:color w:val="000000"/>
          <w:sz w:val="40"/>
          <w:szCs w:val="40"/>
        </w:rPr>
        <w:t xml:space="preserve"> of 2019 </w:t>
      </w:r>
    </w:p>
    <w:p w:rsidR="00E10AC6" w:rsidRPr="00E10AC6" w:rsidRDefault="00E10AC6" w:rsidP="00E10AC6">
      <w:pPr>
        <w:spacing w:before="480" w:after="0"/>
        <w:rPr>
          <w:rFonts w:ascii="Arial" w:eastAsia="Times New Roman" w:hAnsi="Arial" w:cs="Arial"/>
          <w:b/>
          <w:bCs/>
          <w:color w:val="000000"/>
          <w:sz w:val="28"/>
          <w:szCs w:val="28"/>
        </w:rPr>
      </w:pPr>
      <w:r w:rsidRPr="00E10AC6">
        <w:rPr>
          <w:rFonts w:ascii="Arial" w:eastAsia="Times New Roman" w:hAnsi="Arial" w:cs="Arial"/>
          <w:b/>
          <w:bCs/>
          <w:color w:val="000000"/>
          <w:sz w:val="28"/>
          <w:szCs w:val="28"/>
        </w:rPr>
        <w:t>Prudential Standard SPS 220 Risk Management</w:t>
      </w:r>
    </w:p>
    <w:p w:rsidR="00E10AC6" w:rsidRPr="00E10AC6" w:rsidRDefault="00E10AC6" w:rsidP="00E10AC6">
      <w:pPr>
        <w:pBdr>
          <w:bottom w:val="single" w:sz="4" w:space="3" w:color="auto"/>
        </w:pBdr>
        <w:spacing w:before="480" w:after="240"/>
        <w:rPr>
          <w:rFonts w:ascii="Arial" w:eastAsia="Times New Roman" w:hAnsi="Arial"/>
          <w:i/>
          <w:iCs/>
          <w:color w:val="000000"/>
          <w:sz w:val="28"/>
          <w:lang w:eastAsia="en-AU"/>
        </w:rPr>
      </w:pPr>
      <w:r w:rsidRPr="00E10AC6">
        <w:rPr>
          <w:rFonts w:ascii="Arial" w:eastAsia="Times New Roman" w:hAnsi="Arial"/>
          <w:i/>
          <w:iCs/>
          <w:color w:val="000000"/>
          <w:sz w:val="28"/>
          <w:lang w:eastAsia="en-AU"/>
        </w:rPr>
        <w:t>Superannuation Industry (Supervision) Act 1993</w:t>
      </w:r>
    </w:p>
    <w:p w:rsidR="00E10AC6" w:rsidRPr="00E10AC6" w:rsidRDefault="00E10AC6" w:rsidP="00E10AC6">
      <w:pPr>
        <w:spacing w:before="0" w:after="0"/>
        <w:ind w:left="720" w:hanging="720"/>
        <w:rPr>
          <w:rFonts w:ascii="Times New Roman" w:eastAsia="Times New Roman" w:hAnsi="Times New Roman"/>
          <w:color w:val="000000"/>
          <w:sz w:val="24"/>
        </w:rPr>
      </w:pPr>
    </w:p>
    <w:p w:rsidR="00E10AC6" w:rsidRPr="00E10AC6" w:rsidRDefault="00E10AC6" w:rsidP="00E10AC6">
      <w:pPr>
        <w:spacing w:before="0" w:after="0"/>
        <w:jc w:val="both"/>
        <w:rPr>
          <w:rFonts w:ascii="Times New Roman" w:eastAsia="Times New Roman" w:hAnsi="Times New Roman"/>
          <w:sz w:val="24"/>
          <w:szCs w:val="24"/>
        </w:rPr>
      </w:pPr>
      <w:r w:rsidRPr="00E10AC6">
        <w:rPr>
          <w:rFonts w:ascii="Times New Roman" w:eastAsia="Times New Roman" w:hAnsi="Times New Roman"/>
          <w:sz w:val="24"/>
          <w:szCs w:val="24"/>
        </w:rPr>
        <w:t>I, Heidi Richards, delegate of APRA:</w:t>
      </w:r>
    </w:p>
    <w:p w:rsidR="00E10AC6" w:rsidRPr="00E10AC6" w:rsidRDefault="00E10AC6" w:rsidP="00E10AC6">
      <w:pPr>
        <w:spacing w:before="0" w:after="0"/>
        <w:jc w:val="both"/>
        <w:rPr>
          <w:rFonts w:ascii="Times New Roman" w:eastAsia="Times New Roman" w:hAnsi="Times New Roman"/>
          <w:sz w:val="24"/>
          <w:szCs w:val="24"/>
        </w:rPr>
      </w:pPr>
    </w:p>
    <w:p w:rsidR="00E10AC6" w:rsidRPr="00E10AC6" w:rsidRDefault="00E10AC6" w:rsidP="00E10AC6">
      <w:pPr>
        <w:numPr>
          <w:ilvl w:val="0"/>
          <w:numId w:val="82"/>
        </w:numPr>
        <w:spacing w:before="120" w:after="0"/>
        <w:ind w:hanging="720"/>
        <w:jc w:val="both"/>
        <w:rPr>
          <w:rFonts w:ascii="Times New Roman" w:eastAsia="Times New Roman" w:hAnsi="Times New Roman"/>
          <w:color w:val="000000"/>
          <w:sz w:val="24"/>
          <w:szCs w:val="24"/>
        </w:rPr>
      </w:pPr>
      <w:r w:rsidRPr="00E10AC6">
        <w:rPr>
          <w:rFonts w:ascii="Times New Roman" w:eastAsia="Times New Roman" w:hAnsi="Times New Roman"/>
          <w:color w:val="000000"/>
          <w:sz w:val="24"/>
          <w:shd w:val="clear" w:color="auto" w:fill="FFFFFF"/>
        </w:rPr>
        <w:t xml:space="preserve">under subsection 34C(6) of the </w:t>
      </w:r>
      <w:r w:rsidRPr="00E10AC6">
        <w:rPr>
          <w:rFonts w:ascii="&amp;quot" w:eastAsia="Times New Roman" w:hAnsi="&amp;quot"/>
          <w:i/>
          <w:iCs/>
          <w:color w:val="000000"/>
          <w:sz w:val="24"/>
        </w:rPr>
        <w:t>Superannuation Industry (Supervision) Act 1993</w:t>
      </w:r>
      <w:r w:rsidRPr="00E10AC6">
        <w:rPr>
          <w:rFonts w:ascii="Times New Roman" w:eastAsia="Times New Roman" w:hAnsi="Times New Roman"/>
          <w:color w:val="000000"/>
          <w:sz w:val="24"/>
          <w:shd w:val="clear" w:color="auto" w:fill="FFFFFF"/>
        </w:rPr>
        <w:t xml:space="preserve"> (the Act) REVOKE Superannuation (prudential standard) determination No. 2 of 2012, including </w:t>
      </w:r>
      <w:r w:rsidRPr="00E10AC6">
        <w:rPr>
          <w:rFonts w:ascii="&amp;quot" w:eastAsia="Times New Roman" w:hAnsi="&amp;quot"/>
          <w:i/>
          <w:iCs/>
          <w:color w:val="000000"/>
          <w:sz w:val="24"/>
        </w:rPr>
        <w:t>Prudential Standard SPS 220 Risk Management</w:t>
      </w:r>
      <w:r w:rsidRPr="00E10AC6">
        <w:rPr>
          <w:rFonts w:ascii="Times New Roman" w:eastAsia="Times New Roman" w:hAnsi="Times New Roman"/>
          <w:color w:val="000000"/>
          <w:sz w:val="24"/>
          <w:shd w:val="clear" w:color="auto" w:fill="FFFFFF"/>
        </w:rPr>
        <w:t xml:space="preserve"> made under that Determination; and</w:t>
      </w:r>
    </w:p>
    <w:p w:rsidR="00E10AC6" w:rsidRPr="00E10AC6" w:rsidRDefault="00E10AC6" w:rsidP="00E10AC6">
      <w:pPr>
        <w:numPr>
          <w:ilvl w:val="0"/>
          <w:numId w:val="82"/>
        </w:numPr>
        <w:spacing w:before="120" w:after="0"/>
        <w:ind w:hanging="720"/>
        <w:jc w:val="both"/>
        <w:rPr>
          <w:rFonts w:ascii="Times New Roman" w:eastAsia="Times New Roman" w:hAnsi="Times New Roman"/>
          <w:color w:val="000000"/>
          <w:sz w:val="24"/>
          <w:szCs w:val="24"/>
        </w:rPr>
      </w:pPr>
      <w:r w:rsidRPr="00E10AC6">
        <w:rPr>
          <w:rFonts w:ascii="Times New Roman" w:eastAsia="Times New Roman" w:hAnsi="Times New Roman"/>
          <w:color w:val="000000"/>
          <w:sz w:val="24"/>
          <w:shd w:val="clear" w:color="auto" w:fill="FFFFFF"/>
        </w:rPr>
        <w:t xml:space="preserve">under subsection 34C(1) of the Act DETERMINE </w:t>
      </w:r>
      <w:r w:rsidRPr="00E10AC6">
        <w:rPr>
          <w:rFonts w:ascii="&amp;quot" w:eastAsia="Times New Roman" w:hAnsi="&amp;quot"/>
          <w:i/>
          <w:iCs/>
          <w:color w:val="000000"/>
          <w:sz w:val="24"/>
        </w:rPr>
        <w:t>Prudential Standard SPS 220 Risk Management</w:t>
      </w:r>
      <w:r w:rsidRPr="00E10AC6">
        <w:rPr>
          <w:rFonts w:ascii="Times New Roman" w:eastAsia="Times New Roman" w:hAnsi="Times New Roman"/>
          <w:color w:val="000000"/>
          <w:sz w:val="24"/>
          <w:shd w:val="clear" w:color="auto" w:fill="FFFFFF"/>
        </w:rPr>
        <w:t>, in the form set out in the Schedule, which applies to all RSE licensees.</w:t>
      </w:r>
    </w:p>
    <w:p w:rsidR="00E10AC6" w:rsidRPr="00E10AC6" w:rsidRDefault="00E10AC6" w:rsidP="00E10AC6">
      <w:pPr>
        <w:spacing w:before="0" w:after="0"/>
        <w:jc w:val="both"/>
        <w:rPr>
          <w:rFonts w:ascii="Times New Roman" w:eastAsia="Times New Roman" w:hAnsi="Times New Roman"/>
          <w:sz w:val="24"/>
          <w:szCs w:val="24"/>
          <w:lang w:eastAsia="en-AU"/>
        </w:rPr>
      </w:pPr>
    </w:p>
    <w:p w:rsidR="00E10AC6" w:rsidRPr="00E10AC6" w:rsidRDefault="00E10AC6" w:rsidP="00E10AC6">
      <w:pPr>
        <w:spacing w:before="0" w:after="0"/>
        <w:jc w:val="both"/>
        <w:rPr>
          <w:rFonts w:ascii="Times New Roman" w:eastAsia="Times New Roman" w:hAnsi="Times New Roman"/>
          <w:sz w:val="24"/>
          <w:szCs w:val="24"/>
          <w:lang w:eastAsia="en-AU"/>
        </w:rPr>
      </w:pPr>
      <w:r w:rsidRPr="00E10AC6">
        <w:rPr>
          <w:rFonts w:ascii="Times New Roman" w:eastAsia="Times New Roman" w:hAnsi="Times New Roman"/>
          <w:sz w:val="24"/>
          <w:szCs w:val="24"/>
          <w:lang w:eastAsia="en-AU"/>
        </w:rPr>
        <w:t>This instrument commences on 1 January 2020.</w:t>
      </w:r>
    </w:p>
    <w:p w:rsidR="00E10AC6" w:rsidRPr="00E10AC6" w:rsidRDefault="00E10AC6" w:rsidP="00E10AC6">
      <w:pPr>
        <w:spacing w:before="0" w:after="0"/>
        <w:jc w:val="both"/>
        <w:rPr>
          <w:rFonts w:ascii="Times New Roman" w:eastAsia="Times New Roman" w:hAnsi="Times New Roman"/>
          <w:sz w:val="24"/>
          <w:szCs w:val="24"/>
          <w:lang w:eastAsia="en-AU"/>
        </w:rPr>
      </w:pPr>
    </w:p>
    <w:p w:rsidR="00E10AC6" w:rsidRPr="00E10AC6" w:rsidRDefault="00E10AC6" w:rsidP="00E10AC6">
      <w:pPr>
        <w:spacing w:before="0" w:after="0"/>
        <w:jc w:val="both"/>
        <w:rPr>
          <w:rFonts w:ascii="Times New Roman" w:eastAsia="Times New Roman" w:hAnsi="Times New Roman"/>
          <w:sz w:val="24"/>
          <w:szCs w:val="24"/>
          <w:lang w:eastAsia="en-AU"/>
        </w:rPr>
      </w:pPr>
      <w:r w:rsidRPr="00E10AC6">
        <w:rPr>
          <w:rFonts w:ascii="Times New Roman" w:eastAsia="Times New Roman" w:hAnsi="Times New Roman"/>
          <w:sz w:val="24"/>
          <w:szCs w:val="24"/>
          <w:lang w:eastAsia="en-AU"/>
        </w:rPr>
        <w:t xml:space="preserve">Dated: </w:t>
      </w:r>
      <w:r w:rsidR="00077D1A">
        <w:rPr>
          <w:rFonts w:ascii="Times New Roman" w:eastAsia="Times New Roman" w:hAnsi="Times New Roman"/>
          <w:sz w:val="24"/>
          <w:szCs w:val="24"/>
          <w:lang w:eastAsia="en-AU"/>
        </w:rPr>
        <w:t>0</w:t>
      </w:r>
      <w:r w:rsidR="000939C5">
        <w:rPr>
          <w:rFonts w:ascii="Times New Roman" w:eastAsia="Times New Roman" w:hAnsi="Times New Roman"/>
          <w:sz w:val="24"/>
          <w:szCs w:val="24"/>
          <w:lang w:eastAsia="en-AU"/>
        </w:rPr>
        <w:t>4</w:t>
      </w:r>
      <w:r w:rsidRPr="00E10AC6">
        <w:rPr>
          <w:rFonts w:ascii="Times New Roman" w:eastAsia="Times New Roman" w:hAnsi="Times New Roman"/>
          <w:sz w:val="24"/>
          <w:szCs w:val="24"/>
          <w:lang w:eastAsia="en-AU"/>
        </w:rPr>
        <w:t xml:space="preserve"> </w:t>
      </w:r>
      <w:r w:rsidR="00077D1A">
        <w:rPr>
          <w:rFonts w:ascii="Times New Roman" w:eastAsia="Times New Roman" w:hAnsi="Times New Roman"/>
          <w:sz w:val="24"/>
          <w:szCs w:val="24"/>
          <w:lang w:eastAsia="en-AU"/>
        </w:rPr>
        <w:t>December</w:t>
      </w:r>
      <w:r w:rsidRPr="00E10AC6">
        <w:rPr>
          <w:rFonts w:ascii="Times New Roman" w:eastAsia="Times New Roman" w:hAnsi="Times New Roman"/>
          <w:sz w:val="24"/>
          <w:szCs w:val="24"/>
          <w:lang w:eastAsia="en-AU"/>
        </w:rPr>
        <w:t xml:space="preserve"> 2019</w:t>
      </w:r>
    </w:p>
    <w:p w:rsidR="00E10AC6" w:rsidRPr="00E10AC6" w:rsidRDefault="00E10AC6" w:rsidP="00E10AC6">
      <w:pPr>
        <w:spacing w:before="0" w:after="0"/>
        <w:jc w:val="both"/>
        <w:rPr>
          <w:rFonts w:ascii="Times New Roman" w:eastAsia="Times New Roman" w:hAnsi="Times New Roman"/>
          <w:i/>
          <w:sz w:val="24"/>
          <w:szCs w:val="24"/>
          <w:lang w:eastAsia="en-AU"/>
        </w:rPr>
      </w:pPr>
    </w:p>
    <w:p w:rsidR="00E10AC6" w:rsidRPr="00E10AC6" w:rsidRDefault="005A45AA" w:rsidP="00E10AC6">
      <w:pPr>
        <w:spacing w:before="0" w:after="0"/>
        <w:jc w:val="both"/>
        <w:rPr>
          <w:rFonts w:ascii="Times New Roman" w:eastAsia="Times New Roman" w:hAnsi="Times New Roman"/>
          <w:color w:val="000000"/>
          <w:sz w:val="24"/>
          <w:lang w:eastAsia="en-AU"/>
        </w:rPr>
      </w:pPr>
      <w:r>
        <w:rPr>
          <w:rFonts w:ascii="Times New Roman" w:eastAsia="Times New Roman" w:hAnsi="Times New Roman"/>
          <w:color w:val="000000"/>
          <w:sz w:val="24"/>
          <w:lang w:eastAsia="en-AU"/>
        </w:rPr>
        <w:t>[Signed]</w:t>
      </w:r>
      <w:bookmarkStart w:id="1" w:name="_GoBack"/>
      <w:bookmarkEnd w:id="1"/>
    </w:p>
    <w:p w:rsidR="00E10AC6" w:rsidRPr="00E10AC6" w:rsidRDefault="00E10AC6" w:rsidP="00E10AC6">
      <w:pPr>
        <w:spacing w:before="0" w:after="0"/>
        <w:jc w:val="both"/>
        <w:rPr>
          <w:rFonts w:ascii="Times New Roman" w:eastAsia="Times New Roman" w:hAnsi="Times New Roman"/>
          <w:sz w:val="24"/>
          <w:szCs w:val="24"/>
          <w:lang w:eastAsia="en-AU"/>
        </w:rPr>
      </w:pPr>
    </w:p>
    <w:p w:rsidR="00E10AC6" w:rsidRPr="00E10AC6" w:rsidRDefault="00E10AC6" w:rsidP="00E10AC6">
      <w:pPr>
        <w:spacing w:before="0" w:after="0"/>
        <w:jc w:val="both"/>
        <w:rPr>
          <w:rFonts w:ascii="Times New Roman" w:eastAsia="Times New Roman" w:hAnsi="Times New Roman"/>
          <w:sz w:val="24"/>
          <w:szCs w:val="24"/>
          <w:lang w:eastAsia="en-AU"/>
        </w:rPr>
      </w:pPr>
      <w:r w:rsidRPr="00E10AC6">
        <w:rPr>
          <w:rFonts w:ascii="Times New Roman" w:eastAsia="Times New Roman" w:hAnsi="Times New Roman"/>
          <w:sz w:val="24"/>
          <w:szCs w:val="24"/>
          <w:lang w:eastAsia="en-AU"/>
        </w:rPr>
        <w:t>Heidi Richards</w:t>
      </w:r>
    </w:p>
    <w:p w:rsidR="00E10AC6" w:rsidRPr="00E10AC6" w:rsidRDefault="00E10AC6" w:rsidP="00E10AC6">
      <w:pPr>
        <w:spacing w:before="0" w:after="0"/>
        <w:jc w:val="both"/>
        <w:rPr>
          <w:rFonts w:ascii="Times New Roman" w:eastAsia="Times New Roman" w:hAnsi="Times New Roman"/>
          <w:sz w:val="24"/>
          <w:szCs w:val="24"/>
          <w:lang w:eastAsia="en-AU"/>
        </w:rPr>
      </w:pPr>
      <w:r w:rsidRPr="00E10AC6">
        <w:rPr>
          <w:rFonts w:ascii="Times New Roman" w:eastAsia="Times New Roman" w:hAnsi="Times New Roman"/>
          <w:sz w:val="24"/>
          <w:szCs w:val="24"/>
          <w:lang w:eastAsia="en-AU"/>
        </w:rPr>
        <w:t>Executive General Manager</w:t>
      </w:r>
    </w:p>
    <w:p w:rsidR="00E10AC6" w:rsidRPr="00E10AC6" w:rsidRDefault="00E10AC6" w:rsidP="00E10AC6">
      <w:pPr>
        <w:spacing w:before="0" w:after="0"/>
        <w:jc w:val="both"/>
        <w:rPr>
          <w:rFonts w:ascii="Times New Roman" w:eastAsia="Times New Roman" w:hAnsi="Times New Roman"/>
          <w:sz w:val="24"/>
          <w:szCs w:val="24"/>
          <w:lang w:eastAsia="en-AU"/>
        </w:rPr>
      </w:pPr>
      <w:r w:rsidRPr="00E10AC6">
        <w:rPr>
          <w:rFonts w:ascii="Times New Roman" w:eastAsia="Times New Roman" w:hAnsi="Times New Roman"/>
          <w:sz w:val="24"/>
          <w:szCs w:val="24"/>
          <w:lang w:eastAsia="en-AU"/>
        </w:rPr>
        <w:t>Policy and Advice Division</w:t>
      </w:r>
    </w:p>
    <w:p w:rsidR="00E10AC6" w:rsidRPr="00E10AC6" w:rsidRDefault="00E10AC6" w:rsidP="00E10AC6">
      <w:pPr>
        <w:spacing w:before="0" w:after="0"/>
        <w:jc w:val="both"/>
        <w:rPr>
          <w:rFonts w:ascii="Times New Roman" w:eastAsia="Times New Roman" w:hAnsi="Times New Roman"/>
          <w:sz w:val="24"/>
          <w:szCs w:val="24"/>
          <w:lang w:eastAsia="en-AU"/>
        </w:rPr>
      </w:pPr>
    </w:p>
    <w:p w:rsidR="00E10AC6" w:rsidRPr="00E10AC6" w:rsidRDefault="00E10AC6" w:rsidP="00E10AC6">
      <w:pPr>
        <w:spacing w:before="0" w:after="0"/>
        <w:jc w:val="both"/>
        <w:rPr>
          <w:rFonts w:ascii="Times New Roman" w:eastAsia="Times New Roman" w:hAnsi="Times New Roman"/>
          <w:color w:val="000000"/>
          <w:sz w:val="24"/>
          <w:szCs w:val="24"/>
          <w:lang w:eastAsia="en-AU"/>
        </w:rPr>
      </w:pPr>
    </w:p>
    <w:p w:rsidR="00E10AC6" w:rsidRPr="00E10AC6" w:rsidRDefault="00E10AC6" w:rsidP="00E10AC6">
      <w:pPr>
        <w:keepNext/>
        <w:spacing w:before="480" w:after="0"/>
        <w:rPr>
          <w:rFonts w:ascii="Times New Roman" w:eastAsia="Times New Roman" w:hAnsi="Times New Roman"/>
          <w:b/>
          <w:color w:val="000000"/>
          <w:sz w:val="24"/>
          <w:szCs w:val="24"/>
        </w:rPr>
      </w:pPr>
      <w:r w:rsidRPr="00E10AC6">
        <w:rPr>
          <w:rFonts w:ascii="Times New Roman" w:eastAsia="Times New Roman" w:hAnsi="Times New Roman"/>
          <w:b/>
          <w:color w:val="000000"/>
          <w:sz w:val="24"/>
          <w:szCs w:val="24"/>
        </w:rPr>
        <w:t>Interpretation</w:t>
      </w:r>
    </w:p>
    <w:p w:rsidR="00E10AC6" w:rsidRPr="00E10AC6" w:rsidRDefault="00E10AC6" w:rsidP="00E10AC6">
      <w:pPr>
        <w:keepNext/>
        <w:tabs>
          <w:tab w:val="right" w:pos="794"/>
        </w:tabs>
        <w:spacing w:before="120" w:after="0" w:line="260" w:lineRule="exact"/>
        <w:ind w:left="964" w:hanging="964"/>
        <w:jc w:val="both"/>
        <w:rPr>
          <w:rFonts w:ascii="Times New Roman" w:eastAsia="Times New Roman" w:hAnsi="Times New Roman"/>
          <w:color w:val="000000"/>
          <w:sz w:val="24"/>
          <w:szCs w:val="24"/>
        </w:rPr>
      </w:pPr>
      <w:r w:rsidRPr="00E10AC6">
        <w:rPr>
          <w:rFonts w:ascii="Times New Roman" w:eastAsia="Times New Roman" w:hAnsi="Times New Roman"/>
          <w:color w:val="000000"/>
          <w:sz w:val="24"/>
          <w:szCs w:val="24"/>
        </w:rPr>
        <w:t>In this Determination:</w:t>
      </w:r>
    </w:p>
    <w:p w:rsidR="00E10AC6" w:rsidRPr="00E10AC6" w:rsidRDefault="00E10AC6" w:rsidP="00E10AC6">
      <w:pPr>
        <w:spacing w:after="0"/>
        <w:jc w:val="both"/>
        <w:rPr>
          <w:rFonts w:ascii="&amp;quot" w:eastAsia="Times New Roman" w:hAnsi="&amp;quot"/>
          <w:color w:val="000000"/>
          <w:szCs w:val="22"/>
          <w:lang w:eastAsia="en-AU"/>
        </w:rPr>
      </w:pPr>
      <w:r w:rsidRPr="00E10AC6">
        <w:rPr>
          <w:rFonts w:ascii="&amp;quot" w:eastAsia="Times New Roman" w:hAnsi="&amp;quot"/>
          <w:b/>
          <w:bCs/>
          <w:i/>
          <w:iCs/>
          <w:color w:val="000000"/>
          <w:sz w:val="24"/>
          <w:szCs w:val="24"/>
          <w:lang w:eastAsia="en-AU"/>
        </w:rPr>
        <w:t>APRA</w:t>
      </w:r>
      <w:r w:rsidRPr="00E10AC6">
        <w:rPr>
          <w:rFonts w:ascii="&amp;quot" w:eastAsia="Times New Roman" w:hAnsi="&amp;quot"/>
          <w:color w:val="000000"/>
          <w:sz w:val="24"/>
          <w:szCs w:val="24"/>
          <w:lang w:eastAsia="en-AU"/>
        </w:rPr>
        <w:t xml:space="preserve"> means the Australian Prudential Regulation Authority.</w:t>
      </w:r>
    </w:p>
    <w:p w:rsidR="00E10AC6" w:rsidRPr="00E10AC6" w:rsidRDefault="00E10AC6" w:rsidP="00E10AC6">
      <w:pPr>
        <w:spacing w:after="0"/>
        <w:jc w:val="both"/>
        <w:rPr>
          <w:rFonts w:ascii="&amp;quot" w:eastAsia="Times New Roman" w:hAnsi="&amp;quot"/>
          <w:color w:val="000000"/>
          <w:szCs w:val="22"/>
          <w:lang w:eastAsia="en-AU"/>
        </w:rPr>
      </w:pPr>
      <w:r w:rsidRPr="00E10AC6">
        <w:rPr>
          <w:rFonts w:ascii="&amp;quot" w:eastAsia="Times New Roman" w:hAnsi="&amp;quot"/>
          <w:b/>
          <w:bCs/>
          <w:i/>
          <w:iCs/>
          <w:color w:val="000000"/>
          <w:sz w:val="24"/>
          <w:szCs w:val="24"/>
          <w:lang w:eastAsia="en-AU"/>
        </w:rPr>
        <w:t xml:space="preserve">RSE licensee </w:t>
      </w:r>
      <w:r w:rsidRPr="00E10AC6">
        <w:rPr>
          <w:rFonts w:ascii="&amp;quot" w:eastAsia="Times New Roman" w:hAnsi="&amp;quot"/>
          <w:color w:val="000000"/>
          <w:sz w:val="24"/>
          <w:szCs w:val="24"/>
          <w:lang w:eastAsia="en-AU"/>
        </w:rPr>
        <w:t>has the meaning given in section 10(1) of the Act.</w:t>
      </w:r>
    </w:p>
    <w:p w:rsidR="00E10AC6" w:rsidRPr="00E10AC6" w:rsidRDefault="00E10AC6" w:rsidP="00E10AC6">
      <w:pPr>
        <w:keepNext/>
        <w:autoSpaceDE w:val="0"/>
        <w:autoSpaceDN w:val="0"/>
        <w:spacing w:before="480" w:after="0"/>
        <w:rPr>
          <w:rFonts w:ascii="Arial" w:eastAsia="Times New Roman" w:hAnsi="Arial" w:cs="Arial"/>
          <w:b/>
          <w:bCs/>
          <w:color w:val="000000"/>
          <w:sz w:val="32"/>
          <w:szCs w:val="32"/>
          <w:lang w:eastAsia="en-AU"/>
        </w:rPr>
      </w:pPr>
      <w:r w:rsidRPr="00E10AC6">
        <w:rPr>
          <w:rFonts w:ascii="Arial" w:eastAsia="Times New Roman" w:hAnsi="Arial" w:cs="Arial"/>
          <w:b/>
          <w:bCs/>
          <w:color w:val="000000"/>
          <w:sz w:val="32"/>
          <w:szCs w:val="32"/>
          <w:lang w:eastAsia="en-AU"/>
        </w:rPr>
        <w:lastRenderedPageBreak/>
        <w:t xml:space="preserve">Schedule </w:t>
      </w:r>
    </w:p>
    <w:p w:rsidR="00E10AC6" w:rsidRPr="00E10AC6" w:rsidRDefault="00E10AC6" w:rsidP="00E10AC6">
      <w:pPr>
        <w:keepNext/>
        <w:autoSpaceDE w:val="0"/>
        <w:autoSpaceDN w:val="0"/>
        <w:spacing w:before="60" w:after="0" w:line="200" w:lineRule="exact"/>
        <w:ind w:left="2410"/>
        <w:rPr>
          <w:rFonts w:ascii="Arial" w:eastAsia="Times New Roman" w:hAnsi="Arial" w:cs="Arial"/>
          <w:color w:val="000000"/>
          <w:sz w:val="18"/>
          <w:szCs w:val="18"/>
          <w:lang w:eastAsia="en-AU"/>
        </w:rPr>
      </w:pPr>
    </w:p>
    <w:p w:rsidR="00E10AC6" w:rsidRPr="00E10AC6" w:rsidRDefault="00E10AC6" w:rsidP="00E10AC6">
      <w:pPr>
        <w:tabs>
          <w:tab w:val="center" w:pos="4153"/>
          <w:tab w:val="right" w:pos="8306"/>
        </w:tabs>
        <w:spacing w:before="0" w:after="0"/>
        <w:jc w:val="both"/>
        <w:rPr>
          <w:rFonts w:ascii="Times New Roman" w:eastAsia="Times New Roman" w:hAnsi="Times New Roman"/>
          <w:bCs/>
          <w:sz w:val="24"/>
          <w:szCs w:val="24"/>
          <w:lang w:eastAsia="en-AU"/>
        </w:rPr>
      </w:pPr>
      <w:r w:rsidRPr="00E10AC6">
        <w:rPr>
          <w:rFonts w:ascii="&amp;quot" w:eastAsia="Times New Roman" w:hAnsi="&amp;quot"/>
          <w:i/>
          <w:iCs/>
          <w:color w:val="000000"/>
          <w:sz w:val="24"/>
          <w:szCs w:val="24"/>
          <w:lang w:eastAsia="en-AU"/>
        </w:rPr>
        <w:t>Prudential Standard SPS 220 Risk Management</w:t>
      </w:r>
      <w:r w:rsidRPr="00E10AC6">
        <w:rPr>
          <w:rFonts w:ascii="Times New Roman" w:eastAsia="Times New Roman" w:hAnsi="Times New Roman"/>
          <w:bCs/>
          <w:sz w:val="24"/>
          <w:szCs w:val="24"/>
          <w:lang w:eastAsia="en-AU"/>
        </w:rPr>
        <w:t xml:space="preserve"> comprises the document commencing on the following page.</w:t>
      </w:r>
      <w:bookmarkEnd w:id="0"/>
    </w:p>
    <w:p w:rsidR="00533ECA" w:rsidRDefault="00533ECA" w:rsidP="003B52EB">
      <w:pPr>
        <w:spacing w:before="0" w:after="0"/>
        <w:rPr>
          <w:noProof/>
          <w:lang w:eastAsia="en-AU"/>
        </w:rPr>
      </w:pPr>
    </w:p>
    <w:p w:rsidR="00BC2D08" w:rsidRPr="009333DA" w:rsidRDefault="00533ECA" w:rsidP="003B52EB">
      <w:pPr>
        <w:spacing w:before="0" w:after="0"/>
      </w:pPr>
      <w:r>
        <w:rPr>
          <w:noProof/>
          <w:lang w:eastAsia="en-AU"/>
        </w:rPr>
        <w:br w:type="page"/>
      </w:r>
      <w:r w:rsidR="002B79B8" w:rsidRPr="009333DA">
        <w:rPr>
          <w:noProof/>
          <w:lang w:eastAsia="en-AU"/>
        </w:rPr>
        <w:lastRenderedPageBreak/>
        <w:drawing>
          <wp:inline distT="0" distB="0" distL="0" distR="0">
            <wp:extent cx="1419860" cy="1101725"/>
            <wp:effectExtent l="0" t="0" r="889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9860" cy="1101725"/>
                    </a:xfrm>
                    <a:prstGeom prst="rect">
                      <a:avLst/>
                    </a:prstGeom>
                    <a:noFill/>
                    <a:ln>
                      <a:noFill/>
                    </a:ln>
                  </pic:spPr>
                </pic:pic>
              </a:graphicData>
            </a:graphic>
          </wp:inline>
        </w:drawing>
      </w:r>
    </w:p>
    <w:p w:rsidR="003B52EB" w:rsidRPr="009333DA" w:rsidRDefault="003B52EB" w:rsidP="003B52EB">
      <w:pPr>
        <w:spacing w:before="0" w:after="0"/>
      </w:pPr>
    </w:p>
    <w:p w:rsidR="00BC2D08" w:rsidRPr="009333DA" w:rsidRDefault="006A6A52" w:rsidP="003B52EB">
      <w:pPr>
        <w:spacing w:before="120" w:after="360"/>
        <w:rPr>
          <w:rFonts w:ascii="Arial" w:eastAsia="Times New Roman" w:hAnsi="Arial" w:cs="Arial"/>
          <w:b/>
          <w:sz w:val="40"/>
          <w:szCs w:val="40"/>
          <w:lang w:eastAsia="en-AU"/>
        </w:rPr>
      </w:pPr>
      <w:r w:rsidRPr="009333DA">
        <w:rPr>
          <w:rFonts w:ascii="Arial" w:eastAsia="Times New Roman" w:hAnsi="Arial" w:cs="Arial"/>
          <w:b/>
          <w:sz w:val="40"/>
          <w:szCs w:val="40"/>
          <w:lang w:eastAsia="en-AU"/>
        </w:rPr>
        <w:t xml:space="preserve">Prudential Standard </w:t>
      </w:r>
      <w:r w:rsidR="00D22147" w:rsidRPr="009333DA">
        <w:rPr>
          <w:rFonts w:ascii="Arial" w:eastAsia="Times New Roman" w:hAnsi="Arial" w:cs="Arial"/>
          <w:b/>
          <w:sz w:val="40"/>
          <w:szCs w:val="40"/>
          <w:lang w:eastAsia="en-AU"/>
        </w:rPr>
        <w:t>S</w:t>
      </w:r>
      <w:r w:rsidR="00BC2D08" w:rsidRPr="009333DA">
        <w:rPr>
          <w:rFonts w:ascii="Arial" w:eastAsia="Times New Roman" w:hAnsi="Arial" w:cs="Arial"/>
          <w:b/>
          <w:sz w:val="40"/>
          <w:szCs w:val="40"/>
          <w:lang w:eastAsia="en-AU"/>
        </w:rPr>
        <w:t xml:space="preserve">PS </w:t>
      </w:r>
      <w:r w:rsidR="008A0196" w:rsidRPr="009333DA">
        <w:rPr>
          <w:rFonts w:ascii="Arial" w:eastAsia="Times New Roman" w:hAnsi="Arial" w:cs="Arial"/>
          <w:b/>
          <w:sz w:val="40"/>
          <w:szCs w:val="40"/>
          <w:lang w:eastAsia="en-AU"/>
        </w:rPr>
        <w:t>22</w:t>
      </w:r>
      <w:r w:rsidRPr="009333DA">
        <w:rPr>
          <w:rFonts w:ascii="Arial" w:eastAsia="Times New Roman" w:hAnsi="Arial" w:cs="Arial"/>
          <w:b/>
          <w:sz w:val="40"/>
          <w:szCs w:val="40"/>
          <w:lang w:eastAsia="en-AU"/>
        </w:rPr>
        <w:t>0</w:t>
      </w:r>
    </w:p>
    <w:p w:rsidR="00BC2D08" w:rsidRPr="009333DA" w:rsidRDefault="008A0196" w:rsidP="003B52EB">
      <w:pPr>
        <w:spacing w:before="120" w:after="360"/>
        <w:rPr>
          <w:rFonts w:ascii="Arial" w:eastAsia="Times New Roman" w:hAnsi="Arial" w:cs="Arial"/>
          <w:b/>
          <w:sz w:val="40"/>
          <w:szCs w:val="40"/>
          <w:lang w:eastAsia="en-AU"/>
        </w:rPr>
      </w:pPr>
      <w:r w:rsidRPr="009333DA">
        <w:rPr>
          <w:rFonts w:ascii="Arial" w:eastAsia="Times New Roman" w:hAnsi="Arial" w:cs="Arial"/>
          <w:b/>
          <w:sz w:val="40"/>
          <w:szCs w:val="40"/>
          <w:lang w:eastAsia="en-AU"/>
        </w:rPr>
        <w:t>Risk Management</w:t>
      </w:r>
    </w:p>
    <w:p w:rsidR="00BC2D08" w:rsidRPr="009333DA" w:rsidRDefault="003B52EB" w:rsidP="00A30C99">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sidRPr="009333DA">
        <w:rPr>
          <w:rFonts w:ascii="Arial" w:hAnsi="Arial" w:cs="Arial"/>
          <w:b/>
          <w:sz w:val="32"/>
          <w:szCs w:val="32"/>
        </w:rPr>
        <w:t>Objectives</w:t>
      </w:r>
      <w:r w:rsidR="00BC2D08" w:rsidRPr="009333DA">
        <w:rPr>
          <w:rFonts w:ascii="Arial" w:hAnsi="Arial" w:cs="Arial"/>
          <w:b/>
          <w:sz w:val="32"/>
          <w:szCs w:val="32"/>
        </w:rPr>
        <w:t xml:space="preserve"> and key requirements of this Prudential </w:t>
      </w:r>
      <w:r w:rsidR="006A6A52" w:rsidRPr="009333DA">
        <w:rPr>
          <w:rFonts w:ascii="Arial" w:hAnsi="Arial" w:cs="Arial"/>
          <w:b/>
          <w:sz w:val="32"/>
          <w:szCs w:val="32"/>
        </w:rPr>
        <w:t>S</w:t>
      </w:r>
      <w:r w:rsidR="00BC2D08" w:rsidRPr="009333DA">
        <w:rPr>
          <w:rFonts w:ascii="Arial" w:hAnsi="Arial" w:cs="Arial"/>
          <w:b/>
          <w:sz w:val="32"/>
          <w:szCs w:val="32"/>
        </w:rPr>
        <w:t>tandard</w:t>
      </w:r>
    </w:p>
    <w:p w:rsidR="00691E26" w:rsidRPr="009333DA" w:rsidRDefault="000657DC">
      <w:p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 xml:space="preserve">This Prudential Standard </w:t>
      </w:r>
      <w:r w:rsidR="00135D79" w:rsidRPr="009333DA">
        <w:rPr>
          <w:rFonts w:ascii="Times New Roman" w:hAnsi="Times New Roman"/>
          <w:sz w:val="24"/>
          <w:szCs w:val="24"/>
        </w:rPr>
        <w:t xml:space="preserve">establishes requirements for </w:t>
      </w:r>
      <w:r w:rsidRPr="009333DA">
        <w:rPr>
          <w:rFonts w:ascii="Times New Roman" w:hAnsi="Times New Roman"/>
          <w:sz w:val="24"/>
          <w:szCs w:val="24"/>
        </w:rPr>
        <w:t xml:space="preserve">an RSE licensee </w:t>
      </w:r>
      <w:r w:rsidR="00020F08" w:rsidRPr="009333DA">
        <w:rPr>
          <w:rFonts w:ascii="Times New Roman" w:hAnsi="Times New Roman"/>
          <w:sz w:val="24"/>
          <w:szCs w:val="24"/>
        </w:rPr>
        <w:t>to have</w:t>
      </w:r>
      <w:r w:rsidRPr="009333DA">
        <w:rPr>
          <w:rFonts w:ascii="Times New Roman" w:hAnsi="Times New Roman"/>
          <w:sz w:val="24"/>
          <w:szCs w:val="24"/>
        </w:rPr>
        <w:t xml:space="preserve"> systems for identifying, assessing, </w:t>
      </w:r>
      <w:r w:rsidR="00B305A0" w:rsidRPr="009333DA">
        <w:rPr>
          <w:rFonts w:ascii="Times New Roman" w:hAnsi="Times New Roman"/>
          <w:sz w:val="24"/>
          <w:szCs w:val="24"/>
        </w:rPr>
        <w:t xml:space="preserve">managing, </w:t>
      </w:r>
      <w:r w:rsidRPr="009333DA">
        <w:rPr>
          <w:rFonts w:ascii="Times New Roman" w:hAnsi="Times New Roman"/>
          <w:sz w:val="24"/>
          <w:szCs w:val="24"/>
        </w:rPr>
        <w:t xml:space="preserve">mitigating and monitoring </w:t>
      </w:r>
      <w:r w:rsidR="00DD2F52" w:rsidRPr="009333DA">
        <w:rPr>
          <w:rFonts w:ascii="Times New Roman" w:hAnsi="Times New Roman"/>
          <w:sz w:val="24"/>
          <w:szCs w:val="24"/>
        </w:rPr>
        <w:t xml:space="preserve">material </w:t>
      </w:r>
      <w:r w:rsidRPr="009333DA">
        <w:rPr>
          <w:rFonts w:ascii="Times New Roman" w:hAnsi="Times New Roman"/>
          <w:sz w:val="24"/>
          <w:szCs w:val="24"/>
        </w:rPr>
        <w:t xml:space="preserve">risks that may affect its ability to meet </w:t>
      </w:r>
      <w:r w:rsidR="009F20A5" w:rsidRPr="009333DA">
        <w:rPr>
          <w:rFonts w:ascii="Times New Roman" w:hAnsi="Times New Roman"/>
          <w:sz w:val="24"/>
          <w:szCs w:val="24"/>
        </w:rPr>
        <w:t xml:space="preserve">its </w:t>
      </w:r>
      <w:r w:rsidRPr="009333DA">
        <w:rPr>
          <w:rFonts w:ascii="Times New Roman" w:hAnsi="Times New Roman"/>
          <w:sz w:val="24"/>
          <w:szCs w:val="24"/>
        </w:rPr>
        <w:t>obligations to beneficiaries</w:t>
      </w:r>
      <w:r w:rsidR="00E847CD" w:rsidRPr="009333DA">
        <w:rPr>
          <w:rFonts w:ascii="Times New Roman" w:hAnsi="Times New Roman"/>
          <w:sz w:val="24"/>
          <w:szCs w:val="24"/>
        </w:rPr>
        <w:t>.</w:t>
      </w:r>
      <w:r w:rsidRPr="009333DA">
        <w:rPr>
          <w:rFonts w:ascii="Times New Roman" w:hAnsi="Times New Roman"/>
          <w:sz w:val="24"/>
          <w:szCs w:val="24"/>
        </w:rPr>
        <w:t xml:space="preserve"> These systems</w:t>
      </w:r>
      <w:r w:rsidR="00E847CD" w:rsidRPr="009333DA">
        <w:rPr>
          <w:rFonts w:ascii="Times New Roman" w:hAnsi="Times New Roman"/>
          <w:sz w:val="24"/>
          <w:szCs w:val="24"/>
        </w:rPr>
        <w:t>,</w:t>
      </w:r>
      <w:r w:rsidRPr="009333DA">
        <w:rPr>
          <w:rFonts w:ascii="Times New Roman" w:hAnsi="Times New Roman"/>
          <w:sz w:val="24"/>
          <w:szCs w:val="24"/>
        </w:rPr>
        <w:t xml:space="preserve"> together with the structures, policies, processes and people supporting them</w:t>
      </w:r>
      <w:r w:rsidR="00E847CD" w:rsidRPr="009333DA">
        <w:rPr>
          <w:rFonts w:ascii="Times New Roman" w:hAnsi="Times New Roman"/>
          <w:sz w:val="24"/>
          <w:szCs w:val="24"/>
        </w:rPr>
        <w:t>,</w:t>
      </w:r>
      <w:r w:rsidRPr="009333DA">
        <w:rPr>
          <w:rFonts w:ascii="Times New Roman" w:hAnsi="Times New Roman"/>
          <w:sz w:val="24"/>
          <w:szCs w:val="24"/>
        </w:rPr>
        <w:t xml:space="preserve"> </w:t>
      </w:r>
      <w:r w:rsidR="007802A9" w:rsidRPr="009333DA">
        <w:rPr>
          <w:rFonts w:ascii="Times New Roman" w:hAnsi="Times New Roman"/>
          <w:sz w:val="24"/>
          <w:szCs w:val="24"/>
        </w:rPr>
        <w:t>comprise</w:t>
      </w:r>
      <w:r w:rsidRPr="009333DA">
        <w:rPr>
          <w:rFonts w:ascii="Times New Roman" w:hAnsi="Times New Roman"/>
          <w:sz w:val="24"/>
          <w:szCs w:val="24"/>
        </w:rPr>
        <w:t xml:space="preserve"> </w:t>
      </w:r>
      <w:r w:rsidR="002F6AFC" w:rsidRPr="009333DA">
        <w:rPr>
          <w:rFonts w:ascii="Times New Roman" w:hAnsi="Times New Roman"/>
          <w:sz w:val="24"/>
          <w:szCs w:val="24"/>
        </w:rPr>
        <w:t>an</w:t>
      </w:r>
      <w:r w:rsidRPr="009333DA">
        <w:rPr>
          <w:rFonts w:ascii="Times New Roman" w:hAnsi="Times New Roman"/>
          <w:sz w:val="24"/>
          <w:szCs w:val="24"/>
        </w:rPr>
        <w:t xml:space="preserve"> RSE licensee’s risk management framework. </w:t>
      </w:r>
    </w:p>
    <w:p w:rsidR="00AA2704" w:rsidRPr="009333DA" w:rsidRDefault="00523BB5">
      <w:p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The Board of an</w:t>
      </w:r>
      <w:r w:rsidR="00131501" w:rsidRPr="009333DA">
        <w:rPr>
          <w:rFonts w:ascii="Times New Roman" w:hAnsi="Times New Roman"/>
          <w:sz w:val="24"/>
          <w:szCs w:val="24"/>
        </w:rPr>
        <w:t xml:space="preserve"> </w:t>
      </w:r>
      <w:r w:rsidR="000657DC" w:rsidRPr="009333DA">
        <w:rPr>
          <w:rFonts w:ascii="Times New Roman" w:hAnsi="Times New Roman"/>
          <w:sz w:val="24"/>
          <w:szCs w:val="24"/>
        </w:rPr>
        <w:t xml:space="preserve">RSE licensee is ultimately responsible </w:t>
      </w:r>
      <w:r w:rsidR="00D95B13" w:rsidRPr="009333DA">
        <w:rPr>
          <w:rFonts w:ascii="Times New Roman" w:hAnsi="Times New Roman"/>
          <w:sz w:val="24"/>
          <w:szCs w:val="24"/>
        </w:rPr>
        <w:t xml:space="preserve">for </w:t>
      </w:r>
      <w:r w:rsidR="00691E26" w:rsidRPr="009333DA">
        <w:rPr>
          <w:rFonts w:ascii="Times New Roman" w:hAnsi="Times New Roman"/>
          <w:sz w:val="24"/>
          <w:szCs w:val="24"/>
        </w:rPr>
        <w:t>having a</w:t>
      </w:r>
      <w:r w:rsidR="00DD2F52" w:rsidRPr="009333DA">
        <w:rPr>
          <w:rFonts w:ascii="Times New Roman" w:hAnsi="Times New Roman"/>
          <w:sz w:val="24"/>
          <w:szCs w:val="24"/>
        </w:rPr>
        <w:t xml:space="preserve"> risk management framework</w:t>
      </w:r>
      <w:r w:rsidR="00691E26" w:rsidRPr="009333DA">
        <w:rPr>
          <w:rFonts w:ascii="Times New Roman" w:hAnsi="Times New Roman"/>
          <w:sz w:val="24"/>
          <w:szCs w:val="24"/>
        </w:rPr>
        <w:t xml:space="preserve"> that is</w:t>
      </w:r>
      <w:r w:rsidR="00DD2F52" w:rsidRPr="009333DA">
        <w:rPr>
          <w:rFonts w:ascii="Times New Roman" w:hAnsi="Times New Roman"/>
          <w:sz w:val="24"/>
          <w:szCs w:val="24"/>
        </w:rPr>
        <w:t xml:space="preserve"> </w:t>
      </w:r>
      <w:r w:rsidR="009F20A5" w:rsidRPr="009333DA">
        <w:rPr>
          <w:rFonts w:ascii="Times New Roman" w:hAnsi="Times New Roman"/>
          <w:sz w:val="24"/>
          <w:szCs w:val="24"/>
        </w:rPr>
        <w:t>appropriate to the size, business mix and complexity of the RSE licensee’s business operations</w:t>
      </w:r>
      <w:r w:rsidR="00DD2F52" w:rsidRPr="009333DA">
        <w:rPr>
          <w:rFonts w:ascii="Times New Roman" w:hAnsi="Times New Roman"/>
          <w:sz w:val="24"/>
          <w:szCs w:val="24"/>
        </w:rPr>
        <w:t xml:space="preserve"> </w:t>
      </w:r>
      <w:r w:rsidR="0080082D" w:rsidRPr="009333DA">
        <w:rPr>
          <w:rFonts w:ascii="Times New Roman" w:hAnsi="Times New Roman"/>
          <w:sz w:val="24"/>
          <w:szCs w:val="24"/>
        </w:rPr>
        <w:t xml:space="preserve">and </w:t>
      </w:r>
      <w:r w:rsidR="001F0DA6" w:rsidRPr="009333DA">
        <w:rPr>
          <w:rFonts w:ascii="Times New Roman" w:hAnsi="Times New Roman"/>
          <w:sz w:val="24"/>
          <w:szCs w:val="24"/>
        </w:rPr>
        <w:t>that</w:t>
      </w:r>
      <w:r w:rsidR="0080082D" w:rsidRPr="009333DA">
        <w:rPr>
          <w:rFonts w:ascii="Times New Roman" w:hAnsi="Times New Roman"/>
          <w:sz w:val="24"/>
          <w:szCs w:val="24"/>
        </w:rPr>
        <w:t xml:space="preserve"> enable</w:t>
      </w:r>
      <w:r w:rsidR="001F0DA6" w:rsidRPr="009333DA">
        <w:rPr>
          <w:rFonts w:ascii="Times New Roman" w:hAnsi="Times New Roman"/>
          <w:sz w:val="24"/>
          <w:szCs w:val="24"/>
        </w:rPr>
        <w:t>s</w:t>
      </w:r>
      <w:r w:rsidR="0080082D" w:rsidRPr="009333DA">
        <w:rPr>
          <w:rFonts w:ascii="Times New Roman" w:hAnsi="Times New Roman"/>
          <w:sz w:val="24"/>
          <w:szCs w:val="24"/>
        </w:rPr>
        <w:t xml:space="preserve"> the RSE licensee to implement risk management approaches that appropriately manage different types of risk. The risk management framework must also be </w:t>
      </w:r>
      <w:r w:rsidR="00DD2F52" w:rsidRPr="009333DA">
        <w:rPr>
          <w:rFonts w:ascii="Times New Roman" w:hAnsi="Times New Roman"/>
          <w:sz w:val="24"/>
          <w:szCs w:val="24"/>
        </w:rPr>
        <w:t xml:space="preserve">aligned </w:t>
      </w:r>
      <w:r w:rsidR="0094019B" w:rsidRPr="009333DA">
        <w:rPr>
          <w:rFonts w:ascii="Times New Roman" w:hAnsi="Times New Roman"/>
          <w:sz w:val="24"/>
          <w:szCs w:val="24"/>
        </w:rPr>
        <w:t xml:space="preserve">with </w:t>
      </w:r>
      <w:r w:rsidR="00DD2F52" w:rsidRPr="009333DA">
        <w:rPr>
          <w:rFonts w:ascii="Times New Roman" w:hAnsi="Times New Roman"/>
          <w:sz w:val="24"/>
          <w:szCs w:val="24"/>
        </w:rPr>
        <w:t>the RSE licensee’s business plan.</w:t>
      </w:r>
      <w:r w:rsidR="009F20A5" w:rsidRPr="009333DA">
        <w:rPr>
          <w:rFonts w:ascii="Times New Roman" w:hAnsi="Times New Roman"/>
          <w:sz w:val="24"/>
          <w:szCs w:val="24"/>
        </w:rPr>
        <w:t xml:space="preserve"> </w:t>
      </w:r>
    </w:p>
    <w:p w:rsidR="00BC2D08" w:rsidRPr="009333DA" w:rsidRDefault="00BC2D08" w:rsidP="00A30C99">
      <w:p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 xml:space="preserve">The key requirements of this Prudential Standard </w:t>
      </w:r>
      <w:r w:rsidR="002C0F7A" w:rsidRPr="009333DA">
        <w:rPr>
          <w:rFonts w:ascii="Times New Roman" w:hAnsi="Times New Roman"/>
          <w:sz w:val="24"/>
          <w:szCs w:val="24"/>
        </w:rPr>
        <w:t xml:space="preserve">are </w:t>
      </w:r>
      <w:r w:rsidR="006479D9" w:rsidRPr="009333DA">
        <w:rPr>
          <w:rFonts w:ascii="Times New Roman" w:hAnsi="Times New Roman"/>
          <w:sz w:val="24"/>
          <w:szCs w:val="24"/>
        </w:rPr>
        <w:t>that an RSE licensee must</w:t>
      </w:r>
      <w:r w:rsidRPr="009333DA">
        <w:rPr>
          <w:rFonts w:ascii="Times New Roman" w:hAnsi="Times New Roman"/>
          <w:sz w:val="24"/>
          <w:szCs w:val="24"/>
        </w:rPr>
        <w:t>:</w:t>
      </w:r>
    </w:p>
    <w:p w:rsidR="004D1C9F" w:rsidRPr="009333DA" w:rsidRDefault="004D1C9F" w:rsidP="004D1C9F">
      <w:pPr>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 xml:space="preserve">maintain a risk management framework that is appropriate to the size, business mix and complexity of </w:t>
      </w:r>
      <w:r w:rsidR="0062588F" w:rsidRPr="009333DA">
        <w:rPr>
          <w:rFonts w:ascii="Times New Roman" w:hAnsi="Times New Roman"/>
          <w:sz w:val="24"/>
          <w:szCs w:val="24"/>
        </w:rPr>
        <w:t>its business operations</w:t>
      </w:r>
      <w:r w:rsidR="00317D7D" w:rsidRPr="009333DA">
        <w:rPr>
          <w:rFonts w:ascii="Times New Roman" w:hAnsi="Times New Roman"/>
          <w:sz w:val="24"/>
          <w:szCs w:val="24"/>
        </w:rPr>
        <w:t>;</w:t>
      </w:r>
    </w:p>
    <w:p w:rsidR="00B305A0" w:rsidRPr="009333DA" w:rsidRDefault="00B305A0" w:rsidP="00E202E9">
      <w:pPr>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 xml:space="preserve">maintain a </w:t>
      </w:r>
      <w:r w:rsidR="006479D9" w:rsidRPr="009333DA">
        <w:rPr>
          <w:rFonts w:ascii="Times New Roman" w:hAnsi="Times New Roman"/>
          <w:sz w:val="24"/>
          <w:szCs w:val="24"/>
        </w:rPr>
        <w:t>B</w:t>
      </w:r>
      <w:r w:rsidRPr="009333DA">
        <w:rPr>
          <w:rFonts w:ascii="Times New Roman" w:hAnsi="Times New Roman"/>
          <w:sz w:val="24"/>
          <w:szCs w:val="24"/>
        </w:rPr>
        <w:t>oard</w:t>
      </w:r>
      <w:r w:rsidR="006479D9" w:rsidRPr="009333DA">
        <w:rPr>
          <w:rFonts w:ascii="Times New Roman" w:hAnsi="Times New Roman"/>
          <w:sz w:val="24"/>
          <w:szCs w:val="24"/>
        </w:rPr>
        <w:t>-</w:t>
      </w:r>
      <w:r w:rsidRPr="009333DA">
        <w:rPr>
          <w:rFonts w:ascii="Times New Roman" w:hAnsi="Times New Roman"/>
          <w:sz w:val="24"/>
          <w:szCs w:val="24"/>
        </w:rPr>
        <w:t>approved risk appetite statement;</w:t>
      </w:r>
    </w:p>
    <w:p w:rsidR="0081262A" w:rsidRPr="009333DA" w:rsidRDefault="0081262A" w:rsidP="00E202E9">
      <w:pPr>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 xml:space="preserve">maintain a </w:t>
      </w:r>
      <w:r w:rsidR="006479D9" w:rsidRPr="009333DA">
        <w:rPr>
          <w:rFonts w:ascii="Times New Roman" w:hAnsi="Times New Roman"/>
          <w:sz w:val="24"/>
          <w:szCs w:val="24"/>
        </w:rPr>
        <w:t>B</w:t>
      </w:r>
      <w:r w:rsidRPr="009333DA">
        <w:rPr>
          <w:rFonts w:ascii="Times New Roman" w:hAnsi="Times New Roman"/>
          <w:sz w:val="24"/>
          <w:szCs w:val="24"/>
        </w:rPr>
        <w:t>oard</w:t>
      </w:r>
      <w:r w:rsidR="006479D9" w:rsidRPr="009333DA">
        <w:rPr>
          <w:rFonts w:ascii="Times New Roman" w:hAnsi="Times New Roman"/>
          <w:sz w:val="24"/>
          <w:szCs w:val="24"/>
        </w:rPr>
        <w:t>-</w:t>
      </w:r>
      <w:r w:rsidRPr="009333DA">
        <w:rPr>
          <w:rFonts w:ascii="Times New Roman" w:hAnsi="Times New Roman"/>
          <w:sz w:val="24"/>
          <w:szCs w:val="24"/>
        </w:rPr>
        <w:t xml:space="preserve">approved risk management strategy that describes the key elements of the </w:t>
      </w:r>
      <w:r w:rsidR="00020F08" w:rsidRPr="009333DA">
        <w:rPr>
          <w:rFonts w:ascii="Times New Roman" w:hAnsi="Times New Roman"/>
          <w:sz w:val="24"/>
          <w:szCs w:val="24"/>
        </w:rPr>
        <w:t>risk management framework</w:t>
      </w:r>
      <w:r w:rsidRPr="009333DA">
        <w:rPr>
          <w:rFonts w:ascii="Times New Roman" w:hAnsi="Times New Roman"/>
          <w:sz w:val="24"/>
          <w:szCs w:val="24"/>
        </w:rPr>
        <w:t xml:space="preserve"> that give effect to the </w:t>
      </w:r>
      <w:r w:rsidR="00783B25" w:rsidRPr="009333DA">
        <w:rPr>
          <w:rFonts w:ascii="Times New Roman" w:hAnsi="Times New Roman"/>
          <w:sz w:val="24"/>
          <w:szCs w:val="24"/>
        </w:rPr>
        <w:t>approach to managing risk</w:t>
      </w:r>
      <w:r w:rsidRPr="009333DA">
        <w:rPr>
          <w:rFonts w:ascii="Times New Roman" w:hAnsi="Times New Roman"/>
          <w:sz w:val="24"/>
          <w:szCs w:val="24"/>
        </w:rPr>
        <w:t>;</w:t>
      </w:r>
      <w:r w:rsidR="00775DCD" w:rsidRPr="009333DA">
        <w:rPr>
          <w:rFonts w:ascii="Times New Roman" w:hAnsi="Times New Roman"/>
          <w:sz w:val="24"/>
          <w:szCs w:val="24"/>
        </w:rPr>
        <w:t xml:space="preserve"> </w:t>
      </w:r>
    </w:p>
    <w:p w:rsidR="00783B25" w:rsidRPr="009333DA" w:rsidRDefault="00783B25" w:rsidP="00B305A0">
      <w:pPr>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maintain adequate resources to ensure compliance with this Prudential Standard; and</w:t>
      </w:r>
    </w:p>
    <w:p w:rsidR="0062588F" w:rsidRPr="009333DA" w:rsidRDefault="00F3375A" w:rsidP="00B305A0">
      <w:pPr>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9333DA">
        <w:rPr>
          <w:rFonts w:ascii="Times New Roman" w:hAnsi="Times New Roman"/>
          <w:sz w:val="24"/>
          <w:szCs w:val="24"/>
        </w:rPr>
        <w:t xml:space="preserve">notify APRA when </w:t>
      </w:r>
      <w:r w:rsidR="00D95B13" w:rsidRPr="009333DA">
        <w:rPr>
          <w:rFonts w:ascii="Times New Roman" w:hAnsi="Times New Roman"/>
          <w:sz w:val="24"/>
          <w:szCs w:val="24"/>
        </w:rPr>
        <w:t xml:space="preserve">the RSE licensee </w:t>
      </w:r>
      <w:r w:rsidRPr="009333DA">
        <w:rPr>
          <w:rFonts w:ascii="Times New Roman" w:hAnsi="Times New Roman"/>
          <w:sz w:val="24"/>
          <w:szCs w:val="24"/>
        </w:rPr>
        <w:t xml:space="preserve">becomes aware of a </w:t>
      </w:r>
      <w:r w:rsidR="00FD4BA6" w:rsidRPr="009333DA">
        <w:rPr>
          <w:rFonts w:ascii="Times New Roman" w:hAnsi="Times New Roman"/>
          <w:sz w:val="24"/>
          <w:szCs w:val="24"/>
        </w:rPr>
        <w:t xml:space="preserve">significant </w:t>
      </w:r>
      <w:r w:rsidRPr="009333DA">
        <w:rPr>
          <w:rFonts w:ascii="Times New Roman" w:hAnsi="Times New Roman"/>
          <w:sz w:val="24"/>
          <w:szCs w:val="24"/>
        </w:rPr>
        <w:t>breach of, or material deviation from, the risk management framework</w:t>
      </w:r>
      <w:r w:rsidR="00D95B13" w:rsidRPr="009333DA">
        <w:rPr>
          <w:rFonts w:ascii="Times New Roman" w:hAnsi="Times New Roman"/>
          <w:sz w:val="24"/>
          <w:szCs w:val="24"/>
        </w:rPr>
        <w:t>,</w:t>
      </w:r>
      <w:r w:rsidRPr="009333DA">
        <w:rPr>
          <w:rFonts w:ascii="Times New Roman" w:hAnsi="Times New Roman"/>
          <w:sz w:val="24"/>
          <w:szCs w:val="24"/>
        </w:rPr>
        <w:t xml:space="preserve"> or discovers that the risk management framework </w:t>
      </w:r>
      <w:r w:rsidR="00F64E75" w:rsidRPr="009333DA">
        <w:rPr>
          <w:rFonts w:ascii="Times New Roman" w:hAnsi="Times New Roman"/>
          <w:sz w:val="24"/>
          <w:szCs w:val="24"/>
        </w:rPr>
        <w:t xml:space="preserve">does </w:t>
      </w:r>
      <w:r w:rsidRPr="009333DA">
        <w:rPr>
          <w:rFonts w:ascii="Times New Roman" w:hAnsi="Times New Roman"/>
          <w:sz w:val="24"/>
          <w:szCs w:val="24"/>
        </w:rPr>
        <w:t>not adequately address a material risk</w:t>
      </w:r>
      <w:r w:rsidR="00783B25" w:rsidRPr="009333DA">
        <w:rPr>
          <w:rFonts w:ascii="Times New Roman" w:hAnsi="Times New Roman"/>
          <w:sz w:val="24"/>
          <w:szCs w:val="24"/>
        </w:rPr>
        <w:t>.</w:t>
      </w:r>
      <w:r w:rsidR="00527F05" w:rsidRPr="009333DA">
        <w:rPr>
          <w:rFonts w:ascii="Times New Roman" w:hAnsi="Times New Roman"/>
          <w:sz w:val="24"/>
          <w:szCs w:val="24"/>
        </w:rPr>
        <w:t xml:space="preserve"> </w:t>
      </w:r>
    </w:p>
    <w:p w:rsidR="00BC2D08" w:rsidRPr="009333DA" w:rsidRDefault="006A6A52" w:rsidP="00B741BD">
      <w:pPr>
        <w:pStyle w:val="Heading3"/>
      </w:pPr>
      <w:r w:rsidRPr="009333DA">
        <w:rPr>
          <w:lang w:eastAsia="en-AU"/>
        </w:rPr>
        <w:br w:type="page"/>
      </w:r>
      <w:bookmarkStart w:id="2" w:name="_Toc256519850"/>
      <w:bookmarkStart w:id="3" w:name="_Toc295999256"/>
      <w:r w:rsidR="00AB34DC" w:rsidRPr="009333DA">
        <w:lastRenderedPageBreak/>
        <w:t>Authority</w:t>
      </w:r>
      <w:bookmarkEnd w:id="2"/>
      <w:bookmarkEnd w:id="3"/>
    </w:p>
    <w:p w:rsidR="00BC2D08" w:rsidRPr="009333DA" w:rsidRDefault="00AB34DC" w:rsidP="00D22147">
      <w:pPr>
        <w:pStyle w:val="BodyText2"/>
        <w:numPr>
          <w:ilvl w:val="0"/>
          <w:numId w:val="3"/>
        </w:numPr>
        <w:spacing w:after="240"/>
        <w:jc w:val="both"/>
        <w:rPr>
          <w:szCs w:val="24"/>
        </w:rPr>
      </w:pPr>
      <w:bookmarkStart w:id="4" w:name="_Ref42506849"/>
      <w:r w:rsidRPr="009333DA">
        <w:rPr>
          <w:szCs w:val="24"/>
        </w:rPr>
        <w:t xml:space="preserve">This Prudential Standard is made under section </w:t>
      </w:r>
      <w:r w:rsidR="00AA2704" w:rsidRPr="009333DA">
        <w:rPr>
          <w:szCs w:val="24"/>
        </w:rPr>
        <w:t>34C</w:t>
      </w:r>
      <w:r w:rsidRPr="009333DA">
        <w:rPr>
          <w:szCs w:val="24"/>
        </w:rPr>
        <w:t xml:space="preserve"> of the </w:t>
      </w:r>
      <w:r w:rsidRPr="009333DA">
        <w:rPr>
          <w:i/>
          <w:szCs w:val="24"/>
        </w:rPr>
        <w:t>Superannuation Industry (Supervision) Act 1993</w:t>
      </w:r>
      <w:r w:rsidRPr="009333DA">
        <w:rPr>
          <w:szCs w:val="24"/>
        </w:rPr>
        <w:t xml:space="preserve"> (</w:t>
      </w:r>
      <w:r w:rsidRPr="009333DA">
        <w:t>SIS Act</w:t>
      </w:r>
      <w:r w:rsidRPr="009333DA">
        <w:rPr>
          <w:szCs w:val="24"/>
        </w:rPr>
        <w:t>)</w:t>
      </w:r>
      <w:bookmarkEnd w:id="4"/>
      <w:r w:rsidRPr="009333DA">
        <w:rPr>
          <w:szCs w:val="24"/>
        </w:rPr>
        <w:t>.</w:t>
      </w:r>
    </w:p>
    <w:p w:rsidR="00BC2D08" w:rsidRPr="009333DA" w:rsidRDefault="00AB34DC" w:rsidP="00B741BD">
      <w:pPr>
        <w:pStyle w:val="Heading3"/>
      </w:pPr>
      <w:bookmarkStart w:id="5" w:name="_Toc256519851"/>
      <w:bookmarkStart w:id="6" w:name="_Toc295999257"/>
      <w:r w:rsidRPr="009333DA">
        <w:t>Applicatio</w:t>
      </w:r>
      <w:bookmarkEnd w:id="5"/>
      <w:r w:rsidRPr="009333DA">
        <w:t>n</w:t>
      </w:r>
      <w:bookmarkEnd w:id="6"/>
    </w:p>
    <w:p w:rsidR="00BC2D08" w:rsidRPr="009333DA" w:rsidRDefault="00AB34DC" w:rsidP="00D22147">
      <w:pPr>
        <w:numPr>
          <w:ilvl w:val="0"/>
          <w:numId w:val="3"/>
        </w:numPr>
        <w:spacing w:before="0" w:after="240"/>
        <w:jc w:val="both"/>
        <w:rPr>
          <w:rFonts w:ascii="Times New Roman" w:hAnsi="Times New Roman"/>
          <w:sz w:val="24"/>
        </w:rPr>
      </w:pPr>
      <w:r w:rsidRPr="009333DA">
        <w:rPr>
          <w:rFonts w:ascii="Times New Roman" w:hAnsi="Times New Roman"/>
          <w:sz w:val="24"/>
          <w:szCs w:val="24"/>
        </w:rPr>
        <w:t xml:space="preserve">This Prudential Standard applies to all </w:t>
      </w:r>
      <w:r w:rsidR="001C4F47" w:rsidRPr="009333DA">
        <w:rPr>
          <w:rFonts w:ascii="Times New Roman" w:hAnsi="Times New Roman"/>
          <w:sz w:val="24"/>
          <w:szCs w:val="24"/>
        </w:rPr>
        <w:t>registrable superannuation entity (</w:t>
      </w:r>
      <w:r w:rsidR="001C4F47" w:rsidRPr="009333DA">
        <w:rPr>
          <w:rFonts w:ascii="Times New Roman" w:hAnsi="Times New Roman"/>
          <w:sz w:val="24"/>
        </w:rPr>
        <w:t>RSE</w:t>
      </w:r>
      <w:r w:rsidR="001C4F47" w:rsidRPr="009333DA">
        <w:rPr>
          <w:rFonts w:ascii="Times New Roman" w:hAnsi="Times New Roman"/>
          <w:sz w:val="24"/>
          <w:szCs w:val="24"/>
        </w:rPr>
        <w:t>) licensees (</w:t>
      </w:r>
      <w:r w:rsidR="001C4F47" w:rsidRPr="009333DA">
        <w:rPr>
          <w:rFonts w:ascii="Times New Roman" w:hAnsi="Times New Roman"/>
          <w:sz w:val="24"/>
        </w:rPr>
        <w:t>RSE licensees</w:t>
      </w:r>
      <w:r w:rsidR="001C4F47" w:rsidRPr="009333DA">
        <w:rPr>
          <w:rFonts w:ascii="Times New Roman" w:hAnsi="Times New Roman"/>
          <w:sz w:val="24"/>
          <w:szCs w:val="24"/>
        </w:rPr>
        <w:t>) under the SIS Act.</w:t>
      </w:r>
      <w:r w:rsidR="001C4F47" w:rsidRPr="009333DA">
        <w:rPr>
          <w:rStyle w:val="FootnoteReference"/>
          <w:rFonts w:ascii="Times New Roman" w:hAnsi="Times New Roman"/>
          <w:sz w:val="24"/>
          <w:szCs w:val="24"/>
        </w:rPr>
        <w:footnoteReference w:id="1"/>
      </w:r>
    </w:p>
    <w:p w:rsidR="00E2296A" w:rsidRPr="009333DA" w:rsidRDefault="00E2296A" w:rsidP="00E2296A">
      <w:pPr>
        <w:numPr>
          <w:ilvl w:val="0"/>
          <w:numId w:val="3"/>
        </w:numPr>
        <w:spacing w:before="0" w:after="240"/>
        <w:jc w:val="both"/>
        <w:rPr>
          <w:rFonts w:ascii="Times New Roman" w:hAnsi="Times New Roman"/>
          <w:b/>
          <w:sz w:val="24"/>
          <w:szCs w:val="24"/>
        </w:rPr>
      </w:pPr>
      <w:r w:rsidRPr="009333DA">
        <w:rPr>
          <w:rFonts w:ascii="Times New Roman" w:hAnsi="Times New Roman"/>
          <w:sz w:val="24"/>
          <w:szCs w:val="24"/>
        </w:rPr>
        <w:t>All RSE licensees must comply with this Prudential Standard in its entirety, unless otherwise expressly indicated.</w:t>
      </w:r>
    </w:p>
    <w:p w:rsidR="00773110" w:rsidRPr="009333DA" w:rsidRDefault="00773110" w:rsidP="00773110">
      <w:pPr>
        <w:numPr>
          <w:ilvl w:val="0"/>
          <w:numId w:val="3"/>
        </w:numPr>
        <w:spacing w:before="0" w:after="240"/>
        <w:jc w:val="both"/>
        <w:rPr>
          <w:rFonts w:ascii="Times New Roman" w:hAnsi="Times New Roman"/>
          <w:sz w:val="24"/>
          <w:szCs w:val="24"/>
        </w:rPr>
      </w:pPr>
      <w:bookmarkStart w:id="7" w:name="_Toc295999259"/>
      <w:r w:rsidRPr="009333DA">
        <w:rPr>
          <w:rFonts w:ascii="Times New Roman" w:hAnsi="Times New Roman"/>
          <w:sz w:val="24"/>
          <w:szCs w:val="24"/>
        </w:rPr>
        <w:t xml:space="preserve">This Prudential Standard commences on 1 </w:t>
      </w:r>
      <w:r w:rsidR="00801BE3" w:rsidRPr="009333DA">
        <w:rPr>
          <w:rFonts w:ascii="Times New Roman" w:hAnsi="Times New Roman"/>
          <w:sz w:val="24"/>
          <w:szCs w:val="24"/>
        </w:rPr>
        <w:t>January 2020</w:t>
      </w:r>
      <w:r w:rsidRPr="009333DA">
        <w:rPr>
          <w:rFonts w:ascii="Times New Roman" w:hAnsi="Times New Roman"/>
          <w:sz w:val="24"/>
          <w:szCs w:val="24"/>
        </w:rPr>
        <w:t>.</w:t>
      </w:r>
    </w:p>
    <w:p w:rsidR="00EB1180" w:rsidRPr="009333DA" w:rsidRDefault="00AB34DC" w:rsidP="00B741BD">
      <w:pPr>
        <w:pStyle w:val="Heading3"/>
      </w:pPr>
      <w:r w:rsidRPr="009333DA">
        <w:t>The role of the Board and senior management</w:t>
      </w:r>
    </w:p>
    <w:p w:rsidR="009C19B7" w:rsidRPr="009333DA" w:rsidRDefault="009C19B7" w:rsidP="009F35FF">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An RSE licensee must at all times have a risk management framework </w:t>
      </w:r>
      <w:r w:rsidR="00A63D62" w:rsidRPr="009333DA">
        <w:rPr>
          <w:rFonts w:ascii="Times New Roman" w:hAnsi="Times New Roman"/>
          <w:sz w:val="24"/>
          <w:szCs w:val="24"/>
        </w:rPr>
        <w:t xml:space="preserve">to </w:t>
      </w:r>
      <w:r w:rsidR="002F6AFC" w:rsidRPr="009333DA">
        <w:rPr>
          <w:rFonts w:ascii="Times New Roman" w:hAnsi="Times New Roman"/>
          <w:sz w:val="24"/>
          <w:szCs w:val="24"/>
        </w:rPr>
        <w:t xml:space="preserve">appropriately </w:t>
      </w:r>
      <w:r w:rsidR="00A63D62" w:rsidRPr="009333DA">
        <w:rPr>
          <w:rFonts w:ascii="Times New Roman" w:hAnsi="Times New Roman"/>
          <w:sz w:val="24"/>
          <w:szCs w:val="24"/>
        </w:rPr>
        <w:t xml:space="preserve">manage the risks </w:t>
      </w:r>
      <w:r w:rsidR="005F4848" w:rsidRPr="009333DA">
        <w:rPr>
          <w:rFonts w:ascii="Times New Roman" w:hAnsi="Times New Roman"/>
          <w:sz w:val="24"/>
          <w:szCs w:val="24"/>
        </w:rPr>
        <w:t xml:space="preserve">to </w:t>
      </w:r>
      <w:r w:rsidR="00A63D62" w:rsidRPr="009333DA">
        <w:rPr>
          <w:rFonts w:ascii="Times New Roman" w:hAnsi="Times New Roman"/>
          <w:sz w:val="24"/>
          <w:szCs w:val="24"/>
        </w:rPr>
        <w:t>its business operations</w:t>
      </w:r>
      <w:r w:rsidR="002F6AFC" w:rsidRPr="009333DA">
        <w:rPr>
          <w:rFonts w:ascii="Times New Roman" w:hAnsi="Times New Roman"/>
          <w:sz w:val="24"/>
          <w:szCs w:val="24"/>
        </w:rPr>
        <w:t>.</w:t>
      </w:r>
      <w:r w:rsidR="00B565DF" w:rsidRPr="009333DA">
        <w:rPr>
          <w:rStyle w:val="FootnoteReference"/>
          <w:rFonts w:ascii="Times New Roman" w:hAnsi="Times New Roman"/>
          <w:sz w:val="24"/>
          <w:szCs w:val="24"/>
        </w:rPr>
        <w:footnoteReference w:id="2"/>
      </w:r>
    </w:p>
    <w:p w:rsidR="00135D79" w:rsidRPr="009333DA" w:rsidRDefault="00135D79" w:rsidP="00135D79">
      <w:pPr>
        <w:numPr>
          <w:ilvl w:val="0"/>
          <w:numId w:val="3"/>
        </w:numPr>
        <w:spacing w:before="0" w:after="240"/>
        <w:jc w:val="both"/>
        <w:rPr>
          <w:rFonts w:ascii="Times New Roman" w:hAnsi="Times New Roman"/>
          <w:sz w:val="24"/>
          <w:szCs w:val="24"/>
        </w:rPr>
      </w:pPr>
      <w:bookmarkStart w:id="8" w:name="_Ref491346596"/>
      <w:r w:rsidRPr="009333DA">
        <w:rPr>
          <w:rFonts w:ascii="Times New Roman" w:hAnsi="Times New Roman"/>
          <w:sz w:val="24"/>
          <w:szCs w:val="24"/>
        </w:rPr>
        <w:t xml:space="preserve">For the purposes of this Prudential Standard, the </w:t>
      </w:r>
      <w:r w:rsidR="00F4014A" w:rsidRPr="009333DA">
        <w:rPr>
          <w:rFonts w:ascii="Times New Roman" w:hAnsi="Times New Roman"/>
          <w:sz w:val="24"/>
          <w:szCs w:val="24"/>
        </w:rPr>
        <w:t>risk management framework</w:t>
      </w:r>
      <w:r w:rsidRPr="009333DA">
        <w:rPr>
          <w:rFonts w:ascii="Times New Roman" w:hAnsi="Times New Roman"/>
          <w:sz w:val="24"/>
          <w:szCs w:val="24"/>
        </w:rPr>
        <w:t xml:space="preserve"> is the totality of systems, structures, policies, processes and people within </w:t>
      </w:r>
      <w:r w:rsidR="001175DF" w:rsidRPr="009333DA">
        <w:rPr>
          <w:rFonts w:ascii="Times New Roman" w:hAnsi="Times New Roman"/>
          <w:sz w:val="24"/>
          <w:szCs w:val="24"/>
        </w:rPr>
        <w:t xml:space="preserve">an </w:t>
      </w:r>
      <w:r w:rsidRPr="009333DA">
        <w:rPr>
          <w:rFonts w:ascii="Times New Roman" w:hAnsi="Times New Roman"/>
          <w:sz w:val="24"/>
          <w:szCs w:val="24"/>
        </w:rPr>
        <w:t xml:space="preserve">RSE licensee’s business operations that identify, assess, </w:t>
      </w:r>
      <w:r w:rsidR="00F64E75" w:rsidRPr="009333DA">
        <w:rPr>
          <w:rFonts w:ascii="Times New Roman" w:hAnsi="Times New Roman"/>
          <w:sz w:val="24"/>
          <w:szCs w:val="24"/>
        </w:rPr>
        <w:t xml:space="preserve">manage, </w:t>
      </w:r>
      <w:r w:rsidRPr="009333DA">
        <w:rPr>
          <w:rFonts w:ascii="Times New Roman" w:hAnsi="Times New Roman"/>
          <w:sz w:val="24"/>
          <w:szCs w:val="24"/>
        </w:rPr>
        <w:t xml:space="preserve">mitigate and monitor all internal and external sources of </w:t>
      </w:r>
      <w:r w:rsidR="00F4014A" w:rsidRPr="009333DA">
        <w:rPr>
          <w:rFonts w:ascii="Times New Roman" w:hAnsi="Times New Roman"/>
          <w:sz w:val="24"/>
          <w:szCs w:val="24"/>
        </w:rPr>
        <w:t xml:space="preserve">inherent </w:t>
      </w:r>
      <w:r w:rsidRPr="009333DA">
        <w:rPr>
          <w:rFonts w:ascii="Times New Roman" w:hAnsi="Times New Roman"/>
          <w:sz w:val="24"/>
          <w:szCs w:val="24"/>
        </w:rPr>
        <w:t>risk</w:t>
      </w:r>
      <w:r w:rsidR="00CE15F4" w:rsidRPr="009333DA">
        <w:rPr>
          <w:rFonts w:ascii="Times New Roman" w:hAnsi="Times New Roman"/>
          <w:sz w:val="24"/>
          <w:szCs w:val="24"/>
        </w:rPr>
        <w:t xml:space="preserve"> </w:t>
      </w:r>
      <w:r w:rsidRPr="009333DA">
        <w:rPr>
          <w:rFonts w:ascii="Times New Roman" w:hAnsi="Times New Roman"/>
          <w:sz w:val="24"/>
          <w:szCs w:val="24"/>
        </w:rPr>
        <w:t>that could have a material impact on the RSE licensee’s business operations or</w:t>
      </w:r>
      <w:r w:rsidR="001175DF" w:rsidRPr="009333DA">
        <w:rPr>
          <w:rFonts w:ascii="Times New Roman" w:hAnsi="Times New Roman"/>
          <w:sz w:val="24"/>
          <w:szCs w:val="24"/>
        </w:rPr>
        <w:t xml:space="preserve"> the</w:t>
      </w:r>
      <w:r w:rsidRPr="009333DA">
        <w:rPr>
          <w:rFonts w:ascii="Times New Roman" w:hAnsi="Times New Roman"/>
          <w:sz w:val="24"/>
          <w:szCs w:val="24"/>
        </w:rPr>
        <w:t xml:space="preserve"> </w:t>
      </w:r>
      <w:r w:rsidR="00506138" w:rsidRPr="009333DA">
        <w:rPr>
          <w:rFonts w:ascii="Times New Roman" w:hAnsi="Times New Roman"/>
          <w:sz w:val="24"/>
          <w:szCs w:val="24"/>
        </w:rPr>
        <w:t xml:space="preserve">interests of </w:t>
      </w:r>
      <w:r w:rsidRPr="009333DA">
        <w:rPr>
          <w:rFonts w:ascii="Times New Roman" w:hAnsi="Times New Roman"/>
          <w:sz w:val="24"/>
          <w:szCs w:val="24"/>
        </w:rPr>
        <w:t>beneficiaries</w:t>
      </w:r>
      <w:r w:rsidR="00CE15F4" w:rsidRPr="009333DA">
        <w:rPr>
          <w:rFonts w:ascii="Times New Roman" w:hAnsi="Times New Roman"/>
          <w:sz w:val="24"/>
          <w:szCs w:val="24"/>
        </w:rPr>
        <w:t xml:space="preserve"> (</w:t>
      </w:r>
      <w:r w:rsidR="00CE15F4" w:rsidRPr="009333DA">
        <w:rPr>
          <w:rFonts w:ascii="Times New Roman" w:hAnsi="Times New Roman"/>
          <w:sz w:val="24"/>
        </w:rPr>
        <w:t>material risks</w:t>
      </w:r>
      <w:r w:rsidR="00CE15F4" w:rsidRPr="009333DA">
        <w:rPr>
          <w:rFonts w:ascii="Times New Roman" w:hAnsi="Times New Roman"/>
          <w:sz w:val="24"/>
          <w:szCs w:val="24"/>
        </w:rPr>
        <w:t>)</w:t>
      </w:r>
      <w:r w:rsidR="00E847CD" w:rsidRPr="009333DA">
        <w:rPr>
          <w:rFonts w:ascii="Times New Roman" w:hAnsi="Times New Roman"/>
          <w:sz w:val="24"/>
          <w:szCs w:val="24"/>
        </w:rPr>
        <w:t>.</w:t>
      </w:r>
      <w:r w:rsidR="005400DD" w:rsidRPr="009333DA">
        <w:rPr>
          <w:rStyle w:val="FootnoteReference"/>
          <w:rFonts w:ascii="Times New Roman" w:hAnsi="Times New Roman"/>
          <w:sz w:val="24"/>
          <w:szCs w:val="24"/>
        </w:rPr>
        <w:footnoteReference w:id="3"/>
      </w:r>
      <w:bookmarkEnd w:id="8"/>
      <w:r w:rsidRPr="009333DA" w:rsidDel="00184265">
        <w:rPr>
          <w:rFonts w:ascii="Times New Roman" w:hAnsi="Times New Roman"/>
          <w:sz w:val="24"/>
          <w:szCs w:val="24"/>
        </w:rPr>
        <w:t xml:space="preserve"> </w:t>
      </w:r>
    </w:p>
    <w:p w:rsidR="00476245" w:rsidRPr="009333DA" w:rsidRDefault="00476245" w:rsidP="00476245">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The Board of the RSE licensee (</w:t>
      </w:r>
      <w:r w:rsidR="00ED25DC" w:rsidRPr="009333DA">
        <w:rPr>
          <w:rFonts w:ascii="Times New Roman" w:hAnsi="Times New Roman"/>
          <w:sz w:val="24"/>
        </w:rPr>
        <w:t>the Board</w:t>
      </w:r>
      <w:r w:rsidRPr="009333DA">
        <w:rPr>
          <w:rFonts w:ascii="Times New Roman" w:hAnsi="Times New Roman"/>
          <w:sz w:val="24"/>
          <w:szCs w:val="24"/>
        </w:rPr>
        <w:t xml:space="preserve">) is ultimately responsible for the </w:t>
      </w:r>
      <w:r w:rsidR="00EE550D" w:rsidRPr="009333DA">
        <w:rPr>
          <w:rFonts w:ascii="Times New Roman" w:hAnsi="Times New Roman"/>
          <w:sz w:val="24"/>
          <w:szCs w:val="24"/>
        </w:rPr>
        <w:t>risk management framework</w:t>
      </w:r>
      <w:r w:rsidR="008D3932" w:rsidRPr="009333DA">
        <w:rPr>
          <w:rFonts w:ascii="Times New Roman" w:hAnsi="Times New Roman"/>
          <w:sz w:val="24"/>
          <w:szCs w:val="24"/>
        </w:rPr>
        <w:t>.</w:t>
      </w:r>
      <w:r w:rsidR="000F3B99" w:rsidRPr="009333DA">
        <w:rPr>
          <w:rStyle w:val="FootnoteReference"/>
          <w:rFonts w:ascii="Times New Roman" w:hAnsi="Times New Roman"/>
          <w:sz w:val="24"/>
          <w:szCs w:val="24"/>
        </w:rPr>
        <w:footnoteReference w:id="4"/>
      </w:r>
    </w:p>
    <w:p w:rsidR="00AA2704" w:rsidRPr="009333DA" w:rsidRDefault="00E11F36">
      <w:pPr>
        <w:pStyle w:val="ListParagraph"/>
        <w:numPr>
          <w:ilvl w:val="0"/>
          <w:numId w:val="3"/>
        </w:numPr>
        <w:autoSpaceDE w:val="0"/>
        <w:autoSpaceDN w:val="0"/>
        <w:adjustRightInd w:val="0"/>
        <w:spacing w:before="0" w:after="240"/>
        <w:jc w:val="both"/>
        <w:rPr>
          <w:rFonts w:ascii="Times New Roman" w:eastAsia="Calibri" w:hAnsi="Times New Roman"/>
          <w:lang w:eastAsia="en-AU"/>
        </w:rPr>
      </w:pPr>
      <w:r w:rsidRPr="009333DA">
        <w:rPr>
          <w:rFonts w:ascii="Times New Roman" w:eastAsia="Calibri" w:hAnsi="Times New Roman"/>
          <w:sz w:val="24"/>
          <w:szCs w:val="24"/>
          <w:lang w:eastAsia="en-AU"/>
        </w:rPr>
        <w:t xml:space="preserve">The Board is ultimately responsible for maintaining </w:t>
      </w:r>
      <w:r w:rsidR="005B1A23" w:rsidRPr="009333DA">
        <w:rPr>
          <w:rFonts w:ascii="Times New Roman" w:eastAsia="Calibri" w:hAnsi="Times New Roman"/>
          <w:sz w:val="24"/>
          <w:szCs w:val="24"/>
          <w:lang w:eastAsia="en-AU"/>
        </w:rPr>
        <w:t>the solvency</w:t>
      </w:r>
      <w:r w:rsidRPr="009333DA">
        <w:rPr>
          <w:rFonts w:ascii="Times New Roman" w:eastAsia="Calibri" w:hAnsi="Times New Roman"/>
          <w:sz w:val="24"/>
          <w:szCs w:val="24"/>
          <w:lang w:eastAsia="en-AU"/>
        </w:rPr>
        <w:t xml:space="preserve"> of the RSE licensee and ensuring that the RSE licensee</w:t>
      </w:r>
      <w:r w:rsidR="005400DD" w:rsidRPr="009333DA">
        <w:rPr>
          <w:rFonts w:ascii="Times New Roman" w:eastAsia="Calibri" w:hAnsi="Times New Roman"/>
          <w:sz w:val="24"/>
          <w:szCs w:val="24"/>
          <w:lang w:eastAsia="en-AU"/>
        </w:rPr>
        <w:t>’s</w:t>
      </w:r>
      <w:r w:rsidRPr="009333DA">
        <w:rPr>
          <w:rFonts w:ascii="Times New Roman" w:eastAsia="Calibri" w:hAnsi="Times New Roman"/>
          <w:sz w:val="24"/>
          <w:szCs w:val="24"/>
          <w:lang w:eastAsia="en-AU"/>
        </w:rPr>
        <w:t xml:space="preserve"> business operations have adequate resources to undertake the activities for which it holds an RSE licen</w:t>
      </w:r>
      <w:r w:rsidR="002B5605" w:rsidRPr="009333DA">
        <w:rPr>
          <w:rFonts w:ascii="Times New Roman" w:eastAsia="Calibri" w:hAnsi="Times New Roman"/>
          <w:sz w:val="24"/>
          <w:szCs w:val="24"/>
          <w:lang w:eastAsia="en-AU"/>
        </w:rPr>
        <w:t>c</w:t>
      </w:r>
      <w:r w:rsidRPr="009333DA">
        <w:rPr>
          <w:rFonts w:ascii="Times New Roman" w:eastAsia="Calibri" w:hAnsi="Times New Roman"/>
          <w:sz w:val="24"/>
          <w:szCs w:val="24"/>
          <w:lang w:eastAsia="en-AU"/>
        </w:rPr>
        <w:t>e.</w:t>
      </w:r>
    </w:p>
    <w:p w:rsidR="00FC584C" w:rsidRPr="009333DA" w:rsidRDefault="001C4F47" w:rsidP="00B741BD">
      <w:pPr>
        <w:pStyle w:val="Heading3"/>
      </w:pPr>
      <w:r w:rsidRPr="009333DA">
        <w:t>RSE licensees</w:t>
      </w:r>
      <w:r w:rsidR="00FC584C" w:rsidRPr="009333DA">
        <w:t xml:space="preserve"> that are part of a group</w:t>
      </w:r>
      <w:r w:rsidR="00FC584C" w:rsidRPr="009333DA">
        <w:rPr>
          <w:rStyle w:val="FootnoteReference"/>
        </w:rPr>
        <w:footnoteReference w:id="5"/>
      </w:r>
    </w:p>
    <w:p w:rsidR="00FC584C" w:rsidRPr="009333DA" w:rsidRDefault="00FC584C" w:rsidP="00FC584C">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Where an RSE licensee is part of a </w:t>
      </w:r>
      <w:r w:rsidR="001C4F47" w:rsidRPr="009333DA">
        <w:rPr>
          <w:rFonts w:ascii="Times New Roman" w:hAnsi="Times New Roman"/>
          <w:sz w:val="24"/>
          <w:szCs w:val="24"/>
        </w:rPr>
        <w:t xml:space="preserve">corporate </w:t>
      </w:r>
      <w:r w:rsidRPr="009333DA">
        <w:rPr>
          <w:rFonts w:ascii="Times New Roman" w:hAnsi="Times New Roman"/>
          <w:sz w:val="24"/>
          <w:szCs w:val="24"/>
        </w:rPr>
        <w:t xml:space="preserve">group, and the RSE licensee utilises group policies or functions, the Board must approve the use of group policies and </w:t>
      </w:r>
      <w:r w:rsidRPr="009333DA">
        <w:rPr>
          <w:rFonts w:ascii="Times New Roman" w:hAnsi="Times New Roman"/>
          <w:sz w:val="24"/>
          <w:szCs w:val="24"/>
        </w:rPr>
        <w:lastRenderedPageBreak/>
        <w:t xml:space="preserve">functions and must ensure that these policies and functions give appropriate regard to the RSE licensee’s business </w:t>
      </w:r>
      <w:r w:rsidR="00F47FDF" w:rsidRPr="009333DA">
        <w:rPr>
          <w:rFonts w:ascii="Times New Roman" w:hAnsi="Times New Roman"/>
          <w:sz w:val="24"/>
          <w:szCs w:val="24"/>
        </w:rPr>
        <w:t xml:space="preserve">operations </w:t>
      </w:r>
      <w:r w:rsidRPr="009333DA">
        <w:rPr>
          <w:rFonts w:ascii="Times New Roman" w:hAnsi="Times New Roman"/>
          <w:sz w:val="24"/>
          <w:szCs w:val="24"/>
        </w:rPr>
        <w:t>and its specific requirements.</w:t>
      </w:r>
    </w:p>
    <w:p w:rsidR="00EB1180" w:rsidRPr="009333DA" w:rsidRDefault="0001249D" w:rsidP="00B741BD">
      <w:pPr>
        <w:pStyle w:val="Heading3"/>
      </w:pPr>
      <w:r w:rsidRPr="009333DA">
        <w:t>Material risks</w:t>
      </w:r>
    </w:p>
    <w:p w:rsidR="00BF6581" w:rsidRPr="009333DA" w:rsidRDefault="00BC423D" w:rsidP="00DF1C2F">
      <w:pPr>
        <w:numPr>
          <w:ilvl w:val="0"/>
          <w:numId w:val="3"/>
        </w:numPr>
        <w:spacing w:before="0" w:after="240"/>
        <w:jc w:val="both"/>
        <w:rPr>
          <w:rFonts w:ascii="Times New Roman" w:hAnsi="Times New Roman"/>
          <w:sz w:val="24"/>
          <w:szCs w:val="24"/>
        </w:rPr>
      </w:pPr>
      <w:bookmarkStart w:id="9" w:name="_Ref316477812"/>
      <w:bookmarkStart w:id="10" w:name="_Ref314637173"/>
      <w:r w:rsidRPr="009333DA">
        <w:rPr>
          <w:rFonts w:ascii="Times New Roman" w:hAnsi="Times New Roman"/>
          <w:sz w:val="24"/>
          <w:szCs w:val="24"/>
        </w:rPr>
        <w:t>An RSE licensee must</w:t>
      </w:r>
      <w:r w:rsidR="00184265" w:rsidRPr="009333DA">
        <w:rPr>
          <w:rFonts w:ascii="Times New Roman" w:hAnsi="Times New Roman"/>
          <w:sz w:val="24"/>
          <w:szCs w:val="24"/>
        </w:rPr>
        <w:t xml:space="preserve">, at </w:t>
      </w:r>
      <w:r w:rsidR="004154B5" w:rsidRPr="009333DA">
        <w:rPr>
          <w:rFonts w:ascii="Times New Roman" w:hAnsi="Times New Roman"/>
          <w:sz w:val="24"/>
          <w:szCs w:val="24"/>
        </w:rPr>
        <w:t xml:space="preserve">a minimum, ensure that its </w:t>
      </w:r>
      <w:r w:rsidR="00234348" w:rsidRPr="009333DA">
        <w:rPr>
          <w:rFonts w:ascii="Times New Roman" w:hAnsi="Times New Roman"/>
          <w:sz w:val="24"/>
          <w:szCs w:val="24"/>
        </w:rPr>
        <w:t xml:space="preserve">risk management framework </w:t>
      </w:r>
      <w:r w:rsidR="00442F0F" w:rsidRPr="009333DA">
        <w:rPr>
          <w:rFonts w:ascii="Times New Roman" w:hAnsi="Times New Roman"/>
          <w:sz w:val="24"/>
          <w:szCs w:val="24"/>
        </w:rPr>
        <w:t>covers</w:t>
      </w:r>
      <w:r w:rsidR="004154B5" w:rsidRPr="009333DA">
        <w:rPr>
          <w:rFonts w:ascii="Times New Roman" w:hAnsi="Times New Roman"/>
          <w:sz w:val="24"/>
          <w:szCs w:val="24"/>
        </w:rPr>
        <w:t xml:space="preserve"> all material risks</w:t>
      </w:r>
      <w:r w:rsidR="002F6AFC" w:rsidRPr="009333DA">
        <w:rPr>
          <w:rFonts w:ascii="Times New Roman" w:hAnsi="Times New Roman"/>
          <w:sz w:val="24"/>
          <w:szCs w:val="24"/>
        </w:rPr>
        <w:t>,</w:t>
      </w:r>
      <w:r w:rsidR="004154B5" w:rsidRPr="009333DA">
        <w:rPr>
          <w:rFonts w:ascii="Times New Roman" w:hAnsi="Times New Roman"/>
          <w:sz w:val="24"/>
          <w:szCs w:val="24"/>
        </w:rPr>
        <w:t xml:space="preserve"> both financial and non</w:t>
      </w:r>
      <w:r w:rsidR="00F715FC" w:rsidRPr="009333DA">
        <w:rPr>
          <w:rFonts w:ascii="Times New Roman" w:hAnsi="Times New Roman"/>
          <w:sz w:val="24"/>
          <w:szCs w:val="24"/>
        </w:rPr>
        <w:t>-</w:t>
      </w:r>
      <w:r w:rsidR="004154B5" w:rsidRPr="009333DA">
        <w:rPr>
          <w:rFonts w:ascii="Times New Roman" w:hAnsi="Times New Roman"/>
          <w:sz w:val="24"/>
          <w:szCs w:val="24"/>
        </w:rPr>
        <w:t>financial</w:t>
      </w:r>
      <w:r w:rsidR="002F6AFC" w:rsidRPr="009333DA">
        <w:rPr>
          <w:rFonts w:ascii="Times New Roman" w:hAnsi="Times New Roman"/>
          <w:sz w:val="24"/>
          <w:szCs w:val="24"/>
        </w:rPr>
        <w:t>,</w:t>
      </w:r>
      <w:r w:rsidR="009E4F1A" w:rsidRPr="009333DA">
        <w:rPr>
          <w:rFonts w:ascii="Times New Roman" w:hAnsi="Times New Roman"/>
          <w:sz w:val="24"/>
          <w:szCs w:val="24"/>
        </w:rPr>
        <w:t xml:space="preserve"> to the RSE licensee’s business operations</w:t>
      </w:r>
      <w:r w:rsidR="00184265" w:rsidRPr="009333DA">
        <w:rPr>
          <w:rFonts w:ascii="Times New Roman" w:hAnsi="Times New Roman"/>
          <w:sz w:val="24"/>
          <w:szCs w:val="24"/>
        </w:rPr>
        <w:t xml:space="preserve">, having </w:t>
      </w:r>
      <w:r w:rsidR="009D3FB9" w:rsidRPr="009333DA">
        <w:rPr>
          <w:rFonts w:ascii="Times New Roman" w:hAnsi="Times New Roman"/>
          <w:sz w:val="24"/>
          <w:szCs w:val="24"/>
        </w:rPr>
        <w:t xml:space="preserve">regard </w:t>
      </w:r>
      <w:r w:rsidR="009E4F1A" w:rsidRPr="009333DA">
        <w:rPr>
          <w:rFonts w:ascii="Times New Roman" w:hAnsi="Times New Roman"/>
          <w:sz w:val="24"/>
          <w:szCs w:val="24"/>
        </w:rPr>
        <w:t xml:space="preserve">to the size, business mix and complexity of </w:t>
      </w:r>
      <w:r w:rsidR="00F715FC" w:rsidRPr="009333DA">
        <w:rPr>
          <w:rFonts w:ascii="Times New Roman" w:hAnsi="Times New Roman"/>
          <w:sz w:val="24"/>
          <w:szCs w:val="24"/>
        </w:rPr>
        <w:t xml:space="preserve">those </w:t>
      </w:r>
      <w:r w:rsidR="009E4F1A" w:rsidRPr="009333DA">
        <w:rPr>
          <w:rFonts w:ascii="Times New Roman" w:hAnsi="Times New Roman"/>
          <w:sz w:val="24"/>
          <w:szCs w:val="24"/>
        </w:rPr>
        <w:t>operations</w:t>
      </w:r>
      <w:r w:rsidR="00184265" w:rsidRPr="009333DA">
        <w:rPr>
          <w:rFonts w:ascii="Times New Roman" w:hAnsi="Times New Roman"/>
          <w:sz w:val="24"/>
          <w:szCs w:val="24"/>
        </w:rPr>
        <w:t>.</w:t>
      </w:r>
      <w:bookmarkEnd w:id="9"/>
      <w:r w:rsidR="00184265" w:rsidRPr="009333DA">
        <w:rPr>
          <w:rFonts w:ascii="Times New Roman" w:hAnsi="Times New Roman"/>
          <w:sz w:val="24"/>
          <w:szCs w:val="24"/>
        </w:rPr>
        <w:t xml:space="preserve"> </w:t>
      </w:r>
    </w:p>
    <w:p w:rsidR="003E5EF2" w:rsidRPr="009333DA" w:rsidRDefault="00184265" w:rsidP="00DF1C2F">
      <w:pPr>
        <w:numPr>
          <w:ilvl w:val="0"/>
          <w:numId w:val="3"/>
        </w:numPr>
        <w:spacing w:before="0" w:after="240"/>
        <w:jc w:val="both"/>
        <w:rPr>
          <w:rFonts w:ascii="Times New Roman" w:hAnsi="Times New Roman"/>
          <w:sz w:val="24"/>
          <w:szCs w:val="24"/>
        </w:rPr>
      </w:pPr>
      <w:bookmarkStart w:id="11" w:name="_Ref315447488"/>
      <w:r w:rsidRPr="009333DA">
        <w:rPr>
          <w:rFonts w:ascii="Times New Roman" w:hAnsi="Times New Roman"/>
          <w:sz w:val="24"/>
          <w:szCs w:val="24"/>
        </w:rPr>
        <w:t xml:space="preserve">An RSE </w:t>
      </w:r>
      <w:r w:rsidR="00F715FC" w:rsidRPr="009333DA">
        <w:rPr>
          <w:rFonts w:ascii="Times New Roman" w:hAnsi="Times New Roman"/>
          <w:sz w:val="24"/>
          <w:szCs w:val="24"/>
        </w:rPr>
        <w:t xml:space="preserve">licensee </w:t>
      </w:r>
      <w:r w:rsidRPr="009333DA">
        <w:rPr>
          <w:rFonts w:ascii="Times New Roman" w:hAnsi="Times New Roman"/>
          <w:sz w:val="24"/>
          <w:szCs w:val="24"/>
        </w:rPr>
        <w:t xml:space="preserve">must assess </w:t>
      </w:r>
      <w:r w:rsidR="004154B5" w:rsidRPr="009333DA">
        <w:rPr>
          <w:rFonts w:ascii="Times New Roman" w:hAnsi="Times New Roman"/>
          <w:sz w:val="24"/>
          <w:szCs w:val="24"/>
        </w:rPr>
        <w:t xml:space="preserve">the materiality of </w:t>
      </w:r>
      <w:r w:rsidR="002F6AFC" w:rsidRPr="009333DA">
        <w:rPr>
          <w:rFonts w:ascii="Times New Roman" w:hAnsi="Times New Roman"/>
          <w:sz w:val="24"/>
          <w:szCs w:val="24"/>
        </w:rPr>
        <w:t>each</w:t>
      </w:r>
      <w:r w:rsidR="004154B5" w:rsidRPr="009333DA">
        <w:rPr>
          <w:rFonts w:ascii="Times New Roman" w:hAnsi="Times New Roman"/>
          <w:sz w:val="24"/>
          <w:szCs w:val="24"/>
        </w:rPr>
        <w:t xml:space="preserve"> risk with reference to </w:t>
      </w:r>
      <w:r w:rsidR="00E847CD" w:rsidRPr="009333DA">
        <w:rPr>
          <w:rFonts w:ascii="Times New Roman" w:hAnsi="Times New Roman"/>
          <w:sz w:val="24"/>
          <w:szCs w:val="24"/>
        </w:rPr>
        <w:t>its</w:t>
      </w:r>
      <w:r w:rsidR="004154B5" w:rsidRPr="009333DA">
        <w:rPr>
          <w:rFonts w:ascii="Times New Roman" w:hAnsi="Times New Roman"/>
          <w:sz w:val="24"/>
          <w:szCs w:val="24"/>
        </w:rPr>
        <w:t xml:space="preserve"> business </w:t>
      </w:r>
      <w:r w:rsidR="00BF6581" w:rsidRPr="009333DA">
        <w:rPr>
          <w:rFonts w:ascii="Times New Roman" w:hAnsi="Times New Roman"/>
          <w:sz w:val="24"/>
          <w:szCs w:val="24"/>
        </w:rPr>
        <w:t xml:space="preserve">operations </w:t>
      </w:r>
      <w:r w:rsidR="004154B5" w:rsidRPr="009333DA">
        <w:rPr>
          <w:rFonts w:ascii="Times New Roman" w:hAnsi="Times New Roman"/>
          <w:sz w:val="24"/>
          <w:szCs w:val="24"/>
        </w:rPr>
        <w:t>as a whole</w:t>
      </w:r>
      <w:r w:rsidR="00BF6581" w:rsidRPr="009333DA">
        <w:rPr>
          <w:rFonts w:ascii="Times New Roman" w:hAnsi="Times New Roman"/>
          <w:sz w:val="24"/>
          <w:szCs w:val="24"/>
        </w:rPr>
        <w:t>,</w:t>
      </w:r>
      <w:r w:rsidR="004154B5" w:rsidRPr="009333DA">
        <w:rPr>
          <w:rFonts w:ascii="Times New Roman" w:hAnsi="Times New Roman"/>
          <w:sz w:val="24"/>
          <w:szCs w:val="24"/>
        </w:rPr>
        <w:t xml:space="preserve"> </w:t>
      </w:r>
      <w:r w:rsidR="00F715FC" w:rsidRPr="009333DA">
        <w:rPr>
          <w:rFonts w:ascii="Times New Roman" w:hAnsi="Times New Roman"/>
          <w:sz w:val="24"/>
          <w:szCs w:val="24"/>
        </w:rPr>
        <w:t xml:space="preserve">each RSE within those operations </w:t>
      </w:r>
      <w:r w:rsidRPr="009333DA">
        <w:rPr>
          <w:rFonts w:ascii="Times New Roman" w:hAnsi="Times New Roman"/>
          <w:sz w:val="24"/>
          <w:szCs w:val="24"/>
        </w:rPr>
        <w:t xml:space="preserve">and the impact of the risk on the obligations of the RSE licensee to </w:t>
      </w:r>
      <w:r w:rsidR="00506138" w:rsidRPr="009333DA">
        <w:rPr>
          <w:rFonts w:ascii="Times New Roman" w:hAnsi="Times New Roman"/>
          <w:sz w:val="24"/>
          <w:szCs w:val="24"/>
        </w:rPr>
        <w:t>its</w:t>
      </w:r>
      <w:r w:rsidRPr="009333DA">
        <w:rPr>
          <w:rFonts w:ascii="Times New Roman" w:hAnsi="Times New Roman"/>
          <w:sz w:val="24"/>
          <w:szCs w:val="24"/>
        </w:rPr>
        <w:t xml:space="preserve"> beneficiaries</w:t>
      </w:r>
      <w:r w:rsidR="00AB34DC" w:rsidRPr="009333DA">
        <w:rPr>
          <w:rFonts w:ascii="Times New Roman" w:hAnsi="Times New Roman"/>
          <w:sz w:val="24"/>
          <w:szCs w:val="24"/>
        </w:rPr>
        <w:t>.</w:t>
      </w:r>
      <w:bookmarkEnd w:id="10"/>
      <w:bookmarkEnd w:id="11"/>
      <w:r w:rsidR="00AB34DC" w:rsidRPr="009333DA">
        <w:rPr>
          <w:rFonts w:ascii="Times New Roman" w:hAnsi="Times New Roman"/>
          <w:sz w:val="24"/>
          <w:szCs w:val="24"/>
        </w:rPr>
        <w:t xml:space="preserve"> </w:t>
      </w:r>
    </w:p>
    <w:p w:rsidR="00DF1C2F" w:rsidRPr="009333DA" w:rsidRDefault="00173111" w:rsidP="00DF1C2F">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w:t>
      </w:r>
      <w:r w:rsidR="00B44F37" w:rsidRPr="009333DA">
        <w:rPr>
          <w:rFonts w:ascii="Times New Roman" w:hAnsi="Times New Roman"/>
          <w:sz w:val="24"/>
          <w:szCs w:val="24"/>
        </w:rPr>
        <w:t xml:space="preserve"> RSE licensee’s </w:t>
      </w:r>
      <w:r w:rsidR="00234348" w:rsidRPr="009333DA">
        <w:rPr>
          <w:rFonts w:ascii="Times New Roman" w:hAnsi="Times New Roman"/>
          <w:sz w:val="24"/>
          <w:szCs w:val="24"/>
        </w:rPr>
        <w:t>risk management framework</w:t>
      </w:r>
      <w:r w:rsidR="00B44F37" w:rsidRPr="009333DA">
        <w:rPr>
          <w:rFonts w:ascii="Times New Roman" w:hAnsi="Times New Roman"/>
          <w:sz w:val="24"/>
          <w:szCs w:val="24"/>
        </w:rPr>
        <w:t xml:space="preserve"> </w:t>
      </w:r>
      <w:r w:rsidR="00DF1C2F" w:rsidRPr="009333DA">
        <w:rPr>
          <w:rFonts w:ascii="Times New Roman" w:hAnsi="Times New Roman"/>
          <w:sz w:val="24"/>
          <w:szCs w:val="24"/>
        </w:rPr>
        <w:t>must</w:t>
      </w:r>
      <w:r w:rsidR="006C72A3" w:rsidRPr="009333DA">
        <w:rPr>
          <w:rFonts w:ascii="Times New Roman" w:hAnsi="Times New Roman"/>
          <w:sz w:val="24"/>
          <w:szCs w:val="24"/>
        </w:rPr>
        <w:t>, at a minimum,</w:t>
      </w:r>
      <w:r w:rsidR="00693DB9" w:rsidRPr="009333DA">
        <w:rPr>
          <w:rFonts w:ascii="Times New Roman" w:hAnsi="Times New Roman"/>
          <w:sz w:val="24"/>
          <w:szCs w:val="24"/>
        </w:rPr>
        <w:t xml:space="preserve"> </w:t>
      </w:r>
      <w:r w:rsidR="007A3FBD" w:rsidRPr="009333DA">
        <w:rPr>
          <w:rFonts w:ascii="Times New Roman" w:hAnsi="Times New Roman"/>
          <w:sz w:val="24"/>
          <w:szCs w:val="24"/>
        </w:rPr>
        <w:t>cover</w:t>
      </w:r>
      <w:r w:rsidR="00DF1C2F" w:rsidRPr="009333DA">
        <w:rPr>
          <w:rFonts w:ascii="Times New Roman" w:hAnsi="Times New Roman"/>
          <w:sz w:val="24"/>
          <w:szCs w:val="24"/>
        </w:rPr>
        <w:t>:</w:t>
      </w:r>
    </w:p>
    <w:p w:rsidR="00F0484C" w:rsidRPr="009333DA" w:rsidRDefault="00F0484C"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governance risk</w:t>
      </w:r>
      <w:r w:rsidRPr="009333DA">
        <w:rPr>
          <w:rStyle w:val="FootnoteReference"/>
          <w:rFonts w:ascii="Times New Roman" w:hAnsi="Times New Roman"/>
          <w:sz w:val="24"/>
          <w:szCs w:val="24"/>
        </w:rPr>
        <w:footnoteReference w:id="6"/>
      </w:r>
      <w:r w:rsidR="009D3FB9" w:rsidRPr="009333DA">
        <w:rPr>
          <w:rFonts w:ascii="Times New Roman" w:hAnsi="Times New Roman"/>
          <w:sz w:val="24"/>
          <w:szCs w:val="24"/>
        </w:rPr>
        <w:t>;</w:t>
      </w:r>
      <w:r w:rsidRPr="009333DA">
        <w:rPr>
          <w:rFonts w:ascii="Times New Roman" w:hAnsi="Times New Roman"/>
          <w:sz w:val="24"/>
          <w:szCs w:val="24"/>
        </w:rPr>
        <w:t xml:space="preserve"> </w:t>
      </w:r>
    </w:p>
    <w:p w:rsidR="00DF1C2F" w:rsidRPr="009333DA" w:rsidRDefault="00DF1C2F"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investment </w:t>
      </w:r>
      <w:r w:rsidR="00693DB9" w:rsidRPr="009333DA">
        <w:rPr>
          <w:rFonts w:ascii="Times New Roman" w:hAnsi="Times New Roman"/>
          <w:sz w:val="24"/>
          <w:szCs w:val="24"/>
        </w:rPr>
        <w:t xml:space="preserve">governance </w:t>
      </w:r>
      <w:r w:rsidRPr="009333DA">
        <w:rPr>
          <w:rFonts w:ascii="Times New Roman" w:hAnsi="Times New Roman"/>
          <w:sz w:val="24"/>
          <w:szCs w:val="24"/>
        </w:rPr>
        <w:t>risk</w:t>
      </w:r>
      <w:r w:rsidR="00502271" w:rsidRPr="009333DA">
        <w:rPr>
          <w:rStyle w:val="FootnoteReference"/>
          <w:rFonts w:ascii="Times New Roman" w:hAnsi="Times New Roman"/>
          <w:sz w:val="24"/>
          <w:szCs w:val="24"/>
        </w:rPr>
        <w:footnoteReference w:id="7"/>
      </w:r>
      <w:r w:rsidRPr="009333DA">
        <w:rPr>
          <w:rFonts w:ascii="Times New Roman" w:hAnsi="Times New Roman"/>
          <w:sz w:val="24"/>
          <w:szCs w:val="24"/>
        </w:rPr>
        <w:t>;</w:t>
      </w:r>
    </w:p>
    <w:p w:rsidR="00DF1C2F" w:rsidRPr="009333DA" w:rsidRDefault="00DF1C2F"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liquidity risk, including the liquidity characteristics of investment options offered or proposed to be offered</w:t>
      </w:r>
      <w:r w:rsidR="00502271" w:rsidRPr="009333DA">
        <w:rPr>
          <w:rStyle w:val="FootnoteReference"/>
          <w:rFonts w:ascii="Times New Roman" w:hAnsi="Times New Roman"/>
          <w:sz w:val="24"/>
          <w:szCs w:val="24"/>
        </w:rPr>
        <w:footnoteReference w:id="8"/>
      </w:r>
      <w:r w:rsidRPr="009333DA">
        <w:rPr>
          <w:rFonts w:ascii="Times New Roman" w:hAnsi="Times New Roman"/>
          <w:sz w:val="24"/>
          <w:szCs w:val="24"/>
        </w:rPr>
        <w:t>;</w:t>
      </w:r>
    </w:p>
    <w:p w:rsidR="00DF1C2F" w:rsidRPr="009333DA" w:rsidRDefault="00DF1C2F"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operational risk</w:t>
      </w:r>
      <w:r w:rsidR="00502271" w:rsidRPr="009333DA">
        <w:rPr>
          <w:rStyle w:val="FootnoteReference"/>
          <w:rFonts w:ascii="Times New Roman" w:hAnsi="Times New Roman"/>
          <w:sz w:val="24"/>
          <w:szCs w:val="24"/>
        </w:rPr>
        <w:footnoteReference w:id="9"/>
      </w:r>
      <w:r w:rsidRPr="009333DA">
        <w:rPr>
          <w:rFonts w:ascii="Times New Roman" w:hAnsi="Times New Roman"/>
          <w:sz w:val="24"/>
          <w:szCs w:val="24"/>
        </w:rPr>
        <w:t>;</w:t>
      </w:r>
    </w:p>
    <w:p w:rsidR="00DF1C2F" w:rsidRPr="009333DA" w:rsidRDefault="00DF1C2F"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insurance risk</w:t>
      </w:r>
      <w:r w:rsidR="003E2A37" w:rsidRPr="009333DA">
        <w:rPr>
          <w:rStyle w:val="FootnoteReference"/>
          <w:rFonts w:ascii="Times New Roman" w:hAnsi="Times New Roman"/>
          <w:sz w:val="24"/>
          <w:szCs w:val="24"/>
        </w:rPr>
        <w:footnoteReference w:id="10"/>
      </w:r>
      <w:r w:rsidRPr="009333DA">
        <w:rPr>
          <w:rFonts w:ascii="Times New Roman" w:hAnsi="Times New Roman"/>
          <w:sz w:val="24"/>
          <w:szCs w:val="24"/>
        </w:rPr>
        <w:t xml:space="preserve">; </w:t>
      </w:r>
    </w:p>
    <w:p w:rsidR="00DE6B6A" w:rsidRPr="009333DA" w:rsidRDefault="00DF1C2F"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strategic and tactical risks that arise out of the </w:t>
      </w:r>
      <w:r w:rsidR="009B78E2" w:rsidRPr="009333DA">
        <w:rPr>
          <w:rFonts w:ascii="Times New Roman" w:hAnsi="Times New Roman"/>
          <w:sz w:val="24"/>
          <w:szCs w:val="24"/>
        </w:rPr>
        <w:t>RSE licensee</w:t>
      </w:r>
      <w:r w:rsidRPr="009333DA">
        <w:rPr>
          <w:rFonts w:ascii="Times New Roman" w:hAnsi="Times New Roman"/>
          <w:sz w:val="24"/>
          <w:szCs w:val="24"/>
        </w:rPr>
        <w:t xml:space="preserve">’s </w:t>
      </w:r>
      <w:r w:rsidR="0060128E" w:rsidRPr="009333DA">
        <w:rPr>
          <w:rFonts w:ascii="Times New Roman" w:hAnsi="Times New Roman"/>
          <w:sz w:val="24"/>
          <w:szCs w:val="24"/>
        </w:rPr>
        <w:t xml:space="preserve">strategic and </w:t>
      </w:r>
      <w:r w:rsidR="00450135" w:rsidRPr="009333DA">
        <w:rPr>
          <w:rFonts w:ascii="Times New Roman" w:hAnsi="Times New Roman"/>
          <w:sz w:val="24"/>
          <w:szCs w:val="24"/>
        </w:rPr>
        <w:t>b</w:t>
      </w:r>
      <w:r w:rsidRPr="009333DA">
        <w:rPr>
          <w:rFonts w:ascii="Times New Roman" w:hAnsi="Times New Roman"/>
          <w:sz w:val="24"/>
          <w:szCs w:val="24"/>
        </w:rPr>
        <w:t xml:space="preserve">usiness </w:t>
      </w:r>
      <w:r w:rsidR="00450135" w:rsidRPr="009333DA">
        <w:rPr>
          <w:rFonts w:ascii="Times New Roman" w:hAnsi="Times New Roman"/>
          <w:sz w:val="24"/>
          <w:szCs w:val="24"/>
        </w:rPr>
        <w:t>p</w:t>
      </w:r>
      <w:r w:rsidRPr="009333DA">
        <w:rPr>
          <w:rFonts w:ascii="Times New Roman" w:hAnsi="Times New Roman"/>
          <w:sz w:val="24"/>
          <w:szCs w:val="24"/>
        </w:rPr>
        <w:t>lan</w:t>
      </w:r>
      <w:r w:rsidR="0060128E" w:rsidRPr="009333DA">
        <w:rPr>
          <w:rFonts w:ascii="Times New Roman" w:hAnsi="Times New Roman"/>
          <w:sz w:val="24"/>
          <w:szCs w:val="24"/>
        </w:rPr>
        <w:t>s</w:t>
      </w:r>
      <w:r w:rsidR="00334FA6" w:rsidRPr="009333DA">
        <w:rPr>
          <w:rFonts w:ascii="Times New Roman" w:hAnsi="Times New Roman"/>
          <w:sz w:val="24"/>
          <w:szCs w:val="24"/>
        </w:rPr>
        <w:t>; and</w:t>
      </w:r>
    </w:p>
    <w:p w:rsidR="00334FA6" w:rsidRPr="009333DA" w:rsidRDefault="00334FA6" w:rsidP="00DF1C2F">
      <w:pPr>
        <w:numPr>
          <w:ilvl w:val="0"/>
          <w:numId w:val="12"/>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other </w:t>
      </w:r>
      <w:r w:rsidR="00476245" w:rsidRPr="009333DA">
        <w:rPr>
          <w:rFonts w:ascii="Times New Roman" w:hAnsi="Times New Roman"/>
          <w:sz w:val="24"/>
          <w:szCs w:val="24"/>
        </w:rPr>
        <w:t xml:space="preserve">risks that may have a material impact on the </w:t>
      </w:r>
      <w:r w:rsidR="00760F16" w:rsidRPr="009333DA">
        <w:rPr>
          <w:rFonts w:ascii="Times New Roman" w:hAnsi="Times New Roman"/>
          <w:sz w:val="24"/>
          <w:szCs w:val="24"/>
        </w:rPr>
        <w:t xml:space="preserve">RSE licensee’s </w:t>
      </w:r>
      <w:r w:rsidR="00E35DC3" w:rsidRPr="009333DA">
        <w:rPr>
          <w:rFonts w:ascii="Times New Roman" w:hAnsi="Times New Roman"/>
          <w:sz w:val="24"/>
          <w:szCs w:val="24"/>
        </w:rPr>
        <w:t>business operations</w:t>
      </w:r>
      <w:r w:rsidR="00476245" w:rsidRPr="009333DA">
        <w:rPr>
          <w:rFonts w:ascii="Times New Roman" w:hAnsi="Times New Roman"/>
          <w:sz w:val="24"/>
          <w:szCs w:val="24"/>
        </w:rPr>
        <w:t>.</w:t>
      </w:r>
    </w:p>
    <w:p w:rsidR="00747A18" w:rsidRPr="009333DA" w:rsidRDefault="003847B9">
      <w:pPr>
        <w:pStyle w:val="ListParagraph"/>
        <w:numPr>
          <w:ilvl w:val="0"/>
          <w:numId w:val="3"/>
        </w:numPr>
        <w:spacing w:before="0" w:after="240"/>
        <w:jc w:val="both"/>
        <w:rPr>
          <w:rFonts w:ascii="Times New Roman" w:hAnsi="Times New Roman"/>
          <w:sz w:val="24"/>
          <w:szCs w:val="24"/>
        </w:rPr>
      </w:pPr>
      <w:bookmarkStart w:id="12" w:name="_Ref316477840"/>
      <w:r w:rsidRPr="009333DA">
        <w:rPr>
          <w:rFonts w:ascii="Times New Roman" w:hAnsi="Times New Roman"/>
          <w:sz w:val="24"/>
          <w:szCs w:val="24"/>
        </w:rPr>
        <w:t xml:space="preserve">Where an RSE licensee conducts business that has a purpose other </w:t>
      </w:r>
      <w:r w:rsidR="00D95B13" w:rsidRPr="009333DA">
        <w:rPr>
          <w:rFonts w:ascii="Times New Roman" w:hAnsi="Times New Roman"/>
          <w:sz w:val="24"/>
          <w:szCs w:val="24"/>
        </w:rPr>
        <w:t xml:space="preserve">than </w:t>
      </w:r>
      <w:r w:rsidR="00760F16" w:rsidRPr="009333DA">
        <w:rPr>
          <w:rFonts w:ascii="Times New Roman" w:hAnsi="Times New Roman"/>
          <w:sz w:val="24"/>
          <w:szCs w:val="24"/>
        </w:rPr>
        <w:t>superannuation</w:t>
      </w:r>
      <w:r w:rsidR="009C19B7" w:rsidRPr="009333DA">
        <w:rPr>
          <w:rStyle w:val="FootnoteReference"/>
          <w:rFonts w:ascii="Times New Roman" w:hAnsi="Times New Roman"/>
          <w:sz w:val="24"/>
          <w:szCs w:val="24"/>
        </w:rPr>
        <w:footnoteReference w:id="11"/>
      </w:r>
      <w:r w:rsidR="00173111" w:rsidRPr="009333DA">
        <w:rPr>
          <w:rFonts w:ascii="Times New Roman" w:hAnsi="Times New Roman"/>
          <w:sz w:val="24"/>
          <w:szCs w:val="24"/>
        </w:rPr>
        <w:t>,</w:t>
      </w:r>
      <w:r w:rsidRPr="009333DA">
        <w:rPr>
          <w:rFonts w:ascii="Times New Roman" w:hAnsi="Times New Roman"/>
          <w:sz w:val="24"/>
          <w:szCs w:val="24"/>
        </w:rPr>
        <w:t xml:space="preserve"> </w:t>
      </w:r>
      <w:r w:rsidR="00E847CD" w:rsidRPr="009333DA">
        <w:rPr>
          <w:rFonts w:ascii="Times New Roman" w:hAnsi="Times New Roman"/>
          <w:sz w:val="24"/>
          <w:szCs w:val="24"/>
        </w:rPr>
        <w:t>its</w:t>
      </w:r>
      <w:r w:rsidRPr="009333DA">
        <w:rPr>
          <w:rFonts w:ascii="Times New Roman" w:hAnsi="Times New Roman"/>
          <w:sz w:val="24"/>
          <w:szCs w:val="24"/>
        </w:rPr>
        <w:t xml:space="preserve"> </w:t>
      </w:r>
      <w:r w:rsidR="00863C82" w:rsidRPr="009333DA">
        <w:rPr>
          <w:rFonts w:ascii="Times New Roman" w:hAnsi="Times New Roman"/>
          <w:sz w:val="24"/>
          <w:szCs w:val="24"/>
        </w:rPr>
        <w:t>risk management framework</w:t>
      </w:r>
      <w:r w:rsidRPr="009333DA">
        <w:rPr>
          <w:rFonts w:ascii="Times New Roman" w:hAnsi="Times New Roman"/>
          <w:sz w:val="24"/>
          <w:szCs w:val="24"/>
        </w:rPr>
        <w:t xml:space="preserve"> must cover </w:t>
      </w:r>
      <w:r w:rsidR="00E35DC3" w:rsidRPr="009333DA">
        <w:rPr>
          <w:rFonts w:ascii="Times New Roman" w:hAnsi="Times New Roman"/>
          <w:sz w:val="24"/>
          <w:szCs w:val="24"/>
        </w:rPr>
        <w:t xml:space="preserve">all </w:t>
      </w:r>
      <w:r w:rsidR="00AD1120" w:rsidRPr="009333DA">
        <w:rPr>
          <w:rFonts w:ascii="Times New Roman" w:hAnsi="Times New Roman"/>
          <w:sz w:val="24"/>
          <w:szCs w:val="24"/>
        </w:rPr>
        <w:t xml:space="preserve">material </w:t>
      </w:r>
      <w:r w:rsidR="008D1F00" w:rsidRPr="009333DA">
        <w:rPr>
          <w:rFonts w:ascii="Times New Roman" w:hAnsi="Times New Roman"/>
          <w:sz w:val="24"/>
          <w:szCs w:val="24"/>
        </w:rPr>
        <w:t xml:space="preserve">contagion </w:t>
      </w:r>
      <w:r w:rsidRPr="009333DA">
        <w:rPr>
          <w:rFonts w:ascii="Times New Roman" w:hAnsi="Times New Roman"/>
          <w:sz w:val="24"/>
          <w:szCs w:val="24"/>
        </w:rPr>
        <w:t xml:space="preserve">risks </w:t>
      </w:r>
      <w:r w:rsidR="00AD1120" w:rsidRPr="009333DA">
        <w:rPr>
          <w:rFonts w:ascii="Times New Roman" w:hAnsi="Times New Roman"/>
          <w:sz w:val="24"/>
          <w:szCs w:val="24"/>
        </w:rPr>
        <w:t>that any non</w:t>
      </w:r>
      <w:r w:rsidR="00E35DC3" w:rsidRPr="009333DA">
        <w:rPr>
          <w:rFonts w:ascii="Times New Roman" w:hAnsi="Times New Roman"/>
          <w:sz w:val="24"/>
          <w:szCs w:val="24"/>
        </w:rPr>
        <w:t>-</w:t>
      </w:r>
      <w:r w:rsidR="00AD1120" w:rsidRPr="009333DA">
        <w:rPr>
          <w:rFonts w:ascii="Times New Roman" w:hAnsi="Times New Roman"/>
          <w:sz w:val="24"/>
          <w:szCs w:val="24"/>
        </w:rPr>
        <w:t xml:space="preserve">superannuation </w:t>
      </w:r>
      <w:r w:rsidRPr="009333DA">
        <w:rPr>
          <w:rFonts w:ascii="Times New Roman" w:hAnsi="Times New Roman"/>
          <w:sz w:val="24"/>
          <w:szCs w:val="24"/>
        </w:rPr>
        <w:t xml:space="preserve">business conducted by the RSE licensee </w:t>
      </w:r>
      <w:r w:rsidR="005C4B27" w:rsidRPr="009333DA">
        <w:rPr>
          <w:rFonts w:ascii="Times New Roman" w:hAnsi="Times New Roman"/>
          <w:sz w:val="24"/>
          <w:szCs w:val="24"/>
        </w:rPr>
        <w:t xml:space="preserve">might have </w:t>
      </w:r>
      <w:r w:rsidRPr="009333DA">
        <w:rPr>
          <w:rFonts w:ascii="Times New Roman" w:hAnsi="Times New Roman"/>
          <w:sz w:val="24"/>
          <w:szCs w:val="24"/>
        </w:rPr>
        <w:t>on the superannuation business.</w:t>
      </w:r>
      <w:bookmarkEnd w:id="12"/>
    </w:p>
    <w:p w:rsidR="0085603C" w:rsidRPr="009333DA" w:rsidRDefault="00ED25DC" w:rsidP="00B741BD">
      <w:pPr>
        <w:pStyle w:val="Heading3"/>
      </w:pPr>
      <w:r w:rsidRPr="009333DA">
        <w:lastRenderedPageBreak/>
        <w:t>Risk management framework</w:t>
      </w:r>
      <w:bookmarkEnd w:id="7"/>
    </w:p>
    <w:p w:rsidR="00C422EB" w:rsidRPr="009333DA" w:rsidRDefault="00C422EB" w:rsidP="00C422EB">
      <w:pPr>
        <w:numPr>
          <w:ilvl w:val="0"/>
          <w:numId w:val="3"/>
        </w:numPr>
        <w:spacing w:before="0" w:after="240"/>
        <w:jc w:val="both"/>
        <w:rPr>
          <w:rFonts w:ascii="Times New Roman" w:hAnsi="Times New Roman"/>
          <w:sz w:val="24"/>
          <w:szCs w:val="24"/>
        </w:rPr>
      </w:pPr>
      <w:r w:rsidRPr="009333DA">
        <w:rPr>
          <w:rFonts w:ascii="Times New Roman" w:eastAsia="Calibri" w:hAnsi="Times New Roman"/>
          <w:sz w:val="24"/>
          <w:szCs w:val="24"/>
          <w:lang w:eastAsia="en-AU"/>
        </w:rPr>
        <w:t xml:space="preserve">An RSE licensee’s risk management framework </w:t>
      </w:r>
      <w:r w:rsidRPr="009333DA">
        <w:rPr>
          <w:rFonts w:ascii="Times New Roman" w:hAnsi="Times New Roman"/>
          <w:sz w:val="24"/>
          <w:szCs w:val="24"/>
        </w:rPr>
        <w:t>mu</w:t>
      </w:r>
      <w:r w:rsidRPr="009333DA">
        <w:rPr>
          <w:rFonts w:ascii="Times New Roman" w:eastAsia="Calibri" w:hAnsi="Times New Roman"/>
          <w:sz w:val="24"/>
          <w:szCs w:val="24"/>
          <w:lang w:eastAsia="en-AU"/>
        </w:rPr>
        <w:t xml:space="preserve">st enable the RSE licensee to </w:t>
      </w:r>
      <w:r w:rsidR="00F64E75" w:rsidRPr="009333DA">
        <w:rPr>
          <w:rFonts w:ascii="Times New Roman" w:eastAsia="Calibri" w:hAnsi="Times New Roman"/>
          <w:sz w:val="24"/>
          <w:szCs w:val="24"/>
          <w:lang w:eastAsia="en-AU"/>
        </w:rPr>
        <w:t xml:space="preserve">develop </w:t>
      </w:r>
      <w:r w:rsidRPr="009333DA">
        <w:rPr>
          <w:rFonts w:ascii="Times New Roman" w:eastAsia="Calibri" w:hAnsi="Times New Roman"/>
          <w:sz w:val="24"/>
          <w:szCs w:val="24"/>
          <w:lang w:eastAsia="en-AU"/>
        </w:rPr>
        <w:t>and implement strategies, policies</w:t>
      </w:r>
      <w:r w:rsidR="00F64E75" w:rsidRPr="009333DA">
        <w:rPr>
          <w:rFonts w:ascii="Times New Roman" w:eastAsia="Calibri" w:hAnsi="Times New Roman"/>
          <w:sz w:val="24"/>
          <w:szCs w:val="24"/>
          <w:lang w:eastAsia="en-AU"/>
        </w:rPr>
        <w:t>, procedures and controls</w:t>
      </w:r>
      <w:r w:rsidRPr="009333DA">
        <w:rPr>
          <w:rFonts w:ascii="Times New Roman" w:eastAsia="Calibri" w:hAnsi="Times New Roman"/>
          <w:sz w:val="24"/>
          <w:szCs w:val="24"/>
          <w:lang w:eastAsia="en-AU"/>
        </w:rPr>
        <w:t xml:space="preserve"> to appropriately manage different types of </w:t>
      </w:r>
      <w:r w:rsidR="008B60EC" w:rsidRPr="009333DA">
        <w:rPr>
          <w:rFonts w:ascii="Times New Roman" w:eastAsia="Calibri" w:hAnsi="Times New Roman"/>
          <w:sz w:val="24"/>
          <w:szCs w:val="24"/>
          <w:lang w:eastAsia="en-AU"/>
        </w:rPr>
        <w:t xml:space="preserve">material </w:t>
      </w:r>
      <w:r w:rsidRPr="009333DA">
        <w:rPr>
          <w:rFonts w:ascii="Times New Roman" w:eastAsia="Calibri" w:hAnsi="Times New Roman"/>
          <w:sz w:val="24"/>
          <w:szCs w:val="24"/>
          <w:lang w:eastAsia="en-AU"/>
        </w:rPr>
        <w:t>risk.</w:t>
      </w:r>
      <w:r w:rsidR="0094019B" w:rsidRPr="009333DA">
        <w:rPr>
          <w:rFonts w:ascii="Times New Roman" w:eastAsia="Calibri" w:hAnsi="Times New Roman"/>
          <w:sz w:val="24"/>
          <w:szCs w:val="24"/>
          <w:lang w:eastAsia="en-AU"/>
        </w:rPr>
        <w:t xml:space="preserve"> </w:t>
      </w:r>
    </w:p>
    <w:p w:rsidR="00B96E3B" w:rsidRPr="009333DA" w:rsidRDefault="00B96E3B" w:rsidP="00B96E3B">
      <w:pPr>
        <w:numPr>
          <w:ilvl w:val="0"/>
          <w:numId w:val="3"/>
        </w:numPr>
        <w:spacing w:before="0" w:after="240"/>
        <w:jc w:val="both"/>
        <w:rPr>
          <w:rFonts w:ascii="Times New Roman" w:hAnsi="Times New Roman"/>
          <w:sz w:val="24"/>
          <w:szCs w:val="24"/>
        </w:rPr>
      </w:pPr>
      <w:r w:rsidRPr="009333DA">
        <w:rPr>
          <w:rFonts w:ascii="Times New Roman" w:eastAsia="Calibri" w:hAnsi="Times New Roman"/>
          <w:sz w:val="24"/>
          <w:szCs w:val="24"/>
          <w:lang w:eastAsia="en-AU"/>
        </w:rPr>
        <w:t xml:space="preserve">An RSE licensee’s </w:t>
      </w:r>
      <w:r w:rsidR="00234348" w:rsidRPr="009333DA">
        <w:rPr>
          <w:rFonts w:ascii="Times New Roman" w:eastAsia="Calibri" w:hAnsi="Times New Roman"/>
          <w:sz w:val="24"/>
          <w:szCs w:val="24"/>
          <w:lang w:eastAsia="en-AU"/>
        </w:rPr>
        <w:t>risk management framework</w:t>
      </w:r>
      <w:r w:rsidRPr="009333DA">
        <w:rPr>
          <w:rFonts w:ascii="Times New Roman" w:eastAsia="Calibri" w:hAnsi="Times New Roman"/>
          <w:sz w:val="24"/>
          <w:szCs w:val="24"/>
          <w:lang w:eastAsia="en-AU"/>
        </w:rPr>
        <w:t xml:space="preserve"> must provide reasonable assurance that </w:t>
      </w:r>
      <w:r w:rsidR="00CE15F4" w:rsidRPr="009333DA">
        <w:rPr>
          <w:rFonts w:ascii="Times New Roman" w:eastAsia="Calibri" w:hAnsi="Times New Roman"/>
          <w:sz w:val="24"/>
          <w:szCs w:val="24"/>
          <w:lang w:eastAsia="en-AU"/>
        </w:rPr>
        <w:t>each material risk</w:t>
      </w:r>
      <w:r w:rsidRPr="009333DA">
        <w:rPr>
          <w:rFonts w:ascii="Times New Roman" w:eastAsia="Calibri" w:hAnsi="Times New Roman"/>
          <w:sz w:val="24"/>
          <w:szCs w:val="24"/>
          <w:lang w:eastAsia="en-AU"/>
        </w:rPr>
        <w:t xml:space="preserve"> to the RSE licensee’s business operations </w:t>
      </w:r>
      <w:r w:rsidR="00CE15F4" w:rsidRPr="009333DA">
        <w:rPr>
          <w:rFonts w:ascii="Times New Roman" w:eastAsia="Calibri" w:hAnsi="Times New Roman"/>
          <w:sz w:val="24"/>
          <w:szCs w:val="24"/>
          <w:lang w:eastAsia="en-AU"/>
        </w:rPr>
        <w:t>is</w:t>
      </w:r>
      <w:r w:rsidRPr="009333DA">
        <w:rPr>
          <w:rFonts w:ascii="Times New Roman" w:eastAsia="Calibri" w:hAnsi="Times New Roman"/>
          <w:sz w:val="24"/>
          <w:szCs w:val="24"/>
          <w:lang w:eastAsia="en-AU"/>
        </w:rPr>
        <w:t xml:space="preserve"> being prudently and soundly managed, having regard to the size, business mix and complexity of those operations.</w:t>
      </w:r>
    </w:p>
    <w:p w:rsidR="0085603C" w:rsidRPr="009333DA" w:rsidRDefault="00476245" w:rsidP="006845F8">
      <w:pPr>
        <w:numPr>
          <w:ilvl w:val="0"/>
          <w:numId w:val="3"/>
        </w:numPr>
        <w:spacing w:before="0" w:after="240"/>
        <w:jc w:val="both"/>
        <w:rPr>
          <w:rFonts w:ascii="Times New Roman" w:hAnsi="Times New Roman"/>
          <w:sz w:val="24"/>
          <w:szCs w:val="24"/>
        </w:rPr>
      </w:pPr>
      <w:bookmarkStart w:id="13" w:name="_Ref316477777"/>
      <w:r w:rsidRPr="009333DA">
        <w:rPr>
          <w:rFonts w:ascii="Times New Roman" w:hAnsi="Times New Roman"/>
          <w:sz w:val="24"/>
          <w:szCs w:val="24"/>
        </w:rPr>
        <w:t xml:space="preserve">An RSE licensee’s </w:t>
      </w:r>
      <w:r w:rsidR="00234348" w:rsidRPr="009333DA">
        <w:rPr>
          <w:rFonts w:ascii="Times New Roman" w:hAnsi="Times New Roman"/>
          <w:sz w:val="24"/>
          <w:szCs w:val="24"/>
        </w:rPr>
        <w:t>risk management framework</w:t>
      </w:r>
      <w:r w:rsidRPr="009333DA">
        <w:rPr>
          <w:rFonts w:ascii="Times New Roman" w:hAnsi="Times New Roman"/>
          <w:sz w:val="24"/>
          <w:szCs w:val="24"/>
        </w:rPr>
        <w:t xml:space="preserve"> must</w:t>
      </w:r>
      <w:r w:rsidR="00AF3ADE" w:rsidRPr="009333DA">
        <w:rPr>
          <w:rFonts w:ascii="Times New Roman" w:hAnsi="Times New Roman"/>
          <w:sz w:val="24"/>
          <w:szCs w:val="24"/>
        </w:rPr>
        <w:t>, at a minimum, include:</w:t>
      </w:r>
      <w:bookmarkEnd w:id="13"/>
    </w:p>
    <w:p w:rsidR="00471AA4" w:rsidRPr="009333DA" w:rsidRDefault="00F47FDF" w:rsidP="0085603C">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the</w:t>
      </w:r>
      <w:r w:rsidR="00471AA4" w:rsidRPr="009333DA">
        <w:rPr>
          <w:rFonts w:ascii="Times New Roman" w:hAnsi="Times New Roman"/>
          <w:sz w:val="24"/>
          <w:szCs w:val="24"/>
        </w:rPr>
        <w:t xml:space="preserve"> </w:t>
      </w:r>
      <w:r w:rsidR="0068191D" w:rsidRPr="009333DA">
        <w:rPr>
          <w:rFonts w:ascii="Times New Roman" w:hAnsi="Times New Roman"/>
          <w:sz w:val="24"/>
          <w:szCs w:val="24"/>
        </w:rPr>
        <w:t>r</w:t>
      </w:r>
      <w:r w:rsidR="00471AA4" w:rsidRPr="009333DA">
        <w:rPr>
          <w:rFonts w:ascii="Times New Roman" w:hAnsi="Times New Roman"/>
          <w:sz w:val="24"/>
          <w:szCs w:val="24"/>
        </w:rPr>
        <w:t xml:space="preserve">isk </w:t>
      </w:r>
      <w:r w:rsidR="0068191D" w:rsidRPr="009333DA">
        <w:rPr>
          <w:rFonts w:ascii="Times New Roman" w:hAnsi="Times New Roman"/>
          <w:sz w:val="24"/>
          <w:szCs w:val="24"/>
        </w:rPr>
        <w:t>a</w:t>
      </w:r>
      <w:r w:rsidR="00471AA4" w:rsidRPr="009333DA">
        <w:rPr>
          <w:rFonts w:ascii="Times New Roman" w:hAnsi="Times New Roman"/>
          <w:sz w:val="24"/>
          <w:szCs w:val="24"/>
        </w:rPr>
        <w:t xml:space="preserve">ppetite </w:t>
      </w:r>
      <w:r w:rsidR="0068191D" w:rsidRPr="009333DA">
        <w:rPr>
          <w:rFonts w:ascii="Times New Roman" w:hAnsi="Times New Roman"/>
          <w:sz w:val="24"/>
          <w:szCs w:val="24"/>
        </w:rPr>
        <w:t>s</w:t>
      </w:r>
      <w:r w:rsidR="00471AA4" w:rsidRPr="009333DA">
        <w:rPr>
          <w:rFonts w:ascii="Times New Roman" w:hAnsi="Times New Roman"/>
          <w:sz w:val="24"/>
          <w:szCs w:val="24"/>
        </w:rPr>
        <w:t xml:space="preserve">tatement; </w:t>
      </w:r>
    </w:p>
    <w:p w:rsidR="00E55F0F" w:rsidRPr="009333DA" w:rsidRDefault="00821C2D" w:rsidP="00E55F0F">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the</w:t>
      </w:r>
      <w:r w:rsidR="00E55F0F" w:rsidRPr="009333DA">
        <w:rPr>
          <w:rFonts w:ascii="Times New Roman" w:hAnsi="Times New Roman"/>
          <w:sz w:val="24"/>
          <w:szCs w:val="24"/>
        </w:rPr>
        <w:t xml:space="preserve"> </w:t>
      </w:r>
      <w:r w:rsidR="0068191D" w:rsidRPr="009333DA">
        <w:rPr>
          <w:rFonts w:ascii="Times New Roman" w:hAnsi="Times New Roman"/>
          <w:sz w:val="24"/>
          <w:szCs w:val="24"/>
        </w:rPr>
        <w:t>r</w:t>
      </w:r>
      <w:r w:rsidR="00E55F0F" w:rsidRPr="009333DA">
        <w:rPr>
          <w:rFonts w:ascii="Times New Roman" w:hAnsi="Times New Roman"/>
          <w:sz w:val="24"/>
          <w:szCs w:val="24"/>
        </w:rPr>
        <w:t xml:space="preserve">isk </w:t>
      </w:r>
      <w:r w:rsidR="0068191D" w:rsidRPr="009333DA">
        <w:rPr>
          <w:rFonts w:ascii="Times New Roman" w:hAnsi="Times New Roman"/>
          <w:sz w:val="24"/>
          <w:szCs w:val="24"/>
        </w:rPr>
        <w:t>m</w:t>
      </w:r>
      <w:r w:rsidR="00E55F0F" w:rsidRPr="009333DA">
        <w:rPr>
          <w:rFonts w:ascii="Times New Roman" w:hAnsi="Times New Roman"/>
          <w:sz w:val="24"/>
          <w:szCs w:val="24"/>
        </w:rPr>
        <w:t xml:space="preserve">anagement </w:t>
      </w:r>
      <w:r w:rsidR="0068191D" w:rsidRPr="009333DA">
        <w:rPr>
          <w:rFonts w:ascii="Times New Roman" w:hAnsi="Times New Roman"/>
          <w:sz w:val="24"/>
          <w:szCs w:val="24"/>
        </w:rPr>
        <w:t>s</w:t>
      </w:r>
      <w:r w:rsidR="00E55F0F" w:rsidRPr="009333DA">
        <w:rPr>
          <w:rFonts w:ascii="Times New Roman" w:hAnsi="Times New Roman"/>
          <w:sz w:val="24"/>
          <w:szCs w:val="24"/>
        </w:rPr>
        <w:t>trategy (</w:t>
      </w:r>
      <w:r w:rsidR="00E55F0F" w:rsidRPr="009333DA">
        <w:rPr>
          <w:rFonts w:ascii="Times New Roman" w:hAnsi="Times New Roman"/>
          <w:sz w:val="24"/>
        </w:rPr>
        <w:t>RMS</w:t>
      </w:r>
      <w:r w:rsidR="00E55F0F" w:rsidRPr="009333DA">
        <w:rPr>
          <w:rFonts w:ascii="Times New Roman" w:hAnsi="Times New Roman"/>
          <w:sz w:val="24"/>
          <w:szCs w:val="24"/>
        </w:rPr>
        <w:t>);</w:t>
      </w:r>
    </w:p>
    <w:p w:rsidR="001340FA" w:rsidRPr="009333DA" w:rsidRDefault="002F6AFC" w:rsidP="0085603C">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a</w:t>
      </w:r>
      <w:r w:rsidR="005B1A23" w:rsidRPr="009333DA">
        <w:rPr>
          <w:rFonts w:ascii="Times New Roman" w:hAnsi="Times New Roman"/>
          <w:sz w:val="24"/>
          <w:szCs w:val="24"/>
        </w:rPr>
        <w:t xml:space="preserve"> </w:t>
      </w:r>
      <w:r w:rsidR="00E847CD" w:rsidRPr="009333DA">
        <w:rPr>
          <w:rFonts w:ascii="Times New Roman" w:hAnsi="Times New Roman"/>
          <w:sz w:val="24"/>
          <w:szCs w:val="24"/>
        </w:rPr>
        <w:t>designated</w:t>
      </w:r>
      <w:r w:rsidR="005B1A23" w:rsidRPr="009333DA">
        <w:rPr>
          <w:rFonts w:ascii="Times New Roman" w:hAnsi="Times New Roman"/>
          <w:sz w:val="24"/>
          <w:szCs w:val="24"/>
        </w:rPr>
        <w:t xml:space="preserve"> risk management function</w:t>
      </w:r>
      <w:r w:rsidR="00405439" w:rsidRPr="009333DA">
        <w:rPr>
          <w:rFonts w:ascii="Times New Roman" w:hAnsi="Times New Roman"/>
          <w:sz w:val="24"/>
          <w:szCs w:val="24"/>
        </w:rPr>
        <w:t xml:space="preserve"> that meets the requirements of para</w:t>
      </w:r>
      <w:r w:rsidR="00D21E1C" w:rsidRPr="009333DA">
        <w:rPr>
          <w:rFonts w:ascii="Times New Roman" w:hAnsi="Times New Roman"/>
          <w:sz w:val="24"/>
          <w:szCs w:val="24"/>
        </w:rPr>
        <w:t>graph</w:t>
      </w:r>
      <w:r w:rsidR="00405439" w:rsidRPr="009333DA">
        <w:rPr>
          <w:rFonts w:ascii="Times New Roman" w:hAnsi="Times New Roman"/>
          <w:sz w:val="24"/>
          <w:szCs w:val="24"/>
        </w:rPr>
        <w:t xml:space="preserve"> </w:t>
      </w:r>
      <w:r w:rsidR="00520CD8" w:rsidRPr="009333DA">
        <w:rPr>
          <w:rFonts w:ascii="Times New Roman" w:hAnsi="Times New Roman"/>
          <w:sz w:val="24"/>
          <w:szCs w:val="24"/>
        </w:rPr>
        <w:fldChar w:fldCharType="begin"/>
      </w:r>
      <w:r w:rsidR="00CC478D" w:rsidRPr="009333DA">
        <w:rPr>
          <w:rFonts w:ascii="Times New Roman" w:hAnsi="Times New Roman"/>
          <w:sz w:val="24"/>
          <w:szCs w:val="24"/>
        </w:rPr>
        <w:instrText xml:space="preserve"> REF _Ref314637997 \r \h </w:instrText>
      </w:r>
      <w:r w:rsidR="00527F05" w:rsidRPr="009333DA">
        <w:rPr>
          <w:rFonts w:ascii="Times New Roman" w:hAnsi="Times New Roman"/>
          <w:sz w:val="24"/>
          <w:szCs w:val="24"/>
        </w:rPr>
        <w:instrText xml:space="preserve"> \* MERGEFORMAT </w:instrText>
      </w:r>
      <w:r w:rsidR="00520CD8" w:rsidRPr="009333DA">
        <w:rPr>
          <w:rFonts w:ascii="Times New Roman" w:hAnsi="Times New Roman"/>
          <w:sz w:val="24"/>
          <w:szCs w:val="24"/>
        </w:rPr>
      </w:r>
      <w:r w:rsidR="00520CD8" w:rsidRPr="009333DA">
        <w:rPr>
          <w:rFonts w:ascii="Times New Roman" w:hAnsi="Times New Roman"/>
          <w:sz w:val="24"/>
          <w:szCs w:val="24"/>
        </w:rPr>
        <w:fldChar w:fldCharType="separate"/>
      </w:r>
      <w:r w:rsidR="000939C5">
        <w:rPr>
          <w:rFonts w:ascii="Times New Roman" w:hAnsi="Times New Roman"/>
          <w:sz w:val="24"/>
          <w:szCs w:val="24"/>
        </w:rPr>
        <w:t>24</w:t>
      </w:r>
      <w:r w:rsidR="00520CD8" w:rsidRPr="009333DA">
        <w:rPr>
          <w:rFonts w:ascii="Times New Roman" w:hAnsi="Times New Roman"/>
          <w:sz w:val="24"/>
          <w:szCs w:val="24"/>
        </w:rPr>
        <w:fldChar w:fldCharType="end"/>
      </w:r>
      <w:r w:rsidR="005B1A23" w:rsidRPr="009333DA">
        <w:rPr>
          <w:rFonts w:ascii="Times New Roman" w:hAnsi="Times New Roman"/>
          <w:sz w:val="24"/>
          <w:szCs w:val="24"/>
        </w:rPr>
        <w:t>;</w:t>
      </w:r>
    </w:p>
    <w:p w:rsidR="00FB3CDB" w:rsidRPr="009333DA" w:rsidRDefault="00821C2D" w:rsidP="00FB3CDB">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all </w:t>
      </w:r>
      <w:r w:rsidR="0085603C" w:rsidRPr="009333DA">
        <w:rPr>
          <w:rFonts w:ascii="Times New Roman" w:hAnsi="Times New Roman"/>
          <w:sz w:val="24"/>
          <w:szCs w:val="24"/>
        </w:rPr>
        <w:t xml:space="preserve">risk management policies, </w:t>
      </w:r>
      <w:r w:rsidR="00B75B59" w:rsidRPr="009333DA">
        <w:rPr>
          <w:rFonts w:ascii="Times New Roman" w:hAnsi="Times New Roman"/>
          <w:sz w:val="24"/>
          <w:szCs w:val="24"/>
        </w:rPr>
        <w:t xml:space="preserve">procedures and </w:t>
      </w:r>
      <w:r w:rsidR="0085603C" w:rsidRPr="009333DA">
        <w:rPr>
          <w:rFonts w:ascii="Times New Roman" w:hAnsi="Times New Roman"/>
          <w:sz w:val="24"/>
          <w:szCs w:val="24"/>
        </w:rPr>
        <w:t xml:space="preserve">controls </w:t>
      </w:r>
      <w:r w:rsidR="00B75B59" w:rsidRPr="009333DA">
        <w:rPr>
          <w:rFonts w:ascii="Times New Roman" w:hAnsi="Times New Roman"/>
          <w:sz w:val="24"/>
          <w:szCs w:val="24"/>
        </w:rPr>
        <w:t xml:space="preserve">to </w:t>
      </w:r>
      <w:r w:rsidR="00270162" w:rsidRPr="009333DA">
        <w:rPr>
          <w:rFonts w:ascii="Times New Roman" w:hAnsi="Times New Roman"/>
          <w:sz w:val="24"/>
          <w:szCs w:val="24"/>
        </w:rPr>
        <w:t>i</w:t>
      </w:r>
      <w:r w:rsidR="0085603C" w:rsidRPr="009333DA">
        <w:rPr>
          <w:rFonts w:ascii="Times New Roman" w:hAnsi="Times New Roman"/>
          <w:sz w:val="24"/>
          <w:szCs w:val="24"/>
        </w:rPr>
        <w:t>dentify, assess, monitor, report on</w:t>
      </w:r>
      <w:r w:rsidR="00DC3880" w:rsidRPr="009333DA">
        <w:rPr>
          <w:rFonts w:ascii="Times New Roman" w:hAnsi="Times New Roman"/>
          <w:sz w:val="24"/>
          <w:szCs w:val="24"/>
        </w:rPr>
        <w:t>,</w:t>
      </w:r>
      <w:r w:rsidR="0085603C" w:rsidRPr="009333DA">
        <w:rPr>
          <w:rFonts w:ascii="Times New Roman" w:hAnsi="Times New Roman"/>
          <w:sz w:val="24"/>
          <w:szCs w:val="24"/>
        </w:rPr>
        <w:t xml:space="preserve"> mitigate </w:t>
      </w:r>
      <w:r w:rsidR="00DC3880" w:rsidRPr="009333DA">
        <w:rPr>
          <w:rFonts w:ascii="Times New Roman" w:hAnsi="Times New Roman"/>
          <w:sz w:val="24"/>
          <w:szCs w:val="24"/>
        </w:rPr>
        <w:t xml:space="preserve">and manage </w:t>
      </w:r>
      <w:r w:rsidRPr="009333DA">
        <w:rPr>
          <w:rFonts w:ascii="Times New Roman" w:hAnsi="Times New Roman"/>
          <w:sz w:val="24"/>
          <w:szCs w:val="24"/>
        </w:rPr>
        <w:t xml:space="preserve">each </w:t>
      </w:r>
      <w:r w:rsidR="0085603C" w:rsidRPr="009333DA">
        <w:rPr>
          <w:rFonts w:ascii="Times New Roman" w:hAnsi="Times New Roman"/>
          <w:sz w:val="24"/>
          <w:szCs w:val="24"/>
        </w:rPr>
        <w:t>material risk</w:t>
      </w:r>
      <w:r w:rsidR="006E088D" w:rsidRPr="009333DA">
        <w:rPr>
          <w:rFonts w:ascii="Times New Roman" w:hAnsi="Times New Roman"/>
          <w:sz w:val="24"/>
          <w:szCs w:val="24"/>
        </w:rPr>
        <w:t>;</w:t>
      </w:r>
    </w:p>
    <w:p w:rsidR="009E4E60" w:rsidRPr="009333DA" w:rsidRDefault="00302C85" w:rsidP="00471AA4">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clearly defined and documented </w:t>
      </w:r>
      <w:r w:rsidR="00815B31" w:rsidRPr="009333DA">
        <w:rPr>
          <w:rFonts w:ascii="Times New Roman" w:hAnsi="Times New Roman"/>
          <w:sz w:val="24"/>
          <w:szCs w:val="24"/>
        </w:rPr>
        <w:t>roles</w:t>
      </w:r>
      <w:r w:rsidR="00535881" w:rsidRPr="009333DA">
        <w:rPr>
          <w:rFonts w:ascii="Times New Roman" w:hAnsi="Times New Roman"/>
          <w:sz w:val="24"/>
          <w:szCs w:val="24"/>
        </w:rPr>
        <w:t>,</w:t>
      </w:r>
      <w:r w:rsidR="00815B31" w:rsidRPr="009333DA">
        <w:rPr>
          <w:rFonts w:ascii="Times New Roman" w:hAnsi="Times New Roman"/>
          <w:sz w:val="24"/>
          <w:szCs w:val="24"/>
        </w:rPr>
        <w:t xml:space="preserve"> </w:t>
      </w:r>
      <w:r w:rsidRPr="009333DA">
        <w:rPr>
          <w:rFonts w:ascii="Times New Roman" w:hAnsi="Times New Roman"/>
          <w:sz w:val="24"/>
          <w:szCs w:val="24"/>
        </w:rPr>
        <w:t>responsibilities</w:t>
      </w:r>
      <w:r w:rsidR="00535881" w:rsidRPr="009333DA">
        <w:rPr>
          <w:rFonts w:ascii="Times New Roman" w:hAnsi="Times New Roman"/>
          <w:sz w:val="24"/>
          <w:szCs w:val="24"/>
        </w:rPr>
        <w:t xml:space="preserve"> and formal reporting structures</w:t>
      </w:r>
      <w:r w:rsidR="00815B31" w:rsidRPr="009333DA">
        <w:rPr>
          <w:rFonts w:ascii="Times New Roman" w:hAnsi="Times New Roman"/>
          <w:sz w:val="24"/>
          <w:szCs w:val="24"/>
        </w:rPr>
        <w:t xml:space="preserve"> </w:t>
      </w:r>
      <w:r w:rsidR="002C220C" w:rsidRPr="009333DA">
        <w:rPr>
          <w:rFonts w:ascii="Times New Roman" w:hAnsi="Times New Roman"/>
          <w:sz w:val="24"/>
          <w:szCs w:val="24"/>
        </w:rPr>
        <w:t xml:space="preserve">for the management of </w:t>
      </w:r>
      <w:r w:rsidR="002F6AFC" w:rsidRPr="009333DA">
        <w:rPr>
          <w:rFonts w:ascii="Times New Roman" w:hAnsi="Times New Roman"/>
          <w:sz w:val="24"/>
          <w:szCs w:val="24"/>
        </w:rPr>
        <w:t xml:space="preserve">material </w:t>
      </w:r>
      <w:r w:rsidR="002C220C" w:rsidRPr="009333DA">
        <w:rPr>
          <w:rFonts w:ascii="Times New Roman" w:hAnsi="Times New Roman"/>
          <w:sz w:val="24"/>
          <w:szCs w:val="24"/>
        </w:rPr>
        <w:t>risk</w:t>
      </w:r>
      <w:r w:rsidR="002F6AFC" w:rsidRPr="009333DA">
        <w:rPr>
          <w:rFonts w:ascii="Times New Roman" w:hAnsi="Times New Roman"/>
          <w:sz w:val="24"/>
          <w:szCs w:val="24"/>
        </w:rPr>
        <w:t>s</w:t>
      </w:r>
      <w:r w:rsidR="002C220C" w:rsidRPr="009333DA">
        <w:rPr>
          <w:rFonts w:ascii="Times New Roman" w:hAnsi="Times New Roman"/>
          <w:sz w:val="24"/>
          <w:szCs w:val="24"/>
        </w:rPr>
        <w:t xml:space="preserve"> through</w:t>
      </w:r>
      <w:r w:rsidR="006E088D" w:rsidRPr="009333DA">
        <w:rPr>
          <w:rFonts w:ascii="Times New Roman" w:hAnsi="Times New Roman"/>
          <w:sz w:val="24"/>
          <w:szCs w:val="24"/>
        </w:rPr>
        <w:t>out</w:t>
      </w:r>
      <w:r w:rsidR="002C220C" w:rsidRPr="009333DA">
        <w:rPr>
          <w:rFonts w:ascii="Times New Roman" w:hAnsi="Times New Roman"/>
          <w:sz w:val="24"/>
          <w:szCs w:val="24"/>
        </w:rPr>
        <w:t xml:space="preserve"> the RSE licensee’s business operations</w:t>
      </w:r>
      <w:r w:rsidR="006E088D" w:rsidRPr="009333DA">
        <w:rPr>
          <w:rFonts w:ascii="Times New Roman" w:hAnsi="Times New Roman"/>
          <w:sz w:val="24"/>
          <w:szCs w:val="24"/>
        </w:rPr>
        <w:t xml:space="preserve">; </w:t>
      </w:r>
    </w:p>
    <w:p w:rsidR="00502271" w:rsidRPr="009333DA" w:rsidRDefault="009E4E60" w:rsidP="00471AA4">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a management information system(s) (MIS) that is adequate, both under normal circumstances and in periods of stress, for measuring, assessing and reporting on all material risks across the </w:t>
      </w:r>
      <w:r w:rsidR="00584C25" w:rsidRPr="009333DA">
        <w:rPr>
          <w:rFonts w:ascii="Times New Roman" w:hAnsi="Times New Roman"/>
          <w:sz w:val="24"/>
          <w:szCs w:val="24"/>
        </w:rPr>
        <w:t>RSE licensee’s business operations</w:t>
      </w:r>
      <w:r w:rsidRPr="009333DA">
        <w:rPr>
          <w:rFonts w:ascii="Times New Roman" w:hAnsi="Times New Roman"/>
        </w:rPr>
        <w:t>;</w:t>
      </w:r>
      <w:r w:rsidRPr="009333DA">
        <w:rPr>
          <w:rFonts w:ascii="Times New Roman" w:hAnsi="Times New Roman"/>
          <w:sz w:val="24"/>
          <w:szCs w:val="24"/>
        </w:rPr>
        <w:t xml:space="preserve"> </w:t>
      </w:r>
      <w:r w:rsidR="006E088D" w:rsidRPr="009333DA">
        <w:rPr>
          <w:rFonts w:ascii="Times New Roman" w:hAnsi="Times New Roman"/>
          <w:sz w:val="24"/>
          <w:szCs w:val="24"/>
        </w:rPr>
        <w:t>and</w:t>
      </w:r>
    </w:p>
    <w:p w:rsidR="00747A18" w:rsidRPr="009333DA" w:rsidRDefault="004D3B4E" w:rsidP="00471AA4">
      <w:pPr>
        <w:numPr>
          <w:ilvl w:val="1"/>
          <w:numId w:val="11"/>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a </w:t>
      </w:r>
      <w:r w:rsidR="00B75B59" w:rsidRPr="009333DA">
        <w:rPr>
          <w:rFonts w:ascii="Times New Roman" w:hAnsi="Times New Roman"/>
          <w:sz w:val="24"/>
          <w:szCs w:val="24"/>
        </w:rPr>
        <w:t xml:space="preserve">review process to ensure that the </w:t>
      </w:r>
      <w:r w:rsidR="00234348" w:rsidRPr="009333DA">
        <w:rPr>
          <w:rFonts w:ascii="Times New Roman" w:hAnsi="Times New Roman"/>
          <w:sz w:val="24"/>
          <w:szCs w:val="24"/>
        </w:rPr>
        <w:t>risk management framework</w:t>
      </w:r>
      <w:r w:rsidR="00B75B59" w:rsidRPr="009333DA">
        <w:rPr>
          <w:rFonts w:ascii="Times New Roman" w:hAnsi="Times New Roman"/>
          <w:sz w:val="24"/>
          <w:szCs w:val="24"/>
        </w:rPr>
        <w:t xml:space="preserve"> remains effective</w:t>
      </w:r>
      <w:r w:rsidR="00471AA4" w:rsidRPr="009333DA">
        <w:rPr>
          <w:rFonts w:ascii="Times New Roman" w:hAnsi="Times New Roman"/>
          <w:sz w:val="24"/>
          <w:szCs w:val="24"/>
        </w:rPr>
        <w:t>.</w:t>
      </w:r>
    </w:p>
    <w:p w:rsidR="00502271" w:rsidRPr="009333DA" w:rsidRDefault="00C03646" w:rsidP="00502271">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Where </w:t>
      </w:r>
      <w:r w:rsidR="00502271" w:rsidRPr="009333DA">
        <w:rPr>
          <w:rFonts w:ascii="Times New Roman" w:hAnsi="Times New Roman"/>
          <w:sz w:val="24"/>
          <w:szCs w:val="24"/>
        </w:rPr>
        <w:t xml:space="preserve">an RSE licensee is </w:t>
      </w:r>
      <w:r w:rsidR="001175DF" w:rsidRPr="009333DA">
        <w:rPr>
          <w:rFonts w:ascii="Times New Roman" w:hAnsi="Times New Roman"/>
          <w:sz w:val="24"/>
          <w:szCs w:val="24"/>
        </w:rPr>
        <w:t>part of</w:t>
      </w:r>
      <w:r w:rsidR="00502271" w:rsidRPr="009333DA">
        <w:rPr>
          <w:rFonts w:ascii="Times New Roman" w:hAnsi="Times New Roman"/>
          <w:sz w:val="24"/>
          <w:szCs w:val="24"/>
        </w:rPr>
        <w:t xml:space="preserve"> a corporate group</w:t>
      </w:r>
      <w:r w:rsidRPr="009333DA">
        <w:rPr>
          <w:rFonts w:ascii="Times New Roman" w:hAnsi="Times New Roman"/>
          <w:sz w:val="24"/>
          <w:szCs w:val="24"/>
        </w:rPr>
        <w:t xml:space="preserve"> and </w:t>
      </w:r>
      <w:r w:rsidR="00502271" w:rsidRPr="009333DA">
        <w:rPr>
          <w:rFonts w:ascii="Times New Roman" w:hAnsi="Times New Roman"/>
          <w:sz w:val="24"/>
          <w:szCs w:val="24"/>
        </w:rPr>
        <w:t xml:space="preserve">any element of the RSE licensee’s </w:t>
      </w:r>
      <w:r w:rsidR="00234348" w:rsidRPr="009333DA">
        <w:rPr>
          <w:rFonts w:ascii="Times New Roman" w:hAnsi="Times New Roman"/>
          <w:sz w:val="24"/>
          <w:szCs w:val="24"/>
        </w:rPr>
        <w:t>risk management framework</w:t>
      </w:r>
      <w:r w:rsidR="00502271" w:rsidRPr="009333DA">
        <w:rPr>
          <w:rFonts w:ascii="Times New Roman" w:hAnsi="Times New Roman"/>
          <w:sz w:val="24"/>
          <w:szCs w:val="24"/>
        </w:rPr>
        <w:t xml:space="preserve"> is controlled </w:t>
      </w:r>
      <w:r w:rsidR="00F64E75" w:rsidRPr="009333DA">
        <w:rPr>
          <w:rFonts w:ascii="Times New Roman" w:hAnsi="Times New Roman"/>
          <w:sz w:val="24"/>
          <w:szCs w:val="24"/>
        </w:rPr>
        <w:t>or</w:t>
      </w:r>
      <w:r w:rsidR="00502271" w:rsidRPr="009333DA">
        <w:rPr>
          <w:rFonts w:ascii="Times New Roman" w:hAnsi="Times New Roman"/>
          <w:sz w:val="24"/>
          <w:szCs w:val="24"/>
        </w:rPr>
        <w:t xml:space="preserve"> influenced by</w:t>
      </w:r>
      <w:r w:rsidR="00F64E75" w:rsidRPr="009333DA">
        <w:rPr>
          <w:rFonts w:ascii="Times New Roman" w:hAnsi="Times New Roman"/>
          <w:sz w:val="24"/>
          <w:szCs w:val="24"/>
        </w:rPr>
        <w:t>,</w:t>
      </w:r>
      <w:r w:rsidR="00502271" w:rsidRPr="009333DA">
        <w:rPr>
          <w:rFonts w:ascii="Times New Roman" w:hAnsi="Times New Roman"/>
          <w:sz w:val="24"/>
          <w:szCs w:val="24"/>
        </w:rPr>
        <w:t xml:space="preserve"> or </w:t>
      </w:r>
      <w:r w:rsidR="00F64E75" w:rsidRPr="009333DA">
        <w:rPr>
          <w:rFonts w:ascii="Times New Roman" w:hAnsi="Times New Roman"/>
          <w:sz w:val="24"/>
          <w:szCs w:val="24"/>
        </w:rPr>
        <w:t xml:space="preserve">is </w:t>
      </w:r>
      <w:r w:rsidR="00502271" w:rsidRPr="009333DA">
        <w:rPr>
          <w:rFonts w:ascii="Times New Roman" w:hAnsi="Times New Roman"/>
          <w:sz w:val="24"/>
          <w:szCs w:val="24"/>
        </w:rPr>
        <w:t xml:space="preserve">subject to approval by another entity in the group, </w:t>
      </w:r>
      <w:r w:rsidRPr="009333DA">
        <w:rPr>
          <w:rFonts w:ascii="Times New Roman" w:hAnsi="Times New Roman"/>
          <w:sz w:val="24"/>
          <w:szCs w:val="24"/>
        </w:rPr>
        <w:t>the RSE licensee’s</w:t>
      </w:r>
      <w:r w:rsidR="00452008" w:rsidRPr="009333DA">
        <w:rPr>
          <w:rFonts w:ascii="Times New Roman" w:hAnsi="Times New Roman"/>
          <w:sz w:val="24"/>
          <w:szCs w:val="24"/>
        </w:rPr>
        <w:t xml:space="preserve"> </w:t>
      </w:r>
      <w:r w:rsidR="00234348" w:rsidRPr="009333DA">
        <w:rPr>
          <w:rFonts w:ascii="Times New Roman" w:hAnsi="Times New Roman"/>
          <w:sz w:val="24"/>
          <w:szCs w:val="24"/>
        </w:rPr>
        <w:t>risk management framework</w:t>
      </w:r>
      <w:r w:rsidR="00452008" w:rsidRPr="009333DA">
        <w:rPr>
          <w:rFonts w:ascii="Times New Roman" w:hAnsi="Times New Roman"/>
          <w:sz w:val="24"/>
          <w:szCs w:val="24"/>
        </w:rPr>
        <w:t xml:space="preserve"> must specifically take into account</w:t>
      </w:r>
      <w:r w:rsidR="00E22CBF" w:rsidRPr="009333DA">
        <w:rPr>
          <w:rFonts w:ascii="Times New Roman" w:hAnsi="Times New Roman"/>
          <w:sz w:val="24"/>
          <w:szCs w:val="24"/>
        </w:rPr>
        <w:t xml:space="preserve"> risks arising from group policy objectives and strategies, and clearly identify:</w:t>
      </w:r>
    </w:p>
    <w:p w:rsidR="00502271" w:rsidRPr="009333DA" w:rsidRDefault="00502271" w:rsidP="00502271">
      <w:pPr>
        <w:numPr>
          <w:ilvl w:val="0"/>
          <w:numId w:val="26"/>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whether the RSE licensee’s </w:t>
      </w:r>
      <w:r w:rsidR="00234348" w:rsidRPr="009333DA">
        <w:rPr>
          <w:rFonts w:ascii="Times New Roman" w:hAnsi="Times New Roman"/>
          <w:sz w:val="24"/>
          <w:szCs w:val="24"/>
        </w:rPr>
        <w:t>risk management framework</w:t>
      </w:r>
      <w:r w:rsidRPr="009333DA">
        <w:rPr>
          <w:rFonts w:ascii="Times New Roman" w:hAnsi="Times New Roman"/>
          <w:sz w:val="24"/>
          <w:szCs w:val="24"/>
        </w:rPr>
        <w:t xml:space="preserve"> is derived wholly or partially from group risk management </w:t>
      </w:r>
      <w:r w:rsidR="00320A3B" w:rsidRPr="009333DA">
        <w:rPr>
          <w:rFonts w:ascii="Times New Roman" w:hAnsi="Times New Roman"/>
          <w:sz w:val="24"/>
          <w:szCs w:val="24"/>
        </w:rPr>
        <w:t>policies or functions</w:t>
      </w:r>
      <w:r w:rsidRPr="009333DA">
        <w:rPr>
          <w:rFonts w:ascii="Times New Roman" w:hAnsi="Times New Roman"/>
          <w:sz w:val="24"/>
          <w:szCs w:val="24"/>
        </w:rPr>
        <w:t xml:space="preserve">; </w:t>
      </w:r>
    </w:p>
    <w:p w:rsidR="00502271" w:rsidRPr="009333DA" w:rsidRDefault="00502271" w:rsidP="00502271">
      <w:pPr>
        <w:numPr>
          <w:ilvl w:val="0"/>
          <w:numId w:val="26"/>
        </w:numPr>
        <w:spacing w:before="120" w:after="240"/>
        <w:ind w:left="1134" w:hanging="567"/>
        <w:jc w:val="both"/>
        <w:rPr>
          <w:rFonts w:ascii="Times New Roman" w:hAnsi="Times New Roman"/>
          <w:sz w:val="24"/>
          <w:szCs w:val="24"/>
        </w:rPr>
      </w:pPr>
      <w:r w:rsidRPr="009333DA">
        <w:rPr>
          <w:rFonts w:ascii="Times New Roman" w:hAnsi="Times New Roman"/>
          <w:sz w:val="24"/>
          <w:szCs w:val="24"/>
        </w:rPr>
        <w:t>the linkages and significant differences between the RSE licensee</w:t>
      </w:r>
      <w:r w:rsidR="00C03646" w:rsidRPr="009333DA">
        <w:rPr>
          <w:rFonts w:ascii="Times New Roman" w:hAnsi="Times New Roman"/>
          <w:sz w:val="24"/>
          <w:szCs w:val="24"/>
        </w:rPr>
        <w:t>’s</w:t>
      </w:r>
      <w:r w:rsidRPr="009333DA">
        <w:rPr>
          <w:rFonts w:ascii="Times New Roman" w:hAnsi="Times New Roman"/>
          <w:sz w:val="24"/>
          <w:szCs w:val="24"/>
        </w:rPr>
        <w:t xml:space="preserve"> </w:t>
      </w:r>
      <w:r w:rsidR="00234348" w:rsidRPr="009333DA">
        <w:rPr>
          <w:rFonts w:ascii="Times New Roman" w:hAnsi="Times New Roman"/>
          <w:sz w:val="24"/>
          <w:szCs w:val="24"/>
        </w:rPr>
        <w:t>risk management framework</w:t>
      </w:r>
      <w:r w:rsidRPr="009333DA">
        <w:rPr>
          <w:rFonts w:ascii="Times New Roman" w:hAnsi="Times New Roman"/>
          <w:sz w:val="24"/>
          <w:szCs w:val="24"/>
        </w:rPr>
        <w:t xml:space="preserve"> and group risk management </w:t>
      </w:r>
      <w:r w:rsidR="00320A3B" w:rsidRPr="009333DA">
        <w:rPr>
          <w:rFonts w:ascii="Times New Roman" w:hAnsi="Times New Roman"/>
          <w:sz w:val="24"/>
          <w:szCs w:val="24"/>
        </w:rPr>
        <w:t>policies or functions</w:t>
      </w:r>
      <w:r w:rsidR="001B7D84" w:rsidRPr="009333DA">
        <w:rPr>
          <w:rFonts w:ascii="Times New Roman" w:hAnsi="Times New Roman"/>
          <w:sz w:val="24"/>
          <w:szCs w:val="24"/>
        </w:rPr>
        <w:t>;</w:t>
      </w:r>
      <w:r w:rsidRPr="009333DA">
        <w:rPr>
          <w:rFonts w:ascii="Times New Roman" w:hAnsi="Times New Roman"/>
          <w:sz w:val="24"/>
          <w:szCs w:val="24"/>
        </w:rPr>
        <w:t xml:space="preserve"> </w:t>
      </w:r>
      <w:r w:rsidR="00C93C2B" w:rsidRPr="009333DA">
        <w:rPr>
          <w:rFonts w:ascii="Times New Roman" w:hAnsi="Times New Roman"/>
          <w:sz w:val="24"/>
          <w:szCs w:val="24"/>
        </w:rPr>
        <w:t>and</w:t>
      </w:r>
      <w:r w:rsidR="0094019B" w:rsidRPr="009333DA">
        <w:rPr>
          <w:rFonts w:ascii="Times New Roman" w:hAnsi="Times New Roman"/>
          <w:sz w:val="24"/>
          <w:szCs w:val="24"/>
        </w:rPr>
        <w:t xml:space="preserve"> </w:t>
      </w:r>
    </w:p>
    <w:p w:rsidR="00502271" w:rsidRPr="009333DA" w:rsidRDefault="00502271" w:rsidP="00502271">
      <w:pPr>
        <w:numPr>
          <w:ilvl w:val="0"/>
          <w:numId w:val="26"/>
        </w:numPr>
        <w:spacing w:before="120" w:after="240"/>
        <w:ind w:left="1134" w:hanging="567"/>
        <w:jc w:val="both"/>
        <w:rPr>
          <w:rFonts w:ascii="Times New Roman" w:hAnsi="Times New Roman"/>
        </w:rPr>
      </w:pPr>
      <w:r w:rsidRPr="009333DA">
        <w:rPr>
          <w:rFonts w:ascii="Times New Roman" w:hAnsi="Times New Roman"/>
          <w:sz w:val="24"/>
          <w:szCs w:val="24"/>
        </w:rPr>
        <w:t>the process for monitoring by, or reporting to, the group</w:t>
      </w:r>
      <w:r w:rsidR="00C03646" w:rsidRPr="009333DA">
        <w:rPr>
          <w:rFonts w:ascii="Times New Roman" w:hAnsi="Times New Roman"/>
          <w:sz w:val="24"/>
          <w:szCs w:val="24"/>
        </w:rPr>
        <w:t xml:space="preserve"> on risk management</w:t>
      </w:r>
      <w:r w:rsidR="00C93C2B" w:rsidRPr="009333DA">
        <w:rPr>
          <w:rFonts w:ascii="Times New Roman" w:hAnsi="Times New Roman"/>
          <w:sz w:val="24"/>
          <w:szCs w:val="24"/>
        </w:rPr>
        <w:t xml:space="preserve"> including </w:t>
      </w:r>
      <w:r w:rsidRPr="009333DA">
        <w:rPr>
          <w:rFonts w:ascii="Times New Roman" w:hAnsi="Times New Roman"/>
          <w:sz w:val="24"/>
          <w:szCs w:val="24"/>
        </w:rPr>
        <w:t>the key procedures, the frequency of reporting and the approach to reviews</w:t>
      </w:r>
      <w:r w:rsidR="00C93C2B" w:rsidRPr="009333DA">
        <w:rPr>
          <w:rFonts w:ascii="Times New Roman" w:hAnsi="Times New Roman"/>
          <w:sz w:val="24"/>
          <w:szCs w:val="24"/>
        </w:rPr>
        <w:t>.</w:t>
      </w:r>
      <w:r w:rsidRPr="009333DA" w:rsidDel="00502271">
        <w:rPr>
          <w:rFonts w:ascii="Times New Roman" w:hAnsi="Times New Roman"/>
        </w:rPr>
        <w:t xml:space="preserve"> </w:t>
      </w:r>
    </w:p>
    <w:p w:rsidR="00093FFF" w:rsidRPr="009333DA" w:rsidRDefault="00093FFF" w:rsidP="008903E4">
      <w:pPr>
        <w:pStyle w:val="Heading3"/>
      </w:pPr>
      <w:bookmarkStart w:id="14" w:name="_Toc295999261"/>
      <w:r w:rsidRPr="009333DA">
        <w:lastRenderedPageBreak/>
        <w:t>Strategic and business planning</w:t>
      </w:r>
      <w:r w:rsidR="00BF46AC">
        <w:rPr>
          <w:rStyle w:val="FootnoteReference"/>
        </w:rPr>
        <w:footnoteReference w:id="12"/>
      </w:r>
    </w:p>
    <w:p w:rsidR="00093FFF" w:rsidRPr="009333DA" w:rsidRDefault="00093FFF" w:rsidP="00093FFF">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An RSE licensee must identify and consider the material risks associated with the RSE licensee’s strategic objectives and business plan, and must explicitly manage these risks through the risk management framework, including how changing these plans affects the risk profile of the RSE licensee’s business operations. </w:t>
      </w:r>
    </w:p>
    <w:p w:rsidR="004620E8" w:rsidRPr="009333DA" w:rsidRDefault="004620E8" w:rsidP="00B741BD">
      <w:pPr>
        <w:pStyle w:val="Heading3"/>
      </w:pPr>
      <w:r w:rsidRPr="009333DA">
        <w:t xml:space="preserve">Risk appetite statement </w:t>
      </w:r>
    </w:p>
    <w:p w:rsidR="00BB11CB" w:rsidRPr="009333DA" w:rsidRDefault="004620E8" w:rsidP="004620E8">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 RSE licensee must</w:t>
      </w:r>
      <w:r w:rsidR="00BC423D" w:rsidRPr="009333DA">
        <w:rPr>
          <w:rFonts w:ascii="Times New Roman" w:hAnsi="Times New Roman"/>
          <w:sz w:val="24"/>
          <w:szCs w:val="24"/>
        </w:rPr>
        <w:t xml:space="preserve"> </w:t>
      </w:r>
      <w:r w:rsidR="00BB11CB" w:rsidRPr="009333DA">
        <w:rPr>
          <w:rFonts w:ascii="Times New Roman" w:hAnsi="Times New Roman"/>
          <w:sz w:val="24"/>
          <w:szCs w:val="24"/>
        </w:rPr>
        <w:t xml:space="preserve">maintain </w:t>
      </w:r>
      <w:r w:rsidRPr="009333DA">
        <w:rPr>
          <w:rFonts w:ascii="Times New Roman" w:hAnsi="Times New Roman"/>
          <w:sz w:val="24"/>
          <w:szCs w:val="24"/>
        </w:rPr>
        <w:t>a</w:t>
      </w:r>
      <w:r w:rsidR="00BB11CB" w:rsidRPr="009333DA">
        <w:rPr>
          <w:rFonts w:ascii="Times New Roman" w:hAnsi="Times New Roman"/>
          <w:sz w:val="24"/>
          <w:szCs w:val="24"/>
        </w:rPr>
        <w:t>n up</w:t>
      </w:r>
      <w:r w:rsidR="00320A3B" w:rsidRPr="009333DA">
        <w:rPr>
          <w:rFonts w:ascii="Times New Roman" w:hAnsi="Times New Roman"/>
          <w:sz w:val="24"/>
          <w:szCs w:val="24"/>
        </w:rPr>
        <w:t>-</w:t>
      </w:r>
      <w:r w:rsidR="00BB11CB" w:rsidRPr="009333DA">
        <w:rPr>
          <w:rFonts w:ascii="Times New Roman" w:hAnsi="Times New Roman"/>
          <w:sz w:val="24"/>
          <w:szCs w:val="24"/>
        </w:rPr>
        <w:t>to</w:t>
      </w:r>
      <w:r w:rsidR="00320A3B" w:rsidRPr="009333DA">
        <w:rPr>
          <w:rFonts w:ascii="Times New Roman" w:hAnsi="Times New Roman"/>
          <w:sz w:val="24"/>
          <w:szCs w:val="24"/>
        </w:rPr>
        <w:t>-</w:t>
      </w:r>
      <w:r w:rsidR="00BB11CB" w:rsidRPr="009333DA">
        <w:rPr>
          <w:rFonts w:ascii="Times New Roman" w:hAnsi="Times New Roman"/>
          <w:sz w:val="24"/>
          <w:szCs w:val="24"/>
        </w:rPr>
        <w:t>date</w:t>
      </w:r>
      <w:r w:rsidRPr="009333DA">
        <w:rPr>
          <w:rFonts w:ascii="Times New Roman" w:hAnsi="Times New Roman"/>
          <w:sz w:val="24"/>
          <w:szCs w:val="24"/>
        </w:rPr>
        <w:t xml:space="preserve"> </w:t>
      </w:r>
      <w:r w:rsidR="00093757" w:rsidRPr="009333DA">
        <w:rPr>
          <w:rFonts w:ascii="Times New Roman" w:hAnsi="Times New Roman"/>
          <w:sz w:val="24"/>
          <w:szCs w:val="24"/>
        </w:rPr>
        <w:t xml:space="preserve">risk appetite statement that </w:t>
      </w:r>
      <w:r w:rsidR="0067695E" w:rsidRPr="009333DA">
        <w:rPr>
          <w:rFonts w:ascii="Times New Roman" w:hAnsi="Times New Roman"/>
          <w:sz w:val="24"/>
          <w:szCs w:val="24"/>
        </w:rPr>
        <w:t>covers</w:t>
      </w:r>
      <w:r w:rsidR="0094019B" w:rsidRPr="009333DA">
        <w:rPr>
          <w:rFonts w:ascii="Times New Roman" w:hAnsi="Times New Roman"/>
          <w:sz w:val="24"/>
          <w:szCs w:val="24"/>
        </w:rPr>
        <w:t xml:space="preserve"> the RSE licensee’s business operations and</w:t>
      </w:r>
      <w:r w:rsidR="0067695E" w:rsidRPr="009333DA">
        <w:rPr>
          <w:rFonts w:ascii="Times New Roman" w:hAnsi="Times New Roman"/>
          <w:sz w:val="24"/>
          <w:szCs w:val="24"/>
        </w:rPr>
        <w:t xml:space="preserve"> each category of material risk. The risk appetite statement must be </w:t>
      </w:r>
      <w:r w:rsidR="00FA14E4" w:rsidRPr="009333DA">
        <w:rPr>
          <w:rFonts w:ascii="Times New Roman" w:hAnsi="Times New Roman"/>
          <w:sz w:val="24"/>
          <w:szCs w:val="24"/>
        </w:rPr>
        <w:t>approved by the Board</w:t>
      </w:r>
      <w:r w:rsidR="00BB11CB" w:rsidRPr="009333DA">
        <w:rPr>
          <w:rFonts w:ascii="Times New Roman" w:hAnsi="Times New Roman"/>
          <w:sz w:val="24"/>
          <w:szCs w:val="24"/>
        </w:rPr>
        <w:t>.</w:t>
      </w:r>
      <w:r w:rsidR="00BE39AF" w:rsidRPr="009333DA">
        <w:rPr>
          <w:rFonts w:ascii="Times New Roman" w:hAnsi="Times New Roman"/>
          <w:sz w:val="24"/>
          <w:szCs w:val="24"/>
        </w:rPr>
        <w:t xml:space="preserve"> </w:t>
      </w:r>
    </w:p>
    <w:p w:rsidR="00FA14E4" w:rsidRPr="009333DA" w:rsidRDefault="00FA14E4" w:rsidP="00FA14E4">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 RSE licensee’s risk appetite statement must, a</w:t>
      </w:r>
      <w:r w:rsidR="00CA1BD6" w:rsidRPr="009333DA">
        <w:rPr>
          <w:rFonts w:ascii="Times New Roman" w:hAnsi="Times New Roman"/>
          <w:sz w:val="24"/>
          <w:szCs w:val="24"/>
        </w:rPr>
        <w:t>t</w:t>
      </w:r>
      <w:r w:rsidRPr="009333DA">
        <w:rPr>
          <w:rFonts w:ascii="Times New Roman" w:hAnsi="Times New Roman"/>
          <w:sz w:val="24"/>
          <w:szCs w:val="24"/>
        </w:rPr>
        <w:t xml:space="preserve"> a minimum, articulate:</w:t>
      </w:r>
    </w:p>
    <w:p w:rsidR="0067695E" w:rsidRPr="009333DA" w:rsidRDefault="0067695E" w:rsidP="0067695E">
      <w:pPr>
        <w:numPr>
          <w:ilvl w:val="0"/>
          <w:numId w:val="40"/>
        </w:numPr>
        <w:spacing w:before="120" w:after="240"/>
        <w:jc w:val="both"/>
        <w:rPr>
          <w:rFonts w:ascii="Times New Roman" w:hAnsi="Times New Roman"/>
          <w:sz w:val="24"/>
          <w:szCs w:val="24"/>
        </w:rPr>
      </w:pPr>
      <w:r w:rsidRPr="009333DA">
        <w:rPr>
          <w:rFonts w:ascii="Times New Roman" w:hAnsi="Times New Roman"/>
          <w:sz w:val="24"/>
          <w:szCs w:val="24"/>
        </w:rPr>
        <w:t>the degree of risk that the RSE licensee is prepared to accept in pursuit of its strategic objectives</w:t>
      </w:r>
      <w:r w:rsidR="002D4B2B" w:rsidRPr="009333DA">
        <w:rPr>
          <w:rFonts w:ascii="Times New Roman" w:hAnsi="Times New Roman"/>
          <w:sz w:val="24"/>
          <w:szCs w:val="24"/>
        </w:rPr>
        <w:t xml:space="preserve"> and business plan</w:t>
      </w:r>
      <w:r w:rsidRPr="009333DA">
        <w:rPr>
          <w:rFonts w:ascii="Times New Roman" w:hAnsi="Times New Roman"/>
          <w:sz w:val="24"/>
          <w:szCs w:val="24"/>
        </w:rPr>
        <w:t>, giving consideration to the interests of beneficiaries (</w:t>
      </w:r>
      <w:r w:rsidRPr="009333DA">
        <w:rPr>
          <w:rFonts w:ascii="Times New Roman" w:hAnsi="Times New Roman"/>
          <w:sz w:val="24"/>
        </w:rPr>
        <w:t>risk appetite</w:t>
      </w:r>
      <w:r w:rsidRPr="009333DA">
        <w:rPr>
          <w:rFonts w:ascii="Times New Roman" w:hAnsi="Times New Roman"/>
          <w:sz w:val="24"/>
          <w:szCs w:val="24"/>
        </w:rPr>
        <w:t>);</w:t>
      </w:r>
    </w:p>
    <w:p w:rsidR="00FA14E4" w:rsidRPr="009333DA" w:rsidRDefault="00D95B13" w:rsidP="00C8518B">
      <w:pPr>
        <w:numPr>
          <w:ilvl w:val="0"/>
          <w:numId w:val="40"/>
        </w:numPr>
        <w:spacing w:before="120" w:after="240"/>
        <w:jc w:val="both"/>
        <w:rPr>
          <w:rFonts w:ascii="Times New Roman" w:hAnsi="Times New Roman"/>
          <w:sz w:val="24"/>
          <w:szCs w:val="24"/>
        </w:rPr>
      </w:pPr>
      <w:r w:rsidRPr="009333DA">
        <w:rPr>
          <w:rFonts w:ascii="Times New Roman" w:hAnsi="Times New Roman"/>
          <w:sz w:val="24"/>
          <w:szCs w:val="24"/>
        </w:rPr>
        <w:t xml:space="preserve">for each material risk, </w:t>
      </w:r>
      <w:r w:rsidR="00FA14E4" w:rsidRPr="009333DA">
        <w:rPr>
          <w:rFonts w:ascii="Times New Roman" w:hAnsi="Times New Roman"/>
          <w:sz w:val="24"/>
          <w:szCs w:val="24"/>
        </w:rPr>
        <w:t>the maximum level of risk that the RSE licensee is willing to operate within</w:t>
      </w:r>
      <w:r w:rsidR="00FD784D" w:rsidRPr="009333DA">
        <w:rPr>
          <w:rFonts w:ascii="Times New Roman" w:hAnsi="Times New Roman"/>
          <w:sz w:val="24"/>
          <w:szCs w:val="24"/>
        </w:rPr>
        <w:t xml:space="preserve"> expressed as </w:t>
      </w:r>
      <w:r w:rsidR="00FA14E4" w:rsidRPr="009333DA">
        <w:rPr>
          <w:rFonts w:ascii="Times New Roman" w:hAnsi="Times New Roman"/>
          <w:sz w:val="24"/>
          <w:szCs w:val="24"/>
        </w:rPr>
        <w:t xml:space="preserve">a risk limit </w:t>
      </w:r>
      <w:r w:rsidR="00CA1BD6" w:rsidRPr="009333DA">
        <w:rPr>
          <w:rFonts w:ascii="Times New Roman" w:hAnsi="Times New Roman"/>
          <w:sz w:val="24"/>
          <w:szCs w:val="24"/>
        </w:rPr>
        <w:t>that, w</w:t>
      </w:r>
      <w:r w:rsidR="00681049" w:rsidRPr="009333DA">
        <w:rPr>
          <w:rFonts w:ascii="Times New Roman" w:hAnsi="Times New Roman"/>
          <w:sz w:val="24"/>
          <w:szCs w:val="24"/>
        </w:rPr>
        <w:t xml:space="preserve">here possible, </w:t>
      </w:r>
      <w:r w:rsidR="00FD784D" w:rsidRPr="009333DA">
        <w:rPr>
          <w:rFonts w:ascii="Times New Roman" w:hAnsi="Times New Roman"/>
          <w:sz w:val="24"/>
          <w:szCs w:val="24"/>
        </w:rPr>
        <w:t xml:space="preserve">is </w:t>
      </w:r>
      <w:r w:rsidR="00681049" w:rsidRPr="009333DA">
        <w:rPr>
          <w:rFonts w:ascii="Times New Roman" w:hAnsi="Times New Roman"/>
          <w:sz w:val="24"/>
          <w:szCs w:val="24"/>
        </w:rPr>
        <w:t xml:space="preserve">based on a </w:t>
      </w:r>
      <w:r w:rsidR="00FA14E4" w:rsidRPr="009333DA">
        <w:rPr>
          <w:rFonts w:ascii="Times New Roman" w:hAnsi="Times New Roman"/>
          <w:sz w:val="24"/>
          <w:szCs w:val="24"/>
        </w:rPr>
        <w:t xml:space="preserve">measurable </w:t>
      </w:r>
      <w:r w:rsidR="004626FE" w:rsidRPr="009333DA">
        <w:rPr>
          <w:rFonts w:ascii="Times New Roman" w:hAnsi="Times New Roman"/>
          <w:sz w:val="24"/>
          <w:szCs w:val="24"/>
        </w:rPr>
        <w:t>limit of the risk remaining</w:t>
      </w:r>
      <w:r w:rsidR="00721EC5" w:rsidRPr="009333DA">
        <w:rPr>
          <w:rFonts w:ascii="Times New Roman" w:hAnsi="Times New Roman"/>
          <w:sz w:val="24"/>
          <w:szCs w:val="24"/>
        </w:rPr>
        <w:t xml:space="preserve">, </w:t>
      </w:r>
      <w:r w:rsidR="00F0545C" w:rsidRPr="009333DA">
        <w:rPr>
          <w:rFonts w:ascii="Times New Roman" w:hAnsi="Times New Roman"/>
          <w:sz w:val="24"/>
          <w:szCs w:val="24"/>
        </w:rPr>
        <w:t xml:space="preserve">after </w:t>
      </w:r>
      <w:r w:rsidR="00721EC5" w:rsidRPr="009333DA">
        <w:rPr>
          <w:rFonts w:ascii="Times New Roman" w:hAnsi="Times New Roman"/>
          <w:sz w:val="24"/>
          <w:szCs w:val="24"/>
        </w:rPr>
        <w:t>tak</w:t>
      </w:r>
      <w:r w:rsidR="00F0545C" w:rsidRPr="009333DA">
        <w:rPr>
          <w:rFonts w:ascii="Times New Roman" w:hAnsi="Times New Roman"/>
          <w:sz w:val="24"/>
          <w:szCs w:val="24"/>
        </w:rPr>
        <w:t>ing</w:t>
      </w:r>
      <w:r w:rsidR="00721EC5" w:rsidRPr="009333DA">
        <w:rPr>
          <w:rFonts w:ascii="Times New Roman" w:hAnsi="Times New Roman"/>
          <w:sz w:val="24"/>
          <w:szCs w:val="24"/>
        </w:rPr>
        <w:t xml:space="preserve"> into account </w:t>
      </w:r>
      <w:r w:rsidR="00F0545C" w:rsidRPr="009333DA">
        <w:rPr>
          <w:rFonts w:ascii="Times New Roman" w:hAnsi="Times New Roman"/>
          <w:sz w:val="24"/>
          <w:szCs w:val="24"/>
        </w:rPr>
        <w:t xml:space="preserve">the </w:t>
      </w:r>
      <w:r w:rsidR="00721EC5" w:rsidRPr="009333DA">
        <w:rPr>
          <w:rFonts w:ascii="Times New Roman" w:hAnsi="Times New Roman"/>
          <w:sz w:val="24"/>
          <w:szCs w:val="24"/>
        </w:rPr>
        <w:t>mitigants for the risk where appropriate</w:t>
      </w:r>
      <w:r w:rsidR="002F6AFC" w:rsidRPr="009333DA">
        <w:rPr>
          <w:rFonts w:ascii="Times New Roman" w:hAnsi="Times New Roman"/>
          <w:sz w:val="24"/>
          <w:szCs w:val="24"/>
        </w:rPr>
        <w:t xml:space="preserve"> (</w:t>
      </w:r>
      <w:r w:rsidR="002F6AFC" w:rsidRPr="009333DA">
        <w:rPr>
          <w:rFonts w:ascii="Times New Roman" w:hAnsi="Times New Roman"/>
          <w:sz w:val="24"/>
        </w:rPr>
        <w:t>risk tolerance</w:t>
      </w:r>
      <w:r w:rsidR="002F6AFC" w:rsidRPr="009333DA">
        <w:rPr>
          <w:rFonts w:ascii="Times New Roman" w:hAnsi="Times New Roman"/>
          <w:sz w:val="24"/>
          <w:szCs w:val="24"/>
        </w:rPr>
        <w:t>)</w:t>
      </w:r>
      <w:r w:rsidR="00FA14E4" w:rsidRPr="009333DA">
        <w:rPr>
          <w:rFonts w:ascii="Times New Roman" w:hAnsi="Times New Roman"/>
          <w:sz w:val="24"/>
          <w:szCs w:val="24"/>
        </w:rPr>
        <w:t xml:space="preserve">; </w:t>
      </w:r>
    </w:p>
    <w:p w:rsidR="00FA14E4" w:rsidRPr="009333DA" w:rsidRDefault="00FA14E4" w:rsidP="000A796C">
      <w:pPr>
        <w:numPr>
          <w:ilvl w:val="0"/>
          <w:numId w:val="40"/>
        </w:numPr>
        <w:spacing w:before="120" w:after="240"/>
        <w:jc w:val="both"/>
        <w:rPr>
          <w:rFonts w:ascii="Times New Roman" w:hAnsi="Times New Roman"/>
          <w:sz w:val="24"/>
          <w:szCs w:val="24"/>
        </w:rPr>
      </w:pPr>
      <w:r w:rsidRPr="009333DA">
        <w:rPr>
          <w:rFonts w:ascii="Times New Roman" w:hAnsi="Times New Roman"/>
          <w:sz w:val="24"/>
          <w:szCs w:val="24"/>
        </w:rPr>
        <w:t>the process for ensuring that risk tolerance</w:t>
      </w:r>
      <w:r w:rsidR="002F6AFC" w:rsidRPr="009333DA">
        <w:rPr>
          <w:rFonts w:ascii="Times New Roman" w:hAnsi="Times New Roman"/>
          <w:sz w:val="24"/>
          <w:szCs w:val="24"/>
        </w:rPr>
        <w:t>s</w:t>
      </w:r>
      <w:r w:rsidRPr="009333DA">
        <w:rPr>
          <w:rFonts w:ascii="Times New Roman" w:hAnsi="Times New Roman"/>
          <w:sz w:val="24"/>
          <w:szCs w:val="24"/>
        </w:rPr>
        <w:t xml:space="preserve"> are set at an appropriate level, based on</w:t>
      </w:r>
      <w:r w:rsidR="000A796C" w:rsidRPr="009333DA">
        <w:rPr>
          <w:rFonts w:ascii="Times New Roman" w:hAnsi="Times New Roman"/>
          <w:sz w:val="24"/>
          <w:szCs w:val="24"/>
        </w:rPr>
        <w:t xml:space="preserve"> </w:t>
      </w:r>
      <w:r w:rsidRPr="009333DA">
        <w:rPr>
          <w:rFonts w:ascii="Times New Roman" w:hAnsi="Times New Roman"/>
          <w:sz w:val="24"/>
          <w:szCs w:val="24"/>
        </w:rPr>
        <w:t xml:space="preserve">an estimation of the impact on </w:t>
      </w:r>
      <w:r w:rsidR="00527F05" w:rsidRPr="009333DA">
        <w:rPr>
          <w:rFonts w:ascii="Times New Roman" w:hAnsi="Times New Roman"/>
          <w:sz w:val="24"/>
          <w:szCs w:val="24"/>
        </w:rPr>
        <w:t>the interests of</w:t>
      </w:r>
      <w:r w:rsidRPr="009333DA">
        <w:rPr>
          <w:rFonts w:ascii="Times New Roman" w:hAnsi="Times New Roman"/>
          <w:sz w:val="24"/>
          <w:szCs w:val="24"/>
        </w:rPr>
        <w:t xml:space="preserve"> beneficiaries</w:t>
      </w:r>
      <w:r w:rsidR="00320A3B" w:rsidRPr="009333DA">
        <w:rPr>
          <w:rFonts w:ascii="Times New Roman" w:hAnsi="Times New Roman"/>
          <w:sz w:val="24"/>
          <w:szCs w:val="24"/>
        </w:rPr>
        <w:t xml:space="preserve"> </w:t>
      </w:r>
      <w:r w:rsidRPr="009333DA">
        <w:rPr>
          <w:rFonts w:ascii="Times New Roman" w:hAnsi="Times New Roman"/>
          <w:sz w:val="24"/>
          <w:szCs w:val="24"/>
        </w:rPr>
        <w:t>in the event that a risk tolerance is breached</w:t>
      </w:r>
      <w:r w:rsidR="000A796C" w:rsidRPr="009333DA">
        <w:rPr>
          <w:rFonts w:ascii="Times New Roman" w:hAnsi="Times New Roman"/>
          <w:sz w:val="24"/>
          <w:szCs w:val="24"/>
        </w:rPr>
        <w:t xml:space="preserve"> and the </w:t>
      </w:r>
      <w:r w:rsidRPr="009333DA">
        <w:rPr>
          <w:rFonts w:ascii="Times New Roman" w:hAnsi="Times New Roman"/>
          <w:sz w:val="24"/>
          <w:szCs w:val="24"/>
        </w:rPr>
        <w:t>likelihood that each material risk is realised;</w:t>
      </w:r>
    </w:p>
    <w:p w:rsidR="00FA14E4" w:rsidRPr="009333DA" w:rsidRDefault="005B1A23" w:rsidP="00C8518B">
      <w:pPr>
        <w:numPr>
          <w:ilvl w:val="0"/>
          <w:numId w:val="40"/>
        </w:numPr>
        <w:spacing w:before="120" w:after="240"/>
        <w:jc w:val="both"/>
        <w:rPr>
          <w:rFonts w:ascii="Times New Roman" w:hAnsi="Times New Roman"/>
          <w:sz w:val="24"/>
          <w:szCs w:val="24"/>
        </w:rPr>
      </w:pPr>
      <w:r w:rsidRPr="009333DA">
        <w:rPr>
          <w:rFonts w:ascii="Times New Roman" w:hAnsi="Times New Roman"/>
          <w:sz w:val="24"/>
          <w:szCs w:val="24"/>
        </w:rPr>
        <w:t xml:space="preserve">the process for monitoring compliance with </w:t>
      </w:r>
      <w:r w:rsidR="002F6AFC" w:rsidRPr="009333DA">
        <w:rPr>
          <w:rFonts w:ascii="Times New Roman" w:hAnsi="Times New Roman"/>
          <w:sz w:val="24"/>
          <w:szCs w:val="24"/>
        </w:rPr>
        <w:t>each</w:t>
      </w:r>
      <w:r w:rsidRPr="009333DA">
        <w:rPr>
          <w:rFonts w:ascii="Times New Roman" w:hAnsi="Times New Roman"/>
          <w:sz w:val="24"/>
          <w:szCs w:val="24"/>
        </w:rPr>
        <w:t xml:space="preserve"> risk tolerance and taking appropriate action in the event of a breach of the RSE licensee’s risk tolerance; and</w:t>
      </w:r>
    </w:p>
    <w:p w:rsidR="00FA14E4" w:rsidRPr="009333DA" w:rsidRDefault="00FA14E4" w:rsidP="00C8518B">
      <w:pPr>
        <w:numPr>
          <w:ilvl w:val="0"/>
          <w:numId w:val="40"/>
        </w:numPr>
        <w:spacing w:before="120" w:after="240"/>
        <w:jc w:val="both"/>
        <w:rPr>
          <w:rFonts w:ascii="Times New Roman" w:hAnsi="Times New Roman"/>
          <w:sz w:val="24"/>
          <w:szCs w:val="24"/>
        </w:rPr>
      </w:pPr>
      <w:r w:rsidRPr="009333DA">
        <w:rPr>
          <w:rFonts w:ascii="Times New Roman" w:hAnsi="Times New Roman"/>
          <w:sz w:val="24"/>
          <w:szCs w:val="24"/>
        </w:rPr>
        <w:t>the timing and process for review of the risk appetite and risk tolerance</w:t>
      </w:r>
      <w:r w:rsidR="005B1A23" w:rsidRPr="009333DA">
        <w:rPr>
          <w:rFonts w:ascii="Times New Roman" w:hAnsi="Times New Roman"/>
          <w:sz w:val="24"/>
          <w:szCs w:val="24"/>
        </w:rPr>
        <w:t>s</w:t>
      </w:r>
      <w:r w:rsidRPr="009333DA">
        <w:rPr>
          <w:rFonts w:ascii="Times New Roman" w:hAnsi="Times New Roman"/>
          <w:sz w:val="24"/>
          <w:szCs w:val="24"/>
        </w:rPr>
        <w:t>.</w:t>
      </w:r>
    </w:p>
    <w:p w:rsidR="00545C01" w:rsidRPr="009333DA" w:rsidRDefault="00545C01" w:rsidP="00B741BD">
      <w:pPr>
        <w:pStyle w:val="Heading3"/>
      </w:pPr>
      <w:r w:rsidRPr="009333DA">
        <w:t xml:space="preserve">Risk </w:t>
      </w:r>
      <w:r w:rsidR="00C7637E" w:rsidRPr="009333DA">
        <w:t xml:space="preserve">management </w:t>
      </w:r>
      <w:bookmarkEnd w:id="14"/>
      <w:r w:rsidR="00C7637E" w:rsidRPr="009333DA">
        <w:t>strategy</w:t>
      </w:r>
      <w:r w:rsidRPr="009333DA">
        <w:t xml:space="preserve"> </w:t>
      </w:r>
    </w:p>
    <w:p w:rsidR="006E088D" w:rsidRPr="009333DA" w:rsidRDefault="006E088D" w:rsidP="006E088D">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An RSE licensee must </w:t>
      </w:r>
      <w:r w:rsidR="00BB11CB" w:rsidRPr="009333DA">
        <w:rPr>
          <w:rFonts w:ascii="Times New Roman" w:hAnsi="Times New Roman"/>
          <w:sz w:val="24"/>
          <w:szCs w:val="24"/>
        </w:rPr>
        <w:t xml:space="preserve">maintain </w:t>
      </w:r>
      <w:r w:rsidRPr="009333DA">
        <w:rPr>
          <w:rFonts w:ascii="Times New Roman" w:hAnsi="Times New Roman"/>
          <w:sz w:val="24"/>
          <w:szCs w:val="24"/>
        </w:rPr>
        <w:t>a</w:t>
      </w:r>
      <w:r w:rsidR="00BB11CB" w:rsidRPr="009333DA">
        <w:rPr>
          <w:rFonts w:ascii="Times New Roman" w:hAnsi="Times New Roman"/>
          <w:sz w:val="24"/>
          <w:szCs w:val="24"/>
        </w:rPr>
        <w:t>n up</w:t>
      </w:r>
      <w:r w:rsidR="00320A3B" w:rsidRPr="009333DA">
        <w:rPr>
          <w:rFonts w:ascii="Times New Roman" w:hAnsi="Times New Roman"/>
          <w:sz w:val="24"/>
          <w:szCs w:val="24"/>
        </w:rPr>
        <w:t>–</w:t>
      </w:r>
      <w:r w:rsidR="00BB11CB" w:rsidRPr="009333DA">
        <w:rPr>
          <w:rFonts w:ascii="Times New Roman" w:hAnsi="Times New Roman"/>
          <w:sz w:val="24"/>
          <w:szCs w:val="24"/>
        </w:rPr>
        <w:t>to</w:t>
      </w:r>
      <w:r w:rsidR="00320A3B" w:rsidRPr="009333DA">
        <w:rPr>
          <w:rFonts w:ascii="Times New Roman" w:hAnsi="Times New Roman"/>
          <w:sz w:val="24"/>
          <w:szCs w:val="24"/>
        </w:rPr>
        <w:t>-</w:t>
      </w:r>
      <w:r w:rsidR="00BB11CB" w:rsidRPr="009333DA">
        <w:rPr>
          <w:rFonts w:ascii="Times New Roman" w:hAnsi="Times New Roman"/>
          <w:sz w:val="24"/>
          <w:szCs w:val="24"/>
        </w:rPr>
        <w:t>date</w:t>
      </w:r>
      <w:r w:rsidRPr="009333DA">
        <w:rPr>
          <w:rFonts w:ascii="Times New Roman" w:hAnsi="Times New Roman"/>
          <w:sz w:val="24"/>
          <w:szCs w:val="24"/>
        </w:rPr>
        <w:t xml:space="preserve"> RMS </w:t>
      </w:r>
      <w:r w:rsidR="00A45507" w:rsidRPr="009333DA">
        <w:rPr>
          <w:rFonts w:ascii="Times New Roman" w:hAnsi="Times New Roman"/>
          <w:sz w:val="24"/>
          <w:szCs w:val="24"/>
        </w:rPr>
        <w:t>for its</w:t>
      </w:r>
      <w:r w:rsidR="0094019B" w:rsidRPr="009333DA">
        <w:rPr>
          <w:rFonts w:ascii="Times New Roman" w:hAnsi="Times New Roman"/>
          <w:sz w:val="24"/>
          <w:szCs w:val="24"/>
        </w:rPr>
        <w:t xml:space="preserve"> business operations </w:t>
      </w:r>
      <w:r w:rsidR="00A45507" w:rsidRPr="009333DA">
        <w:rPr>
          <w:rFonts w:ascii="Times New Roman" w:hAnsi="Times New Roman"/>
          <w:sz w:val="24"/>
          <w:szCs w:val="24"/>
        </w:rPr>
        <w:t xml:space="preserve">that </w:t>
      </w:r>
      <w:r w:rsidR="00BB11CB" w:rsidRPr="009333DA">
        <w:rPr>
          <w:rFonts w:ascii="Times New Roman" w:hAnsi="Times New Roman"/>
          <w:sz w:val="24"/>
          <w:szCs w:val="24"/>
        </w:rPr>
        <w:t>covers</w:t>
      </w:r>
      <w:r w:rsidR="0094019B" w:rsidRPr="009333DA">
        <w:rPr>
          <w:rFonts w:ascii="Times New Roman" w:hAnsi="Times New Roman"/>
          <w:sz w:val="24"/>
          <w:szCs w:val="24"/>
        </w:rPr>
        <w:t xml:space="preserve"> each material </w:t>
      </w:r>
      <w:r w:rsidR="00A45507" w:rsidRPr="009333DA">
        <w:rPr>
          <w:rFonts w:ascii="Times New Roman" w:hAnsi="Times New Roman"/>
          <w:sz w:val="24"/>
          <w:szCs w:val="24"/>
        </w:rPr>
        <w:t>risk</w:t>
      </w:r>
      <w:r w:rsidR="00F64E75" w:rsidRPr="009333DA">
        <w:rPr>
          <w:rFonts w:ascii="Times New Roman" w:hAnsi="Times New Roman"/>
          <w:sz w:val="24"/>
          <w:szCs w:val="24"/>
        </w:rPr>
        <w:t xml:space="preserve"> identified under paragraphs </w:t>
      </w:r>
      <w:r w:rsidR="00F64E75" w:rsidRPr="009333DA">
        <w:rPr>
          <w:rFonts w:ascii="Times New Roman" w:hAnsi="Times New Roman"/>
          <w:sz w:val="24"/>
          <w:szCs w:val="24"/>
        </w:rPr>
        <w:fldChar w:fldCharType="begin"/>
      </w:r>
      <w:r w:rsidR="00F64E75" w:rsidRPr="009333DA">
        <w:rPr>
          <w:rFonts w:ascii="Times New Roman" w:hAnsi="Times New Roman"/>
          <w:sz w:val="24"/>
          <w:szCs w:val="24"/>
        </w:rPr>
        <w:instrText xml:space="preserve"> REF _Ref316477812 \r \h </w:instrText>
      </w:r>
      <w:r w:rsidR="007876E2" w:rsidRPr="009333DA">
        <w:rPr>
          <w:rFonts w:ascii="Times New Roman" w:hAnsi="Times New Roman"/>
          <w:sz w:val="24"/>
          <w:szCs w:val="24"/>
        </w:rPr>
        <w:instrText xml:space="preserve"> \* MERGEFORMAT </w:instrText>
      </w:r>
      <w:r w:rsidR="00F64E75" w:rsidRPr="009333DA">
        <w:rPr>
          <w:rFonts w:ascii="Times New Roman" w:hAnsi="Times New Roman"/>
          <w:sz w:val="24"/>
          <w:szCs w:val="24"/>
        </w:rPr>
      </w:r>
      <w:r w:rsidR="00F64E75" w:rsidRPr="009333DA">
        <w:rPr>
          <w:rFonts w:ascii="Times New Roman" w:hAnsi="Times New Roman"/>
          <w:sz w:val="24"/>
          <w:szCs w:val="24"/>
        </w:rPr>
        <w:fldChar w:fldCharType="separate"/>
      </w:r>
      <w:r w:rsidR="000939C5">
        <w:rPr>
          <w:rFonts w:ascii="Times New Roman" w:hAnsi="Times New Roman"/>
          <w:sz w:val="24"/>
          <w:szCs w:val="24"/>
        </w:rPr>
        <w:t>10</w:t>
      </w:r>
      <w:r w:rsidR="00F64E75" w:rsidRPr="009333DA">
        <w:rPr>
          <w:rFonts w:ascii="Times New Roman" w:hAnsi="Times New Roman"/>
          <w:sz w:val="24"/>
          <w:szCs w:val="24"/>
        </w:rPr>
        <w:fldChar w:fldCharType="end"/>
      </w:r>
      <w:r w:rsidR="00F64E75" w:rsidRPr="009333DA">
        <w:rPr>
          <w:rFonts w:ascii="Times New Roman" w:hAnsi="Times New Roman"/>
          <w:sz w:val="24"/>
          <w:szCs w:val="24"/>
        </w:rPr>
        <w:t xml:space="preserve"> to </w:t>
      </w:r>
      <w:r w:rsidR="00F64E75" w:rsidRPr="009333DA">
        <w:rPr>
          <w:rFonts w:ascii="Times New Roman" w:hAnsi="Times New Roman"/>
          <w:sz w:val="24"/>
          <w:szCs w:val="24"/>
        </w:rPr>
        <w:fldChar w:fldCharType="begin"/>
      </w:r>
      <w:r w:rsidR="00F64E75" w:rsidRPr="009333DA">
        <w:rPr>
          <w:rFonts w:ascii="Times New Roman" w:hAnsi="Times New Roman"/>
          <w:sz w:val="24"/>
          <w:szCs w:val="24"/>
        </w:rPr>
        <w:instrText xml:space="preserve"> REF _Ref316477840 \r \h </w:instrText>
      </w:r>
      <w:r w:rsidR="007876E2" w:rsidRPr="009333DA">
        <w:rPr>
          <w:rFonts w:ascii="Times New Roman" w:hAnsi="Times New Roman"/>
          <w:sz w:val="24"/>
          <w:szCs w:val="24"/>
        </w:rPr>
        <w:instrText xml:space="preserve"> \* MERGEFORMAT </w:instrText>
      </w:r>
      <w:r w:rsidR="00F64E75" w:rsidRPr="009333DA">
        <w:rPr>
          <w:rFonts w:ascii="Times New Roman" w:hAnsi="Times New Roman"/>
          <w:sz w:val="24"/>
          <w:szCs w:val="24"/>
        </w:rPr>
      </w:r>
      <w:r w:rsidR="00F64E75" w:rsidRPr="009333DA">
        <w:rPr>
          <w:rFonts w:ascii="Times New Roman" w:hAnsi="Times New Roman"/>
          <w:sz w:val="24"/>
          <w:szCs w:val="24"/>
        </w:rPr>
        <w:fldChar w:fldCharType="separate"/>
      </w:r>
      <w:r w:rsidR="000939C5">
        <w:rPr>
          <w:rFonts w:ascii="Times New Roman" w:hAnsi="Times New Roman"/>
          <w:sz w:val="24"/>
          <w:szCs w:val="24"/>
        </w:rPr>
        <w:t>13</w:t>
      </w:r>
      <w:r w:rsidR="00F64E75" w:rsidRPr="009333DA">
        <w:rPr>
          <w:rFonts w:ascii="Times New Roman" w:hAnsi="Times New Roman"/>
          <w:sz w:val="24"/>
          <w:szCs w:val="24"/>
        </w:rPr>
        <w:fldChar w:fldCharType="end"/>
      </w:r>
      <w:r w:rsidR="00F64E75" w:rsidRPr="009333DA">
        <w:rPr>
          <w:rFonts w:ascii="Times New Roman" w:hAnsi="Times New Roman"/>
          <w:sz w:val="24"/>
          <w:szCs w:val="24"/>
        </w:rPr>
        <w:t xml:space="preserve"> inclusive</w:t>
      </w:r>
      <w:r w:rsidR="0094019B" w:rsidRPr="009333DA">
        <w:rPr>
          <w:rFonts w:ascii="Times New Roman" w:hAnsi="Times New Roman"/>
          <w:sz w:val="24"/>
          <w:szCs w:val="24"/>
        </w:rPr>
        <w:t xml:space="preserve">. The RMS must be approved by the Board. </w:t>
      </w:r>
      <w:r w:rsidRPr="009333DA">
        <w:rPr>
          <w:rFonts w:ascii="Times New Roman" w:hAnsi="Times New Roman"/>
          <w:sz w:val="24"/>
          <w:szCs w:val="24"/>
        </w:rPr>
        <w:t xml:space="preserve"> </w:t>
      </w:r>
    </w:p>
    <w:p w:rsidR="00ED25DC" w:rsidRPr="009333DA" w:rsidRDefault="003A5441" w:rsidP="00ED25DC">
      <w:pPr>
        <w:numPr>
          <w:ilvl w:val="0"/>
          <w:numId w:val="3"/>
        </w:numPr>
        <w:spacing w:before="0" w:after="240"/>
        <w:jc w:val="both"/>
        <w:rPr>
          <w:rFonts w:ascii="Times New Roman" w:hAnsi="Times New Roman"/>
          <w:sz w:val="24"/>
          <w:szCs w:val="24"/>
        </w:rPr>
      </w:pPr>
      <w:bookmarkStart w:id="15" w:name="_Ref314637791"/>
      <w:r w:rsidRPr="009333DA">
        <w:rPr>
          <w:rFonts w:ascii="Times New Roman" w:hAnsi="Times New Roman"/>
          <w:sz w:val="24"/>
          <w:szCs w:val="24"/>
        </w:rPr>
        <w:t>A</w:t>
      </w:r>
      <w:r w:rsidR="00C7637E" w:rsidRPr="009333DA">
        <w:rPr>
          <w:rFonts w:ascii="Times New Roman" w:hAnsi="Times New Roman"/>
          <w:sz w:val="24"/>
          <w:szCs w:val="24"/>
        </w:rPr>
        <w:t>n</w:t>
      </w:r>
      <w:r w:rsidR="003848CC" w:rsidRPr="009333DA">
        <w:rPr>
          <w:rFonts w:ascii="Times New Roman" w:hAnsi="Times New Roman"/>
          <w:sz w:val="24"/>
          <w:szCs w:val="24"/>
        </w:rPr>
        <w:t xml:space="preserve"> </w:t>
      </w:r>
      <w:r w:rsidR="00545C01" w:rsidRPr="009333DA">
        <w:rPr>
          <w:rFonts w:ascii="Times New Roman" w:hAnsi="Times New Roman"/>
          <w:sz w:val="24"/>
          <w:szCs w:val="24"/>
        </w:rPr>
        <w:t xml:space="preserve">RMS </w:t>
      </w:r>
      <w:r w:rsidR="001340FA" w:rsidRPr="009333DA">
        <w:rPr>
          <w:rFonts w:ascii="Times New Roman" w:hAnsi="Times New Roman"/>
          <w:sz w:val="24"/>
          <w:szCs w:val="24"/>
        </w:rPr>
        <w:t xml:space="preserve">is </w:t>
      </w:r>
      <w:r w:rsidR="009F49E6" w:rsidRPr="009333DA">
        <w:rPr>
          <w:rFonts w:ascii="Times New Roman" w:hAnsi="Times New Roman"/>
          <w:sz w:val="24"/>
          <w:szCs w:val="24"/>
        </w:rPr>
        <w:t xml:space="preserve">a strategic document that describes </w:t>
      </w:r>
      <w:r w:rsidR="001340FA" w:rsidRPr="009333DA">
        <w:rPr>
          <w:rFonts w:ascii="Times New Roman" w:hAnsi="Times New Roman"/>
          <w:sz w:val="24"/>
          <w:szCs w:val="24"/>
        </w:rPr>
        <w:t>the RSE licensee’s strategy for managing risk</w:t>
      </w:r>
      <w:r w:rsidR="00EF56B3" w:rsidRPr="009333DA">
        <w:rPr>
          <w:rFonts w:ascii="Times New Roman" w:hAnsi="Times New Roman"/>
          <w:sz w:val="24"/>
          <w:szCs w:val="24"/>
        </w:rPr>
        <w:t xml:space="preserve"> </w:t>
      </w:r>
      <w:r w:rsidR="00025878" w:rsidRPr="009333DA">
        <w:rPr>
          <w:rFonts w:ascii="Times New Roman" w:hAnsi="Times New Roman"/>
          <w:sz w:val="24"/>
          <w:szCs w:val="24"/>
        </w:rPr>
        <w:t xml:space="preserve">and </w:t>
      </w:r>
      <w:r w:rsidR="00D520A7" w:rsidRPr="009333DA">
        <w:rPr>
          <w:rFonts w:ascii="Times New Roman" w:hAnsi="Times New Roman"/>
          <w:sz w:val="24"/>
          <w:szCs w:val="24"/>
        </w:rPr>
        <w:t xml:space="preserve">the </w:t>
      </w:r>
      <w:r w:rsidR="00443417" w:rsidRPr="009333DA">
        <w:rPr>
          <w:rFonts w:ascii="Times New Roman" w:hAnsi="Times New Roman"/>
          <w:sz w:val="24"/>
          <w:szCs w:val="24"/>
        </w:rPr>
        <w:t xml:space="preserve">key elements of the </w:t>
      </w:r>
      <w:r w:rsidR="00234348" w:rsidRPr="009333DA">
        <w:rPr>
          <w:rFonts w:ascii="Times New Roman" w:hAnsi="Times New Roman"/>
          <w:sz w:val="24"/>
          <w:szCs w:val="24"/>
        </w:rPr>
        <w:t xml:space="preserve">risk management framework </w:t>
      </w:r>
      <w:r w:rsidR="00443417" w:rsidRPr="009333DA">
        <w:rPr>
          <w:rFonts w:ascii="Times New Roman" w:hAnsi="Times New Roman"/>
          <w:sz w:val="24"/>
          <w:szCs w:val="24"/>
        </w:rPr>
        <w:t xml:space="preserve">that give effect to </w:t>
      </w:r>
      <w:r w:rsidR="005400DD" w:rsidRPr="009333DA">
        <w:rPr>
          <w:rFonts w:ascii="Times New Roman" w:hAnsi="Times New Roman"/>
          <w:sz w:val="24"/>
          <w:szCs w:val="24"/>
        </w:rPr>
        <w:t>this</w:t>
      </w:r>
      <w:r w:rsidR="00443417" w:rsidRPr="009333DA">
        <w:rPr>
          <w:rFonts w:ascii="Times New Roman" w:hAnsi="Times New Roman"/>
          <w:sz w:val="24"/>
          <w:szCs w:val="24"/>
        </w:rPr>
        <w:t xml:space="preserve"> strategy. A</w:t>
      </w:r>
      <w:r w:rsidR="00CA1BD6" w:rsidRPr="009333DA">
        <w:rPr>
          <w:rFonts w:ascii="Times New Roman" w:hAnsi="Times New Roman"/>
          <w:sz w:val="24"/>
          <w:szCs w:val="24"/>
        </w:rPr>
        <w:t>t</w:t>
      </w:r>
      <w:r w:rsidR="005703F8" w:rsidRPr="009333DA">
        <w:rPr>
          <w:rFonts w:ascii="Times New Roman" w:hAnsi="Times New Roman"/>
          <w:sz w:val="24"/>
          <w:szCs w:val="24"/>
        </w:rPr>
        <w:t xml:space="preserve"> a minimum, </w:t>
      </w:r>
      <w:r w:rsidR="00280B59" w:rsidRPr="009333DA">
        <w:rPr>
          <w:rFonts w:ascii="Times New Roman" w:hAnsi="Times New Roman"/>
          <w:sz w:val="24"/>
          <w:szCs w:val="24"/>
        </w:rPr>
        <w:t>an RSE licensee’s</w:t>
      </w:r>
      <w:r w:rsidR="005703F8" w:rsidRPr="009333DA">
        <w:rPr>
          <w:rFonts w:ascii="Times New Roman" w:hAnsi="Times New Roman"/>
          <w:sz w:val="24"/>
          <w:szCs w:val="24"/>
        </w:rPr>
        <w:t xml:space="preserve"> </w:t>
      </w:r>
      <w:r w:rsidR="001340FA" w:rsidRPr="009333DA">
        <w:rPr>
          <w:rFonts w:ascii="Times New Roman" w:hAnsi="Times New Roman"/>
          <w:sz w:val="24"/>
          <w:szCs w:val="24"/>
        </w:rPr>
        <w:t xml:space="preserve">RMS must </w:t>
      </w:r>
      <w:r w:rsidR="00083618" w:rsidRPr="009333DA">
        <w:rPr>
          <w:rFonts w:ascii="Times New Roman" w:hAnsi="Times New Roman"/>
          <w:sz w:val="24"/>
          <w:szCs w:val="24"/>
        </w:rPr>
        <w:t>describe</w:t>
      </w:r>
      <w:r w:rsidR="00745628" w:rsidRPr="009333DA">
        <w:rPr>
          <w:rFonts w:ascii="Times New Roman" w:hAnsi="Times New Roman"/>
          <w:sz w:val="24"/>
          <w:szCs w:val="24"/>
        </w:rPr>
        <w:t>:</w:t>
      </w:r>
      <w:bookmarkEnd w:id="15"/>
      <w:r w:rsidR="001340FA" w:rsidRPr="009333DA" w:rsidDel="001340FA">
        <w:rPr>
          <w:rFonts w:ascii="Times New Roman" w:hAnsi="Times New Roman"/>
          <w:sz w:val="24"/>
          <w:szCs w:val="24"/>
        </w:rPr>
        <w:t xml:space="preserve"> </w:t>
      </w:r>
    </w:p>
    <w:p w:rsidR="00740664" w:rsidRPr="009333DA" w:rsidRDefault="00821C2D" w:rsidP="00DF1C2F">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each </w:t>
      </w:r>
      <w:r w:rsidR="00740664" w:rsidRPr="009333DA">
        <w:rPr>
          <w:rFonts w:ascii="Times New Roman" w:hAnsi="Times New Roman"/>
          <w:sz w:val="24"/>
          <w:szCs w:val="24"/>
        </w:rPr>
        <w:t xml:space="preserve">material risk </w:t>
      </w:r>
      <w:r w:rsidR="00E81438" w:rsidRPr="009333DA">
        <w:rPr>
          <w:rFonts w:ascii="Times New Roman" w:hAnsi="Times New Roman"/>
          <w:sz w:val="24"/>
          <w:szCs w:val="24"/>
        </w:rPr>
        <w:t xml:space="preserve">identified </w:t>
      </w:r>
      <w:r w:rsidR="005F4848" w:rsidRPr="009333DA">
        <w:rPr>
          <w:rFonts w:ascii="Times New Roman" w:hAnsi="Times New Roman"/>
          <w:sz w:val="24"/>
          <w:szCs w:val="24"/>
        </w:rPr>
        <w:t>under</w:t>
      </w:r>
      <w:r w:rsidR="00E81438" w:rsidRPr="009333DA">
        <w:rPr>
          <w:rFonts w:ascii="Times New Roman" w:hAnsi="Times New Roman"/>
          <w:sz w:val="24"/>
          <w:szCs w:val="24"/>
        </w:rPr>
        <w:t xml:space="preserve"> paragraphs </w:t>
      </w:r>
      <w:r w:rsidR="00520CD8" w:rsidRPr="009333DA">
        <w:rPr>
          <w:rFonts w:ascii="Times New Roman" w:hAnsi="Times New Roman"/>
          <w:sz w:val="24"/>
          <w:szCs w:val="24"/>
        </w:rPr>
        <w:fldChar w:fldCharType="begin"/>
      </w:r>
      <w:r w:rsidR="00CC478D" w:rsidRPr="009333DA">
        <w:rPr>
          <w:rFonts w:ascii="Times New Roman" w:hAnsi="Times New Roman"/>
          <w:sz w:val="24"/>
          <w:szCs w:val="24"/>
        </w:rPr>
        <w:instrText xml:space="preserve"> REF _Ref316477812 \r \h </w:instrText>
      </w:r>
      <w:r w:rsidR="00755508" w:rsidRPr="009333DA">
        <w:rPr>
          <w:rFonts w:ascii="Times New Roman" w:hAnsi="Times New Roman"/>
          <w:sz w:val="24"/>
          <w:szCs w:val="24"/>
        </w:rPr>
        <w:instrText xml:space="preserve"> \* MERGEFORMAT </w:instrText>
      </w:r>
      <w:r w:rsidR="00520CD8" w:rsidRPr="009333DA">
        <w:rPr>
          <w:rFonts w:ascii="Times New Roman" w:hAnsi="Times New Roman"/>
          <w:sz w:val="24"/>
          <w:szCs w:val="24"/>
        </w:rPr>
      </w:r>
      <w:r w:rsidR="00520CD8" w:rsidRPr="009333DA">
        <w:rPr>
          <w:rFonts w:ascii="Times New Roman" w:hAnsi="Times New Roman"/>
          <w:sz w:val="24"/>
          <w:szCs w:val="24"/>
        </w:rPr>
        <w:fldChar w:fldCharType="separate"/>
      </w:r>
      <w:r w:rsidR="000939C5">
        <w:rPr>
          <w:rFonts w:ascii="Times New Roman" w:hAnsi="Times New Roman"/>
          <w:sz w:val="24"/>
          <w:szCs w:val="24"/>
        </w:rPr>
        <w:t>10</w:t>
      </w:r>
      <w:r w:rsidR="00520CD8" w:rsidRPr="009333DA">
        <w:rPr>
          <w:rFonts w:ascii="Times New Roman" w:hAnsi="Times New Roman"/>
          <w:sz w:val="24"/>
          <w:szCs w:val="24"/>
        </w:rPr>
        <w:fldChar w:fldCharType="end"/>
      </w:r>
      <w:r w:rsidR="00E81438" w:rsidRPr="009333DA">
        <w:rPr>
          <w:rFonts w:ascii="Times New Roman" w:hAnsi="Times New Roman"/>
          <w:sz w:val="24"/>
          <w:szCs w:val="24"/>
        </w:rPr>
        <w:t xml:space="preserve"> to </w:t>
      </w:r>
      <w:r w:rsidR="00520CD8" w:rsidRPr="009333DA">
        <w:rPr>
          <w:rFonts w:ascii="Times New Roman" w:hAnsi="Times New Roman"/>
          <w:sz w:val="24"/>
          <w:szCs w:val="24"/>
        </w:rPr>
        <w:fldChar w:fldCharType="begin"/>
      </w:r>
      <w:r w:rsidR="00CC478D" w:rsidRPr="009333DA">
        <w:rPr>
          <w:rFonts w:ascii="Times New Roman" w:hAnsi="Times New Roman"/>
          <w:sz w:val="24"/>
          <w:szCs w:val="24"/>
        </w:rPr>
        <w:instrText xml:space="preserve"> REF _Ref316477840 \r \h </w:instrText>
      </w:r>
      <w:r w:rsidR="00755508" w:rsidRPr="009333DA">
        <w:rPr>
          <w:rFonts w:ascii="Times New Roman" w:hAnsi="Times New Roman"/>
          <w:sz w:val="24"/>
          <w:szCs w:val="24"/>
        </w:rPr>
        <w:instrText xml:space="preserve"> \* MERGEFORMAT </w:instrText>
      </w:r>
      <w:r w:rsidR="00520CD8" w:rsidRPr="009333DA">
        <w:rPr>
          <w:rFonts w:ascii="Times New Roman" w:hAnsi="Times New Roman"/>
          <w:sz w:val="24"/>
          <w:szCs w:val="24"/>
        </w:rPr>
      </w:r>
      <w:r w:rsidR="00520CD8" w:rsidRPr="009333DA">
        <w:rPr>
          <w:rFonts w:ascii="Times New Roman" w:hAnsi="Times New Roman"/>
          <w:sz w:val="24"/>
          <w:szCs w:val="24"/>
        </w:rPr>
        <w:fldChar w:fldCharType="separate"/>
      </w:r>
      <w:r w:rsidR="000939C5">
        <w:rPr>
          <w:rFonts w:ascii="Times New Roman" w:hAnsi="Times New Roman"/>
          <w:sz w:val="24"/>
          <w:szCs w:val="24"/>
        </w:rPr>
        <w:t>13</w:t>
      </w:r>
      <w:r w:rsidR="00520CD8" w:rsidRPr="009333DA">
        <w:rPr>
          <w:rFonts w:ascii="Times New Roman" w:hAnsi="Times New Roman"/>
          <w:sz w:val="24"/>
          <w:szCs w:val="24"/>
        </w:rPr>
        <w:fldChar w:fldCharType="end"/>
      </w:r>
      <w:r w:rsidR="00C8518B" w:rsidRPr="009333DA">
        <w:rPr>
          <w:rFonts w:ascii="Times New Roman" w:hAnsi="Times New Roman"/>
          <w:sz w:val="24"/>
          <w:szCs w:val="24"/>
        </w:rPr>
        <w:t xml:space="preserve"> inclusive</w:t>
      </w:r>
      <w:r w:rsidR="00E81438" w:rsidRPr="009333DA">
        <w:rPr>
          <w:rFonts w:ascii="Times New Roman" w:hAnsi="Times New Roman"/>
          <w:sz w:val="24"/>
          <w:szCs w:val="24"/>
        </w:rPr>
        <w:t xml:space="preserve"> </w:t>
      </w:r>
      <w:r w:rsidR="00535881" w:rsidRPr="009333DA">
        <w:rPr>
          <w:rFonts w:ascii="Times New Roman" w:hAnsi="Times New Roman"/>
          <w:sz w:val="24"/>
          <w:szCs w:val="24"/>
        </w:rPr>
        <w:t xml:space="preserve">and the RSE licensee’s approach to </w:t>
      </w:r>
      <w:r w:rsidR="00E64B8D" w:rsidRPr="009333DA">
        <w:rPr>
          <w:rFonts w:ascii="Times New Roman" w:hAnsi="Times New Roman"/>
          <w:sz w:val="24"/>
          <w:szCs w:val="24"/>
        </w:rPr>
        <w:t xml:space="preserve">managing </w:t>
      </w:r>
      <w:r w:rsidR="00535881" w:rsidRPr="009333DA">
        <w:rPr>
          <w:rFonts w:ascii="Times New Roman" w:hAnsi="Times New Roman"/>
          <w:sz w:val="24"/>
          <w:szCs w:val="24"/>
        </w:rPr>
        <w:t>these risks</w:t>
      </w:r>
      <w:r w:rsidR="00740664" w:rsidRPr="009333DA">
        <w:rPr>
          <w:rFonts w:ascii="Times New Roman" w:hAnsi="Times New Roman"/>
          <w:sz w:val="24"/>
          <w:szCs w:val="24"/>
        </w:rPr>
        <w:t>;</w:t>
      </w:r>
    </w:p>
    <w:p w:rsidR="00DF1C2F" w:rsidRPr="009333DA" w:rsidRDefault="00545C01" w:rsidP="00502271">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lastRenderedPageBreak/>
        <w:t>the policies and procedures dealing with the following risk management matters, including the date when each policy or procedure was last revised, the date that it is next due for revi</w:t>
      </w:r>
      <w:r w:rsidR="00E56547" w:rsidRPr="009333DA">
        <w:rPr>
          <w:rFonts w:ascii="Times New Roman" w:hAnsi="Times New Roman"/>
          <w:sz w:val="24"/>
          <w:szCs w:val="24"/>
        </w:rPr>
        <w:t>ew</w:t>
      </w:r>
      <w:r w:rsidRPr="009333DA">
        <w:rPr>
          <w:rFonts w:ascii="Times New Roman" w:hAnsi="Times New Roman"/>
          <w:sz w:val="24"/>
          <w:szCs w:val="24"/>
        </w:rPr>
        <w:t xml:space="preserve"> and </w:t>
      </w:r>
      <w:r w:rsidR="00E56547" w:rsidRPr="009333DA">
        <w:rPr>
          <w:rFonts w:ascii="Times New Roman" w:hAnsi="Times New Roman"/>
          <w:sz w:val="24"/>
          <w:szCs w:val="24"/>
        </w:rPr>
        <w:t xml:space="preserve">who is </w:t>
      </w:r>
      <w:r w:rsidRPr="009333DA">
        <w:rPr>
          <w:rFonts w:ascii="Times New Roman" w:hAnsi="Times New Roman"/>
          <w:sz w:val="24"/>
          <w:szCs w:val="24"/>
        </w:rPr>
        <w:t xml:space="preserve">responsible for </w:t>
      </w:r>
      <w:r w:rsidR="00E56547" w:rsidRPr="009333DA">
        <w:rPr>
          <w:rFonts w:ascii="Times New Roman" w:hAnsi="Times New Roman"/>
          <w:sz w:val="24"/>
          <w:szCs w:val="24"/>
        </w:rPr>
        <w:t>the review</w:t>
      </w:r>
      <w:r w:rsidR="00E847CD" w:rsidRPr="009333DA">
        <w:rPr>
          <w:rFonts w:ascii="Times New Roman" w:hAnsi="Times New Roman"/>
          <w:sz w:val="24"/>
          <w:szCs w:val="24"/>
        </w:rPr>
        <w:t>:</w:t>
      </w:r>
    </w:p>
    <w:p w:rsidR="00545C01" w:rsidRPr="009333DA" w:rsidRDefault="00545C01" w:rsidP="00B25D15">
      <w:pPr>
        <w:numPr>
          <w:ilvl w:val="0"/>
          <w:numId w:val="25"/>
        </w:numPr>
        <w:tabs>
          <w:tab w:val="left" w:pos="1701"/>
        </w:tabs>
        <w:spacing w:before="120" w:after="240"/>
        <w:ind w:left="1701" w:hanging="567"/>
        <w:jc w:val="both"/>
        <w:rPr>
          <w:rFonts w:ascii="Times New Roman" w:hAnsi="Times New Roman"/>
          <w:sz w:val="24"/>
          <w:szCs w:val="24"/>
        </w:rPr>
      </w:pPr>
      <w:r w:rsidRPr="009333DA">
        <w:rPr>
          <w:rFonts w:ascii="Times New Roman" w:hAnsi="Times New Roman"/>
          <w:sz w:val="24"/>
          <w:szCs w:val="24"/>
        </w:rPr>
        <w:t>the processes for identifyin</w:t>
      </w:r>
      <w:r w:rsidR="00801ED0" w:rsidRPr="009333DA">
        <w:rPr>
          <w:rFonts w:ascii="Times New Roman" w:hAnsi="Times New Roman"/>
          <w:sz w:val="24"/>
          <w:szCs w:val="24"/>
        </w:rPr>
        <w:t>g and assessing material risks</w:t>
      </w:r>
      <w:r w:rsidR="00D04A2F" w:rsidRPr="009333DA">
        <w:rPr>
          <w:rFonts w:ascii="Times New Roman" w:hAnsi="Times New Roman"/>
          <w:sz w:val="24"/>
          <w:szCs w:val="24"/>
        </w:rPr>
        <w:t xml:space="preserve"> and controls</w:t>
      </w:r>
      <w:r w:rsidR="00801ED0" w:rsidRPr="009333DA">
        <w:rPr>
          <w:rFonts w:ascii="Times New Roman" w:hAnsi="Times New Roman"/>
          <w:sz w:val="24"/>
          <w:szCs w:val="24"/>
        </w:rPr>
        <w:t>;</w:t>
      </w:r>
    </w:p>
    <w:p w:rsidR="00545C01" w:rsidRPr="009333DA" w:rsidRDefault="00545C01" w:rsidP="00801ED0">
      <w:pPr>
        <w:numPr>
          <w:ilvl w:val="0"/>
          <w:numId w:val="25"/>
        </w:numPr>
        <w:tabs>
          <w:tab w:val="left" w:pos="1701"/>
        </w:tabs>
        <w:spacing w:before="120" w:after="240"/>
        <w:ind w:left="1701" w:hanging="567"/>
        <w:jc w:val="both"/>
        <w:rPr>
          <w:rFonts w:ascii="Times New Roman" w:hAnsi="Times New Roman"/>
          <w:sz w:val="24"/>
          <w:szCs w:val="24"/>
        </w:rPr>
      </w:pPr>
      <w:r w:rsidRPr="009333DA">
        <w:rPr>
          <w:rFonts w:ascii="Times New Roman" w:hAnsi="Times New Roman"/>
          <w:sz w:val="24"/>
          <w:szCs w:val="24"/>
        </w:rPr>
        <w:t>the process for establishing</w:t>
      </w:r>
      <w:r w:rsidR="000A2E90" w:rsidRPr="009333DA">
        <w:rPr>
          <w:rFonts w:ascii="Times New Roman" w:hAnsi="Times New Roman"/>
          <w:sz w:val="24"/>
          <w:szCs w:val="24"/>
        </w:rPr>
        <w:t>,</w:t>
      </w:r>
      <w:r w:rsidRPr="009333DA">
        <w:rPr>
          <w:rFonts w:ascii="Times New Roman" w:hAnsi="Times New Roman"/>
          <w:sz w:val="24"/>
          <w:szCs w:val="24"/>
        </w:rPr>
        <w:t xml:space="preserve"> implementing </w:t>
      </w:r>
      <w:r w:rsidR="000A2E90" w:rsidRPr="009333DA">
        <w:rPr>
          <w:rFonts w:ascii="Times New Roman" w:hAnsi="Times New Roman"/>
          <w:sz w:val="24"/>
          <w:szCs w:val="24"/>
        </w:rPr>
        <w:t xml:space="preserve">and testing </w:t>
      </w:r>
      <w:r w:rsidRPr="009333DA">
        <w:rPr>
          <w:rFonts w:ascii="Times New Roman" w:hAnsi="Times New Roman"/>
          <w:sz w:val="24"/>
          <w:szCs w:val="24"/>
        </w:rPr>
        <w:t xml:space="preserve">mitigation </w:t>
      </w:r>
      <w:r w:rsidR="00745628" w:rsidRPr="009333DA">
        <w:rPr>
          <w:rFonts w:ascii="Times New Roman" w:hAnsi="Times New Roman"/>
          <w:sz w:val="24"/>
          <w:szCs w:val="24"/>
        </w:rPr>
        <w:t xml:space="preserve">strategies </w:t>
      </w:r>
      <w:r w:rsidRPr="009333DA">
        <w:rPr>
          <w:rFonts w:ascii="Times New Roman" w:hAnsi="Times New Roman"/>
          <w:sz w:val="24"/>
          <w:szCs w:val="24"/>
        </w:rPr>
        <w:t>and control</w:t>
      </w:r>
      <w:r w:rsidR="00E56547" w:rsidRPr="009333DA">
        <w:rPr>
          <w:rFonts w:ascii="Times New Roman" w:hAnsi="Times New Roman"/>
          <w:sz w:val="24"/>
          <w:szCs w:val="24"/>
        </w:rPr>
        <w:t xml:space="preserve"> mechanisms for material risks;</w:t>
      </w:r>
    </w:p>
    <w:p w:rsidR="00545C01" w:rsidRPr="009333DA" w:rsidRDefault="00545C01" w:rsidP="00801ED0">
      <w:pPr>
        <w:numPr>
          <w:ilvl w:val="0"/>
          <w:numId w:val="25"/>
        </w:numPr>
        <w:tabs>
          <w:tab w:val="left" w:pos="1701"/>
        </w:tabs>
        <w:spacing w:before="120" w:after="240"/>
        <w:ind w:left="1701" w:hanging="567"/>
        <w:jc w:val="both"/>
        <w:rPr>
          <w:rFonts w:ascii="Times New Roman" w:hAnsi="Times New Roman"/>
          <w:sz w:val="24"/>
          <w:szCs w:val="24"/>
        </w:rPr>
      </w:pPr>
      <w:r w:rsidRPr="009333DA">
        <w:rPr>
          <w:rFonts w:ascii="Times New Roman" w:hAnsi="Times New Roman"/>
          <w:sz w:val="24"/>
          <w:szCs w:val="24"/>
        </w:rPr>
        <w:t>the process for monitoring</w:t>
      </w:r>
      <w:r w:rsidR="00083618" w:rsidRPr="009333DA">
        <w:rPr>
          <w:rFonts w:ascii="Times New Roman" w:hAnsi="Times New Roman"/>
          <w:sz w:val="24"/>
          <w:szCs w:val="24"/>
        </w:rPr>
        <w:t>, communicating</w:t>
      </w:r>
      <w:r w:rsidRPr="009333DA">
        <w:rPr>
          <w:rFonts w:ascii="Times New Roman" w:hAnsi="Times New Roman"/>
          <w:sz w:val="24"/>
          <w:szCs w:val="24"/>
        </w:rPr>
        <w:t xml:space="preserve"> and reporting risk issues</w:t>
      </w:r>
      <w:r w:rsidR="00F64E75" w:rsidRPr="009333DA">
        <w:rPr>
          <w:rFonts w:ascii="Times New Roman" w:hAnsi="Times New Roman"/>
          <w:sz w:val="24"/>
          <w:szCs w:val="24"/>
        </w:rPr>
        <w:t>,</w:t>
      </w:r>
      <w:r w:rsidRPr="009333DA">
        <w:rPr>
          <w:rFonts w:ascii="Times New Roman" w:hAnsi="Times New Roman"/>
          <w:sz w:val="24"/>
          <w:szCs w:val="24"/>
        </w:rPr>
        <w:t xml:space="preserve"> including </w:t>
      </w:r>
      <w:r w:rsidR="00083618" w:rsidRPr="009333DA">
        <w:rPr>
          <w:rFonts w:ascii="Times New Roman" w:hAnsi="Times New Roman"/>
          <w:sz w:val="24"/>
          <w:szCs w:val="24"/>
        </w:rPr>
        <w:t>escalation procedures for the reporting of material events and incidents</w:t>
      </w:r>
      <w:r w:rsidR="00E56547" w:rsidRPr="009333DA">
        <w:rPr>
          <w:rFonts w:ascii="Times New Roman" w:hAnsi="Times New Roman"/>
          <w:sz w:val="24"/>
          <w:szCs w:val="24"/>
        </w:rPr>
        <w:t>;</w:t>
      </w:r>
      <w:r w:rsidR="00EF7791" w:rsidRPr="009333DA">
        <w:rPr>
          <w:rFonts w:ascii="Times New Roman" w:hAnsi="Times New Roman"/>
          <w:sz w:val="24"/>
          <w:szCs w:val="24"/>
        </w:rPr>
        <w:t xml:space="preserve"> </w:t>
      </w:r>
    </w:p>
    <w:p w:rsidR="006724DB" w:rsidRPr="009333DA" w:rsidRDefault="00545C01" w:rsidP="00801ED0">
      <w:pPr>
        <w:numPr>
          <w:ilvl w:val="0"/>
          <w:numId w:val="25"/>
        </w:numPr>
        <w:tabs>
          <w:tab w:val="left" w:pos="1701"/>
        </w:tabs>
        <w:spacing w:before="120" w:after="240"/>
        <w:ind w:left="1701" w:hanging="567"/>
        <w:jc w:val="both"/>
        <w:rPr>
          <w:rFonts w:ascii="Times New Roman" w:hAnsi="Times New Roman"/>
          <w:sz w:val="24"/>
          <w:szCs w:val="24"/>
        </w:rPr>
      </w:pPr>
      <w:r w:rsidRPr="009333DA">
        <w:rPr>
          <w:rFonts w:ascii="Times New Roman" w:hAnsi="Times New Roman"/>
          <w:sz w:val="24"/>
          <w:szCs w:val="24"/>
        </w:rPr>
        <w:t xml:space="preserve">the mechanisms in place for monitoring and ensuring </w:t>
      </w:r>
      <w:r w:rsidR="00F64E75" w:rsidRPr="009333DA">
        <w:rPr>
          <w:rFonts w:ascii="Times New Roman" w:hAnsi="Times New Roman"/>
          <w:sz w:val="24"/>
          <w:szCs w:val="24"/>
        </w:rPr>
        <w:t xml:space="preserve">ongoing </w:t>
      </w:r>
      <w:r w:rsidRPr="009333DA">
        <w:rPr>
          <w:rFonts w:ascii="Times New Roman" w:hAnsi="Times New Roman"/>
          <w:sz w:val="24"/>
          <w:szCs w:val="24"/>
        </w:rPr>
        <w:t>compliance with all prudential requirements</w:t>
      </w:r>
      <w:r w:rsidR="00F64E75" w:rsidRPr="009333DA">
        <w:rPr>
          <w:rStyle w:val="FootnoteReference"/>
          <w:rFonts w:ascii="Times New Roman" w:hAnsi="Times New Roman"/>
          <w:sz w:val="24"/>
          <w:szCs w:val="24"/>
        </w:rPr>
        <w:footnoteReference w:id="13"/>
      </w:r>
      <w:r w:rsidR="006724DB" w:rsidRPr="009333DA">
        <w:rPr>
          <w:rFonts w:ascii="Times New Roman" w:hAnsi="Times New Roman"/>
          <w:sz w:val="24"/>
          <w:szCs w:val="24"/>
        </w:rPr>
        <w:t>; and</w:t>
      </w:r>
    </w:p>
    <w:p w:rsidR="00545C01" w:rsidRPr="009333DA" w:rsidRDefault="006724DB" w:rsidP="00801ED0">
      <w:pPr>
        <w:numPr>
          <w:ilvl w:val="0"/>
          <w:numId w:val="25"/>
        </w:numPr>
        <w:tabs>
          <w:tab w:val="left" w:pos="1701"/>
        </w:tabs>
        <w:spacing w:before="120" w:after="240"/>
        <w:ind w:left="1701" w:hanging="567"/>
        <w:jc w:val="both"/>
        <w:rPr>
          <w:rFonts w:ascii="Times New Roman" w:hAnsi="Times New Roman"/>
          <w:sz w:val="24"/>
          <w:szCs w:val="24"/>
        </w:rPr>
      </w:pPr>
      <w:r w:rsidRPr="009333DA">
        <w:rPr>
          <w:rFonts w:ascii="Times New Roman" w:hAnsi="Times New Roman"/>
          <w:sz w:val="24"/>
          <w:szCs w:val="24"/>
        </w:rPr>
        <w:t xml:space="preserve">the process for ensuring continued alignment between the </w:t>
      </w:r>
      <w:r w:rsidR="003C6D2A" w:rsidRPr="009333DA">
        <w:rPr>
          <w:rFonts w:ascii="Times New Roman" w:hAnsi="Times New Roman"/>
          <w:sz w:val="24"/>
          <w:szCs w:val="24"/>
        </w:rPr>
        <w:t>risk management framework</w:t>
      </w:r>
      <w:r w:rsidRPr="009333DA">
        <w:rPr>
          <w:rFonts w:ascii="Times New Roman" w:hAnsi="Times New Roman"/>
          <w:sz w:val="24"/>
          <w:szCs w:val="24"/>
        </w:rPr>
        <w:t xml:space="preserve"> and </w:t>
      </w:r>
      <w:r w:rsidR="00D520A7" w:rsidRPr="009333DA">
        <w:rPr>
          <w:rFonts w:ascii="Times New Roman" w:hAnsi="Times New Roman"/>
          <w:sz w:val="24"/>
          <w:szCs w:val="24"/>
        </w:rPr>
        <w:t xml:space="preserve">the </w:t>
      </w:r>
      <w:r w:rsidRPr="009333DA">
        <w:rPr>
          <w:rFonts w:ascii="Times New Roman" w:hAnsi="Times New Roman"/>
          <w:sz w:val="24"/>
          <w:szCs w:val="24"/>
        </w:rPr>
        <w:t>business plan</w:t>
      </w:r>
      <w:r w:rsidR="00E847CD" w:rsidRPr="009333DA">
        <w:rPr>
          <w:rFonts w:ascii="Times New Roman" w:hAnsi="Times New Roman"/>
          <w:sz w:val="24"/>
          <w:szCs w:val="24"/>
        </w:rPr>
        <w:t>;</w:t>
      </w:r>
      <w:r w:rsidR="005967A0" w:rsidRPr="009333DA">
        <w:rPr>
          <w:rFonts w:ascii="Times New Roman" w:hAnsi="Times New Roman"/>
          <w:sz w:val="24"/>
          <w:szCs w:val="24"/>
        </w:rPr>
        <w:t xml:space="preserve"> </w:t>
      </w:r>
    </w:p>
    <w:p w:rsidR="00EF7791" w:rsidRPr="009333DA" w:rsidRDefault="00EF7791" w:rsidP="00EF7791">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t>the role and responsibilities of the risk management function;</w:t>
      </w:r>
    </w:p>
    <w:p w:rsidR="00740664" w:rsidRPr="009333DA" w:rsidRDefault="00545C01" w:rsidP="00317CF6">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the relationships between the Board, </w:t>
      </w:r>
      <w:r w:rsidR="00D520A7" w:rsidRPr="009333DA">
        <w:rPr>
          <w:rFonts w:ascii="Times New Roman" w:hAnsi="Times New Roman"/>
          <w:sz w:val="24"/>
          <w:szCs w:val="24"/>
        </w:rPr>
        <w:t>b</w:t>
      </w:r>
      <w:r w:rsidRPr="009333DA">
        <w:rPr>
          <w:rFonts w:ascii="Times New Roman" w:hAnsi="Times New Roman"/>
          <w:sz w:val="24"/>
          <w:szCs w:val="24"/>
        </w:rPr>
        <w:t>oard committees and senior management</w:t>
      </w:r>
      <w:r w:rsidR="00F64E75" w:rsidRPr="009333DA">
        <w:rPr>
          <w:rFonts w:ascii="Times New Roman" w:hAnsi="Times New Roman"/>
          <w:sz w:val="24"/>
          <w:szCs w:val="24"/>
        </w:rPr>
        <w:t xml:space="preserve"> with respect to the risk management framework</w:t>
      </w:r>
      <w:r w:rsidRPr="009333DA">
        <w:rPr>
          <w:rFonts w:ascii="Times New Roman" w:hAnsi="Times New Roman"/>
          <w:sz w:val="24"/>
          <w:szCs w:val="24"/>
        </w:rPr>
        <w:t>;</w:t>
      </w:r>
    </w:p>
    <w:p w:rsidR="00740664" w:rsidRPr="009333DA" w:rsidRDefault="006E517E" w:rsidP="00317CF6">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t>those with</w:t>
      </w:r>
      <w:r w:rsidR="00545C01" w:rsidRPr="009333DA">
        <w:rPr>
          <w:rFonts w:ascii="Times New Roman" w:hAnsi="Times New Roman"/>
          <w:sz w:val="24"/>
          <w:szCs w:val="24"/>
        </w:rPr>
        <w:t xml:space="preserve"> managerial responsibility for the </w:t>
      </w:r>
      <w:r w:rsidR="00234348" w:rsidRPr="009333DA">
        <w:rPr>
          <w:rFonts w:ascii="Times New Roman" w:hAnsi="Times New Roman"/>
          <w:sz w:val="24"/>
          <w:szCs w:val="24"/>
        </w:rPr>
        <w:t>risk management framework</w:t>
      </w:r>
      <w:r w:rsidR="00545C01" w:rsidRPr="009333DA">
        <w:rPr>
          <w:rFonts w:ascii="Times New Roman" w:hAnsi="Times New Roman"/>
          <w:sz w:val="24"/>
          <w:szCs w:val="24"/>
        </w:rPr>
        <w:t xml:space="preserve">, and their roles and responsibilities; </w:t>
      </w:r>
    </w:p>
    <w:p w:rsidR="00740664" w:rsidRPr="009333DA" w:rsidRDefault="00545C01" w:rsidP="00317CF6">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the approach to ensuring </w:t>
      </w:r>
      <w:r w:rsidR="002C0F7A" w:rsidRPr="009333DA">
        <w:rPr>
          <w:rFonts w:ascii="Times New Roman" w:hAnsi="Times New Roman"/>
          <w:sz w:val="24"/>
          <w:szCs w:val="24"/>
        </w:rPr>
        <w:t xml:space="preserve">all persons within the RSE licensee’s business operations </w:t>
      </w:r>
      <w:r w:rsidRPr="009333DA">
        <w:rPr>
          <w:rFonts w:ascii="Times New Roman" w:hAnsi="Times New Roman"/>
          <w:sz w:val="24"/>
          <w:szCs w:val="24"/>
        </w:rPr>
        <w:t xml:space="preserve">have awareness of the </w:t>
      </w:r>
      <w:r w:rsidR="00234348" w:rsidRPr="009333DA">
        <w:rPr>
          <w:rFonts w:ascii="Times New Roman" w:hAnsi="Times New Roman"/>
          <w:sz w:val="24"/>
          <w:szCs w:val="24"/>
        </w:rPr>
        <w:t>risk management framework</w:t>
      </w:r>
      <w:r w:rsidR="00DA5867" w:rsidRPr="009333DA">
        <w:rPr>
          <w:rFonts w:ascii="Times New Roman" w:hAnsi="Times New Roman"/>
          <w:sz w:val="24"/>
          <w:szCs w:val="24"/>
        </w:rPr>
        <w:t xml:space="preserve"> </w:t>
      </w:r>
      <w:r w:rsidRPr="009333DA">
        <w:rPr>
          <w:rFonts w:ascii="Times New Roman" w:hAnsi="Times New Roman"/>
          <w:sz w:val="24"/>
          <w:szCs w:val="24"/>
        </w:rPr>
        <w:t xml:space="preserve">and </w:t>
      </w:r>
      <w:r w:rsidR="00D520A7" w:rsidRPr="009333DA">
        <w:rPr>
          <w:rFonts w:ascii="Times New Roman" w:hAnsi="Times New Roman"/>
          <w:sz w:val="24"/>
          <w:szCs w:val="24"/>
        </w:rPr>
        <w:t xml:space="preserve">for </w:t>
      </w:r>
      <w:r w:rsidRPr="009333DA">
        <w:rPr>
          <w:rFonts w:ascii="Times New Roman" w:hAnsi="Times New Roman"/>
          <w:sz w:val="24"/>
          <w:szCs w:val="24"/>
        </w:rPr>
        <w:t>instil</w:t>
      </w:r>
      <w:r w:rsidR="00E847CD" w:rsidRPr="009333DA">
        <w:rPr>
          <w:rFonts w:ascii="Times New Roman" w:hAnsi="Times New Roman"/>
          <w:sz w:val="24"/>
          <w:szCs w:val="24"/>
        </w:rPr>
        <w:t>ling</w:t>
      </w:r>
      <w:r w:rsidRPr="009333DA">
        <w:rPr>
          <w:rFonts w:ascii="Times New Roman" w:hAnsi="Times New Roman"/>
          <w:sz w:val="24"/>
          <w:szCs w:val="24"/>
        </w:rPr>
        <w:t xml:space="preserve"> an appropriate risk culture across the </w:t>
      </w:r>
      <w:r w:rsidR="009B78E2" w:rsidRPr="009333DA">
        <w:rPr>
          <w:rFonts w:ascii="Times New Roman" w:hAnsi="Times New Roman"/>
          <w:sz w:val="24"/>
          <w:szCs w:val="24"/>
        </w:rPr>
        <w:t>RSE licensee</w:t>
      </w:r>
      <w:r w:rsidR="006E517E" w:rsidRPr="009333DA">
        <w:rPr>
          <w:rFonts w:ascii="Times New Roman" w:hAnsi="Times New Roman"/>
          <w:sz w:val="24"/>
          <w:szCs w:val="24"/>
        </w:rPr>
        <w:t>’s</w:t>
      </w:r>
      <w:r w:rsidR="002C0F7A" w:rsidRPr="009333DA">
        <w:rPr>
          <w:rFonts w:ascii="Times New Roman" w:hAnsi="Times New Roman"/>
          <w:sz w:val="24"/>
          <w:szCs w:val="24"/>
        </w:rPr>
        <w:t xml:space="preserve"> business operations</w:t>
      </w:r>
      <w:r w:rsidRPr="009333DA">
        <w:rPr>
          <w:rFonts w:ascii="Times New Roman" w:hAnsi="Times New Roman"/>
          <w:sz w:val="24"/>
          <w:szCs w:val="24"/>
        </w:rPr>
        <w:t>; and</w:t>
      </w:r>
    </w:p>
    <w:p w:rsidR="00545C01" w:rsidRPr="009333DA" w:rsidRDefault="00545C01" w:rsidP="00317CF6">
      <w:pPr>
        <w:numPr>
          <w:ilvl w:val="0"/>
          <w:numId w:val="20"/>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the process by which the </w:t>
      </w:r>
      <w:r w:rsidR="00234348" w:rsidRPr="009333DA">
        <w:rPr>
          <w:rFonts w:ascii="Times New Roman" w:hAnsi="Times New Roman"/>
          <w:sz w:val="24"/>
          <w:szCs w:val="24"/>
        </w:rPr>
        <w:t>risk management framework</w:t>
      </w:r>
      <w:r w:rsidRPr="009333DA">
        <w:rPr>
          <w:rFonts w:ascii="Times New Roman" w:hAnsi="Times New Roman"/>
          <w:sz w:val="24"/>
          <w:szCs w:val="24"/>
        </w:rPr>
        <w:t xml:space="preserve"> is reviewed and the intended coverage and timing for these reviews.</w:t>
      </w:r>
    </w:p>
    <w:p w:rsidR="00632B28" w:rsidRPr="009333DA" w:rsidRDefault="00632B28" w:rsidP="00632B28">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APRA may require an RSE licensee to </w:t>
      </w:r>
      <w:r w:rsidR="002D3AE7" w:rsidRPr="009333DA">
        <w:rPr>
          <w:rFonts w:ascii="Times New Roman" w:hAnsi="Times New Roman"/>
          <w:sz w:val="24"/>
          <w:szCs w:val="24"/>
        </w:rPr>
        <w:t xml:space="preserve">amend its RMS or </w:t>
      </w:r>
      <w:r w:rsidRPr="009333DA">
        <w:rPr>
          <w:rFonts w:ascii="Times New Roman" w:hAnsi="Times New Roman"/>
          <w:sz w:val="24"/>
          <w:szCs w:val="24"/>
        </w:rPr>
        <w:t xml:space="preserve">develop and maintain a </w:t>
      </w:r>
      <w:r w:rsidR="002F6AFC" w:rsidRPr="009333DA">
        <w:rPr>
          <w:rFonts w:ascii="Times New Roman" w:hAnsi="Times New Roman"/>
          <w:sz w:val="24"/>
          <w:szCs w:val="24"/>
        </w:rPr>
        <w:t xml:space="preserve">separate </w:t>
      </w:r>
      <w:r w:rsidR="00ED25DC" w:rsidRPr="009333DA">
        <w:rPr>
          <w:rFonts w:ascii="Times New Roman" w:hAnsi="Times New Roman"/>
          <w:sz w:val="24"/>
          <w:szCs w:val="24"/>
        </w:rPr>
        <w:t>RM</w:t>
      </w:r>
      <w:r w:rsidR="00F60280" w:rsidRPr="009333DA">
        <w:rPr>
          <w:rFonts w:ascii="Times New Roman" w:hAnsi="Times New Roman"/>
          <w:sz w:val="24"/>
          <w:szCs w:val="24"/>
        </w:rPr>
        <w:t>S</w:t>
      </w:r>
      <w:r w:rsidRPr="009333DA">
        <w:rPr>
          <w:rFonts w:ascii="Times New Roman" w:hAnsi="Times New Roman"/>
          <w:sz w:val="24"/>
          <w:szCs w:val="24"/>
        </w:rPr>
        <w:t xml:space="preserve"> </w:t>
      </w:r>
      <w:r w:rsidR="001175DF" w:rsidRPr="009333DA">
        <w:rPr>
          <w:rFonts w:ascii="Times New Roman" w:hAnsi="Times New Roman"/>
          <w:sz w:val="24"/>
          <w:szCs w:val="24"/>
        </w:rPr>
        <w:t>with respect to one or more RSEs</w:t>
      </w:r>
      <w:r w:rsidRPr="009333DA">
        <w:rPr>
          <w:rFonts w:ascii="Times New Roman" w:hAnsi="Times New Roman"/>
          <w:sz w:val="24"/>
          <w:szCs w:val="24"/>
        </w:rPr>
        <w:t xml:space="preserve"> </w:t>
      </w:r>
      <w:r w:rsidR="00320A3B" w:rsidRPr="009333DA">
        <w:rPr>
          <w:rFonts w:ascii="Times New Roman" w:hAnsi="Times New Roman"/>
          <w:sz w:val="24"/>
          <w:szCs w:val="24"/>
        </w:rPr>
        <w:t xml:space="preserve">within </w:t>
      </w:r>
      <w:r w:rsidR="001175DF" w:rsidRPr="009333DA">
        <w:rPr>
          <w:rFonts w:ascii="Times New Roman" w:hAnsi="Times New Roman"/>
          <w:sz w:val="24"/>
          <w:szCs w:val="24"/>
        </w:rPr>
        <w:t>its</w:t>
      </w:r>
      <w:r w:rsidR="00320A3B" w:rsidRPr="009333DA">
        <w:rPr>
          <w:rFonts w:ascii="Times New Roman" w:hAnsi="Times New Roman"/>
          <w:sz w:val="24"/>
          <w:szCs w:val="24"/>
        </w:rPr>
        <w:t xml:space="preserve"> business operations </w:t>
      </w:r>
      <w:r w:rsidRPr="009333DA">
        <w:rPr>
          <w:rFonts w:ascii="Times New Roman" w:hAnsi="Times New Roman"/>
          <w:sz w:val="24"/>
          <w:szCs w:val="24"/>
        </w:rPr>
        <w:t xml:space="preserve">where </w:t>
      </w:r>
      <w:r w:rsidR="004D5BD2" w:rsidRPr="009333DA">
        <w:rPr>
          <w:rFonts w:ascii="Times New Roman" w:hAnsi="Times New Roman"/>
          <w:sz w:val="24"/>
          <w:szCs w:val="24"/>
        </w:rPr>
        <w:t xml:space="preserve">APRA </w:t>
      </w:r>
      <w:r w:rsidR="00CA1BD6" w:rsidRPr="009333DA">
        <w:rPr>
          <w:rFonts w:ascii="Times New Roman" w:hAnsi="Times New Roman"/>
          <w:sz w:val="24"/>
          <w:szCs w:val="24"/>
        </w:rPr>
        <w:t>considers</w:t>
      </w:r>
      <w:r w:rsidRPr="009333DA">
        <w:rPr>
          <w:rFonts w:ascii="Times New Roman" w:hAnsi="Times New Roman"/>
          <w:sz w:val="24"/>
          <w:szCs w:val="24"/>
        </w:rPr>
        <w:t xml:space="preserve"> that the RSE licensee’s RMS does not adequately cover the risks to </w:t>
      </w:r>
      <w:r w:rsidR="001175DF" w:rsidRPr="009333DA">
        <w:rPr>
          <w:rFonts w:ascii="Times New Roman" w:hAnsi="Times New Roman"/>
          <w:sz w:val="24"/>
          <w:szCs w:val="24"/>
        </w:rPr>
        <w:t xml:space="preserve">that </w:t>
      </w:r>
      <w:r w:rsidRPr="009333DA">
        <w:rPr>
          <w:rFonts w:ascii="Times New Roman" w:hAnsi="Times New Roman"/>
          <w:sz w:val="24"/>
          <w:szCs w:val="24"/>
        </w:rPr>
        <w:t>RSE.</w:t>
      </w:r>
      <w:r w:rsidR="00925478" w:rsidRPr="009333DA">
        <w:rPr>
          <w:rStyle w:val="FootnoteReference"/>
          <w:rFonts w:ascii="Times New Roman" w:hAnsi="Times New Roman"/>
          <w:sz w:val="24"/>
          <w:szCs w:val="24"/>
        </w:rPr>
        <w:footnoteReference w:id="14"/>
      </w:r>
    </w:p>
    <w:p w:rsidR="001340FA" w:rsidRPr="009333DA" w:rsidRDefault="001340FA" w:rsidP="00B741BD">
      <w:pPr>
        <w:pStyle w:val="Heading3"/>
      </w:pPr>
      <w:r w:rsidRPr="009333DA">
        <w:lastRenderedPageBreak/>
        <w:t>Risk management function</w:t>
      </w:r>
    </w:p>
    <w:p w:rsidR="001340FA" w:rsidRPr="009333DA" w:rsidRDefault="001340FA" w:rsidP="001340FA">
      <w:pPr>
        <w:numPr>
          <w:ilvl w:val="0"/>
          <w:numId w:val="3"/>
        </w:numPr>
        <w:spacing w:before="0" w:after="240"/>
        <w:jc w:val="both"/>
        <w:rPr>
          <w:rFonts w:ascii="Times New Roman" w:hAnsi="Times New Roman"/>
          <w:sz w:val="24"/>
          <w:szCs w:val="24"/>
        </w:rPr>
      </w:pPr>
      <w:bookmarkStart w:id="16" w:name="_Ref314637997"/>
      <w:r w:rsidRPr="009333DA">
        <w:rPr>
          <w:rFonts w:ascii="Times New Roman" w:hAnsi="Times New Roman"/>
          <w:sz w:val="24"/>
          <w:szCs w:val="24"/>
        </w:rPr>
        <w:t xml:space="preserve">An RSE licensee must have a </w:t>
      </w:r>
      <w:r w:rsidR="00465FBA" w:rsidRPr="009333DA">
        <w:rPr>
          <w:rFonts w:ascii="Times New Roman" w:hAnsi="Times New Roman"/>
          <w:sz w:val="24"/>
          <w:szCs w:val="24"/>
        </w:rPr>
        <w:t xml:space="preserve">designated </w:t>
      </w:r>
      <w:r w:rsidRPr="009333DA">
        <w:rPr>
          <w:rFonts w:ascii="Times New Roman" w:hAnsi="Times New Roman"/>
          <w:sz w:val="24"/>
          <w:szCs w:val="24"/>
        </w:rPr>
        <w:t>risk management function that</w:t>
      </w:r>
      <w:r w:rsidR="003315EE" w:rsidRPr="009333DA">
        <w:rPr>
          <w:rFonts w:ascii="Times New Roman" w:hAnsi="Times New Roman"/>
          <w:sz w:val="24"/>
          <w:szCs w:val="24"/>
        </w:rPr>
        <w:t>,</w:t>
      </w:r>
      <w:r w:rsidRPr="009333DA">
        <w:rPr>
          <w:rFonts w:ascii="Times New Roman" w:hAnsi="Times New Roman"/>
          <w:sz w:val="24"/>
          <w:szCs w:val="24"/>
        </w:rPr>
        <w:t xml:space="preserve"> </w:t>
      </w:r>
      <w:r w:rsidR="00CA1BD6" w:rsidRPr="009333DA">
        <w:rPr>
          <w:rFonts w:ascii="Times New Roman" w:hAnsi="Times New Roman"/>
          <w:sz w:val="24"/>
          <w:szCs w:val="24"/>
        </w:rPr>
        <w:t>at</w:t>
      </w:r>
      <w:r w:rsidRPr="009333DA">
        <w:rPr>
          <w:rFonts w:ascii="Times New Roman" w:hAnsi="Times New Roman"/>
          <w:sz w:val="24"/>
          <w:szCs w:val="24"/>
        </w:rPr>
        <w:t xml:space="preserve"> a minimum:</w:t>
      </w:r>
      <w:bookmarkEnd w:id="16"/>
      <w:r w:rsidRPr="009333DA">
        <w:rPr>
          <w:rFonts w:ascii="Times New Roman" w:hAnsi="Times New Roman"/>
          <w:sz w:val="24"/>
          <w:szCs w:val="24"/>
        </w:rPr>
        <w:t xml:space="preserve"> </w:t>
      </w:r>
    </w:p>
    <w:p w:rsidR="001340FA" w:rsidRPr="009333DA" w:rsidRDefault="001340FA" w:rsidP="001340FA">
      <w:pPr>
        <w:numPr>
          <w:ilvl w:val="0"/>
          <w:numId w:val="32"/>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is responsible for </w:t>
      </w:r>
      <w:r w:rsidR="005B1A23" w:rsidRPr="009333DA">
        <w:rPr>
          <w:rFonts w:ascii="Times New Roman" w:hAnsi="Times New Roman"/>
          <w:sz w:val="24"/>
          <w:szCs w:val="24"/>
        </w:rPr>
        <w:t>assisting</w:t>
      </w:r>
      <w:r w:rsidRPr="009333DA">
        <w:rPr>
          <w:rFonts w:ascii="Times New Roman" w:hAnsi="Times New Roman"/>
          <w:sz w:val="24"/>
          <w:szCs w:val="24"/>
        </w:rPr>
        <w:t xml:space="preserve"> the Board, </w:t>
      </w:r>
      <w:r w:rsidR="002F6AFC" w:rsidRPr="009333DA">
        <w:rPr>
          <w:rFonts w:ascii="Times New Roman" w:hAnsi="Times New Roman"/>
          <w:sz w:val="24"/>
          <w:szCs w:val="24"/>
        </w:rPr>
        <w:t>b</w:t>
      </w:r>
      <w:r w:rsidRPr="009333DA">
        <w:rPr>
          <w:rFonts w:ascii="Times New Roman" w:hAnsi="Times New Roman"/>
          <w:sz w:val="24"/>
          <w:szCs w:val="24"/>
        </w:rPr>
        <w:t>oard committees and senior management</w:t>
      </w:r>
      <w:r w:rsidR="003315EE" w:rsidRPr="009333DA">
        <w:rPr>
          <w:rFonts w:ascii="Times New Roman" w:hAnsi="Times New Roman"/>
          <w:sz w:val="24"/>
          <w:szCs w:val="24"/>
        </w:rPr>
        <w:t xml:space="preserve"> to </w:t>
      </w:r>
      <w:r w:rsidRPr="009333DA">
        <w:rPr>
          <w:rFonts w:ascii="Times New Roman" w:hAnsi="Times New Roman"/>
          <w:sz w:val="24"/>
          <w:szCs w:val="24"/>
        </w:rPr>
        <w:t xml:space="preserve">develop and maintain the </w:t>
      </w:r>
      <w:r w:rsidR="00234348" w:rsidRPr="009333DA">
        <w:rPr>
          <w:rFonts w:ascii="Times New Roman" w:hAnsi="Times New Roman"/>
          <w:sz w:val="24"/>
          <w:szCs w:val="24"/>
        </w:rPr>
        <w:t>risk management framework</w:t>
      </w:r>
      <w:r w:rsidRPr="009333DA">
        <w:rPr>
          <w:rFonts w:ascii="Times New Roman" w:hAnsi="Times New Roman"/>
          <w:sz w:val="24"/>
          <w:szCs w:val="24"/>
        </w:rPr>
        <w:t xml:space="preserve">; </w:t>
      </w:r>
    </w:p>
    <w:p w:rsidR="001340FA" w:rsidRPr="009333DA" w:rsidRDefault="001340FA" w:rsidP="001340FA">
      <w:pPr>
        <w:numPr>
          <w:ilvl w:val="0"/>
          <w:numId w:val="32"/>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is appropriate to the </w:t>
      </w:r>
      <w:r w:rsidR="00CA1BD6" w:rsidRPr="009333DA">
        <w:rPr>
          <w:rFonts w:ascii="Times New Roman" w:hAnsi="Times New Roman"/>
          <w:sz w:val="24"/>
          <w:szCs w:val="24"/>
        </w:rPr>
        <w:t>size, business mix</w:t>
      </w:r>
      <w:r w:rsidRPr="009333DA">
        <w:rPr>
          <w:rFonts w:ascii="Times New Roman" w:hAnsi="Times New Roman"/>
          <w:sz w:val="24"/>
          <w:szCs w:val="24"/>
        </w:rPr>
        <w:t xml:space="preserve"> and complexity of </w:t>
      </w:r>
      <w:r w:rsidR="002F6AFC" w:rsidRPr="009333DA">
        <w:rPr>
          <w:rFonts w:ascii="Times New Roman" w:hAnsi="Times New Roman"/>
          <w:sz w:val="24"/>
          <w:szCs w:val="24"/>
        </w:rPr>
        <w:t>the RSE licensee’s</w:t>
      </w:r>
      <w:r w:rsidRPr="009333DA">
        <w:rPr>
          <w:rFonts w:ascii="Times New Roman" w:hAnsi="Times New Roman"/>
          <w:sz w:val="24"/>
          <w:szCs w:val="24"/>
        </w:rPr>
        <w:t xml:space="preserve"> business operations</w:t>
      </w:r>
      <w:r w:rsidR="00BA2AE3" w:rsidRPr="009333DA">
        <w:rPr>
          <w:rFonts w:ascii="Times New Roman" w:hAnsi="Times New Roman"/>
          <w:sz w:val="24"/>
          <w:szCs w:val="24"/>
        </w:rPr>
        <w:t xml:space="preserve"> and is </w:t>
      </w:r>
      <w:r w:rsidR="00DB30B3" w:rsidRPr="009333DA">
        <w:rPr>
          <w:rFonts w:ascii="Times New Roman" w:hAnsi="Times New Roman"/>
          <w:sz w:val="24"/>
          <w:szCs w:val="24"/>
        </w:rPr>
        <w:t>operationally</w:t>
      </w:r>
      <w:r w:rsidR="00BA2AE3" w:rsidRPr="009333DA">
        <w:rPr>
          <w:rFonts w:ascii="Times New Roman" w:hAnsi="Times New Roman"/>
          <w:sz w:val="24"/>
          <w:szCs w:val="24"/>
        </w:rPr>
        <w:t xml:space="preserve"> independent from the business units of the RSE licensee</w:t>
      </w:r>
      <w:r w:rsidRPr="009333DA">
        <w:rPr>
          <w:rFonts w:ascii="Times New Roman" w:hAnsi="Times New Roman"/>
          <w:sz w:val="24"/>
          <w:szCs w:val="24"/>
        </w:rPr>
        <w:t>;</w:t>
      </w:r>
    </w:p>
    <w:p w:rsidR="001340FA" w:rsidRPr="009333DA" w:rsidRDefault="001340FA" w:rsidP="001340FA">
      <w:pPr>
        <w:numPr>
          <w:ilvl w:val="0"/>
          <w:numId w:val="32"/>
        </w:numPr>
        <w:spacing w:before="120" w:after="240"/>
        <w:ind w:left="1134" w:hanging="567"/>
        <w:jc w:val="both"/>
        <w:rPr>
          <w:rFonts w:ascii="Times New Roman" w:hAnsi="Times New Roman"/>
          <w:sz w:val="24"/>
          <w:szCs w:val="24"/>
        </w:rPr>
      </w:pPr>
      <w:r w:rsidRPr="009333DA">
        <w:rPr>
          <w:rFonts w:ascii="Times New Roman" w:hAnsi="Times New Roman"/>
          <w:sz w:val="24"/>
          <w:szCs w:val="24"/>
        </w:rPr>
        <w:t>is resourced with staff who have clearly defined roles and responsibilities and who possess appropriate experience and qualifications to exercise those responsibilities;</w:t>
      </w:r>
      <w:r w:rsidR="0094019B" w:rsidRPr="009333DA">
        <w:rPr>
          <w:rFonts w:ascii="Times New Roman" w:hAnsi="Times New Roman"/>
          <w:sz w:val="24"/>
          <w:szCs w:val="24"/>
        </w:rPr>
        <w:t xml:space="preserve"> </w:t>
      </w:r>
    </w:p>
    <w:p w:rsidR="001340FA" w:rsidRPr="009333DA" w:rsidRDefault="001340FA" w:rsidP="001340FA">
      <w:pPr>
        <w:numPr>
          <w:ilvl w:val="0"/>
          <w:numId w:val="32"/>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has access to all </w:t>
      </w:r>
      <w:r w:rsidR="004D5BD2" w:rsidRPr="009333DA">
        <w:rPr>
          <w:rFonts w:ascii="Times New Roman" w:hAnsi="Times New Roman"/>
          <w:sz w:val="24"/>
          <w:szCs w:val="24"/>
        </w:rPr>
        <w:t>aspects of the RSE</w:t>
      </w:r>
      <w:r w:rsidR="009F6872" w:rsidRPr="009333DA">
        <w:rPr>
          <w:rFonts w:ascii="Times New Roman" w:hAnsi="Times New Roman"/>
          <w:sz w:val="24"/>
          <w:szCs w:val="24"/>
        </w:rPr>
        <w:t xml:space="preserve"> licensee’</w:t>
      </w:r>
      <w:r w:rsidR="004D5BD2" w:rsidRPr="009333DA">
        <w:rPr>
          <w:rFonts w:ascii="Times New Roman" w:hAnsi="Times New Roman"/>
          <w:sz w:val="24"/>
          <w:szCs w:val="24"/>
        </w:rPr>
        <w:t>s business operations</w:t>
      </w:r>
      <w:r w:rsidR="00F44501" w:rsidRPr="009333DA">
        <w:rPr>
          <w:rFonts w:ascii="Times New Roman" w:hAnsi="Times New Roman"/>
          <w:sz w:val="24"/>
          <w:szCs w:val="24"/>
        </w:rPr>
        <w:t xml:space="preserve"> </w:t>
      </w:r>
      <w:r w:rsidRPr="009333DA">
        <w:rPr>
          <w:rFonts w:ascii="Times New Roman" w:hAnsi="Times New Roman"/>
          <w:sz w:val="24"/>
          <w:szCs w:val="24"/>
        </w:rPr>
        <w:t>that have the potential to generate material risk</w:t>
      </w:r>
      <w:r w:rsidR="00EA6150" w:rsidRPr="009333DA">
        <w:rPr>
          <w:rFonts w:ascii="Times New Roman" w:hAnsi="Times New Roman"/>
          <w:sz w:val="24"/>
          <w:szCs w:val="24"/>
        </w:rPr>
        <w:t>,</w:t>
      </w:r>
      <w:r w:rsidR="00DC1B8C" w:rsidRPr="009333DA">
        <w:rPr>
          <w:rFonts w:ascii="Times New Roman" w:hAnsi="Times New Roman"/>
          <w:sz w:val="24"/>
          <w:szCs w:val="24"/>
        </w:rPr>
        <w:t xml:space="preserve"> including </w:t>
      </w:r>
      <w:r w:rsidRPr="009333DA">
        <w:rPr>
          <w:rFonts w:ascii="Times New Roman" w:hAnsi="Times New Roman"/>
          <w:sz w:val="24"/>
          <w:szCs w:val="24"/>
        </w:rPr>
        <w:t>information technology systems</w:t>
      </w:r>
      <w:r w:rsidR="00DC1B8C" w:rsidRPr="009333DA">
        <w:rPr>
          <w:rFonts w:ascii="Times New Roman" w:hAnsi="Times New Roman"/>
          <w:sz w:val="24"/>
          <w:szCs w:val="24"/>
        </w:rPr>
        <w:t xml:space="preserve"> and</w:t>
      </w:r>
      <w:r w:rsidRPr="009333DA">
        <w:rPr>
          <w:rFonts w:ascii="Times New Roman" w:hAnsi="Times New Roman"/>
          <w:sz w:val="24"/>
          <w:szCs w:val="24"/>
        </w:rPr>
        <w:t xml:space="preserve"> systems development resources;</w:t>
      </w:r>
    </w:p>
    <w:p w:rsidR="001340FA" w:rsidRPr="009333DA" w:rsidRDefault="001340FA" w:rsidP="001340FA">
      <w:pPr>
        <w:numPr>
          <w:ilvl w:val="0"/>
          <w:numId w:val="32"/>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has the necessary authority </w:t>
      </w:r>
      <w:r w:rsidR="00DD0ABC" w:rsidRPr="009333DA">
        <w:rPr>
          <w:rFonts w:ascii="Times New Roman" w:hAnsi="Times New Roman"/>
          <w:sz w:val="24"/>
          <w:szCs w:val="24"/>
        </w:rPr>
        <w:t>and reporting structure to the Board</w:t>
      </w:r>
      <w:r w:rsidR="002F6AFC" w:rsidRPr="009333DA">
        <w:rPr>
          <w:rFonts w:ascii="Times New Roman" w:hAnsi="Times New Roman"/>
          <w:sz w:val="24"/>
          <w:szCs w:val="24"/>
        </w:rPr>
        <w:t>, board committees and senior management</w:t>
      </w:r>
      <w:r w:rsidR="00DD0ABC" w:rsidRPr="009333DA">
        <w:rPr>
          <w:rFonts w:ascii="Times New Roman" w:hAnsi="Times New Roman"/>
          <w:sz w:val="24"/>
          <w:szCs w:val="24"/>
        </w:rPr>
        <w:t xml:space="preserve"> </w:t>
      </w:r>
      <w:r w:rsidRPr="009333DA">
        <w:rPr>
          <w:rFonts w:ascii="Times New Roman" w:hAnsi="Times New Roman"/>
          <w:sz w:val="24"/>
          <w:szCs w:val="24"/>
        </w:rPr>
        <w:t>to conduct its risk management activities in an effective and independent manner</w:t>
      </w:r>
      <w:r w:rsidR="00DD0ABC" w:rsidRPr="009333DA">
        <w:rPr>
          <w:rFonts w:ascii="Times New Roman" w:hAnsi="Times New Roman"/>
          <w:sz w:val="24"/>
          <w:szCs w:val="24"/>
        </w:rPr>
        <w:t>; and</w:t>
      </w:r>
      <w:r w:rsidRPr="009333DA">
        <w:rPr>
          <w:rFonts w:ascii="Times New Roman" w:hAnsi="Times New Roman"/>
          <w:sz w:val="24"/>
          <w:szCs w:val="24"/>
        </w:rPr>
        <w:t xml:space="preserve"> </w:t>
      </w:r>
    </w:p>
    <w:p w:rsidR="001340FA" w:rsidRPr="009333DA" w:rsidRDefault="007C79A6" w:rsidP="001340FA">
      <w:pPr>
        <w:numPr>
          <w:ilvl w:val="0"/>
          <w:numId w:val="32"/>
        </w:numPr>
        <w:spacing w:before="120" w:after="240"/>
        <w:ind w:left="1134" w:hanging="567"/>
        <w:jc w:val="both"/>
        <w:rPr>
          <w:rFonts w:ascii="Times New Roman" w:hAnsi="Times New Roman"/>
          <w:sz w:val="24"/>
          <w:szCs w:val="24"/>
        </w:rPr>
      </w:pPr>
      <w:r w:rsidRPr="009333DA">
        <w:rPr>
          <w:rFonts w:ascii="Times New Roman" w:hAnsi="Times New Roman"/>
          <w:sz w:val="24"/>
          <w:szCs w:val="24"/>
        </w:rPr>
        <w:t>is</w:t>
      </w:r>
      <w:r w:rsidR="001340FA" w:rsidRPr="009333DA">
        <w:rPr>
          <w:rFonts w:ascii="Times New Roman" w:hAnsi="Times New Roman"/>
          <w:sz w:val="24"/>
          <w:szCs w:val="24"/>
        </w:rPr>
        <w:t xml:space="preserve"> required to notify the Board of any material deviation from</w:t>
      </w:r>
      <w:r w:rsidRPr="009333DA">
        <w:rPr>
          <w:rFonts w:ascii="Times New Roman" w:hAnsi="Times New Roman"/>
          <w:sz w:val="24"/>
          <w:szCs w:val="24"/>
        </w:rPr>
        <w:t>,</w:t>
      </w:r>
      <w:r w:rsidR="001340FA" w:rsidRPr="009333DA">
        <w:rPr>
          <w:rFonts w:ascii="Times New Roman" w:hAnsi="Times New Roman"/>
          <w:sz w:val="24"/>
          <w:szCs w:val="24"/>
        </w:rPr>
        <w:t xml:space="preserve"> or material breach of</w:t>
      </w:r>
      <w:r w:rsidR="00603E22" w:rsidRPr="009333DA">
        <w:rPr>
          <w:rFonts w:ascii="Times New Roman" w:hAnsi="Times New Roman"/>
          <w:sz w:val="24"/>
          <w:szCs w:val="24"/>
        </w:rPr>
        <w:t>,</w:t>
      </w:r>
      <w:r w:rsidR="0072467D" w:rsidRPr="009333DA">
        <w:rPr>
          <w:rFonts w:ascii="Times New Roman" w:hAnsi="Times New Roman"/>
          <w:sz w:val="24"/>
          <w:szCs w:val="24"/>
        </w:rPr>
        <w:t xml:space="preserve"> </w:t>
      </w:r>
      <w:r w:rsidR="001340FA" w:rsidRPr="009333DA">
        <w:rPr>
          <w:rFonts w:ascii="Times New Roman" w:hAnsi="Times New Roman"/>
          <w:sz w:val="24"/>
          <w:szCs w:val="24"/>
        </w:rPr>
        <w:t xml:space="preserve">the </w:t>
      </w:r>
      <w:r w:rsidR="00234348" w:rsidRPr="009333DA">
        <w:rPr>
          <w:rFonts w:ascii="Times New Roman" w:hAnsi="Times New Roman"/>
          <w:sz w:val="24"/>
          <w:szCs w:val="24"/>
        </w:rPr>
        <w:t>risk management framework</w:t>
      </w:r>
      <w:r w:rsidR="001340FA" w:rsidRPr="009333DA">
        <w:rPr>
          <w:rFonts w:ascii="Times New Roman" w:hAnsi="Times New Roman"/>
          <w:sz w:val="24"/>
          <w:szCs w:val="24"/>
        </w:rPr>
        <w:t>.</w:t>
      </w:r>
    </w:p>
    <w:p w:rsidR="001340FA" w:rsidRPr="009333DA" w:rsidRDefault="001340FA" w:rsidP="001340FA">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An RSE licensee that is part of a </w:t>
      </w:r>
      <w:r w:rsidR="00135D79" w:rsidRPr="009333DA">
        <w:rPr>
          <w:rFonts w:ascii="Times New Roman" w:hAnsi="Times New Roman"/>
          <w:sz w:val="24"/>
          <w:szCs w:val="24"/>
        </w:rPr>
        <w:t xml:space="preserve">corporate </w:t>
      </w:r>
      <w:r w:rsidRPr="009333DA">
        <w:rPr>
          <w:rFonts w:ascii="Times New Roman" w:hAnsi="Times New Roman"/>
          <w:sz w:val="24"/>
          <w:szCs w:val="24"/>
        </w:rPr>
        <w:t>group may rely on a risk management function</w:t>
      </w:r>
      <w:r w:rsidR="007C79A6" w:rsidRPr="009333DA">
        <w:rPr>
          <w:rFonts w:ascii="Times New Roman" w:hAnsi="Times New Roman"/>
          <w:sz w:val="24"/>
          <w:szCs w:val="24"/>
        </w:rPr>
        <w:t xml:space="preserve"> located in another entity </w:t>
      </w:r>
      <w:r w:rsidRPr="009333DA">
        <w:rPr>
          <w:rFonts w:ascii="Times New Roman" w:hAnsi="Times New Roman"/>
          <w:sz w:val="24"/>
          <w:szCs w:val="24"/>
        </w:rPr>
        <w:t xml:space="preserve">in the group </w:t>
      </w:r>
      <w:r w:rsidR="002F6AFC" w:rsidRPr="009333DA">
        <w:rPr>
          <w:rFonts w:ascii="Times New Roman" w:hAnsi="Times New Roman"/>
          <w:sz w:val="24"/>
          <w:szCs w:val="24"/>
        </w:rPr>
        <w:t>where</w:t>
      </w:r>
      <w:r w:rsidRPr="009333DA">
        <w:rPr>
          <w:rFonts w:ascii="Times New Roman" w:hAnsi="Times New Roman"/>
          <w:sz w:val="24"/>
          <w:szCs w:val="24"/>
        </w:rPr>
        <w:t xml:space="preserve"> the risk management function satisfies the criteria set out in paragraph </w:t>
      </w:r>
      <w:r w:rsidR="007957FE" w:rsidRPr="009333DA">
        <w:rPr>
          <w:rFonts w:ascii="Times New Roman" w:hAnsi="Times New Roman"/>
          <w:sz w:val="24"/>
          <w:szCs w:val="24"/>
        </w:rPr>
        <w:fldChar w:fldCharType="begin"/>
      </w:r>
      <w:r w:rsidR="003B1296" w:rsidRPr="009333DA">
        <w:rPr>
          <w:rFonts w:ascii="Times New Roman" w:hAnsi="Times New Roman"/>
          <w:sz w:val="24"/>
          <w:szCs w:val="24"/>
        </w:rPr>
        <w:instrText xml:space="preserve"> REF _Ref314637997 \r \h </w:instrText>
      </w:r>
      <w:r w:rsidR="007876E2" w:rsidRPr="009333DA">
        <w:rPr>
          <w:rFonts w:ascii="Times New Roman" w:hAnsi="Times New Roman"/>
          <w:sz w:val="24"/>
          <w:szCs w:val="24"/>
        </w:rPr>
        <w:instrText xml:space="preserve"> \* MERGEFORMAT </w:instrText>
      </w:r>
      <w:r w:rsidR="007957FE" w:rsidRPr="009333DA">
        <w:rPr>
          <w:rFonts w:ascii="Times New Roman" w:hAnsi="Times New Roman"/>
          <w:sz w:val="24"/>
          <w:szCs w:val="24"/>
        </w:rPr>
      </w:r>
      <w:r w:rsidR="007957FE" w:rsidRPr="009333DA">
        <w:rPr>
          <w:rFonts w:ascii="Times New Roman" w:hAnsi="Times New Roman"/>
          <w:sz w:val="24"/>
          <w:szCs w:val="24"/>
        </w:rPr>
        <w:fldChar w:fldCharType="separate"/>
      </w:r>
      <w:r w:rsidR="000939C5">
        <w:rPr>
          <w:rFonts w:ascii="Times New Roman" w:hAnsi="Times New Roman"/>
          <w:sz w:val="24"/>
          <w:szCs w:val="24"/>
        </w:rPr>
        <w:t>24</w:t>
      </w:r>
      <w:r w:rsidR="007957FE" w:rsidRPr="009333DA">
        <w:rPr>
          <w:rFonts w:ascii="Times New Roman" w:hAnsi="Times New Roman"/>
          <w:sz w:val="24"/>
          <w:szCs w:val="24"/>
        </w:rPr>
        <w:fldChar w:fldCharType="end"/>
      </w:r>
      <w:r w:rsidR="007C79A6" w:rsidRPr="009333DA">
        <w:rPr>
          <w:rFonts w:ascii="Times New Roman" w:hAnsi="Times New Roman"/>
          <w:sz w:val="24"/>
          <w:szCs w:val="24"/>
        </w:rPr>
        <w:t xml:space="preserve"> in respect of the RSE licensee’s business operations</w:t>
      </w:r>
      <w:r w:rsidRPr="009333DA">
        <w:rPr>
          <w:rFonts w:ascii="Times New Roman" w:hAnsi="Times New Roman"/>
          <w:sz w:val="24"/>
          <w:szCs w:val="24"/>
        </w:rPr>
        <w:t>.</w:t>
      </w:r>
    </w:p>
    <w:p w:rsidR="001340FA" w:rsidRPr="009333DA" w:rsidRDefault="001340FA" w:rsidP="001340FA">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An RSE licensee may engage the services of an external service provider to perform all or part of the risk management function where the RSE licensee can demonstrate to APRA that the external risk management function meets the requirements in paragraph </w:t>
      </w:r>
      <w:r w:rsidR="007957FE" w:rsidRPr="009333DA">
        <w:rPr>
          <w:rFonts w:ascii="Times New Roman" w:hAnsi="Times New Roman"/>
          <w:sz w:val="24"/>
          <w:szCs w:val="24"/>
        </w:rPr>
        <w:fldChar w:fldCharType="begin"/>
      </w:r>
      <w:r w:rsidR="003B1296" w:rsidRPr="009333DA">
        <w:rPr>
          <w:rFonts w:ascii="Times New Roman" w:hAnsi="Times New Roman"/>
          <w:sz w:val="24"/>
          <w:szCs w:val="24"/>
        </w:rPr>
        <w:instrText xml:space="preserve"> REF _Ref314637997 \r \h </w:instrText>
      </w:r>
      <w:r w:rsidR="007876E2" w:rsidRPr="009333DA">
        <w:rPr>
          <w:rFonts w:ascii="Times New Roman" w:hAnsi="Times New Roman"/>
          <w:sz w:val="24"/>
          <w:szCs w:val="24"/>
        </w:rPr>
        <w:instrText xml:space="preserve"> \* MERGEFORMAT </w:instrText>
      </w:r>
      <w:r w:rsidR="007957FE" w:rsidRPr="009333DA">
        <w:rPr>
          <w:rFonts w:ascii="Times New Roman" w:hAnsi="Times New Roman"/>
          <w:sz w:val="24"/>
          <w:szCs w:val="24"/>
        </w:rPr>
      </w:r>
      <w:r w:rsidR="007957FE" w:rsidRPr="009333DA">
        <w:rPr>
          <w:rFonts w:ascii="Times New Roman" w:hAnsi="Times New Roman"/>
          <w:sz w:val="24"/>
          <w:szCs w:val="24"/>
        </w:rPr>
        <w:fldChar w:fldCharType="separate"/>
      </w:r>
      <w:r w:rsidR="000939C5">
        <w:rPr>
          <w:rFonts w:ascii="Times New Roman" w:hAnsi="Times New Roman"/>
          <w:sz w:val="24"/>
          <w:szCs w:val="24"/>
        </w:rPr>
        <w:t>24</w:t>
      </w:r>
      <w:r w:rsidR="007957FE" w:rsidRPr="009333DA">
        <w:rPr>
          <w:rFonts w:ascii="Times New Roman" w:hAnsi="Times New Roman"/>
          <w:sz w:val="24"/>
          <w:szCs w:val="24"/>
        </w:rPr>
        <w:fldChar w:fldCharType="end"/>
      </w:r>
      <w:r w:rsidR="00465FBA" w:rsidRPr="009333DA">
        <w:rPr>
          <w:rFonts w:ascii="Times New Roman" w:hAnsi="Times New Roman"/>
          <w:sz w:val="24"/>
          <w:szCs w:val="24"/>
        </w:rPr>
        <w:t>.</w:t>
      </w:r>
      <w:r w:rsidR="00F64E75" w:rsidRPr="009333DA">
        <w:rPr>
          <w:rStyle w:val="FootnoteReference"/>
          <w:rFonts w:ascii="Times New Roman" w:hAnsi="Times New Roman"/>
          <w:sz w:val="24"/>
          <w:szCs w:val="24"/>
        </w:rPr>
        <w:footnoteReference w:id="15"/>
      </w:r>
      <w:r w:rsidRPr="009333DA">
        <w:rPr>
          <w:rFonts w:ascii="Times New Roman" w:hAnsi="Times New Roman"/>
          <w:sz w:val="24"/>
          <w:szCs w:val="24"/>
        </w:rPr>
        <w:t xml:space="preserve"> </w:t>
      </w:r>
    </w:p>
    <w:p w:rsidR="00E87D26" w:rsidRPr="009333DA" w:rsidRDefault="00E87D26" w:rsidP="00B741BD">
      <w:pPr>
        <w:pStyle w:val="Heading3"/>
      </w:pPr>
      <w:r w:rsidRPr="009333DA">
        <w:t>Review of the risk management framework</w:t>
      </w:r>
    </w:p>
    <w:p w:rsidR="00F02E53" w:rsidRPr="009333DA" w:rsidRDefault="00502271" w:rsidP="00502271">
      <w:pPr>
        <w:numPr>
          <w:ilvl w:val="0"/>
          <w:numId w:val="3"/>
        </w:numPr>
        <w:spacing w:before="0" w:after="240"/>
        <w:jc w:val="both"/>
        <w:rPr>
          <w:rFonts w:ascii="Times New Roman" w:hAnsi="Times New Roman"/>
          <w:sz w:val="24"/>
          <w:szCs w:val="24"/>
        </w:rPr>
      </w:pPr>
      <w:bookmarkStart w:id="17" w:name="_Ref322075417"/>
      <w:bookmarkStart w:id="18" w:name="_Ref314638115"/>
      <w:bookmarkStart w:id="19" w:name="_Toc295999262"/>
      <w:r w:rsidRPr="009333DA">
        <w:rPr>
          <w:rFonts w:ascii="Times New Roman" w:hAnsi="Times New Roman"/>
          <w:sz w:val="24"/>
          <w:szCs w:val="24"/>
        </w:rPr>
        <w:t xml:space="preserve">An RSE licensee must ensure that </w:t>
      </w:r>
      <w:r w:rsidR="00531F8D" w:rsidRPr="009333DA">
        <w:rPr>
          <w:rFonts w:ascii="Times New Roman" w:hAnsi="Times New Roman"/>
          <w:sz w:val="24"/>
          <w:szCs w:val="24"/>
        </w:rPr>
        <w:t>the appropriateness, effectiveness and adequacy</w:t>
      </w:r>
      <w:r w:rsidR="00824405" w:rsidRPr="009333DA">
        <w:rPr>
          <w:rFonts w:ascii="Times New Roman" w:hAnsi="Times New Roman"/>
          <w:sz w:val="24"/>
          <w:szCs w:val="24"/>
        </w:rPr>
        <w:t xml:space="preserve"> of </w:t>
      </w:r>
      <w:r w:rsidRPr="009333DA">
        <w:rPr>
          <w:rFonts w:ascii="Times New Roman" w:hAnsi="Times New Roman"/>
          <w:sz w:val="24"/>
          <w:szCs w:val="24"/>
        </w:rPr>
        <w:t xml:space="preserve">its </w:t>
      </w:r>
      <w:r w:rsidR="00234348" w:rsidRPr="009333DA">
        <w:rPr>
          <w:rFonts w:ascii="Times New Roman" w:hAnsi="Times New Roman"/>
          <w:sz w:val="24"/>
          <w:szCs w:val="24"/>
        </w:rPr>
        <w:t>risk management framework</w:t>
      </w:r>
      <w:r w:rsidRPr="009333DA">
        <w:rPr>
          <w:rFonts w:ascii="Times New Roman" w:hAnsi="Times New Roman"/>
          <w:sz w:val="24"/>
          <w:szCs w:val="24"/>
        </w:rPr>
        <w:t xml:space="preserve"> </w:t>
      </w:r>
      <w:r w:rsidR="00A55E76" w:rsidRPr="009333DA">
        <w:rPr>
          <w:rFonts w:ascii="Times New Roman" w:hAnsi="Times New Roman"/>
          <w:sz w:val="24"/>
          <w:szCs w:val="24"/>
        </w:rPr>
        <w:t>are</w:t>
      </w:r>
      <w:r w:rsidRPr="009333DA">
        <w:rPr>
          <w:rFonts w:ascii="Times New Roman" w:hAnsi="Times New Roman"/>
          <w:sz w:val="24"/>
          <w:szCs w:val="24"/>
        </w:rPr>
        <w:t xml:space="preserve"> subject to </w:t>
      </w:r>
      <w:r w:rsidR="00AA1D00" w:rsidRPr="009333DA">
        <w:rPr>
          <w:rFonts w:ascii="Times New Roman" w:hAnsi="Times New Roman"/>
          <w:sz w:val="24"/>
          <w:szCs w:val="24"/>
        </w:rPr>
        <w:t xml:space="preserve">a </w:t>
      </w:r>
      <w:r w:rsidRPr="009333DA">
        <w:rPr>
          <w:rFonts w:ascii="Times New Roman" w:hAnsi="Times New Roman"/>
          <w:sz w:val="24"/>
          <w:szCs w:val="24"/>
        </w:rPr>
        <w:t xml:space="preserve">comprehensive review </w:t>
      </w:r>
      <w:r w:rsidR="00CA1BD6" w:rsidRPr="009333DA">
        <w:rPr>
          <w:rFonts w:ascii="Times New Roman" w:hAnsi="Times New Roman"/>
          <w:sz w:val="24"/>
          <w:szCs w:val="24"/>
        </w:rPr>
        <w:t xml:space="preserve">by operationally independent, appropriately trained and competent </w:t>
      </w:r>
      <w:r w:rsidR="00AF7200" w:rsidRPr="009333DA">
        <w:rPr>
          <w:rFonts w:ascii="Times New Roman" w:hAnsi="Times New Roman"/>
          <w:sz w:val="24"/>
          <w:szCs w:val="24"/>
        </w:rPr>
        <w:t>persons</w:t>
      </w:r>
      <w:r w:rsidR="00CA1BD6" w:rsidRPr="009333DA">
        <w:rPr>
          <w:rFonts w:ascii="Times New Roman" w:hAnsi="Times New Roman"/>
          <w:sz w:val="24"/>
          <w:szCs w:val="24"/>
        </w:rPr>
        <w:t xml:space="preserve"> </w:t>
      </w:r>
      <w:r w:rsidR="007C79A6" w:rsidRPr="009333DA">
        <w:rPr>
          <w:rFonts w:ascii="Times New Roman" w:hAnsi="Times New Roman"/>
          <w:sz w:val="24"/>
          <w:szCs w:val="24"/>
        </w:rPr>
        <w:t>at least every three years</w:t>
      </w:r>
      <w:r w:rsidR="00CA1BD6" w:rsidRPr="009333DA">
        <w:rPr>
          <w:rFonts w:ascii="Times New Roman" w:hAnsi="Times New Roman"/>
          <w:sz w:val="24"/>
          <w:szCs w:val="24"/>
        </w:rPr>
        <w:t>.</w:t>
      </w:r>
      <w:bookmarkEnd w:id="17"/>
      <w:r w:rsidR="00FC6B4D" w:rsidRPr="009333DA">
        <w:rPr>
          <w:rFonts w:ascii="Times New Roman" w:hAnsi="Times New Roman"/>
          <w:sz w:val="24"/>
          <w:szCs w:val="24"/>
        </w:rPr>
        <w:t xml:space="preserve"> </w:t>
      </w:r>
    </w:p>
    <w:p w:rsidR="001175DF" w:rsidRPr="009333DA" w:rsidRDefault="001175DF" w:rsidP="00502271">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An RSE licensee must also undertake, for each year during which a comprehensive review does not take place, a review of the appropriateness, effectiveness and adequacy of the risk management framework. </w:t>
      </w:r>
    </w:p>
    <w:p w:rsidR="00502271" w:rsidRPr="009333DA" w:rsidRDefault="007C79A6" w:rsidP="00502271">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lastRenderedPageBreak/>
        <w:t xml:space="preserve">The </w:t>
      </w:r>
      <w:r w:rsidR="00502271" w:rsidRPr="009333DA">
        <w:rPr>
          <w:rFonts w:ascii="Times New Roman" w:hAnsi="Times New Roman"/>
          <w:sz w:val="24"/>
          <w:szCs w:val="24"/>
        </w:rPr>
        <w:t>scope of th</w:t>
      </w:r>
      <w:r w:rsidR="00187359" w:rsidRPr="009333DA">
        <w:rPr>
          <w:rFonts w:ascii="Times New Roman" w:hAnsi="Times New Roman"/>
          <w:sz w:val="24"/>
          <w:szCs w:val="24"/>
        </w:rPr>
        <w:t>e comprehensive</w:t>
      </w:r>
      <w:r w:rsidR="00502271" w:rsidRPr="009333DA">
        <w:rPr>
          <w:rFonts w:ascii="Times New Roman" w:hAnsi="Times New Roman"/>
          <w:sz w:val="24"/>
          <w:szCs w:val="24"/>
        </w:rPr>
        <w:t xml:space="preserve"> review</w:t>
      </w:r>
      <w:r w:rsidR="00337EAB" w:rsidRPr="009333DA">
        <w:rPr>
          <w:rFonts w:ascii="Times New Roman" w:hAnsi="Times New Roman"/>
          <w:sz w:val="24"/>
          <w:szCs w:val="24"/>
        </w:rPr>
        <w:t xml:space="preserve"> of an RSE licensee’s risk management framework</w:t>
      </w:r>
      <w:r w:rsidR="00502271" w:rsidRPr="009333DA">
        <w:rPr>
          <w:rFonts w:ascii="Times New Roman" w:hAnsi="Times New Roman"/>
          <w:sz w:val="24"/>
          <w:szCs w:val="24"/>
        </w:rPr>
        <w:t xml:space="preserve"> </w:t>
      </w:r>
      <w:r w:rsidRPr="009333DA">
        <w:rPr>
          <w:rFonts w:ascii="Times New Roman" w:hAnsi="Times New Roman"/>
          <w:sz w:val="24"/>
          <w:szCs w:val="24"/>
        </w:rPr>
        <w:t xml:space="preserve">must </w:t>
      </w:r>
      <w:r w:rsidR="00FC6B4D" w:rsidRPr="009333DA">
        <w:rPr>
          <w:rFonts w:ascii="Times New Roman" w:hAnsi="Times New Roman"/>
          <w:sz w:val="24"/>
          <w:szCs w:val="24"/>
        </w:rPr>
        <w:t>have</w:t>
      </w:r>
      <w:r w:rsidR="00502271" w:rsidRPr="009333DA">
        <w:rPr>
          <w:rFonts w:ascii="Times New Roman" w:hAnsi="Times New Roman"/>
          <w:sz w:val="24"/>
          <w:szCs w:val="24"/>
        </w:rPr>
        <w:t xml:space="preserve"> regard to the size, business mix</w:t>
      </w:r>
      <w:r w:rsidR="004D5BD2" w:rsidRPr="009333DA">
        <w:rPr>
          <w:rFonts w:ascii="Times New Roman" w:hAnsi="Times New Roman"/>
          <w:sz w:val="24"/>
          <w:szCs w:val="24"/>
        </w:rPr>
        <w:t xml:space="preserve"> and</w:t>
      </w:r>
      <w:r w:rsidR="00502271" w:rsidRPr="009333DA">
        <w:rPr>
          <w:rFonts w:ascii="Times New Roman" w:hAnsi="Times New Roman"/>
          <w:sz w:val="24"/>
          <w:szCs w:val="24"/>
        </w:rPr>
        <w:t xml:space="preserve"> complexity of the RSE licensee's </w:t>
      </w:r>
      <w:r w:rsidR="006B1776" w:rsidRPr="009333DA">
        <w:rPr>
          <w:rFonts w:ascii="Times New Roman" w:hAnsi="Times New Roman"/>
          <w:sz w:val="24"/>
          <w:szCs w:val="24"/>
        </w:rPr>
        <w:t xml:space="preserve">business </w:t>
      </w:r>
      <w:r w:rsidR="00502271" w:rsidRPr="009333DA">
        <w:rPr>
          <w:rFonts w:ascii="Times New Roman" w:hAnsi="Times New Roman"/>
          <w:sz w:val="24"/>
          <w:szCs w:val="24"/>
        </w:rPr>
        <w:t>operations</w:t>
      </w:r>
      <w:r w:rsidR="000A2E90" w:rsidRPr="009333DA">
        <w:rPr>
          <w:rFonts w:ascii="Times New Roman" w:hAnsi="Times New Roman"/>
          <w:sz w:val="24"/>
          <w:szCs w:val="24"/>
        </w:rPr>
        <w:t>,</w:t>
      </w:r>
      <w:r w:rsidR="00502271" w:rsidRPr="009333DA">
        <w:rPr>
          <w:rFonts w:ascii="Times New Roman" w:hAnsi="Times New Roman"/>
          <w:sz w:val="24"/>
          <w:szCs w:val="24"/>
        </w:rPr>
        <w:t xml:space="preserve"> the extent of any change to </w:t>
      </w:r>
      <w:r w:rsidR="00E2296A" w:rsidRPr="009333DA">
        <w:rPr>
          <w:rFonts w:ascii="Times New Roman" w:hAnsi="Times New Roman"/>
          <w:sz w:val="24"/>
          <w:szCs w:val="24"/>
        </w:rPr>
        <w:t>those operations</w:t>
      </w:r>
      <w:r w:rsidR="00502271" w:rsidRPr="009333DA">
        <w:rPr>
          <w:rFonts w:ascii="Times New Roman" w:hAnsi="Times New Roman"/>
          <w:sz w:val="24"/>
          <w:szCs w:val="24"/>
        </w:rPr>
        <w:t xml:space="preserve"> or its risk appetite</w:t>
      </w:r>
      <w:r w:rsidR="000A2E90" w:rsidRPr="009333DA">
        <w:rPr>
          <w:rFonts w:ascii="Times New Roman" w:hAnsi="Times New Roman"/>
          <w:sz w:val="24"/>
          <w:szCs w:val="24"/>
        </w:rPr>
        <w:t xml:space="preserve"> and any changes to the external environment in which the </w:t>
      </w:r>
      <w:r w:rsidR="00D47714" w:rsidRPr="009333DA">
        <w:rPr>
          <w:rFonts w:ascii="Times New Roman" w:hAnsi="Times New Roman"/>
          <w:sz w:val="24"/>
          <w:szCs w:val="24"/>
        </w:rPr>
        <w:t>RSE licensee</w:t>
      </w:r>
      <w:r w:rsidR="000A2E90" w:rsidRPr="009333DA">
        <w:rPr>
          <w:rFonts w:ascii="Times New Roman" w:hAnsi="Times New Roman"/>
          <w:sz w:val="24"/>
          <w:szCs w:val="24"/>
        </w:rPr>
        <w:t xml:space="preserve"> operates</w:t>
      </w:r>
      <w:r w:rsidR="00502271" w:rsidRPr="009333DA">
        <w:rPr>
          <w:rFonts w:ascii="Times New Roman" w:hAnsi="Times New Roman"/>
          <w:sz w:val="24"/>
          <w:szCs w:val="24"/>
        </w:rPr>
        <w:t xml:space="preserve">. The review of the </w:t>
      </w:r>
      <w:r w:rsidR="00234348" w:rsidRPr="009333DA">
        <w:rPr>
          <w:rFonts w:ascii="Times New Roman" w:hAnsi="Times New Roman"/>
          <w:sz w:val="24"/>
          <w:szCs w:val="24"/>
        </w:rPr>
        <w:t>risk management framework</w:t>
      </w:r>
      <w:r w:rsidR="00502271" w:rsidRPr="009333DA">
        <w:rPr>
          <w:rFonts w:ascii="Times New Roman" w:hAnsi="Times New Roman"/>
          <w:sz w:val="24"/>
          <w:szCs w:val="24"/>
        </w:rPr>
        <w:t xml:space="preserve"> must</w:t>
      </w:r>
      <w:r w:rsidR="00455C05" w:rsidRPr="009333DA">
        <w:rPr>
          <w:rFonts w:ascii="Times New Roman" w:hAnsi="Times New Roman"/>
          <w:sz w:val="24"/>
          <w:szCs w:val="24"/>
        </w:rPr>
        <w:t xml:space="preserve">, </w:t>
      </w:r>
      <w:r w:rsidR="00FC6B4D" w:rsidRPr="009333DA">
        <w:rPr>
          <w:rFonts w:ascii="Times New Roman" w:hAnsi="Times New Roman"/>
          <w:sz w:val="24"/>
          <w:szCs w:val="24"/>
        </w:rPr>
        <w:t>a</w:t>
      </w:r>
      <w:r w:rsidR="00CA1BD6" w:rsidRPr="009333DA">
        <w:rPr>
          <w:rFonts w:ascii="Times New Roman" w:hAnsi="Times New Roman"/>
          <w:sz w:val="24"/>
          <w:szCs w:val="24"/>
        </w:rPr>
        <w:t>t</w:t>
      </w:r>
      <w:r w:rsidR="00455C05" w:rsidRPr="009333DA">
        <w:rPr>
          <w:rFonts w:ascii="Times New Roman" w:hAnsi="Times New Roman"/>
          <w:sz w:val="24"/>
          <w:szCs w:val="24"/>
        </w:rPr>
        <w:t xml:space="preserve"> a minimum, </w:t>
      </w:r>
      <w:r w:rsidR="00502271" w:rsidRPr="009333DA">
        <w:rPr>
          <w:rFonts w:ascii="Times New Roman" w:hAnsi="Times New Roman"/>
          <w:sz w:val="24"/>
          <w:szCs w:val="24"/>
        </w:rPr>
        <w:t>include</w:t>
      </w:r>
      <w:r w:rsidR="00D64F75" w:rsidRPr="009333DA">
        <w:rPr>
          <w:rFonts w:ascii="Times New Roman" w:hAnsi="Times New Roman"/>
          <w:sz w:val="24"/>
          <w:szCs w:val="24"/>
        </w:rPr>
        <w:t xml:space="preserve"> a review of</w:t>
      </w:r>
      <w:r w:rsidR="00502271" w:rsidRPr="009333DA">
        <w:rPr>
          <w:rFonts w:ascii="Times New Roman" w:hAnsi="Times New Roman"/>
          <w:sz w:val="24"/>
          <w:szCs w:val="24"/>
        </w:rPr>
        <w:t>:</w:t>
      </w:r>
      <w:bookmarkEnd w:id="18"/>
    </w:p>
    <w:p w:rsidR="00BB2639" w:rsidRPr="009333DA" w:rsidRDefault="00F4182E" w:rsidP="00BB2639">
      <w:pPr>
        <w:numPr>
          <w:ilvl w:val="0"/>
          <w:numId w:val="13"/>
        </w:numPr>
        <w:spacing w:before="0" w:after="240"/>
        <w:ind w:left="1134" w:hanging="567"/>
        <w:jc w:val="both"/>
        <w:rPr>
          <w:rFonts w:ascii="Times New Roman" w:hAnsi="Times New Roman"/>
          <w:sz w:val="24"/>
          <w:szCs w:val="24"/>
        </w:rPr>
      </w:pPr>
      <w:r w:rsidRPr="009333DA">
        <w:rPr>
          <w:rFonts w:ascii="Times New Roman" w:hAnsi="Times New Roman"/>
          <w:sz w:val="24"/>
          <w:szCs w:val="24"/>
        </w:rPr>
        <w:t>w</w:t>
      </w:r>
      <w:r w:rsidR="00A55E76" w:rsidRPr="009333DA">
        <w:rPr>
          <w:rFonts w:ascii="Times New Roman" w:hAnsi="Times New Roman"/>
          <w:sz w:val="24"/>
          <w:szCs w:val="24"/>
        </w:rPr>
        <w:t>hether</w:t>
      </w:r>
      <w:r w:rsidR="00A154C2" w:rsidRPr="009333DA">
        <w:rPr>
          <w:rFonts w:ascii="Times New Roman" w:hAnsi="Times New Roman"/>
          <w:sz w:val="24"/>
          <w:szCs w:val="24"/>
        </w:rPr>
        <w:t xml:space="preserve"> </w:t>
      </w:r>
      <w:r w:rsidR="00D47714" w:rsidRPr="009333DA">
        <w:rPr>
          <w:rFonts w:ascii="Times New Roman" w:hAnsi="Times New Roman"/>
          <w:sz w:val="24"/>
          <w:szCs w:val="24"/>
        </w:rPr>
        <w:t>the risk management framework</w:t>
      </w:r>
      <w:r w:rsidR="00A154C2" w:rsidRPr="009333DA">
        <w:rPr>
          <w:rFonts w:ascii="Times New Roman" w:hAnsi="Times New Roman"/>
          <w:sz w:val="24"/>
          <w:szCs w:val="24"/>
        </w:rPr>
        <w:t xml:space="preserve"> remains appropriate </w:t>
      </w:r>
      <w:r w:rsidR="00B45BD2" w:rsidRPr="009333DA">
        <w:rPr>
          <w:rFonts w:ascii="Times New Roman" w:hAnsi="Times New Roman"/>
          <w:sz w:val="24"/>
          <w:szCs w:val="24"/>
        </w:rPr>
        <w:t>for</w:t>
      </w:r>
      <w:r w:rsidR="00D91E7B" w:rsidRPr="009333DA">
        <w:rPr>
          <w:rFonts w:ascii="Times New Roman" w:hAnsi="Times New Roman"/>
          <w:sz w:val="24"/>
          <w:szCs w:val="24"/>
        </w:rPr>
        <w:t xml:space="preserve"> the </w:t>
      </w:r>
      <w:r w:rsidR="00A154C2" w:rsidRPr="009333DA">
        <w:rPr>
          <w:rFonts w:ascii="Times New Roman" w:hAnsi="Times New Roman"/>
          <w:sz w:val="24"/>
          <w:szCs w:val="24"/>
        </w:rPr>
        <w:t xml:space="preserve">RSE licensee’s business operations; </w:t>
      </w:r>
    </w:p>
    <w:p w:rsidR="00EF102B" w:rsidRPr="009333DA" w:rsidRDefault="00EF102B" w:rsidP="00BB2639">
      <w:pPr>
        <w:numPr>
          <w:ilvl w:val="0"/>
          <w:numId w:val="13"/>
        </w:numPr>
        <w:spacing w:before="0" w:after="240"/>
        <w:ind w:left="1134" w:hanging="567"/>
        <w:jc w:val="both"/>
        <w:rPr>
          <w:rFonts w:ascii="Times New Roman" w:hAnsi="Times New Roman"/>
          <w:sz w:val="24"/>
          <w:szCs w:val="24"/>
        </w:rPr>
      </w:pPr>
      <w:r w:rsidRPr="009333DA">
        <w:rPr>
          <w:rFonts w:ascii="Times New Roman" w:hAnsi="Times New Roman"/>
          <w:sz w:val="24"/>
          <w:szCs w:val="24"/>
        </w:rPr>
        <w:t>the specific resources utilised, at a minimum, to undertake the risk management activities required by this Prudential Standard and whether these activities are supported by adequate resources;</w:t>
      </w:r>
    </w:p>
    <w:p w:rsidR="00260AFF" w:rsidRPr="009333DA" w:rsidRDefault="00260AFF" w:rsidP="00BB2639">
      <w:pPr>
        <w:numPr>
          <w:ilvl w:val="0"/>
          <w:numId w:val="13"/>
        </w:numPr>
        <w:spacing w:before="0" w:after="240"/>
        <w:ind w:left="1134" w:hanging="567"/>
        <w:jc w:val="both"/>
        <w:rPr>
          <w:rFonts w:ascii="Times New Roman" w:hAnsi="Times New Roman"/>
          <w:sz w:val="24"/>
          <w:szCs w:val="24"/>
        </w:rPr>
      </w:pPr>
      <w:r w:rsidRPr="009333DA">
        <w:rPr>
          <w:rFonts w:ascii="Times New Roman" w:hAnsi="Times New Roman"/>
          <w:sz w:val="24"/>
          <w:szCs w:val="24"/>
        </w:rPr>
        <w:t>the risk appetite statement;</w:t>
      </w:r>
    </w:p>
    <w:p w:rsidR="00AA2704" w:rsidRPr="009333DA" w:rsidRDefault="00502271">
      <w:pPr>
        <w:numPr>
          <w:ilvl w:val="0"/>
          <w:numId w:val="13"/>
        </w:numPr>
        <w:spacing w:before="0" w:after="240"/>
        <w:ind w:left="1134" w:hanging="567"/>
        <w:jc w:val="both"/>
        <w:rPr>
          <w:rFonts w:ascii="Times New Roman" w:hAnsi="Times New Roman"/>
          <w:sz w:val="24"/>
          <w:szCs w:val="24"/>
        </w:rPr>
      </w:pPr>
      <w:r w:rsidRPr="009333DA">
        <w:rPr>
          <w:rFonts w:ascii="Times New Roman" w:hAnsi="Times New Roman"/>
          <w:sz w:val="24"/>
          <w:szCs w:val="24"/>
        </w:rPr>
        <w:t>the RMS, to ensure that</w:t>
      </w:r>
      <w:r w:rsidR="003F1731" w:rsidRPr="009333DA">
        <w:rPr>
          <w:rFonts w:ascii="Times New Roman" w:hAnsi="Times New Roman"/>
          <w:sz w:val="24"/>
          <w:szCs w:val="24"/>
        </w:rPr>
        <w:t xml:space="preserve"> it</w:t>
      </w:r>
      <w:r w:rsidR="00A154C2" w:rsidRPr="009333DA">
        <w:rPr>
          <w:rFonts w:ascii="Times New Roman" w:hAnsi="Times New Roman"/>
          <w:sz w:val="24"/>
          <w:szCs w:val="24"/>
        </w:rPr>
        <w:t xml:space="preserve"> </w:t>
      </w:r>
      <w:r w:rsidRPr="009333DA">
        <w:rPr>
          <w:rFonts w:ascii="Times New Roman" w:hAnsi="Times New Roman"/>
          <w:sz w:val="24"/>
          <w:szCs w:val="24"/>
        </w:rPr>
        <w:t xml:space="preserve">accurately documents the RSE licensee’s </w:t>
      </w:r>
      <w:r w:rsidR="00166FDA" w:rsidRPr="009333DA">
        <w:rPr>
          <w:rFonts w:ascii="Times New Roman" w:hAnsi="Times New Roman"/>
          <w:sz w:val="24"/>
          <w:szCs w:val="24"/>
        </w:rPr>
        <w:t>risk management framework</w:t>
      </w:r>
      <w:r w:rsidR="00F02E53" w:rsidRPr="009333DA">
        <w:rPr>
          <w:rFonts w:ascii="Times New Roman" w:hAnsi="Times New Roman"/>
          <w:sz w:val="24"/>
          <w:szCs w:val="24"/>
        </w:rPr>
        <w:t xml:space="preserve"> and the RSE licensee’s strategy for managing risk</w:t>
      </w:r>
      <w:r w:rsidRPr="009333DA">
        <w:rPr>
          <w:rFonts w:ascii="Times New Roman" w:hAnsi="Times New Roman"/>
          <w:sz w:val="24"/>
          <w:szCs w:val="24"/>
        </w:rPr>
        <w:t>;</w:t>
      </w:r>
    </w:p>
    <w:p w:rsidR="00502271" w:rsidRPr="009333DA" w:rsidRDefault="00D47714" w:rsidP="00502271">
      <w:pPr>
        <w:numPr>
          <w:ilvl w:val="0"/>
          <w:numId w:val="13"/>
        </w:numPr>
        <w:spacing w:before="0" w:after="240"/>
        <w:ind w:left="1134" w:hanging="567"/>
        <w:jc w:val="both"/>
        <w:rPr>
          <w:rFonts w:ascii="Times New Roman" w:hAnsi="Times New Roman"/>
          <w:sz w:val="24"/>
          <w:szCs w:val="24"/>
        </w:rPr>
      </w:pPr>
      <w:r w:rsidRPr="009333DA">
        <w:rPr>
          <w:rFonts w:ascii="Times New Roman" w:hAnsi="Times New Roman"/>
          <w:sz w:val="24"/>
          <w:szCs w:val="24"/>
        </w:rPr>
        <w:t>all</w:t>
      </w:r>
      <w:r w:rsidR="003620CF" w:rsidRPr="009333DA">
        <w:rPr>
          <w:rFonts w:ascii="Times New Roman" w:hAnsi="Times New Roman"/>
          <w:sz w:val="24"/>
          <w:szCs w:val="24"/>
        </w:rPr>
        <w:t xml:space="preserve"> risk management policies and procedures; </w:t>
      </w:r>
      <w:r w:rsidR="00502271" w:rsidRPr="009333DA">
        <w:rPr>
          <w:rFonts w:ascii="Times New Roman" w:hAnsi="Times New Roman"/>
          <w:sz w:val="24"/>
          <w:szCs w:val="24"/>
        </w:rPr>
        <w:t>and</w:t>
      </w:r>
    </w:p>
    <w:p w:rsidR="00502271" w:rsidRPr="009333DA" w:rsidRDefault="00D47714" w:rsidP="00502271">
      <w:pPr>
        <w:numPr>
          <w:ilvl w:val="0"/>
          <w:numId w:val="13"/>
        </w:numPr>
        <w:spacing w:before="0" w:after="240"/>
        <w:ind w:left="1134" w:hanging="567"/>
        <w:jc w:val="both"/>
        <w:rPr>
          <w:rFonts w:ascii="Times New Roman" w:hAnsi="Times New Roman"/>
          <w:sz w:val="24"/>
          <w:szCs w:val="24"/>
        </w:rPr>
      </w:pPr>
      <w:r w:rsidRPr="009333DA">
        <w:rPr>
          <w:rFonts w:ascii="Times New Roman" w:hAnsi="Times New Roman"/>
          <w:sz w:val="24"/>
          <w:szCs w:val="24"/>
        </w:rPr>
        <w:t>all</w:t>
      </w:r>
      <w:r w:rsidR="00502271" w:rsidRPr="009333DA">
        <w:rPr>
          <w:rFonts w:ascii="Times New Roman" w:hAnsi="Times New Roman"/>
          <w:sz w:val="24"/>
          <w:szCs w:val="24"/>
        </w:rPr>
        <w:t xml:space="preserve"> </w:t>
      </w:r>
      <w:r w:rsidR="00643AE9" w:rsidRPr="009333DA">
        <w:rPr>
          <w:rFonts w:ascii="Times New Roman" w:hAnsi="Times New Roman"/>
          <w:sz w:val="24"/>
          <w:szCs w:val="24"/>
        </w:rPr>
        <w:t xml:space="preserve">risk management and </w:t>
      </w:r>
      <w:r w:rsidR="00502271" w:rsidRPr="009333DA">
        <w:rPr>
          <w:rFonts w:ascii="Times New Roman" w:hAnsi="Times New Roman"/>
          <w:sz w:val="24"/>
          <w:szCs w:val="24"/>
        </w:rPr>
        <w:t>internal control systems.</w:t>
      </w:r>
    </w:p>
    <w:p w:rsidR="00502271" w:rsidRPr="009333DA" w:rsidRDefault="00502271" w:rsidP="00502271">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 RSE licensee must implement satisfactory internal audit procedures and external audit arrangements to ensure compliance</w:t>
      </w:r>
      <w:r w:rsidR="00BE73E4" w:rsidRPr="009333DA">
        <w:rPr>
          <w:rFonts w:ascii="Times New Roman" w:hAnsi="Times New Roman"/>
          <w:sz w:val="24"/>
          <w:szCs w:val="24"/>
        </w:rPr>
        <w:t xml:space="preserve"> </w:t>
      </w:r>
      <w:r w:rsidR="00E81438" w:rsidRPr="009333DA">
        <w:rPr>
          <w:rFonts w:ascii="Times New Roman" w:hAnsi="Times New Roman"/>
          <w:sz w:val="24"/>
          <w:szCs w:val="24"/>
        </w:rPr>
        <w:t>with</w:t>
      </w:r>
      <w:r w:rsidRPr="009333DA">
        <w:rPr>
          <w:rFonts w:ascii="Times New Roman" w:hAnsi="Times New Roman"/>
          <w:sz w:val="24"/>
          <w:szCs w:val="24"/>
        </w:rPr>
        <w:t xml:space="preserve"> the risk management framework</w:t>
      </w:r>
      <w:r w:rsidR="00F4182E" w:rsidRPr="009333DA">
        <w:rPr>
          <w:rFonts w:ascii="Times New Roman" w:hAnsi="Times New Roman"/>
          <w:sz w:val="24"/>
          <w:szCs w:val="24"/>
        </w:rPr>
        <w:t xml:space="preserve"> and enable the RSE licensee to attest that the risk management and internal control systems in place are operating effectively and are adequate</w:t>
      </w:r>
      <w:r w:rsidR="00EE52A9" w:rsidRPr="009333DA">
        <w:rPr>
          <w:rFonts w:ascii="Times New Roman" w:hAnsi="Times New Roman"/>
          <w:sz w:val="24"/>
          <w:szCs w:val="24"/>
        </w:rPr>
        <w:t>.</w:t>
      </w:r>
      <w:r w:rsidR="00F64E75" w:rsidRPr="009333DA">
        <w:rPr>
          <w:rFonts w:ascii="Times New Roman" w:hAnsi="Times New Roman"/>
          <w:sz w:val="24"/>
          <w:szCs w:val="24"/>
          <w:vertAlign w:val="superscript"/>
        </w:rPr>
        <w:footnoteReference w:id="16"/>
      </w:r>
    </w:p>
    <w:p w:rsidR="00502271" w:rsidRPr="009333DA" w:rsidRDefault="00ED25DC" w:rsidP="00502271">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Where institutional, operational or other developments that materially affect </w:t>
      </w:r>
      <w:r w:rsidR="00E2296A" w:rsidRPr="009333DA">
        <w:rPr>
          <w:rFonts w:ascii="Times New Roman" w:hAnsi="Times New Roman"/>
          <w:sz w:val="24"/>
          <w:szCs w:val="24"/>
        </w:rPr>
        <w:t xml:space="preserve">the size, business mix and complexity of </w:t>
      </w:r>
      <w:r w:rsidRPr="009333DA">
        <w:rPr>
          <w:rFonts w:ascii="Times New Roman" w:hAnsi="Times New Roman"/>
          <w:sz w:val="24"/>
          <w:szCs w:val="24"/>
        </w:rPr>
        <w:t xml:space="preserve">an RSE licensee’s </w:t>
      </w:r>
      <w:r w:rsidR="00E2296A" w:rsidRPr="009333DA">
        <w:rPr>
          <w:rFonts w:ascii="Times New Roman" w:hAnsi="Times New Roman"/>
          <w:sz w:val="24"/>
          <w:szCs w:val="24"/>
        </w:rPr>
        <w:t>business operations</w:t>
      </w:r>
      <w:r w:rsidR="00AA1D00" w:rsidRPr="009333DA">
        <w:rPr>
          <w:rFonts w:ascii="Times New Roman" w:hAnsi="Times New Roman"/>
          <w:sz w:val="24"/>
          <w:szCs w:val="24"/>
        </w:rPr>
        <w:t xml:space="preserve"> </w:t>
      </w:r>
      <w:r w:rsidR="00FD784D" w:rsidRPr="009333DA">
        <w:rPr>
          <w:rFonts w:ascii="Times New Roman" w:hAnsi="Times New Roman"/>
          <w:sz w:val="24"/>
          <w:szCs w:val="24"/>
        </w:rPr>
        <w:t xml:space="preserve">are identified </w:t>
      </w:r>
      <w:r w:rsidR="00AA1D00" w:rsidRPr="009333DA">
        <w:rPr>
          <w:rFonts w:ascii="Times New Roman" w:hAnsi="Times New Roman"/>
          <w:sz w:val="24"/>
          <w:szCs w:val="24"/>
        </w:rPr>
        <w:t>outside the</w:t>
      </w:r>
      <w:r w:rsidR="001175DF" w:rsidRPr="009333DA">
        <w:rPr>
          <w:rFonts w:ascii="Times New Roman" w:hAnsi="Times New Roman"/>
          <w:sz w:val="24"/>
          <w:szCs w:val="24"/>
        </w:rPr>
        <w:t xml:space="preserve"> comprehensive</w:t>
      </w:r>
      <w:r w:rsidR="00AA1D00" w:rsidRPr="009333DA">
        <w:rPr>
          <w:rFonts w:ascii="Times New Roman" w:hAnsi="Times New Roman"/>
          <w:sz w:val="24"/>
          <w:szCs w:val="24"/>
        </w:rPr>
        <w:t xml:space="preserve"> review</w:t>
      </w:r>
      <w:r w:rsidR="00FD784D" w:rsidRPr="009333DA">
        <w:rPr>
          <w:rFonts w:ascii="Times New Roman" w:hAnsi="Times New Roman"/>
          <w:sz w:val="24"/>
          <w:szCs w:val="24"/>
        </w:rPr>
        <w:t xml:space="preserve"> required in paragraph </w:t>
      </w:r>
      <w:r w:rsidR="00FD784D" w:rsidRPr="009333DA">
        <w:rPr>
          <w:rFonts w:ascii="Times New Roman" w:hAnsi="Times New Roman"/>
          <w:sz w:val="24"/>
          <w:szCs w:val="24"/>
        </w:rPr>
        <w:fldChar w:fldCharType="begin"/>
      </w:r>
      <w:r w:rsidR="00FD784D" w:rsidRPr="009333DA">
        <w:rPr>
          <w:rFonts w:ascii="Times New Roman" w:hAnsi="Times New Roman"/>
          <w:sz w:val="24"/>
          <w:szCs w:val="24"/>
        </w:rPr>
        <w:instrText xml:space="preserve"> REF _Ref322075417 \r \h </w:instrText>
      </w:r>
      <w:r w:rsidR="00D606AB" w:rsidRPr="009333DA">
        <w:rPr>
          <w:rFonts w:ascii="Times New Roman" w:hAnsi="Times New Roman"/>
          <w:sz w:val="24"/>
          <w:szCs w:val="24"/>
        </w:rPr>
        <w:instrText xml:space="preserve"> \* MERGEFORMAT </w:instrText>
      </w:r>
      <w:r w:rsidR="00FD784D" w:rsidRPr="009333DA">
        <w:rPr>
          <w:rFonts w:ascii="Times New Roman" w:hAnsi="Times New Roman"/>
          <w:sz w:val="24"/>
          <w:szCs w:val="24"/>
        </w:rPr>
      </w:r>
      <w:r w:rsidR="00FD784D" w:rsidRPr="009333DA">
        <w:rPr>
          <w:rFonts w:ascii="Times New Roman" w:hAnsi="Times New Roman"/>
          <w:sz w:val="24"/>
          <w:szCs w:val="24"/>
        </w:rPr>
        <w:fldChar w:fldCharType="separate"/>
      </w:r>
      <w:r w:rsidR="000939C5">
        <w:rPr>
          <w:rFonts w:ascii="Times New Roman" w:hAnsi="Times New Roman"/>
          <w:sz w:val="24"/>
          <w:szCs w:val="24"/>
        </w:rPr>
        <w:t>27</w:t>
      </w:r>
      <w:r w:rsidR="00FD784D" w:rsidRPr="009333DA">
        <w:rPr>
          <w:rFonts w:ascii="Times New Roman" w:hAnsi="Times New Roman"/>
          <w:sz w:val="24"/>
          <w:szCs w:val="24"/>
        </w:rPr>
        <w:fldChar w:fldCharType="end"/>
      </w:r>
      <w:r w:rsidR="00FD784D" w:rsidRPr="009333DA">
        <w:rPr>
          <w:rFonts w:ascii="Times New Roman" w:hAnsi="Times New Roman"/>
          <w:sz w:val="24"/>
          <w:szCs w:val="24"/>
        </w:rPr>
        <w:t>,</w:t>
      </w:r>
      <w:r w:rsidRPr="009333DA">
        <w:rPr>
          <w:rFonts w:ascii="Times New Roman" w:hAnsi="Times New Roman"/>
          <w:sz w:val="24"/>
          <w:szCs w:val="24"/>
        </w:rPr>
        <w:t xml:space="preserve"> the RSE licensee must assess whether any amendment to, or a review of, the </w:t>
      </w:r>
      <w:r w:rsidR="00F4014A" w:rsidRPr="009333DA">
        <w:rPr>
          <w:rFonts w:ascii="Times New Roman" w:hAnsi="Times New Roman"/>
          <w:sz w:val="24"/>
          <w:szCs w:val="24"/>
        </w:rPr>
        <w:t>risk management framework</w:t>
      </w:r>
      <w:r w:rsidR="00F8549D" w:rsidRPr="009333DA">
        <w:rPr>
          <w:rFonts w:ascii="Times New Roman" w:hAnsi="Times New Roman"/>
          <w:sz w:val="24"/>
          <w:szCs w:val="24"/>
        </w:rPr>
        <w:t xml:space="preserve"> </w:t>
      </w:r>
      <w:r w:rsidRPr="009333DA">
        <w:rPr>
          <w:rFonts w:ascii="Times New Roman" w:hAnsi="Times New Roman"/>
          <w:sz w:val="24"/>
          <w:szCs w:val="24"/>
        </w:rPr>
        <w:t>is necessary to take account of these developments.</w:t>
      </w:r>
    </w:p>
    <w:p w:rsidR="00D14A69" w:rsidRPr="009333DA" w:rsidRDefault="00D14A69" w:rsidP="00B741BD">
      <w:pPr>
        <w:pStyle w:val="Heading3"/>
      </w:pPr>
      <w:bookmarkStart w:id="20" w:name="_Toc295999264"/>
      <w:bookmarkEnd w:id="19"/>
      <w:r w:rsidRPr="009333DA">
        <w:t>Risk management declaration</w:t>
      </w:r>
    </w:p>
    <w:p w:rsidR="00D14A69" w:rsidRPr="009333DA" w:rsidRDefault="00B118AF" w:rsidP="00D14A69">
      <w:pPr>
        <w:numPr>
          <w:ilvl w:val="0"/>
          <w:numId w:val="3"/>
        </w:numPr>
        <w:spacing w:before="0" w:after="240"/>
        <w:jc w:val="both"/>
        <w:rPr>
          <w:rFonts w:ascii="Times New Roman" w:hAnsi="Times New Roman"/>
          <w:sz w:val="24"/>
          <w:szCs w:val="24"/>
        </w:rPr>
      </w:pPr>
      <w:bookmarkStart w:id="21" w:name="_Ref316545499"/>
      <w:r w:rsidRPr="009333DA">
        <w:rPr>
          <w:rFonts w:ascii="Times New Roman" w:hAnsi="Times New Roman"/>
          <w:sz w:val="24"/>
          <w:szCs w:val="24"/>
        </w:rPr>
        <w:t xml:space="preserve">The </w:t>
      </w:r>
      <w:r w:rsidR="00D14A69" w:rsidRPr="009333DA">
        <w:rPr>
          <w:rFonts w:ascii="Times New Roman" w:hAnsi="Times New Roman"/>
          <w:sz w:val="24"/>
          <w:szCs w:val="24"/>
        </w:rPr>
        <w:t>Board must, on an annual basis, provide APRA with a declaration on risk management (</w:t>
      </w:r>
      <w:r w:rsidR="00D44EB2" w:rsidRPr="009333DA">
        <w:rPr>
          <w:rFonts w:ascii="Times New Roman" w:hAnsi="Times New Roman"/>
          <w:sz w:val="24"/>
          <w:szCs w:val="24"/>
        </w:rPr>
        <w:t>r</w:t>
      </w:r>
      <w:r w:rsidR="00963CE1" w:rsidRPr="009333DA">
        <w:rPr>
          <w:rFonts w:ascii="Times New Roman" w:hAnsi="Times New Roman"/>
          <w:sz w:val="24"/>
          <w:szCs w:val="24"/>
        </w:rPr>
        <w:t xml:space="preserve">isk </w:t>
      </w:r>
      <w:r w:rsidR="00D44EB2" w:rsidRPr="009333DA">
        <w:rPr>
          <w:rFonts w:ascii="Times New Roman" w:hAnsi="Times New Roman"/>
          <w:sz w:val="24"/>
          <w:szCs w:val="24"/>
        </w:rPr>
        <w:t>m</w:t>
      </w:r>
      <w:r w:rsidR="00963CE1" w:rsidRPr="009333DA">
        <w:rPr>
          <w:rFonts w:ascii="Times New Roman" w:hAnsi="Times New Roman"/>
          <w:sz w:val="24"/>
          <w:szCs w:val="24"/>
        </w:rPr>
        <w:t xml:space="preserve">anagement </w:t>
      </w:r>
      <w:r w:rsidR="00D44EB2" w:rsidRPr="009333DA">
        <w:rPr>
          <w:rFonts w:ascii="Times New Roman" w:hAnsi="Times New Roman"/>
          <w:sz w:val="24"/>
          <w:szCs w:val="24"/>
        </w:rPr>
        <w:t>d</w:t>
      </w:r>
      <w:r w:rsidR="00963CE1" w:rsidRPr="009333DA">
        <w:rPr>
          <w:rFonts w:ascii="Times New Roman" w:hAnsi="Times New Roman"/>
          <w:sz w:val="24"/>
          <w:szCs w:val="24"/>
        </w:rPr>
        <w:t>eclaration</w:t>
      </w:r>
      <w:r w:rsidR="00D14A69" w:rsidRPr="009333DA">
        <w:rPr>
          <w:rFonts w:ascii="Times New Roman" w:hAnsi="Times New Roman"/>
          <w:sz w:val="24"/>
          <w:szCs w:val="24"/>
        </w:rPr>
        <w:t>) signed by two directors</w:t>
      </w:r>
      <w:r w:rsidR="001175DF" w:rsidRPr="009333DA">
        <w:rPr>
          <w:rFonts w:ascii="Times New Roman" w:hAnsi="Times New Roman"/>
          <w:sz w:val="24"/>
          <w:szCs w:val="24"/>
        </w:rPr>
        <w:t xml:space="preserve"> that</w:t>
      </w:r>
      <w:r w:rsidR="00D14A69" w:rsidRPr="009333DA">
        <w:rPr>
          <w:rFonts w:ascii="Times New Roman" w:hAnsi="Times New Roman"/>
          <w:sz w:val="24"/>
          <w:szCs w:val="24"/>
        </w:rPr>
        <w:t xml:space="preserve"> satisf</w:t>
      </w:r>
      <w:r w:rsidR="001175DF" w:rsidRPr="009333DA">
        <w:rPr>
          <w:rFonts w:ascii="Times New Roman" w:hAnsi="Times New Roman"/>
          <w:sz w:val="24"/>
          <w:szCs w:val="24"/>
        </w:rPr>
        <w:t>ies</w:t>
      </w:r>
      <w:r w:rsidR="00D14A69" w:rsidRPr="009333DA">
        <w:rPr>
          <w:rFonts w:ascii="Times New Roman" w:hAnsi="Times New Roman"/>
          <w:sz w:val="24"/>
          <w:szCs w:val="24"/>
        </w:rPr>
        <w:t xml:space="preserve"> the requirements set out in Attachment </w:t>
      </w:r>
      <w:r w:rsidR="00217DFB">
        <w:rPr>
          <w:rFonts w:ascii="Times New Roman" w:hAnsi="Times New Roman"/>
          <w:sz w:val="24"/>
          <w:szCs w:val="24"/>
        </w:rPr>
        <w:t>A</w:t>
      </w:r>
      <w:r w:rsidR="00D14A69" w:rsidRPr="009333DA">
        <w:rPr>
          <w:rFonts w:ascii="Times New Roman" w:hAnsi="Times New Roman"/>
          <w:sz w:val="24"/>
          <w:szCs w:val="24"/>
        </w:rPr>
        <w:t xml:space="preserve"> </w:t>
      </w:r>
      <w:r w:rsidR="002A5431" w:rsidRPr="009333DA">
        <w:rPr>
          <w:rFonts w:ascii="Times New Roman" w:hAnsi="Times New Roman"/>
          <w:sz w:val="24"/>
          <w:szCs w:val="24"/>
        </w:rPr>
        <w:t>of</w:t>
      </w:r>
      <w:r w:rsidR="00D14A69" w:rsidRPr="009333DA">
        <w:rPr>
          <w:rFonts w:ascii="Times New Roman" w:hAnsi="Times New Roman"/>
          <w:sz w:val="24"/>
          <w:szCs w:val="24"/>
        </w:rPr>
        <w:t xml:space="preserve"> this Prudential Standard.</w:t>
      </w:r>
      <w:bookmarkEnd w:id="21"/>
    </w:p>
    <w:p w:rsidR="00391058" w:rsidRPr="009333DA" w:rsidRDefault="003F1731" w:rsidP="00D14A69">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 RSE licensee must submit t</w:t>
      </w:r>
      <w:r w:rsidR="00D14A69" w:rsidRPr="009333DA">
        <w:rPr>
          <w:rFonts w:ascii="Times New Roman" w:hAnsi="Times New Roman"/>
          <w:sz w:val="24"/>
          <w:szCs w:val="24"/>
        </w:rPr>
        <w:t xml:space="preserve">he </w:t>
      </w:r>
      <w:r w:rsidR="00D44EB2" w:rsidRPr="009333DA">
        <w:rPr>
          <w:rFonts w:ascii="Times New Roman" w:hAnsi="Times New Roman"/>
          <w:sz w:val="24"/>
          <w:szCs w:val="24"/>
        </w:rPr>
        <w:t>r</w:t>
      </w:r>
      <w:r w:rsidR="00D14A69" w:rsidRPr="009333DA">
        <w:rPr>
          <w:rFonts w:ascii="Times New Roman" w:hAnsi="Times New Roman"/>
          <w:sz w:val="24"/>
          <w:szCs w:val="24"/>
        </w:rPr>
        <w:t xml:space="preserve">isk </w:t>
      </w:r>
      <w:r w:rsidR="00D44EB2" w:rsidRPr="009333DA">
        <w:rPr>
          <w:rFonts w:ascii="Times New Roman" w:hAnsi="Times New Roman"/>
          <w:sz w:val="24"/>
          <w:szCs w:val="24"/>
        </w:rPr>
        <w:t>m</w:t>
      </w:r>
      <w:r w:rsidR="00D14A69" w:rsidRPr="009333DA">
        <w:rPr>
          <w:rFonts w:ascii="Times New Roman" w:hAnsi="Times New Roman"/>
          <w:sz w:val="24"/>
          <w:szCs w:val="24"/>
        </w:rPr>
        <w:t xml:space="preserve">anagement </w:t>
      </w:r>
      <w:r w:rsidR="00D44EB2" w:rsidRPr="009333DA">
        <w:rPr>
          <w:rFonts w:ascii="Times New Roman" w:hAnsi="Times New Roman"/>
          <w:sz w:val="24"/>
          <w:szCs w:val="24"/>
        </w:rPr>
        <w:t>d</w:t>
      </w:r>
      <w:r w:rsidR="00D14A69" w:rsidRPr="009333DA">
        <w:rPr>
          <w:rFonts w:ascii="Times New Roman" w:hAnsi="Times New Roman"/>
          <w:sz w:val="24"/>
          <w:szCs w:val="24"/>
        </w:rPr>
        <w:t>eclaration to APRA on, or before, the day that the RSE licensee</w:t>
      </w:r>
      <w:r w:rsidRPr="009333DA">
        <w:rPr>
          <w:rFonts w:ascii="Times New Roman" w:hAnsi="Times New Roman"/>
          <w:sz w:val="24"/>
          <w:szCs w:val="24"/>
        </w:rPr>
        <w:t xml:space="preserve"> is required to submit </w:t>
      </w:r>
      <w:r w:rsidR="00D8268A" w:rsidRPr="009333DA">
        <w:rPr>
          <w:rFonts w:ascii="Times New Roman" w:hAnsi="Times New Roman"/>
          <w:sz w:val="24"/>
          <w:szCs w:val="24"/>
        </w:rPr>
        <w:t xml:space="preserve">annual information under reporting standards made by APRA under the </w:t>
      </w:r>
      <w:r w:rsidR="00D8268A" w:rsidRPr="00C34104">
        <w:rPr>
          <w:rFonts w:ascii="Times New Roman" w:hAnsi="Times New Roman"/>
          <w:i/>
          <w:sz w:val="24"/>
          <w:szCs w:val="24"/>
        </w:rPr>
        <w:t>Financial Sector (Collection of Data) Act 2001</w:t>
      </w:r>
      <w:r w:rsidR="00D8268A" w:rsidRPr="009333DA">
        <w:rPr>
          <w:rFonts w:ascii="Times New Roman" w:hAnsi="Times New Roman"/>
          <w:sz w:val="24"/>
          <w:szCs w:val="24"/>
        </w:rPr>
        <w:t>.</w:t>
      </w:r>
    </w:p>
    <w:p w:rsidR="00D14A69" w:rsidRPr="009333DA" w:rsidRDefault="00D14A69" w:rsidP="00D14A69">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If the Board qualifies the </w:t>
      </w:r>
      <w:r w:rsidR="00D44EB2" w:rsidRPr="009333DA">
        <w:rPr>
          <w:rFonts w:ascii="Times New Roman" w:hAnsi="Times New Roman"/>
          <w:sz w:val="24"/>
          <w:szCs w:val="24"/>
        </w:rPr>
        <w:t>r</w:t>
      </w:r>
      <w:r w:rsidRPr="009333DA">
        <w:rPr>
          <w:rFonts w:ascii="Times New Roman" w:hAnsi="Times New Roman"/>
          <w:sz w:val="24"/>
          <w:szCs w:val="24"/>
        </w:rPr>
        <w:t xml:space="preserve">isk </w:t>
      </w:r>
      <w:r w:rsidR="00D44EB2" w:rsidRPr="009333DA">
        <w:rPr>
          <w:rFonts w:ascii="Times New Roman" w:hAnsi="Times New Roman"/>
          <w:sz w:val="24"/>
          <w:szCs w:val="24"/>
        </w:rPr>
        <w:t>m</w:t>
      </w:r>
      <w:r w:rsidRPr="009333DA">
        <w:rPr>
          <w:rFonts w:ascii="Times New Roman" w:hAnsi="Times New Roman"/>
          <w:sz w:val="24"/>
          <w:szCs w:val="24"/>
        </w:rPr>
        <w:t xml:space="preserve">anagement </w:t>
      </w:r>
      <w:r w:rsidR="00D44EB2" w:rsidRPr="009333DA">
        <w:rPr>
          <w:rFonts w:ascii="Times New Roman" w:hAnsi="Times New Roman"/>
          <w:sz w:val="24"/>
          <w:szCs w:val="24"/>
        </w:rPr>
        <w:t>d</w:t>
      </w:r>
      <w:r w:rsidRPr="009333DA">
        <w:rPr>
          <w:rFonts w:ascii="Times New Roman" w:hAnsi="Times New Roman"/>
          <w:sz w:val="24"/>
          <w:szCs w:val="24"/>
        </w:rPr>
        <w:t xml:space="preserve">eclaration, the qualified </w:t>
      </w:r>
      <w:r w:rsidR="00D44EB2" w:rsidRPr="009333DA">
        <w:rPr>
          <w:rFonts w:ascii="Times New Roman" w:hAnsi="Times New Roman"/>
          <w:sz w:val="24"/>
          <w:szCs w:val="24"/>
        </w:rPr>
        <w:t>d</w:t>
      </w:r>
      <w:r w:rsidRPr="009333DA">
        <w:rPr>
          <w:rFonts w:ascii="Times New Roman" w:hAnsi="Times New Roman"/>
          <w:sz w:val="24"/>
          <w:szCs w:val="24"/>
        </w:rPr>
        <w:t xml:space="preserve">eclaration must include a description of any material deviation from </w:t>
      </w:r>
      <w:r w:rsidR="00143B5A" w:rsidRPr="009333DA">
        <w:rPr>
          <w:rFonts w:ascii="Times New Roman" w:hAnsi="Times New Roman"/>
          <w:sz w:val="24"/>
          <w:szCs w:val="24"/>
        </w:rPr>
        <w:t xml:space="preserve">the </w:t>
      </w:r>
      <w:r w:rsidRPr="009333DA">
        <w:rPr>
          <w:rFonts w:ascii="Times New Roman" w:hAnsi="Times New Roman"/>
          <w:sz w:val="24"/>
          <w:szCs w:val="24"/>
        </w:rPr>
        <w:t xml:space="preserve">RSE licensee’s </w:t>
      </w:r>
      <w:r w:rsidR="00143B5A" w:rsidRPr="009333DA">
        <w:rPr>
          <w:rFonts w:ascii="Times New Roman" w:hAnsi="Times New Roman"/>
          <w:sz w:val="24"/>
          <w:szCs w:val="24"/>
        </w:rPr>
        <w:t xml:space="preserve">risk </w:t>
      </w:r>
      <w:r w:rsidR="00143B5A" w:rsidRPr="009333DA">
        <w:rPr>
          <w:rFonts w:ascii="Times New Roman" w:hAnsi="Times New Roman"/>
          <w:sz w:val="24"/>
          <w:szCs w:val="24"/>
        </w:rPr>
        <w:lastRenderedPageBreak/>
        <w:t>management framework</w:t>
      </w:r>
      <w:r w:rsidR="00A25814" w:rsidRPr="009333DA">
        <w:rPr>
          <w:rFonts w:ascii="Times New Roman" w:hAnsi="Times New Roman"/>
          <w:sz w:val="24"/>
          <w:szCs w:val="24"/>
        </w:rPr>
        <w:t xml:space="preserve"> </w:t>
      </w:r>
      <w:r w:rsidRPr="009333DA">
        <w:rPr>
          <w:rFonts w:ascii="Times New Roman" w:hAnsi="Times New Roman"/>
          <w:sz w:val="24"/>
          <w:szCs w:val="24"/>
        </w:rPr>
        <w:t xml:space="preserve">and the steps taken, or proposed to be taken, to remedy those </w:t>
      </w:r>
      <w:r w:rsidR="00D47714" w:rsidRPr="009333DA">
        <w:rPr>
          <w:rFonts w:ascii="Times New Roman" w:hAnsi="Times New Roman"/>
          <w:sz w:val="24"/>
          <w:szCs w:val="24"/>
        </w:rPr>
        <w:t>deviations</w:t>
      </w:r>
      <w:r w:rsidRPr="009333DA">
        <w:rPr>
          <w:rFonts w:ascii="Times New Roman" w:hAnsi="Times New Roman"/>
          <w:sz w:val="24"/>
          <w:szCs w:val="24"/>
        </w:rPr>
        <w:t>.</w:t>
      </w:r>
    </w:p>
    <w:bookmarkEnd w:id="20"/>
    <w:p w:rsidR="00154CAF" w:rsidRPr="009333DA" w:rsidRDefault="00E11F36" w:rsidP="00B741BD">
      <w:pPr>
        <w:pStyle w:val="Heading3"/>
      </w:pPr>
      <w:r w:rsidRPr="009333DA">
        <w:t>Notification requirements</w:t>
      </w:r>
    </w:p>
    <w:p w:rsidR="00154CAF" w:rsidRPr="009333DA" w:rsidRDefault="00154CAF" w:rsidP="00154CAF">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 RSE licensee must</w:t>
      </w:r>
      <w:r w:rsidR="0094019B" w:rsidRPr="009333DA">
        <w:rPr>
          <w:rFonts w:ascii="Times New Roman" w:hAnsi="Times New Roman"/>
          <w:sz w:val="24"/>
          <w:szCs w:val="24"/>
        </w:rPr>
        <w:t xml:space="preserve"> </w:t>
      </w:r>
      <w:r w:rsidRPr="009333DA">
        <w:rPr>
          <w:rFonts w:ascii="Times New Roman" w:hAnsi="Times New Roman"/>
          <w:sz w:val="24"/>
          <w:szCs w:val="24"/>
        </w:rPr>
        <w:t xml:space="preserve">notify APRA </w:t>
      </w:r>
      <w:r w:rsidR="00CC478D" w:rsidRPr="009333DA">
        <w:rPr>
          <w:rFonts w:ascii="Times New Roman" w:hAnsi="Times New Roman"/>
          <w:sz w:val="24"/>
          <w:szCs w:val="24"/>
        </w:rPr>
        <w:t xml:space="preserve">within 10 business days </w:t>
      </w:r>
      <w:r w:rsidRPr="009333DA">
        <w:rPr>
          <w:rFonts w:ascii="Times New Roman" w:hAnsi="Times New Roman"/>
          <w:sz w:val="24"/>
          <w:szCs w:val="24"/>
        </w:rPr>
        <w:t>when it:</w:t>
      </w:r>
    </w:p>
    <w:p w:rsidR="00154CAF" w:rsidRPr="009333DA" w:rsidRDefault="00AB34DC" w:rsidP="00154CAF">
      <w:pPr>
        <w:numPr>
          <w:ilvl w:val="0"/>
          <w:numId w:val="14"/>
        </w:numPr>
        <w:spacing w:before="0" w:after="240"/>
        <w:ind w:left="1134" w:hanging="567"/>
        <w:jc w:val="both"/>
        <w:rPr>
          <w:rFonts w:ascii="Times New Roman" w:hAnsi="Times New Roman"/>
          <w:sz w:val="24"/>
          <w:szCs w:val="24"/>
        </w:rPr>
      </w:pPr>
      <w:r w:rsidRPr="009333DA">
        <w:rPr>
          <w:rFonts w:ascii="Times New Roman" w:hAnsi="Times New Roman"/>
          <w:sz w:val="24"/>
          <w:szCs w:val="24"/>
        </w:rPr>
        <w:t xml:space="preserve">becomes aware of a </w:t>
      </w:r>
      <w:r w:rsidR="003620CF" w:rsidRPr="009333DA">
        <w:rPr>
          <w:rFonts w:ascii="Times New Roman" w:hAnsi="Times New Roman"/>
          <w:sz w:val="24"/>
          <w:szCs w:val="24"/>
        </w:rPr>
        <w:t xml:space="preserve">significant </w:t>
      </w:r>
      <w:r w:rsidRPr="009333DA">
        <w:rPr>
          <w:rFonts w:ascii="Times New Roman" w:hAnsi="Times New Roman"/>
          <w:sz w:val="24"/>
          <w:szCs w:val="24"/>
        </w:rPr>
        <w:t xml:space="preserve">breach of, or material deviation from, the </w:t>
      </w:r>
      <w:r w:rsidR="003C6D2A" w:rsidRPr="009333DA">
        <w:rPr>
          <w:rFonts w:ascii="Times New Roman" w:hAnsi="Times New Roman"/>
          <w:sz w:val="24"/>
          <w:szCs w:val="24"/>
        </w:rPr>
        <w:t>risk management framework</w:t>
      </w:r>
      <w:r w:rsidRPr="009333DA">
        <w:rPr>
          <w:rFonts w:ascii="Times New Roman" w:hAnsi="Times New Roman"/>
          <w:sz w:val="24"/>
          <w:szCs w:val="24"/>
        </w:rPr>
        <w:t xml:space="preserve">; or </w:t>
      </w:r>
    </w:p>
    <w:p w:rsidR="00154CAF" w:rsidRPr="009333DA" w:rsidRDefault="005B27A1" w:rsidP="00154CAF">
      <w:pPr>
        <w:numPr>
          <w:ilvl w:val="0"/>
          <w:numId w:val="14"/>
        </w:numPr>
        <w:spacing w:before="120" w:after="240"/>
        <w:ind w:left="1134" w:hanging="567"/>
        <w:jc w:val="both"/>
        <w:rPr>
          <w:rFonts w:ascii="Times New Roman" w:hAnsi="Times New Roman"/>
          <w:sz w:val="24"/>
          <w:szCs w:val="24"/>
        </w:rPr>
      </w:pPr>
      <w:r w:rsidRPr="009333DA">
        <w:rPr>
          <w:rFonts w:ascii="Times New Roman" w:hAnsi="Times New Roman"/>
          <w:sz w:val="24"/>
          <w:szCs w:val="24"/>
        </w:rPr>
        <w:t xml:space="preserve">discovers that the </w:t>
      </w:r>
      <w:r w:rsidR="00143B5A" w:rsidRPr="009333DA">
        <w:rPr>
          <w:rFonts w:ascii="Times New Roman" w:hAnsi="Times New Roman"/>
          <w:sz w:val="24"/>
          <w:szCs w:val="24"/>
        </w:rPr>
        <w:t>risk management framework</w:t>
      </w:r>
      <w:r w:rsidRPr="009333DA">
        <w:rPr>
          <w:rFonts w:ascii="Times New Roman" w:hAnsi="Times New Roman"/>
          <w:sz w:val="24"/>
          <w:szCs w:val="24"/>
        </w:rPr>
        <w:t xml:space="preserve"> did not adequately address a material risk.</w:t>
      </w:r>
    </w:p>
    <w:p w:rsidR="006E25A5" w:rsidRPr="009333DA" w:rsidRDefault="006E25A5" w:rsidP="006E25A5">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An RSE licensee must notify APRA</w:t>
      </w:r>
      <w:r w:rsidR="009C71F6" w:rsidRPr="009333DA">
        <w:rPr>
          <w:rFonts w:ascii="Times New Roman" w:hAnsi="Times New Roman"/>
          <w:sz w:val="24"/>
          <w:szCs w:val="24"/>
        </w:rPr>
        <w:t>,</w:t>
      </w:r>
      <w:r w:rsidRPr="009333DA">
        <w:rPr>
          <w:rFonts w:ascii="Times New Roman" w:hAnsi="Times New Roman"/>
          <w:sz w:val="24"/>
          <w:szCs w:val="24"/>
        </w:rPr>
        <w:t xml:space="preserve"> as soon as </w:t>
      </w:r>
      <w:r w:rsidR="009C71F6" w:rsidRPr="009333DA">
        <w:rPr>
          <w:rFonts w:ascii="Times New Roman" w:hAnsi="Times New Roman"/>
          <w:sz w:val="24"/>
          <w:szCs w:val="24"/>
        </w:rPr>
        <w:t xml:space="preserve">practicable, </w:t>
      </w:r>
      <w:r w:rsidRPr="009333DA">
        <w:rPr>
          <w:rFonts w:ascii="Times New Roman" w:hAnsi="Times New Roman"/>
          <w:sz w:val="24"/>
          <w:szCs w:val="24"/>
        </w:rPr>
        <w:t>when it becomes aware of any material changes to the size, business mix</w:t>
      </w:r>
      <w:r w:rsidRPr="009333DA">
        <w:rPr>
          <w:rFonts w:ascii="Times New Roman" w:eastAsia="Calibri" w:hAnsi="Times New Roman"/>
          <w:sz w:val="24"/>
          <w:szCs w:val="24"/>
          <w:lang w:eastAsia="en-AU"/>
        </w:rPr>
        <w:t xml:space="preserve"> and complexity of the RSE licensee’s business operations.</w:t>
      </w:r>
    </w:p>
    <w:p w:rsidR="00725AA6" w:rsidRPr="009333DA" w:rsidRDefault="00AB34DC" w:rsidP="00B741BD">
      <w:pPr>
        <w:pStyle w:val="Heading3"/>
      </w:pPr>
      <w:bookmarkStart w:id="22" w:name="_Toc295999265"/>
      <w:r w:rsidRPr="009333DA">
        <w:t>Adjustments and exclusions</w:t>
      </w:r>
      <w:bookmarkEnd w:id="22"/>
    </w:p>
    <w:p w:rsidR="002335D3" w:rsidRPr="009333DA" w:rsidRDefault="00AB34DC" w:rsidP="004D435C">
      <w:pPr>
        <w:numPr>
          <w:ilvl w:val="0"/>
          <w:numId w:val="3"/>
        </w:numPr>
        <w:spacing w:before="0" w:after="240"/>
        <w:jc w:val="both"/>
        <w:rPr>
          <w:rFonts w:ascii="Times New Roman" w:hAnsi="Times New Roman"/>
          <w:sz w:val="24"/>
          <w:szCs w:val="24"/>
        </w:rPr>
      </w:pPr>
      <w:r w:rsidRPr="009333DA">
        <w:rPr>
          <w:rFonts w:ascii="Times New Roman" w:hAnsi="Times New Roman"/>
          <w:sz w:val="24"/>
          <w:szCs w:val="24"/>
        </w:rPr>
        <w:t xml:space="preserve">APRA may, by notice in writing to an </w:t>
      </w:r>
      <w:r w:rsidR="001C4F47" w:rsidRPr="009333DA">
        <w:rPr>
          <w:rFonts w:ascii="Times New Roman" w:hAnsi="Times New Roman"/>
          <w:sz w:val="24"/>
          <w:szCs w:val="24"/>
        </w:rPr>
        <w:t>RSE licensee</w:t>
      </w:r>
      <w:r w:rsidRPr="009333DA">
        <w:rPr>
          <w:rFonts w:ascii="Times New Roman" w:hAnsi="Times New Roman"/>
          <w:sz w:val="24"/>
          <w:szCs w:val="24"/>
        </w:rPr>
        <w:t xml:space="preserve">, adjust or exclude a specific prudential requirement in this Prudential Standard in relation to that </w:t>
      </w:r>
      <w:r w:rsidR="001C4F47" w:rsidRPr="009333DA">
        <w:rPr>
          <w:rFonts w:ascii="Times New Roman" w:hAnsi="Times New Roman"/>
          <w:sz w:val="24"/>
          <w:szCs w:val="24"/>
        </w:rPr>
        <w:t>RSE licensee</w:t>
      </w:r>
      <w:r w:rsidRPr="009333DA">
        <w:rPr>
          <w:rFonts w:ascii="Times New Roman" w:hAnsi="Times New Roman"/>
          <w:sz w:val="24"/>
          <w:szCs w:val="24"/>
        </w:rPr>
        <w:t>.</w:t>
      </w:r>
      <w:r w:rsidRPr="009333DA">
        <w:rPr>
          <w:rStyle w:val="FootnoteReference"/>
          <w:rFonts w:ascii="Times New Roman" w:hAnsi="Times New Roman"/>
          <w:sz w:val="24"/>
          <w:szCs w:val="24"/>
        </w:rPr>
        <w:footnoteReference w:id="17"/>
      </w:r>
    </w:p>
    <w:p w:rsidR="00F715FC" w:rsidRPr="009333DA" w:rsidRDefault="003547BC" w:rsidP="001B665F">
      <w:pPr>
        <w:pStyle w:val="Heading3"/>
      </w:pPr>
      <w:r w:rsidRPr="009333DA">
        <w:rPr>
          <w:rFonts w:ascii="Times New Roman" w:hAnsi="Times New Roman"/>
        </w:rPr>
        <w:br w:type="page"/>
      </w:r>
      <w:r w:rsidRPr="009333DA">
        <w:lastRenderedPageBreak/>
        <w:t xml:space="preserve">Attachment </w:t>
      </w:r>
      <w:r w:rsidR="00803F68" w:rsidRPr="009333DA">
        <w:t>A</w:t>
      </w:r>
    </w:p>
    <w:p w:rsidR="00ED25DC" w:rsidRPr="009333DA" w:rsidRDefault="00ED25DC" w:rsidP="00B741BD">
      <w:pPr>
        <w:pStyle w:val="Heading3"/>
      </w:pPr>
      <w:r w:rsidRPr="009333DA">
        <w:t>Risk management declaration</w:t>
      </w:r>
    </w:p>
    <w:p w:rsidR="00ED25DC" w:rsidRPr="009333DA" w:rsidRDefault="00ED25DC" w:rsidP="00ED25DC">
      <w:pPr>
        <w:spacing w:before="0" w:after="240"/>
        <w:jc w:val="both"/>
        <w:rPr>
          <w:rFonts w:ascii="Times New Roman" w:hAnsi="Times New Roman"/>
          <w:sz w:val="24"/>
          <w:szCs w:val="24"/>
        </w:rPr>
      </w:pPr>
      <w:r w:rsidRPr="009333DA">
        <w:rPr>
          <w:rFonts w:ascii="Times New Roman" w:hAnsi="Times New Roman"/>
          <w:sz w:val="24"/>
          <w:szCs w:val="24"/>
        </w:rPr>
        <w:t xml:space="preserve">For the purposes of paragraph </w:t>
      </w:r>
      <w:r w:rsidR="00F97551" w:rsidRPr="009333DA">
        <w:rPr>
          <w:rFonts w:ascii="Times New Roman" w:hAnsi="Times New Roman"/>
          <w:sz w:val="24"/>
          <w:szCs w:val="24"/>
        </w:rPr>
        <w:fldChar w:fldCharType="begin"/>
      </w:r>
      <w:r w:rsidR="00F97551" w:rsidRPr="009333DA">
        <w:rPr>
          <w:rFonts w:ascii="Times New Roman" w:hAnsi="Times New Roman"/>
          <w:sz w:val="24"/>
          <w:szCs w:val="24"/>
        </w:rPr>
        <w:instrText xml:space="preserve"> REF _Ref316545499 \r \h </w:instrText>
      </w:r>
      <w:r w:rsidR="00F600CC" w:rsidRPr="009333DA">
        <w:rPr>
          <w:rFonts w:ascii="Times New Roman" w:hAnsi="Times New Roman"/>
          <w:sz w:val="24"/>
          <w:szCs w:val="24"/>
        </w:rPr>
        <w:instrText xml:space="preserve"> \* MERGEFORMAT </w:instrText>
      </w:r>
      <w:r w:rsidR="00F97551" w:rsidRPr="009333DA">
        <w:rPr>
          <w:rFonts w:ascii="Times New Roman" w:hAnsi="Times New Roman"/>
          <w:sz w:val="24"/>
          <w:szCs w:val="24"/>
        </w:rPr>
      </w:r>
      <w:r w:rsidR="00F97551" w:rsidRPr="009333DA">
        <w:rPr>
          <w:rFonts w:ascii="Times New Roman" w:hAnsi="Times New Roman"/>
          <w:sz w:val="24"/>
          <w:szCs w:val="24"/>
        </w:rPr>
        <w:fldChar w:fldCharType="separate"/>
      </w:r>
      <w:r w:rsidR="000939C5">
        <w:rPr>
          <w:rFonts w:ascii="Times New Roman" w:hAnsi="Times New Roman"/>
          <w:sz w:val="24"/>
          <w:szCs w:val="24"/>
        </w:rPr>
        <w:t>32</w:t>
      </w:r>
      <w:r w:rsidR="00F97551" w:rsidRPr="009333DA">
        <w:rPr>
          <w:rFonts w:ascii="Times New Roman" w:hAnsi="Times New Roman"/>
          <w:sz w:val="24"/>
          <w:szCs w:val="24"/>
        </w:rPr>
        <w:fldChar w:fldCharType="end"/>
      </w:r>
      <w:r w:rsidR="00F97551" w:rsidRPr="009333DA">
        <w:rPr>
          <w:rFonts w:ascii="Times New Roman" w:hAnsi="Times New Roman"/>
          <w:sz w:val="24"/>
          <w:szCs w:val="24"/>
        </w:rPr>
        <w:t xml:space="preserve"> </w:t>
      </w:r>
      <w:r w:rsidRPr="009333DA">
        <w:rPr>
          <w:rFonts w:ascii="Times New Roman" w:hAnsi="Times New Roman"/>
          <w:sz w:val="24"/>
          <w:szCs w:val="24"/>
        </w:rPr>
        <w:t>of this Prudential Standard, an RSE licensee’s risk management declaration must cover the following matters:</w:t>
      </w:r>
    </w:p>
    <w:p w:rsidR="00ED25DC" w:rsidRPr="009333DA" w:rsidRDefault="00B118AF"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t</w:t>
      </w:r>
      <w:r w:rsidR="00ED25DC" w:rsidRPr="009333DA">
        <w:rPr>
          <w:rFonts w:ascii="Times New Roman" w:hAnsi="Times New Roman"/>
          <w:sz w:val="24"/>
          <w:szCs w:val="24"/>
        </w:rPr>
        <w:t xml:space="preserve">he RSE licensee has in place systems for ensuring compliance with </w:t>
      </w:r>
      <w:r w:rsidR="00F64E75" w:rsidRPr="009333DA">
        <w:rPr>
          <w:rFonts w:ascii="Times New Roman" w:hAnsi="Times New Roman"/>
          <w:sz w:val="24"/>
          <w:szCs w:val="24"/>
        </w:rPr>
        <w:t>all prudential requirements</w:t>
      </w:r>
      <w:r w:rsidRPr="009333DA">
        <w:rPr>
          <w:rFonts w:ascii="Times New Roman" w:hAnsi="Times New Roman"/>
          <w:sz w:val="24"/>
          <w:szCs w:val="24"/>
        </w:rPr>
        <w:t>;</w:t>
      </w:r>
    </w:p>
    <w:p w:rsidR="00ED25DC" w:rsidRPr="009333DA" w:rsidRDefault="00B118AF"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t</w:t>
      </w:r>
      <w:r w:rsidR="00ED25DC" w:rsidRPr="009333DA">
        <w:rPr>
          <w:rFonts w:ascii="Times New Roman" w:hAnsi="Times New Roman"/>
          <w:sz w:val="24"/>
          <w:szCs w:val="24"/>
        </w:rPr>
        <w:t xml:space="preserve">he systems </w:t>
      </w:r>
      <w:r w:rsidR="00211CE7" w:rsidRPr="009333DA">
        <w:rPr>
          <w:rFonts w:ascii="Times New Roman" w:hAnsi="Times New Roman"/>
          <w:sz w:val="24"/>
          <w:szCs w:val="24"/>
        </w:rPr>
        <w:t xml:space="preserve">and </w:t>
      </w:r>
      <w:r w:rsidR="00DD7C4F" w:rsidRPr="009333DA">
        <w:rPr>
          <w:rFonts w:ascii="Times New Roman" w:hAnsi="Times New Roman"/>
          <w:sz w:val="24"/>
          <w:szCs w:val="24"/>
        </w:rPr>
        <w:t>resources</w:t>
      </w:r>
      <w:r w:rsidR="00ED25DC" w:rsidRPr="009333DA">
        <w:rPr>
          <w:rFonts w:ascii="Times New Roman" w:hAnsi="Times New Roman"/>
          <w:sz w:val="24"/>
          <w:szCs w:val="24"/>
        </w:rPr>
        <w:t xml:space="preserve"> that are in place for managing and monitoring risks, and the risk management framework, are appropriate to the RSE licensee, having regard to the size</w:t>
      </w:r>
      <w:r w:rsidR="0072467D" w:rsidRPr="009333DA">
        <w:rPr>
          <w:rFonts w:ascii="Times New Roman" w:hAnsi="Times New Roman"/>
          <w:sz w:val="24"/>
          <w:szCs w:val="24"/>
        </w:rPr>
        <w:t>, business mix</w:t>
      </w:r>
      <w:r w:rsidR="00ED25DC" w:rsidRPr="009333DA">
        <w:rPr>
          <w:rFonts w:ascii="Times New Roman" w:hAnsi="Times New Roman"/>
          <w:sz w:val="24"/>
          <w:szCs w:val="24"/>
        </w:rPr>
        <w:t xml:space="preserve"> and complexity of the RSE licensee</w:t>
      </w:r>
      <w:r w:rsidRPr="009333DA">
        <w:rPr>
          <w:rFonts w:ascii="Times New Roman" w:hAnsi="Times New Roman"/>
          <w:sz w:val="24"/>
          <w:szCs w:val="24"/>
        </w:rPr>
        <w:t>’s business operations;</w:t>
      </w:r>
    </w:p>
    <w:p w:rsidR="00ED25DC" w:rsidRPr="009333DA" w:rsidRDefault="00ED25DC"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 xml:space="preserve">the RSE licensee has assessed the risks of outsourcing </w:t>
      </w:r>
      <w:r w:rsidR="00500A03" w:rsidRPr="009333DA">
        <w:rPr>
          <w:rFonts w:ascii="Times New Roman" w:hAnsi="Times New Roman"/>
          <w:sz w:val="24"/>
          <w:szCs w:val="24"/>
        </w:rPr>
        <w:t>any</w:t>
      </w:r>
      <w:r w:rsidRPr="009333DA">
        <w:rPr>
          <w:rFonts w:ascii="Times New Roman" w:hAnsi="Times New Roman"/>
          <w:sz w:val="24"/>
          <w:szCs w:val="24"/>
        </w:rPr>
        <w:t xml:space="preserve"> business activity, and is satisfied that the risks and relevant controls </w:t>
      </w:r>
      <w:r w:rsidR="008E011D" w:rsidRPr="009333DA">
        <w:rPr>
          <w:rFonts w:ascii="Times New Roman" w:hAnsi="Times New Roman"/>
          <w:sz w:val="24"/>
          <w:szCs w:val="24"/>
        </w:rPr>
        <w:t>relating to</w:t>
      </w:r>
      <w:r w:rsidR="0038104A" w:rsidRPr="009333DA">
        <w:rPr>
          <w:rFonts w:ascii="Times New Roman" w:hAnsi="Times New Roman"/>
          <w:sz w:val="24"/>
          <w:szCs w:val="24"/>
        </w:rPr>
        <w:t xml:space="preserve"> </w:t>
      </w:r>
      <w:r w:rsidRPr="009333DA">
        <w:rPr>
          <w:rFonts w:ascii="Times New Roman" w:hAnsi="Times New Roman"/>
          <w:sz w:val="24"/>
          <w:szCs w:val="24"/>
        </w:rPr>
        <w:t>these risks are appropriate to the RSE licensee, having regard to the size</w:t>
      </w:r>
      <w:r w:rsidR="0072467D" w:rsidRPr="009333DA">
        <w:rPr>
          <w:rFonts w:ascii="Times New Roman" w:hAnsi="Times New Roman"/>
          <w:sz w:val="24"/>
          <w:szCs w:val="24"/>
        </w:rPr>
        <w:t>, business mix</w:t>
      </w:r>
      <w:r w:rsidRPr="009333DA">
        <w:rPr>
          <w:rFonts w:ascii="Times New Roman" w:hAnsi="Times New Roman"/>
          <w:sz w:val="24"/>
          <w:szCs w:val="24"/>
        </w:rPr>
        <w:t xml:space="preserve"> and complexity of the RSE </w:t>
      </w:r>
      <w:r w:rsidR="006B1776" w:rsidRPr="009333DA">
        <w:rPr>
          <w:rFonts w:ascii="Times New Roman" w:hAnsi="Times New Roman"/>
          <w:sz w:val="24"/>
          <w:szCs w:val="24"/>
        </w:rPr>
        <w:t xml:space="preserve">licensee’s business </w:t>
      </w:r>
      <w:r w:rsidRPr="009333DA">
        <w:rPr>
          <w:rFonts w:ascii="Times New Roman" w:hAnsi="Times New Roman"/>
          <w:sz w:val="24"/>
          <w:szCs w:val="24"/>
        </w:rPr>
        <w:t>operations and the operational capabili</w:t>
      </w:r>
      <w:r w:rsidR="00500A03" w:rsidRPr="009333DA">
        <w:rPr>
          <w:rFonts w:ascii="Times New Roman" w:hAnsi="Times New Roman"/>
          <w:sz w:val="24"/>
          <w:szCs w:val="24"/>
        </w:rPr>
        <w:t>ties of the RSE licensee itself;</w:t>
      </w:r>
    </w:p>
    <w:p w:rsidR="00A154C2" w:rsidRPr="009333DA" w:rsidRDefault="00A154C2"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 xml:space="preserve">the risk </w:t>
      </w:r>
      <w:r w:rsidR="0072467D" w:rsidRPr="009333DA">
        <w:rPr>
          <w:rFonts w:ascii="Times New Roman" w:hAnsi="Times New Roman"/>
          <w:sz w:val="24"/>
          <w:szCs w:val="24"/>
        </w:rPr>
        <w:t xml:space="preserve">management and internal control </w:t>
      </w:r>
      <w:r w:rsidRPr="009333DA">
        <w:rPr>
          <w:rFonts w:ascii="Times New Roman" w:hAnsi="Times New Roman"/>
          <w:sz w:val="24"/>
          <w:szCs w:val="24"/>
        </w:rPr>
        <w:t>systems in place are operating effectively and are adequate having regard to the risks they are designed to control;</w:t>
      </w:r>
    </w:p>
    <w:p w:rsidR="00A154C2" w:rsidRPr="009333DA" w:rsidRDefault="00A154C2"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the RSE licensee has an RMS that complies with this Prudential Standard, and that the RSE licensee has complied with each measure and control described in the RMS;</w:t>
      </w:r>
    </w:p>
    <w:p w:rsidR="00ED25DC" w:rsidRPr="009333DA" w:rsidRDefault="00500A03"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t</w:t>
      </w:r>
      <w:r w:rsidR="00ED25DC" w:rsidRPr="009333DA">
        <w:rPr>
          <w:rFonts w:ascii="Times New Roman" w:hAnsi="Times New Roman"/>
          <w:sz w:val="24"/>
          <w:szCs w:val="24"/>
        </w:rPr>
        <w:t xml:space="preserve">he RSE licensee is satisfied with the efficacy of the processes and systems surrounding the production of financial information for </w:t>
      </w:r>
      <w:r w:rsidRPr="009333DA">
        <w:rPr>
          <w:rFonts w:ascii="Times New Roman" w:hAnsi="Times New Roman"/>
          <w:sz w:val="24"/>
          <w:szCs w:val="24"/>
        </w:rPr>
        <w:t>each RSE</w:t>
      </w:r>
      <w:r w:rsidR="00F64E75" w:rsidRPr="009333DA">
        <w:rPr>
          <w:rFonts w:ascii="Times New Roman" w:hAnsi="Times New Roman"/>
          <w:sz w:val="24"/>
          <w:szCs w:val="24"/>
        </w:rPr>
        <w:t xml:space="preserve"> with</w:t>
      </w:r>
      <w:r w:rsidRPr="009333DA">
        <w:rPr>
          <w:rFonts w:ascii="Times New Roman" w:hAnsi="Times New Roman"/>
          <w:sz w:val="24"/>
          <w:szCs w:val="24"/>
        </w:rPr>
        <w:t>in its business operations;</w:t>
      </w:r>
    </w:p>
    <w:p w:rsidR="00ED25DC" w:rsidRPr="009333DA" w:rsidRDefault="00500A03"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t</w:t>
      </w:r>
      <w:r w:rsidR="00ED25DC" w:rsidRPr="009333DA">
        <w:rPr>
          <w:rFonts w:ascii="Times New Roman" w:hAnsi="Times New Roman"/>
          <w:sz w:val="24"/>
          <w:szCs w:val="24"/>
        </w:rPr>
        <w:t xml:space="preserve">he RSE licensee has adequate reporting systems and internal controls supporting the preparation and reporting of accurate financial and </w:t>
      </w:r>
      <w:r w:rsidRPr="009333DA">
        <w:rPr>
          <w:rFonts w:ascii="Times New Roman" w:hAnsi="Times New Roman"/>
          <w:sz w:val="24"/>
          <w:szCs w:val="24"/>
        </w:rPr>
        <w:t>statistical information to APRA; and</w:t>
      </w:r>
    </w:p>
    <w:p w:rsidR="00ED25DC" w:rsidRPr="009333DA" w:rsidRDefault="00500A03" w:rsidP="00C72685">
      <w:pPr>
        <w:pStyle w:val="ListParagraph"/>
        <w:numPr>
          <w:ilvl w:val="0"/>
          <w:numId w:val="50"/>
        </w:numPr>
        <w:spacing w:before="0" w:after="240"/>
        <w:contextualSpacing w:val="0"/>
        <w:jc w:val="both"/>
        <w:rPr>
          <w:rFonts w:ascii="Times New Roman" w:hAnsi="Times New Roman"/>
          <w:sz w:val="24"/>
          <w:szCs w:val="24"/>
        </w:rPr>
      </w:pPr>
      <w:r w:rsidRPr="009333DA">
        <w:rPr>
          <w:rFonts w:ascii="Times New Roman" w:hAnsi="Times New Roman"/>
          <w:sz w:val="24"/>
          <w:szCs w:val="24"/>
        </w:rPr>
        <w:t>i</w:t>
      </w:r>
      <w:r w:rsidR="00ED25DC" w:rsidRPr="009333DA">
        <w:rPr>
          <w:rFonts w:ascii="Times New Roman" w:hAnsi="Times New Roman"/>
          <w:sz w:val="24"/>
          <w:szCs w:val="24"/>
        </w:rPr>
        <w:t xml:space="preserve">nformation provided to APRA </w:t>
      </w:r>
      <w:r w:rsidR="00D21E1C" w:rsidRPr="009333DA">
        <w:rPr>
          <w:rFonts w:ascii="Times New Roman" w:hAnsi="Times New Roman"/>
          <w:sz w:val="24"/>
          <w:szCs w:val="24"/>
        </w:rPr>
        <w:t xml:space="preserve">accurately </w:t>
      </w:r>
      <w:r w:rsidR="00ED25DC" w:rsidRPr="009333DA">
        <w:rPr>
          <w:rFonts w:ascii="Times New Roman" w:hAnsi="Times New Roman"/>
          <w:sz w:val="24"/>
          <w:szCs w:val="24"/>
        </w:rPr>
        <w:t>represents the transactions for the year and financial position at year end in accordance with the provision</w:t>
      </w:r>
      <w:r w:rsidR="00824405" w:rsidRPr="009333DA">
        <w:rPr>
          <w:rFonts w:ascii="Times New Roman" w:hAnsi="Times New Roman"/>
          <w:sz w:val="24"/>
          <w:szCs w:val="24"/>
        </w:rPr>
        <w:t>s</w:t>
      </w:r>
      <w:r w:rsidR="00ED25DC" w:rsidRPr="009333DA">
        <w:rPr>
          <w:rFonts w:ascii="Times New Roman" w:hAnsi="Times New Roman"/>
          <w:sz w:val="24"/>
          <w:szCs w:val="24"/>
        </w:rPr>
        <w:t xml:space="preserve"> of the SIS Act and FSCOD</w:t>
      </w:r>
      <w:r w:rsidR="008C43C5" w:rsidRPr="009333DA">
        <w:rPr>
          <w:rFonts w:ascii="Times New Roman" w:hAnsi="Times New Roman"/>
          <w:sz w:val="24"/>
          <w:szCs w:val="24"/>
        </w:rPr>
        <w:t xml:space="preserve"> </w:t>
      </w:r>
      <w:r w:rsidR="00ED25DC" w:rsidRPr="009333DA">
        <w:rPr>
          <w:rFonts w:ascii="Times New Roman" w:hAnsi="Times New Roman"/>
          <w:sz w:val="24"/>
          <w:szCs w:val="24"/>
        </w:rPr>
        <w:t>A</w:t>
      </w:r>
      <w:r w:rsidR="008C43C5" w:rsidRPr="009333DA">
        <w:rPr>
          <w:rFonts w:ascii="Times New Roman" w:hAnsi="Times New Roman"/>
          <w:sz w:val="24"/>
          <w:szCs w:val="24"/>
        </w:rPr>
        <w:t>ct</w:t>
      </w:r>
      <w:r w:rsidR="00ED25DC" w:rsidRPr="009333DA">
        <w:rPr>
          <w:rFonts w:ascii="Times New Roman" w:hAnsi="Times New Roman"/>
          <w:sz w:val="24"/>
          <w:szCs w:val="24"/>
        </w:rPr>
        <w:t>.</w:t>
      </w:r>
    </w:p>
    <w:p w:rsidR="003547BC" w:rsidRPr="009333DA" w:rsidRDefault="003547BC" w:rsidP="004D435C">
      <w:pPr>
        <w:spacing w:before="0" w:after="240"/>
        <w:jc w:val="both"/>
        <w:rPr>
          <w:rFonts w:ascii="Times New Roman" w:hAnsi="Times New Roman"/>
          <w:sz w:val="24"/>
          <w:szCs w:val="24"/>
        </w:rPr>
      </w:pPr>
    </w:p>
    <w:p w:rsidR="003547BC" w:rsidRPr="009333DA" w:rsidRDefault="003547BC" w:rsidP="004D435C">
      <w:pPr>
        <w:spacing w:before="0" w:after="240"/>
        <w:jc w:val="both"/>
        <w:rPr>
          <w:rFonts w:ascii="Times New Roman" w:hAnsi="Times New Roman"/>
          <w:sz w:val="24"/>
          <w:szCs w:val="24"/>
        </w:rPr>
      </w:pPr>
    </w:p>
    <w:sectPr w:rsidR="003547BC" w:rsidRPr="009333DA" w:rsidSect="00577857">
      <w:headerReference w:type="default" r:id="rId33"/>
      <w:footerReference w:type="default" r:id="rId3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3A" w:rsidRDefault="009C6C3A" w:rsidP="006A6A52">
      <w:pPr>
        <w:spacing w:before="0" w:after="0"/>
      </w:pPr>
      <w:r>
        <w:separator/>
      </w:r>
    </w:p>
  </w:endnote>
  <w:endnote w:type="continuationSeparator" w:id="0">
    <w:p w:rsidR="009C6C3A" w:rsidRDefault="009C6C3A" w:rsidP="006A6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68A" w:rsidRPr="003B52EB" w:rsidRDefault="00D8268A" w:rsidP="003B52EB">
    <w:pPr>
      <w:pStyle w:val="Footer"/>
      <w:jc w:val="right"/>
      <w:rPr>
        <w:rFonts w:ascii="Times New Roman" w:hAnsi="Times New Roman"/>
        <w:sz w:val="24"/>
        <w:szCs w:val="24"/>
      </w:rPr>
    </w:pPr>
    <w:r>
      <w:rPr>
        <w:rFonts w:ascii="Times New Roman" w:hAnsi="Times New Roman"/>
        <w:sz w:val="24"/>
        <w:szCs w:val="24"/>
      </w:rPr>
      <w:t xml:space="preserve">SPS 220 - </w:t>
    </w:r>
    <w:r w:rsidRPr="006A6A52">
      <w:rPr>
        <w:rFonts w:ascii="Times New Roman" w:hAnsi="Times New Roman"/>
        <w:sz w:val="24"/>
        <w:szCs w:val="24"/>
      </w:rPr>
      <w:fldChar w:fldCharType="begin"/>
    </w:r>
    <w:r w:rsidRPr="006A6A52">
      <w:rPr>
        <w:rFonts w:ascii="Times New Roman" w:hAnsi="Times New Roman"/>
        <w:sz w:val="24"/>
        <w:szCs w:val="24"/>
      </w:rPr>
      <w:instrText xml:space="preserve"> PAGE   \* MERGEFORMAT </w:instrText>
    </w:r>
    <w:r w:rsidRPr="006A6A52">
      <w:rPr>
        <w:rFonts w:ascii="Times New Roman" w:hAnsi="Times New Roman"/>
        <w:sz w:val="24"/>
        <w:szCs w:val="24"/>
      </w:rPr>
      <w:fldChar w:fldCharType="separate"/>
    </w:r>
    <w:r w:rsidR="005A45AA">
      <w:rPr>
        <w:rFonts w:ascii="Times New Roman" w:hAnsi="Times New Roman"/>
        <w:noProof/>
        <w:sz w:val="24"/>
        <w:szCs w:val="24"/>
      </w:rPr>
      <w:t>1</w:t>
    </w:r>
    <w:r w:rsidRPr="006A6A5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3A" w:rsidRDefault="009C6C3A" w:rsidP="006A6A52">
      <w:pPr>
        <w:spacing w:before="0" w:after="0"/>
      </w:pPr>
      <w:r>
        <w:separator/>
      </w:r>
    </w:p>
  </w:footnote>
  <w:footnote w:type="continuationSeparator" w:id="0">
    <w:p w:rsidR="009C6C3A" w:rsidRDefault="009C6C3A" w:rsidP="006A6A52">
      <w:pPr>
        <w:spacing w:before="0" w:after="0"/>
      </w:pPr>
      <w:r>
        <w:continuationSeparator/>
      </w:r>
    </w:p>
  </w:footnote>
  <w:footnote w:id="1">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Style w:val="FootnoteReference"/>
        </w:rPr>
        <w:t xml:space="preserve"> </w:t>
      </w:r>
      <w:r w:rsidRPr="00C34104">
        <w:rPr>
          <w:rFonts w:ascii="Times New Roman" w:hAnsi="Times New Roman"/>
        </w:rPr>
        <w:tab/>
        <w:t xml:space="preserve">For the purposes of this Prudential Standard, ‘RSE licensee’ has the meaning given in section 10(1) of the SIS Act. </w:t>
      </w:r>
    </w:p>
  </w:footnote>
  <w:footnote w:id="2">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Style w:val="FootnoteReference"/>
          <w:rFonts w:ascii="Times New Roman" w:hAnsi="Times New Roman"/>
        </w:rPr>
        <w:t xml:space="preserve"> </w:t>
      </w:r>
      <w:r w:rsidRPr="00C34104">
        <w:rPr>
          <w:rFonts w:ascii="Times New Roman" w:hAnsi="Times New Roman"/>
        </w:rPr>
        <w:tab/>
        <w:t xml:space="preserve">For the purposes of this Prudential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 The risk management framework must also cover risks that arise from functions that are outsourced; refer to </w:t>
      </w:r>
      <w:r w:rsidRPr="00C34104">
        <w:rPr>
          <w:rFonts w:ascii="Times New Roman" w:hAnsi="Times New Roman"/>
          <w:i/>
        </w:rPr>
        <w:t>Prudential Standard SPS 231</w:t>
      </w:r>
      <w:r w:rsidRPr="00C34104">
        <w:rPr>
          <w:rFonts w:ascii="Times New Roman" w:hAnsi="Times New Roman"/>
        </w:rPr>
        <w:t xml:space="preserve"> </w:t>
      </w:r>
      <w:r w:rsidRPr="00C34104">
        <w:rPr>
          <w:rFonts w:ascii="Times New Roman" w:hAnsi="Times New Roman"/>
          <w:i/>
        </w:rPr>
        <w:t>Outsourcing</w:t>
      </w:r>
      <w:r w:rsidRPr="00C34104">
        <w:rPr>
          <w:rFonts w:ascii="Times New Roman" w:hAnsi="Times New Roman"/>
        </w:rPr>
        <w:t xml:space="preserve"> (SPS 231).</w:t>
      </w:r>
    </w:p>
  </w:footnote>
  <w:footnote w:id="3">
    <w:p w:rsidR="00D8268A" w:rsidRPr="00C34104" w:rsidRDefault="00D8268A" w:rsidP="005400DD">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For the purposes of this Prudential Standard, a reference to ‘beneficiaries’ is a reference to ‘beneficiaries of an RSE within the RSE licensee’s business operations’. </w:t>
      </w:r>
    </w:p>
  </w:footnote>
  <w:footnote w:id="4">
    <w:p w:rsidR="00D8268A" w:rsidRPr="00C34104" w:rsidRDefault="00D8268A" w:rsidP="004D17DB">
      <w:pPr>
        <w:pStyle w:val="FootnoteText"/>
        <w:spacing w:before="0" w:after="0"/>
        <w:ind w:left="567" w:hanging="567"/>
        <w:jc w:val="both"/>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For the purposes of this Prudential Standard, a reference to ‘the Board’ is a reference to the Board of directors or group of individual trustees of an RSE licensee and ‘group of individual trustees’ has the meaning given in section 10(1) of the SIS Act.</w:t>
      </w:r>
    </w:p>
  </w:footnote>
  <w:footnote w:id="5">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For the purposes of this Prudential Standard, a reference to ‘a group’ is a reference to a group comprising the RSE licensee and all connected entities and all related bodies corporate of the RSE licensee, ‘connected entity’ has the meaning given in section 10(1) of the SIS Act and ‘related body corporate’ has the meaning given in section 50 of the </w:t>
      </w:r>
      <w:r w:rsidRPr="00C34104">
        <w:rPr>
          <w:rFonts w:ascii="Times New Roman" w:hAnsi="Times New Roman"/>
          <w:i/>
        </w:rPr>
        <w:t>Corporations Act 2001</w:t>
      </w:r>
      <w:r w:rsidRPr="00C34104">
        <w:rPr>
          <w:rFonts w:ascii="Times New Roman" w:hAnsi="Times New Roman"/>
        </w:rPr>
        <w:t>.</w:t>
      </w:r>
    </w:p>
  </w:footnote>
  <w:footnote w:id="6">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Style w:val="FootnoteReference"/>
          <w:rFonts w:ascii="Times New Roman" w:hAnsi="Times New Roman"/>
        </w:rPr>
        <w:t xml:space="preserve"> </w:t>
      </w:r>
      <w:r w:rsidRPr="00C34104">
        <w:rPr>
          <w:rFonts w:ascii="Times New Roman" w:hAnsi="Times New Roman"/>
        </w:rPr>
        <w:tab/>
        <w:t xml:space="preserve">Refer to </w:t>
      </w:r>
      <w:r w:rsidRPr="00C34104">
        <w:rPr>
          <w:rFonts w:ascii="Times New Roman" w:hAnsi="Times New Roman"/>
          <w:i/>
        </w:rPr>
        <w:t>Prudential Standard</w:t>
      </w:r>
      <w:r w:rsidRPr="00C34104">
        <w:rPr>
          <w:rFonts w:ascii="Times New Roman" w:hAnsi="Times New Roman"/>
        </w:rPr>
        <w:t xml:space="preserve"> </w:t>
      </w:r>
      <w:r w:rsidRPr="00C34104">
        <w:rPr>
          <w:rFonts w:ascii="Times New Roman" w:hAnsi="Times New Roman"/>
          <w:i/>
        </w:rPr>
        <w:t>SPS 510</w:t>
      </w:r>
      <w:r w:rsidRPr="00C34104">
        <w:rPr>
          <w:rFonts w:ascii="Times New Roman" w:hAnsi="Times New Roman"/>
        </w:rPr>
        <w:t xml:space="preserve"> </w:t>
      </w:r>
      <w:r w:rsidRPr="00C34104">
        <w:rPr>
          <w:rFonts w:ascii="Times New Roman" w:hAnsi="Times New Roman"/>
          <w:i/>
        </w:rPr>
        <w:t>Governance</w:t>
      </w:r>
      <w:r w:rsidR="00F81B60" w:rsidRPr="00C34104">
        <w:rPr>
          <w:rFonts w:ascii="Times New Roman" w:hAnsi="Times New Roman"/>
          <w:i/>
        </w:rPr>
        <w:t xml:space="preserve"> </w:t>
      </w:r>
      <w:r w:rsidR="00F81B60" w:rsidRPr="00C34104">
        <w:rPr>
          <w:rFonts w:ascii="Times New Roman" w:hAnsi="Times New Roman"/>
        </w:rPr>
        <w:t>(SPS 510)</w:t>
      </w:r>
      <w:r w:rsidRPr="00C34104">
        <w:rPr>
          <w:rFonts w:ascii="Times New Roman" w:hAnsi="Times New Roman"/>
        </w:rPr>
        <w:t xml:space="preserve">, </w:t>
      </w:r>
      <w:r w:rsidRPr="00C34104">
        <w:rPr>
          <w:rFonts w:ascii="Times New Roman" w:hAnsi="Times New Roman"/>
          <w:i/>
        </w:rPr>
        <w:t>Prudential Standard SPS 520 Fit and Proper</w:t>
      </w:r>
      <w:r w:rsidRPr="00C34104">
        <w:rPr>
          <w:rFonts w:ascii="Times New Roman" w:hAnsi="Times New Roman"/>
        </w:rPr>
        <w:t xml:space="preserve"> and </w:t>
      </w:r>
      <w:r w:rsidRPr="00C34104">
        <w:rPr>
          <w:rFonts w:ascii="Times New Roman" w:hAnsi="Times New Roman"/>
          <w:i/>
        </w:rPr>
        <w:t>Prudential Standard SPS 521 Conflicts of Interest</w:t>
      </w:r>
      <w:r w:rsidRPr="00C34104">
        <w:rPr>
          <w:rFonts w:ascii="Times New Roman" w:hAnsi="Times New Roman"/>
        </w:rPr>
        <w:t>.</w:t>
      </w:r>
    </w:p>
  </w:footnote>
  <w:footnote w:id="7">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Refer to </w:t>
      </w:r>
      <w:r w:rsidRPr="00C34104">
        <w:rPr>
          <w:rFonts w:ascii="Times New Roman" w:hAnsi="Times New Roman"/>
          <w:i/>
        </w:rPr>
        <w:t xml:space="preserve">Prudential Standard SPS 530 Investment Governance </w:t>
      </w:r>
      <w:r w:rsidRPr="00C34104">
        <w:rPr>
          <w:rFonts w:ascii="Times New Roman" w:hAnsi="Times New Roman"/>
        </w:rPr>
        <w:t xml:space="preserve">(SPS 530). </w:t>
      </w:r>
    </w:p>
  </w:footnote>
  <w:footnote w:id="8">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Refer to SPS 530</w:t>
      </w:r>
      <w:r w:rsidRPr="00C34104">
        <w:rPr>
          <w:rFonts w:ascii="Times New Roman" w:hAnsi="Times New Roman"/>
          <w:i/>
        </w:rPr>
        <w:t>.</w:t>
      </w:r>
    </w:p>
  </w:footnote>
  <w:footnote w:id="9">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Refer to </w:t>
      </w:r>
      <w:r w:rsidRPr="00C34104">
        <w:rPr>
          <w:rFonts w:ascii="Times New Roman" w:hAnsi="Times New Roman"/>
          <w:i/>
        </w:rPr>
        <w:t xml:space="preserve">Prudential Standard SPS 114 Operational Risk Financial Requirement </w:t>
      </w:r>
      <w:r w:rsidRPr="00C34104">
        <w:rPr>
          <w:rFonts w:ascii="Times New Roman" w:hAnsi="Times New Roman"/>
        </w:rPr>
        <w:t xml:space="preserve">(SPS 114), SPS 231 and </w:t>
      </w:r>
      <w:r w:rsidRPr="00C34104">
        <w:rPr>
          <w:rFonts w:ascii="Times New Roman" w:hAnsi="Times New Roman"/>
          <w:i/>
        </w:rPr>
        <w:t xml:space="preserve">Prudential Standard SPS 232 Business Continuity Management </w:t>
      </w:r>
      <w:r w:rsidRPr="00C34104">
        <w:rPr>
          <w:rFonts w:ascii="Times New Roman" w:hAnsi="Times New Roman"/>
        </w:rPr>
        <w:t>(SPS 232).</w:t>
      </w:r>
    </w:p>
  </w:footnote>
  <w:footnote w:id="10">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Refer to </w:t>
      </w:r>
      <w:r w:rsidRPr="00C34104">
        <w:rPr>
          <w:rFonts w:ascii="Times New Roman" w:hAnsi="Times New Roman"/>
          <w:i/>
        </w:rPr>
        <w:t>Prudential Standard SPS 250 Insurance in Superannuation</w:t>
      </w:r>
      <w:r w:rsidRPr="00C34104">
        <w:rPr>
          <w:rFonts w:ascii="Times New Roman" w:hAnsi="Times New Roman"/>
        </w:rPr>
        <w:t xml:space="preserve">. </w:t>
      </w:r>
    </w:p>
  </w:footnote>
  <w:footnote w:id="11">
    <w:p w:rsidR="00D8268A" w:rsidRPr="00C34104" w:rsidRDefault="00D8268A" w:rsidP="004D17DB">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Refer to section 62 of the SIS Act for details of the sole purpose test to identify business that has a purpose other than superannuation.</w:t>
      </w:r>
    </w:p>
  </w:footnote>
  <w:footnote w:id="12">
    <w:p w:rsidR="00BF46AC" w:rsidRDefault="00BF46AC" w:rsidP="00E8476B">
      <w:pPr>
        <w:pStyle w:val="FootnoteText"/>
        <w:spacing w:before="0"/>
        <w:ind w:left="567" w:hanging="567"/>
      </w:pPr>
      <w:r>
        <w:rPr>
          <w:rStyle w:val="FootnoteReference"/>
        </w:rPr>
        <w:footnoteRef/>
      </w:r>
      <w:r>
        <w:t xml:space="preserve"> </w:t>
      </w:r>
      <w:r w:rsidR="00E8476B">
        <w:tab/>
      </w:r>
      <w:r w:rsidRPr="00C34104">
        <w:rPr>
          <w:rFonts w:ascii="Times New Roman" w:hAnsi="Times New Roman"/>
        </w:rPr>
        <w:t xml:space="preserve">Refer to </w:t>
      </w:r>
      <w:r w:rsidRPr="00C34104">
        <w:rPr>
          <w:rFonts w:ascii="Times New Roman" w:hAnsi="Times New Roman"/>
          <w:i/>
        </w:rPr>
        <w:t>Prudential Standard</w:t>
      </w:r>
      <w:r w:rsidRPr="00C34104">
        <w:rPr>
          <w:rFonts w:ascii="Times New Roman" w:hAnsi="Times New Roman"/>
        </w:rPr>
        <w:t xml:space="preserve"> </w:t>
      </w:r>
      <w:r w:rsidRPr="00C34104">
        <w:rPr>
          <w:rFonts w:ascii="Times New Roman" w:hAnsi="Times New Roman"/>
          <w:i/>
        </w:rPr>
        <w:t>SPS 51</w:t>
      </w:r>
      <w:r>
        <w:rPr>
          <w:rFonts w:ascii="Times New Roman" w:hAnsi="Times New Roman"/>
          <w:i/>
        </w:rPr>
        <w:t>5 Strategic Planning and Member Outcomes</w:t>
      </w:r>
      <w:r w:rsidRPr="00C34104">
        <w:rPr>
          <w:rFonts w:ascii="Times New Roman" w:hAnsi="Times New Roman"/>
          <w:i/>
        </w:rPr>
        <w:t xml:space="preserve"> </w:t>
      </w:r>
      <w:r w:rsidRPr="00C34104">
        <w:rPr>
          <w:rFonts w:ascii="Times New Roman" w:hAnsi="Times New Roman"/>
        </w:rPr>
        <w:t>(SPS 51</w:t>
      </w:r>
      <w:r>
        <w:rPr>
          <w:rFonts w:ascii="Times New Roman" w:hAnsi="Times New Roman"/>
        </w:rPr>
        <w:t>5</w:t>
      </w:r>
      <w:r w:rsidRPr="00C34104">
        <w:rPr>
          <w:rFonts w:ascii="Times New Roman" w:hAnsi="Times New Roman"/>
        </w:rPr>
        <w:t>)</w:t>
      </w:r>
      <w:r>
        <w:rPr>
          <w:rFonts w:ascii="Times New Roman" w:hAnsi="Times New Roman"/>
        </w:rPr>
        <w:t xml:space="preserve"> for </w:t>
      </w:r>
      <w:r w:rsidR="00E8476B">
        <w:rPr>
          <w:rFonts w:ascii="Times New Roman" w:hAnsi="Times New Roman"/>
        </w:rPr>
        <w:t xml:space="preserve">core </w:t>
      </w:r>
      <w:r>
        <w:rPr>
          <w:rFonts w:ascii="Times New Roman" w:hAnsi="Times New Roman"/>
        </w:rPr>
        <w:t xml:space="preserve">requirements relating </w:t>
      </w:r>
      <w:r w:rsidR="00FE0E5C">
        <w:rPr>
          <w:rFonts w:ascii="Times New Roman" w:hAnsi="Times New Roman"/>
        </w:rPr>
        <w:t xml:space="preserve">to </w:t>
      </w:r>
      <w:r>
        <w:rPr>
          <w:rFonts w:ascii="Times New Roman" w:hAnsi="Times New Roman"/>
        </w:rPr>
        <w:t>strategic and business planning.</w:t>
      </w:r>
    </w:p>
  </w:footnote>
  <w:footnote w:id="13">
    <w:p w:rsidR="00D8268A" w:rsidRPr="00C34104" w:rsidRDefault="00D8268A" w:rsidP="00F64E75">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‘Prudential requirements’ include requirements under the SIS Act, the </w:t>
      </w:r>
      <w:r w:rsidRPr="00C34104">
        <w:rPr>
          <w:rFonts w:ascii="Times New Roman" w:hAnsi="Times New Roman"/>
          <w:i/>
        </w:rPr>
        <w:t>Superannuation Industry (Supervision) Regulations 1994</w:t>
      </w:r>
      <w:r w:rsidRPr="00C34104">
        <w:rPr>
          <w:rFonts w:ascii="Times New Roman" w:hAnsi="Times New Roman"/>
        </w:rPr>
        <w:t xml:space="preserve">, the prudential standards, reporting standards, the </w:t>
      </w:r>
      <w:r w:rsidRPr="00C34104">
        <w:rPr>
          <w:rFonts w:ascii="Times New Roman" w:hAnsi="Times New Roman"/>
          <w:i/>
        </w:rPr>
        <w:t>Financial Sector (Collection of Data) Act 2001</w:t>
      </w:r>
      <w:r w:rsidRPr="00C34104">
        <w:rPr>
          <w:rFonts w:ascii="Times New Roman" w:hAnsi="Times New Roman"/>
        </w:rPr>
        <w:t xml:space="preserve"> (FSCOD Act), licence conditions, authorisations, superannuation data and payment standards, directions and any other requirements imposed by APRA under legislation.</w:t>
      </w:r>
    </w:p>
  </w:footnote>
  <w:footnote w:id="14">
    <w:p w:rsidR="00925478" w:rsidRPr="00C34104" w:rsidRDefault="00925478" w:rsidP="00925478">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Where this Prudential Standard provides for APRA to require an RSE licensee to amend its RMS, or otherwise exercise a power or discretion, the power or discretion is to be exercised in writing.</w:t>
      </w:r>
    </w:p>
  </w:footnote>
  <w:footnote w:id="15">
    <w:p w:rsidR="00D8268A" w:rsidRPr="00C34104" w:rsidRDefault="00D8268A" w:rsidP="00F64E75">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Outsourcing of the risk management function by an RSE licensee must also meet the requirements in SPS 231. </w:t>
      </w:r>
    </w:p>
  </w:footnote>
  <w:footnote w:id="16">
    <w:p w:rsidR="00D8268A" w:rsidRPr="00C34104" w:rsidRDefault="00D8268A" w:rsidP="00F64E75">
      <w:pPr>
        <w:pStyle w:val="FootnoteText"/>
        <w:spacing w:before="0" w:after="0"/>
        <w:ind w:left="567" w:hanging="567"/>
        <w:jc w:val="both"/>
        <w:rPr>
          <w:rFonts w:ascii="Times New Roman" w:hAnsi="Times New Roman"/>
        </w:rPr>
      </w:pPr>
      <w:r w:rsidRPr="00C34104">
        <w:rPr>
          <w:rStyle w:val="FootnoteReference"/>
          <w:rFonts w:ascii="Times New Roman" w:hAnsi="Times New Roman"/>
        </w:rPr>
        <w:footnoteRef/>
      </w:r>
      <w:r w:rsidRPr="00C34104">
        <w:rPr>
          <w:rFonts w:ascii="Times New Roman" w:hAnsi="Times New Roman"/>
        </w:rPr>
        <w:t xml:space="preserve"> </w:t>
      </w:r>
      <w:r w:rsidRPr="00C34104">
        <w:rPr>
          <w:rFonts w:ascii="Times New Roman" w:hAnsi="Times New Roman"/>
        </w:rPr>
        <w:tab/>
        <w:t xml:space="preserve">Refer to </w:t>
      </w:r>
      <w:r w:rsidRPr="00C34104">
        <w:rPr>
          <w:rFonts w:ascii="Times New Roman" w:hAnsi="Times New Roman"/>
          <w:i/>
        </w:rPr>
        <w:t>Prudential Standard SPS 310 Audit and Related Matters</w:t>
      </w:r>
      <w:r w:rsidRPr="00C34104">
        <w:rPr>
          <w:rFonts w:ascii="Times New Roman" w:hAnsi="Times New Roman"/>
        </w:rPr>
        <w:t xml:space="preserve"> and SPS 510 for requirements relating to external </w:t>
      </w:r>
      <w:r w:rsidR="001175DF" w:rsidRPr="00C34104">
        <w:rPr>
          <w:rFonts w:ascii="Times New Roman" w:hAnsi="Times New Roman"/>
        </w:rPr>
        <w:t xml:space="preserve">audits </w:t>
      </w:r>
      <w:r w:rsidRPr="00C34104">
        <w:rPr>
          <w:rFonts w:ascii="Times New Roman" w:hAnsi="Times New Roman"/>
        </w:rPr>
        <w:t xml:space="preserve">and internal audits respectively. </w:t>
      </w:r>
    </w:p>
  </w:footnote>
  <w:footnote w:id="17">
    <w:p w:rsidR="009C6C3A" w:rsidRDefault="00D8268A">
      <w:r w:rsidRPr="00C34104">
        <w:rPr>
          <w:rStyle w:val="FootnoteReference"/>
          <w:rFonts w:ascii="Times New Roman" w:hAnsi="Times New Roman"/>
          <w:sz w:val="20"/>
        </w:rPr>
        <w:footnoteRef/>
      </w:r>
      <w:r w:rsidRPr="00C34104">
        <w:rPr>
          <w:rFonts w:ascii="Times New Roman" w:hAnsi="Times New Roman"/>
          <w:sz w:val="20"/>
        </w:rPr>
        <w:t xml:space="preserve"> </w:t>
      </w:r>
      <w:r w:rsidRPr="00C34104">
        <w:rPr>
          <w:rFonts w:ascii="Times New Roman" w:hAnsi="Times New Roman"/>
          <w:sz w:val="20"/>
        </w:rPr>
        <w:tab/>
        <w:t>Refer to section 34C(5) of the SIS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68A" w:rsidRPr="006A6A52" w:rsidRDefault="00D8268A" w:rsidP="00BB07DD">
    <w:pPr>
      <w:pStyle w:val="Header"/>
      <w:tabs>
        <w:tab w:val="clear" w:pos="4513"/>
        <w:tab w:val="clear" w:pos="9026"/>
        <w:tab w:val="center" w:pos="4111"/>
        <w:tab w:val="right" w:pos="8364"/>
      </w:tabs>
      <w:spacing w:before="0" w:after="0"/>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sidR="00803F68">
      <w:rPr>
        <w:rFonts w:ascii="Times New Roman" w:hAnsi="Times New Roman"/>
        <w:sz w:val="24"/>
        <w:szCs w:val="24"/>
      </w:rPr>
      <w:t>J</w:t>
    </w:r>
    <w:r w:rsidR="00CE0B03">
      <w:rPr>
        <w:rFonts w:ascii="Times New Roman" w:hAnsi="Times New Roman"/>
        <w:sz w:val="24"/>
        <w:szCs w:val="24"/>
      </w:rPr>
      <w:t>anuary</w:t>
    </w:r>
    <w:r w:rsidR="00803F68">
      <w:rPr>
        <w:rFonts w:ascii="Times New Roman" w:hAnsi="Times New Roman"/>
        <w:sz w:val="24"/>
        <w:szCs w:val="24"/>
      </w:rPr>
      <w:t xml:space="preserve"> 20</w:t>
    </w:r>
    <w:r w:rsidR="00CE0B03">
      <w:rPr>
        <w:rFonts w:ascii="Times New Roman" w:hAnsi="Times New Roman"/>
        <w:sz w:val="24"/>
        <w:szCs w:val="24"/>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31BF"/>
    <w:multiLevelType w:val="hybridMultilevel"/>
    <w:tmpl w:val="2264AD66"/>
    <w:lvl w:ilvl="0" w:tplc="865CF552">
      <w:start w:val="1"/>
      <w:numFmt w:val="lowerLetter"/>
      <w:lvlText w:val="(%1)"/>
      <w:lvlJc w:val="left"/>
      <w:pPr>
        <w:ind w:left="720" w:hanging="360"/>
      </w:pPr>
      <w:rPr>
        <w:rFonts w:ascii="Times New Roman" w:hAnsi="Times New Roman" w:cs="Times New Roman" w:hint="default"/>
        <w:b w:val="0"/>
        <w:i w:val="0"/>
        <w:color w:val="000000"/>
        <w:sz w:val="24"/>
        <w:szCs w:val="24"/>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434B1C"/>
    <w:multiLevelType w:val="hybridMultilevel"/>
    <w:tmpl w:val="E4A2C832"/>
    <w:lvl w:ilvl="0" w:tplc="E870D62C">
      <w:start w:val="1"/>
      <w:numFmt w:val="decimal"/>
      <w:lvlText w:val="%1."/>
      <w:lvlJc w:val="left"/>
      <w:pPr>
        <w:tabs>
          <w:tab w:val="num" w:pos="567"/>
        </w:tabs>
        <w:ind w:left="567" w:hanging="567"/>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5C7553"/>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28C6665"/>
    <w:multiLevelType w:val="hybridMultilevel"/>
    <w:tmpl w:val="3490DB1C"/>
    <w:lvl w:ilvl="0" w:tplc="2C4CD1E8">
      <w:start w:val="1"/>
      <w:numFmt w:val="lowerLetter"/>
      <w:lvlText w:val="(%1)"/>
      <w:lvlJc w:val="left"/>
      <w:pPr>
        <w:tabs>
          <w:tab w:val="num" w:pos="1134"/>
        </w:tabs>
        <w:ind w:left="1134" w:hanging="567"/>
      </w:pPr>
      <w:rPr>
        <w:rFonts w:hint="default"/>
        <w:sz w:val="24"/>
        <w:szCs w:val="24"/>
      </w:rPr>
    </w:lvl>
    <w:lvl w:ilvl="1" w:tplc="0C090019">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4" w15:restartNumberingAfterBreak="0">
    <w:nsid w:val="0703200E"/>
    <w:multiLevelType w:val="hybridMultilevel"/>
    <w:tmpl w:val="3490DB1C"/>
    <w:lvl w:ilvl="0" w:tplc="2C4CD1E8">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5" w15:restartNumberingAfterBreak="0">
    <w:nsid w:val="0B822A4F"/>
    <w:multiLevelType w:val="hybridMultilevel"/>
    <w:tmpl w:val="C04C9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06FB9"/>
    <w:multiLevelType w:val="hybridMultilevel"/>
    <w:tmpl w:val="E65E5DE8"/>
    <w:lvl w:ilvl="0" w:tplc="C48EFD96">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DB20C06"/>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0EAF76FA"/>
    <w:multiLevelType w:val="hybridMultilevel"/>
    <w:tmpl w:val="08BC9530"/>
    <w:lvl w:ilvl="0" w:tplc="97BA24D2">
      <w:start w:val="1"/>
      <w:numFmt w:val="decimal"/>
      <w:lvlText w:val="%1."/>
      <w:lvlJc w:val="left"/>
      <w:pPr>
        <w:tabs>
          <w:tab w:val="num" w:pos="567"/>
        </w:tabs>
        <w:ind w:left="567" w:hanging="567"/>
      </w:pPr>
      <w:rPr>
        <w:rFonts w:ascii="Times New Roman" w:hAnsi="Times New Roman" w:hint="default"/>
        <w:b w:val="0"/>
        <w:i w:val="0"/>
        <w:color w:val="000000"/>
        <w:sz w:val="24"/>
        <w:szCs w:val="24"/>
        <w:vertAlign w:val="baseline"/>
      </w:rPr>
    </w:lvl>
    <w:lvl w:ilvl="1" w:tplc="865CF552">
      <w:start w:val="1"/>
      <w:numFmt w:val="lowerLetter"/>
      <w:lvlText w:val="(%2)"/>
      <w:lvlJc w:val="left"/>
      <w:pPr>
        <w:tabs>
          <w:tab w:val="num" w:pos="567"/>
        </w:tabs>
        <w:ind w:left="567" w:hanging="567"/>
      </w:pPr>
      <w:rPr>
        <w:rFonts w:ascii="Times New Roman" w:hAnsi="Times New Roman" w:hint="default"/>
        <w:b w:val="0"/>
        <w:i w:val="0"/>
        <w:sz w:val="24"/>
        <w:szCs w:val="24"/>
        <w:vertAlign w:val="baseline"/>
      </w:rPr>
    </w:lvl>
    <w:lvl w:ilvl="2" w:tplc="8D3E16A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F137C65"/>
    <w:multiLevelType w:val="hybridMultilevel"/>
    <w:tmpl w:val="7408B726"/>
    <w:lvl w:ilvl="0" w:tplc="D12620CA">
      <w:start w:val="1"/>
      <w:numFmt w:val="lowerRoman"/>
      <w:lvlText w:val="(%1)"/>
      <w:lvlJc w:val="left"/>
      <w:pPr>
        <w:ind w:left="1494" w:hanging="360"/>
      </w:pPr>
      <w:rPr>
        <w:rFonts w:hint="default"/>
        <w:b w:val="0"/>
        <w:i w:val="0"/>
        <w:color w:val="auto"/>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0FF31B20"/>
    <w:multiLevelType w:val="hybridMultilevel"/>
    <w:tmpl w:val="756AC98C"/>
    <w:lvl w:ilvl="0" w:tplc="A6C68F5E">
      <w:start w:val="1"/>
      <w:numFmt w:val="decimal"/>
      <w:lvlText w:val="%1."/>
      <w:lvlJc w:val="left"/>
      <w:pPr>
        <w:tabs>
          <w:tab w:val="num" w:pos="567"/>
        </w:tabs>
        <w:ind w:left="567" w:hanging="567"/>
      </w:pPr>
      <w:rPr>
        <w:rFonts w:ascii="Times New Roman" w:hAnsi="Times New Roman" w:hint="default"/>
        <w:b w:val="0"/>
        <w:i w:val="0"/>
        <w:color w:val="auto"/>
        <w:sz w:val="24"/>
        <w:szCs w:val="24"/>
        <w:vertAlign w:val="baseline"/>
      </w:rPr>
    </w:lvl>
    <w:lvl w:ilvl="1" w:tplc="865CF552">
      <w:start w:val="1"/>
      <w:numFmt w:val="lowerLetter"/>
      <w:lvlText w:val="(%2)"/>
      <w:lvlJc w:val="left"/>
      <w:pPr>
        <w:tabs>
          <w:tab w:val="num" w:pos="567"/>
        </w:tabs>
        <w:ind w:left="567" w:hanging="567"/>
      </w:pPr>
      <w:rPr>
        <w:rFonts w:ascii="Times New Roman" w:hAnsi="Times New Roman" w:hint="default"/>
        <w:b w:val="0"/>
        <w:i w:val="0"/>
        <w:sz w:val="24"/>
        <w:szCs w:val="24"/>
        <w:vertAlign w:val="baseline"/>
      </w:rPr>
    </w:lvl>
    <w:lvl w:ilvl="2" w:tplc="8D3E16A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0CF02B7"/>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16463545"/>
    <w:multiLevelType w:val="multilevel"/>
    <w:tmpl w:val="D9B45040"/>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8E701C"/>
    <w:multiLevelType w:val="hybridMultilevel"/>
    <w:tmpl w:val="60808AF4"/>
    <w:lvl w:ilvl="0" w:tplc="0C09000F">
      <w:start w:val="1"/>
      <w:numFmt w:val="decimal"/>
      <w:lvlText w:val="%1."/>
      <w:lvlJc w:val="left"/>
      <w:pPr>
        <w:ind w:left="720" w:hanging="360"/>
      </w:pPr>
      <w:rPr>
        <w:rFonts w:hint="default"/>
      </w:rPr>
    </w:lvl>
    <w:lvl w:ilvl="1" w:tplc="4D38E1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F009AB"/>
    <w:multiLevelType w:val="hybridMultilevel"/>
    <w:tmpl w:val="D96EEDEE"/>
    <w:lvl w:ilvl="0" w:tplc="145C5CB0">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15" w15:restartNumberingAfterBreak="0">
    <w:nsid w:val="1D3119F4"/>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EC94672"/>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0046A0B"/>
    <w:multiLevelType w:val="hybridMultilevel"/>
    <w:tmpl w:val="BCD00E96"/>
    <w:lvl w:ilvl="0" w:tplc="B25284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8E6FAB"/>
    <w:multiLevelType w:val="hybridMultilevel"/>
    <w:tmpl w:val="61489D62"/>
    <w:lvl w:ilvl="0" w:tplc="DD9AF68C">
      <w:start w:val="1"/>
      <w:numFmt w:val="lowerRoman"/>
      <w:lvlText w:val="(%1)"/>
      <w:lvlJc w:val="left"/>
      <w:pPr>
        <w:ind w:left="666" w:hanging="360"/>
      </w:pPr>
      <w:rPr>
        <w:rFonts w:hint="default"/>
        <w:b w:val="0"/>
        <w:i w:val="0"/>
        <w:color w:val="auto"/>
      </w:rPr>
    </w:lvl>
    <w:lvl w:ilvl="1" w:tplc="0C090019">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19"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4C9646F"/>
    <w:multiLevelType w:val="hybridMultilevel"/>
    <w:tmpl w:val="19B0D85A"/>
    <w:lvl w:ilvl="0" w:tplc="DD9AF68C">
      <w:start w:val="1"/>
      <w:numFmt w:val="lowerRoman"/>
      <w:lvlText w:val="(%1)"/>
      <w:lvlJc w:val="left"/>
      <w:pPr>
        <w:ind w:left="1287" w:hanging="360"/>
      </w:pPr>
      <w:rPr>
        <w:rFonts w:hint="default"/>
        <w:b w:val="0"/>
        <w:i w:val="0"/>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4E76095"/>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5183B58"/>
    <w:multiLevelType w:val="hybridMultilevel"/>
    <w:tmpl w:val="55A278B0"/>
    <w:lvl w:ilvl="0" w:tplc="C48EFD96">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26DB49E0"/>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7B62302"/>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97D6147"/>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2AB81685"/>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2B54770A"/>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2C933703"/>
    <w:multiLevelType w:val="hybridMultilevel"/>
    <w:tmpl w:val="61489D62"/>
    <w:lvl w:ilvl="0" w:tplc="DD9AF68C">
      <w:start w:val="1"/>
      <w:numFmt w:val="lowerRoman"/>
      <w:lvlText w:val="(%1)"/>
      <w:lvlJc w:val="left"/>
      <w:pPr>
        <w:ind w:left="1494" w:hanging="360"/>
      </w:pPr>
      <w:rPr>
        <w:rFonts w:hint="default"/>
        <w:b w:val="0"/>
        <w:i w:val="0"/>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2DB0060C"/>
    <w:multiLevelType w:val="hybridMultilevel"/>
    <w:tmpl w:val="4238EB2A"/>
    <w:lvl w:ilvl="0" w:tplc="06C89784">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762813"/>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32257D10"/>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33D8322D"/>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35CA4F7B"/>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8BD74B2"/>
    <w:multiLevelType w:val="hybridMultilevel"/>
    <w:tmpl w:val="61489D62"/>
    <w:lvl w:ilvl="0" w:tplc="DD9AF68C">
      <w:start w:val="1"/>
      <w:numFmt w:val="lowerRoman"/>
      <w:lvlText w:val="(%1)"/>
      <w:lvlJc w:val="left"/>
      <w:pPr>
        <w:ind w:left="1080" w:hanging="360"/>
      </w:pPr>
      <w:rPr>
        <w:rFonts w:hint="default"/>
        <w:b w:val="0"/>
        <w:i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A5507F5"/>
    <w:multiLevelType w:val="hybridMultilevel"/>
    <w:tmpl w:val="A0123A08"/>
    <w:lvl w:ilvl="0" w:tplc="0C090017">
      <w:start w:val="1"/>
      <w:numFmt w:val="lowerLetter"/>
      <w:lvlText w:val="%1)"/>
      <w:lvlJc w:val="left"/>
      <w:pPr>
        <w:ind w:left="720" w:hanging="360"/>
      </w:pPr>
    </w:lvl>
    <w:lvl w:ilvl="1" w:tplc="31BA06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CF53958"/>
    <w:multiLevelType w:val="hybridMultilevel"/>
    <w:tmpl w:val="CE8443DA"/>
    <w:lvl w:ilvl="0" w:tplc="DA3833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06178A5"/>
    <w:multiLevelType w:val="hybridMultilevel"/>
    <w:tmpl w:val="D96EEDEE"/>
    <w:lvl w:ilvl="0" w:tplc="145C5CB0">
      <w:start w:val="1"/>
      <w:numFmt w:val="lowerLetter"/>
      <w:lvlText w:val="(%1)"/>
      <w:lvlJc w:val="left"/>
      <w:pPr>
        <w:ind w:left="2000" w:hanging="36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39" w15:restartNumberingAfterBreak="0">
    <w:nsid w:val="40C17176"/>
    <w:multiLevelType w:val="hybridMultilevel"/>
    <w:tmpl w:val="7F544F8A"/>
    <w:lvl w:ilvl="0" w:tplc="865CF552">
      <w:start w:val="1"/>
      <w:numFmt w:val="lowerLetter"/>
      <w:lvlText w:val="(%1)"/>
      <w:lvlJc w:val="left"/>
      <w:pPr>
        <w:tabs>
          <w:tab w:val="num" w:pos="567"/>
        </w:tabs>
        <w:ind w:left="567"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AB02CA"/>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41E35171"/>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3" w15:restartNumberingAfterBreak="0">
    <w:nsid w:val="45A05758"/>
    <w:multiLevelType w:val="hybridMultilevel"/>
    <w:tmpl w:val="08726572"/>
    <w:lvl w:ilvl="0" w:tplc="0C090001">
      <w:start w:val="1"/>
      <w:numFmt w:val="bullet"/>
      <w:lvlText w:val=""/>
      <w:lvlJc w:val="left"/>
      <w:pPr>
        <w:tabs>
          <w:tab w:val="num" w:pos="567"/>
        </w:tabs>
        <w:ind w:left="567" w:hanging="567"/>
      </w:pPr>
      <w:rPr>
        <w:rFonts w:ascii="Symbol" w:hAnsi="Symbol"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5" w15:restartNumberingAfterBreak="0">
    <w:nsid w:val="4F634F77"/>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50C27738"/>
    <w:multiLevelType w:val="hybridMultilevel"/>
    <w:tmpl w:val="DE308FFC"/>
    <w:lvl w:ilvl="0" w:tplc="4350CB0A">
      <w:start w:val="9"/>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7" w15:restartNumberingAfterBreak="0">
    <w:nsid w:val="53301DC8"/>
    <w:multiLevelType w:val="hybridMultilevel"/>
    <w:tmpl w:val="E9807A80"/>
    <w:lvl w:ilvl="0" w:tplc="1B68D36E">
      <w:start w:val="1"/>
      <w:numFmt w:val="lowerRoman"/>
      <w:lvlText w:val="(%1)"/>
      <w:lvlJc w:val="right"/>
      <w:pPr>
        <w:ind w:left="1494" w:hanging="360"/>
      </w:pPr>
      <w:rPr>
        <w:rFonts w:ascii="Times New Roman" w:eastAsia="Calibri"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8"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3C697A"/>
    <w:multiLevelType w:val="hybridMultilevel"/>
    <w:tmpl w:val="D7440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5A60D1"/>
    <w:multiLevelType w:val="hybridMultilevel"/>
    <w:tmpl w:val="09100D9E"/>
    <w:lvl w:ilvl="0" w:tplc="865CF552">
      <w:start w:val="1"/>
      <w:numFmt w:val="lowerLetter"/>
      <w:lvlText w:val="(%1)"/>
      <w:lvlJc w:val="left"/>
      <w:pPr>
        <w:tabs>
          <w:tab w:val="num" w:pos="567"/>
        </w:tabs>
        <w:ind w:left="567" w:hanging="567"/>
      </w:pPr>
      <w:rPr>
        <w:rFonts w:ascii="Times New Roman" w:hAnsi="Times New Roman" w:hint="default"/>
        <w:b w:val="0"/>
        <w:i w:val="0"/>
        <w:sz w:val="24"/>
        <w:szCs w:val="24"/>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52" w15:restartNumberingAfterBreak="0">
    <w:nsid w:val="5EFE7C41"/>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3" w15:restartNumberingAfterBreak="0">
    <w:nsid w:val="61681D0A"/>
    <w:multiLevelType w:val="hybridMultilevel"/>
    <w:tmpl w:val="09100D9E"/>
    <w:lvl w:ilvl="0" w:tplc="865CF552">
      <w:start w:val="1"/>
      <w:numFmt w:val="lowerLetter"/>
      <w:lvlText w:val="(%1)"/>
      <w:lvlJc w:val="left"/>
      <w:pPr>
        <w:tabs>
          <w:tab w:val="num" w:pos="567"/>
        </w:tabs>
        <w:ind w:left="567"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3A91524"/>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5" w15:restartNumberingAfterBreak="0">
    <w:nsid w:val="63B85491"/>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6" w15:restartNumberingAfterBreak="0">
    <w:nsid w:val="655E18D9"/>
    <w:multiLevelType w:val="hybridMultilevel"/>
    <w:tmpl w:val="7BB2C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671D0B9E"/>
    <w:multiLevelType w:val="hybridMultilevel"/>
    <w:tmpl w:val="55A278B0"/>
    <w:lvl w:ilvl="0" w:tplc="C48EFD96">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67D070DA"/>
    <w:multiLevelType w:val="hybridMultilevel"/>
    <w:tmpl w:val="09100D9E"/>
    <w:lvl w:ilvl="0" w:tplc="865CF552">
      <w:start w:val="1"/>
      <w:numFmt w:val="lowerLetter"/>
      <w:lvlText w:val="(%1)"/>
      <w:lvlJc w:val="left"/>
      <w:pPr>
        <w:tabs>
          <w:tab w:val="num" w:pos="567"/>
        </w:tabs>
        <w:ind w:left="567"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86A05FF"/>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6B7A0198"/>
    <w:multiLevelType w:val="hybridMultilevel"/>
    <w:tmpl w:val="95EE6956"/>
    <w:lvl w:ilvl="0" w:tplc="DD9AF68C">
      <w:start w:val="1"/>
      <w:numFmt w:val="lowerRoman"/>
      <w:lvlText w:val="(%1)"/>
      <w:lvlJc w:val="left"/>
      <w:pPr>
        <w:ind w:left="1494" w:hanging="360"/>
      </w:pPr>
      <w:rPr>
        <w:rFonts w:hint="default"/>
        <w:b w:val="0"/>
        <w:i w:val="0"/>
        <w:color w:val="auto"/>
      </w:rPr>
    </w:lvl>
    <w:lvl w:ilvl="1" w:tplc="8D3E16A4">
      <w:start w:val="1"/>
      <w:numFmt w:val="lowerRoman"/>
      <w:lvlText w:val="(%2)"/>
      <w:lvlJc w:val="left"/>
      <w:pPr>
        <w:ind w:left="2214" w:hanging="360"/>
      </w:pPr>
      <w:rPr>
        <w:rFonts w:hint="default"/>
      </w:r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1" w15:restartNumberingAfterBreak="0">
    <w:nsid w:val="6B9E6D02"/>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15:restartNumberingAfterBreak="0">
    <w:nsid w:val="6C681F55"/>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3" w15:restartNumberingAfterBreak="0">
    <w:nsid w:val="6D91249D"/>
    <w:multiLevelType w:val="hybridMultilevel"/>
    <w:tmpl w:val="7A00BEF6"/>
    <w:lvl w:ilvl="0" w:tplc="0CCE7A8A">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65" w15:restartNumberingAfterBreak="0">
    <w:nsid w:val="6DF4735D"/>
    <w:multiLevelType w:val="hybridMultilevel"/>
    <w:tmpl w:val="4FD888E4"/>
    <w:lvl w:ilvl="0" w:tplc="34BED772">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6E980E45"/>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15:restartNumberingAfterBreak="0">
    <w:nsid w:val="6F0E41A6"/>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8" w15:restartNumberingAfterBreak="0">
    <w:nsid w:val="6FD34386"/>
    <w:multiLevelType w:val="hybridMultilevel"/>
    <w:tmpl w:val="3490DB1C"/>
    <w:lvl w:ilvl="0" w:tplc="2C4CD1E8">
      <w:start w:val="1"/>
      <w:numFmt w:val="lowerLetter"/>
      <w:lvlText w:val="(%1)"/>
      <w:lvlJc w:val="left"/>
      <w:pPr>
        <w:tabs>
          <w:tab w:val="num" w:pos="1134"/>
        </w:tabs>
        <w:ind w:left="1134" w:hanging="567"/>
      </w:pPr>
      <w:rPr>
        <w:rFonts w:hint="default"/>
        <w:sz w:val="24"/>
        <w:szCs w:val="24"/>
      </w:rPr>
    </w:lvl>
    <w:lvl w:ilvl="1" w:tplc="0C090019">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69" w15:restartNumberingAfterBreak="0">
    <w:nsid w:val="70F77C03"/>
    <w:multiLevelType w:val="hybridMultilevel"/>
    <w:tmpl w:val="7F544F8A"/>
    <w:lvl w:ilvl="0" w:tplc="865CF552">
      <w:start w:val="1"/>
      <w:numFmt w:val="lowerLetter"/>
      <w:lvlText w:val="(%1)"/>
      <w:lvlJc w:val="left"/>
      <w:pPr>
        <w:tabs>
          <w:tab w:val="num" w:pos="567"/>
        </w:tabs>
        <w:ind w:left="567"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1E0683A"/>
    <w:multiLevelType w:val="hybridMultilevel"/>
    <w:tmpl w:val="814CC0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3B82218"/>
    <w:multiLevelType w:val="hybridMultilevel"/>
    <w:tmpl w:val="61489D62"/>
    <w:lvl w:ilvl="0" w:tplc="DD9AF68C">
      <w:start w:val="1"/>
      <w:numFmt w:val="lowerRoman"/>
      <w:lvlText w:val="(%1)"/>
      <w:lvlJc w:val="left"/>
      <w:pPr>
        <w:ind w:left="1440" w:hanging="360"/>
      </w:pPr>
      <w:rPr>
        <w:rFonts w:hint="default"/>
        <w:b w:val="0"/>
        <w:i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3" w15:restartNumberingAfterBreak="0">
    <w:nsid w:val="748864ED"/>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4" w15:restartNumberingAfterBreak="0">
    <w:nsid w:val="77F71A45"/>
    <w:multiLevelType w:val="hybridMultilevel"/>
    <w:tmpl w:val="E7D691C6"/>
    <w:lvl w:ilvl="0" w:tplc="31BA0648">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7AE74AD9"/>
    <w:multiLevelType w:val="hybridMultilevel"/>
    <w:tmpl w:val="61489D62"/>
    <w:lvl w:ilvl="0" w:tplc="DD9AF68C">
      <w:start w:val="1"/>
      <w:numFmt w:val="lowerRoman"/>
      <w:lvlText w:val="(%1)"/>
      <w:lvlJc w:val="left"/>
      <w:pPr>
        <w:ind w:left="1494" w:hanging="360"/>
      </w:pPr>
      <w:rPr>
        <w:rFonts w:hint="default"/>
        <w:b w:val="0"/>
        <w:i w:val="0"/>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6" w15:restartNumberingAfterBreak="0">
    <w:nsid w:val="7CEB2845"/>
    <w:multiLevelType w:val="hybridMultilevel"/>
    <w:tmpl w:val="3490DB1C"/>
    <w:lvl w:ilvl="0" w:tplc="2C4CD1E8">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77" w15:restartNumberingAfterBreak="0">
    <w:nsid w:val="7D2E313F"/>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8"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7FAE7BF9"/>
    <w:multiLevelType w:val="hybridMultilevel"/>
    <w:tmpl w:val="09100D9E"/>
    <w:lvl w:ilvl="0" w:tplc="865CF552">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42"/>
  </w:num>
  <w:num w:numId="2">
    <w:abstractNumId w:val="44"/>
  </w:num>
  <w:num w:numId="3">
    <w:abstractNumId w:val="10"/>
  </w:num>
  <w:num w:numId="4">
    <w:abstractNumId w:val="34"/>
  </w:num>
  <w:num w:numId="5">
    <w:abstractNumId w:val="78"/>
  </w:num>
  <w:num w:numId="6">
    <w:abstractNumId w:val="19"/>
  </w:num>
  <w:num w:numId="7">
    <w:abstractNumId w:val="70"/>
  </w:num>
  <w:num w:numId="8">
    <w:abstractNumId w:val="51"/>
  </w:num>
  <w:num w:numId="9">
    <w:abstractNumId w:val="64"/>
  </w:num>
  <w:num w:numId="10">
    <w:abstractNumId w:val="71"/>
  </w:num>
  <w:num w:numId="11">
    <w:abstractNumId w:val="36"/>
  </w:num>
  <w:num w:numId="12">
    <w:abstractNumId w:val="21"/>
  </w:num>
  <w:num w:numId="13">
    <w:abstractNumId w:val="66"/>
  </w:num>
  <w:num w:numId="14">
    <w:abstractNumId w:val="56"/>
  </w:num>
  <w:num w:numId="15">
    <w:abstractNumId w:val="13"/>
  </w:num>
  <w:num w:numId="16">
    <w:abstractNumId w:val="38"/>
  </w:num>
  <w:num w:numId="17">
    <w:abstractNumId w:val="14"/>
  </w:num>
  <w:num w:numId="18">
    <w:abstractNumId w:val="20"/>
  </w:num>
  <w:num w:numId="19">
    <w:abstractNumId w:val="59"/>
  </w:num>
  <w:num w:numId="20">
    <w:abstractNumId w:val="41"/>
  </w:num>
  <w:num w:numId="21">
    <w:abstractNumId w:val="24"/>
  </w:num>
  <w:num w:numId="22">
    <w:abstractNumId w:val="46"/>
  </w:num>
  <w:num w:numId="23">
    <w:abstractNumId w:val="28"/>
  </w:num>
  <w:num w:numId="24">
    <w:abstractNumId w:val="72"/>
  </w:num>
  <w:num w:numId="25">
    <w:abstractNumId w:val="9"/>
  </w:num>
  <w:num w:numId="26">
    <w:abstractNumId w:val="65"/>
  </w:num>
  <w:num w:numId="27">
    <w:abstractNumId w:val="31"/>
  </w:num>
  <w:num w:numId="28">
    <w:abstractNumId w:val="40"/>
  </w:num>
  <w:num w:numId="29">
    <w:abstractNumId w:val="75"/>
  </w:num>
  <w:num w:numId="30">
    <w:abstractNumId w:val="74"/>
  </w:num>
  <w:num w:numId="31">
    <w:abstractNumId w:val="54"/>
  </w:num>
  <w:num w:numId="32">
    <w:abstractNumId w:val="23"/>
  </w:num>
  <w:num w:numId="33">
    <w:abstractNumId w:val="45"/>
  </w:num>
  <w:num w:numId="34">
    <w:abstractNumId w:val="15"/>
  </w:num>
  <w:num w:numId="35">
    <w:abstractNumId w:val="30"/>
  </w:num>
  <w:num w:numId="36">
    <w:abstractNumId w:val="49"/>
  </w:num>
  <w:num w:numId="37">
    <w:abstractNumId w:val="43"/>
  </w:num>
  <w:num w:numId="38">
    <w:abstractNumId w:val="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6"/>
  </w:num>
  <w:num w:numId="42">
    <w:abstractNumId w:val="37"/>
  </w:num>
  <w:num w:numId="43">
    <w:abstractNumId w:val="29"/>
  </w:num>
  <w:num w:numId="44">
    <w:abstractNumId w:val="57"/>
  </w:num>
  <w:num w:numId="45">
    <w:abstractNumId w:val="1"/>
  </w:num>
  <w:num w:numId="46">
    <w:abstractNumId w:val="47"/>
  </w:num>
  <w:num w:numId="47">
    <w:abstractNumId w:val="22"/>
  </w:num>
  <w:num w:numId="48">
    <w:abstractNumId w:val="17"/>
  </w:num>
  <w:num w:numId="49">
    <w:abstractNumId w:val="77"/>
  </w:num>
  <w:num w:numId="50">
    <w:abstractNumId w:val="53"/>
  </w:num>
  <w:num w:numId="51">
    <w:abstractNumId w:val="35"/>
  </w:num>
  <w:num w:numId="52">
    <w:abstractNumId w:val="60"/>
  </w:num>
  <w:num w:numId="53">
    <w:abstractNumId w:val="4"/>
  </w:num>
  <w:num w:numId="54">
    <w:abstractNumId w:val="69"/>
  </w:num>
  <w:num w:numId="55">
    <w:abstractNumId w:val="39"/>
  </w:num>
  <w:num w:numId="56">
    <w:abstractNumId w:val="67"/>
  </w:num>
  <w:num w:numId="57">
    <w:abstractNumId w:val="73"/>
  </w:num>
  <w:num w:numId="58">
    <w:abstractNumId w:val="2"/>
  </w:num>
  <w:num w:numId="59">
    <w:abstractNumId w:val="52"/>
  </w:num>
  <w:num w:numId="60">
    <w:abstractNumId w:val="76"/>
  </w:num>
  <w:num w:numId="61">
    <w:abstractNumId w:val="3"/>
  </w:num>
  <w:num w:numId="62">
    <w:abstractNumId w:val="25"/>
  </w:num>
  <w:num w:numId="63">
    <w:abstractNumId w:val="79"/>
  </w:num>
  <w:num w:numId="64">
    <w:abstractNumId w:val="68"/>
  </w:num>
  <w:num w:numId="65">
    <w:abstractNumId w:val="55"/>
  </w:num>
  <w:num w:numId="66">
    <w:abstractNumId w:val="26"/>
  </w:num>
  <w:num w:numId="67">
    <w:abstractNumId w:val="61"/>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58"/>
  </w:num>
  <w:num w:numId="71">
    <w:abstractNumId w:val="8"/>
  </w:num>
  <w:num w:numId="72">
    <w:abstractNumId w:val="18"/>
  </w:num>
  <w:num w:numId="73">
    <w:abstractNumId w:val="16"/>
  </w:num>
  <w:num w:numId="74">
    <w:abstractNumId w:val="32"/>
  </w:num>
  <w:num w:numId="75">
    <w:abstractNumId w:val="11"/>
  </w:num>
  <w:num w:numId="76">
    <w:abstractNumId w:val="0"/>
    <w:lvlOverride w:ilvl="0">
      <w:startOverride w:val="1"/>
    </w:lvlOverride>
    <w:lvlOverride w:ilvl="1"/>
    <w:lvlOverride w:ilvl="2"/>
    <w:lvlOverride w:ilvl="3"/>
    <w:lvlOverride w:ilvl="4"/>
    <w:lvlOverride w:ilvl="5"/>
    <w:lvlOverride w:ilvl="6"/>
    <w:lvlOverride w:ilvl="7"/>
    <w:lvlOverride w:ilvl="8"/>
  </w:num>
  <w:num w:numId="77">
    <w:abstractNumId w:val="0"/>
  </w:num>
  <w:num w:numId="78">
    <w:abstractNumId w:val="7"/>
  </w:num>
  <w:num w:numId="79">
    <w:abstractNumId w:val="62"/>
  </w:num>
  <w:num w:numId="80">
    <w:abstractNumId w:val="33"/>
  </w:num>
  <w:num w:numId="81">
    <w:abstractNumId w:val="50"/>
  </w:num>
  <w:num w:numId="82">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08"/>
    <w:rsid w:val="00000782"/>
    <w:rsid w:val="000008C4"/>
    <w:rsid w:val="00005212"/>
    <w:rsid w:val="00005745"/>
    <w:rsid w:val="00005805"/>
    <w:rsid w:val="000066F0"/>
    <w:rsid w:val="0000776A"/>
    <w:rsid w:val="000118E9"/>
    <w:rsid w:val="00011E4B"/>
    <w:rsid w:val="0001249C"/>
    <w:rsid w:val="0001249D"/>
    <w:rsid w:val="00012A3C"/>
    <w:rsid w:val="00012D3A"/>
    <w:rsid w:val="00014332"/>
    <w:rsid w:val="00015B20"/>
    <w:rsid w:val="00016CA2"/>
    <w:rsid w:val="00016DD2"/>
    <w:rsid w:val="000200D3"/>
    <w:rsid w:val="00020655"/>
    <w:rsid w:val="00020F08"/>
    <w:rsid w:val="0002312D"/>
    <w:rsid w:val="0002482A"/>
    <w:rsid w:val="00025878"/>
    <w:rsid w:val="00030787"/>
    <w:rsid w:val="00032983"/>
    <w:rsid w:val="00032B10"/>
    <w:rsid w:val="00032C31"/>
    <w:rsid w:val="00033AF6"/>
    <w:rsid w:val="00033C00"/>
    <w:rsid w:val="0003468F"/>
    <w:rsid w:val="0003483E"/>
    <w:rsid w:val="00035386"/>
    <w:rsid w:val="00037900"/>
    <w:rsid w:val="00045E45"/>
    <w:rsid w:val="00045FB3"/>
    <w:rsid w:val="00046B84"/>
    <w:rsid w:val="00046DAA"/>
    <w:rsid w:val="00047AFA"/>
    <w:rsid w:val="00047CF0"/>
    <w:rsid w:val="000510D9"/>
    <w:rsid w:val="00051611"/>
    <w:rsid w:val="0005295D"/>
    <w:rsid w:val="000568F7"/>
    <w:rsid w:val="000569D6"/>
    <w:rsid w:val="00057258"/>
    <w:rsid w:val="000629C1"/>
    <w:rsid w:val="000643B0"/>
    <w:rsid w:val="000644EB"/>
    <w:rsid w:val="000655B6"/>
    <w:rsid w:val="000657DC"/>
    <w:rsid w:val="0006647A"/>
    <w:rsid w:val="00070709"/>
    <w:rsid w:val="00073853"/>
    <w:rsid w:val="00073D16"/>
    <w:rsid w:val="00073F0C"/>
    <w:rsid w:val="00076A21"/>
    <w:rsid w:val="00076A54"/>
    <w:rsid w:val="00077D1A"/>
    <w:rsid w:val="00083448"/>
    <w:rsid w:val="00083618"/>
    <w:rsid w:val="00086DA7"/>
    <w:rsid w:val="00090141"/>
    <w:rsid w:val="000926DC"/>
    <w:rsid w:val="00092782"/>
    <w:rsid w:val="00093328"/>
    <w:rsid w:val="0009355D"/>
    <w:rsid w:val="00093757"/>
    <w:rsid w:val="000939A2"/>
    <w:rsid w:val="000939C5"/>
    <w:rsid w:val="00093FFF"/>
    <w:rsid w:val="0009408A"/>
    <w:rsid w:val="0009482E"/>
    <w:rsid w:val="00095F9B"/>
    <w:rsid w:val="0009648F"/>
    <w:rsid w:val="00096FE2"/>
    <w:rsid w:val="0009750C"/>
    <w:rsid w:val="000A162D"/>
    <w:rsid w:val="000A2593"/>
    <w:rsid w:val="000A2E90"/>
    <w:rsid w:val="000A796C"/>
    <w:rsid w:val="000B140F"/>
    <w:rsid w:val="000B205B"/>
    <w:rsid w:val="000B24E1"/>
    <w:rsid w:val="000B5E13"/>
    <w:rsid w:val="000C0DD4"/>
    <w:rsid w:val="000C4026"/>
    <w:rsid w:val="000C4ADD"/>
    <w:rsid w:val="000E0227"/>
    <w:rsid w:val="000E0695"/>
    <w:rsid w:val="000E11D5"/>
    <w:rsid w:val="000E1FE5"/>
    <w:rsid w:val="000E21CC"/>
    <w:rsid w:val="000E5180"/>
    <w:rsid w:val="000E5F7B"/>
    <w:rsid w:val="000F03B3"/>
    <w:rsid w:val="000F08D5"/>
    <w:rsid w:val="000F1207"/>
    <w:rsid w:val="000F3B99"/>
    <w:rsid w:val="000F4270"/>
    <w:rsid w:val="000F5490"/>
    <w:rsid w:val="000F6B9D"/>
    <w:rsid w:val="000F75F5"/>
    <w:rsid w:val="001012B1"/>
    <w:rsid w:val="0010597E"/>
    <w:rsid w:val="00110A0F"/>
    <w:rsid w:val="00110E0D"/>
    <w:rsid w:val="001119CC"/>
    <w:rsid w:val="001119EB"/>
    <w:rsid w:val="00113F4A"/>
    <w:rsid w:val="001158E8"/>
    <w:rsid w:val="001175DF"/>
    <w:rsid w:val="00117C89"/>
    <w:rsid w:val="0012119E"/>
    <w:rsid w:val="001215E3"/>
    <w:rsid w:val="00122128"/>
    <w:rsid w:val="001276E4"/>
    <w:rsid w:val="00131501"/>
    <w:rsid w:val="001337F6"/>
    <w:rsid w:val="001340FA"/>
    <w:rsid w:val="00135164"/>
    <w:rsid w:val="001352F8"/>
    <w:rsid w:val="00135D79"/>
    <w:rsid w:val="00136443"/>
    <w:rsid w:val="001369C1"/>
    <w:rsid w:val="001371DB"/>
    <w:rsid w:val="001402D0"/>
    <w:rsid w:val="00141CA6"/>
    <w:rsid w:val="00143B5A"/>
    <w:rsid w:val="00144D71"/>
    <w:rsid w:val="00150D00"/>
    <w:rsid w:val="0015174D"/>
    <w:rsid w:val="00154BB9"/>
    <w:rsid w:val="00154CAF"/>
    <w:rsid w:val="00155010"/>
    <w:rsid w:val="00155573"/>
    <w:rsid w:val="00155BFA"/>
    <w:rsid w:val="00162FE1"/>
    <w:rsid w:val="00166333"/>
    <w:rsid w:val="00166FDA"/>
    <w:rsid w:val="001728E8"/>
    <w:rsid w:val="00173111"/>
    <w:rsid w:val="00173EBD"/>
    <w:rsid w:val="00175E95"/>
    <w:rsid w:val="0017654E"/>
    <w:rsid w:val="0017750F"/>
    <w:rsid w:val="00177A6D"/>
    <w:rsid w:val="00177ABD"/>
    <w:rsid w:val="001806B1"/>
    <w:rsid w:val="00180D89"/>
    <w:rsid w:val="00182FA1"/>
    <w:rsid w:val="00184265"/>
    <w:rsid w:val="00184BFB"/>
    <w:rsid w:val="00185B87"/>
    <w:rsid w:val="00185EFD"/>
    <w:rsid w:val="0018675C"/>
    <w:rsid w:val="00187359"/>
    <w:rsid w:val="00191FC0"/>
    <w:rsid w:val="00192287"/>
    <w:rsid w:val="0019236F"/>
    <w:rsid w:val="001934B3"/>
    <w:rsid w:val="00193922"/>
    <w:rsid w:val="0019632B"/>
    <w:rsid w:val="001968B4"/>
    <w:rsid w:val="001A0FBC"/>
    <w:rsid w:val="001A175D"/>
    <w:rsid w:val="001A19FD"/>
    <w:rsid w:val="001A47A5"/>
    <w:rsid w:val="001A4F0E"/>
    <w:rsid w:val="001A763C"/>
    <w:rsid w:val="001A7E90"/>
    <w:rsid w:val="001B0144"/>
    <w:rsid w:val="001B360B"/>
    <w:rsid w:val="001B5561"/>
    <w:rsid w:val="001B5CDB"/>
    <w:rsid w:val="001B665F"/>
    <w:rsid w:val="001B7D84"/>
    <w:rsid w:val="001C297A"/>
    <w:rsid w:val="001C3DD4"/>
    <w:rsid w:val="001C423F"/>
    <w:rsid w:val="001C4F47"/>
    <w:rsid w:val="001C78F0"/>
    <w:rsid w:val="001D295E"/>
    <w:rsid w:val="001D3161"/>
    <w:rsid w:val="001D4BA8"/>
    <w:rsid w:val="001E05FF"/>
    <w:rsid w:val="001E2862"/>
    <w:rsid w:val="001E32A2"/>
    <w:rsid w:val="001E43C5"/>
    <w:rsid w:val="001E46BD"/>
    <w:rsid w:val="001F0DA6"/>
    <w:rsid w:val="001F1E29"/>
    <w:rsid w:val="001F24F9"/>
    <w:rsid w:val="001F2C67"/>
    <w:rsid w:val="001F45FD"/>
    <w:rsid w:val="001F4A43"/>
    <w:rsid w:val="001F4CC8"/>
    <w:rsid w:val="002035F4"/>
    <w:rsid w:val="00205591"/>
    <w:rsid w:val="00205A00"/>
    <w:rsid w:val="00205C23"/>
    <w:rsid w:val="00206F6D"/>
    <w:rsid w:val="00207282"/>
    <w:rsid w:val="00207CB0"/>
    <w:rsid w:val="00211CE7"/>
    <w:rsid w:val="0021320A"/>
    <w:rsid w:val="00213C48"/>
    <w:rsid w:val="002148FA"/>
    <w:rsid w:val="00217DFB"/>
    <w:rsid w:val="0022387C"/>
    <w:rsid w:val="002263C1"/>
    <w:rsid w:val="00231F3C"/>
    <w:rsid w:val="002335D3"/>
    <w:rsid w:val="00234348"/>
    <w:rsid w:val="0023458F"/>
    <w:rsid w:val="00235DFE"/>
    <w:rsid w:val="002364D0"/>
    <w:rsid w:val="002364E8"/>
    <w:rsid w:val="002372E2"/>
    <w:rsid w:val="0024044A"/>
    <w:rsid w:val="00240823"/>
    <w:rsid w:val="00240A0D"/>
    <w:rsid w:val="002418A6"/>
    <w:rsid w:val="00241901"/>
    <w:rsid w:val="00242307"/>
    <w:rsid w:val="00243B91"/>
    <w:rsid w:val="00247363"/>
    <w:rsid w:val="002479BD"/>
    <w:rsid w:val="002500F9"/>
    <w:rsid w:val="002512B7"/>
    <w:rsid w:val="0026000D"/>
    <w:rsid w:val="0026001C"/>
    <w:rsid w:val="00260AFF"/>
    <w:rsid w:val="00266B76"/>
    <w:rsid w:val="00266BA9"/>
    <w:rsid w:val="00270162"/>
    <w:rsid w:val="0027042F"/>
    <w:rsid w:val="002726F9"/>
    <w:rsid w:val="00273E6D"/>
    <w:rsid w:val="002750C8"/>
    <w:rsid w:val="00277343"/>
    <w:rsid w:val="002808BA"/>
    <w:rsid w:val="00280B59"/>
    <w:rsid w:val="00281DA8"/>
    <w:rsid w:val="0028448B"/>
    <w:rsid w:val="00290131"/>
    <w:rsid w:val="00291AC1"/>
    <w:rsid w:val="0029305F"/>
    <w:rsid w:val="002953A3"/>
    <w:rsid w:val="00296C1C"/>
    <w:rsid w:val="002A5431"/>
    <w:rsid w:val="002A6C5D"/>
    <w:rsid w:val="002B1685"/>
    <w:rsid w:val="002B406D"/>
    <w:rsid w:val="002B5605"/>
    <w:rsid w:val="002B79B8"/>
    <w:rsid w:val="002C0F7A"/>
    <w:rsid w:val="002C12DE"/>
    <w:rsid w:val="002C220C"/>
    <w:rsid w:val="002C5102"/>
    <w:rsid w:val="002C5C0E"/>
    <w:rsid w:val="002C62B5"/>
    <w:rsid w:val="002C7B02"/>
    <w:rsid w:val="002D2CC7"/>
    <w:rsid w:val="002D3AE7"/>
    <w:rsid w:val="002D3CC8"/>
    <w:rsid w:val="002D4B2B"/>
    <w:rsid w:val="002E0FD9"/>
    <w:rsid w:val="002E2E0B"/>
    <w:rsid w:val="002E3232"/>
    <w:rsid w:val="002E4188"/>
    <w:rsid w:val="002E5630"/>
    <w:rsid w:val="002E6791"/>
    <w:rsid w:val="002E69B0"/>
    <w:rsid w:val="002E6BBD"/>
    <w:rsid w:val="002E7E47"/>
    <w:rsid w:val="002F084E"/>
    <w:rsid w:val="002F1339"/>
    <w:rsid w:val="002F271F"/>
    <w:rsid w:val="002F6AFC"/>
    <w:rsid w:val="002F6D7E"/>
    <w:rsid w:val="002F741E"/>
    <w:rsid w:val="00302C85"/>
    <w:rsid w:val="00303407"/>
    <w:rsid w:val="00304590"/>
    <w:rsid w:val="003049BC"/>
    <w:rsid w:val="003100B0"/>
    <w:rsid w:val="00312CDD"/>
    <w:rsid w:val="00313AF2"/>
    <w:rsid w:val="00313E54"/>
    <w:rsid w:val="00315AB0"/>
    <w:rsid w:val="003165EE"/>
    <w:rsid w:val="00316F5A"/>
    <w:rsid w:val="00317CF6"/>
    <w:rsid w:val="00317D7D"/>
    <w:rsid w:val="00320A3B"/>
    <w:rsid w:val="00323BD0"/>
    <w:rsid w:val="00326836"/>
    <w:rsid w:val="0033056C"/>
    <w:rsid w:val="003310F6"/>
    <w:rsid w:val="003313F8"/>
    <w:rsid w:val="003315EE"/>
    <w:rsid w:val="00331D24"/>
    <w:rsid w:val="0033289E"/>
    <w:rsid w:val="00333B50"/>
    <w:rsid w:val="00334FA6"/>
    <w:rsid w:val="00336834"/>
    <w:rsid w:val="00337CF3"/>
    <w:rsid w:val="00337EAB"/>
    <w:rsid w:val="00343B19"/>
    <w:rsid w:val="00347E4D"/>
    <w:rsid w:val="00350C4E"/>
    <w:rsid w:val="003547BC"/>
    <w:rsid w:val="00356A2D"/>
    <w:rsid w:val="00360AB0"/>
    <w:rsid w:val="003620CF"/>
    <w:rsid w:val="003628D6"/>
    <w:rsid w:val="00363A00"/>
    <w:rsid w:val="0036409C"/>
    <w:rsid w:val="0036471F"/>
    <w:rsid w:val="00364DDC"/>
    <w:rsid w:val="00365B07"/>
    <w:rsid w:val="0036676A"/>
    <w:rsid w:val="00370D35"/>
    <w:rsid w:val="003715DE"/>
    <w:rsid w:val="00371E86"/>
    <w:rsid w:val="00372AFB"/>
    <w:rsid w:val="00373DEC"/>
    <w:rsid w:val="003750A0"/>
    <w:rsid w:val="00375F92"/>
    <w:rsid w:val="00376084"/>
    <w:rsid w:val="003766DD"/>
    <w:rsid w:val="00377A35"/>
    <w:rsid w:val="00380224"/>
    <w:rsid w:val="0038104A"/>
    <w:rsid w:val="00382152"/>
    <w:rsid w:val="00382743"/>
    <w:rsid w:val="00383AC5"/>
    <w:rsid w:val="003847B9"/>
    <w:rsid w:val="003848CC"/>
    <w:rsid w:val="00385262"/>
    <w:rsid w:val="00385757"/>
    <w:rsid w:val="00385E9A"/>
    <w:rsid w:val="00387739"/>
    <w:rsid w:val="00390823"/>
    <w:rsid w:val="00390C62"/>
    <w:rsid w:val="00391058"/>
    <w:rsid w:val="00391AD7"/>
    <w:rsid w:val="00392587"/>
    <w:rsid w:val="003925EB"/>
    <w:rsid w:val="0039293D"/>
    <w:rsid w:val="00394545"/>
    <w:rsid w:val="00394F53"/>
    <w:rsid w:val="003A0819"/>
    <w:rsid w:val="003A3C69"/>
    <w:rsid w:val="003A458E"/>
    <w:rsid w:val="003A5441"/>
    <w:rsid w:val="003A5C7D"/>
    <w:rsid w:val="003B1296"/>
    <w:rsid w:val="003B3B23"/>
    <w:rsid w:val="003B52EB"/>
    <w:rsid w:val="003B7A75"/>
    <w:rsid w:val="003B7CF7"/>
    <w:rsid w:val="003C5483"/>
    <w:rsid w:val="003C5FE2"/>
    <w:rsid w:val="003C6D2A"/>
    <w:rsid w:val="003D0B39"/>
    <w:rsid w:val="003D1EA2"/>
    <w:rsid w:val="003D3256"/>
    <w:rsid w:val="003D3FAA"/>
    <w:rsid w:val="003D43A1"/>
    <w:rsid w:val="003D5032"/>
    <w:rsid w:val="003E1973"/>
    <w:rsid w:val="003E2A37"/>
    <w:rsid w:val="003E5EF2"/>
    <w:rsid w:val="003E784D"/>
    <w:rsid w:val="003F005C"/>
    <w:rsid w:val="003F1731"/>
    <w:rsid w:val="003F6FAF"/>
    <w:rsid w:val="00400FEF"/>
    <w:rsid w:val="004028D1"/>
    <w:rsid w:val="00403808"/>
    <w:rsid w:val="00405439"/>
    <w:rsid w:val="0041228E"/>
    <w:rsid w:val="00412A6B"/>
    <w:rsid w:val="004137F8"/>
    <w:rsid w:val="00414833"/>
    <w:rsid w:val="004154B5"/>
    <w:rsid w:val="00417030"/>
    <w:rsid w:val="00417031"/>
    <w:rsid w:val="00417DE7"/>
    <w:rsid w:val="00417F9E"/>
    <w:rsid w:val="004203EA"/>
    <w:rsid w:val="004208A6"/>
    <w:rsid w:val="00432BEB"/>
    <w:rsid w:val="00435B4D"/>
    <w:rsid w:val="00435EB4"/>
    <w:rsid w:val="00436076"/>
    <w:rsid w:val="00442188"/>
    <w:rsid w:val="004423F5"/>
    <w:rsid w:val="00442D46"/>
    <w:rsid w:val="00442F0F"/>
    <w:rsid w:val="00443417"/>
    <w:rsid w:val="00444DE8"/>
    <w:rsid w:val="00445764"/>
    <w:rsid w:val="00450135"/>
    <w:rsid w:val="00450A31"/>
    <w:rsid w:val="004513F5"/>
    <w:rsid w:val="0045194B"/>
    <w:rsid w:val="00451DBE"/>
    <w:rsid w:val="00452008"/>
    <w:rsid w:val="004521BF"/>
    <w:rsid w:val="00455C05"/>
    <w:rsid w:val="004620E8"/>
    <w:rsid w:val="004626FE"/>
    <w:rsid w:val="004627FB"/>
    <w:rsid w:val="0046337F"/>
    <w:rsid w:val="0046432F"/>
    <w:rsid w:val="00464AB2"/>
    <w:rsid w:val="00465595"/>
    <w:rsid w:val="00465FBA"/>
    <w:rsid w:val="00467BB1"/>
    <w:rsid w:val="00470743"/>
    <w:rsid w:val="00471AA4"/>
    <w:rsid w:val="00472C1C"/>
    <w:rsid w:val="004738AD"/>
    <w:rsid w:val="00475B49"/>
    <w:rsid w:val="00475F03"/>
    <w:rsid w:val="00476245"/>
    <w:rsid w:val="00477B7A"/>
    <w:rsid w:val="004803DC"/>
    <w:rsid w:val="00485904"/>
    <w:rsid w:val="00491C65"/>
    <w:rsid w:val="00491E66"/>
    <w:rsid w:val="00495E48"/>
    <w:rsid w:val="00496958"/>
    <w:rsid w:val="00496D35"/>
    <w:rsid w:val="004A2560"/>
    <w:rsid w:val="004A2BE1"/>
    <w:rsid w:val="004A3995"/>
    <w:rsid w:val="004A5110"/>
    <w:rsid w:val="004A59BE"/>
    <w:rsid w:val="004A7273"/>
    <w:rsid w:val="004A7759"/>
    <w:rsid w:val="004B067D"/>
    <w:rsid w:val="004B0EBC"/>
    <w:rsid w:val="004B2034"/>
    <w:rsid w:val="004B2C4E"/>
    <w:rsid w:val="004B339C"/>
    <w:rsid w:val="004B3595"/>
    <w:rsid w:val="004B6F24"/>
    <w:rsid w:val="004B7A28"/>
    <w:rsid w:val="004C1C31"/>
    <w:rsid w:val="004C3D07"/>
    <w:rsid w:val="004C4488"/>
    <w:rsid w:val="004C4E24"/>
    <w:rsid w:val="004C5042"/>
    <w:rsid w:val="004C585E"/>
    <w:rsid w:val="004C5DA5"/>
    <w:rsid w:val="004C75EA"/>
    <w:rsid w:val="004D04E5"/>
    <w:rsid w:val="004D0565"/>
    <w:rsid w:val="004D17DB"/>
    <w:rsid w:val="004D1C9F"/>
    <w:rsid w:val="004D354B"/>
    <w:rsid w:val="004D3B4E"/>
    <w:rsid w:val="004D435C"/>
    <w:rsid w:val="004D5BD2"/>
    <w:rsid w:val="004D7DC7"/>
    <w:rsid w:val="004E2C02"/>
    <w:rsid w:val="004E2D4D"/>
    <w:rsid w:val="004E3A80"/>
    <w:rsid w:val="004E75FC"/>
    <w:rsid w:val="004F0A06"/>
    <w:rsid w:val="004F102B"/>
    <w:rsid w:val="004F2AC1"/>
    <w:rsid w:val="004F533A"/>
    <w:rsid w:val="004F70D0"/>
    <w:rsid w:val="004F759D"/>
    <w:rsid w:val="004F7866"/>
    <w:rsid w:val="00500A03"/>
    <w:rsid w:val="00502271"/>
    <w:rsid w:val="0050343D"/>
    <w:rsid w:val="005049B8"/>
    <w:rsid w:val="00506138"/>
    <w:rsid w:val="0051075C"/>
    <w:rsid w:val="0051225E"/>
    <w:rsid w:val="0051231A"/>
    <w:rsid w:val="00513424"/>
    <w:rsid w:val="005174C2"/>
    <w:rsid w:val="00520CD8"/>
    <w:rsid w:val="00521DEB"/>
    <w:rsid w:val="00523BB5"/>
    <w:rsid w:val="00523C14"/>
    <w:rsid w:val="00524876"/>
    <w:rsid w:val="0052534D"/>
    <w:rsid w:val="00526AC4"/>
    <w:rsid w:val="005276BE"/>
    <w:rsid w:val="00527F05"/>
    <w:rsid w:val="00531F8D"/>
    <w:rsid w:val="005337A4"/>
    <w:rsid w:val="00533ECA"/>
    <w:rsid w:val="005342E5"/>
    <w:rsid w:val="00534FFE"/>
    <w:rsid w:val="00535881"/>
    <w:rsid w:val="00536323"/>
    <w:rsid w:val="005369F0"/>
    <w:rsid w:val="00536C2A"/>
    <w:rsid w:val="00537372"/>
    <w:rsid w:val="005400DD"/>
    <w:rsid w:val="00540D6D"/>
    <w:rsid w:val="00541208"/>
    <w:rsid w:val="00542159"/>
    <w:rsid w:val="00544558"/>
    <w:rsid w:val="00545C01"/>
    <w:rsid w:val="005463B8"/>
    <w:rsid w:val="005466AE"/>
    <w:rsid w:val="00547828"/>
    <w:rsid w:val="005479FA"/>
    <w:rsid w:val="00551ABF"/>
    <w:rsid w:val="00552A14"/>
    <w:rsid w:val="00552F84"/>
    <w:rsid w:val="00554DF7"/>
    <w:rsid w:val="005563EC"/>
    <w:rsid w:val="00557540"/>
    <w:rsid w:val="00557556"/>
    <w:rsid w:val="00560AD8"/>
    <w:rsid w:val="005614EB"/>
    <w:rsid w:val="0056293A"/>
    <w:rsid w:val="005637BF"/>
    <w:rsid w:val="0057024B"/>
    <w:rsid w:val="005703F8"/>
    <w:rsid w:val="00571542"/>
    <w:rsid w:val="00572E66"/>
    <w:rsid w:val="00576882"/>
    <w:rsid w:val="00576D02"/>
    <w:rsid w:val="00577857"/>
    <w:rsid w:val="00581C07"/>
    <w:rsid w:val="00581C4A"/>
    <w:rsid w:val="00582DF1"/>
    <w:rsid w:val="00584C25"/>
    <w:rsid w:val="0058618E"/>
    <w:rsid w:val="005914C3"/>
    <w:rsid w:val="005919DD"/>
    <w:rsid w:val="0059593E"/>
    <w:rsid w:val="005967A0"/>
    <w:rsid w:val="005A1794"/>
    <w:rsid w:val="005A3DB4"/>
    <w:rsid w:val="005A426A"/>
    <w:rsid w:val="005A45AA"/>
    <w:rsid w:val="005A700B"/>
    <w:rsid w:val="005A725D"/>
    <w:rsid w:val="005B026C"/>
    <w:rsid w:val="005B1A23"/>
    <w:rsid w:val="005B2195"/>
    <w:rsid w:val="005B27A1"/>
    <w:rsid w:val="005B6E42"/>
    <w:rsid w:val="005C30FB"/>
    <w:rsid w:val="005C4226"/>
    <w:rsid w:val="005C4B27"/>
    <w:rsid w:val="005C5B20"/>
    <w:rsid w:val="005D0C69"/>
    <w:rsid w:val="005D3E4F"/>
    <w:rsid w:val="005D4088"/>
    <w:rsid w:val="005D7B5F"/>
    <w:rsid w:val="005E144F"/>
    <w:rsid w:val="005E1C33"/>
    <w:rsid w:val="005E2DF7"/>
    <w:rsid w:val="005E4671"/>
    <w:rsid w:val="005E4698"/>
    <w:rsid w:val="005E4B91"/>
    <w:rsid w:val="005E540D"/>
    <w:rsid w:val="005E5663"/>
    <w:rsid w:val="005E5910"/>
    <w:rsid w:val="005E722E"/>
    <w:rsid w:val="005F0B51"/>
    <w:rsid w:val="005F183D"/>
    <w:rsid w:val="005F1C72"/>
    <w:rsid w:val="005F1E35"/>
    <w:rsid w:val="005F4848"/>
    <w:rsid w:val="005F6F74"/>
    <w:rsid w:val="00600F00"/>
    <w:rsid w:val="0060128E"/>
    <w:rsid w:val="00603E22"/>
    <w:rsid w:val="00605568"/>
    <w:rsid w:val="00611168"/>
    <w:rsid w:val="00611E09"/>
    <w:rsid w:val="00613B8F"/>
    <w:rsid w:val="006140F8"/>
    <w:rsid w:val="00614E95"/>
    <w:rsid w:val="006175FF"/>
    <w:rsid w:val="00617636"/>
    <w:rsid w:val="0062095D"/>
    <w:rsid w:val="00622480"/>
    <w:rsid w:val="00622D62"/>
    <w:rsid w:val="0062412A"/>
    <w:rsid w:val="00624E0A"/>
    <w:rsid w:val="0062588F"/>
    <w:rsid w:val="00626B7D"/>
    <w:rsid w:val="006310C5"/>
    <w:rsid w:val="00632B28"/>
    <w:rsid w:val="006340C1"/>
    <w:rsid w:val="0063589E"/>
    <w:rsid w:val="0063699E"/>
    <w:rsid w:val="00636D6E"/>
    <w:rsid w:val="00637997"/>
    <w:rsid w:val="00641A57"/>
    <w:rsid w:val="00642572"/>
    <w:rsid w:val="006435BE"/>
    <w:rsid w:val="00643AE9"/>
    <w:rsid w:val="00643B29"/>
    <w:rsid w:val="00643F95"/>
    <w:rsid w:val="006444E2"/>
    <w:rsid w:val="00644EA6"/>
    <w:rsid w:val="006458C7"/>
    <w:rsid w:val="0064600B"/>
    <w:rsid w:val="00646155"/>
    <w:rsid w:val="00646996"/>
    <w:rsid w:val="00646D05"/>
    <w:rsid w:val="006479D9"/>
    <w:rsid w:val="00647D58"/>
    <w:rsid w:val="00651E78"/>
    <w:rsid w:val="00653525"/>
    <w:rsid w:val="0065450D"/>
    <w:rsid w:val="00655967"/>
    <w:rsid w:val="00660A49"/>
    <w:rsid w:val="00662CBE"/>
    <w:rsid w:val="006636CC"/>
    <w:rsid w:val="0066531C"/>
    <w:rsid w:val="0066549F"/>
    <w:rsid w:val="00666286"/>
    <w:rsid w:val="0066764E"/>
    <w:rsid w:val="0067127C"/>
    <w:rsid w:val="006724DB"/>
    <w:rsid w:val="00672B39"/>
    <w:rsid w:val="00673230"/>
    <w:rsid w:val="00674C8E"/>
    <w:rsid w:val="0067695E"/>
    <w:rsid w:val="00676E6E"/>
    <w:rsid w:val="006773ED"/>
    <w:rsid w:val="00677E00"/>
    <w:rsid w:val="0068047E"/>
    <w:rsid w:val="00681049"/>
    <w:rsid w:val="006818E0"/>
    <w:rsid w:val="0068191D"/>
    <w:rsid w:val="006828D8"/>
    <w:rsid w:val="006845F8"/>
    <w:rsid w:val="00684F73"/>
    <w:rsid w:val="0068558A"/>
    <w:rsid w:val="00686228"/>
    <w:rsid w:val="00687E88"/>
    <w:rsid w:val="00691E26"/>
    <w:rsid w:val="006924C6"/>
    <w:rsid w:val="00693DB9"/>
    <w:rsid w:val="0069415B"/>
    <w:rsid w:val="00696D51"/>
    <w:rsid w:val="006A049A"/>
    <w:rsid w:val="006A2C56"/>
    <w:rsid w:val="006A3387"/>
    <w:rsid w:val="006A3E22"/>
    <w:rsid w:val="006A434F"/>
    <w:rsid w:val="006A5180"/>
    <w:rsid w:val="006A533A"/>
    <w:rsid w:val="006A6A52"/>
    <w:rsid w:val="006B1776"/>
    <w:rsid w:val="006B2676"/>
    <w:rsid w:val="006B5248"/>
    <w:rsid w:val="006C72A3"/>
    <w:rsid w:val="006C76BF"/>
    <w:rsid w:val="006D08D1"/>
    <w:rsid w:val="006D0D03"/>
    <w:rsid w:val="006D1B79"/>
    <w:rsid w:val="006D23BF"/>
    <w:rsid w:val="006D24F7"/>
    <w:rsid w:val="006D287E"/>
    <w:rsid w:val="006D31FA"/>
    <w:rsid w:val="006D4409"/>
    <w:rsid w:val="006D5211"/>
    <w:rsid w:val="006D7808"/>
    <w:rsid w:val="006E0263"/>
    <w:rsid w:val="006E088D"/>
    <w:rsid w:val="006E1A69"/>
    <w:rsid w:val="006E2184"/>
    <w:rsid w:val="006E25A5"/>
    <w:rsid w:val="006E3835"/>
    <w:rsid w:val="006E3AFE"/>
    <w:rsid w:val="006E3CBA"/>
    <w:rsid w:val="006E4207"/>
    <w:rsid w:val="006E4B8C"/>
    <w:rsid w:val="006E517E"/>
    <w:rsid w:val="006E51C2"/>
    <w:rsid w:val="006E66DA"/>
    <w:rsid w:val="006F084A"/>
    <w:rsid w:val="006F1424"/>
    <w:rsid w:val="006F21EB"/>
    <w:rsid w:val="006F3425"/>
    <w:rsid w:val="006F42FE"/>
    <w:rsid w:val="006F622E"/>
    <w:rsid w:val="006F7CDB"/>
    <w:rsid w:val="00700743"/>
    <w:rsid w:val="00700D97"/>
    <w:rsid w:val="00701951"/>
    <w:rsid w:val="0070236F"/>
    <w:rsid w:val="00702C11"/>
    <w:rsid w:val="007031F4"/>
    <w:rsid w:val="00704002"/>
    <w:rsid w:val="00705479"/>
    <w:rsid w:val="00707C4F"/>
    <w:rsid w:val="00711C9D"/>
    <w:rsid w:val="0071211F"/>
    <w:rsid w:val="00712345"/>
    <w:rsid w:val="007129D4"/>
    <w:rsid w:val="00714621"/>
    <w:rsid w:val="00714A65"/>
    <w:rsid w:val="007159DC"/>
    <w:rsid w:val="00717D4D"/>
    <w:rsid w:val="00720410"/>
    <w:rsid w:val="00721AA0"/>
    <w:rsid w:val="00721EC5"/>
    <w:rsid w:val="007243AC"/>
    <w:rsid w:val="0072467D"/>
    <w:rsid w:val="00725AA6"/>
    <w:rsid w:val="0072797A"/>
    <w:rsid w:val="00727E09"/>
    <w:rsid w:val="00730501"/>
    <w:rsid w:val="0073661F"/>
    <w:rsid w:val="0073670A"/>
    <w:rsid w:val="007375A8"/>
    <w:rsid w:val="00740664"/>
    <w:rsid w:val="00743814"/>
    <w:rsid w:val="00743A22"/>
    <w:rsid w:val="00743ACC"/>
    <w:rsid w:val="00744C35"/>
    <w:rsid w:val="00744E77"/>
    <w:rsid w:val="00745628"/>
    <w:rsid w:val="00747274"/>
    <w:rsid w:val="00747A18"/>
    <w:rsid w:val="007502B8"/>
    <w:rsid w:val="007511CD"/>
    <w:rsid w:val="007511F2"/>
    <w:rsid w:val="007512DF"/>
    <w:rsid w:val="007538F3"/>
    <w:rsid w:val="00753BB6"/>
    <w:rsid w:val="00754947"/>
    <w:rsid w:val="00754958"/>
    <w:rsid w:val="00755508"/>
    <w:rsid w:val="00756FFD"/>
    <w:rsid w:val="00757395"/>
    <w:rsid w:val="00760A98"/>
    <w:rsid w:val="00760F16"/>
    <w:rsid w:val="00763C6C"/>
    <w:rsid w:val="00766886"/>
    <w:rsid w:val="0077017D"/>
    <w:rsid w:val="00770872"/>
    <w:rsid w:val="00770FF3"/>
    <w:rsid w:val="00773110"/>
    <w:rsid w:val="00775DCD"/>
    <w:rsid w:val="00777ACD"/>
    <w:rsid w:val="007802A9"/>
    <w:rsid w:val="00780449"/>
    <w:rsid w:val="00780C94"/>
    <w:rsid w:val="00782825"/>
    <w:rsid w:val="00783428"/>
    <w:rsid w:val="00783B25"/>
    <w:rsid w:val="00784C48"/>
    <w:rsid w:val="007876E2"/>
    <w:rsid w:val="00790ADD"/>
    <w:rsid w:val="00792C45"/>
    <w:rsid w:val="007957FE"/>
    <w:rsid w:val="00795B7E"/>
    <w:rsid w:val="00795D6E"/>
    <w:rsid w:val="007A078E"/>
    <w:rsid w:val="007A3FBD"/>
    <w:rsid w:val="007A4576"/>
    <w:rsid w:val="007A4F41"/>
    <w:rsid w:val="007A53AC"/>
    <w:rsid w:val="007A6CF7"/>
    <w:rsid w:val="007A715C"/>
    <w:rsid w:val="007B037A"/>
    <w:rsid w:val="007B30DA"/>
    <w:rsid w:val="007B36BE"/>
    <w:rsid w:val="007B4A7E"/>
    <w:rsid w:val="007B5F92"/>
    <w:rsid w:val="007B7A09"/>
    <w:rsid w:val="007C3DC2"/>
    <w:rsid w:val="007C7689"/>
    <w:rsid w:val="007C79A6"/>
    <w:rsid w:val="007D0CE1"/>
    <w:rsid w:val="007D1382"/>
    <w:rsid w:val="007D2044"/>
    <w:rsid w:val="007D426C"/>
    <w:rsid w:val="007D494E"/>
    <w:rsid w:val="007D5263"/>
    <w:rsid w:val="007D696F"/>
    <w:rsid w:val="007E22F4"/>
    <w:rsid w:val="007E3300"/>
    <w:rsid w:val="007E4D15"/>
    <w:rsid w:val="007E67B2"/>
    <w:rsid w:val="007E7D73"/>
    <w:rsid w:val="007F025C"/>
    <w:rsid w:val="007F3038"/>
    <w:rsid w:val="007F3DB9"/>
    <w:rsid w:val="007F5D5D"/>
    <w:rsid w:val="007F6B2A"/>
    <w:rsid w:val="007F7274"/>
    <w:rsid w:val="0080082D"/>
    <w:rsid w:val="00801675"/>
    <w:rsid w:val="00801BE3"/>
    <w:rsid w:val="00801ED0"/>
    <w:rsid w:val="00802020"/>
    <w:rsid w:val="00802F23"/>
    <w:rsid w:val="00803F68"/>
    <w:rsid w:val="00805D5C"/>
    <w:rsid w:val="0080622E"/>
    <w:rsid w:val="0080660B"/>
    <w:rsid w:val="008125F0"/>
    <w:rsid w:val="0081262A"/>
    <w:rsid w:val="00814081"/>
    <w:rsid w:val="008141FE"/>
    <w:rsid w:val="008147C1"/>
    <w:rsid w:val="00815387"/>
    <w:rsid w:val="00815B31"/>
    <w:rsid w:val="00817F2B"/>
    <w:rsid w:val="0082108E"/>
    <w:rsid w:val="00821C2D"/>
    <w:rsid w:val="00823BAF"/>
    <w:rsid w:val="00824405"/>
    <w:rsid w:val="008277C2"/>
    <w:rsid w:val="00830745"/>
    <w:rsid w:val="00830DC3"/>
    <w:rsid w:val="00833575"/>
    <w:rsid w:val="00834A23"/>
    <w:rsid w:val="00834DA9"/>
    <w:rsid w:val="00835600"/>
    <w:rsid w:val="0083658E"/>
    <w:rsid w:val="00837FBC"/>
    <w:rsid w:val="0084055E"/>
    <w:rsid w:val="008417BE"/>
    <w:rsid w:val="00842D85"/>
    <w:rsid w:val="00843836"/>
    <w:rsid w:val="00845287"/>
    <w:rsid w:val="00845BE6"/>
    <w:rsid w:val="00845EEF"/>
    <w:rsid w:val="00846BD6"/>
    <w:rsid w:val="008479B1"/>
    <w:rsid w:val="0085316D"/>
    <w:rsid w:val="008534A3"/>
    <w:rsid w:val="00853A08"/>
    <w:rsid w:val="0085429B"/>
    <w:rsid w:val="0085545E"/>
    <w:rsid w:val="0085603C"/>
    <w:rsid w:val="00857802"/>
    <w:rsid w:val="00861E63"/>
    <w:rsid w:val="00863506"/>
    <w:rsid w:val="00863A23"/>
    <w:rsid w:val="00863C82"/>
    <w:rsid w:val="00865784"/>
    <w:rsid w:val="00870BA7"/>
    <w:rsid w:val="008728D9"/>
    <w:rsid w:val="00874B90"/>
    <w:rsid w:val="008817F3"/>
    <w:rsid w:val="00881ED0"/>
    <w:rsid w:val="008828CC"/>
    <w:rsid w:val="00887222"/>
    <w:rsid w:val="0088728C"/>
    <w:rsid w:val="0089034C"/>
    <w:rsid w:val="008903E4"/>
    <w:rsid w:val="00892750"/>
    <w:rsid w:val="0089315E"/>
    <w:rsid w:val="00894015"/>
    <w:rsid w:val="00895E54"/>
    <w:rsid w:val="00896109"/>
    <w:rsid w:val="00897AEC"/>
    <w:rsid w:val="008A0196"/>
    <w:rsid w:val="008A1504"/>
    <w:rsid w:val="008A4795"/>
    <w:rsid w:val="008A5DAD"/>
    <w:rsid w:val="008A7795"/>
    <w:rsid w:val="008B0A06"/>
    <w:rsid w:val="008B411D"/>
    <w:rsid w:val="008B60EC"/>
    <w:rsid w:val="008B675A"/>
    <w:rsid w:val="008C0898"/>
    <w:rsid w:val="008C3D9F"/>
    <w:rsid w:val="008C42B6"/>
    <w:rsid w:val="008C43C5"/>
    <w:rsid w:val="008C4AC6"/>
    <w:rsid w:val="008C7C20"/>
    <w:rsid w:val="008D0CD4"/>
    <w:rsid w:val="008D1F00"/>
    <w:rsid w:val="008D3932"/>
    <w:rsid w:val="008D468F"/>
    <w:rsid w:val="008D76C5"/>
    <w:rsid w:val="008E011D"/>
    <w:rsid w:val="008E0702"/>
    <w:rsid w:val="008E0D1C"/>
    <w:rsid w:val="008E10C5"/>
    <w:rsid w:val="008E2326"/>
    <w:rsid w:val="008E4A6D"/>
    <w:rsid w:val="008E538A"/>
    <w:rsid w:val="008E5B69"/>
    <w:rsid w:val="008E6B69"/>
    <w:rsid w:val="008F024F"/>
    <w:rsid w:val="008F0AF3"/>
    <w:rsid w:val="008F247C"/>
    <w:rsid w:val="008F2548"/>
    <w:rsid w:val="008F281F"/>
    <w:rsid w:val="008F2A5E"/>
    <w:rsid w:val="008F4D9C"/>
    <w:rsid w:val="008F6DD5"/>
    <w:rsid w:val="008F74CC"/>
    <w:rsid w:val="00904CF5"/>
    <w:rsid w:val="00905C66"/>
    <w:rsid w:val="00905F5F"/>
    <w:rsid w:val="009101E1"/>
    <w:rsid w:val="00910EAB"/>
    <w:rsid w:val="00913157"/>
    <w:rsid w:val="00921E32"/>
    <w:rsid w:val="009227C9"/>
    <w:rsid w:val="00924CCA"/>
    <w:rsid w:val="00925478"/>
    <w:rsid w:val="00925627"/>
    <w:rsid w:val="00930235"/>
    <w:rsid w:val="00930EC5"/>
    <w:rsid w:val="009333DA"/>
    <w:rsid w:val="00933A5A"/>
    <w:rsid w:val="00933CAE"/>
    <w:rsid w:val="00934F5C"/>
    <w:rsid w:val="0093542C"/>
    <w:rsid w:val="009376EE"/>
    <w:rsid w:val="0094019B"/>
    <w:rsid w:val="009407C4"/>
    <w:rsid w:val="00940C05"/>
    <w:rsid w:val="00942FD9"/>
    <w:rsid w:val="0094375D"/>
    <w:rsid w:val="0094509A"/>
    <w:rsid w:val="0094590F"/>
    <w:rsid w:val="00946652"/>
    <w:rsid w:val="00947BB6"/>
    <w:rsid w:val="0095250E"/>
    <w:rsid w:val="00952A92"/>
    <w:rsid w:val="00957433"/>
    <w:rsid w:val="009607AF"/>
    <w:rsid w:val="009622A5"/>
    <w:rsid w:val="00963CE1"/>
    <w:rsid w:val="009665A2"/>
    <w:rsid w:val="009704CC"/>
    <w:rsid w:val="00971180"/>
    <w:rsid w:val="00973339"/>
    <w:rsid w:val="009741BA"/>
    <w:rsid w:val="00975E83"/>
    <w:rsid w:val="00980B11"/>
    <w:rsid w:val="0098208D"/>
    <w:rsid w:val="00986552"/>
    <w:rsid w:val="009914A3"/>
    <w:rsid w:val="00992398"/>
    <w:rsid w:val="009950F3"/>
    <w:rsid w:val="00996711"/>
    <w:rsid w:val="00997B97"/>
    <w:rsid w:val="009A5D2C"/>
    <w:rsid w:val="009A64C2"/>
    <w:rsid w:val="009A71D4"/>
    <w:rsid w:val="009B0EB5"/>
    <w:rsid w:val="009B358E"/>
    <w:rsid w:val="009B38BB"/>
    <w:rsid w:val="009B41D5"/>
    <w:rsid w:val="009B424C"/>
    <w:rsid w:val="009B57F5"/>
    <w:rsid w:val="009B78E2"/>
    <w:rsid w:val="009C11D9"/>
    <w:rsid w:val="009C19B7"/>
    <w:rsid w:val="009C4244"/>
    <w:rsid w:val="009C5368"/>
    <w:rsid w:val="009C5A37"/>
    <w:rsid w:val="009C5FC8"/>
    <w:rsid w:val="009C6C3A"/>
    <w:rsid w:val="009C6C79"/>
    <w:rsid w:val="009C71F6"/>
    <w:rsid w:val="009C77A0"/>
    <w:rsid w:val="009D19C9"/>
    <w:rsid w:val="009D2693"/>
    <w:rsid w:val="009D3157"/>
    <w:rsid w:val="009D3FB9"/>
    <w:rsid w:val="009D577E"/>
    <w:rsid w:val="009D60FD"/>
    <w:rsid w:val="009E0E4E"/>
    <w:rsid w:val="009E0EA7"/>
    <w:rsid w:val="009E1F02"/>
    <w:rsid w:val="009E3586"/>
    <w:rsid w:val="009E4E60"/>
    <w:rsid w:val="009E4F1A"/>
    <w:rsid w:val="009E4FFF"/>
    <w:rsid w:val="009E7657"/>
    <w:rsid w:val="009F20A5"/>
    <w:rsid w:val="009F35FF"/>
    <w:rsid w:val="009F3C89"/>
    <w:rsid w:val="009F3D9C"/>
    <w:rsid w:val="009F3DAD"/>
    <w:rsid w:val="009F3F49"/>
    <w:rsid w:val="009F4699"/>
    <w:rsid w:val="009F49E6"/>
    <w:rsid w:val="009F5ED2"/>
    <w:rsid w:val="009F6872"/>
    <w:rsid w:val="009F7708"/>
    <w:rsid w:val="009F79C9"/>
    <w:rsid w:val="00A01B3C"/>
    <w:rsid w:val="00A0205A"/>
    <w:rsid w:val="00A02CE1"/>
    <w:rsid w:val="00A0677C"/>
    <w:rsid w:val="00A1147F"/>
    <w:rsid w:val="00A154C2"/>
    <w:rsid w:val="00A16BC3"/>
    <w:rsid w:val="00A17F23"/>
    <w:rsid w:val="00A21131"/>
    <w:rsid w:val="00A2131F"/>
    <w:rsid w:val="00A21D78"/>
    <w:rsid w:val="00A226B8"/>
    <w:rsid w:val="00A23343"/>
    <w:rsid w:val="00A234AE"/>
    <w:rsid w:val="00A23CE1"/>
    <w:rsid w:val="00A25814"/>
    <w:rsid w:val="00A25C0D"/>
    <w:rsid w:val="00A25EAE"/>
    <w:rsid w:val="00A30A88"/>
    <w:rsid w:val="00A30C99"/>
    <w:rsid w:val="00A31A57"/>
    <w:rsid w:val="00A338D7"/>
    <w:rsid w:val="00A33CEA"/>
    <w:rsid w:val="00A33E09"/>
    <w:rsid w:val="00A352B1"/>
    <w:rsid w:val="00A36356"/>
    <w:rsid w:val="00A40520"/>
    <w:rsid w:val="00A40F03"/>
    <w:rsid w:val="00A43D62"/>
    <w:rsid w:val="00A45507"/>
    <w:rsid w:val="00A462DD"/>
    <w:rsid w:val="00A46F7C"/>
    <w:rsid w:val="00A50372"/>
    <w:rsid w:val="00A509F0"/>
    <w:rsid w:val="00A50A03"/>
    <w:rsid w:val="00A5125D"/>
    <w:rsid w:val="00A51744"/>
    <w:rsid w:val="00A52137"/>
    <w:rsid w:val="00A53670"/>
    <w:rsid w:val="00A5474D"/>
    <w:rsid w:val="00A54BD2"/>
    <w:rsid w:val="00A557AC"/>
    <w:rsid w:val="00A55C9A"/>
    <w:rsid w:val="00A55E76"/>
    <w:rsid w:val="00A56D23"/>
    <w:rsid w:val="00A60891"/>
    <w:rsid w:val="00A61874"/>
    <w:rsid w:val="00A63262"/>
    <w:rsid w:val="00A63A2B"/>
    <w:rsid w:val="00A63D62"/>
    <w:rsid w:val="00A653A6"/>
    <w:rsid w:val="00A65A85"/>
    <w:rsid w:val="00A669D6"/>
    <w:rsid w:val="00A66E0B"/>
    <w:rsid w:val="00A704AB"/>
    <w:rsid w:val="00A7346C"/>
    <w:rsid w:val="00A761E2"/>
    <w:rsid w:val="00A7717F"/>
    <w:rsid w:val="00A805FD"/>
    <w:rsid w:val="00A81325"/>
    <w:rsid w:val="00A813E1"/>
    <w:rsid w:val="00A81BAB"/>
    <w:rsid w:val="00A833C7"/>
    <w:rsid w:val="00A84172"/>
    <w:rsid w:val="00A87363"/>
    <w:rsid w:val="00A87E0E"/>
    <w:rsid w:val="00A90167"/>
    <w:rsid w:val="00A9121F"/>
    <w:rsid w:val="00A912EB"/>
    <w:rsid w:val="00A938DE"/>
    <w:rsid w:val="00A94CCD"/>
    <w:rsid w:val="00A95BD9"/>
    <w:rsid w:val="00A95D0A"/>
    <w:rsid w:val="00A95F05"/>
    <w:rsid w:val="00A97110"/>
    <w:rsid w:val="00A9784D"/>
    <w:rsid w:val="00AA1D00"/>
    <w:rsid w:val="00AA26FC"/>
    <w:rsid w:val="00AA2704"/>
    <w:rsid w:val="00AA27F1"/>
    <w:rsid w:val="00AA2DCE"/>
    <w:rsid w:val="00AA4D02"/>
    <w:rsid w:val="00AA5BAB"/>
    <w:rsid w:val="00AA6636"/>
    <w:rsid w:val="00AB02BE"/>
    <w:rsid w:val="00AB1845"/>
    <w:rsid w:val="00AB3223"/>
    <w:rsid w:val="00AB34DC"/>
    <w:rsid w:val="00AB4858"/>
    <w:rsid w:val="00AB6542"/>
    <w:rsid w:val="00AB6B8C"/>
    <w:rsid w:val="00AB7BB0"/>
    <w:rsid w:val="00AC04F5"/>
    <w:rsid w:val="00AC1477"/>
    <w:rsid w:val="00AC1BDA"/>
    <w:rsid w:val="00AC1E88"/>
    <w:rsid w:val="00AC2517"/>
    <w:rsid w:val="00AC3B8E"/>
    <w:rsid w:val="00AC53CD"/>
    <w:rsid w:val="00AC64A7"/>
    <w:rsid w:val="00AD0A87"/>
    <w:rsid w:val="00AD1120"/>
    <w:rsid w:val="00AD1FE7"/>
    <w:rsid w:val="00AD35FB"/>
    <w:rsid w:val="00AD5841"/>
    <w:rsid w:val="00AE29B1"/>
    <w:rsid w:val="00AE4876"/>
    <w:rsid w:val="00AE625B"/>
    <w:rsid w:val="00AE7677"/>
    <w:rsid w:val="00AF3ADE"/>
    <w:rsid w:val="00AF4BD9"/>
    <w:rsid w:val="00AF4F3B"/>
    <w:rsid w:val="00AF7200"/>
    <w:rsid w:val="00AF754B"/>
    <w:rsid w:val="00B01761"/>
    <w:rsid w:val="00B0197D"/>
    <w:rsid w:val="00B03197"/>
    <w:rsid w:val="00B0397C"/>
    <w:rsid w:val="00B04B20"/>
    <w:rsid w:val="00B118AF"/>
    <w:rsid w:val="00B14E96"/>
    <w:rsid w:val="00B17490"/>
    <w:rsid w:val="00B17DE1"/>
    <w:rsid w:val="00B22467"/>
    <w:rsid w:val="00B2401B"/>
    <w:rsid w:val="00B25D15"/>
    <w:rsid w:val="00B305A0"/>
    <w:rsid w:val="00B31252"/>
    <w:rsid w:val="00B32A7D"/>
    <w:rsid w:val="00B33F21"/>
    <w:rsid w:val="00B35324"/>
    <w:rsid w:val="00B35453"/>
    <w:rsid w:val="00B36A33"/>
    <w:rsid w:val="00B36A8A"/>
    <w:rsid w:val="00B4237D"/>
    <w:rsid w:val="00B424C3"/>
    <w:rsid w:val="00B44F37"/>
    <w:rsid w:val="00B4578D"/>
    <w:rsid w:val="00B45BD2"/>
    <w:rsid w:val="00B473E8"/>
    <w:rsid w:val="00B50C50"/>
    <w:rsid w:val="00B50EC1"/>
    <w:rsid w:val="00B5250D"/>
    <w:rsid w:val="00B565DF"/>
    <w:rsid w:val="00B578B9"/>
    <w:rsid w:val="00B57D22"/>
    <w:rsid w:val="00B61450"/>
    <w:rsid w:val="00B64120"/>
    <w:rsid w:val="00B64525"/>
    <w:rsid w:val="00B6506E"/>
    <w:rsid w:val="00B66552"/>
    <w:rsid w:val="00B71691"/>
    <w:rsid w:val="00B73F27"/>
    <w:rsid w:val="00B741BD"/>
    <w:rsid w:val="00B75B59"/>
    <w:rsid w:val="00B82D5D"/>
    <w:rsid w:val="00B8306C"/>
    <w:rsid w:val="00B84EC8"/>
    <w:rsid w:val="00B85BA4"/>
    <w:rsid w:val="00B86535"/>
    <w:rsid w:val="00B8683A"/>
    <w:rsid w:val="00B87D1C"/>
    <w:rsid w:val="00B9070B"/>
    <w:rsid w:val="00B92476"/>
    <w:rsid w:val="00B94E28"/>
    <w:rsid w:val="00B954A6"/>
    <w:rsid w:val="00B96E3B"/>
    <w:rsid w:val="00B9743B"/>
    <w:rsid w:val="00B974B8"/>
    <w:rsid w:val="00B97980"/>
    <w:rsid w:val="00BA19B2"/>
    <w:rsid w:val="00BA2076"/>
    <w:rsid w:val="00BA232D"/>
    <w:rsid w:val="00BA2AE3"/>
    <w:rsid w:val="00BA3ED9"/>
    <w:rsid w:val="00BA4200"/>
    <w:rsid w:val="00BA4C45"/>
    <w:rsid w:val="00BA7B92"/>
    <w:rsid w:val="00BB07DD"/>
    <w:rsid w:val="00BB1165"/>
    <w:rsid w:val="00BB11CB"/>
    <w:rsid w:val="00BB12D3"/>
    <w:rsid w:val="00BB2639"/>
    <w:rsid w:val="00BB3E1A"/>
    <w:rsid w:val="00BB57C3"/>
    <w:rsid w:val="00BB6DEB"/>
    <w:rsid w:val="00BB7D9A"/>
    <w:rsid w:val="00BC0446"/>
    <w:rsid w:val="00BC2D08"/>
    <w:rsid w:val="00BC346B"/>
    <w:rsid w:val="00BC423D"/>
    <w:rsid w:val="00BC4E4C"/>
    <w:rsid w:val="00BC7C5E"/>
    <w:rsid w:val="00BD3006"/>
    <w:rsid w:val="00BD3DD5"/>
    <w:rsid w:val="00BD66BE"/>
    <w:rsid w:val="00BD7249"/>
    <w:rsid w:val="00BE11CF"/>
    <w:rsid w:val="00BE1A46"/>
    <w:rsid w:val="00BE312D"/>
    <w:rsid w:val="00BE39AF"/>
    <w:rsid w:val="00BE73E4"/>
    <w:rsid w:val="00BF46AC"/>
    <w:rsid w:val="00BF4840"/>
    <w:rsid w:val="00BF5475"/>
    <w:rsid w:val="00BF6581"/>
    <w:rsid w:val="00C0148E"/>
    <w:rsid w:val="00C01C83"/>
    <w:rsid w:val="00C03646"/>
    <w:rsid w:val="00C05924"/>
    <w:rsid w:val="00C06870"/>
    <w:rsid w:val="00C118F0"/>
    <w:rsid w:val="00C11A43"/>
    <w:rsid w:val="00C12D6F"/>
    <w:rsid w:val="00C14367"/>
    <w:rsid w:val="00C156D8"/>
    <w:rsid w:val="00C15D17"/>
    <w:rsid w:val="00C16EE9"/>
    <w:rsid w:val="00C2278A"/>
    <w:rsid w:val="00C244A2"/>
    <w:rsid w:val="00C24A8C"/>
    <w:rsid w:val="00C25F90"/>
    <w:rsid w:val="00C27F17"/>
    <w:rsid w:val="00C302FA"/>
    <w:rsid w:val="00C331F0"/>
    <w:rsid w:val="00C33A7A"/>
    <w:rsid w:val="00C34104"/>
    <w:rsid w:val="00C3743F"/>
    <w:rsid w:val="00C422EB"/>
    <w:rsid w:val="00C42FA1"/>
    <w:rsid w:val="00C4338B"/>
    <w:rsid w:val="00C44DAD"/>
    <w:rsid w:val="00C450DE"/>
    <w:rsid w:val="00C506CF"/>
    <w:rsid w:val="00C53052"/>
    <w:rsid w:val="00C55EA5"/>
    <w:rsid w:val="00C6188A"/>
    <w:rsid w:val="00C652BD"/>
    <w:rsid w:val="00C667E5"/>
    <w:rsid w:val="00C7047E"/>
    <w:rsid w:val="00C70EDA"/>
    <w:rsid w:val="00C71B4B"/>
    <w:rsid w:val="00C72685"/>
    <w:rsid w:val="00C72D26"/>
    <w:rsid w:val="00C7495C"/>
    <w:rsid w:val="00C74997"/>
    <w:rsid w:val="00C75D95"/>
    <w:rsid w:val="00C7637E"/>
    <w:rsid w:val="00C82042"/>
    <w:rsid w:val="00C8233F"/>
    <w:rsid w:val="00C83884"/>
    <w:rsid w:val="00C8518B"/>
    <w:rsid w:val="00C85BB4"/>
    <w:rsid w:val="00C86986"/>
    <w:rsid w:val="00C87024"/>
    <w:rsid w:val="00C87F88"/>
    <w:rsid w:val="00C902FE"/>
    <w:rsid w:val="00C93C2B"/>
    <w:rsid w:val="00C9517B"/>
    <w:rsid w:val="00C97868"/>
    <w:rsid w:val="00CA1BD6"/>
    <w:rsid w:val="00CA2F45"/>
    <w:rsid w:val="00CA415C"/>
    <w:rsid w:val="00CA6CB3"/>
    <w:rsid w:val="00CA7A24"/>
    <w:rsid w:val="00CB10DB"/>
    <w:rsid w:val="00CB168A"/>
    <w:rsid w:val="00CB2782"/>
    <w:rsid w:val="00CB3483"/>
    <w:rsid w:val="00CB44EB"/>
    <w:rsid w:val="00CB6BC6"/>
    <w:rsid w:val="00CB742D"/>
    <w:rsid w:val="00CB7762"/>
    <w:rsid w:val="00CB7F06"/>
    <w:rsid w:val="00CB7F1C"/>
    <w:rsid w:val="00CC0B67"/>
    <w:rsid w:val="00CC0C3C"/>
    <w:rsid w:val="00CC1732"/>
    <w:rsid w:val="00CC202D"/>
    <w:rsid w:val="00CC478D"/>
    <w:rsid w:val="00CC5792"/>
    <w:rsid w:val="00CC667F"/>
    <w:rsid w:val="00CD03E0"/>
    <w:rsid w:val="00CD082D"/>
    <w:rsid w:val="00CD1964"/>
    <w:rsid w:val="00CD1D5F"/>
    <w:rsid w:val="00CD2832"/>
    <w:rsid w:val="00CD382B"/>
    <w:rsid w:val="00CD4F0E"/>
    <w:rsid w:val="00CD5564"/>
    <w:rsid w:val="00CD5CC2"/>
    <w:rsid w:val="00CD65AC"/>
    <w:rsid w:val="00CD6AB0"/>
    <w:rsid w:val="00CE0B03"/>
    <w:rsid w:val="00CE15F4"/>
    <w:rsid w:val="00CE16E1"/>
    <w:rsid w:val="00CE3447"/>
    <w:rsid w:val="00CE4006"/>
    <w:rsid w:val="00CE748E"/>
    <w:rsid w:val="00CE799D"/>
    <w:rsid w:val="00CE7CB8"/>
    <w:rsid w:val="00CF0461"/>
    <w:rsid w:val="00CF5CDC"/>
    <w:rsid w:val="00CF7569"/>
    <w:rsid w:val="00D04A2F"/>
    <w:rsid w:val="00D0787D"/>
    <w:rsid w:val="00D11974"/>
    <w:rsid w:val="00D11C23"/>
    <w:rsid w:val="00D12C40"/>
    <w:rsid w:val="00D14A69"/>
    <w:rsid w:val="00D15A70"/>
    <w:rsid w:val="00D171B2"/>
    <w:rsid w:val="00D21E1C"/>
    <w:rsid w:val="00D22147"/>
    <w:rsid w:val="00D2434D"/>
    <w:rsid w:val="00D27787"/>
    <w:rsid w:val="00D27D56"/>
    <w:rsid w:val="00D32CED"/>
    <w:rsid w:val="00D33760"/>
    <w:rsid w:val="00D35508"/>
    <w:rsid w:val="00D35C29"/>
    <w:rsid w:val="00D35DDC"/>
    <w:rsid w:val="00D41037"/>
    <w:rsid w:val="00D42AC8"/>
    <w:rsid w:val="00D42C3C"/>
    <w:rsid w:val="00D44EB2"/>
    <w:rsid w:val="00D45488"/>
    <w:rsid w:val="00D45692"/>
    <w:rsid w:val="00D47051"/>
    <w:rsid w:val="00D47714"/>
    <w:rsid w:val="00D520A7"/>
    <w:rsid w:val="00D54CF7"/>
    <w:rsid w:val="00D56770"/>
    <w:rsid w:val="00D606AB"/>
    <w:rsid w:val="00D61936"/>
    <w:rsid w:val="00D61F98"/>
    <w:rsid w:val="00D62873"/>
    <w:rsid w:val="00D62EFA"/>
    <w:rsid w:val="00D62F1A"/>
    <w:rsid w:val="00D64906"/>
    <w:rsid w:val="00D64F75"/>
    <w:rsid w:val="00D65750"/>
    <w:rsid w:val="00D66905"/>
    <w:rsid w:val="00D67BA8"/>
    <w:rsid w:val="00D70D44"/>
    <w:rsid w:val="00D7157C"/>
    <w:rsid w:val="00D74DF4"/>
    <w:rsid w:val="00D76E4C"/>
    <w:rsid w:val="00D8268A"/>
    <w:rsid w:val="00D82F4A"/>
    <w:rsid w:val="00D8571A"/>
    <w:rsid w:val="00D857C7"/>
    <w:rsid w:val="00D85E2C"/>
    <w:rsid w:val="00D860AD"/>
    <w:rsid w:val="00D86952"/>
    <w:rsid w:val="00D86B6F"/>
    <w:rsid w:val="00D908C9"/>
    <w:rsid w:val="00D911AF"/>
    <w:rsid w:val="00D91E7B"/>
    <w:rsid w:val="00D95B13"/>
    <w:rsid w:val="00D95C0F"/>
    <w:rsid w:val="00D97AF1"/>
    <w:rsid w:val="00DA5867"/>
    <w:rsid w:val="00DA7CFF"/>
    <w:rsid w:val="00DB00CC"/>
    <w:rsid w:val="00DB17B2"/>
    <w:rsid w:val="00DB30B3"/>
    <w:rsid w:val="00DB3CA3"/>
    <w:rsid w:val="00DB58AA"/>
    <w:rsid w:val="00DB5961"/>
    <w:rsid w:val="00DB752B"/>
    <w:rsid w:val="00DB7E9B"/>
    <w:rsid w:val="00DC1B8C"/>
    <w:rsid w:val="00DC3880"/>
    <w:rsid w:val="00DC6E7E"/>
    <w:rsid w:val="00DC746E"/>
    <w:rsid w:val="00DD0ABC"/>
    <w:rsid w:val="00DD1203"/>
    <w:rsid w:val="00DD2F52"/>
    <w:rsid w:val="00DD3D60"/>
    <w:rsid w:val="00DD3FE0"/>
    <w:rsid w:val="00DD4C2B"/>
    <w:rsid w:val="00DD7775"/>
    <w:rsid w:val="00DD77B8"/>
    <w:rsid w:val="00DD7C4F"/>
    <w:rsid w:val="00DE0BA4"/>
    <w:rsid w:val="00DE152F"/>
    <w:rsid w:val="00DE3E69"/>
    <w:rsid w:val="00DE3F78"/>
    <w:rsid w:val="00DE6B6A"/>
    <w:rsid w:val="00DE7DE0"/>
    <w:rsid w:val="00DF0F4D"/>
    <w:rsid w:val="00DF1C2F"/>
    <w:rsid w:val="00DF1EFB"/>
    <w:rsid w:val="00DF3087"/>
    <w:rsid w:val="00DF64B5"/>
    <w:rsid w:val="00DF6C56"/>
    <w:rsid w:val="00E0000C"/>
    <w:rsid w:val="00E00AD4"/>
    <w:rsid w:val="00E011A8"/>
    <w:rsid w:val="00E01D8B"/>
    <w:rsid w:val="00E0659E"/>
    <w:rsid w:val="00E07291"/>
    <w:rsid w:val="00E10AC6"/>
    <w:rsid w:val="00E11565"/>
    <w:rsid w:val="00E11F36"/>
    <w:rsid w:val="00E120A7"/>
    <w:rsid w:val="00E132AF"/>
    <w:rsid w:val="00E14477"/>
    <w:rsid w:val="00E15497"/>
    <w:rsid w:val="00E16B3C"/>
    <w:rsid w:val="00E201A8"/>
    <w:rsid w:val="00E202E9"/>
    <w:rsid w:val="00E20655"/>
    <w:rsid w:val="00E2139E"/>
    <w:rsid w:val="00E21445"/>
    <w:rsid w:val="00E2296A"/>
    <w:rsid w:val="00E22CBF"/>
    <w:rsid w:val="00E25E90"/>
    <w:rsid w:val="00E2692C"/>
    <w:rsid w:val="00E30AAE"/>
    <w:rsid w:val="00E341D8"/>
    <w:rsid w:val="00E343E9"/>
    <w:rsid w:val="00E3570C"/>
    <w:rsid w:val="00E35DC3"/>
    <w:rsid w:val="00E37043"/>
    <w:rsid w:val="00E409DB"/>
    <w:rsid w:val="00E415C4"/>
    <w:rsid w:val="00E43564"/>
    <w:rsid w:val="00E4372F"/>
    <w:rsid w:val="00E458C2"/>
    <w:rsid w:val="00E47D86"/>
    <w:rsid w:val="00E47E55"/>
    <w:rsid w:val="00E5071D"/>
    <w:rsid w:val="00E51378"/>
    <w:rsid w:val="00E51D6D"/>
    <w:rsid w:val="00E548D5"/>
    <w:rsid w:val="00E54AB1"/>
    <w:rsid w:val="00E55B92"/>
    <w:rsid w:val="00E55F0F"/>
    <w:rsid w:val="00E5646F"/>
    <w:rsid w:val="00E56547"/>
    <w:rsid w:val="00E57B05"/>
    <w:rsid w:val="00E61EEA"/>
    <w:rsid w:val="00E64B8D"/>
    <w:rsid w:val="00E65856"/>
    <w:rsid w:val="00E66756"/>
    <w:rsid w:val="00E67142"/>
    <w:rsid w:val="00E672E1"/>
    <w:rsid w:val="00E704DC"/>
    <w:rsid w:val="00E715A5"/>
    <w:rsid w:val="00E71A96"/>
    <w:rsid w:val="00E74DD5"/>
    <w:rsid w:val="00E7572E"/>
    <w:rsid w:val="00E761F9"/>
    <w:rsid w:val="00E81438"/>
    <w:rsid w:val="00E82648"/>
    <w:rsid w:val="00E8476B"/>
    <w:rsid w:val="00E847CD"/>
    <w:rsid w:val="00E87774"/>
    <w:rsid w:val="00E87917"/>
    <w:rsid w:val="00E87D26"/>
    <w:rsid w:val="00E90C89"/>
    <w:rsid w:val="00E92A69"/>
    <w:rsid w:val="00E93A14"/>
    <w:rsid w:val="00E97AA0"/>
    <w:rsid w:val="00EA19FA"/>
    <w:rsid w:val="00EA4626"/>
    <w:rsid w:val="00EA477C"/>
    <w:rsid w:val="00EA50EB"/>
    <w:rsid w:val="00EA6150"/>
    <w:rsid w:val="00EB1180"/>
    <w:rsid w:val="00EB175D"/>
    <w:rsid w:val="00EB2650"/>
    <w:rsid w:val="00EB3D2D"/>
    <w:rsid w:val="00EB5A22"/>
    <w:rsid w:val="00EB6617"/>
    <w:rsid w:val="00EB6F23"/>
    <w:rsid w:val="00EC2D5A"/>
    <w:rsid w:val="00EC5653"/>
    <w:rsid w:val="00EC6D25"/>
    <w:rsid w:val="00EC7603"/>
    <w:rsid w:val="00ED1398"/>
    <w:rsid w:val="00ED1B38"/>
    <w:rsid w:val="00ED25DC"/>
    <w:rsid w:val="00ED4DEA"/>
    <w:rsid w:val="00ED5A1D"/>
    <w:rsid w:val="00ED769A"/>
    <w:rsid w:val="00ED783C"/>
    <w:rsid w:val="00EE15C2"/>
    <w:rsid w:val="00EE345F"/>
    <w:rsid w:val="00EE34D1"/>
    <w:rsid w:val="00EE39C1"/>
    <w:rsid w:val="00EE4914"/>
    <w:rsid w:val="00EE52A9"/>
    <w:rsid w:val="00EE550D"/>
    <w:rsid w:val="00EE6C2D"/>
    <w:rsid w:val="00EF035F"/>
    <w:rsid w:val="00EF102B"/>
    <w:rsid w:val="00EF1633"/>
    <w:rsid w:val="00EF24B6"/>
    <w:rsid w:val="00EF2FD6"/>
    <w:rsid w:val="00EF56B3"/>
    <w:rsid w:val="00EF6EA1"/>
    <w:rsid w:val="00EF7791"/>
    <w:rsid w:val="00F02E53"/>
    <w:rsid w:val="00F0484C"/>
    <w:rsid w:val="00F04FDA"/>
    <w:rsid w:val="00F0545C"/>
    <w:rsid w:val="00F06DE1"/>
    <w:rsid w:val="00F07E13"/>
    <w:rsid w:val="00F131CD"/>
    <w:rsid w:val="00F134C4"/>
    <w:rsid w:val="00F20A6C"/>
    <w:rsid w:val="00F230C9"/>
    <w:rsid w:val="00F25934"/>
    <w:rsid w:val="00F2651B"/>
    <w:rsid w:val="00F31914"/>
    <w:rsid w:val="00F332D0"/>
    <w:rsid w:val="00F3375A"/>
    <w:rsid w:val="00F35055"/>
    <w:rsid w:val="00F354FE"/>
    <w:rsid w:val="00F35B4D"/>
    <w:rsid w:val="00F35DAD"/>
    <w:rsid w:val="00F3691B"/>
    <w:rsid w:val="00F36A89"/>
    <w:rsid w:val="00F37532"/>
    <w:rsid w:val="00F4014A"/>
    <w:rsid w:val="00F4182E"/>
    <w:rsid w:val="00F44501"/>
    <w:rsid w:val="00F47FDF"/>
    <w:rsid w:val="00F521E9"/>
    <w:rsid w:val="00F55612"/>
    <w:rsid w:val="00F55FC8"/>
    <w:rsid w:val="00F600CC"/>
    <w:rsid w:val="00F60280"/>
    <w:rsid w:val="00F623A5"/>
    <w:rsid w:val="00F63F01"/>
    <w:rsid w:val="00F6431E"/>
    <w:rsid w:val="00F64E75"/>
    <w:rsid w:val="00F70C77"/>
    <w:rsid w:val="00F715FC"/>
    <w:rsid w:val="00F72227"/>
    <w:rsid w:val="00F73AA1"/>
    <w:rsid w:val="00F74E39"/>
    <w:rsid w:val="00F7706D"/>
    <w:rsid w:val="00F80040"/>
    <w:rsid w:val="00F81B60"/>
    <w:rsid w:val="00F81DDA"/>
    <w:rsid w:val="00F849BD"/>
    <w:rsid w:val="00F84ECC"/>
    <w:rsid w:val="00F8549D"/>
    <w:rsid w:val="00F87A9F"/>
    <w:rsid w:val="00F909E0"/>
    <w:rsid w:val="00F9151E"/>
    <w:rsid w:val="00F91E5F"/>
    <w:rsid w:val="00F92E20"/>
    <w:rsid w:val="00F959BF"/>
    <w:rsid w:val="00F97249"/>
    <w:rsid w:val="00F97551"/>
    <w:rsid w:val="00FA14E4"/>
    <w:rsid w:val="00FA1672"/>
    <w:rsid w:val="00FA1B3C"/>
    <w:rsid w:val="00FA4F14"/>
    <w:rsid w:val="00FA505E"/>
    <w:rsid w:val="00FA5345"/>
    <w:rsid w:val="00FA5ED4"/>
    <w:rsid w:val="00FA7AFA"/>
    <w:rsid w:val="00FB222C"/>
    <w:rsid w:val="00FB2975"/>
    <w:rsid w:val="00FB2B06"/>
    <w:rsid w:val="00FB35E1"/>
    <w:rsid w:val="00FB3CDB"/>
    <w:rsid w:val="00FB6CA4"/>
    <w:rsid w:val="00FB738E"/>
    <w:rsid w:val="00FC3B92"/>
    <w:rsid w:val="00FC3F46"/>
    <w:rsid w:val="00FC584C"/>
    <w:rsid w:val="00FC6B4D"/>
    <w:rsid w:val="00FD1961"/>
    <w:rsid w:val="00FD1BC7"/>
    <w:rsid w:val="00FD49F3"/>
    <w:rsid w:val="00FD4BA6"/>
    <w:rsid w:val="00FD5BAB"/>
    <w:rsid w:val="00FD784D"/>
    <w:rsid w:val="00FE0E5C"/>
    <w:rsid w:val="00FE381A"/>
    <w:rsid w:val="00FE4CB8"/>
    <w:rsid w:val="00FE52AB"/>
    <w:rsid w:val="00FE6D1C"/>
    <w:rsid w:val="00FE6E27"/>
    <w:rsid w:val="00FF122E"/>
    <w:rsid w:val="00FF1F48"/>
    <w:rsid w:val="00FF3F64"/>
    <w:rsid w:val="00FF5989"/>
    <w:rsid w:val="00FF5A10"/>
    <w:rsid w:val="00FF612C"/>
    <w:rsid w:val="00FF7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22C33EED-7C69-4A73-A3FF-E75349C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D47051"/>
    <w:pPr>
      <w:keepNext/>
      <w:keepLines/>
      <w:outlineLvl w:val="0"/>
    </w:pPr>
    <w:rPr>
      <w:rFonts w:eastAsia="Times New Roman"/>
      <w:b/>
      <w:bCs/>
      <w:color w:val="000000"/>
      <w:sz w:val="28"/>
      <w:szCs w:val="26"/>
    </w:rPr>
  </w:style>
  <w:style w:type="paragraph" w:styleId="Heading2">
    <w:name w:val="heading 2"/>
    <w:basedOn w:val="Normal"/>
    <w:next w:val="Normal"/>
    <w:link w:val="Heading2Char"/>
    <w:uiPriority w:val="6"/>
    <w:unhideWhenUsed/>
    <w:qFormat/>
    <w:rsid w:val="00D47051"/>
    <w:pPr>
      <w:keepNext/>
      <w:keepLines/>
      <w:outlineLvl w:val="1"/>
    </w:pPr>
    <w:rPr>
      <w:rFonts w:eastAsia="Times New Roman"/>
      <w:b/>
      <w:bCs/>
      <w:color w:val="000000"/>
      <w:sz w:val="24"/>
    </w:rPr>
  </w:style>
  <w:style w:type="paragraph" w:styleId="Heading3">
    <w:name w:val="heading 3"/>
    <w:basedOn w:val="Normal"/>
    <w:next w:val="Normal"/>
    <w:link w:val="Heading3Char"/>
    <w:autoRedefine/>
    <w:unhideWhenUsed/>
    <w:qFormat/>
    <w:rsid w:val="00B741BD"/>
    <w:pPr>
      <w:keepNext/>
      <w:keepLines/>
      <w:spacing w:before="120" w:after="240"/>
      <w:outlineLvl w:val="2"/>
    </w:pPr>
    <w:rPr>
      <w:rFonts w:ascii="Arial" w:eastAsia="Times New Roman" w:hAnsi="Arial" w:cs="Arial"/>
      <w:b/>
      <w:bCs/>
      <w:sz w:val="24"/>
      <w:szCs w:val="24"/>
    </w:rPr>
  </w:style>
  <w:style w:type="paragraph" w:styleId="Heading4">
    <w:name w:val="heading 4"/>
    <w:aliases w:val="General Heading"/>
    <w:basedOn w:val="Normal"/>
    <w:next w:val="Normal"/>
    <w:link w:val="Heading4Char"/>
    <w:uiPriority w:val="3"/>
    <w:unhideWhenUsed/>
    <w:qFormat/>
    <w:rsid w:val="00D47051"/>
    <w:pPr>
      <w:outlineLvl w:val="3"/>
    </w:pPr>
    <w:rPr>
      <w:color w:val="0C2577"/>
      <w:sz w:val="60"/>
    </w:rPr>
  </w:style>
  <w:style w:type="paragraph" w:styleId="Heading5">
    <w:name w:val="heading 5"/>
    <w:aliases w:val="Chapter Heading"/>
    <w:basedOn w:val="Normal"/>
    <w:next w:val="Normal"/>
    <w:link w:val="Heading5Char"/>
    <w:uiPriority w:val="4"/>
    <w:unhideWhenUsed/>
    <w:qFormat/>
    <w:rsid w:val="00D47051"/>
    <w:pPr>
      <w:outlineLvl w:val="4"/>
    </w:pPr>
    <w:rPr>
      <w:b/>
      <w:sz w:val="32"/>
    </w:rPr>
  </w:style>
  <w:style w:type="paragraph" w:styleId="Heading6">
    <w:name w:val="heading 6"/>
    <w:aliases w:val="Cover Page Heading"/>
    <w:basedOn w:val="Normal"/>
    <w:next w:val="Normal"/>
    <w:link w:val="Heading6Char"/>
    <w:uiPriority w:val="8"/>
    <w:unhideWhenUsed/>
    <w:qFormat/>
    <w:rsid w:val="00D47051"/>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cs="Times New Roman"/>
      <w:b/>
      <w:bCs/>
      <w:color w:val="000000"/>
      <w:sz w:val="28"/>
      <w:szCs w:val="26"/>
    </w:rPr>
  </w:style>
  <w:style w:type="character" w:customStyle="1" w:styleId="Heading2Char">
    <w:name w:val="Heading 2 Char"/>
    <w:link w:val="Heading2"/>
    <w:uiPriority w:val="6"/>
    <w:rsid w:val="00D47051"/>
    <w:rPr>
      <w:rFonts w:ascii="Trebuchet MS" w:eastAsia="Times New Roman" w:hAnsi="Trebuchet MS" w:cs="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B741BD"/>
    <w:rPr>
      <w:rFonts w:ascii="Arial" w:eastAsia="Times New Roman" w:hAnsi="Arial" w:cs="Arial"/>
      <w:b/>
      <w:bCs/>
      <w:sz w:val="24"/>
      <w:szCs w:val="24"/>
      <w:lang w:eastAsia="en-US"/>
    </w:rPr>
  </w:style>
  <w:style w:type="character" w:customStyle="1" w:styleId="Heading4Char">
    <w:name w:val="Heading 4 Char"/>
    <w:aliases w:val="General Heading Char"/>
    <w:link w:val="Heading4"/>
    <w:uiPriority w:val="3"/>
    <w:rsid w:val="00D47051"/>
    <w:rPr>
      <w:rFonts w:ascii="Trebuchet MS" w:hAnsi="Trebuchet MS"/>
      <w:color w:val="0C2577"/>
      <w:sz w:val="60"/>
    </w:rPr>
  </w:style>
  <w:style w:type="character" w:customStyle="1" w:styleId="Heading5Char">
    <w:name w:val="Heading 5 Char"/>
    <w:aliases w:val="Chapter Heading Char"/>
    <w:link w:val="Heading5"/>
    <w:uiPriority w:val="4"/>
    <w:rsid w:val="00D47051"/>
    <w:rPr>
      <w:rFonts w:ascii="Trebuchet MS" w:hAnsi="Trebuchet MS"/>
      <w:b/>
      <w:sz w:val="32"/>
    </w:rPr>
  </w:style>
  <w:style w:type="character" w:customStyle="1" w:styleId="Heading6Char">
    <w:name w:val="Heading 6 Char"/>
    <w:aliases w:val="Cover Page Heading Char"/>
    <w:link w:val="Heading6"/>
    <w:uiPriority w:val="8"/>
    <w:rsid w:val="00D47051"/>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nhideWhenUsed/>
    <w:rsid w:val="006A6A52"/>
    <w:pPr>
      <w:tabs>
        <w:tab w:val="center" w:pos="4513"/>
        <w:tab w:val="right" w:pos="9026"/>
      </w:tabs>
    </w:p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725AA6"/>
    <w:rPr>
      <w:sz w:val="20"/>
    </w:rPr>
  </w:style>
  <w:style w:type="character" w:customStyle="1" w:styleId="FootnoteTextChar">
    <w:name w:val="Footnote Text Char"/>
    <w:link w:val="FootnoteText"/>
    <w:uiPriority w:val="99"/>
    <w:rsid w:val="00725AA6"/>
    <w:rPr>
      <w:rFonts w:ascii="Trebuchet MS" w:eastAsia="Times" w:hAnsi="Trebuchet MS"/>
      <w:lang w:eastAsia="en-US"/>
    </w:rPr>
  </w:style>
  <w:style w:type="character" w:styleId="FootnoteReference">
    <w:name w:val="footnote reference"/>
    <w:uiPriority w:val="99"/>
    <w:unhideWhenUsed/>
    <w:rsid w:val="00725AA6"/>
    <w:rPr>
      <w:vertAlign w:val="superscript"/>
    </w:rPr>
  </w:style>
  <w:style w:type="paragraph" w:customStyle="1" w:styleId="Default">
    <w:name w:val="Default"/>
    <w:rsid w:val="00545C01"/>
    <w:pPr>
      <w:autoSpaceDE w:val="0"/>
      <w:autoSpaceDN w:val="0"/>
      <w:adjustRightInd w:val="0"/>
    </w:pPr>
    <w:rPr>
      <w:rFonts w:ascii="Arial" w:hAnsi="Arial" w:cs="Arial"/>
      <w:color w:val="000000"/>
      <w:sz w:val="24"/>
      <w:szCs w:val="24"/>
      <w:lang w:eastAsia="en-US"/>
    </w:rPr>
  </w:style>
  <w:style w:type="paragraph" w:styleId="TOCHeading">
    <w:name w:val="TOC Heading"/>
    <w:basedOn w:val="Heading1"/>
    <w:next w:val="Normal"/>
    <w:uiPriority w:val="39"/>
    <w:semiHidden/>
    <w:unhideWhenUsed/>
    <w:qFormat/>
    <w:rsid w:val="00A51744"/>
    <w:pPr>
      <w:spacing w:before="480" w:after="0" w:line="276" w:lineRule="auto"/>
      <w:outlineLvl w:val="9"/>
    </w:pPr>
    <w:rPr>
      <w:rFonts w:ascii="Cambria" w:hAnsi="Cambria"/>
      <w:color w:val="365F91"/>
      <w:szCs w:val="28"/>
      <w:lang w:val="en-US"/>
    </w:rPr>
  </w:style>
  <w:style w:type="paragraph" w:styleId="TOC3">
    <w:name w:val="toc 3"/>
    <w:basedOn w:val="Normal"/>
    <w:next w:val="Normal"/>
    <w:autoRedefine/>
    <w:uiPriority w:val="39"/>
    <w:unhideWhenUsed/>
    <w:rsid w:val="00A51744"/>
    <w:pPr>
      <w:ind w:left="440"/>
    </w:pPr>
  </w:style>
  <w:style w:type="character" w:styleId="CommentReference">
    <w:name w:val="annotation reference"/>
    <w:uiPriority w:val="99"/>
    <w:semiHidden/>
    <w:unhideWhenUsed/>
    <w:rsid w:val="00417030"/>
    <w:rPr>
      <w:sz w:val="16"/>
      <w:szCs w:val="16"/>
    </w:rPr>
  </w:style>
  <w:style w:type="paragraph" w:styleId="CommentText">
    <w:name w:val="annotation text"/>
    <w:basedOn w:val="Normal"/>
    <w:link w:val="CommentTextChar"/>
    <w:uiPriority w:val="99"/>
    <w:unhideWhenUsed/>
    <w:rsid w:val="00417030"/>
    <w:rPr>
      <w:sz w:val="20"/>
    </w:rPr>
  </w:style>
  <w:style w:type="character" w:customStyle="1" w:styleId="CommentTextChar">
    <w:name w:val="Comment Text Char"/>
    <w:link w:val="CommentText"/>
    <w:uiPriority w:val="99"/>
    <w:rsid w:val="00417030"/>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417030"/>
    <w:rPr>
      <w:b/>
      <w:bCs/>
    </w:rPr>
  </w:style>
  <w:style w:type="character" w:customStyle="1" w:styleId="CommentSubjectChar">
    <w:name w:val="Comment Subject Char"/>
    <w:link w:val="CommentSubject"/>
    <w:uiPriority w:val="99"/>
    <w:semiHidden/>
    <w:rsid w:val="00417030"/>
    <w:rPr>
      <w:rFonts w:ascii="Trebuchet MS" w:eastAsia="Times" w:hAnsi="Trebuchet MS"/>
      <w:b/>
      <w:bCs/>
      <w:lang w:eastAsia="en-US"/>
    </w:rPr>
  </w:style>
  <w:style w:type="paragraph" w:styleId="Revision">
    <w:name w:val="Revision"/>
    <w:hidden/>
    <w:uiPriority w:val="99"/>
    <w:semiHidden/>
    <w:rsid w:val="009B78E2"/>
    <w:rPr>
      <w:rFonts w:ascii="Trebuchet MS" w:eastAsia="Times" w:hAnsi="Trebuchet MS"/>
      <w:sz w:val="22"/>
      <w:lang w:eastAsia="en-US"/>
    </w:rPr>
  </w:style>
  <w:style w:type="paragraph" w:styleId="ListParagraph">
    <w:name w:val="List Paragraph"/>
    <w:basedOn w:val="Normal"/>
    <w:uiPriority w:val="34"/>
    <w:qFormat/>
    <w:rsid w:val="006E4207"/>
    <w:pPr>
      <w:ind w:left="720"/>
      <w:contextualSpacing/>
    </w:pPr>
  </w:style>
  <w:style w:type="paragraph" w:styleId="BodyText3">
    <w:name w:val="Body Text 3"/>
    <w:basedOn w:val="Normal"/>
    <w:link w:val="BodyText3Char"/>
    <w:uiPriority w:val="99"/>
    <w:semiHidden/>
    <w:unhideWhenUsed/>
    <w:rsid w:val="00537372"/>
    <w:pPr>
      <w:spacing w:after="120"/>
    </w:pPr>
    <w:rPr>
      <w:sz w:val="16"/>
      <w:szCs w:val="16"/>
    </w:rPr>
  </w:style>
  <w:style w:type="character" w:customStyle="1" w:styleId="BodyText3Char">
    <w:name w:val="Body Text 3 Char"/>
    <w:link w:val="BodyText3"/>
    <w:uiPriority w:val="99"/>
    <w:semiHidden/>
    <w:rsid w:val="00537372"/>
    <w:rPr>
      <w:rFonts w:ascii="Trebuchet MS" w:eastAsia="Times" w:hAnsi="Trebuchet MS"/>
      <w:sz w:val="16"/>
      <w:szCs w:val="16"/>
      <w:lang w:eastAsia="en-US"/>
    </w:rPr>
  </w:style>
  <w:style w:type="character" w:customStyle="1" w:styleId="BodyText1Char">
    <w:name w:val="Body Text 1 Char"/>
    <w:link w:val="BodyText1"/>
    <w:rsid w:val="00537372"/>
    <w:rPr>
      <w:rFonts w:eastAsia="Times New Roman"/>
    </w:rPr>
  </w:style>
  <w:style w:type="paragraph" w:customStyle="1" w:styleId="BodyText1">
    <w:name w:val="Body Text 1"/>
    <w:basedOn w:val="Normal"/>
    <w:link w:val="BodyText1Char"/>
    <w:qFormat/>
    <w:rsid w:val="00537372"/>
    <w:pPr>
      <w:tabs>
        <w:tab w:val="num" w:pos="567"/>
      </w:tabs>
      <w:spacing w:before="0" w:after="240"/>
      <w:ind w:left="567" w:hanging="567"/>
      <w:jc w:val="both"/>
    </w:pPr>
    <w:rPr>
      <w:rFonts w:ascii="Calibri" w:eastAsia="Times New Roman" w:hAnsi="Calibri"/>
      <w:sz w:val="20"/>
      <w:lang w:eastAsia="en-AU"/>
    </w:rPr>
  </w:style>
  <w:style w:type="paragraph" w:styleId="Title">
    <w:name w:val="Title"/>
    <w:basedOn w:val="Normal"/>
    <w:next w:val="ActTitle"/>
    <w:link w:val="TitleChar"/>
    <w:qFormat/>
    <w:rsid w:val="00533ECA"/>
    <w:pPr>
      <w:spacing w:before="480" w:after="0"/>
    </w:pPr>
    <w:rPr>
      <w:rFonts w:ascii="Arial" w:eastAsia="Times New Roman" w:hAnsi="Arial" w:cs="Arial"/>
      <w:b/>
      <w:bCs/>
      <w:sz w:val="40"/>
      <w:szCs w:val="40"/>
    </w:rPr>
  </w:style>
  <w:style w:type="character" w:customStyle="1" w:styleId="TitleChar">
    <w:name w:val="Title Char"/>
    <w:link w:val="Title"/>
    <w:rsid w:val="00533ECA"/>
    <w:rPr>
      <w:rFonts w:ascii="Arial" w:eastAsia="Times New Roman" w:hAnsi="Arial" w:cs="Arial"/>
      <w:b/>
      <w:bCs/>
      <w:sz w:val="40"/>
      <w:szCs w:val="40"/>
      <w:lang w:eastAsia="en-US"/>
    </w:rPr>
  </w:style>
  <w:style w:type="paragraph" w:customStyle="1" w:styleId="ActTitle">
    <w:name w:val="Act Title"/>
    <w:basedOn w:val="Normal"/>
    <w:next w:val="IntroTo"/>
    <w:rsid w:val="00533ECA"/>
    <w:pPr>
      <w:pBdr>
        <w:bottom w:val="single" w:sz="4" w:space="3" w:color="auto"/>
      </w:pBdr>
      <w:spacing w:before="480" w:after="240"/>
    </w:pPr>
    <w:rPr>
      <w:rFonts w:ascii="Arial" w:eastAsia="Times New Roman" w:hAnsi="Arial"/>
      <w:i/>
      <w:iCs/>
      <w:sz w:val="28"/>
      <w:lang w:eastAsia="en-AU"/>
    </w:rPr>
  </w:style>
  <w:style w:type="paragraph" w:customStyle="1" w:styleId="IntroTo">
    <w:name w:val="IntroTo:"/>
    <w:basedOn w:val="Normal"/>
    <w:rsid w:val="00533ECA"/>
    <w:pPr>
      <w:spacing w:before="0" w:after="0"/>
      <w:ind w:left="720" w:hanging="720"/>
    </w:pPr>
    <w:rPr>
      <w:rFonts w:ascii="Times New Roman" w:eastAsia="Times New Roman" w:hAnsi="Times New Roman"/>
      <w:sz w:val="24"/>
    </w:rPr>
  </w:style>
  <w:style w:type="paragraph" w:customStyle="1" w:styleId="IH">
    <w:name w:val="IH"/>
    <w:aliases w:val="Interpretation heading"/>
    <w:basedOn w:val="Normal"/>
    <w:next w:val="Normal"/>
    <w:rsid w:val="00533ECA"/>
    <w:pPr>
      <w:keepNext/>
      <w:spacing w:before="480" w:after="0"/>
      <w:ind w:left="964" w:hanging="964"/>
    </w:pPr>
    <w:rPr>
      <w:rFonts w:ascii="Arial" w:eastAsia="Times New Roman" w:hAnsi="Arial"/>
      <w:b/>
      <w:sz w:val="24"/>
      <w:szCs w:val="24"/>
    </w:rPr>
  </w:style>
  <w:style w:type="paragraph" w:customStyle="1" w:styleId="IP">
    <w:name w:val="IP"/>
    <w:aliases w:val="Interpretation paragraph"/>
    <w:basedOn w:val="Normal"/>
    <w:next w:val="Normal"/>
    <w:rsid w:val="00533ECA"/>
    <w:pPr>
      <w:keepNext/>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533ECA"/>
    <w:pPr>
      <w:keepNext/>
      <w:autoSpaceDE w:val="0"/>
      <w:autoSpaceDN w:val="0"/>
      <w:spacing w:before="480" w:after="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533ECA"/>
    <w:pPr>
      <w:keepNext/>
      <w:autoSpaceDE w:val="0"/>
      <w:autoSpaceDN w:val="0"/>
      <w:spacing w:before="60" w:after="0" w:line="200" w:lineRule="exact"/>
      <w:ind w:left="2410"/>
    </w:pPr>
    <w:rPr>
      <w:rFonts w:ascii="Arial" w:eastAsia="Times New Roman" w:hAnsi="Arial" w:cs="Arial"/>
      <w:sz w:val="18"/>
      <w:szCs w:val="18"/>
      <w:lang w:eastAsia="en-AU"/>
    </w:rPr>
  </w:style>
  <w:style w:type="character" w:customStyle="1" w:styleId="CharSchNo">
    <w:name w:val="CharSchNo"/>
    <w:rsid w:val="00533ECA"/>
  </w:style>
  <w:style w:type="character" w:customStyle="1" w:styleId="CharSchText">
    <w:name w:val="CharSchText"/>
    <w:rsid w:val="0053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0276">
      <w:bodyDiv w:val="1"/>
      <w:marLeft w:val="0"/>
      <w:marRight w:val="0"/>
      <w:marTop w:val="0"/>
      <w:marBottom w:val="0"/>
      <w:divBdr>
        <w:top w:val="none" w:sz="0" w:space="0" w:color="auto"/>
        <w:left w:val="none" w:sz="0" w:space="0" w:color="auto"/>
        <w:bottom w:val="none" w:sz="0" w:space="0" w:color="auto"/>
        <w:right w:val="none" w:sz="0" w:space="0" w:color="auto"/>
      </w:divBdr>
    </w:div>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65299217">
      <w:bodyDiv w:val="1"/>
      <w:marLeft w:val="0"/>
      <w:marRight w:val="0"/>
      <w:marTop w:val="0"/>
      <w:marBottom w:val="0"/>
      <w:divBdr>
        <w:top w:val="none" w:sz="0" w:space="0" w:color="auto"/>
        <w:left w:val="none" w:sz="0" w:space="0" w:color="auto"/>
        <w:bottom w:val="none" w:sz="0" w:space="0" w:color="auto"/>
        <w:right w:val="none" w:sz="0" w:space="0" w:color="auto"/>
      </w:divBdr>
    </w:div>
    <w:div w:id="489296423">
      <w:bodyDiv w:val="1"/>
      <w:marLeft w:val="0"/>
      <w:marRight w:val="0"/>
      <w:marTop w:val="0"/>
      <w:marBottom w:val="0"/>
      <w:divBdr>
        <w:top w:val="none" w:sz="0" w:space="0" w:color="auto"/>
        <w:left w:val="none" w:sz="0" w:space="0" w:color="auto"/>
        <w:bottom w:val="none" w:sz="0" w:space="0" w:color="auto"/>
        <w:right w:val="none" w:sz="0" w:space="0" w:color="auto"/>
      </w:divBdr>
    </w:div>
    <w:div w:id="790175047">
      <w:bodyDiv w:val="1"/>
      <w:marLeft w:val="0"/>
      <w:marRight w:val="0"/>
      <w:marTop w:val="0"/>
      <w:marBottom w:val="0"/>
      <w:divBdr>
        <w:top w:val="none" w:sz="0" w:space="0" w:color="auto"/>
        <w:left w:val="none" w:sz="0" w:space="0" w:color="auto"/>
        <w:bottom w:val="none" w:sz="0" w:space="0" w:color="auto"/>
        <w:right w:val="none" w:sz="0" w:space="0" w:color="auto"/>
      </w:divBdr>
    </w:div>
    <w:div w:id="825903710">
      <w:bodyDiv w:val="1"/>
      <w:marLeft w:val="0"/>
      <w:marRight w:val="0"/>
      <w:marTop w:val="0"/>
      <w:marBottom w:val="0"/>
      <w:divBdr>
        <w:top w:val="none" w:sz="0" w:space="0" w:color="auto"/>
        <w:left w:val="none" w:sz="0" w:space="0" w:color="auto"/>
        <w:bottom w:val="none" w:sz="0" w:space="0" w:color="auto"/>
        <w:right w:val="none" w:sz="0" w:space="0" w:color="auto"/>
      </w:divBdr>
    </w:div>
    <w:div w:id="989945886">
      <w:bodyDiv w:val="1"/>
      <w:marLeft w:val="0"/>
      <w:marRight w:val="0"/>
      <w:marTop w:val="0"/>
      <w:marBottom w:val="0"/>
      <w:divBdr>
        <w:top w:val="none" w:sz="0" w:space="0" w:color="auto"/>
        <w:left w:val="none" w:sz="0" w:space="0" w:color="auto"/>
        <w:bottom w:val="none" w:sz="0" w:space="0" w:color="auto"/>
        <w:right w:val="none" w:sz="0" w:space="0" w:color="auto"/>
      </w:divBdr>
    </w:div>
    <w:div w:id="1144393940">
      <w:bodyDiv w:val="1"/>
      <w:marLeft w:val="0"/>
      <w:marRight w:val="0"/>
      <w:marTop w:val="0"/>
      <w:marBottom w:val="0"/>
      <w:divBdr>
        <w:top w:val="none" w:sz="0" w:space="0" w:color="auto"/>
        <w:left w:val="none" w:sz="0" w:space="0" w:color="auto"/>
        <w:bottom w:val="none" w:sz="0" w:space="0" w:color="auto"/>
        <w:right w:val="none" w:sz="0" w:space="0" w:color="auto"/>
      </w:divBdr>
    </w:div>
    <w:div w:id="1629120882">
      <w:bodyDiv w:val="1"/>
      <w:marLeft w:val="0"/>
      <w:marRight w:val="0"/>
      <w:marTop w:val="0"/>
      <w:marBottom w:val="0"/>
      <w:divBdr>
        <w:top w:val="none" w:sz="0" w:space="0" w:color="auto"/>
        <w:left w:val="none" w:sz="0" w:space="0" w:color="auto"/>
        <w:bottom w:val="none" w:sz="0" w:space="0" w:color="auto"/>
        <w:right w:val="none" w:sz="0" w:space="0" w:color="auto"/>
      </w:divBdr>
    </w:div>
    <w:div w:id="1750421055">
      <w:bodyDiv w:val="1"/>
      <w:marLeft w:val="0"/>
      <w:marRight w:val="0"/>
      <w:marTop w:val="0"/>
      <w:marBottom w:val="0"/>
      <w:divBdr>
        <w:top w:val="none" w:sz="0" w:space="0" w:color="auto"/>
        <w:left w:val="none" w:sz="0" w:space="0" w:color="auto"/>
        <w:bottom w:val="none" w:sz="0" w:space="0" w:color="auto"/>
        <w:right w:val="none" w:sz="0" w:space="0" w:color="auto"/>
      </w:divBdr>
    </w:div>
    <w:div w:id="1860848861">
      <w:bodyDiv w:val="1"/>
      <w:marLeft w:val="0"/>
      <w:marRight w:val="0"/>
      <w:marTop w:val="0"/>
      <w:marBottom w:val="0"/>
      <w:divBdr>
        <w:top w:val="none" w:sz="0" w:space="0" w:color="auto"/>
        <w:left w:val="none" w:sz="0" w:space="0" w:color="auto"/>
        <w:bottom w:val="none" w:sz="0" w:space="0" w:color="auto"/>
        <w:right w:val="none" w:sz="0" w:space="0" w:color="auto"/>
      </w:divBdr>
    </w:div>
    <w:div w:id="19668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haredContentType xmlns="Microsoft.SharePoint.Taxonomy.ContentTypeSync" SourceId="8aef97a4-ded2-4e4a-9fbc-e666dae3ecd2" ContentTypeId="0x0101008CA7A4F8331B45C7B0D3158B4994D0CA02" PreviousValue="false"/>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2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E372D7CF3824E4FB2A05E5797D698C0" ma:contentTypeVersion="48" ma:contentTypeDescription="Create a new document." ma:contentTypeScope="" ma:versionID="1de133a436e5644648f65983624b03a7">
  <xsd:schema xmlns:xsd="http://www.w3.org/2001/XMLSchema" xmlns:xs="http://www.w3.org/2001/XMLSchema" xmlns:p="http://schemas.microsoft.com/office/2006/metadata/properties" xmlns:ns1="814d62cb-2db6-4c25-ab62-b9075facbc11" xmlns:ns3="http://schemas.microsoft.com/sharepoint/v4" targetNamespace="http://schemas.microsoft.com/office/2006/metadata/properties" ma:root="true" ma:fieldsID="eb7cefb58c7c7853e9113ebc2dcb6345" ns1:_="" ns3:_="">
    <xsd:import namespace="814d62cb-2db6-4c25-ab62-b9075facbc11"/>
    <xsd:import namespace="http://schemas.microsoft.com/sharepoint/v4"/>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4e742ea0-3834-4189-a728-c94c6f19792a}" ma:internalName="TaxCatchAll" ma:showField="CatchAllData"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4e742ea0-3834-4189-a728-c94c6f19792a}" ma:internalName="TaxCatchAllLabel" ma:readOnly="true" ma:showField="CatchAllDataLabel"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IconOverlay xmlns="http://schemas.microsoft.com/sharepoint/v4" xsi:nil="true"/>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14</Value>
      <Value>2</Value>
      <Value>42</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Released 12 December 2018
</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F8FF-D9D4-48F6-8DF7-4ECF0305A78C}">
  <ds:schemaRefs>
    <ds:schemaRef ds:uri="http://schemas.openxmlformats.org/officeDocument/2006/bibliography"/>
  </ds:schemaRefs>
</ds:datastoreItem>
</file>

<file path=customXml/itemProps10.xml><?xml version="1.0" encoding="utf-8"?>
<ds:datastoreItem xmlns:ds="http://schemas.openxmlformats.org/officeDocument/2006/customXml" ds:itemID="{B3640156-E494-467B-975C-389116DB5624}">
  <ds:schemaRefs>
    <ds:schemaRef ds:uri="http://schemas.openxmlformats.org/officeDocument/2006/bibliography"/>
  </ds:schemaRefs>
</ds:datastoreItem>
</file>

<file path=customXml/itemProps11.xml><?xml version="1.0" encoding="utf-8"?>
<ds:datastoreItem xmlns:ds="http://schemas.openxmlformats.org/officeDocument/2006/customXml" ds:itemID="{7E1671BE-F509-4836-B1B1-EEF8E77A869C}">
  <ds:schemaRefs>
    <ds:schemaRef ds:uri="Microsoft.SharePoint.Taxonomy.ContentTypeSync"/>
  </ds:schemaRefs>
</ds:datastoreItem>
</file>

<file path=customXml/itemProps12.xml><?xml version="1.0" encoding="utf-8"?>
<ds:datastoreItem xmlns:ds="http://schemas.openxmlformats.org/officeDocument/2006/customXml" ds:itemID="{9DB41012-1BFF-4E24-BE04-29BA3C8DC27B}">
  <ds:schemaRefs>
    <ds:schemaRef ds:uri="http://schemas.openxmlformats.org/officeDocument/2006/bibliography"/>
  </ds:schemaRefs>
</ds:datastoreItem>
</file>

<file path=customXml/itemProps13.xml><?xml version="1.0" encoding="utf-8"?>
<ds:datastoreItem xmlns:ds="http://schemas.openxmlformats.org/officeDocument/2006/customXml" ds:itemID="{29EEFBA4-5D00-46F1-885B-4E0348862A71}">
  <ds:schemaRefs>
    <ds:schemaRef ds:uri="http://schemas.openxmlformats.org/officeDocument/2006/bibliography"/>
  </ds:schemaRefs>
</ds:datastoreItem>
</file>

<file path=customXml/itemProps14.xml><?xml version="1.0" encoding="utf-8"?>
<ds:datastoreItem xmlns:ds="http://schemas.openxmlformats.org/officeDocument/2006/customXml" ds:itemID="{1B462B47-6DD9-4B1C-B5D3-3FB1B6B69BB5}">
  <ds:schemaRefs>
    <ds:schemaRef ds:uri="http://schemas.openxmlformats.org/officeDocument/2006/bibliography"/>
  </ds:schemaRefs>
</ds:datastoreItem>
</file>

<file path=customXml/itemProps15.xml><?xml version="1.0" encoding="utf-8"?>
<ds:datastoreItem xmlns:ds="http://schemas.openxmlformats.org/officeDocument/2006/customXml" ds:itemID="{FF799558-B005-4701-81BE-79B5F7614E6B}">
  <ds:schemaRefs>
    <ds:schemaRef ds:uri="http://schemas.openxmlformats.org/officeDocument/2006/bibliography"/>
  </ds:schemaRefs>
</ds:datastoreItem>
</file>

<file path=customXml/itemProps16.xml><?xml version="1.0" encoding="utf-8"?>
<ds:datastoreItem xmlns:ds="http://schemas.openxmlformats.org/officeDocument/2006/customXml" ds:itemID="{BE777660-C835-42F8-8C29-AAE3B97D7FDC}">
  <ds:schemaRefs>
    <ds:schemaRef ds:uri="http://schemas.openxmlformats.org/officeDocument/2006/bibliography"/>
  </ds:schemaRefs>
</ds:datastoreItem>
</file>

<file path=customXml/itemProps17.xml><?xml version="1.0" encoding="utf-8"?>
<ds:datastoreItem xmlns:ds="http://schemas.openxmlformats.org/officeDocument/2006/customXml" ds:itemID="{BF1A43C5-B0B0-4EBC-B956-29C6D6702FF4}">
  <ds:schemaRefs>
    <ds:schemaRef ds:uri="http://schemas.openxmlformats.org/officeDocument/2006/bibliography"/>
  </ds:schemaRefs>
</ds:datastoreItem>
</file>

<file path=customXml/itemProps18.xml><?xml version="1.0" encoding="utf-8"?>
<ds:datastoreItem xmlns:ds="http://schemas.openxmlformats.org/officeDocument/2006/customXml" ds:itemID="{0CDA7A74-30C8-4CCB-BEF0-EF9E125D6A7B}">
  <ds:schemaRefs>
    <ds:schemaRef ds:uri="http://schemas.microsoft.com/sharepoint/v3/contenttype/forms"/>
  </ds:schemaRefs>
</ds:datastoreItem>
</file>

<file path=customXml/itemProps19.xml><?xml version="1.0" encoding="utf-8"?>
<ds:datastoreItem xmlns:ds="http://schemas.openxmlformats.org/officeDocument/2006/customXml" ds:itemID="{813C532D-14ED-4B9E-A148-938D7B21F076}">
  <ds:schemaRefs>
    <ds:schemaRef ds:uri="http://schemas.openxmlformats.org/officeDocument/2006/bibliography"/>
  </ds:schemaRefs>
</ds:datastoreItem>
</file>

<file path=customXml/itemProps2.xml><?xml version="1.0" encoding="utf-8"?>
<ds:datastoreItem xmlns:ds="http://schemas.openxmlformats.org/officeDocument/2006/customXml" ds:itemID="{53ECCF14-E2D8-4F32-9EC4-D0191794A25C}">
  <ds:schemaRefs>
    <ds:schemaRef ds:uri="http://schemas.microsoft.com/office/2006/metadata/longProperties"/>
  </ds:schemaRefs>
</ds:datastoreItem>
</file>

<file path=customXml/itemProps20.xml><?xml version="1.0" encoding="utf-8"?>
<ds:datastoreItem xmlns:ds="http://schemas.openxmlformats.org/officeDocument/2006/customXml" ds:itemID="{8A523D9D-ED32-4796-BD3D-C63A8B091400}">
  <ds:schemaRefs>
    <ds:schemaRef ds:uri="http://schemas.microsoft.com/sharepoint/events"/>
  </ds:schemaRefs>
</ds:datastoreItem>
</file>

<file path=customXml/itemProps21.xml><?xml version="1.0" encoding="utf-8"?>
<ds:datastoreItem xmlns:ds="http://schemas.openxmlformats.org/officeDocument/2006/customXml" ds:itemID="{836C7047-BDDF-4E93-BDE3-7F9100187CD7}">
  <ds:schemaRefs>
    <ds:schemaRef ds:uri="http://schemas.openxmlformats.org/officeDocument/2006/bibliography"/>
  </ds:schemaRefs>
</ds:datastoreItem>
</file>

<file path=customXml/itemProps22.xml><?xml version="1.0" encoding="utf-8"?>
<ds:datastoreItem xmlns:ds="http://schemas.openxmlformats.org/officeDocument/2006/customXml" ds:itemID="{982E87BE-E7B9-4877-8848-269CCDBBD53D}">
  <ds:schemaRefs>
    <ds:schemaRef ds:uri="http://schemas.openxmlformats.org/officeDocument/2006/bibliography"/>
  </ds:schemaRefs>
</ds:datastoreItem>
</file>

<file path=customXml/itemProps23.xml><?xml version="1.0" encoding="utf-8"?>
<ds:datastoreItem xmlns:ds="http://schemas.openxmlformats.org/officeDocument/2006/customXml" ds:itemID="{DCC96772-5CD9-454B-B5E3-6C3EEFF8BA22}">
  <ds:schemaRefs>
    <ds:schemaRef ds:uri="http://schemas.openxmlformats.org/officeDocument/2006/bibliography"/>
  </ds:schemaRefs>
</ds:datastoreItem>
</file>

<file path=customXml/itemProps24.xml><?xml version="1.0" encoding="utf-8"?>
<ds:datastoreItem xmlns:ds="http://schemas.openxmlformats.org/officeDocument/2006/customXml" ds:itemID="{6C42CAB2-1FC4-4454-ADF6-6A9D5237CDBE}">
  <ds:schemaRefs>
    <ds:schemaRef ds:uri="http://schemas.openxmlformats.org/officeDocument/2006/bibliography"/>
  </ds:schemaRefs>
</ds:datastoreItem>
</file>

<file path=customXml/itemProps25.xml><?xml version="1.0" encoding="utf-8"?>
<ds:datastoreItem xmlns:ds="http://schemas.openxmlformats.org/officeDocument/2006/customXml" ds:itemID="{AE84065F-BC7D-4254-9F5B-A1469BFBC5C8}">
  <ds:schemaRefs>
    <ds:schemaRef ds:uri="http://schemas.openxmlformats.org/officeDocument/2006/bibliography"/>
  </ds:schemaRefs>
</ds:datastoreItem>
</file>

<file path=customXml/itemProps3.xml><?xml version="1.0" encoding="utf-8"?>
<ds:datastoreItem xmlns:ds="http://schemas.openxmlformats.org/officeDocument/2006/customXml" ds:itemID="{056860F6-A82B-4AF0-8B66-44126E4E1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D6A03-371B-448F-B4E8-D0C2D35A099B}">
  <ds:schemaRefs>
    <ds:schemaRef ds:uri="http://schemas.openxmlformats.org/officeDocument/2006/bibliography"/>
  </ds:schemaRefs>
</ds:datastoreItem>
</file>

<file path=customXml/itemProps5.xml><?xml version="1.0" encoding="utf-8"?>
<ds:datastoreItem xmlns:ds="http://schemas.openxmlformats.org/officeDocument/2006/customXml" ds:itemID="{4C222379-7FD6-463E-B6CD-27544F3D0C1A}">
  <ds:schemaRefs>
    <ds:schemaRef ds:uri="http://schemas.openxmlformats.org/officeDocument/2006/bibliography"/>
  </ds:schemaRefs>
</ds:datastoreItem>
</file>

<file path=customXml/itemProps6.xml><?xml version="1.0" encoding="utf-8"?>
<ds:datastoreItem xmlns:ds="http://schemas.openxmlformats.org/officeDocument/2006/customXml" ds:itemID="{024E3D7D-F468-4158-A7D1-27412ECDA0BE}">
  <ds:schemaRefs>
    <ds:schemaRef ds:uri="http://schemas.openxmlformats.org/officeDocument/2006/bibliography"/>
  </ds:schemaRefs>
</ds:datastoreItem>
</file>

<file path=customXml/itemProps7.xml><?xml version="1.0" encoding="utf-8"?>
<ds:datastoreItem xmlns:ds="http://schemas.openxmlformats.org/officeDocument/2006/customXml" ds:itemID="{9A1A346B-B37F-4FD6-A53D-FDDFEC077957}">
  <ds:schemaRefs>
    <ds:schemaRef ds:uri="http://schemas.openxmlformats.org/officeDocument/2006/bibliography"/>
  </ds:schemaRefs>
</ds:datastoreItem>
</file>

<file path=customXml/itemProps8.xml><?xml version="1.0" encoding="utf-8"?>
<ds:datastoreItem xmlns:ds="http://schemas.openxmlformats.org/officeDocument/2006/customXml" ds:itemID="{5C5F7EB0-165B-430C-B0B9-04AE4D75FDA4}">
  <ds:schemaRefs>
    <ds:schemaRef ds:uri="814d62cb-2db6-4c25-ab62-b9075facbc1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EBAFD2DA-5CB8-4DCE-9CA1-4D65C458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2894</Words>
  <Characters>16081</Characters>
  <Application>Microsoft Office Word</Application>
  <DocSecurity>0</DocSecurity>
  <Lines>334</Lines>
  <Paragraphs>139</Paragraphs>
  <ScaleCrop>false</ScaleCrop>
  <HeadingPairs>
    <vt:vector size="2" baseType="variant">
      <vt:variant>
        <vt:lpstr>Title</vt:lpstr>
      </vt:variant>
      <vt:variant>
        <vt:i4>1</vt:i4>
      </vt:variant>
    </vt:vector>
  </HeadingPairs>
  <TitlesOfParts>
    <vt:vector size="1" baseType="lpstr">
      <vt:lpstr>revised SPS 220</vt:lpstr>
    </vt:vector>
  </TitlesOfParts>
  <Company>APRA</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SPS 220</dc:title>
  <dc:subject/>
  <dc:creator>Carolyn Morris</dc:creator>
  <cp:keywords> [SEC=UNCLASSIFIED]</cp:keywords>
  <dc:description/>
  <cp:lastModifiedBy>Li, Joanne</cp:lastModifiedBy>
  <cp:revision>5</cp:revision>
  <cp:lastPrinted>2019-12-03T22:20:00Z</cp:lastPrinted>
  <dcterms:created xsi:type="dcterms:W3CDTF">2019-12-02T06:40:00Z</dcterms:created>
  <dcterms:modified xsi:type="dcterms:W3CDTF">2019-12-04T04:00:00Z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DBF2C23E4BADD8D7D0B29BB6B332033121013C98</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D75DABBB64EC9ED523AB8D159FB15452C86D3735</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FDC96158DA324178B3FA7C464D3CFAC7</vt:lpwstr>
  </property>
  <property fmtid="{D5CDD505-2E9C-101B-9397-08002B2CF9AE}" pid="17" name="PM_OriginationTimeStamp">
    <vt:lpwstr>2019-12-04T03:59:39Z</vt:lpwstr>
  </property>
  <property fmtid="{D5CDD505-2E9C-101B-9397-08002B2CF9AE}" pid="18" name="PM_Hash_Version">
    <vt:lpwstr>2018.0</vt:lpwstr>
  </property>
  <property fmtid="{D5CDD505-2E9C-101B-9397-08002B2CF9AE}" pid="19" name="PM_Hash_Salt_Prev">
    <vt:lpwstr>05300565136190F7CEA061B9AE58E51E</vt:lpwstr>
  </property>
  <property fmtid="{D5CDD505-2E9C-101B-9397-08002B2CF9AE}" pid="20" name="PM_Hash_Salt">
    <vt:lpwstr>7E04BE309184F838C5BEECAB7A6E392A</vt:lpwstr>
  </property>
  <property fmtid="{D5CDD505-2E9C-101B-9397-08002B2CF9AE}" pid="21" name="ContentTypeId">
    <vt:lpwstr>0x0101008CA7A4F8331B45C7B0D3158B4994D0CA0200EE372D7CF3824E4FB2A05E5797D698C0</vt:lpwstr>
  </property>
  <property fmtid="{D5CDD505-2E9C-101B-9397-08002B2CF9AE}" pid="22" name="APRAPeriod">
    <vt:lpwstr/>
  </property>
  <property fmtid="{D5CDD505-2E9C-101B-9397-08002B2CF9AE}" pid="23" name="APRAPRSG">
    <vt:lpwstr/>
  </property>
  <property fmtid="{D5CDD505-2E9C-101B-9397-08002B2CF9AE}" pid="24" name="APRADocumentType">
    <vt:lpwstr>42;#Prudential standard|6ce5a155-9ab2-41e3-9b2a-5baab4b7f1d1</vt:lpwstr>
  </property>
  <property fmtid="{D5CDD505-2E9C-101B-9397-08002B2CF9AE}" pid="25" name="APRAStatus">
    <vt:lpwstr>14;#Final|84d6b2d0-8498-4d62-bf46-bab38babbe9e</vt:lpwstr>
  </property>
  <property fmtid="{D5CDD505-2E9C-101B-9397-08002B2CF9AE}" pid="26" name="APRACostCentre">
    <vt:lpwstr/>
  </property>
  <property fmtid="{D5CDD505-2E9C-101B-9397-08002B2CF9AE}" pid="27" name="APRAActivity">
    <vt:lpwstr>2;#Prudential policy development|4cf81ba0-32a2-4f8f-8216-9e632903331b</vt:lpwstr>
  </property>
  <property fmtid="{D5CDD505-2E9C-101B-9397-08002B2CF9AE}" pid="28" name="APRAEntityAdviceSupport">
    <vt:lpwstr/>
  </property>
  <property fmtid="{D5CDD505-2E9C-101B-9397-08002B2CF9AE}" pid="29" name="APRAExternalOrganisation">
    <vt:lpwstr/>
  </property>
  <property fmtid="{D5CDD505-2E9C-101B-9397-08002B2CF9AE}" pid="30" name="IT system type">
    <vt:lpwstr/>
  </property>
  <property fmtid="{D5CDD505-2E9C-101B-9397-08002B2CF9AE}" pid="31" name="APRALegislation">
    <vt:lpwstr/>
  </property>
  <property fmtid="{D5CDD505-2E9C-101B-9397-08002B2CF9AE}" pid="32" name="APRAYear">
    <vt:lpwstr/>
  </property>
  <property fmtid="{D5CDD505-2E9C-101B-9397-08002B2CF9AE}" pid="33" name="APRAIndustry">
    <vt:lpwstr/>
  </property>
  <property fmtid="{D5CDD505-2E9C-101B-9397-08002B2CF9AE}" pid="34" name="APRAIRTR">
    <vt:lpwstr/>
  </property>
  <property fmtid="{D5CDD505-2E9C-101B-9397-08002B2CF9AE}" pid="35" name="APRACategory">
    <vt:lpwstr/>
  </property>
  <property fmtid="{D5CDD505-2E9C-101B-9397-08002B2CF9AE}" pid="36" name="_dlc_DocId">
    <vt:lpwstr>YF4TAER6Q5NU-117848022-8275</vt:lpwstr>
  </property>
  <property fmtid="{D5CDD505-2E9C-101B-9397-08002B2CF9AE}" pid="37" name="_dlc_DocIdItemGuid">
    <vt:lpwstr>46b50053-8b86-49cf-ac7d-9a1ef5310d0b</vt:lpwstr>
  </property>
  <property fmtid="{D5CDD505-2E9C-101B-9397-08002B2CF9AE}" pid="38" name="_dlc_DocIdUrl">
    <vt:lpwstr>https://im/teams/POLICYSUP/_layouts/15/DocIdRedir.aspx?ID=YF4TAER6Q5NU-117848022-8275, YF4TAER6Q5NU-117848022-8275</vt:lpwstr>
  </property>
  <property fmtid="{D5CDD505-2E9C-101B-9397-08002B2CF9AE}" pid="39" name="RecordPoint_WorkflowType">
    <vt:lpwstr>ActiveSubmitStub</vt:lpwstr>
  </property>
  <property fmtid="{D5CDD505-2E9C-101B-9397-08002B2CF9AE}" pid="40" name="RecordPoint_ActiveItemSiteId">
    <vt:lpwstr>{ae9a005d-dc89-4193-b925-482cbb4c4076}</vt:lpwstr>
  </property>
  <property fmtid="{D5CDD505-2E9C-101B-9397-08002B2CF9AE}" pid="41" name="RecordPoint_ActiveItemListId">
    <vt:lpwstr>{c9117ecd-25f5-482e-a866-d2ab15fdb28a}</vt:lpwstr>
  </property>
  <property fmtid="{D5CDD505-2E9C-101B-9397-08002B2CF9AE}" pid="42" name="RecordPoint_ActiveItemUniqueId">
    <vt:lpwstr>{46b50053-8b86-49cf-ac7d-9a1ef5310d0b}</vt:lpwstr>
  </property>
  <property fmtid="{D5CDD505-2E9C-101B-9397-08002B2CF9AE}" pid="43" name="RecordPoint_ActiveItemWebId">
    <vt:lpwstr>{d0094546-2c4f-42c1-bfb6-36e147bcdf78}</vt:lpwstr>
  </property>
  <property fmtid="{D5CDD505-2E9C-101B-9397-08002B2CF9AE}" pid="44" name="RecordPoint_SubmissionCompleted">
    <vt:lpwstr>2019-12-02T12:12:04.4782231+11:00</vt:lpwstr>
  </property>
  <property fmtid="{D5CDD505-2E9C-101B-9397-08002B2CF9AE}" pid="45" name="RecordPoint_RecordNumberSubmitted">
    <vt:lpwstr>R0000960698</vt:lpwstr>
  </property>
  <property fmtid="{D5CDD505-2E9C-101B-9397-08002B2CF9AE}" pid="46" name="PM_SecurityClassification_Prev">
    <vt:lpwstr>UNCLASSIFIED</vt:lpwstr>
  </property>
  <property fmtid="{D5CDD505-2E9C-101B-9397-08002B2CF9AE}" pid="47" name="PM_Qualifier_Prev">
    <vt:lpwstr/>
  </property>
  <property fmtid="{D5CDD505-2E9C-101B-9397-08002B2CF9AE}" pid="48" name="IsLocked">
    <vt:lpwstr>Yes</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_docset_NoMedatataSyncRequired">
    <vt:lpwstr>False</vt:lpwstr>
  </property>
  <property fmtid="{D5CDD505-2E9C-101B-9397-08002B2CF9AE}" pid="53" name="PM_Note">
    <vt:lpwstr/>
  </property>
  <property fmtid="{D5CDD505-2E9C-101B-9397-08002B2CF9AE}" pid="54" name="PM_Markers">
    <vt:lpwstr/>
  </property>
</Properties>
</file>