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12C1D" w14:textId="77777777" w:rsidR="007B4E88" w:rsidRDefault="00EE13E3">
      <w:pPr>
        <w:pStyle w:val="Title"/>
        <w:rPr>
          <w:rFonts w:ascii="Times New Roman" w:hAnsi="Times New Roman"/>
          <w:u w:val="single"/>
        </w:rPr>
      </w:pPr>
      <w:r>
        <w:rPr>
          <w:rFonts w:ascii="Times New Roman" w:hAnsi="Times New Roman"/>
          <w:u w:val="single"/>
        </w:rPr>
        <w:t>EXPLANATORY STATEMENT</w:t>
      </w:r>
    </w:p>
    <w:p w14:paraId="7A063830" w14:textId="77777777" w:rsidR="007B4E88" w:rsidRDefault="007B4E88">
      <w:pPr>
        <w:jc w:val="center"/>
        <w:rPr>
          <w:rFonts w:ascii="Times New Roman" w:hAnsi="Times New Roman" w:cs="Times New Roman"/>
          <w:sz w:val="24"/>
        </w:rPr>
      </w:pPr>
    </w:p>
    <w:p w14:paraId="5BA6799B" w14:textId="77777777" w:rsidR="007B4E88" w:rsidRDefault="007B4E88">
      <w:pPr>
        <w:pStyle w:val="Title"/>
        <w:rPr>
          <w:rFonts w:ascii="Times New Roman" w:hAnsi="Times New Roman"/>
          <w:b w:val="0"/>
          <w:sz w:val="20"/>
          <w:szCs w:val="16"/>
          <w:u w:val="single"/>
        </w:rPr>
      </w:pPr>
    </w:p>
    <w:p w14:paraId="1C940601" w14:textId="6EB7B89C" w:rsidR="007B4E88" w:rsidRDefault="00EE13E3">
      <w:pPr>
        <w:jc w:val="center"/>
        <w:rPr>
          <w:rFonts w:ascii="Times New Roman" w:hAnsi="Times New Roman" w:cs="Times New Roman"/>
          <w:sz w:val="24"/>
          <w:u w:val="single"/>
        </w:rPr>
      </w:pPr>
      <w:r>
        <w:rPr>
          <w:rFonts w:ascii="Times New Roman" w:hAnsi="Times New Roman" w:cs="Times New Roman"/>
          <w:sz w:val="24"/>
          <w:u w:val="single"/>
        </w:rPr>
        <w:t>Issued by Authority of the Minister for Agriculture</w:t>
      </w:r>
      <w:r w:rsidR="00DD3A2E">
        <w:rPr>
          <w:rFonts w:ascii="Times New Roman" w:hAnsi="Times New Roman" w:cs="Times New Roman"/>
          <w:sz w:val="24"/>
          <w:u w:val="single"/>
        </w:rPr>
        <w:t xml:space="preserve"> </w:t>
      </w:r>
    </w:p>
    <w:p w14:paraId="75B70DE8" w14:textId="77777777" w:rsidR="00151BD9" w:rsidRDefault="00151BD9">
      <w:pPr>
        <w:jc w:val="center"/>
        <w:rPr>
          <w:rFonts w:ascii="Times New Roman" w:hAnsi="Times New Roman" w:cs="Times New Roman"/>
          <w:sz w:val="24"/>
        </w:rPr>
      </w:pPr>
    </w:p>
    <w:p w14:paraId="5403F0E6" w14:textId="7622B261" w:rsidR="007B4E88" w:rsidRDefault="002C3BAC">
      <w:pPr>
        <w:jc w:val="center"/>
        <w:rPr>
          <w:rFonts w:ascii="Times New Roman" w:hAnsi="Times New Roman" w:cs="Times New Roman"/>
          <w:i/>
          <w:snapToGrid w:val="0"/>
          <w:sz w:val="24"/>
        </w:rPr>
      </w:pPr>
      <w:r w:rsidRPr="002C3BAC">
        <w:rPr>
          <w:rFonts w:ascii="Times New Roman" w:hAnsi="Times New Roman" w:cs="Times New Roman"/>
          <w:i/>
          <w:snapToGrid w:val="0"/>
          <w:sz w:val="24"/>
        </w:rPr>
        <w:t>Primary Industries Research and Development Act 1989</w:t>
      </w:r>
    </w:p>
    <w:p w14:paraId="2C22371D" w14:textId="77777777" w:rsidR="002C3BAC" w:rsidRDefault="002C3BAC">
      <w:pPr>
        <w:jc w:val="center"/>
        <w:rPr>
          <w:rFonts w:ascii="Times New Roman" w:hAnsi="Times New Roman" w:cs="Times New Roman"/>
          <w:sz w:val="24"/>
        </w:rPr>
      </w:pPr>
    </w:p>
    <w:p w14:paraId="7473C500" w14:textId="70E51EEC" w:rsidR="007B4E88" w:rsidRDefault="002C3BAC" w:rsidP="002C3BAC">
      <w:pPr>
        <w:jc w:val="center"/>
        <w:rPr>
          <w:rFonts w:ascii="Times New Roman" w:hAnsi="Times New Roman" w:cs="Times New Roman"/>
          <w:i/>
          <w:snapToGrid w:val="0"/>
          <w:sz w:val="24"/>
        </w:rPr>
      </w:pPr>
      <w:r w:rsidRPr="002C3BAC">
        <w:rPr>
          <w:rFonts w:ascii="Times New Roman" w:hAnsi="Times New Roman" w:cs="Times New Roman"/>
          <w:i/>
          <w:snapToGrid w:val="0"/>
          <w:sz w:val="24"/>
        </w:rPr>
        <w:t>Fisheries Research and Development Corporation Amendment (Farmed Prawns) Regulations 2019</w:t>
      </w:r>
    </w:p>
    <w:p w14:paraId="20E03D7F" w14:textId="77777777" w:rsidR="002C3BAC" w:rsidRDefault="002C3BAC">
      <w:pPr>
        <w:rPr>
          <w:rFonts w:ascii="Times New Roman" w:hAnsi="Times New Roman" w:cs="Times New Roman"/>
          <w:sz w:val="24"/>
        </w:rPr>
      </w:pPr>
    </w:p>
    <w:p w14:paraId="185996AD"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14:paraId="5108F1F7" w14:textId="35D1B7F1" w:rsidR="00A51548" w:rsidRPr="00570C3F" w:rsidRDefault="00A51548" w:rsidP="00A51548">
      <w:pPr>
        <w:tabs>
          <w:tab w:val="left" w:pos="1701"/>
          <w:tab w:val="right" w:pos="9072"/>
        </w:tabs>
        <w:rPr>
          <w:rFonts w:ascii="Times New Roman" w:hAnsi="Times New Roman" w:cs="Times New Roman"/>
          <w:sz w:val="24"/>
        </w:rPr>
      </w:pPr>
      <w:r w:rsidRPr="00570C3F">
        <w:rPr>
          <w:rFonts w:ascii="Times New Roman" w:hAnsi="Times New Roman" w:cs="Times New Roman"/>
          <w:sz w:val="24"/>
        </w:rPr>
        <w:t xml:space="preserve">The </w:t>
      </w:r>
      <w:r w:rsidR="002C3BAC" w:rsidRPr="002C3BAC">
        <w:rPr>
          <w:rFonts w:ascii="Times New Roman" w:eastAsia="Calibri" w:hAnsi="Times New Roman" w:cs="Times New Roman"/>
          <w:i/>
          <w:sz w:val="24"/>
        </w:rPr>
        <w:t xml:space="preserve">Primary Industries Research and Development Act 1989 </w:t>
      </w:r>
      <w:r w:rsidRPr="00570C3F">
        <w:rPr>
          <w:rFonts w:ascii="Times New Roman" w:hAnsi="Times New Roman" w:cs="Times New Roman"/>
          <w:sz w:val="24"/>
        </w:rPr>
        <w:t xml:space="preserve">(the </w:t>
      </w:r>
      <w:r w:rsidR="002C3BAC">
        <w:rPr>
          <w:rFonts w:ascii="Times New Roman" w:hAnsi="Times New Roman" w:cs="Times New Roman"/>
          <w:sz w:val="24"/>
        </w:rPr>
        <w:t>PIRD</w:t>
      </w:r>
      <w:r w:rsidRPr="00570C3F">
        <w:rPr>
          <w:rFonts w:ascii="Times New Roman" w:hAnsi="Times New Roman" w:cs="Times New Roman"/>
          <w:sz w:val="24"/>
        </w:rPr>
        <w:t xml:space="preserve"> Act) </w:t>
      </w:r>
      <w:r w:rsidR="002C3BAC">
        <w:rPr>
          <w:rFonts w:ascii="Times New Roman" w:hAnsi="Times New Roman" w:cs="Times New Roman"/>
          <w:sz w:val="24"/>
        </w:rPr>
        <w:t>provides for</w:t>
      </w:r>
      <w:r>
        <w:rPr>
          <w:rFonts w:ascii="Times New Roman" w:hAnsi="Times New Roman" w:cs="Times New Roman"/>
          <w:sz w:val="24"/>
        </w:rPr>
        <w:t xml:space="preserve"> the </w:t>
      </w:r>
      <w:r w:rsidR="002C3BAC">
        <w:rPr>
          <w:rFonts w:ascii="Times New Roman" w:hAnsi="Times New Roman" w:cs="Times New Roman"/>
          <w:sz w:val="24"/>
        </w:rPr>
        <w:t>establishment of research and development corporations</w:t>
      </w:r>
      <w:r w:rsidR="009C6D5F">
        <w:rPr>
          <w:rFonts w:ascii="Times New Roman" w:hAnsi="Times New Roman" w:cs="Times New Roman"/>
          <w:sz w:val="24"/>
        </w:rPr>
        <w:t xml:space="preserve"> (</w:t>
      </w:r>
      <w:r w:rsidR="00E14ECD">
        <w:rPr>
          <w:rFonts w:ascii="Times New Roman" w:hAnsi="Times New Roman" w:cs="Times New Roman"/>
          <w:sz w:val="24"/>
        </w:rPr>
        <w:t>Corporations</w:t>
      </w:r>
      <w:r w:rsidR="009C6D5F">
        <w:rPr>
          <w:rFonts w:ascii="Times New Roman" w:hAnsi="Times New Roman" w:cs="Times New Roman"/>
          <w:sz w:val="24"/>
        </w:rPr>
        <w:t>)</w:t>
      </w:r>
      <w:r w:rsidR="00797E68">
        <w:rPr>
          <w:rFonts w:ascii="Times New Roman" w:hAnsi="Times New Roman" w:cs="Times New Roman"/>
          <w:sz w:val="24"/>
        </w:rPr>
        <w:t xml:space="preserve"> </w:t>
      </w:r>
      <w:r w:rsidR="002C3BAC">
        <w:rPr>
          <w:rFonts w:ascii="Times New Roman" w:hAnsi="Times New Roman" w:cs="Times New Roman"/>
          <w:sz w:val="24"/>
        </w:rPr>
        <w:t xml:space="preserve">and related matters, such as their </w:t>
      </w:r>
      <w:r w:rsidR="00012A59">
        <w:rPr>
          <w:rFonts w:ascii="Times New Roman" w:hAnsi="Times New Roman" w:cs="Times New Roman"/>
          <w:sz w:val="24"/>
        </w:rPr>
        <w:t>constitution</w:t>
      </w:r>
      <w:r w:rsidR="002C3BAC">
        <w:rPr>
          <w:rFonts w:ascii="Times New Roman" w:hAnsi="Times New Roman" w:cs="Times New Roman"/>
          <w:sz w:val="24"/>
        </w:rPr>
        <w:t>, operational plans, accountability and financial arrangements.</w:t>
      </w:r>
    </w:p>
    <w:p w14:paraId="507690DE" w14:textId="77777777" w:rsidR="00FD68D3" w:rsidRDefault="00FD68D3" w:rsidP="009C6D5F">
      <w:pPr>
        <w:tabs>
          <w:tab w:val="left" w:pos="1701"/>
          <w:tab w:val="right" w:pos="9072"/>
        </w:tabs>
        <w:rPr>
          <w:rFonts w:ascii="Times New Roman" w:hAnsi="Times New Roman" w:cs="Times New Roman"/>
          <w:sz w:val="24"/>
        </w:rPr>
      </w:pPr>
    </w:p>
    <w:p w14:paraId="5860B095" w14:textId="74771C33" w:rsidR="005B4CB8" w:rsidRPr="00CD1E29" w:rsidRDefault="005B4CB8" w:rsidP="005B4CB8">
      <w:pPr>
        <w:tabs>
          <w:tab w:val="left" w:pos="1701"/>
          <w:tab w:val="right" w:pos="9072"/>
        </w:tabs>
        <w:rPr>
          <w:rFonts w:ascii="Times New Roman" w:hAnsi="Times New Roman" w:cs="Times New Roman"/>
          <w:sz w:val="24"/>
        </w:rPr>
      </w:pPr>
      <w:r w:rsidRPr="00CD1E29">
        <w:rPr>
          <w:rFonts w:ascii="Times New Roman" w:hAnsi="Times New Roman" w:cs="Times New Roman"/>
          <w:sz w:val="24"/>
        </w:rPr>
        <w:t>Section 149 of the PIRD Act empowers the Governor-General to make regulations, not inconsistent with the Act, prescribing matters required or permitted by the Act to be prescribed</w:t>
      </w:r>
      <w:r>
        <w:rPr>
          <w:rFonts w:ascii="Times New Roman" w:hAnsi="Times New Roman" w:cs="Times New Roman"/>
          <w:sz w:val="24"/>
        </w:rPr>
        <w:t>,</w:t>
      </w:r>
      <w:r w:rsidRPr="00CD1E29">
        <w:rPr>
          <w:rFonts w:ascii="Times New Roman" w:hAnsi="Times New Roman" w:cs="Times New Roman"/>
          <w:sz w:val="24"/>
        </w:rPr>
        <w:t xml:space="preserve"> or necessary and convenient to be prescribed for carrying out or giving effect to the Act.</w:t>
      </w:r>
    </w:p>
    <w:p w14:paraId="14D61883" w14:textId="77777777" w:rsidR="005B4CB8" w:rsidRDefault="005B4CB8" w:rsidP="009C6D5F">
      <w:pPr>
        <w:tabs>
          <w:tab w:val="left" w:pos="1701"/>
          <w:tab w:val="right" w:pos="9072"/>
        </w:tabs>
        <w:rPr>
          <w:rFonts w:ascii="Times New Roman" w:hAnsi="Times New Roman" w:cs="Times New Roman"/>
          <w:sz w:val="24"/>
        </w:rPr>
      </w:pPr>
    </w:p>
    <w:p w14:paraId="662FA6A0" w14:textId="05F14AFA" w:rsidR="009C6D5F" w:rsidRPr="009C6D5F" w:rsidRDefault="00A51548" w:rsidP="009C6D5F">
      <w:pPr>
        <w:tabs>
          <w:tab w:val="left" w:pos="1701"/>
          <w:tab w:val="right" w:pos="9072"/>
        </w:tabs>
        <w:rPr>
          <w:rFonts w:ascii="Times New Roman" w:hAnsi="Times New Roman" w:cs="Times New Roman"/>
          <w:sz w:val="24"/>
        </w:rPr>
      </w:pPr>
      <w:r w:rsidRPr="00570C3F">
        <w:rPr>
          <w:rFonts w:ascii="Times New Roman" w:hAnsi="Times New Roman" w:cs="Times New Roman"/>
          <w:sz w:val="24"/>
        </w:rPr>
        <w:t xml:space="preserve">Section </w:t>
      </w:r>
      <w:r w:rsidR="009C6D5F">
        <w:rPr>
          <w:rFonts w:ascii="Times New Roman" w:hAnsi="Times New Roman" w:cs="Times New Roman"/>
          <w:sz w:val="24"/>
        </w:rPr>
        <w:t>8</w:t>
      </w:r>
      <w:r w:rsidRPr="00570C3F">
        <w:rPr>
          <w:rFonts w:ascii="Times New Roman" w:hAnsi="Times New Roman" w:cs="Times New Roman"/>
          <w:sz w:val="24"/>
        </w:rPr>
        <w:t xml:space="preserve"> of the</w:t>
      </w:r>
      <w:r w:rsidR="009C6D5F">
        <w:rPr>
          <w:rFonts w:ascii="Times New Roman" w:hAnsi="Times New Roman" w:cs="Times New Roman"/>
          <w:sz w:val="24"/>
        </w:rPr>
        <w:t xml:space="preserve"> PIRD Act</w:t>
      </w:r>
      <w:r w:rsidRPr="00570C3F">
        <w:rPr>
          <w:rFonts w:ascii="Times New Roman" w:hAnsi="Times New Roman" w:cs="Times New Roman"/>
          <w:sz w:val="24"/>
        </w:rPr>
        <w:t xml:space="preserve"> provides that </w:t>
      </w:r>
      <w:r w:rsidR="009C6D5F">
        <w:rPr>
          <w:rFonts w:ascii="Times New Roman" w:hAnsi="Times New Roman" w:cs="Times New Roman"/>
          <w:sz w:val="24"/>
        </w:rPr>
        <w:t>w</w:t>
      </w:r>
      <w:r w:rsidR="009C6D5F" w:rsidRPr="009C6D5F">
        <w:rPr>
          <w:rFonts w:ascii="Times New Roman" w:hAnsi="Times New Roman" w:cs="Times New Roman"/>
          <w:sz w:val="24"/>
        </w:rPr>
        <w:t>here the regulations declare the establishment of a</w:t>
      </w:r>
      <w:r w:rsidR="00FD68D3">
        <w:rPr>
          <w:rFonts w:ascii="Times New Roman" w:hAnsi="Times New Roman" w:cs="Times New Roman"/>
          <w:sz w:val="24"/>
        </w:rPr>
        <w:t xml:space="preserve"> </w:t>
      </w:r>
      <w:r w:rsidR="00E14ECD">
        <w:rPr>
          <w:rFonts w:ascii="Times New Roman" w:hAnsi="Times New Roman" w:cs="Times New Roman"/>
          <w:sz w:val="24"/>
        </w:rPr>
        <w:t>Corporation</w:t>
      </w:r>
      <w:r w:rsidR="00E14ECD" w:rsidRPr="009C6D5F">
        <w:rPr>
          <w:rFonts w:ascii="Times New Roman" w:hAnsi="Times New Roman" w:cs="Times New Roman"/>
          <w:sz w:val="24"/>
        </w:rPr>
        <w:t xml:space="preserve"> </w:t>
      </w:r>
      <w:r w:rsidR="009C6D5F" w:rsidRPr="009C6D5F">
        <w:rPr>
          <w:rFonts w:ascii="Times New Roman" w:hAnsi="Times New Roman" w:cs="Times New Roman"/>
          <w:sz w:val="24"/>
        </w:rPr>
        <w:t>in respect of a primary industry or class of primary industries and specify a name for the Corporation:</w:t>
      </w:r>
    </w:p>
    <w:p w14:paraId="36EF17F3" w14:textId="52B1CCEE" w:rsidR="009C6D5F" w:rsidRPr="009C6D5F" w:rsidRDefault="005B4CB8" w:rsidP="009C6D5F">
      <w:pPr>
        <w:pStyle w:val="ListParagraph"/>
        <w:numPr>
          <w:ilvl w:val="0"/>
          <w:numId w:val="44"/>
        </w:numPr>
        <w:tabs>
          <w:tab w:val="left" w:pos="1701"/>
          <w:tab w:val="right" w:pos="9072"/>
        </w:tabs>
        <w:rPr>
          <w:rFonts w:ascii="Times New Roman" w:hAnsi="Times New Roman" w:cs="Times New Roman"/>
          <w:sz w:val="24"/>
        </w:rPr>
      </w:pPr>
      <w:r>
        <w:rPr>
          <w:rFonts w:ascii="Times New Roman" w:hAnsi="Times New Roman" w:cs="Times New Roman"/>
          <w:sz w:val="24"/>
        </w:rPr>
        <w:t xml:space="preserve">a </w:t>
      </w:r>
      <w:r w:rsidR="00E14ECD">
        <w:rPr>
          <w:rFonts w:ascii="Times New Roman" w:hAnsi="Times New Roman" w:cs="Times New Roman"/>
          <w:sz w:val="24"/>
        </w:rPr>
        <w:t>Corporation</w:t>
      </w:r>
      <w:r w:rsidR="00E14ECD" w:rsidRPr="009C6D5F">
        <w:rPr>
          <w:rFonts w:ascii="Times New Roman" w:hAnsi="Times New Roman" w:cs="Times New Roman"/>
          <w:sz w:val="24"/>
        </w:rPr>
        <w:t xml:space="preserve"> </w:t>
      </w:r>
      <w:r w:rsidR="009C6D5F" w:rsidRPr="009C6D5F">
        <w:rPr>
          <w:rFonts w:ascii="Times New Roman" w:hAnsi="Times New Roman" w:cs="Times New Roman"/>
          <w:sz w:val="24"/>
        </w:rPr>
        <w:t>is established in respect of that primary industry or class of primary industries; and</w:t>
      </w:r>
    </w:p>
    <w:p w14:paraId="5F3779C7" w14:textId="5F9BE661" w:rsidR="00A51548" w:rsidRPr="009C6D5F" w:rsidRDefault="009C6D5F" w:rsidP="009C6D5F">
      <w:pPr>
        <w:pStyle w:val="ListParagraph"/>
        <w:numPr>
          <w:ilvl w:val="0"/>
          <w:numId w:val="44"/>
        </w:numPr>
        <w:tabs>
          <w:tab w:val="left" w:pos="1701"/>
          <w:tab w:val="right" w:pos="9072"/>
        </w:tabs>
        <w:rPr>
          <w:rFonts w:ascii="Times New Roman" w:hAnsi="Times New Roman" w:cs="Times New Roman"/>
          <w:sz w:val="24"/>
        </w:rPr>
      </w:pPr>
      <w:r w:rsidRPr="009C6D5F">
        <w:rPr>
          <w:rFonts w:ascii="Times New Roman" w:hAnsi="Times New Roman" w:cs="Times New Roman"/>
          <w:sz w:val="24"/>
        </w:rPr>
        <w:t xml:space="preserve">the </w:t>
      </w:r>
      <w:r w:rsidR="00E14ECD">
        <w:rPr>
          <w:rFonts w:ascii="Times New Roman" w:hAnsi="Times New Roman" w:cs="Times New Roman"/>
          <w:sz w:val="24"/>
        </w:rPr>
        <w:t>Corporation</w:t>
      </w:r>
      <w:r w:rsidR="00E14ECD" w:rsidRPr="009C6D5F">
        <w:rPr>
          <w:rFonts w:ascii="Times New Roman" w:hAnsi="Times New Roman" w:cs="Times New Roman"/>
          <w:sz w:val="24"/>
        </w:rPr>
        <w:t xml:space="preserve"> </w:t>
      </w:r>
      <w:r w:rsidRPr="009C6D5F">
        <w:rPr>
          <w:rFonts w:ascii="Times New Roman" w:hAnsi="Times New Roman" w:cs="Times New Roman"/>
          <w:sz w:val="24"/>
        </w:rPr>
        <w:t>is to be known by the name specified in the regulations.</w:t>
      </w:r>
      <w:r w:rsidR="00A51548" w:rsidRPr="009C6D5F">
        <w:rPr>
          <w:rFonts w:ascii="Times New Roman" w:hAnsi="Times New Roman" w:cs="Times New Roman"/>
          <w:sz w:val="24"/>
        </w:rPr>
        <w:t xml:space="preserve"> </w:t>
      </w:r>
    </w:p>
    <w:p w14:paraId="6CE62C45" w14:textId="77777777" w:rsidR="00B65617" w:rsidRDefault="00B65617" w:rsidP="00A51548">
      <w:pPr>
        <w:tabs>
          <w:tab w:val="left" w:pos="1701"/>
          <w:tab w:val="right" w:pos="9072"/>
        </w:tabs>
        <w:rPr>
          <w:rFonts w:ascii="Times New Roman" w:hAnsi="Times New Roman" w:cs="Times New Roman"/>
          <w:color w:val="FF0000"/>
          <w:sz w:val="24"/>
        </w:rPr>
      </w:pPr>
    </w:p>
    <w:p w14:paraId="0CC8F077" w14:textId="6C92927F" w:rsidR="009C6D5F" w:rsidRDefault="00B65617" w:rsidP="00A51548">
      <w:pPr>
        <w:tabs>
          <w:tab w:val="left" w:pos="1701"/>
          <w:tab w:val="right" w:pos="9072"/>
        </w:tabs>
        <w:rPr>
          <w:rFonts w:ascii="Times New Roman" w:hAnsi="Times New Roman" w:cs="Times New Roman"/>
          <w:sz w:val="24"/>
        </w:rPr>
      </w:pPr>
      <w:r>
        <w:rPr>
          <w:rFonts w:ascii="Times New Roman" w:hAnsi="Times New Roman" w:cs="Times New Roman"/>
          <w:sz w:val="24"/>
        </w:rPr>
        <w:t xml:space="preserve">Regulation </w:t>
      </w:r>
      <w:r w:rsidR="009C6D5F">
        <w:rPr>
          <w:rFonts w:ascii="Times New Roman" w:hAnsi="Times New Roman" w:cs="Times New Roman"/>
          <w:sz w:val="24"/>
        </w:rPr>
        <w:t xml:space="preserve">4 of the </w:t>
      </w:r>
      <w:r w:rsidR="009C6D5F" w:rsidRPr="00797E68">
        <w:rPr>
          <w:rFonts w:ascii="Times New Roman" w:hAnsi="Times New Roman" w:cs="Times New Roman"/>
          <w:i/>
          <w:sz w:val="24"/>
        </w:rPr>
        <w:t>Fisheries Research and Development Corporation Regulations 1991</w:t>
      </w:r>
      <w:r w:rsidR="009C6D5F">
        <w:rPr>
          <w:rFonts w:ascii="Times New Roman" w:hAnsi="Times New Roman" w:cs="Times New Roman"/>
          <w:sz w:val="24"/>
        </w:rPr>
        <w:t xml:space="preserve"> (the FRDC Regulations) declares the establishment of the </w:t>
      </w:r>
      <w:r w:rsidR="009C6D5F" w:rsidRPr="009C6D5F">
        <w:rPr>
          <w:rFonts w:ascii="Times New Roman" w:hAnsi="Times New Roman" w:cs="Times New Roman"/>
          <w:sz w:val="24"/>
        </w:rPr>
        <w:t>Fisheries Research and Development Corporation</w:t>
      </w:r>
      <w:r w:rsidR="005B4CB8">
        <w:rPr>
          <w:rFonts w:ascii="Times New Roman" w:hAnsi="Times New Roman" w:cs="Times New Roman"/>
          <w:sz w:val="24"/>
        </w:rPr>
        <w:t xml:space="preserve"> (FRDC)</w:t>
      </w:r>
      <w:r w:rsidR="009C6D5F">
        <w:rPr>
          <w:rFonts w:ascii="Times New Roman" w:hAnsi="Times New Roman" w:cs="Times New Roman"/>
          <w:sz w:val="24"/>
        </w:rPr>
        <w:t xml:space="preserve"> in respect of the </w:t>
      </w:r>
      <w:r w:rsidR="009C6D5F" w:rsidRPr="009C6D5F">
        <w:rPr>
          <w:rFonts w:ascii="Times New Roman" w:hAnsi="Times New Roman" w:cs="Times New Roman"/>
          <w:sz w:val="24"/>
        </w:rPr>
        <w:t>fishing industry.</w:t>
      </w:r>
    </w:p>
    <w:p w14:paraId="408BB1BB" w14:textId="77777777" w:rsidR="00FD68D3" w:rsidRDefault="00FD68D3" w:rsidP="00FD68D3">
      <w:pPr>
        <w:tabs>
          <w:tab w:val="left" w:pos="1701"/>
          <w:tab w:val="right" w:pos="9072"/>
        </w:tabs>
        <w:rPr>
          <w:rFonts w:ascii="Times New Roman" w:hAnsi="Times New Roman" w:cs="Times New Roman"/>
          <w:sz w:val="24"/>
        </w:rPr>
      </w:pPr>
    </w:p>
    <w:p w14:paraId="71374004" w14:textId="5FA87DFB" w:rsidR="00A72F36" w:rsidRDefault="00FD68D3" w:rsidP="00FD68D3">
      <w:pPr>
        <w:tabs>
          <w:tab w:val="left" w:pos="1701"/>
          <w:tab w:val="right" w:pos="9072"/>
        </w:tabs>
        <w:rPr>
          <w:rFonts w:ascii="Times New Roman" w:hAnsi="Times New Roman" w:cs="Times New Roman"/>
          <w:sz w:val="24"/>
        </w:rPr>
      </w:pPr>
      <w:r>
        <w:rPr>
          <w:rFonts w:ascii="Times New Roman" w:hAnsi="Times New Roman" w:cs="Times New Roman"/>
          <w:sz w:val="24"/>
        </w:rPr>
        <w:t>Section 5 of the PIRD Act provides for a levy or a clas</w:t>
      </w:r>
      <w:r w:rsidR="00E14ECD">
        <w:rPr>
          <w:rFonts w:ascii="Times New Roman" w:hAnsi="Times New Roman" w:cs="Times New Roman"/>
          <w:sz w:val="24"/>
        </w:rPr>
        <w:t>s of levies to be attached to a Corporation</w:t>
      </w:r>
      <w:r>
        <w:rPr>
          <w:rFonts w:ascii="Times New Roman" w:hAnsi="Times New Roman" w:cs="Times New Roman"/>
          <w:sz w:val="24"/>
        </w:rPr>
        <w:t xml:space="preserve"> through declaration of such in </w:t>
      </w:r>
      <w:r w:rsidR="00BA4A5D">
        <w:rPr>
          <w:rFonts w:ascii="Times New Roman" w:hAnsi="Times New Roman" w:cs="Times New Roman"/>
          <w:sz w:val="24"/>
        </w:rPr>
        <w:t>r</w:t>
      </w:r>
      <w:r>
        <w:rPr>
          <w:rFonts w:ascii="Times New Roman" w:hAnsi="Times New Roman" w:cs="Times New Roman"/>
          <w:sz w:val="24"/>
        </w:rPr>
        <w:t xml:space="preserve">egulations. Where a levy or class of levies is so declared to be attached, </w:t>
      </w:r>
      <w:r w:rsidR="00BA4A5D">
        <w:rPr>
          <w:rFonts w:ascii="Times New Roman" w:hAnsi="Times New Roman" w:cs="Times New Roman"/>
          <w:sz w:val="24"/>
        </w:rPr>
        <w:t xml:space="preserve">paragraph </w:t>
      </w:r>
      <w:r>
        <w:rPr>
          <w:rFonts w:ascii="Times New Roman" w:hAnsi="Times New Roman" w:cs="Times New Roman"/>
          <w:sz w:val="24"/>
        </w:rPr>
        <w:t xml:space="preserve">5(3)(a) requires that the </w:t>
      </w:r>
      <w:r w:rsidR="00BA4A5D">
        <w:rPr>
          <w:rFonts w:ascii="Times New Roman" w:hAnsi="Times New Roman" w:cs="Times New Roman"/>
          <w:sz w:val="24"/>
        </w:rPr>
        <w:t xml:space="preserve">regulations declare </w:t>
      </w:r>
      <w:r>
        <w:rPr>
          <w:rFonts w:ascii="Times New Roman" w:hAnsi="Times New Roman" w:cs="Times New Roman"/>
          <w:sz w:val="24"/>
        </w:rPr>
        <w:t xml:space="preserve">which part of the levy, for each relevant levy, is the research component. </w:t>
      </w:r>
      <w:r w:rsidR="00622179">
        <w:rPr>
          <w:rFonts w:ascii="Times New Roman" w:hAnsi="Times New Roman" w:cs="Times New Roman"/>
          <w:sz w:val="24"/>
        </w:rPr>
        <w:t>Subsection 4(1) of the PIRD Act provides that ‘levy’ includes an export or import charge and an excise on the produce of a primary industry.</w:t>
      </w:r>
    </w:p>
    <w:p w14:paraId="6FE54F1D" w14:textId="77777777" w:rsidR="009C6D5F" w:rsidRDefault="009C6D5F" w:rsidP="00A51548">
      <w:pPr>
        <w:tabs>
          <w:tab w:val="left" w:pos="1701"/>
          <w:tab w:val="right" w:pos="9072"/>
        </w:tabs>
        <w:rPr>
          <w:rFonts w:ascii="Times New Roman" w:hAnsi="Times New Roman" w:cs="Times New Roman"/>
          <w:sz w:val="24"/>
        </w:rPr>
      </w:pPr>
    </w:p>
    <w:p w14:paraId="31FA69C6"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01681676" w14:textId="18432D2E" w:rsidR="008F3733" w:rsidRDefault="00FD68D3" w:rsidP="00FD68D3">
      <w:pPr>
        <w:rPr>
          <w:rFonts w:ascii="Times New Roman" w:hAnsi="Times New Roman" w:cs="Times New Roman"/>
          <w:sz w:val="24"/>
        </w:rPr>
      </w:pPr>
      <w:r w:rsidRPr="00FD68D3">
        <w:rPr>
          <w:rFonts w:ascii="Times New Roman" w:hAnsi="Times New Roman" w:cs="Times New Roman"/>
          <w:sz w:val="24"/>
        </w:rPr>
        <w:t xml:space="preserve">The </w:t>
      </w:r>
      <w:r>
        <w:rPr>
          <w:rFonts w:ascii="Times New Roman" w:hAnsi="Times New Roman" w:cs="Times New Roman"/>
          <w:sz w:val="24"/>
        </w:rPr>
        <w:t xml:space="preserve">purpose of the </w:t>
      </w:r>
      <w:r w:rsidRPr="00797E68">
        <w:rPr>
          <w:rFonts w:ascii="Times New Roman" w:hAnsi="Times New Roman" w:cs="Times New Roman"/>
          <w:i/>
          <w:sz w:val="24"/>
        </w:rPr>
        <w:t>Fisheries Research and Development Corporation Amendment (Farmed Prawns) Regulations 2019</w:t>
      </w:r>
      <w:r>
        <w:rPr>
          <w:rFonts w:ascii="Times New Roman" w:hAnsi="Times New Roman" w:cs="Times New Roman"/>
          <w:sz w:val="24"/>
        </w:rPr>
        <w:t xml:space="preserve"> (</w:t>
      </w:r>
      <w:r w:rsidRPr="00FD68D3">
        <w:rPr>
          <w:rFonts w:ascii="Times New Roman" w:hAnsi="Times New Roman" w:cs="Times New Roman"/>
          <w:sz w:val="24"/>
        </w:rPr>
        <w:t xml:space="preserve">FRDC </w:t>
      </w:r>
      <w:r>
        <w:rPr>
          <w:rFonts w:ascii="Times New Roman" w:hAnsi="Times New Roman" w:cs="Times New Roman"/>
          <w:sz w:val="24"/>
        </w:rPr>
        <w:t xml:space="preserve">Amendment </w:t>
      </w:r>
      <w:r w:rsidRPr="00FD68D3">
        <w:rPr>
          <w:rFonts w:ascii="Times New Roman" w:hAnsi="Times New Roman" w:cs="Times New Roman"/>
          <w:sz w:val="24"/>
        </w:rPr>
        <w:t>Regulations</w:t>
      </w:r>
      <w:r>
        <w:rPr>
          <w:rFonts w:ascii="Times New Roman" w:hAnsi="Times New Roman" w:cs="Times New Roman"/>
          <w:sz w:val="24"/>
        </w:rPr>
        <w:t>)</w:t>
      </w:r>
      <w:r w:rsidRPr="00FD68D3">
        <w:rPr>
          <w:rFonts w:ascii="Times New Roman" w:hAnsi="Times New Roman" w:cs="Times New Roman"/>
          <w:sz w:val="24"/>
        </w:rPr>
        <w:t xml:space="preserve"> </w:t>
      </w:r>
      <w:r w:rsidR="00413264">
        <w:rPr>
          <w:rFonts w:ascii="Times New Roman" w:hAnsi="Times New Roman" w:cs="Times New Roman"/>
          <w:sz w:val="24"/>
        </w:rPr>
        <w:t>is to</w:t>
      </w:r>
      <w:r w:rsidRPr="00FD68D3">
        <w:rPr>
          <w:rFonts w:ascii="Times New Roman" w:hAnsi="Times New Roman" w:cs="Times New Roman"/>
          <w:sz w:val="24"/>
        </w:rPr>
        <w:t xml:space="preserve"> amend the </w:t>
      </w:r>
      <w:r>
        <w:rPr>
          <w:rFonts w:ascii="Times New Roman" w:hAnsi="Times New Roman" w:cs="Times New Roman"/>
          <w:sz w:val="24"/>
        </w:rPr>
        <w:t>FRDC Regulations</w:t>
      </w:r>
      <w:r w:rsidRPr="00FD68D3">
        <w:rPr>
          <w:rFonts w:ascii="Times New Roman" w:hAnsi="Times New Roman" w:cs="Times New Roman"/>
          <w:sz w:val="24"/>
        </w:rPr>
        <w:t xml:space="preserve"> to </w:t>
      </w:r>
      <w:r>
        <w:rPr>
          <w:rFonts w:ascii="Times New Roman" w:hAnsi="Times New Roman" w:cs="Times New Roman"/>
          <w:sz w:val="24"/>
        </w:rPr>
        <w:t xml:space="preserve">declare the </w:t>
      </w:r>
      <w:r w:rsidR="008F3733">
        <w:rPr>
          <w:rFonts w:ascii="Times New Roman" w:hAnsi="Times New Roman" w:cs="Times New Roman"/>
          <w:sz w:val="24"/>
        </w:rPr>
        <w:t>following ‘levies’ to be attached to the FRDC</w:t>
      </w:r>
      <w:r w:rsidR="00C910F7">
        <w:rPr>
          <w:rFonts w:ascii="Times New Roman" w:hAnsi="Times New Roman" w:cs="Times New Roman"/>
          <w:sz w:val="24"/>
        </w:rPr>
        <w:t xml:space="preserve"> for the purposes of paragraph 5(1)(a) of the PIRD Act</w:t>
      </w:r>
      <w:r w:rsidR="008F3733">
        <w:rPr>
          <w:rFonts w:ascii="Times New Roman" w:hAnsi="Times New Roman" w:cs="Times New Roman"/>
          <w:sz w:val="24"/>
        </w:rPr>
        <w:t>:</w:t>
      </w:r>
    </w:p>
    <w:p w14:paraId="13591922" w14:textId="3F325A3C" w:rsidR="008F3733" w:rsidRDefault="00FD68D3" w:rsidP="00797E68">
      <w:pPr>
        <w:pStyle w:val="ListParagraph"/>
        <w:numPr>
          <w:ilvl w:val="0"/>
          <w:numId w:val="46"/>
        </w:numPr>
        <w:rPr>
          <w:rFonts w:ascii="Times New Roman" w:hAnsi="Times New Roman" w:cs="Times New Roman"/>
          <w:sz w:val="24"/>
        </w:rPr>
      </w:pPr>
      <w:r w:rsidRPr="00797E68">
        <w:rPr>
          <w:rFonts w:ascii="Times New Roman" w:hAnsi="Times New Roman" w:cs="Times New Roman"/>
          <w:sz w:val="24"/>
        </w:rPr>
        <w:t xml:space="preserve">white spot disease repayment levy </w:t>
      </w:r>
      <w:r w:rsidR="008F3733" w:rsidRPr="00CD1E29">
        <w:rPr>
          <w:rFonts w:ascii="Times New Roman" w:hAnsi="Times New Roman" w:cs="Times New Roman"/>
          <w:sz w:val="24"/>
        </w:rPr>
        <w:t>(WSDR</w:t>
      </w:r>
      <w:r w:rsidR="008F3733">
        <w:rPr>
          <w:rFonts w:ascii="Times New Roman" w:hAnsi="Times New Roman" w:cs="Times New Roman"/>
          <w:sz w:val="24"/>
        </w:rPr>
        <w:t xml:space="preserve"> levy</w:t>
      </w:r>
      <w:r w:rsidR="008F3733" w:rsidRPr="00CD1E29">
        <w:rPr>
          <w:rFonts w:ascii="Times New Roman" w:hAnsi="Times New Roman" w:cs="Times New Roman"/>
          <w:sz w:val="24"/>
        </w:rPr>
        <w:t xml:space="preserve">) </w:t>
      </w:r>
      <w:r w:rsidRPr="00797E68">
        <w:rPr>
          <w:rFonts w:ascii="Times New Roman" w:hAnsi="Times New Roman" w:cs="Times New Roman"/>
          <w:sz w:val="24"/>
        </w:rPr>
        <w:t xml:space="preserve">on farmed prawns </w:t>
      </w:r>
      <w:r w:rsidR="00C910F7">
        <w:rPr>
          <w:rFonts w:ascii="Times New Roman" w:hAnsi="Times New Roman" w:cs="Times New Roman"/>
          <w:sz w:val="24"/>
        </w:rPr>
        <w:t xml:space="preserve">imposed by </w:t>
      </w:r>
      <w:r w:rsidR="008F3733">
        <w:rPr>
          <w:rFonts w:ascii="Times New Roman" w:hAnsi="Times New Roman" w:cs="Times New Roman"/>
          <w:sz w:val="24"/>
        </w:rPr>
        <w:t xml:space="preserve">clause 3.5 of Schedule 27 to the </w:t>
      </w:r>
      <w:r w:rsidR="008F3733">
        <w:rPr>
          <w:rFonts w:ascii="Times New Roman" w:hAnsi="Times New Roman" w:cs="Times New Roman"/>
          <w:i/>
          <w:sz w:val="24"/>
        </w:rPr>
        <w:t>Primary Industries (Excise) Levies Regulations 1999</w:t>
      </w:r>
      <w:r w:rsidR="008F3733">
        <w:rPr>
          <w:rFonts w:ascii="Times New Roman" w:hAnsi="Times New Roman" w:cs="Times New Roman"/>
          <w:sz w:val="24"/>
        </w:rPr>
        <w:t>;</w:t>
      </w:r>
    </w:p>
    <w:p w14:paraId="5F1AC432" w14:textId="1AB4DD80" w:rsidR="008F3733" w:rsidRDefault="008F3733" w:rsidP="00797E68">
      <w:pPr>
        <w:pStyle w:val="ListParagraph"/>
        <w:numPr>
          <w:ilvl w:val="0"/>
          <w:numId w:val="46"/>
        </w:numPr>
        <w:rPr>
          <w:rFonts w:ascii="Times New Roman" w:hAnsi="Times New Roman" w:cs="Times New Roman"/>
          <w:sz w:val="24"/>
        </w:rPr>
      </w:pPr>
      <w:r>
        <w:rPr>
          <w:rFonts w:ascii="Times New Roman" w:hAnsi="Times New Roman" w:cs="Times New Roman"/>
          <w:sz w:val="24"/>
        </w:rPr>
        <w:t xml:space="preserve">white spot disease repayment charge (WSDR charge) on farmed prawns </w:t>
      </w:r>
      <w:r w:rsidR="00C910F7">
        <w:rPr>
          <w:rFonts w:ascii="Times New Roman" w:hAnsi="Times New Roman" w:cs="Times New Roman"/>
          <w:sz w:val="24"/>
        </w:rPr>
        <w:t xml:space="preserve">imposed by </w:t>
      </w:r>
      <w:r>
        <w:rPr>
          <w:rFonts w:ascii="Times New Roman" w:hAnsi="Times New Roman" w:cs="Times New Roman"/>
          <w:sz w:val="24"/>
        </w:rPr>
        <w:t xml:space="preserve">clause 2.5 of Schedule 14 to the </w:t>
      </w:r>
      <w:r>
        <w:rPr>
          <w:rFonts w:ascii="Times New Roman" w:hAnsi="Times New Roman" w:cs="Times New Roman"/>
          <w:i/>
          <w:sz w:val="24"/>
        </w:rPr>
        <w:t>Primary Industries (Customs) Charges Regulations 2000</w:t>
      </w:r>
      <w:r w:rsidR="00FD68D3" w:rsidRPr="00797E68">
        <w:rPr>
          <w:rFonts w:ascii="Times New Roman" w:hAnsi="Times New Roman" w:cs="Times New Roman"/>
          <w:sz w:val="24"/>
        </w:rPr>
        <w:t xml:space="preserve">. </w:t>
      </w:r>
    </w:p>
    <w:p w14:paraId="68279851" w14:textId="77777777" w:rsidR="008F3733" w:rsidRDefault="008F3733" w:rsidP="008F3733">
      <w:pPr>
        <w:rPr>
          <w:rFonts w:ascii="Times New Roman" w:hAnsi="Times New Roman" w:cs="Times New Roman"/>
          <w:sz w:val="24"/>
        </w:rPr>
      </w:pPr>
    </w:p>
    <w:p w14:paraId="13087E03" w14:textId="09BC988D" w:rsidR="00314506" w:rsidRDefault="004D07F4" w:rsidP="008F3733">
      <w:pPr>
        <w:rPr>
          <w:rFonts w:ascii="Times New Roman" w:hAnsi="Times New Roman" w:cs="Times New Roman"/>
          <w:sz w:val="24"/>
        </w:rPr>
      </w:pPr>
      <w:r w:rsidRPr="00797E68">
        <w:rPr>
          <w:rFonts w:ascii="Times New Roman" w:hAnsi="Times New Roman" w:cs="Times New Roman"/>
          <w:sz w:val="24"/>
        </w:rPr>
        <w:t xml:space="preserve">The amended </w:t>
      </w:r>
      <w:r w:rsidR="008F3733">
        <w:rPr>
          <w:rFonts w:ascii="Times New Roman" w:hAnsi="Times New Roman" w:cs="Times New Roman"/>
          <w:sz w:val="24"/>
        </w:rPr>
        <w:t xml:space="preserve">FRDC </w:t>
      </w:r>
      <w:r w:rsidRPr="00797E68">
        <w:rPr>
          <w:rFonts w:ascii="Times New Roman" w:hAnsi="Times New Roman" w:cs="Times New Roman"/>
          <w:sz w:val="24"/>
        </w:rPr>
        <w:t xml:space="preserve">Regulations will also </w:t>
      </w:r>
      <w:r w:rsidR="00FD68D3" w:rsidRPr="00797E68">
        <w:rPr>
          <w:rFonts w:ascii="Times New Roman" w:hAnsi="Times New Roman" w:cs="Times New Roman"/>
          <w:sz w:val="24"/>
        </w:rPr>
        <w:t>specify the research component of the WSDR levy</w:t>
      </w:r>
      <w:r w:rsidR="008F3733">
        <w:rPr>
          <w:rFonts w:ascii="Times New Roman" w:hAnsi="Times New Roman" w:cs="Times New Roman"/>
          <w:sz w:val="24"/>
        </w:rPr>
        <w:t xml:space="preserve"> and the WSDR charge</w:t>
      </w:r>
      <w:r w:rsidR="00314506">
        <w:rPr>
          <w:rFonts w:ascii="Times New Roman" w:hAnsi="Times New Roman" w:cs="Times New Roman"/>
          <w:sz w:val="24"/>
        </w:rPr>
        <w:t xml:space="preserve"> respectively</w:t>
      </w:r>
      <w:r w:rsidR="00C910F7">
        <w:rPr>
          <w:rFonts w:ascii="Times New Roman" w:hAnsi="Times New Roman" w:cs="Times New Roman"/>
          <w:sz w:val="24"/>
        </w:rPr>
        <w:t xml:space="preserve"> for the purposes of paragraph 5(3)(a) of the PIRD Act</w:t>
      </w:r>
      <w:r w:rsidR="008F3733">
        <w:rPr>
          <w:rFonts w:ascii="Times New Roman" w:hAnsi="Times New Roman" w:cs="Times New Roman"/>
          <w:sz w:val="24"/>
        </w:rPr>
        <w:t xml:space="preserve">. </w:t>
      </w:r>
    </w:p>
    <w:p w14:paraId="2454475D" w14:textId="77777777" w:rsidR="00C1205F" w:rsidRDefault="00C1205F" w:rsidP="008F3733">
      <w:pPr>
        <w:rPr>
          <w:rFonts w:ascii="Times New Roman" w:hAnsi="Times New Roman" w:cs="Times New Roman"/>
          <w:sz w:val="24"/>
        </w:rPr>
      </w:pPr>
    </w:p>
    <w:p w14:paraId="4A004DA1" w14:textId="6027EE6E" w:rsidR="00FD68D3" w:rsidRPr="00797E68" w:rsidRDefault="00C1205F" w:rsidP="00C1205F">
      <w:pPr>
        <w:rPr>
          <w:rFonts w:ascii="Times New Roman" w:hAnsi="Times New Roman" w:cs="Times New Roman"/>
          <w:sz w:val="24"/>
        </w:rPr>
      </w:pPr>
      <w:r>
        <w:rPr>
          <w:rFonts w:ascii="Times New Roman" w:hAnsi="Times New Roman" w:cs="Times New Roman"/>
          <w:sz w:val="24"/>
        </w:rPr>
        <w:lastRenderedPageBreak/>
        <w:t xml:space="preserve">The research component of the levies </w:t>
      </w:r>
      <w:r w:rsidR="00FD68D3" w:rsidRPr="00797E68">
        <w:rPr>
          <w:rFonts w:ascii="Times New Roman" w:hAnsi="Times New Roman" w:cs="Times New Roman"/>
          <w:sz w:val="24"/>
        </w:rPr>
        <w:t>is</w:t>
      </w:r>
      <w:r>
        <w:rPr>
          <w:rFonts w:ascii="Times New Roman" w:hAnsi="Times New Roman" w:cs="Times New Roman"/>
          <w:sz w:val="24"/>
        </w:rPr>
        <w:t xml:space="preserve"> effectively</w:t>
      </w:r>
      <w:r w:rsidR="00FD68D3" w:rsidRPr="00797E68">
        <w:rPr>
          <w:rFonts w:ascii="Times New Roman" w:hAnsi="Times New Roman" w:cs="Times New Roman"/>
          <w:sz w:val="24"/>
        </w:rPr>
        <w:t xml:space="preserve"> </w:t>
      </w:r>
      <w:r>
        <w:rPr>
          <w:rFonts w:ascii="Times New Roman" w:hAnsi="Times New Roman" w:cs="Times New Roman"/>
          <w:sz w:val="24"/>
        </w:rPr>
        <w:t>the</w:t>
      </w:r>
      <w:r w:rsidRPr="00797E68">
        <w:rPr>
          <w:rFonts w:ascii="Times New Roman" w:hAnsi="Times New Roman" w:cs="Times New Roman"/>
          <w:sz w:val="24"/>
        </w:rPr>
        <w:t xml:space="preserve"> </w:t>
      </w:r>
      <w:r w:rsidR="00FD68D3" w:rsidRPr="00797E68">
        <w:rPr>
          <w:rFonts w:ascii="Times New Roman" w:hAnsi="Times New Roman" w:cs="Times New Roman"/>
          <w:sz w:val="24"/>
        </w:rPr>
        <w:t>amounts of levy that are collected after the prawn industry’s liability to the Commonwe</w:t>
      </w:r>
      <w:r w:rsidR="004D07F4" w:rsidRPr="00797E68">
        <w:rPr>
          <w:rFonts w:ascii="Times New Roman" w:hAnsi="Times New Roman" w:cs="Times New Roman"/>
          <w:sz w:val="24"/>
        </w:rPr>
        <w:t>alth is repaid</w:t>
      </w:r>
      <w:r w:rsidR="00C910F7">
        <w:rPr>
          <w:rFonts w:ascii="Times New Roman" w:hAnsi="Times New Roman" w:cs="Times New Roman"/>
          <w:sz w:val="24"/>
        </w:rPr>
        <w:t>, divided proportionally between each levy based on the amount of each levy received in the financial year that liability is repaid</w:t>
      </w:r>
      <w:r w:rsidR="00413264" w:rsidRPr="00797E68">
        <w:rPr>
          <w:rFonts w:ascii="Times New Roman" w:hAnsi="Times New Roman" w:cs="Times New Roman"/>
          <w:sz w:val="24"/>
        </w:rPr>
        <w:t>.</w:t>
      </w:r>
    </w:p>
    <w:p w14:paraId="0278BBC2" w14:textId="77777777" w:rsidR="001E0923" w:rsidRDefault="001E0923">
      <w:pPr>
        <w:tabs>
          <w:tab w:val="left" w:pos="1701"/>
          <w:tab w:val="right" w:pos="9072"/>
        </w:tabs>
        <w:rPr>
          <w:rFonts w:ascii="Times New Roman" w:hAnsi="Times New Roman" w:cs="Times New Roman"/>
          <w:b/>
          <w:sz w:val="24"/>
        </w:rPr>
      </w:pPr>
    </w:p>
    <w:p w14:paraId="6CC7B374"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6DFF3081" w14:textId="77777777" w:rsidR="00797E68" w:rsidRPr="00797E68" w:rsidRDefault="00797E68" w:rsidP="00797E68">
      <w:pPr>
        <w:tabs>
          <w:tab w:val="right" w:pos="9072"/>
        </w:tabs>
        <w:rPr>
          <w:rFonts w:ascii="Times New Roman" w:hAnsi="Times New Roman" w:cs="Times New Roman"/>
          <w:sz w:val="24"/>
        </w:rPr>
      </w:pPr>
      <w:r w:rsidRPr="00797E68">
        <w:rPr>
          <w:rFonts w:ascii="Times New Roman" w:hAnsi="Times New Roman" w:cs="Times New Roman"/>
          <w:sz w:val="24"/>
        </w:rPr>
        <w:t>On 4 May 2017, following a request from the Australian Prawn Farmers Association (APFA), the peak body for the farmed prawn industry, the then Minister for Agriculture and Water Resources approved an up to $20 million assistance package for prawn farmers affected by the response to white spot disease in the Logan River. White spot disease is not an animal disease covered under any current response deed and APFA is not a party to the Emergency Animal Disease Response Agreement (EADRA), therefore it was agreed that costs would be shared with industry on an 80/20 split under arrangements consistent with those applied to other industries under EADRA. These EADRA-like arrangements included repayment in a reasonable amount of time (usually within ten years) and indexation of the outstanding balance each year at the relevant CPI rate to preserve the value of the underwritten funds.</w:t>
      </w:r>
    </w:p>
    <w:p w14:paraId="71F4C390" w14:textId="77777777" w:rsidR="00797E68" w:rsidRPr="00797E68" w:rsidRDefault="00797E68" w:rsidP="00797E68">
      <w:pPr>
        <w:tabs>
          <w:tab w:val="right" w:pos="9072"/>
        </w:tabs>
        <w:rPr>
          <w:rFonts w:ascii="Times New Roman" w:hAnsi="Times New Roman" w:cs="Times New Roman"/>
          <w:sz w:val="24"/>
        </w:rPr>
      </w:pPr>
    </w:p>
    <w:p w14:paraId="5D020EA2" w14:textId="55FF7182" w:rsidR="0042474D" w:rsidRDefault="00797E68" w:rsidP="00797E68">
      <w:pPr>
        <w:tabs>
          <w:tab w:val="right" w:pos="9072"/>
        </w:tabs>
        <w:rPr>
          <w:rFonts w:ascii="Times New Roman" w:hAnsi="Times New Roman" w:cs="Times New Roman"/>
          <w:sz w:val="24"/>
        </w:rPr>
      </w:pPr>
      <w:r w:rsidRPr="00797E68">
        <w:rPr>
          <w:rFonts w:ascii="Times New Roman" w:hAnsi="Times New Roman" w:cs="Times New Roman"/>
          <w:sz w:val="24"/>
        </w:rPr>
        <w:t>The then Minister and the APFA agreed that the industry contribution (20 per cent, up to $4 million) would be underwritten by the Australian Government and then repaid through a statutory levy and charge on farmed prawns. They also agreed that the levy and charge would not commence for three years after the destruction of prawns on affected farms to give the industry time to restock after a required fallow period.</w:t>
      </w:r>
    </w:p>
    <w:p w14:paraId="43B26E5B" w14:textId="77777777" w:rsidR="00797E68" w:rsidRDefault="00797E68" w:rsidP="00797E68">
      <w:pPr>
        <w:tabs>
          <w:tab w:val="right" w:pos="9072"/>
        </w:tabs>
        <w:rPr>
          <w:rFonts w:ascii="Times New Roman" w:hAnsi="Times New Roman"/>
          <w:sz w:val="24"/>
        </w:rPr>
      </w:pPr>
    </w:p>
    <w:p w14:paraId="32F84E38" w14:textId="38C2DE44" w:rsidR="007B4E88" w:rsidRPr="00EC28B0" w:rsidRDefault="00C55FEC" w:rsidP="0042474D">
      <w:pPr>
        <w:keepNext/>
        <w:tabs>
          <w:tab w:val="left" w:pos="1701"/>
          <w:tab w:val="right" w:pos="9072"/>
        </w:tabs>
        <w:contextualSpacing/>
        <w:rPr>
          <w:rFonts w:ascii="Times New Roman" w:hAnsi="Times New Roman" w:cs="Times New Roman"/>
          <w:b/>
          <w:sz w:val="24"/>
        </w:rPr>
      </w:pPr>
      <w:r>
        <w:rPr>
          <w:rFonts w:ascii="Times New Roman" w:hAnsi="Times New Roman" w:cs="Times New Roman"/>
          <w:b/>
          <w:sz w:val="24"/>
        </w:rPr>
        <w:t>Details</w:t>
      </w:r>
      <w:r w:rsidR="00EE13E3" w:rsidRPr="00EC28B0">
        <w:rPr>
          <w:rFonts w:ascii="Times New Roman" w:hAnsi="Times New Roman" w:cs="Times New Roman"/>
          <w:b/>
          <w:sz w:val="24"/>
        </w:rPr>
        <w:t xml:space="preserve"> and Effect</w:t>
      </w:r>
    </w:p>
    <w:p w14:paraId="7721AE2E" w14:textId="771D0441" w:rsidR="00C1205F" w:rsidRDefault="000025EF" w:rsidP="004D07F4">
      <w:pPr>
        <w:rPr>
          <w:rFonts w:ascii="Times New Roman" w:hAnsi="Times New Roman" w:cs="Times New Roman"/>
          <w:sz w:val="24"/>
        </w:rPr>
      </w:pPr>
      <w:r>
        <w:rPr>
          <w:rFonts w:ascii="Times New Roman" w:eastAsia="Calibri" w:hAnsi="Times New Roman" w:cs="Times New Roman"/>
          <w:sz w:val="24"/>
        </w:rPr>
        <w:t>The amendments will result in</w:t>
      </w:r>
      <w:r w:rsidR="00A72F36">
        <w:rPr>
          <w:rFonts w:ascii="Times New Roman" w:eastAsia="Calibri" w:hAnsi="Times New Roman" w:cs="Times New Roman"/>
          <w:sz w:val="24"/>
        </w:rPr>
        <w:t xml:space="preserve"> the</w:t>
      </w:r>
      <w:r w:rsidR="004D07F4">
        <w:rPr>
          <w:rFonts w:ascii="Times New Roman" w:eastAsia="Calibri" w:hAnsi="Times New Roman" w:cs="Times New Roman"/>
          <w:sz w:val="24"/>
        </w:rPr>
        <w:t xml:space="preserve"> </w:t>
      </w:r>
      <w:r w:rsidR="004D07F4">
        <w:rPr>
          <w:rFonts w:ascii="Times New Roman" w:hAnsi="Times New Roman" w:cs="Times New Roman"/>
          <w:sz w:val="24"/>
        </w:rPr>
        <w:t xml:space="preserve">WSDR levy </w:t>
      </w:r>
      <w:r w:rsidR="00A72F36">
        <w:rPr>
          <w:rFonts w:ascii="Times New Roman" w:hAnsi="Times New Roman" w:cs="Times New Roman"/>
          <w:sz w:val="24"/>
        </w:rPr>
        <w:t xml:space="preserve">and the WSDR charge respectively </w:t>
      </w:r>
      <w:r w:rsidR="004D07F4">
        <w:rPr>
          <w:rFonts w:ascii="Times New Roman" w:hAnsi="Times New Roman" w:cs="Times New Roman"/>
          <w:sz w:val="24"/>
        </w:rPr>
        <w:t>being attached to the FRDC. The amended Regulations will also specify the</w:t>
      </w:r>
      <w:r w:rsidR="004D07F4" w:rsidRPr="00FD68D3">
        <w:rPr>
          <w:rFonts w:ascii="Times New Roman" w:hAnsi="Times New Roman" w:cs="Times New Roman"/>
          <w:sz w:val="24"/>
        </w:rPr>
        <w:t xml:space="preserve"> research component of the WSDR levy </w:t>
      </w:r>
      <w:r w:rsidR="00A72F36">
        <w:rPr>
          <w:rFonts w:ascii="Times New Roman" w:hAnsi="Times New Roman" w:cs="Times New Roman"/>
          <w:sz w:val="24"/>
        </w:rPr>
        <w:t>and the WSDR charge respectively</w:t>
      </w:r>
      <w:r w:rsidR="00C1205F">
        <w:rPr>
          <w:rFonts w:ascii="Times New Roman" w:hAnsi="Times New Roman" w:cs="Times New Roman"/>
          <w:sz w:val="24"/>
        </w:rPr>
        <w:t>.</w:t>
      </w:r>
    </w:p>
    <w:p w14:paraId="1D9786CB" w14:textId="77777777" w:rsidR="00C1205F" w:rsidRDefault="00C1205F" w:rsidP="00797E68">
      <w:pPr>
        <w:tabs>
          <w:tab w:val="right" w:pos="9072"/>
        </w:tabs>
        <w:rPr>
          <w:rFonts w:ascii="Times New Roman" w:hAnsi="Times New Roman" w:cs="Times New Roman"/>
          <w:sz w:val="24"/>
        </w:rPr>
      </w:pPr>
    </w:p>
    <w:p w14:paraId="02E535F1" w14:textId="3C264D09" w:rsidR="00250B8B" w:rsidRPr="00797E68" w:rsidRDefault="00C910F7" w:rsidP="00797E68">
      <w:pPr>
        <w:tabs>
          <w:tab w:val="right" w:pos="9072"/>
        </w:tabs>
        <w:rPr>
          <w:rFonts w:ascii="Times New Roman" w:hAnsi="Times New Roman" w:cs="Times New Roman"/>
          <w:sz w:val="24"/>
        </w:rPr>
      </w:pPr>
      <w:r>
        <w:rPr>
          <w:rFonts w:ascii="Times New Roman" w:hAnsi="Times New Roman" w:cs="Times New Roman"/>
          <w:sz w:val="24"/>
        </w:rPr>
        <w:t>The</w:t>
      </w:r>
      <w:r w:rsidR="00C1205F">
        <w:rPr>
          <w:rFonts w:ascii="Times New Roman" w:hAnsi="Times New Roman" w:cs="Times New Roman"/>
          <w:sz w:val="24"/>
        </w:rPr>
        <w:t xml:space="preserve"> research component of these levies is</w:t>
      </w:r>
      <w:r w:rsidR="00A72F36">
        <w:rPr>
          <w:rFonts w:ascii="Times New Roman" w:hAnsi="Times New Roman" w:cs="Times New Roman"/>
          <w:sz w:val="24"/>
        </w:rPr>
        <w:t xml:space="preserve"> made up of </w:t>
      </w:r>
      <w:r>
        <w:rPr>
          <w:rFonts w:ascii="Times New Roman" w:hAnsi="Times New Roman" w:cs="Times New Roman"/>
          <w:sz w:val="24"/>
        </w:rPr>
        <w:t xml:space="preserve">excess </w:t>
      </w:r>
      <w:r w:rsidR="004D07F4" w:rsidRPr="00FD68D3">
        <w:rPr>
          <w:rFonts w:ascii="Times New Roman" w:hAnsi="Times New Roman" w:cs="Times New Roman"/>
          <w:sz w:val="24"/>
        </w:rPr>
        <w:t>amounts of levy that are collected after the prawn industry’s liability to the Commonwe</w:t>
      </w:r>
      <w:r w:rsidR="004D07F4">
        <w:rPr>
          <w:rFonts w:ascii="Times New Roman" w:hAnsi="Times New Roman" w:cs="Times New Roman"/>
          <w:sz w:val="24"/>
        </w:rPr>
        <w:t>alth is repaid</w:t>
      </w:r>
      <w:r w:rsidR="00A72F36">
        <w:rPr>
          <w:rFonts w:ascii="Times New Roman" w:hAnsi="Times New Roman" w:cs="Times New Roman"/>
          <w:sz w:val="24"/>
        </w:rPr>
        <w:t xml:space="preserve">. </w:t>
      </w:r>
      <w:r>
        <w:rPr>
          <w:rFonts w:ascii="Times New Roman" w:hAnsi="Times New Roman" w:cs="Times New Roman"/>
          <w:sz w:val="24"/>
        </w:rPr>
        <w:t xml:space="preserve">Until that liability is paid off, the WSDR levy and WSDR charge are retained by the Commonwealth for the purposes of satisfying that liability. </w:t>
      </w:r>
      <w:r w:rsidRPr="00797E68">
        <w:rPr>
          <w:rFonts w:ascii="Times New Roman" w:hAnsi="Times New Roman" w:cs="Times New Roman"/>
          <w:sz w:val="24"/>
        </w:rPr>
        <w:t xml:space="preserve">  </w:t>
      </w:r>
    </w:p>
    <w:p w14:paraId="40CEBC0A" w14:textId="77777777" w:rsidR="00C910F7" w:rsidRPr="00797E68" w:rsidRDefault="00C910F7" w:rsidP="00797E68">
      <w:pPr>
        <w:tabs>
          <w:tab w:val="right" w:pos="9072"/>
        </w:tabs>
        <w:rPr>
          <w:rFonts w:ascii="Times New Roman" w:hAnsi="Times New Roman" w:cs="Times New Roman"/>
          <w:sz w:val="24"/>
        </w:rPr>
      </w:pPr>
    </w:p>
    <w:p w14:paraId="2EC60A25" w14:textId="4B603F30" w:rsidR="00133780" w:rsidRDefault="00133780">
      <w:pPr>
        <w:tabs>
          <w:tab w:val="right" w:pos="9072"/>
        </w:tabs>
        <w:rPr>
          <w:rFonts w:ascii="Times New Roman" w:hAnsi="Times New Roman" w:cs="Times New Roman"/>
          <w:sz w:val="24"/>
        </w:rPr>
      </w:pPr>
      <w:r>
        <w:rPr>
          <w:rFonts w:ascii="Times New Roman" w:hAnsi="Times New Roman" w:cs="Times New Roman"/>
          <w:sz w:val="24"/>
        </w:rPr>
        <w:t xml:space="preserve">The </w:t>
      </w:r>
      <w:r w:rsidR="004D07F4">
        <w:rPr>
          <w:rFonts w:ascii="Times New Roman" w:hAnsi="Times New Roman" w:cs="Times New Roman"/>
          <w:sz w:val="24"/>
        </w:rPr>
        <w:t>levy</w:t>
      </w:r>
      <w:r>
        <w:rPr>
          <w:rFonts w:ascii="Times New Roman" w:hAnsi="Times New Roman" w:cs="Times New Roman"/>
          <w:sz w:val="24"/>
        </w:rPr>
        <w:t xml:space="preserve"> rate for </w:t>
      </w:r>
      <w:r w:rsidR="004D07F4">
        <w:rPr>
          <w:rFonts w:ascii="Times New Roman" w:hAnsi="Times New Roman" w:cs="Times New Roman"/>
          <w:sz w:val="24"/>
        </w:rPr>
        <w:t xml:space="preserve">the WSDR levy on </w:t>
      </w:r>
      <w:r>
        <w:rPr>
          <w:rFonts w:ascii="Times New Roman" w:hAnsi="Times New Roman" w:cs="Times New Roman"/>
          <w:sz w:val="24"/>
        </w:rPr>
        <w:t xml:space="preserve">farmed prawns was calculated to </w:t>
      </w:r>
      <w:r w:rsidR="004D07F4">
        <w:rPr>
          <w:rFonts w:ascii="Times New Roman" w:hAnsi="Times New Roman" w:cs="Times New Roman"/>
          <w:sz w:val="24"/>
        </w:rPr>
        <w:t>facilitate repayment of the prawn industry’s</w:t>
      </w:r>
      <w:r>
        <w:rPr>
          <w:rFonts w:ascii="Times New Roman" w:hAnsi="Times New Roman" w:cs="Times New Roman"/>
          <w:sz w:val="24"/>
        </w:rPr>
        <w:t xml:space="preserve"> liability to the Australian Government </w:t>
      </w:r>
      <w:r w:rsidR="000A5866">
        <w:rPr>
          <w:rFonts w:ascii="Times New Roman" w:hAnsi="Times New Roman" w:cs="Times New Roman"/>
          <w:sz w:val="24"/>
        </w:rPr>
        <w:t>in</w:t>
      </w:r>
      <w:r>
        <w:rPr>
          <w:rFonts w:ascii="Times New Roman" w:hAnsi="Times New Roman" w:cs="Times New Roman"/>
          <w:sz w:val="24"/>
        </w:rPr>
        <w:t xml:space="preserve"> approximately ten years, at which time the govern</w:t>
      </w:r>
      <w:r w:rsidR="004D07F4">
        <w:rPr>
          <w:rFonts w:ascii="Times New Roman" w:hAnsi="Times New Roman" w:cs="Times New Roman"/>
          <w:sz w:val="24"/>
        </w:rPr>
        <w:t>ment intends to cease the levy. However, i</w:t>
      </w:r>
      <w:r w:rsidR="004D07F4" w:rsidRPr="00FD68D3">
        <w:rPr>
          <w:rFonts w:ascii="Times New Roman" w:hAnsi="Times New Roman" w:cs="Times New Roman"/>
          <w:sz w:val="24"/>
        </w:rPr>
        <w:t>t is not possible to cease the levy at an exact collected dollar amount</w:t>
      </w:r>
      <w:r w:rsidR="004D07F4">
        <w:rPr>
          <w:rFonts w:ascii="Times New Roman" w:hAnsi="Times New Roman" w:cs="Times New Roman"/>
          <w:sz w:val="24"/>
        </w:rPr>
        <w:t>. Therefore</w:t>
      </w:r>
      <w:r w:rsidR="004D07F4" w:rsidRPr="00FD68D3">
        <w:rPr>
          <w:rFonts w:ascii="Times New Roman" w:hAnsi="Times New Roman" w:cs="Times New Roman"/>
          <w:sz w:val="24"/>
        </w:rPr>
        <w:t xml:space="preserve">, </w:t>
      </w:r>
      <w:r w:rsidR="004D07F4">
        <w:rPr>
          <w:rFonts w:ascii="Times New Roman" w:hAnsi="Times New Roman" w:cs="Times New Roman"/>
          <w:sz w:val="24"/>
        </w:rPr>
        <w:t xml:space="preserve">a small amount of levy will be collected over the amount needed to fully repay the liability. </w:t>
      </w:r>
      <w:r w:rsidR="00797E68">
        <w:rPr>
          <w:rFonts w:ascii="Times New Roman" w:hAnsi="Times New Roman" w:cs="Times New Roman"/>
          <w:sz w:val="24"/>
        </w:rPr>
        <w:t>The excess levy amount will be considered to be the research component of the levy, and will be disbursed by the Department of Agriculture to the FRDC. FRDC has been consulted and supports this approach.</w:t>
      </w:r>
    </w:p>
    <w:p w14:paraId="2235BB2E" w14:textId="77777777" w:rsidR="00C910F7" w:rsidRDefault="00C910F7" w:rsidP="00DD1204">
      <w:pPr>
        <w:tabs>
          <w:tab w:val="right" w:pos="9072"/>
        </w:tabs>
        <w:rPr>
          <w:rFonts w:ascii="Times New Roman" w:hAnsi="Times New Roman" w:cs="Times New Roman"/>
          <w:sz w:val="24"/>
        </w:rPr>
      </w:pPr>
    </w:p>
    <w:p w14:paraId="756F4336" w14:textId="77777777" w:rsidR="00C910F7" w:rsidRDefault="00C910F7" w:rsidP="00797E68">
      <w:pPr>
        <w:rPr>
          <w:rFonts w:ascii="Times New Roman" w:hAnsi="Times New Roman" w:cs="Times New Roman"/>
          <w:sz w:val="24"/>
        </w:rPr>
      </w:pPr>
      <w:r>
        <w:rPr>
          <w:rFonts w:ascii="Times New Roman" w:hAnsi="Times New Roman" w:cs="Times New Roman"/>
          <w:sz w:val="24"/>
        </w:rPr>
        <w:t xml:space="preserve">The PIRD Act requires regulations to specify exactly which proportion of a levy attached to a Corporation is the research component. For that reason, the FRDC Regulations divide up this excess levy into an amount attributable to the </w:t>
      </w:r>
      <w:r w:rsidRPr="00FD68D3">
        <w:rPr>
          <w:rFonts w:ascii="Times New Roman" w:hAnsi="Times New Roman" w:cs="Times New Roman"/>
          <w:sz w:val="24"/>
        </w:rPr>
        <w:t xml:space="preserve">WSDR levy </w:t>
      </w:r>
      <w:r>
        <w:rPr>
          <w:rFonts w:ascii="Times New Roman" w:hAnsi="Times New Roman" w:cs="Times New Roman"/>
          <w:sz w:val="24"/>
        </w:rPr>
        <w:t>and the WSDR charge respectively. Specifically, that excess will be divided proportionally between each levy based on the amount of each levy received in the financial year that liability is fully repaid</w:t>
      </w:r>
      <w:r w:rsidRPr="0028131D">
        <w:rPr>
          <w:rFonts w:ascii="Times New Roman" w:hAnsi="Times New Roman" w:cs="Times New Roman"/>
          <w:sz w:val="24"/>
        </w:rPr>
        <w:t>.</w:t>
      </w:r>
      <w:r>
        <w:rPr>
          <w:rFonts w:ascii="Times New Roman" w:hAnsi="Times New Roman" w:cs="Times New Roman"/>
          <w:sz w:val="24"/>
        </w:rPr>
        <w:t xml:space="preserve"> </w:t>
      </w:r>
    </w:p>
    <w:p w14:paraId="169B617D" w14:textId="77777777" w:rsidR="00C55FEC" w:rsidRDefault="00C55FEC" w:rsidP="00CC26E4">
      <w:pPr>
        <w:keepNext/>
        <w:keepLines/>
        <w:tabs>
          <w:tab w:val="left" w:pos="1701"/>
          <w:tab w:val="right" w:pos="9072"/>
        </w:tabs>
        <w:rPr>
          <w:rFonts w:ascii="Times New Roman" w:hAnsi="Times New Roman" w:cs="Times New Roman"/>
          <w:b/>
          <w:sz w:val="24"/>
        </w:rPr>
      </w:pPr>
    </w:p>
    <w:p w14:paraId="6E43AAF7" w14:textId="6EFC8077" w:rsidR="007B4E88" w:rsidRDefault="00EE13E3" w:rsidP="00CC26E4">
      <w:pPr>
        <w:keepNext/>
        <w:keepLines/>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634C21A1" w14:textId="77777777" w:rsidR="00797E68" w:rsidRDefault="00797E68" w:rsidP="00797E68">
      <w:pPr>
        <w:tabs>
          <w:tab w:val="left" w:pos="1701"/>
          <w:tab w:val="right" w:pos="9072"/>
        </w:tabs>
        <w:rPr>
          <w:rFonts w:ascii="Times New Roman" w:hAnsi="Times New Roman" w:cs="Times New Roman"/>
          <w:sz w:val="24"/>
        </w:rPr>
      </w:pPr>
      <w:r>
        <w:rPr>
          <w:rFonts w:ascii="Times New Roman" w:hAnsi="Times New Roman" w:cs="Times New Roman"/>
          <w:sz w:val="24"/>
        </w:rPr>
        <w:t xml:space="preserve">APFA’s agreement to the arrangements of cost sharing was unanimously supported by farmed prawn industry members at the Ridley Australian Prawn Farmers Symposium 2017 on </w:t>
      </w:r>
      <w:r>
        <w:rPr>
          <w:rFonts w:ascii="Times New Roman" w:hAnsi="Times New Roman" w:cs="Times New Roman"/>
          <w:sz w:val="24"/>
        </w:rPr>
        <w:br/>
        <w:t xml:space="preserve">2 August 2017. The matter was raised again at the 2018 symposium (on 13 August) and again received unanimous support. APFA undertook consultation with actual and potential levy </w:t>
      </w:r>
      <w:r>
        <w:rPr>
          <w:rFonts w:ascii="Times New Roman" w:hAnsi="Times New Roman" w:cs="Times New Roman"/>
          <w:sz w:val="24"/>
        </w:rPr>
        <w:lastRenderedPageBreak/>
        <w:t>payers on the proposed rate of the levy at 3.01 cents per kilogram. A formal objection period was held from 4 February to 8 March 2019. No objections on the WSDR levy were received.</w:t>
      </w:r>
    </w:p>
    <w:p w14:paraId="30BC54BC" w14:textId="77777777" w:rsidR="00EF52FA" w:rsidRDefault="00EF52FA" w:rsidP="00B354E1">
      <w:pPr>
        <w:rPr>
          <w:rFonts w:ascii="Times New Roman" w:eastAsia="Calibri" w:hAnsi="Times New Roman" w:cs="Times New Roman"/>
          <w:sz w:val="24"/>
        </w:rPr>
      </w:pPr>
    </w:p>
    <w:p w14:paraId="51CC7437"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2B9331A1" w14:textId="77777777"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Details of 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are set out in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48E3CA8D" w14:textId="77777777" w:rsidR="007B4E88" w:rsidRDefault="007B4E88">
      <w:pPr>
        <w:tabs>
          <w:tab w:val="right" w:pos="9072"/>
        </w:tabs>
        <w:rPr>
          <w:rFonts w:ascii="Times New Roman" w:hAnsi="Times New Roman" w:cs="Times New Roman"/>
          <w:sz w:val="24"/>
        </w:rPr>
      </w:pPr>
    </w:p>
    <w:p w14:paraId="65DE4DA0" w14:textId="7777777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1C54DB21" w14:textId="77777777" w:rsidR="007B4E88" w:rsidRDefault="007B4E88">
      <w:pPr>
        <w:tabs>
          <w:tab w:val="left" w:pos="1701"/>
          <w:tab w:val="right" w:pos="9072"/>
        </w:tabs>
        <w:rPr>
          <w:rFonts w:ascii="Times New Roman" w:eastAsia="Calibri" w:hAnsi="Times New Roman" w:cs="Times New Roman"/>
          <w:sz w:val="24"/>
        </w:rPr>
      </w:pPr>
    </w:p>
    <w:p w14:paraId="7E6738F5" w14:textId="7777777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AD3AEC">
        <w:rPr>
          <w:rFonts w:ascii="Times New Roman" w:eastAsia="Calibri" w:hAnsi="Times New Roman" w:cs="Times New Roman"/>
          <w:sz w:val="24"/>
        </w:rPr>
        <w:t>s</w:t>
      </w:r>
      <w:r>
        <w:rPr>
          <w:rFonts w:ascii="Times New Roman" w:eastAsia="Calibri" w:hAnsi="Times New Roman" w:cs="Times New Roman"/>
          <w:sz w:val="24"/>
        </w:rPr>
        <w:t xml:space="preserve"> </w:t>
      </w:r>
      <w:r w:rsidR="00AD3AEC">
        <w:rPr>
          <w:rFonts w:ascii="Times New Roman" w:eastAsia="Calibri" w:hAnsi="Times New Roman" w:cs="Times New Roman"/>
          <w:sz w:val="24"/>
        </w:rPr>
        <w:t xml:space="preserve">are </w:t>
      </w:r>
      <w:r>
        <w:rPr>
          <w:rFonts w:ascii="Times New Roman" w:eastAsia="Calibri" w:hAnsi="Times New Roman" w:cs="Times New Roman"/>
          <w:sz w:val="24"/>
        </w:rPr>
        <w:t xml:space="preserve">a legislative instrument for the purposes of the </w:t>
      </w:r>
      <w:r w:rsidR="000125D5">
        <w:rPr>
          <w:rFonts w:ascii="Times New Roman" w:eastAsia="Calibri" w:hAnsi="Times New Roman" w:cs="Times New Roman"/>
          <w:i/>
          <w:sz w:val="24"/>
        </w:rPr>
        <w:t>Legislati</w:t>
      </w:r>
      <w:r w:rsidR="00416E32">
        <w:rPr>
          <w:rFonts w:ascii="Times New Roman" w:eastAsia="Calibri" w:hAnsi="Times New Roman" w:cs="Times New Roman"/>
          <w:i/>
          <w:sz w:val="24"/>
        </w:rPr>
        <w:t>on</w:t>
      </w:r>
      <w:r w:rsidR="000125D5">
        <w:rPr>
          <w:rFonts w:ascii="Times New Roman" w:eastAsia="Calibri" w:hAnsi="Times New Roman" w:cs="Times New Roman"/>
          <w:i/>
          <w:sz w:val="24"/>
        </w:rPr>
        <w:t xml:space="preserve"> Act </w:t>
      </w:r>
      <w:r>
        <w:rPr>
          <w:rFonts w:ascii="Times New Roman" w:eastAsia="Calibri" w:hAnsi="Times New Roman" w:cs="Times New Roman"/>
          <w:i/>
          <w:sz w:val="24"/>
        </w:rPr>
        <w:t>2003</w:t>
      </w:r>
      <w:r>
        <w:rPr>
          <w:rFonts w:ascii="Times New Roman" w:eastAsia="Calibri" w:hAnsi="Times New Roman" w:cs="Times New Roman"/>
          <w:sz w:val="24"/>
        </w:rPr>
        <w:t>.</w:t>
      </w:r>
    </w:p>
    <w:p w14:paraId="59010324"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sz w:val="24"/>
        </w:rPr>
        <w:br w:type="page"/>
      </w:r>
    </w:p>
    <w:p w14:paraId="16E26AE6" w14:textId="77777777" w:rsidR="007B4E88" w:rsidRDefault="007B4E88">
      <w:pPr>
        <w:rPr>
          <w:rFonts w:ascii="Times New Roman" w:hAnsi="Times New Roman" w:cs="Times New Roman"/>
          <w:sz w:val="24"/>
        </w:rPr>
      </w:pPr>
    </w:p>
    <w:p w14:paraId="072BC5D6" w14:textId="77777777" w:rsidR="007B4E88" w:rsidRDefault="00EE13E3">
      <w:pPr>
        <w:pStyle w:val="Normal-em"/>
        <w:jc w:val="right"/>
        <w:rPr>
          <w:rFonts w:ascii="Times" w:hAnsi="Times"/>
          <w:b/>
          <w:caps/>
          <w:u w:val="single"/>
        </w:rPr>
      </w:pPr>
      <w:r>
        <w:rPr>
          <w:rFonts w:ascii="Times" w:hAnsi="Times"/>
          <w:b/>
          <w:caps/>
          <w:u w:val="single"/>
        </w:rPr>
        <w:t>Attachment A</w:t>
      </w:r>
    </w:p>
    <w:p w14:paraId="355152C6" w14:textId="77777777" w:rsidR="007B4E88" w:rsidRDefault="007B4E88">
      <w:pPr>
        <w:pStyle w:val="Normal-em"/>
        <w:rPr>
          <w:color w:val="auto"/>
          <w:szCs w:val="24"/>
        </w:rPr>
      </w:pPr>
    </w:p>
    <w:p w14:paraId="0BE139F8" w14:textId="4031CF4B" w:rsidR="00AF7F24" w:rsidRDefault="00AF7F24" w:rsidP="00CE12E1">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00275AAB" w:rsidRPr="00275AAB">
        <w:rPr>
          <w:rFonts w:ascii="Times New Roman" w:hAnsi="Times New Roman" w:cs="Times New Roman"/>
          <w:b/>
          <w:i/>
          <w:iCs/>
          <w:sz w:val="24"/>
          <w:u w:val="single"/>
        </w:rPr>
        <w:t>Fisheries Research and Development Corporation Amendment (Farmed Prawns) Regulations 2019</w:t>
      </w:r>
    </w:p>
    <w:p w14:paraId="5A798FDF" w14:textId="77777777" w:rsidR="00CE12E1" w:rsidRDefault="00CE12E1" w:rsidP="00CE12E1">
      <w:pPr>
        <w:tabs>
          <w:tab w:val="left" w:pos="1701"/>
          <w:tab w:val="right" w:pos="9072"/>
        </w:tabs>
      </w:pPr>
    </w:p>
    <w:p w14:paraId="0491415F" w14:textId="77777777" w:rsidR="00AF7F24" w:rsidRDefault="00AF7F24" w:rsidP="00AF7F24">
      <w:pPr>
        <w:pStyle w:val="Normal-em"/>
        <w:ind w:left="1440" w:hanging="1440"/>
        <w:rPr>
          <w:color w:val="auto"/>
          <w:szCs w:val="24"/>
          <w:u w:val="single"/>
        </w:rPr>
      </w:pPr>
      <w:r>
        <w:rPr>
          <w:color w:val="auto"/>
          <w:szCs w:val="24"/>
          <w:u w:val="single"/>
        </w:rPr>
        <w:t>Section 1 – Name of Regulations</w:t>
      </w:r>
    </w:p>
    <w:p w14:paraId="53858771" w14:textId="77777777" w:rsidR="00AF7F24" w:rsidRDefault="00AF7F24" w:rsidP="00AF7F24">
      <w:pPr>
        <w:pStyle w:val="Normal-em"/>
        <w:ind w:left="1440" w:hanging="1440"/>
        <w:rPr>
          <w:b/>
          <w:color w:val="auto"/>
          <w:szCs w:val="24"/>
        </w:rPr>
      </w:pPr>
    </w:p>
    <w:p w14:paraId="44A9E127" w14:textId="7405B6C2" w:rsidR="00AF7F24" w:rsidRPr="00D3289A" w:rsidRDefault="00AF7F24" w:rsidP="00AF7F24">
      <w:pPr>
        <w:tabs>
          <w:tab w:val="left" w:pos="1701"/>
          <w:tab w:val="right" w:pos="9072"/>
        </w:tabs>
        <w:rPr>
          <w:i/>
          <w:iCs/>
        </w:rPr>
      </w:pPr>
      <w:r w:rsidRPr="004B19EC">
        <w:rPr>
          <w:rFonts w:ascii="Times New Roman" w:hAnsi="Times New Roman" w:cs="Times New Roman"/>
          <w:sz w:val="24"/>
        </w:rPr>
        <w:t xml:space="preserve">This </w:t>
      </w:r>
      <w:r w:rsidR="00151BD9">
        <w:rPr>
          <w:rFonts w:ascii="Times New Roman" w:hAnsi="Times New Roman" w:cs="Times New Roman"/>
          <w:sz w:val="24"/>
        </w:rPr>
        <w:t>s</w:t>
      </w:r>
      <w:r w:rsidRPr="004B19EC">
        <w:rPr>
          <w:rFonts w:ascii="Times New Roman" w:hAnsi="Times New Roman" w:cs="Times New Roman"/>
          <w:sz w:val="24"/>
        </w:rPr>
        <w:t>ection provide</w:t>
      </w:r>
      <w:r w:rsidR="00BB736D">
        <w:rPr>
          <w:rFonts w:ascii="Times New Roman" w:hAnsi="Times New Roman" w:cs="Times New Roman"/>
          <w:sz w:val="24"/>
        </w:rPr>
        <w:t>s</w:t>
      </w:r>
      <w:r w:rsidRPr="004B19EC">
        <w:rPr>
          <w:rFonts w:ascii="Times New Roman" w:hAnsi="Times New Roman" w:cs="Times New Roman"/>
          <w:sz w:val="24"/>
        </w:rPr>
        <w:t xml:space="preserve"> that the name of the Regulations is the </w:t>
      </w:r>
      <w:r w:rsidR="00275AAB" w:rsidRPr="00275AAB">
        <w:rPr>
          <w:rFonts w:ascii="Times New Roman" w:hAnsi="Times New Roman" w:cs="Times New Roman"/>
          <w:i/>
          <w:iCs/>
          <w:sz w:val="24"/>
        </w:rPr>
        <w:t>Fisheries Research and Development Corporation Amendment (Farmed Prawns) Regulations 2019</w:t>
      </w:r>
      <w:r w:rsidR="00275AAB">
        <w:rPr>
          <w:rFonts w:ascii="Times New Roman" w:hAnsi="Times New Roman" w:cs="Times New Roman"/>
          <w:i/>
          <w:iCs/>
          <w:sz w:val="24"/>
        </w:rPr>
        <w:t>.</w:t>
      </w:r>
    </w:p>
    <w:p w14:paraId="442F6C9C" w14:textId="77777777" w:rsidR="00AF7F24" w:rsidRDefault="00AF7F24" w:rsidP="00AF7F24">
      <w:pPr>
        <w:pStyle w:val="Normal-em"/>
        <w:rPr>
          <w:color w:val="auto"/>
          <w:szCs w:val="24"/>
        </w:rPr>
      </w:pPr>
    </w:p>
    <w:p w14:paraId="6A667589" w14:textId="77777777" w:rsidR="00AF7F24" w:rsidRDefault="00AF7F24" w:rsidP="00AF7F24">
      <w:pPr>
        <w:pStyle w:val="Normal-em"/>
        <w:rPr>
          <w:color w:val="auto"/>
          <w:szCs w:val="24"/>
          <w:u w:val="single"/>
        </w:rPr>
      </w:pPr>
      <w:r>
        <w:rPr>
          <w:color w:val="auto"/>
          <w:szCs w:val="24"/>
          <w:u w:val="single"/>
        </w:rPr>
        <w:t>Section 2 – Commencement</w:t>
      </w:r>
    </w:p>
    <w:p w14:paraId="77B7F2F1" w14:textId="77777777" w:rsidR="00AF7F24" w:rsidRDefault="00AF7F24" w:rsidP="00AF7F24">
      <w:pPr>
        <w:pStyle w:val="Normal-em"/>
        <w:rPr>
          <w:color w:val="auto"/>
          <w:szCs w:val="24"/>
        </w:rPr>
      </w:pPr>
    </w:p>
    <w:p w14:paraId="66EFF026" w14:textId="73425BB0" w:rsidR="00AF7F24" w:rsidRDefault="00AF7F24" w:rsidP="00AF7F24">
      <w:pPr>
        <w:pStyle w:val="Normal-em"/>
        <w:rPr>
          <w:color w:val="auto"/>
          <w:szCs w:val="24"/>
          <w:highlight w:val="yellow"/>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Regulations</w:t>
      </w:r>
      <w:r w:rsidR="006F4844">
        <w:rPr>
          <w:rFonts w:eastAsia="Calibri"/>
        </w:rPr>
        <w:t xml:space="preserve"> to commence on 1 January 2020</w:t>
      </w:r>
      <w:r>
        <w:rPr>
          <w:rFonts w:eastAsia="Calibri"/>
        </w:rPr>
        <w:t xml:space="preserve">. </w:t>
      </w:r>
    </w:p>
    <w:p w14:paraId="1DDCD186" w14:textId="77777777" w:rsidR="00AF7F24" w:rsidRDefault="00AF7F24" w:rsidP="00AF7F24">
      <w:pPr>
        <w:pStyle w:val="Normal-em"/>
        <w:rPr>
          <w:color w:val="auto"/>
          <w:szCs w:val="24"/>
        </w:rPr>
      </w:pPr>
    </w:p>
    <w:p w14:paraId="3B5ED4DA" w14:textId="77777777" w:rsidR="00AF7F24" w:rsidRDefault="00AF7F24" w:rsidP="00AF7F24">
      <w:pPr>
        <w:pStyle w:val="Normal-em"/>
        <w:ind w:left="1440" w:hanging="1440"/>
        <w:rPr>
          <w:color w:val="auto"/>
          <w:szCs w:val="24"/>
          <w:u w:val="single"/>
        </w:rPr>
      </w:pPr>
      <w:r>
        <w:rPr>
          <w:color w:val="auto"/>
          <w:szCs w:val="24"/>
          <w:u w:val="single"/>
        </w:rPr>
        <w:t>Section 3 – Authority</w:t>
      </w:r>
    </w:p>
    <w:p w14:paraId="40187A80" w14:textId="77777777" w:rsidR="00AF7F24" w:rsidRDefault="00AF7F24" w:rsidP="00AF7F24">
      <w:pPr>
        <w:pStyle w:val="Normal-em"/>
        <w:rPr>
          <w:color w:val="auto"/>
          <w:szCs w:val="24"/>
        </w:rPr>
      </w:pPr>
    </w:p>
    <w:p w14:paraId="06204909" w14:textId="41735017" w:rsidR="00AF7F24" w:rsidRDefault="00AF7F24" w:rsidP="00AF7F24">
      <w:pPr>
        <w:pStyle w:val="Normal-em"/>
        <w:rPr>
          <w:iCs/>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that the Regulations </w:t>
      </w:r>
      <w:r w:rsidR="00AD3AEC">
        <w:rPr>
          <w:color w:val="auto"/>
          <w:szCs w:val="24"/>
        </w:rPr>
        <w:t xml:space="preserve">are </w:t>
      </w:r>
      <w:r>
        <w:rPr>
          <w:color w:val="auto"/>
          <w:szCs w:val="24"/>
        </w:rPr>
        <w:t xml:space="preserve">made under the </w:t>
      </w:r>
      <w:r w:rsidR="00275AAB" w:rsidRPr="00275AAB">
        <w:rPr>
          <w:rFonts w:eastAsia="Calibri"/>
          <w:i/>
        </w:rPr>
        <w:t>Primary Industries Research and Development Act 1989</w:t>
      </w:r>
      <w:r w:rsidR="00C910F7">
        <w:rPr>
          <w:rFonts w:eastAsia="Calibri"/>
          <w:i/>
        </w:rPr>
        <w:t xml:space="preserve"> </w:t>
      </w:r>
      <w:r w:rsidR="00C910F7">
        <w:rPr>
          <w:rFonts w:eastAsia="Calibri"/>
        </w:rPr>
        <w:t>(PIRD Act)</w:t>
      </w:r>
      <w:r w:rsidR="00275AAB" w:rsidRPr="00275AAB">
        <w:rPr>
          <w:rFonts w:eastAsia="Calibri"/>
          <w:i/>
        </w:rPr>
        <w:t>.</w:t>
      </w:r>
    </w:p>
    <w:p w14:paraId="1F9E8B27" w14:textId="77777777" w:rsidR="00AF7F24" w:rsidRDefault="00AF7F24" w:rsidP="00AF7F24">
      <w:pPr>
        <w:pStyle w:val="Normal-em"/>
        <w:rPr>
          <w:iCs/>
          <w:color w:val="auto"/>
          <w:szCs w:val="24"/>
        </w:rPr>
      </w:pPr>
    </w:p>
    <w:p w14:paraId="204D2971" w14:textId="77777777" w:rsidR="00AF7F24" w:rsidRDefault="00AF7F24" w:rsidP="00AF7F24">
      <w:pPr>
        <w:pStyle w:val="Normal-em"/>
        <w:ind w:left="1440" w:hanging="1440"/>
        <w:rPr>
          <w:color w:val="auto"/>
          <w:szCs w:val="24"/>
          <w:u w:val="single"/>
        </w:rPr>
      </w:pPr>
      <w:r>
        <w:rPr>
          <w:color w:val="auto"/>
          <w:szCs w:val="24"/>
          <w:u w:val="single"/>
        </w:rPr>
        <w:t>Section 4 – Schedule</w:t>
      </w:r>
    </w:p>
    <w:p w14:paraId="4B3B9876" w14:textId="77777777" w:rsidR="00AF7F24" w:rsidRDefault="00AF7F24" w:rsidP="00AF7F24">
      <w:pPr>
        <w:pStyle w:val="Normal-em"/>
        <w:rPr>
          <w:color w:val="auto"/>
          <w:szCs w:val="24"/>
        </w:rPr>
      </w:pPr>
    </w:p>
    <w:p w14:paraId="4854BA7D" w14:textId="1A481574" w:rsidR="00AF7F24" w:rsidRDefault="00AF7F24" w:rsidP="00AF7F24">
      <w:pPr>
        <w:pStyle w:val="Normal-em"/>
        <w:rPr>
          <w:color w:val="auto"/>
          <w:szCs w:val="24"/>
        </w:rPr>
      </w:pPr>
      <w:r>
        <w:rPr>
          <w:color w:val="auto"/>
          <w:szCs w:val="24"/>
        </w:rPr>
        <w:t xml:space="preserve">This </w:t>
      </w:r>
      <w:r w:rsidR="00151BD9">
        <w:rPr>
          <w:color w:val="auto"/>
          <w:szCs w:val="24"/>
        </w:rPr>
        <w:t>s</w:t>
      </w:r>
      <w:r>
        <w:rPr>
          <w:color w:val="auto"/>
          <w:szCs w:val="24"/>
        </w:rPr>
        <w:t>ection provide</w:t>
      </w:r>
      <w:r w:rsidR="00BB736D">
        <w:rPr>
          <w:color w:val="auto"/>
          <w:szCs w:val="24"/>
        </w:rPr>
        <w:t>s</w:t>
      </w:r>
      <w:r>
        <w:rPr>
          <w:color w:val="auto"/>
          <w:szCs w:val="24"/>
        </w:rPr>
        <w:t xml:space="preserve"> for the </w:t>
      </w:r>
      <w:r w:rsidR="00275AAB" w:rsidRPr="00275AAB">
        <w:rPr>
          <w:i/>
        </w:rPr>
        <w:t>Fisheries Research and Development Corporation Regulations 1991</w:t>
      </w:r>
      <w:r w:rsidR="00275AAB">
        <w:rPr>
          <w:i/>
        </w:rPr>
        <w:t xml:space="preserve"> </w:t>
      </w:r>
      <w:r>
        <w:rPr>
          <w:color w:val="auto"/>
          <w:szCs w:val="24"/>
        </w:rPr>
        <w:t>to be amended as set out in Schedule 1.</w:t>
      </w:r>
    </w:p>
    <w:p w14:paraId="75831C28" w14:textId="77777777" w:rsidR="00AF7F24" w:rsidRDefault="00AF7F24" w:rsidP="00AF7F24">
      <w:pPr>
        <w:pStyle w:val="Normal-em"/>
        <w:rPr>
          <w:iCs/>
          <w:color w:val="auto"/>
          <w:szCs w:val="24"/>
        </w:rPr>
      </w:pPr>
    </w:p>
    <w:p w14:paraId="41DC2710" w14:textId="77777777" w:rsidR="00AF7F24" w:rsidRDefault="00AF7F24" w:rsidP="00AF7F24">
      <w:pPr>
        <w:pStyle w:val="Normal-em"/>
        <w:rPr>
          <w:color w:val="auto"/>
          <w:szCs w:val="24"/>
        </w:rPr>
      </w:pPr>
      <w:r>
        <w:rPr>
          <w:color w:val="auto"/>
          <w:szCs w:val="24"/>
          <w:u w:val="single"/>
        </w:rPr>
        <w:t>Schedule 1 – Amendments</w:t>
      </w:r>
    </w:p>
    <w:p w14:paraId="35D36675" w14:textId="77777777" w:rsidR="00AF7F24" w:rsidRPr="0061667C" w:rsidRDefault="00AF7F24" w:rsidP="00AF7F24">
      <w:pPr>
        <w:pStyle w:val="Normal-em"/>
        <w:rPr>
          <w:iCs/>
          <w:color w:val="auto"/>
          <w:szCs w:val="24"/>
        </w:rPr>
      </w:pPr>
    </w:p>
    <w:p w14:paraId="4BA268D6" w14:textId="22440BD2" w:rsidR="00275AAB" w:rsidRDefault="0061667C" w:rsidP="006F4844">
      <w:pPr>
        <w:pStyle w:val="Normal-em"/>
        <w:rPr>
          <w:color w:val="auto"/>
          <w:szCs w:val="24"/>
        </w:rPr>
      </w:pPr>
      <w:r w:rsidRPr="0061667C">
        <w:rPr>
          <w:b/>
          <w:color w:val="auto"/>
          <w:szCs w:val="24"/>
        </w:rPr>
        <w:t>Item 1</w:t>
      </w:r>
      <w:r w:rsidR="006F4844">
        <w:rPr>
          <w:color w:val="auto"/>
          <w:szCs w:val="24"/>
        </w:rPr>
        <w:t xml:space="preserve"> amends </w:t>
      </w:r>
      <w:r w:rsidR="00275AAB">
        <w:rPr>
          <w:color w:val="auto"/>
          <w:szCs w:val="24"/>
        </w:rPr>
        <w:t xml:space="preserve">the heading of Regulation 4B to replace “farmed prawns” with </w:t>
      </w:r>
      <w:r w:rsidR="00275AAB" w:rsidRPr="00275AAB">
        <w:rPr>
          <w:color w:val="auto"/>
          <w:szCs w:val="24"/>
        </w:rPr>
        <w:t>“p</w:t>
      </w:r>
      <w:r w:rsidR="007403D1">
        <w:rPr>
          <w:color w:val="auto"/>
          <w:szCs w:val="24"/>
        </w:rPr>
        <w:t>roduct levies on farmed prawns” in order to differentiate between the product levy and the special purpose (white spot disease repayment) levy, which is being introduced at the same time this amendment takes effect.</w:t>
      </w:r>
    </w:p>
    <w:p w14:paraId="64C26B1E" w14:textId="77777777" w:rsidR="0061667C" w:rsidRPr="0061667C" w:rsidRDefault="0061667C" w:rsidP="0061667C">
      <w:pPr>
        <w:rPr>
          <w:rFonts w:ascii="Times New Roman" w:hAnsi="Times New Roman" w:cs="Times New Roman"/>
          <w:sz w:val="24"/>
        </w:rPr>
      </w:pPr>
    </w:p>
    <w:p w14:paraId="51B683A5" w14:textId="77777777" w:rsidR="00C57599" w:rsidRDefault="0061667C" w:rsidP="00C57599">
      <w:pPr>
        <w:rPr>
          <w:rFonts w:ascii="Times New Roman" w:hAnsi="Times New Roman" w:cs="Times New Roman"/>
          <w:sz w:val="24"/>
        </w:rPr>
      </w:pPr>
      <w:r w:rsidRPr="0061667C">
        <w:rPr>
          <w:rFonts w:ascii="Times New Roman" w:hAnsi="Times New Roman" w:cs="Times New Roman"/>
          <w:b/>
          <w:sz w:val="24"/>
        </w:rPr>
        <w:t xml:space="preserve">Item 2 </w:t>
      </w:r>
      <w:r w:rsidR="006F4844">
        <w:rPr>
          <w:rFonts w:ascii="Times New Roman" w:hAnsi="Times New Roman" w:cs="Times New Roman"/>
          <w:sz w:val="24"/>
        </w:rPr>
        <w:t>inserts</w:t>
      </w:r>
      <w:r w:rsidR="00275AAB">
        <w:rPr>
          <w:rFonts w:ascii="Times New Roman" w:hAnsi="Times New Roman" w:cs="Times New Roman"/>
          <w:sz w:val="24"/>
        </w:rPr>
        <w:t xml:space="preserve"> a new section: </w:t>
      </w:r>
      <w:r w:rsidR="00275AAB" w:rsidRPr="00275AAB">
        <w:rPr>
          <w:rFonts w:ascii="Times New Roman" w:hAnsi="Times New Roman" w:cs="Times New Roman"/>
          <w:sz w:val="24"/>
        </w:rPr>
        <w:t>4BA</w:t>
      </w:r>
      <w:r w:rsidR="00275AAB">
        <w:rPr>
          <w:rFonts w:ascii="Times New Roman" w:hAnsi="Times New Roman" w:cs="Times New Roman"/>
          <w:sz w:val="24"/>
        </w:rPr>
        <w:t xml:space="preserve"> </w:t>
      </w:r>
      <w:r w:rsidR="00275AAB" w:rsidRPr="00275AAB">
        <w:rPr>
          <w:rFonts w:ascii="Times New Roman" w:hAnsi="Times New Roman" w:cs="Times New Roman"/>
          <w:sz w:val="24"/>
        </w:rPr>
        <w:t>Levies attached to the Corporation—white spot disease repayment levies on farmed prawns</w:t>
      </w:r>
      <w:r w:rsidR="00C57599">
        <w:rPr>
          <w:rFonts w:ascii="Times New Roman" w:hAnsi="Times New Roman" w:cs="Times New Roman"/>
          <w:sz w:val="24"/>
        </w:rPr>
        <w:t xml:space="preserve">. </w:t>
      </w:r>
    </w:p>
    <w:p w14:paraId="33672122" w14:textId="77777777" w:rsidR="00C57599" w:rsidRDefault="00C57599" w:rsidP="00C57599">
      <w:pPr>
        <w:rPr>
          <w:rFonts w:ascii="Times New Roman" w:hAnsi="Times New Roman" w:cs="Times New Roman"/>
          <w:sz w:val="24"/>
        </w:rPr>
      </w:pPr>
    </w:p>
    <w:p w14:paraId="79C76640" w14:textId="77777777" w:rsidR="0040723A" w:rsidRDefault="00C57599" w:rsidP="005328D2">
      <w:pPr>
        <w:rPr>
          <w:rFonts w:ascii="Times New Roman" w:hAnsi="Times New Roman" w:cs="Times New Roman"/>
          <w:sz w:val="24"/>
        </w:rPr>
      </w:pPr>
      <w:r>
        <w:rPr>
          <w:rFonts w:ascii="Times New Roman" w:hAnsi="Times New Roman" w:cs="Times New Roman"/>
          <w:sz w:val="24"/>
        </w:rPr>
        <w:t>This section attaches two levies</w:t>
      </w:r>
      <w:r w:rsidR="00C910F7">
        <w:rPr>
          <w:rFonts w:ascii="Times New Roman" w:hAnsi="Times New Roman" w:cs="Times New Roman"/>
          <w:sz w:val="24"/>
        </w:rPr>
        <w:t xml:space="preserve"> for the purposes of paragraph 5(1)(a) of the PIRD Act –</w:t>
      </w:r>
      <w:r>
        <w:rPr>
          <w:rFonts w:ascii="Times New Roman" w:hAnsi="Times New Roman" w:cs="Times New Roman"/>
          <w:sz w:val="24"/>
        </w:rPr>
        <w:t xml:space="preserve"> the</w:t>
      </w:r>
      <w:r w:rsidR="00C910F7">
        <w:rPr>
          <w:rFonts w:ascii="Times New Roman" w:hAnsi="Times New Roman" w:cs="Times New Roman"/>
          <w:sz w:val="24"/>
        </w:rPr>
        <w:t xml:space="preserve"> </w:t>
      </w:r>
      <w:r>
        <w:rPr>
          <w:rFonts w:ascii="Times New Roman" w:hAnsi="Times New Roman" w:cs="Times New Roman"/>
          <w:sz w:val="24"/>
        </w:rPr>
        <w:t xml:space="preserve"> </w:t>
      </w:r>
      <w:r w:rsidRPr="00C57599">
        <w:rPr>
          <w:rFonts w:ascii="Times New Roman" w:hAnsi="Times New Roman" w:cs="Times New Roman"/>
          <w:sz w:val="24"/>
        </w:rPr>
        <w:t xml:space="preserve">levy imposed by Division 3.3 of Schedule 27 to </w:t>
      </w:r>
      <w:r w:rsidRPr="00797E68">
        <w:rPr>
          <w:rFonts w:ascii="Times New Roman" w:hAnsi="Times New Roman" w:cs="Times New Roman"/>
          <w:i/>
          <w:sz w:val="24"/>
        </w:rPr>
        <w:t>Primary Industries (Excise) Levies Regulations 1999</w:t>
      </w:r>
      <w:r>
        <w:rPr>
          <w:rFonts w:ascii="Times New Roman" w:hAnsi="Times New Roman" w:cs="Times New Roman"/>
          <w:sz w:val="24"/>
        </w:rPr>
        <w:t xml:space="preserve"> and the </w:t>
      </w:r>
      <w:r w:rsidRPr="00C57599">
        <w:rPr>
          <w:rFonts w:ascii="Times New Roman" w:hAnsi="Times New Roman" w:cs="Times New Roman"/>
          <w:sz w:val="24"/>
        </w:rPr>
        <w:t xml:space="preserve">charge imposed by Division 2.3 of Schedule 14 to the </w:t>
      </w:r>
      <w:r w:rsidRPr="00797E68">
        <w:rPr>
          <w:rFonts w:ascii="Times New Roman" w:hAnsi="Times New Roman" w:cs="Times New Roman"/>
          <w:i/>
          <w:sz w:val="24"/>
        </w:rPr>
        <w:t>Primary Industries (Customs) Charges</w:t>
      </w:r>
      <w:r w:rsidR="00987155" w:rsidRPr="00797E68">
        <w:rPr>
          <w:rFonts w:ascii="Times New Roman" w:hAnsi="Times New Roman" w:cs="Times New Roman"/>
          <w:i/>
          <w:sz w:val="24"/>
        </w:rPr>
        <w:t xml:space="preserve"> Regulations 2000</w:t>
      </w:r>
      <w:r w:rsidR="00987155">
        <w:rPr>
          <w:rFonts w:ascii="Times New Roman" w:hAnsi="Times New Roman" w:cs="Times New Roman"/>
          <w:sz w:val="24"/>
        </w:rPr>
        <w:t xml:space="preserve"> </w:t>
      </w:r>
      <w:r w:rsidR="00C910F7">
        <w:rPr>
          <w:rFonts w:ascii="Times New Roman" w:hAnsi="Times New Roman" w:cs="Times New Roman"/>
          <w:sz w:val="24"/>
        </w:rPr>
        <w:t xml:space="preserve">– </w:t>
      </w:r>
      <w:r w:rsidR="00987155">
        <w:rPr>
          <w:rFonts w:ascii="Times New Roman" w:hAnsi="Times New Roman" w:cs="Times New Roman"/>
          <w:sz w:val="24"/>
        </w:rPr>
        <w:t xml:space="preserve">to the FRDC. As required by </w:t>
      </w:r>
      <w:r w:rsidR="00C910F7">
        <w:rPr>
          <w:rFonts w:ascii="Times New Roman" w:hAnsi="Times New Roman" w:cs="Times New Roman"/>
          <w:sz w:val="24"/>
        </w:rPr>
        <w:t xml:space="preserve">paragraph </w:t>
      </w:r>
      <w:r w:rsidR="00987155">
        <w:rPr>
          <w:rFonts w:ascii="Times New Roman" w:hAnsi="Times New Roman" w:cs="Times New Roman"/>
          <w:sz w:val="24"/>
        </w:rPr>
        <w:t>5(3)(a) of the PIRD Act, i</w:t>
      </w:r>
      <w:r>
        <w:rPr>
          <w:rFonts w:ascii="Times New Roman" w:hAnsi="Times New Roman" w:cs="Times New Roman"/>
          <w:sz w:val="24"/>
        </w:rPr>
        <w:t>t declares a specified part of the levies to be the research component</w:t>
      </w:r>
      <w:r w:rsidR="00987155">
        <w:rPr>
          <w:rFonts w:ascii="Times New Roman" w:hAnsi="Times New Roman" w:cs="Times New Roman"/>
          <w:sz w:val="24"/>
        </w:rPr>
        <w:t xml:space="preserve">. </w:t>
      </w:r>
    </w:p>
    <w:p w14:paraId="3C1593D1" w14:textId="77777777" w:rsidR="0040723A" w:rsidRDefault="0040723A" w:rsidP="005328D2">
      <w:pPr>
        <w:rPr>
          <w:rFonts w:ascii="Times New Roman" w:hAnsi="Times New Roman" w:cs="Times New Roman"/>
          <w:sz w:val="24"/>
        </w:rPr>
      </w:pPr>
    </w:p>
    <w:p w14:paraId="3811EB0B" w14:textId="6F1C4D75" w:rsidR="005328D2" w:rsidRDefault="005328D2" w:rsidP="005328D2">
      <w:pPr>
        <w:rPr>
          <w:rFonts w:ascii="Times New Roman" w:hAnsi="Times New Roman" w:cs="Times New Roman"/>
          <w:sz w:val="24"/>
        </w:rPr>
      </w:pPr>
      <w:r>
        <w:rPr>
          <w:rFonts w:ascii="Times New Roman" w:hAnsi="Times New Roman" w:cs="Times New Roman"/>
          <w:sz w:val="24"/>
        </w:rPr>
        <w:t xml:space="preserve">This section </w:t>
      </w:r>
      <w:r w:rsidR="0040723A">
        <w:rPr>
          <w:rFonts w:ascii="Times New Roman" w:hAnsi="Times New Roman" w:cs="Times New Roman"/>
          <w:sz w:val="24"/>
        </w:rPr>
        <w:t>sets out</w:t>
      </w:r>
      <w:r>
        <w:rPr>
          <w:rFonts w:ascii="Times New Roman" w:hAnsi="Times New Roman" w:cs="Times New Roman"/>
          <w:sz w:val="24"/>
        </w:rPr>
        <w:t xml:space="preserve"> how that research component is to be calculated. Specifically, the research component of these levies is made up of excess amounts of levy that are collected after the prawn industry’s liability to the Commonwealth is repaid. The section divides up this excess levy into an amount attributable to the WSDR levy and the WSDR charge respectively. </w:t>
      </w:r>
    </w:p>
    <w:p w14:paraId="2272D46C" w14:textId="77777777" w:rsidR="005328D2" w:rsidRDefault="005328D2" w:rsidP="005328D2">
      <w:pPr>
        <w:rPr>
          <w:rFonts w:ascii="Times New Roman" w:hAnsi="Times New Roman" w:cs="Times New Roman"/>
          <w:sz w:val="24"/>
        </w:rPr>
      </w:pPr>
    </w:p>
    <w:p w14:paraId="2A4C06DB" w14:textId="77777777" w:rsidR="005328D2" w:rsidRDefault="005328D2" w:rsidP="005328D2">
      <w:pPr>
        <w:rPr>
          <w:rFonts w:ascii="Times New Roman" w:hAnsi="Times New Roman" w:cs="Times New Roman"/>
          <w:sz w:val="24"/>
        </w:rPr>
      </w:pPr>
      <w:r>
        <w:rPr>
          <w:rFonts w:ascii="Times New Roman" w:hAnsi="Times New Roman" w:cs="Times New Roman"/>
          <w:sz w:val="24"/>
        </w:rPr>
        <w:t>Specifically, the research component will be:</w:t>
      </w:r>
    </w:p>
    <w:p w14:paraId="41AFCE4F" w14:textId="77777777" w:rsidR="005328D2" w:rsidRDefault="005328D2" w:rsidP="005328D2">
      <w:pPr>
        <w:numPr>
          <w:ilvl w:val="0"/>
          <w:numId w:val="48"/>
        </w:numPr>
        <w:ind w:left="364"/>
        <w:rPr>
          <w:rFonts w:ascii="Times New Roman" w:hAnsi="Times New Roman" w:cs="Times New Roman"/>
          <w:sz w:val="24"/>
        </w:rPr>
      </w:pPr>
      <w:r>
        <w:rPr>
          <w:rFonts w:ascii="Times New Roman" w:hAnsi="Times New Roman" w:cs="Times New Roman"/>
          <w:sz w:val="24"/>
        </w:rPr>
        <w:t xml:space="preserve">the amounts of excess of levy collected in the financial year in which the liability is paid off (final repayment year), divided proportionally between each levy based on the amount of each levy received in that financial year; </w:t>
      </w:r>
    </w:p>
    <w:p w14:paraId="108A82DF" w14:textId="77777777" w:rsidR="005328D2" w:rsidRDefault="005328D2" w:rsidP="005328D2">
      <w:pPr>
        <w:numPr>
          <w:ilvl w:val="0"/>
          <w:numId w:val="48"/>
        </w:numPr>
        <w:ind w:left="364"/>
        <w:rPr>
          <w:rFonts w:ascii="Times New Roman" w:hAnsi="Times New Roman" w:cs="Times New Roman"/>
          <w:sz w:val="24"/>
        </w:rPr>
      </w:pPr>
      <w:r>
        <w:rPr>
          <w:rFonts w:ascii="Times New Roman" w:hAnsi="Times New Roman" w:cs="Times New Roman"/>
          <w:sz w:val="24"/>
        </w:rPr>
        <w:t>any amounts of each levy due for payment before the end of the final repayment year which are not paid until a later financial year; and</w:t>
      </w:r>
    </w:p>
    <w:p w14:paraId="2CCB5425" w14:textId="77777777" w:rsidR="005328D2" w:rsidRDefault="005328D2" w:rsidP="005328D2">
      <w:pPr>
        <w:numPr>
          <w:ilvl w:val="0"/>
          <w:numId w:val="48"/>
        </w:numPr>
        <w:ind w:left="364"/>
        <w:rPr>
          <w:rFonts w:ascii="Times New Roman" w:hAnsi="Times New Roman" w:cs="Times New Roman"/>
          <w:sz w:val="24"/>
        </w:rPr>
      </w:pPr>
      <w:r>
        <w:rPr>
          <w:rFonts w:ascii="Times New Roman" w:hAnsi="Times New Roman" w:cs="Times New Roman"/>
          <w:sz w:val="24"/>
        </w:rPr>
        <w:lastRenderedPageBreak/>
        <w:t>any amounts of each levy due for payment in any financial year following final repayment year.</w:t>
      </w:r>
    </w:p>
    <w:p w14:paraId="0F67CC96" w14:textId="77777777" w:rsidR="005328D2" w:rsidRDefault="005328D2" w:rsidP="005328D2">
      <w:pPr>
        <w:rPr>
          <w:rFonts w:ascii="Times New Roman" w:hAnsi="Times New Roman" w:cs="Times New Roman"/>
          <w:sz w:val="24"/>
        </w:rPr>
      </w:pPr>
    </w:p>
    <w:p w14:paraId="1C20525D" w14:textId="4E4A0039" w:rsidR="005328D2" w:rsidRDefault="005328D2" w:rsidP="005328D2">
      <w:pPr>
        <w:rPr>
          <w:rFonts w:ascii="Times New Roman" w:hAnsi="Times New Roman" w:cs="Times New Roman"/>
          <w:sz w:val="24"/>
        </w:rPr>
      </w:pPr>
      <w:r>
        <w:rPr>
          <w:rFonts w:ascii="Times New Roman" w:hAnsi="Times New Roman" w:cs="Times New Roman"/>
          <w:sz w:val="24"/>
        </w:rPr>
        <w:t xml:space="preserve">The intention of this section </w:t>
      </w:r>
      <w:r w:rsidR="0040723A">
        <w:rPr>
          <w:rFonts w:ascii="Times New Roman" w:hAnsi="Times New Roman" w:cs="Times New Roman"/>
          <w:sz w:val="24"/>
        </w:rPr>
        <w:t>is</w:t>
      </w:r>
      <w:r>
        <w:rPr>
          <w:rFonts w:ascii="Times New Roman" w:hAnsi="Times New Roman" w:cs="Times New Roman"/>
          <w:sz w:val="24"/>
        </w:rPr>
        <w:t xml:space="preserve"> to provide to the FRDC, WSDR levies (including levies and charges) that are collected after the prawn industry’s liability to the Commonwealth is fully repaid, prior to the levies being ceased. In order to identify when this point has been reached, the outstanding debt to the Commonwealth must be known. The debt will change each year based on amounts of levy that have been paid (reducing the debt) and the indexation that has been applied to the outstanding balance at the end of each financial year (increasing the debt). </w:t>
      </w:r>
    </w:p>
    <w:p w14:paraId="1F047249" w14:textId="77777777" w:rsidR="005328D2" w:rsidRDefault="005328D2" w:rsidP="005328D2">
      <w:pPr>
        <w:rPr>
          <w:rFonts w:ascii="Times New Roman" w:hAnsi="Times New Roman" w:cs="Times New Roman"/>
          <w:sz w:val="24"/>
        </w:rPr>
      </w:pPr>
    </w:p>
    <w:p w14:paraId="08A10C5A" w14:textId="58FBAD86" w:rsidR="005328D2" w:rsidRDefault="005328D2" w:rsidP="005328D2">
      <w:pPr>
        <w:rPr>
          <w:rFonts w:ascii="Times New Roman" w:hAnsi="Times New Roman" w:cs="Times New Roman"/>
          <w:sz w:val="24"/>
        </w:rPr>
      </w:pPr>
      <w:r>
        <w:rPr>
          <w:rFonts w:ascii="Times New Roman" w:hAnsi="Times New Roman" w:cs="Times New Roman"/>
          <w:sz w:val="24"/>
        </w:rPr>
        <w:t>This section set</w:t>
      </w:r>
      <w:r w:rsidR="0040723A">
        <w:rPr>
          <w:rFonts w:ascii="Times New Roman" w:hAnsi="Times New Roman" w:cs="Times New Roman"/>
          <w:sz w:val="24"/>
        </w:rPr>
        <w:t>s</w:t>
      </w:r>
      <w:r>
        <w:rPr>
          <w:rFonts w:ascii="Times New Roman" w:hAnsi="Times New Roman" w:cs="Times New Roman"/>
          <w:sz w:val="24"/>
        </w:rPr>
        <w:t xml:space="preserve"> out how the outstanding industry debt is to be calculated each financial year. It </w:t>
      </w:r>
      <w:r w:rsidR="0040723A">
        <w:rPr>
          <w:rFonts w:ascii="Times New Roman" w:hAnsi="Times New Roman" w:cs="Times New Roman"/>
          <w:sz w:val="24"/>
        </w:rPr>
        <w:t>specifies</w:t>
      </w:r>
      <w:r>
        <w:rPr>
          <w:rFonts w:ascii="Times New Roman" w:hAnsi="Times New Roman" w:cs="Times New Roman"/>
          <w:sz w:val="24"/>
        </w:rPr>
        <w:t xml:space="preserve"> the outstanding industry debt at the end of the financial year ending on 30 June 2019 to provide a starting point for these calculations. It also set</w:t>
      </w:r>
      <w:r w:rsidR="0040723A">
        <w:rPr>
          <w:rFonts w:ascii="Times New Roman" w:hAnsi="Times New Roman" w:cs="Times New Roman"/>
          <w:sz w:val="24"/>
        </w:rPr>
        <w:t>s</w:t>
      </w:r>
      <w:r>
        <w:rPr>
          <w:rFonts w:ascii="Times New Roman" w:hAnsi="Times New Roman" w:cs="Times New Roman"/>
          <w:sz w:val="24"/>
        </w:rPr>
        <w:t xml:space="preserve"> out how the indexation factor is to be calculated. It provide</w:t>
      </w:r>
      <w:r w:rsidR="0040723A">
        <w:rPr>
          <w:rFonts w:ascii="Times New Roman" w:hAnsi="Times New Roman" w:cs="Times New Roman"/>
          <w:sz w:val="24"/>
        </w:rPr>
        <w:t>s</w:t>
      </w:r>
      <w:r>
        <w:rPr>
          <w:rFonts w:ascii="Times New Roman" w:hAnsi="Times New Roman" w:cs="Times New Roman"/>
          <w:sz w:val="24"/>
        </w:rPr>
        <w:t xml:space="preserve"> a separate calculation for the first year’s indexation factor, as in the first year indexation is only being applied to the six months where the WSDR levies will apply. It </w:t>
      </w:r>
      <w:r w:rsidR="0040723A">
        <w:rPr>
          <w:rFonts w:ascii="Times New Roman" w:hAnsi="Times New Roman" w:cs="Times New Roman"/>
          <w:sz w:val="24"/>
        </w:rPr>
        <w:t>specifies</w:t>
      </w:r>
      <w:r>
        <w:rPr>
          <w:rFonts w:ascii="Times New Roman" w:hAnsi="Times New Roman" w:cs="Times New Roman"/>
          <w:sz w:val="24"/>
        </w:rPr>
        <w:t xml:space="preserve"> how the research amount will be affected by matter such as levy refunds.</w:t>
      </w:r>
      <w:bookmarkStart w:id="0" w:name="_GoBack"/>
      <w:bookmarkEnd w:id="0"/>
    </w:p>
    <w:p w14:paraId="77C71F6D" w14:textId="017D1EC4" w:rsidR="00FB6754" w:rsidRDefault="00FB6754" w:rsidP="005328D2">
      <w:pPr>
        <w:rPr>
          <w:rFonts w:ascii="Times New Roman" w:hAnsi="Times New Roman" w:cs="Times New Roman"/>
          <w:sz w:val="24"/>
        </w:rPr>
      </w:pPr>
    </w:p>
    <w:p w14:paraId="3A707189" w14:textId="77777777" w:rsidR="00FB6754" w:rsidRPr="0061667C" w:rsidRDefault="00FB6754" w:rsidP="00FB6754">
      <w:pPr>
        <w:rPr>
          <w:rFonts w:ascii="Times New Roman" w:hAnsi="Times New Roman" w:cs="Times New Roman"/>
          <w:sz w:val="24"/>
          <w:lang w:val="en-GB"/>
        </w:rPr>
      </w:pPr>
    </w:p>
    <w:p w14:paraId="2E2303A7" w14:textId="77777777" w:rsidR="00FB6754" w:rsidRPr="0061667C" w:rsidRDefault="00FB6754" w:rsidP="0061667C">
      <w:pPr>
        <w:rPr>
          <w:rFonts w:ascii="Times New Roman" w:hAnsi="Times New Roman" w:cs="Times New Roman"/>
          <w:sz w:val="24"/>
          <w:lang w:val="en-GB"/>
        </w:rPr>
      </w:pPr>
    </w:p>
    <w:p w14:paraId="7F08755F" w14:textId="77777777" w:rsidR="00357BA0" w:rsidRDefault="00357BA0" w:rsidP="00357BA0">
      <w:pPr>
        <w:tabs>
          <w:tab w:val="right" w:pos="9072"/>
        </w:tabs>
        <w:rPr>
          <w:rFonts w:ascii="Times New Roman" w:eastAsia="Calibri" w:hAnsi="Times New Roman" w:cs="Times New Roman"/>
          <w:sz w:val="24"/>
        </w:rPr>
      </w:pPr>
    </w:p>
    <w:p w14:paraId="29496228" w14:textId="5F1A86E8" w:rsidR="007B4E88" w:rsidRDefault="00EE13E3" w:rsidP="00FB6754">
      <w:pPr>
        <w:pStyle w:val="norm1"/>
        <w:rPr>
          <w:rFonts w:ascii="Times" w:hAnsi="Times"/>
          <w:b/>
          <w:caps/>
          <w:u w:val="single"/>
        </w:rPr>
      </w:pPr>
      <w:r>
        <w:br w:type="page"/>
      </w:r>
      <w:r>
        <w:rPr>
          <w:rFonts w:ascii="Times" w:hAnsi="Times"/>
          <w:b/>
          <w:caps/>
          <w:u w:val="single"/>
        </w:rPr>
        <w:lastRenderedPageBreak/>
        <w:t>Attachment B</w:t>
      </w:r>
    </w:p>
    <w:p w14:paraId="7F47658E" w14:textId="77777777" w:rsidR="007B4E88" w:rsidRDefault="007B4E88">
      <w:pPr>
        <w:pStyle w:val="Normal-em"/>
        <w:rPr>
          <w:color w:val="auto"/>
          <w:szCs w:val="24"/>
        </w:rPr>
      </w:pPr>
    </w:p>
    <w:p w14:paraId="710FEE4C" w14:textId="77777777" w:rsidR="00D36E34" w:rsidRDefault="00D36E34" w:rsidP="00D5016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B35C13D" w14:textId="77777777" w:rsidR="00D36E34" w:rsidRDefault="00D36E34" w:rsidP="00D50168">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2842FCBB" w14:textId="77777777" w:rsidR="00D36E34" w:rsidRDefault="00D36E34" w:rsidP="00D50168">
      <w:pPr>
        <w:spacing w:before="120" w:after="120"/>
        <w:jc w:val="center"/>
        <w:rPr>
          <w:rFonts w:ascii="Times New Roman" w:hAnsi="Times New Roman"/>
          <w:sz w:val="24"/>
        </w:rPr>
      </w:pPr>
    </w:p>
    <w:p w14:paraId="4CA90DD8" w14:textId="77777777" w:rsidR="00C57599" w:rsidRDefault="00C57599" w:rsidP="00D50168">
      <w:pPr>
        <w:spacing w:before="120" w:after="120"/>
        <w:jc w:val="center"/>
        <w:rPr>
          <w:rFonts w:ascii="Times New Roman" w:hAnsi="Times New Roman" w:cs="Times New Roman"/>
          <w:b/>
          <w:i/>
          <w:snapToGrid w:val="0"/>
          <w:sz w:val="24"/>
        </w:rPr>
      </w:pPr>
      <w:r w:rsidRPr="00C57599">
        <w:rPr>
          <w:rFonts w:ascii="Times New Roman" w:hAnsi="Times New Roman" w:cs="Times New Roman"/>
          <w:b/>
          <w:i/>
          <w:snapToGrid w:val="0"/>
          <w:sz w:val="24"/>
        </w:rPr>
        <w:t>Fisheries Research and Development Corporation Amendment (Farmed Prawns) Regulations 2019</w:t>
      </w:r>
    </w:p>
    <w:p w14:paraId="192630AF" w14:textId="0C84F522" w:rsidR="00D36E34" w:rsidRDefault="00D36E34" w:rsidP="00D5016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6926789F" w14:textId="77777777" w:rsidR="00D36E34" w:rsidRDefault="00D36E34" w:rsidP="00D50168">
      <w:pPr>
        <w:rPr>
          <w:rFonts w:ascii="Times New Roman" w:hAnsi="Times New Roman"/>
          <w:sz w:val="24"/>
        </w:rPr>
      </w:pPr>
    </w:p>
    <w:p w14:paraId="03EE5DCE" w14:textId="77777777" w:rsidR="00D36E34" w:rsidRDefault="00D36E34" w:rsidP="00D50168">
      <w:pPr>
        <w:spacing w:after="120"/>
        <w:jc w:val="both"/>
        <w:rPr>
          <w:rFonts w:ascii="Times New Roman" w:hAnsi="Times New Roman"/>
          <w:b/>
          <w:sz w:val="24"/>
        </w:rPr>
      </w:pPr>
      <w:r>
        <w:rPr>
          <w:rFonts w:ascii="Times New Roman" w:hAnsi="Times New Roman"/>
          <w:b/>
          <w:sz w:val="24"/>
        </w:rPr>
        <w:t>Overview of the Legislative Instrument</w:t>
      </w:r>
    </w:p>
    <w:p w14:paraId="010BD39D" w14:textId="35F88DF0" w:rsidR="00763A65" w:rsidRDefault="00C57599" w:rsidP="00763A65">
      <w:pPr>
        <w:tabs>
          <w:tab w:val="left" w:pos="1701"/>
          <w:tab w:val="right" w:pos="9072"/>
        </w:tabs>
        <w:rPr>
          <w:rFonts w:ascii="Times New Roman" w:hAnsi="Times New Roman" w:cs="Times New Roman"/>
          <w:sz w:val="24"/>
        </w:rPr>
      </w:pPr>
      <w:r w:rsidRPr="00C57599">
        <w:rPr>
          <w:rFonts w:ascii="Times New Roman" w:hAnsi="Times New Roman" w:cs="Times New Roman"/>
          <w:sz w:val="24"/>
        </w:rPr>
        <w:t xml:space="preserve">The purpose of the Fisheries Research and Development Corporation Amendment (Farmed Prawns) Regulations 2019 (FRDC Amendment Regulations) </w:t>
      </w:r>
      <w:r>
        <w:rPr>
          <w:rFonts w:ascii="Times New Roman" w:hAnsi="Times New Roman" w:cs="Times New Roman"/>
          <w:sz w:val="24"/>
        </w:rPr>
        <w:t>is to</w:t>
      </w:r>
      <w:r w:rsidRPr="00C57599">
        <w:rPr>
          <w:rFonts w:ascii="Times New Roman" w:hAnsi="Times New Roman" w:cs="Times New Roman"/>
          <w:sz w:val="24"/>
        </w:rPr>
        <w:t xml:space="preserve"> amend the FRDC Regulations to declare the white spot disease repayment</w:t>
      </w:r>
      <w:r w:rsidR="00C910F7">
        <w:rPr>
          <w:rFonts w:ascii="Times New Roman" w:hAnsi="Times New Roman" w:cs="Times New Roman"/>
          <w:sz w:val="24"/>
        </w:rPr>
        <w:t xml:space="preserve"> levy</w:t>
      </w:r>
      <w:r w:rsidRPr="00C57599">
        <w:rPr>
          <w:rFonts w:ascii="Times New Roman" w:hAnsi="Times New Roman" w:cs="Times New Roman"/>
          <w:sz w:val="24"/>
        </w:rPr>
        <w:t xml:space="preserve"> (WSDR levy</w:t>
      </w:r>
      <w:r w:rsidR="00C910F7">
        <w:rPr>
          <w:rFonts w:ascii="Times New Roman" w:hAnsi="Times New Roman" w:cs="Times New Roman"/>
          <w:sz w:val="24"/>
        </w:rPr>
        <w:t>)</w:t>
      </w:r>
      <w:r w:rsidRPr="00C57599">
        <w:rPr>
          <w:rFonts w:ascii="Times New Roman" w:hAnsi="Times New Roman" w:cs="Times New Roman"/>
          <w:sz w:val="24"/>
        </w:rPr>
        <w:t xml:space="preserve"> </w:t>
      </w:r>
      <w:r w:rsidR="00C910F7">
        <w:rPr>
          <w:rFonts w:ascii="Times New Roman" w:hAnsi="Times New Roman" w:cs="Times New Roman"/>
          <w:sz w:val="24"/>
        </w:rPr>
        <w:t xml:space="preserve">and </w:t>
      </w:r>
      <w:r w:rsidR="00C910F7" w:rsidRPr="00C57599">
        <w:rPr>
          <w:rFonts w:ascii="Times New Roman" w:hAnsi="Times New Roman" w:cs="Times New Roman"/>
          <w:sz w:val="24"/>
        </w:rPr>
        <w:t xml:space="preserve">white spot disease repayment </w:t>
      </w:r>
      <w:r w:rsidR="00C910F7">
        <w:rPr>
          <w:rFonts w:ascii="Times New Roman" w:hAnsi="Times New Roman" w:cs="Times New Roman"/>
          <w:sz w:val="24"/>
        </w:rPr>
        <w:t xml:space="preserve">charge (WSDR charge) </w:t>
      </w:r>
      <w:r w:rsidRPr="00C57599">
        <w:rPr>
          <w:rFonts w:ascii="Times New Roman" w:hAnsi="Times New Roman" w:cs="Times New Roman"/>
          <w:sz w:val="24"/>
        </w:rPr>
        <w:t xml:space="preserve">to be attached to the </w:t>
      </w:r>
      <w:r w:rsidR="00C910F7" w:rsidRPr="00C57599">
        <w:rPr>
          <w:rFonts w:ascii="Times New Roman" w:hAnsi="Times New Roman" w:cs="Times New Roman"/>
          <w:sz w:val="24"/>
        </w:rPr>
        <w:t>Fisheries Resea</w:t>
      </w:r>
      <w:r w:rsidR="00C910F7">
        <w:rPr>
          <w:rFonts w:ascii="Times New Roman" w:hAnsi="Times New Roman" w:cs="Times New Roman"/>
          <w:sz w:val="24"/>
        </w:rPr>
        <w:t>rch and Development Corporation</w:t>
      </w:r>
      <w:r w:rsidRPr="00C57599">
        <w:rPr>
          <w:rFonts w:ascii="Times New Roman" w:hAnsi="Times New Roman" w:cs="Times New Roman"/>
          <w:sz w:val="24"/>
        </w:rPr>
        <w:t xml:space="preserve">. The </w:t>
      </w:r>
      <w:r w:rsidR="00C910F7">
        <w:rPr>
          <w:rFonts w:ascii="Times New Roman" w:hAnsi="Times New Roman" w:cs="Times New Roman"/>
          <w:sz w:val="24"/>
        </w:rPr>
        <w:t>FRDC Amendment</w:t>
      </w:r>
      <w:r w:rsidR="00C910F7" w:rsidRPr="00C57599">
        <w:rPr>
          <w:rFonts w:ascii="Times New Roman" w:hAnsi="Times New Roman" w:cs="Times New Roman"/>
          <w:sz w:val="24"/>
        </w:rPr>
        <w:t xml:space="preserve"> </w:t>
      </w:r>
      <w:r w:rsidRPr="00C57599">
        <w:rPr>
          <w:rFonts w:ascii="Times New Roman" w:hAnsi="Times New Roman" w:cs="Times New Roman"/>
          <w:sz w:val="24"/>
        </w:rPr>
        <w:t xml:space="preserve">Regulations specify that the research component of the WSDR </w:t>
      </w:r>
      <w:r w:rsidR="00C910F7">
        <w:rPr>
          <w:rFonts w:ascii="Times New Roman" w:hAnsi="Times New Roman" w:cs="Times New Roman"/>
          <w:sz w:val="24"/>
        </w:rPr>
        <w:t>levy and the WSDR charge respectively</w:t>
      </w:r>
      <w:r w:rsidR="00C910F7" w:rsidRPr="00C57599">
        <w:rPr>
          <w:rFonts w:ascii="Times New Roman" w:hAnsi="Times New Roman" w:cs="Times New Roman"/>
          <w:sz w:val="24"/>
        </w:rPr>
        <w:t xml:space="preserve"> </w:t>
      </w:r>
      <w:r w:rsidR="00C910F7">
        <w:rPr>
          <w:rFonts w:ascii="Times New Roman" w:hAnsi="Times New Roman" w:cs="Times New Roman"/>
          <w:sz w:val="24"/>
        </w:rPr>
        <w:t>are</w:t>
      </w:r>
      <w:r w:rsidRPr="00C57599">
        <w:rPr>
          <w:rFonts w:ascii="Times New Roman" w:hAnsi="Times New Roman" w:cs="Times New Roman"/>
          <w:sz w:val="24"/>
        </w:rPr>
        <w:t xml:space="preserve"> amounts of levy that are collected after the prawn industry’s liability to the Commonwealth is repaid</w:t>
      </w:r>
      <w:r w:rsidR="00C910F7">
        <w:rPr>
          <w:rFonts w:ascii="Times New Roman" w:hAnsi="Times New Roman" w:cs="Times New Roman"/>
          <w:sz w:val="24"/>
        </w:rPr>
        <w:t>,</w:t>
      </w:r>
      <w:r w:rsidR="00C910F7" w:rsidRPr="00C910F7">
        <w:rPr>
          <w:rFonts w:ascii="Times New Roman" w:hAnsi="Times New Roman" w:cs="Times New Roman"/>
          <w:sz w:val="24"/>
        </w:rPr>
        <w:t xml:space="preserve"> </w:t>
      </w:r>
      <w:r w:rsidR="00C910F7">
        <w:rPr>
          <w:rFonts w:ascii="Times New Roman" w:hAnsi="Times New Roman" w:cs="Times New Roman"/>
          <w:sz w:val="24"/>
        </w:rPr>
        <w:t>divided proportionally between each levy based on the amount of each levy received in the financial year that liability is fully repaid</w:t>
      </w:r>
    </w:p>
    <w:p w14:paraId="59818810" w14:textId="77777777" w:rsidR="00C57599" w:rsidRPr="00763A65" w:rsidRDefault="00C57599" w:rsidP="00763A65">
      <w:pPr>
        <w:tabs>
          <w:tab w:val="left" w:pos="1701"/>
          <w:tab w:val="right" w:pos="9072"/>
        </w:tabs>
        <w:rPr>
          <w:rFonts w:ascii="Times New Roman" w:hAnsi="Times New Roman" w:cs="Times New Roman"/>
          <w:sz w:val="24"/>
        </w:rPr>
      </w:pPr>
    </w:p>
    <w:p w14:paraId="3DC1E75B" w14:textId="5DF516D0" w:rsidR="00D36E34" w:rsidRDefault="00D36E34" w:rsidP="00D50168">
      <w:pPr>
        <w:pStyle w:val="Normal1"/>
        <w:spacing w:before="0" w:after="0"/>
        <w:jc w:val="left"/>
        <w:rPr>
          <w:rFonts w:ascii="Times New Roman" w:hAnsi="Times New Roman"/>
          <w:sz w:val="24"/>
        </w:rPr>
      </w:pPr>
      <w:r>
        <w:rPr>
          <w:rFonts w:ascii="Times New Roman" w:eastAsia="Calibri" w:hAnsi="Times New Roman"/>
          <w:sz w:val="24"/>
        </w:rPr>
        <w:t xml:space="preserve">The Regulations </w:t>
      </w:r>
      <w:r w:rsidR="00B63448">
        <w:rPr>
          <w:rFonts w:ascii="Times New Roman" w:eastAsia="Calibri" w:hAnsi="Times New Roman"/>
          <w:sz w:val="24"/>
        </w:rPr>
        <w:t>commence on 1 January 2020</w:t>
      </w:r>
      <w:r w:rsidRPr="00C70CD5">
        <w:rPr>
          <w:rFonts w:ascii="Times New Roman" w:hAnsi="Times New Roman"/>
          <w:sz w:val="24"/>
        </w:rPr>
        <w:t>.</w:t>
      </w:r>
    </w:p>
    <w:p w14:paraId="52D5662D" w14:textId="77777777" w:rsidR="00D36E34" w:rsidRDefault="00D36E34" w:rsidP="00D50168"/>
    <w:p w14:paraId="5FBDA2AA" w14:textId="77777777" w:rsidR="00D36E34" w:rsidRDefault="00D36E34" w:rsidP="00D50168">
      <w:pPr>
        <w:spacing w:after="120"/>
        <w:jc w:val="both"/>
        <w:rPr>
          <w:rFonts w:ascii="Times New Roman" w:hAnsi="Times New Roman"/>
          <w:b/>
          <w:sz w:val="24"/>
        </w:rPr>
      </w:pPr>
      <w:r>
        <w:rPr>
          <w:rFonts w:ascii="Times New Roman" w:hAnsi="Times New Roman"/>
          <w:b/>
          <w:sz w:val="24"/>
        </w:rPr>
        <w:t>Human rights implications</w:t>
      </w:r>
    </w:p>
    <w:p w14:paraId="09163731" w14:textId="77777777" w:rsidR="00D36E34" w:rsidRPr="00B95A8B" w:rsidRDefault="00D36E34" w:rsidP="00D50168">
      <w:pPr>
        <w:rPr>
          <w:rFonts w:ascii="Times New Roman" w:hAnsi="Times New Roman" w:cs="Times New Roman"/>
          <w:sz w:val="24"/>
        </w:rPr>
      </w:pPr>
      <w:r w:rsidRPr="00B95A8B">
        <w:rPr>
          <w:rFonts w:ascii="Times New Roman" w:hAnsi="Times New Roman" w:cs="Times New Roman"/>
          <w:sz w:val="24"/>
        </w:rPr>
        <w:t xml:space="preserve">These Regulations do not engage any of the applicable rights or freedoms. </w:t>
      </w:r>
    </w:p>
    <w:p w14:paraId="345007B4" w14:textId="77777777" w:rsidR="00D36E34" w:rsidRPr="00B95A8B" w:rsidRDefault="00D36E34" w:rsidP="00D50168">
      <w:pPr>
        <w:rPr>
          <w:sz w:val="24"/>
        </w:rPr>
      </w:pPr>
    </w:p>
    <w:p w14:paraId="7D444101" w14:textId="77777777" w:rsidR="00D36E34" w:rsidRDefault="00D36E34" w:rsidP="00D50168">
      <w:pPr>
        <w:spacing w:after="120"/>
        <w:jc w:val="both"/>
        <w:rPr>
          <w:rFonts w:ascii="Times New Roman" w:hAnsi="Times New Roman"/>
          <w:b/>
          <w:sz w:val="24"/>
        </w:rPr>
      </w:pPr>
      <w:r>
        <w:rPr>
          <w:rFonts w:ascii="Times New Roman" w:hAnsi="Times New Roman"/>
          <w:b/>
          <w:sz w:val="24"/>
        </w:rPr>
        <w:t>Conclusion</w:t>
      </w:r>
    </w:p>
    <w:p w14:paraId="3E7EC18B" w14:textId="77777777" w:rsidR="00D36E34" w:rsidRPr="00B95A8B" w:rsidRDefault="00925271" w:rsidP="00D50168">
      <w:pPr>
        <w:rPr>
          <w:rFonts w:ascii="Times New Roman" w:hAnsi="Times New Roman" w:cs="Times New Roman"/>
          <w:sz w:val="24"/>
        </w:rPr>
      </w:pPr>
      <w:r w:rsidRPr="00D8347C">
        <w:rPr>
          <w:rFonts w:ascii="Times New Roman" w:hAnsi="Times New Roman" w:cs="Times New Roman"/>
          <w:sz w:val="24"/>
        </w:rPr>
        <w:t xml:space="preserve">The measures in the Regulations are compatible with the human rights and freedoms recognised or declared in the international instruments listed in section 3 of </w:t>
      </w:r>
      <w:r w:rsidR="00667196" w:rsidRPr="00D8347C">
        <w:rPr>
          <w:rFonts w:ascii="Times New Roman" w:hAnsi="Times New Roman" w:cs="Times New Roman"/>
          <w:sz w:val="24"/>
        </w:rPr>
        <w:t xml:space="preserve">the </w:t>
      </w:r>
      <w:r w:rsidR="00667196" w:rsidRPr="00D8347C">
        <w:rPr>
          <w:rFonts w:ascii="Times New Roman" w:hAnsi="Times New Roman" w:cs="Times New Roman"/>
          <w:i/>
          <w:sz w:val="24"/>
        </w:rPr>
        <w:t>Human</w:t>
      </w:r>
      <w:r w:rsidRPr="00D8347C">
        <w:rPr>
          <w:rFonts w:ascii="Times New Roman" w:hAnsi="Times New Roman" w:cs="Times New Roman"/>
          <w:i/>
          <w:sz w:val="24"/>
        </w:rPr>
        <w:t xml:space="preserve"> Rights (Parliamentary Scrutiny) Act 2011</w:t>
      </w:r>
      <w:r w:rsidRPr="00D8347C">
        <w:rPr>
          <w:rFonts w:ascii="Times New Roman" w:hAnsi="Times New Roman" w:cs="Times New Roman"/>
          <w:sz w:val="24"/>
        </w:rPr>
        <w:t xml:space="preserve"> as the Regulations do not engage any human rights issues.</w:t>
      </w:r>
    </w:p>
    <w:p w14:paraId="1FD3C6D7" w14:textId="77777777" w:rsidR="00D36E34" w:rsidRDefault="00D36E34" w:rsidP="00D50168"/>
    <w:p w14:paraId="1A7FFBAD" w14:textId="12CB44FE" w:rsidR="00D36E34" w:rsidRDefault="00FB6754" w:rsidP="00D50168">
      <w:pPr>
        <w:jc w:val="center"/>
        <w:rPr>
          <w:rFonts w:ascii="Times New Roman" w:hAnsi="Times New Roman"/>
          <w:b/>
          <w:bCs/>
          <w:sz w:val="24"/>
        </w:rPr>
      </w:pPr>
      <w:r>
        <w:rPr>
          <w:rFonts w:ascii="Times New Roman" w:hAnsi="Times New Roman"/>
          <w:b/>
          <w:bCs/>
          <w:sz w:val="24"/>
        </w:rPr>
        <w:t>Senator t</w:t>
      </w:r>
      <w:r w:rsidR="00D36E34">
        <w:rPr>
          <w:rFonts w:ascii="Times New Roman" w:hAnsi="Times New Roman"/>
          <w:b/>
          <w:bCs/>
          <w:sz w:val="24"/>
        </w:rPr>
        <w:t xml:space="preserve">he Hon. </w:t>
      </w:r>
      <w:r>
        <w:rPr>
          <w:rFonts w:ascii="Times New Roman" w:hAnsi="Times New Roman"/>
          <w:b/>
          <w:bCs/>
          <w:sz w:val="24"/>
        </w:rPr>
        <w:t>Bridget McKenzie</w:t>
      </w:r>
    </w:p>
    <w:p w14:paraId="3AE6DFF5" w14:textId="10A4DCD4" w:rsidR="00D36E34" w:rsidRDefault="00B63448" w:rsidP="00D50168">
      <w:pPr>
        <w:jc w:val="center"/>
        <w:rPr>
          <w:rFonts w:ascii="Times New Roman" w:hAnsi="Times New Roman"/>
          <w:b/>
          <w:bCs/>
          <w:sz w:val="24"/>
        </w:rPr>
      </w:pPr>
      <w:r>
        <w:rPr>
          <w:rFonts w:ascii="Times New Roman" w:hAnsi="Times New Roman"/>
          <w:b/>
          <w:bCs/>
          <w:sz w:val="24"/>
        </w:rPr>
        <w:t>Minister for Agriculture</w:t>
      </w:r>
    </w:p>
    <w:p w14:paraId="462A981D" w14:textId="77777777" w:rsidR="007B4E88" w:rsidRDefault="007B4E88">
      <w:pPr>
        <w:rPr>
          <w:rFonts w:ascii="Times New Roman" w:hAnsi="Times New Roman" w:cs="Times New Roman"/>
          <w:lang w:val="en-GB"/>
        </w:rPr>
      </w:pPr>
    </w:p>
    <w:sectPr w:rsidR="007B4E88" w:rsidSect="00FF546F">
      <w:footerReference w:type="default" r:id="rId11"/>
      <w:pgSz w:w="11907" w:h="16840" w:code="9"/>
      <w:pgMar w:top="1135" w:right="1418" w:bottom="993"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78F36" w14:textId="77777777" w:rsidR="000D58A6" w:rsidRDefault="000D58A6">
      <w:r>
        <w:separator/>
      </w:r>
    </w:p>
  </w:endnote>
  <w:endnote w:type="continuationSeparator" w:id="0">
    <w:p w14:paraId="19244B34" w14:textId="77777777" w:rsidR="000D58A6" w:rsidRDefault="000D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257698"/>
      <w:docPartObj>
        <w:docPartGallery w:val="Page Numbers (Bottom of Page)"/>
        <w:docPartUnique/>
      </w:docPartObj>
    </w:sdtPr>
    <w:sdtEndPr>
      <w:rPr>
        <w:rFonts w:ascii="Times New Roman" w:hAnsi="Times New Roman" w:cs="Times New Roman"/>
        <w:sz w:val="22"/>
        <w:szCs w:val="22"/>
      </w:rPr>
    </w:sdtEndPr>
    <w:sdtContent>
      <w:p w14:paraId="28AC8D2D" w14:textId="77777777" w:rsidR="007B4E88" w:rsidRDefault="00EE13E3">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40723A">
          <w:rPr>
            <w:rFonts w:ascii="Times New Roman" w:hAnsi="Times New Roman" w:cs="Times New Roman"/>
            <w:noProof/>
            <w:sz w:val="22"/>
            <w:szCs w:val="22"/>
          </w:rPr>
          <w:t>6</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D042D" w14:textId="77777777" w:rsidR="000D58A6" w:rsidRDefault="000D58A6">
      <w:r>
        <w:separator/>
      </w:r>
    </w:p>
  </w:footnote>
  <w:footnote w:type="continuationSeparator" w:id="0">
    <w:p w14:paraId="7AEDCDEC" w14:textId="77777777" w:rsidR="000D58A6" w:rsidRDefault="000D5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1278"/>
    <w:multiLevelType w:val="hybridMultilevel"/>
    <w:tmpl w:val="75A484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1142A"/>
    <w:multiLevelType w:val="hybridMultilevel"/>
    <w:tmpl w:val="6A56F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257EB5"/>
    <w:multiLevelType w:val="hybridMultilevel"/>
    <w:tmpl w:val="7674B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E61E90"/>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0923CF"/>
    <w:multiLevelType w:val="hybridMultilevel"/>
    <w:tmpl w:val="FA5058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812DC9"/>
    <w:multiLevelType w:val="hybridMultilevel"/>
    <w:tmpl w:val="036EF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F63214"/>
    <w:multiLevelType w:val="hybridMultilevel"/>
    <w:tmpl w:val="E8803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A71FFE"/>
    <w:multiLevelType w:val="hybridMultilevel"/>
    <w:tmpl w:val="A5205DC0"/>
    <w:lvl w:ilvl="0" w:tplc="0C090001">
      <w:start w:val="1"/>
      <w:numFmt w:val="bullet"/>
      <w:lvlText w:val=""/>
      <w:lvlJc w:val="left"/>
      <w:pPr>
        <w:ind w:left="774"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0C090005">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30920492"/>
    <w:multiLevelType w:val="hybridMultilevel"/>
    <w:tmpl w:val="03541A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C65595"/>
    <w:multiLevelType w:val="hybridMultilevel"/>
    <w:tmpl w:val="F56E0AE0"/>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1"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2E7FAC"/>
    <w:multiLevelType w:val="hybridMultilevel"/>
    <w:tmpl w:val="5C5A4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5" w15:restartNumberingAfterBreak="0">
    <w:nsid w:val="4028759F"/>
    <w:multiLevelType w:val="hybridMultilevel"/>
    <w:tmpl w:val="2B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E41EC2"/>
    <w:multiLevelType w:val="hybridMultilevel"/>
    <w:tmpl w:val="4000AA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3961D82"/>
    <w:multiLevelType w:val="hybridMultilevel"/>
    <w:tmpl w:val="5C56A9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4D313EE"/>
    <w:multiLevelType w:val="hybridMultilevel"/>
    <w:tmpl w:val="AFB0A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A65414"/>
    <w:multiLevelType w:val="hybridMultilevel"/>
    <w:tmpl w:val="90C8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D16A54"/>
    <w:multiLevelType w:val="hybridMultilevel"/>
    <w:tmpl w:val="F02E9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DA5C47"/>
    <w:multiLevelType w:val="hybridMultilevel"/>
    <w:tmpl w:val="BE2E9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456429"/>
    <w:multiLevelType w:val="multilevel"/>
    <w:tmpl w:val="44B0612A"/>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5E60744"/>
    <w:multiLevelType w:val="hybridMultilevel"/>
    <w:tmpl w:val="F53A4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0300D8"/>
    <w:multiLevelType w:val="hybridMultilevel"/>
    <w:tmpl w:val="2F9023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94032D"/>
    <w:multiLevelType w:val="hybridMultilevel"/>
    <w:tmpl w:val="E750A4B0"/>
    <w:lvl w:ilvl="0" w:tplc="101C8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C27B98"/>
    <w:multiLevelType w:val="hybridMultilevel"/>
    <w:tmpl w:val="55841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1B26BE"/>
    <w:multiLevelType w:val="hybridMultilevel"/>
    <w:tmpl w:val="21AA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20"/>
  </w:num>
  <w:num w:numId="2">
    <w:abstractNumId w:val="45"/>
  </w:num>
  <w:num w:numId="3">
    <w:abstractNumId w:val="28"/>
  </w:num>
  <w:num w:numId="4">
    <w:abstractNumId w:val="8"/>
  </w:num>
  <w:num w:numId="5">
    <w:abstractNumId w:val="5"/>
  </w:num>
  <w:num w:numId="6">
    <w:abstractNumId w:val="19"/>
  </w:num>
  <w:num w:numId="7">
    <w:abstractNumId w:val="7"/>
  </w:num>
  <w:num w:numId="8">
    <w:abstractNumId w:val="9"/>
  </w:num>
  <w:num w:numId="9">
    <w:abstractNumId w:val="18"/>
  </w:num>
  <w:num w:numId="10">
    <w:abstractNumId w:val="32"/>
  </w:num>
  <w:num w:numId="11">
    <w:abstractNumId w:val="39"/>
  </w:num>
  <w:num w:numId="12">
    <w:abstractNumId w:val="24"/>
  </w:num>
  <w:num w:numId="13">
    <w:abstractNumId w:val="24"/>
    <w:lvlOverride w:ilvl="0">
      <w:startOverride w:val="1"/>
    </w:lvlOverride>
  </w:num>
  <w:num w:numId="14">
    <w:abstractNumId w:val="1"/>
  </w:num>
  <w:num w:numId="15">
    <w:abstractNumId w:val="30"/>
  </w:num>
  <w:num w:numId="16">
    <w:abstractNumId w:val="4"/>
  </w:num>
  <w:num w:numId="17">
    <w:abstractNumId w:val="35"/>
  </w:num>
  <w:num w:numId="18">
    <w:abstractNumId w:val="21"/>
  </w:num>
  <w:num w:numId="19">
    <w:abstractNumId w:val="12"/>
  </w:num>
  <w:num w:numId="20">
    <w:abstractNumId w:val="41"/>
  </w:num>
  <w:num w:numId="21">
    <w:abstractNumId w:val="22"/>
  </w:num>
  <w:num w:numId="22">
    <w:abstractNumId w:val="3"/>
  </w:num>
  <w:num w:numId="23">
    <w:abstractNumId w:val="33"/>
  </w:num>
  <w:num w:numId="24">
    <w:abstractNumId w:val="31"/>
  </w:num>
  <w:num w:numId="25">
    <w:abstractNumId w:val="16"/>
  </w:num>
  <w:num w:numId="26">
    <w:abstractNumId w:val="13"/>
  </w:num>
  <w:num w:numId="27">
    <w:abstractNumId w:val="2"/>
  </w:num>
  <w:num w:numId="28">
    <w:abstractNumId w:val="25"/>
  </w:num>
  <w:num w:numId="29">
    <w:abstractNumId w:val="37"/>
  </w:num>
  <w:num w:numId="30">
    <w:abstractNumId w:val="37"/>
  </w:num>
  <w:num w:numId="31">
    <w:abstractNumId w:val="14"/>
  </w:num>
  <w:num w:numId="32">
    <w:abstractNumId w:val="10"/>
  </w:num>
  <w:num w:numId="33">
    <w:abstractNumId w:val="6"/>
  </w:num>
  <w:num w:numId="34">
    <w:abstractNumId w:val="43"/>
  </w:num>
  <w:num w:numId="35">
    <w:abstractNumId w:val="17"/>
  </w:num>
  <w:num w:numId="36">
    <w:abstractNumId w:val="27"/>
  </w:num>
  <w:num w:numId="37">
    <w:abstractNumId w:val="29"/>
  </w:num>
  <w:num w:numId="38">
    <w:abstractNumId w:val="42"/>
  </w:num>
  <w:num w:numId="39">
    <w:abstractNumId w:val="44"/>
  </w:num>
  <w:num w:numId="40">
    <w:abstractNumId w:val="23"/>
  </w:num>
  <w:num w:numId="41">
    <w:abstractNumId w:val="15"/>
  </w:num>
  <w:num w:numId="42">
    <w:abstractNumId w:val="36"/>
  </w:num>
  <w:num w:numId="43">
    <w:abstractNumId w:val="26"/>
  </w:num>
  <w:num w:numId="44">
    <w:abstractNumId w:val="11"/>
  </w:num>
  <w:num w:numId="45">
    <w:abstractNumId w:val="0"/>
  </w:num>
  <w:num w:numId="46">
    <w:abstractNumId w:val="34"/>
  </w:num>
  <w:num w:numId="47">
    <w:abstractNumId w:val="40"/>
  </w:num>
  <w:num w:numId="48">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25EF"/>
    <w:rsid w:val="00005B54"/>
    <w:rsid w:val="000125D5"/>
    <w:rsid w:val="00012A59"/>
    <w:rsid w:val="00016886"/>
    <w:rsid w:val="000331A2"/>
    <w:rsid w:val="00072E4F"/>
    <w:rsid w:val="00076DBE"/>
    <w:rsid w:val="00090B5C"/>
    <w:rsid w:val="000A29D4"/>
    <w:rsid w:val="000A5866"/>
    <w:rsid w:val="000C595E"/>
    <w:rsid w:val="000D58A6"/>
    <w:rsid w:val="000E5858"/>
    <w:rsid w:val="000E5898"/>
    <w:rsid w:val="000E6B56"/>
    <w:rsid w:val="0010006D"/>
    <w:rsid w:val="00105896"/>
    <w:rsid w:val="001302A7"/>
    <w:rsid w:val="00131CE4"/>
    <w:rsid w:val="001330D8"/>
    <w:rsid w:val="00133780"/>
    <w:rsid w:val="00151BD9"/>
    <w:rsid w:val="001712FA"/>
    <w:rsid w:val="00193F9B"/>
    <w:rsid w:val="001A2C4B"/>
    <w:rsid w:val="001E0923"/>
    <w:rsid w:val="001F1786"/>
    <w:rsid w:val="001F41CE"/>
    <w:rsid w:val="002206BC"/>
    <w:rsid w:val="00233D65"/>
    <w:rsid w:val="00241352"/>
    <w:rsid w:val="00250B8B"/>
    <w:rsid w:val="00272E5F"/>
    <w:rsid w:val="00275AAB"/>
    <w:rsid w:val="0028051C"/>
    <w:rsid w:val="002C2721"/>
    <w:rsid w:val="002C3BAC"/>
    <w:rsid w:val="002C7A13"/>
    <w:rsid w:val="002E552F"/>
    <w:rsid w:val="00301DA5"/>
    <w:rsid w:val="00314506"/>
    <w:rsid w:val="00340C6D"/>
    <w:rsid w:val="003460F4"/>
    <w:rsid w:val="00357BA0"/>
    <w:rsid w:val="00363701"/>
    <w:rsid w:val="00371EE1"/>
    <w:rsid w:val="00372263"/>
    <w:rsid w:val="00382DF2"/>
    <w:rsid w:val="00392DB5"/>
    <w:rsid w:val="003B4896"/>
    <w:rsid w:val="003B6780"/>
    <w:rsid w:val="0040723A"/>
    <w:rsid w:val="00413264"/>
    <w:rsid w:val="00414ACE"/>
    <w:rsid w:val="00416E32"/>
    <w:rsid w:val="0042474D"/>
    <w:rsid w:val="00446A22"/>
    <w:rsid w:val="00455CF2"/>
    <w:rsid w:val="00480FE5"/>
    <w:rsid w:val="004C1A93"/>
    <w:rsid w:val="004D07F4"/>
    <w:rsid w:val="004E349F"/>
    <w:rsid w:val="005134AB"/>
    <w:rsid w:val="00520888"/>
    <w:rsid w:val="005211CA"/>
    <w:rsid w:val="005328D2"/>
    <w:rsid w:val="005357C2"/>
    <w:rsid w:val="0058308E"/>
    <w:rsid w:val="005B4CB8"/>
    <w:rsid w:val="005B7B05"/>
    <w:rsid w:val="005E40E4"/>
    <w:rsid w:val="005F4850"/>
    <w:rsid w:val="0061667C"/>
    <w:rsid w:val="00616754"/>
    <w:rsid w:val="00617F57"/>
    <w:rsid w:val="00622179"/>
    <w:rsid w:val="00631B20"/>
    <w:rsid w:val="00653702"/>
    <w:rsid w:val="00667196"/>
    <w:rsid w:val="00672CFF"/>
    <w:rsid w:val="00676EE6"/>
    <w:rsid w:val="006B785D"/>
    <w:rsid w:val="006C008E"/>
    <w:rsid w:val="006C46E4"/>
    <w:rsid w:val="006D7244"/>
    <w:rsid w:val="006E0743"/>
    <w:rsid w:val="006E4199"/>
    <w:rsid w:val="006E6601"/>
    <w:rsid w:val="006F4844"/>
    <w:rsid w:val="00702B31"/>
    <w:rsid w:val="007403D1"/>
    <w:rsid w:val="00742111"/>
    <w:rsid w:val="00763A65"/>
    <w:rsid w:val="00797E68"/>
    <w:rsid w:val="007A0DC2"/>
    <w:rsid w:val="007B4E88"/>
    <w:rsid w:val="007C0D9C"/>
    <w:rsid w:val="007C1527"/>
    <w:rsid w:val="007F28E7"/>
    <w:rsid w:val="007F30CC"/>
    <w:rsid w:val="008046D3"/>
    <w:rsid w:val="0081141C"/>
    <w:rsid w:val="008307F4"/>
    <w:rsid w:val="00836E0A"/>
    <w:rsid w:val="00847280"/>
    <w:rsid w:val="008565B1"/>
    <w:rsid w:val="008712A1"/>
    <w:rsid w:val="0087475D"/>
    <w:rsid w:val="00884BDE"/>
    <w:rsid w:val="008924C5"/>
    <w:rsid w:val="0089371A"/>
    <w:rsid w:val="008C5289"/>
    <w:rsid w:val="008D4E25"/>
    <w:rsid w:val="008E1490"/>
    <w:rsid w:val="008F3733"/>
    <w:rsid w:val="00925271"/>
    <w:rsid w:val="00932630"/>
    <w:rsid w:val="009664E1"/>
    <w:rsid w:val="00987155"/>
    <w:rsid w:val="009B5FF4"/>
    <w:rsid w:val="009C13A9"/>
    <w:rsid w:val="009C6D5F"/>
    <w:rsid w:val="009F3B44"/>
    <w:rsid w:val="009F7D90"/>
    <w:rsid w:val="00A507CD"/>
    <w:rsid w:val="00A51548"/>
    <w:rsid w:val="00A72F36"/>
    <w:rsid w:val="00A732C2"/>
    <w:rsid w:val="00A74AA0"/>
    <w:rsid w:val="00AA1734"/>
    <w:rsid w:val="00AC09AA"/>
    <w:rsid w:val="00AC1404"/>
    <w:rsid w:val="00AD3AEC"/>
    <w:rsid w:val="00AF6F36"/>
    <w:rsid w:val="00AF7F24"/>
    <w:rsid w:val="00B17A35"/>
    <w:rsid w:val="00B354E1"/>
    <w:rsid w:val="00B37743"/>
    <w:rsid w:val="00B52812"/>
    <w:rsid w:val="00B54CEA"/>
    <w:rsid w:val="00B63448"/>
    <w:rsid w:val="00B65617"/>
    <w:rsid w:val="00B77990"/>
    <w:rsid w:val="00B90337"/>
    <w:rsid w:val="00BA4A5D"/>
    <w:rsid w:val="00BA63B2"/>
    <w:rsid w:val="00BB736D"/>
    <w:rsid w:val="00BC0680"/>
    <w:rsid w:val="00BD4F43"/>
    <w:rsid w:val="00BE1665"/>
    <w:rsid w:val="00BF4E51"/>
    <w:rsid w:val="00C1205F"/>
    <w:rsid w:val="00C55FEC"/>
    <w:rsid w:val="00C5652A"/>
    <w:rsid w:val="00C57599"/>
    <w:rsid w:val="00C664BB"/>
    <w:rsid w:val="00C714CC"/>
    <w:rsid w:val="00C910F7"/>
    <w:rsid w:val="00CA0C55"/>
    <w:rsid w:val="00CB6580"/>
    <w:rsid w:val="00CC26E4"/>
    <w:rsid w:val="00CE12E1"/>
    <w:rsid w:val="00D20807"/>
    <w:rsid w:val="00D30DC2"/>
    <w:rsid w:val="00D30E29"/>
    <w:rsid w:val="00D36E34"/>
    <w:rsid w:val="00D413CA"/>
    <w:rsid w:val="00D42AF4"/>
    <w:rsid w:val="00D4767A"/>
    <w:rsid w:val="00D750C7"/>
    <w:rsid w:val="00D82902"/>
    <w:rsid w:val="00D8347C"/>
    <w:rsid w:val="00D862BE"/>
    <w:rsid w:val="00DD1204"/>
    <w:rsid w:val="00DD23AC"/>
    <w:rsid w:val="00DD3A2E"/>
    <w:rsid w:val="00DD7BB7"/>
    <w:rsid w:val="00DF1497"/>
    <w:rsid w:val="00DF7FCB"/>
    <w:rsid w:val="00E0352C"/>
    <w:rsid w:val="00E04709"/>
    <w:rsid w:val="00E14ECD"/>
    <w:rsid w:val="00E151FD"/>
    <w:rsid w:val="00E52529"/>
    <w:rsid w:val="00EC28B0"/>
    <w:rsid w:val="00ED52A8"/>
    <w:rsid w:val="00EE13E3"/>
    <w:rsid w:val="00EF34C4"/>
    <w:rsid w:val="00EF52FA"/>
    <w:rsid w:val="00F27648"/>
    <w:rsid w:val="00F729CD"/>
    <w:rsid w:val="00F770FC"/>
    <w:rsid w:val="00F929B1"/>
    <w:rsid w:val="00F9547C"/>
    <w:rsid w:val="00FA140C"/>
    <w:rsid w:val="00FB6754"/>
    <w:rsid w:val="00FC6A53"/>
    <w:rsid w:val="00FD68D3"/>
    <w:rsid w:val="00FE7E3A"/>
    <w:rsid w:val="00FF5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DD39B0"/>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6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382DF2"/>
    <w:pPr>
      <w:spacing w:before="40" w:after="240"/>
    </w:pPr>
    <w:rPr>
      <w:rFonts w:ascii="Arial" w:eastAsiaTheme="majorEastAsia" w:hAnsi="Arial" w:cs="Arial"/>
      <w:bCs/>
      <w:sz w:val="20"/>
      <w:szCs w:val="20"/>
    </w:rPr>
  </w:style>
  <w:style w:type="paragraph" w:styleId="ListNumber">
    <w:name w:val="List Number"/>
    <w:basedOn w:val="Normal"/>
    <w:autoRedefine/>
    <w:uiPriority w:val="99"/>
    <w:qFormat/>
    <w:rsid w:val="00382DF2"/>
    <w:pPr>
      <w:numPr>
        <w:numId w:val="29"/>
      </w:numPr>
      <w:spacing w:after="200"/>
    </w:pPr>
    <w:rPr>
      <w:rFonts w:ascii="Calibri" w:eastAsia="Calibri" w:hAnsi="Calibri" w:cs="Times New Roman"/>
      <w:sz w:val="24"/>
      <w:szCs w:val="22"/>
    </w:rPr>
  </w:style>
  <w:style w:type="paragraph" w:styleId="ListNumber2">
    <w:name w:val="List Number 2"/>
    <w:basedOn w:val="Normal"/>
    <w:autoRedefine/>
    <w:uiPriority w:val="99"/>
    <w:rsid w:val="00382DF2"/>
    <w:pPr>
      <w:numPr>
        <w:ilvl w:val="1"/>
        <w:numId w:val="29"/>
      </w:numPr>
      <w:spacing w:after="200"/>
    </w:pPr>
    <w:rPr>
      <w:rFonts w:ascii="Calibri" w:eastAsia="Calibri" w:hAnsi="Calibri" w:cs="Times New Roman"/>
      <w:sz w:val="24"/>
      <w:szCs w:val="22"/>
    </w:rPr>
  </w:style>
  <w:style w:type="paragraph" w:styleId="ListNumber3">
    <w:name w:val="List Number 3"/>
    <w:basedOn w:val="Normal"/>
    <w:uiPriority w:val="99"/>
    <w:rsid w:val="00382DF2"/>
    <w:pPr>
      <w:numPr>
        <w:ilvl w:val="2"/>
        <w:numId w:val="29"/>
      </w:numPr>
      <w:spacing w:after="200"/>
    </w:pPr>
    <w:rPr>
      <w:rFonts w:ascii="Calibri" w:eastAsia="Calibri" w:hAnsi="Calibri" w:cs="Times New Roman"/>
      <w:sz w:val="24"/>
      <w:szCs w:val="22"/>
    </w:rPr>
  </w:style>
  <w:style w:type="paragraph" w:styleId="ListNumber4">
    <w:name w:val="List Number 4"/>
    <w:basedOn w:val="Normal"/>
    <w:uiPriority w:val="99"/>
    <w:rsid w:val="00382DF2"/>
    <w:pPr>
      <w:numPr>
        <w:ilvl w:val="3"/>
        <w:numId w:val="29"/>
      </w:numPr>
      <w:spacing w:after="200"/>
    </w:pPr>
    <w:rPr>
      <w:rFonts w:ascii="Calibri" w:eastAsia="Calibri" w:hAnsi="Calibri" w:cs="Times New Roman"/>
      <w:sz w:val="24"/>
      <w:szCs w:val="22"/>
    </w:rPr>
  </w:style>
  <w:style w:type="paragraph" w:styleId="ListNumber5">
    <w:name w:val="List Number 5"/>
    <w:basedOn w:val="Normal"/>
    <w:uiPriority w:val="99"/>
    <w:rsid w:val="00382DF2"/>
    <w:pPr>
      <w:numPr>
        <w:ilvl w:val="4"/>
        <w:numId w:val="29"/>
      </w:numPr>
      <w:spacing w:after="200"/>
    </w:pPr>
    <w:rPr>
      <w:rFonts w:ascii="Calibri" w:eastAsia="Calibri" w:hAnsi="Calibri" w:cs="Times New Roman"/>
      <w:sz w:val="24"/>
      <w:szCs w:val="22"/>
    </w:rPr>
  </w:style>
  <w:style w:type="paragraph" w:customStyle="1" w:styleId="subsection">
    <w:name w:val="subsection"/>
    <w:aliases w:val="ss"/>
    <w:basedOn w:val="Normal"/>
    <w:link w:val="subsectionChar"/>
    <w:rsid w:val="00AF7F24"/>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F7F24"/>
    <w:pPr>
      <w:tabs>
        <w:tab w:val="right" w:pos="1531"/>
      </w:tabs>
      <w:spacing w:before="40"/>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F7F24"/>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50458">
      <w:bodyDiv w:val="1"/>
      <w:marLeft w:val="0"/>
      <w:marRight w:val="0"/>
      <w:marTop w:val="0"/>
      <w:marBottom w:val="0"/>
      <w:divBdr>
        <w:top w:val="none" w:sz="0" w:space="0" w:color="auto"/>
        <w:left w:val="none" w:sz="0" w:space="0" w:color="auto"/>
        <w:bottom w:val="none" w:sz="0" w:space="0" w:color="auto"/>
        <w:right w:val="none" w:sz="0" w:space="0" w:color="auto"/>
      </w:divBdr>
    </w:div>
    <w:div w:id="660549655">
      <w:bodyDiv w:val="1"/>
      <w:marLeft w:val="0"/>
      <w:marRight w:val="0"/>
      <w:marTop w:val="0"/>
      <w:marBottom w:val="0"/>
      <w:divBdr>
        <w:top w:val="none" w:sz="0" w:space="0" w:color="auto"/>
        <w:left w:val="none" w:sz="0" w:space="0" w:color="auto"/>
        <w:bottom w:val="none" w:sz="0" w:space="0" w:color="auto"/>
        <w:right w:val="none" w:sz="0" w:space="0" w:color="auto"/>
      </w:divBdr>
    </w:div>
    <w:div w:id="1844005206">
      <w:bodyDiv w:val="1"/>
      <w:marLeft w:val="0"/>
      <w:marRight w:val="0"/>
      <w:marTop w:val="0"/>
      <w:marBottom w:val="0"/>
      <w:divBdr>
        <w:top w:val="none" w:sz="0" w:space="0" w:color="auto"/>
        <w:left w:val="none" w:sz="0" w:space="0" w:color="auto"/>
        <w:bottom w:val="none" w:sz="0" w:space="0" w:color="auto"/>
        <w:right w:val="none" w:sz="0" w:space="0" w:color="auto"/>
      </w:divBdr>
      <w:divsChild>
        <w:div w:id="1836647754">
          <w:marLeft w:val="0"/>
          <w:marRight w:val="0"/>
          <w:marTop w:val="0"/>
          <w:marBottom w:val="0"/>
          <w:divBdr>
            <w:top w:val="none" w:sz="0" w:space="0" w:color="auto"/>
            <w:left w:val="none" w:sz="0" w:space="0" w:color="auto"/>
            <w:bottom w:val="none" w:sz="0" w:space="0" w:color="auto"/>
            <w:right w:val="none" w:sz="0" w:space="0" w:color="auto"/>
          </w:divBdr>
          <w:divsChild>
            <w:div w:id="942035333">
              <w:marLeft w:val="0"/>
              <w:marRight w:val="0"/>
              <w:marTop w:val="0"/>
              <w:marBottom w:val="0"/>
              <w:divBdr>
                <w:top w:val="none" w:sz="0" w:space="0" w:color="auto"/>
                <w:left w:val="none" w:sz="0" w:space="0" w:color="auto"/>
                <w:bottom w:val="none" w:sz="0" w:space="0" w:color="auto"/>
                <w:right w:val="none" w:sz="0" w:space="0" w:color="auto"/>
              </w:divBdr>
              <w:divsChild>
                <w:div w:id="1750735925">
                  <w:marLeft w:val="0"/>
                  <w:marRight w:val="0"/>
                  <w:marTop w:val="0"/>
                  <w:marBottom w:val="0"/>
                  <w:divBdr>
                    <w:top w:val="none" w:sz="0" w:space="0" w:color="auto"/>
                    <w:left w:val="none" w:sz="0" w:space="0" w:color="auto"/>
                    <w:bottom w:val="none" w:sz="0" w:space="0" w:color="auto"/>
                    <w:right w:val="none" w:sz="0" w:space="0" w:color="auto"/>
                  </w:divBdr>
                  <w:divsChild>
                    <w:div w:id="475496306">
                      <w:marLeft w:val="0"/>
                      <w:marRight w:val="0"/>
                      <w:marTop w:val="0"/>
                      <w:marBottom w:val="0"/>
                      <w:divBdr>
                        <w:top w:val="none" w:sz="0" w:space="0" w:color="auto"/>
                        <w:left w:val="none" w:sz="0" w:space="0" w:color="auto"/>
                        <w:bottom w:val="none" w:sz="0" w:space="0" w:color="auto"/>
                        <w:right w:val="none" w:sz="0" w:space="0" w:color="auto"/>
                      </w:divBdr>
                      <w:divsChild>
                        <w:div w:id="439566321">
                          <w:marLeft w:val="0"/>
                          <w:marRight w:val="0"/>
                          <w:marTop w:val="0"/>
                          <w:marBottom w:val="0"/>
                          <w:divBdr>
                            <w:top w:val="none" w:sz="0" w:space="0" w:color="auto"/>
                            <w:left w:val="none" w:sz="0" w:space="0" w:color="auto"/>
                            <w:bottom w:val="none" w:sz="0" w:space="0" w:color="auto"/>
                            <w:right w:val="none" w:sz="0" w:space="0" w:color="auto"/>
                          </w:divBdr>
                          <w:divsChild>
                            <w:div w:id="1527253590">
                              <w:marLeft w:val="0"/>
                              <w:marRight w:val="0"/>
                              <w:marTop w:val="0"/>
                              <w:marBottom w:val="0"/>
                              <w:divBdr>
                                <w:top w:val="none" w:sz="0" w:space="0" w:color="auto"/>
                                <w:left w:val="none" w:sz="0" w:space="0" w:color="auto"/>
                                <w:bottom w:val="none" w:sz="0" w:space="0" w:color="auto"/>
                                <w:right w:val="none" w:sz="0" w:space="0" w:color="auto"/>
                              </w:divBdr>
                              <w:divsChild>
                                <w:div w:id="1255944361">
                                  <w:marLeft w:val="0"/>
                                  <w:marRight w:val="0"/>
                                  <w:marTop w:val="0"/>
                                  <w:marBottom w:val="0"/>
                                  <w:divBdr>
                                    <w:top w:val="none" w:sz="0" w:space="0" w:color="auto"/>
                                    <w:left w:val="none" w:sz="0" w:space="0" w:color="auto"/>
                                    <w:bottom w:val="none" w:sz="0" w:space="0" w:color="auto"/>
                                    <w:right w:val="none" w:sz="0" w:space="0" w:color="auto"/>
                                  </w:divBdr>
                                  <w:divsChild>
                                    <w:div w:id="888760803">
                                      <w:marLeft w:val="0"/>
                                      <w:marRight w:val="0"/>
                                      <w:marTop w:val="0"/>
                                      <w:marBottom w:val="0"/>
                                      <w:divBdr>
                                        <w:top w:val="none" w:sz="0" w:space="0" w:color="auto"/>
                                        <w:left w:val="none" w:sz="0" w:space="0" w:color="auto"/>
                                        <w:bottom w:val="none" w:sz="0" w:space="0" w:color="auto"/>
                                        <w:right w:val="none" w:sz="0" w:space="0" w:color="auto"/>
                                      </w:divBdr>
                                      <w:divsChild>
                                        <w:div w:id="673187908">
                                          <w:marLeft w:val="0"/>
                                          <w:marRight w:val="0"/>
                                          <w:marTop w:val="0"/>
                                          <w:marBottom w:val="0"/>
                                          <w:divBdr>
                                            <w:top w:val="none" w:sz="0" w:space="0" w:color="auto"/>
                                            <w:left w:val="none" w:sz="0" w:space="0" w:color="auto"/>
                                            <w:bottom w:val="none" w:sz="0" w:space="0" w:color="auto"/>
                                            <w:right w:val="none" w:sz="0" w:space="0" w:color="auto"/>
                                          </w:divBdr>
                                          <w:divsChild>
                                            <w:div w:id="1191450920">
                                              <w:marLeft w:val="0"/>
                                              <w:marRight w:val="0"/>
                                              <w:marTop w:val="0"/>
                                              <w:marBottom w:val="0"/>
                                              <w:divBdr>
                                                <w:top w:val="none" w:sz="0" w:space="0" w:color="auto"/>
                                                <w:left w:val="none" w:sz="0" w:space="0" w:color="auto"/>
                                                <w:bottom w:val="none" w:sz="0" w:space="0" w:color="auto"/>
                                                <w:right w:val="none" w:sz="0" w:space="0" w:color="auto"/>
                                              </w:divBdr>
                                              <w:divsChild>
                                                <w:div w:id="1629971295">
                                                  <w:marLeft w:val="0"/>
                                                  <w:marRight w:val="0"/>
                                                  <w:marTop w:val="0"/>
                                                  <w:marBottom w:val="0"/>
                                                  <w:divBdr>
                                                    <w:top w:val="none" w:sz="0" w:space="0" w:color="auto"/>
                                                    <w:left w:val="none" w:sz="0" w:space="0" w:color="auto"/>
                                                    <w:bottom w:val="none" w:sz="0" w:space="0" w:color="auto"/>
                                                    <w:right w:val="none" w:sz="0" w:space="0" w:color="auto"/>
                                                  </w:divBdr>
                                                  <w:divsChild>
                                                    <w:div w:id="1889024877">
                                                      <w:marLeft w:val="0"/>
                                                      <w:marRight w:val="0"/>
                                                      <w:marTop w:val="0"/>
                                                      <w:marBottom w:val="0"/>
                                                      <w:divBdr>
                                                        <w:top w:val="none" w:sz="0" w:space="0" w:color="auto"/>
                                                        <w:left w:val="none" w:sz="0" w:space="0" w:color="auto"/>
                                                        <w:bottom w:val="none" w:sz="0" w:space="0" w:color="auto"/>
                                                        <w:right w:val="none" w:sz="0" w:space="0" w:color="auto"/>
                                                      </w:divBdr>
                                                      <w:divsChild>
                                                        <w:div w:id="30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046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66D2D458-D9F5-42F6-B305-520D8CDD0C9C" xsi:nil="true"/>
    <SecurityClassification xmlns="66D2D458-D9F5-42F6-B305-520D8CDD0C9C" xsi:nil="true"/>
    <pdms_SecurityClassification xmlns="66D2D458-D9F5-42F6-B305-520D8CDD0C9C" xsi:nil="true"/>
    <pdms_DocumentType xmlns="66D2D458-D9F5-42F6-B305-520D8CDD0C9C" xsi:nil="true"/>
    <pdms_AttachedBy xmlns="66D2D458-D9F5-42F6-B305-520D8CDD0C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1E725CDA623D74A81A2493404DC722F" ma:contentTypeVersion="" ma:contentTypeDescription="PDMS Documentation Content Type" ma:contentTypeScope="" ma:versionID="34662647930ead15bf4b88ed74fc6c18">
  <xsd:schema xmlns:xsd="http://www.w3.org/2001/XMLSchema" xmlns:xs="http://www.w3.org/2001/XMLSchema" xmlns:p="http://schemas.microsoft.com/office/2006/metadata/properties" xmlns:ns2="66D2D458-D9F5-42F6-B305-520D8CDD0C9C" targetNamespace="http://schemas.microsoft.com/office/2006/metadata/properties" ma:root="true" ma:fieldsID="20c71b032bc60fec733fe99ce805871f" ns2:_="">
    <xsd:import namespace="66D2D458-D9F5-42F6-B305-520D8CDD0C9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2D458-D9F5-42F6-B305-520D8CDD0C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7829-6A3F-409E-A909-29C3E9200F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6D2D458-D9F5-42F6-B305-520D8CDD0C9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9E61F00-47F2-415E-AC1E-9885B407A03A}">
  <ds:schemaRefs>
    <ds:schemaRef ds:uri="http://schemas.microsoft.com/sharepoint/v3/contenttype/forms"/>
  </ds:schemaRefs>
</ds:datastoreItem>
</file>

<file path=customXml/itemProps3.xml><?xml version="1.0" encoding="utf-8"?>
<ds:datastoreItem xmlns:ds="http://schemas.openxmlformats.org/officeDocument/2006/customXml" ds:itemID="{E6671CA5-3A5A-4935-9FC0-CD7B6EA05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2D458-D9F5-42F6-B305-520D8CDD0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BFC91-1D06-49A3-92C3-296B3B40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DAWR</cp:lastModifiedBy>
  <cp:revision>3</cp:revision>
  <cp:lastPrinted>2017-08-22T02:25:00Z</cp:lastPrinted>
  <dcterms:created xsi:type="dcterms:W3CDTF">2019-11-03T23:13:00Z</dcterms:created>
  <dcterms:modified xsi:type="dcterms:W3CDTF">2019-11-07T02:50:00Z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0x010100266966F133664895A6EE3632470D45F5010041E725CDA623D74A81A2493404DC722F</vt:lpwstr>
  </property>
</Properties>
</file>