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330D5" w14:textId="085AC736" w:rsidR="00BA0727" w:rsidRPr="00BA0727" w:rsidRDefault="00BA0727" w:rsidP="00BA0727">
      <w:pPr>
        <w:spacing w:after="160" w:line="259" w:lineRule="auto"/>
        <w:jc w:val="center"/>
        <w:rPr>
          <w:rFonts w:ascii="Times New Roman" w:eastAsia="Times New Roman" w:hAnsi="Times New Roman" w:cs="Times New Roman"/>
          <w:b/>
          <w:sz w:val="24"/>
          <w:szCs w:val="24"/>
          <w:lang w:eastAsia="en-AU"/>
        </w:rPr>
      </w:pPr>
      <w:bookmarkStart w:id="0" w:name="_GoBack"/>
      <w:bookmarkEnd w:id="0"/>
    </w:p>
    <w:p w14:paraId="111DFFB5" w14:textId="4CDA19F9" w:rsidR="004E62FA" w:rsidRPr="00975C29" w:rsidRDefault="004E62FA" w:rsidP="004E62FA">
      <w:pPr>
        <w:jc w:val="center"/>
        <w:rPr>
          <w:rFonts w:eastAsia="Times New Roman"/>
          <w:b/>
          <w:sz w:val="24"/>
          <w:szCs w:val="24"/>
          <w:u w:val="single"/>
          <w:lang w:eastAsia="en-AU"/>
        </w:rPr>
      </w:pPr>
      <w:r w:rsidRPr="00975C29">
        <w:rPr>
          <w:rFonts w:eastAsia="Times New Roman"/>
          <w:b/>
          <w:sz w:val="24"/>
          <w:szCs w:val="24"/>
          <w:u w:val="single"/>
          <w:lang w:eastAsia="en-AU"/>
        </w:rPr>
        <w:lastRenderedPageBreak/>
        <w:t>EXPLANATORY STATEMENT</w:t>
      </w:r>
    </w:p>
    <w:p w14:paraId="46E77F12" w14:textId="77777777" w:rsidR="004E62FA" w:rsidRPr="00975C29" w:rsidRDefault="004E62FA" w:rsidP="004E62FA">
      <w:pPr>
        <w:jc w:val="center"/>
        <w:rPr>
          <w:rFonts w:eastAsia="Times New Roman"/>
          <w:sz w:val="24"/>
          <w:szCs w:val="24"/>
          <w:lang w:eastAsia="en-AU"/>
        </w:rPr>
      </w:pPr>
      <w:r w:rsidRPr="00975C29">
        <w:rPr>
          <w:rFonts w:eastAsia="Times New Roman"/>
          <w:b/>
          <w:i/>
          <w:sz w:val="24"/>
          <w:szCs w:val="24"/>
          <w:lang w:eastAsia="en-AU"/>
        </w:rPr>
        <w:t>Determination made under subsection 41-45(1B)</w:t>
      </w:r>
      <w:r>
        <w:rPr>
          <w:rFonts w:eastAsia="Times New Roman"/>
          <w:b/>
          <w:i/>
          <w:sz w:val="24"/>
          <w:szCs w:val="24"/>
          <w:lang w:eastAsia="en-AU"/>
        </w:rPr>
        <w:t xml:space="preserve"> </w:t>
      </w:r>
      <w:r w:rsidRPr="00975C29">
        <w:rPr>
          <w:rFonts w:eastAsia="Times New Roman"/>
          <w:b/>
          <w:i/>
          <w:sz w:val="24"/>
          <w:szCs w:val="24"/>
          <w:lang w:eastAsia="en-AU"/>
        </w:rPr>
        <w:t>of the Higher Education Support Act 2003</w:t>
      </w:r>
    </w:p>
    <w:p w14:paraId="3A02B7D8" w14:textId="4EBB45F4" w:rsidR="004E62FA" w:rsidRPr="00975C29" w:rsidRDefault="004E62FA" w:rsidP="004E62FA">
      <w:pPr>
        <w:rPr>
          <w:rFonts w:eastAsia="Times New Roman"/>
          <w:sz w:val="24"/>
          <w:szCs w:val="24"/>
          <w:u w:val="single"/>
          <w:lang w:eastAsia="en-AU"/>
        </w:rPr>
      </w:pPr>
      <w:r w:rsidRPr="00975C29">
        <w:rPr>
          <w:rFonts w:eastAsia="Times New Roman"/>
          <w:sz w:val="24"/>
          <w:szCs w:val="24"/>
          <w:u w:val="single"/>
          <w:lang w:eastAsia="en-AU"/>
        </w:rPr>
        <w:t>Issued by the authorit</w:t>
      </w:r>
      <w:r w:rsidR="00F11D4C">
        <w:rPr>
          <w:rFonts w:eastAsia="Times New Roman"/>
          <w:sz w:val="24"/>
          <w:szCs w:val="24"/>
          <w:u w:val="single"/>
          <w:lang w:eastAsia="en-AU"/>
        </w:rPr>
        <w:t>y of the Minister for Education</w:t>
      </w:r>
    </w:p>
    <w:p w14:paraId="1553BF4D" w14:textId="77777777" w:rsidR="004E62FA" w:rsidRPr="00975C29" w:rsidRDefault="004E62FA" w:rsidP="004E62FA">
      <w:pPr>
        <w:rPr>
          <w:rFonts w:eastAsia="Times New Roman"/>
          <w:sz w:val="24"/>
          <w:szCs w:val="24"/>
          <w:lang w:eastAsia="en-AU"/>
        </w:rPr>
      </w:pPr>
      <w:r w:rsidRPr="00975C29">
        <w:rPr>
          <w:rFonts w:eastAsia="Times New Roman"/>
          <w:sz w:val="24"/>
          <w:szCs w:val="24"/>
          <w:lang w:eastAsia="en-AU"/>
        </w:rPr>
        <w:t>Subject:</w:t>
      </w:r>
      <w:r w:rsidRPr="00975C29">
        <w:rPr>
          <w:rFonts w:eastAsia="Times New Roman"/>
          <w:sz w:val="24"/>
          <w:szCs w:val="24"/>
          <w:lang w:eastAsia="en-AU"/>
        </w:rPr>
        <w:tab/>
      </w:r>
      <w:r w:rsidRPr="00975C29">
        <w:rPr>
          <w:rFonts w:eastAsia="Times New Roman"/>
          <w:sz w:val="24"/>
          <w:szCs w:val="24"/>
          <w:lang w:eastAsia="en-AU"/>
        </w:rPr>
        <w:tab/>
      </w:r>
      <w:r w:rsidRPr="00975C29">
        <w:rPr>
          <w:rFonts w:eastAsia="Times New Roman"/>
          <w:i/>
          <w:sz w:val="24"/>
          <w:szCs w:val="24"/>
          <w:lang w:eastAsia="en-AU"/>
        </w:rPr>
        <w:t xml:space="preserve">Higher Education Support Act 2003 </w:t>
      </w:r>
      <w:r w:rsidRPr="00975C29">
        <w:rPr>
          <w:rFonts w:eastAsia="Times New Roman"/>
          <w:sz w:val="24"/>
          <w:szCs w:val="24"/>
          <w:lang w:eastAsia="en-AU"/>
        </w:rPr>
        <w:t>(</w:t>
      </w:r>
      <w:r>
        <w:rPr>
          <w:rFonts w:eastAsia="Times New Roman"/>
          <w:sz w:val="24"/>
          <w:szCs w:val="24"/>
          <w:lang w:eastAsia="en-AU"/>
        </w:rPr>
        <w:t xml:space="preserve">the </w:t>
      </w:r>
      <w:r w:rsidRPr="00975C29">
        <w:rPr>
          <w:rFonts w:eastAsia="Times New Roman"/>
          <w:sz w:val="24"/>
          <w:szCs w:val="24"/>
          <w:lang w:eastAsia="en-AU"/>
        </w:rPr>
        <w:t>Act)</w:t>
      </w:r>
    </w:p>
    <w:p w14:paraId="48DE9AAE" w14:textId="47BEC050" w:rsidR="004E62FA" w:rsidRPr="00975C29" w:rsidRDefault="004E62FA" w:rsidP="004E62FA">
      <w:pPr>
        <w:ind w:left="2160"/>
        <w:rPr>
          <w:rFonts w:eastAsia="Times New Roman"/>
          <w:sz w:val="24"/>
          <w:szCs w:val="24"/>
          <w:lang w:eastAsia="en-AU"/>
        </w:rPr>
      </w:pPr>
      <w:r w:rsidRPr="00616019">
        <w:rPr>
          <w:rFonts w:eastAsia="Times New Roman"/>
          <w:i/>
          <w:sz w:val="24"/>
          <w:szCs w:val="24"/>
          <w:lang w:eastAsia="en-AU"/>
        </w:rPr>
        <w:t xml:space="preserve">Higher Education Support (Maximum Payments for Other Grants) Determination </w:t>
      </w:r>
      <w:r w:rsidR="00210B6B" w:rsidRPr="00616019">
        <w:rPr>
          <w:rFonts w:eastAsia="Times New Roman"/>
          <w:i/>
          <w:sz w:val="24"/>
          <w:szCs w:val="24"/>
          <w:lang w:eastAsia="en-AU"/>
        </w:rPr>
        <w:t>201</w:t>
      </w:r>
      <w:r w:rsidR="00210B6B">
        <w:rPr>
          <w:rFonts w:eastAsia="Times New Roman"/>
          <w:i/>
          <w:sz w:val="24"/>
          <w:szCs w:val="24"/>
          <w:lang w:eastAsia="en-AU"/>
        </w:rPr>
        <w:t>9</w:t>
      </w:r>
      <w:r w:rsidR="00210B6B">
        <w:rPr>
          <w:rFonts w:eastAsia="Times New Roman"/>
          <w:sz w:val="24"/>
          <w:szCs w:val="24"/>
          <w:lang w:eastAsia="en-AU"/>
        </w:rPr>
        <w:t xml:space="preserve"> </w:t>
      </w:r>
      <w:r w:rsidRPr="00975C29">
        <w:rPr>
          <w:rFonts w:eastAsia="Times New Roman"/>
          <w:sz w:val="24"/>
          <w:szCs w:val="24"/>
          <w:lang w:eastAsia="en-AU"/>
        </w:rPr>
        <w:t>(Determination)</w:t>
      </w:r>
    </w:p>
    <w:p w14:paraId="1EE0D769" w14:textId="77777777" w:rsidR="004E62FA" w:rsidRDefault="004E62FA" w:rsidP="004E62FA">
      <w:pPr>
        <w:tabs>
          <w:tab w:val="left" w:pos="7728"/>
        </w:tabs>
        <w:spacing w:after="0" w:line="240" w:lineRule="auto"/>
        <w:rPr>
          <w:rFonts w:eastAsia="Times New Roman"/>
          <w:b/>
          <w:sz w:val="24"/>
          <w:szCs w:val="24"/>
          <w:lang w:eastAsia="en-AU"/>
        </w:rPr>
      </w:pPr>
      <w:r w:rsidRPr="00975C29">
        <w:rPr>
          <w:rFonts w:eastAsia="Times New Roman"/>
          <w:b/>
          <w:sz w:val="24"/>
          <w:szCs w:val="24"/>
          <w:lang w:eastAsia="en-AU"/>
        </w:rPr>
        <w:t xml:space="preserve">Authority </w:t>
      </w:r>
    </w:p>
    <w:p w14:paraId="32B49496" w14:textId="77777777" w:rsidR="004E62FA" w:rsidRPr="00975C29" w:rsidRDefault="004E62FA" w:rsidP="004E62FA">
      <w:pPr>
        <w:tabs>
          <w:tab w:val="left" w:pos="7728"/>
        </w:tabs>
        <w:rPr>
          <w:rFonts w:eastAsia="Times New Roman"/>
          <w:sz w:val="24"/>
          <w:szCs w:val="24"/>
          <w:lang w:eastAsia="en-AU"/>
        </w:rPr>
      </w:pPr>
      <w:r w:rsidRPr="00975C29">
        <w:rPr>
          <w:rFonts w:eastAsia="Times New Roman"/>
          <w:sz w:val="24"/>
          <w:szCs w:val="24"/>
          <w:lang w:eastAsia="en-AU"/>
        </w:rPr>
        <w:t xml:space="preserve">Subsection 41-45(1B) of the Act provides that the Minister must determine, by legislative instrument, the total payments made under Part 2-3 in respect of a year starting on or after 1 January 2017. </w:t>
      </w:r>
    </w:p>
    <w:p w14:paraId="54B5163B" w14:textId="77777777" w:rsidR="004E62FA" w:rsidRPr="00975C29" w:rsidRDefault="004E62FA" w:rsidP="004E62FA">
      <w:pPr>
        <w:tabs>
          <w:tab w:val="left" w:pos="7728"/>
        </w:tabs>
        <w:rPr>
          <w:rFonts w:eastAsia="Times New Roman"/>
          <w:sz w:val="24"/>
          <w:szCs w:val="24"/>
          <w:lang w:eastAsia="en-AU"/>
        </w:rPr>
      </w:pPr>
      <w:r w:rsidRPr="00975C29">
        <w:rPr>
          <w:rFonts w:eastAsia="Times New Roman"/>
          <w:sz w:val="24"/>
          <w:szCs w:val="24"/>
          <w:lang w:eastAsia="en-AU"/>
        </w:rPr>
        <w:t xml:space="preserve">Subsection 33(3) of the </w:t>
      </w:r>
      <w:r w:rsidRPr="00975C29">
        <w:rPr>
          <w:rFonts w:eastAsia="Times New Roman"/>
          <w:i/>
          <w:iCs/>
          <w:sz w:val="24"/>
          <w:szCs w:val="24"/>
          <w:lang w:eastAsia="en-AU"/>
        </w:rPr>
        <w:t>Acts Interpretation Act 1901</w:t>
      </w:r>
      <w:r w:rsidRPr="00975C29">
        <w:rPr>
          <w:rFonts w:eastAsia="Times New Roman"/>
          <w:sz w:val="24"/>
          <w:szCs w:val="24"/>
          <w:lang w:eastAsia="en-AU"/>
        </w:rPr>
        <w:t>,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4222CA2C" w14:textId="77777777" w:rsidR="004E62FA" w:rsidRDefault="004E62FA" w:rsidP="004E62FA">
      <w:pPr>
        <w:tabs>
          <w:tab w:val="left" w:pos="7728"/>
        </w:tabs>
        <w:spacing w:after="0" w:line="240" w:lineRule="auto"/>
        <w:rPr>
          <w:rFonts w:eastAsia="Times New Roman"/>
          <w:b/>
          <w:sz w:val="24"/>
          <w:szCs w:val="24"/>
          <w:lang w:eastAsia="en-AU"/>
        </w:rPr>
      </w:pPr>
      <w:r w:rsidRPr="00975C29">
        <w:rPr>
          <w:rFonts w:eastAsia="Times New Roman"/>
          <w:b/>
          <w:sz w:val="24"/>
          <w:szCs w:val="24"/>
          <w:lang w:eastAsia="en-AU"/>
        </w:rPr>
        <w:t xml:space="preserve">Purpose </w:t>
      </w:r>
    </w:p>
    <w:p w14:paraId="4BB2D3AC" w14:textId="77777777" w:rsidR="004E62FA" w:rsidRPr="0018747A" w:rsidRDefault="004E62FA" w:rsidP="004E62FA">
      <w:pPr>
        <w:tabs>
          <w:tab w:val="left" w:pos="7728"/>
        </w:tabs>
        <w:spacing w:after="0" w:line="240" w:lineRule="auto"/>
        <w:rPr>
          <w:rFonts w:eastAsia="Times New Roman"/>
          <w:b/>
          <w:sz w:val="24"/>
          <w:szCs w:val="24"/>
          <w:lang w:eastAsia="en-AU"/>
        </w:rPr>
      </w:pPr>
    </w:p>
    <w:p w14:paraId="266F5796" w14:textId="77777777" w:rsidR="004E62FA" w:rsidRPr="00975C29" w:rsidRDefault="004E62FA" w:rsidP="004E62FA">
      <w:pPr>
        <w:rPr>
          <w:rFonts w:eastAsia="Times New Roman"/>
          <w:sz w:val="24"/>
          <w:szCs w:val="24"/>
          <w:lang w:eastAsia="en-AU"/>
        </w:rPr>
      </w:pPr>
      <w:r w:rsidRPr="00975C29">
        <w:rPr>
          <w:rFonts w:eastAsia="Times New Roman"/>
          <w:sz w:val="24"/>
          <w:szCs w:val="24"/>
          <w:lang w:eastAsia="en-AU"/>
        </w:rPr>
        <w:t>The Determination:</w:t>
      </w:r>
    </w:p>
    <w:p w14:paraId="187FD0C3" w14:textId="7BE4933A" w:rsidR="004E62FA" w:rsidRDefault="004E62FA" w:rsidP="004E62FA">
      <w:pPr>
        <w:numPr>
          <w:ilvl w:val="0"/>
          <w:numId w:val="1"/>
        </w:numPr>
        <w:spacing w:after="0" w:line="240" w:lineRule="auto"/>
        <w:rPr>
          <w:rFonts w:eastAsia="Times New Roman"/>
          <w:sz w:val="24"/>
          <w:szCs w:val="24"/>
          <w:lang w:eastAsia="en-AU"/>
        </w:rPr>
      </w:pPr>
      <w:r w:rsidRPr="00975C29">
        <w:rPr>
          <w:rFonts w:eastAsia="Times New Roman"/>
          <w:sz w:val="24"/>
          <w:szCs w:val="24"/>
          <w:lang w:eastAsia="en-AU"/>
        </w:rPr>
        <w:t xml:space="preserve">revokes the </w:t>
      </w:r>
      <w:r w:rsidRPr="00975C29">
        <w:rPr>
          <w:rFonts w:eastAsia="Times New Roman"/>
          <w:i/>
          <w:sz w:val="24"/>
          <w:szCs w:val="24"/>
          <w:lang w:eastAsia="en-AU"/>
        </w:rPr>
        <w:t xml:space="preserve">Higher Education Support (Maximum Payments for </w:t>
      </w:r>
      <w:r w:rsidR="00C50617">
        <w:rPr>
          <w:rFonts w:eastAsia="Times New Roman"/>
          <w:i/>
          <w:sz w:val="24"/>
          <w:szCs w:val="24"/>
          <w:lang w:eastAsia="en-AU"/>
        </w:rPr>
        <w:t>O</w:t>
      </w:r>
      <w:r w:rsidR="00C50617" w:rsidRPr="00975C29">
        <w:rPr>
          <w:rFonts w:eastAsia="Times New Roman"/>
          <w:i/>
          <w:sz w:val="24"/>
          <w:szCs w:val="24"/>
          <w:lang w:eastAsia="en-AU"/>
        </w:rPr>
        <w:t xml:space="preserve">ther </w:t>
      </w:r>
      <w:r w:rsidRPr="00975C29">
        <w:rPr>
          <w:rFonts w:eastAsia="Times New Roman"/>
          <w:i/>
          <w:sz w:val="24"/>
          <w:szCs w:val="24"/>
          <w:lang w:eastAsia="en-AU"/>
        </w:rPr>
        <w:t>Grants) Determination</w:t>
      </w:r>
      <w:r>
        <w:rPr>
          <w:rFonts w:eastAsia="Times New Roman"/>
          <w:i/>
          <w:sz w:val="24"/>
          <w:szCs w:val="24"/>
          <w:lang w:eastAsia="en-AU"/>
        </w:rPr>
        <w:t xml:space="preserve"> </w:t>
      </w:r>
      <w:r w:rsidR="00210B6B">
        <w:rPr>
          <w:rFonts w:eastAsia="Times New Roman"/>
          <w:i/>
          <w:sz w:val="24"/>
          <w:szCs w:val="24"/>
          <w:lang w:eastAsia="en-AU"/>
        </w:rPr>
        <w:t xml:space="preserve">2018 </w:t>
      </w:r>
      <w:r w:rsidRPr="00975C29">
        <w:rPr>
          <w:rFonts w:eastAsia="Times New Roman"/>
          <w:sz w:val="24"/>
          <w:szCs w:val="24"/>
          <w:lang w:eastAsia="en-AU"/>
        </w:rPr>
        <w:t>and</w:t>
      </w:r>
    </w:p>
    <w:p w14:paraId="7A789650" w14:textId="77777777" w:rsidR="004E62FA" w:rsidRPr="00975C29" w:rsidRDefault="004E62FA" w:rsidP="004E62FA">
      <w:pPr>
        <w:spacing w:after="0" w:line="240" w:lineRule="auto"/>
        <w:ind w:left="720"/>
        <w:rPr>
          <w:rFonts w:eastAsia="Times New Roman"/>
          <w:sz w:val="24"/>
          <w:szCs w:val="24"/>
          <w:lang w:eastAsia="en-AU"/>
        </w:rPr>
      </w:pPr>
    </w:p>
    <w:p w14:paraId="7F2B7438" w14:textId="716C849A" w:rsidR="004E62FA" w:rsidRDefault="004E62FA" w:rsidP="004E62FA">
      <w:pPr>
        <w:numPr>
          <w:ilvl w:val="0"/>
          <w:numId w:val="1"/>
        </w:numPr>
        <w:spacing w:after="0" w:line="240" w:lineRule="auto"/>
        <w:rPr>
          <w:rFonts w:eastAsia="Times New Roman"/>
          <w:sz w:val="24"/>
          <w:szCs w:val="24"/>
          <w:lang w:eastAsia="en-AU"/>
        </w:rPr>
      </w:pPr>
      <w:proofErr w:type="gramStart"/>
      <w:r w:rsidRPr="00975C29">
        <w:rPr>
          <w:rFonts w:eastAsia="Times New Roman"/>
          <w:sz w:val="24"/>
          <w:szCs w:val="24"/>
          <w:lang w:eastAsia="en-AU"/>
        </w:rPr>
        <w:t>sets</w:t>
      </w:r>
      <w:proofErr w:type="gramEnd"/>
      <w:r w:rsidRPr="00975C29">
        <w:rPr>
          <w:rFonts w:eastAsia="Times New Roman"/>
          <w:sz w:val="24"/>
          <w:szCs w:val="24"/>
          <w:lang w:eastAsia="en-AU"/>
        </w:rPr>
        <w:t xml:space="preserve"> out the maximum total payments to be made under Part 2-3 for Other Grants for the </w:t>
      </w:r>
      <w:r w:rsidR="00210B6B" w:rsidRPr="00975C29">
        <w:rPr>
          <w:rFonts w:eastAsia="Times New Roman"/>
          <w:sz w:val="24"/>
          <w:szCs w:val="24"/>
          <w:lang w:eastAsia="en-AU"/>
        </w:rPr>
        <w:t>201</w:t>
      </w:r>
      <w:r w:rsidR="00210B6B">
        <w:rPr>
          <w:rFonts w:eastAsia="Times New Roman"/>
          <w:sz w:val="24"/>
          <w:szCs w:val="24"/>
          <w:lang w:eastAsia="en-AU"/>
        </w:rPr>
        <w:t>9</w:t>
      </w:r>
      <w:r w:rsidR="00210B6B" w:rsidRPr="00975C29">
        <w:rPr>
          <w:rFonts w:eastAsia="Times New Roman"/>
          <w:sz w:val="24"/>
          <w:szCs w:val="24"/>
          <w:lang w:eastAsia="en-AU"/>
        </w:rPr>
        <w:t xml:space="preserve"> </w:t>
      </w:r>
      <w:r w:rsidRPr="00975C29">
        <w:rPr>
          <w:rFonts w:eastAsia="Times New Roman"/>
          <w:sz w:val="24"/>
          <w:szCs w:val="24"/>
          <w:lang w:eastAsia="en-AU"/>
        </w:rPr>
        <w:t xml:space="preserve">to </w:t>
      </w:r>
      <w:r w:rsidR="00210B6B" w:rsidRPr="00975C29">
        <w:rPr>
          <w:rFonts w:eastAsia="Times New Roman"/>
          <w:sz w:val="24"/>
          <w:szCs w:val="24"/>
          <w:lang w:eastAsia="en-AU"/>
        </w:rPr>
        <w:t>202</w:t>
      </w:r>
      <w:r w:rsidR="00210B6B">
        <w:rPr>
          <w:rFonts w:eastAsia="Times New Roman"/>
          <w:sz w:val="24"/>
          <w:szCs w:val="24"/>
          <w:lang w:eastAsia="en-AU"/>
        </w:rPr>
        <w:t>3</w:t>
      </w:r>
      <w:r w:rsidR="00210B6B" w:rsidRPr="00975C29">
        <w:rPr>
          <w:rFonts w:eastAsia="Times New Roman"/>
          <w:sz w:val="24"/>
          <w:szCs w:val="24"/>
          <w:lang w:eastAsia="en-AU"/>
        </w:rPr>
        <w:t xml:space="preserve"> </w:t>
      </w:r>
      <w:r w:rsidRPr="00975C29">
        <w:rPr>
          <w:rFonts w:eastAsia="Times New Roman"/>
          <w:sz w:val="24"/>
          <w:szCs w:val="24"/>
          <w:lang w:eastAsia="en-AU"/>
        </w:rPr>
        <w:t>calendar years.</w:t>
      </w:r>
    </w:p>
    <w:p w14:paraId="41167D9B" w14:textId="77777777" w:rsidR="004E62FA" w:rsidRPr="00E65348" w:rsidRDefault="004E62FA" w:rsidP="004E62FA">
      <w:pPr>
        <w:pStyle w:val="ListParagraph"/>
        <w:spacing w:after="0" w:line="240" w:lineRule="auto"/>
        <w:rPr>
          <w:rFonts w:eastAsia="Times New Roman"/>
          <w:sz w:val="24"/>
          <w:szCs w:val="24"/>
          <w:lang w:eastAsia="en-AU"/>
        </w:rPr>
      </w:pPr>
    </w:p>
    <w:p w14:paraId="16DD877E" w14:textId="77777777" w:rsidR="004E62FA" w:rsidRPr="00975C29" w:rsidRDefault="004E62FA" w:rsidP="004E62FA">
      <w:pPr>
        <w:rPr>
          <w:rFonts w:eastAsia="Times New Roman"/>
          <w:sz w:val="24"/>
          <w:szCs w:val="24"/>
          <w:lang w:eastAsia="en-AU"/>
        </w:rPr>
      </w:pPr>
      <w:r w:rsidRPr="00975C29">
        <w:rPr>
          <w:rFonts w:eastAsia="Times New Roman"/>
          <w:sz w:val="24"/>
          <w:szCs w:val="24"/>
          <w:lang w:eastAsia="en-AU"/>
        </w:rPr>
        <w:t xml:space="preserve">A determination made under subsection 41-45(1B) of the Act must be made before the start of the relevant year. </w:t>
      </w:r>
    </w:p>
    <w:p w14:paraId="4BA39AA1" w14:textId="2DE93B26" w:rsidR="004E62FA" w:rsidRPr="00975C29" w:rsidRDefault="004E62FA" w:rsidP="004E62FA">
      <w:pPr>
        <w:rPr>
          <w:rFonts w:eastAsia="Times New Roman"/>
          <w:sz w:val="24"/>
          <w:szCs w:val="24"/>
          <w:lang w:eastAsia="en-AU"/>
        </w:rPr>
      </w:pPr>
      <w:r w:rsidRPr="00975C29">
        <w:rPr>
          <w:rFonts w:eastAsia="Times New Roman"/>
          <w:sz w:val="24"/>
          <w:szCs w:val="24"/>
          <w:lang w:eastAsia="en-AU"/>
        </w:rPr>
        <w:t xml:space="preserve">The amounts determined for </w:t>
      </w:r>
      <w:r w:rsidR="00210B6B" w:rsidRPr="00975C29">
        <w:rPr>
          <w:rFonts w:eastAsia="Times New Roman"/>
          <w:sz w:val="24"/>
          <w:szCs w:val="24"/>
          <w:lang w:eastAsia="en-AU"/>
        </w:rPr>
        <w:t>20</w:t>
      </w:r>
      <w:r w:rsidR="00210B6B">
        <w:rPr>
          <w:rFonts w:eastAsia="Times New Roman"/>
          <w:sz w:val="24"/>
          <w:szCs w:val="24"/>
          <w:lang w:eastAsia="en-AU"/>
        </w:rPr>
        <w:t>20</w:t>
      </w:r>
      <w:r w:rsidR="00210B6B" w:rsidRPr="00975C29">
        <w:rPr>
          <w:rFonts w:eastAsia="Times New Roman"/>
          <w:sz w:val="24"/>
          <w:szCs w:val="24"/>
          <w:lang w:eastAsia="en-AU"/>
        </w:rPr>
        <w:t xml:space="preserve"> </w:t>
      </w:r>
      <w:r w:rsidRPr="00975C29">
        <w:rPr>
          <w:rFonts w:eastAsia="Times New Roman"/>
          <w:sz w:val="24"/>
          <w:szCs w:val="24"/>
          <w:lang w:eastAsia="en-AU"/>
        </w:rPr>
        <w:t xml:space="preserve">to </w:t>
      </w:r>
      <w:r w:rsidR="00210B6B" w:rsidRPr="00975C29">
        <w:rPr>
          <w:rFonts w:eastAsia="Times New Roman"/>
          <w:sz w:val="24"/>
          <w:szCs w:val="24"/>
          <w:lang w:eastAsia="en-AU"/>
        </w:rPr>
        <w:t>202</w:t>
      </w:r>
      <w:r w:rsidR="00210B6B">
        <w:rPr>
          <w:rFonts w:eastAsia="Times New Roman"/>
          <w:sz w:val="24"/>
          <w:szCs w:val="24"/>
          <w:lang w:eastAsia="en-AU"/>
        </w:rPr>
        <w:t>3</w:t>
      </w:r>
      <w:r w:rsidR="00210B6B" w:rsidRPr="00975C29">
        <w:rPr>
          <w:rFonts w:eastAsia="Times New Roman"/>
          <w:sz w:val="24"/>
          <w:szCs w:val="24"/>
          <w:lang w:eastAsia="en-AU"/>
        </w:rPr>
        <w:t xml:space="preserve"> </w:t>
      </w:r>
      <w:r w:rsidRPr="00975C29">
        <w:rPr>
          <w:rFonts w:eastAsia="Times New Roman"/>
          <w:sz w:val="24"/>
          <w:szCs w:val="24"/>
          <w:lang w:eastAsia="en-AU"/>
        </w:rPr>
        <w:t xml:space="preserve">are expressed with the </w:t>
      </w:r>
      <w:r w:rsidR="00210B6B" w:rsidRPr="00975C29">
        <w:rPr>
          <w:rFonts w:eastAsia="Times New Roman"/>
          <w:sz w:val="24"/>
          <w:szCs w:val="24"/>
          <w:lang w:eastAsia="en-AU"/>
        </w:rPr>
        <w:t>20</w:t>
      </w:r>
      <w:r w:rsidR="00210B6B">
        <w:rPr>
          <w:rFonts w:eastAsia="Times New Roman"/>
          <w:sz w:val="24"/>
          <w:szCs w:val="24"/>
          <w:lang w:eastAsia="en-AU"/>
        </w:rPr>
        <w:t>20</w:t>
      </w:r>
      <w:r w:rsidR="00210B6B" w:rsidRPr="00975C29">
        <w:rPr>
          <w:rFonts w:eastAsia="Times New Roman"/>
          <w:sz w:val="24"/>
          <w:szCs w:val="24"/>
          <w:lang w:eastAsia="en-AU"/>
        </w:rPr>
        <w:t xml:space="preserve"> </w:t>
      </w:r>
      <w:r w:rsidRPr="00975C29">
        <w:rPr>
          <w:rFonts w:eastAsia="Times New Roman"/>
          <w:sz w:val="24"/>
          <w:szCs w:val="24"/>
          <w:lang w:eastAsia="en-AU"/>
        </w:rPr>
        <w:t xml:space="preserve">indexation factor applied. The indexation factors for </w:t>
      </w:r>
      <w:r w:rsidR="00210B6B" w:rsidRPr="00975C29">
        <w:rPr>
          <w:rFonts w:eastAsia="Times New Roman"/>
          <w:sz w:val="24"/>
          <w:szCs w:val="24"/>
          <w:lang w:eastAsia="en-AU"/>
        </w:rPr>
        <w:t>20</w:t>
      </w:r>
      <w:r w:rsidR="00210B6B">
        <w:rPr>
          <w:rFonts w:eastAsia="Times New Roman"/>
          <w:sz w:val="24"/>
          <w:szCs w:val="24"/>
          <w:lang w:eastAsia="en-AU"/>
        </w:rPr>
        <w:t>21</w:t>
      </w:r>
      <w:r w:rsidR="00210B6B" w:rsidRPr="00975C29">
        <w:rPr>
          <w:rFonts w:eastAsia="Times New Roman"/>
          <w:sz w:val="24"/>
          <w:szCs w:val="24"/>
          <w:lang w:eastAsia="en-AU"/>
        </w:rPr>
        <w:t xml:space="preserve"> </w:t>
      </w:r>
      <w:r w:rsidRPr="00975C29">
        <w:rPr>
          <w:rFonts w:eastAsia="Times New Roman"/>
          <w:sz w:val="24"/>
          <w:szCs w:val="24"/>
          <w:lang w:eastAsia="en-AU"/>
        </w:rPr>
        <w:t xml:space="preserve">to </w:t>
      </w:r>
      <w:r w:rsidR="00210B6B" w:rsidRPr="00975C29">
        <w:rPr>
          <w:rFonts w:eastAsia="Times New Roman"/>
          <w:sz w:val="24"/>
          <w:szCs w:val="24"/>
          <w:lang w:eastAsia="en-AU"/>
        </w:rPr>
        <w:t>202</w:t>
      </w:r>
      <w:r w:rsidR="00210B6B">
        <w:rPr>
          <w:rFonts w:eastAsia="Times New Roman"/>
          <w:sz w:val="24"/>
          <w:szCs w:val="24"/>
          <w:lang w:eastAsia="en-AU"/>
        </w:rPr>
        <w:t>3</w:t>
      </w:r>
      <w:r w:rsidR="00210B6B" w:rsidRPr="00975C29">
        <w:rPr>
          <w:rFonts w:eastAsia="Times New Roman"/>
          <w:sz w:val="24"/>
          <w:szCs w:val="24"/>
          <w:lang w:eastAsia="en-AU"/>
        </w:rPr>
        <w:t xml:space="preserve"> </w:t>
      </w:r>
      <w:r w:rsidRPr="00975C29">
        <w:rPr>
          <w:rFonts w:eastAsia="Times New Roman"/>
          <w:sz w:val="24"/>
          <w:szCs w:val="24"/>
          <w:lang w:eastAsia="en-AU"/>
        </w:rPr>
        <w:t>are yet to be determined.</w:t>
      </w:r>
    </w:p>
    <w:p w14:paraId="5E6FF29F" w14:textId="77777777" w:rsidR="004E62FA" w:rsidRPr="00975C29" w:rsidRDefault="004E62FA" w:rsidP="004E62FA">
      <w:pPr>
        <w:tabs>
          <w:tab w:val="left" w:pos="7728"/>
        </w:tabs>
        <w:spacing w:after="0" w:line="240" w:lineRule="auto"/>
        <w:rPr>
          <w:rFonts w:eastAsia="Times New Roman"/>
          <w:b/>
          <w:sz w:val="24"/>
          <w:szCs w:val="24"/>
          <w:lang w:eastAsia="en-AU"/>
        </w:rPr>
      </w:pPr>
      <w:r w:rsidRPr="00975C29">
        <w:rPr>
          <w:rFonts w:eastAsia="Times New Roman"/>
          <w:b/>
          <w:sz w:val="24"/>
          <w:szCs w:val="24"/>
          <w:lang w:eastAsia="en-AU"/>
        </w:rPr>
        <w:t xml:space="preserve">Consultation </w:t>
      </w:r>
      <w:r>
        <w:rPr>
          <w:rFonts w:eastAsia="Times New Roman"/>
          <w:b/>
          <w:sz w:val="24"/>
          <w:szCs w:val="24"/>
          <w:lang w:eastAsia="en-AU"/>
        </w:rPr>
        <w:br/>
      </w:r>
    </w:p>
    <w:p w14:paraId="07BB9954" w14:textId="77777777" w:rsidR="004E62FA" w:rsidRPr="00975C29" w:rsidRDefault="004E62FA" w:rsidP="004E62FA">
      <w:pPr>
        <w:tabs>
          <w:tab w:val="left" w:pos="7728"/>
        </w:tabs>
        <w:rPr>
          <w:rFonts w:eastAsia="Times New Roman"/>
          <w:sz w:val="24"/>
          <w:szCs w:val="24"/>
          <w:lang w:eastAsia="en-AU"/>
        </w:rPr>
      </w:pPr>
      <w:r w:rsidRPr="00975C29">
        <w:rPr>
          <w:rFonts w:eastAsia="Times New Roman"/>
          <w:sz w:val="24"/>
          <w:szCs w:val="24"/>
          <w:lang w:eastAsia="en-AU"/>
        </w:rPr>
        <w:t>Consultation was not undertaken on the Determination as it does not create new commitments</w:t>
      </w:r>
      <w:r>
        <w:rPr>
          <w:rFonts w:eastAsia="Times New Roman"/>
          <w:sz w:val="24"/>
          <w:szCs w:val="24"/>
          <w:lang w:eastAsia="en-AU"/>
        </w:rPr>
        <w:t>.</w:t>
      </w:r>
    </w:p>
    <w:p w14:paraId="42F5DDA5" w14:textId="77777777" w:rsidR="004E62FA" w:rsidRPr="0018747A" w:rsidRDefault="004E62FA" w:rsidP="004E62FA">
      <w:pPr>
        <w:tabs>
          <w:tab w:val="left" w:pos="7728"/>
        </w:tabs>
        <w:spacing w:after="0" w:line="240" w:lineRule="auto"/>
        <w:rPr>
          <w:rFonts w:eastAsia="Times New Roman"/>
          <w:b/>
          <w:sz w:val="24"/>
          <w:szCs w:val="24"/>
          <w:lang w:eastAsia="en-AU"/>
        </w:rPr>
      </w:pPr>
      <w:r w:rsidRPr="00975C29">
        <w:rPr>
          <w:rFonts w:eastAsia="Times New Roman"/>
          <w:b/>
          <w:sz w:val="24"/>
          <w:szCs w:val="24"/>
          <w:lang w:eastAsia="en-AU"/>
        </w:rPr>
        <w:t xml:space="preserve">Commencement </w:t>
      </w:r>
      <w:r>
        <w:rPr>
          <w:rFonts w:eastAsia="Times New Roman"/>
          <w:b/>
          <w:sz w:val="24"/>
          <w:szCs w:val="24"/>
          <w:lang w:eastAsia="en-AU"/>
        </w:rPr>
        <w:br/>
      </w:r>
    </w:p>
    <w:p w14:paraId="6D44CA45" w14:textId="77777777" w:rsidR="004E62FA" w:rsidRDefault="004E62FA" w:rsidP="004E62FA">
      <w:pPr>
        <w:rPr>
          <w:rFonts w:eastAsia="Times New Roman"/>
          <w:sz w:val="24"/>
          <w:szCs w:val="24"/>
          <w:lang w:eastAsia="en-AU"/>
        </w:rPr>
      </w:pPr>
      <w:r w:rsidRPr="00975C29">
        <w:rPr>
          <w:rFonts w:eastAsia="Times New Roman"/>
          <w:sz w:val="24"/>
          <w:szCs w:val="24"/>
          <w:lang w:eastAsia="en-AU"/>
        </w:rPr>
        <w:t xml:space="preserve">The Determination takes effect the day after it is registered on the Federal Register of Legislation. </w:t>
      </w:r>
    </w:p>
    <w:p w14:paraId="0310B647" w14:textId="77777777" w:rsidR="004E62FA" w:rsidRDefault="004E62FA" w:rsidP="004E62FA">
      <w:pPr>
        <w:rPr>
          <w:rFonts w:eastAsia="Times New Roman"/>
          <w:sz w:val="24"/>
          <w:szCs w:val="24"/>
          <w:lang w:eastAsia="en-AU"/>
        </w:rPr>
      </w:pPr>
    </w:p>
    <w:p w14:paraId="332D62FD" w14:textId="77777777" w:rsidR="004E62FA" w:rsidRDefault="004E62FA" w:rsidP="004E62FA">
      <w:pPr>
        <w:rPr>
          <w:rFonts w:eastAsia="Times New Roman"/>
          <w:sz w:val="24"/>
          <w:szCs w:val="24"/>
          <w:lang w:eastAsia="en-AU"/>
        </w:rPr>
        <w:sectPr w:rsidR="004E62FA" w:rsidSect="00C451BB">
          <w:pgSz w:w="11906" w:h="16838"/>
          <w:pgMar w:top="520" w:right="1133" w:bottom="1440" w:left="1440" w:header="284" w:footer="708" w:gutter="0"/>
          <w:cols w:space="708"/>
          <w:docGrid w:linePitch="360"/>
        </w:sectPr>
      </w:pPr>
    </w:p>
    <w:p w14:paraId="6F3B494B" w14:textId="77777777" w:rsidR="004E62FA" w:rsidRPr="0018747A" w:rsidRDefault="004E62FA" w:rsidP="004E62FA">
      <w:pPr>
        <w:rPr>
          <w:rFonts w:eastAsia="Times New Roman"/>
          <w:sz w:val="16"/>
          <w:szCs w:val="16"/>
          <w:lang w:eastAsia="en-AU"/>
        </w:rPr>
      </w:pPr>
    </w:p>
    <w:p w14:paraId="5077BABB" w14:textId="77777777" w:rsidR="004E62FA" w:rsidRPr="0018747A" w:rsidRDefault="004E62FA" w:rsidP="004E62FA">
      <w:pPr>
        <w:autoSpaceDE w:val="0"/>
        <w:autoSpaceDN w:val="0"/>
        <w:adjustRightInd w:val="0"/>
        <w:jc w:val="center"/>
        <w:rPr>
          <w:rFonts w:eastAsia="Times New Roman"/>
          <w:b/>
          <w:bCs/>
          <w:sz w:val="24"/>
          <w:szCs w:val="24"/>
          <w:lang w:eastAsia="en-AU"/>
        </w:rPr>
      </w:pPr>
      <w:r w:rsidRPr="0018747A">
        <w:rPr>
          <w:rFonts w:eastAsia="Times New Roman"/>
          <w:b/>
          <w:bCs/>
          <w:sz w:val="24"/>
          <w:szCs w:val="24"/>
          <w:lang w:eastAsia="en-AU"/>
        </w:rPr>
        <w:t>Statement of Compatibility with Human Rights</w:t>
      </w:r>
    </w:p>
    <w:p w14:paraId="1C4374C6" w14:textId="77777777" w:rsidR="004E62FA" w:rsidRPr="0018747A" w:rsidRDefault="004E62FA" w:rsidP="004E62FA">
      <w:pPr>
        <w:autoSpaceDE w:val="0"/>
        <w:autoSpaceDN w:val="0"/>
        <w:adjustRightInd w:val="0"/>
        <w:jc w:val="center"/>
        <w:rPr>
          <w:rFonts w:eastAsia="Times New Roman"/>
          <w:bCs/>
          <w:i/>
          <w:sz w:val="24"/>
          <w:szCs w:val="24"/>
          <w:lang w:eastAsia="en-AU"/>
        </w:rPr>
      </w:pPr>
      <w:r w:rsidRPr="0018747A">
        <w:rPr>
          <w:rFonts w:eastAsia="Times New Roman"/>
          <w:bCs/>
          <w:i/>
          <w:sz w:val="24"/>
          <w:szCs w:val="24"/>
          <w:lang w:eastAsia="en-AU"/>
        </w:rPr>
        <w:t>Prepared in accordance with Part 3 of the Human Rights (Parliamentary Scrutiny) Act 2011</w:t>
      </w:r>
    </w:p>
    <w:p w14:paraId="62E3856D" w14:textId="77777777" w:rsidR="004E62FA" w:rsidRPr="0018747A" w:rsidRDefault="004E62FA" w:rsidP="004E62FA">
      <w:pPr>
        <w:autoSpaceDE w:val="0"/>
        <w:autoSpaceDN w:val="0"/>
        <w:adjustRightInd w:val="0"/>
        <w:spacing w:after="0" w:line="240" w:lineRule="auto"/>
        <w:jc w:val="center"/>
        <w:rPr>
          <w:rFonts w:eastAsia="Times New Roman"/>
          <w:b/>
          <w:sz w:val="24"/>
          <w:szCs w:val="24"/>
          <w:lang w:eastAsia="en-AU"/>
        </w:rPr>
      </w:pPr>
      <w:r w:rsidRPr="0018747A">
        <w:rPr>
          <w:rFonts w:eastAsia="Times New Roman"/>
          <w:b/>
          <w:sz w:val="24"/>
          <w:szCs w:val="24"/>
          <w:lang w:eastAsia="en-AU"/>
        </w:rPr>
        <w:t xml:space="preserve">Higher Education Support (Maximum Payments for Other Grants) </w:t>
      </w:r>
    </w:p>
    <w:p w14:paraId="4D829AF6" w14:textId="3D99DDDE" w:rsidR="004E62FA" w:rsidRDefault="004E62FA" w:rsidP="004E62FA">
      <w:pPr>
        <w:autoSpaceDE w:val="0"/>
        <w:autoSpaceDN w:val="0"/>
        <w:adjustRightInd w:val="0"/>
        <w:spacing w:after="0" w:line="240" w:lineRule="auto"/>
        <w:jc w:val="center"/>
        <w:rPr>
          <w:rFonts w:eastAsia="Times New Roman"/>
          <w:b/>
          <w:sz w:val="24"/>
          <w:szCs w:val="24"/>
          <w:lang w:eastAsia="en-AU"/>
        </w:rPr>
      </w:pPr>
      <w:r w:rsidRPr="0018747A">
        <w:rPr>
          <w:rFonts w:eastAsia="Times New Roman"/>
          <w:b/>
          <w:sz w:val="24"/>
          <w:szCs w:val="24"/>
          <w:lang w:eastAsia="en-AU"/>
        </w:rPr>
        <w:t xml:space="preserve">Determination </w:t>
      </w:r>
      <w:r w:rsidR="00210B6B" w:rsidRPr="0018747A">
        <w:rPr>
          <w:rFonts w:eastAsia="Times New Roman"/>
          <w:b/>
          <w:sz w:val="24"/>
          <w:szCs w:val="24"/>
          <w:lang w:eastAsia="en-AU"/>
        </w:rPr>
        <w:t>201</w:t>
      </w:r>
      <w:r w:rsidR="00210B6B">
        <w:rPr>
          <w:rFonts w:eastAsia="Times New Roman"/>
          <w:b/>
          <w:sz w:val="24"/>
          <w:szCs w:val="24"/>
          <w:lang w:eastAsia="en-AU"/>
        </w:rPr>
        <w:t>9</w:t>
      </w:r>
      <w:r w:rsidR="00210B6B" w:rsidRPr="0018747A">
        <w:rPr>
          <w:rFonts w:eastAsia="Times New Roman"/>
          <w:b/>
          <w:sz w:val="24"/>
          <w:szCs w:val="24"/>
          <w:lang w:eastAsia="en-AU"/>
        </w:rPr>
        <w:t xml:space="preserve"> </w:t>
      </w:r>
    </w:p>
    <w:p w14:paraId="267FAC94" w14:textId="77777777" w:rsidR="004E62FA" w:rsidRPr="0018747A" w:rsidRDefault="004E62FA" w:rsidP="004E62FA">
      <w:pPr>
        <w:autoSpaceDE w:val="0"/>
        <w:autoSpaceDN w:val="0"/>
        <w:adjustRightInd w:val="0"/>
        <w:spacing w:after="0" w:line="240" w:lineRule="auto"/>
        <w:jc w:val="center"/>
        <w:rPr>
          <w:rFonts w:eastAsia="Times New Roman"/>
          <w:sz w:val="24"/>
          <w:szCs w:val="24"/>
          <w:lang w:eastAsia="en-AU"/>
        </w:rPr>
      </w:pPr>
    </w:p>
    <w:p w14:paraId="0B0C821C" w14:textId="44A9AC03" w:rsidR="004E62FA" w:rsidRPr="0018747A" w:rsidRDefault="004E62FA" w:rsidP="004E62FA">
      <w:pPr>
        <w:autoSpaceDE w:val="0"/>
        <w:autoSpaceDN w:val="0"/>
        <w:adjustRightInd w:val="0"/>
        <w:spacing w:after="120" w:line="240" w:lineRule="auto"/>
        <w:rPr>
          <w:rFonts w:eastAsia="Times New Roman"/>
          <w:bCs/>
          <w:sz w:val="24"/>
          <w:szCs w:val="24"/>
          <w:lang w:eastAsia="en-AU"/>
        </w:rPr>
      </w:pPr>
      <w:r w:rsidRPr="0018747A">
        <w:rPr>
          <w:rFonts w:eastAsia="Times New Roman"/>
          <w:bCs/>
          <w:sz w:val="24"/>
          <w:szCs w:val="24"/>
          <w:lang w:eastAsia="en-AU"/>
        </w:rPr>
        <w:t xml:space="preserve">This </w:t>
      </w:r>
      <w:r w:rsidRPr="0018747A">
        <w:rPr>
          <w:rFonts w:eastAsia="Times New Roman"/>
          <w:bCs/>
          <w:i/>
          <w:sz w:val="24"/>
          <w:szCs w:val="24"/>
          <w:lang w:eastAsia="en-AU"/>
        </w:rPr>
        <w:t xml:space="preserve">Higher Education Support (Maximum Payments for Other Grants) Determination </w:t>
      </w:r>
      <w:r w:rsidR="00210B6B" w:rsidRPr="0018747A">
        <w:rPr>
          <w:rFonts w:eastAsia="Times New Roman"/>
          <w:bCs/>
          <w:i/>
          <w:sz w:val="24"/>
          <w:szCs w:val="24"/>
          <w:lang w:eastAsia="en-AU"/>
        </w:rPr>
        <w:t>201</w:t>
      </w:r>
      <w:r w:rsidR="00210B6B">
        <w:rPr>
          <w:rFonts w:eastAsia="Times New Roman"/>
          <w:bCs/>
          <w:i/>
          <w:sz w:val="24"/>
          <w:szCs w:val="24"/>
          <w:lang w:eastAsia="en-AU"/>
        </w:rPr>
        <w:t>9</w:t>
      </w:r>
      <w:r w:rsidR="00210B6B" w:rsidRPr="0018747A">
        <w:rPr>
          <w:rFonts w:eastAsia="Times New Roman"/>
          <w:bCs/>
          <w:sz w:val="24"/>
          <w:szCs w:val="24"/>
          <w:lang w:eastAsia="en-AU"/>
        </w:rPr>
        <w:t xml:space="preserve"> </w:t>
      </w:r>
      <w:r w:rsidRPr="0018747A">
        <w:rPr>
          <w:rFonts w:eastAsia="Times New Roman"/>
          <w:bCs/>
          <w:sz w:val="24"/>
          <w:szCs w:val="24"/>
          <w:lang w:eastAsia="en-AU"/>
        </w:rPr>
        <w:t xml:space="preserve">(Determination) is compatible with human rights and freedoms recognised or declared in the international instruments listed in section 3 of the </w:t>
      </w:r>
      <w:r w:rsidRPr="0018747A">
        <w:rPr>
          <w:rFonts w:eastAsia="Times New Roman"/>
          <w:bCs/>
          <w:i/>
          <w:sz w:val="24"/>
          <w:szCs w:val="24"/>
          <w:lang w:eastAsia="en-AU"/>
        </w:rPr>
        <w:t>Human Rights (Parliamentary Scrutiny) Act 2011</w:t>
      </w:r>
      <w:r w:rsidRPr="0018747A">
        <w:rPr>
          <w:rFonts w:eastAsia="Times New Roman"/>
          <w:bCs/>
          <w:sz w:val="24"/>
          <w:szCs w:val="24"/>
          <w:lang w:eastAsia="en-AU"/>
        </w:rPr>
        <w:t>.</w:t>
      </w:r>
    </w:p>
    <w:p w14:paraId="79E82590" w14:textId="77777777" w:rsidR="004E62FA" w:rsidRPr="0018747A" w:rsidRDefault="004E62FA" w:rsidP="004E62FA">
      <w:pPr>
        <w:autoSpaceDE w:val="0"/>
        <w:autoSpaceDN w:val="0"/>
        <w:adjustRightInd w:val="0"/>
        <w:spacing w:after="120" w:line="240" w:lineRule="auto"/>
        <w:ind w:left="142" w:hanging="142"/>
        <w:rPr>
          <w:rFonts w:eastAsia="Times New Roman"/>
          <w:b/>
          <w:bCs/>
          <w:sz w:val="24"/>
          <w:szCs w:val="24"/>
          <w:lang w:eastAsia="en-AU"/>
        </w:rPr>
      </w:pPr>
      <w:r w:rsidRPr="0018747A">
        <w:rPr>
          <w:rFonts w:eastAsia="Times New Roman"/>
          <w:b/>
          <w:bCs/>
          <w:sz w:val="24"/>
          <w:szCs w:val="24"/>
          <w:lang w:eastAsia="en-AU"/>
        </w:rPr>
        <w:t>Overview of the Determination</w:t>
      </w:r>
    </w:p>
    <w:p w14:paraId="59F60AC2" w14:textId="3C38C21C" w:rsidR="004E62FA" w:rsidRPr="0018747A" w:rsidRDefault="004E62FA" w:rsidP="004E62FA">
      <w:pPr>
        <w:spacing w:after="120" w:line="240" w:lineRule="auto"/>
        <w:rPr>
          <w:rFonts w:eastAsia="Times New Roman"/>
          <w:sz w:val="24"/>
          <w:szCs w:val="24"/>
          <w:lang w:eastAsia="en-AU"/>
        </w:rPr>
      </w:pPr>
      <w:r w:rsidRPr="0018747A">
        <w:rPr>
          <w:rFonts w:eastAsia="Times New Roman"/>
          <w:sz w:val="24"/>
          <w:szCs w:val="24"/>
          <w:lang w:eastAsia="en-AU"/>
        </w:rPr>
        <w:t xml:space="preserve">Subsection 41-45(1B) of </w:t>
      </w:r>
      <w:r>
        <w:rPr>
          <w:rFonts w:eastAsia="Times New Roman"/>
          <w:sz w:val="24"/>
          <w:szCs w:val="24"/>
          <w:lang w:eastAsia="en-AU"/>
        </w:rPr>
        <w:t xml:space="preserve">the </w:t>
      </w:r>
      <w:r w:rsidRPr="0009161A">
        <w:rPr>
          <w:rFonts w:eastAsia="Times New Roman"/>
          <w:i/>
          <w:sz w:val="24"/>
          <w:szCs w:val="24"/>
          <w:lang w:eastAsia="en-AU"/>
        </w:rPr>
        <w:t>Higher Education Support Act 2003</w:t>
      </w:r>
      <w:r>
        <w:rPr>
          <w:rFonts w:eastAsia="Times New Roman"/>
          <w:sz w:val="24"/>
          <w:szCs w:val="24"/>
          <w:lang w:eastAsia="en-AU"/>
        </w:rPr>
        <w:t xml:space="preserve"> (</w:t>
      </w:r>
      <w:r w:rsidRPr="0018747A">
        <w:rPr>
          <w:rFonts w:eastAsia="Times New Roman"/>
          <w:sz w:val="24"/>
          <w:szCs w:val="24"/>
          <w:lang w:eastAsia="en-AU"/>
        </w:rPr>
        <w:t>the Act</w:t>
      </w:r>
      <w:r>
        <w:rPr>
          <w:rFonts w:eastAsia="Times New Roman"/>
          <w:sz w:val="24"/>
          <w:szCs w:val="24"/>
          <w:lang w:eastAsia="en-AU"/>
        </w:rPr>
        <w:t>)</w:t>
      </w:r>
      <w:r w:rsidRPr="0018747A">
        <w:rPr>
          <w:rFonts w:eastAsia="Times New Roman"/>
          <w:sz w:val="24"/>
          <w:szCs w:val="24"/>
          <w:lang w:eastAsia="en-AU"/>
        </w:rPr>
        <w:t xml:space="preserve"> provides that the Minister must, by legislative instrument, determine the total payments made under Part 2-3 in respect of a year starting on or after 1 January 2017. </w:t>
      </w:r>
      <w:r>
        <w:rPr>
          <w:rFonts w:eastAsia="Times New Roman"/>
          <w:sz w:val="24"/>
          <w:szCs w:val="24"/>
          <w:lang w:eastAsia="en-AU"/>
        </w:rPr>
        <w:t xml:space="preserve">The Determination specifies, for the purpose of subsection 41-45(1B) of the Act, an amount in respect of the year </w:t>
      </w:r>
      <w:r w:rsidR="00210B6B">
        <w:rPr>
          <w:rFonts w:eastAsia="Times New Roman"/>
          <w:sz w:val="24"/>
          <w:szCs w:val="24"/>
          <w:lang w:eastAsia="en-AU"/>
        </w:rPr>
        <w:t>2019</w:t>
      </w:r>
      <w:r>
        <w:rPr>
          <w:rFonts w:eastAsia="Times New Roman"/>
          <w:sz w:val="24"/>
          <w:szCs w:val="24"/>
          <w:lang w:eastAsia="en-AU"/>
        </w:rPr>
        <w:t>.</w:t>
      </w:r>
    </w:p>
    <w:p w14:paraId="4F07A1A6" w14:textId="77777777" w:rsidR="004E62FA" w:rsidRPr="0018747A" w:rsidRDefault="004E62FA" w:rsidP="004E62FA">
      <w:pPr>
        <w:spacing w:after="120"/>
        <w:rPr>
          <w:rFonts w:eastAsia="Times New Roman"/>
          <w:sz w:val="24"/>
          <w:szCs w:val="24"/>
          <w:lang w:eastAsia="en-AU"/>
        </w:rPr>
      </w:pPr>
      <w:r w:rsidRPr="0018747A">
        <w:rPr>
          <w:rFonts w:eastAsia="Times New Roman"/>
          <w:sz w:val="24"/>
          <w:szCs w:val="24"/>
          <w:lang w:eastAsia="en-AU"/>
        </w:rPr>
        <w:t>The Determination:</w:t>
      </w:r>
    </w:p>
    <w:p w14:paraId="72D129BB" w14:textId="674C61B0" w:rsidR="004E62FA" w:rsidRPr="0018747A" w:rsidRDefault="004E62FA" w:rsidP="004E62FA">
      <w:pPr>
        <w:numPr>
          <w:ilvl w:val="0"/>
          <w:numId w:val="1"/>
        </w:numPr>
        <w:spacing w:after="120" w:line="240" w:lineRule="auto"/>
        <w:ind w:hanging="357"/>
        <w:rPr>
          <w:rFonts w:eastAsia="Times New Roman"/>
          <w:sz w:val="24"/>
          <w:szCs w:val="24"/>
          <w:lang w:eastAsia="en-AU"/>
        </w:rPr>
      </w:pPr>
      <w:r w:rsidRPr="0018747A">
        <w:rPr>
          <w:rFonts w:eastAsia="Times New Roman"/>
          <w:sz w:val="24"/>
          <w:szCs w:val="24"/>
          <w:lang w:eastAsia="en-AU"/>
        </w:rPr>
        <w:t xml:space="preserve">revokes the </w:t>
      </w:r>
      <w:r w:rsidRPr="0018747A">
        <w:rPr>
          <w:rFonts w:eastAsia="Times New Roman"/>
          <w:i/>
          <w:sz w:val="24"/>
          <w:szCs w:val="24"/>
          <w:lang w:eastAsia="en-AU"/>
        </w:rPr>
        <w:t xml:space="preserve">Higher Education Support (Maximum Payments for </w:t>
      </w:r>
      <w:r w:rsidR="00C50617">
        <w:rPr>
          <w:rFonts w:eastAsia="Times New Roman"/>
          <w:i/>
          <w:sz w:val="24"/>
          <w:szCs w:val="24"/>
          <w:lang w:eastAsia="en-AU"/>
        </w:rPr>
        <w:t>O</w:t>
      </w:r>
      <w:r w:rsidR="00C50617" w:rsidRPr="0018747A">
        <w:rPr>
          <w:rFonts w:eastAsia="Times New Roman"/>
          <w:i/>
          <w:sz w:val="24"/>
          <w:szCs w:val="24"/>
          <w:lang w:eastAsia="en-AU"/>
        </w:rPr>
        <w:t xml:space="preserve">ther </w:t>
      </w:r>
      <w:r w:rsidRPr="0018747A">
        <w:rPr>
          <w:rFonts w:eastAsia="Times New Roman"/>
          <w:i/>
          <w:sz w:val="24"/>
          <w:szCs w:val="24"/>
          <w:lang w:eastAsia="en-AU"/>
        </w:rPr>
        <w:t xml:space="preserve">Grants) Determination </w:t>
      </w:r>
      <w:r w:rsidR="00210B6B">
        <w:rPr>
          <w:rFonts w:eastAsia="Times New Roman"/>
          <w:i/>
          <w:sz w:val="24"/>
          <w:szCs w:val="24"/>
          <w:lang w:eastAsia="en-AU"/>
        </w:rPr>
        <w:t>2018</w:t>
      </w:r>
      <w:r w:rsidR="00210B6B" w:rsidRPr="0018747A">
        <w:rPr>
          <w:rFonts w:eastAsia="Times New Roman"/>
          <w:sz w:val="24"/>
          <w:szCs w:val="24"/>
          <w:lang w:eastAsia="en-AU"/>
        </w:rPr>
        <w:t xml:space="preserve"> </w:t>
      </w:r>
      <w:r w:rsidRPr="0018747A">
        <w:rPr>
          <w:rFonts w:eastAsia="Times New Roman"/>
          <w:sz w:val="24"/>
          <w:szCs w:val="24"/>
          <w:lang w:eastAsia="en-AU"/>
        </w:rPr>
        <w:t>and</w:t>
      </w:r>
    </w:p>
    <w:p w14:paraId="5D3ACF43" w14:textId="3B024294" w:rsidR="004E62FA" w:rsidRPr="0018747A" w:rsidRDefault="004E62FA" w:rsidP="004E62FA">
      <w:pPr>
        <w:numPr>
          <w:ilvl w:val="0"/>
          <w:numId w:val="1"/>
        </w:numPr>
        <w:spacing w:after="0" w:line="240" w:lineRule="auto"/>
        <w:rPr>
          <w:rFonts w:eastAsia="Times New Roman"/>
          <w:sz w:val="24"/>
          <w:szCs w:val="24"/>
          <w:lang w:eastAsia="en-AU"/>
        </w:rPr>
      </w:pPr>
      <w:proofErr w:type="gramStart"/>
      <w:r w:rsidRPr="0018747A">
        <w:rPr>
          <w:rFonts w:eastAsia="Times New Roman"/>
          <w:sz w:val="24"/>
          <w:szCs w:val="24"/>
          <w:lang w:eastAsia="en-AU"/>
        </w:rPr>
        <w:t>sets</w:t>
      </w:r>
      <w:proofErr w:type="gramEnd"/>
      <w:r w:rsidRPr="0018747A">
        <w:rPr>
          <w:rFonts w:eastAsia="Times New Roman"/>
          <w:sz w:val="24"/>
          <w:szCs w:val="24"/>
          <w:lang w:eastAsia="en-AU"/>
        </w:rPr>
        <w:t xml:space="preserve"> out the maximum total payments to be made under Part 2-3 for Other Grants for the </w:t>
      </w:r>
      <w:r w:rsidR="00210B6B" w:rsidRPr="0018747A">
        <w:rPr>
          <w:rFonts w:eastAsia="Times New Roman"/>
          <w:sz w:val="24"/>
          <w:szCs w:val="24"/>
          <w:lang w:eastAsia="en-AU"/>
        </w:rPr>
        <w:t>201</w:t>
      </w:r>
      <w:r w:rsidR="00210B6B">
        <w:rPr>
          <w:rFonts w:eastAsia="Times New Roman"/>
          <w:sz w:val="24"/>
          <w:szCs w:val="24"/>
          <w:lang w:eastAsia="en-AU"/>
        </w:rPr>
        <w:t>9</w:t>
      </w:r>
      <w:r w:rsidR="00210B6B" w:rsidRPr="0018747A">
        <w:rPr>
          <w:rFonts w:eastAsia="Times New Roman"/>
          <w:sz w:val="24"/>
          <w:szCs w:val="24"/>
          <w:lang w:eastAsia="en-AU"/>
        </w:rPr>
        <w:t xml:space="preserve"> </w:t>
      </w:r>
      <w:r w:rsidRPr="0018747A">
        <w:rPr>
          <w:rFonts w:eastAsia="Times New Roman"/>
          <w:sz w:val="24"/>
          <w:szCs w:val="24"/>
          <w:lang w:eastAsia="en-AU"/>
        </w:rPr>
        <w:t xml:space="preserve">to </w:t>
      </w:r>
      <w:r w:rsidR="00210B6B" w:rsidRPr="0018747A">
        <w:rPr>
          <w:rFonts w:eastAsia="Times New Roman"/>
          <w:sz w:val="24"/>
          <w:szCs w:val="24"/>
          <w:lang w:eastAsia="en-AU"/>
        </w:rPr>
        <w:t>202</w:t>
      </w:r>
      <w:r w:rsidR="00210B6B">
        <w:rPr>
          <w:rFonts w:eastAsia="Times New Roman"/>
          <w:sz w:val="24"/>
          <w:szCs w:val="24"/>
          <w:lang w:eastAsia="en-AU"/>
        </w:rPr>
        <w:t>3</w:t>
      </w:r>
      <w:r w:rsidR="00210B6B" w:rsidRPr="0018747A">
        <w:rPr>
          <w:rFonts w:eastAsia="Times New Roman"/>
          <w:sz w:val="24"/>
          <w:szCs w:val="24"/>
          <w:lang w:eastAsia="en-AU"/>
        </w:rPr>
        <w:t xml:space="preserve"> </w:t>
      </w:r>
      <w:r w:rsidRPr="0018747A">
        <w:rPr>
          <w:rFonts w:eastAsia="Times New Roman"/>
          <w:sz w:val="24"/>
          <w:szCs w:val="24"/>
          <w:lang w:eastAsia="en-AU"/>
        </w:rPr>
        <w:t>calendar years.</w:t>
      </w:r>
    </w:p>
    <w:p w14:paraId="342E1F92" w14:textId="77777777" w:rsidR="004E62FA" w:rsidRPr="0009161A" w:rsidRDefault="004E62FA" w:rsidP="004E62FA">
      <w:pPr>
        <w:tabs>
          <w:tab w:val="left" w:pos="7728"/>
        </w:tabs>
        <w:spacing w:after="0" w:line="240" w:lineRule="auto"/>
        <w:rPr>
          <w:rFonts w:eastAsia="Times New Roman"/>
          <w:sz w:val="16"/>
          <w:szCs w:val="16"/>
          <w:lang w:eastAsia="en-AU"/>
        </w:rPr>
      </w:pPr>
    </w:p>
    <w:p w14:paraId="687E02E5" w14:textId="0856A1C4" w:rsidR="004E62FA" w:rsidRPr="0018747A" w:rsidRDefault="004E62FA" w:rsidP="004E62FA">
      <w:pPr>
        <w:tabs>
          <w:tab w:val="left" w:pos="7728"/>
        </w:tabs>
        <w:spacing w:after="120" w:line="240" w:lineRule="auto"/>
        <w:rPr>
          <w:rFonts w:eastAsia="Times New Roman"/>
          <w:sz w:val="24"/>
          <w:szCs w:val="24"/>
          <w:lang w:eastAsia="en-AU"/>
        </w:rPr>
      </w:pPr>
    </w:p>
    <w:p w14:paraId="454209BF" w14:textId="77777777" w:rsidR="004E62FA" w:rsidRPr="0018747A" w:rsidRDefault="004E62FA" w:rsidP="004E62FA">
      <w:pPr>
        <w:autoSpaceDE w:val="0"/>
        <w:autoSpaceDN w:val="0"/>
        <w:adjustRightInd w:val="0"/>
        <w:spacing w:after="120" w:line="240" w:lineRule="auto"/>
        <w:ind w:left="142" w:hanging="142"/>
        <w:rPr>
          <w:rFonts w:eastAsia="Times New Roman"/>
          <w:b/>
          <w:bCs/>
          <w:sz w:val="24"/>
          <w:szCs w:val="24"/>
          <w:lang w:eastAsia="en-AU"/>
        </w:rPr>
      </w:pPr>
      <w:r w:rsidRPr="0018747A">
        <w:rPr>
          <w:rFonts w:eastAsia="Times New Roman"/>
          <w:b/>
          <w:bCs/>
          <w:sz w:val="24"/>
          <w:szCs w:val="24"/>
          <w:lang w:eastAsia="en-AU"/>
        </w:rPr>
        <w:t>Human rights implications</w:t>
      </w:r>
    </w:p>
    <w:p w14:paraId="117CB636" w14:textId="77777777" w:rsidR="004E62FA" w:rsidRPr="0018747A" w:rsidRDefault="004E62FA" w:rsidP="004E62FA">
      <w:pPr>
        <w:autoSpaceDE w:val="0"/>
        <w:autoSpaceDN w:val="0"/>
        <w:adjustRightInd w:val="0"/>
        <w:rPr>
          <w:rFonts w:eastAsia="Times New Roman"/>
          <w:b/>
          <w:bCs/>
          <w:sz w:val="24"/>
          <w:szCs w:val="24"/>
          <w:lang w:eastAsia="en-AU"/>
        </w:rPr>
      </w:pPr>
      <w:r w:rsidRPr="0018747A">
        <w:rPr>
          <w:rFonts w:eastAsia="Times New Roman"/>
          <w:bCs/>
          <w:i/>
          <w:sz w:val="24"/>
          <w:szCs w:val="24"/>
          <w:lang w:eastAsia="en-AU"/>
        </w:rPr>
        <w:t>Right to education</w:t>
      </w:r>
    </w:p>
    <w:p w14:paraId="7866F694" w14:textId="77777777" w:rsidR="004E62FA" w:rsidRPr="000E429E" w:rsidRDefault="004E62FA" w:rsidP="004E62FA">
      <w:pPr>
        <w:spacing w:after="120" w:line="240" w:lineRule="auto"/>
        <w:rPr>
          <w:rFonts w:eastAsia="Times New Roman"/>
          <w:sz w:val="24"/>
          <w:szCs w:val="24"/>
          <w:lang w:eastAsia="en-AU"/>
        </w:rPr>
      </w:pPr>
      <w:r w:rsidRPr="000E429E">
        <w:rPr>
          <w:rFonts w:eastAsia="Times New Roman"/>
          <w:sz w:val="24"/>
          <w:szCs w:val="24"/>
          <w:lang w:eastAsia="en-AU"/>
        </w:rPr>
        <w:t xml:space="preserve">The Determination engages the right to education contained in Article 13 of the </w:t>
      </w:r>
      <w:r w:rsidRPr="0009161A">
        <w:rPr>
          <w:rFonts w:eastAsia="Times New Roman"/>
          <w:i/>
          <w:sz w:val="24"/>
          <w:szCs w:val="24"/>
          <w:lang w:eastAsia="en-AU"/>
        </w:rPr>
        <w:t xml:space="preserve">International Covenant on Economic, Social and Cultural Rights. </w:t>
      </w:r>
    </w:p>
    <w:p w14:paraId="210E781D" w14:textId="6F99E9A7" w:rsidR="004E62FA" w:rsidRPr="000E429E" w:rsidRDefault="004E62FA" w:rsidP="004E62FA">
      <w:pPr>
        <w:spacing w:after="120" w:line="240" w:lineRule="auto"/>
        <w:rPr>
          <w:rFonts w:eastAsia="Times New Roman"/>
          <w:sz w:val="24"/>
          <w:szCs w:val="24"/>
          <w:lang w:eastAsia="en-AU"/>
        </w:rPr>
      </w:pPr>
      <w:r w:rsidRPr="000E429E">
        <w:rPr>
          <w:rFonts w:eastAsia="Times New Roman"/>
          <w:sz w:val="24"/>
          <w:szCs w:val="24"/>
          <w:lang w:eastAsia="en-AU"/>
        </w:rPr>
        <w:t xml:space="preserve">The Minister is empowered to determine maximum amounts payable for Other Grants for the </w:t>
      </w:r>
      <w:r w:rsidR="00210B6B" w:rsidRPr="000E429E">
        <w:rPr>
          <w:rFonts w:eastAsia="Times New Roman"/>
          <w:sz w:val="24"/>
          <w:szCs w:val="24"/>
          <w:lang w:eastAsia="en-AU"/>
        </w:rPr>
        <w:t>201</w:t>
      </w:r>
      <w:r w:rsidR="00210B6B">
        <w:rPr>
          <w:rFonts w:eastAsia="Times New Roman"/>
          <w:sz w:val="24"/>
          <w:szCs w:val="24"/>
          <w:lang w:eastAsia="en-AU"/>
        </w:rPr>
        <w:t xml:space="preserve">9 </w:t>
      </w:r>
      <w:r w:rsidRPr="000E429E">
        <w:rPr>
          <w:rFonts w:eastAsia="Times New Roman"/>
          <w:sz w:val="24"/>
          <w:szCs w:val="24"/>
          <w:lang w:eastAsia="en-AU"/>
        </w:rPr>
        <w:t xml:space="preserve">calendar year that differs from that already prescribed in the table in subsection 41-45(1) of the Act. The Minister is required to determine the maximum amounts payable for the </w:t>
      </w:r>
      <w:r w:rsidR="00210B6B" w:rsidRPr="000E429E">
        <w:rPr>
          <w:rFonts w:eastAsia="Times New Roman"/>
          <w:sz w:val="24"/>
          <w:szCs w:val="24"/>
          <w:lang w:eastAsia="en-AU"/>
        </w:rPr>
        <w:t>20</w:t>
      </w:r>
      <w:r w:rsidR="00210B6B">
        <w:rPr>
          <w:rFonts w:eastAsia="Times New Roman"/>
          <w:sz w:val="24"/>
          <w:szCs w:val="24"/>
          <w:lang w:eastAsia="en-AU"/>
        </w:rPr>
        <w:t>20</w:t>
      </w:r>
      <w:r w:rsidR="00210B6B" w:rsidRPr="000E429E">
        <w:rPr>
          <w:rFonts w:eastAsia="Times New Roman"/>
          <w:sz w:val="24"/>
          <w:szCs w:val="24"/>
          <w:lang w:eastAsia="en-AU"/>
        </w:rPr>
        <w:t xml:space="preserve"> </w:t>
      </w:r>
      <w:r w:rsidRPr="000E429E">
        <w:rPr>
          <w:rFonts w:eastAsia="Times New Roman"/>
          <w:sz w:val="24"/>
          <w:szCs w:val="24"/>
          <w:lang w:eastAsia="en-AU"/>
        </w:rPr>
        <w:t xml:space="preserve">to </w:t>
      </w:r>
      <w:r w:rsidR="00210B6B" w:rsidRPr="000E429E">
        <w:rPr>
          <w:rFonts w:eastAsia="Times New Roman"/>
          <w:sz w:val="24"/>
          <w:szCs w:val="24"/>
          <w:lang w:eastAsia="en-AU"/>
        </w:rPr>
        <w:t>202</w:t>
      </w:r>
      <w:r w:rsidR="00210B6B">
        <w:rPr>
          <w:rFonts w:eastAsia="Times New Roman"/>
          <w:sz w:val="24"/>
          <w:szCs w:val="24"/>
          <w:lang w:eastAsia="en-AU"/>
        </w:rPr>
        <w:t>3</w:t>
      </w:r>
      <w:r w:rsidR="00210B6B" w:rsidRPr="000E429E">
        <w:rPr>
          <w:rFonts w:eastAsia="Times New Roman"/>
          <w:sz w:val="24"/>
          <w:szCs w:val="24"/>
          <w:lang w:eastAsia="en-AU"/>
        </w:rPr>
        <w:t xml:space="preserve"> </w:t>
      </w:r>
      <w:r w:rsidRPr="000E429E">
        <w:rPr>
          <w:rFonts w:eastAsia="Times New Roman"/>
          <w:sz w:val="24"/>
          <w:szCs w:val="24"/>
          <w:lang w:eastAsia="en-AU"/>
        </w:rPr>
        <w:t>calendar years. By doing so, the Determination will support the payments of the Other Grants for the purposes specified in the table in section 41-10 of the Act. As the purposes of the Other Grants include the promotion of equality of opportunity in higher education, the support of diversity and structural reform and the support of the training of research students (amongst other purposes) the Determination enables access to education and therefore is compatible with</w:t>
      </w:r>
      <w:r>
        <w:rPr>
          <w:rFonts w:eastAsia="Times New Roman"/>
          <w:sz w:val="24"/>
          <w:szCs w:val="24"/>
          <w:lang w:eastAsia="en-AU"/>
        </w:rPr>
        <w:t>, and promotes,</w:t>
      </w:r>
      <w:r w:rsidRPr="000E429E">
        <w:rPr>
          <w:rFonts w:eastAsia="Times New Roman"/>
          <w:sz w:val="24"/>
          <w:szCs w:val="24"/>
          <w:lang w:eastAsia="en-AU"/>
        </w:rPr>
        <w:t xml:space="preserve"> the right to education.</w:t>
      </w:r>
    </w:p>
    <w:p w14:paraId="4322BD30" w14:textId="77777777" w:rsidR="004E62FA" w:rsidRPr="0018747A" w:rsidRDefault="004E62FA" w:rsidP="004E62FA">
      <w:pPr>
        <w:autoSpaceDE w:val="0"/>
        <w:autoSpaceDN w:val="0"/>
        <w:adjustRightInd w:val="0"/>
        <w:spacing w:after="120" w:line="240" w:lineRule="auto"/>
        <w:ind w:left="142" w:hanging="142"/>
        <w:rPr>
          <w:rFonts w:eastAsia="Times New Roman"/>
          <w:b/>
          <w:bCs/>
          <w:sz w:val="24"/>
          <w:szCs w:val="24"/>
          <w:lang w:eastAsia="en-AU"/>
        </w:rPr>
      </w:pPr>
      <w:r w:rsidRPr="0018747A">
        <w:rPr>
          <w:rFonts w:eastAsia="Times New Roman"/>
          <w:b/>
          <w:bCs/>
          <w:sz w:val="24"/>
          <w:szCs w:val="24"/>
          <w:lang w:eastAsia="en-AU"/>
        </w:rPr>
        <w:t>Conclusion</w:t>
      </w:r>
    </w:p>
    <w:p w14:paraId="26C0AD4F" w14:textId="77777777" w:rsidR="004E62FA" w:rsidRPr="000E429E" w:rsidRDefault="004E62FA" w:rsidP="004E62FA">
      <w:pPr>
        <w:spacing w:after="120" w:line="240" w:lineRule="auto"/>
        <w:rPr>
          <w:rFonts w:eastAsia="Times New Roman"/>
          <w:sz w:val="24"/>
          <w:szCs w:val="24"/>
          <w:lang w:eastAsia="en-AU"/>
        </w:rPr>
      </w:pPr>
      <w:r w:rsidRPr="000E429E">
        <w:rPr>
          <w:rFonts w:eastAsia="Times New Roman"/>
          <w:sz w:val="24"/>
          <w:szCs w:val="24"/>
          <w:lang w:eastAsia="en-AU"/>
        </w:rPr>
        <w:t>This Determination is compatible with human rights because it provides clarity of funding for programs that support access and equality in higher education.</w:t>
      </w:r>
    </w:p>
    <w:p w14:paraId="4251EC1B" w14:textId="21B622E5" w:rsidR="00B77EB2" w:rsidRDefault="004E62FA" w:rsidP="00186315">
      <w:r>
        <w:rPr>
          <w:b/>
          <w:sz w:val="24"/>
          <w:szCs w:val="24"/>
        </w:rPr>
        <w:t>T</w:t>
      </w:r>
      <w:r w:rsidRPr="00F1226C">
        <w:rPr>
          <w:b/>
          <w:sz w:val="24"/>
          <w:szCs w:val="24"/>
        </w:rPr>
        <w:t>he</w:t>
      </w:r>
      <w:r w:rsidRPr="00F1226C">
        <w:rPr>
          <w:rFonts w:eastAsia="Times New Roman"/>
          <w:b/>
          <w:sz w:val="24"/>
          <w:szCs w:val="24"/>
          <w:lang w:eastAsia="en-AU"/>
        </w:rPr>
        <w:t xml:space="preserve"> Hon </w:t>
      </w:r>
      <w:r>
        <w:rPr>
          <w:rFonts w:eastAsia="Times New Roman"/>
          <w:b/>
          <w:sz w:val="24"/>
          <w:szCs w:val="24"/>
          <w:lang w:eastAsia="en-AU"/>
        </w:rPr>
        <w:t xml:space="preserve">Dan </w:t>
      </w:r>
      <w:proofErr w:type="spellStart"/>
      <w:r>
        <w:rPr>
          <w:rFonts w:eastAsia="Times New Roman"/>
          <w:b/>
          <w:sz w:val="24"/>
          <w:szCs w:val="24"/>
          <w:lang w:eastAsia="en-AU"/>
        </w:rPr>
        <w:t>Tehan</w:t>
      </w:r>
      <w:proofErr w:type="spellEnd"/>
      <w:r w:rsidR="00371CCB">
        <w:rPr>
          <w:rFonts w:eastAsia="Times New Roman"/>
          <w:b/>
          <w:sz w:val="24"/>
          <w:szCs w:val="24"/>
          <w:lang w:eastAsia="en-AU"/>
        </w:rPr>
        <w:t xml:space="preserve"> MP</w:t>
      </w:r>
      <w:r w:rsidR="00186315">
        <w:rPr>
          <w:rFonts w:eastAsia="Times New Roman"/>
          <w:b/>
          <w:sz w:val="24"/>
          <w:szCs w:val="24"/>
          <w:lang w:eastAsia="en-AU"/>
        </w:rPr>
        <w:t>, Minister for Education</w:t>
      </w:r>
    </w:p>
    <w:sectPr w:rsidR="00B77E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110375"/>
    <w:multiLevelType w:val="hybridMultilevel"/>
    <w:tmpl w:val="7A22EDB0"/>
    <w:lvl w:ilvl="0" w:tplc="C48CA7BA">
      <w:start w:val="1"/>
      <w:numFmt w:val="bullet"/>
      <w:lvlText w:val=""/>
      <w:lvlJc w:val="left"/>
      <w:pPr>
        <w:tabs>
          <w:tab w:val="num" w:pos="720"/>
        </w:tabs>
        <w:ind w:left="720" w:hanging="360"/>
      </w:pPr>
      <w:rPr>
        <w:rFonts w:ascii="Symbol" w:hAnsi="Symbol" w:hint="default"/>
      </w:rPr>
    </w:lvl>
    <w:lvl w:ilvl="1" w:tplc="2E48E95A" w:tentative="1">
      <w:start w:val="1"/>
      <w:numFmt w:val="bullet"/>
      <w:lvlText w:val="o"/>
      <w:lvlJc w:val="left"/>
      <w:pPr>
        <w:tabs>
          <w:tab w:val="num" w:pos="1440"/>
        </w:tabs>
        <w:ind w:left="1440" w:hanging="360"/>
      </w:pPr>
      <w:rPr>
        <w:rFonts w:ascii="Courier New" w:hAnsi="Courier New" w:cs="Courier New" w:hint="default"/>
      </w:rPr>
    </w:lvl>
    <w:lvl w:ilvl="2" w:tplc="DDFA52BE" w:tentative="1">
      <w:start w:val="1"/>
      <w:numFmt w:val="bullet"/>
      <w:lvlText w:val=""/>
      <w:lvlJc w:val="left"/>
      <w:pPr>
        <w:tabs>
          <w:tab w:val="num" w:pos="2160"/>
        </w:tabs>
        <w:ind w:left="2160" w:hanging="360"/>
      </w:pPr>
      <w:rPr>
        <w:rFonts w:ascii="Wingdings" w:hAnsi="Wingdings" w:hint="default"/>
      </w:rPr>
    </w:lvl>
    <w:lvl w:ilvl="3" w:tplc="DD464DD6" w:tentative="1">
      <w:start w:val="1"/>
      <w:numFmt w:val="bullet"/>
      <w:lvlText w:val=""/>
      <w:lvlJc w:val="left"/>
      <w:pPr>
        <w:tabs>
          <w:tab w:val="num" w:pos="2880"/>
        </w:tabs>
        <w:ind w:left="2880" w:hanging="360"/>
      </w:pPr>
      <w:rPr>
        <w:rFonts w:ascii="Symbol" w:hAnsi="Symbol" w:hint="default"/>
      </w:rPr>
    </w:lvl>
    <w:lvl w:ilvl="4" w:tplc="8D8CA990" w:tentative="1">
      <w:start w:val="1"/>
      <w:numFmt w:val="bullet"/>
      <w:lvlText w:val="o"/>
      <w:lvlJc w:val="left"/>
      <w:pPr>
        <w:tabs>
          <w:tab w:val="num" w:pos="3600"/>
        </w:tabs>
        <w:ind w:left="3600" w:hanging="360"/>
      </w:pPr>
      <w:rPr>
        <w:rFonts w:ascii="Courier New" w:hAnsi="Courier New" w:cs="Courier New" w:hint="default"/>
      </w:rPr>
    </w:lvl>
    <w:lvl w:ilvl="5" w:tplc="71648672" w:tentative="1">
      <w:start w:val="1"/>
      <w:numFmt w:val="bullet"/>
      <w:lvlText w:val=""/>
      <w:lvlJc w:val="left"/>
      <w:pPr>
        <w:tabs>
          <w:tab w:val="num" w:pos="4320"/>
        </w:tabs>
        <w:ind w:left="4320" w:hanging="360"/>
      </w:pPr>
      <w:rPr>
        <w:rFonts w:ascii="Wingdings" w:hAnsi="Wingdings" w:hint="default"/>
      </w:rPr>
    </w:lvl>
    <w:lvl w:ilvl="6" w:tplc="583EC9E6" w:tentative="1">
      <w:start w:val="1"/>
      <w:numFmt w:val="bullet"/>
      <w:lvlText w:val=""/>
      <w:lvlJc w:val="left"/>
      <w:pPr>
        <w:tabs>
          <w:tab w:val="num" w:pos="5040"/>
        </w:tabs>
        <w:ind w:left="5040" w:hanging="360"/>
      </w:pPr>
      <w:rPr>
        <w:rFonts w:ascii="Symbol" w:hAnsi="Symbol" w:hint="default"/>
      </w:rPr>
    </w:lvl>
    <w:lvl w:ilvl="7" w:tplc="0660064A" w:tentative="1">
      <w:start w:val="1"/>
      <w:numFmt w:val="bullet"/>
      <w:lvlText w:val="o"/>
      <w:lvlJc w:val="left"/>
      <w:pPr>
        <w:tabs>
          <w:tab w:val="num" w:pos="5760"/>
        </w:tabs>
        <w:ind w:left="5760" w:hanging="360"/>
      </w:pPr>
      <w:rPr>
        <w:rFonts w:ascii="Courier New" w:hAnsi="Courier New" w:cs="Courier New" w:hint="default"/>
      </w:rPr>
    </w:lvl>
    <w:lvl w:ilvl="8" w:tplc="883CF9C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2FA"/>
    <w:rsid w:val="00186315"/>
    <w:rsid w:val="00210B6B"/>
    <w:rsid w:val="00371CCB"/>
    <w:rsid w:val="003C7356"/>
    <w:rsid w:val="004B5C16"/>
    <w:rsid w:val="004E62FA"/>
    <w:rsid w:val="00616019"/>
    <w:rsid w:val="007D49B3"/>
    <w:rsid w:val="00830A9E"/>
    <w:rsid w:val="00B56563"/>
    <w:rsid w:val="00B57EE2"/>
    <w:rsid w:val="00B77EB2"/>
    <w:rsid w:val="00BA0727"/>
    <w:rsid w:val="00C50617"/>
    <w:rsid w:val="00D0151F"/>
    <w:rsid w:val="00EF3137"/>
    <w:rsid w:val="00F11D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7E915"/>
  <w15:chartTrackingRefBased/>
  <w15:docId w15:val="{58DB3B56-13CD-44E8-A8DD-9A9CE85A6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2F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2FA"/>
    <w:pPr>
      <w:ind w:left="720"/>
      <w:contextualSpacing/>
    </w:pPr>
  </w:style>
  <w:style w:type="paragraph" w:styleId="BalloonText">
    <w:name w:val="Balloon Text"/>
    <w:basedOn w:val="Normal"/>
    <w:link w:val="BalloonTextChar"/>
    <w:uiPriority w:val="99"/>
    <w:semiHidden/>
    <w:unhideWhenUsed/>
    <w:rsid w:val="00C506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617"/>
    <w:rPr>
      <w:rFonts w:ascii="Segoe UI" w:hAnsi="Segoe UI" w:cs="Segoe UI"/>
      <w:sz w:val="18"/>
      <w:szCs w:val="18"/>
    </w:rPr>
  </w:style>
  <w:style w:type="character" w:styleId="CommentReference">
    <w:name w:val="annotation reference"/>
    <w:basedOn w:val="DefaultParagraphFont"/>
    <w:uiPriority w:val="99"/>
    <w:semiHidden/>
    <w:unhideWhenUsed/>
    <w:rsid w:val="00C50617"/>
    <w:rPr>
      <w:sz w:val="16"/>
      <w:szCs w:val="16"/>
    </w:rPr>
  </w:style>
  <w:style w:type="paragraph" w:styleId="CommentText">
    <w:name w:val="annotation text"/>
    <w:basedOn w:val="Normal"/>
    <w:link w:val="CommentTextChar"/>
    <w:uiPriority w:val="99"/>
    <w:semiHidden/>
    <w:unhideWhenUsed/>
    <w:rsid w:val="00C50617"/>
    <w:pPr>
      <w:spacing w:line="240" w:lineRule="auto"/>
    </w:pPr>
    <w:rPr>
      <w:sz w:val="20"/>
      <w:szCs w:val="20"/>
    </w:rPr>
  </w:style>
  <w:style w:type="character" w:customStyle="1" w:styleId="CommentTextChar">
    <w:name w:val="Comment Text Char"/>
    <w:basedOn w:val="DefaultParagraphFont"/>
    <w:link w:val="CommentText"/>
    <w:uiPriority w:val="99"/>
    <w:semiHidden/>
    <w:rsid w:val="00C50617"/>
    <w:rPr>
      <w:sz w:val="20"/>
      <w:szCs w:val="20"/>
    </w:rPr>
  </w:style>
  <w:style w:type="paragraph" w:styleId="CommentSubject">
    <w:name w:val="annotation subject"/>
    <w:basedOn w:val="CommentText"/>
    <w:next w:val="CommentText"/>
    <w:link w:val="CommentSubjectChar"/>
    <w:uiPriority w:val="99"/>
    <w:semiHidden/>
    <w:unhideWhenUsed/>
    <w:rsid w:val="00C50617"/>
    <w:rPr>
      <w:b/>
      <w:bCs/>
    </w:rPr>
  </w:style>
  <w:style w:type="character" w:customStyle="1" w:styleId="CommentSubjectChar">
    <w:name w:val="Comment Subject Char"/>
    <w:basedOn w:val="CommentTextChar"/>
    <w:link w:val="CommentSubject"/>
    <w:uiPriority w:val="99"/>
    <w:semiHidden/>
    <w:rsid w:val="00C506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8310D7AFE0EF643815564B2ED11D2E7" ma:contentTypeVersion="" ma:contentTypeDescription="PDMS Document Site Content Type" ma:contentTypeScope="" ma:versionID="f11fa84a12de9c3294b8e49bdaee2842">
  <xsd:schema xmlns:xsd="http://www.w3.org/2001/XMLSchema" xmlns:xs="http://www.w3.org/2001/XMLSchema" xmlns:p="http://schemas.microsoft.com/office/2006/metadata/properties" xmlns:ns2="5BDAFE69-7ED1-4AAC-A47C-DF492E82BFCA" targetNamespace="http://schemas.microsoft.com/office/2006/metadata/properties" ma:root="true" ma:fieldsID="576cdcf8ebb12090861668c02f87aadc" ns2:_="">
    <xsd:import namespace="5BDAFE69-7ED1-4AAC-A47C-DF492E82BFC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AFE69-7ED1-4AAC-A47C-DF492E82BFC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5BDAFE69-7ED1-4AAC-A47C-DF492E82BF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FF344C-2BC0-4AA3-ABAF-E39D30A79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AFE69-7ED1-4AAC-A47C-DF492E82B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73263C-F71C-4B67-8186-203AD63321C9}">
  <ds:schemaRefs>
    <ds:schemaRef ds:uri="http://purl.org/dc/elements/1.1/"/>
    <ds:schemaRef ds:uri="http://schemas.microsoft.com/office/2006/metadata/properties"/>
    <ds:schemaRef ds:uri="http://purl.org/dc/terms/"/>
    <ds:schemaRef ds:uri="5BDAFE69-7ED1-4AAC-A47C-DF492E82BFCA"/>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8C927D7-FCF5-458A-B990-89BFD27273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584D3226.dotm</Template>
  <TotalTime>2</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CARLE,Jennifer</dc:creator>
  <cp:keywords/>
  <dc:description/>
  <cp:lastModifiedBy>HARRIS,Sonia</cp:lastModifiedBy>
  <cp:revision>3</cp:revision>
  <dcterms:created xsi:type="dcterms:W3CDTF">2019-12-05T01:12:00Z</dcterms:created>
  <dcterms:modified xsi:type="dcterms:W3CDTF">2019-12-05T01:12:00Z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0x010100266966F133664895A6EE3632470D45F500C8310D7AFE0EF643815564B2ED11D2E7</vt:lpwstr>
  </property>
</Properties>
</file>