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D7F1015" w14:textId="77777777" w:rsidR="00B80D61" w:rsidRPr="00B7010F" w:rsidRDefault="00B80D61" w:rsidP="003E1981">
      <w:pPr>
        <w:shd w:val="clear" w:color="auto" w:fill="FFFFFF"/>
        <w:jc w:val="center"/>
        <w:rPr>
          <w:rFonts w:ascii="Times New Roman" w:eastAsia="Times New Roman" w:hAnsi="Times New Roman"/>
          <w:sz w:val="24"/>
          <w:szCs w:val="24"/>
          <w:lang w:val="en-US" w:eastAsia="en-AU"/>
        </w:rPr>
      </w:pPr>
      <w:bookmarkStart w:id="0" w:name="_GoBack"/>
      <w:bookmarkEnd w:id="0"/>
      <w:r w:rsidRPr="00B7010F">
        <w:rPr>
          <w:rFonts w:ascii="Times New Roman" w:eastAsia="Times New Roman" w:hAnsi="Times New Roman"/>
          <w:b/>
          <w:bCs/>
          <w:caps/>
          <w:sz w:val="24"/>
          <w:szCs w:val="24"/>
          <w:u w:val="single"/>
          <w:lang w:eastAsia="en-AU"/>
        </w:rPr>
        <w:t>Explanatory Statement</w:t>
      </w:r>
    </w:p>
    <w:p w14:paraId="0E98DEC2" w14:textId="77777777" w:rsidR="00B80D61" w:rsidRPr="009E608A" w:rsidRDefault="00B80D61" w:rsidP="003E1981">
      <w:pPr>
        <w:shd w:val="clear" w:color="auto" w:fill="FFFFFF"/>
        <w:jc w:val="center"/>
        <w:rPr>
          <w:rFonts w:ascii="Times New Roman" w:eastAsia="Times New Roman" w:hAnsi="Times New Roman"/>
          <w:sz w:val="24"/>
          <w:szCs w:val="24"/>
          <w:lang w:val="en-US" w:eastAsia="en-AU"/>
        </w:rPr>
      </w:pPr>
      <w:r w:rsidRPr="009E608A">
        <w:rPr>
          <w:rFonts w:ascii="Times New Roman" w:eastAsia="Times New Roman" w:hAnsi="Times New Roman"/>
          <w:i/>
          <w:iCs/>
          <w:sz w:val="24"/>
          <w:szCs w:val="24"/>
          <w:lang w:eastAsia="en-AU"/>
        </w:rPr>
        <w:t>Biosecurity Act 2015</w:t>
      </w:r>
    </w:p>
    <w:p w14:paraId="19A665F6" w14:textId="77777777" w:rsidR="00B80D61" w:rsidRPr="00AD1D6D" w:rsidRDefault="00B80D61" w:rsidP="003E1981">
      <w:pPr>
        <w:shd w:val="clear" w:color="auto" w:fill="FFFFFF"/>
        <w:jc w:val="center"/>
        <w:rPr>
          <w:rFonts w:ascii="Times New Roman" w:hAnsi="Times New Roman"/>
          <w:b/>
          <w:i/>
          <w:sz w:val="24"/>
          <w:szCs w:val="24"/>
        </w:rPr>
      </w:pPr>
      <w:r w:rsidRPr="009F1A6F">
        <w:rPr>
          <w:rFonts w:ascii="Times New Roman" w:eastAsia="Times New Roman" w:hAnsi="Times New Roman"/>
          <w:b/>
          <w:sz w:val="24"/>
          <w:szCs w:val="24"/>
          <w:lang w:eastAsia="en-AU"/>
        </w:rPr>
        <w:t> </w:t>
      </w:r>
      <w:r w:rsidR="00AB5A00" w:rsidRPr="00AD1D6D">
        <w:rPr>
          <w:rFonts w:ascii="Times New Roman" w:eastAsia="Times New Roman" w:hAnsi="Times New Roman"/>
          <w:b/>
          <w:i/>
          <w:sz w:val="24"/>
          <w:szCs w:val="24"/>
          <w:lang w:eastAsia="en-AU"/>
        </w:rPr>
        <w:t>Biosecurity (Prohibited and Conditionally Non-prohibited Goods) Amendment (</w:t>
      </w:r>
      <w:r w:rsidR="00703AF0">
        <w:rPr>
          <w:rFonts w:ascii="Times New Roman" w:eastAsia="Times New Roman" w:hAnsi="Times New Roman"/>
          <w:b/>
          <w:i/>
          <w:sz w:val="24"/>
          <w:szCs w:val="24"/>
          <w:lang w:eastAsia="en-AU"/>
        </w:rPr>
        <w:t>Biosecurity Preparedness Plan</w:t>
      </w:r>
      <w:r w:rsidR="004862B3">
        <w:rPr>
          <w:rFonts w:ascii="Times New Roman" w:eastAsia="Times New Roman" w:hAnsi="Times New Roman"/>
          <w:b/>
          <w:i/>
          <w:sz w:val="24"/>
          <w:szCs w:val="24"/>
          <w:lang w:eastAsia="en-AU"/>
        </w:rPr>
        <w:t>s</w:t>
      </w:r>
      <w:r w:rsidR="00AB5A00" w:rsidRPr="00AD1D6D">
        <w:rPr>
          <w:rFonts w:ascii="Times New Roman" w:eastAsia="Times New Roman" w:hAnsi="Times New Roman"/>
          <w:b/>
          <w:i/>
          <w:sz w:val="24"/>
          <w:szCs w:val="24"/>
          <w:lang w:eastAsia="en-AU"/>
        </w:rPr>
        <w:t>) Determination 2019</w:t>
      </w:r>
    </w:p>
    <w:p w14:paraId="1FA24BA9" w14:textId="77777777" w:rsidR="00B80D61" w:rsidRPr="009E608A" w:rsidRDefault="00B80D61" w:rsidP="003E1981">
      <w:pPr>
        <w:shd w:val="clear" w:color="auto" w:fill="FFFFFF"/>
        <w:rPr>
          <w:rFonts w:ascii="Times New Roman" w:eastAsia="Times New Roman" w:hAnsi="Times New Roman"/>
          <w:sz w:val="24"/>
          <w:szCs w:val="24"/>
          <w:lang w:val="en-US" w:eastAsia="en-AU"/>
        </w:rPr>
      </w:pPr>
      <w:r w:rsidRPr="009E608A">
        <w:rPr>
          <w:rFonts w:ascii="Times New Roman" w:eastAsia="Times New Roman" w:hAnsi="Times New Roman"/>
          <w:b/>
          <w:bCs/>
          <w:sz w:val="24"/>
          <w:szCs w:val="24"/>
          <w:lang w:eastAsia="en-AU"/>
        </w:rPr>
        <w:t>Legislative Authority</w:t>
      </w:r>
    </w:p>
    <w:p w14:paraId="303D5C33" w14:textId="77777777" w:rsidR="007550B4" w:rsidRPr="000B1810" w:rsidRDefault="007550B4" w:rsidP="007550B4">
      <w:pPr>
        <w:pStyle w:val="CommentText"/>
        <w:rPr>
          <w:rFonts w:ascii="Times New Roman" w:hAnsi="Times New Roman"/>
          <w:sz w:val="24"/>
          <w:szCs w:val="24"/>
        </w:rPr>
      </w:pPr>
      <w:r w:rsidRPr="000B1810">
        <w:rPr>
          <w:rFonts w:ascii="Times New Roman" w:hAnsi="Times New Roman"/>
          <w:sz w:val="24"/>
          <w:szCs w:val="24"/>
        </w:rPr>
        <w:t xml:space="preserve">The </w:t>
      </w:r>
      <w:r w:rsidRPr="000B1810">
        <w:rPr>
          <w:rFonts w:ascii="Times New Roman" w:hAnsi="Times New Roman"/>
          <w:i/>
          <w:sz w:val="24"/>
          <w:szCs w:val="24"/>
        </w:rPr>
        <w:t xml:space="preserve">Biosecurity Act 2015 </w:t>
      </w:r>
      <w:r w:rsidRPr="000B1810">
        <w:rPr>
          <w:rFonts w:ascii="Times New Roman" w:hAnsi="Times New Roman"/>
          <w:sz w:val="24"/>
          <w:szCs w:val="24"/>
        </w:rPr>
        <w:t>(</w:t>
      </w:r>
      <w:r w:rsidRPr="00B21DEC">
        <w:rPr>
          <w:rFonts w:ascii="Times New Roman" w:hAnsi="Times New Roman"/>
          <w:b/>
          <w:sz w:val="24"/>
          <w:szCs w:val="24"/>
        </w:rPr>
        <w:t>the</w:t>
      </w:r>
      <w:r>
        <w:rPr>
          <w:rFonts w:ascii="Times New Roman" w:hAnsi="Times New Roman"/>
          <w:sz w:val="24"/>
          <w:szCs w:val="24"/>
        </w:rPr>
        <w:t xml:space="preserve"> </w:t>
      </w:r>
      <w:r w:rsidRPr="000B1810">
        <w:rPr>
          <w:rFonts w:ascii="Times New Roman" w:hAnsi="Times New Roman"/>
          <w:b/>
          <w:sz w:val="24"/>
          <w:szCs w:val="24"/>
        </w:rPr>
        <w:t>Act</w:t>
      </w:r>
      <w:r w:rsidRPr="000B1810">
        <w:rPr>
          <w:rFonts w:ascii="Times New Roman" w:hAnsi="Times New Roman"/>
          <w:sz w:val="24"/>
          <w:szCs w:val="24"/>
        </w:rPr>
        <w:t xml:space="preserve">) provides for the management of diseases and pests that may cause harm to human, animal or plant health or the environment.  </w:t>
      </w:r>
    </w:p>
    <w:p w14:paraId="3D06E725" w14:textId="77777777" w:rsidR="00AF21AE" w:rsidRPr="007912BD" w:rsidRDefault="00AF21AE" w:rsidP="007912BD">
      <w:pPr>
        <w:rPr>
          <w:rFonts w:ascii="Times New Roman" w:hAnsi="Times New Roman"/>
          <w:sz w:val="24"/>
          <w:szCs w:val="24"/>
        </w:rPr>
      </w:pPr>
      <w:r w:rsidRPr="007912BD">
        <w:rPr>
          <w:rFonts w:ascii="Times New Roman" w:hAnsi="Times New Roman"/>
          <w:sz w:val="24"/>
          <w:szCs w:val="24"/>
        </w:rPr>
        <w:t>Subsection 174(1) of the Act empowers the Director of Biosecurity (Secretary of the Department</w:t>
      </w:r>
      <w:r w:rsidR="009A0068">
        <w:rPr>
          <w:rFonts w:ascii="Times New Roman" w:hAnsi="Times New Roman"/>
          <w:sz w:val="24"/>
          <w:szCs w:val="24"/>
        </w:rPr>
        <w:t xml:space="preserve"> of Agriculture</w:t>
      </w:r>
      <w:r w:rsidRPr="007912BD">
        <w:rPr>
          <w:rFonts w:ascii="Times New Roman" w:hAnsi="Times New Roman"/>
          <w:sz w:val="24"/>
          <w:szCs w:val="24"/>
        </w:rPr>
        <w:t>) and the Director of Human Biosecurity (Commonwealth Chief Medical Officer) to jointly determine that specified classes of goods must not be brought or imported into Australian territory unless specified conditions (including conditions for administrative purposes) are complied with.</w:t>
      </w:r>
    </w:p>
    <w:p w14:paraId="4CDE4F61" w14:textId="77777777" w:rsidR="00AF21AE" w:rsidRPr="004A7316" w:rsidRDefault="00AF21AE" w:rsidP="004F5720">
      <w:pPr>
        <w:tabs>
          <w:tab w:val="left" w:pos="9026"/>
        </w:tabs>
        <w:rPr>
          <w:rFonts w:ascii="Times New Roman" w:hAnsi="Times New Roman"/>
          <w:i/>
          <w:sz w:val="24"/>
          <w:szCs w:val="24"/>
        </w:rPr>
      </w:pPr>
      <w:r w:rsidRPr="007912BD">
        <w:rPr>
          <w:rFonts w:ascii="Times New Roman" w:hAnsi="Times New Roman"/>
          <w:sz w:val="24"/>
          <w:szCs w:val="24"/>
        </w:rPr>
        <w:t xml:space="preserve">The Director of Biosecurity and the Director of Human Biosecurity have </w:t>
      </w:r>
      <w:r w:rsidR="009A0068">
        <w:rPr>
          <w:rFonts w:ascii="Times New Roman" w:hAnsi="Times New Roman"/>
          <w:sz w:val="24"/>
          <w:szCs w:val="24"/>
        </w:rPr>
        <w:t xml:space="preserve">previously </w:t>
      </w:r>
      <w:r w:rsidRPr="007912BD">
        <w:rPr>
          <w:rFonts w:ascii="Times New Roman" w:hAnsi="Times New Roman"/>
          <w:sz w:val="24"/>
          <w:szCs w:val="24"/>
        </w:rPr>
        <w:t xml:space="preserve">made </w:t>
      </w:r>
      <w:r w:rsidR="009A0068">
        <w:rPr>
          <w:rFonts w:ascii="Times New Roman" w:hAnsi="Times New Roman"/>
          <w:sz w:val="24"/>
          <w:szCs w:val="24"/>
        </w:rPr>
        <w:t xml:space="preserve">the </w:t>
      </w:r>
      <w:r w:rsidRPr="009A0068">
        <w:rPr>
          <w:rFonts w:ascii="Times New Roman" w:hAnsi="Times New Roman"/>
          <w:i/>
          <w:sz w:val="24"/>
          <w:szCs w:val="24"/>
        </w:rPr>
        <w:t>Biosecurity (Prohibited and Conditionally Non-prohibited Good</w:t>
      </w:r>
      <w:r w:rsidR="003137B8">
        <w:rPr>
          <w:rFonts w:ascii="Times New Roman" w:hAnsi="Times New Roman"/>
          <w:i/>
          <w:sz w:val="24"/>
          <w:szCs w:val="24"/>
        </w:rPr>
        <w:t>s</w:t>
      </w:r>
      <w:r w:rsidRPr="009A0068">
        <w:rPr>
          <w:rFonts w:ascii="Times New Roman" w:hAnsi="Times New Roman"/>
          <w:i/>
          <w:sz w:val="24"/>
          <w:szCs w:val="24"/>
        </w:rPr>
        <w:t>)</w:t>
      </w:r>
      <w:r w:rsidR="004F5720" w:rsidRPr="009A0068" w:rsidDel="004F5720">
        <w:rPr>
          <w:rFonts w:ascii="Times New Roman" w:hAnsi="Times New Roman"/>
          <w:i/>
          <w:sz w:val="24"/>
          <w:szCs w:val="24"/>
        </w:rPr>
        <w:t xml:space="preserve"> </w:t>
      </w:r>
      <w:r w:rsidRPr="009A0068">
        <w:rPr>
          <w:rFonts w:ascii="Times New Roman" w:hAnsi="Times New Roman"/>
          <w:i/>
          <w:sz w:val="24"/>
          <w:szCs w:val="24"/>
        </w:rPr>
        <w:t xml:space="preserve">Determination 2016 </w:t>
      </w:r>
      <w:r w:rsidR="009A0068">
        <w:rPr>
          <w:rFonts w:ascii="Times New Roman" w:hAnsi="Times New Roman"/>
          <w:sz w:val="24"/>
          <w:szCs w:val="24"/>
        </w:rPr>
        <w:t>(</w:t>
      </w:r>
      <w:r w:rsidR="009A0068">
        <w:rPr>
          <w:rFonts w:ascii="Times New Roman" w:hAnsi="Times New Roman"/>
          <w:b/>
          <w:sz w:val="24"/>
          <w:szCs w:val="24"/>
        </w:rPr>
        <w:t>Goods Determination</w:t>
      </w:r>
      <w:r w:rsidR="009A0068">
        <w:rPr>
          <w:rFonts w:ascii="Times New Roman" w:hAnsi="Times New Roman"/>
          <w:sz w:val="24"/>
          <w:szCs w:val="24"/>
        </w:rPr>
        <w:t>)</w:t>
      </w:r>
      <w:r w:rsidRPr="007912BD">
        <w:rPr>
          <w:rFonts w:ascii="Times New Roman" w:hAnsi="Times New Roman"/>
          <w:sz w:val="24"/>
          <w:szCs w:val="24"/>
        </w:rPr>
        <w:t>.</w:t>
      </w:r>
    </w:p>
    <w:p w14:paraId="07982D62" w14:textId="77777777" w:rsidR="00AF21AE" w:rsidRPr="007912BD" w:rsidRDefault="00AF21AE" w:rsidP="007912BD">
      <w:pPr>
        <w:rPr>
          <w:rFonts w:ascii="Times New Roman" w:hAnsi="Times New Roman"/>
          <w:sz w:val="24"/>
          <w:szCs w:val="24"/>
        </w:rPr>
      </w:pPr>
      <w:r w:rsidRPr="007912BD">
        <w:rPr>
          <w:rFonts w:ascii="Times New Roman" w:hAnsi="Times New Roman"/>
          <w:sz w:val="24"/>
          <w:szCs w:val="24"/>
        </w:rPr>
        <w:t xml:space="preserve">Under the Goods Determination, the specified conditions for certain </w:t>
      </w:r>
      <w:r w:rsidR="007752B7">
        <w:rPr>
          <w:rFonts w:ascii="Times New Roman" w:hAnsi="Times New Roman"/>
          <w:sz w:val="24"/>
          <w:szCs w:val="24"/>
        </w:rPr>
        <w:t xml:space="preserve">classes of </w:t>
      </w:r>
      <w:r w:rsidRPr="007912BD">
        <w:rPr>
          <w:rFonts w:ascii="Times New Roman" w:hAnsi="Times New Roman"/>
          <w:sz w:val="24"/>
          <w:szCs w:val="24"/>
        </w:rPr>
        <w:t xml:space="preserve">goods for the purposes of subsection 174(1) are that, subject to certain exceptions, the goods must not be brought or imported into </w:t>
      </w:r>
      <w:r w:rsidR="007752B7">
        <w:rPr>
          <w:rFonts w:ascii="Times New Roman" w:hAnsi="Times New Roman"/>
          <w:sz w:val="24"/>
          <w:szCs w:val="24"/>
        </w:rPr>
        <w:t>Australian territory</w:t>
      </w:r>
      <w:r w:rsidRPr="007912BD">
        <w:rPr>
          <w:rFonts w:ascii="Times New Roman" w:hAnsi="Times New Roman"/>
          <w:sz w:val="24"/>
          <w:szCs w:val="24"/>
        </w:rPr>
        <w:t xml:space="preserve"> unless:</w:t>
      </w:r>
    </w:p>
    <w:p w14:paraId="7411C6B7" w14:textId="77777777" w:rsidR="00AF21AE" w:rsidRPr="007912BD" w:rsidRDefault="003D1440" w:rsidP="009A0068">
      <w:pPr>
        <w:spacing w:after="0" w:afterAutospacing="0"/>
        <w:rPr>
          <w:rFonts w:ascii="Times New Roman" w:hAnsi="Times New Roman"/>
          <w:sz w:val="24"/>
          <w:szCs w:val="24"/>
        </w:rPr>
      </w:pPr>
      <w:r w:rsidRPr="007912BD">
        <w:rPr>
          <w:rFonts w:ascii="Times New Roman" w:hAnsi="Times New Roman"/>
          <w:sz w:val="24"/>
          <w:szCs w:val="24"/>
        </w:rPr>
        <w:t>(a)</w:t>
      </w:r>
      <w:r w:rsidRPr="007912BD">
        <w:rPr>
          <w:rFonts w:ascii="Times New Roman" w:hAnsi="Times New Roman"/>
          <w:sz w:val="24"/>
          <w:szCs w:val="24"/>
        </w:rPr>
        <w:tab/>
      </w:r>
      <w:r w:rsidR="00AF21AE" w:rsidRPr="007912BD">
        <w:rPr>
          <w:rFonts w:ascii="Times New Roman" w:hAnsi="Times New Roman"/>
          <w:sz w:val="24"/>
          <w:szCs w:val="24"/>
        </w:rPr>
        <w:t>the goods are covered by an import permit; or</w:t>
      </w:r>
    </w:p>
    <w:p w14:paraId="69014A92" w14:textId="77777777" w:rsidR="00AF21AE" w:rsidRPr="007912BD" w:rsidRDefault="003D1440" w:rsidP="00596DAE">
      <w:pPr>
        <w:spacing w:before="120" w:beforeAutospacing="0" w:after="0" w:afterAutospacing="0"/>
        <w:ind w:left="567" w:hanging="567"/>
        <w:rPr>
          <w:rFonts w:ascii="Times New Roman" w:hAnsi="Times New Roman"/>
          <w:sz w:val="24"/>
          <w:szCs w:val="24"/>
        </w:rPr>
      </w:pPr>
      <w:r w:rsidRPr="007912BD">
        <w:rPr>
          <w:rFonts w:ascii="Times New Roman" w:hAnsi="Times New Roman"/>
          <w:sz w:val="24"/>
          <w:szCs w:val="24"/>
        </w:rPr>
        <w:t>(b)</w:t>
      </w:r>
      <w:r w:rsidRPr="007912BD">
        <w:rPr>
          <w:rFonts w:ascii="Times New Roman" w:hAnsi="Times New Roman"/>
          <w:sz w:val="24"/>
          <w:szCs w:val="24"/>
        </w:rPr>
        <w:tab/>
      </w:r>
      <w:r w:rsidR="00AF21AE" w:rsidRPr="007912BD">
        <w:rPr>
          <w:rFonts w:ascii="Times New Roman" w:hAnsi="Times New Roman"/>
          <w:sz w:val="24"/>
          <w:szCs w:val="24"/>
        </w:rPr>
        <w:t xml:space="preserve">if alternative conditions for bringing or importing the goods into </w:t>
      </w:r>
      <w:r w:rsidR="007752B7">
        <w:rPr>
          <w:rFonts w:ascii="Times New Roman" w:hAnsi="Times New Roman"/>
          <w:sz w:val="24"/>
          <w:szCs w:val="24"/>
        </w:rPr>
        <w:t>Australian territory</w:t>
      </w:r>
      <w:r w:rsidR="00AF21AE" w:rsidRPr="007912BD">
        <w:rPr>
          <w:rFonts w:ascii="Times New Roman" w:hAnsi="Times New Roman"/>
          <w:sz w:val="24"/>
          <w:szCs w:val="24"/>
        </w:rPr>
        <w:t xml:space="preserve"> are specified in </w:t>
      </w:r>
      <w:r w:rsidR="00815160">
        <w:rPr>
          <w:rFonts w:ascii="Times New Roman" w:hAnsi="Times New Roman"/>
          <w:sz w:val="24"/>
          <w:szCs w:val="24"/>
        </w:rPr>
        <w:t>the</w:t>
      </w:r>
      <w:r w:rsidR="00AF21AE" w:rsidRPr="007912BD">
        <w:rPr>
          <w:rFonts w:ascii="Times New Roman" w:hAnsi="Times New Roman"/>
          <w:sz w:val="24"/>
          <w:szCs w:val="24"/>
        </w:rPr>
        <w:t xml:space="preserve"> Goods Determination—the alternative conditions are complied with.</w:t>
      </w:r>
    </w:p>
    <w:p w14:paraId="7196B90C" w14:textId="77777777" w:rsidR="00AF21AE" w:rsidRPr="007912BD" w:rsidRDefault="00AF21AE" w:rsidP="007912BD">
      <w:pPr>
        <w:rPr>
          <w:rFonts w:ascii="Times New Roman" w:hAnsi="Times New Roman"/>
          <w:sz w:val="24"/>
          <w:szCs w:val="24"/>
        </w:rPr>
      </w:pPr>
      <w:r w:rsidRPr="007912BD">
        <w:rPr>
          <w:rFonts w:ascii="Times New Roman" w:hAnsi="Times New Roman"/>
          <w:sz w:val="24"/>
          <w:szCs w:val="24"/>
        </w:rPr>
        <w:t xml:space="preserve">In addition to the power to make this instrument under subsection 174(1) of the Act, subsection 33(3) of the </w:t>
      </w:r>
      <w:r w:rsidRPr="00E64F94">
        <w:rPr>
          <w:rFonts w:ascii="Times New Roman" w:hAnsi="Times New Roman"/>
          <w:i/>
          <w:sz w:val="24"/>
          <w:szCs w:val="24"/>
        </w:rPr>
        <w:t>Acts Interpretation Act 190</w:t>
      </w:r>
      <w:r w:rsidRPr="007912BD">
        <w:rPr>
          <w:rFonts w:ascii="Times New Roman" w:hAnsi="Times New Roman"/>
          <w:sz w:val="24"/>
          <w:szCs w:val="24"/>
        </w:rPr>
        <w:t>1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E4604C9" w14:textId="77777777" w:rsidR="00B80D61" w:rsidRPr="00CD2A26" w:rsidRDefault="00B80D61" w:rsidP="009E608A">
      <w:pPr>
        <w:rPr>
          <w:rFonts w:ascii="Times New Roman" w:hAnsi="Times New Roman"/>
          <w:b/>
          <w:sz w:val="24"/>
          <w:szCs w:val="24"/>
        </w:rPr>
      </w:pPr>
      <w:r w:rsidRPr="00CD2A26">
        <w:rPr>
          <w:rFonts w:ascii="Times New Roman" w:hAnsi="Times New Roman"/>
          <w:b/>
          <w:sz w:val="24"/>
          <w:szCs w:val="24"/>
        </w:rPr>
        <w:t>Purpose</w:t>
      </w:r>
    </w:p>
    <w:p w14:paraId="1F325D93" w14:textId="77777777" w:rsidR="00B85DB9" w:rsidRDefault="00703AF0" w:rsidP="003E34BB">
      <w:pPr>
        <w:pStyle w:val="subsection"/>
        <w:tabs>
          <w:tab w:val="clear" w:pos="1021"/>
          <w:tab w:val="right" w:pos="0"/>
        </w:tabs>
        <w:ind w:left="0" w:firstLine="0"/>
        <w:rPr>
          <w:sz w:val="24"/>
          <w:szCs w:val="24"/>
        </w:rPr>
      </w:pPr>
      <w:r>
        <w:rPr>
          <w:sz w:val="24"/>
          <w:szCs w:val="24"/>
        </w:rPr>
        <w:lastRenderedPageBreak/>
        <w:t xml:space="preserve">The purpose of the </w:t>
      </w:r>
      <w:r w:rsidRPr="00AB5A00">
        <w:rPr>
          <w:i/>
          <w:sz w:val="24"/>
          <w:szCs w:val="24"/>
        </w:rPr>
        <w:t>Biosecurity (Prohibited and Conditionally Non-prohibited Goods) Amendment (</w:t>
      </w:r>
      <w:r w:rsidRPr="000F10DE">
        <w:rPr>
          <w:i/>
          <w:sz w:val="24"/>
          <w:szCs w:val="24"/>
        </w:rPr>
        <w:t>Biosecurity Preparedness Plan</w:t>
      </w:r>
      <w:r w:rsidR="004862B3">
        <w:rPr>
          <w:i/>
          <w:sz w:val="24"/>
          <w:szCs w:val="24"/>
        </w:rPr>
        <w:t>s</w:t>
      </w:r>
      <w:r w:rsidRPr="00AB5A00">
        <w:rPr>
          <w:i/>
          <w:sz w:val="24"/>
          <w:szCs w:val="24"/>
        </w:rPr>
        <w:t>) Determination 2019</w:t>
      </w:r>
      <w:r w:rsidRPr="007912BD">
        <w:rPr>
          <w:sz w:val="24"/>
          <w:szCs w:val="24"/>
        </w:rPr>
        <w:t xml:space="preserve"> </w:t>
      </w:r>
      <w:r>
        <w:rPr>
          <w:sz w:val="24"/>
          <w:szCs w:val="24"/>
        </w:rPr>
        <w:t>(</w:t>
      </w:r>
      <w:r>
        <w:rPr>
          <w:b/>
          <w:sz w:val="24"/>
          <w:szCs w:val="24"/>
        </w:rPr>
        <w:t xml:space="preserve">Amendment </w:t>
      </w:r>
      <w:r w:rsidRPr="000E1D49">
        <w:rPr>
          <w:b/>
          <w:sz w:val="24"/>
          <w:szCs w:val="24"/>
        </w:rPr>
        <w:t>Determination</w:t>
      </w:r>
      <w:r>
        <w:rPr>
          <w:sz w:val="24"/>
          <w:szCs w:val="24"/>
        </w:rPr>
        <w:t xml:space="preserve">) </w:t>
      </w:r>
      <w:r w:rsidRPr="00E829F3">
        <w:rPr>
          <w:sz w:val="24"/>
          <w:szCs w:val="24"/>
        </w:rPr>
        <w:t xml:space="preserve">is to </w:t>
      </w:r>
      <w:r w:rsidR="004376FC">
        <w:rPr>
          <w:sz w:val="24"/>
          <w:szCs w:val="24"/>
        </w:rPr>
        <w:t xml:space="preserve">insert a condition to </w:t>
      </w:r>
      <w:r>
        <w:rPr>
          <w:sz w:val="24"/>
          <w:szCs w:val="24"/>
        </w:rPr>
        <w:t>provide that</w:t>
      </w:r>
      <w:r w:rsidR="009D4493">
        <w:rPr>
          <w:sz w:val="24"/>
          <w:szCs w:val="24"/>
        </w:rPr>
        <w:t xml:space="preserve"> </w:t>
      </w:r>
      <w:r w:rsidR="004376FC">
        <w:rPr>
          <w:sz w:val="24"/>
          <w:szCs w:val="24"/>
        </w:rPr>
        <w:t xml:space="preserve">certain classes of </w:t>
      </w:r>
      <w:r w:rsidR="009D4493">
        <w:rPr>
          <w:sz w:val="24"/>
          <w:szCs w:val="24"/>
        </w:rPr>
        <w:t xml:space="preserve">goods </w:t>
      </w:r>
      <w:r w:rsidR="007F0DAF">
        <w:rPr>
          <w:sz w:val="24"/>
          <w:szCs w:val="24"/>
        </w:rPr>
        <w:t>which</w:t>
      </w:r>
      <w:r w:rsidR="009D4493">
        <w:rPr>
          <w:sz w:val="24"/>
          <w:szCs w:val="24"/>
        </w:rPr>
        <w:t xml:space="preserve"> are the subject of an import declaration must not be brought or imported into Australian territory unless</w:t>
      </w:r>
      <w:r>
        <w:rPr>
          <w:sz w:val="24"/>
          <w:szCs w:val="24"/>
        </w:rPr>
        <w:t xml:space="preserve"> a</w:t>
      </w:r>
      <w:r w:rsidR="002B4CE2">
        <w:rPr>
          <w:sz w:val="24"/>
          <w:szCs w:val="24"/>
        </w:rPr>
        <w:t>n appropriate biosecurity preparedness plan(s)</w:t>
      </w:r>
      <w:r w:rsidR="004915B9">
        <w:rPr>
          <w:sz w:val="24"/>
          <w:szCs w:val="24"/>
        </w:rPr>
        <w:t xml:space="preserve"> </w:t>
      </w:r>
      <w:r w:rsidR="004915B9" w:rsidRPr="000D715A">
        <w:rPr>
          <w:sz w:val="24"/>
          <w:szCs w:val="24"/>
        </w:rPr>
        <w:t xml:space="preserve">to manage the biosecurity risks associated with bringing or importing goods of those classes (or goods including goods of those classes) into Australian territory has been listed </w:t>
      </w:r>
      <w:r w:rsidR="002B4CE2" w:rsidRPr="00404BCC">
        <w:rPr>
          <w:sz w:val="24"/>
          <w:szCs w:val="24"/>
        </w:rPr>
        <w:t xml:space="preserve">for this purpose </w:t>
      </w:r>
      <w:r w:rsidR="004915B9" w:rsidRPr="00404BCC">
        <w:rPr>
          <w:sz w:val="24"/>
          <w:szCs w:val="24"/>
        </w:rPr>
        <w:t xml:space="preserve">on the </w:t>
      </w:r>
      <w:r w:rsidR="000D715A" w:rsidRPr="00E95868">
        <w:rPr>
          <w:sz w:val="24"/>
          <w:szCs w:val="24"/>
        </w:rPr>
        <w:t xml:space="preserve">Department of Agriculture’s </w:t>
      </w:r>
      <w:r w:rsidR="004915B9" w:rsidRPr="00404BCC">
        <w:rPr>
          <w:sz w:val="24"/>
          <w:szCs w:val="24"/>
        </w:rPr>
        <w:t xml:space="preserve">website, and is </w:t>
      </w:r>
      <w:r w:rsidR="002C6241" w:rsidRPr="00404BCC">
        <w:rPr>
          <w:sz w:val="24"/>
          <w:szCs w:val="24"/>
        </w:rPr>
        <w:t xml:space="preserve">ordinarily </w:t>
      </w:r>
      <w:r w:rsidR="004915B9" w:rsidRPr="00404BCC">
        <w:rPr>
          <w:sz w:val="24"/>
          <w:szCs w:val="24"/>
        </w:rPr>
        <w:t xml:space="preserve">accessible through that website. </w:t>
      </w:r>
      <w:r w:rsidRPr="000D715A">
        <w:rPr>
          <w:sz w:val="24"/>
          <w:szCs w:val="24"/>
        </w:rPr>
        <w:t>This condition will be in addition to any other conditions</w:t>
      </w:r>
      <w:r w:rsidR="004915B9" w:rsidRPr="000D715A">
        <w:rPr>
          <w:sz w:val="24"/>
          <w:szCs w:val="24"/>
        </w:rPr>
        <w:t xml:space="preserve"> that must be complied with.</w:t>
      </w:r>
      <w:r>
        <w:rPr>
          <w:sz w:val="24"/>
          <w:szCs w:val="24"/>
        </w:rPr>
        <w:t xml:space="preserve"> </w:t>
      </w:r>
    </w:p>
    <w:p w14:paraId="6A3C9FF9" w14:textId="77777777" w:rsidR="002C6241" w:rsidRDefault="002C6241" w:rsidP="003E34BB">
      <w:pPr>
        <w:pStyle w:val="subsection"/>
        <w:tabs>
          <w:tab w:val="clear" w:pos="1021"/>
          <w:tab w:val="right" w:pos="0"/>
        </w:tabs>
        <w:ind w:left="0" w:firstLine="0"/>
        <w:rPr>
          <w:sz w:val="24"/>
          <w:szCs w:val="24"/>
        </w:rPr>
      </w:pPr>
    </w:p>
    <w:p w14:paraId="32D20FEA" w14:textId="1336AA4C" w:rsidR="002C6241" w:rsidRDefault="002C6241" w:rsidP="003E34BB">
      <w:pPr>
        <w:pStyle w:val="subsection"/>
        <w:tabs>
          <w:tab w:val="clear" w:pos="1021"/>
          <w:tab w:val="right" w:pos="0"/>
        </w:tabs>
        <w:ind w:left="0" w:firstLine="0"/>
        <w:rPr>
          <w:sz w:val="24"/>
          <w:szCs w:val="24"/>
        </w:rPr>
      </w:pPr>
      <w:r>
        <w:rPr>
          <w:sz w:val="24"/>
          <w:szCs w:val="24"/>
        </w:rPr>
        <w:t>Biosecurity preparedness plans will be in</w:t>
      </w:r>
      <w:r w:rsidR="00404BCC">
        <w:rPr>
          <w:sz w:val="24"/>
          <w:szCs w:val="24"/>
        </w:rPr>
        <w:t xml:space="preserve"> place for every class of good </w:t>
      </w:r>
      <w:r>
        <w:rPr>
          <w:sz w:val="24"/>
          <w:szCs w:val="24"/>
        </w:rPr>
        <w:t xml:space="preserve">to which the condition applies, from the time that the Amendment Determination is made. </w:t>
      </w:r>
    </w:p>
    <w:p w14:paraId="36253DD4" w14:textId="77777777" w:rsidR="00F65D3E" w:rsidRDefault="002C6241" w:rsidP="003E34BB">
      <w:pPr>
        <w:pStyle w:val="subsection"/>
        <w:tabs>
          <w:tab w:val="clear" w:pos="1021"/>
          <w:tab w:val="right" w:pos="0"/>
        </w:tabs>
        <w:ind w:left="0" w:firstLine="0"/>
        <w:rPr>
          <w:sz w:val="24"/>
          <w:szCs w:val="24"/>
        </w:rPr>
      </w:pPr>
      <w:r>
        <w:rPr>
          <w:sz w:val="24"/>
          <w:szCs w:val="24"/>
        </w:rPr>
        <w:t>Biosecurity preparedness</w:t>
      </w:r>
      <w:r w:rsidR="00E84343">
        <w:rPr>
          <w:sz w:val="24"/>
          <w:szCs w:val="24"/>
        </w:rPr>
        <w:t xml:space="preserve"> plans are taken into account in assessing the risk that applies to bringing or importing the goods in question into Australian territory. The plans inform what risk management measures are applied to goods at the border as part of managing that risk. In this way, the condition is intended to achieve Australia’s ALOP, which requires that biosecurity risks are reduced to a very low level but not zero. </w:t>
      </w:r>
    </w:p>
    <w:p w14:paraId="43A01308" w14:textId="77777777" w:rsidR="00B80D61" w:rsidRPr="007912BD" w:rsidRDefault="00B80D61" w:rsidP="009E608A">
      <w:pPr>
        <w:rPr>
          <w:rFonts w:ascii="Times New Roman" w:hAnsi="Times New Roman"/>
          <w:sz w:val="24"/>
          <w:szCs w:val="24"/>
        </w:rPr>
      </w:pPr>
      <w:r w:rsidRPr="007912BD">
        <w:rPr>
          <w:rFonts w:ascii="Times New Roman" w:hAnsi="Times New Roman"/>
          <w:sz w:val="24"/>
          <w:szCs w:val="24"/>
        </w:rPr>
        <w:t xml:space="preserve">The </w:t>
      </w:r>
      <w:r w:rsidR="000A3B55">
        <w:rPr>
          <w:rFonts w:ascii="Times New Roman" w:hAnsi="Times New Roman"/>
          <w:sz w:val="24"/>
          <w:szCs w:val="24"/>
        </w:rPr>
        <w:t>Amendment Determination</w:t>
      </w:r>
      <w:r w:rsidR="00FB54C4" w:rsidRPr="007912BD">
        <w:rPr>
          <w:rFonts w:ascii="Times New Roman" w:hAnsi="Times New Roman"/>
          <w:sz w:val="24"/>
          <w:szCs w:val="24"/>
        </w:rPr>
        <w:t xml:space="preserve"> </w:t>
      </w:r>
      <w:r w:rsidR="00C40719">
        <w:rPr>
          <w:rFonts w:ascii="Times New Roman" w:hAnsi="Times New Roman"/>
          <w:sz w:val="24"/>
          <w:szCs w:val="24"/>
        </w:rPr>
        <w:t>will</w:t>
      </w:r>
      <w:r w:rsidRPr="007912BD">
        <w:rPr>
          <w:rFonts w:ascii="Times New Roman" w:hAnsi="Times New Roman"/>
          <w:sz w:val="24"/>
          <w:szCs w:val="24"/>
        </w:rPr>
        <w:t xml:space="preserve"> ensure that the</w:t>
      </w:r>
      <w:r w:rsidR="00407830">
        <w:rPr>
          <w:rFonts w:ascii="Times New Roman" w:hAnsi="Times New Roman"/>
          <w:sz w:val="24"/>
          <w:szCs w:val="24"/>
        </w:rPr>
        <w:t xml:space="preserve"> </w:t>
      </w:r>
      <w:r w:rsidRPr="007912BD">
        <w:rPr>
          <w:rFonts w:ascii="Times New Roman" w:hAnsi="Times New Roman"/>
          <w:sz w:val="24"/>
          <w:szCs w:val="24"/>
        </w:rPr>
        <w:t xml:space="preserve">conditions for specified </w:t>
      </w:r>
      <w:r w:rsidR="00C40719">
        <w:rPr>
          <w:rFonts w:ascii="Times New Roman" w:hAnsi="Times New Roman"/>
          <w:sz w:val="24"/>
          <w:szCs w:val="24"/>
        </w:rPr>
        <w:t xml:space="preserve">classes of </w:t>
      </w:r>
      <w:r w:rsidRPr="007912BD">
        <w:rPr>
          <w:rFonts w:ascii="Times New Roman" w:hAnsi="Times New Roman"/>
          <w:sz w:val="24"/>
          <w:szCs w:val="24"/>
        </w:rPr>
        <w:t>goods conti</w:t>
      </w:r>
      <w:r w:rsidR="000A3B55">
        <w:rPr>
          <w:rFonts w:ascii="Times New Roman" w:hAnsi="Times New Roman"/>
          <w:sz w:val="24"/>
          <w:szCs w:val="24"/>
        </w:rPr>
        <w:t>nue to manage biosecurity risks</w:t>
      </w:r>
      <w:r w:rsidRPr="007912BD">
        <w:rPr>
          <w:rFonts w:ascii="Times New Roman" w:hAnsi="Times New Roman"/>
          <w:sz w:val="24"/>
          <w:szCs w:val="24"/>
        </w:rPr>
        <w:t xml:space="preserve"> to</w:t>
      </w:r>
      <w:r w:rsidR="000A3B55">
        <w:rPr>
          <w:rFonts w:ascii="Times New Roman" w:hAnsi="Times New Roman"/>
          <w:sz w:val="24"/>
          <w:szCs w:val="24"/>
        </w:rPr>
        <w:t xml:space="preserve"> the Appropriate Level of Protection</w:t>
      </w:r>
      <w:r w:rsidRPr="007912BD">
        <w:rPr>
          <w:rFonts w:ascii="Times New Roman" w:hAnsi="Times New Roman"/>
          <w:sz w:val="24"/>
          <w:szCs w:val="24"/>
        </w:rPr>
        <w:t xml:space="preserve"> </w:t>
      </w:r>
      <w:r w:rsidR="000A3B55">
        <w:rPr>
          <w:rFonts w:ascii="Times New Roman" w:hAnsi="Times New Roman"/>
          <w:sz w:val="24"/>
          <w:szCs w:val="24"/>
        </w:rPr>
        <w:t>(</w:t>
      </w:r>
      <w:r w:rsidRPr="000A3B55">
        <w:rPr>
          <w:rFonts w:ascii="Times New Roman" w:hAnsi="Times New Roman"/>
          <w:b/>
          <w:sz w:val="24"/>
          <w:szCs w:val="24"/>
        </w:rPr>
        <w:t>ALOP</w:t>
      </w:r>
      <w:r w:rsidR="000A3B55">
        <w:rPr>
          <w:rFonts w:ascii="Times New Roman" w:hAnsi="Times New Roman"/>
          <w:sz w:val="24"/>
          <w:szCs w:val="24"/>
        </w:rPr>
        <w:t>)</w:t>
      </w:r>
      <w:r w:rsidRPr="007912BD">
        <w:rPr>
          <w:rFonts w:ascii="Times New Roman" w:hAnsi="Times New Roman"/>
          <w:sz w:val="24"/>
          <w:szCs w:val="24"/>
        </w:rPr>
        <w:t xml:space="preserve"> for Australia. Australia’s ALOP is a high level of sanitary and phytosanitary protection aimed at reducing biosecurity risks to a low level, but not to zero. </w:t>
      </w:r>
    </w:p>
    <w:p w14:paraId="6F06FBC3" w14:textId="77777777" w:rsidR="000F70A2" w:rsidRPr="007912BD" w:rsidRDefault="000F70A2" w:rsidP="000F70A2">
      <w:pPr>
        <w:keepNext/>
        <w:shd w:val="clear" w:color="auto" w:fill="FFFFFF"/>
        <w:rPr>
          <w:rFonts w:ascii="Times New Roman" w:eastAsia="Times New Roman" w:hAnsi="Times New Roman"/>
          <w:b/>
          <w:bCs/>
          <w:sz w:val="24"/>
          <w:szCs w:val="24"/>
          <w:lang w:eastAsia="en-AU"/>
        </w:rPr>
      </w:pPr>
      <w:r w:rsidRPr="007912BD">
        <w:rPr>
          <w:rFonts w:ascii="Times New Roman" w:eastAsia="Times New Roman" w:hAnsi="Times New Roman"/>
          <w:b/>
          <w:bCs/>
          <w:sz w:val="24"/>
          <w:szCs w:val="24"/>
          <w:lang w:eastAsia="en-AU"/>
        </w:rPr>
        <w:t>Background</w:t>
      </w:r>
      <w:r w:rsidRPr="007912BD">
        <w:rPr>
          <w:rFonts w:ascii="Times New Roman" w:eastAsia="Times New Roman" w:hAnsi="Times New Roman"/>
          <w:b/>
          <w:bCs/>
          <w:sz w:val="24"/>
          <w:szCs w:val="24"/>
          <w:lang w:eastAsia="en-AU"/>
        </w:rPr>
        <w:tab/>
      </w:r>
    </w:p>
    <w:p w14:paraId="79F54A38" w14:textId="77777777" w:rsidR="000F70A2" w:rsidRDefault="000F70A2" w:rsidP="000F70A2">
      <w:pPr>
        <w:rPr>
          <w:rFonts w:ascii="Times New Roman" w:hAnsi="Times New Roman"/>
          <w:sz w:val="24"/>
          <w:szCs w:val="24"/>
        </w:rPr>
      </w:pPr>
      <w:r w:rsidRPr="007912BD">
        <w:rPr>
          <w:rFonts w:ascii="Times New Roman" w:hAnsi="Times New Roman"/>
          <w:sz w:val="24"/>
          <w:szCs w:val="24"/>
        </w:rPr>
        <w:t xml:space="preserve">The Department of Agriculture and the Department of Health co-administer the </w:t>
      </w:r>
      <w:r w:rsidRPr="00B4494B">
        <w:rPr>
          <w:rFonts w:ascii="Times New Roman" w:hAnsi="Times New Roman"/>
          <w:i/>
          <w:sz w:val="24"/>
          <w:szCs w:val="24"/>
        </w:rPr>
        <w:t xml:space="preserve">Biosecurity Act 2015 </w:t>
      </w:r>
      <w:r w:rsidRPr="007912BD">
        <w:rPr>
          <w:rFonts w:ascii="Times New Roman" w:hAnsi="Times New Roman"/>
          <w:sz w:val="24"/>
          <w:szCs w:val="24"/>
        </w:rPr>
        <w:t>(</w:t>
      </w:r>
      <w:r w:rsidRPr="009A0068">
        <w:rPr>
          <w:rFonts w:ascii="Times New Roman" w:hAnsi="Times New Roman"/>
          <w:b/>
          <w:sz w:val="24"/>
          <w:szCs w:val="24"/>
        </w:rPr>
        <w:t>Act</w:t>
      </w:r>
      <w:r w:rsidRPr="007912BD">
        <w:rPr>
          <w:rFonts w:ascii="Times New Roman" w:hAnsi="Times New Roman"/>
          <w:sz w:val="24"/>
          <w:szCs w:val="24"/>
        </w:rPr>
        <w:t xml:space="preserve">), which provides for the management of diseases and pests that may cause harm to human, animal or plant health or the environment.  </w:t>
      </w:r>
    </w:p>
    <w:p w14:paraId="522D3337" w14:textId="77777777" w:rsidR="00513F8B" w:rsidRDefault="00B80D61" w:rsidP="003E1981">
      <w:pPr>
        <w:shd w:val="clear" w:color="auto" w:fill="FFFFFF"/>
        <w:rPr>
          <w:rFonts w:ascii="Times New Roman" w:eastAsia="Times New Roman" w:hAnsi="Times New Roman"/>
          <w:sz w:val="24"/>
          <w:szCs w:val="24"/>
          <w:lang w:eastAsia="en-AU"/>
        </w:rPr>
      </w:pPr>
      <w:r w:rsidRPr="007912BD">
        <w:rPr>
          <w:rFonts w:ascii="Times New Roman" w:eastAsia="Times New Roman" w:hAnsi="Times New Roman"/>
          <w:sz w:val="24"/>
          <w:szCs w:val="24"/>
          <w:lang w:eastAsia="en-AU"/>
        </w:rPr>
        <w:t>The Act is principles-based and lays the foundation for biosecurity risk management. The detail</w:t>
      </w:r>
      <w:r w:rsidR="00007777">
        <w:rPr>
          <w:rFonts w:ascii="Times New Roman" w:eastAsia="Times New Roman" w:hAnsi="Times New Roman"/>
          <w:sz w:val="24"/>
          <w:szCs w:val="24"/>
          <w:lang w:eastAsia="en-AU"/>
        </w:rPr>
        <w:t>s</w:t>
      </w:r>
      <w:r w:rsidRPr="007912BD">
        <w:rPr>
          <w:rFonts w:ascii="Times New Roman" w:eastAsia="Times New Roman" w:hAnsi="Times New Roman"/>
          <w:sz w:val="24"/>
          <w:szCs w:val="24"/>
          <w:lang w:eastAsia="en-AU"/>
        </w:rPr>
        <w:t xml:space="preserve"> </w:t>
      </w:r>
      <w:r w:rsidRPr="007912BD">
        <w:rPr>
          <w:rFonts w:ascii="Times New Roman" w:hAnsi="Times New Roman"/>
          <w:sz w:val="24"/>
          <w:szCs w:val="24"/>
        </w:rPr>
        <w:t>and</w:t>
      </w:r>
      <w:r w:rsidRPr="007912BD">
        <w:rPr>
          <w:rFonts w:ascii="Times New Roman" w:eastAsia="Times New Roman" w:hAnsi="Times New Roman"/>
          <w:sz w:val="24"/>
          <w:szCs w:val="24"/>
          <w:lang w:eastAsia="en-AU"/>
        </w:rPr>
        <w:t xml:space="preserve"> specific information requirements for certain activities under the Act are provided for in the </w:t>
      </w:r>
      <w:r w:rsidRPr="007912BD">
        <w:rPr>
          <w:rFonts w:ascii="Times New Roman" w:eastAsia="Times New Roman" w:hAnsi="Times New Roman"/>
          <w:i/>
          <w:sz w:val="24"/>
          <w:szCs w:val="24"/>
          <w:lang w:eastAsia="en-AU"/>
        </w:rPr>
        <w:t>Biosecurity Regulation 2016</w:t>
      </w:r>
      <w:r w:rsidRPr="007912BD">
        <w:rPr>
          <w:rFonts w:ascii="Times New Roman" w:eastAsia="Times New Roman" w:hAnsi="Times New Roman"/>
          <w:sz w:val="24"/>
          <w:szCs w:val="24"/>
          <w:lang w:eastAsia="en-AU"/>
        </w:rPr>
        <w:t xml:space="preserve"> and other delegated legislation, including the Goods Determination.</w:t>
      </w:r>
      <w:r w:rsidR="00E770BF">
        <w:rPr>
          <w:rFonts w:ascii="Times New Roman" w:eastAsia="Times New Roman" w:hAnsi="Times New Roman"/>
          <w:sz w:val="24"/>
          <w:szCs w:val="24"/>
          <w:lang w:eastAsia="en-AU"/>
        </w:rPr>
        <w:t xml:space="preserve"> </w:t>
      </w:r>
    </w:p>
    <w:p w14:paraId="2B129BF9" w14:textId="77777777" w:rsidR="00CF15B4" w:rsidRDefault="00CF15B4" w:rsidP="00CF15B4">
      <w:pPr>
        <w:shd w:val="clear" w:color="auto" w:fill="FFFFFF"/>
        <w:rPr>
          <w:rFonts w:ascii="Times New Roman" w:eastAsia="Times New Roman" w:hAnsi="Times New Roman"/>
          <w:sz w:val="24"/>
          <w:szCs w:val="24"/>
          <w:lang w:eastAsia="en-AU"/>
        </w:rPr>
      </w:pPr>
      <w:r w:rsidRPr="00CF15B4">
        <w:rPr>
          <w:rFonts w:ascii="Times New Roman" w:eastAsia="Times New Roman" w:hAnsi="Times New Roman"/>
          <w:sz w:val="24"/>
          <w:szCs w:val="24"/>
          <w:lang w:eastAsia="en-AU"/>
        </w:rPr>
        <w:t xml:space="preserve">In order to regulate </w:t>
      </w:r>
      <w:r w:rsidR="00C40719">
        <w:rPr>
          <w:rFonts w:ascii="Times New Roman" w:eastAsia="Times New Roman" w:hAnsi="Times New Roman"/>
          <w:sz w:val="24"/>
          <w:szCs w:val="24"/>
          <w:lang w:eastAsia="en-AU"/>
        </w:rPr>
        <w:t>the bring</w:t>
      </w:r>
      <w:r w:rsidR="00CB4947">
        <w:rPr>
          <w:rFonts w:ascii="Times New Roman" w:eastAsia="Times New Roman" w:hAnsi="Times New Roman"/>
          <w:sz w:val="24"/>
          <w:szCs w:val="24"/>
          <w:lang w:eastAsia="en-AU"/>
        </w:rPr>
        <w:t>ing</w:t>
      </w:r>
      <w:r w:rsidR="00C40719">
        <w:rPr>
          <w:rFonts w:ascii="Times New Roman" w:eastAsia="Times New Roman" w:hAnsi="Times New Roman"/>
          <w:sz w:val="24"/>
          <w:szCs w:val="24"/>
          <w:lang w:eastAsia="en-AU"/>
        </w:rPr>
        <w:t xml:space="preserve"> or importing of goods into Australian territory</w:t>
      </w:r>
      <w:r w:rsidRPr="00CF15B4">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the Department of </w:t>
      </w:r>
      <w:r w:rsidRPr="00CF15B4">
        <w:rPr>
          <w:rFonts w:ascii="Times New Roman" w:eastAsia="Times New Roman" w:hAnsi="Times New Roman"/>
          <w:sz w:val="24"/>
          <w:szCs w:val="24"/>
          <w:lang w:eastAsia="en-AU"/>
        </w:rPr>
        <w:t>Agriculture identifies priority pests</w:t>
      </w:r>
      <w:r w:rsidR="00007777">
        <w:rPr>
          <w:rFonts w:ascii="Times New Roman" w:eastAsia="Times New Roman" w:hAnsi="Times New Roman"/>
          <w:sz w:val="24"/>
          <w:szCs w:val="24"/>
          <w:lang w:eastAsia="en-AU"/>
        </w:rPr>
        <w:t xml:space="preserve"> and diseases</w:t>
      </w:r>
      <w:r w:rsidRPr="00CF15B4">
        <w:rPr>
          <w:rFonts w:ascii="Times New Roman" w:eastAsia="Times New Roman" w:hAnsi="Times New Roman"/>
          <w:sz w:val="24"/>
          <w:szCs w:val="24"/>
          <w:lang w:eastAsia="en-AU"/>
        </w:rPr>
        <w:t xml:space="preserve"> of concern and identifies the measures to </w:t>
      </w:r>
      <w:r w:rsidRPr="00CF15B4">
        <w:rPr>
          <w:rFonts w:ascii="Times New Roman" w:eastAsia="Times New Roman" w:hAnsi="Times New Roman"/>
          <w:sz w:val="24"/>
          <w:szCs w:val="24"/>
          <w:lang w:eastAsia="en-AU"/>
        </w:rPr>
        <w:lastRenderedPageBreak/>
        <w:t xml:space="preserve">be put in place to respond if they are found </w:t>
      </w:r>
      <w:r>
        <w:rPr>
          <w:rFonts w:ascii="Times New Roman" w:eastAsia="Times New Roman" w:hAnsi="Times New Roman"/>
          <w:sz w:val="24"/>
          <w:szCs w:val="24"/>
          <w:lang w:eastAsia="en-AU"/>
        </w:rPr>
        <w:t>in Australia</w:t>
      </w:r>
      <w:r w:rsidRPr="00CF15B4">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 determining the appropriateness of the measures to put in place t</w:t>
      </w:r>
      <w:r w:rsidR="00C40719">
        <w:rPr>
          <w:rFonts w:ascii="Times New Roman" w:eastAsia="Times New Roman" w:hAnsi="Times New Roman"/>
          <w:sz w:val="24"/>
          <w:szCs w:val="24"/>
          <w:lang w:eastAsia="en-AU"/>
        </w:rPr>
        <w:t>o manage</w:t>
      </w:r>
      <w:r>
        <w:rPr>
          <w:rFonts w:ascii="Times New Roman" w:eastAsia="Times New Roman" w:hAnsi="Times New Roman"/>
          <w:sz w:val="24"/>
          <w:szCs w:val="24"/>
          <w:lang w:eastAsia="en-AU"/>
        </w:rPr>
        <w:t xml:space="preserve"> biosecurity risk</w:t>
      </w:r>
      <w:r w:rsidR="00C40719">
        <w:rPr>
          <w:rFonts w:ascii="Times New Roman" w:eastAsia="Times New Roman" w:hAnsi="Times New Roman"/>
          <w:sz w:val="24"/>
          <w:szCs w:val="24"/>
          <w:lang w:eastAsia="en-AU"/>
        </w:rPr>
        <w:t>s</w:t>
      </w:r>
      <w:r>
        <w:rPr>
          <w:rFonts w:ascii="Times New Roman" w:eastAsia="Times New Roman" w:hAnsi="Times New Roman"/>
          <w:sz w:val="24"/>
          <w:szCs w:val="24"/>
          <w:lang w:eastAsia="en-AU"/>
        </w:rPr>
        <w:t>, the Department evaluates the likelihood of entry, establishment or spread of a pest or disease within Australia</w:t>
      </w:r>
      <w:r w:rsidR="00851EBC">
        <w:rPr>
          <w:rFonts w:ascii="Times New Roman" w:eastAsia="Times New Roman" w:hAnsi="Times New Roman"/>
          <w:sz w:val="24"/>
          <w:szCs w:val="24"/>
          <w:lang w:eastAsia="en-AU"/>
        </w:rPr>
        <w:t>n territory</w:t>
      </w:r>
      <w:r>
        <w:rPr>
          <w:rFonts w:ascii="Times New Roman" w:eastAsia="Times New Roman" w:hAnsi="Times New Roman"/>
          <w:sz w:val="24"/>
          <w:szCs w:val="24"/>
          <w:lang w:eastAsia="en-AU"/>
        </w:rPr>
        <w:t xml:space="preserve"> in accordance with</w:t>
      </w:r>
      <w:r w:rsidR="00C40719">
        <w:rPr>
          <w:rFonts w:ascii="Times New Roman" w:eastAsia="Times New Roman" w:hAnsi="Times New Roman"/>
          <w:sz w:val="24"/>
          <w:szCs w:val="24"/>
          <w:lang w:eastAsia="en-AU"/>
        </w:rPr>
        <w:t xml:space="preserve"> the</w:t>
      </w:r>
      <w:r>
        <w:rPr>
          <w:rFonts w:ascii="Times New Roman" w:eastAsia="Times New Roman" w:hAnsi="Times New Roman"/>
          <w:sz w:val="24"/>
          <w:szCs w:val="24"/>
          <w:lang w:eastAsia="en-AU"/>
        </w:rPr>
        <w:t xml:space="preserve"> ALOP</w:t>
      </w:r>
      <w:r w:rsidR="00C40719">
        <w:rPr>
          <w:rFonts w:ascii="Times New Roman" w:eastAsia="Times New Roman" w:hAnsi="Times New Roman"/>
          <w:sz w:val="24"/>
          <w:szCs w:val="24"/>
          <w:lang w:eastAsia="en-AU"/>
        </w:rPr>
        <w:t xml:space="preserve"> for Australia</w:t>
      </w:r>
      <w:r>
        <w:rPr>
          <w:rFonts w:ascii="Times New Roman" w:eastAsia="Times New Roman" w:hAnsi="Times New Roman"/>
          <w:sz w:val="24"/>
          <w:szCs w:val="24"/>
          <w:lang w:eastAsia="en-AU"/>
        </w:rPr>
        <w:t xml:space="preserve">. </w:t>
      </w:r>
      <w:r w:rsidR="00D64002">
        <w:rPr>
          <w:rFonts w:ascii="Times New Roman" w:eastAsia="Times New Roman" w:hAnsi="Times New Roman"/>
          <w:sz w:val="24"/>
          <w:szCs w:val="24"/>
          <w:lang w:eastAsia="en-AU"/>
        </w:rPr>
        <w:t xml:space="preserve">The Department also evaluates the associated potential </w:t>
      </w:r>
      <w:r w:rsidR="005E0590">
        <w:rPr>
          <w:rFonts w:ascii="Times New Roman" w:eastAsia="Times New Roman" w:hAnsi="Times New Roman"/>
          <w:sz w:val="24"/>
          <w:szCs w:val="24"/>
          <w:lang w:eastAsia="en-AU"/>
        </w:rPr>
        <w:t xml:space="preserve">harm </w:t>
      </w:r>
      <w:r w:rsidR="00D64002">
        <w:rPr>
          <w:rFonts w:ascii="Times New Roman" w:eastAsia="Times New Roman" w:hAnsi="Times New Roman"/>
          <w:sz w:val="24"/>
          <w:szCs w:val="24"/>
          <w:lang w:eastAsia="en-AU"/>
        </w:rPr>
        <w:t>and economic consequences, again in accordance with Australia’s ALOP.</w:t>
      </w:r>
    </w:p>
    <w:p w14:paraId="03F674E1" w14:textId="77777777" w:rsidR="00CF15B4" w:rsidRDefault="00104351" w:rsidP="00CF15B4">
      <w:pPr>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Goods entering Australia carry </w:t>
      </w:r>
      <w:r w:rsidR="00703AF0">
        <w:rPr>
          <w:rFonts w:ascii="Times New Roman" w:eastAsia="Times New Roman" w:hAnsi="Times New Roman"/>
          <w:sz w:val="24"/>
          <w:szCs w:val="24"/>
          <w:lang w:eastAsia="en-AU"/>
        </w:rPr>
        <w:t>a risk</w:t>
      </w:r>
      <w:r>
        <w:rPr>
          <w:rFonts w:ascii="Times New Roman" w:eastAsia="Times New Roman" w:hAnsi="Times New Roman"/>
          <w:sz w:val="24"/>
          <w:szCs w:val="24"/>
          <w:lang w:eastAsia="en-AU"/>
        </w:rPr>
        <w:t xml:space="preserve"> that they may introduce pests and disease</w:t>
      </w:r>
      <w:r w:rsidR="00D64002">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that could have a negative impact on</w:t>
      </w:r>
      <w:r w:rsidR="00B7520D">
        <w:rPr>
          <w:rFonts w:ascii="Times New Roman" w:eastAsia="Times New Roman" w:hAnsi="Times New Roman"/>
          <w:sz w:val="24"/>
          <w:szCs w:val="24"/>
          <w:lang w:eastAsia="en-AU"/>
        </w:rPr>
        <w:t xml:space="preserve"> the environment or human, plant or animal health</w:t>
      </w:r>
      <w:r>
        <w:rPr>
          <w:rFonts w:ascii="Times New Roman" w:eastAsia="Times New Roman" w:hAnsi="Times New Roman"/>
          <w:sz w:val="24"/>
          <w:szCs w:val="24"/>
          <w:lang w:eastAsia="en-AU"/>
        </w:rPr>
        <w:t xml:space="preserve">, despite </w:t>
      </w:r>
      <w:r w:rsidR="007721AA">
        <w:rPr>
          <w:rFonts w:ascii="Times New Roman" w:eastAsia="Times New Roman" w:hAnsi="Times New Roman"/>
          <w:sz w:val="24"/>
          <w:szCs w:val="24"/>
          <w:lang w:eastAsia="en-AU"/>
        </w:rPr>
        <w:t>conditions</w:t>
      </w:r>
      <w:r>
        <w:rPr>
          <w:rFonts w:ascii="Times New Roman" w:eastAsia="Times New Roman" w:hAnsi="Times New Roman"/>
          <w:sz w:val="24"/>
          <w:szCs w:val="24"/>
          <w:lang w:eastAsia="en-AU"/>
        </w:rPr>
        <w:t xml:space="preserve"> imposed before the goods are brought or imported into Australia. </w:t>
      </w:r>
    </w:p>
    <w:p w14:paraId="20EE91EA" w14:textId="77777777" w:rsidR="00703AF0" w:rsidRDefault="00703AF0" w:rsidP="00703AF0">
      <w:pPr>
        <w:shd w:val="clear" w:color="auto" w:fill="FFFFFF"/>
        <w:rPr>
          <w:rFonts w:ascii="Times New Roman" w:eastAsia="Times New Roman" w:hAnsi="Times New Roman"/>
          <w:sz w:val="24"/>
          <w:szCs w:val="24"/>
          <w:lang w:eastAsia="en-AU"/>
        </w:rPr>
      </w:pPr>
      <w:r w:rsidRPr="000F10DE">
        <w:rPr>
          <w:rFonts w:ascii="Times New Roman" w:eastAsia="Times New Roman" w:hAnsi="Times New Roman"/>
          <w:sz w:val="24"/>
          <w:szCs w:val="24"/>
          <w:lang w:eastAsia="en-AU"/>
        </w:rPr>
        <w:t>Early detection and rapid control of pest</w:t>
      </w:r>
      <w:r w:rsidR="00621533">
        <w:rPr>
          <w:rFonts w:ascii="Times New Roman" w:eastAsia="Times New Roman" w:hAnsi="Times New Roman"/>
          <w:sz w:val="24"/>
          <w:szCs w:val="24"/>
          <w:lang w:eastAsia="en-AU"/>
        </w:rPr>
        <w:t>s</w:t>
      </w:r>
      <w:r w:rsidRPr="000F10DE">
        <w:rPr>
          <w:rFonts w:ascii="Times New Roman" w:eastAsia="Times New Roman" w:hAnsi="Times New Roman"/>
          <w:sz w:val="24"/>
          <w:szCs w:val="24"/>
          <w:lang w:eastAsia="en-AU"/>
        </w:rPr>
        <w:t xml:space="preserve"> and diseases is critical to reducing the consequences of pests and diseases on producers, allied industries, the environment and regional communities. </w:t>
      </w:r>
      <w:r w:rsidR="00851EBC">
        <w:rPr>
          <w:rFonts w:ascii="Times New Roman" w:eastAsia="Times New Roman" w:hAnsi="Times New Roman"/>
          <w:sz w:val="24"/>
          <w:szCs w:val="24"/>
          <w:lang w:eastAsia="en-AU"/>
        </w:rPr>
        <w:t xml:space="preserve">The purpose of biosecurity preparedness plan(s) is to manage the likelihood of establishment and spread within Australian territory of a biosecurity pest </w:t>
      </w:r>
      <w:r w:rsidR="00007777">
        <w:rPr>
          <w:rFonts w:ascii="Times New Roman" w:eastAsia="Times New Roman" w:hAnsi="Times New Roman"/>
          <w:sz w:val="24"/>
          <w:szCs w:val="24"/>
          <w:lang w:eastAsia="en-AU"/>
        </w:rPr>
        <w:t>or</w:t>
      </w:r>
      <w:r w:rsidR="00851EBC">
        <w:rPr>
          <w:rFonts w:ascii="Times New Roman" w:eastAsia="Times New Roman" w:hAnsi="Times New Roman"/>
          <w:sz w:val="24"/>
          <w:szCs w:val="24"/>
          <w:lang w:eastAsia="en-AU"/>
        </w:rPr>
        <w:t xml:space="preserve"> disease, and the associated consequences. </w:t>
      </w:r>
      <w:r w:rsidRPr="000F10DE">
        <w:rPr>
          <w:rFonts w:ascii="Times New Roman" w:eastAsia="Times New Roman" w:hAnsi="Times New Roman"/>
          <w:sz w:val="24"/>
          <w:szCs w:val="24"/>
          <w:lang w:eastAsia="en-AU"/>
        </w:rPr>
        <w:t xml:space="preserve">Without biosecurity preparedness plans, delays in detection and </w:t>
      </w:r>
      <w:r w:rsidR="00007777">
        <w:rPr>
          <w:rFonts w:ascii="Times New Roman" w:eastAsia="Times New Roman" w:hAnsi="Times New Roman"/>
          <w:sz w:val="24"/>
          <w:szCs w:val="24"/>
          <w:lang w:eastAsia="en-AU"/>
        </w:rPr>
        <w:t>control</w:t>
      </w:r>
      <w:r w:rsidRPr="000F10DE">
        <w:rPr>
          <w:rFonts w:ascii="Times New Roman" w:eastAsia="Times New Roman" w:hAnsi="Times New Roman"/>
          <w:sz w:val="24"/>
          <w:szCs w:val="24"/>
          <w:lang w:eastAsia="en-AU"/>
        </w:rPr>
        <w:t xml:space="preserve"> would be expected to magnify the socio-economic consequences of an incursion.</w:t>
      </w:r>
    </w:p>
    <w:p w14:paraId="7B607DFE" w14:textId="77777777" w:rsidR="00703AF0" w:rsidRDefault="00703AF0" w:rsidP="00703AF0">
      <w:pPr>
        <w:shd w:val="clear" w:color="auto" w:fill="FFFFFF"/>
        <w:rPr>
          <w:rFonts w:ascii="Times New Roman" w:eastAsia="Times New Roman" w:hAnsi="Times New Roman"/>
          <w:sz w:val="24"/>
          <w:szCs w:val="24"/>
          <w:lang w:eastAsia="en-AU"/>
        </w:rPr>
      </w:pPr>
      <w:r w:rsidRPr="000F10DE">
        <w:rPr>
          <w:rFonts w:ascii="Times New Roman" w:eastAsia="Times New Roman" w:hAnsi="Times New Roman"/>
          <w:sz w:val="24"/>
          <w:szCs w:val="24"/>
          <w:lang w:eastAsia="en-AU"/>
        </w:rPr>
        <w:t>Australia’s biosecurity preparedness plans have minimised the establishment or spread of emergency animal diseases including equine influenza, avian influenza and Newcastle disease; emergency plant pests, including banana freckle, khapra beetle, varroa mite; and significant environmental pests, including browsing ant and red imported fire ant at certain sites.</w:t>
      </w:r>
    </w:p>
    <w:p w14:paraId="3FCE7E1F" w14:textId="77777777" w:rsidR="00104351" w:rsidRDefault="00067EFB" w:rsidP="00CF15B4">
      <w:pPr>
        <w:rPr>
          <w:rFonts w:ascii="Times New Roman" w:eastAsia="Times New Roman" w:hAnsi="Times New Roman"/>
          <w:sz w:val="24"/>
          <w:szCs w:val="24"/>
          <w:lang w:eastAsia="en-AU"/>
        </w:rPr>
      </w:pPr>
      <w:r>
        <w:rPr>
          <w:rFonts w:ascii="Times New Roman" w:eastAsia="Times New Roman" w:hAnsi="Times New Roman"/>
          <w:sz w:val="24"/>
          <w:szCs w:val="24"/>
          <w:lang w:eastAsia="en-AU"/>
        </w:rPr>
        <w:t>The amendments seek</w:t>
      </w:r>
      <w:r w:rsidR="00104351">
        <w:rPr>
          <w:rFonts w:ascii="Times New Roman" w:eastAsia="Times New Roman" w:hAnsi="Times New Roman"/>
          <w:sz w:val="24"/>
          <w:szCs w:val="24"/>
          <w:lang w:eastAsia="en-AU"/>
        </w:rPr>
        <w:t xml:space="preserve"> to improve risk management surrounding</w:t>
      </w:r>
      <w:r w:rsidR="00007777">
        <w:rPr>
          <w:rFonts w:ascii="Times New Roman" w:eastAsia="Times New Roman" w:hAnsi="Times New Roman"/>
          <w:sz w:val="24"/>
          <w:szCs w:val="24"/>
          <w:lang w:eastAsia="en-AU"/>
        </w:rPr>
        <w:t xml:space="preserve"> the bringing or</w:t>
      </w:r>
      <w:r w:rsidR="00104351">
        <w:rPr>
          <w:rFonts w:ascii="Times New Roman" w:eastAsia="Times New Roman" w:hAnsi="Times New Roman"/>
          <w:sz w:val="24"/>
          <w:szCs w:val="24"/>
          <w:lang w:eastAsia="en-AU"/>
        </w:rPr>
        <w:t xml:space="preserve"> import</w:t>
      </w:r>
      <w:r w:rsidR="009F2A71">
        <w:rPr>
          <w:rFonts w:ascii="Times New Roman" w:eastAsia="Times New Roman" w:hAnsi="Times New Roman"/>
          <w:sz w:val="24"/>
          <w:szCs w:val="24"/>
          <w:lang w:eastAsia="en-AU"/>
        </w:rPr>
        <w:t>ation of goods</w:t>
      </w:r>
      <w:r w:rsidR="00104351">
        <w:rPr>
          <w:rFonts w:ascii="Times New Roman" w:eastAsia="Times New Roman" w:hAnsi="Times New Roman"/>
          <w:sz w:val="24"/>
          <w:szCs w:val="24"/>
          <w:lang w:eastAsia="en-AU"/>
        </w:rPr>
        <w:t xml:space="preserve"> </w:t>
      </w:r>
      <w:r w:rsidR="00007777">
        <w:rPr>
          <w:rFonts w:ascii="Times New Roman" w:eastAsia="Times New Roman" w:hAnsi="Times New Roman"/>
          <w:sz w:val="24"/>
          <w:szCs w:val="24"/>
          <w:lang w:eastAsia="en-AU"/>
        </w:rPr>
        <w:t xml:space="preserve">into Australian territory, </w:t>
      </w:r>
      <w:r w:rsidR="00104351">
        <w:rPr>
          <w:rFonts w:ascii="Times New Roman" w:eastAsia="Times New Roman" w:hAnsi="Times New Roman"/>
          <w:sz w:val="24"/>
          <w:szCs w:val="24"/>
          <w:lang w:eastAsia="en-AU"/>
        </w:rPr>
        <w:t xml:space="preserve">by </w:t>
      </w:r>
      <w:r w:rsidR="00E84343">
        <w:rPr>
          <w:rFonts w:ascii="Times New Roman" w:eastAsia="Times New Roman" w:hAnsi="Times New Roman"/>
          <w:sz w:val="24"/>
          <w:szCs w:val="24"/>
          <w:lang w:eastAsia="en-AU"/>
        </w:rPr>
        <w:t xml:space="preserve">ensuring </w:t>
      </w:r>
      <w:r w:rsidR="00104351">
        <w:rPr>
          <w:rFonts w:ascii="Times New Roman" w:eastAsia="Times New Roman" w:hAnsi="Times New Roman"/>
          <w:sz w:val="24"/>
          <w:szCs w:val="24"/>
          <w:lang w:eastAsia="en-AU"/>
        </w:rPr>
        <w:t xml:space="preserve">that </w:t>
      </w:r>
      <w:r w:rsidR="00703AF0">
        <w:rPr>
          <w:rFonts w:ascii="Times New Roman" w:eastAsia="Times New Roman" w:hAnsi="Times New Roman"/>
          <w:sz w:val="24"/>
          <w:szCs w:val="24"/>
          <w:lang w:eastAsia="en-AU"/>
        </w:rPr>
        <w:t>biosecurity preparedness plans</w:t>
      </w:r>
      <w:r w:rsidR="00104351">
        <w:rPr>
          <w:rFonts w:ascii="Times New Roman" w:eastAsia="Times New Roman" w:hAnsi="Times New Roman"/>
          <w:sz w:val="24"/>
          <w:szCs w:val="24"/>
          <w:lang w:eastAsia="en-AU"/>
        </w:rPr>
        <w:t xml:space="preserve"> </w:t>
      </w:r>
      <w:r w:rsidR="00E84343">
        <w:rPr>
          <w:rFonts w:ascii="Times New Roman" w:eastAsia="Times New Roman" w:hAnsi="Times New Roman"/>
          <w:sz w:val="24"/>
          <w:szCs w:val="24"/>
          <w:lang w:eastAsia="en-AU"/>
        </w:rPr>
        <w:t>exist</w:t>
      </w:r>
      <w:r w:rsidR="00104351">
        <w:rPr>
          <w:rFonts w:ascii="Times New Roman" w:eastAsia="Times New Roman" w:hAnsi="Times New Roman"/>
          <w:sz w:val="24"/>
          <w:szCs w:val="24"/>
          <w:lang w:eastAsia="en-AU"/>
        </w:rPr>
        <w:t xml:space="preserve"> to address any known potential biosecurity risks attached to classes of goods as </w:t>
      </w:r>
      <w:r w:rsidR="00621533">
        <w:rPr>
          <w:rFonts w:ascii="Times New Roman" w:eastAsia="Times New Roman" w:hAnsi="Times New Roman"/>
          <w:sz w:val="24"/>
          <w:szCs w:val="24"/>
          <w:lang w:eastAsia="en-AU"/>
        </w:rPr>
        <w:t xml:space="preserve">a </w:t>
      </w:r>
      <w:r w:rsidR="00104351">
        <w:rPr>
          <w:rFonts w:ascii="Times New Roman" w:eastAsia="Times New Roman" w:hAnsi="Times New Roman"/>
          <w:sz w:val="24"/>
          <w:szCs w:val="24"/>
          <w:lang w:eastAsia="en-AU"/>
        </w:rPr>
        <w:t>condition for the</w:t>
      </w:r>
      <w:r w:rsidR="00621533">
        <w:rPr>
          <w:rFonts w:ascii="Times New Roman" w:eastAsia="Times New Roman" w:hAnsi="Times New Roman"/>
          <w:sz w:val="24"/>
          <w:szCs w:val="24"/>
          <w:lang w:eastAsia="en-AU"/>
        </w:rPr>
        <w:t xml:space="preserve"> bringing or</w:t>
      </w:r>
      <w:r w:rsidR="00104351">
        <w:rPr>
          <w:rFonts w:ascii="Times New Roman" w:eastAsia="Times New Roman" w:hAnsi="Times New Roman"/>
          <w:sz w:val="24"/>
          <w:szCs w:val="24"/>
          <w:lang w:eastAsia="en-AU"/>
        </w:rPr>
        <w:t xml:space="preserve"> import of </w:t>
      </w:r>
      <w:r>
        <w:rPr>
          <w:rFonts w:ascii="Times New Roman" w:eastAsia="Times New Roman" w:hAnsi="Times New Roman"/>
          <w:sz w:val="24"/>
          <w:szCs w:val="24"/>
          <w:lang w:eastAsia="en-AU"/>
        </w:rPr>
        <w:t xml:space="preserve">those </w:t>
      </w:r>
      <w:r w:rsidR="00104351">
        <w:rPr>
          <w:rFonts w:ascii="Times New Roman" w:eastAsia="Times New Roman" w:hAnsi="Times New Roman"/>
          <w:sz w:val="24"/>
          <w:szCs w:val="24"/>
          <w:lang w:eastAsia="en-AU"/>
        </w:rPr>
        <w:t>goods</w:t>
      </w:r>
      <w:r w:rsidR="00621533">
        <w:rPr>
          <w:rFonts w:ascii="Times New Roman" w:eastAsia="Times New Roman" w:hAnsi="Times New Roman"/>
          <w:sz w:val="24"/>
          <w:szCs w:val="24"/>
          <w:lang w:eastAsia="en-AU"/>
        </w:rPr>
        <w:t xml:space="preserve"> into Australian territory</w:t>
      </w:r>
      <w:r w:rsidR="00104351">
        <w:rPr>
          <w:rFonts w:ascii="Times New Roman" w:eastAsia="Times New Roman" w:hAnsi="Times New Roman"/>
          <w:sz w:val="24"/>
          <w:szCs w:val="24"/>
          <w:lang w:eastAsia="en-AU"/>
        </w:rPr>
        <w:t xml:space="preserve">. </w:t>
      </w:r>
    </w:p>
    <w:p w14:paraId="6FC9470C" w14:textId="77777777" w:rsidR="00B80D61" w:rsidRPr="007912BD" w:rsidRDefault="00B80D61" w:rsidP="003E1981">
      <w:pPr>
        <w:keepNext/>
        <w:shd w:val="clear" w:color="auto" w:fill="FFFFFF"/>
        <w:rPr>
          <w:rFonts w:ascii="Times New Roman" w:eastAsia="Times New Roman" w:hAnsi="Times New Roman"/>
          <w:b/>
          <w:bCs/>
          <w:sz w:val="24"/>
          <w:szCs w:val="24"/>
          <w:lang w:eastAsia="en-AU"/>
        </w:rPr>
      </w:pPr>
      <w:r w:rsidRPr="007912BD">
        <w:rPr>
          <w:rFonts w:ascii="Times New Roman" w:eastAsia="Times New Roman" w:hAnsi="Times New Roman"/>
          <w:b/>
          <w:bCs/>
          <w:sz w:val="24"/>
          <w:szCs w:val="24"/>
          <w:lang w:eastAsia="en-AU"/>
        </w:rPr>
        <w:t>Impact and Effect</w:t>
      </w:r>
    </w:p>
    <w:p w14:paraId="17B784C2" w14:textId="77777777" w:rsidR="00104351" w:rsidRDefault="00B80D61" w:rsidP="00F74F6C">
      <w:pPr>
        <w:pStyle w:val="subsection"/>
        <w:tabs>
          <w:tab w:val="clear" w:pos="1021"/>
          <w:tab w:val="right" w:pos="0"/>
        </w:tabs>
        <w:ind w:left="0" w:firstLine="0"/>
        <w:rPr>
          <w:rFonts w:eastAsia="Calibri"/>
          <w:sz w:val="24"/>
          <w:szCs w:val="24"/>
          <w:lang w:eastAsia="en-US"/>
        </w:rPr>
      </w:pPr>
      <w:r w:rsidRPr="007912BD">
        <w:rPr>
          <w:sz w:val="24"/>
          <w:szCs w:val="24"/>
        </w:rPr>
        <w:t xml:space="preserve">The </w:t>
      </w:r>
      <w:r w:rsidR="000A3B55">
        <w:rPr>
          <w:sz w:val="24"/>
          <w:szCs w:val="24"/>
        </w:rPr>
        <w:t>Amendment Determination</w:t>
      </w:r>
      <w:r w:rsidR="00FB54C4" w:rsidRPr="007912BD">
        <w:rPr>
          <w:i/>
          <w:sz w:val="24"/>
          <w:szCs w:val="24"/>
        </w:rPr>
        <w:t xml:space="preserve"> </w:t>
      </w:r>
      <w:r w:rsidRPr="007912BD">
        <w:rPr>
          <w:sz w:val="24"/>
          <w:szCs w:val="24"/>
        </w:rPr>
        <w:t xml:space="preserve">ensures that biosecurity risks continue to be effectively managed, </w:t>
      </w:r>
      <w:r w:rsidR="00E770BF">
        <w:rPr>
          <w:sz w:val="24"/>
          <w:szCs w:val="24"/>
        </w:rPr>
        <w:t xml:space="preserve">by imposing </w:t>
      </w:r>
      <w:r w:rsidR="00104351">
        <w:rPr>
          <w:sz w:val="24"/>
          <w:szCs w:val="24"/>
        </w:rPr>
        <w:t>an additional requirement on the</w:t>
      </w:r>
      <w:r w:rsidR="00621533">
        <w:rPr>
          <w:sz w:val="24"/>
          <w:szCs w:val="24"/>
        </w:rPr>
        <w:t xml:space="preserve"> bringing or</w:t>
      </w:r>
      <w:r w:rsidR="00104351">
        <w:rPr>
          <w:sz w:val="24"/>
          <w:szCs w:val="24"/>
        </w:rPr>
        <w:t xml:space="preserve"> import </w:t>
      </w:r>
      <w:r w:rsidR="00621533">
        <w:rPr>
          <w:sz w:val="24"/>
          <w:szCs w:val="24"/>
        </w:rPr>
        <w:t xml:space="preserve">into Australian territory </w:t>
      </w:r>
      <w:r w:rsidR="00104351">
        <w:rPr>
          <w:sz w:val="24"/>
          <w:szCs w:val="24"/>
        </w:rPr>
        <w:t xml:space="preserve">of </w:t>
      </w:r>
      <w:r w:rsidR="00007777">
        <w:rPr>
          <w:sz w:val="24"/>
          <w:szCs w:val="24"/>
        </w:rPr>
        <w:t xml:space="preserve">certain </w:t>
      </w:r>
      <w:r w:rsidR="00621533">
        <w:rPr>
          <w:sz w:val="24"/>
          <w:szCs w:val="24"/>
        </w:rPr>
        <w:t xml:space="preserve">classes of </w:t>
      </w:r>
      <w:r w:rsidR="00104351">
        <w:rPr>
          <w:sz w:val="24"/>
          <w:szCs w:val="24"/>
        </w:rPr>
        <w:t>goods</w:t>
      </w:r>
      <w:r w:rsidR="00621533">
        <w:rPr>
          <w:sz w:val="24"/>
          <w:szCs w:val="24"/>
        </w:rPr>
        <w:t xml:space="preserve"> specified in</w:t>
      </w:r>
      <w:r w:rsidR="00104351">
        <w:rPr>
          <w:sz w:val="24"/>
          <w:szCs w:val="24"/>
        </w:rPr>
        <w:t xml:space="preserve"> the Goods Determination</w:t>
      </w:r>
      <w:r w:rsidR="002249C8">
        <w:rPr>
          <w:sz w:val="24"/>
          <w:szCs w:val="24"/>
        </w:rPr>
        <w:t xml:space="preserve"> that are the subject of an import declaration</w:t>
      </w:r>
      <w:r w:rsidR="00F74F6C">
        <w:rPr>
          <w:sz w:val="24"/>
          <w:szCs w:val="24"/>
        </w:rPr>
        <w:t xml:space="preserve">. </w:t>
      </w:r>
      <w:r w:rsidR="00104351">
        <w:rPr>
          <w:sz w:val="24"/>
          <w:szCs w:val="24"/>
        </w:rPr>
        <w:t xml:space="preserve">The </w:t>
      </w:r>
      <w:r w:rsidR="00F74F6C">
        <w:rPr>
          <w:rFonts w:eastAsia="Calibri"/>
          <w:sz w:val="24"/>
          <w:szCs w:val="24"/>
          <w:lang w:eastAsia="en-US"/>
        </w:rPr>
        <w:t>A</w:t>
      </w:r>
      <w:r w:rsidR="00F74F6C" w:rsidRPr="00E829F3">
        <w:rPr>
          <w:rFonts w:eastAsia="Calibri"/>
          <w:sz w:val="24"/>
          <w:szCs w:val="24"/>
          <w:lang w:eastAsia="en-US"/>
        </w:rPr>
        <w:t xml:space="preserve">mendment </w:t>
      </w:r>
      <w:r w:rsidR="00F1412D">
        <w:rPr>
          <w:rFonts w:eastAsia="Calibri"/>
          <w:sz w:val="24"/>
          <w:szCs w:val="24"/>
          <w:lang w:eastAsia="en-US"/>
        </w:rPr>
        <w:t>will prohibit the</w:t>
      </w:r>
      <w:r w:rsidR="00621533">
        <w:rPr>
          <w:rFonts w:eastAsia="Calibri"/>
          <w:sz w:val="24"/>
          <w:szCs w:val="24"/>
          <w:lang w:eastAsia="en-US"/>
        </w:rPr>
        <w:t xml:space="preserve"> bringing or</w:t>
      </w:r>
      <w:r w:rsidR="00F1412D">
        <w:rPr>
          <w:rFonts w:eastAsia="Calibri"/>
          <w:sz w:val="24"/>
          <w:szCs w:val="24"/>
          <w:lang w:eastAsia="en-US"/>
        </w:rPr>
        <w:t xml:space="preserve"> import of relevant goods</w:t>
      </w:r>
      <w:r w:rsidR="00621533">
        <w:rPr>
          <w:rFonts w:eastAsia="Calibri"/>
          <w:sz w:val="24"/>
          <w:szCs w:val="24"/>
          <w:lang w:eastAsia="en-US"/>
        </w:rPr>
        <w:t xml:space="preserve"> into Australian territory</w:t>
      </w:r>
      <w:r w:rsidR="00F1412D">
        <w:rPr>
          <w:rFonts w:eastAsia="Calibri"/>
          <w:sz w:val="24"/>
          <w:szCs w:val="24"/>
          <w:lang w:eastAsia="en-US"/>
        </w:rPr>
        <w:t>, unless</w:t>
      </w:r>
      <w:r w:rsidR="00851EBC">
        <w:rPr>
          <w:rFonts w:eastAsia="Calibri"/>
          <w:sz w:val="24"/>
          <w:szCs w:val="24"/>
          <w:lang w:eastAsia="en-US"/>
        </w:rPr>
        <w:t xml:space="preserve"> </w:t>
      </w:r>
      <w:r w:rsidR="00815160">
        <w:rPr>
          <w:rFonts w:eastAsia="Calibri"/>
          <w:sz w:val="24"/>
          <w:szCs w:val="24"/>
          <w:lang w:eastAsia="en-US"/>
        </w:rPr>
        <w:t xml:space="preserve">there is </w:t>
      </w:r>
      <w:r w:rsidR="00AC49AE">
        <w:rPr>
          <w:rFonts w:eastAsia="Calibri"/>
          <w:sz w:val="24"/>
          <w:szCs w:val="24"/>
          <w:lang w:eastAsia="en-US"/>
        </w:rPr>
        <w:t xml:space="preserve">a </w:t>
      </w:r>
      <w:r w:rsidR="00851EBC">
        <w:rPr>
          <w:rFonts w:eastAsia="Calibri"/>
          <w:sz w:val="24"/>
          <w:szCs w:val="24"/>
          <w:lang w:eastAsia="en-US"/>
        </w:rPr>
        <w:t>biosecurity preparedness plan</w:t>
      </w:r>
      <w:r w:rsidR="002249C8">
        <w:rPr>
          <w:rFonts w:eastAsia="Calibri"/>
          <w:sz w:val="24"/>
          <w:szCs w:val="24"/>
          <w:lang w:eastAsia="en-US"/>
        </w:rPr>
        <w:t xml:space="preserve"> to manage</w:t>
      </w:r>
      <w:r w:rsidR="00F1412D">
        <w:rPr>
          <w:rFonts w:eastAsia="Calibri"/>
          <w:sz w:val="24"/>
          <w:szCs w:val="24"/>
          <w:lang w:eastAsia="en-US"/>
        </w:rPr>
        <w:t xml:space="preserve"> the biosecurity risks associated with the</w:t>
      </w:r>
      <w:r w:rsidR="00621533">
        <w:rPr>
          <w:rFonts w:eastAsia="Calibri"/>
          <w:sz w:val="24"/>
          <w:szCs w:val="24"/>
          <w:lang w:eastAsia="en-US"/>
        </w:rPr>
        <w:t xml:space="preserve"> bringing or</w:t>
      </w:r>
      <w:r w:rsidR="00F1412D">
        <w:rPr>
          <w:rFonts w:eastAsia="Calibri"/>
          <w:sz w:val="24"/>
          <w:szCs w:val="24"/>
          <w:lang w:eastAsia="en-US"/>
        </w:rPr>
        <w:t xml:space="preserve"> importation of those goods</w:t>
      </w:r>
      <w:r w:rsidR="00621533">
        <w:rPr>
          <w:rFonts w:eastAsia="Calibri"/>
          <w:sz w:val="24"/>
          <w:szCs w:val="24"/>
          <w:lang w:eastAsia="en-US"/>
        </w:rPr>
        <w:t xml:space="preserve"> into Australian territory</w:t>
      </w:r>
      <w:r w:rsidR="00AC49AE">
        <w:rPr>
          <w:rFonts w:eastAsia="Calibri"/>
          <w:sz w:val="24"/>
          <w:szCs w:val="24"/>
          <w:lang w:eastAsia="en-US"/>
        </w:rPr>
        <w:t xml:space="preserve">. </w:t>
      </w:r>
      <w:r w:rsidR="00815160">
        <w:rPr>
          <w:rFonts w:eastAsia="Calibri"/>
          <w:sz w:val="24"/>
          <w:szCs w:val="24"/>
          <w:lang w:eastAsia="en-US"/>
        </w:rPr>
        <w:t xml:space="preserve">The plans inform what risk management </w:t>
      </w:r>
      <w:r w:rsidR="00007777">
        <w:rPr>
          <w:rFonts w:eastAsia="Calibri"/>
          <w:sz w:val="24"/>
          <w:szCs w:val="24"/>
          <w:lang w:eastAsia="en-US"/>
        </w:rPr>
        <w:t>measures</w:t>
      </w:r>
      <w:r w:rsidR="00815160">
        <w:rPr>
          <w:rFonts w:eastAsia="Calibri"/>
          <w:sz w:val="24"/>
          <w:szCs w:val="24"/>
          <w:lang w:eastAsia="en-US"/>
        </w:rPr>
        <w:t xml:space="preserve"> are applied to goods at the border as part of managing that risk. In this way, the condition is intended to achieve Australia’s ALOP, which </w:t>
      </w:r>
      <w:r w:rsidR="00815160">
        <w:rPr>
          <w:rFonts w:eastAsia="Calibri"/>
          <w:sz w:val="24"/>
          <w:szCs w:val="24"/>
          <w:lang w:eastAsia="en-US"/>
        </w:rPr>
        <w:lastRenderedPageBreak/>
        <w:t xml:space="preserve">requires that biosecurity risks are reduced to a very low level, but not zero. </w:t>
      </w:r>
      <w:r w:rsidR="00AC49AE">
        <w:rPr>
          <w:rFonts w:eastAsia="Calibri"/>
          <w:sz w:val="24"/>
          <w:szCs w:val="24"/>
          <w:lang w:eastAsia="en-US"/>
        </w:rPr>
        <w:t xml:space="preserve">These </w:t>
      </w:r>
      <w:r w:rsidR="00410977">
        <w:rPr>
          <w:rFonts w:eastAsia="Calibri"/>
          <w:sz w:val="24"/>
          <w:szCs w:val="24"/>
          <w:lang w:eastAsia="en-US"/>
        </w:rPr>
        <w:t>biosecurity preparedness plan</w:t>
      </w:r>
      <w:r w:rsidR="00AC49AE">
        <w:rPr>
          <w:rFonts w:eastAsia="Calibri"/>
          <w:sz w:val="24"/>
          <w:szCs w:val="24"/>
          <w:lang w:eastAsia="en-US"/>
        </w:rPr>
        <w:t>s will be</w:t>
      </w:r>
      <w:r w:rsidR="002249C8">
        <w:rPr>
          <w:rFonts w:eastAsia="Calibri"/>
          <w:sz w:val="24"/>
          <w:szCs w:val="24"/>
          <w:lang w:eastAsia="en-US"/>
        </w:rPr>
        <w:t xml:space="preserve"> listed on</w:t>
      </w:r>
      <w:r w:rsidR="00410977">
        <w:rPr>
          <w:rFonts w:eastAsia="Calibri"/>
          <w:sz w:val="24"/>
          <w:szCs w:val="24"/>
          <w:lang w:eastAsia="en-US"/>
        </w:rPr>
        <w:t xml:space="preserve"> and </w:t>
      </w:r>
      <w:r w:rsidR="00963DCD">
        <w:rPr>
          <w:rFonts w:eastAsia="Calibri"/>
          <w:sz w:val="24"/>
          <w:szCs w:val="24"/>
          <w:lang w:eastAsia="en-US"/>
        </w:rPr>
        <w:t xml:space="preserve">ordinarily </w:t>
      </w:r>
      <w:r w:rsidR="00410977">
        <w:rPr>
          <w:rFonts w:eastAsia="Calibri"/>
          <w:sz w:val="24"/>
          <w:szCs w:val="24"/>
          <w:lang w:eastAsia="en-US"/>
        </w:rPr>
        <w:t>accessible through</w:t>
      </w:r>
      <w:r w:rsidR="002249C8">
        <w:rPr>
          <w:rFonts w:eastAsia="Calibri"/>
          <w:sz w:val="24"/>
          <w:szCs w:val="24"/>
          <w:lang w:eastAsia="en-US"/>
        </w:rPr>
        <w:t xml:space="preserve"> the Agriculture Department’s website</w:t>
      </w:r>
      <w:r w:rsidR="00104351">
        <w:rPr>
          <w:rFonts w:eastAsia="Calibri"/>
          <w:sz w:val="24"/>
          <w:szCs w:val="24"/>
          <w:lang w:eastAsia="en-US"/>
        </w:rPr>
        <w:t>. The</w:t>
      </w:r>
      <w:r w:rsidR="00104351" w:rsidRPr="00445DB3">
        <w:rPr>
          <w:rFonts w:eastAsia="Calibri"/>
          <w:sz w:val="24"/>
          <w:szCs w:val="24"/>
          <w:lang w:eastAsia="en-US"/>
        </w:rPr>
        <w:t xml:space="preserve"> </w:t>
      </w:r>
      <w:r w:rsidR="00410977">
        <w:rPr>
          <w:rFonts w:eastAsia="Calibri"/>
          <w:sz w:val="24"/>
          <w:szCs w:val="24"/>
          <w:lang w:eastAsia="en-US"/>
        </w:rPr>
        <w:t xml:space="preserve">biosecurity </w:t>
      </w:r>
      <w:r w:rsidR="00077BB4">
        <w:rPr>
          <w:rFonts w:eastAsia="Calibri"/>
          <w:sz w:val="24"/>
          <w:szCs w:val="24"/>
          <w:lang w:eastAsia="en-US"/>
        </w:rPr>
        <w:t xml:space="preserve">preparedness plans </w:t>
      </w:r>
      <w:r w:rsidR="00104351" w:rsidRPr="00445DB3">
        <w:rPr>
          <w:rFonts w:eastAsia="Calibri"/>
          <w:sz w:val="24"/>
          <w:szCs w:val="24"/>
          <w:lang w:eastAsia="en-US"/>
        </w:rPr>
        <w:t xml:space="preserve">will </w:t>
      </w:r>
      <w:r w:rsidR="00846F04">
        <w:rPr>
          <w:rFonts w:eastAsia="Calibri"/>
          <w:sz w:val="24"/>
          <w:szCs w:val="24"/>
          <w:lang w:eastAsia="en-US"/>
        </w:rPr>
        <w:t xml:space="preserve">broadly cover all classes of goods </w:t>
      </w:r>
      <w:r w:rsidR="00846F04">
        <w:rPr>
          <w:sz w:val="24"/>
          <w:szCs w:val="24"/>
        </w:rPr>
        <w:t>that are the subject of an import declaration</w:t>
      </w:r>
      <w:r w:rsidR="00963DCD">
        <w:rPr>
          <w:sz w:val="24"/>
          <w:szCs w:val="24"/>
        </w:rPr>
        <w:t>.</w:t>
      </w:r>
      <w:r w:rsidR="00846F04">
        <w:rPr>
          <w:rFonts w:eastAsia="Calibri"/>
          <w:sz w:val="24"/>
          <w:szCs w:val="24"/>
          <w:lang w:eastAsia="en-US"/>
        </w:rPr>
        <w:t xml:space="preserve"> </w:t>
      </w:r>
    </w:p>
    <w:p w14:paraId="766CC171" w14:textId="77777777" w:rsidR="00B7520D" w:rsidRPr="00B7520D" w:rsidRDefault="00B7520D" w:rsidP="00B7520D">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existence of relevant </w:t>
      </w:r>
      <w:r w:rsidR="00963DCD">
        <w:rPr>
          <w:rFonts w:ascii="Times New Roman" w:eastAsia="Times New Roman" w:hAnsi="Times New Roman"/>
          <w:sz w:val="24"/>
          <w:szCs w:val="24"/>
          <w:lang w:eastAsia="en-AU"/>
        </w:rPr>
        <w:t>biosecurity p</w:t>
      </w:r>
      <w:r>
        <w:rPr>
          <w:rFonts w:ascii="Times New Roman" w:eastAsia="Times New Roman" w:hAnsi="Times New Roman"/>
          <w:sz w:val="24"/>
          <w:szCs w:val="24"/>
          <w:lang w:eastAsia="en-AU"/>
        </w:rPr>
        <w:t>reparedness plans currently underpin assessments of the biosecurity risk</w:t>
      </w:r>
      <w:r w:rsidR="00007777">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posed by the </w:t>
      </w:r>
      <w:r w:rsidR="00007777">
        <w:rPr>
          <w:rFonts w:ascii="Times New Roman" w:eastAsia="Times New Roman" w:hAnsi="Times New Roman"/>
          <w:sz w:val="24"/>
          <w:szCs w:val="24"/>
          <w:lang w:eastAsia="en-AU"/>
        </w:rPr>
        <w:t xml:space="preserve">bringing or </w:t>
      </w:r>
      <w:r>
        <w:rPr>
          <w:rFonts w:ascii="Times New Roman" w:eastAsia="Times New Roman" w:hAnsi="Times New Roman"/>
          <w:sz w:val="24"/>
          <w:szCs w:val="24"/>
          <w:lang w:eastAsia="en-AU"/>
        </w:rPr>
        <w:t xml:space="preserve">importation of classes of goods </w:t>
      </w:r>
      <w:r w:rsidR="00007777">
        <w:rPr>
          <w:rFonts w:ascii="Times New Roman" w:eastAsia="Times New Roman" w:hAnsi="Times New Roman"/>
          <w:sz w:val="24"/>
          <w:szCs w:val="24"/>
          <w:lang w:eastAsia="en-AU"/>
        </w:rPr>
        <w:t>into Australian territory</w:t>
      </w:r>
      <w:r>
        <w:rPr>
          <w:rFonts w:ascii="Times New Roman" w:eastAsia="Times New Roman" w:hAnsi="Times New Roman"/>
          <w:sz w:val="24"/>
          <w:szCs w:val="24"/>
          <w:lang w:eastAsia="en-AU"/>
        </w:rPr>
        <w:t xml:space="preserve">. The new condition will make overt this implicit assumption. </w:t>
      </w:r>
      <w:r w:rsidR="000E1D49">
        <w:rPr>
          <w:rFonts w:ascii="Times New Roman" w:eastAsia="Times New Roman" w:hAnsi="Times New Roman"/>
          <w:sz w:val="24"/>
          <w:szCs w:val="24"/>
          <w:lang w:eastAsia="en-AU"/>
        </w:rPr>
        <w:t>The</w:t>
      </w:r>
      <w:r w:rsidR="00F1412D">
        <w:rPr>
          <w:rFonts w:ascii="Times New Roman" w:eastAsia="Times New Roman" w:hAnsi="Times New Roman"/>
          <w:sz w:val="24"/>
          <w:szCs w:val="24"/>
          <w:lang w:eastAsia="en-AU"/>
        </w:rPr>
        <w:t xml:space="preserve"> additional condition for </w:t>
      </w:r>
      <w:r w:rsidR="00621533">
        <w:rPr>
          <w:rFonts w:ascii="Times New Roman" w:eastAsia="Times New Roman" w:hAnsi="Times New Roman"/>
          <w:sz w:val="24"/>
          <w:szCs w:val="24"/>
          <w:lang w:eastAsia="en-AU"/>
        </w:rPr>
        <w:t xml:space="preserve">classes of </w:t>
      </w:r>
      <w:r w:rsidR="00EE6FED">
        <w:rPr>
          <w:rFonts w:ascii="Times New Roman" w:eastAsia="Times New Roman" w:hAnsi="Times New Roman"/>
          <w:sz w:val="24"/>
          <w:szCs w:val="24"/>
          <w:lang w:eastAsia="en-AU"/>
        </w:rPr>
        <w:t xml:space="preserve">goods specified </w:t>
      </w:r>
      <w:r w:rsidR="00F1412D">
        <w:rPr>
          <w:rFonts w:ascii="Times New Roman" w:eastAsia="Times New Roman" w:hAnsi="Times New Roman"/>
          <w:sz w:val="24"/>
          <w:szCs w:val="24"/>
          <w:lang w:eastAsia="en-AU"/>
        </w:rPr>
        <w:t xml:space="preserve">in </w:t>
      </w:r>
      <w:r w:rsidR="00EE6FED">
        <w:rPr>
          <w:rFonts w:ascii="Times New Roman" w:eastAsia="Times New Roman" w:hAnsi="Times New Roman"/>
          <w:sz w:val="24"/>
          <w:szCs w:val="24"/>
          <w:lang w:eastAsia="en-AU"/>
        </w:rPr>
        <w:t xml:space="preserve">the </w:t>
      </w:r>
      <w:r w:rsidR="00F1412D">
        <w:rPr>
          <w:rFonts w:ascii="Times New Roman" w:eastAsia="Times New Roman" w:hAnsi="Times New Roman"/>
          <w:sz w:val="24"/>
          <w:szCs w:val="24"/>
          <w:lang w:eastAsia="en-AU"/>
        </w:rPr>
        <w:t xml:space="preserve">Goods Determination will </w:t>
      </w:r>
      <w:r>
        <w:rPr>
          <w:rFonts w:ascii="Times New Roman" w:eastAsia="Times New Roman" w:hAnsi="Times New Roman"/>
          <w:sz w:val="24"/>
          <w:szCs w:val="24"/>
          <w:lang w:eastAsia="en-AU"/>
        </w:rPr>
        <w:t xml:space="preserve">have minimal </w:t>
      </w:r>
      <w:r w:rsidRPr="00B7520D">
        <w:rPr>
          <w:rFonts w:ascii="Times New Roman" w:eastAsia="Times New Roman" w:hAnsi="Times New Roman"/>
          <w:sz w:val="24"/>
          <w:szCs w:val="24"/>
          <w:lang w:eastAsia="en-AU"/>
        </w:rPr>
        <w:t>regulatory impact on industry because it will not require industry to take any additional steps</w:t>
      </w:r>
      <w:r>
        <w:rPr>
          <w:rFonts w:ascii="Times New Roman" w:eastAsia="Times New Roman" w:hAnsi="Times New Roman"/>
          <w:sz w:val="24"/>
          <w:szCs w:val="24"/>
          <w:lang w:eastAsia="en-AU"/>
        </w:rPr>
        <w:t xml:space="preserve">. Rather, the condition will be met through the listing of </w:t>
      </w:r>
      <w:r w:rsidR="00DF5A6C">
        <w:rPr>
          <w:rFonts w:ascii="Times New Roman" w:eastAsia="Times New Roman" w:hAnsi="Times New Roman"/>
          <w:sz w:val="24"/>
          <w:szCs w:val="24"/>
          <w:lang w:eastAsia="en-AU"/>
        </w:rPr>
        <w:t xml:space="preserve">biosecurity preparedness </w:t>
      </w:r>
      <w:r>
        <w:rPr>
          <w:rFonts w:ascii="Times New Roman" w:eastAsia="Times New Roman" w:hAnsi="Times New Roman"/>
          <w:sz w:val="24"/>
          <w:szCs w:val="24"/>
          <w:lang w:eastAsia="en-AU"/>
        </w:rPr>
        <w:t>plans on the department’s website</w:t>
      </w:r>
      <w:r w:rsidRPr="00B7520D">
        <w:rPr>
          <w:rFonts w:ascii="Times New Roman" w:eastAsia="Times New Roman" w:hAnsi="Times New Roman"/>
          <w:sz w:val="24"/>
          <w:szCs w:val="24"/>
          <w:lang w:eastAsia="en-AU"/>
        </w:rPr>
        <w:t xml:space="preserve">. </w:t>
      </w:r>
    </w:p>
    <w:p w14:paraId="45460A61" w14:textId="77777777" w:rsidR="00F17E65" w:rsidRDefault="00B80D61" w:rsidP="006C0B3F">
      <w:pPr>
        <w:shd w:val="clear" w:color="auto" w:fill="FFFFFF"/>
        <w:rPr>
          <w:rFonts w:ascii="Times New Roman" w:eastAsia="Times New Roman" w:hAnsi="Times New Roman"/>
          <w:b/>
          <w:bCs/>
          <w:sz w:val="24"/>
          <w:szCs w:val="24"/>
          <w:lang w:eastAsia="en-AU"/>
        </w:rPr>
      </w:pPr>
      <w:r w:rsidRPr="007912BD">
        <w:rPr>
          <w:rFonts w:ascii="Times New Roman" w:eastAsia="Times New Roman" w:hAnsi="Times New Roman"/>
          <w:b/>
          <w:bCs/>
          <w:sz w:val="24"/>
          <w:szCs w:val="24"/>
          <w:lang w:eastAsia="en-AU"/>
        </w:rPr>
        <w:t>Consultation</w:t>
      </w:r>
    </w:p>
    <w:p w14:paraId="2B090EAB" w14:textId="77777777" w:rsidR="00E20BF2" w:rsidRPr="0074141D" w:rsidRDefault="00E20BF2" w:rsidP="00216325">
      <w:pPr>
        <w:shd w:val="clear" w:color="auto" w:fill="FFFFFF"/>
        <w:rPr>
          <w:rFonts w:ascii="Times New Roman" w:hAnsi="Times New Roman"/>
          <w:sz w:val="24"/>
          <w:szCs w:val="24"/>
        </w:rPr>
      </w:pPr>
      <w:r w:rsidRPr="0074141D">
        <w:rPr>
          <w:rFonts w:ascii="Times New Roman" w:hAnsi="Times New Roman"/>
          <w:sz w:val="24"/>
          <w:szCs w:val="24"/>
          <w:lang w:eastAsia="en-AU"/>
        </w:rPr>
        <w:t>The Department of Agriculture has prepared the amendments in consultation with the Department of Health</w:t>
      </w:r>
      <w:r w:rsidR="00410977" w:rsidRPr="0074141D">
        <w:rPr>
          <w:rFonts w:ascii="Times New Roman" w:hAnsi="Times New Roman"/>
          <w:sz w:val="24"/>
          <w:szCs w:val="24"/>
          <w:lang w:eastAsia="en-AU"/>
        </w:rPr>
        <w:t>.</w:t>
      </w:r>
      <w:r w:rsidRPr="0074141D">
        <w:rPr>
          <w:rFonts w:ascii="Times New Roman" w:hAnsi="Times New Roman"/>
          <w:sz w:val="24"/>
          <w:szCs w:val="24"/>
          <w:lang w:eastAsia="en-AU"/>
        </w:rPr>
        <w:t xml:space="preserve"> </w:t>
      </w:r>
    </w:p>
    <w:p w14:paraId="15849163" w14:textId="77777777" w:rsidR="00BF5F52" w:rsidRPr="00AA3F9C" w:rsidRDefault="00BF5F52" w:rsidP="00BF5F52">
      <w:pPr>
        <w:shd w:val="clear" w:color="auto" w:fill="FFFFFF"/>
        <w:rPr>
          <w:rFonts w:ascii="Times New Roman" w:eastAsia="Times New Roman" w:hAnsi="Times New Roman"/>
          <w:sz w:val="24"/>
          <w:szCs w:val="24"/>
          <w:lang w:eastAsia="en-AU"/>
        </w:rPr>
      </w:pPr>
      <w:r w:rsidRPr="00067EFB">
        <w:rPr>
          <w:rFonts w:ascii="Times New Roman" w:eastAsia="Times New Roman" w:hAnsi="Times New Roman"/>
          <w:sz w:val="24"/>
          <w:szCs w:val="24"/>
          <w:lang w:eastAsia="en-AU"/>
        </w:rPr>
        <w:t>The Office of Best Practice Regulation (</w:t>
      </w:r>
      <w:r w:rsidRPr="00067EFB">
        <w:rPr>
          <w:rFonts w:ascii="Times New Roman" w:eastAsia="Times New Roman" w:hAnsi="Times New Roman"/>
          <w:b/>
          <w:sz w:val="24"/>
          <w:szCs w:val="24"/>
          <w:lang w:eastAsia="en-AU"/>
        </w:rPr>
        <w:t>OBPR</w:t>
      </w:r>
      <w:r w:rsidRPr="00067EFB">
        <w:rPr>
          <w:rFonts w:ascii="Times New Roman" w:eastAsia="Times New Roman" w:hAnsi="Times New Roman"/>
          <w:sz w:val="24"/>
          <w:szCs w:val="24"/>
          <w:lang w:eastAsia="en-AU"/>
        </w:rPr>
        <w:t>) has approved a standing exemption from the Regulatory Impact Statement Preliminary Assessment (</w:t>
      </w:r>
      <w:r w:rsidRPr="00067EFB">
        <w:rPr>
          <w:rFonts w:ascii="Times New Roman" w:eastAsia="Times New Roman" w:hAnsi="Times New Roman"/>
          <w:b/>
          <w:sz w:val="24"/>
          <w:szCs w:val="24"/>
          <w:lang w:eastAsia="en-AU"/>
        </w:rPr>
        <w:t>RIS</w:t>
      </w:r>
      <w:r w:rsidR="009F2A71">
        <w:rPr>
          <w:rFonts w:ascii="Times New Roman" w:eastAsia="Times New Roman" w:hAnsi="Times New Roman"/>
          <w:b/>
          <w:sz w:val="24"/>
          <w:szCs w:val="24"/>
          <w:lang w:eastAsia="en-AU"/>
        </w:rPr>
        <w:t xml:space="preserve"> PA</w:t>
      </w:r>
      <w:r w:rsidR="00B265A3" w:rsidRPr="00067EFB">
        <w:rPr>
          <w:rFonts w:ascii="Times New Roman" w:eastAsia="Times New Roman" w:hAnsi="Times New Roman"/>
          <w:b/>
          <w:sz w:val="24"/>
          <w:szCs w:val="24"/>
          <w:lang w:eastAsia="en-AU"/>
        </w:rPr>
        <w:t>)</w:t>
      </w:r>
      <w:r w:rsidRPr="00067EFB">
        <w:rPr>
          <w:rFonts w:ascii="Times New Roman" w:eastAsia="Times New Roman" w:hAnsi="Times New Roman"/>
          <w:sz w:val="24"/>
          <w:szCs w:val="24"/>
          <w:lang w:eastAsia="en-AU"/>
        </w:rPr>
        <w:t xml:space="preserve"> process for minor amendments to the Goods Determinations (ID 23368). Accordingly, a RIS </w:t>
      </w:r>
      <w:r w:rsidR="009F2A71">
        <w:rPr>
          <w:rFonts w:ascii="Times New Roman" w:eastAsia="Times New Roman" w:hAnsi="Times New Roman"/>
          <w:sz w:val="24"/>
          <w:szCs w:val="24"/>
          <w:lang w:eastAsia="en-AU"/>
        </w:rPr>
        <w:t xml:space="preserve">PA </w:t>
      </w:r>
      <w:r w:rsidRPr="00067EFB">
        <w:rPr>
          <w:rFonts w:ascii="Times New Roman" w:eastAsia="Times New Roman" w:hAnsi="Times New Roman"/>
          <w:sz w:val="24"/>
          <w:szCs w:val="24"/>
          <w:lang w:eastAsia="en-AU"/>
        </w:rPr>
        <w:t>has not been conducted for the Amendment Determination.</w:t>
      </w:r>
    </w:p>
    <w:p w14:paraId="19CA3F96" w14:textId="77777777" w:rsidR="00B80D61" w:rsidRPr="007912BD" w:rsidRDefault="00B80D61" w:rsidP="003E1981">
      <w:pPr>
        <w:shd w:val="clear" w:color="auto" w:fill="FFFFFF"/>
        <w:rPr>
          <w:rFonts w:ascii="Times New Roman" w:eastAsia="Times New Roman" w:hAnsi="Times New Roman"/>
          <w:b/>
          <w:bCs/>
          <w:sz w:val="24"/>
          <w:szCs w:val="24"/>
          <w:lang w:eastAsia="en-AU"/>
        </w:rPr>
      </w:pPr>
      <w:r w:rsidRPr="007912BD">
        <w:rPr>
          <w:rFonts w:ascii="Times New Roman" w:eastAsia="Times New Roman" w:hAnsi="Times New Roman"/>
          <w:b/>
          <w:bCs/>
          <w:sz w:val="24"/>
          <w:szCs w:val="24"/>
          <w:lang w:eastAsia="en-AU"/>
        </w:rPr>
        <w:t>Details/Operation</w:t>
      </w:r>
    </w:p>
    <w:p w14:paraId="7EF60EF1" w14:textId="77777777" w:rsidR="00B80D61" w:rsidRPr="007912BD" w:rsidRDefault="00B80D61" w:rsidP="003E1981">
      <w:pPr>
        <w:shd w:val="clear" w:color="auto" w:fill="FFFFFF"/>
        <w:rPr>
          <w:rFonts w:ascii="Times New Roman" w:eastAsia="Times New Roman" w:hAnsi="Times New Roman"/>
          <w:sz w:val="24"/>
          <w:szCs w:val="24"/>
          <w:lang w:eastAsia="en-AU"/>
        </w:rPr>
      </w:pPr>
      <w:r w:rsidRPr="007912BD">
        <w:rPr>
          <w:rFonts w:ascii="Times New Roman" w:eastAsia="Times New Roman" w:hAnsi="Times New Roman"/>
          <w:sz w:val="24"/>
          <w:szCs w:val="24"/>
          <w:lang w:eastAsia="en-AU"/>
        </w:rPr>
        <w:t xml:space="preserve">Details of the </w:t>
      </w:r>
      <w:r w:rsidR="000A3B55">
        <w:rPr>
          <w:rFonts w:ascii="Times New Roman" w:hAnsi="Times New Roman"/>
          <w:sz w:val="24"/>
          <w:szCs w:val="24"/>
        </w:rPr>
        <w:t>Amendment Determination</w:t>
      </w:r>
      <w:r w:rsidR="00A1229E" w:rsidRPr="007912BD">
        <w:rPr>
          <w:rFonts w:ascii="Times New Roman" w:eastAsia="Times New Roman" w:hAnsi="Times New Roman"/>
          <w:sz w:val="24"/>
          <w:szCs w:val="24"/>
          <w:lang w:eastAsia="en-AU"/>
        </w:rPr>
        <w:t xml:space="preserve"> </w:t>
      </w:r>
      <w:r w:rsidRPr="007912BD">
        <w:rPr>
          <w:rFonts w:ascii="Times New Roman" w:eastAsia="Times New Roman" w:hAnsi="Times New Roman"/>
          <w:sz w:val="24"/>
          <w:szCs w:val="24"/>
          <w:lang w:eastAsia="en-AU"/>
        </w:rPr>
        <w:t xml:space="preserve">are set out in Attachment A. </w:t>
      </w:r>
    </w:p>
    <w:p w14:paraId="40A82F42" w14:textId="77777777" w:rsidR="00AF21AE" w:rsidRPr="007912BD" w:rsidRDefault="00AF21AE" w:rsidP="00AF21AE">
      <w:pPr>
        <w:shd w:val="clear" w:color="auto" w:fill="FFFFFF"/>
        <w:rPr>
          <w:rFonts w:ascii="Times New Roman" w:eastAsia="Times New Roman" w:hAnsi="Times New Roman"/>
          <w:sz w:val="24"/>
          <w:szCs w:val="24"/>
          <w:lang w:eastAsia="en-AU"/>
        </w:rPr>
      </w:pPr>
      <w:r w:rsidRPr="007912BD">
        <w:rPr>
          <w:rFonts w:ascii="Times New Roman" w:eastAsia="Times New Roman" w:hAnsi="Times New Roman"/>
          <w:sz w:val="24"/>
          <w:szCs w:val="24"/>
          <w:lang w:eastAsia="en-AU"/>
        </w:rPr>
        <w:t xml:space="preserve">This </w:t>
      </w:r>
      <w:r w:rsidR="000A3B55">
        <w:rPr>
          <w:rFonts w:ascii="Times New Roman" w:hAnsi="Times New Roman"/>
          <w:sz w:val="24"/>
          <w:szCs w:val="24"/>
        </w:rPr>
        <w:t>Amendment Determination</w:t>
      </w:r>
      <w:r w:rsidRPr="007912BD">
        <w:rPr>
          <w:rFonts w:ascii="Times New Roman" w:eastAsia="Times New Roman" w:hAnsi="Times New Roman"/>
          <w:sz w:val="24"/>
          <w:szCs w:val="24"/>
          <w:lang w:eastAsia="en-AU"/>
        </w:rPr>
        <w:t xml:space="preserve"> is a legislative instrument for the purposes of the </w:t>
      </w:r>
      <w:r w:rsidRPr="007912BD">
        <w:rPr>
          <w:rFonts w:ascii="Times New Roman" w:eastAsia="Times New Roman" w:hAnsi="Times New Roman"/>
          <w:i/>
          <w:sz w:val="24"/>
          <w:szCs w:val="24"/>
          <w:lang w:eastAsia="en-AU"/>
        </w:rPr>
        <w:t xml:space="preserve">Legislation Act 2003 </w:t>
      </w:r>
      <w:r w:rsidRPr="007912BD">
        <w:rPr>
          <w:rFonts w:ascii="Times New Roman" w:eastAsia="Times New Roman" w:hAnsi="Times New Roman"/>
          <w:sz w:val="24"/>
          <w:szCs w:val="24"/>
          <w:lang w:eastAsia="en-AU"/>
        </w:rPr>
        <w:t>(</w:t>
      </w:r>
      <w:r w:rsidRPr="007912BD">
        <w:rPr>
          <w:rFonts w:ascii="Times New Roman" w:eastAsia="Times New Roman" w:hAnsi="Times New Roman"/>
          <w:b/>
          <w:sz w:val="24"/>
          <w:szCs w:val="24"/>
          <w:lang w:eastAsia="en-AU"/>
        </w:rPr>
        <w:t>Legislation Act</w:t>
      </w:r>
      <w:r w:rsidRPr="007912BD">
        <w:rPr>
          <w:rFonts w:ascii="Times New Roman" w:eastAsia="Times New Roman" w:hAnsi="Times New Roman"/>
          <w:sz w:val="24"/>
          <w:szCs w:val="24"/>
          <w:lang w:eastAsia="en-AU"/>
        </w:rPr>
        <w:t xml:space="preserve">). Subsection 174(5) of the </w:t>
      </w:r>
      <w:r w:rsidR="00E64D5F">
        <w:rPr>
          <w:rFonts w:ascii="Times New Roman" w:eastAsia="Times New Roman" w:hAnsi="Times New Roman"/>
          <w:sz w:val="24"/>
          <w:szCs w:val="24"/>
          <w:lang w:eastAsia="en-AU"/>
        </w:rPr>
        <w:t>Biosecurity</w:t>
      </w:r>
      <w:r w:rsidR="00652A0A">
        <w:rPr>
          <w:rFonts w:ascii="Times New Roman" w:eastAsia="Times New Roman" w:hAnsi="Times New Roman"/>
          <w:sz w:val="24"/>
          <w:szCs w:val="24"/>
          <w:lang w:eastAsia="en-AU"/>
        </w:rPr>
        <w:t xml:space="preserve"> </w:t>
      </w:r>
      <w:r w:rsidRPr="007912BD">
        <w:rPr>
          <w:rFonts w:ascii="Times New Roman" w:eastAsia="Times New Roman" w:hAnsi="Times New Roman"/>
          <w:sz w:val="24"/>
          <w:szCs w:val="24"/>
          <w:lang w:eastAsia="en-AU"/>
        </w:rPr>
        <w:t xml:space="preserve">Act provides that the </w:t>
      </w:r>
      <w:r w:rsidR="00652A0A">
        <w:rPr>
          <w:rFonts w:ascii="Times New Roman" w:eastAsia="Times New Roman" w:hAnsi="Times New Roman"/>
          <w:sz w:val="24"/>
          <w:szCs w:val="24"/>
          <w:lang w:eastAsia="en-AU"/>
        </w:rPr>
        <w:t xml:space="preserve">Amendment </w:t>
      </w:r>
      <w:r w:rsidRPr="007912BD">
        <w:rPr>
          <w:rFonts w:ascii="Times New Roman" w:eastAsia="Times New Roman" w:hAnsi="Times New Roman"/>
          <w:sz w:val="24"/>
          <w:szCs w:val="24"/>
          <w:lang w:eastAsia="en-AU"/>
        </w:rPr>
        <w:t>Determination is not subject to disallowance. Consequently, a Statement of Compatibility with Human Rights is not required in accordance with paragraph 15J(2)(f) of the Legislation Act.</w:t>
      </w:r>
    </w:p>
    <w:p w14:paraId="0F29CC9F" w14:textId="77777777" w:rsidR="00AF21AE" w:rsidRDefault="00AF21AE" w:rsidP="00AF21AE">
      <w:pPr>
        <w:shd w:val="clear" w:color="auto" w:fill="FFFFFF"/>
        <w:rPr>
          <w:rFonts w:ascii="Times New Roman" w:eastAsia="Times New Roman" w:hAnsi="Times New Roman"/>
          <w:sz w:val="24"/>
          <w:szCs w:val="24"/>
          <w:lang w:eastAsia="en-AU"/>
        </w:rPr>
      </w:pPr>
      <w:r w:rsidRPr="007912BD">
        <w:rPr>
          <w:rFonts w:ascii="Times New Roman" w:eastAsia="Times New Roman" w:hAnsi="Times New Roman"/>
          <w:sz w:val="24"/>
          <w:szCs w:val="24"/>
          <w:lang w:eastAsia="en-AU"/>
        </w:rPr>
        <w:t xml:space="preserve">The decision to make this </w:t>
      </w:r>
      <w:r w:rsidR="000A3B55">
        <w:rPr>
          <w:rFonts w:ascii="Times New Roman" w:hAnsi="Times New Roman"/>
          <w:sz w:val="24"/>
          <w:szCs w:val="24"/>
        </w:rPr>
        <w:t>Amendment Determination</w:t>
      </w:r>
      <w:r w:rsidRPr="007912BD">
        <w:rPr>
          <w:rFonts w:ascii="Times New Roman" w:eastAsia="Times New Roman" w:hAnsi="Times New Roman"/>
          <w:sz w:val="24"/>
          <w:szCs w:val="24"/>
          <w:lang w:eastAsia="en-AU"/>
        </w:rPr>
        <w:t xml:space="preserve"> under subsection 174(1) of the Act is a technical and scientifically-based decision. The ALOP for Australia was applied in conducting a risk assessment for the purpose of deciding whether to make this Amendment Determination. </w:t>
      </w:r>
    </w:p>
    <w:p w14:paraId="519BBAD7" w14:textId="77777777" w:rsidR="00B80D61" w:rsidRDefault="00B80D61" w:rsidP="003E1981">
      <w:pPr>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p w14:paraId="5E5BA418" w14:textId="77777777" w:rsidR="00B80D61" w:rsidRPr="00B7010F" w:rsidRDefault="00B80D61" w:rsidP="003E1981">
      <w:pPr>
        <w:shd w:val="clear" w:color="auto" w:fill="FFFFFF"/>
        <w:jc w:val="right"/>
        <w:rPr>
          <w:rFonts w:ascii="Times New Roman" w:eastAsia="Times New Roman" w:hAnsi="Times New Roman"/>
          <w:sz w:val="24"/>
          <w:szCs w:val="24"/>
          <w:lang w:val="en-US" w:eastAsia="en-AU"/>
        </w:rPr>
      </w:pPr>
      <w:r w:rsidRPr="00B7010F">
        <w:rPr>
          <w:rFonts w:ascii="Times New Roman" w:eastAsia="Times New Roman" w:hAnsi="Times New Roman"/>
          <w:b/>
          <w:bCs/>
          <w:caps/>
          <w:sz w:val="24"/>
          <w:szCs w:val="24"/>
          <w:u w:val="single"/>
          <w:lang w:eastAsia="en-AU"/>
        </w:rPr>
        <w:lastRenderedPageBreak/>
        <w:t>Attachment</w:t>
      </w:r>
      <w:r>
        <w:rPr>
          <w:rFonts w:ascii="Times New Roman" w:eastAsia="Times New Roman" w:hAnsi="Times New Roman"/>
          <w:b/>
          <w:bCs/>
          <w:caps/>
          <w:sz w:val="24"/>
          <w:szCs w:val="24"/>
          <w:u w:val="single"/>
          <w:lang w:eastAsia="en-AU"/>
        </w:rPr>
        <w:t xml:space="preserve"> A</w:t>
      </w:r>
    </w:p>
    <w:p w14:paraId="7CB30C53" w14:textId="77777777" w:rsidR="00B80D61" w:rsidRPr="00B7010F" w:rsidRDefault="00B80D61" w:rsidP="003E1981">
      <w:pPr>
        <w:shd w:val="clear" w:color="auto" w:fill="FFFFFF"/>
        <w:rPr>
          <w:rFonts w:ascii="Times New Roman" w:eastAsia="Times New Roman" w:hAnsi="Times New Roman"/>
          <w:b/>
          <w:sz w:val="24"/>
          <w:szCs w:val="24"/>
          <w:lang w:eastAsia="en-AU"/>
        </w:rPr>
      </w:pPr>
      <w:r w:rsidRPr="00B7010F">
        <w:rPr>
          <w:rFonts w:ascii="Times New Roman" w:eastAsia="Times New Roman" w:hAnsi="Times New Roman"/>
          <w:b/>
          <w:sz w:val="24"/>
          <w:szCs w:val="24"/>
          <w:lang w:eastAsia="en-AU"/>
        </w:rPr>
        <w:t xml:space="preserve">Details of the </w:t>
      </w:r>
      <w:r w:rsidR="00AB5A00" w:rsidRPr="00AB5A00">
        <w:rPr>
          <w:rFonts w:ascii="Times New Roman" w:eastAsia="Times New Roman" w:hAnsi="Times New Roman"/>
          <w:b/>
          <w:i/>
          <w:sz w:val="24"/>
          <w:szCs w:val="24"/>
          <w:lang w:eastAsia="en-AU"/>
        </w:rPr>
        <w:t>Biosecurity (Prohibited and Conditionally Non-prohibited Goods) Amendment (</w:t>
      </w:r>
      <w:r w:rsidR="004862B3">
        <w:rPr>
          <w:rFonts w:ascii="Times New Roman" w:eastAsia="Times New Roman" w:hAnsi="Times New Roman"/>
          <w:b/>
          <w:i/>
          <w:sz w:val="24"/>
          <w:szCs w:val="24"/>
          <w:lang w:eastAsia="en-AU"/>
        </w:rPr>
        <w:t>Biosecurity Preparedness Plans</w:t>
      </w:r>
      <w:r w:rsidR="00AB5A00" w:rsidRPr="00AB5A00">
        <w:rPr>
          <w:rFonts w:ascii="Times New Roman" w:eastAsia="Times New Roman" w:hAnsi="Times New Roman"/>
          <w:b/>
          <w:i/>
          <w:sz w:val="24"/>
          <w:szCs w:val="24"/>
          <w:lang w:eastAsia="en-AU"/>
        </w:rPr>
        <w:t>) Determination 2019</w:t>
      </w:r>
    </w:p>
    <w:p w14:paraId="7BECC3A9" w14:textId="77777777" w:rsidR="00B80D61" w:rsidRPr="00AF21AE" w:rsidRDefault="00B80D61" w:rsidP="003E1981">
      <w:pPr>
        <w:shd w:val="clear" w:color="auto" w:fill="FFFFFF"/>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1 — Name</w:t>
      </w:r>
    </w:p>
    <w:p w14:paraId="451B1FCF" w14:textId="77777777" w:rsidR="00B80D61" w:rsidRPr="00FD0522" w:rsidRDefault="00B80D61" w:rsidP="003E1981">
      <w:pPr>
        <w:shd w:val="clear" w:color="auto" w:fill="FFFFFF"/>
        <w:rPr>
          <w:rFonts w:ascii="Times New Roman" w:eastAsia="Times New Roman" w:hAnsi="Times New Roman"/>
          <w:sz w:val="24"/>
          <w:szCs w:val="24"/>
          <w:lang w:eastAsia="en-AU"/>
        </w:rPr>
      </w:pPr>
      <w:r w:rsidRPr="00AF21AE">
        <w:rPr>
          <w:rFonts w:ascii="Times New Roman" w:eastAsia="Times New Roman" w:hAnsi="Times New Roman"/>
          <w:sz w:val="24"/>
          <w:szCs w:val="24"/>
          <w:lang w:eastAsia="en-AU"/>
        </w:rPr>
        <w:t xml:space="preserve">This section provides that the name of the </w:t>
      </w:r>
      <w:r w:rsidR="00652A0A">
        <w:rPr>
          <w:rFonts w:ascii="Times New Roman" w:eastAsia="Times New Roman" w:hAnsi="Times New Roman"/>
          <w:sz w:val="24"/>
          <w:szCs w:val="24"/>
          <w:lang w:eastAsia="en-AU"/>
        </w:rPr>
        <w:t>legislative instrument</w:t>
      </w:r>
      <w:r w:rsidRPr="00AF21AE">
        <w:rPr>
          <w:rFonts w:ascii="Times New Roman" w:eastAsia="Times New Roman" w:hAnsi="Times New Roman"/>
          <w:sz w:val="24"/>
          <w:szCs w:val="24"/>
          <w:lang w:eastAsia="en-AU"/>
        </w:rPr>
        <w:t xml:space="preserve"> is the </w:t>
      </w:r>
      <w:r w:rsidR="00AB5A00" w:rsidRPr="00AB5A00">
        <w:rPr>
          <w:rFonts w:ascii="Times New Roman" w:eastAsia="Times New Roman" w:hAnsi="Times New Roman"/>
          <w:i/>
          <w:sz w:val="24"/>
          <w:szCs w:val="24"/>
          <w:lang w:eastAsia="en-AU"/>
        </w:rPr>
        <w:t>Biosecurity (Prohibited and Con</w:t>
      </w:r>
      <w:r w:rsidR="00426F3B">
        <w:rPr>
          <w:rFonts w:ascii="Times New Roman" w:eastAsia="Times New Roman" w:hAnsi="Times New Roman"/>
          <w:i/>
          <w:sz w:val="24"/>
          <w:szCs w:val="24"/>
          <w:lang w:eastAsia="en-AU"/>
        </w:rPr>
        <w:t>ditionally Non-prohibited Goods</w:t>
      </w:r>
      <w:r w:rsidR="00AB5A00" w:rsidRPr="00AB5A00">
        <w:rPr>
          <w:rFonts w:ascii="Times New Roman" w:eastAsia="Times New Roman" w:hAnsi="Times New Roman"/>
          <w:i/>
          <w:sz w:val="24"/>
          <w:szCs w:val="24"/>
          <w:lang w:eastAsia="en-AU"/>
        </w:rPr>
        <w:t>) Amendment (</w:t>
      </w:r>
      <w:r w:rsidR="004862B3">
        <w:rPr>
          <w:rFonts w:ascii="Times New Roman" w:eastAsia="Times New Roman" w:hAnsi="Times New Roman"/>
          <w:i/>
          <w:sz w:val="24"/>
          <w:szCs w:val="24"/>
          <w:lang w:eastAsia="en-AU"/>
        </w:rPr>
        <w:t>Biosecurity Preparedness Plans</w:t>
      </w:r>
      <w:r w:rsidR="00AB5A00" w:rsidRPr="00AB5A00">
        <w:rPr>
          <w:rFonts w:ascii="Times New Roman" w:eastAsia="Times New Roman" w:hAnsi="Times New Roman"/>
          <w:i/>
          <w:sz w:val="24"/>
          <w:szCs w:val="24"/>
          <w:lang w:eastAsia="en-AU"/>
        </w:rPr>
        <w:t>) Determination 2019</w:t>
      </w:r>
      <w:r w:rsidR="00652A0A">
        <w:rPr>
          <w:rFonts w:ascii="Times New Roman" w:eastAsia="Times New Roman" w:hAnsi="Times New Roman"/>
          <w:i/>
          <w:sz w:val="24"/>
          <w:szCs w:val="24"/>
          <w:lang w:eastAsia="en-AU"/>
        </w:rPr>
        <w:t xml:space="preserve"> </w:t>
      </w:r>
      <w:r w:rsidR="00652A0A" w:rsidRPr="00C33B68">
        <w:rPr>
          <w:rFonts w:ascii="Times New Roman" w:eastAsia="Times New Roman" w:hAnsi="Times New Roman"/>
          <w:sz w:val="24"/>
          <w:szCs w:val="24"/>
          <w:lang w:eastAsia="en-AU"/>
        </w:rPr>
        <w:t>(Amendment Determination)</w:t>
      </w:r>
      <w:r w:rsidR="00FD0522" w:rsidRPr="00652A0A">
        <w:rPr>
          <w:rFonts w:ascii="Times New Roman" w:eastAsia="Times New Roman" w:hAnsi="Times New Roman"/>
          <w:sz w:val="24"/>
          <w:szCs w:val="24"/>
          <w:lang w:eastAsia="en-AU"/>
        </w:rPr>
        <w:t>.</w:t>
      </w:r>
    </w:p>
    <w:p w14:paraId="3CA013F4" w14:textId="77777777" w:rsidR="00B80D61" w:rsidRPr="00B7010F" w:rsidRDefault="00B80D61" w:rsidP="003E1981">
      <w:pPr>
        <w:shd w:val="clear" w:color="auto" w:fill="FFFFFF"/>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2 — Commencement</w:t>
      </w:r>
    </w:p>
    <w:p w14:paraId="642A439E" w14:textId="77777777" w:rsidR="00C33B68" w:rsidRPr="00A63FDE" w:rsidRDefault="00F43AD3" w:rsidP="00BB695D">
      <w:pPr>
        <w:shd w:val="clear" w:color="auto" w:fill="FFFFFF"/>
        <w:rPr>
          <w:rFonts w:ascii="Times New Roman" w:eastAsia="Times New Roman" w:hAnsi="Times New Roman"/>
          <w:sz w:val="24"/>
          <w:szCs w:val="24"/>
          <w:lang w:eastAsia="en-AU"/>
        </w:rPr>
      </w:pPr>
      <w:r w:rsidRPr="00A63FDE">
        <w:rPr>
          <w:rFonts w:ascii="Times New Roman" w:eastAsia="Times New Roman" w:hAnsi="Times New Roman"/>
          <w:sz w:val="24"/>
          <w:szCs w:val="24"/>
          <w:lang w:eastAsia="en-AU"/>
        </w:rPr>
        <w:t xml:space="preserve">This section provides for the commencement of each provision of the Amendment Determination, as set out in the table. </w:t>
      </w:r>
      <w:r w:rsidR="001E3B6A" w:rsidRPr="00A63FDE">
        <w:rPr>
          <w:rFonts w:ascii="Times New Roman" w:eastAsia="Times New Roman" w:hAnsi="Times New Roman"/>
          <w:sz w:val="24"/>
          <w:szCs w:val="24"/>
          <w:lang w:eastAsia="en-AU"/>
        </w:rPr>
        <w:t>Subsection 2(1) provides that the whole of the Amendment Determination (specified in column 1</w:t>
      </w:r>
      <w:r w:rsidR="00E23C5B">
        <w:rPr>
          <w:rFonts w:ascii="Times New Roman" w:eastAsia="Times New Roman" w:hAnsi="Times New Roman"/>
          <w:sz w:val="24"/>
          <w:szCs w:val="24"/>
          <w:lang w:eastAsia="en-AU"/>
        </w:rPr>
        <w:t xml:space="preserve"> </w:t>
      </w:r>
      <w:r w:rsidR="001E3B6A" w:rsidRPr="00A63FDE">
        <w:rPr>
          <w:rFonts w:ascii="Times New Roman" w:eastAsia="Times New Roman" w:hAnsi="Times New Roman"/>
          <w:sz w:val="24"/>
          <w:szCs w:val="24"/>
          <w:lang w:eastAsia="en-AU"/>
        </w:rPr>
        <w:t xml:space="preserve">of the table </w:t>
      </w:r>
      <w:r w:rsidR="00E23C5B">
        <w:rPr>
          <w:rFonts w:ascii="Times New Roman" w:eastAsia="Times New Roman" w:hAnsi="Times New Roman"/>
          <w:sz w:val="24"/>
          <w:szCs w:val="24"/>
          <w:lang w:eastAsia="en-AU"/>
        </w:rPr>
        <w:t>in</w:t>
      </w:r>
      <w:r w:rsidR="001E3B6A" w:rsidRPr="00A63FDE">
        <w:rPr>
          <w:rFonts w:ascii="Times New Roman" w:eastAsia="Times New Roman" w:hAnsi="Times New Roman"/>
          <w:sz w:val="24"/>
          <w:szCs w:val="24"/>
          <w:lang w:eastAsia="en-AU"/>
        </w:rPr>
        <w:t xml:space="preserve"> the subsection) commences, or is taken to have commenced, in accordance with column 2 of the table</w:t>
      </w:r>
      <w:r w:rsidR="00B40D25" w:rsidRPr="00A63FDE">
        <w:rPr>
          <w:rFonts w:ascii="Times New Roman" w:eastAsia="Times New Roman" w:hAnsi="Times New Roman"/>
          <w:sz w:val="24"/>
          <w:szCs w:val="24"/>
          <w:lang w:eastAsia="en-AU"/>
        </w:rPr>
        <w:t xml:space="preserve">. </w:t>
      </w:r>
    </w:p>
    <w:p w14:paraId="4470E548" w14:textId="77777777" w:rsidR="00BB695D" w:rsidRPr="000B1810" w:rsidRDefault="00BB695D" w:rsidP="00BB695D">
      <w:pPr>
        <w:shd w:val="clear" w:color="auto" w:fill="FFFFFF"/>
        <w:rPr>
          <w:rFonts w:ascii="Times New Roman" w:eastAsia="Times New Roman" w:hAnsi="Times New Roman"/>
          <w:sz w:val="24"/>
          <w:szCs w:val="24"/>
          <w:lang w:eastAsia="en-AU"/>
        </w:rPr>
      </w:pPr>
      <w:r w:rsidRPr="00A1343D">
        <w:rPr>
          <w:rFonts w:ascii="Times New Roman" w:eastAsia="Times New Roman" w:hAnsi="Times New Roman"/>
          <w:sz w:val="24"/>
          <w:szCs w:val="24"/>
          <w:lang w:eastAsia="en-AU"/>
        </w:rPr>
        <w:t>Column 2 provides that the whole of the Ame</w:t>
      </w:r>
      <w:r w:rsidR="004862B3">
        <w:rPr>
          <w:rFonts w:ascii="Times New Roman" w:eastAsia="Times New Roman" w:hAnsi="Times New Roman"/>
          <w:sz w:val="24"/>
          <w:szCs w:val="24"/>
          <w:lang w:eastAsia="en-AU"/>
        </w:rPr>
        <w:t>ndment Determination commences on 1 January 2020</w:t>
      </w:r>
      <w:r w:rsidRPr="00A1343D">
        <w:rPr>
          <w:rFonts w:ascii="Times New Roman" w:eastAsia="Times New Roman" w:hAnsi="Times New Roman"/>
          <w:sz w:val="24"/>
          <w:szCs w:val="24"/>
          <w:lang w:eastAsia="en-AU"/>
        </w:rPr>
        <w:t>.</w:t>
      </w:r>
    </w:p>
    <w:p w14:paraId="3A18CFAD" w14:textId="77777777" w:rsidR="00B80D61" w:rsidRPr="00B7010F" w:rsidRDefault="00F43AD3" w:rsidP="00F43AD3">
      <w:pPr>
        <w:shd w:val="clear" w:color="auto" w:fill="FFFFFF"/>
        <w:rPr>
          <w:rFonts w:ascii="Times New Roman" w:eastAsia="Times New Roman" w:hAnsi="Times New Roman"/>
          <w:sz w:val="24"/>
          <w:szCs w:val="24"/>
          <w:lang w:eastAsia="en-AU"/>
        </w:rPr>
      </w:pPr>
      <w:r w:rsidRPr="00F43AD3">
        <w:rPr>
          <w:rFonts w:ascii="Times New Roman" w:eastAsia="Times New Roman" w:hAnsi="Times New Roman"/>
          <w:sz w:val="24"/>
          <w:szCs w:val="24"/>
          <w:lang w:eastAsia="en-AU"/>
        </w:rPr>
        <w:t>Subsection 2(2) provides that any information in column 3 of the table is not part of the Amendment Determination. Information may be inserted into that column, or information in it may be edited, in any published version of the Amendment Determination.</w:t>
      </w:r>
    </w:p>
    <w:p w14:paraId="64E3F57D" w14:textId="77777777" w:rsidR="00B80D61" w:rsidRPr="00B7010F" w:rsidRDefault="00B80D61" w:rsidP="003E1981">
      <w:pPr>
        <w:shd w:val="clear" w:color="auto" w:fill="FFFFFF"/>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3 — Authority</w:t>
      </w:r>
    </w:p>
    <w:p w14:paraId="184DADDB" w14:textId="77777777" w:rsidR="00B80D61" w:rsidRPr="00B7010F" w:rsidRDefault="00B80D61" w:rsidP="003E1981">
      <w:pPr>
        <w:shd w:val="clear" w:color="auto" w:fill="FFFFFF"/>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This section provides that the </w:t>
      </w:r>
      <w:r w:rsidR="000A3B55">
        <w:rPr>
          <w:rFonts w:ascii="Times New Roman" w:hAnsi="Times New Roman"/>
          <w:sz w:val="24"/>
          <w:szCs w:val="24"/>
        </w:rPr>
        <w:t>Amendment Determination</w:t>
      </w:r>
      <w:r>
        <w:rPr>
          <w:rFonts w:ascii="Times New Roman" w:eastAsia="Times New Roman" w:hAnsi="Times New Roman"/>
          <w:sz w:val="24"/>
          <w:szCs w:val="24"/>
          <w:lang w:eastAsia="en-AU"/>
        </w:rPr>
        <w:t xml:space="preserve"> is made under subsection </w:t>
      </w:r>
      <w:r w:rsidR="00F43AD3">
        <w:rPr>
          <w:rFonts w:ascii="Times New Roman" w:eastAsia="Times New Roman" w:hAnsi="Times New Roman"/>
          <w:sz w:val="24"/>
          <w:szCs w:val="24"/>
          <w:lang w:eastAsia="en-AU"/>
        </w:rPr>
        <w:t>174(1)</w:t>
      </w:r>
      <w:r w:rsidRPr="00B7010F">
        <w:rPr>
          <w:rFonts w:ascii="Times New Roman" w:eastAsia="Times New Roman" w:hAnsi="Times New Roman"/>
          <w:sz w:val="24"/>
          <w:szCs w:val="24"/>
          <w:lang w:eastAsia="en-AU"/>
        </w:rPr>
        <w:t xml:space="preserve"> of the </w:t>
      </w:r>
      <w:r w:rsidRPr="00B7010F">
        <w:rPr>
          <w:rFonts w:ascii="Times New Roman" w:eastAsia="Times New Roman" w:hAnsi="Times New Roman"/>
          <w:i/>
          <w:sz w:val="24"/>
          <w:szCs w:val="24"/>
          <w:lang w:eastAsia="en-AU"/>
        </w:rPr>
        <w:t>Biosecurity Act 2015</w:t>
      </w:r>
      <w:r w:rsidRPr="00B7010F">
        <w:rPr>
          <w:rFonts w:ascii="Times New Roman" w:eastAsia="Times New Roman" w:hAnsi="Times New Roman"/>
          <w:sz w:val="24"/>
          <w:szCs w:val="24"/>
          <w:lang w:eastAsia="en-AU"/>
        </w:rPr>
        <w:t>.</w:t>
      </w:r>
    </w:p>
    <w:p w14:paraId="77135E2E" w14:textId="77777777" w:rsidR="00B80D61" w:rsidRPr="00B7010F" w:rsidRDefault="00B80D61" w:rsidP="003E1981">
      <w:pPr>
        <w:shd w:val="clear" w:color="auto" w:fill="FFFFFF"/>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4 — Schedules</w:t>
      </w:r>
    </w:p>
    <w:p w14:paraId="3D1110AF" w14:textId="77777777" w:rsidR="00B80D61" w:rsidRPr="00B7010F" w:rsidRDefault="00B80D61" w:rsidP="003E1981">
      <w:pPr>
        <w:shd w:val="clear" w:color="auto" w:fill="FFFFFF"/>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This section provides that the instruments specified in the Schedule to the </w:t>
      </w:r>
      <w:r w:rsidR="000A3B55">
        <w:rPr>
          <w:rFonts w:ascii="Times New Roman" w:hAnsi="Times New Roman"/>
          <w:sz w:val="24"/>
          <w:szCs w:val="24"/>
        </w:rPr>
        <w:t>Amendment Determination</w:t>
      </w:r>
      <w:r w:rsidR="00A1229E" w:rsidRPr="00A1229E">
        <w:rPr>
          <w:rFonts w:ascii="Times New Roman" w:eastAsia="Times New Roman" w:hAnsi="Times New Roman"/>
          <w:sz w:val="24"/>
          <w:szCs w:val="24"/>
          <w:lang w:eastAsia="en-AU"/>
        </w:rPr>
        <w:t xml:space="preserve"> </w:t>
      </w:r>
      <w:r w:rsidRPr="00B7010F">
        <w:rPr>
          <w:rFonts w:ascii="Times New Roman" w:eastAsia="Times New Roman" w:hAnsi="Times New Roman"/>
          <w:sz w:val="24"/>
          <w:szCs w:val="24"/>
          <w:lang w:eastAsia="en-AU"/>
        </w:rPr>
        <w:t xml:space="preserve">are amended </w:t>
      </w:r>
      <w:r w:rsidR="004862B3">
        <w:rPr>
          <w:rFonts w:ascii="Times New Roman" w:eastAsia="Times New Roman" w:hAnsi="Times New Roman"/>
          <w:sz w:val="24"/>
          <w:szCs w:val="24"/>
          <w:lang w:eastAsia="en-AU"/>
        </w:rPr>
        <w:t xml:space="preserve">or repealed </w:t>
      </w:r>
      <w:r w:rsidRPr="00B7010F">
        <w:rPr>
          <w:rFonts w:ascii="Times New Roman" w:eastAsia="Times New Roman" w:hAnsi="Times New Roman"/>
          <w:sz w:val="24"/>
          <w:szCs w:val="24"/>
          <w:lang w:eastAsia="en-AU"/>
        </w:rPr>
        <w:t>as set out in the applicable items in the Schedule concerned</w:t>
      </w:r>
      <w:r w:rsidR="004862B3">
        <w:rPr>
          <w:rFonts w:ascii="Times New Roman" w:eastAsia="Times New Roman" w:hAnsi="Times New Roman"/>
          <w:sz w:val="24"/>
          <w:szCs w:val="24"/>
          <w:lang w:eastAsia="en-AU"/>
        </w:rPr>
        <w:t>, and any other item in a Schedule to the Amendment Determination has effect according to its terms</w:t>
      </w:r>
      <w:r w:rsidRPr="00B7010F">
        <w:rPr>
          <w:rFonts w:ascii="Times New Roman" w:eastAsia="Times New Roman" w:hAnsi="Times New Roman"/>
          <w:sz w:val="24"/>
          <w:szCs w:val="24"/>
          <w:lang w:eastAsia="en-AU"/>
        </w:rPr>
        <w:t>.</w:t>
      </w:r>
    </w:p>
    <w:p w14:paraId="52B9DAB9" w14:textId="77777777" w:rsidR="00B80D61" w:rsidRPr="004A7316" w:rsidRDefault="00B80D61" w:rsidP="00AD1D6D">
      <w:pPr>
        <w:rPr>
          <w:rFonts w:ascii="Times New Roman" w:eastAsia="Times New Roman" w:hAnsi="Times New Roman"/>
          <w:b/>
          <w:sz w:val="28"/>
          <w:szCs w:val="28"/>
          <w:u w:val="single"/>
          <w:lang w:eastAsia="en-AU"/>
        </w:rPr>
      </w:pPr>
      <w:r w:rsidRPr="00B7010F">
        <w:rPr>
          <w:rFonts w:ascii="Times New Roman" w:eastAsia="Times New Roman" w:hAnsi="Times New Roman"/>
          <w:sz w:val="24"/>
          <w:szCs w:val="24"/>
          <w:u w:val="single"/>
          <w:lang w:eastAsia="en-AU"/>
        </w:rPr>
        <w:br w:type="page"/>
      </w:r>
      <w:r w:rsidRPr="00B7010F">
        <w:rPr>
          <w:rFonts w:ascii="Times New Roman" w:eastAsia="Times New Roman" w:hAnsi="Times New Roman"/>
          <w:b/>
          <w:sz w:val="28"/>
          <w:szCs w:val="24"/>
          <w:lang w:eastAsia="en-AU"/>
        </w:rPr>
        <w:lastRenderedPageBreak/>
        <w:t xml:space="preserve">Schedule 1—Amendments </w:t>
      </w:r>
    </w:p>
    <w:p w14:paraId="3F08BA2F" w14:textId="77777777" w:rsidR="003E1594" w:rsidRPr="00AD1D6D" w:rsidRDefault="003E1594" w:rsidP="009A0068">
      <w:pPr>
        <w:pStyle w:val="ActHead9"/>
        <w:ind w:left="0" w:firstLine="0"/>
        <w:rPr>
          <w:sz w:val="24"/>
          <w:szCs w:val="24"/>
        </w:rPr>
      </w:pPr>
      <w:bookmarkStart w:id="1" w:name="_Toc6414426"/>
      <w:r w:rsidRPr="00AD1D6D">
        <w:rPr>
          <w:sz w:val="24"/>
          <w:szCs w:val="24"/>
        </w:rPr>
        <w:t>Biosecurity (Prohibited and Conditionally Non</w:t>
      </w:r>
      <w:r w:rsidRPr="00AD1D6D">
        <w:rPr>
          <w:sz w:val="24"/>
          <w:szCs w:val="24"/>
        </w:rPr>
        <w:noBreakHyphen/>
        <w:t>prohibited Goods) Determination 2016</w:t>
      </w:r>
      <w:bookmarkEnd w:id="1"/>
    </w:p>
    <w:p w14:paraId="4CDB61C8" w14:textId="77777777" w:rsidR="003E1981" w:rsidRDefault="00C926F3" w:rsidP="009A0068">
      <w:pPr>
        <w:shd w:val="clear" w:color="auto" w:fill="FFFFFF"/>
        <w:rPr>
          <w:rFonts w:ascii="Times New Roman" w:eastAsia="Times New Roman" w:hAnsi="Times New Roman"/>
          <w:b/>
          <w:sz w:val="24"/>
          <w:szCs w:val="24"/>
          <w:lang w:eastAsia="en-AU"/>
        </w:rPr>
      </w:pPr>
      <w:r w:rsidRPr="00C926F3">
        <w:rPr>
          <w:rFonts w:ascii="Times New Roman" w:eastAsia="Times New Roman" w:hAnsi="Times New Roman"/>
          <w:b/>
          <w:sz w:val="24"/>
          <w:szCs w:val="24"/>
          <w:lang w:eastAsia="en-AU"/>
        </w:rPr>
        <w:t>Item 1 Section 5</w:t>
      </w:r>
    </w:p>
    <w:p w14:paraId="17432527" w14:textId="77777777" w:rsidR="00C926F3" w:rsidRDefault="00C926F3" w:rsidP="009A0068">
      <w:pPr>
        <w:shd w:val="clear" w:color="auto" w:fill="FFFFFF"/>
        <w:rPr>
          <w:rFonts w:ascii="Times New Roman" w:eastAsia="Times New Roman" w:hAnsi="Times New Roman"/>
          <w:i/>
          <w:sz w:val="24"/>
          <w:szCs w:val="24"/>
          <w:lang w:eastAsia="en-AU"/>
        </w:rPr>
      </w:pPr>
      <w:r w:rsidRPr="00C926F3">
        <w:rPr>
          <w:rFonts w:ascii="Times New Roman" w:eastAsia="Times New Roman" w:hAnsi="Times New Roman"/>
          <w:sz w:val="24"/>
          <w:szCs w:val="24"/>
          <w:lang w:eastAsia="en-AU"/>
        </w:rPr>
        <w:t>Item 1 inse</w:t>
      </w:r>
      <w:r w:rsidR="00C375A8">
        <w:rPr>
          <w:rFonts w:ascii="Times New Roman" w:eastAsia="Times New Roman" w:hAnsi="Times New Roman"/>
          <w:sz w:val="24"/>
          <w:szCs w:val="24"/>
          <w:lang w:eastAsia="en-AU"/>
        </w:rPr>
        <w:t>r</w:t>
      </w:r>
      <w:r w:rsidRPr="00C926F3">
        <w:rPr>
          <w:rFonts w:ascii="Times New Roman" w:eastAsia="Times New Roman" w:hAnsi="Times New Roman"/>
          <w:sz w:val="24"/>
          <w:szCs w:val="24"/>
          <w:lang w:eastAsia="en-AU"/>
        </w:rPr>
        <w:t>ts</w:t>
      </w:r>
      <w:r w:rsidR="00C375A8">
        <w:rPr>
          <w:rFonts w:ascii="Times New Roman" w:eastAsia="Times New Roman" w:hAnsi="Times New Roman"/>
          <w:sz w:val="24"/>
          <w:szCs w:val="24"/>
          <w:lang w:eastAsia="en-AU"/>
        </w:rPr>
        <w:t xml:space="preserve"> a new definition for </w:t>
      </w:r>
      <w:r w:rsidR="00C375A8" w:rsidRPr="00C375A8">
        <w:rPr>
          <w:rFonts w:ascii="Times New Roman" w:eastAsia="Times New Roman" w:hAnsi="Times New Roman"/>
          <w:i/>
          <w:sz w:val="24"/>
          <w:szCs w:val="24"/>
          <w:lang w:eastAsia="en-AU"/>
        </w:rPr>
        <w:t>import declaration</w:t>
      </w:r>
      <w:r w:rsidR="00C375A8">
        <w:rPr>
          <w:rFonts w:ascii="Times New Roman" w:eastAsia="Times New Roman" w:hAnsi="Times New Roman"/>
          <w:sz w:val="24"/>
          <w:szCs w:val="24"/>
          <w:lang w:eastAsia="en-AU"/>
        </w:rPr>
        <w:t xml:space="preserve"> into section 5</w:t>
      </w:r>
      <w:r w:rsidR="009F2A71">
        <w:rPr>
          <w:rFonts w:ascii="Times New Roman" w:eastAsia="Times New Roman" w:hAnsi="Times New Roman"/>
          <w:sz w:val="24"/>
          <w:szCs w:val="24"/>
          <w:lang w:eastAsia="en-AU"/>
        </w:rPr>
        <w:t xml:space="preserve"> of the Goods Determination</w:t>
      </w:r>
      <w:r w:rsidR="00C375A8">
        <w:rPr>
          <w:rFonts w:ascii="Times New Roman" w:eastAsia="Times New Roman" w:hAnsi="Times New Roman"/>
          <w:sz w:val="24"/>
          <w:szCs w:val="24"/>
          <w:lang w:eastAsia="en-AU"/>
        </w:rPr>
        <w:t>.</w:t>
      </w:r>
      <w:r w:rsidR="00AD0716">
        <w:rPr>
          <w:rFonts w:ascii="Times New Roman" w:eastAsia="Times New Roman" w:hAnsi="Times New Roman"/>
          <w:i/>
          <w:sz w:val="24"/>
          <w:szCs w:val="24"/>
          <w:lang w:eastAsia="en-AU"/>
        </w:rPr>
        <w:t xml:space="preserve"> </w:t>
      </w:r>
      <w:r w:rsidR="00AD0716" w:rsidRPr="00AD0716">
        <w:rPr>
          <w:rFonts w:ascii="Times New Roman" w:eastAsia="Times New Roman" w:hAnsi="Times New Roman"/>
          <w:sz w:val="24"/>
          <w:szCs w:val="24"/>
          <w:lang w:eastAsia="en-AU"/>
        </w:rPr>
        <w:t>The term</w:t>
      </w:r>
      <w:r w:rsidR="00AD0716">
        <w:rPr>
          <w:rFonts w:ascii="Times New Roman" w:eastAsia="Times New Roman" w:hAnsi="Times New Roman"/>
          <w:i/>
          <w:sz w:val="24"/>
          <w:szCs w:val="24"/>
          <w:lang w:eastAsia="en-AU"/>
        </w:rPr>
        <w:t xml:space="preserve"> i</w:t>
      </w:r>
      <w:r w:rsidR="004F4F4A" w:rsidRPr="00C375A8">
        <w:rPr>
          <w:rFonts w:ascii="Times New Roman" w:eastAsia="Times New Roman" w:hAnsi="Times New Roman"/>
          <w:i/>
          <w:sz w:val="24"/>
          <w:szCs w:val="24"/>
          <w:lang w:eastAsia="en-AU"/>
        </w:rPr>
        <w:t>mport declaration</w:t>
      </w:r>
      <w:r w:rsidR="004F4F4A">
        <w:rPr>
          <w:rFonts w:ascii="Times New Roman" w:eastAsia="Times New Roman" w:hAnsi="Times New Roman"/>
          <w:sz w:val="24"/>
          <w:szCs w:val="24"/>
          <w:lang w:eastAsia="en-AU"/>
        </w:rPr>
        <w:t xml:space="preserve"> </w:t>
      </w:r>
      <w:r w:rsidR="00D64002">
        <w:rPr>
          <w:rFonts w:ascii="Times New Roman" w:eastAsia="Times New Roman" w:hAnsi="Times New Roman"/>
          <w:sz w:val="24"/>
          <w:szCs w:val="24"/>
          <w:lang w:eastAsia="en-AU"/>
        </w:rPr>
        <w:t>has</w:t>
      </w:r>
      <w:r w:rsidR="004F4F4A">
        <w:rPr>
          <w:rFonts w:ascii="Times New Roman" w:eastAsia="Times New Roman" w:hAnsi="Times New Roman"/>
          <w:sz w:val="24"/>
          <w:szCs w:val="24"/>
          <w:lang w:eastAsia="en-AU"/>
        </w:rPr>
        <w:t xml:space="preserve"> the same meaning as in the </w:t>
      </w:r>
      <w:r w:rsidR="004F4F4A" w:rsidRPr="00C375A8">
        <w:rPr>
          <w:rFonts w:ascii="Times New Roman" w:eastAsia="Times New Roman" w:hAnsi="Times New Roman"/>
          <w:i/>
          <w:sz w:val="24"/>
          <w:szCs w:val="24"/>
          <w:lang w:eastAsia="en-AU"/>
        </w:rPr>
        <w:t>Customs Act 1901</w:t>
      </w:r>
      <w:r w:rsidR="00C375A8">
        <w:rPr>
          <w:rFonts w:ascii="Times New Roman" w:eastAsia="Times New Roman" w:hAnsi="Times New Roman"/>
          <w:i/>
          <w:sz w:val="24"/>
          <w:szCs w:val="24"/>
          <w:lang w:eastAsia="en-AU"/>
        </w:rPr>
        <w:t>.</w:t>
      </w:r>
    </w:p>
    <w:p w14:paraId="05F50770" w14:textId="77777777" w:rsidR="00E23C5B" w:rsidRPr="00E23C5B" w:rsidRDefault="00E23C5B" w:rsidP="009A006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1 also inserts a new definition for </w:t>
      </w:r>
      <w:r w:rsidRPr="00E95868">
        <w:rPr>
          <w:rFonts w:ascii="Times New Roman" w:eastAsia="Times New Roman" w:hAnsi="Times New Roman"/>
          <w:i/>
          <w:sz w:val="24"/>
          <w:szCs w:val="24"/>
          <w:lang w:eastAsia="en-AU"/>
        </w:rPr>
        <w:t>List of Biosecurity Preparedness Plans</w:t>
      </w:r>
      <w:r>
        <w:rPr>
          <w:rFonts w:ascii="Times New Roman" w:eastAsia="Times New Roman" w:hAnsi="Times New Roman"/>
          <w:sz w:val="24"/>
          <w:szCs w:val="24"/>
          <w:lang w:eastAsia="en-AU"/>
        </w:rPr>
        <w:t xml:space="preserve"> into section 5 of the Goods Determination. This list, which will exist from time to time, will be prepared by the Director of Biosecurity and published on the Department of Agriculture’s website.</w:t>
      </w:r>
    </w:p>
    <w:p w14:paraId="242B04FE" w14:textId="77777777" w:rsidR="004F4F4A" w:rsidRPr="00C375A8" w:rsidRDefault="004F4F4A" w:rsidP="009A0068">
      <w:pPr>
        <w:shd w:val="clear" w:color="auto" w:fill="FFFFFF"/>
        <w:rPr>
          <w:rFonts w:ascii="Times New Roman" w:eastAsia="Times New Roman" w:hAnsi="Times New Roman"/>
          <w:b/>
          <w:sz w:val="24"/>
          <w:szCs w:val="24"/>
          <w:lang w:eastAsia="en-AU"/>
        </w:rPr>
      </w:pPr>
      <w:r w:rsidRPr="004F4F4A">
        <w:rPr>
          <w:rFonts w:ascii="Times New Roman" w:eastAsia="Times New Roman" w:hAnsi="Times New Roman"/>
          <w:b/>
          <w:sz w:val="24"/>
          <w:szCs w:val="24"/>
          <w:lang w:eastAsia="en-AU"/>
        </w:rPr>
        <w:t>Item 2</w:t>
      </w:r>
      <w:r w:rsidR="00E23C5B">
        <w:rPr>
          <w:rFonts w:ascii="Times New Roman" w:eastAsia="Times New Roman" w:hAnsi="Times New Roman"/>
          <w:b/>
          <w:sz w:val="24"/>
          <w:szCs w:val="24"/>
          <w:lang w:eastAsia="en-AU"/>
        </w:rPr>
        <w:t xml:space="preserve"> </w:t>
      </w:r>
      <w:r w:rsidRPr="00C375A8">
        <w:rPr>
          <w:rFonts w:ascii="Times New Roman" w:eastAsia="Times New Roman" w:hAnsi="Times New Roman"/>
          <w:b/>
          <w:sz w:val="24"/>
          <w:szCs w:val="24"/>
          <w:lang w:eastAsia="en-AU"/>
        </w:rPr>
        <w:t>After section 11</w:t>
      </w:r>
    </w:p>
    <w:p w14:paraId="216B4BAF" w14:textId="77777777" w:rsidR="004F4F4A" w:rsidRDefault="004F4F4A" w:rsidP="009A006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item inserts a new section 11A, after section 11 in </w:t>
      </w:r>
      <w:r w:rsidR="00216325">
        <w:rPr>
          <w:rFonts w:ascii="Times New Roman" w:eastAsia="Times New Roman" w:hAnsi="Times New Roman"/>
          <w:sz w:val="24"/>
          <w:szCs w:val="24"/>
          <w:lang w:eastAsia="en-AU"/>
        </w:rPr>
        <w:t xml:space="preserve">Division 1 of Part 2 of </w:t>
      </w:r>
      <w:r>
        <w:rPr>
          <w:rFonts w:ascii="Times New Roman" w:eastAsia="Times New Roman" w:hAnsi="Times New Roman"/>
          <w:sz w:val="24"/>
          <w:szCs w:val="24"/>
          <w:lang w:eastAsia="en-AU"/>
        </w:rPr>
        <w:t xml:space="preserve">the Goods Determination. </w:t>
      </w:r>
    </w:p>
    <w:p w14:paraId="2C433006" w14:textId="77777777" w:rsidR="004F4F4A" w:rsidRDefault="004F4F4A" w:rsidP="009A006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11A provides that goods that are included in a class of goods to which Division 1 </w:t>
      </w:r>
      <w:r w:rsidR="008038E6">
        <w:rPr>
          <w:rFonts w:ascii="Times New Roman" w:eastAsia="Times New Roman" w:hAnsi="Times New Roman"/>
          <w:sz w:val="24"/>
          <w:szCs w:val="24"/>
          <w:lang w:eastAsia="en-AU"/>
        </w:rPr>
        <w:t xml:space="preserve">of Part 2 </w:t>
      </w:r>
      <w:r>
        <w:rPr>
          <w:rFonts w:ascii="Times New Roman" w:eastAsia="Times New Roman" w:hAnsi="Times New Roman"/>
          <w:sz w:val="24"/>
          <w:szCs w:val="24"/>
          <w:lang w:eastAsia="en-AU"/>
        </w:rPr>
        <w:t xml:space="preserve">applies, and that are the subject of an import declaration, must not be brought or imported into Australian territory unless, at the time the declaration is made, a plan </w:t>
      </w:r>
      <w:r w:rsidR="0052375E">
        <w:rPr>
          <w:rFonts w:ascii="Times New Roman" w:eastAsia="Times New Roman" w:hAnsi="Times New Roman"/>
          <w:sz w:val="24"/>
          <w:szCs w:val="24"/>
          <w:lang w:eastAsia="en-AU"/>
        </w:rPr>
        <w:t xml:space="preserve">to </w:t>
      </w:r>
      <w:r>
        <w:rPr>
          <w:rFonts w:ascii="Times New Roman" w:eastAsia="Times New Roman" w:hAnsi="Times New Roman"/>
          <w:sz w:val="24"/>
          <w:szCs w:val="24"/>
          <w:lang w:eastAsia="en-AU"/>
        </w:rPr>
        <w:t xml:space="preserve">manage the biosecurity risks associated with bringing or importing goods of that class (or goods including goods of that class) into Australian territory </w:t>
      </w:r>
      <w:r w:rsidR="008038E6">
        <w:rPr>
          <w:rFonts w:ascii="Times New Roman" w:eastAsia="Times New Roman" w:hAnsi="Times New Roman"/>
          <w:sz w:val="24"/>
          <w:szCs w:val="24"/>
          <w:lang w:eastAsia="en-AU"/>
        </w:rPr>
        <w:t xml:space="preserve">is listed in the </w:t>
      </w:r>
      <w:r w:rsidR="008038E6" w:rsidRPr="00E95868">
        <w:rPr>
          <w:rFonts w:ascii="Times New Roman" w:eastAsia="Times New Roman" w:hAnsi="Times New Roman"/>
          <w:i/>
          <w:sz w:val="24"/>
          <w:szCs w:val="24"/>
          <w:lang w:eastAsia="en-AU"/>
        </w:rPr>
        <w:t>List of Biosecurity Preparedness Plans</w:t>
      </w:r>
      <w:r w:rsidR="008038E6">
        <w:rPr>
          <w:rFonts w:ascii="Times New Roman" w:eastAsia="Times New Roman" w:hAnsi="Times New Roman"/>
          <w:sz w:val="24"/>
          <w:szCs w:val="24"/>
          <w:lang w:eastAsia="en-AU"/>
        </w:rPr>
        <w:t>, and is ordinarily accessible through the Department of Agriculture’s website at www.agriculture.gov.au.</w:t>
      </w:r>
      <w:r>
        <w:rPr>
          <w:rFonts w:ascii="Times New Roman" w:eastAsia="Times New Roman" w:hAnsi="Times New Roman"/>
          <w:sz w:val="24"/>
          <w:szCs w:val="24"/>
          <w:lang w:eastAsia="en-AU"/>
        </w:rPr>
        <w:t xml:space="preserve"> </w:t>
      </w:r>
    </w:p>
    <w:p w14:paraId="2896198B" w14:textId="77777777" w:rsidR="00AD0716" w:rsidRDefault="007F170D" w:rsidP="009A006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The purpose</w:t>
      </w:r>
      <w:r w:rsidR="001A48F8">
        <w:rPr>
          <w:rFonts w:ascii="Times New Roman" w:eastAsia="Times New Roman" w:hAnsi="Times New Roman"/>
          <w:sz w:val="24"/>
          <w:szCs w:val="24"/>
          <w:lang w:eastAsia="en-AU"/>
        </w:rPr>
        <w:t xml:space="preserve"> of this item is to require that</w:t>
      </w:r>
      <w:r w:rsidR="00E45692">
        <w:rPr>
          <w:rFonts w:ascii="Times New Roman" w:eastAsia="Times New Roman" w:hAnsi="Times New Roman"/>
          <w:sz w:val="24"/>
          <w:szCs w:val="24"/>
          <w:lang w:eastAsia="en-AU"/>
        </w:rPr>
        <w:t xml:space="preserve"> </w:t>
      </w:r>
      <w:r w:rsidR="001A48F8">
        <w:rPr>
          <w:rFonts w:ascii="Times New Roman" w:eastAsia="Times New Roman" w:hAnsi="Times New Roman"/>
          <w:sz w:val="24"/>
          <w:szCs w:val="24"/>
          <w:lang w:eastAsia="en-AU"/>
        </w:rPr>
        <w:t>goods</w:t>
      </w:r>
      <w:r w:rsidR="001633F9">
        <w:rPr>
          <w:rFonts w:ascii="Times New Roman" w:eastAsia="Times New Roman" w:hAnsi="Times New Roman"/>
          <w:sz w:val="24"/>
          <w:szCs w:val="24"/>
          <w:lang w:eastAsia="en-AU"/>
        </w:rPr>
        <w:t xml:space="preserve"> that are</w:t>
      </w:r>
      <w:r w:rsidR="008038E6">
        <w:rPr>
          <w:rFonts w:ascii="Times New Roman" w:eastAsia="Times New Roman" w:hAnsi="Times New Roman"/>
          <w:sz w:val="24"/>
          <w:szCs w:val="24"/>
          <w:lang w:eastAsia="en-AU"/>
        </w:rPr>
        <w:t xml:space="preserve"> included</w:t>
      </w:r>
      <w:r w:rsidR="001633F9">
        <w:rPr>
          <w:rFonts w:ascii="Times New Roman" w:eastAsia="Times New Roman" w:hAnsi="Times New Roman"/>
          <w:sz w:val="24"/>
          <w:szCs w:val="24"/>
          <w:lang w:eastAsia="en-AU"/>
        </w:rPr>
        <w:t xml:space="preserve"> in a relevant class of goods, and</w:t>
      </w:r>
      <w:r w:rsidR="00EC32E4">
        <w:rPr>
          <w:rFonts w:ascii="Times New Roman" w:eastAsia="Times New Roman" w:hAnsi="Times New Roman"/>
          <w:sz w:val="24"/>
          <w:szCs w:val="24"/>
          <w:lang w:eastAsia="en-AU"/>
        </w:rPr>
        <w:t xml:space="preserve"> that are the subject of </w:t>
      </w:r>
      <w:r w:rsidR="001A48F8">
        <w:rPr>
          <w:rFonts w:ascii="Times New Roman" w:eastAsia="Times New Roman" w:hAnsi="Times New Roman"/>
          <w:sz w:val="24"/>
          <w:szCs w:val="24"/>
          <w:lang w:eastAsia="en-AU"/>
        </w:rPr>
        <w:t>an import declaratio</w:t>
      </w:r>
      <w:r w:rsidR="00EC32E4">
        <w:rPr>
          <w:rFonts w:ascii="Times New Roman" w:eastAsia="Times New Roman" w:hAnsi="Times New Roman"/>
          <w:sz w:val="24"/>
          <w:szCs w:val="24"/>
          <w:lang w:eastAsia="en-AU"/>
        </w:rPr>
        <w:t>n</w:t>
      </w:r>
      <w:r w:rsidR="001633F9">
        <w:rPr>
          <w:rFonts w:ascii="Times New Roman" w:eastAsia="Times New Roman" w:hAnsi="Times New Roman"/>
          <w:sz w:val="24"/>
          <w:szCs w:val="24"/>
          <w:lang w:eastAsia="en-AU"/>
        </w:rPr>
        <w:t>,</w:t>
      </w:r>
      <w:r w:rsidR="00EC32E4">
        <w:rPr>
          <w:rFonts w:ascii="Times New Roman" w:eastAsia="Times New Roman" w:hAnsi="Times New Roman"/>
          <w:sz w:val="24"/>
          <w:szCs w:val="24"/>
          <w:lang w:eastAsia="en-AU"/>
        </w:rPr>
        <w:t xml:space="preserve"> </w:t>
      </w:r>
      <w:r w:rsidR="001A48F8">
        <w:rPr>
          <w:rFonts w:ascii="Times New Roman" w:eastAsia="Times New Roman" w:hAnsi="Times New Roman"/>
          <w:sz w:val="24"/>
          <w:szCs w:val="24"/>
          <w:lang w:eastAsia="en-AU"/>
        </w:rPr>
        <w:t>must not be brought or imported into Australian territory unless</w:t>
      </w:r>
      <w:r w:rsidR="008038E6">
        <w:rPr>
          <w:rFonts w:ascii="Times New Roman" w:eastAsia="Times New Roman" w:hAnsi="Times New Roman"/>
          <w:sz w:val="24"/>
          <w:szCs w:val="24"/>
          <w:lang w:eastAsia="en-AU"/>
        </w:rPr>
        <w:t>, at the time the declaration is made,</w:t>
      </w:r>
      <w:r w:rsidR="001A48F8">
        <w:rPr>
          <w:rFonts w:ascii="Times New Roman" w:eastAsia="Times New Roman" w:hAnsi="Times New Roman"/>
          <w:sz w:val="24"/>
          <w:szCs w:val="24"/>
          <w:lang w:eastAsia="en-AU"/>
        </w:rPr>
        <w:t xml:space="preserve"> there is a biosecurity preparedness plan for </w:t>
      </w:r>
      <w:r w:rsidR="00E45692">
        <w:rPr>
          <w:rFonts w:ascii="Times New Roman" w:eastAsia="Times New Roman" w:hAnsi="Times New Roman"/>
          <w:sz w:val="24"/>
          <w:szCs w:val="24"/>
          <w:lang w:eastAsia="en-AU"/>
        </w:rPr>
        <w:t>the</w:t>
      </w:r>
      <w:r w:rsidR="002B4CE2">
        <w:rPr>
          <w:rFonts w:ascii="Times New Roman" w:eastAsia="Times New Roman" w:hAnsi="Times New Roman"/>
          <w:sz w:val="24"/>
          <w:szCs w:val="24"/>
          <w:lang w:eastAsia="en-AU"/>
        </w:rPr>
        <w:t xml:space="preserve"> relevant class of goods</w:t>
      </w:r>
      <w:r w:rsidR="0085586A">
        <w:rPr>
          <w:rFonts w:ascii="Times New Roman" w:eastAsia="Times New Roman" w:hAnsi="Times New Roman"/>
          <w:sz w:val="24"/>
          <w:szCs w:val="24"/>
          <w:lang w:eastAsia="en-AU"/>
        </w:rPr>
        <w:t xml:space="preserve"> (or goods including goods of that class). </w:t>
      </w:r>
      <w:r w:rsidR="001A48F8">
        <w:rPr>
          <w:rFonts w:ascii="Times New Roman" w:eastAsia="Times New Roman" w:hAnsi="Times New Roman"/>
          <w:sz w:val="24"/>
          <w:szCs w:val="24"/>
          <w:lang w:eastAsia="en-AU"/>
        </w:rPr>
        <w:t xml:space="preserve">These plans are taken into account in assessing the </w:t>
      </w:r>
      <w:r w:rsidR="008038E6">
        <w:rPr>
          <w:rFonts w:ascii="Times New Roman" w:eastAsia="Times New Roman" w:hAnsi="Times New Roman"/>
          <w:sz w:val="24"/>
          <w:szCs w:val="24"/>
          <w:lang w:eastAsia="en-AU"/>
        </w:rPr>
        <w:t xml:space="preserve">biosecurity </w:t>
      </w:r>
      <w:r w:rsidR="001A48F8">
        <w:rPr>
          <w:rFonts w:ascii="Times New Roman" w:eastAsia="Times New Roman" w:hAnsi="Times New Roman"/>
          <w:sz w:val="24"/>
          <w:szCs w:val="24"/>
          <w:lang w:eastAsia="en-AU"/>
        </w:rPr>
        <w:t>risk</w:t>
      </w:r>
      <w:r w:rsidR="008038E6">
        <w:rPr>
          <w:rFonts w:ascii="Times New Roman" w:eastAsia="Times New Roman" w:hAnsi="Times New Roman"/>
          <w:sz w:val="24"/>
          <w:szCs w:val="24"/>
          <w:lang w:eastAsia="en-AU"/>
        </w:rPr>
        <w:t>s</w:t>
      </w:r>
      <w:r w:rsidR="001A48F8">
        <w:rPr>
          <w:rFonts w:ascii="Times New Roman" w:eastAsia="Times New Roman" w:hAnsi="Times New Roman"/>
          <w:sz w:val="24"/>
          <w:szCs w:val="24"/>
          <w:lang w:eastAsia="en-AU"/>
        </w:rPr>
        <w:t xml:space="preserve"> that appl</w:t>
      </w:r>
      <w:r w:rsidR="008038E6">
        <w:rPr>
          <w:rFonts w:ascii="Times New Roman" w:eastAsia="Times New Roman" w:hAnsi="Times New Roman"/>
          <w:sz w:val="24"/>
          <w:szCs w:val="24"/>
          <w:lang w:eastAsia="en-AU"/>
        </w:rPr>
        <w:t>y</w:t>
      </w:r>
      <w:r w:rsidR="001A48F8">
        <w:rPr>
          <w:rFonts w:ascii="Times New Roman" w:eastAsia="Times New Roman" w:hAnsi="Times New Roman"/>
          <w:sz w:val="24"/>
          <w:szCs w:val="24"/>
          <w:lang w:eastAsia="en-AU"/>
        </w:rPr>
        <w:t xml:space="preserve"> to bringing or importing the goods in question into Australian territory. The plans inform what risk management measures are applied to goods at the border as part of managing t</w:t>
      </w:r>
      <w:r w:rsidR="008038E6">
        <w:rPr>
          <w:rFonts w:ascii="Times New Roman" w:eastAsia="Times New Roman" w:hAnsi="Times New Roman"/>
          <w:sz w:val="24"/>
          <w:szCs w:val="24"/>
          <w:lang w:eastAsia="en-AU"/>
        </w:rPr>
        <w:t>he relevant biosecurity</w:t>
      </w:r>
      <w:r w:rsidR="001A48F8">
        <w:rPr>
          <w:rFonts w:ascii="Times New Roman" w:eastAsia="Times New Roman" w:hAnsi="Times New Roman"/>
          <w:sz w:val="24"/>
          <w:szCs w:val="24"/>
          <w:lang w:eastAsia="en-AU"/>
        </w:rPr>
        <w:t xml:space="preserve"> risk</w:t>
      </w:r>
      <w:r w:rsidR="008038E6">
        <w:rPr>
          <w:rFonts w:ascii="Times New Roman" w:eastAsia="Times New Roman" w:hAnsi="Times New Roman"/>
          <w:sz w:val="24"/>
          <w:szCs w:val="24"/>
          <w:lang w:eastAsia="en-AU"/>
        </w:rPr>
        <w:t>s</w:t>
      </w:r>
      <w:r w:rsidR="001A48F8">
        <w:rPr>
          <w:rFonts w:ascii="Times New Roman" w:eastAsia="Times New Roman" w:hAnsi="Times New Roman"/>
          <w:sz w:val="24"/>
          <w:szCs w:val="24"/>
          <w:lang w:eastAsia="en-AU"/>
        </w:rPr>
        <w:t xml:space="preserve">. In this way, the condition is intended to achieve Australia’s ALOP, which requires that biosecurity risks are reduced to a very low level, but not zero. </w:t>
      </w:r>
      <w:r>
        <w:rPr>
          <w:rFonts w:ascii="Times New Roman" w:eastAsia="Times New Roman" w:hAnsi="Times New Roman"/>
          <w:sz w:val="24"/>
          <w:szCs w:val="24"/>
          <w:lang w:eastAsia="en-AU"/>
        </w:rPr>
        <w:t xml:space="preserve"> </w:t>
      </w:r>
    </w:p>
    <w:p w14:paraId="215EA84A" w14:textId="77777777" w:rsidR="00C375A8" w:rsidRPr="00C375A8" w:rsidRDefault="00C375A8" w:rsidP="00C375A8">
      <w:pPr>
        <w:shd w:val="clear" w:color="auto" w:fill="FFFFFF"/>
        <w:rPr>
          <w:rFonts w:ascii="Times New Roman" w:eastAsia="Times New Roman" w:hAnsi="Times New Roman"/>
          <w:b/>
          <w:sz w:val="24"/>
          <w:szCs w:val="24"/>
          <w:lang w:eastAsia="en-AU"/>
        </w:rPr>
      </w:pPr>
      <w:r w:rsidRPr="00C375A8">
        <w:rPr>
          <w:rFonts w:ascii="Times New Roman" w:eastAsia="Times New Roman" w:hAnsi="Times New Roman"/>
          <w:b/>
          <w:sz w:val="24"/>
          <w:szCs w:val="24"/>
          <w:lang w:eastAsia="en-AU"/>
        </w:rPr>
        <w:t xml:space="preserve">Item </w:t>
      </w:r>
      <w:r w:rsidR="00A2337F">
        <w:rPr>
          <w:rFonts w:ascii="Times New Roman" w:eastAsia="Times New Roman" w:hAnsi="Times New Roman"/>
          <w:b/>
          <w:sz w:val="24"/>
          <w:szCs w:val="24"/>
          <w:lang w:eastAsia="en-AU"/>
        </w:rPr>
        <w:t>3</w:t>
      </w:r>
      <w:r w:rsidRPr="00C375A8">
        <w:rPr>
          <w:rFonts w:ascii="Times New Roman" w:eastAsia="Times New Roman" w:hAnsi="Times New Roman"/>
          <w:b/>
          <w:sz w:val="24"/>
          <w:szCs w:val="24"/>
          <w:lang w:eastAsia="en-AU"/>
        </w:rPr>
        <w:t xml:space="preserve"> Before section 38 </w:t>
      </w:r>
    </w:p>
    <w:p w14:paraId="476ADA9A" w14:textId="77777777" w:rsidR="00C375A8" w:rsidRDefault="00C375A8" w:rsidP="00C375A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This item inserts a new section 37A, before section 38</w:t>
      </w:r>
      <w:r w:rsidR="0085586A">
        <w:rPr>
          <w:rFonts w:ascii="Times New Roman" w:eastAsia="Times New Roman" w:hAnsi="Times New Roman"/>
          <w:sz w:val="24"/>
          <w:szCs w:val="24"/>
          <w:lang w:eastAsia="en-AU"/>
        </w:rPr>
        <w:t xml:space="preserve"> in Part 2 of Division 2</w:t>
      </w:r>
      <w:r>
        <w:rPr>
          <w:rFonts w:ascii="Times New Roman" w:eastAsia="Times New Roman" w:hAnsi="Times New Roman"/>
          <w:sz w:val="24"/>
          <w:szCs w:val="24"/>
          <w:lang w:eastAsia="en-AU"/>
        </w:rPr>
        <w:t xml:space="preserve"> </w:t>
      </w:r>
      <w:r w:rsidR="00A2337F">
        <w:rPr>
          <w:rFonts w:ascii="Times New Roman" w:eastAsia="Times New Roman" w:hAnsi="Times New Roman"/>
          <w:sz w:val="24"/>
          <w:szCs w:val="24"/>
          <w:lang w:eastAsia="en-AU"/>
        </w:rPr>
        <w:t>of</w:t>
      </w:r>
      <w:r>
        <w:rPr>
          <w:rFonts w:ascii="Times New Roman" w:eastAsia="Times New Roman" w:hAnsi="Times New Roman"/>
          <w:sz w:val="24"/>
          <w:szCs w:val="24"/>
          <w:lang w:eastAsia="en-AU"/>
        </w:rPr>
        <w:t xml:space="preserve"> the Goods Determination. </w:t>
      </w:r>
    </w:p>
    <w:p w14:paraId="695116DE" w14:textId="77777777" w:rsidR="00C375A8" w:rsidRDefault="00C375A8" w:rsidP="00C375A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37A provides </w:t>
      </w:r>
      <w:r w:rsidR="00342052">
        <w:rPr>
          <w:rFonts w:ascii="Times New Roman" w:eastAsia="Times New Roman" w:hAnsi="Times New Roman"/>
          <w:sz w:val="24"/>
          <w:szCs w:val="24"/>
          <w:lang w:eastAsia="en-AU"/>
        </w:rPr>
        <w:t>that goods that are included in a class of goods to which</w:t>
      </w:r>
      <w:r w:rsidR="00C01DC1">
        <w:rPr>
          <w:rFonts w:ascii="Times New Roman" w:eastAsia="Times New Roman" w:hAnsi="Times New Roman"/>
          <w:sz w:val="24"/>
          <w:szCs w:val="24"/>
          <w:lang w:eastAsia="en-AU"/>
        </w:rPr>
        <w:t xml:space="preserve"> a section of</w:t>
      </w:r>
      <w:r w:rsidR="00342052">
        <w:rPr>
          <w:rFonts w:ascii="Times New Roman" w:eastAsia="Times New Roman" w:hAnsi="Times New Roman"/>
          <w:sz w:val="24"/>
          <w:szCs w:val="24"/>
          <w:lang w:eastAsia="en-AU"/>
        </w:rPr>
        <w:t xml:space="preserve"> Division 2</w:t>
      </w:r>
      <w:r w:rsidR="0085586A">
        <w:rPr>
          <w:rFonts w:ascii="Times New Roman" w:eastAsia="Times New Roman" w:hAnsi="Times New Roman"/>
          <w:sz w:val="24"/>
          <w:szCs w:val="24"/>
          <w:lang w:eastAsia="en-AU"/>
        </w:rPr>
        <w:t xml:space="preserve"> of Part 2 of the Goods Determination </w:t>
      </w:r>
      <w:r w:rsidR="00342052">
        <w:rPr>
          <w:rFonts w:ascii="Times New Roman" w:eastAsia="Times New Roman" w:hAnsi="Times New Roman"/>
          <w:sz w:val="24"/>
          <w:szCs w:val="24"/>
          <w:lang w:eastAsia="en-AU"/>
        </w:rPr>
        <w:t xml:space="preserve">applies, and that are the subject of an import declaration, must not be brought or imported into Australian territory unless, at the time the declaration is made, a plan </w:t>
      </w:r>
      <w:r w:rsidR="0052375E">
        <w:rPr>
          <w:rFonts w:ascii="Times New Roman" w:eastAsia="Times New Roman" w:hAnsi="Times New Roman"/>
          <w:sz w:val="24"/>
          <w:szCs w:val="24"/>
          <w:lang w:eastAsia="en-AU"/>
        </w:rPr>
        <w:t xml:space="preserve">to </w:t>
      </w:r>
      <w:r w:rsidR="00342052">
        <w:rPr>
          <w:rFonts w:ascii="Times New Roman" w:eastAsia="Times New Roman" w:hAnsi="Times New Roman"/>
          <w:sz w:val="24"/>
          <w:szCs w:val="24"/>
          <w:lang w:eastAsia="en-AU"/>
        </w:rPr>
        <w:t xml:space="preserve">manage the biosecurity risks associated with bringing or importing goods of that class (or goods including goods of that class) into Australian territory </w:t>
      </w:r>
      <w:r w:rsidR="00A2337F">
        <w:rPr>
          <w:rFonts w:ascii="Times New Roman" w:eastAsia="Times New Roman" w:hAnsi="Times New Roman"/>
          <w:sz w:val="24"/>
          <w:szCs w:val="24"/>
          <w:lang w:eastAsia="en-AU"/>
        </w:rPr>
        <w:t xml:space="preserve">is listed in the </w:t>
      </w:r>
      <w:r w:rsidR="00A2337F" w:rsidRPr="00E95868">
        <w:rPr>
          <w:rFonts w:ascii="Times New Roman" w:eastAsia="Times New Roman" w:hAnsi="Times New Roman"/>
          <w:i/>
          <w:sz w:val="24"/>
          <w:szCs w:val="24"/>
          <w:lang w:eastAsia="en-AU"/>
        </w:rPr>
        <w:t>List of Biosecurity Preparedness Plans</w:t>
      </w:r>
      <w:r w:rsidR="00A2337F">
        <w:rPr>
          <w:rFonts w:ascii="Times New Roman" w:eastAsia="Times New Roman" w:hAnsi="Times New Roman"/>
          <w:sz w:val="24"/>
          <w:szCs w:val="24"/>
          <w:lang w:eastAsia="en-AU"/>
        </w:rPr>
        <w:t>, and is ordinarily accessible through the Department of Agriculture’s website.</w:t>
      </w:r>
    </w:p>
    <w:p w14:paraId="66E72314" w14:textId="77777777" w:rsidR="002B4CE2" w:rsidRDefault="002B4CE2" w:rsidP="002B4CE2">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The purpose of this item is to require that goods that are in</w:t>
      </w:r>
      <w:r w:rsidR="00A2337F">
        <w:rPr>
          <w:rFonts w:ascii="Times New Roman" w:eastAsia="Times New Roman" w:hAnsi="Times New Roman"/>
          <w:sz w:val="24"/>
          <w:szCs w:val="24"/>
          <w:lang w:eastAsia="en-AU"/>
        </w:rPr>
        <w:t>cluded in</w:t>
      </w:r>
      <w:r>
        <w:rPr>
          <w:rFonts w:ascii="Times New Roman" w:eastAsia="Times New Roman" w:hAnsi="Times New Roman"/>
          <w:sz w:val="24"/>
          <w:szCs w:val="24"/>
          <w:lang w:eastAsia="en-AU"/>
        </w:rPr>
        <w:t xml:space="preserve"> a relevant class of goods, and that are the subject of an import declaration, must not be brought or imported into Australian territory unless</w:t>
      </w:r>
      <w:r w:rsidR="00A2337F">
        <w:rPr>
          <w:rFonts w:ascii="Times New Roman" w:eastAsia="Times New Roman" w:hAnsi="Times New Roman"/>
          <w:sz w:val="24"/>
          <w:szCs w:val="24"/>
          <w:lang w:eastAsia="en-AU"/>
        </w:rPr>
        <w:t>, at the time the declaration is made,</w:t>
      </w:r>
      <w:r>
        <w:rPr>
          <w:rFonts w:ascii="Times New Roman" w:eastAsia="Times New Roman" w:hAnsi="Times New Roman"/>
          <w:sz w:val="24"/>
          <w:szCs w:val="24"/>
          <w:lang w:eastAsia="en-AU"/>
        </w:rPr>
        <w:t xml:space="preserve"> there is a biosecurity preparedness plan for the relevant class of goods (or goods including goods of that class). These plans are taken into account in assessing the </w:t>
      </w:r>
      <w:r w:rsidR="00C01DC1">
        <w:rPr>
          <w:rFonts w:ascii="Times New Roman" w:eastAsia="Times New Roman" w:hAnsi="Times New Roman"/>
          <w:sz w:val="24"/>
          <w:szCs w:val="24"/>
          <w:lang w:eastAsia="en-AU"/>
        </w:rPr>
        <w:t xml:space="preserve">biosecurity </w:t>
      </w:r>
      <w:r>
        <w:rPr>
          <w:rFonts w:ascii="Times New Roman" w:eastAsia="Times New Roman" w:hAnsi="Times New Roman"/>
          <w:sz w:val="24"/>
          <w:szCs w:val="24"/>
          <w:lang w:eastAsia="en-AU"/>
        </w:rPr>
        <w:t>risk</w:t>
      </w:r>
      <w:r w:rsidR="00C01DC1">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that appl</w:t>
      </w:r>
      <w:r w:rsidR="00C01DC1">
        <w:rPr>
          <w:rFonts w:ascii="Times New Roman" w:eastAsia="Times New Roman" w:hAnsi="Times New Roman"/>
          <w:sz w:val="24"/>
          <w:szCs w:val="24"/>
          <w:lang w:eastAsia="en-AU"/>
        </w:rPr>
        <w:t>y</w:t>
      </w:r>
      <w:r>
        <w:rPr>
          <w:rFonts w:ascii="Times New Roman" w:eastAsia="Times New Roman" w:hAnsi="Times New Roman"/>
          <w:sz w:val="24"/>
          <w:szCs w:val="24"/>
          <w:lang w:eastAsia="en-AU"/>
        </w:rPr>
        <w:t xml:space="preserve"> to bringing or importing the goods in question into Australian territory. The plans inform what risk management measures are applied to goods at the border as part of managing th</w:t>
      </w:r>
      <w:r w:rsidR="00C01DC1">
        <w:rPr>
          <w:rFonts w:ascii="Times New Roman" w:eastAsia="Times New Roman" w:hAnsi="Times New Roman"/>
          <w:sz w:val="24"/>
          <w:szCs w:val="24"/>
          <w:lang w:eastAsia="en-AU"/>
        </w:rPr>
        <w:t>e relevant biosecurity risks</w:t>
      </w:r>
      <w:r>
        <w:rPr>
          <w:rFonts w:ascii="Times New Roman" w:eastAsia="Times New Roman" w:hAnsi="Times New Roman"/>
          <w:sz w:val="24"/>
          <w:szCs w:val="24"/>
          <w:lang w:eastAsia="en-AU"/>
        </w:rPr>
        <w:t xml:space="preserve">. In this way, the condition is intended to achieve Australia’s ALOP, which requires that biosecurity risks are reduced to a very low level, but not zero.  </w:t>
      </w:r>
    </w:p>
    <w:p w14:paraId="4C39ADB3" w14:textId="77777777" w:rsidR="00342052" w:rsidRPr="007D3503" w:rsidRDefault="00342052" w:rsidP="00C375A8">
      <w:pPr>
        <w:shd w:val="clear" w:color="auto" w:fill="FFFFFF"/>
        <w:rPr>
          <w:rFonts w:ascii="Times New Roman" w:eastAsia="Times New Roman" w:hAnsi="Times New Roman"/>
          <w:b/>
          <w:sz w:val="24"/>
          <w:szCs w:val="24"/>
          <w:lang w:eastAsia="en-AU"/>
        </w:rPr>
      </w:pPr>
      <w:r w:rsidRPr="007D3503">
        <w:rPr>
          <w:rFonts w:ascii="Times New Roman" w:eastAsia="Times New Roman" w:hAnsi="Times New Roman"/>
          <w:b/>
          <w:sz w:val="24"/>
          <w:szCs w:val="24"/>
          <w:lang w:eastAsia="en-AU"/>
        </w:rPr>
        <w:t xml:space="preserve">Item </w:t>
      </w:r>
      <w:r w:rsidR="00A2337F">
        <w:rPr>
          <w:rFonts w:ascii="Times New Roman" w:eastAsia="Times New Roman" w:hAnsi="Times New Roman"/>
          <w:b/>
          <w:sz w:val="24"/>
          <w:szCs w:val="24"/>
          <w:lang w:eastAsia="en-AU"/>
        </w:rPr>
        <w:t xml:space="preserve">4 </w:t>
      </w:r>
      <w:r w:rsidR="007D3503" w:rsidRPr="007D3503">
        <w:rPr>
          <w:rFonts w:ascii="Times New Roman" w:eastAsia="Times New Roman" w:hAnsi="Times New Roman"/>
          <w:b/>
          <w:sz w:val="24"/>
          <w:szCs w:val="24"/>
          <w:lang w:eastAsia="en-AU"/>
        </w:rPr>
        <w:t>Before section 48A</w:t>
      </w:r>
    </w:p>
    <w:p w14:paraId="5BC99A65" w14:textId="77777777" w:rsidR="007D3503" w:rsidRDefault="007D3503" w:rsidP="00C375A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item inserts a new section 48AA before section 48A in Division 2A of Part 2 of the Goods Determination. </w:t>
      </w:r>
    </w:p>
    <w:p w14:paraId="603503E2" w14:textId="77777777" w:rsidR="007D3503" w:rsidRDefault="007D3503" w:rsidP="007D3503">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48AA(1) provides that goods that are included in a class of goods to which a section of Division 2A</w:t>
      </w:r>
      <w:r w:rsidR="00ED479A">
        <w:rPr>
          <w:rFonts w:ascii="Times New Roman" w:eastAsia="Times New Roman" w:hAnsi="Times New Roman"/>
          <w:sz w:val="24"/>
          <w:szCs w:val="24"/>
          <w:lang w:eastAsia="en-AU"/>
        </w:rPr>
        <w:t xml:space="preserve"> of Part 2 of the Goods Determination</w:t>
      </w:r>
      <w:r>
        <w:rPr>
          <w:rFonts w:ascii="Times New Roman" w:eastAsia="Times New Roman" w:hAnsi="Times New Roman"/>
          <w:sz w:val="24"/>
          <w:szCs w:val="24"/>
          <w:lang w:eastAsia="en-AU"/>
        </w:rPr>
        <w:t xml:space="preserve"> applies, and that are the subject of an import declaration, must not be brought or imported into Australian territory unless, at the time the declaration is made, a plan</w:t>
      </w:r>
      <w:r w:rsidR="00A8343A">
        <w:rPr>
          <w:rFonts w:ascii="Times New Roman" w:eastAsia="Times New Roman" w:hAnsi="Times New Roman"/>
          <w:sz w:val="24"/>
          <w:szCs w:val="24"/>
          <w:lang w:eastAsia="en-AU"/>
        </w:rPr>
        <w:t xml:space="preserve"> to</w:t>
      </w:r>
      <w:r>
        <w:rPr>
          <w:rFonts w:ascii="Times New Roman" w:eastAsia="Times New Roman" w:hAnsi="Times New Roman"/>
          <w:sz w:val="24"/>
          <w:szCs w:val="24"/>
          <w:lang w:eastAsia="en-AU"/>
        </w:rPr>
        <w:t xml:space="preserve"> manage the biosecurity risks associated with bringing or importing goods of that class (or goods including goods of that class) into Australian territory </w:t>
      </w:r>
      <w:r w:rsidR="0093190A">
        <w:rPr>
          <w:rFonts w:ascii="Times New Roman" w:eastAsia="Times New Roman" w:hAnsi="Times New Roman"/>
          <w:sz w:val="24"/>
          <w:szCs w:val="24"/>
          <w:lang w:eastAsia="en-AU"/>
        </w:rPr>
        <w:t xml:space="preserve">is listed in the </w:t>
      </w:r>
      <w:r w:rsidR="0093190A" w:rsidRPr="00E95868">
        <w:rPr>
          <w:rFonts w:ascii="Times New Roman" w:eastAsia="Times New Roman" w:hAnsi="Times New Roman"/>
          <w:i/>
          <w:sz w:val="24"/>
          <w:szCs w:val="24"/>
          <w:lang w:eastAsia="en-AU"/>
        </w:rPr>
        <w:t>List of Biosecurity Preparedness Plans</w:t>
      </w:r>
      <w:r w:rsidR="0093190A">
        <w:rPr>
          <w:rFonts w:ascii="Times New Roman" w:eastAsia="Times New Roman" w:hAnsi="Times New Roman"/>
          <w:sz w:val="24"/>
          <w:szCs w:val="24"/>
          <w:lang w:eastAsia="en-AU"/>
        </w:rPr>
        <w:t>, and is ordinarily accessible through the Department of Agriculture’s website.</w:t>
      </w:r>
    </w:p>
    <w:p w14:paraId="6CE2E438" w14:textId="77777777" w:rsidR="00991168" w:rsidRDefault="002B4CE2" w:rsidP="007D3503">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The purpose of this item is to require that goods that are in</w:t>
      </w:r>
      <w:r w:rsidR="0093190A">
        <w:rPr>
          <w:rFonts w:ascii="Times New Roman" w:eastAsia="Times New Roman" w:hAnsi="Times New Roman"/>
          <w:sz w:val="24"/>
          <w:szCs w:val="24"/>
          <w:lang w:eastAsia="en-AU"/>
        </w:rPr>
        <w:t>cluded</w:t>
      </w:r>
      <w:r>
        <w:rPr>
          <w:rFonts w:ascii="Times New Roman" w:eastAsia="Times New Roman" w:hAnsi="Times New Roman"/>
          <w:sz w:val="24"/>
          <w:szCs w:val="24"/>
          <w:lang w:eastAsia="en-AU"/>
        </w:rPr>
        <w:t xml:space="preserve"> a relevant class of goods, and that are the subject of an import declaration, must not be brought or imported into Australian territory unless</w:t>
      </w:r>
      <w:r w:rsidR="0093190A">
        <w:rPr>
          <w:rFonts w:ascii="Times New Roman" w:eastAsia="Times New Roman" w:hAnsi="Times New Roman"/>
          <w:sz w:val="24"/>
          <w:szCs w:val="24"/>
          <w:lang w:eastAsia="en-AU"/>
        </w:rPr>
        <w:t>, at the time the declaration is made,</w:t>
      </w:r>
      <w:r>
        <w:rPr>
          <w:rFonts w:ascii="Times New Roman" w:eastAsia="Times New Roman" w:hAnsi="Times New Roman"/>
          <w:sz w:val="24"/>
          <w:szCs w:val="24"/>
          <w:lang w:eastAsia="en-AU"/>
        </w:rPr>
        <w:t xml:space="preserve"> there is a biosecurity preparedness plan </w:t>
      </w:r>
      <w:r>
        <w:rPr>
          <w:rFonts w:ascii="Times New Roman" w:eastAsia="Times New Roman" w:hAnsi="Times New Roman"/>
          <w:sz w:val="24"/>
          <w:szCs w:val="24"/>
          <w:lang w:eastAsia="en-AU"/>
        </w:rPr>
        <w:lastRenderedPageBreak/>
        <w:t xml:space="preserve">for the relevant class of goods (or goods including goods of that class). These plans are taken into account in assessing the </w:t>
      </w:r>
      <w:r w:rsidR="0093190A">
        <w:rPr>
          <w:rFonts w:ascii="Times New Roman" w:eastAsia="Times New Roman" w:hAnsi="Times New Roman"/>
          <w:sz w:val="24"/>
          <w:szCs w:val="24"/>
          <w:lang w:eastAsia="en-AU"/>
        </w:rPr>
        <w:t>biosecurity risks</w:t>
      </w:r>
      <w:r>
        <w:rPr>
          <w:rFonts w:ascii="Times New Roman" w:eastAsia="Times New Roman" w:hAnsi="Times New Roman"/>
          <w:sz w:val="24"/>
          <w:szCs w:val="24"/>
          <w:lang w:eastAsia="en-AU"/>
        </w:rPr>
        <w:t xml:space="preserve"> that appl</w:t>
      </w:r>
      <w:r w:rsidR="0093190A">
        <w:rPr>
          <w:rFonts w:ascii="Times New Roman" w:eastAsia="Times New Roman" w:hAnsi="Times New Roman"/>
          <w:sz w:val="24"/>
          <w:szCs w:val="24"/>
          <w:lang w:eastAsia="en-AU"/>
        </w:rPr>
        <w:t>y</w:t>
      </w:r>
      <w:r>
        <w:rPr>
          <w:rFonts w:ascii="Times New Roman" w:eastAsia="Times New Roman" w:hAnsi="Times New Roman"/>
          <w:sz w:val="24"/>
          <w:szCs w:val="24"/>
          <w:lang w:eastAsia="en-AU"/>
        </w:rPr>
        <w:t xml:space="preserve"> to bringing or importing the goods in question into Australian territory. The plans inform what risk management measures are applied to goods at the border as part of managing th</w:t>
      </w:r>
      <w:r w:rsidR="0093190A">
        <w:rPr>
          <w:rFonts w:ascii="Times New Roman" w:eastAsia="Times New Roman" w:hAnsi="Times New Roman"/>
          <w:sz w:val="24"/>
          <w:szCs w:val="24"/>
          <w:lang w:eastAsia="en-AU"/>
        </w:rPr>
        <w:t>e relevant biosecurity</w:t>
      </w:r>
      <w:r>
        <w:rPr>
          <w:rFonts w:ascii="Times New Roman" w:eastAsia="Times New Roman" w:hAnsi="Times New Roman"/>
          <w:sz w:val="24"/>
          <w:szCs w:val="24"/>
          <w:lang w:eastAsia="en-AU"/>
        </w:rPr>
        <w:t xml:space="preserve"> risk</w:t>
      </w:r>
      <w:r w:rsidR="0093190A">
        <w:rPr>
          <w:rFonts w:ascii="Times New Roman" w:eastAsia="Times New Roman" w:hAnsi="Times New Roman"/>
          <w:sz w:val="24"/>
          <w:szCs w:val="24"/>
          <w:lang w:eastAsia="en-AU"/>
        </w:rPr>
        <w:t>s</w:t>
      </w:r>
      <w:r>
        <w:rPr>
          <w:rFonts w:ascii="Times New Roman" w:eastAsia="Times New Roman" w:hAnsi="Times New Roman"/>
          <w:sz w:val="24"/>
          <w:szCs w:val="24"/>
          <w:lang w:eastAsia="en-AU"/>
        </w:rPr>
        <w:t>. In this way, the condition is intended to achieve Australia’s ALOP, which requires that biosecurity risks are reduced to a very low level, but not zero.</w:t>
      </w:r>
    </w:p>
    <w:p w14:paraId="575A207E" w14:textId="77777777" w:rsidR="007D3503" w:rsidRDefault="007D3503" w:rsidP="007D3503">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48AA(2) provides that the condition in subsection 48AA(1), and the conditions in section 48A, are in addition to any conditions that must be complied with under Division 1 or Division 2</w:t>
      </w:r>
      <w:r w:rsidR="0093190A">
        <w:rPr>
          <w:rFonts w:ascii="Times New Roman" w:eastAsia="Times New Roman" w:hAnsi="Times New Roman"/>
          <w:sz w:val="24"/>
          <w:szCs w:val="24"/>
          <w:lang w:eastAsia="en-AU"/>
        </w:rPr>
        <w:t xml:space="preserve"> of Part 2 of the Goods Determination</w:t>
      </w:r>
      <w:r>
        <w:rPr>
          <w:rFonts w:ascii="Times New Roman" w:eastAsia="Times New Roman" w:hAnsi="Times New Roman"/>
          <w:sz w:val="24"/>
          <w:szCs w:val="24"/>
          <w:lang w:eastAsia="en-AU"/>
        </w:rPr>
        <w:t xml:space="preserve">. </w:t>
      </w:r>
    </w:p>
    <w:p w14:paraId="379D6E32" w14:textId="77777777" w:rsidR="00A14959" w:rsidRPr="007F0DAF" w:rsidRDefault="00A14959" w:rsidP="007D3503">
      <w:pPr>
        <w:shd w:val="clear" w:color="auto" w:fill="FFFFFF"/>
        <w:rPr>
          <w:rFonts w:ascii="Times New Roman" w:eastAsia="Times New Roman" w:hAnsi="Times New Roman"/>
          <w:b/>
          <w:sz w:val="24"/>
          <w:szCs w:val="24"/>
          <w:lang w:eastAsia="en-AU"/>
        </w:rPr>
      </w:pPr>
      <w:r w:rsidRPr="007F0DAF">
        <w:rPr>
          <w:rFonts w:ascii="Times New Roman" w:eastAsia="Times New Roman" w:hAnsi="Times New Roman"/>
          <w:b/>
          <w:sz w:val="24"/>
          <w:szCs w:val="24"/>
          <w:lang w:eastAsia="en-AU"/>
        </w:rPr>
        <w:t xml:space="preserve">Item </w:t>
      </w:r>
      <w:r w:rsidR="00A2337F">
        <w:rPr>
          <w:rFonts w:ascii="Times New Roman" w:eastAsia="Times New Roman" w:hAnsi="Times New Roman"/>
          <w:b/>
          <w:sz w:val="24"/>
          <w:szCs w:val="24"/>
          <w:lang w:eastAsia="en-AU"/>
        </w:rPr>
        <w:t>5</w:t>
      </w:r>
      <w:r w:rsidRPr="007F0DAF">
        <w:rPr>
          <w:rFonts w:ascii="Times New Roman" w:eastAsia="Times New Roman" w:hAnsi="Times New Roman"/>
          <w:b/>
          <w:sz w:val="24"/>
          <w:szCs w:val="24"/>
          <w:lang w:eastAsia="en-AU"/>
        </w:rPr>
        <w:t xml:space="preserve"> Subsection 48A(3)</w:t>
      </w:r>
    </w:p>
    <w:p w14:paraId="2D9947A3" w14:textId="77777777" w:rsidR="00476CFB" w:rsidRDefault="00A14959" w:rsidP="007D3503">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 repeals subsection 48A(3) in Division 2A of Part 2</w:t>
      </w:r>
      <w:r w:rsidR="00476CFB">
        <w:rPr>
          <w:rFonts w:ascii="Times New Roman" w:eastAsia="Times New Roman" w:hAnsi="Times New Roman"/>
          <w:sz w:val="24"/>
          <w:szCs w:val="24"/>
          <w:lang w:eastAsia="en-AU"/>
        </w:rPr>
        <w:t xml:space="preserve"> of the Goods Determination</w:t>
      </w:r>
      <w:r>
        <w:rPr>
          <w:rFonts w:ascii="Times New Roman" w:eastAsia="Times New Roman" w:hAnsi="Times New Roman"/>
          <w:sz w:val="24"/>
          <w:szCs w:val="24"/>
          <w:lang w:eastAsia="en-AU"/>
        </w:rPr>
        <w:t xml:space="preserve">. </w:t>
      </w:r>
    </w:p>
    <w:p w14:paraId="6C5DF907" w14:textId="77777777" w:rsidR="00476CFB" w:rsidRDefault="00476CFB" w:rsidP="007D3503">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48A(3)</w:t>
      </w:r>
      <w:r w:rsidR="00A14959">
        <w:rPr>
          <w:rFonts w:ascii="Times New Roman" w:eastAsia="Times New Roman" w:hAnsi="Times New Roman"/>
          <w:sz w:val="24"/>
          <w:szCs w:val="24"/>
          <w:lang w:eastAsia="en-AU"/>
        </w:rPr>
        <w:t xml:space="preserve"> provided that the conditions in subsection 48A(2) were in addition to any conditions that must be complied with under Division 1 or Division 2. </w:t>
      </w:r>
    </w:p>
    <w:p w14:paraId="6C275FF3" w14:textId="77777777" w:rsidR="00A14959" w:rsidRDefault="00A14959" w:rsidP="007D3503">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amendment is </w:t>
      </w:r>
      <w:r w:rsidR="004E11C3">
        <w:rPr>
          <w:rFonts w:ascii="Times New Roman" w:eastAsia="Times New Roman" w:hAnsi="Times New Roman"/>
          <w:sz w:val="24"/>
          <w:szCs w:val="24"/>
          <w:lang w:eastAsia="en-AU"/>
        </w:rPr>
        <w:t xml:space="preserve">consequential </w:t>
      </w:r>
      <w:r>
        <w:rPr>
          <w:rFonts w:ascii="Times New Roman" w:eastAsia="Times New Roman" w:hAnsi="Times New Roman"/>
          <w:sz w:val="24"/>
          <w:szCs w:val="24"/>
          <w:lang w:eastAsia="en-AU"/>
        </w:rPr>
        <w:t xml:space="preserve">as the new subsection 48AA(2) (inserted by item </w:t>
      </w:r>
      <w:r w:rsidR="000D715A">
        <w:rPr>
          <w:rFonts w:ascii="Times New Roman" w:eastAsia="Times New Roman" w:hAnsi="Times New Roman"/>
          <w:sz w:val="24"/>
          <w:szCs w:val="24"/>
          <w:lang w:eastAsia="en-AU"/>
        </w:rPr>
        <w:t>4</w:t>
      </w:r>
      <w:r>
        <w:rPr>
          <w:rFonts w:ascii="Times New Roman" w:eastAsia="Times New Roman" w:hAnsi="Times New Roman"/>
          <w:sz w:val="24"/>
          <w:szCs w:val="24"/>
          <w:lang w:eastAsia="en-AU"/>
        </w:rPr>
        <w:t>) replicates in effect the requirement in subsection 48A(3), as such subsection</w:t>
      </w:r>
      <w:r w:rsidR="00476CFB">
        <w:rPr>
          <w:rFonts w:ascii="Times New Roman" w:eastAsia="Times New Roman" w:hAnsi="Times New Roman"/>
          <w:sz w:val="24"/>
          <w:szCs w:val="24"/>
          <w:lang w:eastAsia="en-AU"/>
        </w:rPr>
        <w:t xml:space="preserve"> 48A(3)</w:t>
      </w:r>
      <w:r>
        <w:rPr>
          <w:rFonts w:ascii="Times New Roman" w:eastAsia="Times New Roman" w:hAnsi="Times New Roman"/>
          <w:sz w:val="24"/>
          <w:szCs w:val="24"/>
          <w:lang w:eastAsia="en-AU"/>
        </w:rPr>
        <w:t xml:space="preserve"> is redundant. </w:t>
      </w:r>
    </w:p>
    <w:p w14:paraId="3D98E863" w14:textId="77777777" w:rsidR="000D715A" w:rsidRDefault="000D715A" w:rsidP="00C375A8">
      <w:pPr>
        <w:shd w:val="clear" w:color="auto" w:fill="FFFFFF"/>
        <w:rPr>
          <w:rFonts w:ascii="Times New Roman" w:eastAsia="Times New Roman" w:hAnsi="Times New Roman"/>
          <w:b/>
          <w:sz w:val="24"/>
          <w:szCs w:val="24"/>
          <w:lang w:eastAsia="en-AU"/>
        </w:rPr>
      </w:pPr>
    </w:p>
    <w:p w14:paraId="2E17E23A" w14:textId="77777777" w:rsidR="007D3503" w:rsidRPr="007F0DAF" w:rsidRDefault="007F170D" w:rsidP="00C375A8">
      <w:pPr>
        <w:shd w:val="clear" w:color="auto" w:fill="FFFFFF"/>
        <w:rPr>
          <w:rFonts w:ascii="Times New Roman" w:eastAsia="Times New Roman" w:hAnsi="Times New Roman"/>
          <w:b/>
          <w:sz w:val="24"/>
          <w:szCs w:val="24"/>
          <w:lang w:eastAsia="en-AU"/>
        </w:rPr>
      </w:pPr>
      <w:r w:rsidRPr="007F0DAF">
        <w:rPr>
          <w:rFonts w:ascii="Times New Roman" w:eastAsia="Times New Roman" w:hAnsi="Times New Roman"/>
          <w:b/>
          <w:sz w:val="24"/>
          <w:szCs w:val="24"/>
          <w:lang w:eastAsia="en-AU"/>
        </w:rPr>
        <w:t xml:space="preserve">Item </w:t>
      </w:r>
      <w:r w:rsidR="00A2337F">
        <w:rPr>
          <w:rFonts w:ascii="Times New Roman" w:eastAsia="Times New Roman" w:hAnsi="Times New Roman"/>
          <w:b/>
          <w:sz w:val="24"/>
          <w:szCs w:val="24"/>
          <w:lang w:eastAsia="en-AU"/>
        </w:rPr>
        <w:t>6</w:t>
      </w:r>
      <w:r w:rsidRPr="007F0DAF">
        <w:rPr>
          <w:rFonts w:ascii="Times New Roman" w:eastAsia="Times New Roman" w:hAnsi="Times New Roman"/>
          <w:b/>
          <w:sz w:val="24"/>
          <w:szCs w:val="24"/>
          <w:lang w:eastAsia="en-AU"/>
        </w:rPr>
        <w:t xml:space="preserve"> </w:t>
      </w:r>
      <w:r w:rsidR="00476CFB">
        <w:rPr>
          <w:rFonts w:ascii="Times New Roman" w:eastAsia="Times New Roman" w:hAnsi="Times New Roman"/>
          <w:b/>
          <w:sz w:val="24"/>
          <w:szCs w:val="24"/>
          <w:lang w:eastAsia="en-AU"/>
        </w:rPr>
        <w:t>At the end of Division 2A of Part 2</w:t>
      </w:r>
    </w:p>
    <w:p w14:paraId="654E90C0" w14:textId="77777777" w:rsidR="00E03306" w:rsidRDefault="00E03306" w:rsidP="00C375A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 insets a new section 48B</w:t>
      </w:r>
      <w:r w:rsidR="00476CFB">
        <w:rPr>
          <w:rFonts w:ascii="Times New Roman" w:eastAsia="Times New Roman" w:hAnsi="Times New Roman"/>
          <w:sz w:val="24"/>
          <w:szCs w:val="24"/>
          <w:lang w:eastAsia="en-AU"/>
        </w:rPr>
        <w:t xml:space="preserve"> at the end of Division 2A of Part 2 of the Goods Determination. </w:t>
      </w:r>
    </w:p>
    <w:p w14:paraId="1214131C" w14:textId="77777777" w:rsidR="00476CFB" w:rsidRDefault="00476CFB" w:rsidP="00C375A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48B(1) provides that, for the purposes of section 48AA, section 48B applies to the class of goods that are listed </w:t>
      </w:r>
      <w:r w:rsidR="000D715A">
        <w:rPr>
          <w:rFonts w:ascii="Times New Roman" w:eastAsia="Times New Roman" w:hAnsi="Times New Roman"/>
          <w:sz w:val="24"/>
          <w:szCs w:val="24"/>
          <w:lang w:eastAsia="en-AU"/>
        </w:rPr>
        <w:t xml:space="preserve">in </w:t>
      </w:r>
      <w:r>
        <w:rPr>
          <w:rFonts w:ascii="Times New Roman" w:eastAsia="Times New Roman" w:hAnsi="Times New Roman"/>
          <w:sz w:val="24"/>
          <w:szCs w:val="24"/>
          <w:lang w:eastAsia="en-AU"/>
        </w:rPr>
        <w:t xml:space="preserve">the list prepared by the Director of Biosecurity and published on the </w:t>
      </w:r>
      <w:r w:rsidR="000D715A">
        <w:rPr>
          <w:rFonts w:ascii="Times New Roman" w:eastAsia="Times New Roman" w:hAnsi="Times New Roman"/>
          <w:sz w:val="24"/>
          <w:szCs w:val="24"/>
          <w:lang w:eastAsia="en-AU"/>
        </w:rPr>
        <w:t xml:space="preserve">Department of Agriculture’s </w:t>
      </w:r>
      <w:r>
        <w:rPr>
          <w:rFonts w:ascii="Times New Roman" w:eastAsia="Times New Roman" w:hAnsi="Times New Roman"/>
          <w:sz w:val="24"/>
          <w:szCs w:val="24"/>
          <w:lang w:eastAsia="en-AU"/>
        </w:rPr>
        <w:t xml:space="preserve">website under the name “List of Goods That May Carry Hitchhiker Pests”, as existing from time to time. </w:t>
      </w:r>
    </w:p>
    <w:p w14:paraId="272DC83B" w14:textId="77777777" w:rsidR="005A41AD" w:rsidRDefault="005A41AD" w:rsidP="00C375A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w:t>
      </w:r>
      <w:r w:rsidR="00125880">
        <w:rPr>
          <w:rFonts w:ascii="Times New Roman" w:eastAsia="Times New Roman" w:hAnsi="Times New Roman"/>
          <w:sz w:val="24"/>
          <w:szCs w:val="24"/>
          <w:lang w:eastAsia="en-AU"/>
        </w:rPr>
        <w:t>s</w:t>
      </w:r>
      <w:r w:rsidR="00B14A7B">
        <w:rPr>
          <w:rFonts w:ascii="Times New Roman" w:eastAsia="Times New Roman" w:hAnsi="Times New Roman"/>
          <w:sz w:val="24"/>
          <w:szCs w:val="24"/>
          <w:lang w:eastAsia="en-AU"/>
        </w:rPr>
        <w:t>ubsection provides for goods listed in the “List of Goods That May Carry Hitchhiker Pests” to be subject to the additional condition in section 48AA concerning biosecurity preparedness plans.</w:t>
      </w:r>
      <w:r>
        <w:rPr>
          <w:rFonts w:ascii="Times New Roman" w:eastAsia="Times New Roman" w:hAnsi="Times New Roman"/>
          <w:sz w:val="24"/>
          <w:szCs w:val="24"/>
          <w:lang w:eastAsia="en-AU"/>
        </w:rPr>
        <w:t xml:space="preserve"> </w:t>
      </w:r>
    </w:p>
    <w:p w14:paraId="2267359C" w14:textId="77777777" w:rsidR="00476CFB" w:rsidRDefault="00476CFB" w:rsidP="00C375A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Subsection 48B(2) provides that</w:t>
      </w:r>
      <w:r w:rsidR="005A41AD">
        <w:rPr>
          <w:rFonts w:ascii="Times New Roman" w:eastAsia="Times New Roman" w:hAnsi="Times New Roman"/>
          <w:sz w:val="24"/>
          <w:szCs w:val="24"/>
          <w:lang w:eastAsia="en-AU"/>
        </w:rPr>
        <w:t xml:space="preserve"> the class of goods to which section 48B applies does not include goods that consist of corrosive and/or toxic chemicals</w:t>
      </w:r>
      <w:r w:rsidR="000D715A">
        <w:rPr>
          <w:rFonts w:ascii="Times New Roman" w:eastAsia="Times New Roman" w:hAnsi="Times New Roman"/>
          <w:sz w:val="24"/>
          <w:szCs w:val="24"/>
          <w:lang w:eastAsia="en-AU"/>
        </w:rPr>
        <w:t xml:space="preserve"> (or chemicals that are both corrosive and toxic)</w:t>
      </w:r>
      <w:r w:rsidR="005A41AD">
        <w:rPr>
          <w:rFonts w:ascii="Times New Roman" w:eastAsia="Times New Roman" w:hAnsi="Times New Roman"/>
          <w:sz w:val="24"/>
          <w:szCs w:val="24"/>
          <w:lang w:eastAsia="en-AU"/>
        </w:rPr>
        <w:t xml:space="preserve">, natural gas or petroleum products if the goods are brought or imported into Australian territory in liquid form, in a bulk vessel and not contained </w:t>
      </w:r>
      <w:r w:rsidR="000D715A">
        <w:rPr>
          <w:rFonts w:ascii="Times New Roman" w:eastAsia="Times New Roman" w:hAnsi="Times New Roman"/>
          <w:sz w:val="24"/>
          <w:szCs w:val="24"/>
          <w:lang w:eastAsia="en-AU"/>
        </w:rPr>
        <w:t xml:space="preserve">in </w:t>
      </w:r>
      <w:r w:rsidR="005A41AD">
        <w:rPr>
          <w:rFonts w:ascii="Times New Roman" w:eastAsia="Times New Roman" w:hAnsi="Times New Roman"/>
          <w:sz w:val="24"/>
          <w:szCs w:val="24"/>
          <w:lang w:eastAsia="en-AU"/>
        </w:rPr>
        <w:t xml:space="preserve">packaging or other material. </w:t>
      </w:r>
    </w:p>
    <w:p w14:paraId="6C8061A9" w14:textId="77777777" w:rsidR="003C78A3" w:rsidRPr="005A41AD" w:rsidRDefault="00B14A7B" w:rsidP="003C78A3">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This subsection</w:t>
      </w:r>
      <w:r w:rsidR="005A41AD">
        <w:rPr>
          <w:rFonts w:ascii="Times New Roman" w:eastAsia="Times New Roman" w:hAnsi="Times New Roman"/>
          <w:sz w:val="24"/>
          <w:szCs w:val="24"/>
          <w:lang w:eastAsia="en-AU"/>
        </w:rPr>
        <w:t xml:space="preserve"> provides an exemption</w:t>
      </w:r>
      <w:r w:rsidR="003C78A3">
        <w:rPr>
          <w:rFonts w:ascii="Times New Roman" w:eastAsia="Times New Roman" w:hAnsi="Times New Roman"/>
          <w:sz w:val="24"/>
          <w:szCs w:val="24"/>
          <w:lang w:eastAsia="en-AU"/>
        </w:rPr>
        <w:t xml:space="preserve"> for certain goods from the condition imposed by section 48AA. This exemption is for</w:t>
      </w:r>
      <w:r w:rsidR="005A41AD" w:rsidRPr="005A41AD">
        <w:rPr>
          <w:rFonts w:ascii="Times New Roman" w:eastAsia="Times New Roman" w:hAnsi="Times New Roman"/>
          <w:sz w:val="24"/>
          <w:szCs w:val="24"/>
          <w:lang w:eastAsia="en-AU"/>
        </w:rPr>
        <w:t xml:space="preserve"> </w:t>
      </w:r>
      <w:r w:rsidR="003C78A3" w:rsidRPr="005A41AD">
        <w:rPr>
          <w:rFonts w:ascii="Times New Roman" w:eastAsia="Times New Roman" w:hAnsi="Times New Roman"/>
          <w:sz w:val="24"/>
          <w:szCs w:val="24"/>
          <w:lang w:eastAsia="en-AU"/>
        </w:rPr>
        <w:t>liquid petroleum products, liquid</w:t>
      </w:r>
      <w:r w:rsidR="003C78A3">
        <w:rPr>
          <w:rFonts w:ascii="Times New Roman" w:eastAsia="Times New Roman" w:hAnsi="Times New Roman"/>
          <w:sz w:val="24"/>
          <w:szCs w:val="24"/>
          <w:lang w:eastAsia="en-AU"/>
        </w:rPr>
        <w:t xml:space="preserve"> </w:t>
      </w:r>
      <w:r w:rsidR="003C78A3" w:rsidRPr="005A41AD">
        <w:rPr>
          <w:rFonts w:ascii="Times New Roman" w:eastAsia="Times New Roman" w:hAnsi="Times New Roman"/>
          <w:sz w:val="24"/>
          <w:szCs w:val="24"/>
          <w:lang w:eastAsia="en-AU"/>
        </w:rPr>
        <w:t>natural gas and liquid corrosive and/or toxic chemicals</w:t>
      </w:r>
      <w:r w:rsidR="000D715A">
        <w:rPr>
          <w:rFonts w:ascii="Times New Roman" w:eastAsia="Times New Roman" w:hAnsi="Times New Roman"/>
          <w:sz w:val="24"/>
          <w:szCs w:val="24"/>
          <w:lang w:eastAsia="en-AU"/>
        </w:rPr>
        <w:t xml:space="preserve"> (or chemicals that are both corrosive and toxic)</w:t>
      </w:r>
      <w:r w:rsidR="003C78A3" w:rsidRPr="005A41AD">
        <w:rPr>
          <w:rFonts w:ascii="Times New Roman" w:eastAsia="Times New Roman" w:hAnsi="Times New Roman"/>
          <w:sz w:val="24"/>
          <w:szCs w:val="24"/>
          <w:lang w:eastAsia="en-AU"/>
        </w:rPr>
        <w:t xml:space="preserve"> imported in bulk vessels</w:t>
      </w:r>
      <w:r>
        <w:rPr>
          <w:rFonts w:ascii="Times New Roman" w:eastAsia="Times New Roman" w:hAnsi="Times New Roman"/>
          <w:sz w:val="24"/>
          <w:szCs w:val="24"/>
          <w:lang w:eastAsia="en-AU"/>
        </w:rPr>
        <w:t xml:space="preserve"> (</w:t>
      </w:r>
      <w:r w:rsidR="003C78A3">
        <w:rPr>
          <w:rFonts w:ascii="Times New Roman" w:eastAsia="Times New Roman" w:hAnsi="Times New Roman"/>
          <w:sz w:val="24"/>
          <w:szCs w:val="24"/>
          <w:lang w:eastAsia="en-AU"/>
        </w:rPr>
        <w:t xml:space="preserve">such as </w:t>
      </w:r>
      <w:r w:rsidR="00125880">
        <w:rPr>
          <w:rFonts w:ascii="Times New Roman" w:eastAsia="Times New Roman" w:hAnsi="Times New Roman"/>
          <w:sz w:val="24"/>
          <w:szCs w:val="24"/>
          <w:lang w:eastAsia="en-AU"/>
        </w:rPr>
        <w:t xml:space="preserve">bulk freighters, </w:t>
      </w:r>
      <w:r w:rsidR="003C78A3">
        <w:rPr>
          <w:rFonts w:ascii="Times New Roman" w:eastAsia="Times New Roman" w:hAnsi="Times New Roman"/>
          <w:sz w:val="24"/>
          <w:szCs w:val="24"/>
          <w:lang w:eastAsia="en-AU"/>
        </w:rPr>
        <w:t xml:space="preserve">commercial </w:t>
      </w:r>
      <w:r w:rsidR="00285B4B">
        <w:rPr>
          <w:rFonts w:ascii="Times New Roman" w:eastAsia="Times New Roman" w:hAnsi="Times New Roman"/>
          <w:sz w:val="24"/>
          <w:szCs w:val="24"/>
          <w:lang w:eastAsia="en-AU"/>
        </w:rPr>
        <w:t xml:space="preserve">fuel </w:t>
      </w:r>
      <w:r w:rsidR="003C78A3">
        <w:rPr>
          <w:rFonts w:ascii="Times New Roman" w:eastAsia="Times New Roman" w:hAnsi="Times New Roman"/>
          <w:sz w:val="24"/>
          <w:szCs w:val="24"/>
          <w:lang w:eastAsia="en-AU"/>
        </w:rPr>
        <w:t>tankers and liquid natural gas carriers</w:t>
      </w:r>
      <w:r>
        <w:rPr>
          <w:rFonts w:ascii="Times New Roman" w:eastAsia="Times New Roman" w:hAnsi="Times New Roman"/>
          <w:sz w:val="24"/>
          <w:szCs w:val="24"/>
          <w:lang w:eastAsia="en-AU"/>
        </w:rPr>
        <w:t>)</w:t>
      </w:r>
      <w:r w:rsidR="009C04DD">
        <w:rPr>
          <w:rFonts w:ascii="Times New Roman" w:eastAsia="Times New Roman" w:hAnsi="Times New Roman"/>
          <w:sz w:val="24"/>
          <w:szCs w:val="24"/>
          <w:lang w:eastAsia="en-AU"/>
        </w:rPr>
        <w:t>,</w:t>
      </w:r>
      <w:r w:rsidR="003C78A3">
        <w:rPr>
          <w:rFonts w:ascii="Times New Roman" w:eastAsia="Times New Roman" w:hAnsi="Times New Roman"/>
          <w:sz w:val="24"/>
          <w:szCs w:val="24"/>
          <w:lang w:eastAsia="en-AU"/>
        </w:rPr>
        <w:t xml:space="preserve"> </w:t>
      </w:r>
      <w:r w:rsidR="00125880">
        <w:rPr>
          <w:rFonts w:ascii="Times New Roman" w:eastAsia="Times New Roman" w:hAnsi="Times New Roman"/>
          <w:sz w:val="24"/>
          <w:szCs w:val="24"/>
          <w:lang w:eastAsia="en-AU"/>
        </w:rPr>
        <w:t>which are</w:t>
      </w:r>
      <w:r w:rsidR="003C78A3">
        <w:rPr>
          <w:rFonts w:ascii="Times New Roman" w:eastAsia="Times New Roman" w:hAnsi="Times New Roman"/>
          <w:sz w:val="24"/>
          <w:szCs w:val="24"/>
          <w:lang w:eastAsia="en-AU"/>
        </w:rPr>
        <w:t xml:space="preserve"> not contained </w:t>
      </w:r>
      <w:r w:rsidR="000D715A">
        <w:rPr>
          <w:rFonts w:ascii="Times New Roman" w:eastAsia="Times New Roman" w:hAnsi="Times New Roman"/>
          <w:sz w:val="24"/>
          <w:szCs w:val="24"/>
          <w:lang w:eastAsia="en-AU"/>
        </w:rPr>
        <w:t>in</w:t>
      </w:r>
      <w:r w:rsidR="003C78A3">
        <w:rPr>
          <w:rFonts w:ascii="Times New Roman" w:eastAsia="Times New Roman" w:hAnsi="Times New Roman"/>
          <w:sz w:val="24"/>
          <w:szCs w:val="24"/>
          <w:lang w:eastAsia="en-AU"/>
        </w:rPr>
        <w:t xml:space="preserve"> packaging or other material</w:t>
      </w:r>
      <w:r w:rsidR="003C78A3" w:rsidRPr="005A41AD">
        <w:rPr>
          <w:rFonts w:ascii="Times New Roman" w:eastAsia="Times New Roman" w:hAnsi="Times New Roman"/>
          <w:sz w:val="24"/>
          <w:szCs w:val="24"/>
          <w:lang w:eastAsia="en-AU"/>
        </w:rPr>
        <w:t>. This is</w:t>
      </w:r>
      <w:r w:rsidR="003C78A3">
        <w:rPr>
          <w:rFonts w:ascii="Times New Roman" w:eastAsia="Times New Roman" w:hAnsi="Times New Roman"/>
          <w:sz w:val="24"/>
          <w:szCs w:val="24"/>
          <w:lang w:eastAsia="en-AU"/>
        </w:rPr>
        <w:t xml:space="preserve"> </w:t>
      </w:r>
      <w:r w:rsidR="003C78A3" w:rsidRPr="005A41AD">
        <w:rPr>
          <w:rFonts w:ascii="Times New Roman" w:eastAsia="Times New Roman" w:hAnsi="Times New Roman"/>
          <w:sz w:val="24"/>
          <w:szCs w:val="24"/>
          <w:lang w:eastAsia="en-AU"/>
        </w:rPr>
        <w:t>because the nature of the</w:t>
      </w:r>
      <w:r w:rsidR="009C04DD">
        <w:rPr>
          <w:rFonts w:ascii="Times New Roman" w:eastAsia="Times New Roman" w:hAnsi="Times New Roman"/>
          <w:sz w:val="24"/>
          <w:szCs w:val="24"/>
          <w:lang w:eastAsia="en-AU"/>
        </w:rPr>
        <w:t>se</w:t>
      </w:r>
      <w:r w:rsidR="003C78A3" w:rsidRPr="005A41AD">
        <w:rPr>
          <w:rFonts w:ascii="Times New Roman" w:eastAsia="Times New Roman" w:hAnsi="Times New Roman"/>
          <w:sz w:val="24"/>
          <w:szCs w:val="24"/>
          <w:lang w:eastAsia="en-AU"/>
        </w:rPr>
        <w:t xml:space="preserve"> good</w:t>
      </w:r>
      <w:r w:rsidR="003C78A3">
        <w:rPr>
          <w:rFonts w:ascii="Times New Roman" w:eastAsia="Times New Roman" w:hAnsi="Times New Roman"/>
          <w:sz w:val="24"/>
          <w:szCs w:val="24"/>
          <w:lang w:eastAsia="en-AU"/>
        </w:rPr>
        <w:t>s do</w:t>
      </w:r>
      <w:r w:rsidR="003C78A3" w:rsidRPr="005A41AD">
        <w:rPr>
          <w:rFonts w:ascii="Times New Roman" w:eastAsia="Times New Roman" w:hAnsi="Times New Roman"/>
          <w:sz w:val="24"/>
          <w:szCs w:val="24"/>
          <w:lang w:eastAsia="en-AU"/>
        </w:rPr>
        <w:t xml:space="preserve"> not support the life of biosecurity pests and diseases</w:t>
      </w:r>
      <w:r w:rsidR="003C78A3">
        <w:rPr>
          <w:rFonts w:ascii="Times New Roman" w:eastAsia="Times New Roman" w:hAnsi="Times New Roman"/>
          <w:sz w:val="24"/>
          <w:szCs w:val="24"/>
          <w:lang w:eastAsia="en-AU"/>
        </w:rPr>
        <w:t xml:space="preserve"> </w:t>
      </w:r>
      <w:r w:rsidR="003C78A3" w:rsidRPr="005A41AD">
        <w:rPr>
          <w:rFonts w:ascii="Times New Roman" w:eastAsia="Times New Roman" w:hAnsi="Times New Roman"/>
          <w:sz w:val="24"/>
          <w:szCs w:val="24"/>
          <w:lang w:eastAsia="en-AU"/>
        </w:rPr>
        <w:t>and the method of importation does not provide a mechanism by which a hitchhiker pest can be</w:t>
      </w:r>
      <w:r w:rsidR="00ED479A">
        <w:rPr>
          <w:rFonts w:ascii="Times New Roman" w:eastAsia="Times New Roman" w:hAnsi="Times New Roman"/>
          <w:sz w:val="24"/>
          <w:szCs w:val="24"/>
          <w:lang w:eastAsia="en-AU"/>
        </w:rPr>
        <w:t xml:space="preserve"> carried by </w:t>
      </w:r>
      <w:r w:rsidR="003C78A3" w:rsidRPr="005A41AD">
        <w:rPr>
          <w:rFonts w:ascii="Times New Roman" w:eastAsia="Times New Roman" w:hAnsi="Times New Roman"/>
          <w:sz w:val="24"/>
          <w:szCs w:val="24"/>
          <w:lang w:eastAsia="en-AU"/>
        </w:rPr>
        <w:t>the good</w:t>
      </w:r>
      <w:r w:rsidR="009C04DD">
        <w:rPr>
          <w:rFonts w:ascii="Times New Roman" w:eastAsia="Times New Roman" w:hAnsi="Times New Roman"/>
          <w:sz w:val="24"/>
          <w:szCs w:val="24"/>
          <w:lang w:eastAsia="en-AU"/>
        </w:rPr>
        <w:t>s</w:t>
      </w:r>
      <w:r w:rsidR="003C78A3" w:rsidRPr="005A41AD">
        <w:rPr>
          <w:rFonts w:ascii="Times New Roman" w:eastAsia="Times New Roman" w:hAnsi="Times New Roman"/>
          <w:sz w:val="24"/>
          <w:szCs w:val="24"/>
          <w:lang w:eastAsia="en-AU"/>
        </w:rPr>
        <w:t>.</w:t>
      </w:r>
    </w:p>
    <w:p w14:paraId="142F6EE2" w14:textId="77777777" w:rsidR="007F170D" w:rsidRPr="007F0DAF" w:rsidRDefault="007F170D" w:rsidP="00C375A8">
      <w:pPr>
        <w:shd w:val="clear" w:color="auto" w:fill="FFFFFF"/>
        <w:rPr>
          <w:rFonts w:ascii="Times New Roman" w:eastAsia="Times New Roman" w:hAnsi="Times New Roman"/>
          <w:b/>
          <w:sz w:val="24"/>
          <w:szCs w:val="24"/>
          <w:lang w:eastAsia="en-AU"/>
        </w:rPr>
      </w:pPr>
      <w:r w:rsidRPr="007F0DAF">
        <w:rPr>
          <w:rFonts w:ascii="Times New Roman" w:eastAsia="Times New Roman" w:hAnsi="Times New Roman"/>
          <w:b/>
          <w:sz w:val="24"/>
          <w:szCs w:val="24"/>
          <w:lang w:eastAsia="en-AU"/>
        </w:rPr>
        <w:t xml:space="preserve">Item </w:t>
      </w:r>
      <w:r w:rsidR="00A2337F">
        <w:rPr>
          <w:rFonts w:ascii="Times New Roman" w:eastAsia="Times New Roman" w:hAnsi="Times New Roman"/>
          <w:b/>
          <w:sz w:val="24"/>
          <w:szCs w:val="24"/>
          <w:lang w:eastAsia="en-AU"/>
        </w:rPr>
        <w:t>7</w:t>
      </w:r>
      <w:r w:rsidR="00A14959" w:rsidRPr="007F0DAF">
        <w:rPr>
          <w:rFonts w:ascii="Times New Roman" w:eastAsia="Times New Roman" w:hAnsi="Times New Roman"/>
          <w:b/>
          <w:sz w:val="24"/>
          <w:szCs w:val="24"/>
          <w:lang w:eastAsia="en-AU"/>
        </w:rPr>
        <w:t xml:space="preserve"> </w:t>
      </w:r>
      <w:r w:rsidRPr="007F0DAF">
        <w:rPr>
          <w:rFonts w:ascii="Times New Roman" w:eastAsia="Times New Roman" w:hAnsi="Times New Roman"/>
          <w:b/>
          <w:sz w:val="24"/>
          <w:szCs w:val="24"/>
          <w:lang w:eastAsia="en-AU"/>
        </w:rPr>
        <w:t xml:space="preserve">At the end of </w:t>
      </w:r>
      <w:r w:rsidR="00A14959" w:rsidRPr="007F0DAF">
        <w:rPr>
          <w:rFonts w:ascii="Times New Roman" w:eastAsia="Times New Roman" w:hAnsi="Times New Roman"/>
          <w:b/>
          <w:sz w:val="24"/>
          <w:szCs w:val="24"/>
          <w:lang w:eastAsia="en-AU"/>
        </w:rPr>
        <w:t>the instrument</w:t>
      </w:r>
    </w:p>
    <w:p w14:paraId="7ABD8986" w14:textId="77777777" w:rsidR="007F170D" w:rsidRDefault="007F170D" w:rsidP="00C375A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item inserts a new Part 3 </w:t>
      </w:r>
      <w:r w:rsidR="000D715A">
        <w:rPr>
          <w:rFonts w:ascii="Times New Roman" w:eastAsia="Times New Roman" w:hAnsi="Times New Roman"/>
          <w:sz w:val="24"/>
          <w:szCs w:val="24"/>
          <w:lang w:eastAsia="en-AU"/>
        </w:rPr>
        <w:t>into</w:t>
      </w:r>
      <w:r>
        <w:rPr>
          <w:rFonts w:ascii="Times New Roman" w:eastAsia="Times New Roman" w:hAnsi="Times New Roman"/>
          <w:sz w:val="24"/>
          <w:szCs w:val="24"/>
          <w:lang w:eastAsia="en-AU"/>
        </w:rPr>
        <w:t xml:space="preserve"> the Goods Determination titled ‘Part 3 – Application, saving and transitional provisions’. </w:t>
      </w:r>
    </w:p>
    <w:p w14:paraId="5451C713" w14:textId="77777777" w:rsidR="007F170D" w:rsidRDefault="007F170D" w:rsidP="00C375A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item also inserts a new section 50 in Part 3. This section provides that amendments made by this Schedule to the Goods Determination apply in relation to goods that are the subject of an import declaration made on or after 1 January 2020. </w:t>
      </w:r>
    </w:p>
    <w:p w14:paraId="604F053C" w14:textId="77777777" w:rsidR="007D3503" w:rsidRPr="00C926F3" w:rsidRDefault="007D3503" w:rsidP="00C375A8">
      <w:pPr>
        <w:shd w:val="clear" w:color="auto" w:fill="FFFFFF"/>
        <w:rPr>
          <w:rFonts w:ascii="Times New Roman" w:eastAsia="Times New Roman" w:hAnsi="Times New Roman"/>
          <w:sz w:val="24"/>
          <w:szCs w:val="24"/>
          <w:lang w:eastAsia="en-AU"/>
        </w:rPr>
      </w:pPr>
    </w:p>
    <w:sectPr w:rsidR="007D3503" w:rsidRPr="00C926F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13674" w14:textId="77777777" w:rsidR="00912030" w:rsidRDefault="00912030">
      <w:r>
        <w:separator/>
      </w:r>
    </w:p>
  </w:endnote>
  <w:endnote w:type="continuationSeparator" w:id="0">
    <w:p w14:paraId="673D2F29" w14:textId="77777777" w:rsidR="00912030" w:rsidRDefault="00912030">
      <w:r>
        <w:continuationSeparator/>
      </w:r>
    </w:p>
  </w:endnote>
  <w:endnote w:type="continuationNotice" w:id="1">
    <w:p w14:paraId="131AC16A" w14:textId="77777777" w:rsidR="00912030" w:rsidRDefault="009120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307599"/>
      <w:docPartObj>
        <w:docPartGallery w:val="Page Numbers (Bottom of Page)"/>
        <w:docPartUnique/>
      </w:docPartObj>
    </w:sdtPr>
    <w:sdtEndPr>
      <w:rPr>
        <w:noProof/>
      </w:rPr>
    </w:sdtEndPr>
    <w:sdtContent>
      <w:p w14:paraId="221EE421" w14:textId="77777777" w:rsidR="000D715A" w:rsidRDefault="000D715A">
        <w:pPr>
          <w:pStyle w:val="Footer"/>
          <w:jc w:val="right"/>
        </w:pPr>
        <w:r w:rsidRPr="001F2209">
          <w:rPr>
            <w:rFonts w:ascii="Times New Roman" w:hAnsi="Times New Roman"/>
          </w:rPr>
          <w:fldChar w:fldCharType="begin"/>
        </w:r>
        <w:r w:rsidRPr="001F2209">
          <w:rPr>
            <w:rFonts w:ascii="Times New Roman" w:hAnsi="Times New Roman"/>
          </w:rPr>
          <w:instrText xml:space="preserve"> PAGE   \* MERGEFORMAT </w:instrText>
        </w:r>
        <w:r w:rsidRPr="001F2209">
          <w:rPr>
            <w:rFonts w:ascii="Times New Roman" w:hAnsi="Times New Roman"/>
          </w:rPr>
          <w:fldChar w:fldCharType="separate"/>
        </w:r>
        <w:r w:rsidR="00453AF8">
          <w:rPr>
            <w:rFonts w:ascii="Times New Roman" w:hAnsi="Times New Roman"/>
            <w:noProof/>
          </w:rPr>
          <w:t>2</w:t>
        </w:r>
        <w:r w:rsidRPr="001F2209">
          <w:rPr>
            <w:rFonts w:ascii="Times New Roman" w:hAnsi="Times New Roman"/>
            <w:noProof/>
          </w:rPr>
          <w:fldChar w:fldCharType="end"/>
        </w:r>
      </w:p>
    </w:sdtContent>
  </w:sdt>
  <w:p w14:paraId="16228B00" w14:textId="77777777" w:rsidR="000D715A" w:rsidRDefault="000D715A" w:rsidP="00C6669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5746A" w14:textId="77777777" w:rsidR="00912030" w:rsidRDefault="00912030">
      <w:r>
        <w:separator/>
      </w:r>
    </w:p>
  </w:footnote>
  <w:footnote w:type="continuationSeparator" w:id="0">
    <w:p w14:paraId="31BB7E86" w14:textId="77777777" w:rsidR="00912030" w:rsidRDefault="00912030">
      <w:r>
        <w:continuationSeparator/>
      </w:r>
    </w:p>
  </w:footnote>
  <w:footnote w:type="continuationNotice" w:id="1">
    <w:p w14:paraId="52CF8DB0" w14:textId="77777777" w:rsidR="00912030" w:rsidRDefault="0091203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C4920"/>
    <w:multiLevelType w:val="hybridMultilevel"/>
    <w:tmpl w:val="258A6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2A913599"/>
    <w:multiLevelType w:val="multilevel"/>
    <w:tmpl w:val="02AA8FA0"/>
    <w:numStyleLink w:val="ListBullets"/>
  </w:abstractNum>
  <w:abstractNum w:abstractNumId="12" w15:restartNumberingAfterBreak="0">
    <w:nsid w:val="2F2425AB"/>
    <w:multiLevelType w:val="multilevel"/>
    <w:tmpl w:val="BC8603C0"/>
    <w:numStyleLink w:val="ListNumbers"/>
  </w:abstractNum>
  <w:abstractNum w:abstractNumId="13" w15:restartNumberingAfterBreak="0">
    <w:nsid w:val="342366A4"/>
    <w:multiLevelType w:val="hybridMultilevel"/>
    <w:tmpl w:val="03D8BE10"/>
    <w:lvl w:ilvl="0" w:tplc="041CE3C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1921C4"/>
    <w:multiLevelType w:val="hybridMultilevel"/>
    <w:tmpl w:val="2B96A884"/>
    <w:lvl w:ilvl="0" w:tplc="854077CC">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97914BD"/>
    <w:multiLevelType w:val="hybridMultilevel"/>
    <w:tmpl w:val="8C8E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964201"/>
    <w:multiLevelType w:val="hybridMultilevel"/>
    <w:tmpl w:val="B11AA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DD5C12"/>
    <w:multiLevelType w:val="multilevel"/>
    <w:tmpl w:val="20F2356A"/>
    <w:numStyleLink w:val="Appendix"/>
  </w:abstractNum>
  <w:abstractNum w:abstractNumId="18" w15:restartNumberingAfterBreak="0">
    <w:nsid w:val="47BA6D27"/>
    <w:multiLevelType w:val="hybridMultilevel"/>
    <w:tmpl w:val="B6928AAA"/>
    <w:lvl w:ilvl="0" w:tplc="BEBA61A8">
      <w:start w:val="1"/>
      <w:numFmt w:val="decimal"/>
      <w:pStyle w:val="0cmNumbering"/>
      <w:lvlText w:val="Item %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2"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B4A7D"/>
    <w:multiLevelType w:val="hybridMultilevel"/>
    <w:tmpl w:val="6458E8C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5993B6C"/>
    <w:multiLevelType w:val="hybridMultilevel"/>
    <w:tmpl w:val="03D8BE10"/>
    <w:lvl w:ilvl="0" w:tplc="041CE3C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111638"/>
    <w:multiLevelType w:val="hybridMultilevel"/>
    <w:tmpl w:val="1BAA9BB2"/>
    <w:lvl w:ilvl="0" w:tplc="7838826A">
      <w:start w:val="1"/>
      <w:numFmt w:val="decimal"/>
      <w:lvlText w:val="Item %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716827"/>
    <w:multiLevelType w:val="hybridMultilevel"/>
    <w:tmpl w:val="CDFCC9EE"/>
    <w:lvl w:ilvl="0" w:tplc="7838826A">
      <w:start w:val="1"/>
      <w:numFmt w:val="decimal"/>
      <w:lvlText w:val="Item %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9"/>
  </w:num>
  <w:num w:numId="3">
    <w:abstractNumId w:val="8"/>
  </w:num>
  <w:num w:numId="4">
    <w:abstractNumId w:val="9"/>
  </w:num>
  <w:num w:numId="5">
    <w:abstractNumId w:val="4"/>
  </w:num>
  <w:num w:numId="6">
    <w:abstractNumId w:val="11"/>
  </w:num>
  <w:num w:numId="7">
    <w:abstractNumId w:val="24"/>
  </w:num>
  <w:num w:numId="8">
    <w:abstractNumId w:val="12"/>
  </w:num>
  <w:num w:numId="9">
    <w:abstractNumId w:val="21"/>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2"/>
  </w:num>
  <w:num w:numId="14">
    <w:abstractNumId w:val="3"/>
  </w:num>
  <w:num w:numId="15">
    <w:abstractNumId w:val="1"/>
  </w:num>
  <w:num w:numId="16">
    <w:abstractNumId w:val="0"/>
  </w:num>
  <w:num w:numId="17">
    <w:abstractNumId w:val="5"/>
  </w:num>
  <w:num w:numId="18">
    <w:abstractNumId w:val="25"/>
  </w:num>
  <w:num w:numId="19">
    <w:abstractNumId w:val="15"/>
  </w:num>
  <w:num w:numId="20">
    <w:abstractNumId w:val="16"/>
  </w:num>
  <w:num w:numId="21">
    <w:abstractNumId w:val="18"/>
  </w:num>
  <w:num w:numId="22">
    <w:abstractNumId w:val="13"/>
  </w:num>
  <w:num w:numId="23">
    <w:abstractNumId w:val="27"/>
  </w:num>
  <w:num w:numId="24">
    <w:abstractNumId w:val="26"/>
  </w:num>
  <w:num w:numId="25">
    <w:abstractNumId w:val="2"/>
  </w:num>
  <w:num w:numId="26">
    <w:abstractNumId w:val="6"/>
  </w:num>
  <w:num w:numId="27">
    <w:abstractNumId w:val="23"/>
  </w:num>
  <w:num w:numId="28">
    <w:abstractNumId w:val="7"/>
  </w:num>
  <w:num w:numId="2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trackRevisions/>
  <w:defaultTabStop w:val="567"/>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AE"/>
    <w:rsid w:val="0000140F"/>
    <w:rsid w:val="00001AA7"/>
    <w:rsid w:val="000067E1"/>
    <w:rsid w:val="00007777"/>
    <w:rsid w:val="000078B2"/>
    <w:rsid w:val="0001007C"/>
    <w:rsid w:val="00010D93"/>
    <w:rsid w:val="00014F80"/>
    <w:rsid w:val="00016120"/>
    <w:rsid w:val="00016478"/>
    <w:rsid w:val="00016F86"/>
    <w:rsid w:val="000215C2"/>
    <w:rsid w:val="00021B7B"/>
    <w:rsid w:val="00021D3E"/>
    <w:rsid w:val="000309A4"/>
    <w:rsid w:val="00034139"/>
    <w:rsid w:val="0003449E"/>
    <w:rsid w:val="00041729"/>
    <w:rsid w:val="0004291F"/>
    <w:rsid w:val="00043328"/>
    <w:rsid w:val="000466AF"/>
    <w:rsid w:val="00047C5F"/>
    <w:rsid w:val="000514D0"/>
    <w:rsid w:val="00054A8B"/>
    <w:rsid w:val="00062988"/>
    <w:rsid w:val="000640E0"/>
    <w:rsid w:val="000657E5"/>
    <w:rsid w:val="00067EFB"/>
    <w:rsid w:val="000723C1"/>
    <w:rsid w:val="00077BB4"/>
    <w:rsid w:val="00082D62"/>
    <w:rsid w:val="000843F9"/>
    <w:rsid w:val="00084BEB"/>
    <w:rsid w:val="00087F7D"/>
    <w:rsid w:val="00091B3C"/>
    <w:rsid w:val="000940B6"/>
    <w:rsid w:val="000A3B55"/>
    <w:rsid w:val="000A5E72"/>
    <w:rsid w:val="000A646D"/>
    <w:rsid w:val="000A70B7"/>
    <w:rsid w:val="000B0E14"/>
    <w:rsid w:val="000B3652"/>
    <w:rsid w:val="000C5190"/>
    <w:rsid w:val="000D1575"/>
    <w:rsid w:val="000D1670"/>
    <w:rsid w:val="000D715A"/>
    <w:rsid w:val="000E1D49"/>
    <w:rsid w:val="000E2B0E"/>
    <w:rsid w:val="000E64B7"/>
    <w:rsid w:val="000E7791"/>
    <w:rsid w:val="000F70A2"/>
    <w:rsid w:val="0010072A"/>
    <w:rsid w:val="00100BBF"/>
    <w:rsid w:val="00100E12"/>
    <w:rsid w:val="00101DB9"/>
    <w:rsid w:val="00102ADC"/>
    <w:rsid w:val="00103190"/>
    <w:rsid w:val="00104351"/>
    <w:rsid w:val="0010793A"/>
    <w:rsid w:val="0011144B"/>
    <w:rsid w:val="00124B17"/>
    <w:rsid w:val="00125880"/>
    <w:rsid w:val="001260FD"/>
    <w:rsid w:val="00127059"/>
    <w:rsid w:val="00130D0B"/>
    <w:rsid w:val="00131F8B"/>
    <w:rsid w:val="00132159"/>
    <w:rsid w:val="0013329A"/>
    <w:rsid w:val="00145F25"/>
    <w:rsid w:val="0014742A"/>
    <w:rsid w:val="001520AE"/>
    <w:rsid w:val="00160412"/>
    <w:rsid w:val="001633F9"/>
    <w:rsid w:val="00164D18"/>
    <w:rsid w:val="001657DD"/>
    <w:rsid w:val="00165C55"/>
    <w:rsid w:val="00170FD6"/>
    <w:rsid w:val="0017159A"/>
    <w:rsid w:val="00176F62"/>
    <w:rsid w:val="00177056"/>
    <w:rsid w:val="0018077E"/>
    <w:rsid w:val="0018344C"/>
    <w:rsid w:val="00183D84"/>
    <w:rsid w:val="0019031A"/>
    <w:rsid w:val="00192781"/>
    <w:rsid w:val="001936C8"/>
    <w:rsid w:val="00195BC0"/>
    <w:rsid w:val="001A122E"/>
    <w:rsid w:val="001A44AE"/>
    <w:rsid w:val="001A47E9"/>
    <w:rsid w:val="001A48F8"/>
    <w:rsid w:val="001A7580"/>
    <w:rsid w:val="001A7FB3"/>
    <w:rsid w:val="001B0C20"/>
    <w:rsid w:val="001B1EE5"/>
    <w:rsid w:val="001B5737"/>
    <w:rsid w:val="001B58DC"/>
    <w:rsid w:val="001C127F"/>
    <w:rsid w:val="001C34BE"/>
    <w:rsid w:val="001C37C6"/>
    <w:rsid w:val="001C5AE4"/>
    <w:rsid w:val="001D1337"/>
    <w:rsid w:val="001D2AAF"/>
    <w:rsid w:val="001D2D07"/>
    <w:rsid w:val="001D3329"/>
    <w:rsid w:val="001D3BC5"/>
    <w:rsid w:val="001D5BB9"/>
    <w:rsid w:val="001D6F08"/>
    <w:rsid w:val="001E3B6A"/>
    <w:rsid w:val="001E5C8F"/>
    <w:rsid w:val="001E65ED"/>
    <w:rsid w:val="001E76D8"/>
    <w:rsid w:val="001E7920"/>
    <w:rsid w:val="001F0BDE"/>
    <w:rsid w:val="001F2209"/>
    <w:rsid w:val="001F433F"/>
    <w:rsid w:val="001F68B4"/>
    <w:rsid w:val="001F7D24"/>
    <w:rsid w:val="0020024E"/>
    <w:rsid w:val="002016C1"/>
    <w:rsid w:val="00205170"/>
    <w:rsid w:val="00211139"/>
    <w:rsid w:val="00214AF5"/>
    <w:rsid w:val="00216325"/>
    <w:rsid w:val="00220269"/>
    <w:rsid w:val="00224074"/>
    <w:rsid w:val="002249C8"/>
    <w:rsid w:val="00227680"/>
    <w:rsid w:val="00233EEC"/>
    <w:rsid w:val="00235C12"/>
    <w:rsid w:val="00241B3E"/>
    <w:rsid w:val="002431E9"/>
    <w:rsid w:val="0024603A"/>
    <w:rsid w:val="0024679A"/>
    <w:rsid w:val="00246BDD"/>
    <w:rsid w:val="00253FF6"/>
    <w:rsid w:val="00260050"/>
    <w:rsid w:val="002608B7"/>
    <w:rsid w:val="00263099"/>
    <w:rsid w:val="00265577"/>
    <w:rsid w:val="00266984"/>
    <w:rsid w:val="00267315"/>
    <w:rsid w:val="002720A1"/>
    <w:rsid w:val="002769CB"/>
    <w:rsid w:val="002775A0"/>
    <w:rsid w:val="0028104B"/>
    <w:rsid w:val="00282784"/>
    <w:rsid w:val="00283912"/>
    <w:rsid w:val="00284CE4"/>
    <w:rsid w:val="00285B4B"/>
    <w:rsid w:val="002912F6"/>
    <w:rsid w:val="00297B71"/>
    <w:rsid w:val="002A2138"/>
    <w:rsid w:val="002A37CD"/>
    <w:rsid w:val="002A48C6"/>
    <w:rsid w:val="002A60F2"/>
    <w:rsid w:val="002B4CE2"/>
    <w:rsid w:val="002C2296"/>
    <w:rsid w:val="002C2E15"/>
    <w:rsid w:val="002C6241"/>
    <w:rsid w:val="002C6948"/>
    <w:rsid w:val="002C72F0"/>
    <w:rsid w:val="002C7CD7"/>
    <w:rsid w:val="002D2CB8"/>
    <w:rsid w:val="002D2D6E"/>
    <w:rsid w:val="002D333D"/>
    <w:rsid w:val="002D411D"/>
    <w:rsid w:val="002D538F"/>
    <w:rsid w:val="002D5FFE"/>
    <w:rsid w:val="002E15DE"/>
    <w:rsid w:val="002E2AC5"/>
    <w:rsid w:val="002E6404"/>
    <w:rsid w:val="0030138B"/>
    <w:rsid w:val="00305B8F"/>
    <w:rsid w:val="0030666C"/>
    <w:rsid w:val="003137B8"/>
    <w:rsid w:val="00314070"/>
    <w:rsid w:val="00325B45"/>
    <w:rsid w:val="00326930"/>
    <w:rsid w:val="00326C42"/>
    <w:rsid w:val="00326D1B"/>
    <w:rsid w:val="003318CE"/>
    <w:rsid w:val="00331E32"/>
    <w:rsid w:val="00332BB5"/>
    <w:rsid w:val="00333AF1"/>
    <w:rsid w:val="00334484"/>
    <w:rsid w:val="003344AE"/>
    <w:rsid w:val="00340557"/>
    <w:rsid w:val="00341692"/>
    <w:rsid w:val="00341809"/>
    <w:rsid w:val="00342052"/>
    <w:rsid w:val="003470A4"/>
    <w:rsid w:val="00356186"/>
    <w:rsid w:val="00362269"/>
    <w:rsid w:val="00363127"/>
    <w:rsid w:val="00367A64"/>
    <w:rsid w:val="003717BC"/>
    <w:rsid w:val="00371FF3"/>
    <w:rsid w:val="00373F73"/>
    <w:rsid w:val="00376AB1"/>
    <w:rsid w:val="0038023C"/>
    <w:rsid w:val="00382080"/>
    <w:rsid w:val="00384576"/>
    <w:rsid w:val="003864A2"/>
    <w:rsid w:val="00397774"/>
    <w:rsid w:val="003A7FB2"/>
    <w:rsid w:val="003A7FC4"/>
    <w:rsid w:val="003B3BCB"/>
    <w:rsid w:val="003C78A3"/>
    <w:rsid w:val="003C79F1"/>
    <w:rsid w:val="003D1440"/>
    <w:rsid w:val="003D47E4"/>
    <w:rsid w:val="003D4BAC"/>
    <w:rsid w:val="003D4FC7"/>
    <w:rsid w:val="003E010C"/>
    <w:rsid w:val="003E1594"/>
    <w:rsid w:val="003E1981"/>
    <w:rsid w:val="003E34BB"/>
    <w:rsid w:val="003E6C1E"/>
    <w:rsid w:val="003F2C62"/>
    <w:rsid w:val="003F2E35"/>
    <w:rsid w:val="00404B4D"/>
    <w:rsid w:val="00404BCC"/>
    <w:rsid w:val="00404C41"/>
    <w:rsid w:val="00407830"/>
    <w:rsid w:val="00410977"/>
    <w:rsid w:val="00411069"/>
    <w:rsid w:val="004114D5"/>
    <w:rsid w:val="004208AF"/>
    <w:rsid w:val="00421D77"/>
    <w:rsid w:val="00422E9F"/>
    <w:rsid w:val="004236F6"/>
    <w:rsid w:val="00425E70"/>
    <w:rsid w:val="00426F3B"/>
    <w:rsid w:val="00427BF2"/>
    <w:rsid w:val="00427C34"/>
    <w:rsid w:val="004315D9"/>
    <w:rsid w:val="00433DDC"/>
    <w:rsid w:val="00435635"/>
    <w:rsid w:val="00437394"/>
    <w:rsid w:val="004376FC"/>
    <w:rsid w:val="00442406"/>
    <w:rsid w:val="00442585"/>
    <w:rsid w:val="00442CD5"/>
    <w:rsid w:val="0044495A"/>
    <w:rsid w:val="00445AA6"/>
    <w:rsid w:val="00445DB3"/>
    <w:rsid w:val="004501C0"/>
    <w:rsid w:val="004516AD"/>
    <w:rsid w:val="00453AF8"/>
    <w:rsid w:val="00456A87"/>
    <w:rsid w:val="00456EAF"/>
    <w:rsid w:val="00460FB0"/>
    <w:rsid w:val="00461807"/>
    <w:rsid w:val="00472530"/>
    <w:rsid w:val="00472890"/>
    <w:rsid w:val="00476CFB"/>
    <w:rsid w:val="0048243B"/>
    <w:rsid w:val="0048263D"/>
    <w:rsid w:val="004862B3"/>
    <w:rsid w:val="00487194"/>
    <w:rsid w:val="004902D6"/>
    <w:rsid w:val="004915B9"/>
    <w:rsid w:val="00492AC6"/>
    <w:rsid w:val="00492AEC"/>
    <w:rsid w:val="00494555"/>
    <w:rsid w:val="00494907"/>
    <w:rsid w:val="00494A51"/>
    <w:rsid w:val="004A7316"/>
    <w:rsid w:val="004B1672"/>
    <w:rsid w:val="004B29F6"/>
    <w:rsid w:val="004B4A9E"/>
    <w:rsid w:val="004B6795"/>
    <w:rsid w:val="004C16B8"/>
    <w:rsid w:val="004C18BA"/>
    <w:rsid w:val="004C55CC"/>
    <w:rsid w:val="004C55EB"/>
    <w:rsid w:val="004C7275"/>
    <w:rsid w:val="004C7BD9"/>
    <w:rsid w:val="004D121F"/>
    <w:rsid w:val="004D12BD"/>
    <w:rsid w:val="004D5F1E"/>
    <w:rsid w:val="004E11C3"/>
    <w:rsid w:val="004E6397"/>
    <w:rsid w:val="004E63F0"/>
    <w:rsid w:val="004E7B6A"/>
    <w:rsid w:val="004F01E9"/>
    <w:rsid w:val="004F1497"/>
    <w:rsid w:val="004F1855"/>
    <w:rsid w:val="004F23DB"/>
    <w:rsid w:val="004F33F5"/>
    <w:rsid w:val="004F423E"/>
    <w:rsid w:val="004F4637"/>
    <w:rsid w:val="004F4F4A"/>
    <w:rsid w:val="004F51E5"/>
    <w:rsid w:val="004F51F0"/>
    <w:rsid w:val="004F5720"/>
    <w:rsid w:val="005032D2"/>
    <w:rsid w:val="00513F8B"/>
    <w:rsid w:val="00514482"/>
    <w:rsid w:val="005150FE"/>
    <w:rsid w:val="005167CD"/>
    <w:rsid w:val="00517F3E"/>
    <w:rsid w:val="0052375E"/>
    <w:rsid w:val="00524020"/>
    <w:rsid w:val="00531A1F"/>
    <w:rsid w:val="00534EA4"/>
    <w:rsid w:val="00537441"/>
    <w:rsid w:val="00541965"/>
    <w:rsid w:val="00542915"/>
    <w:rsid w:val="005444C2"/>
    <w:rsid w:val="00545FEB"/>
    <w:rsid w:val="0054714D"/>
    <w:rsid w:val="00547266"/>
    <w:rsid w:val="0054747E"/>
    <w:rsid w:val="00547EF6"/>
    <w:rsid w:val="005542D6"/>
    <w:rsid w:val="0056356E"/>
    <w:rsid w:val="0056522D"/>
    <w:rsid w:val="00573080"/>
    <w:rsid w:val="00576F21"/>
    <w:rsid w:val="00581E7E"/>
    <w:rsid w:val="005934C4"/>
    <w:rsid w:val="00596DAE"/>
    <w:rsid w:val="005A2B06"/>
    <w:rsid w:val="005A3573"/>
    <w:rsid w:val="005A41AD"/>
    <w:rsid w:val="005A6B80"/>
    <w:rsid w:val="005B203B"/>
    <w:rsid w:val="005B42C8"/>
    <w:rsid w:val="005B4A98"/>
    <w:rsid w:val="005B6C53"/>
    <w:rsid w:val="005C2E91"/>
    <w:rsid w:val="005C6E95"/>
    <w:rsid w:val="005D3306"/>
    <w:rsid w:val="005D3347"/>
    <w:rsid w:val="005D47FF"/>
    <w:rsid w:val="005D53B6"/>
    <w:rsid w:val="005D5EA4"/>
    <w:rsid w:val="005D66C3"/>
    <w:rsid w:val="005D6778"/>
    <w:rsid w:val="005E0590"/>
    <w:rsid w:val="005E3BF3"/>
    <w:rsid w:val="005E47AA"/>
    <w:rsid w:val="005E65D2"/>
    <w:rsid w:val="005E69FF"/>
    <w:rsid w:val="005E7F91"/>
    <w:rsid w:val="005F42C8"/>
    <w:rsid w:val="005F5252"/>
    <w:rsid w:val="0060171A"/>
    <w:rsid w:val="0060304B"/>
    <w:rsid w:val="00605BE1"/>
    <w:rsid w:val="00606DE6"/>
    <w:rsid w:val="00606E9C"/>
    <w:rsid w:val="006125C9"/>
    <w:rsid w:val="006213F7"/>
    <w:rsid w:val="006214F0"/>
    <w:rsid w:val="00621533"/>
    <w:rsid w:val="00621A91"/>
    <w:rsid w:val="006223C9"/>
    <w:rsid w:val="006229C1"/>
    <w:rsid w:val="00626E31"/>
    <w:rsid w:val="00634261"/>
    <w:rsid w:val="00635BAF"/>
    <w:rsid w:val="00641E62"/>
    <w:rsid w:val="0064301A"/>
    <w:rsid w:val="006432F5"/>
    <w:rsid w:val="0065029F"/>
    <w:rsid w:val="0065051A"/>
    <w:rsid w:val="00652A0A"/>
    <w:rsid w:val="00654070"/>
    <w:rsid w:val="00655952"/>
    <w:rsid w:val="00656C6A"/>
    <w:rsid w:val="0066229A"/>
    <w:rsid w:val="00662E4D"/>
    <w:rsid w:val="006748E8"/>
    <w:rsid w:val="00675C63"/>
    <w:rsid w:val="006777B4"/>
    <w:rsid w:val="00682A1C"/>
    <w:rsid w:val="00684511"/>
    <w:rsid w:val="00690843"/>
    <w:rsid w:val="00691B81"/>
    <w:rsid w:val="00692519"/>
    <w:rsid w:val="00693C82"/>
    <w:rsid w:val="00696234"/>
    <w:rsid w:val="0069701B"/>
    <w:rsid w:val="006A16A4"/>
    <w:rsid w:val="006A1E47"/>
    <w:rsid w:val="006A3979"/>
    <w:rsid w:val="006A61C9"/>
    <w:rsid w:val="006B3FC1"/>
    <w:rsid w:val="006B41E2"/>
    <w:rsid w:val="006B485E"/>
    <w:rsid w:val="006C0B3F"/>
    <w:rsid w:val="006C4104"/>
    <w:rsid w:val="006C73B6"/>
    <w:rsid w:val="006D127F"/>
    <w:rsid w:val="006D289E"/>
    <w:rsid w:val="006D54E0"/>
    <w:rsid w:val="006D6CE8"/>
    <w:rsid w:val="006E0401"/>
    <w:rsid w:val="006E50CF"/>
    <w:rsid w:val="006F2311"/>
    <w:rsid w:val="006F298D"/>
    <w:rsid w:val="006F2E2A"/>
    <w:rsid w:val="00703AF0"/>
    <w:rsid w:val="00712F0F"/>
    <w:rsid w:val="00715D11"/>
    <w:rsid w:val="00716393"/>
    <w:rsid w:val="00723DC9"/>
    <w:rsid w:val="0072447F"/>
    <w:rsid w:val="00732442"/>
    <w:rsid w:val="00734692"/>
    <w:rsid w:val="00737451"/>
    <w:rsid w:val="00740447"/>
    <w:rsid w:val="0074141D"/>
    <w:rsid w:val="00741746"/>
    <w:rsid w:val="00750ADC"/>
    <w:rsid w:val="0075192D"/>
    <w:rsid w:val="0075346F"/>
    <w:rsid w:val="007534D4"/>
    <w:rsid w:val="007547AC"/>
    <w:rsid w:val="007550B4"/>
    <w:rsid w:val="00761A12"/>
    <w:rsid w:val="00764412"/>
    <w:rsid w:val="00766481"/>
    <w:rsid w:val="007667AF"/>
    <w:rsid w:val="007721AA"/>
    <w:rsid w:val="007752B7"/>
    <w:rsid w:val="00777E90"/>
    <w:rsid w:val="00790BC7"/>
    <w:rsid w:val="007912BD"/>
    <w:rsid w:val="0079192F"/>
    <w:rsid w:val="0079362F"/>
    <w:rsid w:val="00796AFC"/>
    <w:rsid w:val="007972E4"/>
    <w:rsid w:val="007A0F12"/>
    <w:rsid w:val="007A4D51"/>
    <w:rsid w:val="007A64DD"/>
    <w:rsid w:val="007A677C"/>
    <w:rsid w:val="007A6CF4"/>
    <w:rsid w:val="007B14EF"/>
    <w:rsid w:val="007B4E21"/>
    <w:rsid w:val="007C4AE7"/>
    <w:rsid w:val="007C5324"/>
    <w:rsid w:val="007C58F1"/>
    <w:rsid w:val="007C7A0A"/>
    <w:rsid w:val="007D3503"/>
    <w:rsid w:val="007E0612"/>
    <w:rsid w:val="007F01DD"/>
    <w:rsid w:val="007F0B25"/>
    <w:rsid w:val="007F0DAF"/>
    <w:rsid w:val="007F170D"/>
    <w:rsid w:val="007F34FB"/>
    <w:rsid w:val="007F562F"/>
    <w:rsid w:val="007F5B96"/>
    <w:rsid w:val="007F6F82"/>
    <w:rsid w:val="007F705F"/>
    <w:rsid w:val="008023A7"/>
    <w:rsid w:val="008038E6"/>
    <w:rsid w:val="00804195"/>
    <w:rsid w:val="00805A89"/>
    <w:rsid w:val="0080757E"/>
    <w:rsid w:val="00815160"/>
    <w:rsid w:val="00820E64"/>
    <w:rsid w:val="00820E66"/>
    <w:rsid w:val="0082350F"/>
    <w:rsid w:val="008257CC"/>
    <w:rsid w:val="00835686"/>
    <w:rsid w:val="0083620F"/>
    <w:rsid w:val="00840062"/>
    <w:rsid w:val="00841118"/>
    <w:rsid w:val="00843945"/>
    <w:rsid w:val="00844FE4"/>
    <w:rsid w:val="00845D02"/>
    <w:rsid w:val="00845D20"/>
    <w:rsid w:val="00846F04"/>
    <w:rsid w:val="00851EBC"/>
    <w:rsid w:val="00852E96"/>
    <w:rsid w:val="0085586A"/>
    <w:rsid w:val="008641F9"/>
    <w:rsid w:val="008678B3"/>
    <w:rsid w:val="008715C9"/>
    <w:rsid w:val="008716D6"/>
    <w:rsid w:val="0087431F"/>
    <w:rsid w:val="0087584F"/>
    <w:rsid w:val="008907EB"/>
    <w:rsid w:val="0089081A"/>
    <w:rsid w:val="008914E6"/>
    <w:rsid w:val="0089285E"/>
    <w:rsid w:val="008A0D42"/>
    <w:rsid w:val="008A6084"/>
    <w:rsid w:val="008B0C68"/>
    <w:rsid w:val="008B2876"/>
    <w:rsid w:val="008C0023"/>
    <w:rsid w:val="008C10CA"/>
    <w:rsid w:val="008C193C"/>
    <w:rsid w:val="008C358A"/>
    <w:rsid w:val="008C788D"/>
    <w:rsid w:val="008D0897"/>
    <w:rsid w:val="008D1251"/>
    <w:rsid w:val="008D2BAC"/>
    <w:rsid w:val="008D5E62"/>
    <w:rsid w:val="008D611F"/>
    <w:rsid w:val="008D655A"/>
    <w:rsid w:val="008E4777"/>
    <w:rsid w:val="008F2263"/>
    <w:rsid w:val="008F4E34"/>
    <w:rsid w:val="008F5202"/>
    <w:rsid w:val="008F54A0"/>
    <w:rsid w:val="008F628D"/>
    <w:rsid w:val="00904D97"/>
    <w:rsid w:val="009052C3"/>
    <w:rsid w:val="00905F94"/>
    <w:rsid w:val="00906BBD"/>
    <w:rsid w:val="0091076C"/>
    <w:rsid w:val="00912030"/>
    <w:rsid w:val="00914271"/>
    <w:rsid w:val="00914699"/>
    <w:rsid w:val="0091592E"/>
    <w:rsid w:val="00917593"/>
    <w:rsid w:val="0091798E"/>
    <w:rsid w:val="00920EEA"/>
    <w:rsid w:val="0092183C"/>
    <w:rsid w:val="0092693E"/>
    <w:rsid w:val="00926990"/>
    <w:rsid w:val="00931045"/>
    <w:rsid w:val="00931148"/>
    <w:rsid w:val="0093190A"/>
    <w:rsid w:val="009322B8"/>
    <w:rsid w:val="00936277"/>
    <w:rsid w:val="00937EA9"/>
    <w:rsid w:val="00946A1B"/>
    <w:rsid w:val="00947540"/>
    <w:rsid w:val="00951758"/>
    <w:rsid w:val="00960B7F"/>
    <w:rsid w:val="00961F59"/>
    <w:rsid w:val="00963160"/>
    <w:rsid w:val="00963D39"/>
    <w:rsid w:val="00963DCD"/>
    <w:rsid w:val="00965528"/>
    <w:rsid w:val="009660A0"/>
    <w:rsid w:val="00970480"/>
    <w:rsid w:val="00970C37"/>
    <w:rsid w:val="00975114"/>
    <w:rsid w:val="009755E8"/>
    <w:rsid w:val="00985DB1"/>
    <w:rsid w:val="00987262"/>
    <w:rsid w:val="00991168"/>
    <w:rsid w:val="00992FDC"/>
    <w:rsid w:val="009A0068"/>
    <w:rsid w:val="009A5516"/>
    <w:rsid w:val="009A6DCC"/>
    <w:rsid w:val="009B0339"/>
    <w:rsid w:val="009B1236"/>
    <w:rsid w:val="009B7A10"/>
    <w:rsid w:val="009C04DD"/>
    <w:rsid w:val="009C405E"/>
    <w:rsid w:val="009C5918"/>
    <w:rsid w:val="009C7A02"/>
    <w:rsid w:val="009C7E8B"/>
    <w:rsid w:val="009D071E"/>
    <w:rsid w:val="009D4493"/>
    <w:rsid w:val="009D4DD9"/>
    <w:rsid w:val="009D7A30"/>
    <w:rsid w:val="009E1996"/>
    <w:rsid w:val="009E2E20"/>
    <w:rsid w:val="009E3D63"/>
    <w:rsid w:val="009E4242"/>
    <w:rsid w:val="009E5649"/>
    <w:rsid w:val="009E58E8"/>
    <w:rsid w:val="009E608A"/>
    <w:rsid w:val="009F1A6F"/>
    <w:rsid w:val="009F2A71"/>
    <w:rsid w:val="009F6A1B"/>
    <w:rsid w:val="00A008BB"/>
    <w:rsid w:val="00A01C3B"/>
    <w:rsid w:val="00A01CCD"/>
    <w:rsid w:val="00A068A9"/>
    <w:rsid w:val="00A1229E"/>
    <w:rsid w:val="00A130DA"/>
    <w:rsid w:val="00A14959"/>
    <w:rsid w:val="00A14FE1"/>
    <w:rsid w:val="00A2337F"/>
    <w:rsid w:val="00A26F3F"/>
    <w:rsid w:val="00A343E5"/>
    <w:rsid w:val="00A34F5A"/>
    <w:rsid w:val="00A37308"/>
    <w:rsid w:val="00A40A01"/>
    <w:rsid w:val="00A41806"/>
    <w:rsid w:val="00A43506"/>
    <w:rsid w:val="00A43D49"/>
    <w:rsid w:val="00A4576E"/>
    <w:rsid w:val="00A46836"/>
    <w:rsid w:val="00A57011"/>
    <w:rsid w:val="00A60547"/>
    <w:rsid w:val="00A63957"/>
    <w:rsid w:val="00A63FDE"/>
    <w:rsid w:val="00A70898"/>
    <w:rsid w:val="00A81F0D"/>
    <w:rsid w:val="00A8343A"/>
    <w:rsid w:val="00A83C5F"/>
    <w:rsid w:val="00A84B78"/>
    <w:rsid w:val="00A84D7E"/>
    <w:rsid w:val="00A85953"/>
    <w:rsid w:val="00A90C0F"/>
    <w:rsid w:val="00A92638"/>
    <w:rsid w:val="00A943BF"/>
    <w:rsid w:val="00A9610B"/>
    <w:rsid w:val="00AA3F9C"/>
    <w:rsid w:val="00AA4B88"/>
    <w:rsid w:val="00AA5D87"/>
    <w:rsid w:val="00AA63C1"/>
    <w:rsid w:val="00AB4222"/>
    <w:rsid w:val="00AB5A00"/>
    <w:rsid w:val="00AB5F04"/>
    <w:rsid w:val="00AC49AE"/>
    <w:rsid w:val="00AD0716"/>
    <w:rsid w:val="00AD1D6D"/>
    <w:rsid w:val="00AD54AB"/>
    <w:rsid w:val="00AD55EC"/>
    <w:rsid w:val="00AD7D4F"/>
    <w:rsid w:val="00AF0BF4"/>
    <w:rsid w:val="00AF1A93"/>
    <w:rsid w:val="00AF21AE"/>
    <w:rsid w:val="00AF6A54"/>
    <w:rsid w:val="00B03455"/>
    <w:rsid w:val="00B051EE"/>
    <w:rsid w:val="00B052F6"/>
    <w:rsid w:val="00B06796"/>
    <w:rsid w:val="00B1185E"/>
    <w:rsid w:val="00B13EDB"/>
    <w:rsid w:val="00B14950"/>
    <w:rsid w:val="00B14A7B"/>
    <w:rsid w:val="00B15C20"/>
    <w:rsid w:val="00B21275"/>
    <w:rsid w:val="00B25DC0"/>
    <w:rsid w:val="00B265A3"/>
    <w:rsid w:val="00B32754"/>
    <w:rsid w:val="00B4006A"/>
    <w:rsid w:val="00B40D25"/>
    <w:rsid w:val="00B42C07"/>
    <w:rsid w:val="00B4494B"/>
    <w:rsid w:val="00B50015"/>
    <w:rsid w:val="00B50A2A"/>
    <w:rsid w:val="00B53C23"/>
    <w:rsid w:val="00B55A52"/>
    <w:rsid w:val="00B57188"/>
    <w:rsid w:val="00B60BEA"/>
    <w:rsid w:val="00B63F58"/>
    <w:rsid w:val="00B64AB6"/>
    <w:rsid w:val="00B65B78"/>
    <w:rsid w:val="00B7010F"/>
    <w:rsid w:val="00B71F1F"/>
    <w:rsid w:val="00B7520D"/>
    <w:rsid w:val="00B77951"/>
    <w:rsid w:val="00B80D61"/>
    <w:rsid w:val="00B85DB9"/>
    <w:rsid w:val="00B97DC1"/>
    <w:rsid w:val="00BB110F"/>
    <w:rsid w:val="00BB229C"/>
    <w:rsid w:val="00BB633E"/>
    <w:rsid w:val="00BB695D"/>
    <w:rsid w:val="00BC3611"/>
    <w:rsid w:val="00BC7642"/>
    <w:rsid w:val="00BD027B"/>
    <w:rsid w:val="00BD078E"/>
    <w:rsid w:val="00BD2335"/>
    <w:rsid w:val="00BD5829"/>
    <w:rsid w:val="00BD7861"/>
    <w:rsid w:val="00BE0E68"/>
    <w:rsid w:val="00BE2224"/>
    <w:rsid w:val="00BE4C72"/>
    <w:rsid w:val="00BE61B4"/>
    <w:rsid w:val="00BF197E"/>
    <w:rsid w:val="00BF2AB3"/>
    <w:rsid w:val="00BF5F52"/>
    <w:rsid w:val="00C00678"/>
    <w:rsid w:val="00C006ED"/>
    <w:rsid w:val="00C01979"/>
    <w:rsid w:val="00C01D1A"/>
    <w:rsid w:val="00C01DC1"/>
    <w:rsid w:val="00C02FB7"/>
    <w:rsid w:val="00C04862"/>
    <w:rsid w:val="00C0551F"/>
    <w:rsid w:val="00C1131E"/>
    <w:rsid w:val="00C119F4"/>
    <w:rsid w:val="00C12067"/>
    <w:rsid w:val="00C1554D"/>
    <w:rsid w:val="00C15993"/>
    <w:rsid w:val="00C17DB7"/>
    <w:rsid w:val="00C2249F"/>
    <w:rsid w:val="00C25268"/>
    <w:rsid w:val="00C306D9"/>
    <w:rsid w:val="00C308AB"/>
    <w:rsid w:val="00C308BD"/>
    <w:rsid w:val="00C33B68"/>
    <w:rsid w:val="00C36A67"/>
    <w:rsid w:val="00C36BFE"/>
    <w:rsid w:val="00C375A8"/>
    <w:rsid w:val="00C40719"/>
    <w:rsid w:val="00C43967"/>
    <w:rsid w:val="00C46541"/>
    <w:rsid w:val="00C4660C"/>
    <w:rsid w:val="00C50379"/>
    <w:rsid w:val="00C62A83"/>
    <w:rsid w:val="00C65B8B"/>
    <w:rsid w:val="00C65B9A"/>
    <w:rsid w:val="00C6669A"/>
    <w:rsid w:val="00C72FA2"/>
    <w:rsid w:val="00C800EC"/>
    <w:rsid w:val="00C80A0E"/>
    <w:rsid w:val="00C81935"/>
    <w:rsid w:val="00C837BE"/>
    <w:rsid w:val="00C91931"/>
    <w:rsid w:val="00C92685"/>
    <w:rsid w:val="00C926F3"/>
    <w:rsid w:val="00C95305"/>
    <w:rsid w:val="00CA11E9"/>
    <w:rsid w:val="00CA2289"/>
    <w:rsid w:val="00CA3649"/>
    <w:rsid w:val="00CA3DCF"/>
    <w:rsid w:val="00CA76D0"/>
    <w:rsid w:val="00CB1476"/>
    <w:rsid w:val="00CB4947"/>
    <w:rsid w:val="00CC63AA"/>
    <w:rsid w:val="00CC660B"/>
    <w:rsid w:val="00CD28D4"/>
    <w:rsid w:val="00CD2A26"/>
    <w:rsid w:val="00CD4CC0"/>
    <w:rsid w:val="00CD54FA"/>
    <w:rsid w:val="00CD68B8"/>
    <w:rsid w:val="00CE1573"/>
    <w:rsid w:val="00CE4F12"/>
    <w:rsid w:val="00CF15B4"/>
    <w:rsid w:val="00CF51ED"/>
    <w:rsid w:val="00CF6553"/>
    <w:rsid w:val="00D02B2C"/>
    <w:rsid w:val="00D03AC4"/>
    <w:rsid w:val="00D10F43"/>
    <w:rsid w:val="00D11680"/>
    <w:rsid w:val="00D12E0C"/>
    <w:rsid w:val="00D140F2"/>
    <w:rsid w:val="00D209BE"/>
    <w:rsid w:val="00D20DAD"/>
    <w:rsid w:val="00D20ECB"/>
    <w:rsid w:val="00D2205C"/>
    <w:rsid w:val="00D22D3B"/>
    <w:rsid w:val="00D25882"/>
    <w:rsid w:val="00D371EC"/>
    <w:rsid w:val="00D401B0"/>
    <w:rsid w:val="00D45D67"/>
    <w:rsid w:val="00D47D16"/>
    <w:rsid w:val="00D60515"/>
    <w:rsid w:val="00D61DDA"/>
    <w:rsid w:val="00D63CCD"/>
    <w:rsid w:val="00D63E6B"/>
    <w:rsid w:val="00D63FB0"/>
    <w:rsid w:val="00D64002"/>
    <w:rsid w:val="00D64E86"/>
    <w:rsid w:val="00D656BE"/>
    <w:rsid w:val="00D65B89"/>
    <w:rsid w:val="00D71062"/>
    <w:rsid w:val="00D73AE4"/>
    <w:rsid w:val="00D73E10"/>
    <w:rsid w:val="00D74A6B"/>
    <w:rsid w:val="00D74D58"/>
    <w:rsid w:val="00D800EE"/>
    <w:rsid w:val="00D83C49"/>
    <w:rsid w:val="00D84BC5"/>
    <w:rsid w:val="00DA03A8"/>
    <w:rsid w:val="00DA1A7C"/>
    <w:rsid w:val="00DA27CF"/>
    <w:rsid w:val="00DA3991"/>
    <w:rsid w:val="00DA52A4"/>
    <w:rsid w:val="00DA5B7F"/>
    <w:rsid w:val="00DB02D7"/>
    <w:rsid w:val="00DB572F"/>
    <w:rsid w:val="00DC4D30"/>
    <w:rsid w:val="00DC75C8"/>
    <w:rsid w:val="00DC7D65"/>
    <w:rsid w:val="00DE13CC"/>
    <w:rsid w:val="00DE37EE"/>
    <w:rsid w:val="00DE4658"/>
    <w:rsid w:val="00DF5A6C"/>
    <w:rsid w:val="00DF74F4"/>
    <w:rsid w:val="00E03183"/>
    <w:rsid w:val="00E03306"/>
    <w:rsid w:val="00E056D1"/>
    <w:rsid w:val="00E06BBD"/>
    <w:rsid w:val="00E0739C"/>
    <w:rsid w:val="00E1052E"/>
    <w:rsid w:val="00E10712"/>
    <w:rsid w:val="00E11E8F"/>
    <w:rsid w:val="00E128EB"/>
    <w:rsid w:val="00E15DCA"/>
    <w:rsid w:val="00E20BF2"/>
    <w:rsid w:val="00E23C5B"/>
    <w:rsid w:val="00E3214D"/>
    <w:rsid w:val="00E348F7"/>
    <w:rsid w:val="00E34C4F"/>
    <w:rsid w:val="00E3663D"/>
    <w:rsid w:val="00E37311"/>
    <w:rsid w:val="00E37FD8"/>
    <w:rsid w:val="00E45692"/>
    <w:rsid w:val="00E470A9"/>
    <w:rsid w:val="00E50A2B"/>
    <w:rsid w:val="00E532D7"/>
    <w:rsid w:val="00E64D5F"/>
    <w:rsid w:val="00E64F94"/>
    <w:rsid w:val="00E665D2"/>
    <w:rsid w:val="00E67C23"/>
    <w:rsid w:val="00E702CF"/>
    <w:rsid w:val="00E7055A"/>
    <w:rsid w:val="00E72D20"/>
    <w:rsid w:val="00E7374A"/>
    <w:rsid w:val="00E75219"/>
    <w:rsid w:val="00E75A3F"/>
    <w:rsid w:val="00E770BF"/>
    <w:rsid w:val="00E8174F"/>
    <w:rsid w:val="00E829F3"/>
    <w:rsid w:val="00E82A15"/>
    <w:rsid w:val="00E8327D"/>
    <w:rsid w:val="00E84343"/>
    <w:rsid w:val="00E8538E"/>
    <w:rsid w:val="00E85642"/>
    <w:rsid w:val="00E912A3"/>
    <w:rsid w:val="00E91C7E"/>
    <w:rsid w:val="00E95118"/>
    <w:rsid w:val="00E95868"/>
    <w:rsid w:val="00EA08A0"/>
    <w:rsid w:val="00EA3C63"/>
    <w:rsid w:val="00EB77DE"/>
    <w:rsid w:val="00EC0A91"/>
    <w:rsid w:val="00EC0CF7"/>
    <w:rsid w:val="00EC18E4"/>
    <w:rsid w:val="00EC32E4"/>
    <w:rsid w:val="00EC38E8"/>
    <w:rsid w:val="00EC4DB9"/>
    <w:rsid w:val="00EC5003"/>
    <w:rsid w:val="00ED08D2"/>
    <w:rsid w:val="00ED4381"/>
    <w:rsid w:val="00ED479A"/>
    <w:rsid w:val="00ED7D12"/>
    <w:rsid w:val="00EE19BE"/>
    <w:rsid w:val="00EE25FB"/>
    <w:rsid w:val="00EE5EAF"/>
    <w:rsid w:val="00EE6FED"/>
    <w:rsid w:val="00EF2347"/>
    <w:rsid w:val="00EF68E6"/>
    <w:rsid w:val="00F00CEA"/>
    <w:rsid w:val="00F00EF0"/>
    <w:rsid w:val="00F0257B"/>
    <w:rsid w:val="00F0311E"/>
    <w:rsid w:val="00F1162C"/>
    <w:rsid w:val="00F1412D"/>
    <w:rsid w:val="00F17A29"/>
    <w:rsid w:val="00F17E65"/>
    <w:rsid w:val="00F24CAA"/>
    <w:rsid w:val="00F3387F"/>
    <w:rsid w:val="00F43AD3"/>
    <w:rsid w:val="00F43E73"/>
    <w:rsid w:val="00F445B8"/>
    <w:rsid w:val="00F51E02"/>
    <w:rsid w:val="00F53C96"/>
    <w:rsid w:val="00F5419A"/>
    <w:rsid w:val="00F54E8A"/>
    <w:rsid w:val="00F552E0"/>
    <w:rsid w:val="00F605B0"/>
    <w:rsid w:val="00F63443"/>
    <w:rsid w:val="00F65D3E"/>
    <w:rsid w:val="00F70B9D"/>
    <w:rsid w:val="00F714E3"/>
    <w:rsid w:val="00F717D1"/>
    <w:rsid w:val="00F73BF5"/>
    <w:rsid w:val="00F73E5A"/>
    <w:rsid w:val="00F74F6C"/>
    <w:rsid w:val="00F7686C"/>
    <w:rsid w:val="00F83524"/>
    <w:rsid w:val="00F83E48"/>
    <w:rsid w:val="00F90B02"/>
    <w:rsid w:val="00FA19EB"/>
    <w:rsid w:val="00FA40EE"/>
    <w:rsid w:val="00FA4A34"/>
    <w:rsid w:val="00FA67EB"/>
    <w:rsid w:val="00FA6DE7"/>
    <w:rsid w:val="00FB4077"/>
    <w:rsid w:val="00FB486C"/>
    <w:rsid w:val="00FB54C4"/>
    <w:rsid w:val="00FB76B8"/>
    <w:rsid w:val="00FB7E4E"/>
    <w:rsid w:val="00FC2B74"/>
    <w:rsid w:val="00FC693A"/>
    <w:rsid w:val="00FD0522"/>
    <w:rsid w:val="00FD3F11"/>
    <w:rsid w:val="00FE15F6"/>
    <w:rsid w:val="00FE1675"/>
    <w:rsid w:val="00FE58E4"/>
    <w:rsid w:val="00FE7A7D"/>
    <w:rsid w:val="00FE7C29"/>
    <w:rsid w:val="00FF0CBB"/>
    <w:rsid w:val="00FF2EC0"/>
    <w:rsid w:val="00FF3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D4CDB"/>
  <w15:chartTrackingRefBased/>
  <w15:docId w15:val="{45541241-C195-4ADE-8565-958B7C14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81"/>
    <w:pPr>
      <w:spacing w:before="100" w:beforeAutospacing="1" w:after="100" w:afterAutospacing="1"/>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m">
    <w:name w:val="normal-em"/>
    <w:basedOn w:val="Normal"/>
    <w:rsid w:val="00750ADC"/>
    <w:rPr>
      <w:rFonts w:ascii="Times New Roman" w:eastAsia="Times New Roman" w:hAnsi="Times New Roman"/>
      <w:sz w:val="24"/>
      <w:szCs w:val="24"/>
      <w:lang w:eastAsia="en-AU"/>
    </w:rPr>
  </w:style>
  <w:style w:type="paragraph" w:styleId="ListParagraph">
    <w:name w:val="List Paragraph"/>
    <w:basedOn w:val="Normal"/>
    <w:uiPriority w:val="34"/>
    <w:qFormat/>
    <w:rsid w:val="003E1981"/>
    <w:pPr>
      <w:ind w:left="720"/>
    </w:pPr>
  </w:style>
  <w:style w:type="paragraph" w:customStyle="1" w:styleId="ItemHead">
    <w:name w:val="ItemHead"/>
    <w:aliases w:val="ih"/>
    <w:basedOn w:val="Normal"/>
    <w:next w:val="Normal"/>
    <w:rsid w:val="00F7686C"/>
    <w:pPr>
      <w:keepNext/>
      <w:keepLines/>
      <w:spacing w:before="220"/>
      <w:ind w:left="709" w:hanging="709"/>
    </w:pPr>
    <w:rPr>
      <w:rFonts w:ascii="Arial" w:eastAsia="Times New Roman" w:hAnsi="Arial"/>
      <w:b/>
      <w:kern w:val="28"/>
      <w:sz w:val="24"/>
      <w:szCs w:val="20"/>
      <w:lang w:eastAsia="en-AU"/>
    </w:rPr>
  </w:style>
  <w:style w:type="paragraph" w:customStyle="1" w:styleId="Tablei">
    <w:name w:val="Table(i)"/>
    <w:aliases w:val="taa"/>
    <w:basedOn w:val="Normal"/>
    <w:rsid w:val="00333AF1"/>
    <w:pPr>
      <w:tabs>
        <w:tab w:val="left" w:pos="-6543"/>
        <w:tab w:val="left" w:pos="-6260"/>
        <w:tab w:val="right" w:pos="970"/>
      </w:tabs>
      <w:spacing w:before="0" w:line="240" w:lineRule="exact"/>
      <w:ind w:left="828" w:hanging="284"/>
    </w:pPr>
    <w:rPr>
      <w:rFonts w:ascii="Times New Roman" w:eastAsia="Times New Roman" w:hAnsi="Times New Roman"/>
      <w:sz w:val="20"/>
      <w:szCs w:val="20"/>
      <w:lang w:eastAsia="en-AU"/>
    </w:rPr>
  </w:style>
  <w:style w:type="paragraph" w:customStyle="1" w:styleId="0cmNumbering">
    <w:name w:val="0cm Numbering"/>
    <w:basedOn w:val="ListParagraph"/>
    <w:next w:val="Normal"/>
    <w:qFormat/>
    <w:rsid w:val="003E1981"/>
    <w:pPr>
      <w:numPr>
        <w:numId w:val="21"/>
      </w:numPr>
      <w:shd w:val="clear" w:color="auto" w:fill="FFFFFF"/>
    </w:pPr>
    <w:rPr>
      <w:rFonts w:ascii="Times New Roman" w:eastAsia="Times New Roman" w:hAnsi="Times New Roman"/>
      <w:b/>
      <w:sz w:val="24"/>
      <w:szCs w:val="24"/>
      <w:lang w:eastAsia="en-AU"/>
    </w:rPr>
  </w:style>
  <w:style w:type="character" w:styleId="PlaceholderText">
    <w:name w:val="Placeholder Text"/>
    <w:basedOn w:val="DefaultParagraphFont"/>
    <w:uiPriority w:val="99"/>
    <w:semiHidden/>
    <w:rsid w:val="00FB54C4"/>
    <w:rPr>
      <w:color w:val="808080"/>
    </w:rPr>
  </w:style>
  <w:style w:type="paragraph" w:customStyle="1" w:styleId="ActHead9">
    <w:name w:val="ActHead 9"/>
    <w:aliases w:val="aat"/>
    <w:basedOn w:val="Normal"/>
    <w:next w:val="ItemHead"/>
    <w:qFormat/>
    <w:rsid w:val="003E1594"/>
    <w:pPr>
      <w:keepNext/>
      <w:keepLines/>
      <w:spacing w:before="280" w:beforeAutospacing="0" w:after="0" w:afterAutospacing="0"/>
      <w:ind w:left="1134" w:hanging="1134"/>
      <w:outlineLvl w:val="8"/>
    </w:pPr>
    <w:rPr>
      <w:rFonts w:ascii="Times New Roman" w:eastAsia="Times New Roman" w:hAnsi="Times New Roman"/>
      <w:b/>
      <w:i/>
      <w:kern w:val="28"/>
      <w:sz w:val="28"/>
      <w:szCs w:val="20"/>
      <w:lang w:eastAsia="en-AU"/>
    </w:rPr>
  </w:style>
  <w:style w:type="paragraph" w:customStyle="1" w:styleId="subsection">
    <w:name w:val="subsection"/>
    <w:aliases w:val="ss,Subsection"/>
    <w:basedOn w:val="Normal"/>
    <w:link w:val="subsectionChar"/>
    <w:rsid w:val="00985DB1"/>
    <w:pPr>
      <w:tabs>
        <w:tab w:val="right" w:pos="1021"/>
      </w:tabs>
      <w:spacing w:before="180" w:beforeAutospacing="0" w:after="0" w:afterAutospacing="0"/>
      <w:ind w:left="1134" w:hanging="1134"/>
    </w:pPr>
    <w:rPr>
      <w:rFonts w:ascii="Times New Roman" w:eastAsia="Times New Roman" w:hAnsi="Times New Roman"/>
      <w:szCs w:val="20"/>
      <w:lang w:eastAsia="en-AU"/>
    </w:rPr>
  </w:style>
  <w:style w:type="paragraph" w:customStyle="1" w:styleId="Item">
    <w:name w:val="Item"/>
    <w:aliases w:val="i"/>
    <w:basedOn w:val="Normal"/>
    <w:next w:val="ItemHead"/>
    <w:rsid w:val="00985DB1"/>
    <w:pPr>
      <w:keepLines/>
      <w:spacing w:before="80" w:beforeAutospacing="0" w:after="0" w:afterAutospacing="0"/>
      <w:ind w:left="709"/>
    </w:pPr>
    <w:rPr>
      <w:rFonts w:ascii="Times New Roman" w:eastAsia="Times New Roman" w:hAnsi="Times New Roman"/>
      <w:szCs w:val="20"/>
      <w:lang w:eastAsia="en-AU"/>
    </w:rPr>
  </w:style>
  <w:style w:type="paragraph" w:customStyle="1" w:styleId="SubsectionHead">
    <w:name w:val="SubsectionHead"/>
    <w:aliases w:val="ssh"/>
    <w:basedOn w:val="Normal"/>
    <w:next w:val="subsection"/>
    <w:rsid w:val="00985DB1"/>
    <w:pPr>
      <w:keepNext/>
      <w:keepLines/>
      <w:spacing w:before="240" w:beforeAutospacing="0" w:after="0" w:afterAutospacing="0"/>
      <w:ind w:left="1134"/>
    </w:pPr>
    <w:rPr>
      <w:rFonts w:ascii="Times New Roman" w:eastAsia="Times New Roman" w:hAnsi="Times New Roman"/>
      <w:i/>
      <w:szCs w:val="20"/>
      <w:lang w:eastAsia="en-AU"/>
    </w:rPr>
  </w:style>
  <w:style w:type="character" w:customStyle="1" w:styleId="subsectionChar">
    <w:name w:val="subsection Char"/>
    <w:aliases w:val="ss Char"/>
    <w:basedOn w:val="DefaultParagraphFont"/>
    <w:link w:val="subsection"/>
    <w:locked/>
    <w:rsid w:val="00985DB1"/>
    <w:rPr>
      <w:rFonts w:ascii="Times New Roman" w:eastAsia="Times New Roman" w:hAnsi="Times New Roman"/>
      <w:sz w:val="22"/>
    </w:rPr>
  </w:style>
  <w:style w:type="paragraph" w:customStyle="1" w:styleId="Tablea">
    <w:name w:val="Table(a)"/>
    <w:aliases w:val="ta"/>
    <w:basedOn w:val="Normal"/>
    <w:rsid w:val="00E665D2"/>
    <w:pPr>
      <w:spacing w:before="60" w:beforeAutospacing="0" w:after="0" w:afterAutospacing="0"/>
      <w:ind w:left="284" w:hanging="284"/>
    </w:pPr>
    <w:rPr>
      <w:rFonts w:ascii="Times New Roman" w:eastAsia="Times New Roman" w:hAnsi="Times New Roman"/>
      <w:sz w:val="20"/>
      <w:szCs w:val="20"/>
      <w:lang w:eastAsia="en-AU"/>
    </w:rPr>
  </w:style>
  <w:style w:type="paragraph" w:customStyle="1" w:styleId="Default">
    <w:name w:val="Default"/>
    <w:rsid w:val="00EC5003"/>
    <w:pPr>
      <w:autoSpaceDE w:val="0"/>
      <w:autoSpaceDN w:val="0"/>
      <w:adjustRightInd w:val="0"/>
    </w:pPr>
    <w:rPr>
      <w:rFonts w:ascii="Times New Roman" w:hAnsi="Times New Roman"/>
      <w:color w:val="000000"/>
      <w:sz w:val="24"/>
      <w:szCs w:val="24"/>
    </w:rPr>
  </w:style>
  <w:style w:type="paragraph" w:customStyle="1" w:styleId="Session">
    <w:name w:val="Session"/>
    <w:basedOn w:val="Normal"/>
    <w:rsid w:val="00164D18"/>
    <w:pPr>
      <w:spacing w:before="0" w:beforeAutospacing="0" w:after="0" w:afterAutospacing="0"/>
    </w:pPr>
    <w:rPr>
      <w:rFonts w:ascii="Times New Roman" w:eastAsia="Times New Roman" w:hAnsi="Times New Roman"/>
      <w:sz w:val="28"/>
      <w:szCs w:val="20"/>
      <w:lang w:eastAsia="en-AU"/>
    </w:rPr>
  </w:style>
  <w:style w:type="paragraph" w:customStyle="1" w:styleId="Tabletext0">
    <w:name w:val="Tabletext"/>
    <w:aliases w:val="tt"/>
    <w:basedOn w:val="Normal"/>
    <w:rsid w:val="00164D18"/>
    <w:pPr>
      <w:spacing w:before="60" w:beforeAutospacing="0" w:after="0" w:afterAutospacing="0" w:line="240" w:lineRule="atLeast"/>
    </w:pPr>
    <w:rPr>
      <w:rFonts w:ascii="Times New Roman" w:eastAsia="Times New Roman" w:hAnsi="Times New Roman"/>
      <w:sz w:val="20"/>
      <w:szCs w:val="20"/>
      <w:lang w:eastAsia="en-AU"/>
    </w:rPr>
  </w:style>
  <w:style w:type="paragraph" w:customStyle="1" w:styleId="SubitemHead">
    <w:name w:val="SubitemHead"/>
    <w:aliases w:val="issh"/>
    <w:basedOn w:val="Normal"/>
    <w:rsid w:val="00384576"/>
    <w:pPr>
      <w:keepNext/>
      <w:keepLines/>
      <w:spacing w:before="220" w:beforeAutospacing="0" w:after="0" w:afterAutospacing="0"/>
      <w:ind w:left="709"/>
    </w:pPr>
    <w:rPr>
      <w:rFonts w:ascii="Arial" w:eastAsia="Times New Roman" w:hAnsi="Arial"/>
      <w:i/>
      <w:kern w:val="28"/>
      <w:szCs w:val="20"/>
      <w:lang w:eastAsia="en-AU"/>
    </w:rPr>
  </w:style>
  <w:style w:type="paragraph" w:styleId="PlainText">
    <w:name w:val="Plain Text"/>
    <w:basedOn w:val="Normal"/>
    <w:link w:val="PlainTextChar"/>
    <w:uiPriority w:val="99"/>
    <w:semiHidden/>
    <w:unhideWhenUsed/>
    <w:rsid w:val="006C0B3F"/>
    <w:pPr>
      <w:spacing w:before="0" w:beforeAutospacing="0" w:after="0" w:afterAutospacing="0"/>
    </w:pPr>
    <w:rPr>
      <w:rFonts w:ascii="Calibri" w:eastAsiaTheme="minorHAnsi" w:hAnsi="Calibri"/>
    </w:rPr>
  </w:style>
  <w:style w:type="character" w:customStyle="1" w:styleId="PlainTextChar">
    <w:name w:val="Plain Text Char"/>
    <w:basedOn w:val="DefaultParagraphFont"/>
    <w:link w:val="PlainText"/>
    <w:uiPriority w:val="99"/>
    <w:semiHidden/>
    <w:rsid w:val="006C0B3F"/>
    <w:rPr>
      <w:rFonts w:ascii="Calibri" w:eastAsiaTheme="minorHAnsi" w:hAnsi="Calibri"/>
      <w:sz w:val="22"/>
      <w:szCs w:val="22"/>
      <w:lang w:eastAsia="en-US"/>
    </w:rPr>
  </w:style>
  <w:style w:type="paragraph" w:customStyle="1" w:styleId="paragraph">
    <w:name w:val="paragraph"/>
    <w:aliases w:val="a"/>
    <w:basedOn w:val="Normal"/>
    <w:rsid w:val="00B42C07"/>
    <w:pPr>
      <w:tabs>
        <w:tab w:val="right" w:pos="1531"/>
      </w:tabs>
      <w:spacing w:before="40" w:beforeAutospacing="0" w:after="0" w:afterAutospacing="0"/>
      <w:ind w:left="1644" w:hanging="1644"/>
    </w:pPr>
    <w:rPr>
      <w:rFonts w:ascii="Times New Roman" w:eastAsia="Times New Roman" w:hAnsi="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9612">
      <w:bodyDiv w:val="1"/>
      <w:marLeft w:val="0"/>
      <w:marRight w:val="0"/>
      <w:marTop w:val="0"/>
      <w:marBottom w:val="0"/>
      <w:divBdr>
        <w:top w:val="none" w:sz="0" w:space="0" w:color="auto"/>
        <w:left w:val="none" w:sz="0" w:space="0" w:color="auto"/>
        <w:bottom w:val="none" w:sz="0" w:space="0" w:color="auto"/>
        <w:right w:val="none" w:sz="0" w:space="0" w:color="auto"/>
      </w:divBdr>
    </w:div>
    <w:div w:id="268894563">
      <w:bodyDiv w:val="1"/>
      <w:marLeft w:val="0"/>
      <w:marRight w:val="0"/>
      <w:marTop w:val="0"/>
      <w:marBottom w:val="0"/>
      <w:divBdr>
        <w:top w:val="none" w:sz="0" w:space="0" w:color="auto"/>
        <w:left w:val="none" w:sz="0" w:space="0" w:color="auto"/>
        <w:bottom w:val="none" w:sz="0" w:space="0" w:color="auto"/>
        <w:right w:val="none" w:sz="0" w:space="0" w:color="auto"/>
      </w:divBdr>
    </w:div>
    <w:div w:id="315575929">
      <w:bodyDiv w:val="1"/>
      <w:marLeft w:val="0"/>
      <w:marRight w:val="0"/>
      <w:marTop w:val="0"/>
      <w:marBottom w:val="0"/>
      <w:divBdr>
        <w:top w:val="none" w:sz="0" w:space="0" w:color="auto"/>
        <w:left w:val="none" w:sz="0" w:space="0" w:color="auto"/>
        <w:bottom w:val="none" w:sz="0" w:space="0" w:color="auto"/>
        <w:right w:val="none" w:sz="0" w:space="0" w:color="auto"/>
      </w:divBdr>
    </w:div>
    <w:div w:id="364716322">
      <w:bodyDiv w:val="1"/>
      <w:marLeft w:val="0"/>
      <w:marRight w:val="0"/>
      <w:marTop w:val="0"/>
      <w:marBottom w:val="0"/>
      <w:divBdr>
        <w:top w:val="none" w:sz="0" w:space="0" w:color="auto"/>
        <w:left w:val="none" w:sz="0" w:space="0" w:color="auto"/>
        <w:bottom w:val="none" w:sz="0" w:space="0" w:color="auto"/>
        <w:right w:val="none" w:sz="0" w:space="0" w:color="auto"/>
      </w:divBdr>
    </w:div>
    <w:div w:id="373622813">
      <w:bodyDiv w:val="1"/>
      <w:marLeft w:val="0"/>
      <w:marRight w:val="0"/>
      <w:marTop w:val="0"/>
      <w:marBottom w:val="0"/>
      <w:divBdr>
        <w:top w:val="none" w:sz="0" w:space="0" w:color="auto"/>
        <w:left w:val="none" w:sz="0" w:space="0" w:color="auto"/>
        <w:bottom w:val="none" w:sz="0" w:space="0" w:color="auto"/>
        <w:right w:val="none" w:sz="0" w:space="0" w:color="auto"/>
      </w:divBdr>
    </w:div>
    <w:div w:id="600265836">
      <w:bodyDiv w:val="1"/>
      <w:marLeft w:val="0"/>
      <w:marRight w:val="0"/>
      <w:marTop w:val="0"/>
      <w:marBottom w:val="0"/>
      <w:divBdr>
        <w:top w:val="none" w:sz="0" w:space="0" w:color="auto"/>
        <w:left w:val="none" w:sz="0" w:space="0" w:color="auto"/>
        <w:bottom w:val="none" w:sz="0" w:space="0" w:color="auto"/>
        <w:right w:val="none" w:sz="0" w:space="0" w:color="auto"/>
      </w:divBdr>
    </w:div>
    <w:div w:id="604114388">
      <w:bodyDiv w:val="1"/>
      <w:marLeft w:val="0"/>
      <w:marRight w:val="0"/>
      <w:marTop w:val="0"/>
      <w:marBottom w:val="0"/>
      <w:divBdr>
        <w:top w:val="none" w:sz="0" w:space="0" w:color="auto"/>
        <w:left w:val="none" w:sz="0" w:space="0" w:color="auto"/>
        <w:bottom w:val="none" w:sz="0" w:space="0" w:color="auto"/>
        <w:right w:val="none" w:sz="0" w:space="0" w:color="auto"/>
      </w:divBdr>
    </w:div>
    <w:div w:id="927806778">
      <w:bodyDiv w:val="1"/>
      <w:marLeft w:val="0"/>
      <w:marRight w:val="0"/>
      <w:marTop w:val="0"/>
      <w:marBottom w:val="0"/>
      <w:divBdr>
        <w:top w:val="none" w:sz="0" w:space="0" w:color="auto"/>
        <w:left w:val="none" w:sz="0" w:space="0" w:color="auto"/>
        <w:bottom w:val="none" w:sz="0" w:space="0" w:color="auto"/>
        <w:right w:val="none" w:sz="0" w:space="0" w:color="auto"/>
      </w:divBdr>
    </w:div>
    <w:div w:id="1013069763">
      <w:bodyDiv w:val="1"/>
      <w:marLeft w:val="0"/>
      <w:marRight w:val="0"/>
      <w:marTop w:val="0"/>
      <w:marBottom w:val="0"/>
      <w:divBdr>
        <w:top w:val="none" w:sz="0" w:space="0" w:color="auto"/>
        <w:left w:val="none" w:sz="0" w:space="0" w:color="auto"/>
        <w:bottom w:val="none" w:sz="0" w:space="0" w:color="auto"/>
        <w:right w:val="none" w:sz="0" w:space="0" w:color="auto"/>
      </w:divBdr>
    </w:div>
    <w:div w:id="1054964009">
      <w:bodyDiv w:val="1"/>
      <w:marLeft w:val="0"/>
      <w:marRight w:val="0"/>
      <w:marTop w:val="0"/>
      <w:marBottom w:val="0"/>
      <w:divBdr>
        <w:top w:val="none" w:sz="0" w:space="0" w:color="auto"/>
        <w:left w:val="none" w:sz="0" w:space="0" w:color="auto"/>
        <w:bottom w:val="none" w:sz="0" w:space="0" w:color="auto"/>
        <w:right w:val="none" w:sz="0" w:space="0" w:color="auto"/>
      </w:divBdr>
    </w:div>
    <w:div w:id="1086800426">
      <w:bodyDiv w:val="1"/>
      <w:marLeft w:val="0"/>
      <w:marRight w:val="0"/>
      <w:marTop w:val="0"/>
      <w:marBottom w:val="0"/>
      <w:divBdr>
        <w:top w:val="none" w:sz="0" w:space="0" w:color="auto"/>
        <w:left w:val="none" w:sz="0" w:space="0" w:color="auto"/>
        <w:bottom w:val="none" w:sz="0" w:space="0" w:color="auto"/>
        <w:right w:val="none" w:sz="0" w:space="0" w:color="auto"/>
      </w:divBdr>
    </w:div>
    <w:div w:id="1127893849">
      <w:bodyDiv w:val="1"/>
      <w:marLeft w:val="0"/>
      <w:marRight w:val="0"/>
      <w:marTop w:val="0"/>
      <w:marBottom w:val="0"/>
      <w:divBdr>
        <w:top w:val="none" w:sz="0" w:space="0" w:color="auto"/>
        <w:left w:val="none" w:sz="0" w:space="0" w:color="auto"/>
        <w:bottom w:val="none" w:sz="0" w:space="0" w:color="auto"/>
        <w:right w:val="none" w:sz="0" w:space="0" w:color="auto"/>
      </w:divBdr>
    </w:div>
    <w:div w:id="1135176853">
      <w:bodyDiv w:val="1"/>
      <w:marLeft w:val="0"/>
      <w:marRight w:val="0"/>
      <w:marTop w:val="0"/>
      <w:marBottom w:val="0"/>
      <w:divBdr>
        <w:top w:val="none" w:sz="0" w:space="0" w:color="auto"/>
        <w:left w:val="none" w:sz="0" w:space="0" w:color="auto"/>
        <w:bottom w:val="none" w:sz="0" w:space="0" w:color="auto"/>
        <w:right w:val="none" w:sz="0" w:space="0" w:color="auto"/>
      </w:divBdr>
    </w:div>
    <w:div w:id="1176116876">
      <w:bodyDiv w:val="1"/>
      <w:marLeft w:val="0"/>
      <w:marRight w:val="0"/>
      <w:marTop w:val="0"/>
      <w:marBottom w:val="0"/>
      <w:divBdr>
        <w:top w:val="none" w:sz="0" w:space="0" w:color="auto"/>
        <w:left w:val="none" w:sz="0" w:space="0" w:color="auto"/>
        <w:bottom w:val="none" w:sz="0" w:space="0" w:color="auto"/>
        <w:right w:val="none" w:sz="0" w:space="0" w:color="auto"/>
      </w:divBdr>
    </w:div>
    <w:div w:id="1224830665">
      <w:bodyDiv w:val="1"/>
      <w:marLeft w:val="0"/>
      <w:marRight w:val="0"/>
      <w:marTop w:val="0"/>
      <w:marBottom w:val="0"/>
      <w:divBdr>
        <w:top w:val="none" w:sz="0" w:space="0" w:color="auto"/>
        <w:left w:val="none" w:sz="0" w:space="0" w:color="auto"/>
        <w:bottom w:val="none" w:sz="0" w:space="0" w:color="auto"/>
        <w:right w:val="none" w:sz="0" w:space="0" w:color="auto"/>
      </w:divBdr>
    </w:div>
    <w:div w:id="1303541269">
      <w:bodyDiv w:val="1"/>
      <w:marLeft w:val="0"/>
      <w:marRight w:val="0"/>
      <w:marTop w:val="0"/>
      <w:marBottom w:val="0"/>
      <w:divBdr>
        <w:top w:val="none" w:sz="0" w:space="0" w:color="auto"/>
        <w:left w:val="none" w:sz="0" w:space="0" w:color="auto"/>
        <w:bottom w:val="none" w:sz="0" w:space="0" w:color="auto"/>
        <w:right w:val="none" w:sz="0" w:space="0" w:color="auto"/>
      </w:divBdr>
      <w:divsChild>
        <w:div w:id="1886061987">
          <w:marLeft w:val="0"/>
          <w:marRight w:val="0"/>
          <w:marTop w:val="0"/>
          <w:marBottom w:val="0"/>
          <w:divBdr>
            <w:top w:val="none" w:sz="0" w:space="0" w:color="auto"/>
            <w:left w:val="none" w:sz="0" w:space="0" w:color="auto"/>
            <w:bottom w:val="none" w:sz="0" w:space="0" w:color="auto"/>
            <w:right w:val="none" w:sz="0" w:space="0" w:color="auto"/>
          </w:divBdr>
          <w:divsChild>
            <w:div w:id="429589414">
              <w:marLeft w:val="0"/>
              <w:marRight w:val="0"/>
              <w:marTop w:val="0"/>
              <w:marBottom w:val="0"/>
              <w:divBdr>
                <w:top w:val="none" w:sz="0" w:space="0" w:color="auto"/>
                <w:left w:val="none" w:sz="0" w:space="0" w:color="auto"/>
                <w:bottom w:val="none" w:sz="0" w:space="0" w:color="auto"/>
                <w:right w:val="none" w:sz="0" w:space="0" w:color="auto"/>
              </w:divBdr>
              <w:divsChild>
                <w:div w:id="1401176616">
                  <w:marLeft w:val="0"/>
                  <w:marRight w:val="0"/>
                  <w:marTop w:val="0"/>
                  <w:marBottom w:val="0"/>
                  <w:divBdr>
                    <w:top w:val="none" w:sz="0" w:space="0" w:color="auto"/>
                    <w:left w:val="none" w:sz="0" w:space="0" w:color="auto"/>
                    <w:bottom w:val="none" w:sz="0" w:space="0" w:color="auto"/>
                    <w:right w:val="none" w:sz="0" w:space="0" w:color="auto"/>
                  </w:divBdr>
                  <w:divsChild>
                    <w:div w:id="428165404">
                      <w:marLeft w:val="0"/>
                      <w:marRight w:val="0"/>
                      <w:marTop w:val="0"/>
                      <w:marBottom w:val="0"/>
                      <w:divBdr>
                        <w:top w:val="none" w:sz="0" w:space="0" w:color="auto"/>
                        <w:left w:val="none" w:sz="0" w:space="0" w:color="auto"/>
                        <w:bottom w:val="none" w:sz="0" w:space="0" w:color="auto"/>
                        <w:right w:val="none" w:sz="0" w:space="0" w:color="auto"/>
                      </w:divBdr>
                      <w:divsChild>
                        <w:div w:id="1226140293">
                          <w:marLeft w:val="0"/>
                          <w:marRight w:val="0"/>
                          <w:marTop w:val="0"/>
                          <w:marBottom w:val="0"/>
                          <w:divBdr>
                            <w:top w:val="none" w:sz="0" w:space="0" w:color="auto"/>
                            <w:left w:val="none" w:sz="0" w:space="0" w:color="auto"/>
                            <w:bottom w:val="none" w:sz="0" w:space="0" w:color="auto"/>
                            <w:right w:val="none" w:sz="0" w:space="0" w:color="auto"/>
                          </w:divBdr>
                          <w:divsChild>
                            <w:div w:id="1023899108">
                              <w:marLeft w:val="0"/>
                              <w:marRight w:val="0"/>
                              <w:marTop w:val="0"/>
                              <w:marBottom w:val="0"/>
                              <w:divBdr>
                                <w:top w:val="none" w:sz="0" w:space="0" w:color="auto"/>
                                <w:left w:val="none" w:sz="0" w:space="0" w:color="auto"/>
                                <w:bottom w:val="none" w:sz="0" w:space="0" w:color="auto"/>
                                <w:right w:val="none" w:sz="0" w:space="0" w:color="auto"/>
                              </w:divBdr>
                              <w:divsChild>
                                <w:div w:id="1329216754">
                                  <w:marLeft w:val="0"/>
                                  <w:marRight w:val="0"/>
                                  <w:marTop w:val="0"/>
                                  <w:marBottom w:val="0"/>
                                  <w:divBdr>
                                    <w:top w:val="none" w:sz="0" w:space="0" w:color="auto"/>
                                    <w:left w:val="none" w:sz="0" w:space="0" w:color="auto"/>
                                    <w:bottom w:val="none" w:sz="0" w:space="0" w:color="auto"/>
                                    <w:right w:val="none" w:sz="0" w:space="0" w:color="auto"/>
                                  </w:divBdr>
                                  <w:divsChild>
                                    <w:div w:id="441416124">
                                      <w:marLeft w:val="0"/>
                                      <w:marRight w:val="0"/>
                                      <w:marTop w:val="0"/>
                                      <w:marBottom w:val="0"/>
                                      <w:divBdr>
                                        <w:top w:val="none" w:sz="0" w:space="0" w:color="auto"/>
                                        <w:left w:val="none" w:sz="0" w:space="0" w:color="auto"/>
                                        <w:bottom w:val="none" w:sz="0" w:space="0" w:color="auto"/>
                                        <w:right w:val="none" w:sz="0" w:space="0" w:color="auto"/>
                                      </w:divBdr>
                                      <w:divsChild>
                                        <w:div w:id="1641694240">
                                          <w:marLeft w:val="0"/>
                                          <w:marRight w:val="0"/>
                                          <w:marTop w:val="0"/>
                                          <w:marBottom w:val="0"/>
                                          <w:divBdr>
                                            <w:top w:val="none" w:sz="0" w:space="0" w:color="auto"/>
                                            <w:left w:val="none" w:sz="0" w:space="0" w:color="auto"/>
                                            <w:bottom w:val="none" w:sz="0" w:space="0" w:color="auto"/>
                                            <w:right w:val="none" w:sz="0" w:space="0" w:color="auto"/>
                                          </w:divBdr>
                                          <w:divsChild>
                                            <w:div w:id="482046169">
                                              <w:marLeft w:val="0"/>
                                              <w:marRight w:val="0"/>
                                              <w:marTop w:val="0"/>
                                              <w:marBottom w:val="0"/>
                                              <w:divBdr>
                                                <w:top w:val="none" w:sz="0" w:space="0" w:color="auto"/>
                                                <w:left w:val="none" w:sz="0" w:space="0" w:color="auto"/>
                                                <w:bottom w:val="none" w:sz="0" w:space="0" w:color="auto"/>
                                                <w:right w:val="none" w:sz="0" w:space="0" w:color="auto"/>
                                              </w:divBdr>
                                              <w:divsChild>
                                                <w:div w:id="590090712">
                                                  <w:marLeft w:val="0"/>
                                                  <w:marRight w:val="0"/>
                                                  <w:marTop w:val="0"/>
                                                  <w:marBottom w:val="0"/>
                                                  <w:divBdr>
                                                    <w:top w:val="none" w:sz="0" w:space="0" w:color="auto"/>
                                                    <w:left w:val="none" w:sz="0" w:space="0" w:color="auto"/>
                                                    <w:bottom w:val="none" w:sz="0" w:space="0" w:color="auto"/>
                                                    <w:right w:val="none" w:sz="0" w:space="0" w:color="auto"/>
                                                  </w:divBdr>
                                                  <w:divsChild>
                                                    <w:div w:id="231475705">
                                                      <w:marLeft w:val="0"/>
                                                      <w:marRight w:val="0"/>
                                                      <w:marTop w:val="0"/>
                                                      <w:marBottom w:val="0"/>
                                                      <w:divBdr>
                                                        <w:top w:val="none" w:sz="0" w:space="0" w:color="auto"/>
                                                        <w:left w:val="none" w:sz="0" w:space="0" w:color="auto"/>
                                                        <w:bottom w:val="none" w:sz="0" w:space="0" w:color="auto"/>
                                                        <w:right w:val="none" w:sz="0" w:space="0" w:color="auto"/>
                                                      </w:divBdr>
                                                      <w:divsChild>
                                                        <w:div w:id="17441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2946772">
      <w:bodyDiv w:val="1"/>
      <w:marLeft w:val="0"/>
      <w:marRight w:val="0"/>
      <w:marTop w:val="0"/>
      <w:marBottom w:val="0"/>
      <w:divBdr>
        <w:top w:val="none" w:sz="0" w:space="0" w:color="auto"/>
        <w:left w:val="none" w:sz="0" w:space="0" w:color="auto"/>
        <w:bottom w:val="none" w:sz="0" w:space="0" w:color="auto"/>
        <w:right w:val="none" w:sz="0" w:space="0" w:color="auto"/>
      </w:divBdr>
    </w:div>
    <w:div w:id="1368142759">
      <w:bodyDiv w:val="1"/>
      <w:marLeft w:val="0"/>
      <w:marRight w:val="0"/>
      <w:marTop w:val="0"/>
      <w:marBottom w:val="0"/>
      <w:divBdr>
        <w:top w:val="none" w:sz="0" w:space="0" w:color="auto"/>
        <w:left w:val="none" w:sz="0" w:space="0" w:color="auto"/>
        <w:bottom w:val="none" w:sz="0" w:space="0" w:color="auto"/>
        <w:right w:val="none" w:sz="0" w:space="0" w:color="auto"/>
      </w:divBdr>
    </w:div>
    <w:div w:id="1411852113">
      <w:bodyDiv w:val="1"/>
      <w:marLeft w:val="0"/>
      <w:marRight w:val="0"/>
      <w:marTop w:val="0"/>
      <w:marBottom w:val="0"/>
      <w:divBdr>
        <w:top w:val="none" w:sz="0" w:space="0" w:color="auto"/>
        <w:left w:val="none" w:sz="0" w:space="0" w:color="auto"/>
        <w:bottom w:val="none" w:sz="0" w:space="0" w:color="auto"/>
        <w:right w:val="none" w:sz="0" w:space="0" w:color="auto"/>
      </w:divBdr>
    </w:div>
    <w:div w:id="1528300297">
      <w:bodyDiv w:val="1"/>
      <w:marLeft w:val="0"/>
      <w:marRight w:val="0"/>
      <w:marTop w:val="0"/>
      <w:marBottom w:val="0"/>
      <w:divBdr>
        <w:top w:val="none" w:sz="0" w:space="0" w:color="auto"/>
        <w:left w:val="none" w:sz="0" w:space="0" w:color="auto"/>
        <w:bottom w:val="none" w:sz="0" w:space="0" w:color="auto"/>
        <w:right w:val="none" w:sz="0" w:space="0" w:color="auto"/>
      </w:divBdr>
      <w:divsChild>
        <w:div w:id="370811452">
          <w:marLeft w:val="0"/>
          <w:marRight w:val="0"/>
          <w:marTop w:val="0"/>
          <w:marBottom w:val="0"/>
          <w:divBdr>
            <w:top w:val="none" w:sz="0" w:space="0" w:color="auto"/>
            <w:left w:val="none" w:sz="0" w:space="0" w:color="auto"/>
            <w:bottom w:val="none" w:sz="0" w:space="0" w:color="auto"/>
            <w:right w:val="none" w:sz="0" w:space="0" w:color="auto"/>
          </w:divBdr>
          <w:divsChild>
            <w:div w:id="1834368762">
              <w:marLeft w:val="0"/>
              <w:marRight w:val="0"/>
              <w:marTop w:val="0"/>
              <w:marBottom w:val="0"/>
              <w:divBdr>
                <w:top w:val="none" w:sz="0" w:space="0" w:color="auto"/>
                <w:left w:val="none" w:sz="0" w:space="0" w:color="auto"/>
                <w:bottom w:val="none" w:sz="0" w:space="0" w:color="auto"/>
                <w:right w:val="none" w:sz="0" w:space="0" w:color="auto"/>
              </w:divBdr>
              <w:divsChild>
                <w:div w:id="2096515113">
                  <w:marLeft w:val="0"/>
                  <w:marRight w:val="0"/>
                  <w:marTop w:val="0"/>
                  <w:marBottom w:val="0"/>
                  <w:divBdr>
                    <w:top w:val="none" w:sz="0" w:space="0" w:color="auto"/>
                    <w:left w:val="none" w:sz="0" w:space="0" w:color="auto"/>
                    <w:bottom w:val="none" w:sz="0" w:space="0" w:color="auto"/>
                    <w:right w:val="none" w:sz="0" w:space="0" w:color="auto"/>
                  </w:divBdr>
                  <w:divsChild>
                    <w:div w:id="1615482578">
                      <w:marLeft w:val="0"/>
                      <w:marRight w:val="0"/>
                      <w:marTop w:val="0"/>
                      <w:marBottom w:val="0"/>
                      <w:divBdr>
                        <w:top w:val="none" w:sz="0" w:space="0" w:color="auto"/>
                        <w:left w:val="none" w:sz="0" w:space="0" w:color="auto"/>
                        <w:bottom w:val="none" w:sz="0" w:space="0" w:color="auto"/>
                        <w:right w:val="none" w:sz="0" w:space="0" w:color="auto"/>
                      </w:divBdr>
                      <w:divsChild>
                        <w:div w:id="1822114229">
                          <w:marLeft w:val="0"/>
                          <w:marRight w:val="0"/>
                          <w:marTop w:val="0"/>
                          <w:marBottom w:val="0"/>
                          <w:divBdr>
                            <w:top w:val="none" w:sz="0" w:space="0" w:color="auto"/>
                            <w:left w:val="none" w:sz="0" w:space="0" w:color="auto"/>
                            <w:bottom w:val="none" w:sz="0" w:space="0" w:color="auto"/>
                            <w:right w:val="none" w:sz="0" w:space="0" w:color="auto"/>
                          </w:divBdr>
                          <w:divsChild>
                            <w:div w:id="1387490097">
                              <w:marLeft w:val="0"/>
                              <w:marRight w:val="0"/>
                              <w:marTop w:val="0"/>
                              <w:marBottom w:val="0"/>
                              <w:divBdr>
                                <w:top w:val="none" w:sz="0" w:space="0" w:color="auto"/>
                                <w:left w:val="none" w:sz="0" w:space="0" w:color="auto"/>
                                <w:bottom w:val="none" w:sz="0" w:space="0" w:color="auto"/>
                                <w:right w:val="none" w:sz="0" w:space="0" w:color="auto"/>
                              </w:divBdr>
                              <w:divsChild>
                                <w:div w:id="33896734">
                                  <w:marLeft w:val="0"/>
                                  <w:marRight w:val="0"/>
                                  <w:marTop w:val="0"/>
                                  <w:marBottom w:val="0"/>
                                  <w:divBdr>
                                    <w:top w:val="none" w:sz="0" w:space="0" w:color="auto"/>
                                    <w:left w:val="none" w:sz="0" w:space="0" w:color="auto"/>
                                    <w:bottom w:val="none" w:sz="0" w:space="0" w:color="auto"/>
                                    <w:right w:val="none" w:sz="0" w:space="0" w:color="auto"/>
                                  </w:divBdr>
                                  <w:divsChild>
                                    <w:div w:id="903487100">
                                      <w:marLeft w:val="0"/>
                                      <w:marRight w:val="0"/>
                                      <w:marTop w:val="0"/>
                                      <w:marBottom w:val="0"/>
                                      <w:divBdr>
                                        <w:top w:val="none" w:sz="0" w:space="0" w:color="auto"/>
                                        <w:left w:val="none" w:sz="0" w:space="0" w:color="auto"/>
                                        <w:bottom w:val="none" w:sz="0" w:space="0" w:color="auto"/>
                                        <w:right w:val="none" w:sz="0" w:space="0" w:color="auto"/>
                                      </w:divBdr>
                                      <w:divsChild>
                                        <w:div w:id="1244022687">
                                          <w:marLeft w:val="0"/>
                                          <w:marRight w:val="0"/>
                                          <w:marTop w:val="0"/>
                                          <w:marBottom w:val="0"/>
                                          <w:divBdr>
                                            <w:top w:val="none" w:sz="0" w:space="0" w:color="auto"/>
                                            <w:left w:val="none" w:sz="0" w:space="0" w:color="auto"/>
                                            <w:bottom w:val="none" w:sz="0" w:space="0" w:color="auto"/>
                                            <w:right w:val="none" w:sz="0" w:space="0" w:color="auto"/>
                                          </w:divBdr>
                                          <w:divsChild>
                                            <w:div w:id="1936864245">
                                              <w:marLeft w:val="0"/>
                                              <w:marRight w:val="0"/>
                                              <w:marTop w:val="0"/>
                                              <w:marBottom w:val="0"/>
                                              <w:divBdr>
                                                <w:top w:val="none" w:sz="0" w:space="0" w:color="auto"/>
                                                <w:left w:val="none" w:sz="0" w:space="0" w:color="auto"/>
                                                <w:bottom w:val="none" w:sz="0" w:space="0" w:color="auto"/>
                                                <w:right w:val="none" w:sz="0" w:space="0" w:color="auto"/>
                                              </w:divBdr>
                                              <w:divsChild>
                                                <w:div w:id="1631938647">
                                                  <w:marLeft w:val="0"/>
                                                  <w:marRight w:val="0"/>
                                                  <w:marTop w:val="0"/>
                                                  <w:marBottom w:val="0"/>
                                                  <w:divBdr>
                                                    <w:top w:val="none" w:sz="0" w:space="0" w:color="auto"/>
                                                    <w:left w:val="none" w:sz="0" w:space="0" w:color="auto"/>
                                                    <w:bottom w:val="none" w:sz="0" w:space="0" w:color="auto"/>
                                                    <w:right w:val="none" w:sz="0" w:space="0" w:color="auto"/>
                                                  </w:divBdr>
                                                  <w:divsChild>
                                                    <w:div w:id="121971120">
                                                      <w:marLeft w:val="0"/>
                                                      <w:marRight w:val="0"/>
                                                      <w:marTop w:val="0"/>
                                                      <w:marBottom w:val="0"/>
                                                      <w:divBdr>
                                                        <w:top w:val="none" w:sz="0" w:space="0" w:color="auto"/>
                                                        <w:left w:val="none" w:sz="0" w:space="0" w:color="auto"/>
                                                        <w:bottom w:val="none" w:sz="0" w:space="0" w:color="auto"/>
                                                        <w:right w:val="none" w:sz="0" w:space="0" w:color="auto"/>
                                                      </w:divBdr>
                                                      <w:divsChild>
                                                        <w:div w:id="1227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191192">
      <w:bodyDiv w:val="1"/>
      <w:marLeft w:val="0"/>
      <w:marRight w:val="0"/>
      <w:marTop w:val="0"/>
      <w:marBottom w:val="0"/>
      <w:divBdr>
        <w:top w:val="none" w:sz="0" w:space="0" w:color="auto"/>
        <w:left w:val="none" w:sz="0" w:space="0" w:color="auto"/>
        <w:bottom w:val="none" w:sz="0" w:space="0" w:color="auto"/>
        <w:right w:val="none" w:sz="0" w:space="0" w:color="auto"/>
      </w:divBdr>
    </w:div>
    <w:div w:id="1614286279">
      <w:bodyDiv w:val="1"/>
      <w:marLeft w:val="0"/>
      <w:marRight w:val="0"/>
      <w:marTop w:val="0"/>
      <w:marBottom w:val="0"/>
      <w:divBdr>
        <w:top w:val="none" w:sz="0" w:space="0" w:color="auto"/>
        <w:left w:val="none" w:sz="0" w:space="0" w:color="auto"/>
        <w:bottom w:val="none" w:sz="0" w:space="0" w:color="auto"/>
        <w:right w:val="none" w:sz="0" w:space="0" w:color="auto"/>
      </w:divBdr>
    </w:div>
    <w:div w:id="1781800440">
      <w:bodyDiv w:val="1"/>
      <w:marLeft w:val="0"/>
      <w:marRight w:val="0"/>
      <w:marTop w:val="0"/>
      <w:marBottom w:val="0"/>
      <w:divBdr>
        <w:top w:val="none" w:sz="0" w:space="0" w:color="auto"/>
        <w:left w:val="none" w:sz="0" w:space="0" w:color="auto"/>
        <w:bottom w:val="none" w:sz="0" w:space="0" w:color="auto"/>
        <w:right w:val="none" w:sz="0" w:space="0" w:color="auto"/>
      </w:divBdr>
    </w:div>
    <w:div w:id="1875147404">
      <w:bodyDiv w:val="1"/>
      <w:marLeft w:val="0"/>
      <w:marRight w:val="0"/>
      <w:marTop w:val="0"/>
      <w:marBottom w:val="0"/>
      <w:divBdr>
        <w:top w:val="none" w:sz="0" w:space="0" w:color="auto"/>
        <w:left w:val="none" w:sz="0" w:space="0" w:color="auto"/>
        <w:bottom w:val="none" w:sz="0" w:space="0" w:color="auto"/>
        <w:right w:val="none" w:sz="0" w:space="0" w:color="auto"/>
      </w:divBdr>
    </w:div>
    <w:div w:id="1992904329">
      <w:bodyDiv w:val="1"/>
      <w:marLeft w:val="0"/>
      <w:marRight w:val="0"/>
      <w:marTop w:val="0"/>
      <w:marBottom w:val="0"/>
      <w:divBdr>
        <w:top w:val="none" w:sz="0" w:space="0" w:color="auto"/>
        <w:left w:val="none" w:sz="0" w:space="0" w:color="auto"/>
        <w:bottom w:val="none" w:sz="0" w:space="0" w:color="auto"/>
        <w:right w:val="none" w:sz="0" w:space="0" w:color="auto"/>
      </w:divBdr>
    </w:div>
    <w:div w:id="2106724373">
      <w:bodyDiv w:val="1"/>
      <w:marLeft w:val="0"/>
      <w:marRight w:val="0"/>
      <w:marTop w:val="0"/>
      <w:marBottom w:val="0"/>
      <w:divBdr>
        <w:top w:val="none" w:sz="0" w:space="0" w:color="auto"/>
        <w:left w:val="none" w:sz="0" w:space="0" w:color="auto"/>
        <w:bottom w:val="none" w:sz="0" w:space="0" w:color="auto"/>
        <w:right w:val="none" w:sz="0" w:space="0" w:color="auto"/>
      </w:divBdr>
    </w:div>
    <w:div w:id="21346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7D80F-44D9-4221-B1A2-0EB03331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2787</Words>
  <Characters>15890</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Biosecurity (Prohibited and Conditionally Non-prohibited Goods) Amendment Determination 2016</vt:lpstr>
    </vt:vector>
  </TitlesOfParts>
  <Company>Department of Agriculture</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(Prohibited and Conditionally Non-prohibited Goods) Amendment Determination 2016</dc:title>
  <dc:subject/>
  <dc:creator>Senyard, Andrew</dc:creator>
  <cp:keywords/>
  <dc:description/>
  <cp:lastModifiedBy>Biosecurity Legislation Coordination</cp:lastModifiedBy>
  <cp:revision>2</cp:revision>
  <cp:lastPrinted>2019-12-02T04:31:00Z</cp:lastPrinted>
  <dcterms:created xsi:type="dcterms:W3CDTF">2019-12-05T05:53:00Z</dcterms:created>
  <dcterms:modified xsi:type="dcterms:W3CDTF">2019-12-05T05:53:00Z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Amendment Determination</vt:lpwstr>
  </property>
</Properties>
</file>