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28ACC" w14:textId="0F384CEB" w:rsidR="00F109D4" w:rsidRPr="00647BB7" w:rsidRDefault="00F109D4" w:rsidP="00647BB7">
      <w:pPr>
        <w:pStyle w:val="Heading1"/>
        <w:spacing w:after="360"/>
        <w:rPr>
          <w:rFonts w:ascii="Times New Roman" w:hAnsi="Times New Roman"/>
          <w:u w:val="none"/>
        </w:rPr>
      </w:pPr>
      <w:r w:rsidRPr="00647BB7">
        <w:rPr>
          <w:rFonts w:ascii="Times New Roman" w:hAnsi="Times New Roman"/>
          <w:u w:val="none"/>
        </w:rPr>
        <w:t>EXPLANATORY STATEMENT</w:t>
      </w:r>
    </w:p>
    <w:p w14:paraId="6563A94C" w14:textId="77777777" w:rsidR="007B102F" w:rsidRDefault="00F109D4" w:rsidP="005D5A3F">
      <w:pPr>
        <w:pStyle w:val="Heading2"/>
        <w:jc w:val="center"/>
      </w:pPr>
      <w:r w:rsidRPr="00503E44">
        <w:t xml:space="preserve">Issued by authority of the </w:t>
      </w:r>
      <w:r w:rsidR="00877080">
        <w:t>Treasurer</w:t>
      </w:r>
    </w:p>
    <w:p w14:paraId="3B62A5BF" w14:textId="77777777" w:rsidR="00F109D4" w:rsidRPr="00503E44" w:rsidRDefault="00877080" w:rsidP="005D5A3F">
      <w:pPr>
        <w:spacing w:after="240"/>
        <w:jc w:val="center"/>
        <w:rPr>
          <w:i/>
        </w:rPr>
      </w:pPr>
      <w:r>
        <w:rPr>
          <w:i/>
        </w:rPr>
        <w:t>Corporations Act 2001</w:t>
      </w:r>
    </w:p>
    <w:p w14:paraId="527D61C2" w14:textId="77777777" w:rsidR="00F109D4" w:rsidRPr="00503E44" w:rsidRDefault="00877080" w:rsidP="00AA1689">
      <w:pPr>
        <w:tabs>
          <w:tab w:val="left" w:pos="1418"/>
        </w:tabs>
        <w:spacing w:before="0" w:after="240"/>
        <w:jc w:val="center"/>
        <w:rPr>
          <w:i/>
        </w:rPr>
      </w:pPr>
      <w:r>
        <w:rPr>
          <w:i/>
        </w:rPr>
        <w:t>Corporations Amendment (Design and Distribution Obligations</w:t>
      </w:r>
      <w:r w:rsidR="00BB2BFC">
        <w:rPr>
          <w:i/>
        </w:rPr>
        <w:t>) Regulations 2019</w:t>
      </w:r>
    </w:p>
    <w:p w14:paraId="2F1C335B" w14:textId="42EF27C8" w:rsidR="00F109D4" w:rsidRDefault="00C55D29" w:rsidP="00647BB7">
      <w:pPr>
        <w:spacing w:before="240"/>
      </w:pPr>
      <w:r w:rsidRPr="00503E44">
        <w:t xml:space="preserve">Section </w:t>
      </w:r>
      <w:r w:rsidR="009C7475">
        <w:t>1364</w:t>
      </w:r>
      <w:r w:rsidR="005E4BAC">
        <w:t xml:space="preserve"> </w:t>
      </w:r>
      <w:r w:rsidR="00F109D4" w:rsidRPr="00503E44">
        <w:t xml:space="preserve">of the </w:t>
      </w:r>
      <w:r w:rsidR="009C7475">
        <w:rPr>
          <w:i/>
        </w:rPr>
        <w:t>Corporations Act 2001</w:t>
      </w:r>
      <w:r w:rsidR="00F109D4" w:rsidRPr="00503E44">
        <w:t xml:space="preserve"> (the </w:t>
      </w:r>
      <w:r w:rsidR="007159A0">
        <w:t xml:space="preserve">Corporations </w:t>
      </w:r>
      <w:r w:rsidR="00F109D4" w:rsidRPr="00503E44">
        <w:t xml:space="preserve">Act) provides that the Governor-General may make regulations prescribing matters required or permitted by the </w:t>
      </w:r>
      <w:r w:rsidR="00C866CB">
        <w:t xml:space="preserve">Corporations </w:t>
      </w:r>
      <w:r w:rsidR="00F109D4" w:rsidRPr="00503E44">
        <w:t>Act to be prescribed, or</w:t>
      </w:r>
      <w:bookmarkStart w:id="0" w:name="_GoBack"/>
      <w:bookmarkEnd w:id="0"/>
      <w:r w:rsidR="00F109D4" w:rsidRPr="00503E44">
        <w:t xml:space="preserve"> necessary or convenient to be prescribed for carrying out or giving effect to the</w:t>
      </w:r>
      <w:r w:rsidR="007159A0">
        <w:t xml:space="preserve"> Corporations</w:t>
      </w:r>
      <w:r w:rsidR="00F109D4" w:rsidRPr="00503E44">
        <w:t xml:space="preserve"> Act.</w:t>
      </w:r>
    </w:p>
    <w:p w14:paraId="67EB08C4" w14:textId="005DE182" w:rsidR="009C7475" w:rsidRDefault="008706D1" w:rsidP="00647BB7">
      <w:pPr>
        <w:spacing w:before="240"/>
      </w:pPr>
      <w:r>
        <w:t>The</w:t>
      </w:r>
      <w:r w:rsidR="009C7475">
        <w:t xml:space="preserve"> </w:t>
      </w:r>
      <w:r>
        <w:rPr>
          <w:i/>
        </w:rPr>
        <w:t xml:space="preserve">Corporations Amendment (Design and Distribution Obligations) Regulations 2019 </w:t>
      </w:r>
      <w:r w:rsidR="00DC6AD7">
        <w:t>(</w:t>
      </w:r>
      <w:r>
        <w:t xml:space="preserve">the </w:t>
      </w:r>
      <w:r w:rsidR="0021300F">
        <w:t>Regulations</w:t>
      </w:r>
      <w:r>
        <w:t>)</w:t>
      </w:r>
      <w:r w:rsidR="009C7475">
        <w:t xml:space="preserve"> complement the operation of the </w:t>
      </w:r>
      <w:r w:rsidR="009C7475">
        <w:rPr>
          <w:i/>
        </w:rPr>
        <w:t>Treasury Laws Amendment (Design and Distribution Obligations</w:t>
      </w:r>
      <w:r w:rsidR="00E63ABD">
        <w:rPr>
          <w:i/>
        </w:rPr>
        <w:t xml:space="preserve"> and Product Intervention Powers</w:t>
      </w:r>
      <w:r w:rsidR="009C7475">
        <w:rPr>
          <w:i/>
        </w:rPr>
        <w:t xml:space="preserve">) </w:t>
      </w:r>
      <w:r w:rsidR="009C7475" w:rsidDel="00DD52DD">
        <w:rPr>
          <w:i/>
        </w:rPr>
        <w:t>Act</w:t>
      </w:r>
      <w:r w:rsidR="0060010E">
        <w:rPr>
          <w:i/>
        </w:rPr>
        <w:t xml:space="preserve"> 2019</w:t>
      </w:r>
      <w:r w:rsidR="00986279">
        <w:t xml:space="preserve"> </w:t>
      </w:r>
      <w:r w:rsidR="00DC6AD7">
        <w:t>(the </w:t>
      </w:r>
      <w:r w:rsidR="00457B24">
        <w:t>Act</w:t>
      </w:r>
      <w:r w:rsidR="003A7B7E">
        <w:t>)</w:t>
      </w:r>
      <w:r w:rsidR="009C7475">
        <w:t>. T</w:t>
      </w:r>
      <w:r w:rsidR="00FD74C1">
        <w:t>h</w:t>
      </w:r>
      <w:r w:rsidR="003A7B7E">
        <w:t>e</w:t>
      </w:r>
      <w:r w:rsidR="009C7475">
        <w:t xml:space="preserve"> </w:t>
      </w:r>
      <w:r w:rsidR="009C7475" w:rsidDel="00DD52DD">
        <w:t>Act</w:t>
      </w:r>
      <w:r w:rsidR="009C7475">
        <w:t xml:space="preserve"> amends the Corporations Act to introduce</w:t>
      </w:r>
      <w:r w:rsidR="00AF1FBA">
        <w:t xml:space="preserve"> the</w:t>
      </w:r>
      <w:r w:rsidR="009C7475">
        <w:t xml:space="preserve"> design and distribution obligations </w:t>
      </w:r>
      <w:r w:rsidR="00EB1E91">
        <w:t>(</w:t>
      </w:r>
      <w:r w:rsidR="007554EA">
        <w:t xml:space="preserve">the </w:t>
      </w:r>
      <w:r w:rsidR="00EB1E91">
        <w:t>DDO)</w:t>
      </w:r>
      <w:r w:rsidR="009C7475">
        <w:t xml:space="preserve"> in relation to financial products. Th</w:t>
      </w:r>
      <w:r w:rsidR="003A7B7E">
        <w:t>e</w:t>
      </w:r>
      <w:r w:rsidR="009C7475">
        <w:t xml:space="preserve"> </w:t>
      </w:r>
      <w:r w:rsidR="009C7475" w:rsidDel="00DD52DD">
        <w:t>A</w:t>
      </w:r>
      <w:r w:rsidR="007159A0" w:rsidDel="00DD52DD">
        <w:t>ct</w:t>
      </w:r>
      <w:r w:rsidR="007159A0">
        <w:t xml:space="preserve"> also amends the </w:t>
      </w:r>
      <w:r w:rsidR="007159A0" w:rsidRPr="007159A0">
        <w:t>Corporations</w:t>
      </w:r>
      <w:r w:rsidR="007159A0">
        <w:t xml:space="preserve"> </w:t>
      </w:r>
      <w:r w:rsidR="009C7475" w:rsidRPr="007159A0">
        <w:t>Act</w:t>
      </w:r>
      <w:r w:rsidR="009C7475">
        <w:t xml:space="preserve"> and the </w:t>
      </w:r>
      <w:r w:rsidR="008C4610">
        <w:rPr>
          <w:i/>
        </w:rPr>
        <w:t xml:space="preserve">National Consumer </w:t>
      </w:r>
      <w:r w:rsidR="0021300F">
        <w:rPr>
          <w:i/>
        </w:rPr>
        <w:t>Credit</w:t>
      </w:r>
      <w:r w:rsidR="008C4610">
        <w:rPr>
          <w:i/>
        </w:rPr>
        <w:t xml:space="preserve"> Protection Act 2009 </w:t>
      </w:r>
      <w:r w:rsidR="00DC6AD7">
        <w:t>(</w:t>
      </w:r>
      <w:r w:rsidR="00E63ABD">
        <w:t xml:space="preserve">the </w:t>
      </w:r>
      <w:r w:rsidR="009C7475">
        <w:t>Credit Act</w:t>
      </w:r>
      <w:r w:rsidR="008C4610">
        <w:t>)</w:t>
      </w:r>
      <w:r w:rsidR="009C7475">
        <w:t xml:space="preserve"> to introduce a product intervention power for </w:t>
      </w:r>
      <w:r w:rsidR="00DC6AD7">
        <w:t>the Australian Securities and Investments Commission (</w:t>
      </w:r>
      <w:r w:rsidR="009C7475">
        <w:t>ASIC</w:t>
      </w:r>
      <w:r w:rsidR="00DC6AD7">
        <w:t>)</w:t>
      </w:r>
      <w:r w:rsidR="009C7475">
        <w:t xml:space="preserve"> to prevent or respond to significant consumer detriment.</w:t>
      </w:r>
      <w:r w:rsidR="0059146B">
        <w:t xml:space="preserve"> </w:t>
      </w:r>
    </w:p>
    <w:p w14:paraId="3EBC37D2" w14:textId="7DEB9C93" w:rsidR="0059146B" w:rsidRDefault="007159A0" w:rsidP="0059146B">
      <w:pPr>
        <w:tabs>
          <w:tab w:val="left" w:pos="1701"/>
          <w:tab w:val="right" w:pos="9072"/>
        </w:tabs>
        <w:ind w:right="91"/>
      </w:pPr>
      <w:r>
        <w:t xml:space="preserve">The purpose </w:t>
      </w:r>
      <w:r w:rsidR="008706D1">
        <w:rPr>
          <w:szCs w:val="24"/>
        </w:rPr>
        <w:t>of the</w:t>
      </w:r>
      <w:r w:rsidRPr="007159A0">
        <w:rPr>
          <w:szCs w:val="24"/>
        </w:rPr>
        <w:t xml:space="preserve"> Regulations is to</w:t>
      </w:r>
      <w:r w:rsidR="00690184">
        <w:rPr>
          <w:szCs w:val="24"/>
        </w:rPr>
        <w:t xml:space="preserve"> enhance the DDO regime</w:t>
      </w:r>
      <w:r w:rsidR="00CD2220">
        <w:rPr>
          <w:szCs w:val="24"/>
        </w:rPr>
        <w:t xml:space="preserve"> by altering the products and persons in relation to which the DDO regime applies.</w:t>
      </w:r>
      <w:r w:rsidR="0059146B">
        <w:rPr>
          <w:szCs w:val="24"/>
        </w:rPr>
        <w:t xml:space="preserve"> </w:t>
      </w:r>
      <w:r w:rsidR="0059146B">
        <w:t>The amendments</w:t>
      </w:r>
      <w:r w:rsidR="00867BC6">
        <w:t xml:space="preserve"> extend the DDO to additional persons and products and exclude certain persons and products from its operation.</w:t>
      </w:r>
    </w:p>
    <w:p w14:paraId="5AAA92FE" w14:textId="77777777" w:rsidR="00366222" w:rsidRPr="000F5A7A" w:rsidRDefault="00366222" w:rsidP="00366222">
      <w:pPr>
        <w:spacing w:before="240"/>
        <w:rPr>
          <w:szCs w:val="24"/>
        </w:rPr>
      </w:pPr>
      <w:r>
        <w:t xml:space="preserve">These Regulations extend </w:t>
      </w:r>
      <w:r w:rsidRPr="000F5A7A">
        <w:rPr>
          <w:szCs w:val="24"/>
        </w:rPr>
        <w:t>the distribution obligations in the DDO to the following persons</w:t>
      </w:r>
      <w:r>
        <w:rPr>
          <w:szCs w:val="24"/>
        </w:rPr>
        <w:t xml:space="preserve"> by prescribing them as regulated persons</w:t>
      </w:r>
      <w:r w:rsidRPr="000F5A7A">
        <w:rPr>
          <w:szCs w:val="24"/>
        </w:rPr>
        <w:t>:</w:t>
      </w:r>
    </w:p>
    <w:p w14:paraId="5CD60113" w14:textId="66499469" w:rsidR="00366222" w:rsidRPr="000E37D6" w:rsidRDefault="00366222" w:rsidP="00366222">
      <w:pPr>
        <w:pStyle w:val="ListParagraph"/>
        <w:numPr>
          <w:ilvl w:val="0"/>
          <w:numId w:val="44"/>
        </w:numPr>
        <w:spacing w:before="240"/>
        <w:rPr>
          <w:rStyle w:val="Referencingstyle"/>
          <w:rFonts w:ascii="Times New Roman" w:hAnsi="Times New Roman"/>
          <w:b w:val="0"/>
          <w:i w:val="0"/>
          <w:sz w:val="24"/>
          <w:szCs w:val="24"/>
        </w:rPr>
      </w:pPr>
      <w:r w:rsidRPr="000E37D6">
        <w:rPr>
          <w:rStyle w:val="Referencingstyle"/>
          <w:rFonts w:ascii="Times New Roman" w:hAnsi="Times New Roman"/>
          <w:b w:val="0"/>
          <w:i w:val="0"/>
          <w:sz w:val="24"/>
          <w:szCs w:val="24"/>
        </w:rPr>
        <w:t xml:space="preserve">a person that is exempt under paragraph 926B(1)(a) of the </w:t>
      </w:r>
      <w:r w:rsidR="00DF10B3">
        <w:rPr>
          <w:rStyle w:val="Referencingstyle"/>
          <w:rFonts w:ascii="Times New Roman" w:hAnsi="Times New Roman"/>
          <w:b w:val="0"/>
          <w:i w:val="0"/>
          <w:sz w:val="24"/>
          <w:szCs w:val="24"/>
        </w:rPr>
        <w:t xml:space="preserve">Corporations </w:t>
      </w:r>
      <w:r w:rsidRPr="000E37D6">
        <w:rPr>
          <w:rStyle w:val="Referencingstyle"/>
          <w:rFonts w:ascii="Times New Roman" w:hAnsi="Times New Roman"/>
          <w:b w:val="0"/>
          <w:i w:val="0"/>
          <w:sz w:val="24"/>
          <w:szCs w:val="24"/>
        </w:rPr>
        <w:t>Act from the requirement in section 911A of the Corporations Act to hold an Australian financial services licence for a financial service;</w:t>
      </w:r>
    </w:p>
    <w:p w14:paraId="18F417D6" w14:textId="77777777" w:rsidR="00366222" w:rsidRPr="000E37D6" w:rsidRDefault="00366222" w:rsidP="00366222">
      <w:pPr>
        <w:pStyle w:val="ListParagraph"/>
        <w:numPr>
          <w:ilvl w:val="0"/>
          <w:numId w:val="44"/>
        </w:numPr>
        <w:spacing w:before="240"/>
        <w:rPr>
          <w:rStyle w:val="Referencingstyle"/>
          <w:rFonts w:ascii="Times New Roman" w:hAnsi="Times New Roman"/>
          <w:b w:val="0"/>
          <w:i w:val="0"/>
          <w:sz w:val="24"/>
          <w:szCs w:val="24"/>
        </w:rPr>
      </w:pPr>
      <w:r w:rsidRPr="000E37D6">
        <w:rPr>
          <w:rStyle w:val="Referencingstyle"/>
          <w:rFonts w:ascii="Times New Roman" w:hAnsi="Times New Roman"/>
          <w:b w:val="0"/>
          <w:i w:val="0"/>
          <w:sz w:val="24"/>
          <w:szCs w:val="24"/>
        </w:rPr>
        <w:t>product distributors of basic deposit products, general insurance products and bundled consumer credit insurance products;</w:t>
      </w:r>
    </w:p>
    <w:p w14:paraId="67432FBA" w14:textId="77777777" w:rsidR="00366222" w:rsidRPr="000E37D6" w:rsidRDefault="00366222" w:rsidP="00366222">
      <w:pPr>
        <w:pStyle w:val="ListParagraph"/>
        <w:numPr>
          <w:ilvl w:val="0"/>
          <w:numId w:val="44"/>
        </w:numPr>
        <w:spacing w:before="240"/>
        <w:rPr>
          <w:rStyle w:val="Referencingstyle"/>
          <w:rFonts w:ascii="Times New Roman" w:hAnsi="Times New Roman"/>
          <w:b w:val="0"/>
          <w:i w:val="0"/>
          <w:sz w:val="24"/>
          <w:szCs w:val="24"/>
        </w:rPr>
      </w:pPr>
      <w:r w:rsidRPr="000E37D6">
        <w:rPr>
          <w:rStyle w:val="Referencingstyle"/>
          <w:rFonts w:ascii="Times New Roman" w:hAnsi="Times New Roman"/>
          <w:b w:val="0"/>
          <w:i w:val="0"/>
          <w:sz w:val="24"/>
          <w:szCs w:val="24"/>
        </w:rPr>
        <w:t>credit licensees and credit representatives; and</w:t>
      </w:r>
    </w:p>
    <w:p w14:paraId="178ADB3F" w14:textId="4AB10C5F" w:rsidR="00366222" w:rsidRPr="000E37D6" w:rsidRDefault="00366222" w:rsidP="00366222">
      <w:pPr>
        <w:pStyle w:val="ListParagraph"/>
        <w:numPr>
          <w:ilvl w:val="0"/>
          <w:numId w:val="44"/>
        </w:numPr>
        <w:spacing w:before="240"/>
        <w:rPr>
          <w:rStyle w:val="Referencingstyle"/>
          <w:rFonts w:ascii="Times New Roman" w:hAnsi="Times New Roman"/>
          <w:b w:val="0"/>
          <w:i w:val="0"/>
          <w:sz w:val="22"/>
          <w:szCs w:val="24"/>
        </w:rPr>
      </w:pPr>
      <w:r w:rsidRPr="000E37D6">
        <w:rPr>
          <w:rStyle w:val="Referencingstyle"/>
          <w:rFonts w:ascii="Times New Roman" w:hAnsi="Times New Roman"/>
          <w:b w:val="0"/>
          <w:i w:val="0"/>
          <w:sz w:val="24"/>
          <w:szCs w:val="24"/>
        </w:rPr>
        <w:t>issuers of extended operation financial products</w:t>
      </w:r>
      <w:r>
        <w:rPr>
          <w:rStyle w:val="Referencingstyle"/>
          <w:rFonts w:ascii="Times New Roman" w:hAnsi="Times New Roman"/>
          <w:b w:val="0"/>
          <w:i w:val="0"/>
          <w:sz w:val="24"/>
          <w:szCs w:val="24"/>
        </w:rPr>
        <w:t xml:space="preserve"> (i.e. </w:t>
      </w:r>
      <w:r w:rsidR="00D958CA">
        <w:rPr>
          <w:rStyle w:val="Referencingstyle"/>
          <w:rFonts w:ascii="Times New Roman" w:hAnsi="Times New Roman"/>
          <w:b w:val="0"/>
          <w:sz w:val="24"/>
          <w:szCs w:val="24"/>
        </w:rPr>
        <w:t xml:space="preserve">Australian Securities and Investments Commission Act </w:t>
      </w:r>
      <w:r w:rsidR="00D958CA" w:rsidRPr="00FF35A4">
        <w:rPr>
          <w:rStyle w:val="Referencingstyle"/>
          <w:rFonts w:ascii="Times New Roman" w:hAnsi="Times New Roman"/>
          <w:b w:val="0"/>
          <w:sz w:val="24"/>
          <w:szCs w:val="24"/>
        </w:rPr>
        <w:t>2001</w:t>
      </w:r>
      <w:r w:rsidR="00DA4188">
        <w:rPr>
          <w:rStyle w:val="Referencingstyle"/>
          <w:rFonts w:ascii="Times New Roman" w:hAnsi="Times New Roman"/>
          <w:b w:val="0"/>
          <w:i w:val="0"/>
          <w:sz w:val="24"/>
          <w:szCs w:val="24"/>
        </w:rPr>
        <w:t xml:space="preserve"> (the ASIC Act)</w:t>
      </w:r>
      <w:r>
        <w:rPr>
          <w:rStyle w:val="Referencingstyle"/>
          <w:rFonts w:ascii="Times New Roman" w:hAnsi="Times New Roman"/>
          <w:b w:val="0"/>
          <w:i w:val="0"/>
          <w:sz w:val="24"/>
          <w:szCs w:val="24"/>
        </w:rPr>
        <w:t xml:space="preserve"> financial products that are not financial products within the meaning of the Corporations Act).</w:t>
      </w:r>
    </w:p>
    <w:p w14:paraId="4509D036" w14:textId="77777777" w:rsidR="00366222" w:rsidRPr="000E37D6" w:rsidRDefault="00366222" w:rsidP="00366222">
      <w:pPr>
        <w:spacing w:before="240"/>
        <w:rPr>
          <w:rStyle w:val="Referencingstyle"/>
          <w:b w:val="0"/>
          <w:i w:val="0"/>
          <w:sz w:val="24"/>
          <w:szCs w:val="24"/>
        </w:rPr>
      </w:pPr>
      <w:r w:rsidRPr="000E37D6">
        <w:rPr>
          <w:szCs w:val="24"/>
        </w:rPr>
        <w:t>These Regulations extend the DDO regime so that it applies in relation to the following products:</w:t>
      </w:r>
    </w:p>
    <w:p w14:paraId="248576AB" w14:textId="77777777" w:rsidR="00366222" w:rsidRPr="000E37D6" w:rsidRDefault="00366222" w:rsidP="00366222">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simple corporate bonds depository interests in simple corporate bonds, where the simple corporate bonds are, or are to be, issued under a 2 part simple corporate bonds prospectus;</w:t>
      </w:r>
    </w:p>
    <w:p w14:paraId="2F2649CD" w14:textId="38C3AA23" w:rsidR="00366222" w:rsidRPr="000E37D6" w:rsidRDefault="00366222" w:rsidP="00366222">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lastRenderedPageBreak/>
        <w:t xml:space="preserve">debentures of a body that is an authorised deposit-taking institution </w:t>
      </w:r>
      <w:r w:rsidR="00DC402F">
        <w:rPr>
          <w:rFonts w:ascii="Times New Roman" w:hAnsi="Times New Roman"/>
          <w:sz w:val="24"/>
          <w:szCs w:val="24"/>
        </w:rPr>
        <w:t xml:space="preserve">(ADI) </w:t>
      </w:r>
      <w:r w:rsidRPr="000E37D6">
        <w:rPr>
          <w:rFonts w:ascii="Times New Roman" w:hAnsi="Times New Roman"/>
          <w:sz w:val="24"/>
          <w:szCs w:val="24"/>
        </w:rPr>
        <w:t xml:space="preserve">or registered under section 21 of the </w:t>
      </w:r>
      <w:r w:rsidRPr="000E37D6">
        <w:rPr>
          <w:rFonts w:ascii="Times New Roman" w:hAnsi="Times New Roman"/>
          <w:i/>
          <w:iCs/>
          <w:sz w:val="24"/>
          <w:szCs w:val="24"/>
        </w:rPr>
        <w:t>Life Insurance Act 1995</w:t>
      </w:r>
      <w:r w:rsidRPr="000E37D6">
        <w:rPr>
          <w:rFonts w:ascii="Times New Roman" w:hAnsi="Times New Roman"/>
          <w:sz w:val="24"/>
          <w:szCs w:val="24"/>
        </w:rPr>
        <w:t>;</w:t>
      </w:r>
    </w:p>
    <w:p w14:paraId="6AEA027B" w14:textId="77777777" w:rsidR="00366222" w:rsidRPr="000E37D6" w:rsidRDefault="00366222" w:rsidP="00366222">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basic banking products;</w:t>
      </w:r>
    </w:p>
    <w:p w14:paraId="2E6E0DB0" w14:textId="77777777" w:rsidR="00366222" w:rsidRPr="000E37D6" w:rsidRDefault="00366222" w:rsidP="00366222">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investor-directed portfolio services;</w:t>
      </w:r>
    </w:p>
    <w:p w14:paraId="4F0FED15" w14:textId="77777777" w:rsidR="00366222" w:rsidRPr="000E37D6" w:rsidRDefault="00366222" w:rsidP="00366222">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exchange traded funds; and</w:t>
      </w:r>
    </w:p>
    <w:p w14:paraId="310717CB" w14:textId="77777777" w:rsidR="00366222" w:rsidRPr="000E37D6" w:rsidRDefault="00366222" w:rsidP="00366222">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custodial arrangements that are not already subject to the new regime.</w:t>
      </w:r>
    </w:p>
    <w:p w14:paraId="7828A66D" w14:textId="77777777" w:rsidR="00366222" w:rsidRPr="000E37D6" w:rsidRDefault="00366222" w:rsidP="00366222">
      <w:pPr>
        <w:spacing w:before="240"/>
        <w:rPr>
          <w:szCs w:val="24"/>
        </w:rPr>
      </w:pPr>
      <w:r w:rsidRPr="000E37D6">
        <w:rPr>
          <w:szCs w:val="24"/>
        </w:rPr>
        <w:t>These Regulations exclude the following products from the DDO regime:</w:t>
      </w:r>
    </w:p>
    <w:p w14:paraId="4A85A214" w14:textId="7F30BE2C" w:rsidR="00366222" w:rsidRPr="000E37D6" w:rsidRDefault="00366222" w:rsidP="00366222">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interests in eligible rollover funds;</w:t>
      </w:r>
    </w:p>
    <w:p w14:paraId="03A7A41F" w14:textId="77777777" w:rsidR="00366222" w:rsidRPr="000E37D6" w:rsidRDefault="00366222" w:rsidP="00366222">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defined benefit interests;</w:t>
      </w:r>
    </w:p>
    <w:p w14:paraId="514FFE58" w14:textId="77777777" w:rsidR="00366222" w:rsidRPr="000E37D6" w:rsidRDefault="00366222" w:rsidP="00366222">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medical indemnity insurance products;</w:t>
      </w:r>
    </w:p>
    <w:p w14:paraId="04DD61F2" w14:textId="182807F6" w:rsidR="00366222" w:rsidRPr="000E37D6" w:rsidRDefault="00366222" w:rsidP="00366222">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 xml:space="preserve">depository interests in foreign fully paid ordinary shares, </w:t>
      </w:r>
      <w:r w:rsidR="008E15D6">
        <w:rPr>
          <w:rFonts w:ascii="Times New Roman" w:hAnsi="Times New Roman"/>
          <w:sz w:val="24"/>
          <w:szCs w:val="24"/>
        </w:rPr>
        <w:t>if the DDO regime would not otherwise apply to the shares</w:t>
      </w:r>
      <w:r w:rsidRPr="000E37D6">
        <w:rPr>
          <w:rFonts w:ascii="Times New Roman" w:hAnsi="Times New Roman"/>
          <w:sz w:val="24"/>
          <w:szCs w:val="24"/>
        </w:rPr>
        <w:t>;</w:t>
      </w:r>
    </w:p>
    <w:p w14:paraId="3C032A93" w14:textId="77777777" w:rsidR="00366222" w:rsidRPr="000E37D6" w:rsidRDefault="00366222" w:rsidP="00366222">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bank drafts (and money orders issued by or for Australia Post);</w:t>
      </w:r>
    </w:p>
    <w:p w14:paraId="608522F1" w14:textId="77777777" w:rsidR="00366222" w:rsidRPr="000E37D6" w:rsidRDefault="00366222" w:rsidP="00366222">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financial products not received in this jurisdiction that are not already excluded from the DDO;</w:t>
      </w:r>
    </w:p>
    <w:p w14:paraId="6E9A53B6" w14:textId="77777777" w:rsidR="00366222" w:rsidRPr="000E37D6" w:rsidRDefault="00366222" w:rsidP="00366222">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credit facilities not issued in the course of a business of providing credit;</w:t>
      </w:r>
    </w:p>
    <w:p w14:paraId="318A56FE" w14:textId="77777777" w:rsidR="00366222" w:rsidRPr="000E37D6" w:rsidRDefault="00366222" w:rsidP="00366222">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credit provided for business purposes;</w:t>
      </w:r>
    </w:p>
    <w:p w14:paraId="23381B14" w14:textId="77777777" w:rsidR="00366222" w:rsidRPr="000E37D6" w:rsidRDefault="00366222" w:rsidP="00366222">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certain ‘credit facilities’ that do not involve the provision of credit;</w:t>
      </w:r>
    </w:p>
    <w:p w14:paraId="3A7388B6" w14:textId="77777777" w:rsidR="00366222" w:rsidRPr="000E37D6" w:rsidRDefault="00366222" w:rsidP="00366222">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the provision of a mortgage (as distinct from the credit contract secured by the mortgage); and</w:t>
      </w:r>
    </w:p>
    <w:p w14:paraId="7D507BAA" w14:textId="77777777" w:rsidR="00366222" w:rsidRPr="000E37D6" w:rsidRDefault="00366222" w:rsidP="00366222">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credit provided by pawnbrokers.</w:t>
      </w:r>
    </w:p>
    <w:p w14:paraId="13A528E3" w14:textId="71BB43F0" w:rsidR="00366222" w:rsidRDefault="00366222" w:rsidP="00366222">
      <w:pPr>
        <w:pStyle w:val="Dotpoint"/>
        <w:numPr>
          <w:ilvl w:val="0"/>
          <w:numId w:val="0"/>
        </w:numPr>
      </w:pPr>
      <w:r w:rsidRPr="008E15D6">
        <w:rPr>
          <w:szCs w:val="24"/>
        </w:rPr>
        <w:t xml:space="preserve">The </w:t>
      </w:r>
      <w:r w:rsidR="005F1AE0" w:rsidRPr="006F49A9">
        <w:rPr>
          <w:szCs w:val="24"/>
        </w:rPr>
        <w:t>R</w:t>
      </w:r>
      <w:r w:rsidRPr="008E15D6">
        <w:rPr>
          <w:szCs w:val="24"/>
        </w:rPr>
        <w:t>egulations also exempt an employer complying with certain superannuation guarantee obligations from the DDO</w:t>
      </w:r>
      <w:r w:rsidR="008E15D6" w:rsidRPr="006F49A9">
        <w:rPr>
          <w:szCs w:val="24"/>
        </w:rPr>
        <w:t xml:space="preserve"> regime</w:t>
      </w:r>
      <w:r w:rsidRPr="008E15D6">
        <w:rPr>
          <w:szCs w:val="24"/>
        </w:rPr>
        <w:t>.</w:t>
      </w:r>
    </w:p>
    <w:p w14:paraId="3E66BDB8" w14:textId="6E5E1BE3" w:rsidR="00500D68" w:rsidRPr="007159A0" w:rsidRDefault="00F109D4" w:rsidP="009808D2">
      <w:pPr>
        <w:spacing w:before="240"/>
      </w:pPr>
      <w:r w:rsidRPr="00500D68">
        <w:t>The Regulations</w:t>
      </w:r>
      <w:r w:rsidR="003A7B7E" w:rsidRPr="00500D68">
        <w:t xml:space="preserve"> </w:t>
      </w:r>
      <w:r w:rsidR="0085038A" w:rsidRPr="00500D68">
        <w:t>commence on the la</w:t>
      </w:r>
      <w:r w:rsidR="00C758CC">
        <w:t>t</w:t>
      </w:r>
      <w:r w:rsidR="0085038A" w:rsidRPr="00500D68">
        <w:t>ter of</w:t>
      </w:r>
      <w:r w:rsidR="00D529ED" w:rsidRPr="00500D68">
        <w:t xml:space="preserve"> the day after</w:t>
      </w:r>
      <w:r w:rsidR="0085038A" w:rsidRPr="00500D68">
        <w:t xml:space="preserve"> registration</w:t>
      </w:r>
      <w:r w:rsidR="00D529ED" w:rsidRPr="00500D68">
        <w:t xml:space="preserve"> of </w:t>
      </w:r>
      <w:r w:rsidR="00F4369A" w:rsidRPr="00500D68">
        <w:t>these Regulations</w:t>
      </w:r>
      <w:r w:rsidR="0085038A" w:rsidRPr="00500D68">
        <w:t xml:space="preserve"> </w:t>
      </w:r>
      <w:r w:rsidR="009A56E4">
        <w:t>and</w:t>
      </w:r>
      <w:r w:rsidR="00B637C6" w:rsidRPr="00500D68">
        <w:t xml:space="preserve"> the</w:t>
      </w:r>
      <w:r w:rsidR="0085038A" w:rsidRPr="00500D68">
        <w:t xml:space="preserve"> commencement of the DDO amendments in the </w:t>
      </w:r>
      <w:r w:rsidR="00FA0022" w:rsidRPr="00500D68">
        <w:t>Act</w:t>
      </w:r>
      <w:r w:rsidR="00D529ED" w:rsidRPr="00500D68">
        <w:t xml:space="preserve"> (</w:t>
      </w:r>
      <w:r w:rsidR="00A5011D" w:rsidRPr="00500D68">
        <w:t xml:space="preserve">5 April 2021, </w:t>
      </w:r>
      <w:r w:rsidR="00F3325D">
        <w:t xml:space="preserve">the day after the end of the period of </w:t>
      </w:r>
      <w:r w:rsidR="0085038A" w:rsidRPr="00500D68">
        <w:t>two year</w:t>
      </w:r>
      <w:r w:rsidR="00D529ED" w:rsidRPr="00500D68">
        <w:t xml:space="preserve">s </w:t>
      </w:r>
      <w:r w:rsidR="00F3325D">
        <w:t>from</w:t>
      </w:r>
      <w:r w:rsidR="004E581A">
        <w:t xml:space="preserve"> when</w:t>
      </w:r>
      <w:r w:rsidR="00F3325D">
        <w:t xml:space="preserve"> </w:t>
      </w:r>
      <w:r w:rsidR="00B637C6" w:rsidRPr="00500D68">
        <w:t>the Act receive</w:t>
      </w:r>
      <w:r w:rsidR="00A5011D" w:rsidRPr="00500D68">
        <w:t>d</w:t>
      </w:r>
      <w:r w:rsidR="00D529ED" w:rsidRPr="00500D68">
        <w:t xml:space="preserve"> Royal Assent</w:t>
      </w:r>
      <w:r w:rsidR="00B637C6" w:rsidRPr="00500D68">
        <w:t>)</w:t>
      </w:r>
      <w:r w:rsidR="00A5011D" w:rsidRPr="00500D68">
        <w:t>.</w:t>
      </w:r>
    </w:p>
    <w:p w14:paraId="49D0F134" w14:textId="77777777" w:rsidR="0085038A" w:rsidRDefault="0085038A" w:rsidP="00647BB7">
      <w:pPr>
        <w:spacing w:before="240"/>
      </w:pPr>
      <w:r>
        <w:t>The Corporations Act does not specify any conditions that need to be met before the power to make regulations may be exercised.</w:t>
      </w:r>
    </w:p>
    <w:p w14:paraId="3C570325" w14:textId="77777777" w:rsidR="00DC6AD7" w:rsidRDefault="004A6950" w:rsidP="00647BB7">
      <w:pPr>
        <w:spacing w:before="240"/>
      </w:pPr>
      <w:r w:rsidRPr="00EC41D1">
        <w:t>Public consultation was undertaken on</w:t>
      </w:r>
      <w:r w:rsidR="00A5011D">
        <w:t xml:space="preserve"> an earlier version of</w:t>
      </w:r>
      <w:r w:rsidR="00DC6AD7">
        <w:t xml:space="preserve"> the</w:t>
      </w:r>
      <w:r>
        <w:t xml:space="preserve"> </w:t>
      </w:r>
      <w:r w:rsidR="005F1AE0">
        <w:t>R</w:t>
      </w:r>
      <w:r w:rsidR="00DC6AD7">
        <w:t>egulations from 23 </w:t>
      </w:r>
      <w:r>
        <w:t xml:space="preserve">October 2018 to </w:t>
      </w:r>
      <w:r w:rsidRPr="00EC41D1">
        <w:t>13 November 2018</w:t>
      </w:r>
      <w:r>
        <w:t>.</w:t>
      </w:r>
      <w:r w:rsidR="00D53AC5">
        <w:t xml:space="preserve"> </w:t>
      </w:r>
      <w:r w:rsidR="00DF10B3">
        <w:t xml:space="preserve">Eleven </w:t>
      </w:r>
      <w:r w:rsidR="00D53AC5">
        <w:t xml:space="preserve">submissions were received from </w:t>
      </w:r>
      <w:r w:rsidR="00DF10B3">
        <w:t>consumer groups, industry groups and financial services entities</w:t>
      </w:r>
      <w:r w:rsidR="00D53AC5">
        <w:t xml:space="preserve">. </w:t>
      </w:r>
      <w:r>
        <w:t xml:space="preserve"> </w:t>
      </w:r>
    </w:p>
    <w:p w14:paraId="6FC2315B" w14:textId="239BD157" w:rsidR="004A6950" w:rsidRDefault="00D53AC5" w:rsidP="00647BB7">
      <w:pPr>
        <w:spacing w:before="240"/>
      </w:pPr>
      <w:r>
        <w:lastRenderedPageBreak/>
        <w:t xml:space="preserve">Public consultation was also undertaken on a </w:t>
      </w:r>
      <w:r w:rsidR="00A5011D">
        <w:t xml:space="preserve">revised </w:t>
      </w:r>
      <w:r w:rsidR="00DC6AD7">
        <w:t>version of the</w:t>
      </w:r>
      <w:r>
        <w:t xml:space="preserve"> </w:t>
      </w:r>
      <w:r w:rsidR="005F1AE0">
        <w:t>R</w:t>
      </w:r>
      <w:r w:rsidR="00A5011D">
        <w:t>egulations</w:t>
      </w:r>
      <w:r>
        <w:t xml:space="preserve"> from 12</w:t>
      </w:r>
      <w:r w:rsidR="00DA4188">
        <w:t> </w:t>
      </w:r>
      <w:r>
        <w:t>September</w:t>
      </w:r>
      <w:r w:rsidR="00DA4188">
        <w:t> </w:t>
      </w:r>
      <w:r>
        <w:t>2019 to 11 October 2019</w:t>
      </w:r>
      <w:r w:rsidR="000F5A7A">
        <w:t>. The revised version reflected</w:t>
      </w:r>
      <w:r w:rsidR="005E6AB8">
        <w:t xml:space="preserve"> </w:t>
      </w:r>
      <w:r w:rsidR="00A5011D">
        <w:t xml:space="preserve">parliamentary amendments </w:t>
      </w:r>
      <w:r w:rsidR="005B708D">
        <w:t>incorporated into the Act</w:t>
      </w:r>
      <w:r w:rsidR="00A5011D" w:rsidRPr="005B708D">
        <w:t xml:space="preserve"> whi</w:t>
      </w:r>
      <w:r w:rsidR="00E63ABD">
        <w:t>ch extended both the DDO and product intervention powers</w:t>
      </w:r>
      <w:r w:rsidR="00A5011D" w:rsidRPr="005B708D">
        <w:t xml:space="preserve"> to </w:t>
      </w:r>
      <w:r w:rsidR="005B708D">
        <w:t xml:space="preserve">cover additional financial products regulated under </w:t>
      </w:r>
      <w:r w:rsidR="005659E8">
        <w:t>the ASIC </w:t>
      </w:r>
      <w:r w:rsidR="00E63ABD">
        <w:t>Act</w:t>
      </w:r>
      <w:r w:rsidR="00205CF6" w:rsidRPr="005B708D">
        <w:t>.</w:t>
      </w:r>
      <w:r>
        <w:t xml:space="preserve"> </w:t>
      </w:r>
      <w:r w:rsidR="00DF10B3">
        <w:t xml:space="preserve">Seventeen </w:t>
      </w:r>
      <w:r>
        <w:t xml:space="preserve">submissions were received from </w:t>
      </w:r>
      <w:r w:rsidR="00DF10B3">
        <w:t>consumer groups, industry groups and financial services entities</w:t>
      </w:r>
      <w:r w:rsidR="00AA300E">
        <w:t xml:space="preserve"> </w:t>
      </w:r>
      <w:r>
        <w:t xml:space="preserve">on the revised version of the </w:t>
      </w:r>
      <w:r w:rsidR="005F1AE0">
        <w:t>R</w:t>
      </w:r>
      <w:r>
        <w:t>egulations</w:t>
      </w:r>
      <w:r w:rsidR="00AA300E">
        <w:t xml:space="preserve">. Following this consultation, changes were made to the </w:t>
      </w:r>
      <w:r w:rsidR="005F1AE0">
        <w:t>R</w:t>
      </w:r>
      <w:r w:rsidR="00AA300E">
        <w:t xml:space="preserve">egulations to exclude employers from </w:t>
      </w:r>
      <w:r w:rsidR="00774FBD">
        <w:t>the</w:t>
      </w:r>
      <w:r w:rsidR="00AA300E">
        <w:t xml:space="preserve"> DDO </w:t>
      </w:r>
      <w:r w:rsidR="00774FBD">
        <w:t>regime for certain superannuation guarantee</w:t>
      </w:r>
      <w:r w:rsidR="00AA300E">
        <w:t xml:space="preserve"> obligations and to clarify the operation of DDO for e</w:t>
      </w:r>
      <w:r w:rsidR="0076081B">
        <w:t>xchange</w:t>
      </w:r>
      <w:r w:rsidR="00AA300E">
        <w:t xml:space="preserve"> traded </w:t>
      </w:r>
      <w:r w:rsidR="00774FBD">
        <w:t>products</w:t>
      </w:r>
      <w:r w:rsidR="00AA300E">
        <w:t xml:space="preserve">. </w:t>
      </w:r>
    </w:p>
    <w:p w14:paraId="7E13D0A3" w14:textId="6F97C5E7" w:rsidR="004004E6" w:rsidRDefault="004004E6" w:rsidP="00647BB7">
      <w:pPr>
        <w:spacing w:before="240"/>
      </w:pPr>
      <w:r w:rsidRPr="00AF4116">
        <w:t xml:space="preserve">The Treasury has undertaken a process equivalent to a Regulation Impact Statement through the </w:t>
      </w:r>
      <w:r w:rsidR="00D54DB3">
        <w:t>Financial System Inquiry</w:t>
      </w:r>
      <w:r w:rsidRPr="00AF4116">
        <w:t>.</w:t>
      </w:r>
      <w:r>
        <w:t xml:space="preserve"> The </w:t>
      </w:r>
      <w:r w:rsidR="00D54DB3">
        <w:t>Financial System Inquiry</w:t>
      </w:r>
      <w:r w:rsidRPr="00AF4116">
        <w:t xml:space="preserve"> Final Report can be found here: </w:t>
      </w:r>
      <w:hyperlink r:id="rId13" w:history="1">
        <w:r w:rsidRPr="008F59D1">
          <w:rPr>
            <w:rStyle w:val="Hyperlink"/>
          </w:rPr>
          <w:t>http://fsi.gov.au/files/2014/12/FSI_Final_Report_Consolidated20141210.pdf</w:t>
        </w:r>
      </w:hyperlink>
      <w:r w:rsidRPr="00AF4116">
        <w:t>.</w:t>
      </w:r>
      <w:r>
        <w:t xml:space="preserve"> </w:t>
      </w:r>
      <w:r w:rsidR="00D54DB3">
        <w:t xml:space="preserve">It is estimated that the increase </w:t>
      </w:r>
      <w:r>
        <w:t xml:space="preserve">in </w:t>
      </w:r>
      <w:r w:rsidR="00D54DB3">
        <w:t xml:space="preserve">annual </w:t>
      </w:r>
      <w:r>
        <w:t xml:space="preserve">compliance costs </w:t>
      </w:r>
      <w:r w:rsidR="00D54DB3">
        <w:t xml:space="preserve">for the industry as a whole </w:t>
      </w:r>
      <w:r>
        <w:t xml:space="preserve">associated with the </w:t>
      </w:r>
      <w:r w:rsidR="00CA2110">
        <w:t xml:space="preserve">Act and these Regulations </w:t>
      </w:r>
      <w:r w:rsidR="00D54DB3">
        <w:t xml:space="preserve">will amount to $193.2 million. </w:t>
      </w:r>
    </w:p>
    <w:p w14:paraId="07EC5C42" w14:textId="0164F9FA" w:rsidR="00D41F03" w:rsidRDefault="00D41F03" w:rsidP="00647BB7">
      <w:pPr>
        <w:spacing w:before="240"/>
      </w:pPr>
      <w:r>
        <w:t xml:space="preserve">Details of the Regulations are set out in </w:t>
      </w:r>
      <w:r w:rsidRPr="00CE2989">
        <w:rPr>
          <w:u w:val="single"/>
        </w:rPr>
        <w:t>Attachment</w:t>
      </w:r>
      <w:r w:rsidR="00050242">
        <w:rPr>
          <w:u w:val="single"/>
        </w:rPr>
        <w:t xml:space="preserve"> A</w:t>
      </w:r>
      <w:r>
        <w:t>.</w:t>
      </w:r>
    </w:p>
    <w:p w14:paraId="0E776201" w14:textId="278193D1" w:rsidR="00050242" w:rsidRDefault="00050242" w:rsidP="00647BB7">
      <w:pPr>
        <w:spacing w:before="240"/>
      </w:pPr>
      <w:r>
        <w:t xml:space="preserve">A Statement of Compatibility with Human Rights is at </w:t>
      </w:r>
      <w:r>
        <w:rPr>
          <w:u w:val="single"/>
        </w:rPr>
        <w:t>Attachment B</w:t>
      </w:r>
      <w:r w:rsidRPr="00307F63">
        <w:t>.</w:t>
      </w:r>
    </w:p>
    <w:p w14:paraId="095BCEE1" w14:textId="77777777" w:rsidR="00DC6AD7" w:rsidRDefault="00DC6AD7" w:rsidP="00647BB7">
      <w:pPr>
        <w:spacing w:before="240"/>
      </w:pPr>
    </w:p>
    <w:p w14:paraId="31018C86" w14:textId="77777777" w:rsidR="00DC6AD7" w:rsidRDefault="00DC6AD7">
      <w:pPr>
        <w:spacing w:before="0" w:after="0"/>
      </w:pPr>
      <w:r>
        <w:br w:type="page"/>
      </w:r>
    </w:p>
    <w:p w14:paraId="311073E5" w14:textId="221C414B" w:rsidR="00DC6AD7" w:rsidRDefault="00DC6AD7" w:rsidP="00647BB7">
      <w:pPr>
        <w:spacing w:before="240"/>
      </w:pPr>
    </w:p>
    <w:p w14:paraId="2AB7706F" w14:textId="77777777" w:rsidR="00050242" w:rsidRDefault="00050242" w:rsidP="00647BB7">
      <w:pPr>
        <w:spacing w:before="240"/>
      </w:pPr>
    </w:p>
    <w:p w14:paraId="119C0E8B" w14:textId="3279CBD3" w:rsidR="00782788" w:rsidRPr="00BF1C4C" w:rsidRDefault="00782788" w:rsidP="00782788">
      <w:pPr>
        <w:jc w:val="right"/>
        <w:rPr>
          <w:szCs w:val="24"/>
        </w:rPr>
      </w:pPr>
      <w:r w:rsidRPr="00BF1C4C">
        <w:rPr>
          <w:b/>
          <w:szCs w:val="24"/>
          <w:u w:val="single"/>
        </w:rPr>
        <w:t>ATTACHMENT</w:t>
      </w:r>
      <w:r w:rsidR="00050242">
        <w:rPr>
          <w:b/>
          <w:szCs w:val="24"/>
          <w:u w:val="single"/>
        </w:rPr>
        <w:t xml:space="preserve"> A</w:t>
      </w:r>
    </w:p>
    <w:p w14:paraId="2AE6B7AD" w14:textId="77777777" w:rsidR="00782788" w:rsidRPr="00A00A7B" w:rsidRDefault="00782788" w:rsidP="00782788">
      <w:pPr>
        <w:pStyle w:val="Heading2"/>
        <w:rPr>
          <w:i/>
          <w:szCs w:val="24"/>
        </w:rPr>
      </w:pPr>
      <w:r w:rsidRPr="00585F93">
        <w:rPr>
          <w:szCs w:val="24"/>
        </w:rPr>
        <w:t xml:space="preserve">Details of the </w:t>
      </w:r>
      <w:r w:rsidRPr="00782788">
        <w:rPr>
          <w:i/>
          <w:szCs w:val="24"/>
        </w:rPr>
        <w:t>Corporations Amendment (Design and Distribution Obligations) Regulations 201</w:t>
      </w:r>
      <w:r w:rsidR="0030046B">
        <w:rPr>
          <w:i/>
          <w:szCs w:val="24"/>
        </w:rPr>
        <w:t>9</w:t>
      </w:r>
    </w:p>
    <w:p w14:paraId="70211EC4" w14:textId="77777777" w:rsidR="00782788" w:rsidRPr="00A00A7B" w:rsidRDefault="00782788" w:rsidP="00782788">
      <w:pPr>
        <w:rPr>
          <w:szCs w:val="24"/>
        </w:rPr>
      </w:pPr>
    </w:p>
    <w:p w14:paraId="41A64AE0" w14:textId="77777777" w:rsidR="00782788" w:rsidRPr="00991AF3" w:rsidRDefault="00782788" w:rsidP="00782788">
      <w:pPr>
        <w:rPr>
          <w:szCs w:val="24"/>
          <w:u w:val="single"/>
        </w:rPr>
      </w:pPr>
      <w:r w:rsidRPr="00991AF3">
        <w:rPr>
          <w:szCs w:val="24"/>
          <w:u w:val="single"/>
        </w:rPr>
        <w:t>Section 1 – Name of the Regulations</w:t>
      </w:r>
    </w:p>
    <w:p w14:paraId="23934F04" w14:textId="47525AA9" w:rsidR="00782788" w:rsidRDefault="00782788" w:rsidP="00782788">
      <w:pPr>
        <w:autoSpaceDE w:val="0"/>
        <w:autoSpaceDN w:val="0"/>
        <w:adjustRightInd w:val="0"/>
        <w:spacing w:after="240"/>
        <w:rPr>
          <w:szCs w:val="24"/>
        </w:rPr>
      </w:pPr>
      <w:r w:rsidRPr="00991AF3">
        <w:rPr>
          <w:szCs w:val="24"/>
        </w:rPr>
        <w:t>This section provide</w:t>
      </w:r>
      <w:r>
        <w:rPr>
          <w:szCs w:val="24"/>
        </w:rPr>
        <w:t>s</w:t>
      </w:r>
      <w:r w:rsidRPr="00991AF3">
        <w:rPr>
          <w:szCs w:val="24"/>
        </w:rPr>
        <w:t xml:space="preserve"> that the name of the Regulations is the </w:t>
      </w:r>
      <w:r w:rsidR="004D2F94" w:rsidRPr="004D2F94">
        <w:rPr>
          <w:i/>
          <w:szCs w:val="24"/>
        </w:rPr>
        <w:t>Corporations Amendment (Design and Distribution Obligations</w:t>
      </w:r>
      <w:r w:rsidR="0060010E">
        <w:rPr>
          <w:i/>
          <w:szCs w:val="24"/>
        </w:rPr>
        <w:t>) Regulations 2019</w:t>
      </w:r>
      <w:r w:rsidR="00A03F93">
        <w:rPr>
          <w:i/>
          <w:szCs w:val="24"/>
        </w:rPr>
        <w:t xml:space="preserve"> </w:t>
      </w:r>
      <w:r w:rsidR="00B637C6">
        <w:t>(</w:t>
      </w:r>
      <w:r w:rsidR="00975938">
        <w:t>the </w:t>
      </w:r>
      <w:r w:rsidR="00B637C6">
        <w:t>Regulations)</w:t>
      </w:r>
      <w:r w:rsidRPr="00991AF3">
        <w:rPr>
          <w:szCs w:val="24"/>
        </w:rPr>
        <w:t>.</w:t>
      </w:r>
    </w:p>
    <w:p w14:paraId="0A20B570" w14:textId="77777777" w:rsidR="00E03A9A" w:rsidRPr="00E03A9A" w:rsidRDefault="00782788" w:rsidP="00E03A9A">
      <w:pPr>
        <w:autoSpaceDE w:val="0"/>
        <w:autoSpaceDN w:val="0"/>
        <w:adjustRightInd w:val="0"/>
        <w:spacing w:after="240"/>
        <w:rPr>
          <w:szCs w:val="24"/>
          <w:u w:val="single"/>
        </w:rPr>
      </w:pPr>
      <w:r w:rsidRPr="00991AF3">
        <w:rPr>
          <w:szCs w:val="24"/>
          <w:u w:val="single"/>
        </w:rPr>
        <w:t>Section 2 – Commencement</w:t>
      </w:r>
    </w:p>
    <w:p w14:paraId="23DD3A8B" w14:textId="36D5B4D1" w:rsidR="00BF47D2" w:rsidRDefault="005F51D1" w:rsidP="00782788">
      <w:pPr>
        <w:tabs>
          <w:tab w:val="left" w:pos="1701"/>
          <w:tab w:val="right" w:pos="9072"/>
        </w:tabs>
        <w:ind w:right="91"/>
      </w:pPr>
      <w:r>
        <w:rPr>
          <w:szCs w:val="24"/>
        </w:rPr>
        <w:t>T</w:t>
      </w:r>
      <w:r w:rsidR="00BF47D2">
        <w:rPr>
          <w:szCs w:val="24"/>
        </w:rPr>
        <w:t>he Regulations</w:t>
      </w:r>
      <w:r>
        <w:rPr>
          <w:szCs w:val="24"/>
        </w:rPr>
        <w:t xml:space="preserve"> commence </w:t>
      </w:r>
      <w:r w:rsidR="00E03A9A">
        <w:rPr>
          <w:szCs w:val="24"/>
        </w:rPr>
        <w:t>on the la</w:t>
      </w:r>
      <w:r w:rsidR="00C758CC">
        <w:rPr>
          <w:szCs w:val="24"/>
        </w:rPr>
        <w:t>t</w:t>
      </w:r>
      <w:r w:rsidR="00E03A9A">
        <w:rPr>
          <w:szCs w:val="24"/>
        </w:rPr>
        <w:t xml:space="preserve">ter of the day after the Regulations are registered, </w:t>
      </w:r>
      <w:r w:rsidR="00623EFF">
        <w:rPr>
          <w:szCs w:val="24"/>
        </w:rPr>
        <w:t>and</w:t>
      </w:r>
      <w:r w:rsidR="00BF47D2">
        <w:rPr>
          <w:szCs w:val="24"/>
        </w:rPr>
        <w:t xml:space="preserve"> </w:t>
      </w:r>
      <w:r w:rsidR="001F54AA">
        <w:rPr>
          <w:szCs w:val="24"/>
        </w:rPr>
        <w:t>the day on which</w:t>
      </w:r>
      <w:r w:rsidR="00471754">
        <w:rPr>
          <w:szCs w:val="24"/>
        </w:rPr>
        <w:t xml:space="preserve"> Schedule 1 to </w:t>
      </w:r>
      <w:r w:rsidR="00975938">
        <w:t>the</w:t>
      </w:r>
      <w:r w:rsidR="00B933FF">
        <w:t xml:space="preserve"> </w:t>
      </w:r>
      <w:r w:rsidR="00B933FF">
        <w:rPr>
          <w:i/>
        </w:rPr>
        <w:t xml:space="preserve">Treasury Laws Amendment (Design and Distribution Obligations and Product Intervention Powers) </w:t>
      </w:r>
      <w:r w:rsidR="00B933FF" w:rsidDel="00DD52DD">
        <w:rPr>
          <w:i/>
        </w:rPr>
        <w:t>Act</w:t>
      </w:r>
      <w:r w:rsidR="00B933FF">
        <w:rPr>
          <w:i/>
        </w:rPr>
        <w:t xml:space="preserve"> 2019</w:t>
      </w:r>
      <w:r w:rsidR="00B933FF">
        <w:t xml:space="preserve"> (the</w:t>
      </w:r>
      <w:r w:rsidR="00975938">
        <w:t xml:space="preserve"> Act</w:t>
      </w:r>
      <w:r w:rsidR="00B933FF">
        <w:t>)</w:t>
      </w:r>
      <w:r w:rsidR="00BF47D2">
        <w:t xml:space="preserve"> </w:t>
      </w:r>
      <w:r w:rsidR="00E03A9A">
        <w:t>commences.</w:t>
      </w:r>
      <w:r w:rsidR="00B637C6">
        <w:t xml:space="preserve"> </w:t>
      </w:r>
      <w:r w:rsidR="00BF47D2">
        <w:t xml:space="preserve">Schedule 1 to the </w:t>
      </w:r>
      <w:r w:rsidR="00B637C6">
        <w:t xml:space="preserve">Act </w:t>
      </w:r>
      <w:r w:rsidR="00BF47D2">
        <w:t>commences</w:t>
      </w:r>
      <w:r w:rsidR="0060010E">
        <w:t xml:space="preserve"> on 5 April 2021, being</w:t>
      </w:r>
      <w:r w:rsidR="00BF47D2">
        <w:t xml:space="preserve"> the day after the end of the period of 2 years beginning on the day </w:t>
      </w:r>
      <w:r w:rsidR="00B637C6">
        <w:t>the</w:t>
      </w:r>
      <w:r w:rsidR="0060010E">
        <w:t xml:space="preserve"> Act received</w:t>
      </w:r>
      <w:r w:rsidR="00BF47D2">
        <w:t xml:space="preserve"> the Royal Assent</w:t>
      </w:r>
      <w:r w:rsidR="0060010E">
        <w:t>.</w:t>
      </w:r>
    </w:p>
    <w:p w14:paraId="791BAA74" w14:textId="77777777" w:rsidR="00782788" w:rsidRPr="00991AF3" w:rsidRDefault="00782788" w:rsidP="00307F63">
      <w:pPr>
        <w:keepNext/>
        <w:autoSpaceDE w:val="0"/>
        <w:autoSpaceDN w:val="0"/>
        <w:adjustRightInd w:val="0"/>
        <w:spacing w:after="240"/>
        <w:rPr>
          <w:szCs w:val="24"/>
          <w:u w:val="single"/>
        </w:rPr>
      </w:pPr>
      <w:r w:rsidRPr="00991AF3">
        <w:rPr>
          <w:szCs w:val="24"/>
          <w:u w:val="single"/>
        </w:rPr>
        <w:t>Section 3 – Authority</w:t>
      </w:r>
    </w:p>
    <w:p w14:paraId="35671AAE" w14:textId="510E636B" w:rsidR="00782788" w:rsidRPr="00991AF3" w:rsidRDefault="00782788" w:rsidP="00782788">
      <w:pPr>
        <w:autoSpaceDE w:val="0"/>
        <w:autoSpaceDN w:val="0"/>
        <w:adjustRightInd w:val="0"/>
        <w:spacing w:after="240"/>
        <w:rPr>
          <w:szCs w:val="24"/>
        </w:rPr>
      </w:pPr>
      <w:r w:rsidRPr="00991AF3">
        <w:rPr>
          <w:szCs w:val="24"/>
        </w:rPr>
        <w:t xml:space="preserve">The Regulations </w:t>
      </w:r>
      <w:r>
        <w:rPr>
          <w:szCs w:val="24"/>
        </w:rPr>
        <w:t>are</w:t>
      </w:r>
      <w:r w:rsidR="00975938">
        <w:rPr>
          <w:szCs w:val="24"/>
        </w:rPr>
        <w:t xml:space="preserve"> made under </w:t>
      </w:r>
      <w:r w:rsidR="003C7474">
        <w:rPr>
          <w:szCs w:val="24"/>
        </w:rPr>
        <w:t>the Corporations Act</w:t>
      </w:r>
      <w:r w:rsidRPr="00991AF3">
        <w:rPr>
          <w:szCs w:val="24"/>
        </w:rPr>
        <w:t>.</w:t>
      </w:r>
      <w:r>
        <w:rPr>
          <w:szCs w:val="24"/>
        </w:rPr>
        <w:t xml:space="preserve"> </w:t>
      </w:r>
      <w:r w:rsidR="00E32074">
        <w:rPr>
          <w:szCs w:val="24"/>
        </w:rPr>
        <w:t xml:space="preserve">Note that </w:t>
      </w:r>
      <w:r w:rsidR="00975938">
        <w:t>the</w:t>
      </w:r>
      <w:r w:rsidR="00E32074">
        <w:t xml:space="preserve"> </w:t>
      </w:r>
      <w:r w:rsidR="005F1AE0">
        <w:t>R</w:t>
      </w:r>
      <w:r w:rsidR="00E32074">
        <w:t xml:space="preserve">egulations </w:t>
      </w:r>
      <w:r w:rsidR="00536312">
        <w:t>have been</w:t>
      </w:r>
      <w:r w:rsidR="00E32074">
        <w:t xml:space="preserve"> made prior to the commencement of Schedule 1 to the Act in reliance on section 4 of the </w:t>
      </w:r>
      <w:r w:rsidR="00E32074" w:rsidRPr="008706D1">
        <w:rPr>
          <w:i/>
        </w:rPr>
        <w:t>Acts Interpretation Act 1901</w:t>
      </w:r>
      <w:r w:rsidR="00E32074">
        <w:t>.</w:t>
      </w:r>
    </w:p>
    <w:p w14:paraId="4F774679" w14:textId="060AAE4A" w:rsidR="00782788" w:rsidRDefault="00782788" w:rsidP="00782788">
      <w:pPr>
        <w:autoSpaceDE w:val="0"/>
        <w:autoSpaceDN w:val="0"/>
        <w:adjustRightInd w:val="0"/>
        <w:spacing w:after="240"/>
        <w:rPr>
          <w:szCs w:val="24"/>
          <w:u w:val="single"/>
        </w:rPr>
      </w:pPr>
      <w:r w:rsidRPr="00991AF3">
        <w:rPr>
          <w:szCs w:val="24"/>
          <w:u w:val="single"/>
        </w:rPr>
        <w:t>Section 4 – Schedules</w:t>
      </w:r>
    </w:p>
    <w:p w14:paraId="62CCFC89" w14:textId="36F49136" w:rsidR="00B72053" w:rsidRDefault="00B72053" w:rsidP="004E581A">
      <w:pPr>
        <w:keepNext/>
        <w:ind w:right="748"/>
      </w:pPr>
      <w:r w:rsidRPr="004E581A">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F738C19" w14:textId="77777777" w:rsidR="009B779E" w:rsidRPr="004E581A" w:rsidRDefault="009B779E" w:rsidP="004E581A">
      <w:pPr>
        <w:keepNext/>
        <w:ind w:right="748"/>
      </w:pPr>
    </w:p>
    <w:p w14:paraId="2DD771D1" w14:textId="77777777" w:rsidR="00782788" w:rsidRPr="00991AF3" w:rsidRDefault="00782788" w:rsidP="00782788">
      <w:pPr>
        <w:autoSpaceDE w:val="0"/>
        <w:autoSpaceDN w:val="0"/>
        <w:adjustRightInd w:val="0"/>
        <w:spacing w:after="240"/>
        <w:rPr>
          <w:szCs w:val="24"/>
          <w:u w:val="single"/>
        </w:rPr>
      </w:pPr>
      <w:r w:rsidRPr="00991AF3">
        <w:rPr>
          <w:szCs w:val="24"/>
          <w:u w:val="single"/>
        </w:rPr>
        <w:t>Schedule 1 – Amendments</w:t>
      </w:r>
    </w:p>
    <w:p w14:paraId="24321A04" w14:textId="24811DCE" w:rsidR="002433CE" w:rsidRDefault="002433CE" w:rsidP="00782788">
      <w:pPr>
        <w:tabs>
          <w:tab w:val="left" w:pos="1701"/>
          <w:tab w:val="right" w:pos="9072"/>
        </w:tabs>
        <w:ind w:right="91"/>
        <w:rPr>
          <w:b/>
          <w:szCs w:val="24"/>
        </w:rPr>
      </w:pPr>
      <w:r>
        <w:rPr>
          <w:b/>
          <w:szCs w:val="24"/>
        </w:rPr>
        <w:t>Item 1</w:t>
      </w:r>
    </w:p>
    <w:p w14:paraId="470771A8" w14:textId="17535DC3" w:rsidR="002433CE" w:rsidRDefault="002433CE" w:rsidP="00782788">
      <w:pPr>
        <w:tabs>
          <w:tab w:val="left" w:pos="1701"/>
          <w:tab w:val="right" w:pos="9072"/>
        </w:tabs>
        <w:ind w:right="91"/>
        <w:rPr>
          <w:szCs w:val="24"/>
        </w:rPr>
      </w:pPr>
      <w:r>
        <w:rPr>
          <w:szCs w:val="24"/>
        </w:rPr>
        <w:t>Item</w:t>
      </w:r>
      <w:r w:rsidR="00D52E81">
        <w:rPr>
          <w:szCs w:val="24"/>
        </w:rPr>
        <w:t xml:space="preserve"> 1 of Schedule 1 makes a technical amendment to the </w:t>
      </w:r>
      <w:r w:rsidR="00D52E81">
        <w:rPr>
          <w:i/>
          <w:szCs w:val="24"/>
        </w:rPr>
        <w:t xml:space="preserve">Corporations Regulations 2001 </w:t>
      </w:r>
      <w:r w:rsidR="00D52E81">
        <w:rPr>
          <w:szCs w:val="24"/>
        </w:rPr>
        <w:t>(</w:t>
      </w:r>
      <w:r w:rsidR="00623EFF">
        <w:rPr>
          <w:szCs w:val="24"/>
        </w:rPr>
        <w:t xml:space="preserve">the </w:t>
      </w:r>
      <w:r w:rsidR="00D52E81">
        <w:rPr>
          <w:szCs w:val="24"/>
        </w:rPr>
        <w:t>Corporations Regulations) to update</w:t>
      </w:r>
      <w:r w:rsidR="00536312">
        <w:rPr>
          <w:szCs w:val="24"/>
        </w:rPr>
        <w:t xml:space="preserve"> the</w:t>
      </w:r>
      <w:r w:rsidR="00D52E81">
        <w:rPr>
          <w:szCs w:val="24"/>
        </w:rPr>
        <w:t xml:space="preserve"> definition of </w:t>
      </w:r>
      <w:r w:rsidR="00AB4F8E">
        <w:rPr>
          <w:szCs w:val="24"/>
        </w:rPr>
        <w:t>‘</w:t>
      </w:r>
      <w:r w:rsidR="00D52E81" w:rsidRPr="00AB4F8E">
        <w:rPr>
          <w:szCs w:val="24"/>
        </w:rPr>
        <w:t>overseas student health insurance contract</w:t>
      </w:r>
      <w:r w:rsidR="009B779E">
        <w:rPr>
          <w:szCs w:val="24"/>
        </w:rPr>
        <w:t>’</w:t>
      </w:r>
      <w:r w:rsidR="00D52E81">
        <w:rPr>
          <w:b/>
          <w:i/>
          <w:szCs w:val="24"/>
        </w:rPr>
        <w:t xml:space="preserve"> </w:t>
      </w:r>
      <w:r w:rsidR="00D52E81">
        <w:rPr>
          <w:szCs w:val="24"/>
        </w:rPr>
        <w:t xml:space="preserve">in subregulation 7.1.07C(2) of </w:t>
      </w:r>
      <w:r>
        <w:rPr>
          <w:szCs w:val="24"/>
        </w:rPr>
        <w:t>those regulations</w:t>
      </w:r>
      <w:r w:rsidR="00536312">
        <w:rPr>
          <w:szCs w:val="24"/>
        </w:rPr>
        <w:t>.</w:t>
      </w:r>
      <w:r w:rsidR="00D52E81">
        <w:rPr>
          <w:szCs w:val="24"/>
        </w:rPr>
        <w:t xml:space="preserve"> Previously, that definition referred to regulation 48 of the repealed </w:t>
      </w:r>
      <w:r w:rsidR="00D52E81">
        <w:rPr>
          <w:i/>
          <w:szCs w:val="24"/>
        </w:rPr>
        <w:t>National Health Regulations 1954</w:t>
      </w:r>
      <w:r w:rsidR="00D52E81">
        <w:rPr>
          <w:szCs w:val="24"/>
        </w:rPr>
        <w:t xml:space="preserve">. </w:t>
      </w:r>
    </w:p>
    <w:p w14:paraId="2E50DE15" w14:textId="2CB86269" w:rsidR="00536312" w:rsidRDefault="00D52E81" w:rsidP="00782788">
      <w:pPr>
        <w:tabs>
          <w:tab w:val="left" w:pos="1701"/>
          <w:tab w:val="right" w:pos="9072"/>
        </w:tabs>
        <w:ind w:right="91"/>
        <w:rPr>
          <w:b/>
          <w:szCs w:val="24"/>
        </w:rPr>
      </w:pPr>
      <w:r>
        <w:rPr>
          <w:szCs w:val="24"/>
        </w:rPr>
        <w:t xml:space="preserve">The new definition provides that </w:t>
      </w:r>
      <w:r w:rsidR="002433CE">
        <w:rPr>
          <w:szCs w:val="24"/>
        </w:rPr>
        <w:t>‘</w:t>
      </w:r>
      <w:r w:rsidRPr="002433CE">
        <w:rPr>
          <w:szCs w:val="24"/>
        </w:rPr>
        <w:t>overseas student health insurance contract</w:t>
      </w:r>
      <w:r w:rsidR="002433CE">
        <w:rPr>
          <w:szCs w:val="24"/>
        </w:rPr>
        <w:t>’</w:t>
      </w:r>
      <w:r>
        <w:rPr>
          <w:b/>
          <w:i/>
          <w:szCs w:val="24"/>
        </w:rPr>
        <w:t xml:space="preserve"> </w:t>
      </w:r>
      <w:r w:rsidR="002433CE">
        <w:rPr>
          <w:szCs w:val="24"/>
        </w:rPr>
        <w:t xml:space="preserve">has the same meaning as in Private Health Insurance Rules made for the purposes of Part 4-2 of the </w:t>
      </w:r>
      <w:r w:rsidR="002433CE">
        <w:rPr>
          <w:i/>
          <w:szCs w:val="24"/>
        </w:rPr>
        <w:t xml:space="preserve">Private Health Insurance Act 2007 </w:t>
      </w:r>
      <w:r w:rsidR="002433CE">
        <w:rPr>
          <w:szCs w:val="24"/>
        </w:rPr>
        <w:t>(which is about health insurance business).</w:t>
      </w:r>
      <w:r w:rsidR="00536312">
        <w:rPr>
          <w:szCs w:val="24"/>
        </w:rPr>
        <w:t xml:space="preserve"> </w:t>
      </w:r>
    </w:p>
    <w:p w14:paraId="3D361AF2" w14:textId="77FD04A9" w:rsidR="00EB1E91" w:rsidRDefault="00EB1E91" w:rsidP="00782788">
      <w:pPr>
        <w:tabs>
          <w:tab w:val="left" w:pos="1701"/>
          <w:tab w:val="right" w:pos="9072"/>
        </w:tabs>
        <w:ind w:right="91"/>
        <w:rPr>
          <w:b/>
          <w:szCs w:val="24"/>
        </w:rPr>
      </w:pPr>
      <w:r>
        <w:rPr>
          <w:b/>
          <w:szCs w:val="24"/>
        </w:rPr>
        <w:t xml:space="preserve">Item </w:t>
      </w:r>
      <w:r w:rsidR="002433CE">
        <w:rPr>
          <w:b/>
          <w:szCs w:val="24"/>
        </w:rPr>
        <w:t>2</w:t>
      </w:r>
    </w:p>
    <w:p w14:paraId="5FB47C58" w14:textId="06127084" w:rsidR="00FF7CCF" w:rsidRDefault="00EB1E91" w:rsidP="0059146B">
      <w:pPr>
        <w:tabs>
          <w:tab w:val="left" w:pos="1701"/>
          <w:tab w:val="right" w:pos="9072"/>
        </w:tabs>
        <w:ind w:right="91"/>
      </w:pPr>
      <w:r>
        <w:rPr>
          <w:szCs w:val="24"/>
        </w:rPr>
        <w:lastRenderedPageBreak/>
        <w:t xml:space="preserve">Item </w:t>
      </w:r>
      <w:r w:rsidR="002433CE">
        <w:rPr>
          <w:szCs w:val="24"/>
        </w:rPr>
        <w:t>2</w:t>
      </w:r>
      <w:r w:rsidR="004A6950">
        <w:rPr>
          <w:szCs w:val="24"/>
        </w:rPr>
        <w:t xml:space="preserve"> of Schedule 1</w:t>
      </w:r>
      <w:r>
        <w:rPr>
          <w:szCs w:val="24"/>
        </w:rPr>
        <w:t xml:space="preserve"> makes amendments to the </w:t>
      </w:r>
      <w:r w:rsidR="005F087D">
        <w:rPr>
          <w:szCs w:val="24"/>
        </w:rPr>
        <w:t>Corporations Regulations</w:t>
      </w:r>
      <w:r w:rsidR="002C3209">
        <w:rPr>
          <w:szCs w:val="24"/>
        </w:rPr>
        <w:t>. It inserts a new Part 7.8A into the Corporations Regulations which includes provisions that</w:t>
      </w:r>
      <w:r w:rsidR="005F087D">
        <w:rPr>
          <w:szCs w:val="24"/>
        </w:rPr>
        <w:t xml:space="preserve"> are </w:t>
      </w:r>
      <w:r>
        <w:rPr>
          <w:szCs w:val="24"/>
        </w:rPr>
        <w:t xml:space="preserve">related to the </w:t>
      </w:r>
      <w:r w:rsidR="005F087D">
        <w:rPr>
          <w:szCs w:val="24"/>
        </w:rPr>
        <w:t>design and distribution obligations (</w:t>
      </w:r>
      <w:r w:rsidR="00623EFF">
        <w:rPr>
          <w:szCs w:val="24"/>
        </w:rPr>
        <w:t xml:space="preserve">the </w:t>
      </w:r>
      <w:r w:rsidR="005F087D">
        <w:rPr>
          <w:szCs w:val="24"/>
        </w:rPr>
        <w:t>DDO)</w:t>
      </w:r>
      <w:r>
        <w:rPr>
          <w:szCs w:val="24"/>
        </w:rPr>
        <w:t xml:space="preserve"> regime in </w:t>
      </w:r>
      <w:r w:rsidR="000C40B3">
        <w:rPr>
          <w:szCs w:val="24"/>
        </w:rPr>
        <w:t>Part</w:t>
      </w:r>
      <w:r w:rsidR="005F087D">
        <w:rPr>
          <w:szCs w:val="24"/>
        </w:rPr>
        <w:t xml:space="preserve"> 7.8A of the Corporations Act</w:t>
      </w:r>
      <w:r w:rsidR="00897966">
        <w:rPr>
          <w:szCs w:val="24"/>
        </w:rPr>
        <w:t>, which will be inserted into the Corporations Act when Schedule 1 to the Act commences</w:t>
      </w:r>
      <w:r>
        <w:t>.</w:t>
      </w:r>
      <w:r w:rsidR="000356EE">
        <w:t xml:space="preserve"> </w:t>
      </w:r>
    </w:p>
    <w:p w14:paraId="0BF0DFAD" w14:textId="7AFD3E70" w:rsidR="001F5C00" w:rsidRPr="00A71CA9" w:rsidRDefault="001F5C00">
      <w:pPr>
        <w:pStyle w:val="Heading3"/>
      </w:pPr>
      <w:r>
        <w:t xml:space="preserve">Part 7.8A, </w:t>
      </w:r>
      <w:r w:rsidRPr="00A71CA9">
        <w:t>Division 1 - Preliminary</w:t>
      </w:r>
    </w:p>
    <w:p w14:paraId="2A133248" w14:textId="48C50521" w:rsidR="00BA1577" w:rsidRPr="00A71CA9" w:rsidRDefault="00BA1577">
      <w:pPr>
        <w:pStyle w:val="Heading3"/>
        <w:rPr>
          <w:u w:val="single"/>
        </w:rPr>
      </w:pPr>
      <w:r w:rsidRPr="00A71CA9">
        <w:rPr>
          <w:b w:val="0"/>
          <w:u w:val="single"/>
        </w:rPr>
        <w:t xml:space="preserve">Item </w:t>
      </w:r>
      <w:r w:rsidR="00983F9E" w:rsidRPr="00343B29">
        <w:rPr>
          <w:b w:val="0"/>
          <w:u w:val="single"/>
        </w:rPr>
        <w:t>2</w:t>
      </w:r>
      <w:r w:rsidRPr="00A71CA9">
        <w:rPr>
          <w:b w:val="0"/>
          <w:u w:val="single"/>
        </w:rPr>
        <w:t xml:space="preserve">, Regulation 7.8A.01 – Definitions  </w:t>
      </w:r>
    </w:p>
    <w:p w14:paraId="3D7CC6BA" w14:textId="77777777" w:rsidR="002C3209" w:rsidRDefault="00BA1577" w:rsidP="00BA1577">
      <w:pPr>
        <w:tabs>
          <w:tab w:val="left" w:pos="1701"/>
          <w:tab w:val="right" w:pos="9072"/>
        </w:tabs>
        <w:ind w:right="91"/>
        <w:rPr>
          <w:szCs w:val="24"/>
        </w:rPr>
      </w:pPr>
      <w:r>
        <w:rPr>
          <w:szCs w:val="24"/>
        </w:rPr>
        <w:t xml:space="preserve">The Regulations </w:t>
      </w:r>
      <w:r w:rsidR="000356EE">
        <w:rPr>
          <w:szCs w:val="24"/>
        </w:rPr>
        <w:t>insert new definitions for the purposes of the new Part 7.8A of the Corporations Regulations.</w:t>
      </w:r>
      <w:r w:rsidR="002C3209">
        <w:rPr>
          <w:szCs w:val="24"/>
        </w:rPr>
        <w:t xml:space="preserve"> They provide that:</w:t>
      </w:r>
    </w:p>
    <w:p w14:paraId="76E0ADDA" w14:textId="034C6FFE" w:rsidR="002C3209" w:rsidRDefault="002C3209" w:rsidP="00381D4D">
      <w:pPr>
        <w:pStyle w:val="Dotpoint"/>
      </w:pPr>
      <w:r>
        <w:rPr>
          <w:szCs w:val="24"/>
        </w:rPr>
        <w:t xml:space="preserve">‘credit’ </w:t>
      </w:r>
      <w:r w:rsidRPr="004E6F72">
        <w:t xml:space="preserve">has the same meaning as in subregulation 2B(3) of the </w:t>
      </w:r>
      <w:r w:rsidRPr="00737401">
        <w:rPr>
          <w:i/>
        </w:rPr>
        <w:t>Australian Securities and Investments Commission Regulations 2001</w:t>
      </w:r>
      <w:r w:rsidR="005659E8">
        <w:t xml:space="preserve"> (</w:t>
      </w:r>
      <w:r w:rsidR="00737401">
        <w:t>the ASIC Regulations)</w:t>
      </w:r>
      <w:r>
        <w:t>;</w:t>
      </w:r>
    </w:p>
    <w:p w14:paraId="247A6DB2" w14:textId="4962B03C" w:rsidR="002C3209" w:rsidRDefault="002C3209" w:rsidP="00381D4D">
      <w:pPr>
        <w:pStyle w:val="Dotpoint"/>
      </w:pPr>
      <w:r>
        <w:t xml:space="preserve">‘credit facility’ </w:t>
      </w:r>
      <w:r w:rsidRPr="004E6F72">
        <w:t xml:space="preserve">has the same meaning as in the </w:t>
      </w:r>
      <w:r w:rsidR="00737401">
        <w:t>ASIC Regulations</w:t>
      </w:r>
      <w:r>
        <w:t xml:space="preserve">; and </w:t>
      </w:r>
    </w:p>
    <w:p w14:paraId="07CF15EB" w14:textId="2DB265CC" w:rsidR="00BA1577" w:rsidRPr="00BA1577" w:rsidRDefault="002C3209" w:rsidP="00381D4D">
      <w:pPr>
        <w:pStyle w:val="Dotpoint"/>
        <w:rPr>
          <w:szCs w:val="24"/>
        </w:rPr>
      </w:pPr>
      <w:r>
        <w:t xml:space="preserve">‘extended operation financial product’ means a financial product covered by paragraph 994AA(1)(b) of the </w:t>
      </w:r>
      <w:r w:rsidR="00F866F1">
        <w:t xml:space="preserve">Corporations </w:t>
      </w:r>
      <w:r>
        <w:t>Act</w:t>
      </w:r>
      <w:r w:rsidR="00300386">
        <w:t>.</w:t>
      </w:r>
      <w:r w:rsidR="00737401">
        <w:rPr>
          <w:rStyle w:val="FootnoteReference"/>
        </w:rPr>
        <w:footnoteReference w:id="2"/>
      </w:r>
      <w:r w:rsidR="00300386">
        <w:t xml:space="preserve"> That paragraph extends the DDO beyond financial products regulated</w:t>
      </w:r>
      <w:r w:rsidR="00737401">
        <w:t xml:space="preserve"> under the Corporations Act to those that are regulated</w:t>
      </w:r>
      <w:r w:rsidR="00300386">
        <w:t xml:space="preserve"> under the </w:t>
      </w:r>
      <w:r w:rsidR="00B933FF">
        <w:rPr>
          <w:i/>
        </w:rPr>
        <w:t xml:space="preserve">Australian Securities and Investments Commission Act 2001 </w:t>
      </w:r>
      <w:r w:rsidR="00B933FF">
        <w:t>(</w:t>
      </w:r>
      <w:r w:rsidR="00300386">
        <w:t>ASIC Act</w:t>
      </w:r>
      <w:r w:rsidR="00B933FF">
        <w:t>)</w:t>
      </w:r>
      <w:r w:rsidR="00737401">
        <w:t>, including credit products</w:t>
      </w:r>
      <w:r w:rsidR="00300386">
        <w:t xml:space="preserve">. </w:t>
      </w:r>
    </w:p>
    <w:p w14:paraId="2E887A17" w14:textId="0ACB5EC0" w:rsidR="002F4C30" w:rsidRPr="00A71CA9" w:rsidRDefault="00FF7CCF" w:rsidP="00307F63">
      <w:pPr>
        <w:pStyle w:val="Bullet"/>
        <w:keepNext/>
        <w:numPr>
          <w:ilvl w:val="0"/>
          <w:numId w:val="0"/>
        </w:numPr>
      </w:pPr>
      <w:r w:rsidRPr="00A71CA9">
        <w:rPr>
          <w:u w:val="single"/>
        </w:rPr>
        <w:t>I</w:t>
      </w:r>
      <w:r w:rsidR="00BA1577" w:rsidRPr="00A71CA9">
        <w:rPr>
          <w:u w:val="single"/>
        </w:rPr>
        <w:t xml:space="preserve">tem </w:t>
      </w:r>
      <w:r w:rsidR="00F866F1" w:rsidRPr="00343B29">
        <w:rPr>
          <w:u w:val="single"/>
        </w:rPr>
        <w:t>2</w:t>
      </w:r>
      <w:r w:rsidR="00BA1577" w:rsidRPr="00A71CA9">
        <w:rPr>
          <w:u w:val="single"/>
        </w:rPr>
        <w:t>, Regulation 7.8A.02</w:t>
      </w:r>
      <w:r w:rsidRPr="00A71CA9">
        <w:rPr>
          <w:u w:val="single"/>
        </w:rPr>
        <w:t xml:space="preserve"> </w:t>
      </w:r>
      <w:r w:rsidR="002343D0" w:rsidRPr="00A71CA9">
        <w:rPr>
          <w:u w:val="single"/>
        </w:rPr>
        <w:t>–</w:t>
      </w:r>
      <w:r w:rsidRPr="00A71CA9">
        <w:rPr>
          <w:u w:val="single"/>
        </w:rPr>
        <w:t xml:space="preserve"> </w:t>
      </w:r>
      <w:r w:rsidR="00F866F1" w:rsidRPr="00343B29">
        <w:rPr>
          <w:u w:val="single"/>
        </w:rPr>
        <w:t>Definitions</w:t>
      </w:r>
      <w:r w:rsidR="00F866F1" w:rsidRPr="00A71CA9">
        <w:rPr>
          <w:u w:val="single"/>
        </w:rPr>
        <w:t xml:space="preserve"> – regulated person</w:t>
      </w:r>
      <w:r w:rsidR="002F4C30" w:rsidRPr="00A71CA9">
        <w:t xml:space="preserve">  </w:t>
      </w:r>
    </w:p>
    <w:p w14:paraId="4BB67A03" w14:textId="74B4F899" w:rsidR="00F866F1" w:rsidRDefault="002F4C30" w:rsidP="00782788">
      <w:pPr>
        <w:tabs>
          <w:tab w:val="left" w:pos="1701"/>
          <w:tab w:val="right" w:pos="9072"/>
        </w:tabs>
        <w:ind w:right="91"/>
        <w:rPr>
          <w:szCs w:val="24"/>
        </w:rPr>
      </w:pPr>
      <w:r>
        <w:rPr>
          <w:szCs w:val="24"/>
        </w:rPr>
        <w:t xml:space="preserve">The Regulations extend the DDO </w:t>
      </w:r>
      <w:r w:rsidR="0021712C">
        <w:rPr>
          <w:szCs w:val="24"/>
        </w:rPr>
        <w:t>regime by</w:t>
      </w:r>
      <w:r>
        <w:rPr>
          <w:szCs w:val="24"/>
        </w:rPr>
        <w:t xml:space="preserve"> declar</w:t>
      </w:r>
      <w:r w:rsidR="0021712C">
        <w:rPr>
          <w:szCs w:val="24"/>
        </w:rPr>
        <w:t>ing</w:t>
      </w:r>
      <w:r>
        <w:rPr>
          <w:szCs w:val="24"/>
        </w:rPr>
        <w:t xml:space="preserve"> that certain additional persons are regulated persons for the purposes of paragraph (c) of the definition of regulated person in subsection 994A(1) of the </w:t>
      </w:r>
      <w:r w:rsidR="00993F16">
        <w:rPr>
          <w:szCs w:val="24"/>
        </w:rPr>
        <w:t>Corporations</w:t>
      </w:r>
      <w:r>
        <w:rPr>
          <w:szCs w:val="24"/>
        </w:rPr>
        <w:t xml:space="preserve"> Act.</w:t>
      </w:r>
      <w:r w:rsidR="000B5575">
        <w:rPr>
          <w:rStyle w:val="FootnoteReference"/>
          <w:szCs w:val="24"/>
        </w:rPr>
        <w:footnoteReference w:id="3"/>
      </w:r>
      <w:r>
        <w:rPr>
          <w:szCs w:val="24"/>
        </w:rPr>
        <w:t xml:space="preserve"> </w:t>
      </w:r>
      <w:r w:rsidR="003C156B" w:rsidRPr="0039054B">
        <w:rPr>
          <w:szCs w:val="24"/>
        </w:rPr>
        <w:t>Regulated persons are subject to the distribution obligations when they engage in ‘retail product distribution conduct’ as defined in subsection 994A of the Corporations Act.</w:t>
      </w:r>
      <w:r w:rsidR="003C156B">
        <w:rPr>
          <w:rStyle w:val="FootnoteReference"/>
          <w:szCs w:val="24"/>
        </w:rPr>
        <w:footnoteReference w:id="4"/>
      </w:r>
    </w:p>
    <w:p w14:paraId="2B00872B" w14:textId="505A608E" w:rsidR="002F4C30" w:rsidRDefault="00F866F1" w:rsidP="00782788">
      <w:pPr>
        <w:tabs>
          <w:tab w:val="left" w:pos="1701"/>
          <w:tab w:val="right" w:pos="9072"/>
        </w:tabs>
        <w:ind w:right="91"/>
        <w:rPr>
          <w:i/>
          <w:szCs w:val="24"/>
        </w:rPr>
      </w:pPr>
      <w:r>
        <w:rPr>
          <w:i/>
          <w:szCs w:val="24"/>
        </w:rPr>
        <w:t xml:space="preserve">Persons who are exempt from having an </w:t>
      </w:r>
      <w:r w:rsidR="00226DA7">
        <w:rPr>
          <w:i/>
          <w:szCs w:val="24"/>
        </w:rPr>
        <w:t xml:space="preserve">Australian </w:t>
      </w:r>
      <w:r w:rsidR="00D67A27">
        <w:rPr>
          <w:i/>
          <w:szCs w:val="24"/>
        </w:rPr>
        <w:t>f</w:t>
      </w:r>
      <w:r w:rsidR="00226DA7">
        <w:rPr>
          <w:i/>
          <w:szCs w:val="24"/>
        </w:rPr>
        <w:t xml:space="preserve">inancial </w:t>
      </w:r>
      <w:r w:rsidR="00D67A27">
        <w:rPr>
          <w:i/>
          <w:szCs w:val="24"/>
        </w:rPr>
        <w:t>s</w:t>
      </w:r>
      <w:r w:rsidR="00226DA7">
        <w:rPr>
          <w:i/>
          <w:szCs w:val="24"/>
        </w:rPr>
        <w:t xml:space="preserve">ervices </w:t>
      </w:r>
      <w:r w:rsidR="00D67A27">
        <w:rPr>
          <w:i/>
          <w:szCs w:val="24"/>
        </w:rPr>
        <w:t>l</w:t>
      </w:r>
      <w:r w:rsidR="00226DA7">
        <w:rPr>
          <w:i/>
          <w:szCs w:val="24"/>
        </w:rPr>
        <w:t>icence</w:t>
      </w:r>
    </w:p>
    <w:p w14:paraId="4A501BD5" w14:textId="606C2BBC" w:rsidR="001837C9" w:rsidRPr="009808D2" w:rsidRDefault="00074064">
      <w:pPr>
        <w:pStyle w:val="Dotpoint"/>
        <w:numPr>
          <w:ilvl w:val="0"/>
          <w:numId w:val="0"/>
        </w:numPr>
        <w:rPr>
          <w:sz w:val="26"/>
        </w:rPr>
      </w:pPr>
      <w:r w:rsidRPr="009808D2">
        <w:rPr>
          <w:rStyle w:val="Referencingstyle"/>
          <w:b w:val="0"/>
          <w:i w:val="0"/>
          <w:sz w:val="24"/>
        </w:rPr>
        <w:t xml:space="preserve">The </w:t>
      </w:r>
      <w:r w:rsidR="005F1AE0">
        <w:rPr>
          <w:rStyle w:val="Referencingstyle"/>
          <w:b w:val="0"/>
          <w:i w:val="0"/>
          <w:sz w:val="24"/>
        </w:rPr>
        <w:t>R</w:t>
      </w:r>
      <w:r w:rsidRPr="009808D2">
        <w:rPr>
          <w:rStyle w:val="Referencingstyle"/>
          <w:b w:val="0"/>
          <w:i w:val="0"/>
          <w:sz w:val="24"/>
        </w:rPr>
        <w:t>egulations declare a person to be a regulated person</w:t>
      </w:r>
      <w:r w:rsidR="00F866F1" w:rsidRPr="009808D2">
        <w:rPr>
          <w:rStyle w:val="Referencingstyle"/>
          <w:b w:val="0"/>
          <w:i w:val="0"/>
          <w:sz w:val="24"/>
        </w:rPr>
        <w:t xml:space="preserve"> in relation to a financial product if the person is exempt</w:t>
      </w:r>
      <w:r w:rsidRPr="009808D2">
        <w:rPr>
          <w:rStyle w:val="Referencingstyle"/>
          <w:b w:val="0"/>
          <w:i w:val="0"/>
          <w:sz w:val="24"/>
        </w:rPr>
        <w:t xml:space="preserve"> under paragraph</w:t>
      </w:r>
      <w:r w:rsidR="0017307A">
        <w:rPr>
          <w:rStyle w:val="Referencingstyle"/>
          <w:b w:val="0"/>
          <w:i w:val="0"/>
          <w:sz w:val="24"/>
        </w:rPr>
        <w:t>s 926A(2)(a) or</w:t>
      </w:r>
      <w:r w:rsidRPr="009808D2">
        <w:rPr>
          <w:rStyle w:val="Referencingstyle"/>
          <w:b w:val="0"/>
          <w:i w:val="0"/>
          <w:sz w:val="24"/>
        </w:rPr>
        <w:t xml:space="preserve"> 926B(1)(a) of the </w:t>
      </w:r>
      <w:r w:rsidR="003E4F0C" w:rsidRPr="006F49A9">
        <w:rPr>
          <w:rStyle w:val="Referencingstyle"/>
          <w:b w:val="0"/>
          <w:i w:val="0"/>
          <w:sz w:val="24"/>
        </w:rPr>
        <w:t xml:space="preserve">Corporations </w:t>
      </w:r>
      <w:r>
        <w:rPr>
          <w:rStyle w:val="Referencingstyle"/>
          <w:b w:val="0"/>
          <w:i w:val="0"/>
          <w:sz w:val="22"/>
        </w:rPr>
        <w:t>Act</w:t>
      </w:r>
      <w:r w:rsidR="00F866F1">
        <w:rPr>
          <w:rStyle w:val="Referencingstyle"/>
          <w:b w:val="0"/>
          <w:i w:val="0"/>
          <w:sz w:val="22"/>
        </w:rPr>
        <w:t xml:space="preserve"> </w:t>
      </w:r>
      <w:r w:rsidR="00F866F1" w:rsidRPr="009808D2">
        <w:rPr>
          <w:rStyle w:val="Referencingstyle"/>
          <w:b w:val="0"/>
          <w:i w:val="0"/>
          <w:sz w:val="24"/>
        </w:rPr>
        <w:t>from the requirement in section 911A of the Corporations Act to hold an Australian financial services licence for a financial service.</w:t>
      </w:r>
      <w:r w:rsidRPr="009808D2">
        <w:rPr>
          <w:rStyle w:val="Referencingstyle"/>
          <w:b w:val="0"/>
          <w:i w:val="0"/>
          <w:sz w:val="24"/>
        </w:rPr>
        <w:t xml:space="preserve"> (Schedule 1, item 2, subregulation 7.8A.02(2))</w:t>
      </w:r>
    </w:p>
    <w:p w14:paraId="7E48866D" w14:textId="22A2FE17" w:rsidR="001837C9" w:rsidRPr="001837C9" w:rsidRDefault="001837C9" w:rsidP="00782788">
      <w:pPr>
        <w:tabs>
          <w:tab w:val="left" w:pos="1701"/>
          <w:tab w:val="right" w:pos="9072"/>
        </w:tabs>
        <w:ind w:right="91"/>
        <w:rPr>
          <w:szCs w:val="24"/>
        </w:rPr>
      </w:pPr>
      <w:r>
        <w:rPr>
          <w:i/>
          <w:szCs w:val="24"/>
        </w:rPr>
        <w:t xml:space="preserve">Product </w:t>
      </w:r>
      <w:r w:rsidR="004001C1">
        <w:rPr>
          <w:i/>
          <w:szCs w:val="24"/>
        </w:rPr>
        <w:t>d</w:t>
      </w:r>
      <w:r>
        <w:rPr>
          <w:i/>
          <w:szCs w:val="24"/>
        </w:rPr>
        <w:t xml:space="preserve">istributors </w:t>
      </w:r>
    </w:p>
    <w:p w14:paraId="3F5A11D0" w14:textId="59A0EA80" w:rsidR="003A1C01" w:rsidRDefault="00701AF7" w:rsidP="0048297B">
      <w:r>
        <w:rPr>
          <w:szCs w:val="24"/>
        </w:rPr>
        <w:t xml:space="preserve">The </w:t>
      </w:r>
      <w:r w:rsidR="00891BA1">
        <w:rPr>
          <w:szCs w:val="24"/>
        </w:rPr>
        <w:t>R</w:t>
      </w:r>
      <w:r>
        <w:rPr>
          <w:szCs w:val="24"/>
        </w:rPr>
        <w:t>e</w:t>
      </w:r>
      <w:r w:rsidR="003A1C01">
        <w:rPr>
          <w:szCs w:val="24"/>
        </w:rPr>
        <w:t xml:space="preserve">gulations </w:t>
      </w:r>
      <w:r w:rsidR="000621D3">
        <w:rPr>
          <w:szCs w:val="24"/>
        </w:rPr>
        <w:t>declare</w:t>
      </w:r>
      <w:r w:rsidR="00CE4906">
        <w:rPr>
          <w:szCs w:val="24"/>
        </w:rPr>
        <w:t xml:space="preserve"> authorised</w:t>
      </w:r>
      <w:r w:rsidR="00FE6892">
        <w:rPr>
          <w:szCs w:val="24"/>
        </w:rPr>
        <w:t xml:space="preserve"> distributors of basic deposit products and risk insurance products</w:t>
      </w:r>
      <w:r w:rsidR="0078421D">
        <w:rPr>
          <w:szCs w:val="24"/>
        </w:rPr>
        <w:t xml:space="preserve"> (which comprise general insurance and bundled consumer credit insurance</w:t>
      </w:r>
      <w:r w:rsidR="0078421D">
        <w:rPr>
          <w:rStyle w:val="FootnoteReference"/>
          <w:szCs w:val="24"/>
        </w:rPr>
        <w:footnoteReference w:id="5"/>
      </w:r>
      <w:r w:rsidR="0078421D">
        <w:rPr>
          <w:szCs w:val="24"/>
        </w:rPr>
        <w:t xml:space="preserve"> products)</w:t>
      </w:r>
      <w:r w:rsidR="00FE6892">
        <w:rPr>
          <w:szCs w:val="24"/>
        </w:rPr>
        <w:t xml:space="preserve"> to be regulated persons for the purposes of the DDO regime. This means that</w:t>
      </w:r>
      <w:r w:rsidR="00775EC2">
        <w:rPr>
          <w:szCs w:val="24"/>
        </w:rPr>
        <w:t xml:space="preserve"> the</w:t>
      </w:r>
      <w:r w:rsidR="00FE6892">
        <w:rPr>
          <w:szCs w:val="24"/>
        </w:rPr>
        <w:t xml:space="preserve"> distribution obligations in the</w:t>
      </w:r>
      <w:r w:rsidR="00775EC2">
        <w:rPr>
          <w:szCs w:val="24"/>
        </w:rPr>
        <w:t xml:space="preserve"> DDO</w:t>
      </w:r>
      <w:r w:rsidR="00FE6892">
        <w:rPr>
          <w:szCs w:val="24"/>
        </w:rPr>
        <w:t xml:space="preserve"> regime will</w:t>
      </w:r>
      <w:r w:rsidR="003A1C01">
        <w:rPr>
          <w:szCs w:val="24"/>
        </w:rPr>
        <w:t xml:space="preserve"> extend </w:t>
      </w:r>
      <w:r w:rsidR="00FE6892">
        <w:rPr>
          <w:szCs w:val="24"/>
        </w:rPr>
        <w:t>to these distributors</w:t>
      </w:r>
      <w:r w:rsidR="003A1C01">
        <w:rPr>
          <w:szCs w:val="24"/>
        </w:rPr>
        <w:t>.</w:t>
      </w:r>
      <w:r w:rsidR="00DA042F">
        <w:rPr>
          <w:szCs w:val="24"/>
        </w:rPr>
        <w:t xml:space="preserve"> </w:t>
      </w:r>
      <w:r w:rsidR="00FE6892">
        <w:t xml:space="preserve">(Schedule 1, item </w:t>
      </w:r>
      <w:r w:rsidR="00074064">
        <w:t>2</w:t>
      </w:r>
      <w:r w:rsidR="00FE6892">
        <w:t xml:space="preserve">, </w:t>
      </w:r>
      <w:r w:rsidR="003B2C2E">
        <w:t>subregulation</w:t>
      </w:r>
      <w:r w:rsidR="003C156B">
        <w:t xml:space="preserve"> 7.8A.02</w:t>
      </w:r>
      <w:r w:rsidR="00FE6892">
        <w:t>(</w:t>
      </w:r>
      <w:r w:rsidR="00074064">
        <w:t>3</w:t>
      </w:r>
      <w:r w:rsidR="00FE6892">
        <w:t>))</w:t>
      </w:r>
      <w:r w:rsidR="00DA042F">
        <w:t xml:space="preserve"> </w:t>
      </w:r>
    </w:p>
    <w:p w14:paraId="7D6A291B" w14:textId="4FE43068" w:rsidR="00DA042F" w:rsidRPr="00661C4B" w:rsidRDefault="00FF7092" w:rsidP="00DA042F">
      <w:pPr>
        <w:tabs>
          <w:tab w:val="left" w:pos="1701"/>
          <w:tab w:val="right" w:pos="9072"/>
        </w:tabs>
        <w:ind w:right="91"/>
      </w:pPr>
      <w:r>
        <w:lastRenderedPageBreak/>
        <w:t>The</w:t>
      </w:r>
      <w:r w:rsidR="00FD12DC">
        <w:t xml:space="preserve"> term ‘product distributor’ is used in the Regulations to describe the distributors affected by this extension of the DDO regime.</w:t>
      </w:r>
      <w:r>
        <w:t xml:space="preserve"> </w:t>
      </w:r>
      <w:r w:rsidR="00FD12DC">
        <w:t xml:space="preserve">‘Product distributor’ is </w:t>
      </w:r>
      <w:r>
        <w:t>defined in section 910A of the</w:t>
      </w:r>
      <w:r w:rsidR="00A90D8A">
        <w:t xml:space="preserve"> Corporations</w:t>
      </w:r>
      <w:r>
        <w:t xml:space="preserve"> Act</w:t>
      </w:r>
      <w:r w:rsidR="00FD12DC">
        <w:t xml:space="preserve"> as modified by</w:t>
      </w:r>
      <w:r>
        <w:t xml:space="preserve"> </w:t>
      </w:r>
      <w:r w:rsidR="00FD12DC">
        <w:t xml:space="preserve">the </w:t>
      </w:r>
      <w:r>
        <w:rPr>
          <w:i/>
        </w:rPr>
        <w:t>ASIC Corporations (Basic Deposit and General Insurance Product Distribution) Instrument 201</w:t>
      </w:r>
      <w:r w:rsidR="001F54AA">
        <w:rPr>
          <w:i/>
        </w:rPr>
        <w:t>5</w:t>
      </w:r>
      <w:r>
        <w:rPr>
          <w:i/>
        </w:rPr>
        <w:t>/682</w:t>
      </w:r>
      <w:r w:rsidR="00DB3DCF">
        <w:t>, as in force from time to time</w:t>
      </w:r>
      <w:r>
        <w:t xml:space="preserve">. </w:t>
      </w:r>
      <w:r w:rsidR="00DA042F">
        <w:t>Th</w:t>
      </w:r>
      <w:r w:rsidR="00FD12DC">
        <w:t>at</w:t>
      </w:r>
      <w:r w:rsidR="00DA042F">
        <w:t xml:space="preserve"> instrument </w:t>
      </w:r>
      <w:r w:rsidR="00DA042F">
        <w:rPr>
          <w:szCs w:val="24"/>
        </w:rPr>
        <w:t>provides relief to these distributors, so that they do not need to comply with the administrative requirements of the authorised representative regime</w:t>
      </w:r>
      <w:r w:rsidR="00DB3DCF">
        <w:rPr>
          <w:szCs w:val="24"/>
        </w:rPr>
        <w:t>.</w:t>
      </w:r>
    </w:p>
    <w:p w14:paraId="6CB7FB20" w14:textId="0D511355" w:rsidR="00471028" w:rsidRDefault="00DA042F" w:rsidP="0048297B">
      <w:pPr>
        <w:pStyle w:val="li-bodytextunnumbered"/>
        <w:shd w:val="clear" w:color="auto" w:fill="FFFFFF"/>
        <w:spacing w:before="240" w:beforeAutospacing="0" w:after="0" w:afterAutospacing="0"/>
      </w:pPr>
      <w:r w:rsidRPr="003577FB">
        <w:t>Because</w:t>
      </w:r>
      <w:r>
        <w:t xml:space="preserve"> of this relief</w:t>
      </w:r>
      <w:r w:rsidR="00BA4366">
        <w:t>,</w:t>
      </w:r>
      <w:r w:rsidR="00FD12DC">
        <w:t xml:space="preserve"> </w:t>
      </w:r>
      <w:r>
        <w:t>the distribution obligations in the DDO regime</w:t>
      </w:r>
      <w:r w:rsidR="00FD12DC">
        <w:t xml:space="preserve"> would not apply to these distributors</w:t>
      </w:r>
      <w:r w:rsidR="00CE4906">
        <w:t xml:space="preserve"> in the </w:t>
      </w:r>
      <w:r w:rsidR="00FD12DC">
        <w:t>absence of the</w:t>
      </w:r>
      <w:r w:rsidR="00CE4906">
        <w:t xml:space="preserve"> R</w:t>
      </w:r>
      <w:r w:rsidR="00FD12DC">
        <w:t>egulations</w:t>
      </w:r>
      <w:r>
        <w:t xml:space="preserve">. </w:t>
      </w:r>
      <w:r w:rsidR="004A6950">
        <w:t>Specifically</w:t>
      </w:r>
      <w:r>
        <w:t>, th</w:t>
      </w:r>
      <w:r w:rsidR="003D7832">
        <w:t>e distribution obligations apply to ‘regulated persons’</w:t>
      </w:r>
      <w:r w:rsidR="00F127AF">
        <w:t>,</w:t>
      </w:r>
      <w:r w:rsidR="00C0047B">
        <w:t xml:space="preserve"> which</w:t>
      </w:r>
      <w:r w:rsidR="003D7832">
        <w:t xml:space="preserve"> is defined to include ‘authorised representatives</w:t>
      </w:r>
      <w:r w:rsidR="00CE4906">
        <w:t>’</w:t>
      </w:r>
      <w:r w:rsidR="003D7832">
        <w:t>.</w:t>
      </w:r>
      <w:r w:rsidR="003D7832">
        <w:rPr>
          <w:rStyle w:val="FootnoteReference"/>
        </w:rPr>
        <w:footnoteReference w:id="6"/>
      </w:r>
      <w:r w:rsidR="00471028" w:rsidDel="003D7832">
        <w:t xml:space="preserve"> </w:t>
      </w:r>
      <w:r w:rsidR="00CE4906">
        <w:t>However</w:t>
      </w:r>
      <w:r w:rsidR="00FD12DC">
        <w:t>,</w:t>
      </w:r>
      <w:r w:rsidR="00CE4906">
        <w:t xml:space="preserve"> ‘product distributors’ are not ‘authorised representatives’ due to the relief provided by the ASIC instrument. </w:t>
      </w:r>
      <w:r w:rsidR="003D7832">
        <w:t>As such, th</w:t>
      </w:r>
      <w:r w:rsidR="00CE4906">
        <w:t>e amendments made by the</w:t>
      </w:r>
      <w:r w:rsidR="00471028">
        <w:t xml:space="preserve"> </w:t>
      </w:r>
      <w:r w:rsidR="00CE4906">
        <w:t>R</w:t>
      </w:r>
      <w:r w:rsidR="00471028">
        <w:t>egulation</w:t>
      </w:r>
      <w:r w:rsidR="00CE4906">
        <w:t>s</w:t>
      </w:r>
      <w:r w:rsidR="003D7832">
        <w:t xml:space="preserve"> </w:t>
      </w:r>
      <w:r w:rsidR="00CE4906">
        <w:t>are</w:t>
      </w:r>
      <w:r w:rsidR="00471028">
        <w:t xml:space="preserve"> necessary to ensure that </w:t>
      </w:r>
      <w:r w:rsidR="00EC04F3">
        <w:t>these</w:t>
      </w:r>
      <w:r w:rsidR="00CE4906">
        <w:t xml:space="preserve"> distributors</w:t>
      </w:r>
      <w:r w:rsidR="00EC04F3">
        <w:t xml:space="preserve"> are subject to</w:t>
      </w:r>
      <w:r w:rsidR="00D2345C">
        <w:t xml:space="preserve"> </w:t>
      </w:r>
      <w:r w:rsidR="00471028">
        <w:t>the</w:t>
      </w:r>
      <w:r w:rsidR="00664C97">
        <w:t xml:space="preserve"> distribution obligations with</w:t>
      </w:r>
      <w:r w:rsidR="00F127AF">
        <w:t>in</w:t>
      </w:r>
      <w:r w:rsidR="00664C97">
        <w:t xml:space="preserve"> the</w:t>
      </w:r>
      <w:r w:rsidR="00471028">
        <w:t xml:space="preserve"> DDO</w:t>
      </w:r>
      <w:r w:rsidR="0099201B">
        <w:t xml:space="preserve"> regime</w:t>
      </w:r>
      <w:r w:rsidR="00471028">
        <w:t>.</w:t>
      </w:r>
      <w:r w:rsidR="0099201B">
        <w:t xml:space="preserve"> </w:t>
      </w:r>
    </w:p>
    <w:p w14:paraId="6929E073" w14:textId="25EB0FA7" w:rsidR="003C156B" w:rsidRPr="001837C9" w:rsidRDefault="003C156B" w:rsidP="003455AA">
      <w:pPr>
        <w:tabs>
          <w:tab w:val="left" w:pos="1701"/>
          <w:tab w:val="right" w:pos="9072"/>
        </w:tabs>
        <w:ind w:right="91"/>
        <w:rPr>
          <w:szCs w:val="24"/>
        </w:rPr>
      </w:pPr>
      <w:r>
        <w:rPr>
          <w:i/>
          <w:szCs w:val="24"/>
        </w:rPr>
        <w:t>Credit licensees</w:t>
      </w:r>
      <w:r w:rsidR="007641B3">
        <w:rPr>
          <w:i/>
          <w:szCs w:val="24"/>
        </w:rPr>
        <w:t xml:space="preserve"> and</w:t>
      </w:r>
      <w:r w:rsidR="00074064">
        <w:rPr>
          <w:i/>
          <w:szCs w:val="24"/>
        </w:rPr>
        <w:t xml:space="preserve"> credit</w:t>
      </w:r>
      <w:r w:rsidR="007641B3">
        <w:rPr>
          <w:i/>
          <w:szCs w:val="24"/>
        </w:rPr>
        <w:t xml:space="preserve"> representatives</w:t>
      </w:r>
    </w:p>
    <w:p w14:paraId="0694964A" w14:textId="11AAC144" w:rsidR="007641B3" w:rsidRPr="000B42FD" w:rsidRDefault="007641B3" w:rsidP="0023680F">
      <w:pPr>
        <w:tabs>
          <w:tab w:val="left" w:pos="1701"/>
          <w:tab w:val="right" w:pos="9072"/>
        </w:tabs>
        <w:ind w:right="91"/>
      </w:pPr>
      <w:r w:rsidRPr="006B1096">
        <w:t xml:space="preserve">The Regulations extend the definition of regulated person to </w:t>
      </w:r>
      <w:r w:rsidR="009A1FAD" w:rsidRPr="006B1096">
        <w:t xml:space="preserve">include </w:t>
      </w:r>
      <w:r w:rsidRPr="006B1096">
        <w:t>credit licensees</w:t>
      </w:r>
      <w:r w:rsidR="00275945" w:rsidRPr="006B1096">
        <w:t xml:space="preserve"> and credit representatives</w:t>
      </w:r>
      <w:r w:rsidRPr="006B1096">
        <w:t xml:space="preserve"> within</w:t>
      </w:r>
      <w:r w:rsidRPr="0075068A">
        <w:t xml:space="preserve"> the </w:t>
      </w:r>
      <w:r w:rsidR="00275945" w:rsidRPr="0075068A">
        <w:t>meaning of the</w:t>
      </w:r>
      <w:r w:rsidR="004123FC">
        <w:t xml:space="preserve"> </w:t>
      </w:r>
      <w:r w:rsidR="004123FC">
        <w:rPr>
          <w:i/>
        </w:rPr>
        <w:t>National Consumer Credit Protection Act 2009</w:t>
      </w:r>
      <w:r w:rsidR="00275945" w:rsidRPr="0075068A">
        <w:t xml:space="preserve"> </w:t>
      </w:r>
      <w:r w:rsidR="004123FC">
        <w:t>(</w:t>
      </w:r>
      <w:r w:rsidR="002C52CD">
        <w:t xml:space="preserve">the </w:t>
      </w:r>
      <w:r w:rsidR="00275945" w:rsidRPr="0075068A">
        <w:t>Credit Act</w:t>
      </w:r>
      <w:r w:rsidR="004123FC">
        <w:t>)</w:t>
      </w:r>
      <w:r w:rsidRPr="0075068A">
        <w:t xml:space="preserve">. (Schedule 1, item </w:t>
      </w:r>
      <w:r w:rsidR="004123FC">
        <w:t>2</w:t>
      </w:r>
      <w:r w:rsidRPr="0075068A">
        <w:t>, paragraphs 7.8A</w:t>
      </w:r>
      <w:r>
        <w:t>.02(</w:t>
      </w:r>
      <w:r w:rsidR="00617715">
        <w:t>4</w:t>
      </w:r>
      <w:r>
        <w:t>)(a) and (</w:t>
      </w:r>
      <w:r w:rsidRPr="000B42FD">
        <w:t>b))</w:t>
      </w:r>
    </w:p>
    <w:p w14:paraId="7DD9B7E4" w14:textId="61FA86CE" w:rsidR="00E57495" w:rsidRDefault="0039054B" w:rsidP="00A765EA">
      <w:pPr>
        <w:tabs>
          <w:tab w:val="left" w:pos="1701"/>
          <w:tab w:val="right" w:pos="9072"/>
        </w:tabs>
        <w:ind w:right="91"/>
      </w:pPr>
      <w:r w:rsidRPr="000B42FD">
        <w:t>They</w:t>
      </w:r>
      <w:r w:rsidR="000B42FD">
        <w:t xml:space="preserve"> also</w:t>
      </w:r>
      <w:r w:rsidRPr="000B42FD">
        <w:t xml:space="preserve"> </w:t>
      </w:r>
      <w:r w:rsidR="001256A4" w:rsidRPr="000B42FD">
        <w:t xml:space="preserve">extend the definition of regulated person to a person who is exempt from the obligation to hold a credit licence under section 29 of the Credit Act </w:t>
      </w:r>
      <w:r w:rsidR="0075068A" w:rsidRPr="000B42FD">
        <w:t xml:space="preserve">because of an exemption under </w:t>
      </w:r>
      <w:r w:rsidR="00E57495">
        <w:t>paragraphs</w:t>
      </w:r>
      <w:r w:rsidR="00E57495" w:rsidDel="000A0C41">
        <w:t xml:space="preserve"> </w:t>
      </w:r>
      <w:r w:rsidR="0075068A" w:rsidRPr="000B42FD">
        <w:t>109</w:t>
      </w:r>
      <w:r w:rsidR="00E57495">
        <w:t>(1)(a), 109(3)(a)</w:t>
      </w:r>
      <w:r w:rsidR="0075068A" w:rsidRPr="000B42FD">
        <w:t xml:space="preserve"> and 110</w:t>
      </w:r>
      <w:r w:rsidR="00E57495">
        <w:t>(a)</w:t>
      </w:r>
      <w:r w:rsidR="0075068A" w:rsidRPr="000B42FD">
        <w:t xml:space="preserve"> of the Credit Act.</w:t>
      </w:r>
      <w:r w:rsidR="00E57495">
        <w:t xml:space="preserve"> (Schedule 1, item 2, paragraph</w:t>
      </w:r>
      <w:r w:rsidR="00E57495" w:rsidRPr="000B42FD">
        <w:t xml:space="preserve"> 7.8A.02(</w:t>
      </w:r>
      <w:r w:rsidR="00E57495">
        <w:t>4</w:t>
      </w:r>
      <w:r w:rsidR="00E57495" w:rsidRPr="000B42FD">
        <w:t>)</w:t>
      </w:r>
      <w:r w:rsidR="00E57495">
        <w:t>(c)</w:t>
      </w:r>
      <w:r w:rsidR="00E57495" w:rsidRPr="000B42FD">
        <w:t xml:space="preserve">)     </w:t>
      </w:r>
      <w:r w:rsidR="006B1096" w:rsidRPr="000B42FD">
        <w:t xml:space="preserve"> </w:t>
      </w:r>
    </w:p>
    <w:p w14:paraId="0D5647B0" w14:textId="431D9557" w:rsidR="007641B3" w:rsidRPr="000B42FD" w:rsidRDefault="002B2ECE" w:rsidP="00A765EA">
      <w:pPr>
        <w:tabs>
          <w:tab w:val="left" w:pos="1701"/>
          <w:tab w:val="right" w:pos="9072"/>
        </w:tabs>
        <w:ind w:right="91"/>
      </w:pPr>
      <w:r>
        <w:t xml:space="preserve">They also extend the definition of regulated person to include persons </w:t>
      </w:r>
      <w:r w:rsidR="006B1096" w:rsidRPr="000B42FD">
        <w:t xml:space="preserve">who engage in credit activity (within the meaning of section 6 of the Credit Act) on their own behalf. (Schedule 1, item </w:t>
      </w:r>
      <w:r w:rsidR="00E57495">
        <w:t>2</w:t>
      </w:r>
      <w:r w:rsidR="006B1096" w:rsidRPr="000B42FD">
        <w:t>, paragraphs 7.8A.02(</w:t>
      </w:r>
      <w:r w:rsidR="00617715">
        <w:t>4</w:t>
      </w:r>
      <w:r w:rsidR="006B1096" w:rsidRPr="000B42FD">
        <w:t>)</w:t>
      </w:r>
      <w:r w:rsidR="000B42FD" w:rsidRPr="000B42FD">
        <w:t xml:space="preserve">(d)) </w:t>
      </w:r>
      <w:r w:rsidR="006B1096" w:rsidRPr="000B42FD">
        <w:t xml:space="preserve">   </w:t>
      </w:r>
      <w:r w:rsidR="0075068A" w:rsidRPr="000B42FD">
        <w:t xml:space="preserve"> </w:t>
      </w:r>
    </w:p>
    <w:p w14:paraId="4208E442" w14:textId="593CFD8C" w:rsidR="00194BC7" w:rsidRDefault="00194BC7" w:rsidP="0023680F">
      <w:pPr>
        <w:tabs>
          <w:tab w:val="left" w:pos="1701"/>
          <w:tab w:val="right" w:pos="9072"/>
        </w:tabs>
        <w:ind w:right="91"/>
      </w:pPr>
      <w:r w:rsidRPr="000B42FD">
        <w:t>They also extend the definition of regulated person to a person who contravenes section 29 of the Credit Act</w:t>
      </w:r>
      <w:r w:rsidR="006B1096" w:rsidRPr="000B42FD">
        <w:t xml:space="preserve"> which prohibits</w:t>
      </w:r>
      <w:r w:rsidR="006B1096">
        <w:t xml:space="preserve"> a person from engaging</w:t>
      </w:r>
      <w:r>
        <w:t xml:space="preserve"> in credit activities without a licence authorising the person to engage in the credit activity.</w:t>
      </w:r>
      <w:r w:rsidR="006B1096">
        <w:t xml:space="preserve"> (Schedule 1, item </w:t>
      </w:r>
      <w:r w:rsidR="002B2ECE">
        <w:t>2</w:t>
      </w:r>
      <w:r w:rsidR="006B1096">
        <w:t>, paragraph 7.8A.02(</w:t>
      </w:r>
      <w:r w:rsidR="00617715">
        <w:t>4</w:t>
      </w:r>
      <w:r w:rsidR="006B1096">
        <w:t>)(e))</w:t>
      </w:r>
    </w:p>
    <w:p w14:paraId="6A299017" w14:textId="61FA7DD3" w:rsidR="00194BC7" w:rsidRDefault="000B42FD" w:rsidP="0023680F">
      <w:pPr>
        <w:tabs>
          <w:tab w:val="left" w:pos="1701"/>
          <w:tab w:val="right" w:pos="9072"/>
        </w:tabs>
        <w:ind w:right="91"/>
      </w:pPr>
      <w:r>
        <w:t>These provisions ensure</w:t>
      </w:r>
      <w:r w:rsidR="00194BC7">
        <w:t xml:space="preserve"> that equivalent </w:t>
      </w:r>
      <w:r w:rsidR="006B1096">
        <w:t xml:space="preserve">distribution </w:t>
      </w:r>
      <w:r w:rsidR="00194BC7">
        <w:t xml:space="preserve">obligations apply to credit licensees and credit representatives as apply to Australian </w:t>
      </w:r>
      <w:r w:rsidR="002B2ECE">
        <w:t>f</w:t>
      </w:r>
      <w:r w:rsidR="00194BC7">
        <w:t xml:space="preserve">inancial </w:t>
      </w:r>
      <w:r w:rsidR="002B2ECE">
        <w:t>s</w:t>
      </w:r>
      <w:r w:rsidR="00194BC7">
        <w:t xml:space="preserve">ervices </w:t>
      </w:r>
      <w:r w:rsidR="002B2ECE">
        <w:t>l</w:t>
      </w:r>
      <w:r w:rsidR="00194BC7">
        <w:t xml:space="preserve">icensees and </w:t>
      </w:r>
      <w:r w:rsidR="006B1096">
        <w:t xml:space="preserve">their </w:t>
      </w:r>
      <w:r w:rsidR="00D25EA0">
        <w:t>authorised</w:t>
      </w:r>
      <w:r w:rsidR="00194BC7">
        <w:t xml:space="preserve"> representatives. </w:t>
      </w:r>
    </w:p>
    <w:p w14:paraId="5789B392" w14:textId="77777777" w:rsidR="003C156B" w:rsidRDefault="003C156B" w:rsidP="00BF14CA">
      <w:pPr>
        <w:pStyle w:val="Bullet"/>
        <w:numPr>
          <w:ilvl w:val="0"/>
          <w:numId w:val="0"/>
        </w:numPr>
        <w:rPr>
          <w:i/>
        </w:rPr>
      </w:pPr>
      <w:r>
        <w:rPr>
          <w:i/>
        </w:rPr>
        <w:t>Issuers and sellers of extended operation financial products</w:t>
      </w:r>
    </w:p>
    <w:p w14:paraId="58BAD37C" w14:textId="37425FF3" w:rsidR="00994245" w:rsidRPr="00194BC7" w:rsidRDefault="00994245" w:rsidP="00BF14CA">
      <w:pPr>
        <w:pStyle w:val="Bullet"/>
        <w:numPr>
          <w:ilvl w:val="0"/>
          <w:numId w:val="0"/>
        </w:numPr>
        <w:rPr>
          <w:i/>
        </w:rPr>
      </w:pPr>
      <w:r>
        <w:t>The Regulations extend the definition of regulated person to include issuers of extended operation financial products</w:t>
      </w:r>
      <w:r w:rsidR="00414C53">
        <w:t xml:space="preserve"> and sellers of extended operation financial products under a regulated sale</w:t>
      </w:r>
      <w:r>
        <w:t>.</w:t>
      </w:r>
      <w:r w:rsidR="0075068A">
        <w:t xml:space="preserve"> This means that a person who issues an exten</w:t>
      </w:r>
      <w:r w:rsidR="00862737">
        <w:t xml:space="preserve">ded operation financial product </w:t>
      </w:r>
      <w:r w:rsidR="00414C53">
        <w:t xml:space="preserve">and </w:t>
      </w:r>
      <w:r w:rsidR="0023680F">
        <w:t xml:space="preserve">such </w:t>
      </w:r>
      <w:r w:rsidR="00414C53">
        <w:t xml:space="preserve">sellers of </w:t>
      </w:r>
      <w:r w:rsidR="0023680F">
        <w:t>‘</w:t>
      </w:r>
      <w:r w:rsidR="00414C53">
        <w:t>extended operation financial products</w:t>
      </w:r>
      <w:r w:rsidR="0023680F">
        <w:t>’</w:t>
      </w:r>
      <w:r w:rsidR="00414C53">
        <w:t xml:space="preserve"> </w:t>
      </w:r>
      <w:r w:rsidR="00862737">
        <w:t xml:space="preserve">must comply with </w:t>
      </w:r>
      <w:r w:rsidR="0023680F">
        <w:t>the distribution obligations</w:t>
      </w:r>
      <w:r w:rsidR="00862737">
        <w:t xml:space="preserve"> when engaging in retail product distribution conduct.</w:t>
      </w:r>
      <w:r w:rsidR="00BC0BFD">
        <w:t xml:space="preserve"> (Schedule 1, item </w:t>
      </w:r>
      <w:r w:rsidR="002B2ECE">
        <w:t>2</w:t>
      </w:r>
      <w:r w:rsidR="00BC0BFD">
        <w:t>, subregulation 7.8A.02(</w:t>
      </w:r>
      <w:r w:rsidR="002B2ECE">
        <w:t>5</w:t>
      </w:r>
      <w:r w:rsidR="00BC0BFD">
        <w:t>))</w:t>
      </w:r>
    </w:p>
    <w:p w14:paraId="12502806" w14:textId="277A4092" w:rsidR="00BF14CA" w:rsidRPr="00A71CA9" w:rsidRDefault="001B2B83">
      <w:pPr>
        <w:pStyle w:val="Heading3"/>
      </w:pPr>
      <w:r w:rsidRPr="00343B29">
        <w:lastRenderedPageBreak/>
        <w:t>Part</w:t>
      </w:r>
      <w:r w:rsidRPr="00A71CA9">
        <w:t xml:space="preserve"> 7.8A, Division 2</w:t>
      </w:r>
      <w:r w:rsidR="00FF7CCF" w:rsidRPr="00A71CA9">
        <w:t xml:space="preserve"> - </w:t>
      </w:r>
      <w:r w:rsidRPr="00343B29">
        <w:t>Financial</w:t>
      </w:r>
      <w:r w:rsidRPr="00A71CA9">
        <w:t xml:space="preserve"> products for which target market determinations are required</w:t>
      </w:r>
      <w:r w:rsidR="00BF14CA" w:rsidRPr="00A71CA9">
        <w:t xml:space="preserve">  </w:t>
      </w:r>
    </w:p>
    <w:p w14:paraId="281C17D7" w14:textId="63126D7E" w:rsidR="00BF14CA" w:rsidRDefault="001B2B83" w:rsidP="00BF14CA">
      <w:pPr>
        <w:spacing w:before="240"/>
        <w:rPr>
          <w:szCs w:val="24"/>
        </w:rPr>
      </w:pPr>
      <w:r>
        <w:rPr>
          <w:szCs w:val="24"/>
        </w:rPr>
        <w:t>Division 2 of Part 7.8A</w:t>
      </w:r>
      <w:r w:rsidR="004E76A6">
        <w:rPr>
          <w:rStyle w:val="FootnoteReference"/>
          <w:szCs w:val="24"/>
        </w:rPr>
        <w:footnoteReference w:id="7"/>
      </w:r>
      <w:r>
        <w:rPr>
          <w:szCs w:val="24"/>
        </w:rPr>
        <w:t xml:space="preserve"> requires target market determinations to be made for </w:t>
      </w:r>
      <w:r w:rsidR="00C36FEC">
        <w:rPr>
          <w:szCs w:val="24"/>
        </w:rPr>
        <w:t>the following products</w:t>
      </w:r>
      <w:r w:rsidR="00BF14CA" w:rsidRPr="007159A0">
        <w:rPr>
          <w:szCs w:val="24"/>
        </w:rPr>
        <w:t>:</w:t>
      </w:r>
    </w:p>
    <w:p w14:paraId="58CB6CA5" w14:textId="77777777" w:rsidR="00BF14CA" w:rsidRPr="007159A0" w:rsidRDefault="00BF14CA" w:rsidP="00381D4D">
      <w:pPr>
        <w:pStyle w:val="Dotpoint"/>
      </w:pPr>
      <w:r w:rsidRPr="007159A0">
        <w:t>simple corporate bonds depository interests in simple corporate bonds, where the simple corporate bonds are, or are to be, issued under a two</w:t>
      </w:r>
      <w:r w:rsidRPr="007159A0">
        <w:noBreakHyphen/>
        <w:t>part simple corporate bonds prospectus</w:t>
      </w:r>
      <w:r w:rsidR="00A6327A">
        <w:t xml:space="preserve"> (‘depository interests in simple corporate bonds’)</w:t>
      </w:r>
      <w:r w:rsidRPr="007159A0">
        <w:t>;</w:t>
      </w:r>
    </w:p>
    <w:p w14:paraId="0F13D21B" w14:textId="5922CC2B" w:rsidR="00BF14CA" w:rsidRPr="007159A0" w:rsidRDefault="00BF14CA" w:rsidP="00381D4D">
      <w:pPr>
        <w:pStyle w:val="Dotpoint"/>
      </w:pPr>
      <w:r w:rsidRPr="007159A0">
        <w:t xml:space="preserve">debentures of a body that is an ADI or registered under section 21 of the </w:t>
      </w:r>
      <w:r w:rsidRPr="007159A0">
        <w:rPr>
          <w:i/>
          <w:iCs/>
        </w:rPr>
        <w:t>Life Insurance Act 1995</w:t>
      </w:r>
      <w:r w:rsidRPr="007159A0">
        <w:t>;</w:t>
      </w:r>
    </w:p>
    <w:p w14:paraId="06701953" w14:textId="556747F1" w:rsidR="00BF14CA" w:rsidRDefault="00BF14CA" w:rsidP="00381D4D">
      <w:pPr>
        <w:pStyle w:val="Dotpoint"/>
      </w:pPr>
      <w:r w:rsidRPr="007159A0">
        <w:t xml:space="preserve">basic </w:t>
      </w:r>
      <w:r w:rsidR="00B36BDC">
        <w:t>banking</w:t>
      </w:r>
      <w:r w:rsidRPr="007159A0">
        <w:t xml:space="preserve"> products (as defined in </w:t>
      </w:r>
      <w:r w:rsidR="00440874">
        <w:t>the</w:t>
      </w:r>
      <w:r w:rsidRPr="007159A0">
        <w:t xml:space="preserve"> </w:t>
      </w:r>
      <w:r w:rsidR="00DF10B3">
        <w:t xml:space="preserve">Corporations </w:t>
      </w:r>
      <w:r w:rsidRPr="007159A0">
        <w:t xml:space="preserve">Act); </w:t>
      </w:r>
    </w:p>
    <w:p w14:paraId="15882B85" w14:textId="57EE8DEF" w:rsidR="00E55B0B" w:rsidRDefault="00E55B0B" w:rsidP="00E55B0B">
      <w:pPr>
        <w:pStyle w:val="Dotpoint"/>
        <w:rPr>
          <w:szCs w:val="24"/>
        </w:rPr>
      </w:pPr>
      <w:r w:rsidRPr="007435B7">
        <w:t>investor</w:t>
      </w:r>
      <w:r w:rsidRPr="007159A0">
        <w:rPr>
          <w:szCs w:val="24"/>
        </w:rPr>
        <w:t xml:space="preserve"> directed portfolio service</w:t>
      </w:r>
      <w:r>
        <w:rPr>
          <w:szCs w:val="24"/>
        </w:rPr>
        <w:t xml:space="preserve">s (IDPS); </w:t>
      </w:r>
    </w:p>
    <w:p w14:paraId="109153A0" w14:textId="741A6AF7" w:rsidR="00425FDE" w:rsidRPr="00425FDE" w:rsidRDefault="00425FDE" w:rsidP="00425FDE">
      <w:pPr>
        <w:pStyle w:val="Dotpoint"/>
        <w:rPr>
          <w:szCs w:val="24"/>
        </w:rPr>
      </w:pPr>
      <w:r>
        <w:rPr>
          <w:szCs w:val="24"/>
        </w:rPr>
        <w:t>exchange traded funds (ETF); and</w:t>
      </w:r>
    </w:p>
    <w:p w14:paraId="52947D6B" w14:textId="642F87C1" w:rsidR="00BF14CA" w:rsidRDefault="004E76A6" w:rsidP="00773653">
      <w:pPr>
        <w:pStyle w:val="Dotpoint"/>
      </w:pPr>
      <w:r>
        <w:rPr>
          <w:szCs w:val="24"/>
        </w:rPr>
        <w:t xml:space="preserve">certain </w:t>
      </w:r>
      <w:r w:rsidR="00BF14CA" w:rsidRPr="007435B7">
        <w:t>custodial</w:t>
      </w:r>
      <w:r w:rsidR="00BF14CA" w:rsidRPr="00425FDE">
        <w:rPr>
          <w:szCs w:val="24"/>
        </w:rPr>
        <w:t xml:space="preserve"> arrangements</w:t>
      </w:r>
      <w:r w:rsidR="00425FDE">
        <w:t>.</w:t>
      </w:r>
    </w:p>
    <w:p w14:paraId="753EB4DB" w14:textId="29A4FFE2" w:rsidR="00610EDE" w:rsidRDefault="00610EDE" w:rsidP="00425FDE">
      <w:pPr>
        <w:pStyle w:val="BodyNum"/>
        <w:numPr>
          <w:ilvl w:val="0"/>
          <w:numId w:val="0"/>
        </w:numPr>
        <w:tabs>
          <w:tab w:val="left" w:pos="720"/>
        </w:tabs>
        <w:rPr>
          <w:szCs w:val="24"/>
        </w:rPr>
      </w:pPr>
      <w:r>
        <w:rPr>
          <w:szCs w:val="24"/>
        </w:rPr>
        <w:t xml:space="preserve">This has the effect that these products will be subject to the </w:t>
      </w:r>
      <w:r w:rsidR="004E76A6">
        <w:rPr>
          <w:szCs w:val="24"/>
        </w:rPr>
        <w:t>DDO regime</w:t>
      </w:r>
      <w:r>
        <w:rPr>
          <w:szCs w:val="24"/>
        </w:rPr>
        <w:t>.</w:t>
      </w:r>
      <w:r w:rsidR="004E76A6" w:rsidDel="004E76A6">
        <w:rPr>
          <w:rStyle w:val="FootnoteReference"/>
          <w:szCs w:val="24"/>
        </w:rPr>
        <w:t xml:space="preserve"> </w:t>
      </w:r>
    </w:p>
    <w:p w14:paraId="2B0DA8BA" w14:textId="6A702649" w:rsidR="001B2B83" w:rsidRDefault="001B2B83" w:rsidP="00425FDE">
      <w:pPr>
        <w:pStyle w:val="BodyNum"/>
        <w:numPr>
          <w:ilvl w:val="0"/>
          <w:numId w:val="0"/>
        </w:numPr>
        <w:tabs>
          <w:tab w:val="left" w:pos="720"/>
        </w:tabs>
        <w:rPr>
          <w:szCs w:val="24"/>
        </w:rPr>
      </w:pPr>
      <w:r>
        <w:rPr>
          <w:szCs w:val="24"/>
        </w:rPr>
        <w:t>This Division is made</w:t>
      </w:r>
      <w:r w:rsidR="00610EDE">
        <w:rPr>
          <w:szCs w:val="24"/>
        </w:rPr>
        <w:t xml:space="preserve"> for the purposes of paragraphs 994B(1)(c) and 994B(2)(b) of the Corporations Act.</w:t>
      </w:r>
      <w:r w:rsidR="00610EDE">
        <w:rPr>
          <w:rStyle w:val="FootnoteReference"/>
          <w:szCs w:val="24"/>
        </w:rPr>
        <w:footnoteReference w:id="8"/>
      </w:r>
    </w:p>
    <w:p w14:paraId="6B79BFD8" w14:textId="0D070DDC" w:rsidR="00D109F1" w:rsidRDefault="00D109F1" w:rsidP="00425FDE">
      <w:pPr>
        <w:pStyle w:val="BodyNum"/>
        <w:numPr>
          <w:ilvl w:val="0"/>
          <w:numId w:val="0"/>
        </w:numPr>
        <w:tabs>
          <w:tab w:val="left" w:pos="720"/>
        </w:tabs>
        <w:rPr>
          <w:szCs w:val="24"/>
        </w:rPr>
      </w:pPr>
      <w:r>
        <w:rPr>
          <w:i/>
          <w:szCs w:val="24"/>
        </w:rPr>
        <w:t>Jurisdictional scope of Division</w:t>
      </w:r>
    </w:p>
    <w:p w14:paraId="6A21D109" w14:textId="2EFE8E06" w:rsidR="002D7A11" w:rsidRDefault="002D7A11" w:rsidP="00425FDE">
      <w:pPr>
        <w:pStyle w:val="BodyNum"/>
        <w:numPr>
          <w:ilvl w:val="0"/>
          <w:numId w:val="0"/>
        </w:numPr>
        <w:tabs>
          <w:tab w:val="left" w:pos="720"/>
        </w:tabs>
        <w:rPr>
          <w:szCs w:val="24"/>
        </w:rPr>
      </w:pPr>
      <w:r>
        <w:rPr>
          <w:szCs w:val="24"/>
        </w:rPr>
        <w:t xml:space="preserve">This Division </w:t>
      </w:r>
      <w:r w:rsidR="00A6763D">
        <w:rPr>
          <w:szCs w:val="24"/>
        </w:rPr>
        <w:t>only applies in relation to financial products that are available for acquisition by issue or by regulated sale in this jurisdiction</w:t>
      </w:r>
      <w:r>
        <w:rPr>
          <w:szCs w:val="24"/>
        </w:rPr>
        <w:t>. (Schedule 1, item 2, paragraph 7.8A.04(1)(a))</w:t>
      </w:r>
    </w:p>
    <w:p w14:paraId="78F8F63B" w14:textId="39F94DE7" w:rsidR="00A6763D" w:rsidRDefault="00A6763D">
      <w:pPr>
        <w:pStyle w:val="Bullet"/>
        <w:numPr>
          <w:ilvl w:val="0"/>
          <w:numId w:val="0"/>
        </w:numPr>
        <w:rPr>
          <w:szCs w:val="24"/>
        </w:rPr>
      </w:pPr>
      <w:r>
        <w:rPr>
          <w:szCs w:val="24"/>
        </w:rPr>
        <w:t>This ensures that the scope of the subregulation is consistent with that of the obligation to make a target market determination under the Act.</w:t>
      </w:r>
      <w:r w:rsidDel="00D109F1">
        <w:rPr>
          <w:szCs w:val="24"/>
        </w:rPr>
        <w:t xml:space="preserve"> </w:t>
      </w:r>
      <w:r>
        <w:rPr>
          <w:szCs w:val="24"/>
        </w:rPr>
        <w:t>Under the Act, a target market determination must be prepared for a financial product where, under Part 6D.2 of the Corporations Act, a person is required to prepare a disclosure document for the product, or, under Part 7.9 of the Corporations Act, the person is required to prepare a Product Disclosure Statement for the product.</w:t>
      </w:r>
      <w:r w:rsidR="00226DA7" w:rsidRPr="00226DA7">
        <w:rPr>
          <w:rStyle w:val="FootnoteReference"/>
          <w:szCs w:val="24"/>
        </w:rPr>
        <w:t xml:space="preserve"> </w:t>
      </w:r>
      <w:r w:rsidR="00226DA7">
        <w:rPr>
          <w:rStyle w:val="FootnoteReference"/>
          <w:szCs w:val="24"/>
        </w:rPr>
        <w:footnoteReference w:id="9"/>
      </w:r>
      <w:r>
        <w:rPr>
          <w:szCs w:val="24"/>
        </w:rPr>
        <w:t xml:space="preserve"> However, the geographical coverage of these obligations is limited to this jurisdiction by subsection 700(4) and section 1011A of the Corporations Act respectively. </w:t>
      </w:r>
    </w:p>
    <w:p w14:paraId="21CF19BB" w14:textId="7CEDD79A" w:rsidR="00425FDE" w:rsidRDefault="002D7A11" w:rsidP="00425FDE">
      <w:pPr>
        <w:pStyle w:val="BodyNum"/>
        <w:numPr>
          <w:ilvl w:val="0"/>
          <w:numId w:val="0"/>
        </w:numPr>
        <w:tabs>
          <w:tab w:val="left" w:pos="720"/>
        </w:tabs>
        <w:rPr>
          <w:szCs w:val="24"/>
        </w:rPr>
      </w:pPr>
      <w:r>
        <w:rPr>
          <w:szCs w:val="24"/>
        </w:rPr>
        <w:t xml:space="preserve">This Division does not apply to </w:t>
      </w:r>
      <w:r w:rsidR="00425FDE">
        <w:rPr>
          <w:szCs w:val="24"/>
        </w:rPr>
        <w:t xml:space="preserve">securities offered under a recognised offer in relation to a recognised jurisdiction. This ensures that the scope of </w:t>
      </w:r>
      <w:r>
        <w:rPr>
          <w:szCs w:val="24"/>
        </w:rPr>
        <w:t>this Division</w:t>
      </w:r>
      <w:r w:rsidR="00425FDE">
        <w:rPr>
          <w:szCs w:val="24"/>
        </w:rPr>
        <w:t xml:space="preserve"> is consistent with that of the obligation to make a target market determination under the Act. </w:t>
      </w:r>
      <w:r w:rsidR="001B2B83">
        <w:t>(Schedule 1, item 2, paragraph 7.</w:t>
      </w:r>
      <w:r w:rsidR="00425FDE">
        <w:t>8A.0</w:t>
      </w:r>
      <w:r w:rsidR="001B2B83">
        <w:t>4(1)(b</w:t>
      </w:r>
      <w:r w:rsidR="00425FDE">
        <w:t>))</w:t>
      </w:r>
    </w:p>
    <w:p w14:paraId="4B7524CF" w14:textId="1D281F53" w:rsidR="0083477D" w:rsidRDefault="0083477D">
      <w:pPr>
        <w:pStyle w:val="Dotpoint"/>
        <w:numPr>
          <w:ilvl w:val="0"/>
          <w:numId w:val="0"/>
        </w:numPr>
        <w:rPr>
          <w:szCs w:val="24"/>
        </w:rPr>
      </w:pPr>
      <w:r>
        <w:rPr>
          <w:szCs w:val="24"/>
        </w:rPr>
        <w:t xml:space="preserve">‘Recognised jurisdiction’, ‘recognised offer’ and ‘securities’ have the meanings given by subsection 1200A(1) of the Act. (Schedule </w:t>
      </w:r>
      <w:r w:rsidR="00A6763D">
        <w:rPr>
          <w:szCs w:val="24"/>
        </w:rPr>
        <w:t>1, item 2</w:t>
      </w:r>
      <w:r>
        <w:rPr>
          <w:szCs w:val="24"/>
        </w:rPr>
        <w:t>, subregulation 7.8A.04(2), definitions of ‘recognised jurisdiction’, ‘recognised offer’ and ‘securities’)</w:t>
      </w:r>
    </w:p>
    <w:p w14:paraId="211AEF9B" w14:textId="77777777" w:rsidR="00425FDE" w:rsidRDefault="00425FDE" w:rsidP="00425FDE">
      <w:pPr>
        <w:pStyle w:val="BodyNum"/>
        <w:numPr>
          <w:ilvl w:val="0"/>
          <w:numId w:val="0"/>
        </w:numPr>
        <w:tabs>
          <w:tab w:val="left" w:pos="720"/>
        </w:tabs>
        <w:rPr>
          <w:szCs w:val="24"/>
        </w:rPr>
      </w:pPr>
      <w:r>
        <w:rPr>
          <w:szCs w:val="24"/>
        </w:rPr>
        <w:lastRenderedPageBreak/>
        <w:t>Recognised offers</w:t>
      </w:r>
      <w:r w:rsidRPr="00314601">
        <w:rPr>
          <w:szCs w:val="24"/>
        </w:rPr>
        <w:t xml:space="preserve"> are exempt from the </w:t>
      </w:r>
      <w:r>
        <w:rPr>
          <w:szCs w:val="24"/>
        </w:rPr>
        <w:t xml:space="preserve">requirement to make a target market determination </w:t>
      </w:r>
      <w:r w:rsidRPr="00314601">
        <w:rPr>
          <w:szCs w:val="24"/>
        </w:rPr>
        <w:t xml:space="preserve">under the </w:t>
      </w:r>
      <w:r>
        <w:rPr>
          <w:szCs w:val="24"/>
        </w:rPr>
        <w:t>Act</w:t>
      </w:r>
      <w:r w:rsidRPr="00314601">
        <w:rPr>
          <w:szCs w:val="24"/>
        </w:rPr>
        <w:t xml:space="preserve"> because they are not subj</w:t>
      </w:r>
      <w:r>
        <w:rPr>
          <w:szCs w:val="24"/>
        </w:rPr>
        <w:t>ect to the requirement in Part </w:t>
      </w:r>
      <w:r w:rsidRPr="00314601">
        <w:rPr>
          <w:szCs w:val="24"/>
        </w:rPr>
        <w:t>6D.</w:t>
      </w:r>
      <w:r>
        <w:rPr>
          <w:szCs w:val="24"/>
        </w:rPr>
        <w:t>2 of the Corporations Act to prepare a disclosure document</w:t>
      </w:r>
      <w:r w:rsidRPr="00314601">
        <w:rPr>
          <w:szCs w:val="24"/>
        </w:rPr>
        <w:t xml:space="preserve"> </w:t>
      </w:r>
      <w:r w:rsidRPr="005D5A3F">
        <w:rPr>
          <w:szCs w:val="24"/>
        </w:rPr>
        <w:t xml:space="preserve">or the requirement in </w:t>
      </w:r>
      <w:r>
        <w:rPr>
          <w:szCs w:val="24"/>
        </w:rPr>
        <w:t>Part 7.9</w:t>
      </w:r>
      <w:r w:rsidRPr="005D5A3F">
        <w:rPr>
          <w:szCs w:val="24"/>
        </w:rPr>
        <w:t xml:space="preserve"> to prepare</w:t>
      </w:r>
      <w:r>
        <w:rPr>
          <w:szCs w:val="24"/>
        </w:rPr>
        <w:t xml:space="preserve"> a Product Disclosure Statement.</w:t>
      </w:r>
      <w:r>
        <w:rPr>
          <w:rStyle w:val="FootnoteReference"/>
          <w:szCs w:val="24"/>
        </w:rPr>
        <w:footnoteReference w:id="10"/>
      </w:r>
      <w:r>
        <w:rPr>
          <w:szCs w:val="24"/>
        </w:rPr>
        <w:t xml:space="preserve"> The exemption applies to recognised offers of shares, debentures, and interests in managed investment schemes (or rights, interests or options in them) where the recognised offer is in relation to a recognised jurisdiction. This reflects that such offers are subject to the mutual recognition scheme in Chapter 8 of the Corporations Act.</w:t>
      </w:r>
    </w:p>
    <w:p w14:paraId="259C4B43" w14:textId="122B1EE9" w:rsidR="00BF14CA" w:rsidRPr="0016697C" w:rsidRDefault="00410D95" w:rsidP="00BF14CA">
      <w:pPr>
        <w:pStyle w:val="Bullet"/>
        <w:numPr>
          <w:ilvl w:val="0"/>
          <w:numId w:val="0"/>
        </w:numPr>
        <w:jc w:val="both"/>
        <w:rPr>
          <w:i/>
          <w:szCs w:val="24"/>
        </w:rPr>
      </w:pPr>
      <w:r>
        <w:rPr>
          <w:i/>
        </w:rPr>
        <w:t>Simple corporate bonds</w:t>
      </w:r>
    </w:p>
    <w:p w14:paraId="78001790" w14:textId="4D24FAAD" w:rsidR="00543987" w:rsidRDefault="00A6327A" w:rsidP="0048297B">
      <w:pPr>
        <w:rPr>
          <w:szCs w:val="24"/>
        </w:rPr>
      </w:pPr>
      <w:r w:rsidRPr="007159A0">
        <w:rPr>
          <w:szCs w:val="24"/>
        </w:rPr>
        <w:t xml:space="preserve">The Regulations </w:t>
      </w:r>
      <w:r>
        <w:rPr>
          <w:szCs w:val="24"/>
        </w:rPr>
        <w:t xml:space="preserve">apply the DDO regime in Part 7.8A of the Corporations Act to </w:t>
      </w:r>
      <w:r w:rsidR="001F54AA">
        <w:rPr>
          <w:szCs w:val="24"/>
        </w:rPr>
        <w:t>simple corporate bonds depository interests, which are defined in section 9 of the Corporations Act</w:t>
      </w:r>
      <w:r>
        <w:rPr>
          <w:szCs w:val="24"/>
        </w:rPr>
        <w:t>.</w:t>
      </w:r>
      <w:r w:rsidR="00226DA7" w:rsidRPr="00226DA7">
        <w:rPr>
          <w:rStyle w:val="FootnoteReference"/>
          <w:szCs w:val="24"/>
        </w:rPr>
        <w:t xml:space="preserve"> </w:t>
      </w:r>
      <w:r w:rsidR="00226DA7">
        <w:rPr>
          <w:rStyle w:val="FootnoteReference"/>
          <w:szCs w:val="24"/>
        </w:rPr>
        <w:footnoteReference w:id="11"/>
      </w:r>
      <w:r>
        <w:rPr>
          <w:szCs w:val="24"/>
        </w:rPr>
        <w:t xml:space="preserve"> In particular, the</w:t>
      </w:r>
      <w:r w:rsidR="00543987">
        <w:rPr>
          <w:szCs w:val="24"/>
        </w:rPr>
        <w:t xml:space="preserve"> </w:t>
      </w:r>
      <w:r w:rsidR="003B2760">
        <w:rPr>
          <w:szCs w:val="24"/>
        </w:rPr>
        <w:t>R</w:t>
      </w:r>
      <w:r w:rsidR="00543987">
        <w:rPr>
          <w:szCs w:val="24"/>
        </w:rPr>
        <w:t xml:space="preserve">egulations extend the obligation to make </w:t>
      </w:r>
      <w:r w:rsidR="00164780">
        <w:rPr>
          <w:szCs w:val="24"/>
        </w:rPr>
        <w:t>a target market determination</w:t>
      </w:r>
      <w:r w:rsidR="005634E6">
        <w:rPr>
          <w:szCs w:val="24"/>
        </w:rPr>
        <w:t xml:space="preserve"> under P</w:t>
      </w:r>
      <w:r>
        <w:rPr>
          <w:szCs w:val="24"/>
        </w:rPr>
        <w:t>art</w:t>
      </w:r>
      <w:r w:rsidR="005634E6">
        <w:rPr>
          <w:szCs w:val="24"/>
        </w:rPr>
        <w:t> 7.8A</w:t>
      </w:r>
      <w:r>
        <w:rPr>
          <w:szCs w:val="24"/>
        </w:rPr>
        <w:t xml:space="preserve"> of the Corporations Act to</w:t>
      </w:r>
      <w:r w:rsidR="00543987">
        <w:rPr>
          <w:szCs w:val="24"/>
        </w:rPr>
        <w:t xml:space="preserve"> </w:t>
      </w:r>
      <w:r w:rsidR="001F54AA">
        <w:rPr>
          <w:szCs w:val="24"/>
        </w:rPr>
        <w:t>simple corporate bonds depository interests</w:t>
      </w:r>
      <w:r w:rsidR="00543987">
        <w:rPr>
          <w:szCs w:val="24"/>
        </w:rPr>
        <w:t>.</w:t>
      </w:r>
      <w:r w:rsidR="00E074EE">
        <w:rPr>
          <w:szCs w:val="24"/>
        </w:rPr>
        <w:t xml:space="preserve"> </w:t>
      </w:r>
      <w:r w:rsidR="000B3282">
        <w:t>The issuer of the depository interest must make the target market determination before any person engages in ‘retail product distribution conduct’.</w:t>
      </w:r>
      <w:r w:rsidR="00BE1CCF">
        <w:rPr>
          <w:rStyle w:val="FootnoteReference"/>
        </w:rPr>
        <w:footnoteReference w:id="12"/>
      </w:r>
      <w:r w:rsidR="000B3282">
        <w:t xml:space="preserve"> </w:t>
      </w:r>
      <w:r w:rsidR="00874945">
        <w:rPr>
          <w:szCs w:val="24"/>
        </w:rPr>
        <w:t xml:space="preserve">(Schedule 1, item </w:t>
      </w:r>
      <w:r w:rsidR="0062226C">
        <w:rPr>
          <w:szCs w:val="24"/>
        </w:rPr>
        <w:t>2</w:t>
      </w:r>
      <w:r w:rsidR="00874945">
        <w:rPr>
          <w:szCs w:val="24"/>
        </w:rPr>
        <w:t xml:space="preserve">, </w:t>
      </w:r>
      <w:r w:rsidR="0062226C">
        <w:rPr>
          <w:szCs w:val="24"/>
        </w:rPr>
        <w:t>regulation</w:t>
      </w:r>
      <w:r w:rsidR="0039054B">
        <w:rPr>
          <w:szCs w:val="24"/>
        </w:rPr>
        <w:t xml:space="preserve"> 7.8A.0</w:t>
      </w:r>
      <w:r w:rsidR="0062226C">
        <w:rPr>
          <w:szCs w:val="24"/>
        </w:rPr>
        <w:t>5</w:t>
      </w:r>
      <w:r w:rsidR="00874945">
        <w:rPr>
          <w:szCs w:val="24"/>
        </w:rPr>
        <w:t>)</w:t>
      </w:r>
    </w:p>
    <w:p w14:paraId="3694E16E" w14:textId="77777777" w:rsidR="00D56C04" w:rsidRDefault="00543987" w:rsidP="00BF14CA">
      <w:pPr>
        <w:pStyle w:val="base-text-paragraph"/>
        <w:tabs>
          <w:tab w:val="clear" w:pos="1987"/>
        </w:tabs>
        <w:ind w:left="0"/>
        <w:rPr>
          <w:szCs w:val="24"/>
        </w:rPr>
      </w:pPr>
      <w:r>
        <w:rPr>
          <w:szCs w:val="24"/>
        </w:rPr>
        <w:t xml:space="preserve">Simple corporate bonds are </w:t>
      </w:r>
      <w:r w:rsidR="003B10D8">
        <w:rPr>
          <w:szCs w:val="24"/>
        </w:rPr>
        <w:t>bonds that meet</w:t>
      </w:r>
      <w:r w:rsidR="00A6327A">
        <w:rPr>
          <w:szCs w:val="24"/>
        </w:rPr>
        <w:t xml:space="preserve"> the </w:t>
      </w:r>
      <w:r w:rsidR="003B10D8">
        <w:rPr>
          <w:szCs w:val="24"/>
        </w:rPr>
        <w:t xml:space="preserve">legislative </w:t>
      </w:r>
      <w:r w:rsidR="00617286">
        <w:rPr>
          <w:szCs w:val="24"/>
        </w:rPr>
        <w:t>criteria</w:t>
      </w:r>
      <w:r w:rsidR="00A6327A">
        <w:rPr>
          <w:szCs w:val="24"/>
        </w:rPr>
        <w:t xml:space="preserve"> set out in section 713A of the Corporations Act.</w:t>
      </w:r>
      <w:r w:rsidR="003B10D8">
        <w:rPr>
          <w:szCs w:val="24"/>
        </w:rPr>
        <w:t xml:space="preserve"> </w:t>
      </w:r>
      <w:r w:rsidR="007A5083">
        <w:rPr>
          <w:szCs w:val="24"/>
        </w:rPr>
        <w:t>A d</w:t>
      </w:r>
      <w:r w:rsidR="00F35EDA">
        <w:rPr>
          <w:szCs w:val="24"/>
        </w:rPr>
        <w:t>eposit</w:t>
      </w:r>
      <w:r w:rsidR="001F54AA">
        <w:rPr>
          <w:szCs w:val="24"/>
        </w:rPr>
        <w:t>o</w:t>
      </w:r>
      <w:r w:rsidR="00F35EDA">
        <w:rPr>
          <w:szCs w:val="24"/>
        </w:rPr>
        <w:t>ry interest in</w:t>
      </w:r>
      <w:r w:rsidR="007A5083">
        <w:rPr>
          <w:szCs w:val="24"/>
        </w:rPr>
        <w:t xml:space="preserve"> a simple corporate bond is a beneficial interest in the b</w:t>
      </w:r>
      <w:r w:rsidR="00617286">
        <w:rPr>
          <w:szCs w:val="24"/>
        </w:rPr>
        <w:t>ond</w:t>
      </w:r>
      <w:r w:rsidR="00E0019D">
        <w:rPr>
          <w:szCs w:val="24"/>
        </w:rPr>
        <w:t xml:space="preserve"> that is</w:t>
      </w:r>
      <w:r w:rsidR="00401BB2">
        <w:rPr>
          <w:szCs w:val="24"/>
        </w:rPr>
        <w:t xml:space="preserve"> issued by</w:t>
      </w:r>
      <w:r w:rsidR="00D56C04">
        <w:rPr>
          <w:szCs w:val="24"/>
        </w:rPr>
        <w:t xml:space="preserve"> the acquirer of </w:t>
      </w:r>
      <w:r w:rsidR="00617286">
        <w:rPr>
          <w:szCs w:val="24"/>
        </w:rPr>
        <w:t>the bond</w:t>
      </w:r>
      <w:r w:rsidR="007A5083">
        <w:rPr>
          <w:szCs w:val="24"/>
        </w:rPr>
        <w:t xml:space="preserve"> </w:t>
      </w:r>
      <w:r w:rsidR="00D56C04">
        <w:rPr>
          <w:szCs w:val="24"/>
        </w:rPr>
        <w:t>(a ‘</w:t>
      </w:r>
      <w:r w:rsidR="007A5083">
        <w:rPr>
          <w:szCs w:val="24"/>
        </w:rPr>
        <w:t>deposit</w:t>
      </w:r>
      <w:r w:rsidR="00F56118">
        <w:rPr>
          <w:szCs w:val="24"/>
        </w:rPr>
        <w:t>o</w:t>
      </w:r>
      <w:r w:rsidR="007A5083">
        <w:rPr>
          <w:szCs w:val="24"/>
        </w:rPr>
        <w:t>ry nominee</w:t>
      </w:r>
      <w:r w:rsidR="00D56C04">
        <w:rPr>
          <w:szCs w:val="24"/>
        </w:rPr>
        <w:t xml:space="preserve">’) </w:t>
      </w:r>
      <w:r w:rsidR="00401BB2">
        <w:rPr>
          <w:szCs w:val="24"/>
        </w:rPr>
        <w:t>to a retail client</w:t>
      </w:r>
      <w:r w:rsidR="00E0019D">
        <w:rPr>
          <w:szCs w:val="24"/>
        </w:rPr>
        <w:t>,</w:t>
      </w:r>
      <w:r w:rsidR="00401BB2">
        <w:rPr>
          <w:szCs w:val="24"/>
        </w:rPr>
        <w:t xml:space="preserve"> </w:t>
      </w:r>
      <w:r w:rsidR="00D56C04">
        <w:rPr>
          <w:szCs w:val="24"/>
        </w:rPr>
        <w:t>with the permission of the issuer.</w:t>
      </w:r>
      <w:r w:rsidR="007A5083">
        <w:rPr>
          <w:szCs w:val="24"/>
        </w:rPr>
        <w:t xml:space="preserve"> </w:t>
      </w:r>
    </w:p>
    <w:p w14:paraId="08990504" w14:textId="77777777" w:rsidR="00B425C2" w:rsidRDefault="005634E6" w:rsidP="00BF14CA">
      <w:pPr>
        <w:pStyle w:val="base-text-paragraph"/>
        <w:tabs>
          <w:tab w:val="clear" w:pos="1987"/>
        </w:tabs>
        <w:ind w:left="0"/>
        <w:rPr>
          <w:szCs w:val="24"/>
        </w:rPr>
      </w:pPr>
      <w:r>
        <w:rPr>
          <w:szCs w:val="24"/>
        </w:rPr>
        <w:t>Without</w:t>
      </w:r>
      <w:r w:rsidR="00401BB2">
        <w:rPr>
          <w:szCs w:val="24"/>
        </w:rPr>
        <w:t xml:space="preserve"> </w:t>
      </w:r>
      <w:r>
        <w:rPr>
          <w:szCs w:val="24"/>
        </w:rPr>
        <w:t>the amendments made by the Regulations,</w:t>
      </w:r>
      <w:r w:rsidR="00401BB2">
        <w:rPr>
          <w:szCs w:val="24"/>
        </w:rPr>
        <w:t xml:space="preserve"> d</w:t>
      </w:r>
      <w:r w:rsidR="00D56C04">
        <w:rPr>
          <w:szCs w:val="24"/>
        </w:rPr>
        <w:t>eposit</w:t>
      </w:r>
      <w:r w:rsidR="001F54AA">
        <w:rPr>
          <w:szCs w:val="24"/>
        </w:rPr>
        <w:t>o</w:t>
      </w:r>
      <w:r w:rsidR="00401BB2">
        <w:rPr>
          <w:szCs w:val="24"/>
        </w:rPr>
        <w:t xml:space="preserve">ry interests in simple corporate bonds </w:t>
      </w:r>
      <w:r>
        <w:rPr>
          <w:szCs w:val="24"/>
        </w:rPr>
        <w:t>would</w:t>
      </w:r>
      <w:r w:rsidR="00401BB2">
        <w:rPr>
          <w:szCs w:val="24"/>
        </w:rPr>
        <w:t xml:space="preserve"> </w:t>
      </w:r>
      <w:r w:rsidR="00000B33">
        <w:rPr>
          <w:szCs w:val="24"/>
        </w:rPr>
        <w:t xml:space="preserve">not </w:t>
      </w:r>
      <w:r w:rsidR="00234618">
        <w:rPr>
          <w:szCs w:val="24"/>
        </w:rPr>
        <w:t>be</w:t>
      </w:r>
      <w:r w:rsidR="00000B33">
        <w:rPr>
          <w:szCs w:val="24"/>
        </w:rPr>
        <w:t xml:space="preserve"> </w:t>
      </w:r>
      <w:r w:rsidR="00401BB2">
        <w:rPr>
          <w:szCs w:val="24"/>
        </w:rPr>
        <w:t xml:space="preserve">subject to </w:t>
      </w:r>
      <w:r w:rsidR="00036436">
        <w:rPr>
          <w:szCs w:val="24"/>
        </w:rPr>
        <w:t xml:space="preserve">the </w:t>
      </w:r>
      <w:r w:rsidR="00401BB2">
        <w:rPr>
          <w:szCs w:val="24"/>
        </w:rPr>
        <w:t>DDO</w:t>
      </w:r>
      <w:r w:rsidR="00036436">
        <w:rPr>
          <w:szCs w:val="24"/>
        </w:rPr>
        <w:t xml:space="preserve"> regime</w:t>
      </w:r>
      <w:r w:rsidR="00B425C2">
        <w:rPr>
          <w:szCs w:val="24"/>
        </w:rPr>
        <w:t>. I</w:t>
      </w:r>
      <w:r w:rsidR="003014C2">
        <w:rPr>
          <w:szCs w:val="24"/>
        </w:rPr>
        <w:t>n relation to securities,</w:t>
      </w:r>
      <w:r w:rsidR="00B425C2">
        <w:rPr>
          <w:szCs w:val="24"/>
        </w:rPr>
        <w:t xml:space="preserve"> the</w:t>
      </w:r>
      <w:r w:rsidR="00234618">
        <w:rPr>
          <w:szCs w:val="24"/>
        </w:rPr>
        <w:t> </w:t>
      </w:r>
      <w:r w:rsidR="003014C2">
        <w:rPr>
          <w:szCs w:val="24"/>
        </w:rPr>
        <w:t>DDO</w:t>
      </w:r>
      <w:r w:rsidR="00B425C2">
        <w:rPr>
          <w:szCs w:val="24"/>
        </w:rPr>
        <w:t xml:space="preserve"> regime</w:t>
      </w:r>
      <w:r w:rsidR="003014C2">
        <w:rPr>
          <w:szCs w:val="24"/>
        </w:rPr>
        <w:t xml:space="preserve"> generally applies to </w:t>
      </w:r>
      <w:r w:rsidR="00656267">
        <w:rPr>
          <w:szCs w:val="24"/>
        </w:rPr>
        <w:t>offers of</w:t>
      </w:r>
      <w:r w:rsidR="00B207F8">
        <w:rPr>
          <w:szCs w:val="24"/>
        </w:rPr>
        <w:t xml:space="preserve"> </w:t>
      </w:r>
      <w:r w:rsidR="003014C2">
        <w:rPr>
          <w:szCs w:val="24"/>
        </w:rPr>
        <w:t>products that require disclosure</w:t>
      </w:r>
      <w:r w:rsidR="00B425C2">
        <w:rPr>
          <w:szCs w:val="24"/>
        </w:rPr>
        <w:t xml:space="preserve"> under Part</w:t>
      </w:r>
      <w:r w:rsidR="00234618">
        <w:rPr>
          <w:szCs w:val="24"/>
        </w:rPr>
        <w:t> </w:t>
      </w:r>
      <w:r w:rsidR="00B425C2">
        <w:rPr>
          <w:szCs w:val="24"/>
        </w:rPr>
        <w:t>6D.2 of the Corporations Act</w:t>
      </w:r>
      <w:r w:rsidR="00401BB2">
        <w:rPr>
          <w:szCs w:val="24"/>
        </w:rPr>
        <w:t>.</w:t>
      </w:r>
      <w:r w:rsidR="00E0019D">
        <w:rPr>
          <w:rStyle w:val="FootnoteReference"/>
          <w:szCs w:val="24"/>
        </w:rPr>
        <w:footnoteReference w:id="13"/>
      </w:r>
      <w:r w:rsidR="00000B33">
        <w:rPr>
          <w:szCs w:val="24"/>
        </w:rPr>
        <w:t xml:space="preserve"> </w:t>
      </w:r>
      <w:r w:rsidR="00B425C2">
        <w:rPr>
          <w:szCs w:val="24"/>
        </w:rPr>
        <w:t xml:space="preserve">However, </w:t>
      </w:r>
      <w:r w:rsidR="005F737C">
        <w:rPr>
          <w:szCs w:val="24"/>
        </w:rPr>
        <w:t>simple corporate bonds depository interests where the simple corporate bonds were issued under a 2-part simple corporate bonds prospectus</w:t>
      </w:r>
      <w:r w:rsidR="00000B33">
        <w:rPr>
          <w:szCs w:val="24"/>
        </w:rPr>
        <w:t xml:space="preserve"> are </w:t>
      </w:r>
      <w:r w:rsidR="003014C2">
        <w:rPr>
          <w:szCs w:val="24"/>
        </w:rPr>
        <w:t>excluded from</w:t>
      </w:r>
      <w:r w:rsidR="00B425C2">
        <w:rPr>
          <w:szCs w:val="24"/>
        </w:rPr>
        <w:t xml:space="preserve"> this disclosure regime by paragraph 700(1)(b) of the Corporations Act.</w:t>
      </w:r>
    </w:p>
    <w:p w14:paraId="71622BF0" w14:textId="35548EEF" w:rsidR="00BF14CA" w:rsidRPr="00ED42FF" w:rsidRDefault="00BF14CA" w:rsidP="00BF14CA">
      <w:pPr>
        <w:pStyle w:val="Bullet"/>
        <w:numPr>
          <w:ilvl w:val="0"/>
          <w:numId w:val="0"/>
        </w:numPr>
        <w:jc w:val="both"/>
        <w:rPr>
          <w:i/>
          <w:szCs w:val="24"/>
        </w:rPr>
      </w:pPr>
      <w:r w:rsidRPr="001A2B52">
        <w:rPr>
          <w:i/>
          <w:szCs w:val="24"/>
        </w:rPr>
        <w:t>Debentures of</w:t>
      </w:r>
      <w:r w:rsidR="0062226C">
        <w:rPr>
          <w:i/>
          <w:szCs w:val="24"/>
        </w:rPr>
        <w:t xml:space="preserve"> certain bodies</w:t>
      </w:r>
    </w:p>
    <w:p w14:paraId="5E3C8CF3" w14:textId="0CDEC631" w:rsidR="00BF14CA" w:rsidRDefault="00BF14CA" w:rsidP="00BF14CA">
      <w:pPr>
        <w:pStyle w:val="Bullet"/>
        <w:numPr>
          <w:ilvl w:val="0"/>
          <w:numId w:val="0"/>
        </w:numPr>
        <w:rPr>
          <w:szCs w:val="24"/>
        </w:rPr>
      </w:pPr>
      <w:r>
        <w:rPr>
          <w:szCs w:val="24"/>
        </w:rPr>
        <w:t xml:space="preserve">The </w:t>
      </w:r>
      <w:r w:rsidR="00DA497E">
        <w:rPr>
          <w:szCs w:val="24"/>
        </w:rPr>
        <w:t>R</w:t>
      </w:r>
      <w:r>
        <w:rPr>
          <w:szCs w:val="24"/>
        </w:rPr>
        <w:t xml:space="preserve">egulations extend </w:t>
      </w:r>
      <w:r w:rsidR="00EA4CAB">
        <w:rPr>
          <w:szCs w:val="24"/>
        </w:rPr>
        <w:t>the target market determination obligation to</w:t>
      </w:r>
      <w:r>
        <w:rPr>
          <w:szCs w:val="24"/>
        </w:rPr>
        <w:t xml:space="preserve"> d</w:t>
      </w:r>
      <w:r w:rsidRPr="00ED42FF">
        <w:rPr>
          <w:szCs w:val="24"/>
        </w:rPr>
        <w:t>ebentures</w:t>
      </w:r>
      <w:r w:rsidR="00B25D3E">
        <w:rPr>
          <w:rStyle w:val="FootnoteReference"/>
          <w:szCs w:val="24"/>
        </w:rPr>
        <w:footnoteReference w:id="14"/>
      </w:r>
      <w:r w:rsidRPr="00ED42FF">
        <w:rPr>
          <w:szCs w:val="24"/>
        </w:rPr>
        <w:t xml:space="preserve"> of a body that is an ADI </w:t>
      </w:r>
      <w:r w:rsidR="00CC2586">
        <w:rPr>
          <w:szCs w:val="24"/>
        </w:rPr>
        <w:t xml:space="preserve">within the meaning of the </w:t>
      </w:r>
      <w:r w:rsidR="00CC2586">
        <w:rPr>
          <w:i/>
          <w:szCs w:val="24"/>
        </w:rPr>
        <w:t xml:space="preserve">Banking Act 1959 </w:t>
      </w:r>
      <w:r w:rsidRPr="00ED42FF">
        <w:rPr>
          <w:szCs w:val="24"/>
        </w:rPr>
        <w:t xml:space="preserve">or </w:t>
      </w:r>
      <w:r>
        <w:rPr>
          <w:szCs w:val="24"/>
        </w:rPr>
        <w:t xml:space="preserve">a body that is </w:t>
      </w:r>
      <w:r w:rsidRPr="00ED42FF">
        <w:rPr>
          <w:szCs w:val="24"/>
        </w:rPr>
        <w:t xml:space="preserve">registered under section 21 of the </w:t>
      </w:r>
      <w:r w:rsidRPr="00ED42FF">
        <w:rPr>
          <w:i/>
          <w:szCs w:val="24"/>
        </w:rPr>
        <w:t>Life</w:t>
      </w:r>
      <w:r w:rsidR="00234618">
        <w:rPr>
          <w:i/>
          <w:szCs w:val="24"/>
        </w:rPr>
        <w:t> </w:t>
      </w:r>
      <w:r w:rsidRPr="00ED42FF">
        <w:rPr>
          <w:i/>
          <w:szCs w:val="24"/>
        </w:rPr>
        <w:t>Insurance Act 1995</w:t>
      </w:r>
      <w:r w:rsidR="007B3CE3">
        <w:rPr>
          <w:szCs w:val="24"/>
        </w:rPr>
        <w:t>.</w:t>
      </w:r>
      <w:r w:rsidR="00EA4CAB">
        <w:rPr>
          <w:szCs w:val="24"/>
        </w:rPr>
        <w:t xml:space="preserve"> </w:t>
      </w:r>
      <w:r w:rsidR="00656267">
        <w:t>The issuer</w:t>
      </w:r>
      <w:r w:rsidR="00E55B0B">
        <w:rPr>
          <w:rStyle w:val="FootnoteReference"/>
        </w:rPr>
        <w:footnoteReference w:id="15"/>
      </w:r>
      <w:r w:rsidR="00656267">
        <w:t xml:space="preserve"> of the debenture must make the target market determination before any person engages in ‘retail product distribution conduct’.</w:t>
      </w:r>
      <w:r w:rsidR="002671E7">
        <w:rPr>
          <w:rStyle w:val="FootnoteReference"/>
        </w:rPr>
        <w:footnoteReference w:id="16"/>
      </w:r>
      <w:r w:rsidR="00656267">
        <w:t xml:space="preserve"> </w:t>
      </w:r>
      <w:r w:rsidR="00E55B0B">
        <w:rPr>
          <w:szCs w:val="24"/>
        </w:rPr>
        <w:t>(Schedule 1, item </w:t>
      </w:r>
      <w:r w:rsidR="00AE2850">
        <w:rPr>
          <w:szCs w:val="24"/>
        </w:rPr>
        <w:t>2</w:t>
      </w:r>
      <w:r w:rsidR="00EA4CAB">
        <w:rPr>
          <w:szCs w:val="24"/>
        </w:rPr>
        <w:t xml:space="preserve">, </w:t>
      </w:r>
      <w:r w:rsidR="0039054B">
        <w:rPr>
          <w:szCs w:val="24"/>
        </w:rPr>
        <w:t>regulation 7.8A.0</w:t>
      </w:r>
      <w:r w:rsidR="00AE2850">
        <w:rPr>
          <w:szCs w:val="24"/>
        </w:rPr>
        <w:t>5</w:t>
      </w:r>
      <w:r w:rsidR="00EA4CAB">
        <w:rPr>
          <w:szCs w:val="24"/>
        </w:rPr>
        <w:t>)</w:t>
      </w:r>
    </w:p>
    <w:p w14:paraId="53F81C5E" w14:textId="5B2B61B7" w:rsidR="00B07966" w:rsidRDefault="00B07966" w:rsidP="00BF14CA">
      <w:pPr>
        <w:pStyle w:val="Bullet"/>
        <w:numPr>
          <w:ilvl w:val="0"/>
          <w:numId w:val="0"/>
        </w:numPr>
        <w:rPr>
          <w:szCs w:val="24"/>
        </w:rPr>
      </w:pPr>
      <w:r>
        <w:rPr>
          <w:szCs w:val="24"/>
        </w:rPr>
        <w:lastRenderedPageBreak/>
        <w:t>Without the amendments made by the Regulations</w:t>
      </w:r>
      <w:r w:rsidRPr="0048297B">
        <w:t xml:space="preserve">, offers of debentures of a body that is an ADI or registered under section 21 of the </w:t>
      </w:r>
      <w:r w:rsidRPr="0048297B">
        <w:rPr>
          <w:i/>
        </w:rPr>
        <w:t>Life Insurance Act 1995</w:t>
      </w:r>
      <w:r w:rsidRPr="0048297B">
        <w:t xml:space="preserve"> </w:t>
      </w:r>
      <w:r>
        <w:t>would</w:t>
      </w:r>
      <w:r w:rsidRPr="0048297B">
        <w:t xml:space="preserve"> not</w:t>
      </w:r>
      <w:r w:rsidRPr="00084149">
        <w:t xml:space="preserve"> </w:t>
      </w:r>
      <w:r>
        <w:t>be</w:t>
      </w:r>
      <w:r w:rsidRPr="0048297B">
        <w:t xml:space="preserve"> subject to </w:t>
      </w:r>
      <w:r>
        <w:rPr>
          <w:szCs w:val="24"/>
        </w:rPr>
        <w:t xml:space="preserve">the </w:t>
      </w:r>
      <w:r w:rsidRPr="0048297B">
        <w:rPr>
          <w:szCs w:val="24"/>
        </w:rPr>
        <w:t>DDO</w:t>
      </w:r>
      <w:r>
        <w:rPr>
          <w:szCs w:val="24"/>
        </w:rPr>
        <w:t xml:space="preserve"> regime</w:t>
      </w:r>
      <w:r w:rsidRPr="0048297B">
        <w:rPr>
          <w:szCs w:val="24"/>
        </w:rPr>
        <w:t>.</w:t>
      </w:r>
      <w:r w:rsidRPr="0050574B">
        <w:t xml:space="preserve"> </w:t>
      </w:r>
      <w:r>
        <w:rPr>
          <w:szCs w:val="24"/>
        </w:rPr>
        <w:t>In relation to securities, the DDO regime generally applies to offers of products that require disclosure under Part 6D.2 of the Corporations Act.</w:t>
      </w:r>
      <w:r>
        <w:rPr>
          <w:rStyle w:val="FootnoteReference"/>
          <w:szCs w:val="24"/>
        </w:rPr>
        <w:footnoteReference w:id="17"/>
      </w:r>
      <w:r w:rsidR="004E7394">
        <w:rPr>
          <w:szCs w:val="24"/>
        </w:rPr>
        <w:t xml:space="preserve"> </w:t>
      </w:r>
      <w:r>
        <w:rPr>
          <w:szCs w:val="24"/>
        </w:rPr>
        <w:t>Offers of these debentures are exempt</w:t>
      </w:r>
      <w:r w:rsidR="00013DDE">
        <w:rPr>
          <w:szCs w:val="24"/>
        </w:rPr>
        <w:t>ed</w:t>
      </w:r>
      <w:r>
        <w:rPr>
          <w:szCs w:val="24"/>
        </w:rPr>
        <w:t xml:space="preserve"> from needing such disclosure by </w:t>
      </w:r>
      <w:r w:rsidR="00E55B0B">
        <w:rPr>
          <w:szCs w:val="24"/>
        </w:rPr>
        <w:t>sub</w:t>
      </w:r>
      <w:r>
        <w:rPr>
          <w:szCs w:val="24"/>
        </w:rPr>
        <w:t>section 708(19) of the Corporations Act</w:t>
      </w:r>
      <w:r w:rsidRPr="006255F7">
        <w:rPr>
          <w:szCs w:val="24"/>
        </w:rPr>
        <w:t>.</w:t>
      </w:r>
    </w:p>
    <w:p w14:paraId="70653709" w14:textId="254B72E1" w:rsidR="003F20B0" w:rsidRPr="005D5A3F" w:rsidRDefault="003F20B0" w:rsidP="00BF14CA">
      <w:pPr>
        <w:pStyle w:val="Bullet"/>
        <w:numPr>
          <w:ilvl w:val="0"/>
          <w:numId w:val="0"/>
        </w:numPr>
      </w:pPr>
      <w:r>
        <w:rPr>
          <w:szCs w:val="24"/>
        </w:rPr>
        <w:t xml:space="preserve">These obligations are only extended to debentures </w:t>
      </w:r>
      <w:r w:rsidRPr="005D5A3F">
        <w:t>for which a person would be required to prepare a disclosure document under Part 6D.2 of the Corporations Act if subsection 708(19) of the Corporations Act did not apply.</w:t>
      </w:r>
      <w:r w:rsidR="00B07966">
        <w:rPr>
          <w:rStyle w:val="FootnoteReference"/>
        </w:rPr>
        <w:footnoteReference w:id="18"/>
      </w:r>
      <w:r w:rsidR="005C6856" w:rsidRPr="005D5A3F">
        <w:t xml:space="preserve"> This ensures that the obligations are not extended to wholesale issuances that do not require disclosure to investors.</w:t>
      </w:r>
      <w:r w:rsidR="00410D95">
        <w:t xml:space="preserve"> (Schedule 1, item 2, paragraph 7.8A.06(b))</w:t>
      </w:r>
    </w:p>
    <w:p w14:paraId="75FD3BE4" w14:textId="77777777" w:rsidR="00BF14CA" w:rsidRPr="00540BC8" w:rsidRDefault="00BF14CA" w:rsidP="00BF14CA">
      <w:pPr>
        <w:pStyle w:val="Bullet"/>
        <w:numPr>
          <w:ilvl w:val="0"/>
          <w:numId w:val="0"/>
        </w:numPr>
        <w:ind w:left="567" w:hanging="567"/>
        <w:rPr>
          <w:i/>
        </w:rPr>
      </w:pPr>
      <w:r>
        <w:rPr>
          <w:i/>
        </w:rPr>
        <w:t xml:space="preserve">Basic </w:t>
      </w:r>
      <w:r w:rsidR="00E55B0B">
        <w:rPr>
          <w:i/>
        </w:rPr>
        <w:t>banking p</w:t>
      </w:r>
      <w:r w:rsidR="00EA4CAB">
        <w:rPr>
          <w:i/>
        </w:rPr>
        <w:t>roduct</w:t>
      </w:r>
      <w:r w:rsidR="00BE1CCF">
        <w:rPr>
          <w:i/>
        </w:rPr>
        <w:t>s</w:t>
      </w:r>
    </w:p>
    <w:p w14:paraId="0EEFA220" w14:textId="70E10D99" w:rsidR="00001F72" w:rsidRDefault="00EA4CAB" w:rsidP="00EA4CAB">
      <w:pPr>
        <w:pStyle w:val="Bullet"/>
        <w:numPr>
          <w:ilvl w:val="0"/>
          <w:numId w:val="0"/>
        </w:numPr>
      </w:pPr>
      <w:r>
        <w:rPr>
          <w:szCs w:val="24"/>
        </w:rPr>
        <w:t xml:space="preserve">The </w:t>
      </w:r>
      <w:r w:rsidR="00DA497E">
        <w:rPr>
          <w:szCs w:val="24"/>
        </w:rPr>
        <w:t>R</w:t>
      </w:r>
      <w:r>
        <w:rPr>
          <w:szCs w:val="24"/>
        </w:rPr>
        <w:t>egulations extend the</w:t>
      </w:r>
      <w:r w:rsidR="00DA497E">
        <w:rPr>
          <w:szCs w:val="24"/>
        </w:rPr>
        <w:t xml:space="preserve"> obligation to make</w:t>
      </w:r>
      <w:r>
        <w:rPr>
          <w:szCs w:val="24"/>
        </w:rPr>
        <w:t xml:space="preserve"> </w:t>
      </w:r>
      <w:r w:rsidR="00234618">
        <w:rPr>
          <w:szCs w:val="24"/>
        </w:rPr>
        <w:t>a</w:t>
      </w:r>
      <w:r>
        <w:rPr>
          <w:szCs w:val="24"/>
        </w:rPr>
        <w:t xml:space="preserve"> target market determination to a basic banking product </w:t>
      </w:r>
      <w:r w:rsidR="004E7394">
        <w:rPr>
          <w:szCs w:val="24"/>
        </w:rPr>
        <w:t>within the meaning of</w:t>
      </w:r>
      <w:r>
        <w:rPr>
          <w:szCs w:val="24"/>
        </w:rPr>
        <w:t xml:space="preserve"> section</w:t>
      </w:r>
      <w:r>
        <w:t xml:space="preserve"> 961F of the </w:t>
      </w:r>
      <w:r w:rsidR="00355A4A">
        <w:t xml:space="preserve">Corporations </w:t>
      </w:r>
      <w:r>
        <w:t xml:space="preserve">Act. </w:t>
      </w:r>
      <w:r w:rsidR="00036436">
        <w:t>The issuer of the product must make the target market determination before any person engages in ‘retail product distribution conduct’.</w:t>
      </w:r>
      <w:r w:rsidR="00036436">
        <w:rPr>
          <w:rStyle w:val="FootnoteReference"/>
        </w:rPr>
        <w:footnoteReference w:id="19"/>
      </w:r>
      <w:r w:rsidR="00036436">
        <w:t xml:space="preserve"> </w:t>
      </w:r>
      <w:r w:rsidR="005140E4">
        <w:rPr>
          <w:szCs w:val="24"/>
        </w:rPr>
        <w:t xml:space="preserve">(Schedule 1, item </w:t>
      </w:r>
      <w:r w:rsidR="00AA26D3">
        <w:rPr>
          <w:szCs w:val="24"/>
        </w:rPr>
        <w:t xml:space="preserve">2, </w:t>
      </w:r>
      <w:r w:rsidR="0039054B">
        <w:rPr>
          <w:szCs w:val="24"/>
        </w:rPr>
        <w:t>regulation 7.8A.0</w:t>
      </w:r>
      <w:r w:rsidR="00AA26D3">
        <w:rPr>
          <w:szCs w:val="24"/>
        </w:rPr>
        <w:t>7</w:t>
      </w:r>
      <w:r w:rsidR="005140E4">
        <w:rPr>
          <w:szCs w:val="24"/>
        </w:rPr>
        <w:t>)</w:t>
      </w:r>
    </w:p>
    <w:p w14:paraId="1A2B68B0" w14:textId="77777777" w:rsidR="00EA4CAB" w:rsidRDefault="00EA4CAB" w:rsidP="00EA4CAB">
      <w:pPr>
        <w:pStyle w:val="Bullet"/>
        <w:numPr>
          <w:ilvl w:val="0"/>
          <w:numId w:val="0"/>
        </w:numPr>
      </w:pPr>
      <w:r>
        <w:t>A basic banking product includes a basic deposit product</w:t>
      </w:r>
      <w:r w:rsidR="00355A4A">
        <w:t xml:space="preserve"> (which is defined in section</w:t>
      </w:r>
      <w:r w:rsidR="005F737C">
        <w:t> </w:t>
      </w:r>
      <w:r w:rsidR="00355A4A">
        <w:t>761A of the Corporations Act)</w:t>
      </w:r>
      <w:r>
        <w:t>,</w:t>
      </w:r>
      <w:r w:rsidR="00B17173">
        <w:t xml:space="preserve"> a</w:t>
      </w:r>
      <w:r>
        <w:t xml:space="preserve"> facility for making non-cash payments,</w:t>
      </w:r>
      <w:r w:rsidR="00001F72">
        <w:t xml:space="preserve"> </w:t>
      </w:r>
      <w:r>
        <w:t>a facility for providing traveller’s cheques</w:t>
      </w:r>
      <w:r w:rsidR="00001F72">
        <w:t xml:space="preserve"> and any other product prescribed by the </w:t>
      </w:r>
      <w:r w:rsidR="004E7394">
        <w:t>Corporations R</w:t>
      </w:r>
      <w:r w:rsidR="00001F72">
        <w:t>egulations</w:t>
      </w:r>
      <w:r w:rsidR="004E7394">
        <w:t xml:space="preserve"> for the purposes of that definition</w:t>
      </w:r>
      <w:r w:rsidR="00001F72">
        <w:t xml:space="preserve">. </w:t>
      </w:r>
    </w:p>
    <w:p w14:paraId="0E5BF139" w14:textId="77777777" w:rsidR="00355A4A" w:rsidRDefault="0037549F" w:rsidP="00EA4CAB">
      <w:pPr>
        <w:pStyle w:val="Bullet"/>
        <w:numPr>
          <w:ilvl w:val="0"/>
          <w:numId w:val="0"/>
        </w:numPr>
      </w:pPr>
      <w:r>
        <w:rPr>
          <w:szCs w:val="24"/>
        </w:rPr>
        <w:t xml:space="preserve">Without the amendments made by the Regulations, </w:t>
      </w:r>
      <w:r w:rsidR="00036436">
        <w:rPr>
          <w:szCs w:val="24"/>
        </w:rPr>
        <w:t xml:space="preserve">basic banking products </w:t>
      </w:r>
      <w:r>
        <w:rPr>
          <w:szCs w:val="24"/>
        </w:rPr>
        <w:t>would</w:t>
      </w:r>
      <w:r w:rsidR="00036436">
        <w:rPr>
          <w:szCs w:val="24"/>
        </w:rPr>
        <w:t xml:space="preserve"> not </w:t>
      </w:r>
      <w:r>
        <w:rPr>
          <w:szCs w:val="24"/>
        </w:rPr>
        <w:t>be</w:t>
      </w:r>
      <w:r w:rsidR="00036436">
        <w:rPr>
          <w:szCs w:val="24"/>
        </w:rPr>
        <w:t xml:space="preserve"> subject to the DDO</w:t>
      </w:r>
      <w:r w:rsidR="00D147DC">
        <w:rPr>
          <w:szCs w:val="24"/>
        </w:rPr>
        <w:t xml:space="preserve"> regime</w:t>
      </w:r>
      <w:r w:rsidR="00036436">
        <w:rPr>
          <w:szCs w:val="24"/>
        </w:rPr>
        <w:t xml:space="preserve">. In </w:t>
      </w:r>
      <w:r w:rsidR="00BF5E0F">
        <w:rPr>
          <w:szCs w:val="24"/>
        </w:rPr>
        <w:t xml:space="preserve">relation to financial </w:t>
      </w:r>
      <w:r w:rsidR="00E9588A">
        <w:rPr>
          <w:szCs w:val="24"/>
        </w:rPr>
        <w:t>products which are</w:t>
      </w:r>
      <w:r w:rsidR="00BF5E0F">
        <w:rPr>
          <w:szCs w:val="24"/>
        </w:rPr>
        <w:t xml:space="preserve"> not </w:t>
      </w:r>
      <w:r w:rsidR="00240B2F">
        <w:rPr>
          <w:szCs w:val="24"/>
        </w:rPr>
        <w:t>securities</w:t>
      </w:r>
      <w:r w:rsidR="00E55B0B">
        <w:rPr>
          <w:szCs w:val="24"/>
        </w:rPr>
        <w:t xml:space="preserve"> but are regulated under the Corporations Act</w:t>
      </w:r>
      <w:r w:rsidR="00036436">
        <w:rPr>
          <w:szCs w:val="24"/>
        </w:rPr>
        <w:t xml:space="preserve">, </w:t>
      </w:r>
      <w:r w:rsidR="00416967">
        <w:rPr>
          <w:szCs w:val="24"/>
        </w:rPr>
        <w:t>the</w:t>
      </w:r>
      <w:r w:rsidR="00036436">
        <w:rPr>
          <w:szCs w:val="24"/>
        </w:rPr>
        <w:t xml:space="preserve"> DDO</w:t>
      </w:r>
      <w:r w:rsidR="00BF5E0F">
        <w:rPr>
          <w:szCs w:val="24"/>
        </w:rPr>
        <w:t xml:space="preserve"> regime</w:t>
      </w:r>
      <w:r w:rsidR="00036436">
        <w:rPr>
          <w:szCs w:val="24"/>
        </w:rPr>
        <w:t xml:space="preserve"> generally applies</w:t>
      </w:r>
      <w:r w:rsidR="00E9588A">
        <w:rPr>
          <w:szCs w:val="24"/>
        </w:rPr>
        <w:t xml:space="preserve"> </w:t>
      </w:r>
      <w:r w:rsidR="00BC3384">
        <w:rPr>
          <w:szCs w:val="24"/>
        </w:rPr>
        <w:t>in relation to</w:t>
      </w:r>
      <w:r w:rsidR="00D147DC">
        <w:rPr>
          <w:szCs w:val="24"/>
        </w:rPr>
        <w:t xml:space="preserve"> </w:t>
      </w:r>
      <w:r w:rsidR="00036436">
        <w:rPr>
          <w:szCs w:val="24"/>
        </w:rPr>
        <w:t>products</w:t>
      </w:r>
      <w:r w:rsidR="00BC3384">
        <w:rPr>
          <w:szCs w:val="24"/>
        </w:rPr>
        <w:t xml:space="preserve"> that</w:t>
      </w:r>
      <w:r w:rsidR="00036436">
        <w:rPr>
          <w:szCs w:val="24"/>
        </w:rPr>
        <w:t xml:space="preserve"> require disclosure</w:t>
      </w:r>
      <w:r w:rsidR="00BF5E0F">
        <w:rPr>
          <w:szCs w:val="24"/>
        </w:rPr>
        <w:t xml:space="preserve"> under Part 7.9 of the Corporations Act</w:t>
      </w:r>
      <w:r w:rsidR="00D147DC">
        <w:rPr>
          <w:szCs w:val="24"/>
        </w:rPr>
        <w:t>.</w:t>
      </w:r>
      <w:r w:rsidR="00036436">
        <w:rPr>
          <w:rStyle w:val="FootnoteReference"/>
          <w:szCs w:val="24"/>
        </w:rPr>
        <w:footnoteReference w:id="20"/>
      </w:r>
      <w:r w:rsidR="00036436">
        <w:rPr>
          <w:szCs w:val="24"/>
        </w:rPr>
        <w:t xml:space="preserve"> </w:t>
      </w:r>
      <w:r w:rsidR="00D147DC">
        <w:rPr>
          <w:szCs w:val="24"/>
        </w:rPr>
        <w:t>Under</w:t>
      </w:r>
      <w:r w:rsidR="00036436">
        <w:rPr>
          <w:szCs w:val="24"/>
        </w:rPr>
        <w:t xml:space="preserve"> </w:t>
      </w:r>
      <w:r w:rsidR="00355A4A">
        <w:t>regulation 7.9.07FA</w:t>
      </w:r>
      <w:r w:rsidR="00416557">
        <w:t xml:space="preserve"> of the </w:t>
      </w:r>
      <w:r w:rsidR="00416557" w:rsidRPr="00865EC1">
        <w:t>Corporations Regulations</w:t>
      </w:r>
      <w:r w:rsidR="004253EE">
        <w:t>,</w:t>
      </w:r>
      <w:r w:rsidR="00E9588A">
        <w:t xml:space="preserve"> such disclosure</w:t>
      </w:r>
      <w:r w:rsidR="00355A4A">
        <w:t xml:space="preserve"> is not required for </w:t>
      </w:r>
      <w:r w:rsidR="00612074">
        <w:t xml:space="preserve">most </w:t>
      </w:r>
      <w:r w:rsidR="00E9588A">
        <w:t>basic banking products</w:t>
      </w:r>
      <w:r w:rsidR="00355A4A">
        <w:t xml:space="preserve"> when </w:t>
      </w:r>
      <w:r w:rsidR="00416557">
        <w:t>specified</w:t>
      </w:r>
      <w:r w:rsidR="00355A4A">
        <w:t xml:space="preserve"> conditions are met. </w:t>
      </w:r>
    </w:p>
    <w:p w14:paraId="0D117349" w14:textId="48B95E10" w:rsidR="00ED07D8" w:rsidRDefault="00BF14CA" w:rsidP="00243BC2">
      <w:pPr>
        <w:pStyle w:val="Bullet"/>
        <w:numPr>
          <w:ilvl w:val="0"/>
          <w:numId w:val="0"/>
        </w:numPr>
        <w:ind w:left="567" w:hanging="567"/>
        <w:rPr>
          <w:szCs w:val="24"/>
        </w:rPr>
      </w:pPr>
      <w:r>
        <w:rPr>
          <w:i/>
          <w:szCs w:val="24"/>
        </w:rPr>
        <w:t>Investor</w:t>
      </w:r>
      <w:r w:rsidR="0099333F">
        <w:rPr>
          <w:i/>
          <w:szCs w:val="24"/>
        </w:rPr>
        <w:t>-d</w:t>
      </w:r>
      <w:r>
        <w:rPr>
          <w:i/>
          <w:szCs w:val="24"/>
        </w:rPr>
        <w:t xml:space="preserve">irected </w:t>
      </w:r>
      <w:r w:rsidR="0099333F">
        <w:rPr>
          <w:i/>
          <w:szCs w:val="24"/>
        </w:rPr>
        <w:t>p</w:t>
      </w:r>
      <w:r>
        <w:rPr>
          <w:i/>
          <w:szCs w:val="24"/>
        </w:rPr>
        <w:t xml:space="preserve">ortfolio </w:t>
      </w:r>
      <w:r w:rsidR="0099333F">
        <w:rPr>
          <w:i/>
          <w:szCs w:val="24"/>
        </w:rPr>
        <w:t>s</w:t>
      </w:r>
      <w:r>
        <w:rPr>
          <w:i/>
          <w:szCs w:val="24"/>
        </w:rPr>
        <w:t>ervices</w:t>
      </w:r>
      <w:r w:rsidR="00B574BD">
        <w:rPr>
          <w:i/>
          <w:szCs w:val="24"/>
        </w:rPr>
        <w:t xml:space="preserve"> (IDPS)</w:t>
      </w:r>
    </w:p>
    <w:p w14:paraId="71807FAC" w14:textId="77777777" w:rsidR="00310DE9" w:rsidRPr="00E55B0B" w:rsidRDefault="00310DE9">
      <w:pPr>
        <w:pStyle w:val="Bullet"/>
        <w:numPr>
          <w:ilvl w:val="0"/>
          <w:numId w:val="0"/>
        </w:numPr>
        <w:rPr>
          <w:szCs w:val="24"/>
        </w:rPr>
      </w:pPr>
      <w:r>
        <w:rPr>
          <w:szCs w:val="24"/>
        </w:rPr>
        <w:lastRenderedPageBreak/>
        <w:t>An IDPS is an unregistered managed investment scheme for holding and dealing with investments selected by investors. In broad terms, it provide</w:t>
      </w:r>
      <w:r w:rsidR="00F93268">
        <w:rPr>
          <w:szCs w:val="24"/>
        </w:rPr>
        <w:t>s custodial, transactional and reporting</w:t>
      </w:r>
      <w:r>
        <w:rPr>
          <w:szCs w:val="24"/>
        </w:rPr>
        <w:t xml:space="preserve"> services </w:t>
      </w:r>
      <w:r w:rsidR="00F93268" w:rsidRPr="00E55B0B">
        <w:rPr>
          <w:szCs w:val="24"/>
        </w:rPr>
        <w:t>where</w:t>
      </w:r>
      <w:r w:rsidRPr="00E55B0B">
        <w:rPr>
          <w:szCs w:val="24"/>
        </w:rPr>
        <w:t xml:space="preserve"> </w:t>
      </w:r>
      <w:r w:rsidR="00056841" w:rsidRPr="00E55B0B">
        <w:rPr>
          <w:szCs w:val="24"/>
        </w:rPr>
        <w:t xml:space="preserve">the investor makes </w:t>
      </w:r>
      <w:r w:rsidR="00F93268" w:rsidRPr="00E55B0B">
        <w:rPr>
          <w:szCs w:val="24"/>
        </w:rPr>
        <w:t>all of the</w:t>
      </w:r>
      <w:r w:rsidRPr="00E55B0B">
        <w:rPr>
          <w:szCs w:val="24"/>
        </w:rPr>
        <w:t xml:space="preserve"> investment decisions</w:t>
      </w:r>
      <w:r w:rsidR="00F93268" w:rsidRPr="00E55B0B">
        <w:rPr>
          <w:szCs w:val="24"/>
        </w:rPr>
        <w:t>.</w:t>
      </w:r>
    </w:p>
    <w:p w14:paraId="69AEE69D" w14:textId="4FD11251" w:rsidR="00862737" w:rsidRPr="00E55B0B" w:rsidRDefault="00862737" w:rsidP="00862737">
      <w:pPr>
        <w:pStyle w:val="Bullet"/>
        <w:numPr>
          <w:ilvl w:val="0"/>
          <w:numId w:val="0"/>
        </w:numPr>
        <w:rPr>
          <w:szCs w:val="24"/>
        </w:rPr>
      </w:pPr>
      <w:r w:rsidRPr="00E55B0B">
        <w:rPr>
          <w:szCs w:val="24"/>
        </w:rPr>
        <w:t xml:space="preserve">Under </w:t>
      </w:r>
      <w:r w:rsidR="00A034F8">
        <w:rPr>
          <w:szCs w:val="24"/>
        </w:rPr>
        <w:t>regulation 7.8A.08</w:t>
      </w:r>
      <w:r w:rsidR="005E540F">
        <w:rPr>
          <w:szCs w:val="24"/>
        </w:rPr>
        <w:t>,</w:t>
      </w:r>
      <w:r w:rsidRPr="00E55B0B">
        <w:rPr>
          <w:szCs w:val="24"/>
        </w:rPr>
        <w:t xml:space="preserve"> </w:t>
      </w:r>
      <w:r w:rsidR="000741B0">
        <w:rPr>
          <w:szCs w:val="24"/>
        </w:rPr>
        <w:t>IDPS operators</w:t>
      </w:r>
      <w:r w:rsidR="00ED4BA5">
        <w:rPr>
          <w:szCs w:val="24"/>
        </w:rPr>
        <w:t>:</w:t>
      </w:r>
    </w:p>
    <w:p w14:paraId="75D1FC0F" w14:textId="77777777" w:rsidR="00862737" w:rsidRPr="00E55B0B" w:rsidRDefault="00862737" w:rsidP="00862737">
      <w:pPr>
        <w:pStyle w:val="Dotpoint"/>
      </w:pPr>
      <w:r w:rsidRPr="00E55B0B">
        <w:t xml:space="preserve">are not required make a target market determination in relation to financial products offered or available on their platform (unless they are themselves the issuer); however </w:t>
      </w:r>
    </w:p>
    <w:p w14:paraId="13BFC24A" w14:textId="77777777" w:rsidR="00862737" w:rsidRPr="00E55B0B" w:rsidRDefault="00862737" w:rsidP="00862737">
      <w:pPr>
        <w:pStyle w:val="Dotpoint"/>
      </w:pPr>
      <w:r w:rsidRPr="00E55B0B">
        <w:t>they are required to make a target market determination in relation to the platform itself (as the platform is a separate financial product).</w:t>
      </w:r>
    </w:p>
    <w:p w14:paraId="53CE71D9" w14:textId="77777777" w:rsidR="004E3AA7" w:rsidRDefault="00F90BA3">
      <w:pPr>
        <w:pStyle w:val="Bullet"/>
        <w:numPr>
          <w:ilvl w:val="0"/>
          <w:numId w:val="0"/>
        </w:numPr>
        <w:rPr>
          <w:szCs w:val="24"/>
        </w:rPr>
      </w:pPr>
      <w:r w:rsidRPr="00E55B0B">
        <w:rPr>
          <w:szCs w:val="24"/>
        </w:rPr>
        <w:t>Without the amendments made by the Regulations, IDPSs would not generally be subject to DDO regime. In relation to</w:t>
      </w:r>
      <w:r>
        <w:rPr>
          <w:szCs w:val="24"/>
        </w:rPr>
        <w:t xml:space="preserve"> financial products which are not securities</w:t>
      </w:r>
      <w:r w:rsidR="00E55B0B">
        <w:rPr>
          <w:szCs w:val="24"/>
        </w:rPr>
        <w:t xml:space="preserve"> but are regulated under the Corporations Act</w:t>
      </w:r>
      <w:r>
        <w:rPr>
          <w:szCs w:val="24"/>
        </w:rPr>
        <w:t>, the DDO regime general</w:t>
      </w:r>
      <w:r w:rsidR="00BC3384">
        <w:rPr>
          <w:szCs w:val="24"/>
        </w:rPr>
        <w:t>ly applies in relation to</w:t>
      </w:r>
      <w:r>
        <w:rPr>
          <w:szCs w:val="24"/>
        </w:rPr>
        <w:t xml:space="preserve"> products</w:t>
      </w:r>
      <w:r w:rsidR="00BC3384">
        <w:rPr>
          <w:szCs w:val="24"/>
        </w:rPr>
        <w:t xml:space="preserve"> that</w:t>
      </w:r>
      <w:r>
        <w:rPr>
          <w:szCs w:val="24"/>
        </w:rPr>
        <w:t xml:space="preserve"> require disclosure under Part 7.9 of the Corporations Act.</w:t>
      </w:r>
      <w:r>
        <w:rPr>
          <w:rStyle w:val="FootnoteReference"/>
          <w:szCs w:val="24"/>
        </w:rPr>
        <w:footnoteReference w:id="21"/>
      </w:r>
      <w:r>
        <w:rPr>
          <w:szCs w:val="24"/>
        </w:rPr>
        <w:t xml:space="preserve"> Under ASIC </w:t>
      </w:r>
      <w:r w:rsidR="005F737C">
        <w:rPr>
          <w:szCs w:val="24"/>
        </w:rPr>
        <w:t>C</w:t>
      </w:r>
      <w:r>
        <w:rPr>
          <w:szCs w:val="24"/>
        </w:rPr>
        <w:t xml:space="preserve">lass </w:t>
      </w:r>
      <w:r w:rsidR="005F737C">
        <w:rPr>
          <w:szCs w:val="24"/>
        </w:rPr>
        <w:t>O</w:t>
      </w:r>
      <w:r>
        <w:rPr>
          <w:szCs w:val="24"/>
        </w:rPr>
        <w:t xml:space="preserve">rder </w:t>
      </w:r>
      <w:r w:rsidR="004E7394">
        <w:rPr>
          <w:szCs w:val="24"/>
        </w:rPr>
        <w:t>[</w:t>
      </w:r>
      <w:r>
        <w:rPr>
          <w:szCs w:val="24"/>
        </w:rPr>
        <w:t>CO 13/763</w:t>
      </w:r>
      <w:r w:rsidR="004E7394">
        <w:rPr>
          <w:szCs w:val="24"/>
        </w:rPr>
        <w:t>]</w:t>
      </w:r>
      <w:r w:rsidR="004253EE">
        <w:rPr>
          <w:szCs w:val="24"/>
        </w:rPr>
        <w:t>, such disclosure is not required in relation to IDPSs</w:t>
      </w:r>
      <w:r>
        <w:rPr>
          <w:szCs w:val="24"/>
        </w:rPr>
        <w:t xml:space="preserve"> when certain conditions are met by IDPS operators.</w:t>
      </w:r>
      <w:r>
        <w:rPr>
          <w:rStyle w:val="FootnoteReference"/>
          <w:szCs w:val="24"/>
        </w:rPr>
        <w:footnoteReference w:id="22"/>
      </w:r>
    </w:p>
    <w:p w14:paraId="3E8D47A8" w14:textId="1E3535D7" w:rsidR="00F90BA3" w:rsidRDefault="004E3AA7">
      <w:pPr>
        <w:pStyle w:val="Bullet"/>
        <w:numPr>
          <w:ilvl w:val="0"/>
          <w:numId w:val="0"/>
        </w:numPr>
        <w:rPr>
          <w:szCs w:val="24"/>
        </w:rPr>
      </w:pPr>
      <w:r>
        <w:rPr>
          <w:szCs w:val="24"/>
        </w:rPr>
        <w:t xml:space="preserve">The Regulations extend the obligation to make a target market determination to a financial product that is </w:t>
      </w:r>
      <w:r w:rsidRPr="00460354">
        <w:rPr>
          <w:szCs w:val="24"/>
        </w:rPr>
        <w:t xml:space="preserve">an interest in a managed investment scheme, </w:t>
      </w:r>
      <w:r w:rsidR="00460354" w:rsidRPr="00460354">
        <w:rPr>
          <w:szCs w:val="24"/>
        </w:rPr>
        <w:t>where</w:t>
      </w:r>
      <w:r w:rsidRPr="00460354">
        <w:rPr>
          <w:szCs w:val="24"/>
        </w:rPr>
        <w:t xml:space="preserve"> the interest arises out of participation or proposed participation in an IDPS</w:t>
      </w:r>
      <w:r w:rsidR="00ED4BA5" w:rsidRPr="00460354">
        <w:rPr>
          <w:szCs w:val="24"/>
        </w:rPr>
        <w:t xml:space="preserve"> </w:t>
      </w:r>
      <w:r w:rsidR="00460354" w:rsidRPr="006F49A9">
        <w:rPr>
          <w:szCs w:val="24"/>
        </w:rPr>
        <w:t>but is not</w:t>
      </w:r>
      <w:r w:rsidR="00ED4BA5" w:rsidRPr="00460354">
        <w:rPr>
          <w:szCs w:val="24"/>
        </w:rPr>
        <w:t xml:space="preserve"> IDPS property</w:t>
      </w:r>
      <w:r w:rsidRPr="00460354">
        <w:rPr>
          <w:szCs w:val="24"/>
        </w:rPr>
        <w:t>. The operator of the IDPS</w:t>
      </w:r>
      <w:r w:rsidRPr="00460354">
        <w:t xml:space="preserve"> must make the target market determination before any person</w:t>
      </w:r>
      <w:r>
        <w:t xml:space="preserve"> engages in ‘retail product distribution conduct’.</w:t>
      </w:r>
      <w:r>
        <w:rPr>
          <w:rStyle w:val="FootnoteReference"/>
        </w:rPr>
        <w:footnoteReference w:id="23"/>
      </w:r>
      <w:r>
        <w:rPr>
          <w:szCs w:val="24"/>
        </w:rPr>
        <w:t xml:space="preserve"> </w:t>
      </w:r>
      <w:r>
        <w:t>(Schedule 1, item 2, regulation 7.8A.08)</w:t>
      </w:r>
      <w:r w:rsidR="00F90BA3">
        <w:rPr>
          <w:szCs w:val="24"/>
        </w:rPr>
        <w:t xml:space="preserve"> </w:t>
      </w:r>
    </w:p>
    <w:p w14:paraId="3E1DE2B2" w14:textId="7A5F3D5D" w:rsidR="0009432B" w:rsidRDefault="000741B0">
      <w:pPr>
        <w:pStyle w:val="Bullet"/>
        <w:numPr>
          <w:ilvl w:val="0"/>
          <w:numId w:val="0"/>
        </w:numPr>
        <w:rPr>
          <w:szCs w:val="24"/>
        </w:rPr>
      </w:pPr>
      <w:r>
        <w:rPr>
          <w:szCs w:val="24"/>
        </w:rPr>
        <w:t xml:space="preserve">In this </w:t>
      </w:r>
      <w:r w:rsidR="005F1AE0">
        <w:rPr>
          <w:szCs w:val="24"/>
        </w:rPr>
        <w:t>R</w:t>
      </w:r>
      <w:r>
        <w:rPr>
          <w:szCs w:val="24"/>
        </w:rPr>
        <w:t>egulation,</w:t>
      </w:r>
      <w:r w:rsidR="00810BC0">
        <w:rPr>
          <w:szCs w:val="24"/>
        </w:rPr>
        <w:t xml:space="preserve"> an IDPS</w:t>
      </w:r>
      <w:r w:rsidR="004E3AA7">
        <w:rPr>
          <w:szCs w:val="24"/>
        </w:rPr>
        <w:t>, IDPS property</w:t>
      </w:r>
      <w:r w:rsidR="00810BC0">
        <w:rPr>
          <w:szCs w:val="24"/>
        </w:rPr>
        <w:t xml:space="preserve"> and </w:t>
      </w:r>
      <w:r w:rsidR="004E3AA7">
        <w:rPr>
          <w:szCs w:val="24"/>
        </w:rPr>
        <w:t>an operator of an IDPS</w:t>
      </w:r>
      <w:r>
        <w:rPr>
          <w:szCs w:val="24"/>
        </w:rPr>
        <w:t xml:space="preserve"> are defined</w:t>
      </w:r>
      <w:r w:rsidR="00810BC0">
        <w:rPr>
          <w:szCs w:val="24"/>
        </w:rPr>
        <w:t xml:space="preserve"> by reference to the meanings of those terms as set out in </w:t>
      </w:r>
      <w:r w:rsidR="00F90BA3">
        <w:rPr>
          <w:szCs w:val="24"/>
        </w:rPr>
        <w:t xml:space="preserve">ASIC </w:t>
      </w:r>
      <w:r w:rsidR="005F737C">
        <w:rPr>
          <w:szCs w:val="24"/>
        </w:rPr>
        <w:t>C</w:t>
      </w:r>
      <w:r w:rsidR="00F90BA3">
        <w:rPr>
          <w:szCs w:val="24"/>
        </w:rPr>
        <w:t xml:space="preserve">lass </w:t>
      </w:r>
      <w:r w:rsidR="005F737C">
        <w:rPr>
          <w:szCs w:val="24"/>
        </w:rPr>
        <w:t>O</w:t>
      </w:r>
      <w:r w:rsidR="00F90BA3">
        <w:rPr>
          <w:szCs w:val="24"/>
        </w:rPr>
        <w:t xml:space="preserve">rder </w:t>
      </w:r>
      <w:r w:rsidR="003C2E16">
        <w:rPr>
          <w:szCs w:val="24"/>
        </w:rPr>
        <w:t>[</w:t>
      </w:r>
      <w:r w:rsidR="00F90BA3">
        <w:rPr>
          <w:szCs w:val="24"/>
        </w:rPr>
        <w:t>CO 13/763</w:t>
      </w:r>
      <w:r w:rsidR="003C2E16">
        <w:rPr>
          <w:szCs w:val="24"/>
        </w:rPr>
        <w:t>]</w:t>
      </w:r>
      <w:r w:rsidR="00F90BA3">
        <w:rPr>
          <w:szCs w:val="24"/>
        </w:rPr>
        <w:t>, as in force from time to time</w:t>
      </w:r>
      <w:r w:rsidR="00810BC0">
        <w:rPr>
          <w:szCs w:val="24"/>
        </w:rPr>
        <w:t>.</w:t>
      </w:r>
      <w:r w:rsidR="00245AE3">
        <w:rPr>
          <w:rStyle w:val="FootnoteReference"/>
          <w:szCs w:val="24"/>
        </w:rPr>
        <w:footnoteReference w:id="24"/>
      </w:r>
      <w:r w:rsidR="00810BC0">
        <w:rPr>
          <w:szCs w:val="24"/>
        </w:rPr>
        <w:t xml:space="preserve"> This ensures that the obligation </w:t>
      </w:r>
      <w:r w:rsidR="00245AE3">
        <w:rPr>
          <w:szCs w:val="24"/>
        </w:rPr>
        <w:t xml:space="preserve">to make a target market determination </w:t>
      </w:r>
      <w:r w:rsidR="00810BC0">
        <w:rPr>
          <w:szCs w:val="24"/>
        </w:rPr>
        <w:t>only extend</w:t>
      </w:r>
      <w:r w:rsidR="00245AE3">
        <w:rPr>
          <w:szCs w:val="24"/>
        </w:rPr>
        <w:t>s</w:t>
      </w:r>
      <w:r w:rsidR="00810BC0">
        <w:rPr>
          <w:szCs w:val="24"/>
        </w:rPr>
        <w:t xml:space="preserve"> to IDPSs and operators that are covered by the relief</w:t>
      </w:r>
      <w:r w:rsidR="00245AE3">
        <w:rPr>
          <w:szCs w:val="24"/>
        </w:rPr>
        <w:t xml:space="preserve"> from disclosure given by the order</w:t>
      </w:r>
      <w:r w:rsidR="00810BC0">
        <w:rPr>
          <w:szCs w:val="24"/>
        </w:rPr>
        <w:t>.</w:t>
      </w:r>
      <w:r w:rsidR="003C2E16">
        <w:rPr>
          <w:szCs w:val="24"/>
        </w:rPr>
        <w:t xml:space="preserve"> (Schedule </w:t>
      </w:r>
      <w:r w:rsidR="0039054B">
        <w:rPr>
          <w:szCs w:val="24"/>
        </w:rPr>
        <w:t xml:space="preserve">1, item </w:t>
      </w:r>
      <w:r w:rsidR="004E3AA7">
        <w:rPr>
          <w:szCs w:val="24"/>
        </w:rPr>
        <w:t>2</w:t>
      </w:r>
      <w:r w:rsidR="0039054B">
        <w:rPr>
          <w:szCs w:val="24"/>
        </w:rPr>
        <w:t>, subregulation 7.8A.0</w:t>
      </w:r>
      <w:r w:rsidR="004E3AA7">
        <w:rPr>
          <w:szCs w:val="24"/>
        </w:rPr>
        <w:t>8</w:t>
      </w:r>
      <w:r w:rsidR="003C2E16">
        <w:rPr>
          <w:szCs w:val="24"/>
        </w:rPr>
        <w:t>(</w:t>
      </w:r>
      <w:r w:rsidR="004E3AA7">
        <w:rPr>
          <w:szCs w:val="24"/>
        </w:rPr>
        <w:t>2</w:t>
      </w:r>
      <w:r w:rsidR="003C2E16">
        <w:rPr>
          <w:szCs w:val="24"/>
        </w:rPr>
        <w:t>), definitions of ‘IDPS’</w:t>
      </w:r>
      <w:r w:rsidR="004E3AA7">
        <w:rPr>
          <w:szCs w:val="24"/>
        </w:rPr>
        <w:t>, ‘IDPS property’</w:t>
      </w:r>
      <w:r w:rsidR="003C2E16">
        <w:rPr>
          <w:szCs w:val="24"/>
        </w:rPr>
        <w:t xml:space="preserve"> and ‘operator’)</w:t>
      </w:r>
    </w:p>
    <w:p w14:paraId="1D54EFFB" w14:textId="32C204D5" w:rsidR="0009432B" w:rsidRDefault="0009432B">
      <w:pPr>
        <w:pStyle w:val="Bullet"/>
        <w:numPr>
          <w:ilvl w:val="0"/>
          <w:numId w:val="0"/>
        </w:numPr>
        <w:rPr>
          <w:i/>
          <w:szCs w:val="24"/>
        </w:rPr>
      </w:pPr>
      <w:r>
        <w:rPr>
          <w:i/>
          <w:szCs w:val="24"/>
        </w:rPr>
        <w:t xml:space="preserve">Exchange traded </w:t>
      </w:r>
      <w:r w:rsidR="0017307A">
        <w:rPr>
          <w:i/>
          <w:szCs w:val="24"/>
        </w:rPr>
        <w:t>products</w:t>
      </w:r>
    </w:p>
    <w:p w14:paraId="5283D6C4" w14:textId="32786FAC" w:rsidR="00CA4691" w:rsidRDefault="004A526A">
      <w:pPr>
        <w:pStyle w:val="Bullet"/>
        <w:numPr>
          <w:ilvl w:val="0"/>
          <w:numId w:val="0"/>
        </w:numPr>
        <w:rPr>
          <w:szCs w:val="24"/>
        </w:rPr>
      </w:pPr>
      <w:r>
        <w:rPr>
          <w:szCs w:val="24"/>
        </w:rPr>
        <w:t>Regulation 7.8A.09 provides</w:t>
      </w:r>
      <w:r w:rsidR="0009432B">
        <w:rPr>
          <w:szCs w:val="24"/>
        </w:rPr>
        <w:t xml:space="preserve"> that a</w:t>
      </w:r>
      <w:r w:rsidR="007B57DF">
        <w:rPr>
          <w:szCs w:val="24"/>
        </w:rPr>
        <w:t>n issuer</w:t>
      </w:r>
      <w:r w:rsidR="0009432B">
        <w:rPr>
          <w:szCs w:val="24"/>
        </w:rPr>
        <w:t xml:space="preserve"> must make a target market determination for a</w:t>
      </w:r>
      <w:r w:rsidR="007B57DF">
        <w:rPr>
          <w:szCs w:val="24"/>
        </w:rPr>
        <w:t xml:space="preserve">n exchange </w:t>
      </w:r>
      <w:r w:rsidR="007B57DF" w:rsidDel="0017307A">
        <w:rPr>
          <w:szCs w:val="24"/>
        </w:rPr>
        <w:t xml:space="preserve">traded </w:t>
      </w:r>
      <w:r w:rsidR="0017307A">
        <w:rPr>
          <w:szCs w:val="24"/>
        </w:rPr>
        <w:t>product</w:t>
      </w:r>
      <w:r w:rsidR="007B57DF">
        <w:rPr>
          <w:szCs w:val="24"/>
        </w:rPr>
        <w:t xml:space="preserve"> that is designed to be sold to a retail client. The target market determination is to be made by the end of the day on which the product is first issued.</w:t>
      </w:r>
    </w:p>
    <w:p w14:paraId="6BDD3AD7" w14:textId="2CD6F406" w:rsidR="004A526A" w:rsidRDefault="001973C2">
      <w:pPr>
        <w:pStyle w:val="Bullet"/>
        <w:numPr>
          <w:ilvl w:val="0"/>
          <w:numId w:val="0"/>
        </w:numPr>
        <w:rPr>
          <w:szCs w:val="24"/>
        </w:rPr>
      </w:pPr>
      <w:r>
        <w:rPr>
          <w:szCs w:val="24"/>
        </w:rPr>
        <w:t>This R</w:t>
      </w:r>
      <w:r w:rsidR="004A526A">
        <w:rPr>
          <w:szCs w:val="24"/>
        </w:rPr>
        <w:t>egulation applies in circumstances where:</w:t>
      </w:r>
    </w:p>
    <w:p w14:paraId="62A15E01" w14:textId="2884A538" w:rsidR="004A526A" w:rsidRDefault="00404CDA">
      <w:pPr>
        <w:pStyle w:val="Bullet"/>
        <w:numPr>
          <w:ilvl w:val="0"/>
          <w:numId w:val="43"/>
        </w:numPr>
        <w:rPr>
          <w:szCs w:val="24"/>
        </w:rPr>
      </w:pPr>
      <w:r w:rsidRPr="000A0039">
        <w:rPr>
          <w:szCs w:val="24"/>
        </w:rPr>
        <w:lastRenderedPageBreak/>
        <w:t>t</w:t>
      </w:r>
      <w:r w:rsidR="004A526A" w:rsidRPr="000A0039">
        <w:rPr>
          <w:szCs w:val="24"/>
        </w:rPr>
        <w:t>he product is a</w:t>
      </w:r>
      <w:r w:rsidR="00460354" w:rsidRPr="006F49A9">
        <w:rPr>
          <w:szCs w:val="24"/>
        </w:rPr>
        <w:t>n interest in a</w:t>
      </w:r>
      <w:r w:rsidR="004A526A" w:rsidRPr="000A0039">
        <w:rPr>
          <w:szCs w:val="24"/>
        </w:rPr>
        <w:t xml:space="preserve"> managed investment </w:t>
      </w:r>
      <w:r w:rsidR="0053426A" w:rsidRPr="000A0039">
        <w:rPr>
          <w:szCs w:val="24"/>
        </w:rPr>
        <w:t xml:space="preserve">scheme or </w:t>
      </w:r>
      <w:r w:rsidR="00460354" w:rsidRPr="006F49A9">
        <w:rPr>
          <w:szCs w:val="24"/>
        </w:rPr>
        <w:t xml:space="preserve">a </w:t>
      </w:r>
      <w:r w:rsidR="0053426A" w:rsidRPr="000A0039">
        <w:rPr>
          <w:szCs w:val="24"/>
        </w:rPr>
        <w:t>share in</w:t>
      </w:r>
      <w:r w:rsidR="0053426A" w:rsidRPr="000A0039" w:rsidDel="00460354">
        <w:rPr>
          <w:szCs w:val="24"/>
        </w:rPr>
        <w:t xml:space="preserve"> </w:t>
      </w:r>
      <w:r w:rsidR="0053426A" w:rsidRPr="000A0039">
        <w:rPr>
          <w:szCs w:val="24"/>
        </w:rPr>
        <w:t>certain investment companies registered</w:t>
      </w:r>
      <w:r w:rsidR="00460354" w:rsidRPr="006F49A9">
        <w:rPr>
          <w:szCs w:val="24"/>
        </w:rPr>
        <w:t xml:space="preserve"> with</w:t>
      </w:r>
      <w:r w:rsidR="0053426A" w:rsidRPr="000A0039">
        <w:rPr>
          <w:szCs w:val="24"/>
        </w:rPr>
        <w:t xml:space="preserve"> the U.S. Securities and Exchange Commission (and related products) </w:t>
      </w:r>
      <w:r w:rsidR="004A526A" w:rsidRPr="000A0039">
        <w:rPr>
          <w:szCs w:val="24"/>
        </w:rPr>
        <w:t>that</w:t>
      </w:r>
      <w:r w:rsidR="004A526A">
        <w:rPr>
          <w:szCs w:val="24"/>
        </w:rPr>
        <w:t xml:space="preserve"> is or will be able to be traded on a licenced market</w:t>
      </w:r>
      <w:r w:rsidR="00EE3C65">
        <w:rPr>
          <w:szCs w:val="24"/>
        </w:rPr>
        <w:t xml:space="preserve">. This is drafted to be consistent with the definition of exchange traded funds used in the </w:t>
      </w:r>
      <w:r w:rsidR="00EE3C65" w:rsidRPr="006F49A9">
        <w:rPr>
          <w:i/>
          <w:szCs w:val="24"/>
        </w:rPr>
        <w:t>ASIC Corporations (Short Selling) Instrument 2018/745</w:t>
      </w:r>
      <w:r w:rsidR="004A526A">
        <w:rPr>
          <w:szCs w:val="24"/>
        </w:rPr>
        <w:t>;</w:t>
      </w:r>
    </w:p>
    <w:p w14:paraId="0A1272B8" w14:textId="53CF5A24" w:rsidR="004A526A" w:rsidRDefault="00404CDA">
      <w:pPr>
        <w:pStyle w:val="Bullet"/>
        <w:numPr>
          <w:ilvl w:val="0"/>
          <w:numId w:val="43"/>
        </w:numPr>
        <w:rPr>
          <w:szCs w:val="24"/>
        </w:rPr>
      </w:pPr>
      <w:r>
        <w:rPr>
          <w:szCs w:val="24"/>
        </w:rPr>
        <w:t>t</w:t>
      </w:r>
      <w:r w:rsidR="004A526A">
        <w:rPr>
          <w:szCs w:val="24"/>
        </w:rPr>
        <w:t>he issuer issued the product with the purpose of the person to whom it was issued selling or transferring the product, or granting, issuing or transferring interests in or options or warrants over the product</w:t>
      </w:r>
      <w:r>
        <w:rPr>
          <w:szCs w:val="24"/>
        </w:rPr>
        <w:t xml:space="preserve"> (this is the purpose mentioned in subparagraph </w:t>
      </w:r>
      <w:r w:rsidR="004A526A">
        <w:rPr>
          <w:szCs w:val="24"/>
        </w:rPr>
        <w:t>1012C(6)(c)(i) of the Act</w:t>
      </w:r>
      <w:r>
        <w:rPr>
          <w:szCs w:val="24"/>
        </w:rPr>
        <w:t>, which is also affected by subsection 1012C(7) of the Act in determining whether the issuer had this purpose)</w:t>
      </w:r>
      <w:r w:rsidR="004A526A">
        <w:rPr>
          <w:szCs w:val="24"/>
        </w:rPr>
        <w:t>; and</w:t>
      </w:r>
    </w:p>
    <w:p w14:paraId="62CDF583" w14:textId="7B0F5B36" w:rsidR="004A526A" w:rsidRDefault="00404CDA">
      <w:pPr>
        <w:pStyle w:val="Bullet"/>
        <w:numPr>
          <w:ilvl w:val="0"/>
          <w:numId w:val="43"/>
        </w:numPr>
        <w:rPr>
          <w:szCs w:val="24"/>
        </w:rPr>
      </w:pPr>
      <w:r>
        <w:rPr>
          <w:szCs w:val="24"/>
        </w:rPr>
        <w:t>i</w:t>
      </w:r>
      <w:r w:rsidR="004A526A">
        <w:rPr>
          <w:szCs w:val="24"/>
        </w:rPr>
        <w:t>t is reasonably likely that a regulated person will offer to sell the product to a person as a retail client within 12 months of the issue of the product.</w:t>
      </w:r>
    </w:p>
    <w:p w14:paraId="1D0DCAEE" w14:textId="6EA8D5C4" w:rsidR="009A1D3D" w:rsidRDefault="00366C48">
      <w:pPr>
        <w:pStyle w:val="Bullet"/>
        <w:numPr>
          <w:ilvl w:val="0"/>
          <w:numId w:val="0"/>
        </w:numPr>
        <w:rPr>
          <w:szCs w:val="24"/>
        </w:rPr>
      </w:pPr>
      <w:r>
        <w:t xml:space="preserve">This Regulation is intended to address any uncertainty that the issuer is required to make a target market determination in these circumstances, noting issuers of exchange traded products will often issue the product to another wholesale client in the first instance. </w:t>
      </w:r>
      <w:r w:rsidR="009A1D3D">
        <w:t xml:space="preserve">Issuers of </w:t>
      </w:r>
      <w:r>
        <w:t xml:space="preserve">exchange traded products such as </w:t>
      </w:r>
      <w:r w:rsidR="00EE3C65">
        <w:t xml:space="preserve">exchange traded funds </w:t>
      </w:r>
      <w:r w:rsidR="009A1D3D">
        <w:t xml:space="preserve">should have the responsibility to issue a target market determination in relation to the </w:t>
      </w:r>
      <w:r>
        <w:t>product</w:t>
      </w:r>
      <w:r w:rsidR="009A1D3D">
        <w:t xml:space="preserve">, as they design </w:t>
      </w:r>
      <w:r w:rsidR="004A7547">
        <w:t>the</w:t>
      </w:r>
      <w:r w:rsidR="009A1D3D">
        <w:t xml:space="preserve"> product and are therefore well placed to determine the target market for the product.</w:t>
      </w:r>
      <w:r w:rsidR="009A1D3D">
        <w:rPr>
          <w:szCs w:val="24"/>
        </w:rPr>
        <w:t xml:space="preserve"> </w:t>
      </w:r>
    </w:p>
    <w:p w14:paraId="5FE44455" w14:textId="48575251" w:rsidR="002150B9" w:rsidRDefault="007B57DF">
      <w:pPr>
        <w:pStyle w:val="Bullet"/>
        <w:numPr>
          <w:ilvl w:val="0"/>
          <w:numId w:val="0"/>
        </w:numPr>
        <w:rPr>
          <w:szCs w:val="24"/>
        </w:rPr>
      </w:pPr>
      <w:r w:rsidRPr="004A7547">
        <w:rPr>
          <w:szCs w:val="24"/>
        </w:rPr>
        <w:t xml:space="preserve">This </w:t>
      </w:r>
      <w:r w:rsidR="005F1AE0">
        <w:rPr>
          <w:szCs w:val="24"/>
        </w:rPr>
        <w:t>R</w:t>
      </w:r>
      <w:r w:rsidRPr="004A7547">
        <w:rPr>
          <w:szCs w:val="24"/>
        </w:rPr>
        <w:t xml:space="preserve">egulation does not apply to a financial product if the issuer issued, or offered to issue, the product to a person as a retail client at or before </w:t>
      </w:r>
      <w:r w:rsidR="004A7547" w:rsidRPr="004A7547">
        <w:rPr>
          <w:szCs w:val="24"/>
        </w:rPr>
        <w:t>close of business on the day on which the issuer first issues the product</w:t>
      </w:r>
      <w:r w:rsidR="00071380" w:rsidRPr="004A7547">
        <w:rPr>
          <w:szCs w:val="24"/>
        </w:rPr>
        <w:t>. This is because, if the issuer issues a product directly to a retail client they will be required to issue a P</w:t>
      </w:r>
      <w:r w:rsidR="00131560">
        <w:rPr>
          <w:szCs w:val="24"/>
        </w:rPr>
        <w:t xml:space="preserve">roduct </w:t>
      </w:r>
      <w:r w:rsidR="00071380" w:rsidRPr="004A7547">
        <w:rPr>
          <w:szCs w:val="24"/>
        </w:rPr>
        <w:t>D</w:t>
      </w:r>
      <w:r w:rsidR="00131560">
        <w:rPr>
          <w:szCs w:val="24"/>
        </w:rPr>
        <w:t xml:space="preserve">isclosure </w:t>
      </w:r>
      <w:r w:rsidR="00071380" w:rsidRPr="004A7547">
        <w:rPr>
          <w:szCs w:val="24"/>
        </w:rPr>
        <w:t>S</w:t>
      </w:r>
      <w:r w:rsidR="00131560">
        <w:rPr>
          <w:szCs w:val="24"/>
        </w:rPr>
        <w:t>tatement</w:t>
      </w:r>
      <w:r w:rsidR="00071380" w:rsidRPr="004A7547">
        <w:rPr>
          <w:szCs w:val="24"/>
        </w:rPr>
        <w:t xml:space="preserve"> under section 1012B of the </w:t>
      </w:r>
      <w:r w:rsidR="00DF10B3">
        <w:rPr>
          <w:szCs w:val="24"/>
        </w:rPr>
        <w:t xml:space="preserve">Corporations </w:t>
      </w:r>
      <w:r w:rsidR="00071380" w:rsidRPr="004A7547">
        <w:rPr>
          <w:szCs w:val="24"/>
        </w:rPr>
        <w:t>Act, which means that the obligation to issue a target ma</w:t>
      </w:r>
      <w:r w:rsidR="00CA4691" w:rsidRPr="004A7547">
        <w:rPr>
          <w:szCs w:val="24"/>
        </w:rPr>
        <w:t>rket determination will already</w:t>
      </w:r>
      <w:r w:rsidR="00CA4691" w:rsidRPr="00B46B5C">
        <w:rPr>
          <w:szCs w:val="24"/>
        </w:rPr>
        <w:t xml:space="preserve"> apply.</w:t>
      </w:r>
      <w:r w:rsidR="004A7547">
        <w:rPr>
          <w:szCs w:val="24"/>
        </w:rPr>
        <w:t xml:space="preserve"> </w:t>
      </w:r>
      <w:r w:rsidR="004A7547" w:rsidRPr="004A7547">
        <w:rPr>
          <w:szCs w:val="24"/>
        </w:rPr>
        <w:t>(Schedule 1, item 2, subregulation</w:t>
      </w:r>
      <w:r w:rsidR="000A0039">
        <w:rPr>
          <w:szCs w:val="24"/>
        </w:rPr>
        <w:t> </w:t>
      </w:r>
      <w:r w:rsidR="004A7547" w:rsidRPr="004A7547">
        <w:rPr>
          <w:szCs w:val="24"/>
        </w:rPr>
        <w:t>7.8A.09(3))</w:t>
      </w:r>
    </w:p>
    <w:p w14:paraId="7EF5584B" w14:textId="109D19EE" w:rsidR="006D6CDD" w:rsidRDefault="00F8782A">
      <w:pPr>
        <w:pStyle w:val="Bullet"/>
        <w:numPr>
          <w:ilvl w:val="0"/>
          <w:numId w:val="0"/>
        </w:numPr>
        <w:rPr>
          <w:i/>
          <w:szCs w:val="24"/>
        </w:rPr>
      </w:pPr>
      <w:r>
        <w:rPr>
          <w:i/>
          <w:szCs w:val="24"/>
        </w:rPr>
        <w:t>Custodial</w:t>
      </w:r>
      <w:r w:rsidR="006D6CDD">
        <w:rPr>
          <w:i/>
          <w:szCs w:val="24"/>
        </w:rPr>
        <w:t xml:space="preserve"> or</w:t>
      </w:r>
      <w:r w:rsidR="008822E8">
        <w:rPr>
          <w:i/>
          <w:szCs w:val="24"/>
        </w:rPr>
        <w:t xml:space="preserve"> </w:t>
      </w:r>
      <w:r w:rsidR="002150B9">
        <w:rPr>
          <w:i/>
          <w:szCs w:val="24"/>
        </w:rPr>
        <w:t>d</w:t>
      </w:r>
      <w:r w:rsidR="008822E8">
        <w:rPr>
          <w:i/>
          <w:szCs w:val="24"/>
        </w:rPr>
        <w:t>eposit</w:t>
      </w:r>
      <w:r w:rsidR="005F737C">
        <w:rPr>
          <w:i/>
          <w:szCs w:val="24"/>
        </w:rPr>
        <w:t>o</w:t>
      </w:r>
      <w:r w:rsidR="008822E8">
        <w:rPr>
          <w:i/>
          <w:szCs w:val="24"/>
        </w:rPr>
        <w:t xml:space="preserve">ry </w:t>
      </w:r>
      <w:r w:rsidR="002150B9">
        <w:rPr>
          <w:i/>
          <w:szCs w:val="24"/>
        </w:rPr>
        <w:t>s</w:t>
      </w:r>
      <w:r w:rsidR="006D6CDD">
        <w:rPr>
          <w:i/>
          <w:szCs w:val="24"/>
        </w:rPr>
        <w:t>ervices</w:t>
      </w:r>
    </w:p>
    <w:p w14:paraId="25493A52" w14:textId="58FDBBCD" w:rsidR="00EE39D1" w:rsidRDefault="00DE20D7">
      <w:pPr>
        <w:pStyle w:val="Bullet"/>
        <w:numPr>
          <w:ilvl w:val="0"/>
          <w:numId w:val="0"/>
        </w:numPr>
      </w:pPr>
      <w:r>
        <w:rPr>
          <w:szCs w:val="24"/>
        </w:rPr>
        <w:t>The</w:t>
      </w:r>
      <w:r w:rsidR="008822E8">
        <w:rPr>
          <w:szCs w:val="24"/>
        </w:rPr>
        <w:t xml:space="preserve"> </w:t>
      </w:r>
      <w:r w:rsidR="003B2760">
        <w:rPr>
          <w:szCs w:val="24"/>
        </w:rPr>
        <w:t>R</w:t>
      </w:r>
      <w:r w:rsidR="008822E8">
        <w:rPr>
          <w:szCs w:val="24"/>
        </w:rPr>
        <w:t xml:space="preserve">egulations extend the obligation to make a target market determination to a financial product that includes a custodial or </w:t>
      </w:r>
      <w:r w:rsidR="005F737C">
        <w:rPr>
          <w:szCs w:val="24"/>
        </w:rPr>
        <w:t xml:space="preserve">depository </w:t>
      </w:r>
      <w:r w:rsidR="008822E8">
        <w:rPr>
          <w:szCs w:val="24"/>
        </w:rPr>
        <w:t>service</w:t>
      </w:r>
      <w:r w:rsidR="003B1E42">
        <w:rPr>
          <w:szCs w:val="24"/>
        </w:rPr>
        <w:t xml:space="preserve"> that is provided to a retail client</w:t>
      </w:r>
      <w:r w:rsidR="00EE39D1">
        <w:rPr>
          <w:szCs w:val="24"/>
        </w:rPr>
        <w:t xml:space="preserve">. </w:t>
      </w:r>
      <w:r w:rsidR="00E340C1">
        <w:t>The issuer of the product must make the target market determination before any person engages in ‘retail product distribution conduct’.</w:t>
      </w:r>
      <w:r w:rsidR="00E340C1">
        <w:rPr>
          <w:rStyle w:val="FootnoteReference"/>
        </w:rPr>
        <w:footnoteReference w:id="25"/>
      </w:r>
      <w:r w:rsidR="00BC686C">
        <w:rPr>
          <w:szCs w:val="24"/>
        </w:rPr>
        <w:t xml:space="preserve"> </w:t>
      </w:r>
      <w:r w:rsidR="00BC686C">
        <w:t>(Schedule 1, item</w:t>
      </w:r>
      <w:r w:rsidR="000A0039">
        <w:t> </w:t>
      </w:r>
      <w:r w:rsidR="000741B0">
        <w:t>2</w:t>
      </w:r>
      <w:r w:rsidR="00BC686C">
        <w:t xml:space="preserve">, </w:t>
      </w:r>
      <w:r w:rsidR="0039054B">
        <w:t>regulation 7.8A.</w:t>
      </w:r>
      <w:r w:rsidR="000741B0">
        <w:t>10</w:t>
      </w:r>
      <w:r w:rsidR="00BC686C">
        <w:t>)</w:t>
      </w:r>
    </w:p>
    <w:p w14:paraId="054F260C" w14:textId="77777777" w:rsidR="00257BC7" w:rsidRDefault="00EE39D1">
      <w:pPr>
        <w:pStyle w:val="Bullet"/>
        <w:numPr>
          <w:ilvl w:val="0"/>
          <w:numId w:val="0"/>
        </w:numPr>
        <w:rPr>
          <w:szCs w:val="24"/>
        </w:rPr>
      </w:pPr>
      <w:r>
        <w:rPr>
          <w:szCs w:val="24"/>
        </w:rPr>
        <w:t>A custodial or deposit</w:t>
      </w:r>
      <w:r w:rsidR="008E5E26">
        <w:rPr>
          <w:szCs w:val="24"/>
        </w:rPr>
        <w:t>o</w:t>
      </w:r>
      <w:r>
        <w:rPr>
          <w:szCs w:val="24"/>
        </w:rPr>
        <w:t xml:space="preserve">ry service </w:t>
      </w:r>
      <w:r w:rsidR="002515A8">
        <w:rPr>
          <w:szCs w:val="24"/>
        </w:rPr>
        <w:t>is an arrangement where a provider holds financial products or interests on trust or on behalf of a client or the client’s nominee.</w:t>
      </w:r>
      <w:r w:rsidR="00E9385B">
        <w:rPr>
          <w:szCs w:val="24"/>
        </w:rPr>
        <w:t xml:space="preserve"> A financial product</w:t>
      </w:r>
      <w:r w:rsidR="001F3F43">
        <w:rPr>
          <w:szCs w:val="24"/>
        </w:rPr>
        <w:t xml:space="preserve"> that includes such a service may be</w:t>
      </w:r>
      <w:r w:rsidR="00E9385B">
        <w:rPr>
          <w:szCs w:val="24"/>
        </w:rPr>
        <w:t xml:space="preserve"> anything that meets the </w:t>
      </w:r>
      <w:r w:rsidR="00E9385B">
        <w:rPr>
          <w:szCs w:val="24"/>
        </w:rPr>
        <w:lastRenderedPageBreak/>
        <w:t>definition of a financial product</w:t>
      </w:r>
      <w:r w:rsidR="009D0AA2">
        <w:rPr>
          <w:szCs w:val="24"/>
        </w:rPr>
        <w:t xml:space="preserve"> in</w:t>
      </w:r>
      <w:r w:rsidR="00314EEC">
        <w:rPr>
          <w:szCs w:val="24"/>
        </w:rPr>
        <w:t xml:space="preserve"> Division 3 of Part 7.1 of Chapter 7 of the Corporations Act</w:t>
      </w:r>
      <w:r w:rsidR="00E9385B">
        <w:rPr>
          <w:szCs w:val="24"/>
        </w:rPr>
        <w:t xml:space="preserve"> and </w:t>
      </w:r>
      <w:r w:rsidR="00493149">
        <w:rPr>
          <w:szCs w:val="24"/>
        </w:rPr>
        <w:t>also</w:t>
      </w:r>
      <w:r w:rsidR="00E9385B">
        <w:rPr>
          <w:szCs w:val="24"/>
        </w:rPr>
        <w:t xml:space="preserve"> includes the provision of those services. </w:t>
      </w:r>
    </w:p>
    <w:p w14:paraId="48734E0F" w14:textId="77777777" w:rsidR="00F8782A" w:rsidRDefault="00E9385B">
      <w:pPr>
        <w:pStyle w:val="Bullet"/>
        <w:numPr>
          <w:ilvl w:val="0"/>
          <w:numId w:val="0"/>
        </w:numPr>
        <w:rPr>
          <w:szCs w:val="24"/>
        </w:rPr>
      </w:pPr>
      <w:r>
        <w:rPr>
          <w:szCs w:val="24"/>
        </w:rPr>
        <w:t xml:space="preserve">An example of such a product </w:t>
      </w:r>
      <w:r w:rsidR="007968DA">
        <w:rPr>
          <w:szCs w:val="24"/>
        </w:rPr>
        <w:t>is</w:t>
      </w:r>
      <w:r w:rsidR="00257BC7">
        <w:rPr>
          <w:szCs w:val="24"/>
        </w:rPr>
        <w:t xml:space="preserve"> an arrangement </w:t>
      </w:r>
      <w:r w:rsidR="00B8007B">
        <w:rPr>
          <w:szCs w:val="24"/>
        </w:rPr>
        <w:t>where</w:t>
      </w:r>
      <w:r w:rsidR="00257BC7">
        <w:rPr>
          <w:szCs w:val="24"/>
        </w:rPr>
        <w:t xml:space="preserve"> a provider manages</w:t>
      </w:r>
      <w:r w:rsidR="007968DA">
        <w:rPr>
          <w:szCs w:val="24"/>
        </w:rPr>
        <w:t xml:space="preserve"> a</w:t>
      </w:r>
      <w:r w:rsidR="00257BC7">
        <w:rPr>
          <w:szCs w:val="24"/>
        </w:rPr>
        <w:t xml:space="preserve"> client</w:t>
      </w:r>
      <w:r w:rsidR="007968DA">
        <w:rPr>
          <w:szCs w:val="24"/>
        </w:rPr>
        <w:t>’s</w:t>
      </w:r>
      <w:r w:rsidR="00B8007B">
        <w:rPr>
          <w:szCs w:val="24"/>
        </w:rPr>
        <w:t xml:space="preserve"> portfolio of </w:t>
      </w:r>
      <w:r w:rsidR="005F737C">
        <w:rPr>
          <w:szCs w:val="24"/>
        </w:rPr>
        <w:t xml:space="preserve">assets </w:t>
      </w:r>
      <w:r w:rsidR="00257BC7">
        <w:rPr>
          <w:szCs w:val="24"/>
        </w:rPr>
        <w:t xml:space="preserve">on behalf of a </w:t>
      </w:r>
      <w:r w:rsidR="003B1E42">
        <w:rPr>
          <w:szCs w:val="24"/>
        </w:rPr>
        <w:t xml:space="preserve">retail </w:t>
      </w:r>
      <w:r w:rsidR="00257BC7">
        <w:rPr>
          <w:szCs w:val="24"/>
        </w:rPr>
        <w:t>client</w:t>
      </w:r>
      <w:r w:rsidR="00B8007B">
        <w:rPr>
          <w:szCs w:val="24"/>
        </w:rPr>
        <w:t xml:space="preserve"> on</w:t>
      </w:r>
      <w:r w:rsidR="007968DA">
        <w:rPr>
          <w:szCs w:val="24"/>
        </w:rPr>
        <w:t xml:space="preserve"> </w:t>
      </w:r>
      <w:r w:rsidR="00257BC7">
        <w:rPr>
          <w:szCs w:val="24"/>
        </w:rPr>
        <w:t>an individual basis</w:t>
      </w:r>
      <w:r w:rsidR="00B8007B">
        <w:rPr>
          <w:szCs w:val="24"/>
        </w:rPr>
        <w:t xml:space="preserve"> at the</w:t>
      </w:r>
      <w:r w:rsidR="00257BC7">
        <w:rPr>
          <w:szCs w:val="24"/>
        </w:rPr>
        <w:t xml:space="preserve"> provider’s discretion. </w:t>
      </w:r>
      <w:r w:rsidR="00224C2E">
        <w:rPr>
          <w:szCs w:val="24"/>
        </w:rPr>
        <w:t xml:space="preserve">The </w:t>
      </w:r>
      <w:r w:rsidR="00B55352">
        <w:rPr>
          <w:szCs w:val="24"/>
        </w:rPr>
        <w:t xml:space="preserve">arrangement </w:t>
      </w:r>
      <w:r w:rsidR="00B8007B">
        <w:rPr>
          <w:szCs w:val="24"/>
        </w:rPr>
        <w:t>would</w:t>
      </w:r>
      <w:r w:rsidR="00224C2E">
        <w:rPr>
          <w:szCs w:val="24"/>
        </w:rPr>
        <w:t xml:space="preserve"> be a financial product </w:t>
      </w:r>
      <w:r w:rsidR="001F3F43">
        <w:rPr>
          <w:szCs w:val="24"/>
        </w:rPr>
        <w:t>as it would fall within</w:t>
      </w:r>
      <w:r w:rsidR="00B55352">
        <w:rPr>
          <w:szCs w:val="24"/>
        </w:rPr>
        <w:t xml:space="preserve"> the definition of </w:t>
      </w:r>
      <w:r w:rsidR="00023F69">
        <w:rPr>
          <w:szCs w:val="24"/>
        </w:rPr>
        <w:t xml:space="preserve">a financial investment in section 763B of the Corporations Act </w:t>
      </w:r>
      <w:r w:rsidR="00224C2E">
        <w:rPr>
          <w:szCs w:val="24"/>
        </w:rPr>
        <w:t>by virtue of the provider using the arrangement to generate a return</w:t>
      </w:r>
      <w:r w:rsidR="002E21C7">
        <w:rPr>
          <w:szCs w:val="24"/>
        </w:rPr>
        <w:t xml:space="preserve"> for the investor</w:t>
      </w:r>
      <w:r w:rsidR="00224C2E">
        <w:rPr>
          <w:szCs w:val="24"/>
        </w:rPr>
        <w:t>;</w:t>
      </w:r>
      <w:r w:rsidR="00023F69">
        <w:rPr>
          <w:szCs w:val="24"/>
        </w:rPr>
        <w:t xml:space="preserve"> and</w:t>
      </w:r>
      <w:r w:rsidR="00224C2E">
        <w:rPr>
          <w:szCs w:val="24"/>
        </w:rPr>
        <w:t xml:space="preserve"> </w:t>
      </w:r>
      <w:r w:rsidR="00B8007B">
        <w:rPr>
          <w:szCs w:val="24"/>
        </w:rPr>
        <w:t>would</w:t>
      </w:r>
      <w:r w:rsidR="00224C2E">
        <w:rPr>
          <w:szCs w:val="24"/>
        </w:rPr>
        <w:t xml:space="preserve"> include</w:t>
      </w:r>
      <w:r w:rsidR="00023F69">
        <w:rPr>
          <w:szCs w:val="24"/>
        </w:rPr>
        <w:t xml:space="preserve"> the provision of a custodial or deposit</w:t>
      </w:r>
      <w:r w:rsidR="00F56118">
        <w:rPr>
          <w:szCs w:val="24"/>
        </w:rPr>
        <w:t>o</w:t>
      </w:r>
      <w:r w:rsidR="00023F69">
        <w:rPr>
          <w:szCs w:val="24"/>
        </w:rPr>
        <w:t>ry service</w:t>
      </w:r>
      <w:r w:rsidR="008970F4">
        <w:rPr>
          <w:szCs w:val="24"/>
        </w:rPr>
        <w:t>s</w:t>
      </w:r>
      <w:r w:rsidR="00224C2E">
        <w:rPr>
          <w:szCs w:val="24"/>
        </w:rPr>
        <w:t xml:space="preserve"> through </w:t>
      </w:r>
      <w:r w:rsidR="001F3F43">
        <w:rPr>
          <w:szCs w:val="24"/>
        </w:rPr>
        <w:t xml:space="preserve">the </w:t>
      </w:r>
      <w:r w:rsidR="00224C2E">
        <w:rPr>
          <w:szCs w:val="24"/>
        </w:rPr>
        <w:t>terms of the arrangement which allow the provider to hold the assets on the client’s behalf</w:t>
      </w:r>
      <w:r w:rsidR="00023F69">
        <w:rPr>
          <w:szCs w:val="24"/>
        </w:rPr>
        <w:t>.</w:t>
      </w:r>
    </w:p>
    <w:p w14:paraId="0A867C08" w14:textId="191A812A" w:rsidR="0009432B" w:rsidRDefault="0075232C">
      <w:pPr>
        <w:pStyle w:val="Bullet"/>
        <w:numPr>
          <w:ilvl w:val="0"/>
          <w:numId w:val="0"/>
        </w:numPr>
      </w:pPr>
      <w:r>
        <w:rPr>
          <w:szCs w:val="24"/>
        </w:rPr>
        <w:t xml:space="preserve">The amendments made by the Regulations </w:t>
      </w:r>
      <w:r w:rsidR="00A336E2">
        <w:rPr>
          <w:szCs w:val="24"/>
        </w:rPr>
        <w:t>only extend</w:t>
      </w:r>
      <w:r>
        <w:rPr>
          <w:szCs w:val="24"/>
        </w:rPr>
        <w:t xml:space="preserve"> the</w:t>
      </w:r>
      <w:r w:rsidR="00A336E2">
        <w:rPr>
          <w:szCs w:val="24"/>
        </w:rPr>
        <w:t xml:space="preserve"> D</w:t>
      </w:r>
      <w:r w:rsidR="00FF5F00">
        <w:rPr>
          <w:szCs w:val="24"/>
        </w:rPr>
        <w:t>DO</w:t>
      </w:r>
      <w:r>
        <w:rPr>
          <w:szCs w:val="24"/>
        </w:rPr>
        <w:t xml:space="preserve"> regime</w:t>
      </w:r>
      <w:r w:rsidR="00FF5F00">
        <w:rPr>
          <w:szCs w:val="24"/>
        </w:rPr>
        <w:t xml:space="preserve"> to </w:t>
      </w:r>
      <w:r>
        <w:rPr>
          <w:szCs w:val="24"/>
        </w:rPr>
        <w:t>financial products that include a custodial or deposit</w:t>
      </w:r>
      <w:r w:rsidR="00F56118">
        <w:rPr>
          <w:szCs w:val="24"/>
        </w:rPr>
        <w:t>o</w:t>
      </w:r>
      <w:r>
        <w:rPr>
          <w:szCs w:val="24"/>
        </w:rPr>
        <w:t>ry service</w:t>
      </w:r>
      <w:r w:rsidR="00FF5F00">
        <w:rPr>
          <w:szCs w:val="24"/>
        </w:rPr>
        <w:t xml:space="preserve"> </w:t>
      </w:r>
      <w:r>
        <w:rPr>
          <w:szCs w:val="24"/>
        </w:rPr>
        <w:t>where those products</w:t>
      </w:r>
      <w:r w:rsidR="00FF5F00">
        <w:rPr>
          <w:szCs w:val="24"/>
        </w:rPr>
        <w:t xml:space="preserve"> would not </w:t>
      </w:r>
      <w:r w:rsidR="00D305DB">
        <w:rPr>
          <w:szCs w:val="24"/>
        </w:rPr>
        <w:t>otherwise</w:t>
      </w:r>
      <w:r w:rsidR="00FF5F00">
        <w:rPr>
          <w:szCs w:val="24"/>
        </w:rPr>
        <w:t xml:space="preserve"> be</w:t>
      </w:r>
      <w:r w:rsidR="00A336E2">
        <w:rPr>
          <w:szCs w:val="24"/>
        </w:rPr>
        <w:t xml:space="preserve"> subject to </w:t>
      </w:r>
      <w:r w:rsidR="002E5A49">
        <w:rPr>
          <w:szCs w:val="24"/>
        </w:rPr>
        <w:t>DDO</w:t>
      </w:r>
      <w:r>
        <w:rPr>
          <w:szCs w:val="24"/>
        </w:rPr>
        <w:t xml:space="preserve"> regime</w:t>
      </w:r>
      <w:r w:rsidR="00FF5F00">
        <w:t>.</w:t>
      </w:r>
      <w:r>
        <w:t xml:space="preserve"> Such a product would generally </w:t>
      </w:r>
      <w:r w:rsidR="00773ED6">
        <w:t>not be subject to the DDO regime if it does not require disclosure under Part 7.9 of the Corporations</w:t>
      </w:r>
      <w:r w:rsidR="005705AB">
        <w:t> </w:t>
      </w:r>
      <w:r w:rsidR="00773ED6">
        <w:t>Act, for example, because of ASIC relief from the relevant disclosure obligations.</w:t>
      </w:r>
    </w:p>
    <w:p w14:paraId="0222D5E7" w14:textId="500EE512" w:rsidR="00B14ACD" w:rsidRPr="00BF14CA" w:rsidRDefault="00A71CA9">
      <w:pPr>
        <w:pStyle w:val="Heading3"/>
      </w:pPr>
      <w:r>
        <w:t>Part 7.8A, Division 3 - Exemptions</w:t>
      </w:r>
    </w:p>
    <w:p w14:paraId="0D74C13C" w14:textId="7CB960E0" w:rsidR="00754807" w:rsidRDefault="00A71CA9" w:rsidP="00BF14CA">
      <w:pPr>
        <w:spacing w:before="240"/>
        <w:rPr>
          <w:szCs w:val="24"/>
        </w:rPr>
      </w:pPr>
      <w:r>
        <w:rPr>
          <w:szCs w:val="24"/>
        </w:rPr>
        <w:t xml:space="preserve">Division 3 of new Part 7.8A of the Corporations </w:t>
      </w:r>
      <w:r w:rsidR="00754807" w:rsidRPr="007159A0">
        <w:rPr>
          <w:szCs w:val="24"/>
        </w:rPr>
        <w:t>Regulations exclude</w:t>
      </w:r>
      <w:r>
        <w:rPr>
          <w:szCs w:val="24"/>
        </w:rPr>
        <w:t>s</w:t>
      </w:r>
      <w:r w:rsidR="00754807">
        <w:rPr>
          <w:szCs w:val="24"/>
        </w:rPr>
        <w:t xml:space="preserve"> the following</w:t>
      </w:r>
      <w:r w:rsidR="00EE07B9">
        <w:rPr>
          <w:szCs w:val="24"/>
        </w:rPr>
        <w:t xml:space="preserve"> financial</w:t>
      </w:r>
      <w:r w:rsidR="00754807">
        <w:rPr>
          <w:szCs w:val="24"/>
        </w:rPr>
        <w:t xml:space="preserve"> products from the </w:t>
      </w:r>
      <w:r w:rsidR="00BF14CA">
        <w:rPr>
          <w:szCs w:val="24"/>
        </w:rPr>
        <w:t xml:space="preserve">requirement to </w:t>
      </w:r>
      <w:r w:rsidR="00EE07B9">
        <w:rPr>
          <w:szCs w:val="24"/>
        </w:rPr>
        <w:t>make a</w:t>
      </w:r>
      <w:r w:rsidR="00BF14CA">
        <w:rPr>
          <w:szCs w:val="24"/>
        </w:rPr>
        <w:t xml:space="preserve"> target market determination </w:t>
      </w:r>
      <w:r w:rsidR="00EE07B9">
        <w:rPr>
          <w:szCs w:val="24"/>
        </w:rPr>
        <w:t>under Part 7.8A of the Corporations Act</w:t>
      </w:r>
      <w:r>
        <w:rPr>
          <w:rStyle w:val="FootnoteReference"/>
          <w:szCs w:val="24"/>
        </w:rPr>
        <w:footnoteReference w:id="26"/>
      </w:r>
      <w:r w:rsidR="00D867EF">
        <w:rPr>
          <w:szCs w:val="24"/>
        </w:rPr>
        <w:t xml:space="preserve"> in relation to a financial product</w:t>
      </w:r>
      <w:r w:rsidR="004B2F06">
        <w:rPr>
          <w:szCs w:val="24"/>
        </w:rPr>
        <w:t xml:space="preserve"> (Schedule 1, item 2, subregulation 7.8A.20(1))</w:t>
      </w:r>
      <w:r w:rsidR="00EE07B9">
        <w:rPr>
          <w:szCs w:val="24"/>
        </w:rPr>
        <w:t xml:space="preserve">. </w:t>
      </w:r>
      <w:r w:rsidR="00BA1577">
        <w:rPr>
          <w:szCs w:val="24"/>
        </w:rPr>
        <w:t xml:space="preserve">This has the effect that the DDO </w:t>
      </w:r>
      <w:r w:rsidR="00366C48">
        <w:rPr>
          <w:szCs w:val="24"/>
        </w:rPr>
        <w:t xml:space="preserve">regime </w:t>
      </w:r>
      <w:r w:rsidR="00BA1577">
        <w:rPr>
          <w:szCs w:val="24"/>
        </w:rPr>
        <w:t>will not apply to these products.</w:t>
      </w:r>
    </w:p>
    <w:p w14:paraId="147BDADA" w14:textId="3E9CD2CE" w:rsidR="004B2F06" w:rsidRPr="007159A0" w:rsidRDefault="004B2F06" w:rsidP="00BF14CA">
      <w:pPr>
        <w:spacing w:before="240"/>
      </w:pPr>
      <w:r>
        <w:rPr>
          <w:szCs w:val="24"/>
        </w:rPr>
        <w:t>This Division prescribes financial products for the purposes of paragraph 994B(3)(f) of the Corporations Act.</w:t>
      </w:r>
      <w:r>
        <w:rPr>
          <w:rStyle w:val="FootnoteReference"/>
          <w:szCs w:val="24"/>
        </w:rPr>
        <w:footnoteReference w:id="27"/>
      </w:r>
    </w:p>
    <w:p w14:paraId="5325C4C2" w14:textId="79454979" w:rsidR="00B14ACD" w:rsidRPr="00B14ACD" w:rsidRDefault="004B2F06" w:rsidP="00A15C37">
      <w:pPr>
        <w:pStyle w:val="Bullet"/>
        <w:numPr>
          <w:ilvl w:val="0"/>
          <w:numId w:val="0"/>
        </w:numPr>
        <w:rPr>
          <w:i/>
        </w:rPr>
      </w:pPr>
      <w:r>
        <w:rPr>
          <w:i/>
        </w:rPr>
        <w:t>Superannuation</w:t>
      </w:r>
      <w:r w:rsidR="00D52D9D">
        <w:rPr>
          <w:i/>
        </w:rPr>
        <w:t xml:space="preserve"> – Eligible rollover funds (ERF</w:t>
      </w:r>
      <w:r>
        <w:rPr>
          <w:i/>
        </w:rPr>
        <w:t>)</w:t>
      </w:r>
    </w:p>
    <w:p w14:paraId="6AFA2C87" w14:textId="438F2E44" w:rsidR="00BD6175" w:rsidRDefault="00BD6175" w:rsidP="00A15C37">
      <w:pPr>
        <w:pStyle w:val="Bullet"/>
        <w:numPr>
          <w:ilvl w:val="0"/>
          <w:numId w:val="0"/>
        </w:numPr>
      </w:pPr>
      <w:r>
        <w:t xml:space="preserve">The </w:t>
      </w:r>
      <w:r w:rsidR="00EE07B9">
        <w:t>R</w:t>
      </w:r>
      <w:r>
        <w:t xml:space="preserve">egulations exempt </w:t>
      </w:r>
      <w:r w:rsidR="00E9059F">
        <w:t xml:space="preserve">interests in </w:t>
      </w:r>
      <w:r w:rsidR="00D52D9D">
        <w:t>ERF</w:t>
      </w:r>
      <w:r w:rsidR="00E9059F">
        <w:t xml:space="preserve">, as defined in the </w:t>
      </w:r>
      <w:r w:rsidR="00E9059F">
        <w:rPr>
          <w:i/>
        </w:rPr>
        <w:t>Superannuation Industry (Supervision) Act 1993</w:t>
      </w:r>
      <w:r w:rsidR="00E9059F">
        <w:t>,</w:t>
      </w:r>
      <w:r>
        <w:t xml:space="preserve"> from the requirement to </w:t>
      </w:r>
      <w:r w:rsidR="00EE07B9">
        <w:t>make</w:t>
      </w:r>
      <w:r>
        <w:t xml:space="preserve"> a target market determination </w:t>
      </w:r>
      <w:r w:rsidR="00EE07B9">
        <w:t>in Part 7.8A of the Corporations</w:t>
      </w:r>
      <w:r w:rsidR="00AA4CC3">
        <w:t> </w:t>
      </w:r>
      <w:r w:rsidR="00EE07B9">
        <w:t>Act.</w:t>
      </w:r>
      <w:r w:rsidR="00BF6244">
        <w:rPr>
          <w:rStyle w:val="FootnoteReference"/>
        </w:rPr>
        <w:footnoteReference w:id="28"/>
      </w:r>
      <w:r>
        <w:t xml:space="preserve"> (Schedule 1, item </w:t>
      </w:r>
      <w:r w:rsidR="004B2F06">
        <w:t>2</w:t>
      </w:r>
      <w:r>
        <w:t xml:space="preserve">, </w:t>
      </w:r>
      <w:r w:rsidR="004B2F06">
        <w:t>sub</w:t>
      </w:r>
      <w:r w:rsidR="00BA1577" w:rsidRPr="00773653">
        <w:t>regulation</w:t>
      </w:r>
      <w:r w:rsidR="00761224">
        <w:t xml:space="preserve"> </w:t>
      </w:r>
      <w:r w:rsidR="00BA1577">
        <w:t>7.8A.</w:t>
      </w:r>
      <w:r w:rsidR="004B2F06">
        <w:t>20(2)</w:t>
      </w:r>
      <w:r>
        <w:t>)</w:t>
      </w:r>
    </w:p>
    <w:p w14:paraId="1A8B2005" w14:textId="1B49CBAB" w:rsidR="00A15C37" w:rsidRDefault="00E9059F" w:rsidP="00A15C37">
      <w:pPr>
        <w:pStyle w:val="Bullet"/>
        <w:numPr>
          <w:ilvl w:val="0"/>
          <w:numId w:val="0"/>
        </w:numPr>
      </w:pPr>
      <w:r>
        <w:t>Superannuation funds</w:t>
      </w:r>
      <w:r w:rsidR="00A15C37">
        <w:t xml:space="preserve"> are required by law to nominate an ERF to hold the balances of their </w:t>
      </w:r>
      <w:r w:rsidR="00D52D9D">
        <w:t>lost or ineligible members. ERF</w:t>
      </w:r>
      <w:r w:rsidR="00A15C37">
        <w:t xml:space="preserve"> are intended to be a temporary repository for transferred super benefits, with the expectation that members will find their lost superannuation and transfer their balances t</w:t>
      </w:r>
      <w:r w:rsidR="00D52D9D">
        <w:t>o their main super account. ERF</w:t>
      </w:r>
      <w:r w:rsidR="00A15C37">
        <w:t xml:space="preserve"> are regulated and tend to rely on passive investment</w:t>
      </w:r>
      <w:r w:rsidR="00A06322">
        <w:t xml:space="preserve"> strategies</w:t>
      </w:r>
      <w:r w:rsidR="00A15C37">
        <w:t xml:space="preserve"> with no fees. </w:t>
      </w:r>
    </w:p>
    <w:p w14:paraId="665825B9" w14:textId="5EF02BA5" w:rsidR="0036312F" w:rsidRDefault="00D52D9D" w:rsidP="00A15C37">
      <w:pPr>
        <w:pStyle w:val="Bullet"/>
        <w:numPr>
          <w:ilvl w:val="0"/>
          <w:numId w:val="0"/>
        </w:numPr>
      </w:pPr>
      <w:r>
        <w:t>Given that ERF</w:t>
      </w:r>
      <w:r w:rsidR="00A15C37">
        <w:t xml:space="preserve"> are required by law and operate in circumstances such as where contact has been lost with the account holder (e.g. inactive accounts), it </w:t>
      </w:r>
      <w:r w:rsidR="00CE2A70">
        <w:t xml:space="preserve">is not necessary </w:t>
      </w:r>
      <w:r w:rsidR="00A15C37">
        <w:t>to apply</w:t>
      </w:r>
      <w:r w:rsidR="00A06322">
        <w:t xml:space="preserve"> the</w:t>
      </w:r>
      <w:r w:rsidR="00A15C37">
        <w:t xml:space="preserve"> DDO</w:t>
      </w:r>
      <w:r w:rsidR="00A06322">
        <w:t xml:space="preserve"> regime</w:t>
      </w:r>
      <w:r w:rsidR="00CE2A70">
        <w:t xml:space="preserve"> in relation to them</w:t>
      </w:r>
      <w:r w:rsidR="00A15C37">
        <w:t>.</w:t>
      </w:r>
    </w:p>
    <w:p w14:paraId="5EAC161A" w14:textId="15D13E93" w:rsidR="00540BC8" w:rsidRPr="00540BC8" w:rsidRDefault="00BF2F67" w:rsidP="00A15C37">
      <w:pPr>
        <w:pStyle w:val="Bullet"/>
        <w:numPr>
          <w:ilvl w:val="0"/>
          <w:numId w:val="0"/>
        </w:numPr>
        <w:rPr>
          <w:i/>
        </w:rPr>
      </w:pPr>
      <w:r>
        <w:rPr>
          <w:i/>
        </w:rPr>
        <w:t>Superannuation - d</w:t>
      </w:r>
      <w:r w:rsidR="00540BC8" w:rsidRPr="00A633F8">
        <w:rPr>
          <w:i/>
        </w:rPr>
        <w:t xml:space="preserve">efined </w:t>
      </w:r>
      <w:r>
        <w:rPr>
          <w:i/>
        </w:rPr>
        <w:t>b</w:t>
      </w:r>
      <w:r w:rsidR="00540BC8" w:rsidRPr="00A633F8">
        <w:rPr>
          <w:i/>
        </w:rPr>
        <w:t xml:space="preserve">enefit </w:t>
      </w:r>
      <w:r>
        <w:rPr>
          <w:i/>
        </w:rPr>
        <w:t>i</w:t>
      </w:r>
      <w:r w:rsidR="00720C7F" w:rsidRPr="00A633F8">
        <w:rPr>
          <w:i/>
        </w:rPr>
        <w:t>nterests</w:t>
      </w:r>
    </w:p>
    <w:p w14:paraId="0AD8D2DE" w14:textId="2820BF0E" w:rsidR="00E15EF7" w:rsidRDefault="00761224" w:rsidP="00A15C37">
      <w:pPr>
        <w:pStyle w:val="Bullet"/>
        <w:numPr>
          <w:ilvl w:val="0"/>
          <w:numId w:val="0"/>
        </w:numPr>
      </w:pPr>
      <w:r>
        <w:lastRenderedPageBreak/>
        <w:t xml:space="preserve">The </w:t>
      </w:r>
      <w:r w:rsidR="00A06322">
        <w:t>R</w:t>
      </w:r>
      <w:r>
        <w:t xml:space="preserve">egulations exempt defined benefit interests, as defined in the </w:t>
      </w:r>
      <w:r>
        <w:rPr>
          <w:i/>
        </w:rPr>
        <w:t>Superannuation Industry (Supervision) Regulations 1994</w:t>
      </w:r>
      <w:r>
        <w:t>, from the requirement to provide a target market determination</w:t>
      </w:r>
      <w:r w:rsidR="00A06322">
        <w:t xml:space="preserve"> under </w:t>
      </w:r>
      <w:r w:rsidR="007B37AE">
        <w:t>P</w:t>
      </w:r>
      <w:r w:rsidR="00A06322">
        <w:t>art 7.8A of the Corporations Act.</w:t>
      </w:r>
      <w:r w:rsidR="00A06322">
        <w:rPr>
          <w:rStyle w:val="FootnoteReference"/>
        </w:rPr>
        <w:footnoteReference w:id="29"/>
      </w:r>
      <w:r>
        <w:t xml:space="preserve"> </w:t>
      </w:r>
      <w:r w:rsidR="00D036AC">
        <w:t>This exemption applies in relation to</w:t>
      </w:r>
      <w:r w:rsidR="002D4FFF">
        <w:t xml:space="preserve"> superannuation</w:t>
      </w:r>
      <w:r w:rsidR="00D036AC">
        <w:t xml:space="preserve"> interests that are defined benefit in nature only. Where a superannuation fund issues both defined benefit interests and other interests, the exemption only appl</w:t>
      </w:r>
      <w:r w:rsidR="00A06322">
        <w:t>ies</w:t>
      </w:r>
      <w:r w:rsidR="00D036AC">
        <w:t xml:space="preserve"> with respect to the defined benefit interests.</w:t>
      </w:r>
      <w:r w:rsidR="00A06322">
        <w:t xml:space="preserve"> (Schedule 1, item </w:t>
      </w:r>
      <w:r w:rsidR="00BF2F67">
        <w:t>2</w:t>
      </w:r>
      <w:r w:rsidR="00A06322">
        <w:t xml:space="preserve">, </w:t>
      </w:r>
      <w:r w:rsidR="00BF2F67">
        <w:t>subr</w:t>
      </w:r>
      <w:r w:rsidR="00BA1577">
        <w:t>egulation 7.8A.</w:t>
      </w:r>
      <w:r w:rsidR="00BF2F67">
        <w:t>20(3)</w:t>
      </w:r>
      <w:r w:rsidR="00A06322">
        <w:t>)</w:t>
      </w:r>
    </w:p>
    <w:p w14:paraId="3B1E45F2" w14:textId="77777777" w:rsidR="00540BC8" w:rsidRDefault="009A0854" w:rsidP="00A15C37">
      <w:pPr>
        <w:pStyle w:val="Bullet"/>
        <w:numPr>
          <w:ilvl w:val="0"/>
          <w:numId w:val="0"/>
        </w:numPr>
      </w:pPr>
      <w:r>
        <w:t>A defined benefit interest is defined in regulation 1.03AA</w:t>
      </w:r>
      <w:r w:rsidR="00ED4594">
        <w:t xml:space="preserve"> </w:t>
      </w:r>
      <w:r w:rsidR="00365DE3">
        <w:t>of the</w:t>
      </w:r>
      <w:r w:rsidR="00ED4594">
        <w:t xml:space="preserve"> </w:t>
      </w:r>
      <w:r w:rsidR="00ED4594">
        <w:rPr>
          <w:i/>
        </w:rPr>
        <w:t>Superannuation Industry (Supervision) Regulations 1994</w:t>
      </w:r>
      <w:r w:rsidR="00E57DE9">
        <w:t xml:space="preserve"> </w:t>
      </w:r>
      <w:r w:rsidR="00ED4594">
        <w:t xml:space="preserve">as: </w:t>
      </w:r>
      <w:r w:rsidR="00365DE3">
        <w:t xml:space="preserve">a </w:t>
      </w:r>
      <w:r w:rsidR="00ED4594">
        <w:t xml:space="preserve">superannuation interest where benefits are payable by reference to salary, specified amounts </w:t>
      </w:r>
      <w:r w:rsidR="00937BFC">
        <w:t>or</w:t>
      </w:r>
      <w:r w:rsidR="00ED4594">
        <w:t xml:space="preserve"> specified factors; or </w:t>
      </w:r>
      <w:r w:rsidR="008B7CB2">
        <w:t>a</w:t>
      </w:r>
      <w:r w:rsidR="00365DE3">
        <w:t>n</w:t>
      </w:r>
      <w:r w:rsidR="00ED4594">
        <w:t xml:space="preserve"> unfunded </w:t>
      </w:r>
      <w:r w:rsidR="008B7CB2">
        <w:t>public sect</w:t>
      </w:r>
      <w:r w:rsidR="00ED4594">
        <w:t>or</w:t>
      </w:r>
      <w:r w:rsidR="008B7CB2">
        <w:t xml:space="preserve"> superannuation scheme with at least one defined benefit member.</w:t>
      </w:r>
    </w:p>
    <w:p w14:paraId="136E30B4" w14:textId="77777777" w:rsidR="005C3AA7" w:rsidRDefault="00063309" w:rsidP="00A15C37">
      <w:pPr>
        <w:pStyle w:val="Bullet"/>
        <w:numPr>
          <w:ilvl w:val="0"/>
          <w:numId w:val="0"/>
        </w:numPr>
      </w:pPr>
      <w:r>
        <w:t>O</w:t>
      </w:r>
      <w:r w:rsidR="005C3AA7">
        <w:t>ffers of defined benefit interests are only available through employer arrangements</w:t>
      </w:r>
      <w:r>
        <w:t>. As such</w:t>
      </w:r>
      <w:r w:rsidR="005C3AA7">
        <w:t xml:space="preserve">, it </w:t>
      </w:r>
      <w:r>
        <w:t xml:space="preserve">is unlikely that such interests are inappropriately distributed. It </w:t>
      </w:r>
      <w:r w:rsidR="00A53F6B">
        <w:t>is not</w:t>
      </w:r>
      <w:r w:rsidR="005C3AA7">
        <w:t xml:space="preserve"> </w:t>
      </w:r>
      <w:r w:rsidR="00CE2A70">
        <w:t>necessary</w:t>
      </w:r>
      <w:r w:rsidR="005C3AA7">
        <w:t xml:space="preserve"> to apply </w:t>
      </w:r>
      <w:r w:rsidR="00365DE3">
        <w:t xml:space="preserve">the </w:t>
      </w:r>
      <w:r w:rsidR="005C3AA7">
        <w:t>DDO in relation to those interests.</w:t>
      </w:r>
    </w:p>
    <w:p w14:paraId="054F306D" w14:textId="6B80B8A5" w:rsidR="00B14ACD" w:rsidRPr="00B14ACD" w:rsidRDefault="00BF2F67" w:rsidP="00A15C37">
      <w:pPr>
        <w:pStyle w:val="Bullet"/>
        <w:numPr>
          <w:ilvl w:val="0"/>
          <w:numId w:val="0"/>
        </w:numPr>
        <w:rPr>
          <w:i/>
        </w:rPr>
      </w:pPr>
      <w:r>
        <w:rPr>
          <w:i/>
        </w:rPr>
        <w:t>Insurance products - m</w:t>
      </w:r>
      <w:r w:rsidR="00B14ACD">
        <w:rPr>
          <w:i/>
        </w:rPr>
        <w:t xml:space="preserve">edical </w:t>
      </w:r>
      <w:r>
        <w:rPr>
          <w:i/>
        </w:rPr>
        <w:t>i</w:t>
      </w:r>
      <w:r w:rsidR="00B14ACD">
        <w:rPr>
          <w:i/>
        </w:rPr>
        <w:t xml:space="preserve">ndemnity </w:t>
      </w:r>
      <w:r>
        <w:rPr>
          <w:i/>
        </w:rPr>
        <w:t>i</w:t>
      </w:r>
      <w:r w:rsidR="00B14ACD">
        <w:rPr>
          <w:i/>
        </w:rPr>
        <w:t xml:space="preserve">nsurance </w:t>
      </w:r>
    </w:p>
    <w:p w14:paraId="4A018091" w14:textId="575475FE" w:rsidR="007D7DB3" w:rsidRDefault="007D7DB3" w:rsidP="007D7DB3">
      <w:pPr>
        <w:pStyle w:val="Bullet"/>
        <w:numPr>
          <w:ilvl w:val="0"/>
          <w:numId w:val="0"/>
        </w:numPr>
      </w:pPr>
      <w:r>
        <w:t xml:space="preserve">The </w:t>
      </w:r>
      <w:r w:rsidR="0099282F">
        <w:t>R</w:t>
      </w:r>
      <w:r>
        <w:t>egulations exempt medical indemnity insurance products</w:t>
      </w:r>
      <w:r w:rsidR="00633E52">
        <w:t xml:space="preserve"> </w:t>
      </w:r>
      <w:r>
        <w:t xml:space="preserve">from the requirement to provide a target market determination </w:t>
      </w:r>
      <w:r w:rsidR="0099282F">
        <w:t>in</w:t>
      </w:r>
      <w:r w:rsidR="0099282F" w:rsidDel="00A00005">
        <w:t xml:space="preserve"> </w:t>
      </w:r>
      <w:r w:rsidR="00A00005">
        <w:t xml:space="preserve">Part </w:t>
      </w:r>
      <w:r w:rsidR="0099282F">
        <w:t>7.8A of the Corporations Act.</w:t>
      </w:r>
      <w:r w:rsidR="0099282F" w:rsidRPr="00A06322">
        <w:rPr>
          <w:rStyle w:val="FootnoteReference"/>
        </w:rPr>
        <w:t xml:space="preserve"> </w:t>
      </w:r>
      <w:r w:rsidR="0099282F">
        <w:rPr>
          <w:rStyle w:val="FootnoteReference"/>
        </w:rPr>
        <w:footnoteReference w:id="30"/>
      </w:r>
      <w:r w:rsidR="0099282F">
        <w:t xml:space="preserve"> </w:t>
      </w:r>
      <w:r>
        <w:t xml:space="preserve">(Schedule 1, item </w:t>
      </w:r>
      <w:r w:rsidR="003E1381">
        <w:t>2</w:t>
      </w:r>
      <w:r>
        <w:t xml:space="preserve">, </w:t>
      </w:r>
      <w:r w:rsidR="003E1381">
        <w:t xml:space="preserve">subregulation </w:t>
      </w:r>
      <w:r w:rsidR="00BA1577">
        <w:t>7.8A</w:t>
      </w:r>
      <w:r w:rsidR="003E1381">
        <w:t>.20(4)</w:t>
      </w:r>
      <w:r>
        <w:t>)</w:t>
      </w:r>
    </w:p>
    <w:p w14:paraId="36AE12A4" w14:textId="77777777" w:rsidR="007D7DB3" w:rsidRPr="00633E52" w:rsidRDefault="007D7DB3" w:rsidP="00A15C37">
      <w:pPr>
        <w:pStyle w:val="Bullet"/>
        <w:numPr>
          <w:ilvl w:val="0"/>
          <w:numId w:val="0"/>
        </w:numPr>
        <w:rPr>
          <w:szCs w:val="24"/>
        </w:rPr>
      </w:pPr>
      <w:r>
        <w:t xml:space="preserve">A </w:t>
      </w:r>
      <w:r w:rsidR="0099282F">
        <w:t>‘</w:t>
      </w:r>
      <w:r>
        <w:t>medical indemnity insurance product</w:t>
      </w:r>
      <w:r w:rsidR="0099282F">
        <w:t>’</w:t>
      </w:r>
      <w:r>
        <w:t xml:space="preserve"> is </w:t>
      </w:r>
      <w:r w:rsidR="0099282F">
        <w:t>currently</w:t>
      </w:r>
      <w:r>
        <w:t xml:space="preserve"> defined in regulation 1.0.02</w:t>
      </w:r>
      <w:r w:rsidR="0099282F">
        <w:t xml:space="preserve"> of the Corporations Regulations</w:t>
      </w:r>
      <w:r w:rsidR="00D15028">
        <w:t xml:space="preserve">. </w:t>
      </w:r>
      <w:r w:rsidR="0099282F">
        <w:t>That regulation defines m</w:t>
      </w:r>
      <w:r w:rsidR="00D15028">
        <w:t>edical indemnity insurance</w:t>
      </w:r>
      <w:r w:rsidR="0099282F">
        <w:t xml:space="preserve"> product to</w:t>
      </w:r>
      <w:r w:rsidR="00D15028">
        <w:t xml:space="preserve"> mean an arrangement </w:t>
      </w:r>
      <w:r w:rsidR="00D15028">
        <w:rPr>
          <w:szCs w:val="24"/>
        </w:rPr>
        <w:t xml:space="preserve">to which the </w:t>
      </w:r>
      <w:r w:rsidR="00D15028" w:rsidRPr="00633E52">
        <w:rPr>
          <w:i/>
          <w:iCs/>
          <w:color w:val="000000"/>
          <w:szCs w:val="24"/>
        </w:rPr>
        <w:t>Medical Indemnity (Prudential Supervi</w:t>
      </w:r>
      <w:r w:rsidR="00D15028">
        <w:rPr>
          <w:i/>
          <w:iCs/>
          <w:color w:val="000000"/>
          <w:szCs w:val="24"/>
        </w:rPr>
        <w:t>sion and Product Standards) Act </w:t>
      </w:r>
      <w:r w:rsidR="00D15028" w:rsidRPr="00633E52">
        <w:rPr>
          <w:i/>
          <w:iCs/>
          <w:color w:val="000000"/>
          <w:szCs w:val="24"/>
        </w:rPr>
        <w:t>2003</w:t>
      </w:r>
      <w:r w:rsidR="00D15028" w:rsidRPr="00633E52">
        <w:rPr>
          <w:color w:val="000000"/>
          <w:szCs w:val="24"/>
        </w:rPr>
        <w:t> applies</w:t>
      </w:r>
      <w:r w:rsidR="00D15028">
        <w:rPr>
          <w:color w:val="000000"/>
          <w:szCs w:val="24"/>
        </w:rPr>
        <w:t>,</w:t>
      </w:r>
      <w:r w:rsidR="00D15028">
        <w:rPr>
          <w:szCs w:val="24"/>
        </w:rPr>
        <w:t xml:space="preserve"> </w:t>
      </w:r>
      <w:r w:rsidRPr="00633E52">
        <w:rPr>
          <w:szCs w:val="24"/>
        </w:rPr>
        <w:t>under which medical indemnity cover is provided</w:t>
      </w:r>
      <w:r w:rsidR="00D4237B">
        <w:rPr>
          <w:szCs w:val="24"/>
        </w:rPr>
        <w:t xml:space="preserve"> to</w:t>
      </w:r>
      <w:r w:rsidR="00D15028">
        <w:rPr>
          <w:szCs w:val="24"/>
        </w:rPr>
        <w:t xml:space="preserve"> a</w:t>
      </w:r>
      <w:r w:rsidRPr="00633E52">
        <w:rPr>
          <w:szCs w:val="24"/>
        </w:rPr>
        <w:t xml:space="preserve"> medical practitioner</w:t>
      </w:r>
      <w:r w:rsidR="00D15028">
        <w:rPr>
          <w:szCs w:val="24"/>
        </w:rPr>
        <w:t xml:space="preserve"> as defined in section 4 of that Act or to</w:t>
      </w:r>
      <w:r w:rsidR="00D4237B">
        <w:rPr>
          <w:szCs w:val="24"/>
        </w:rPr>
        <w:t xml:space="preserve"> a</w:t>
      </w:r>
      <w:r w:rsidR="00D15028">
        <w:rPr>
          <w:szCs w:val="24"/>
        </w:rPr>
        <w:t xml:space="preserve"> </w:t>
      </w:r>
      <w:r w:rsidRPr="00633E52">
        <w:rPr>
          <w:szCs w:val="24"/>
        </w:rPr>
        <w:t>registered health professional</w:t>
      </w:r>
      <w:r w:rsidR="00D15028">
        <w:rPr>
          <w:szCs w:val="24"/>
        </w:rPr>
        <w:t xml:space="preserve"> prescribed under that Act</w:t>
      </w:r>
      <w:r w:rsidR="00590F98" w:rsidRPr="00633E52">
        <w:rPr>
          <w:color w:val="000000"/>
          <w:szCs w:val="24"/>
        </w:rPr>
        <w:t>.</w:t>
      </w:r>
    </w:p>
    <w:p w14:paraId="4F0E00DC" w14:textId="77777777" w:rsidR="00B14ACD" w:rsidRPr="00633E52" w:rsidRDefault="00B81A7A" w:rsidP="00A15C37">
      <w:pPr>
        <w:pStyle w:val="Bullet"/>
        <w:numPr>
          <w:ilvl w:val="0"/>
          <w:numId w:val="0"/>
        </w:numPr>
        <w:rPr>
          <w:szCs w:val="24"/>
        </w:rPr>
      </w:pPr>
      <w:r w:rsidRPr="00633E52">
        <w:rPr>
          <w:szCs w:val="24"/>
        </w:rPr>
        <w:t>Medical indemnity insurance is already subject to an existing regulatory regime</w:t>
      </w:r>
      <w:r w:rsidR="007E3785">
        <w:rPr>
          <w:szCs w:val="24"/>
        </w:rPr>
        <w:t xml:space="preserve"> and has a target market</w:t>
      </w:r>
      <w:r w:rsidR="007B192B">
        <w:rPr>
          <w:szCs w:val="24"/>
        </w:rPr>
        <w:t xml:space="preserve"> that</w:t>
      </w:r>
      <w:r w:rsidR="007E3785">
        <w:rPr>
          <w:szCs w:val="24"/>
        </w:rPr>
        <w:t xml:space="preserve"> is obliged to purchase the product</w:t>
      </w:r>
      <w:r w:rsidR="007B192B">
        <w:rPr>
          <w:szCs w:val="24"/>
        </w:rPr>
        <w:t>. Therefore, i</w:t>
      </w:r>
      <w:r w:rsidRPr="00633E52">
        <w:rPr>
          <w:szCs w:val="24"/>
        </w:rPr>
        <w:t>t is not necessary t</w:t>
      </w:r>
      <w:r w:rsidR="007B192B">
        <w:t xml:space="preserve">o apply the </w:t>
      </w:r>
      <w:r w:rsidRPr="00633E52">
        <w:rPr>
          <w:szCs w:val="24"/>
        </w:rPr>
        <w:t>DDO</w:t>
      </w:r>
      <w:r w:rsidR="002779A4">
        <w:rPr>
          <w:szCs w:val="24"/>
        </w:rPr>
        <w:t xml:space="preserve"> regime</w:t>
      </w:r>
      <w:r w:rsidR="007B192B">
        <w:rPr>
          <w:szCs w:val="24"/>
        </w:rPr>
        <w:t xml:space="preserve"> to medical indemnity insurance</w:t>
      </w:r>
      <w:r w:rsidRPr="00633E52">
        <w:rPr>
          <w:szCs w:val="24"/>
        </w:rPr>
        <w:t xml:space="preserve">. </w:t>
      </w:r>
    </w:p>
    <w:p w14:paraId="6743C53F" w14:textId="77777777" w:rsidR="004269ED" w:rsidRPr="00633E52" w:rsidRDefault="00540BC8" w:rsidP="00A15C37">
      <w:pPr>
        <w:pStyle w:val="Bullet"/>
        <w:numPr>
          <w:ilvl w:val="0"/>
          <w:numId w:val="0"/>
        </w:numPr>
        <w:rPr>
          <w:i/>
        </w:rPr>
      </w:pPr>
      <w:r w:rsidRPr="00633E52">
        <w:rPr>
          <w:i/>
        </w:rPr>
        <w:t>Depository interest</w:t>
      </w:r>
      <w:r w:rsidR="00CD1118">
        <w:rPr>
          <w:i/>
        </w:rPr>
        <w:t>s</w:t>
      </w:r>
      <w:r w:rsidRPr="00633E52">
        <w:rPr>
          <w:i/>
        </w:rPr>
        <w:t xml:space="preserve"> in foreign fully paid ordinary shares</w:t>
      </w:r>
    </w:p>
    <w:p w14:paraId="2DF2ED1C" w14:textId="5E3F784C" w:rsidR="00A87AF5" w:rsidRDefault="00633E52" w:rsidP="00633E52">
      <w:pPr>
        <w:pStyle w:val="Bullet"/>
        <w:numPr>
          <w:ilvl w:val="0"/>
          <w:numId w:val="0"/>
        </w:numPr>
      </w:pPr>
      <w:r>
        <w:t xml:space="preserve">The </w:t>
      </w:r>
      <w:r w:rsidR="005E5F23">
        <w:t>R</w:t>
      </w:r>
      <w:r>
        <w:t>egulations exempt</w:t>
      </w:r>
      <w:r w:rsidR="00997590">
        <w:t xml:space="preserve"> depository interests in foreign fully paid ordinary shares</w:t>
      </w:r>
      <w:r>
        <w:t xml:space="preserve"> from the requirement to </w:t>
      </w:r>
      <w:r w:rsidR="00997590">
        <w:t>make</w:t>
      </w:r>
      <w:r>
        <w:t xml:space="preserve"> a target market determination</w:t>
      </w:r>
      <w:r w:rsidR="00997590">
        <w:t xml:space="preserve"> under Part 7.8A of the Corporations Act.</w:t>
      </w:r>
      <w:r w:rsidR="00997590">
        <w:rPr>
          <w:rStyle w:val="FootnoteReference"/>
        </w:rPr>
        <w:footnoteReference w:id="31"/>
      </w:r>
      <w:r>
        <w:t xml:space="preserve"> </w:t>
      </w:r>
      <w:r w:rsidR="00997590">
        <w:t xml:space="preserve">However, the exemption only operates where the requirement (and Part 7.8A of the Corporations Act more generally) would not apply if the </w:t>
      </w:r>
      <w:r w:rsidR="00AA4CC3">
        <w:t>shares were</w:t>
      </w:r>
      <w:r w:rsidR="00997590">
        <w:t xml:space="preserve"> offered directly to retail clients. </w:t>
      </w:r>
      <w:r>
        <w:t>(</w:t>
      </w:r>
      <w:r w:rsidR="003E1381">
        <w:t>Schedule 1, item 2, subregulation 7.8A.20(5))</w:t>
      </w:r>
      <w:r>
        <w:t xml:space="preserve">) </w:t>
      </w:r>
    </w:p>
    <w:p w14:paraId="5B7F223D" w14:textId="1B97ADB2" w:rsidR="00633E52" w:rsidRDefault="009D16A9" w:rsidP="00633E52">
      <w:pPr>
        <w:pStyle w:val="Bullet"/>
        <w:numPr>
          <w:ilvl w:val="0"/>
          <w:numId w:val="0"/>
        </w:numPr>
      </w:pPr>
      <w:r>
        <w:t>Foreign fully paid ordinary</w:t>
      </w:r>
      <w:r w:rsidR="0060010E">
        <w:t xml:space="preserve"> shares are already exempt from</w:t>
      </w:r>
      <w:r w:rsidR="00B40352">
        <w:t xml:space="preserve"> the </w:t>
      </w:r>
      <w:r>
        <w:t>DDO</w:t>
      </w:r>
      <w:r w:rsidR="00A00005">
        <w:t xml:space="preserve"> regime, except in circumstances described in subsection 994B(4) of the Corporations Act</w:t>
      </w:r>
      <w:r w:rsidR="00D90E9C">
        <w:t xml:space="preserve">. </w:t>
      </w:r>
      <w:r w:rsidR="00FE781B">
        <w:t xml:space="preserve">Depository </w:t>
      </w:r>
      <w:r w:rsidR="00FE781B">
        <w:lastRenderedPageBreak/>
        <w:t xml:space="preserve">interests covers interests or units of beneficial ownership in fully paid ordinary shares in a foreign company that is listed on a licensed market, where the interests or units are issued for the purpose of enabling the ordinary shares to be recorded and transferred in accordance with the operating rules of the licensed market. </w:t>
      </w:r>
      <w:r w:rsidR="00D90E9C">
        <w:t>D</w:t>
      </w:r>
      <w:r w:rsidR="00A87AF5">
        <w:t>eposit</w:t>
      </w:r>
      <w:r w:rsidR="00365DE3">
        <w:t>o</w:t>
      </w:r>
      <w:r w:rsidR="00A87AF5">
        <w:t>ry interest</w:t>
      </w:r>
      <w:r w:rsidR="00D90E9C">
        <w:t>s in those shares</w:t>
      </w:r>
      <w:r w:rsidR="00A4551B">
        <w:t xml:space="preserve"> are </w:t>
      </w:r>
      <w:r w:rsidR="00042F0B">
        <w:t>a</w:t>
      </w:r>
      <w:r w:rsidR="00A4551B">
        <w:t xml:space="preserve"> means by which foreign shares are held</w:t>
      </w:r>
      <w:r w:rsidR="00A00005">
        <w:t xml:space="preserve"> and traded</w:t>
      </w:r>
      <w:r w:rsidR="00A4551B">
        <w:t>, and so are exempt</w:t>
      </w:r>
      <w:r w:rsidR="007B37AE">
        <w:t>ed</w:t>
      </w:r>
      <w:r w:rsidR="00A4551B">
        <w:t xml:space="preserve"> on the same basis</w:t>
      </w:r>
      <w:r w:rsidR="007D330D">
        <w:t>.</w:t>
      </w:r>
      <w:r w:rsidR="00C945F6">
        <w:t xml:space="preserve"> </w:t>
      </w:r>
    </w:p>
    <w:p w14:paraId="37515A8C" w14:textId="568E7544" w:rsidR="008E6FEA" w:rsidRDefault="003E1381" w:rsidP="008E6FEA">
      <w:pPr>
        <w:pStyle w:val="Bullet"/>
        <w:numPr>
          <w:ilvl w:val="0"/>
          <w:numId w:val="0"/>
        </w:numPr>
      </w:pPr>
      <w:r>
        <w:rPr>
          <w:i/>
        </w:rPr>
        <w:t>Money products - b</w:t>
      </w:r>
      <w:r w:rsidR="00BA1577">
        <w:rPr>
          <w:i/>
        </w:rPr>
        <w:t xml:space="preserve">ank drafts </w:t>
      </w:r>
      <w:r w:rsidR="008E6FEA">
        <w:rPr>
          <w:i/>
        </w:rPr>
        <w:t xml:space="preserve">and Australia </w:t>
      </w:r>
      <w:r>
        <w:rPr>
          <w:i/>
        </w:rPr>
        <w:t>P</w:t>
      </w:r>
      <w:r w:rsidR="008E6FEA">
        <w:rPr>
          <w:i/>
        </w:rPr>
        <w:t>ost money orders</w:t>
      </w:r>
    </w:p>
    <w:p w14:paraId="470B8546" w14:textId="43F6F272" w:rsidR="00BA1577" w:rsidRDefault="00D867EF" w:rsidP="00BA1577">
      <w:pPr>
        <w:pStyle w:val="Bullet"/>
        <w:numPr>
          <w:ilvl w:val="0"/>
          <w:numId w:val="0"/>
        </w:numPr>
      </w:pPr>
      <w:r>
        <w:t xml:space="preserve">The </w:t>
      </w:r>
      <w:r w:rsidR="005F1AE0">
        <w:t>R</w:t>
      </w:r>
      <w:r>
        <w:t>egulations exempt</w:t>
      </w:r>
      <w:r w:rsidR="008E6FEA" w:rsidRPr="008E6FEA">
        <w:t xml:space="preserve"> bank draft</w:t>
      </w:r>
      <w:r w:rsidR="0038141A">
        <w:t>s</w:t>
      </w:r>
      <w:r w:rsidR="008E6FEA" w:rsidRPr="008E6FEA">
        <w:t xml:space="preserve">, including (but not limited to) a cheque drawn by a </w:t>
      </w:r>
      <w:r w:rsidR="00042F0B">
        <w:t>financial institution on itself</w:t>
      </w:r>
      <w:r w:rsidR="008E6FEA" w:rsidRPr="008E6FEA">
        <w:t xml:space="preserve"> or a cheque drawn by a financial institution on a financial institution other than itself</w:t>
      </w:r>
      <w:r w:rsidR="0038141A">
        <w:t>,</w:t>
      </w:r>
      <w:r w:rsidR="008E6FEA" w:rsidRPr="008E6FEA">
        <w:t xml:space="preserve"> </w:t>
      </w:r>
      <w:r w:rsidR="00042F0B">
        <w:t>from</w:t>
      </w:r>
      <w:r w:rsidR="008E6FEA" w:rsidRPr="008E6FEA">
        <w:t xml:space="preserve"> the DDO</w:t>
      </w:r>
      <w:r w:rsidR="00A00005">
        <w:t xml:space="preserve"> regime</w:t>
      </w:r>
      <w:r w:rsidR="008E6FEA" w:rsidRPr="008E6FEA">
        <w:t>. Similarly, a money order issued as a money order by or for Australia Post is carved out of the DDO</w:t>
      </w:r>
      <w:r w:rsidR="00A00005">
        <w:t xml:space="preserve"> regime</w:t>
      </w:r>
      <w:r w:rsidR="008E6FEA" w:rsidRPr="008E6FEA">
        <w:t>.</w:t>
      </w:r>
      <w:r w:rsidR="008E6FEA">
        <w:t xml:space="preserve"> </w:t>
      </w:r>
      <w:r w:rsidR="00BA1577">
        <w:t>(</w:t>
      </w:r>
      <w:r w:rsidR="003E1381">
        <w:t>Schedule 1, item 2, subregulations 7.8A.20(6) and (7))</w:t>
      </w:r>
      <w:r w:rsidR="00BA1577">
        <w:t>)</w:t>
      </w:r>
    </w:p>
    <w:p w14:paraId="3442073A" w14:textId="77777777" w:rsidR="003E1381" w:rsidRPr="009D0E19" w:rsidRDefault="003E1381" w:rsidP="003E1381">
      <w:pPr>
        <w:pStyle w:val="Bullet"/>
        <w:numPr>
          <w:ilvl w:val="0"/>
          <w:numId w:val="0"/>
        </w:numPr>
      </w:pPr>
      <w:r w:rsidRPr="009D0E19">
        <w:rPr>
          <w:i/>
        </w:rPr>
        <w:t>Extended operation financial products not received in this jurisdiction</w:t>
      </w:r>
    </w:p>
    <w:p w14:paraId="7B1BDC29" w14:textId="32965BA4" w:rsidR="003E1381" w:rsidRPr="00BA1577" w:rsidRDefault="003E1381" w:rsidP="00BA1577">
      <w:pPr>
        <w:pStyle w:val="Bullet"/>
        <w:numPr>
          <w:ilvl w:val="0"/>
          <w:numId w:val="0"/>
        </w:numPr>
      </w:pPr>
      <w:r w:rsidRPr="009D0E19">
        <w:t xml:space="preserve">The </w:t>
      </w:r>
      <w:r w:rsidR="005F1AE0">
        <w:t>R</w:t>
      </w:r>
      <w:r w:rsidRPr="009D0E19">
        <w:t xml:space="preserve">egulations also ensure that the DDO </w:t>
      </w:r>
      <w:r w:rsidR="00A00005">
        <w:t xml:space="preserve">regime </w:t>
      </w:r>
      <w:r w:rsidRPr="009D0E19">
        <w:t xml:space="preserve">only applies to products if the offer to issue or sell the product is received in this jurisdiction. </w:t>
      </w:r>
      <w:r w:rsidR="00C557C5">
        <w:t>The</w:t>
      </w:r>
      <w:r w:rsidR="00A00005">
        <w:t xml:space="preserve"> regime </w:t>
      </w:r>
      <w:r w:rsidRPr="009D0E19">
        <w:t>exclude</w:t>
      </w:r>
      <w:r w:rsidR="00A00005">
        <w:t>s</w:t>
      </w:r>
      <w:r w:rsidRPr="009D0E19">
        <w:t xml:space="preserve"> extended operation financial products where offers are not received in this jurisdiction. This limit already applies to other financial products covered by the DDO</w:t>
      </w:r>
      <w:r w:rsidR="00A00005">
        <w:t xml:space="preserve"> regime</w:t>
      </w:r>
      <w:r w:rsidRPr="009D0E19">
        <w:t xml:space="preserve">, being financial products requiring disclosure under Chapter 6D.2 and Part 7.9 of the Corporations Act (see subsection 700(4) and section 1011A of the Corporations Act). (Schedule 1, item </w:t>
      </w:r>
      <w:r>
        <w:t>2</w:t>
      </w:r>
      <w:r w:rsidRPr="009D0E19">
        <w:t xml:space="preserve">, </w:t>
      </w:r>
      <w:r>
        <w:t>s</w:t>
      </w:r>
      <w:r w:rsidR="00C557C5">
        <w:t>ubregulation 7.8A.20(8)</w:t>
      </w:r>
      <w:r w:rsidRPr="009D0E19">
        <w:t>)</w:t>
      </w:r>
    </w:p>
    <w:p w14:paraId="2004B529" w14:textId="51AC3B8D" w:rsidR="00BA1577" w:rsidRDefault="00C557C5" w:rsidP="00BA1577">
      <w:pPr>
        <w:pStyle w:val="Bullet"/>
        <w:numPr>
          <w:ilvl w:val="0"/>
          <w:numId w:val="0"/>
        </w:numPr>
      </w:pPr>
      <w:r>
        <w:rPr>
          <w:i/>
        </w:rPr>
        <w:t>Credit facilities - p</w:t>
      </w:r>
      <w:r w:rsidR="00BA1577">
        <w:rPr>
          <w:i/>
        </w:rPr>
        <w:t xml:space="preserve">rovision of credit </w:t>
      </w:r>
      <w:r w:rsidR="00C27A0C">
        <w:rPr>
          <w:i/>
        </w:rPr>
        <w:t>not issued in the course of a business of providing credit</w:t>
      </w:r>
    </w:p>
    <w:p w14:paraId="6FA69A7E" w14:textId="4EE77D51" w:rsidR="00BA1577" w:rsidRDefault="00D867EF" w:rsidP="00BA1577">
      <w:pPr>
        <w:pStyle w:val="Bullet"/>
        <w:numPr>
          <w:ilvl w:val="0"/>
          <w:numId w:val="0"/>
        </w:numPr>
      </w:pPr>
      <w:r>
        <w:t xml:space="preserve">The </w:t>
      </w:r>
      <w:r w:rsidR="005F1AE0">
        <w:t>R</w:t>
      </w:r>
      <w:r>
        <w:t xml:space="preserve">egulations exempt a </w:t>
      </w:r>
      <w:r w:rsidR="00DD22FB">
        <w:t>credit facility</w:t>
      </w:r>
      <w:r w:rsidR="00BA1577">
        <w:t xml:space="preserve"> </w:t>
      </w:r>
      <w:r w:rsidR="00DD22FB" w:rsidRPr="00DD22FB">
        <w:t xml:space="preserve">that is not </w:t>
      </w:r>
      <w:r w:rsidR="00042F0B">
        <w:t xml:space="preserve">issued in the course of </w:t>
      </w:r>
      <w:r w:rsidR="00DD22FB" w:rsidRPr="00042F0B">
        <w:t xml:space="preserve">a business </w:t>
      </w:r>
      <w:r w:rsidR="00042F0B">
        <w:t>that is wholly or partly a business of providing credit</w:t>
      </w:r>
      <w:r w:rsidR="00BA1577">
        <w:t>.</w:t>
      </w:r>
      <w:r w:rsidR="00DD22FB">
        <w:t xml:space="preserve"> </w:t>
      </w:r>
      <w:r w:rsidR="00042F0B">
        <w:t>This excludes from</w:t>
      </w:r>
      <w:r w:rsidR="00C27A0C">
        <w:t xml:space="preserve"> the operation of the DDO regime individuals that provide credit for social or family reasons (for example, a parent that lends money to a child) and credit </w:t>
      </w:r>
      <w:r w:rsidR="00E97995">
        <w:t xml:space="preserve">that is merely incidental to the operation of a non-credit business. </w:t>
      </w:r>
    </w:p>
    <w:p w14:paraId="6581C13E" w14:textId="5EFB5C83" w:rsidR="00BA1577" w:rsidRPr="00BA1577" w:rsidRDefault="00DD22FB" w:rsidP="00BA1577">
      <w:pPr>
        <w:pStyle w:val="Bullet"/>
        <w:numPr>
          <w:ilvl w:val="0"/>
          <w:numId w:val="0"/>
        </w:numPr>
      </w:pPr>
      <w:r>
        <w:t xml:space="preserve">This is </w:t>
      </w:r>
      <w:r w:rsidR="00042F0B">
        <w:t>necessary</w:t>
      </w:r>
      <w:r>
        <w:t xml:space="preserve"> given the breadth of the arrangements </w:t>
      </w:r>
      <w:r w:rsidR="00042F0B">
        <w:t>in the</w:t>
      </w:r>
      <w:r>
        <w:t xml:space="preserve"> definition of credit facility</w:t>
      </w:r>
      <w:r w:rsidR="00042F0B">
        <w:t xml:space="preserve"> in the ASIC Regulations</w:t>
      </w:r>
      <w:r>
        <w:t>.</w:t>
      </w:r>
      <w:r w:rsidR="008E6FEA">
        <w:t xml:space="preserve"> </w:t>
      </w:r>
      <w:r w:rsidR="00BA1577">
        <w:t xml:space="preserve">(Schedule 1, item </w:t>
      </w:r>
      <w:r w:rsidR="00C557C5">
        <w:t>2</w:t>
      </w:r>
      <w:r w:rsidR="00BA1577">
        <w:t xml:space="preserve">, </w:t>
      </w:r>
      <w:r w:rsidR="00C557C5">
        <w:t>paragraph 7.8A.20(9)(a)</w:t>
      </w:r>
      <w:r w:rsidR="00BA1577">
        <w:t>)</w:t>
      </w:r>
    </w:p>
    <w:p w14:paraId="3DDF4FE6" w14:textId="77777777" w:rsidR="00541DFB" w:rsidRDefault="00541DFB" w:rsidP="00541DFB">
      <w:pPr>
        <w:pStyle w:val="Bullet"/>
        <w:numPr>
          <w:ilvl w:val="0"/>
          <w:numId w:val="0"/>
        </w:numPr>
      </w:pPr>
      <w:r>
        <w:rPr>
          <w:i/>
        </w:rPr>
        <w:t xml:space="preserve">Credit provided for business purposes </w:t>
      </w:r>
    </w:p>
    <w:p w14:paraId="3B09055E" w14:textId="36409615" w:rsidR="00541DFB" w:rsidRPr="00BA1577" w:rsidRDefault="00541DFB" w:rsidP="00541DFB">
      <w:pPr>
        <w:pStyle w:val="Bullet"/>
        <w:numPr>
          <w:ilvl w:val="0"/>
          <w:numId w:val="0"/>
        </w:numPr>
      </w:pPr>
      <w:r>
        <w:t xml:space="preserve">The </w:t>
      </w:r>
      <w:r w:rsidR="005F1AE0">
        <w:t>R</w:t>
      </w:r>
      <w:r>
        <w:t xml:space="preserve">egulations </w:t>
      </w:r>
      <w:r w:rsidR="00A00005">
        <w:t xml:space="preserve">exempt </w:t>
      </w:r>
      <w:r>
        <w:t xml:space="preserve">from the scope of the DDO </w:t>
      </w:r>
      <w:r w:rsidR="00A00005">
        <w:t xml:space="preserve">regime </w:t>
      </w:r>
      <w:r>
        <w:t>a</w:t>
      </w:r>
      <w:r w:rsidRPr="00EF12EA">
        <w:t xml:space="preserve"> credit facility (within the meaning of the</w:t>
      </w:r>
      <w:r w:rsidR="00A00005">
        <w:t xml:space="preserve"> ASIC Regulations</w:t>
      </w:r>
      <w:r w:rsidRPr="00EF12EA">
        <w:t>)</w:t>
      </w:r>
      <w:r>
        <w:t xml:space="preserve"> </w:t>
      </w:r>
      <w:r w:rsidRPr="00EF12EA">
        <w:t>under the terms of which the credit is, or m</w:t>
      </w:r>
      <w:r w:rsidR="00372DD3">
        <w:t xml:space="preserve">ust be, applied </w:t>
      </w:r>
      <w:r w:rsidR="00372DD3" w:rsidRPr="00042F0B">
        <w:t>wholly or predominantly</w:t>
      </w:r>
      <w:r w:rsidRPr="00EF12EA">
        <w:t xml:space="preserve"> for business purposes.</w:t>
      </w:r>
      <w:r>
        <w:t xml:space="preserve"> Th</w:t>
      </w:r>
      <w:r w:rsidR="00205AD2">
        <w:t xml:space="preserve">is </w:t>
      </w:r>
      <w:r w:rsidR="003E7D82">
        <w:t>means that business loans and other credit provided for business purposes</w:t>
      </w:r>
      <w:r>
        <w:t xml:space="preserve"> are outside of the scope of the DDO</w:t>
      </w:r>
      <w:r w:rsidR="00A00005">
        <w:t xml:space="preserve"> regime</w:t>
      </w:r>
      <w:r>
        <w:t xml:space="preserve">. </w:t>
      </w:r>
      <w:r w:rsidR="00A85783" w:rsidRPr="00A50CEE">
        <w:t>Business purpose does not include lending for personal, domestic or household purposes.</w:t>
      </w:r>
      <w:r w:rsidR="00A85783">
        <w:t xml:space="preserve"> </w:t>
      </w:r>
      <w:r>
        <w:t xml:space="preserve">(Schedule 1, item </w:t>
      </w:r>
      <w:r w:rsidR="00C557C5">
        <w:t>2</w:t>
      </w:r>
      <w:r>
        <w:t xml:space="preserve">, </w:t>
      </w:r>
      <w:r w:rsidR="00C557C5">
        <w:t>paragraph 7.8A.20(9)(b)</w:t>
      </w:r>
      <w:r>
        <w:t>)</w:t>
      </w:r>
    </w:p>
    <w:p w14:paraId="641FC6AE" w14:textId="1FEC3F4C" w:rsidR="00541DFB" w:rsidRDefault="00541DFB" w:rsidP="00541DFB">
      <w:pPr>
        <w:pStyle w:val="Bullet"/>
        <w:numPr>
          <w:ilvl w:val="0"/>
          <w:numId w:val="0"/>
        </w:numPr>
      </w:pPr>
      <w:r>
        <w:rPr>
          <w:i/>
        </w:rPr>
        <w:t>Credit facilities that do not involve the provision of credit</w:t>
      </w:r>
    </w:p>
    <w:p w14:paraId="3215F1C1" w14:textId="66CA6D95" w:rsidR="00541DFB" w:rsidRDefault="006548D2" w:rsidP="00633E52">
      <w:pPr>
        <w:pStyle w:val="Bullet"/>
        <w:numPr>
          <w:ilvl w:val="0"/>
          <w:numId w:val="0"/>
        </w:numPr>
      </w:pPr>
      <w:r>
        <w:t xml:space="preserve">Paragraph (b) of the definition of credit in the ASIC Regulations </w:t>
      </w:r>
      <w:r w:rsidR="00DD22FB">
        <w:t xml:space="preserve">(see subregulation 2B(1)) </w:t>
      </w:r>
      <w:r>
        <w:t>lists a number of arrangements that fall within the definition of credit</w:t>
      </w:r>
      <w:r w:rsidR="00DD22FB">
        <w:t xml:space="preserve"> and therefore within the definition of a financial product</w:t>
      </w:r>
      <w:r>
        <w:t xml:space="preserve"> for the purposes of the ASIC Act. </w:t>
      </w:r>
      <w:r w:rsidR="003E7D82">
        <w:t>This item ensures that these arrangements</w:t>
      </w:r>
      <w:r>
        <w:t xml:space="preserve"> will only be covered by the DDO </w:t>
      </w:r>
      <w:r w:rsidR="00A00005">
        <w:t xml:space="preserve">regime </w:t>
      </w:r>
      <w:r>
        <w:lastRenderedPageBreak/>
        <w:t xml:space="preserve">when </w:t>
      </w:r>
      <w:r w:rsidR="003E7D82">
        <w:t>they</w:t>
      </w:r>
      <w:r>
        <w:t xml:space="preserve"> also fall within paragraph (a) of the def</w:t>
      </w:r>
      <w:r w:rsidR="003E7D82">
        <w:t>inition of credit. That is, the</w:t>
      </w:r>
      <w:r>
        <w:t xml:space="preserve"> </w:t>
      </w:r>
      <w:r w:rsidR="003E7D82">
        <w:t xml:space="preserve">arrangements listed in paragraph (b) </w:t>
      </w:r>
      <w:r>
        <w:t>must</w:t>
      </w:r>
      <w:r w:rsidR="003E7D82">
        <w:t xml:space="preserve"> also</w:t>
      </w:r>
      <w:r>
        <w:t xml:space="preserve"> involve the incurring of a deferred debt or payment of a deferred debt</w:t>
      </w:r>
      <w:r w:rsidR="003E7D82">
        <w:t xml:space="preserve"> to fall within the scope of the DDO</w:t>
      </w:r>
      <w:r w:rsidR="00A00005">
        <w:t xml:space="preserve"> regime</w:t>
      </w:r>
      <w:r>
        <w:t>.</w:t>
      </w:r>
      <w:r w:rsidR="00042F0B">
        <w:t xml:space="preserve"> </w:t>
      </w:r>
      <w:r>
        <w:t xml:space="preserve">This is </w:t>
      </w:r>
      <w:r w:rsidR="00042F0B">
        <w:t xml:space="preserve">necessary </w:t>
      </w:r>
      <w:r>
        <w:t>given the breadth of the arrangements listed in p</w:t>
      </w:r>
      <w:r w:rsidR="003E7D82">
        <w:t>aragraph (b) of the definition</w:t>
      </w:r>
      <w:r w:rsidR="00042F0B">
        <w:t xml:space="preserve"> of credit facility in subregulation 2B(1) of the ASIC Regulations</w:t>
      </w:r>
      <w:r w:rsidR="003E7D82">
        <w:t xml:space="preserve">. </w:t>
      </w:r>
      <w:r w:rsidR="00541DFB">
        <w:t>(Schedule</w:t>
      </w:r>
      <w:r w:rsidR="00447D65">
        <w:t> </w:t>
      </w:r>
      <w:r w:rsidR="00541DFB">
        <w:t xml:space="preserve">1, item </w:t>
      </w:r>
      <w:r w:rsidR="00C557C5">
        <w:t>2</w:t>
      </w:r>
      <w:r w:rsidR="00541DFB">
        <w:t>,</w:t>
      </w:r>
      <w:r w:rsidR="00C557C5">
        <w:t xml:space="preserve"> paragraph 7.8A.20(9)(c)</w:t>
      </w:r>
      <w:r w:rsidR="00541DFB">
        <w:t>)</w:t>
      </w:r>
    </w:p>
    <w:p w14:paraId="364044DD" w14:textId="33D47AC7" w:rsidR="00DF6202" w:rsidRDefault="00AF0B23" w:rsidP="00DF6202">
      <w:pPr>
        <w:pStyle w:val="Bullet"/>
        <w:numPr>
          <w:ilvl w:val="0"/>
          <w:numId w:val="0"/>
        </w:numPr>
      </w:pPr>
      <w:r>
        <w:rPr>
          <w:i/>
        </w:rPr>
        <w:t>Credit facilities - t</w:t>
      </w:r>
      <w:r w:rsidR="00DF6202">
        <w:rPr>
          <w:i/>
        </w:rPr>
        <w:t>he provision of a mortgage</w:t>
      </w:r>
    </w:p>
    <w:p w14:paraId="6558DC9C" w14:textId="7EDAD1AE" w:rsidR="00DF6202" w:rsidRPr="00DF6202" w:rsidRDefault="00DF6202" w:rsidP="00633E52">
      <w:pPr>
        <w:pStyle w:val="Bullet"/>
        <w:numPr>
          <w:ilvl w:val="0"/>
          <w:numId w:val="0"/>
        </w:numPr>
      </w:pPr>
      <w:r>
        <w:t xml:space="preserve">The </w:t>
      </w:r>
      <w:r w:rsidR="005F1AE0">
        <w:t>R</w:t>
      </w:r>
      <w:r>
        <w:t>egulations exclude the provision of mortgages from the scope of the DDO</w:t>
      </w:r>
      <w:r w:rsidR="00A00005">
        <w:t xml:space="preserve"> regime</w:t>
      </w:r>
      <w:r>
        <w:t xml:space="preserve">. This carve out only extends to the </w:t>
      </w:r>
      <w:r w:rsidRPr="00205AD2">
        <w:t>provision of the mortgage itself. For example, where a loan is secured by a mortgage over a property, the loan itself may still be subject to the DDO</w:t>
      </w:r>
      <w:r w:rsidR="00A00005">
        <w:t xml:space="preserve"> regime</w:t>
      </w:r>
      <w:r w:rsidRPr="00205AD2">
        <w:t xml:space="preserve">, </w:t>
      </w:r>
      <w:r w:rsidRPr="009D0E19">
        <w:t xml:space="preserve">however, the mortgage will not be, noting that the mortgage is generally provided by the person taking out the credit (as opposed to the credit provider). (Schedule 1, item </w:t>
      </w:r>
      <w:r>
        <w:t>2</w:t>
      </w:r>
      <w:r w:rsidRPr="009D0E19">
        <w:t xml:space="preserve">, </w:t>
      </w:r>
      <w:r>
        <w:t>paragraph 7.8A.20(9)(d)</w:t>
      </w:r>
      <w:r w:rsidRPr="009D0E19">
        <w:t>)</w:t>
      </w:r>
    </w:p>
    <w:p w14:paraId="0EE84C36" w14:textId="069D6DB7" w:rsidR="00EF12EA" w:rsidRDefault="00AF0B23" w:rsidP="00633E52">
      <w:pPr>
        <w:pStyle w:val="Bullet"/>
        <w:numPr>
          <w:ilvl w:val="0"/>
          <w:numId w:val="0"/>
        </w:numPr>
      </w:pPr>
      <w:r>
        <w:rPr>
          <w:i/>
        </w:rPr>
        <w:t>Credit facilities - p</w:t>
      </w:r>
      <w:r w:rsidR="00EF12EA">
        <w:rPr>
          <w:i/>
        </w:rPr>
        <w:t xml:space="preserve">awnbroking </w:t>
      </w:r>
    </w:p>
    <w:p w14:paraId="00C077F5" w14:textId="2BAAF746" w:rsidR="00EF12EA" w:rsidRDefault="00EF12EA" w:rsidP="00633E52">
      <w:pPr>
        <w:pStyle w:val="Bullet"/>
        <w:numPr>
          <w:ilvl w:val="0"/>
          <w:numId w:val="0"/>
        </w:numPr>
      </w:pPr>
      <w:r>
        <w:t xml:space="preserve">The </w:t>
      </w:r>
      <w:r w:rsidR="005F1AE0">
        <w:t>R</w:t>
      </w:r>
      <w:r>
        <w:t>egulations exclude pawnbroking from the scope of the DDO</w:t>
      </w:r>
      <w:r w:rsidR="00A00005">
        <w:t xml:space="preserve"> regime</w:t>
      </w:r>
      <w:r w:rsidR="003E7D82">
        <w:t xml:space="preserve"> on the basis that the regulation of</w:t>
      </w:r>
      <w:r>
        <w:t xml:space="preserve"> pawnbroking is </w:t>
      </w:r>
      <w:r w:rsidR="003E7D82">
        <w:t xml:space="preserve">the responsibility of </w:t>
      </w:r>
      <w:r>
        <w:t>State</w:t>
      </w:r>
      <w:r w:rsidR="003E7D82">
        <w:t>s and Territories</w:t>
      </w:r>
      <w:r>
        <w:t xml:space="preserve">. </w:t>
      </w:r>
    </w:p>
    <w:p w14:paraId="72C6984A" w14:textId="511BA65B" w:rsidR="00541DFB" w:rsidRDefault="00EF12EA" w:rsidP="00541DFB">
      <w:pPr>
        <w:pStyle w:val="Bullet"/>
        <w:numPr>
          <w:ilvl w:val="0"/>
          <w:numId w:val="0"/>
        </w:numPr>
      </w:pPr>
      <w:r>
        <w:t xml:space="preserve">Pawnbroking is defined as </w:t>
      </w:r>
      <w:r w:rsidRPr="00EF12EA">
        <w:t>a credit facility (within the meaning of the</w:t>
      </w:r>
      <w:r w:rsidR="005659E8">
        <w:t xml:space="preserve"> ASIC </w:t>
      </w:r>
      <w:r w:rsidR="00DF6202">
        <w:t>Regulations</w:t>
      </w:r>
      <w:r w:rsidRPr="00EF12EA">
        <w:t>) that involves the provision of credit by a pawnbroker in the ordinary course of a pawnbroker’s business (being a business which is being lawfully conducted by the pawnbroker)</w:t>
      </w:r>
      <w:r>
        <w:t xml:space="preserve">. </w:t>
      </w:r>
      <w:r w:rsidR="00541DFB">
        <w:t xml:space="preserve">(Schedule 1, item </w:t>
      </w:r>
      <w:r w:rsidR="00DF6202">
        <w:t>2</w:t>
      </w:r>
      <w:r w:rsidR="00541DFB">
        <w:t xml:space="preserve">, </w:t>
      </w:r>
      <w:r w:rsidR="00DF6202">
        <w:t>paragraph</w:t>
      </w:r>
      <w:r w:rsidR="00541DFB">
        <w:t xml:space="preserve"> 7.8A.</w:t>
      </w:r>
      <w:r w:rsidR="00DF6202">
        <w:t>20(9)(e)</w:t>
      </w:r>
      <w:r w:rsidR="00541DFB">
        <w:t>)</w:t>
      </w:r>
    </w:p>
    <w:p w14:paraId="42D6C6FB" w14:textId="562A0DA3" w:rsidR="0070347B" w:rsidRDefault="0070347B" w:rsidP="00307F63">
      <w:pPr>
        <w:pStyle w:val="Bullet"/>
        <w:numPr>
          <w:ilvl w:val="0"/>
          <w:numId w:val="0"/>
        </w:numPr>
        <w:rPr>
          <w:i/>
        </w:rPr>
      </w:pPr>
      <w:r>
        <w:rPr>
          <w:i/>
        </w:rPr>
        <w:t>Exemption from Part 7.8A – Employers complying with certain superannuation guarantee obligations</w:t>
      </w:r>
    </w:p>
    <w:p w14:paraId="265A0FB7" w14:textId="58DD0408" w:rsidR="0070347B" w:rsidRDefault="0070347B" w:rsidP="00307F63">
      <w:pPr>
        <w:pStyle w:val="Bullet"/>
        <w:numPr>
          <w:ilvl w:val="0"/>
          <w:numId w:val="0"/>
        </w:numPr>
      </w:pPr>
      <w:r>
        <w:t xml:space="preserve">The </w:t>
      </w:r>
      <w:r w:rsidR="005F1AE0">
        <w:t>R</w:t>
      </w:r>
      <w:r>
        <w:t xml:space="preserve">egulations </w:t>
      </w:r>
      <w:r w:rsidR="00B263C8">
        <w:t xml:space="preserve">exempt employers </w:t>
      </w:r>
      <w:r w:rsidR="0026039B">
        <w:t>from Part 7.8A</w:t>
      </w:r>
      <w:r w:rsidR="0026039B">
        <w:rPr>
          <w:rStyle w:val="FootnoteReference"/>
        </w:rPr>
        <w:footnoteReference w:id="32"/>
      </w:r>
      <w:r w:rsidR="0026039B">
        <w:t xml:space="preserve"> where the employer is </w:t>
      </w:r>
      <w:r w:rsidR="00B263C8">
        <w:t>complying with certain superannuation guarantee obligations</w:t>
      </w:r>
      <w:r w:rsidR="002D3C36">
        <w:t xml:space="preserve">. </w:t>
      </w:r>
    </w:p>
    <w:p w14:paraId="303A8971" w14:textId="31F08B50" w:rsidR="0082552D" w:rsidRPr="00435DEA" w:rsidRDefault="0026039B">
      <w:pPr>
        <w:rPr>
          <w:szCs w:val="24"/>
        </w:rPr>
      </w:pPr>
      <w:r>
        <w:t xml:space="preserve">Regulation 7.8A.25 provides that an employer is not subject to the design and distribution obligations in </w:t>
      </w:r>
      <w:r w:rsidR="00EE3C65">
        <w:t xml:space="preserve">engaging in </w:t>
      </w:r>
      <w:r w:rsidR="00131560">
        <w:t xml:space="preserve">a transaction that involves specified retail product distribution </w:t>
      </w:r>
      <w:r w:rsidR="00EE3C65">
        <w:t xml:space="preserve">conduct that relates to a financial product that is, or will be, an interest in the chosen fund of the employee or the employer’s default fund </w:t>
      </w:r>
      <w:r>
        <w:t xml:space="preserve">(i.e. an interest in a fund to which paragraph 32C(2)(ba) of the </w:t>
      </w:r>
      <w:r w:rsidRPr="000E37D6">
        <w:rPr>
          <w:i/>
        </w:rPr>
        <w:t>Superannuation Guarantee (Administration</w:t>
      </w:r>
      <w:r w:rsidRPr="00435DEA">
        <w:rPr>
          <w:i/>
          <w:szCs w:val="24"/>
        </w:rPr>
        <w:t xml:space="preserve">) Act 1992 </w:t>
      </w:r>
      <w:r w:rsidRPr="00435DEA">
        <w:rPr>
          <w:szCs w:val="24"/>
        </w:rPr>
        <w:t>applies).</w:t>
      </w:r>
      <w:r w:rsidR="00131560" w:rsidRPr="00435DEA">
        <w:rPr>
          <w:szCs w:val="24"/>
        </w:rPr>
        <w:t xml:space="preserve"> </w:t>
      </w:r>
    </w:p>
    <w:p w14:paraId="7C5221CE" w14:textId="77777777" w:rsidR="00131560" w:rsidRPr="006F49A9" w:rsidRDefault="00131560">
      <w:pPr>
        <w:rPr>
          <w:szCs w:val="24"/>
        </w:rPr>
      </w:pPr>
      <w:r w:rsidRPr="006F49A9">
        <w:rPr>
          <w:szCs w:val="24"/>
        </w:rPr>
        <w:t>The exempted conduct is:</w:t>
      </w:r>
    </w:p>
    <w:p w14:paraId="7C41774C" w14:textId="517D88E0" w:rsidR="00585157" w:rsidRPr="00435DEA" w:rsidRDefault="00585157" w:rsidP="006F49A9">
      <w:pPr>
        <w:pStyle w:val="ListParagraph"/>
        <w:numPr>
          <w:ilvl w:val="0"/>
          <w:numId w:val="50"/>
        </w:numPr>
        <w:rPr>
          <w:szCs w:val="24"/>
        </w:rPr>
      </w:pPr>
      <w:r w:rsidRPr="006F49A9">
        <w:rPr>
          <w:rFonts w:ascii="Times New Roman" w:hAnsi="Times New Roman"/>
          <w:sz w:val="24"/>
          <w:szCs w:val="24"/>
        </w:rPr>
        <w:t>an employer giving the employee a Product Disclosure Statement for a product that is a default fund product for the employer and employee;</w:t>
      </w:r>
    </w:p>
    <w:p w14:paraId="5B23D258" w14:textId="25A02CE3" w:rsidR="00131560" w:rsidRPr="00435DEA" w:rsidRDefault="00131560" w:rsidP="006F49A9">
      <w:pPr>
        <w:pStyle w:val="ListParagraph"/>
        <w:numPr>
          <w:ilvl w:val="0"/>
          <w:numId w:val="50"/>
        </w:numPr>
        <w:rPr>
          <w:szCs w:val="24"/>
        </w:rPr>
      </w:pPr>
      <w:r w:rsidRPr="006F49A9">
        <w:rPr>
          <w:rFonts w:ascii="Times New Roman" w:hAnsi="Times New Roman"/>
          <w:sz w:val="24"/>
          <w:szCs w:val="24"/>
        </w:rPr>
        <w:t>an employer paying contributions on behalf of the employee into a product that is a default fund product for the employer and employee or a chosen fund product for the employee;</w:t>
      </w:r>
      <w:r w:rsidR="00585157" w:rsidRPr="006F49A9">
        <w:rPr>
          <w:rFonts w:ascii="Times New Roman" w:hAnsi="Times New Roman"/>
          <w:sz w:val="24"/>
          <w:szCs w:val="24"/>
        </w:rPr>
        <w:t xml:space="preserve"> and</w:t>
      </w:r>
    </w:p>
    <w:p w14:paraId="6605AF16" w14:textId="346BC32A" w:rsidR="00131560" w:rsidRPr="00435DEA" w:rsidRDefault="00585157" w:rsidP="006F49A9">
      <w:pPr>
        <w:pStyle w:val="ListParagraph"/>
        <w:numPr>
          <w:ilvl w:val="0"/>
          <w:numId w:val="50"/>
        </w:numPr>
        <w:rPr>
          <w:szCs w:val="24"/>
        </w:rPr>
      </w:pPr>
      <w:r w:rsidRPr="006F49A9">
        <w:rPr>
          <w:rFonts w:ascii="Times New Roman" w:hAnsi="Times New Roman"/>
          <w:sz w:val="24"/>
          <w:szCs w:val="24"/>
        </w:rPr>
        <w:t>a dealing in a financial product that consists only of the employer arranging for the issue to the employee of a product that is a default fund product for the employer and employee or a chosen fund product for the employee.</w:t>
      </w:r>
    </w:p>
    <w:p w14:paraId="573D7E1B" w14:textId="61286907" w:rsidR="00131560" w:rsidRPr="006F49A9" w:rsidRDefault="00585157">
      <w:pPr>
        <w:rPr>
          <w:i/>
          <w:szCs w:val="24"/>
        </w:rPr>
      </w:pPr>
      <w:r w:rsidRPr="006F49A9">
        <w:rPr>
          <w:szCs w:val="24"/>
        </w:rPr>
        <w:lastRenderedPageBreak/>
        <w:t xml:space="preserve">In this regulation, chosen fund product and default fund product are defined </w:t>
      </w:r>
      <w:r w:rsidR="009A56E4">
        <w:rPr>
          <w:szCs w:val="24"/>
        </w:rPr>
        <w:t>by reference to the</w:t>
      </w:r>
      <w:r w:rsidRPr="00435DEA">
        <w:rPr>
          <w:szCs w:val="24"/>
        </w:rPr>
        <w:t xml:space="preserve"> </w:t>
      </w:r>
      <w:r w:rsidRPr="00435DEA">
        <w:rPr>
          <w:i/>
          <w:szCs w:val="24"/>
        </w:rPr>
        <w:t xml:space="preserve">Superannuation Guarantee (Administration) Act 1992. </w:t>
      </w:r>
    </w:p>
    <w:p w14:paraId="21AF1A10" w14:textId="0158E068" w:rsidR="0082552D" w:rsidRDefault="0082552D">
      <w:r>
        <w:t>Absent this Regulation, employers would be brought into the DDO regime as a regulated person because the definition of regulated person (see section 994A</w:t>
      </w:r>
      <w:r w:rsidR="00CD6ABB">
        <w:rPr>
          <w:rStyle w:val="FootnoteReference"/>
        </w:rPr>
        <w:footnoteReference w:id="33"/>
      </w:r>
      <w:r>
        <w:t xml:space="preserve"> and section 1011B of the Corporations Act) includes a person who is exempt from the obligation to hold an Australian financial services licence because of paragraph 911A(2)(k) of the Corporations Act. Employers utilise exemptions made under paragraph 911A(2)(k) in relation to dealings with their employees superannuation arrangements.</w:t>
      </w:r>
      <w:r>
        <w:rPr>
          <w:rStyle w:val="FootnoteReference"/>
        </w:rPr>
        <w:footnoteReference w:id="34"/>
      </w:r>
      <w:r>
        <w:t xml:space="preserve"> </w:t>
      </w:r>
    </w:p>
    <w:p w14:paraId="400AEAAE" w14:textId="3F4B18E0" w:rsidR="00D52D9D" w:rsidRDefault="00D52D9D">
      <w:pPr>
        <w:spacing w:before="0" w:after="0"/>
      </w:pPr>
      <w:r>
        <w:br w:type="page"/>
      </w:r>
    </w:p>
    <w:p w14:paraId="6AC0829B" w14:textId="601ACFF8" w:rsidR="00050242" w:rsidRPr="00BF1C4C" w:rsidRDefault="00050242" w:rsidP="00050242">
      <w:pPr>
        <w:jc w:val="right"/>
        <w:rPr>
          <w:szCs w:val="24"/>
        </w:rPr>
      </w:pPr>
      <w:r w:rsidRPr="00BF1C4C">
        <w:rPr>
          <w:b/>
          <w:szCs w:val="24"/>
          <w:u w:val="single"/>
        </w:rPr>
        <w:lastRenderedPageBreak/>
        <w:t>ATTACHMENT</w:t>
      </w:r>
      <w:r>
        <w:rPr>
          <w:b/>
          <w:szCs w:val="24"/>
          <w:u w:val="single"/>
        </w:rPr>
        <w:t xml:space="preserve"> B</w:t>
      </w:r>
    </w:p>
    <w:p w14:paraId="3D1C6135" w14:textId="77777777" w:rsidR="003205B8" w:rsidRDefault="003205B8" w:rsidP="003205B8">
      <w:pPr>
        <w:pStyle w:val="Heading3"/>
        <w:jc w:val="center"/>
      </w:pPr>
      <w:r>
        <w:t>Statement of Compatibility with Human Rights</w:t>
      </w:r>
    </w:p>
    <w:p w14:paraId="04CA1103" w14:textId="77777777" w:rsidR="003205B8" w:rsidRPr="00E4438C" w:rsidRDefault="003205B8" w:rsidP="003205B8">
      <w:pPr>
        <w:jc w:val="center"/>
        <w:rPr>
          <w:i/>
        </w:rPr>
      </w:pPr>
      <w:r w:rsidRPr="00E4438C">
        <w:rPr>
          <w:i/>
        </w:rPr>
        <w:t>Prepared in accordance with Part</w:t>
      </w:r>
      <w:r>
        <w:rPr>
          <w:i/>
        </w:rPr>
        <w:t> </w:t>
      </w:r>
      <w:r w:rsidRPr="00E4438C">
        <w:rPr>
          <w:i/>
        </w:rPr>
        <w:t>3 of the Human Rights (Parliamentary Scrutiny) Act</w:t>
      </w:r>
      <w:r>
        <w:rPr>
          <w:i/>
        </w:rPr>
        <w:t> </w:t>
      </w:r>
      <w:r w:rsidRPr="00E4438C">
        <w:rPr>
          <w:i/>
        </w:rPr>
        <w:t>2011</w:t>
      </w:r>
    </w:p>
    <w:p w14:paraId="56FB6300" w14:textId="2C9C4121" w:rsidR="003205B8" w:rsidRPr="00076A59" w:rsidRDefault="003205B8" w:rsidP="003205B8">
      <w:pPr>
        <w:jc w:val="center"/>
        <w:rPr>
          <w:b/>
          <w:i/>
        </w:rPr>
      </w:pPr>
      <w:r w:rsidRPr="00E43C06">
        <w:rPr>
          <w:b/>
          <w:i/>
        </w:rPr>
        <w:t>Corporations Amendment (Design and Distribution Obligations</w:t>
      </w:r>
      <w:r>
        <w:rPr>
          <w:b/>
          <w:i/>
        </w:rPr>
        <w:t>) Regulations 2019</w:t>
      </w:r>
    </w:p>
    <w:p w14:paraId="0511D8B6" w14:textId="77777777" w:rsidR="003205B8" w:rsidRDefault="003205B8" w:rsidP="003205B8">
      <w:r>
        <w:t xml:space="preserve">This Legislative Instrument is compatible with the human rights and freedoms recognised or declared in the international instruments listed in section 3 of the </w:t>
      </w:r>
      <w:r w:rsidRPr="00E4438C">
        <w:rPr>
          <w:i/>
        </w:rPr>
        <w:t>Human Rights (Parliamentary Scrutiny) Act</w:t>
      </w:r>
      <w:r>
        <w:rPr>
          <w:i/>
        </w:rPr>
        <w:t> </w:t>
      </w:r>
      <w:r w:rsidRPr="00E4438C">
        <w:rPr>
          <w:i/>
        </w:rPr>
        <w:t>2011</w:t>
      </w:r>
      <w:r>
        <w:t>.</w:t>
      </w:r>
    </w:p>
    <w:p w14:paraId="18B36C33" w14:textId="77777777" w:rsidR="003205B8" w:rsidRPr="00AB6B63" w:rsidRDefault="003205B8" w:rsidP="003205B8">
      <w:pPr>
        <w:spacing w:before="240"/>
        <w:rPr>
          <w:b/>
        </w:rPr>
      </w:pPr>
      <w:r w:rsidRPr="00AB6B63">
        <w:rPr>
          <w:b/>
        </w:rPr>
        <w:t>Overview of the Legislative Instrument</w:t>
      </w:r>
    </w:p>
    <w:p w14:paraId="364AAF34" w14:textId="2E306ECB" w:rsidR="003205B8" w:rsidRDefault="003205B8" w:rsidP="003205B8">
      <w:r>
        <w:t xml:space="preserve">The </w:t>
      </w:r>
      <w:r w:rsidR="000C6A0F">
        <w:t xml:space="preserve">Regulations </w:t>
      </w:r>
      <w:r>
        <w:t xml:space="preserve">complement the operation of the </w:t>
      </w:r>
      <w:r>
        <w:rPr>
          <w:i/>
        </w:rPr>
        <w:t xml:space="preserve">Treasury Laws Amendment (Design and Distribution Obligations and Product Intervention Powers) </w:t>
      </w:r>
      <w:r w:rsidDel="00DD52DD">
        <w:rPr>
          <w:i/>
        </w:rPr>
        <w:t>Act</w:t>
      </w:r>
      <w:r>
        <w:rPr>
          <w:i/>
        </w:rPr>
        <w:t xml:space="preserve"> 2019</w:t>
      </w:r>
      <w:r w:rsidR="00471754">
        <w:t xml:space="preserve"> (</w:t>
      </w:r>
      <w:r>
        <w:t xml:space="preserve">the Act). </w:t>
      </w:r>
    </w:p>
    <w:p w14:paraId="6000708E" w14:textId="77777777" w:rsidR="009A56E4" w:rsidRDefault="009A56E4" w:rsidP="009A56E4">
      <w:pPr>
        <w:tabs>
          <w:tab w:val="left" w:pos="1701"/>
          <w:tab w:val="right" w:pos="9072"/>
        </w:tabs>
        <w:ind w:right="91"/>
      </w:pPr>
      <w:r>
        <w:t xml:space="preserve">The purpose </w:t>
      </w:r>
      <w:r>
        <w:rPr>
          <w:szCs w:val="24"/>
        </w:rPr>
        <w:t>of the</w:t>
      </w:r>
      <w:r w:rsidRPr="007159A0">
        <w:rPr>
          <w:szCs w:val="24"/>
        </w:rPr>
        <w:t xml:space="preserve"> Regulations is to</w:t>
      </w:r>
      <w:r>
        <w:rPr>
          <w:szCs w:val="24"/>
        </w:rPr>
        <w:t xml:space="preserve"> enhance the DDO regime by altering the products and persons in relation to which the DDO regime applies. </w:t>
      </w:r>
      <w:r>
        <w:t>The amendments extend the DDO to additional persons and products and exclude certain persons and products from its operation.</w:t>
      </w:r>
    </w:p>
    <w:p w14:paraId="0BEAD09B" w14:textId="77777777" w:rsidR="009A56E4" w:rsidRPr="000F5A7A" w:rsidRDefault="009A56E4" w:rsidP="009A56E4">
      <w:pPr>
        <w:spacing w:before="240"/>
        <w:rPr>
          <w:szCs w:val="24"/>
        </w:rPr>
      </w:pPr>
      <w:r>
        <w:t xml:space="preserve">These Regulations extend </w:t>
      </w:r>
      <w:r w:rsidRPr="000F5A7A">
        <w:rPr>
          <w:szCs w:val="24"/>
        </w:rPr>
        <w:t>the distribution obligations in the DDO to the following persons</w:t>
      </w:r>
      <w:r>
        <w:rPr>
          <w:szCs w:val="24"/>
        </w:rPr>
        <w:t xml:space="preserve"> by prescribing them as regulated persons</w:t>
      </w:r>
      <w:r w:rsidRPr="000F5A7A">
        <w:rPr>
          <w:szCs w:val="24"/>
        </w:rPr>
        <w:t>:</w:t>
      </w:r>
    </w:p>
    <w:p w14:paraId="4A5175B1" w14:textId="77777777" w:rsidR="009A56E4" w:rsidRPr="000E37D6" w:rsidRDefault="009A56E4" w:rsidP="009A56E4">
      <w:pPr>
        <w:pStyle w:val="ListParagraph"/>
        <w:numPr>
          <w:ilvl w:val="0"/>
          <w:numId w:val="44"/>
        </w:numPr>
        <w:spacing w:before="240"/>
        <w:rPr>
          <w:rStyle w:val="Referencingstyle"/>
          <w:rFonts w:ascii="Times New Roman" w:hAnsi="Times New Roman"/>
          <w:b w:val="0"/>
          <w:i w:val="0"/>
          <w:sz w:val="24"/>
          <w:szCs w:val="24"/>
        </w:rPr>
      </w:pPr>
      <w:r w:rsidRPr="000E37D6">
        <w:rPr>
          <w:rStyle w:val="Referencingstyle"/>
          <w:rFonts w:ascii="Times New Roman" w:hAnsi="Times New Roman"/>
          <w:b w:val="0"/>
          <w:i w:val="0"/>
          <w:sz w:val="24"/>
          <w:szCs w:val="24"/>
        </w:rPr>
        <w:t xml:space="preserve">a person that is exempt under paragraph 926B(1)(a) of the </w:t>
      </w:r>
      <w:r>
        <w:rPr>
          <w:rStyle w:val="Referencingstyle"/>
          <w:rFonts w:ascii="Times New Roman" w:hAnsi="Times New Roman"/>
          <w:b w:val="0"/>
          <w:i w:val="0"/>
          <w:sz w:val="24"/>
          <w:szCs w:val="24"/>
        </w:rPr>
        <w:t xml:space="preserve">Corporations </w:t>
      </w:r>
      <w:r w:rsidRPr="000E37D6">
        <w:rPr>
          <w:rStyle w:val="Referencingstyle"/>
          <w:rFonts w:ascii="Times New Roman" w:hAnsi="Times New Roman"/>
          <w:b w:val="0"/>
          <w:i w:val="0"/>
          <w:sz w:val="24"/>
          <w:szCs w:val="24"/>
        </w:rPr>
        <w:t>Act from the requirement in section 911A of the Corporations Act to hold an Australian financial services licence for a financial service;</w:t>
      </w:r>
    </w:p>
    <w:p w14:paraId="321CE7A9" w14:textId="77777777" w:rsidR="009A56E4" w:rsidRPr="000E37D6" w:rsidRDefault="009A56E4" w:rsidP="009A56E4">
      <w:pPr>
        <w:pStyle w:val="ListParagraph"/>
        <w:numPr>
          <w:ilvl w:val="0"/>
          <w:numId w:val="44"/>
        </w:numPr>
        <w:spacing w:before="240"/>
        <w:rPr>
          <w:rStyle w:val="Referencingstyle"/>
          <w:rFonts w:ascii="Times New Roman" w:hAnsi="Times New Roman"/>
          <w:b w:val="0"/>
          <w:i w:val="0"/>
          <w:sz w:val="24"/>
          <w:szCs w:val="24"/>
        </w:rPr>
      </w:pPr>
      <w:r w:rsidRPr="000E37D6">
        <w:rPr>
          <w:rStyle w:val="Referencingstyle"/>
          <w:rFonts w:ascii="Times New Roman" w:hAnsi="Times New Roman"/>
          <w:b w:val="0"/>
          <w:i w:val="0"/>
          <w:sz w:val="24"/>
          <w:szCs w:val="24"/>
        </w:rPr>
        <w:t>product distributors of basic deposit products, general insurance products and bundled consumer credit insurance products;</w:t>
      </w:r>
    </w:p>
    <w:p w14:paraId="19F00880" w14:textId="77777777" w:rsidR="009A56E4" w:rsidRPr="000E37D6" w:rsidRDefault="009A56E4" w:rsidP="009A56E4">
      <w:pPr>
        <w:pStyle w:val="ListParagraph"/>
        <w:numPr>
          <w:ilvl w:val="0"/>
          <w:numId w:val="44"/>
        </w:numPr>
        <w:spacing w:before="240"/>
        <w:rPr>
          <w:rStyle w:val="Referencingstyle"/>
          <w:rFonts w:ascii="Times New Roman" w:hAnsi="Times New Roman"/>
          <w:b w:val="0"/>
          <w:i w:val="0"/>
          <w:sz w:val="24"/>
          <w:szCs w:val="24"/>
        </w:rPr>
      </w:pPr>
      <w:r w:rsidRPr="000E37D6">
        <w:rPr>
          <w:rStyle w:val="Referencingstyle"/>
          <w:rFonts w:ascii="Times New Roman" w:hAnsi="Times New Roman"/>
          <w:b w:val="0"/>
          <w:i w:val="0"/>
          <w:sz w:val="24"/>
          <w:szCs w:val="24"/>
        </w:rPr>
        <w:t>credit licensees and credit representatives; and</w:t>
      </w:r>
    </w:p>
    <w:p w14:paraId="2882E2A1" w14:textId="77777777" w:rsidR="009A56E4" w:rsidRPr="000E37D6" w:rsidRDefault="009A56E4" w:rsidP="009A56E4">
      <w:pPr>
        <w:pStyle w:val="ListParagraph"/>
        <w:numPr>
          <w:ilvl w:val="0"/>
          <w:numId w:val="44"/>
        </w:numPr>
        <w:spacing w:before="240"/>
        <w:rPr>
          <w:rStyle w:val="Referencingstyle"/>
          <w:rFonts w:ascii="Times New Roman" w:hAnsi="Times New Roman"/>
          <w:b w:val="0"/>
          <w:i w:val="0"/>
          <w:sz w:val="22"/>
          <w:szCs w:val="24"/>
        </w:rPr>
      </w:pPr>
      <w:r w:rsidRPr="000E37D6">
        <w:rPr>
          <w:rStyle w:val="Referencingstyle"/>
          <w:rFonts w:ascii="Times New Roman" w:hAnsi="Times New Roman"/>
          <w:b w:val="0"/>
          <w:i w:val="0"/>
          <w:sz w:val="24"/>
          <w:szCs w:val="24"/>
        </w:rPr>
        <w:t>issuers of extended operation financial products</w:t>
      </w:r>
      <w:r>
        <w:rPr>
          <w:rStyle w:val="Referencingstyle"/>
          <w:rFonts w:ascii="Times New Roman" w:hAnsi="Times New Roman"/>
          <w:b w:val="0"/>
          <w:i w:val="0"/>
          <w:sz w:val="24"/>
          <w:szCs w:val="24"/>
        </w:rPr>
        <w:t xml:space="preserve"> (i.e. ASIC Act financial products that are not financial products within the meaning of the Corporations Act).</w:t>
      </w:r>
    </w:p>
    <w:p w14:paraId="403D02F2" w14:textId="77777777" w:rsidR="009A56E4" w:rsidRPr="000E37D6" w:rsidRDefault="009A56E4" w:rsidP="009A56E4">
      <w:pPr>
        <w:spacing w:before="240"/>
        <w:rPr>
          <w:rStyle w:val="Referencingstyle"/>
          <w:b w:val="0"/>
          <w:i w:val="0"/>
          <w:sz w:val="24"/>
          <w:szCs w:val="24"/>
        </w:rPr>
      </w:pPr>
      <w:r w:rsidRPr="000E37D6">
        <w:rPr>
          <w:szCs w:val="24"/>
        </w:rPr>
        <w:t>These Regulations extend the DDO regime so that it applies in relation to the following products:</w:t>
      </w:r>
    </w:p>
    <w:p w14:paraId="7FA6CA30" w14:textId="77777777" w:rsidR="009A56E4" w:rsidRPr="000E37D6" w:rsidRDefault="009A56E4" w:rsidP="009A56E4">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simple corporate bonds depository interests in simple corporate bonds, where the simple corporate bonds are, or are to be, issued under a 2 part simple corporate bonds prospectus;</w:t>
      </w:r>
    </w:p>
    <w:p w14:paraId="3CA79032" w14:textId="722CFF19" w:rsidR="009A56E4" w:rsidRPr="000E37D6" w:rsidRDefault="009A56E4" w:rsidP="009A56E4">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debent</w:t>
      </w:r>
      <w:r w:rsidR="00DC6AD7">
        <w:rPr>
          <w:rFonts w:ascii="Times New Roman" w:hAnsi="Times New Roman"/>
          <w:sz w:val="24"/>
          <w:szCs w:val="24"/>
        </w:rPr>
        <w:t xml:space="preserve">ures of a body that is an </w:t>
      </w:r>
      <w:r>
        <w:rPr>
          <w:rFonts w:ascii="Times New Roman" w:hAnsi="Times New Roman"/>
          <w:sz w:val="24"/>
          <w:szCs w:val="24"/>
        </w:rPr>
        <w:t xml:space="preserve">ADI </w:t>
      </w:r>
      <w:r w:rsidRPr="000E37D6">
        <w:rPr>
          <w:rFonts w:ascii="Times New Roman" w:hAnsi="Times New Roman"/>
          <w:sz w:val="24"/>
          <w:szCs w:val="24"/>
        </w:rPr>
        <w:t xml:space="preserve">or registered under section 21 of the </w:t>
      </w:r>
      <w:r w:rsidR="00DC6AD7">
        <w:rPr>
          <w:rFonts w:ascii="Times New Roman" w:hAnsi="Times New Roman"/>
          <w:i/>
          <w:iCs/>
          <w:sz w:val="24"/>
          <w:szCs w:val="24"/>
        </w:rPr>
        <w:t>Life </w:t>
      </w:r>
      <w:r w:rsidRPr="000E37D6">
        <w:rPr>
          <w:rFonts w:ascii="Times New Roman" w:hAnsi="Times New Roman"/>
          <w:i/>
          <w:iCs/>
          <w:sz w:val="24"/>
          <w:szCs w:val="24"/>
        </w:rPr>
        <w:t>Insurance Act 1995</w:t>
      </w:r>
      <w:r w:rsidRPr="000E37D6">
        <w:rPr>
          <w:rFonts w:ascii="Times New Roman" w:hAnsi="Times New Roman"/>
          <w:sz w:val="24"/>
          <w:szCs w:val="24"/>
        </w:rPr>
        <w:t>;</w:t>
      </w:r>
    </w:p>
    <w:p w14:paraId="03539247" w14:textId="77777777" w:rsidR="009A56E4" w:rsidRPr="000E37D6" w:rsidRDefault="009A56E4" w:rsidP="009A56E4">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basic banking products;</w:t>
      </w:r>
    </w:p>
    <w:p w14:paraId="381F658A" w14:textId="77777777" w:rsidR="009A56E4" w:rsidRPr="000E37D6" w:rsidRDefault="009A56E4" w:rsidP="009A56E4">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investor-directed portfolio services;</w:t>
      </w:r>
    </w:p>
    <w:p w14:paraId="27873E5F" w14:textId="77777777" w:rsidR="009A56E4" w:rsidRPr="000E37D6" w:rsidRDefault="009A56E4" w:rsidP="009A56E4">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exchange traded funds; and</w:t>
      </w:r>
    </w:p>
    <w:p w14:paraId="0A7087D3" w14:textId="77777777" w:rsidR="009A56E4" w:rsidRPr="000E37D6" w:rsidRDefault="009A56E4" w:rsidP="009A56E4">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lastRenderedPageBreak/>
        <w:t>custodial arrangements that are not already subject to the new regime.</w:t>
      </w:r>
    </w:p>
    <w:p w14:paraId="1A175DCE" w14:textId="77777777" w:rsidR="009A56E4" w:rsidRPr="000E37D6" w:rsidRDefault="009A56E4" w:rsidP="009A56E4">
      <w:pPr>
        <w:spacing w:before="240"/>
        <w:rPr>
          <w:szCs w:val="24"/>
        </w:rPr>
      </w:pPr>
      <w:r w:rsidRPr="000E37D6">
        <w:rPr>
          <w:szCs w:val="24"/>
        </w:rPr>
        <w:t>These Regulations exclude the following products from the DDO regime:</w:t>
      </w:r>
    </w:p>
    <w:p w14:paraId="0D766B80" w14:textId="77777777" w:rsidR="009A56E4" w:rsidRPr="000E37D6" w:rsidRDefault="009A56E4" w:rsidP="009A56E4">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interests in eligible rollover funds;</w:t>
      </w:r>
    </w:p>
    <w:p w14:paraId="1306C1CE" w14:textId="77777777" w:rsidR="009A56E4" w:rsidRPr="000E37D6" w:rsidRDefault="009A56E4" w:rsidP="009A56E4">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defined benefit interests;</w:t>
      </w:r>
    </w:p>
    <w:p w14:paraId="0545A713" w14:textId="77777777" w:rsidR="009A56E4" w:rsidRPr="000E37D6" w:rsidRDefault="009A56E4" w:rsidP="009A56E4">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medical indemnity insurance products;</w:t>
      </w:r>
    </w:p>
    <w:p w14:paraId="5C272FF5" w14:textId="77777777" w:rsidR="009A56E4" w:rsidRPr="000E37D6" w:rsidRDefault="009A56E4" w:rsidP="009A56E4">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 xml:space="preserve">depository interests in foreign fully paid ordinary shares, </w:t>
      </w:r>
      <w:r>
        <w:rPr>
          <w:rFonts w:ascii="Times New Roman" w:hAnsi="Times New Roman"/>
          <w:sz w:val="24"/>
          <w:szCs w:val="24"/>
        </w:rPr>
        <w:t>if the DDO regime would not otherwise apply to the shares</w:t>
      </w:r>
      <w:r w:rsidRPr="000E37D6">
        <w:rPr>
          <w:rFonts w:ascii="Times New Roman" w:hAnsi="Times New Roman"/>
          <w:sz w:val="24"/>
          <w:szCs w:val="24"/>
        </w:rPr>
        <w:t>;</w:t>
      </w:r>
    </w:p>
    <w:p w14:paraId="6667C2B6" w14:textId="77777777" w:rsidR="009A56E4" w:rsidRPr="000E37D6" w:rsidRDefault="009A56E4" w:rsidP="009A56E4">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bank drafts (and money orders issued by or for Australia Post);</w:t>
      </w:r>
    </w:p>
    <w:p w14:paraId="35A5B1DC" w14:textId="77777777" w:rsidR="009A56E4" w:rsidRPr="000E37D6" w:rsidRDefault="009A56E4" w:rsidP="009A56E4">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financial products not received in this jurisdiction that are not already excluded from the DDO;</w:t>
      </w:r>
    </w:p>
    <w:p w14:paraId="30A5146C" w14:textId="77777777" w:rsidR="009A56E4" w:rsidRPr="000E37D6" w:rsidRDefault="009A56E4" w:rsidP="009A56E4">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credit facilities not issued in the course of a business of providing credit;</w:t>
      </w:r>
    </w:p>
    <w:p w14:paraId="480D425C" w14:textId="77777777" w:rsidR="009A56E4" w:rsidRPr="000E37D6" w:rsidRDefault="009A56E4" w:rsidP="009A56E4">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credit provided for business purposes;</w:t>
      </w:r>
    </w:p>
    <w:p w14:paraId="3FB79611" w14:textId="77777777" w:rsidR="009A56E4" w:rsidRPr="000E37D6" w:rsidRDefault="009A56E4" w:rsidP="009A56E4">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certain ‘credit facilities’ that do not involve the provision of credit;</w:t>
      </w:r>
    </w:p>
    <w:p w14:paraId="0104F16E" w14:textId="77777777" w:rsidR="009A56E4" w:rsidRPr="000E37D6" w:rsidRDefault="009A56E4" w:rsidP="009A56E4">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the provision of a mortgage (as distinct from the credit contract secured by the mortgage); and</w:t>
      </w:r>
    </w:p>
    <w:p w14:paraId="35AEC7FA" w14:textId="77777777" w:rsidR="009A56E4" w:rsidRPr="000E37D6" w:rsidRDefault="009A56E4" w:rsidP="009A56E4">
      <w:pPr>
        <w:pStyle w:val="ListParagraph"/>
        <w:numPr>
          <w:ilvl w:val="0"/>
          <w:numId w:val="44"/>
        </w:numPr>
        <w:spacing w:before="240"/>
        <w:rPr>
          <w:rFonts w:ascii="Times New Roman" w:hAnsi="Times New Roman"/>
          <w:sz w:val="24"/>
          <w:szCs w:val="24"/>
        </w:rPr>
      </w:pPr>
      <w:r w:rsidRPr="000E37D6">
        <w:rPr>
          <w:rFonts w:ascii="Times New Roman" w:hAnsi="Times New Roman"/>
          <w:sz w:val="24"/>
          <w:szCs w:val="24"/>
        </w:rPr>
        <w:t>credit provided by pawnbrokers.</w:t>
      </w:r>
    </w:p>
    <w:p w14:paraId="0D3A9273" w14:textId="77777777" w:rsidR="009A56E4" w:rsidRDefault="009A56E4" w:rsidP="009A56E4">
      <w:pPr>
        <w:pStyle w:val="Dotpoint"/>
        <w:numPr>
          <w:ilvl w:val="0"/>
          <w:numId w:val="0"/>
        </w:numPr>
      </w:pPr>
      <w:r w:rsidRPr="008E15D6">
        <w:rPr>
          <w:szCs w:val="24"/>
        </w:rPr>
        <w:t xml:space="preserve">The </w:t>
      </w:r>
      <w:r w:rsidRPr="008C618E">
        <w:rPr>
          <w:szCs w:val="24"/>
        </w:rPr>
        <w:t>R</w:t>
      </w:r>
      <w:r w:rsidRPr="008E15D6">
        <w:rPr>
          <w:szCs w:val="24"/>
        </w:rPr>
        <w:t>egulations also exempt an employer complying with certain superannuation guarantee obligations from the DDO</w:t>
      </w:r>
      <w:r w:rsidRPr="008C618E">
        <w:rPr>
          <w:szCs w:val="24"/>
        </w:rPr>
        <w:t xml:space="preserve"> regime</w:t>
      </w:r>
      <w:r w:rsidRPr="008E15D6">
        <w:rPr>
          <w:szCs w:val="24"/>
        </w:rPr>
        <w:t>.</w:t>
      </w:r>
    </w:p>
    <w:p w14:paraId="1A0FBEE8" w14:textId="209B80A9" w:rsidR="003205B8" w:rsidRDefault="009A56E4" w:rsidP="003205B8">
      <w:r w:rsidRPr="00500D68">
        <w:t>The Regulations commence on the lat</w:t>
      </w:r>
      <w:r w:rsidR="00C758CC">
        <w:t>t</w:t>
      </w:r>
      <w:r w:rsidRPr="00500D68">
        <w:t xml:space="preserve">er of the day after registration of these Regulations </w:t>
      </w:r>
      <w:r>
        <w:t>and</w:t>
      </w:r>
      <w:r w:rsidRPr="00500D68">
        <w:t xml:space="preserve"> the commencement of the DDO amendments in the Act (</w:t>
      </w:r>
      <w:r>
        <w:t>5 April </w:t>
      </w:r>
      <w:r w:rsidRPr="00500D68">
        <w:t xml:space="preserve">2021, </w:t>
      </w:r>
      <w:r>
        <w:t xml:space="preserve">the day after the end of the period of </w:t>
      </w:r>
      <w:r w:rsidRPr="00500D68">
        <w:t xml:space="preserve">two years </w:t>
      </w:r>
      <w:r>
        <w:t xml:space="preserve">from when </w:t>
      </w:r>
      <w:r w:rsidRPr="00500D68">
        <w:t>the Act received Royal Assent).</w:t>
      </w:r>
    </w:p>
    <w:p w14:paraId="691B8865" w14:textId="77777777" w:rsidR="003205B8" w:rsidRDefault="003205B8" w:rsidP="003205B8">
      <w:pPr>
        <w:pStyle w:val="Heading4"/>
      </w:pPr>
      <w:r>
        <w:t>Human rights implications</w:t>
      </w:r>
    </w:p>
    <w:p w14:paraId="604C7AC8" w14:textId="34B1563F" w:rsidR="003205B8" w:rsidRPr="00D7658D" w:rsidRDefault="003205B8" w:rsidP="003205B8">
      <w:pPr>
        <w:pStyle w:val="base-text-paragraph"/>
        <w:ind w:left="0"/>
      </w:pPr>
      <w:r>
        <w:t>The human rights implications of this legislative instrument are the same as those in the Act. Those implications are the same because this instrument merely extends and restricts the application of the obligations in that Act with respect to specified people and specified financial products. The implications are</w:t>
      </w:r>
      <w:r w:rsidR="003F4508">
        <w:t xml:space="preserve"> therefore also</w:t>
      </w:r>
      <w:r>
        <w:t xml:space="preserve"> discussed in the Statement of Compatibility with Human Rights prepared for the </w:t>
      </w:r>
      <w:r>
        <w:rPr>
          <w:i/>
        </w:rPr>
        <w:t>Treasury Laws Amendment (Design and Distribution Obligations and Product Intervention Powers) Bill 2018</w:t>
      </w:r>
      <w:r>
        <w:t>.</w:t>
      </w:r>
    </w:p>
    <w:p w14:paraId="710F40AA" w14:textId="77777777" w:rsidR="003205B8" w:rsidRPr="00435DEA" w:rsidRDefault="003205B8" w:rsidP="003205B8">
      <w:pPr>
        <w:pStyle w:val="base-text-paragraph"/>
        <w:ind w:left="0"/>
        <w:rPr>
          <w:szCs w:val="24"/>
        </w:rPr>
      </w:pPr>
      <w:r w:rsidRPr="00435DEA">
        <w:rPr>
          <w:szCs w:val="24"/>
        </w:rPr>
        <w:t xml:space="preserve">Therefore, as with the Act, this legislative instrument engages, or may engage, the following human rights: </w:t>
      </w:r>
    </w:p>
    <w:p w14:paraId="7130BD2E" w14:textId="6703CB74" w:rsidR="003205B8" w:rsidRPr="00435DEA" w:rsidRDefault="003205B8" w:rsidP="006F49A9">
      <w:pPr>
        <w:pStyle w:val="ListParagraph"/>
        <w:numPr>
          <w:ilvl w:val="0"/>
          <w:numId w:val="51"/>
        </w:numPr>
        <w:rPr>
          <w:szCs w:val="24"/>
        </w:rPr>
      </w:pPr>
      <w:r w:rsidRPr="006F49A9">
        <w:rPr>
          <w:rFonts w:ascii="Times New Roman" w:hAnsi="Times New Roman"/>
          <w:sz w:val="24"/>
          <w:szCs w:val="24"/>
        </w:rPr>
        <w:t xml:space="preserve">the right to the presumption of innocence; and </w:t>
      </w:r>
    </w:p>
    <w:p w14:paraId="75D67EA0" w14:textId="17A104A6" w:rsidR="003205B8" w:rsidRPr="00435DEA" w:rsidRDefault="003205B8" w:rsidP="006F49A9">
      <w:pPr>
        <w:pStyle w:val="ListParagraph"/>
        <w:numPr>
          <w:ilvl w:val="0"/>
          <w:numId w:val="51"/>
        </w:numPr>
        <w:rPr>
          <w:szCs w:val="24"/>
        </w:rPr>
      </w:pPr>
      <w:r w:rsidRPr="006F49A9">
        <w:rPr>
          <w:rFonts w:ascii="Times New Roman" w:hAnsi="Times New Roman"/>
          <w:sz w:val="24"/>
          <w:szCs w:val="24"/>
        </w:rPr>
        <w:t xml:space="preserve">the right to privacy. </w:t>
      </w:r>
    </w:p>
    <w:p w14:paraId="40C4B623" w14:textId="77777777" w:rsidR="003205B8" w:rsidRPr="006F49A9" w:rsidRDefault="003205B8" w:rsidP="003205B8">
      <w:pPr>
        <w:pStyle w:val="base-text-paragraph"/>
        <w:ind w:left="0"/>
        <w:rPr>
          <w:szCs w:val="24"/>
          <w:u w:val="single"/>
        </w:rPr>
      </w:pPr>
      <w:r w:rsidRPr="006F49A9">
        <w:rPr>
          <w:szCs w:val="24"/>
          <w:u w:val="single"/>
        </w:rPr>
        <w:t xml:space="preserve">Engagement of the presumption of innocence </w:t>
      </w:r>
    </w:p>
    <w:p w14:paraId="558C39DA" w14:textId="77777777" w:rsidR="003205B8" w:rsidRDefault="003205B8" w:rsidP="003205B8">
      <w:pPr>
        <w:pStyle w:val="base-text-paragraph"/>
        <w:ind w:left="0"/>
      </w:pPr>
      <w:r>
        <w:lastRenderedPageBreak/>
        <w:t>Paragraph 2 of Article 14 of the International Covenant on Civil and Political Rights (ICCPR) protects the right of a person charged with a criminal offence to be presumed innocent until proven guilty according to law. The presumption of innocence is also a fundamental principle of the common law. As the Parliamentary Joint Committee on Human Rights has observed, the presumption of innocence ‘imposes on the prosecution the burden of proving the charge, guarantees that no guilt can be presumed until the charge has been proved beyond reasonable doubt, ensures that the accused has the benefit of doubt, and requires that persons accused of a criminal act must be treated in accordance with this principle’.</w:t>
      </w:r>
      <w:r>
        <w:rPr>
          <w:rStyle w:val="FootnoteReference"/>
        </w:rPr>
        <w:footnoteReference w:id="35"/>
      </w:r>
      <w:r>
        <w:t xml:space="preserve"> The presumption of innocence generally requires the prosecution to prove each element of a criminal offence beyond reasonable doubt.</w:t>
      </w:r>
    </w:p>
    <w:p w14:paraId="7F943190" w14:textId="77777777" w:rsidR="003205B8" w:rsidRPr="00CD4C14" w:rsidRDefault="003205B8" w:rsidP="003205B8">
      <w:pPr>
        <w:pStyle w:val="base-text-paragraph"/>
        <w:ind w:left="0"/>
        <w:rPr>
          <w:i/>
        </w:rPr>
      </w:pPr>
      <w:r w:rsidRPr="00CD4C14">
        <w:rPr>
          <w:i/>
        </w:rPr>
        <w:t xml:space="preserve">Offence provisions that carry an evidential burden </w:t>
      </w:r>
    </w:p>
    <w:p w14:paraId="733E6B8D" w14:textId="77777777" w:rsidR="003205B8" w:rsidRDefault="003205B8" w:rsidP="003205B8">
      <w:pPr>
        <w:pStyle w:val="base-text-paragraph"/>
        <w:ind w:left="0"/>
      </w:pPr>
      <w:r>
        <w:t xml:space="preserve">An offence provision that requires a defendant to carry an evidential burden may be considered to engage the right to the presumption of innocence. </w:t>
      </w:r>
    </w:p>
    <w:p w14:paraId="3CB1055F" w14:textId="77777777" w:rsidR="003205B8" w:rsidRDefault="003205B8" w:rsidP="003205B8">
      <w:pPr>
        <w:pStyle w:val="base-text-paragraph"/>
        <w:ind w:left="0"/>
      </w:pPr>
      <w:r>
        <w:t xml:space="preserve">A number of offences in the design and distribution obligations and the product intervention power regimes contain offence specific defences for which the defendant carries an evidential burden. In accordance with the </w:t>
      </w:r>
      <w:r w:rsidRPr="00D7658D">
        <w:rPr>
          <w:i/>
        </w:rPr>
        <w:t>Criminal Code Act 1995</w:t>
      </w:r>
      <w:r>
        <w:t xml:space="preserve"> and the </w:t>
      </w:r>
      <w:r w:rsidRPr="00D7658D">
        <w:rPr>
          <w:i/>
        </w:rPr>
        <w:t>Guide to Framing Commonwealth Offences, Infringement Notices and Enforcement Powers</w:t>
      </w:r>
      <w:r w:rsidRPr="00CD4C14">
        <w:rPr>
          <w:rStyle w:val="FootnoteReference"/>
        </w:rPr>
        <w:footnoteReference w:id="36"/>
      </w:r>
      <w:r>
        <w:t xml:space="preserve">, offence specific defences in the Act are made explicit through words of exception and exemption. </w:t>
      </w:r>
    </w:p>
    <w:p w14:paraId="6E27DECE" w14:textId="77777777" w:rsidR="003205B8" w:rsidRDefault="003205B8" w:rsidP="003205B8">
      <w:pPr>
        <w:pStyle w:val="base-text-paragraph"/>
        <w:ind w:left="0"/>
      </w:pPr>
      <w:r>
        <w:t>The evidential burden in those defences has been reversed in the Act because the subject matter of the defence is:</w:t>
      </w:r>
    </w:p>
    <w:p w14:paraId="0A9B881D" w14:textId="173C102D" w:rsidR="003205B8" w:rsidRDefault="003205B8" w:rsidP="006F49A9">
      <w:pPr>
        <w:pStyle w:val="base-text-paragraph"/>
        <w:numPr>
          <w:ilvl w:val="0"/>
          <w:numId w:val="53"/>
        </w:numPr>
      </w:pPr>
      <w:r>
        <w:t xml:space="preserve">peculiarly within the knowledge of the defendant; and, </w:t>
      </w:r>
    </w:p>
    <w:p w14:paraId="0BC17D01" w14:textId="764546D7" w:rsidR="003205B8" w:rsidRDefault="003205B8" w:rsidP="006F49A9">
      <w:pPr>
        <w:pStyle w:val="base-text-paragraph"/>
        <w:numPr>
          <w:ilvl w:val="0"/>
          <w:numId w:val="53"/>
        </w:numPr>
      </w:pPr>
      <w:r>
        <w:t>significantly more difficult and costly for the prosecution to disprove than for the defendant to establish.</w:t>
      </w:r>
    </w:p>
    <w:p w14:paraId="18E5593F" w14:textId="77777777" w:rsidR="003205B8" w:rsidRDefault="003205B8" w:rsidP="003205B8">
      <w:pPr>
        <w:pStyle w:val="base-text-paragraph"/>
        <w:ind w:left="0"/>
      </w:pPr>
      <w:r>
        <w:t>The offences are critical to the operation of the regime. The imposition of an evidential burden for the defences achieves a legitimate object because it ensures that the offences are prosecutable, thereby allowing effective enforcement of the new regime.</w:t>
      </w:r>
    </w:p>
    <w:p w14:paraId="319D7D1C" w14:textId="77777777" w:rsidR="003205B8" w:rsidRDefault="003205B8" w:rsidP="003205B8">
      <w:pPr>
        <w:pStyle w:val="base-text-paragraph"/>
        <w:ind w:left="0"/>
      </w:pPr>
      <w:r>
        <w:t>The burden of proof on the defendant is an evidential burden. The effect of the imposition is therefore that the defendant must merely adduce or point to evidence of the defence. Once this is done, the prosecution bears the burden of proof.</w:t>
      </w:r>
    </w:p>
    <w:p w14:paraId="01D56FFF" w14:textId="77777777" w:rsidR="003205B8" w:rsidRDefault="003205B8" w:rsidP="003205B8">
      <w:pPr>
        <w:pStyle w:val="base-text-paragraph"/>
        <w:ind w:left="0"/>
      </w:pPr>
      <w:r>
        <w:t>Because of the low evidential burden on the defendant, to the extent that imposing that burden is a limitation on the right to be presumed innocent, it is proportionate and reasonable in the circumstances.</w:t>
      </w:r>
    </w:p>
    <w:p w14:paraId="74362E6C" w14:textId="77777777" w:rsidR="003205B8" w:rsidRPr="00CD4C14" w:rsidRDefault="003205B8" w:rsidP="003205B8">
      <w:pPr>
        <w:pStyle w:val="base-text-paragraph"/>
        <w:ind w:left="0"/>
        <w:rPr>
          <w:i/>
        </w:rPr>
      </w:pPr>
      <w:r w:rsidRPr="00CD4C14">
        <w:rPr>
          <w:i/>
        </w:rPr>
        <w:t xml:space="preserve">Self-incrimination </w:t>
      </w:r>
    </w:p>
    <w:p w14:paraId="5D9FEC8E" w14:textId="77777777" w:rsidR="003205B8" w:rsidRDefault="003205B8" w:rsidP="003205B8">
      <w:pPr>
        <w:pStyle w:val="base-text-paragraph"/>
        <w:ind w:left="0"/>
      </w:pPr>
      <w:r>
        <w:t>Related to the presumption of innocence is the right to be free from self-incrimination under article 14(3)(g) of the ICCPR.</w:t>
      </w:r>
    </w:p>
    <w:p w14:paraId="5B42F626" w14:textId="77777777" w:rsidR="003205B8" w:rsidRDefault="003205B8" w:rsidP="003205B8">
      <w:pPr>
        <w:pStyle w:val="base-text-paragraph"/>
        <w:ind w:left="0"/>
      </w:pPr>
      <w:r>
        <w:t xml:space="preserve">The Act allows ASIC to request information from offerors and distributors for the purposes of administering the regime. This includes information related to the person’s decisions in relation to key obligations in the Act, including criminal penalty </w:t>
      </w:r>
      <w:r>
        <w:lastRenderedPageBreak/>
        <w:t>provisions. This potentially engages the right against self-incrimination because the person who ASIC requests the information from must provide it to ASIC.</w:t>
      </w:r>
    </w:p>
    <w:p w14:paraId="32EA0598" w14:textId="77777777" w:rsidR="003205B8" w:rsidRDefault="003205B8" w:rsidP="003205B8">
      <w:pPr>
        <w:pStyle w:val="base-text-paragraph"/>
        <w:ind w:left="0"/>
      </w:pPr>
      <w:r>
        <w:t xml:space="preserve">Record-keeping obligations apply to the two key aspects of the regime that ensure products are targeted at consumers for whom they are appropriate. Offerors are required to keep records of decisions relating to the making and review of target market determinations and the reasons for their decisions. Distributors are required to keep records of the actions they take to ensure products are distributed in accordance with the target market determination (that is, the reasonable steps they took). ASIC may require offerors and distributors to provide these records to ASIC. </w:t>
      </w:r>
    </w:p>
    <w:p w14:paraId="56E56060" w14:textId="4D467DC4" w:rsidR="003205B8" w:rsidRDefault="003205B8" w:rsidP="003205B8">
      <w:pPr>
        <w:pStyle w:val="base-text-paragraph"/>
        <w:ind w:left="0"/>
      </w:pPr>
      <w:r>
        <w:t>The purpose of the record keeping obligations is to assist offerors and distributors in complying with the regime. A requirement to keep records formalises the decision</w:t>
      </w:r>
      <w:r w:rsidR="00E94BD4">
        <w:noBreakHyphen/>
      </w:r>
      <w:r>
        <w:t xml:space="preserve">making framework for offerors and distributors and will aid their approach to compliance with the regime. The requirement to provide these records to ASIC on request will ensure ASIC is able to effectively monitor the regime. On this basis, engaging the right against self-incrimination in this way is necessary and justified to ensure the regime operates effectively. </w:t>
      </w:r>
    </w:p>
    <w:p w14:paraId="38AF19A5" w14:textId="77777777" w:rsidR="003205B8" w:rsidRDefault="003205B8" w:rsidP="003205B8">
      <w:pPr>
        <w:pStyle w:val="base-text-paragraph"/>
        <w:ind w:left="0"/>
      </w:pPr>
      <w:r>
        <w:t>The Act also requires that distributors notify issuers of significant dealings outside the target market (and issuers must notify ASIC of the same), however, dealing outside the target market is not of itself an offence or an element of an offence. The notification of a significant dealing therefore does not indicate that a person was involved in an offence. As such it is not considered that this aspect of the Act engages the right against self-incrimination.</w:t>
      </w:r>
    </w:p>
    <w:p w14:paraId="30778F75" w14:textId="77777777" w:rsidR="003205B8" w:rsidRPr="00CD4C14" w:rsidRDefault="003205B8" w:rsidP="00307F63">
      <w:pPr>
        <w:pStyle w:val="base-text-paragraph"/>
        <w:keepNext/>
        <w:ind w:left="0"/>
        <w:rPr>
          <w:u w:val="single"/>
        </w:rPr>
      </w:pPr>
      <w:r w:rsidRPr="00CD4C14">
        <w:rPr>
          <w:u w:val="single"/>
        </w:rPr>
        <w:t xml:space="preserve">Engagement of the right to privacy </w:t>
      </w:r>
    </w:p>
    <w:p w14:paraId="75C73E0A" w14:textId="6BA8B94A" w:rsidR="003205B8" w:rsidRDefault="003205B8" w:rsidP="003205B8">
      <w:pPr>
        <w:pStyle w:val="base-text-paragraph"/>
        <w:ind w:left="0"/>
      </w:pPr>
      <w:r>
        <w:t xml:space="preserve">Article 17 of the ICCPR requires parties to the ICCPR to uphold the individual right not to have one’s private, family and home life or correspondence unlawfully or arbitrarily interfered with. It also includes the right to protection by law of one’s reputation. According to the Parliamentary Joint Committee on Human Rights’ </w:t>
      </w:r>
      <w:r w:rsidRPr="00CD4C14">
        <w:rPr>
          <w:i/>
        </w:rPr>
        <w:t>Guide to Human Rights</w:t>
      </w:r>
      <w:r>
        <w:t xml:space="preserve">, the right to privacy includes: </w:t>
      </w:r>
    </w:p>
    <w:p w14:paraId="77A3EADC" w14:textId="42D93A2D" w:rsidR="003205B8" w:rsidRDefault="003205B8" w:rsidP="006F49A9">
      <w:pPr>
        <w:pStyle w:val="base-text-paragraph"/>
        <w:numPr>
          <w:ilvl w:val="0"/>
          <w:numId w:val="55"/>
        </w:numPr>
      </w:pPr>
      <w:r>
        <w:t xml:space="preserve">the right of respect for confidential and private information, particularly the storing, use and sharing of such information; and </w:t>
      </w:r>
    </w:p>
    <w:p w14:paraId="6675E30B" w14:textId="2299B893" w:rsidR="003205B8" w:rsidRDefault="003205B8" w:rsidP="006F49A9">
      <w:pPr>
        <w:pStyle w:val="base-text-paragraph"/>
        <w:numPr>
          <w:ilvl w:val="0"/>
          <w:numId w:val="55"/>
        </w:numPr>
      </w:pPr>
      <w:r>
        <w:t xml:space="preserve">the right to control dissemination of information about one’s private life. </w:t>
      </w:r>
    </w:p>
    <w:p w14:paraId="53941734" w14:textId="77777777" w:rsidR="003205B8" w:rsidRDefault="003205B8" w:rsidP="006F49A9">
      <w:pPr>
        <w:pStyle w:val="base-text-paragraph"/>
        <w:numPr>
          <w:ilvl w:val="0"/>
          <w:numId w:val="55"/>
        </w:numPr>
      </w:pPr>
      <w:r>
        <w:t xml:space="preserve">The Act may engage the right to privacy because: </w:t>
      </w:r>
    </w:p>
    <w:p w14:paraId="734B098B" w14:textId="7E4AAC46" w:rsidR="003205B8" w:rsidRDefault="003205B8" w:rsidP="006F49A9">
      <w:pPr>
        <w:pStyle w:val="base-text-paragraph"/>
        <w:numPr>
          <w:ilvl w:val="0"/>
          <w:numId w:val="55"/>
        </w:numPr>
      </w:pPr>
      <w:r>
        <w:t>offerors can specify information about the distribution of products that distributors must then collect and provide back to the issuer. This is information is needed so offerors can identify whether the target market determination should be reviewed;</w:t>
      </w:r>
    </w:p>
    <w:p w14:paraId="20BA09AA" w14:textId="11C00792" w:rsidR="003205B8" w:rsidRDefault="003205B8" w:rsidP="006F49A9">
      <w:pPr>
        <w:pStyle w:val="base-text-paragraph"/>
        <w:numPr>
          <w:ilvl w:val="0"/>
          <w:numId w:val="55"/>
        </w:numPr>
      </w:pPr>
      <w:r>
        <w:t xml:space="preserve">distributors must provide numbers of complaints about an offeror’s product to the offerors (no other information about the complaints has to be provided); </w:t>
      </w:r>
    </w:p>
    <w:p w14:paraId="1C119574" w14:textId="0EEF358C" w:rsidR="003205B8" w:rsidRDefault="003205B8" w:rsidP="006F49A9">
      <w:pPr>
        <w:pStyle w:val="base-text-paragraph"/>
        <w:numPr>
          <w:ilvl w:val="0"/>
          <w:numId w:val="55"/>
        </w:numPr>
      </w:pPr>
      <w:r>
        <w:t xml:space="preserve">distributors must notify offerors and offerors must notify ASIC of significant dealings outside the target market; and </w:t>
      </w:r>
    </w:p>
    <w:p w14:paraId="699F3CAF" w14:textId="09E5F69B" w:rsidR="003205B8" w:rsidRDefault="003205B8" w:rsidP="006F49A9">
      <w:pPr>
        <w:pStyle w:val="base-text-paragraph"/>
        <w:numPr>
          <w:ilvl w:val="0"/>
          <w:numId w:val="55"/>
        </w:numPr>
      </w:pPr>
      <w:r>
        <w:t>ASIC can require that the above information be provide to it.</w:t>
      </w:r>
    </w:p>
    <w:p w14:paraId="1CE7F299" w14:textId="77777777" w:rsidR="003205B8" w:rsidRDefault="003205B8" w:rsidP="003205B8">
      <w:pPr>
        <w:pStyle w:val="base-text-paragraph"/>
        <w:ind w:left="0"/>
      </w:pPr>
      <w:r>
        <w:t xml:space="preserve">Each of these aspects of the Act is directed at ensuring information about how products are distributed can be used to improve product design. The Act does not contain requirements that personal information be shared as part of these obligations </w:t>
      </w:r>
      <w:r>
        <w:lastRenderedPageBreak/>
        <w:t xml:space="preserve">for that purpose. In addition, the </w:t>
      </w:r>
      <w:r w:rsidRPr="00CD4C14">
        <w:rPr>
          <w:i/>
        </w:rPr>
        <w:t>Privacy Act 1988</w:t>
      </w:r>
      <w:r>
        <w:t xml:space="preserve"> provides for the protection for personal information, including setting out Privacy Principles that apply to many private sector organisations subject to these obligations.</w:t>
      </w:r>
    </w:p>
    <w:p w14:paraId="09529613" w14:textId="38D6C315" w:rsidR="003205B8" w:rsidRDefault="003205B8" w:rsidP="003205B8">
      <w:pPr>
        <w:pStyle w:val="base-text-paragraph"/>
        <w:ind w:left="0"/>
      </w:pPr>
      <w:r>
        <w:t>As such, it is unlikely that the Act, and, by extension, this Legislative Instrument engages the right to privacy.</w:t>
      </w:r>
    </w:p>
    <w:p w14:paraId="2206D845" w14:textId="77777777" w:rsidR="00240A4D" w:rsidRDefault="00240A4D" w:rsidP="003205B8">
      <w:pPr>
        <w:pStyle w:val="base-text-paragraph"/>
        <w:ind w:left="0"/>
      </w:pPr>
    </w:p>
    <w:p w14:paraId="40541D1C" w14:textId="77777777" w:rsidR="003205B8" w:rsidRPr="00D7658D" w:rsidRDefault="003205B8" w:rsidP="003205B8">
      <w:pPr>
        <w:pStyle w:val="base-text-paragraph"/>
        <w:ind w:left="0"/>
      </w:pPr>
      <w:r>
        <w:rPr>
          <w:b/>
        </w:rPr>
        <w:t>Conclusion</w:t>
      </w:r>
    </w:p>
    <w:p w14:paraId="6AFDBB91" w14:textId="75ED9C93" w:rsidR="00E95DAB" w:rsidRDefault="003205B8" w:rsidP="003205B8">
      <w:pPr>
        <w:pStyle w:val="Bullet"/>
        <w:numPr>
          <w:ilvl w:val="0"/>
          <w:numId w:val="0"/>
        </w:numPr>
      </w:pPr>
      <w:r>
        <w:t>This Legislative Instrument is compatible with human rights. It engages, or may engage the presumption of innocence and the right to privacy. However, to the extent the regime places limitations on these rights, these limitations can be considered legitimate, rational and necessary in light of the objectives they aim to achieve, and reasonable and proportionate in their extent.</w:t>
      </w:r>
    </w:p>
    <w:p w14:paraId="231194E6" w14:textId="77777777" w:rsidR="00EF12EA" w:rsidRDefault="00EF12EA" w:rsidP="00633E52">
      <w:pPr>
        <w:pStyle w:val="Bullet"/>
        <w:numPr>
          <w:ilvl w:val="0"/>
          <w:numId w:val="0"/>
        </w:numPr>
      </w:pPr>
    </w:p>
    <w:p w14:paraId="65200716" w14:textId="77777777" w:rsidR="008B7EB5" w:rsidRDefault="008B7EB5" w:rsidP="000C6A0F">
      <w:pPr>
        <w:spacing w:before="240"/>
      </w:pPr>
    </w:p>
    <w:sectPr w:rsidR="008B7EB5"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FC67B" w14:textId="77777777" w:rsidR="000D7007" w:rsidRDefault="000D7007" w:rsidP="00954679">
      <w:pPr>
        <w:spacing w:before="0" w:after="0"/>
      </w:pPr>
      <w:r>
        <w:separator/>
      </w:r>
    </w:p>
  </w:endnote>
  <w:endnote w:type="continuationSeparator" w:id="0">
    <w:p w14:paraId="6F3AF230" w14:textId="77777777" w:rsidR="000D7007" w:rsidRDefault="000D7007" w:rsidP="00954679">
      <w:pPr>
        <w:spacing w:before="0" w:after="0"/>
      </w:pPr>
      <w:r>
        <w:continuationSeparator/>
      </w:r>
    </w:p>
  </w:endnote>
  <w:endnote w:type="continuationNotice" w:id="1">
    <w:p w14:paraId="55B98D99" w14:textId="77777777" w:rsidR="000D7007" w:rsidRDefault="000D70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E92C65F" w14:textId="5EBCA566" w:rsidR="000D7007" w:rsidRDefault="000D7007"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FF35A4">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FF35A4">
              <w:rPr>
                <w:bCs/>
                <w:noProof/>
              </w:rPr>
              <w:t>21</w:t>
            </w:r>
            <w:r w:rsidRPr="00954679">
              <w:rPr>
                <w:bCs/>
                <w:szCs w:val="24"/>
              </w:rPr>
              <w:fldChar w:fldCharType="end"/>
            </w:r>
          </w:p>
        </w:sdtContent>
      </w:sdt>
    </w:sdtContent>
  </w:sdt>
  <w:p w14:paraId="7FD0FA15" w14:textId="77777777" w:rsidR="000D7007" w:rsidRDefault="000D7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23746" w14:textId="77777777" w:rsidR="000D7007" w:rsidRDefault="000D7007" w:rsidP="00954679">
      <w:pPr>
        <w:spacing w:before="0" w:after="0"/>
      </w:pPr>
      <w:r>
        <w:separator/>
      </w:r>
    </w:p>
  </w:footnote>
  <w:footnote w:type="continuationSeparator" w:id="0">
    <w:p w14:paraId="4746AB6D" w14:textId="77777777" w:rsidR="000D7007" w:rsidRDefault="000D7007" w:rsidP="00954679">
      <w:pPr>
        <w:spacing w:before="0" w:after="0"/>
      </w:pPr>
      <w:r>
        <w:continuationSeparator/>
      </w:r>
    </w:p>
  </w:footnote>
  <w:footnote w:type="continuationNotice" w:id="1">
    <w:p w14:paraId="00B218C5" w14:textId="77777777" w:rsidR="000D7007" w:rsidRDefault="000D7007">
      <w:pPr>
        <w:spacing w:before="0" w:after="0"/>
      </w:pPr>
    </w:p>
  </w:footnote>
  <w:footnote w:id="2">
    <w:p w14:paraId="2B029574" w14:textId="03AFEBFB" w:rsidR="000D7007" w:rsidRDefault="000D7007">
      <w:pPr>
        <w:pStyle w:val="FootnoteText"/>
      </w:pPr>
      <w:r>
        <w:rPr>
          <w:rStyle w:val="FootnoteReference"/>
        </w:rPr>
        <w:footnoteRef/>
      </w:r>
      <w:r>
        <w:t xml:space="preserve"> As will be inserted by item 5 of Schedule 1 to</w:t>
      </w:r>
      <w:r w:rsidRPr="0010717E">
        <w:t xml:space="preserve"> the </w:t>
      </w:r>
      <w:r>
        <w:t>Act.</w:t>
      </w:r>
    </w:p>
  </w:footnote>
  <w:footnote w:id="3">
    <w:p w14:paraId="1D2C3A84" w14:textId="6660515A" w:rsidR="000D7007" w:rsidRDefault="000D7007">
      <w:pPr>
        <w:pStyle w:val="FootnoteText"/>
      </w:pPr>
      <w:r>
        <w:rPr>
          <w:rStyle w:val="FootnoteReference"/>
        </w:rPr>
        <w:footnoteRef/>
      </w:r>
      <w:r>
        <w:t xml:space="preserve"> As will be inserted by item 5 of Schedule 1 to</w:t>
      </w:r>
      <w:r w:rsidRPr="0010717E">
        <w:t xml:space="preserve"> the</w:t>
      </w:r>
      <w:r>
        <w:t xml:space="preserve"> Act.</w:t>
      </w:r>
    </w:p>
  </w:footnote>
  <w:footnote w:id="4">
    <w:p w14:paraId="44CD9658" w14:textId="4ABCDA28" w:rsidR="000D7007" w:rsidRDefault="000D7007" w:rsidP="003C156B">
      <w:pPr>
        <w:pStyle w:val="FootnoteText"/>
      </w:pPr>
      <w:r>
        <w:rPr>
          <w:rStyle w:val="FootnoteReference"/>
        </w:rPr>
        <w:footnoteRef/>
      </w:r>
      <w:r>
        <w:t xml:space="preserve"> As will be inserted by item 5 of Schedule 1 to</w:t>
      </w:r>
      <w:r w:rsidRPr="0010717E">
        <w:t xml:space="preserve"> the </w:t>
      </w:r>
      <w:r>
        <w:t>Act.</w:t>
      </w:r>
    </w:p>
  </w:footnote>
  <w:footnote w:id="5">
    <w:p w14:paraId="1E0D973F" w14:textId="77777777" w:rsidR="000D7007" w:rsidRDefault="000D7007">
      <w:pPr>
        <w:pStyle w:val="FootnoteText"/>
      </w:pPr>
      <w:r>
        <w:rPr>
          <w:rStyle w:val="FootnoteReference"/>
        </w:rPr>
        <w:footnoteRef/>
      </w:r>
      <w:r>
        <w:t xml:space="preserve"> A bundled consumer credit insurance product is defined in the </w:t>
      </w:r>
      <w:r>
        <w:rPr>
          <w:i/>
        </w:rPr>
        <w:t>ASIC Corporations (Basic Deposit and General Insurance Product Distribution) Instrument 2015/682</w:t>
      </w:r>
      <w:r>
        <w:t xml:space="preserve"> as </w:t>
      </w:r>
      <w:r>
        <w:rPr>
          <w:color w:val="000000"/>
        </w:rPr>
        <w:t>a facility that is a consumer credit insurance product, as defined by regulation 7.1.15 of the Corporations Regulations, and constitutes both a general life insurance product and a life risk insurance product. This is consistent with the definition of such products used in ASIC orders.</w:t>
      </w:r>
    </w:p>
  </w:footnote>
  <w:footnote w:id="6">
    <w:p w14:paraId="0A70073C" w14:textId="48FAA1CC" w:rsidR="000D7007" w:rsidRDefault="000D7007">
      <w:pPr>
        <w:pStyle w:val="FootnoteText"/>
      </w:pPr>
      <w:r>
        <w:rPr>
          <w:rStyle w:val="FootnoteReference"/>
        </w:rPr>
        <w:footnoteRef/>
      </w:r>
      <w:r>
        <w:t xml:space="preserve"> See paragraph (d) of the definition of regulated person in section 1011B of the Corporations Act, and paragraph (b) of the definition of regulated person in subsection 994A of the Corporations Act, as will be inserted by item 5 of Schedule 1 to</w:t>
      </w:r>
      <w:r w:rsidRPr="0010717E">
        <w:t xml:space="preserve"> the</w:t>
      </w:r>
      <w:r>
        <w:t xml:space="preserve"> Act. </w:t>
      </w:r>
    </w:p>
  </w:footnote>
  <w:footnote w:id="7">
    <w:p w14:paraId="7778F86D" w14:textId="408EC90B" w:rsidR="000D7007" w:rsidRDefault="000D7007">
      <w:pPr>
        <w:pStyle w:val="FootnoteText"/>
      </w:pPr>
      <w:r>
        <w:rPr>
          <w:rStyle w:val="FootnoteReference"/>
        </w:rPr>
        <w:footnoteRef/>
      </w:r>
      <w:r>
        <w:t xml:space="preserve"> As will be inserted by item 5 of Schedule 1 to</w:t>
      </w:r>
      <w:r w:rsidRPr="0010717E">
        <w:t xml:space="preserve"> the </w:t>
      </w:r>
      <w:r>
        <w:t>Act.</w:t>
      </w:r>
    </w:p>
  </w:footnote>
  <w:footnote w:id="8">
    <w:p w14:paraId="2E3A1A77" w14:textId="6039870D" w:rsidR="000D7007" w:rsidRPr="009A0CC0" w:rsidRDefault="000D7007">
      <w:pPr>
        <w:pStyle w:val="FootnoteText"/>
      </w:pPr>
      <w:r>
        <w:rPr>
          <w:rStyle w:val="FootnoteReference"/>
        </w:rPr>
        <w:footnoteRef/>
      </w:r>
      <w:r>
        <w:t xml:space="preserve"> As will be inserted by item 5 of </w:t>
      </w:r>
      <w:r w:rsidRPr="00BE1CCF">
        <w:t xml:space="preserve">Schedule 1 to the </w:t>
      </w:r>
      <w:r>
        <w:t>Act.</w:t>
      </w:r>
    </w:p>
  </w:footnote>
  <w:footnote w:id="9">
    <w:p w14:paraId="39B41976" w14:textId="77777777" w:rsidR="000D7007" w:rsidRDefault="000D7007" w:rsidP="00226DA7">
      <w:pPr>
        <w:pStyle w:val="FootnoteText"/>
      </w:pPr>
      <w:r>
        <w:rPr>
          <w:rStyle w:val="FootnoteReference"/>
        </w:rPr>
        <w:footnoteRef/>
      </w:r>
      <w:r>
        <w:t xml:space="preserve"> As will be inserted by item 5 of Schedule 1 to</w:t>
      </w:r>
      <w:r w:rsidRPr="0010717E">
        <w:t xml:space="preserve"> the </w:t>
      </w:r>
      <w:r>
        <w:t>Act.</w:t>
      </w:r>
    </w:p>
  </w:footnote>
  <w:footnote w:id="10">
    <w:p w14:paraId="7F745FE0" w14:textId="04D2E543" w:rsidR="000D7007" w:rsidRDefault="000D7007" w:rsidP="00425FDE">
      <w:pPr>
        <w:pStyle w:val="FootnoteText"/>
      </w:pPr>
      <w:r>
        <w:rPr>
          <w:rStyle w:val="FootnoteReference"/>
        </w:rPr>
        <w:footnoteRef/>
      </w:r>
      <w:r>
        <w:t xml:space="preserve"> </w:t>
      </w:r>
      <w:r>
        <w:rPr>
          <w:szCs w:val="24"/>
        </w:rPr>
        <w:t>See subsection 1200F(1) of the Corporations Act.</w:t>
      </w:r>
    </w:p>
  </w:footnote>
  <w:footnote w:id="11">
    <w:p w14:paraId="3D0392D6" w14:textId="77777777" w:rsidR="000D7007" w:rsidRDefault="000D7007" w:rsidP="00226DA7">
      <w:pPr>
        <w:pStyle w:val="FootnoteText"/>
      </w:pPr>
      <w:r>
        <w:rPr>
          <w:rStyle w:val="FootnoteReference"/>
        </w:rPr>
        <w:footnoteRef/>
      </w:r>
      <w:r>
        <w:t xml:space="preserve"> As will be inserted by item 5 of Schedule 1 to</w:t>
      </w:r>
      <w:r w:rsidRPr="0010717E">
        <w:t xml:space="preserve"> the </w:t>
      </w:r>
      <w:r>
        <w:t>Act.</w:t>
      </w:r>
    </w:p>
  </w:footnote>
  <w:footnote w:id="12">
    <w:p w14:paraId="06D236E2" w14:textId="63E21B7A" w:rsidR="000D7007" w:rsidRDefault="000D7007">
      <w:pPr>
        <w:pStyle w:val="FootnoteText"/>
      </w:pPr>
      <w:r>
        <w:rPr>
          <w:rStyle w:val="FootnoteReference"/>
        </w:rPr>
        <w:footnoteRef/>
      </w:r>
      <w:r>
        <w:t xml:space="preserve"> Subparagraph 994B(2)(b)(ii) of the Corporations Act, as will be inserted by item 5 of </w:t>
      </w:r>
      <w:r w:rsidRPr="00BE1CCF">
        <w:t xml:space="preserve">Schedule 1 to the </w:t>
      </w:r>
      <w:r>
        <w:t>Act</w:t>
      </w:r>
      <w:r w:rsidRPr="00BE1CCF">
        <w:t xml:space="preserve">, </w:t>
      </w:r>
      <w:r>
        <w:t>provides that, if there is no time or event specified for a particular financial product that regulations declare a target market determination must be made for, the target market determination must be made before any person engages in retail product distribution conduct in relation to the product.</w:t>
      </w:r>
    </w:p>
  </w:footnote>
  <w:footnote w:id="13">
    <w:p w14:paraId="4990246A" w14:textId="18B2CC38" w:rsidR="000D7007" w:rsidRDefault="000D7007">
      <w:pPr>
        <w:pStyle w:val="FootnoteText"/>
      </w:pPr>
      <w:r>
        <w:rPr>
          <w:rStyle w:val="FootnoteReference"/>
        </w:rPr>
        <w:footnoteRef/>
      </w:r>
      <w:r>
        <w:t xml:space="preserve"> Section 994B of the Corporations Act, as will be inserted by item 5 of Schedule 1 to</w:t>
      </w:r>
      <w:r w:rsidRPr="0010717E">
        <w:t xml:space="preserve"> the </w:t>
      </w:r>
      <w:r>
        <w:t>Act.</w:t>
      </w:r>
    </w:p>
  </w:footnote>
  <w:footnote w:id="14">
    <w:p w14:paraId="39D1C5B5" w14:textId="77777777" w:rsidR="000D7007" w:rsidRDefault="000D7007">
      <w:pPr>
        <w:pStyle w:val="FootnoteText"/>
      </w:pPr>
      <w:r>
        <w:rPr>
          <w:rStyle w:val="FootnoteReference"/>
        </w:rPr>
        <w:footnoteRef/>
      </w:r>
      <w:r>
        <w:t xml:space="preserve"> </w:t>
      </w:r>
      <w:r w:rsidRPr="00E55B0B">
        <w:t>What constitutes a debenture is defined in section 9 of the Corporations Act.</w:t>
      </w:r>
    </w:p>
  </w:footnote>
  <w:footnote w:id="15">
    <w:p w14:paraId="3F9A8A5E" w14:textId="77777777" w:rsidR="000D7007" w:rsidRDefault="000D7007">
      <w:pPr>
        <w:pStyle w:val="FootnoteText"/>
      </w:pPr>
      <w:r>
        <w:rPr>
          <w:rStyle w:val="FootnoteReference"/>
        </w:rPr>
        <w:footnoteRef/>
      </w:r>
      <w:r>
        <w:t xml:space="preserve"> </w:t>
      </w:r>
      <w:r w:rsidRPr="00E55B0B">
        <w:t>Issuer has a meaning affected by section 761E of the Corporations Act (see section 761A of the Corporations Act).</w:t>
      </w:r>
    </w:p>
  </w:footnote>
  <w:footnote w:id="16">
    <w:p w14:paraId="26BB1B48" w14:textId="4CB995E2" w:rsidR="000D7007" w:rsidRDefault="000D7007" w:rsidP="002671E7">
      <w:pPr>
        <w:pStyle w:val="FootnoteText"/>
      </w:pPr>
      <w:r>
        <w:rPr>
          <w:rStyle w:val="FootnoteReference"/>
        </w:rPr>
        <w:footnoteRef/>
      </w:r>
      <w:r>
        <w:t xml:space="preserve"> Subparagraph 994B(2)(b)(ii) of the Corporations Act, as will be inserted by item 5 of </w:t>
      </w:r>
      <w:r w:rsidRPr="00BE1CCF">
        <w:t xml:space="preserve">Schedule 1 to the </w:t>
      </w:r>
      <w:r>
        <w:t>Act</w:t>
      </w:r>
      <w:r w:rsidRPr="00BE1CCF">
        <w:t xml:space="preserve">, </w:t>
      </w:r>
      <w:r>
        <w:t>provides that, if there is no time or event specified for a particular financial product that regulations declare a target market determination must be made for, the target market determination must be made before any person engages in retail product distribution conduct in relation to the product.</w:t>
      </w:r>
    </w:p>
  </w:footnote>
  <w:footnote w:id="17">
    <w:p w14:paraId="7312588B" w14:textId="54BFD618" w:rsidR="000D7007" w:rsidRDefault="000D7007" w:rsidP="00B07966">
      <w:pPr>
        <w:pStyle w:val="FootnoteText"/>
      </w:pPr>
      <w:r>
        <w:rPr>
          <w:rStyle w:val="FootnoteReference"/>
        </w:rPr>
        <w:footnoteRef/>
      </w:r>
      <w:r>
        <w:t xml:space="preserve"> Section 994B of the Corporations Act, as will be inserted by item 5 of Schedule 1 to</w:t>
      </w:r>
      <w:r w:rsidRPr="0010717E">
        <w:t xml:space="preserve"> the </w:t>
      </w:r>
      <w:r>
        <w:t>Act.</w:t>
      </w:r>
    </w:p>
  </w:footnote>
  <w:footnote w:id="18">
    <w:p w14:paraId="21DBBFF6" w14:textId="77777777" w:rsidR="000D7007" w:rsidRDefault="000D7007">
      <w:pPr>
        <w:pStyle w:val="FootnoteText"/>
      </w:pPr>
      <w:r>
        <w:rPr>
          <w:rStyle w:val="FootnoteReference"/>
        </w:rPr>
        <w:footnoteRef/>
      </w:r>
      <w:r>
        <w:t xml:space="preserve"> </w:t>
      </w:r>
      <w:r w:rsidRPr="00B07966">
        <w:t xml:space="preserve">Subsection 708(19) is the carve-out for the requirement to give a disclosure document for ADIs. If it did not apply, wholesale issuances of debentures would avoid the disclosure requirement through other exemptions (e.g. for sophisticated and professional investors), but where the product is issued to retail clients a disclosure document would be required, triggering the </w:t>
      </w:r>
      <w:r>
        <w:t>requirement to make a target market determination under the Act</w:t>
      </w:r>
      <w:r w:rsidRPr="00B07966">
        <w:t>.</w:t>
      </w:r>
    </w:p>
  </w:footnote>
  <w:footnote w:id="19">
    <w:p w14:paraId="066016C3" w14:textId="389BB8FD" w:rsidR="000D7007" w:rsidRDefault="000D7007" w:rsidP="00036436">
      <w:pPr>
        <w:pStyle w:val="FootnoteText"/>
      </w:pPr>
      <w:r>
        <w:rPr>
          <w:rStyle w:val="FootnoteReference"/>
        </w:rPr>
        <w:footnoteRef/>
      </w:r>
      <w:r>
        <w:t xml:space="preserve"> Subparagraph 994B(2)(b)(ii) of the Corporations Act, as will be inserted by item 5 of </w:t>
      </w:r>
      <w:r w:rsidRPr="00BE1CCF">
        <w:t xml:space="preserve">Schedule 1 to the </w:t>
      </w:r>
      <w:r>
        <w:t>Act</w:t>
      </w:r>
      <w:r w:rsidRPr="00BE1CCF">
        <w:t xml:space="preserve">, </w:t>
      </w:r>
      <w:r>
        <w:t>provides that, if there is no time or event specified for a particular financial product that regulations declare a target market determination must be made for, the target market determination must be made before any person engages in retail product distribution conduct  in relation to the product.</w:t>
      </w:r>
    </w:p>
  </w:footnote>
  <w:footnote w:id="20">
    <w:p w14:paraId="2F55FAE0" w14:textId="2AEDB605" w:rsidR="000D7007" w:rsidRDefault="000D7007" w:rsidP="00036436">
      <w:pPr>
        <w:pStyle w:val="FootnoteText"/>
      </w:pPr>
      <w:r>
        <w:rPr>
          <w:rStyle w:val="FootnoteReference"/>
        </w:rPr>
        <w:footnoteRef/>
      </w:r>
      <w:r>
        <w:t xml:space="preserve"> Section 994B of the Corporations Act as will be inserted by item 5 of Schedule 1</w:t>
      </w:r>
      <w:r w:rsidRPr="0010717E">
        <w:t xml:space="preserve"> </w:t>
      </w:r>
      <w:r>
        <w:t>to</w:t>
      </w:r>
      <w:r w:rsidRPr="0010717E">
        <w:t xml:space="preserve"> the</w:t>
      </w:r>
      <w:r>
        <w:t xml:space="preserve"> Act.</w:t>
      </w:r>
    </w:p>
  </w:footnote>
  <w:footnote w:id="21">
    <w:p w14:paraId="087FBD50" w14:textId="33107FAE" w:rsidR="000D7007" w:rsidRDefault="000D7007" w:rsidP="00F90BA3">
      <w:pPr>
        <w:pStyle w:val="FootnoteText"/>
      </w:pPr>
      <w:r>
        <w:rPr>
          <w:rStyle w:val="FootnoteReference"/>
        </w:rPr>
        <w:footnoteRef/>
      </w:r>
      <w:r>
        <w:t xml:space="preserve"> Section 994B of the Corporations Act as will be inserted by item 5 of Schedule 1</w:t>
      </w:r>
      <w:r w:rsidRPr="0010717E">
        <w:t xml:space="preserve"> </w:t>
      </w:r>
      <w:r>
        <w:t>to</w:t>
      </w:r>
      <w:r w:rsidRPr="0010717E">
        <w:t xml:space="preserve"> the</w:t>
      </w:r>
      <w:r>
        <w:t xml:space="preserve"> Act.</w:t>
      </w:r>
    </w:p>
  </w:footnote>
  <w:footnote w:id="22">
    <w:p w14:paraId="278E53FF" w14:textId="77777777" w:rsidR="000D7007" w:rsidRDefault="000D7007" w:rsidP="00F90BA3">
      <w:pPr>
        <w:pStyle w:val="FootnoteText"/>
      </w:pPr>
      <w:r>
        <w:rPr>
          <w:rStyle w:val="FootnoteReference"/>
        </w:rPr>
        <w:footnoteRef/>
      </w:r>
      <w:r>
        <w:t xml:space="preserve"> </w:t>
      </w:r>
      <w:r>
        <w:rPr>
          <w:szCs w:val="24"/>
        </w:rPr>
        <w:t>IDPSs that do require disclosure are already subject to the DDO and not captured by the regulation (an IDPS may require disclosure because it does not satisfy the terms of the ASIC relief).</w:t>
      </w:r>
    </w:p>
  </w:footnote>
  <w:footnote w:id="23">
    <w:p w14:paraId="5BF30802" w14:textId="56A43474" w:rsidR="000D7007" w:rsidRDefault="000D7007" w:rsidP="004E3AA7">
      <w:pPr>
        <w:pStyle w:val="FootnoteText"/>
      </w:pPr>
      <w:r>
        <w:rPr>
          <w:rStyle w:val="FootnoteReference"/>
        </w:rPr>
        <w:footnoteRef/>
      </w:r>
      <w:r>
        <w:t xml:space="preserve"> Paragraph 994B(2)(b)(ii) of the Corporations Act, as will be inserted by item 5 of </w:t>
      </w:r>
      <w:r w:rsidRPr="00BE1CCF">
        <w:t xml:space="preserve">Schedule 1 to the </w:t>
      </w:r>
      <w:r>
        <w:t>Act</w:t>
      </w:r>
      <w:r w:rsidRPr="00BE1CCF">
        <w:t xml:space="preserve">, </w:t>
      </w:r>
      <w:r>
        <w:t>provides that, if there is no time or event specified for a particular financial product that regulations declare a target market determination must be made for, the target market determination must be made before any person engages in retail product distribution conduct  in relation to the product.</w:t>
      </w:r>
    </w:p>
  </w:footnote>
  <w:footnote w:id="24">
    <w:p w14:paraId="1A391E61" w14:textId="77777777" w:rsidR="000D7007" w:rsidRDefault="000D7007">
      <w:pPr>
        <w:pStyle w:val="FootnoteText"/>
      </w:pPr>
      <w:r>
        <w:rPr>
          <w:rStyle w:val="FootnoteReference"/>
        </w:rPr>
        <w:footnoteRef/>
      </w:r>
      <w:r>
        <w:t xml:space="preserve"> </w:t>
      </w:r>
      <w:r>
        <w:rPr>
          <w:szCs w:val="24"/>
        </w:rPr>
        <w:t>The definitions of IDPS and IDPS operator are in subsection 912AD(42) of the Corporations Act as modified by that order.</w:t>
      </w:r>
    </w:p>
  </w:footnote>
  <w:footnote w:id="25">
    <w:p w14:paraId="1C4F2052" w14:textId="0103FD8E" w:rsidR="000D7007" w:rsidRDefault="000D7007" w:rsidP="00E340C1">
      <w:pPr>
        <w:pStyle w:val="FootnoteText"/>
      </w:pPr>
      <w:r>
        <w:rPr>
          <w:rStyle w:val="FootnoteReference"/>
        </w:rPr>
        <w:footnoteRef/>
      </w:r>
      <w:r>
        <w:t xml:space="preserve"> Paragraph 994B(2)(b)(ii) of the Corporations Act, as will be inserted by item 5 of </w:t>
      </w:r>
      <w:r w:rsidRPr="00BE1CCF">
        <w:t xml:space="preserve">Schedule 1 to the </w:t>
      </w:r>
      <w:r>
        <w:t>Act</w:t>
      </w:r>
      <w:r w:rsidRPr="00BE1CCF">
        <w:t xml:space="preserve">, </w:t>
      </w:r>
      <w:r>
        <w:t>provides that, if there is no time or event specified for a particular financial product that regulations declare a target market determination must be made for, the target market determination must be made before any person engages in retail product distribution conduct in relation to the product.</w:t>
      </w:r>
    </w:p>
  </w:footnote>
  <w:footnote w:id="26">
    <w:p w14:paraId="3F9F836E" w14:textId="1623F1F1" w:rsidR="000D7007" w:rsidRDefault="000D7007">
      <w:pPr>
        <w:pStyle w:val="FootnoteText"/>
      </w:pPr>
      <w:r>
        <w:rPr>
          <w:rStyle w:val="FootnoteReference"/>
        </w:rPr>
        <w:footnoteRef/>
      </w:r>
      <w:r>
        <w:t xml:space="preserve"> As will be inserted by </w:t>
      </w:r>
      <w:r w:rsidRPr="00773653">
        <w:t>item 5 of</w:t>
      </w:r>
      <w:r>
        <w:t xml:space="preserve"> Schedule 1 to</w:t>
      </w:r>
      <w:r w:rsidRPr="0010717E">
        <w:t xml:space="preserve"> the</w:t>
      </w:r>
      <w:r>
        <w:t xml:space="preserve"> Act.</w:t>
      </w:r>
    </w:p>
  </w:footnote>
  <w:footnote w:id="27">
    <w:p w14:paraId="675E9AF7" w14:textId="444A214A" w:rsidR="000D7007" w:rsidRDefault="000D7007">
      <w:pPr>
        <w:pStyle w:val="FootnoteText"/>
      </w:pPr>
      <w:r>
        <w:rPr>
          <w:rStyle w:val="FootnoteReference"/>
        </w:rPr>
        <w:footnoteRef/>
      </w:r>
      <w:r>
        <w:t xml:space="preserve"> As will be inserted by </w:t>
      </w:r>
      <w:r w:rsidRPr="00773653">
        <w:t>item 5 of</w:t>
      </w:r>
      <w:r>
        <w:t xml:space="preserve"> Schedule 1 to</w:t>
      </w:r>
      <w:r w:rsidRPr="0010717E">
        <w:t xml:space="preserve"> the </w:t>
      </w:r>
      <w:r>
        <w:t>Act.</w:t>
      </w:r>
    </w:p>
  </w:footnote>
  <w:footnote w:id="28">
    <w:p w14:paraId="2D53AD0F" w14:textId="77146EFF" w:rsidR="000D7007" w:rsidRDefault="000D7007">
      <w:pPr>
        <w:pStyle w:val="FootnoteText"/>
      </w:pPr>
      <w:r>
        <w:rPr>
          <w:rStyle w:val="FootnoteReference"/>
        </w:rPr>
        <w:footnoteRef/>
      </w:r>
      <w:r>
        <w:t xml:space="preserve"> See subsections 994B(1) and (2) of the Corporations Act as will be inserted by item 5 of Schedule 1 to</w:t>
      </w:r>
      <w:r w:rsidRPr="0010717E">
        <w:t xml:space="preserve"> the </w:t>
      </w:r>
      <w:r>
        <w:t>Act.</w:t>
      </w:r>
    </w:p>
  </w:footnote>
  <w:footnote w:id="29">
    <w:p w14:paraId="7E22DAAF" w14:textId="3E5976DA" w:rsidR="000D7007" w:rsidRDefault="000D7007" w:rsidP="00A06322">
      <w:pPr>
        <w:pStyle w:val="FootnoteText"/>
      </w:pPr>
      <w:r>
        <w:rPr>
          <w:rStyle w:val="FootnoteReference"/>
        </w:rPr>
        <w:footnoteRef/>
      </w:r>
      <w:r>
        <w:t xml:space="preserve"> See subsections 994B(1) and (2) of the Corporations Act as will be inserted by item 5 of Schedule 1 to</w:t>
      </w:r>
      <w:r w:rsidRPr="0010717E">
        <w:t xml:space="preserve"> the </w:t>
      </w:r>
      <w:r>
        <w:t>Act.</w:t>
      </w:r>
    </w:p>
  </w:footnote>
  <w:footnote w:id="30">
    <w:p w14:paraId="1A2C5B4C" w14:textId="4504D536" w:rsidR="000D7007" w:rsidRDefault="000D7007" w:rsidP="0099282F">
      <w:pPr>
        <w:pStyle w:val="FootnoteText"/>
      </w:pPr>
      <w:r>
        <w:rPr>
          <w:rStyle w:val="FootnoteReference"/>
        </w:rPr>
        <w:footnoteRef/>
      </w:r>
      <w:r>
        <w:t xml:space="preserve"> See subsections 994B(1) and (2) of the Corporations Act as will be inserted by item 5 of Schedule 1 to</w:t>
      </w:r>
      <w:r w:rsidRPr="0010717E">
        <w:t xml:space="preserve"> the </w:t>
      </w:r>
      <w:r>
        <w:t>Act.</w:t>
      </w:r>
    </w:p>
  </w:footnote>
  <w:footnote w:id="31">
    <w:p w14:paraId="32B71F7E" w14:textId="3A838490" w:rsidR="000D7007" w:rsidRDefault="000D7007" w:rsidP="00997590">
      <w:pPr>
        <w:pStyle w:val="FootnoteText"/>
      </w:pPr>
      <w:r>
        <w:rPr>
          <w:rStyle w:val="FootnoteReference"/>
        </w:rPr>
        <w:footnoteRef/>
      </w:r>
      <w:r>
        <w:t xml:space="preserve"> See subsections 994B(1) and (2) of the Corporations Act as will be inserted by item 5 of Schedule 1 to</w:t>
      </w:r>
      <w:r w:rsidRPr="0010717E">
        <w:t xml:space="preserve"> the </w:t>
      </w:r>
      <w:r>
        <w:t>Act.</w:t>
      </w:r>
    </w:p>
  </w:footnote>
  <w:footnote w:id="32">
    <w:p w14:paraId="3A7D586C" w14:textId="2EB62D1D" w:rsidR="000D7007" w:rsidRDefault="000D7007" w:rsidP="0026039B">
      <w:pPr>
        <w:pStyle w:val="FootnoteText"/>
      </w:pPr>
      <w:r>
        <w:rPr>
          <w:rStyle w:val="FootnoteReference"/>
        </w:rPr>
        <w:footnoteRef/>
      </w:r>
      <w:r>
        <w:t xml:space="preserve"> As will be inserted by item 5 of Schedule 1 to</w:t>
      </w:r>
      <w:r w:rsidRPr="0010717E">
        <w:t xml:space="preserve"> the </w:t>
      </w:r>
      <w:r>
        <w:t>Act.</w:t>
      </w:r>
    </w:p>
  </w:footnote>
  <w:footnote w:id="33">
    <w:p w14:paraId="49A59F11" w14:textId="77777777" w:rsidR="000D7007" w:rsidRDefault="000D7007" w:rsidP="00CD6ABB">
      <w:pPr>
        <w:pStyle w:val="FootnoteText"/>
      </w:pPr>
      <w:r>
        <w:rPr>
          <w:rStyle w:val="FootnoteReference"/>
        </w:rPr>
        <w:footnoteRef/>
      </w:r>
      <w:r>
        <w:t xml:space="preserve"> As will be inserted by item 5 of Schedule 1 to</w:t>
      </w:r>
      <w:r w:rsidRPr="0010717E">
        <w:t xml:space="preserve"> the </w:t>
      </w:r>
      <w:r>
        <w:t>Act.</w:t>
      </w:r>
    </w:p>
  </w:footnote>
  <w:footnote w:id="34">
    <w:p w14:paraId="11D48DD8" w14:textId="7E90E896" w:rsidR="000D7007" w:rsidRDefault="000D7007">
      <w:pPr>
        <w:pStyle w:val="FootnoteText"/>
      </w:pPr>
      <w:r>
        <w:rPr>
          <w:rStyle w:val="FootnoteReference"/>
        </w:rPr>
        <w:footnoteRef/>
      </w:r>
      <w:r>
        <w:t xml:space="preserve"> In particular, see </w:t>
      </w:r>
      <w:r>
        <w:rPr>
          <w:iCs/>
        </w:rPr>
        <w:t xml:space="preserve">paragraphs 7.6.01(1)(h) and 7.6.01(1)(hc) of the Corporations Regulations. </w:t>
      </w:r>
    </w:p>
  </w:footnote>
  <w:footnote w:id="35">
    <w:p w14:paraId="379CB8B3" w14:textId="77777777" w:rsidR="000D7007" w:rsidRDefault="000D7007" w:rsidP="003205B8">
      <w:pPr>
        <w:pStyle w:val="FootnoteText"/>
      </w:pPr>
      <w:r>
        <w:rPr>
          <w:rStyle w:val="FootnoteReference"/>
        </w:rPr>
        <w:footnoteRef/>
      </w:r>
      <w:r>
        <w:t xml:space="preserve"> Parliamentary Joint Committee on Human Rights, </w:t>
      </w:r>
      <w:r w:rsidRPr="00D7658D">
        <w:rPr>
          <w:i/>
        </w:rPr>
        <w:t>General Comment No 43 Article 14: Right to equality before courts and tribunals and to a fair trial</w:t>
      </w:r>
      <w:r>
        <w:t>, CCPR/C/CG/32, 23 August 2007, [30].</w:t>
      </w:r>
    </w:p>
  </w:footnote>
  <w:footnote w:id="36">
    <w:p w14:paraId="12668A44" w14:textId="77777777" w:rsidR="000D7007" w:rsidRDefault="000D7007" w:rsidP="003205B8">
      <w:pPr>
        <w:pStyle w:val="FootnoteText"/>
      </w:pPr>
      <w:r>
        <w:rPr>
          <w:rStyle w:val="FootnoteReference"/>
        </w:rPr>
        <w:footnoteRef/>
      </w:r>
      <w:r>
        <w:t xml:space="preserve"> Attorney-General’s Department, September 2011 edition.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5B7A"/>
    <w:multiLevelType w:val="hybridMultilevel"/>
    <w:tmpl w:val="665C4BE0"/>
    <w:lvl w:ilvl="0" w:tplc="257696D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326B3"/>
    <w:multiLevelType w:val="hybridMultilevel"/>
    <w:tmpl w:val="A1547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A4BDD"/>
    <w:multiLevelType w:val="hybridMultilevel"/>
    <w:tmpl w:val="3E2C9B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C6122BF"/>
    <w:multiLevelType w:val="hybridMultilevel"/>
    <w:tmpl w:val="40682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220B24"/>
    <w:multiLevelType w:val="hybridMultilevel"/>
    <w:tmpl w:val="2774D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4D57BB"/>
    <w:multiLevelType w:val="hybridMultilevel"/>
    <w:tmpl w:val="B550399C"/>
    <w:lvl w:ilvl="0" w:tplc="0C090001">
      <w:start w:val="1"/>
      <w:numFmt w:val="bullet"/>
      <w:lvlText w:val=""/>
      <w:lvlJc w:val="left"/>
      <w:pPr>
        <w:ind w:left="720" w:hanging="360"/>
      </w:pPr>
      <w:rPr>
        <w:rFonts w:ascii="Symbol" w:hAnsi="Symbol" w:hint="default"/>
      </w:rPr>
    </w:lvl>
    <w:lvl w:ilvl="1" w:tplc="A490BDC6">
      <w:numFmt w:val="bullet"/>
      <w:lvlText w:val="•"/>
      <w:lvlJc w:val="left"/>
      <w:pPr>
        <w:ind w:left="1080" w:firstLine="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521564"/>
    <w:multiLevelType w:val="hybridMultilevel"/>
    <w:tmpl w:val="98825286"/>
    <w:lvl w:ilvl="0" w:tplc="36FCC68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lvl>
    <w:lvl w:ilvl="1">
      <w:start w:val="1"/>
      <w:numFmt w:val="lowerLetter"/>
      <w:pStyle w:val="BodyPara"/>
      <w:lvlText w:val="(%2)"/>
      <w:lvlJc w:val="left"/>
      <w:pPr>
        <w:tabs>
          <w:tab w:val="num" w:pos="1440"/>
        </w:tabs>
        <w:ind w:left="1440" w:hanging="720"/>
      </w:p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792362"/>
    <w:multiLevelType w:val="hybridMultilevel"/>
    <w:tmpl w:val="364692F0"/>
    <w:lvl w:ilvl="0" w:tplc="0C090001">
      <w:start w:val="1"/>
      <w:numFmt w:val="bullet"/>
      <w:lvlText w:val=""/>
      <w:lvlJc w:val="left"/>
      <w:pPr>
        <w:ind w:left="767" w:hanging="360"/>
      </w:pPr>
      <w:rPr>
        <w:rFonts w:ascii="Symbol" w:hAnsi="Symbol" w:hint="default"/>
      </w:rPr>
    </w:lvl>
    <w:lvl w:ilvl="1" w:tplc="0C090003">
      <w:start w:val="1"/>
      <w:numFmt w:val="bullet"/>
      <w:lvlText w:val="o"/>
      <w:lvlJc w:val="left"/>
      <w:pPr>
        <w:ind w:left="1487" w:hanging="360"/>
      </w:pPr>
      <w:rPr>
        <w:rFonts w:ascii="Courier New" w:hAnsi="Courier New" w:cs="Courier New" w:hint="default"/>
      </w:rPr>
    </w:lvl>
    <w:lvl w:ilvl="2" w:tplc="0C090005">
      <w:start w:val="1"/>
      <w:numFmt w:val="bullet"/>
      <w:lvlText w:val=""/>
      <w:lvlJc w:val="left"/>
      <w:pPr>
        <w:ind w:left="2207" w:hanging="360"/>
      </w:pPr>
      <w:rPr>
        <w:rFonts w:ascii="Wingdings" w:hAnsi="Wingdings" w:hint="default"/>
      </w:rPr>
    </w:lvl>
    <w:lvl w:ilvl="3" w:tplc="0C090001">
      <w:start w:val="1"/>
      <w:numFmt w:val="bullet"/>
      <w:lvlText w:val=""/>
      <w:lvlJc w:val="left"/>
      <w:pPr>
        <w:ind w:left="2927" w:hanging="360"/>
      </w:pPr>
      <w:rPr>
        <w:rFonts w:ascii="Symbol" w:hAnsi="Symbol" w:hint="default"/>
      </w:rPr>
    </w:lvl>
    <w:lvl w:ilvl="4" w:tplc="0C090003">
      <w:start w:val="1"/>
      <w:numFmt w:val="bullet"/>
      <w:lvlText w:val="o"/>
      <w:lvlJc w:val="left"/>
      <w:pPr>
        <w:ind w:left="3647" w:hanging="360"/>
      </w:pPr>
      <w:rPr>
        <w:rFonts w:ascii="Courier New" w:hAnsi="Courier New" w:cs="Courier New" w:hint="default"/>
      </w:rPr>
    </w:lvl>
    <w:lvl w:ilvl="5" w:tplc="0C090005">
      <w:start w:val="1"/>
      <w:numFmt w:val="bullet"/>
      <w:lvlText w:val=""/>
      <w:lvlJc w:val="left"/>
      <w:pPr>
        <w:ind w:left="4367" w:hanging="360"/>
      </w:pPr>
      <w:rPr>
        <w:rFonts w:ascii="Wingdings" w:hAnsi="Wingdings" w:hint="default"/>
      </w:rPr>
    </w:lvl>
    <w:lvl w:ilvl="6" w:tplc="0C090001">
      <w:start w:val="1"/>
      <w:numFmt w:val="bullet"/>
      <w:lvlText w:val=""/>
      <w:lvlJc w:val="left"/>
      <w:pPr>
        <w:ind w:left="5087" w:hanging="360"/>
      </w:pPr>
      <w:rPr>
        <w:rFonts w:ascii="Symbol" w:hAnsi="Symbol" w:hint="default"/>
      </w:rPr>
    </w:lvl>
    <w:lvl w:ilvl="7" w:tplc="0C090003">
      <w:start w:val="1"/>
      <w:numFmt w:val="bullet"/>
      <w:lvlText w:val="o"/>
      <w:lvlJc w:val="left"/>
      <w:pPr>
        <w:ind w:left="5807" w:hanging="360"/>
      </w:pPr>
      <w:rPr>
        <w:rFonts w:ascii="Courier New" w:hAnsi="Courier New" w:cs="Courier New" w:hint="default"/>
      </w:rPr>
    </w:lvl>
    <w:lvl w:ilvl="8" w:tplc="0C090005">
      <w:start w:val="1"/>
      <w:numFmt w:val="bullet"/>
      <w:lvlText w:val=""/>
      <w:lvlJc w:val="left"/>
      <w:pPr>
        <w:ind w:left="6527" w:hanging="360"/>
      </w:pPr>
      <w:rPr>
        <w:rFonts w:ascii="Wingdings" w:hAnsi="Wingdings" w:hint="default"/>
      </w:rPr>
    </w:lvl>
  </w:abstractNum>
  <w:abstractNum w:abstractNumId="10" w15:restartNumberingAfterBreak="0">
    <w:nsid w:val="235107E3"/>
    <w:multiLevelType w:val="hybridMultilevel"/>
    <w:tmpl w:val="9BA2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2" w15:restartNumberingAfterBreak="0">
    <w:nsid w:val="2CE33E28"/>
    <w:multiLevelType w:val="hybridMultilevel"/>
    <w:tmpl w:val="A9E40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864F6C"/>
    <w:multiLevelType w:val="hybridMultilevel"/>
    <w:tmpl w:val="5D085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9384AD1"/>
    <w:multiLevelType w:val="hybridMultilevel"/>
    <w:tmpl w:val="FA183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4C7E16"/>
    <w:multiLevelType w:val="hybridMultilevel"/>
    <w:tmpl w:val="F0187AA2"/>
    <w:lvl w:ilvl="0" w:tplc="906A9E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244130"/>
    <w:multiLevelType w:val="multilevel"/>
    <w:tmpl w:val="24F0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BC7E8D"/>
    <w:multiLevelType w:val="singleLevel"/>
    <w:tmpl w:val="206AEFD2"/>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18" w15:restartNumberingAfterBreak="0">
    <w:nsid w:val="5FC302A1"/>
    <w:multiLevelType w:val="hybridMultilevel"/>
    <w:tmpl w:val="380C8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D63979"/>
    <w:multiLevelType w:val="hybridMultilevel"/>
    <w:tmpl w:val="2EEC9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5605B3B"/>
    <w:multiLevelType w:val="hybridMultilevel"/>
    <w:tmpl w:val="85720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A43C0B"/>
    <w:multiLevelType w:val="multilevel"/>
    <w:tmpl w:val="BBDEC34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FA01B3B"/>
    <w:multiLevelType w:val="hybridMultilevel"/>
    <w:tmpl w:val="93B28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0F3985"/>
    <w:multiLevelType w:val="hybridMultilevel"/>
    <w:tmpl w:val="AD1EE4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86E66C6"/>
    <w:multiLevelType w:val="hybridMultilevel"/>
    <w:tmpl w:val="02061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293293"/>
    <w:multiLevelType w:val="hybridMultilevel"/>
    <w:tmpl w:val="EE6E7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8B73E4"/>
    <w:multiLevelType w:val="hybridMultilevel"/>
    <w:tmpl w:val="7264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D16B7B"/>
    <w:multiLevelType w:val="hybridMultilevel"/>
    <w:tmpl w:val="5E6A9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8"/>
  </w:num>
  <w:num w:numId="4">
    <w:abstractNumId w:val="9"/>
  </w:num>
  <w:num w:numId="5">
    <w:abstractNumId w:val="2"/>
  </w:num>
  <w:num w:numId="6">
    <w:abstractNumId w:val="19"/>
  </w:num>
  <w:num w:numId="7">
    <w:abstractNumId w:val="27"/>
  </w:num>
  <w:num w:numId="8">
    <w:abstractNumId w:val="13"/>
  </w:num>
  <w:num w:numId="9">
    <w:abstractNumId w:val="2"/>
  </w:num>
  <w:num w:numId="10">
    <w:abstractNumId w:val="10"/>
  </w:num>
  <w:num w:numId="11">
    <w:abstractNumId w:val="22"/>
  </w:num>
  <w:num w:numId="12">
    <w:abstractNumId w:val="4"/>
  </w:num>
  <w:num w:numId="13">
    <w:abstractNumId w:val="3"/>
  </w:num>
  <w:num w:numId="14">
    <w:abstractNumId w:val="9"/>
  </w:num>
  <w:num w:numId="15">
    <w:abstractNumId w:val="19"/>
  </w:num>
  <w:num w:numId="16">
    <w:abstractNumId w:val="27"/>
  </w:num>
  <w:num w:numId="17">
    <w:abstractNumId w:val="13"/>
  </w:num>
  <w:num w:numId="18">
    <w:abstractNumId w:val="17"/>
  </w:num>
  <w:num w:numId="19">
    <w:abstractNumId w:val="7"/>
  </w:num>
  <w:num w:numId="20">
    <w:abstractNumId w:val="16"/>
  </w:num>
  <w:num w:numId="21">
    <w:abstractNumId w:val="16"/>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5"/>
  </w:num>
  <w:num w:numId="42">
    <w:abstractNumId w:val="12"/>
  </w:num>
  <w:num w:numId="43">
    <w:abstractNumId w:val="18"/>
  </w:num>
  <w:num w:numId="44">
    <w:abstractNumId w:val="14"/>
  </w:num>
  <w:num w:numId="45">
    <w:abstractNumId w:val="23"/>
  </w:num>
  <w:num w:numId="46">
    <w:abstractNumId w:val="20"/>
  </w:num>
  <w:num w:numId="47">
    <w:abstractNumId w:val="11"/>
  </w:num>
  <w:num w:numId="48">
    <w:abstractNumId w:val="21"/>
  </w:num>
  <w:num w:numId="49">
    <w:abstractNumId w:val="21"/>
  </w:num>
  <w:num w:numId="50">
    <w:abstractNumId w:val="25"/>
  </w:num>
  <w:num w:numId="51">
    <w:abstractNumId w:val="24"/>
  </w:num>
  <w:num w:numId="52">
    <w:abstractNumId w:val="0"/>
  </w:num>
  <w:num w:numId="53">
    <w:abstractNumId w:val="26"/>
  </w:num>
  <w:num w:numId="54">
    <w:abstractNumId w:val="6"/>
  </w:num>
  <w:num w:numId="55">
    <w:abstractNumId w:val="1"/>
  </w:num>
  <w:num w:numId="56">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80"/>
    <w:rsid w:val="00000B33"/>
    <w:rsid w:val="000015A3"/>
    <w:rsid w:val="000018EF"/>
    <w:rsid w:val="00001F72"/>
    <w:rsid w:val="00002FAE"/>
    <w:rsid w:val="00004D52"/>
    <w:rsid w:val="00004E11"/>
    <w:rsid w:val="00005A3D"/>
    <w:rsid w:val="00005DDE"/>
    <w:rsid w:val="00005EDE"/>
    <w:rsid w:val="00006BC5"/>
    <w:rsid w:val="00007EA8"/>
    <w:rsid w:val="00010471"/>
    <w:rsid w:val="00011A8E"/>
    <w:rsid w:val="00013DDE"/>
    <w:rsid w:val="00013F1E"/>
    <w:rsid w:val="00016EA2"/>
    <w:rsid w:val="00017523"/>
    <w:rsid w:val="0002132F"/>
    <w:rsid w:val="00021489"/>
    <w:rsid w:val="000220A0"/>
    <w:rsid w:val="00023F69"/>
    <w:rsid w:val="00024441"/>
    <w:rsid w:val="0002465D"/>
    <w:rsid w:val="00024ABC"/>
    <w:rsid w:val="00024FE5"/>
    <w:rsid w:val="000260EA"/>
    <w:rsid w:val="00026CCE"/>
    <w:rsid w:val="000310ED"/>
    <w:rsid w:val="000315F6"/>
    <w:rsid w:val="000328AF"/>
    <w:rsid w:val="00033D0E"/>
    <w:rsid w:val="000356EE"/>
    <w:rsid w:val="00035EFB"/>
    <w:rsid w:val="00036436"/>
    <w:rsid w:val="000401B2"/>
    <w:rsid w:val="0004073F"/>
    <w:rsid w:val="000426D8"/>
    <w:rsid w:val="00042F0B"/>
    <w:rsid w:val="00044A47"/>
    <w:rsid w:val="00044D06"/>
    <w:rsid w:val="00045EB9"/>
    <w:rsid w:val="00046DC6"/>
    <w:rsid w:val="00050242"/>
    <w:rsid w:val="00054F0F"/>
    <w:rsid w:val="00056089"/>
    <w:rsid w:val="00056841"/>
    <w:rsid w:val="0005713E"/>
    <w:rsid w:val="000578D2"/>
    <w:rsid w:val="000607E3"/>
    <w:rsid w:val="00060D47"/>
    <w:rsid w:val="00061DD7"/>
    <w:rsid w:val="000621D3"/>
    <w:rsid w:val="0006298E"/>
    <w:rsid w:val="00062DE7"/>
    <w:rsid w:val="00063309"/>
    <w:rsid w:val="00064B19"/>
    <w:rsid w:val="000656DF"/>
    <w:rsid w:val="00066D42"/>
    <w:rsid w:val="00071380"/>
    <w:rsid w:val="000735BF"/>
    <w:rsid w:val="00074064"/>
    <w:rsid w:val="000741B0"/>
    <w:rsid w:val="000750CC"/>
    <w:rsid w:val="00076129"/>
    <w:rsid w:val="00081733"/>
    <w:rsid w:val="00082AC7"/>
    <w:rsid w:val="00084149"/>
    <w:rsid w:val="000848A8"/>
    <w:rsid w:val="00087360"/>
    <w:rsid w:val="000902D8"/>
    <w:rsid w:val="00090536"/>
    <w:rsid w:val="00091223"/>
    <w:rsid w:val="0009432B"/>
    <w:rsid w:val="00095211"/>
    <w:rsid w:val="000953E2"/>
    <w:rsid w:val="00095E36"/>
    <w:rsid w:val="00096FA2"/>
    <w:rsid w:val="00097109"/>
    <w:rsid w:val="000A0039"/>
    <w:rsid w:val="000A0C41"/>
    <w:rsid w:val="000A1BA1"/>
    <w:rsid w:val="000A38F6"/>
    <w:rsid w:val="000A3CEE"/>
    <w:rsid w:val="000A63AE"/>
    <w:rsid w:val="000B3282"/>
    <w:rsid w:val="000B37DC"/>
    <w:rsid w:val="000B42D1"/>
    <w:rsid w:val="000B42FD"/>
    <w:rsid w:val="000B5575"/>
    <w:rsid w:val="000B597D"/>
    <w:rsid w:val="000B68BD"/>
    <w:rsid w:val="000C021B"/>
    <w:rsid w:val="000C10DF"/>
    <w:rsid w:val="000C1717"/>
    <w:rsid w:val="000C3886"/>
    <w:rsid w:val="000C3F77"/>
    <w:rsid w:val="000C40B3"/>
    <w:rsid w:val="000C4D17"/>
    <w:rsid w:val="000C65CD"/>
    <w:rsid w:val="000C69F2"/>
    <w:rsid w:val="000C6A0F"/>
    <w:rsid w:val="000C6A4D"/>
    <w:rsid w:val="000D0187"/>
    <w:rsid w:val="000D0EF6"/>
    <w:rsid w:val="000D0FB8"/>
    <w:rsid w:val="000D42F8"/>
    <w:rsid w:val="000D7007"/>
    <w:rsid w:val="000E1248"/>
    <w:rsid w:val="000E34F0"/>
    <w:rsid w:val="000E78FF"/>
    <w:rsid w:val="000F5A7A"/>
    <w:rsid w:val="000F6778"/>
    <w:rsid w:val="000F784D"/>
    <w:rsid w:val="000F7F71"/>
    <w:rsid w:val="001003D4"/>
    <w:rsid w:val="001013C9"/>
    <w:rsid w:val="00102AF9"/>
    <w:rsid w:val="00103232"/>
    <w:rsid w:val="001041C1"/>
    <w:rsid w:val="0010533E"/>
    <w:rsid w:val="00106FE1"/>
    <w:rsid w:val="0010717E"/>
    <w:rsid w:val="00107944"/>
    <w:rsid w:val="00110B6B"/>
    <w:rsid w:val="00111CB0"/>
    <w:rsid w:val="00113B45"/>
    <w:rsid w:val="001178DC"/>
    <w:rsid w:val="00117AE8"/>
    <w:rsid w:val="00117B2A"/>
    <w:rsid w:val="0012097E"/>
    <w:rsid w:val="00123801"/>
    <w:rsid w:val="00123CDD"/>
    <w:rsid w:val="001256A4"/>
    <w:rsid w:val="0012597A"/>
    <w:rsid w:val="001260CC"/>
    <w:rsid w:val="00127F6D"/>
    <w:rsid w:val="00130198"/>
    <w:rsid w:val="001306DC"/>
    <w:rsid w:val="00131560"/>
    <w:rsid w:val="001332F5"/>
    <w:rsid w:val="0013403A"/>
    <w:rsid w:val="0013724F"/>
    <w:rsid w:val="00137356"/>
    <w:rsid w:val="00142C50"/>
    <w:rsid w:val="001458BC"/>
    <w:rsid w:val="00150C79"/>
    <w:rsid w:val="00154B34"/>
    <w:rsid w:val="00155402"/>
    <w:rsid w:val="001606C7"/>
    <w:rsid w:val="00160FBB"/>
    <w:rsid w:val="001611D2"/>
    <w:rsid w:val="00161635"/>
    <w:rsid w:val="001628CC"/>
    <w:rsid w:val="00164780"/>
    <w:rsid w:val="001649B4"/>
    <w:rsid w:val="00164F49"/>
    <w:rsid w:val="0016697C"/>
    <w:rsid w:val="00172F5F"/>
    <w:rsid w:val="0017307A"/>
    <w:rsid w:val="00174B13"/>
    <w:rsid w:val="00175044"/>
    <w:rsid w:val="0017505E"/>
    <w:rsid w:val="00176600"/>
    <w:rsid w:val="001806AE"/>
    <w:rsid w:val="00180802"/>
    <w:rsid w:val="00181C0C"/>
    <w:rsid w:val="001824CF"/>
    <w:rsid w:val="00183794"/>
    <w:rsid w:val="001837C9"/>
    <w:rsid w:val="00183FFD"/>
    <w:rsid w:val="0018404E"/>
    <w:rsid w:val="0018664B"/>
    <w:rsid w:val="00190B5E"/>
    <w:rsid w:val="001911E0"/>
    <w:rsid w:val="00194BC7"/>
    <w:rsid w:val="001973C2"/>
    <w:rsid w:val="001A1B8B"/>
    <w:rsid w:val="001A2B52"/>
    <w:rsid w:val="001A4565"/>
    <w:rsid w:val="001A5D1F"/>
    <w:rsid w:val="001B0B79"/>
    <w:rsid w:val="001B234A"/>
    <w:rsid w:val="001B2B83"/>
    <w:rsid w:val="001B32B0"/>
    <w:rsid w:val="001B590E"/>
    <w:rsid w:val="001B797F"/>
    <w:rsid w:val="001C20BC"/>
    <w:rsid w:val="001C561D"/>
    <w:rsid w:val="001D07F4"/>
    <w:rsid w:val="001D23FE"/>
    <w:rsid w:val="001D276B"/>
    <w:rsid w:val="001D3B87"/>
    <w:rsid w:val="001D4483"/>
    <w:rsid w:val="001D7A5A"/>
    <w:rsid w:val="001E0390"/>
    <w:rsid w:val="001E281A"/>
    <w:rsid w:val="001E5458"/>
    <w:rsid w:val="001E6A74"/>
    <w:rsid w:val="001F34B9"/>
    <w:rsid w:val="001F39FA"/>
    <w:rsid w:val="001F3F43"/>
    <w:rsid w:val="001F3F8C"/>
    <w:rsid w:val="001F41D0"/>
    <w:rsid w:val="001F4586"/>
    <w:rsid w:val="001F50C3"/>
    <w:rsid w:val="001F54AA"/>
    <w:rsid w:val="001F5C00"/>
    <w:rsid w:val="001F7F3F"/>
    <w:rsid w:val="0020118F"/>
    <w:rsid w:val="00201A4D"/>
    <w:rsid w:val="00202A4F"/>
    <w:rsid w:val="00203882"/>
    <w:rsid w:val="00204006"/>
    <w:rsid w:val="002051D5"/>
    <w:rsid w:val="00205530"/>
    <w:rsid w:val="00205AD2"/>
    <w:rsid w:val="00205CF6"/>
    <w:rsid w:val="002121A4"/>
    <w:rsid w:val="0021300F"/>
    <w:rsid w:val="00213E0C"/>
    <w:rsid w:val="00214D4E"/>
    <w:rsid w:val="002150B9"/>
    <w:rsid w:val="002157EE"/>
    <w:rsid w:val="00216D13"/>
    <w:rsid w:val="0021712C"/>
    <w:rsid w:val="00220F16"/>
    <w:rsid w:val="00222477"/>
    <w:rsid w:val="0022282E"/>
    <w:rsid w:val="00222921"/>
    <w:rsid w:val="002238A7"/>
    <w:rsid w:val="0022496E"/>
    <w:rsid w:val="00224C2E"/>
    <w:rsid w:val="00226329"/>
    <w:rsid w:val="00226DA7"/>
    <w:rsid w:val="0023196C"/>
    <w:rsid w:val="002343D0"/>
    <w:rsid w:val="00234618"/>
    <w:rsid w:val="00234BAB"/>
    <w:rsid w:val="002353ED"/>
    <w:rsid w:val="0023680F"/>
    <w:rsid w:val="00240046"/>
    <w:rsid w:val="00240A4D"/>
    <w:rsid w:val="00240B2F"/>
    <w:rsid w:val="002431E5"/>
    <w:rsid w:val="002433CE"/>
    <w:rsid w:val="00243BC2"/>
    <w:rsid w:val="002458CD"/>
    <w:rsid w:val="00245AE3"/>
    <w:rsid w:val="00250481"/>
    <w:rsid w:val="002515A8"/>
    <w:rsid w:val="002530B8"/>
    <w:rsid w:val="00253123"/>
    <w:rsid w:val="0025391B"/>
    <w:rsid w:val="00253F76"/>
    <w:rsid w:val="00254C5B"/>
    <w:rsid w:val="00255949"/>
    <w:rsid w:val="0025790D"/>
    <w:rsid w:val="00257BC7"/>
    <w:rsid w:val="0026039B"/>
    <w:rsid w:val="00262802"/>
    <w:rsid w:val="00264F49"/>
    <w:rsid w:val="002671E7"/>
    <w:rsid w:val="0027042A"/>
    <w:rsid w:val="002733E4"/>
    <w:rsid w:val="00273648"/>
    <w:rsid w:val="00275085"/>
    <w:rsid w:val="00275945"/>
    <w:rsid w:val="002779A4"/>
    <w:rsid w:val="002822DF"/>
    <w:rsid w:val="002824C6"/>
    <w:rsid w:val="00284189"/>
    <w:rsid w:val="00285366"/>
    <w:rsid w:val="00291735"/>
    <w:rsid w:val="002942B2"/>
    <w:rsid w:val="002942C9"/>
    <w:rsid w:val="0029448A"/>
    <w:rsid w:val="0029594D"/>
    <w:rsid w:val="002962B5"/>
    <w:rsid w:val="00297052"/>
    <w:rsid w:val="0029714D"/>
    <w:rsid w:val="002A3552"/>
    <w:rsid w:val="002A477B"/>
    <w:rsid w:val="002A4CAB"/>
    <w:rsid w:val="002B06A1"/>
    <w:rsid w:val="002B196A"/>
    <w:rsid w:val="002B1BF8"/>
    <w:rsid w:val="002B2ECE"/>
    <w:rsid w:val="002B4361"/>
    <w:rsid w:val="002B481A"/>
    <w:rsid w:val="002B5573"/>
    <w:rsid w:val="002B6140"/>
    <w:rsid w:val="002C1A08"/>
    <w:rsid w:val="002C2B88"/>
    <w:rsid w:val="002C2FB4"/>
    <w:rsid w:val="002C3209"/>
    <w:rsid w:val="002C372F"/>
    <w:rsid w:val="002C4149"/>
    <w:rsid w:val="002C4A3D"/>
    <w:rsid w:val="002C4B90"/>
    <w:rsid w:val="002C52CD"/>
    <w:rsid w:val="002C5853"/>
    <w:rsid w:val="002C6A32"/>
    <w:rsid w:val="002D1F64"/>
    <w:rsid w:val="002D34C5"/>
    <w:rsid w:val="002D3C36"/>
    <w:rsid w:val="002D459B"/>
    <w:rsid w:val="002D4FFF"/>
    <w:rsid w:val="002D74D0"/>
    <w:rsid w:val="002D7A11"/>
    <w:rsid w:val="002E0010"/>
    <w:rsid w:val="002E0425"/>
    <w:rsid w:val="002E21C7"/>
    <w:rsid w:val="002E47ED"/>
    <w:rsid w:val="002E48F7"/>
    <w:rsid w:val="002E5A49"/>
    <w:rsid w:val="002E62F8"/>
    <w:rsid w:val="002E7056"/>
    <w:rsid w:val="002E74EA"/>
    <w:rsid w:val="002F2DD5"/>
    <w:rsid w:val="002F4C30"/>
    <w:rsid w:val="002F4C50"/>
    <w:rsid w:val="002F548B"/>
    <w:rsid w:val="00300386"/>
    <w:rsid w:val="0030046B"/>
    <w:rsid w:val="0030060C"/>
    <w:rsid w:val="0030084A"/>
    <w:rsid w:val="003014C2"/>
    <w:rsid w:val="003025F6"/>
    <w:rsid w:val="00305945"/>
    <w:rsid w:val="00307F63"/>
    <w:rsid w:val="00310DE9"/>
    <w:rsid w:val="0031108C"/>
    <w:rsid w:val="00314EEC"/>
    <w:rsid w:val="00315C1A"/>
    <w:rsid w:val="003205B8"/>
    <w:rsid w:val="00321297"/>
    <w:rsid w:val="003239C1"/>
    <w:rsid w:val="00324E6A"/>
    <w:rsid w:val="003251A0"/>
    <w:rsid w:val="00331482"/>
    <w:rsid w:val="0033176E"/>
    <w:rsid w:val="00331837"/>
    <w:rsid w:val="00333565"/>
    <w:rsid w:val="003342CD"/>
    <w:rsid w:val="00335042"/>
    <w:rsid w:val="00337E42"/>
    <w:rsid w:val="00337F75"/>
    <w:rsid w:val="003411C2"/>
    <w:rsid w:val="00342F2E"/>
    <w:rsid w:val="00343682"/>
    <w:rsid w:val="00343A80"/>
    <w:rsid w:val="00343B29"/>
    <w:rsid w:val="00343F9B"/>
    <w:rsid w:val="0034532C"/>
    <w:rsid w:val="003455AA"/>
    <w:rsid w:val="00351116"/>
    <w:rsid w:val="00351ABF"/>
    <w:rsid w:val="00355351"/>
    <w:rsid w:val="003554C9"/>
    <w:rsid w:val="00355A4A"/>
    <w:rsid w:val="00356286"/>
    <w:rsid w:val="00357596"/>
    <w:rsid w:val="00357727"/>
    <w:rsid w:val="003577FB"/>
    <w:rsid w:val="00362B70"/>
    <w:rsid w:val="00362C94"/>
    <w:rsid w:val="0036312F"/>
    <w:rsid w:val="00363368"/>
    <w:rsid w:val="003645F6"/>
    <w:rsid w:val="00365291"/>
    <w:rsid w:val="00365845"/>
    <w:rsid w:val="00365DE3"/>
    <w:rsid w:val="00366222"/>
    <w:rsid w:val="00366C48"/>
    <w:rsid w:val="00367627"/>
    <w:rsid w:val="00367F8A"/>
    <w:rsid w:val="003714A3"/>
    <w:rsid w:val="003729B0"/>
    <w:rsid w:val="00372DD3"/>
    <w:rsid w:val="00372FC1"/>
    <w:rsid w:val="003747FC"/>
    <w:rsid w:val="0037549F"/>
    <w:rsid w:val="0037623E"/>
    <w:rsid w:val="00377651"/>
    <w:rsid w:val="003807C5"/>
    <w:rsid w:val="00380D0C"/>
    <w:rsid w:val="00380FAF"/>
    <w:rsid w:val="0038141A"/>
    <w:rsid w:val="00381443"/>
    <w:rsid w:val="00381D4D"/>
    <w:rsid w:val="00386CD4"/>
    <w:rsid w:val="00387407"/>
    <w:rsid w:val="0039054B"/>
    <w:rsid w:val="00390DC9"/>
    <w:rsid w:val="00391317"/>
    <w:rsid w:val="0039253E"/>
    <w:rsid w:val="00392BBA"/>
    <w:rsid w:val="00393C09"/>
    <w:rsid w:val="00393EDC"/>
    <w:rsid w:val="003954FD"/>
    <w:rsid w:val="00396455"/>
    <w:rsid w:val="00397C9E"/>
    <w:rsid w:val="003A0A32"/>
    <w:rsid w:val="003A1C01"/>
    <w:rsid w:val="003A1C17"/>
    <w:rsid w:val="003A1DC6"/>
    <w:rsid w:val="003A4CE0"/>
    <w:rsid w:val="003A661B"/>
    <w:rsid w:val="003A6A89"/>
    <w:rsid w:val="003A7B7E"/>
    <w:rsid w:val="003B0E15"/>
    <w:rsid w:val="003B10D8"/>
    <w:rsid w:val="003B1B6E"/>
    <w:rsid w:val="003B1E42"/>
    <w:rsid w:val="003B2760"/>
    <w:rsid w:val="003B2C2E"/>
    <w:rsid w:val="003B31E3"/>
    <w:rsid w:val="003B76E1"/>
    <w:rsid w:val="003B78DF"/>
    <w:rsid w:val="003B7F57"/>
    <w:rsid w:val="003C00A6"/>
    <w:rsid w:val="003C156B"/>
    <w:rsid w:val="003C1F55"/>
    <w:rsid w:val="003C254C"/>
    <w:rsid w:val="003C2E16"/>
    <w:rsid w:val="003C59CA"/>
    <w:rsid w:val="003C7474"/>
    <w:rsid w:val="003D1D2C"/>
    <w:rsid w:val="003D2847"/>
    <w:rsid w:val="003D2D82"/>
    <w:rsid w:val="003D3D8E"/>
    <w:rsid w:val="003D58E3"/>
    <w:rsid w:val="003D62E1"/>
    <w:rsid w:val="003D7832"/>
    <w:rsid w:val="003E1381"/>
    <w:rsid w:val="003E1CE3"/>
    <w:rsid w:val="003E1F71"/>
    <w:rsid w:val="003E4AB9"/>
    <w:rsid w:val="003E4F0C"/>
    <w:rsid w:val="003E4F22"/>
    <w:rsid w:val="003E6DEC"/>
    <w:rsid w:val="003E7C0B"/>
    <w:rsid w:val="003E7D82"/>
    <w:rsid w:val="003F1092"/>
    <w:rsid w:val="003F163F"/>
    <w:rsid w:val="003F20B0"/>
    <w:rsid w:val="003F29AC"/>
    <w:rsid w:val="003F3664"/>
    <w:rsid w:val="003F39A7"/>
    <w:rsid w:val="003F3B25"/>
    <w:rsid w:val="003F4508"/>
    <w:rsid w:val="003F5E82"/>
    <w:rsid w:val="004001C1"/>
    <w:rsid w:val="004004E6"/>
    <w:rsid w:val="00400D2F"/>
    <w:rsid w:val="00401BB2"/>
    <w:rsid w:val="00401E8F"/>
    <w:rsid w:val="0040320A"/>
    <w:rsid w:val="00404CDA"/>
    <w:rsid w:val="00406C51"/>
    <w:rsid w:val="00407549"/>
    <w:rsid w:val="0040771D"/>
    <w:rsid w:val="00410893"/>
    <w:rsid w:val="00410D95"/>
    <w:rsid w:val="004117E5"/>
    <w:rsid w:val="004118D9"/>
    <w:rsid w:val="004123FC"/>
    <w:rsid w:val="004139BD"/>
    <w:rsid w:val="004149EA"/>
    <w:rsid w:val="00414C53"/>
    <w:rsid w:val="00416194"/>
    <w:rsid w:val="00416557"/>
    <w:rsid w:val="00416967"/>
    <w:rsid w:val="00416AC1"/>
    <w:rsid w:val="00420079"/>
    <w:rsid w:val="004223AC"/>
    <w:rsid w:val="004241FB"/>
    <w:rsid w:val="00424370"/>
    <w:rsid w:val="0042449F"/>
    <w:rsid w:val="004253EE"/>
    <w:rsid w:val="00425FDE"/>
    <w:rsid w:val="004269ED"/>
    <w:rsid w:val="004274E7"/>
    <w:rsid w:val="004308A4"/>
    <w:rsid w:val="00431CA9"/>
    <w:rsid w:val="0043339A"/>
    <w:rsid w:val="00435DEA"/>
    <w:rsid w:val="00436125"/>
    <w:rsid w:val="004373FC"/>
    <w:rsid w:val="00437FD4"/>
    <w:rsid w:val="00440874"/>
    <w:rsid w:val="004408CF"/>
    <w:rsid w:val="0044297E"/>
    <w:rsid w:val="00445584"/>
    <w:rsid w:val="0044640F"/>
    <w:rsid w:val="00446E6A"/>
    <w:rsid w:val="00447D65"/>
    <w:rsid w:val="004510AD"/>
    <w:rsid w:val="00453522"/>
    <w:rsid w:val="0045491E"/>
    <w:rsid w:val="00456080"/>
    <w:rsid w:val="004575C2"/>
    <w:rsid w:val="00457B24"/>
    <w:rsid w:val="00460354"/>
    <w:rsid w:val="00460CF8"/>
    <w:rsid w:val="00462095"/>
    <w:rsid w:val="0046263E"/>
    <w:rsid w:val="004631FA"/>
    <w:rsid w:val="0046358E"/>
    <w:rsid w:val="00463AEC"/>
    <w:rsid w:val="00463C3B"/>
    <w:rsid w:val="004650BA"/>
    <w:rsid w:val="00471028"/>
    <w:rsid w:val="00471754"/>
    <w:rsid w:val="0047180D"/>
    <w:rsid w:val="0047311A"/>
    <w:rsid w:val="00474E73"/>
    <w:rsid w:val="00481CD5"/>
    <w:rsid w:val="0048297B"/>
    <w:rsid w:val="00485C88"/>
    <w:rsid w:val="004861C4"/>
    <w:rsid w:val="00486C2F"/>
    <w:rsid w:val="00487F49"/>
    <w:rsid w:val="0049061D"/>
    <w:rsid w:val="00491C99"/>
    <w:rsid w:val="00493149"/>
    <w:rsid w:val="004A526A"/>
    <w:rsid w:val="004A6950"/>
    <w:rsid w:val="004A6DDB"/>
    <w:rsid w:val="004A72AF"/>
    <w:rsid w:val="004A7547"/>
    <w:rsid w:val="004A7849"/>
    <w:rsid w:val="004B2406"/>
    <w:rsid w:val="004B2F06"/>
    <w:rsid w:val="004B3C0F"/>
    <w:rsid w:val="004B7345"/>
    <w:rsid w:val="004C05E4"/>
    <w:rsid w:val="004C23DF"/>
    <w:rsid w:val="004C3683"/>
    <w:rsid w:val="004D2F94"/>
    <w:rsid w:val="004D60C2"/>
    <w:rsid w:val="004D6461"/>
    <w:rsid w:val="004E0009"/>
    <w:rsid w:val="004E1249"/>
    <w:rsid w:val="004E39E1"/>
    <w:rsid w:val="004E3AA7"/>
    <w:rsid w:val="004E581A"/>
    <w:rsid w:val="004E5D7B"/>
    <w:rsid w:val="004E6A15"/>
    <w:rsid w:val="004E7394"/>
    <w:rsid w:val="004E76A6"/>
    <w:rsid w:val="004F19DD"/>
    <w:rsid w:val="004F32CA"/>
    <w:rsid w:val="004F344D"/>
    <w:rsid w:val="004F3DF5"/>
    <w:rsid w:val="004F46A8"/>
    <w:rsid w:val="004F5FF2"/>
    <w:rsid w:val="004F6390"/>
    <w:rsid w:val="00500D68"/>
    <w:rsid w:val="00503938"/>
    <w:rsid w:val="00503E44"/>
    <w:rsid w:val="0050574B"/>
    <w:rsid w:val="0051056A"/>
    <w:rsid w:val="005140E4"/>
    <w:rsid w:val="00515283"/>
    <w:rsid w:val="0051686A"/>
    <w:rsid w:val="00517953"/>
    <w:rsid w:val="005222FD"/>
    <w:rsid w:val="00523807"/>
    <w:rsid w:val="00523FFA"/>
    <w:rsid w:val="00525D42"/>
    <w:rsid w:val="00525ECC"/>
    <w:rsid w:val="005306D7"/>
    <w:rsid w:val="00531987"/>
    <w:rsid w:val="00533926"/>
    <w:rsid w:val="0053426A"/>
    <w:rsid w:val="00534A21"/>
    <w:rsid w:val="00534BDD"/>
    <w:rsid w:val="00536312"/>
    <w:rsid w:val="0053681E"/>
    <w:rsid w:val="0054016E"/>
    <w:rsid w:val="005403F4"/>
    <w:rsid w:val="00540BC8"/>
    <w:rsid w:val="005418C7"/>
    <w:rsid w:val="00541DFB"/>
    <w:rsid w:val="00543987"/>
    <w:rsid w:val="0054467D"/>
    <w:rsid w:val="005466A1"/>
    <w:rsid w:val="00546A9E"/>
    <w:rsid w:val="00550157"/>
    <w:rsid w:val="005509CB"/>
    <w:rsid w:val="00552A48"/>
    <w:rsid w:val="00553AE2"/>
    <w:rsid w:val="00554E29"/>
    <w:rsid w:val="0055675D"/>
    <w:rsid w:val="0055682D"/>
    <w:rsid w:val="00557D89"/>
    <w:rsid w:val="00562835"/>
    <w:rsid w:val="005634E6"/>
    <w:rsid w:val="005654B7"/>
    <w:rsid w:val="005659E8"/>
    <w:rsid w:val="00566702"/>
    <w:rsid w:val="00566E8F"/>
    <w:rsid w:val="005672ED"/>
    <w:rsid w:val="005705AB"/>
    <w:rsid w:val="00575DCA"/>
    <w:rsid w:val="0057608C"/>
    <w:rsid w:val="0058067C"/>
    <w:rsid w:val="00580FDE"/>
    <w:rsid w:val="005819F2"/>
    <w:rsid w:val="005830DE"/>
    <w:rsid w:val="005833BE"/>
    <w:rsid w:val="00583A6E"/>
    <w:rsid w:val="00583F79"/>
    <w:rsid w:val="00584DE1"/>
    <w:rsid w:val="00585157"/>
    <w:rsid w:val="00585816"/>
    <w:rsid w:val="005907AE"/>
    <w:rsid w:val="00590F98"/>
    <w:rsid w:val="0059146B"/>
    <w:rsid w:val="0059162F"/>
    <w:rsid w:val="00592FD9"/>
    <w:rsid w:val="00595356"/>
    <w:rsid w:val="005A1A15"/>
    <w:rsid w:val="005A3C66"/>
    <w:rsid w:val="005A488E"/>
    <w:rsid w:val="005A669A"/>
    <w:rsid w:val="005A7F1B"/>
    <w:rsid w:val="005B032A"/>
    <w:rsid w:val="005B2566"/>
    <w:rsid w:val="005B2AD3"/>
    <w:rsid w:val="005B4CB7"/>
    <w:rsid w:val="005B708D"/>
    <w:rsid w:val="005C055A"/>
    <w:rsid w:val="005C0C64"/>
    <w:rsid w:val="005C155F"/>
    <w:rsid w:val="005C3AA7"/>
    <w:rsid w:val="005C4335"/>
    <w:rsid w:val="005C47E4"/>
    <w:rsid w:val="005C5CC9"/>
    <w:rsid w:val="005C6856"/>
    <w:rsid w:val="005C6D19"/>
    <w:rsid w:val="005C7832"/>
    <w:rsid w:val="005D317B"/>
    <w:rsid w:val="005D4520"/>
    <w:rsid w:val="005D4EEB"/>
    <w:rsid w:val="005D556C"/>
    <w:rsid w:val="005D5A3F"/>
    <w:rsid w:val="005D66CF"/>
    <w:rsid w:val="005D6AA2"/>
    <w:rsid w:val="005D6B5F"/>
    <w:rsid w:val="005D6D19"/>
    <w:rsid w:val="005D7C42"/>
    <w:rsid w:val="005D7D5A"/>
    <w:rsid w:val="005E30DB"/>
    <w:rsid w:val="005E314B"/>
    <w:rsid w:val="005E444E"/>
    <w:rsid w:val="005E473D"/>
    <w:rsid w:val="005E49C7"/>
    <w:rsid w:val="005E4BAC"/>
    <w:rsid w:val="005E5076"/>
    <w:rsid w:val="005E540F"/>
    <w:rsid w:val="005E5BE4"/>
    <w:rsid w:val="005E5DBA"/>
    <w:rsid w:val="005E5F23"/>
    <w:rsid w:val="005E691D"/>
    <w:rsid w:val="005E6AB8"/>
    <w:rsid w:val="005E6E22"/>
    <w:rsid w:val="005F087D"/>
    <w:rsid w:val="005F1246"/>
    <w:rsid w:val="005F1AE0"/>
    <w:rsid w:val="005F1C06"/>
    <w:rsid w:val="005F3191"/>
    <w:rsid w:val="005F3D91"/>
    <w:rsid w:val="005F5104"/>
    <w:rsid w:val="005F51D1"/>
    <w:rsid w:val="005F5885"/>
    <w:rsid w:val="005F69D7"/>
    <w:rsid w:val="005F6D5C"/>
    <w:rsid w:val="005F737C"/>
    <w:rsid w:val="0060010E"/>
    <w:rsid w:val="00600779"/>
    <w:rsid w:val="00600F68"/>
    <w:rsid w:val="00601194"/>
    <w:rsid w:val="0060130D"/>
    <w:rsid w:val="0060167E"/>
    <w:rsid w:val="00601B94"/>
    <w:rsid w:val="00602B2B"/>
    <w:rsid w:val="00603825"/>
    <w:rsid w:val="00604BE2"/>
    <w:rsid w:val="00604C94"/>
    <w:rsid w:val="006070B0"/>
    <w:rsid w:val="00607124"/>
    <w:rsid w:val="00610874"/>
    <w:rsid w:val="00610EDE"/>
    <w:rsid w:val="00612074"/>
    <w:rsid w:val="0061260E"/>
    <w:rsid w:val="00617286"/>
    <w:rsid w:val="00617715"/>
    <w:rsid w:val="0062050D"/>
    <w:rsid w:val="00621D4D"/>
    <w:rsid w:val="0062226C"/>
    <w:rsid w:val="00622CEE"/>
    <w:rsid w:val="00622F28"/>
    <w:rsid w:val="00623EFF"/>
    <w:rsid w:val="006241FB"/>
    <w:rsid w:val="0062473C"/>
    <w:rsid w:val="00624C99"/>
    <w:rsid w:val="00624F5E"/>
    <w:rsid w:val="006255F7"/>
    <w:rsid w:val="00626019"/>
    <w:rsid w:val="0062702B"/>
    <w:rsid w:val="00632771"/>
    <w:rsid w:val="006330A1"/>
    <w:rsid w:val="00633E52"/>
    <w:rsid w:val="00635DF3"/>
    <w:rsid w:val="0064129F"/>
    <w:rsid w:val="00643EE0"/>
    <w:rsid w:val="00644700"/>
    <w:rsid w:val="00644C7D"/>
    <w:rsid w:val="00646D6E"/>
    <w:rsid w:val="00647BB7"/>
    <w:rsid w:val="00652297"/>
    <w:rsid w:val="00652B57"/>
    <w:rsid w:val="00653A73"/>
    <w:rsid w:val="006548D2"/>
    <w:rsid w:val="00656267"/>
    <w:rsid w:val="00661A55"/>
    <w:rsid w:val="00661C4B"/>
    <w:rsid w:val="00664C97"/>
    <w:rsid w:val="00665410"/>
    <w:rsid w:val="006659D8"/>
    <w:rsid w:val="00666603"/>
    <w:rsid w:val="00667F3F"/>
    <w:rsid w:val="0067133B"/>
    <w:rsid w:val="006758AA"/>
    <w:rsid w:val="00675EB6"/>
    <w:rsid w:val="00677170"/>
    <w:rsid w:val="006776A3"/>
    <w:rsid w:val="0067797C"/>
    <w:rsid w:val="00680297"/>
    <w:rsid w:val="00680F98"/>
    <w:rsid w:val="006822B3"/>
    <w:rsid w:val="00683C82"/>
    <w:rsid w:val="006842A0"/>
    <w:rsid w:val="0068430C"/>
    <w:rsid w:val="00684A4E"/>
    <w:rsid w:val="00684B1E"/>
    <w:rsid w:val="006879D5"/>
    <w:rsid w:val="00690184"/>
    <w:rsid w:val="006928C7"/>
    <w:rsid w:val="00693505"/>
    <w:rsid w:val="00694619"/>
    <w:rsid w:val="0069571F"/>
    <w:rsid w:val="00695B8B"/>
    <w:rsid w:val="00697D43"/>
    <w:rsid w:val="006A0786"/>
    <w:rsid w:val="006A1D99"/>
    <w:rsid w:val="006A1EC9"/>
    <w:rsid w:val="006A4B2D"/>
    <w:rsid w:val="006A4E72"/>
    <w:rsid w:val="006A626F"/>
    <w:rsid w:val="006A7F67"/>
    <w:rsid w:val="006B0A4A"/>
    <w:rsid w:val="006B1096"/>
    <w:rsid w:val="006B150F"/>
    <w:rsid w:val="006B2A63"/>
    <w:rsid w:val="006B3B90"/>
    <w:rsid w:val="006B3F04"/>
    <w:rsid w:val="006B42EC"/>
    <w:rsid w:val="006C44CC"/>
    <w:rsid w:val="006C4818"/>
    <w:rsid w:val="006C4F45"/>
    <w:rsid w:val="006C5BFC"/>
    <w:rsid w:val="006C6995"/>
    <w:rsid w:val="006C6B61"/>
    <w:rsid w:val="006C754C"/>
    <w:rsid w:val="006D03BD"/>
    <w:rsid w:val="006D237C"/>
    <w:rsid w:val="006D3384"/>
    <w:rsid w:val="006D49B6"/>
    <w:rsid w:val="006D543E"/>
    <w:rsid w:val="006D675B"/>
    <w:rsid w:val="006D6CDD"/>
    <w:rsid w:val="006D7D62"/>
    <w:rsid w:val="006E22AA"/>
    <w:rsid w:val="006E4711"/>
    <w:rsid w:val="006E562C"/>
    <w:rsid w:val="006F49A9"/>
    <w:rsid w:val="006F4AF6"/>
    <w:rsid w:val="006F66AA"/>
    <w:rsid w:val="006F6BD7"/>
    <w:rsid w:val="006F7CC0"/>
    <w:rsid w:val="00700E93"/>
    <w:rsid w:val="00701AF7"/>
    <w:rsid w:val="00702948"/>
    <w:rsid w:val="0070347B"/>
    <w:rsid w:val="0070530D"/>
    <w:rsid w:val="0071038F"/>
    <w:rsid w:val="00711D6D"/>
    <w:rsid w:val="007159A0"/>
    <w:rsid w:val="00716091"/>
    <w:rsid w:val="0071680C"/>
    <w:rsid w:val="00720C7F"/>
    <w:rsid w:val="007216D5"/>
    <w:rsid w:val="00723282"/>
    <w:rsid w:val="00724E48"/>
    <w:rsid w:val="007265A7"/>
    <w:rsid w:val="00730FE6"/>
    <w:rsid w:val="00731419"/>
    <w:rsid w:val="007348C8"/>
    <w:rsid w:val="00736F61"/>
    <w:rsid w:val="00737401"/>
    <w:rsid w:val="00741719"/>
    <w:rsid w:val="00741F75"/>
    <w:rsid w:val="007428AE"/>
    <w:rsid w:val="007435B7"/>
    <w:rsid w:val="007435EA"/>
    <w:rsid w:val="007437F8"/>
    <w:rsid w:val="00747482"/>
    <w:rsid w:val="007477F2"/>
    <w:rsid w:val="0075068A"/>
    <w:rsid w:val="0075191E"/>
    <w:rsid w:val="00751F59"/>
    <w:rsid w:val="00752121"/>
    <w:rsid w:val="0075232C"/>
    <w:rsid w:val="00753301"/>
    <w:rsid w:val="00754807"/>
    <w:rsid w:val="007553A8"/>
    <w:rsid w:val="007554EA"/>
    <w:rsid w:val="00756080"/>
    <w:rsid w:val="00756595"/>
    <w:rsid w:val="007568DA"/>
    <w:rsid w:val="0076081B"/>
    <w:rsid w:val="00761224"/>
    <w:rsid w:val="007641B3"/>
    <w:rsid w:val="00766285"/>
    <w:rsid w:val="007662C7"/>
    <w:rsid w:val="0077360B"/>
    <w:rsid w:val="00773653"/>
    <w:rsid w:val="00773D81"/>
    <w:rsid w:val="00773ED6"/>
    <w:rsid w:val="007747FA"/>
    <w:rsid w:val="00774FBD"/>
    <w:rsid w:val="00775EC2"/>
    <w:rsid w:val="00776306"/>
    <w:rsid w:val="007775F1"/>
    <w:rsid w:val="00782788"/>
    <w:rsid w:val="0078421D"/>
    <w:rsid w:val="00784E41"/>
    <w:rsid w:val="007916CA"/>
    <w:rsid w:val="007931BB"/>
    <w:rsid w:val="00793D24"/>
    <w:rsid w:val="007945C2"/>
    <w:rsid w:val="00794864"/>
    <w:rsid w:val="0079658E"/>
    <w:rsid w:val="007968DA"/>
    <w:rsid w:val="007975EA"/>
    <w:rsid w:val="007979E7"/>
    <w:rsid w:val="007A08EE"/>
    <w:rsid w:val="007A1936"/>
    <w:rsid w:val="007A25E7"/>
    <w:rsid w:val="007A37A3"/>
    <w:rsid w:val="007A5083"/>
    <w:rsid w:val="007A55AF"/>
    <w:rsid w:val="007A640B"/>
    <w:rsid w:val="007A6E98"/>
    <w:rsid w:val="007B04F3"/>
    <w:rsid w:val="007B102F"/>
    <w:rsid w:val="007B12B0"/>
    <w:rsid w:val="007B192B"/>
    <w:rsid w:val="007B1C46"/>
    <w:rsid w:val="007B1F10"/>
    <w:rsid w:val="007B37AE"/>
    <w:rsid w:val="007B3A5F"/>
    <w:rsid w:val="007B3CE3"/>
    <w:rsid w:val="007B57DF"/>
    <w:rsid w:val="007B5D17"/>
    <w:rsid w:val="007B5ED7"/>
    <w:rsid w:val="007B7BFE"/>
    <w:rsid w:val="007C2836"/>
    <w:rsid w:val="007C4F55"/>
    <w:rsid w:val="007C6F11"/>
    <w:rsid w:val="007C77CD"/>
    <w:rsid w:val="007D24FE"/>
    <w:rsid w:val="007D330D"/>
    <w:rsid w:val="007D3DDF"/>
    <w:rsid w:val="007D459A"/>
    <w:rsid w:val="007D6371"/>
    <w:rsid w:val="007D7DB3"/>
    <w:rsid w:val="007E018D"/>
    <w:rsid w:val="007E02EB"/>
    <w:rsid w:val="007E3785"/>
    <w:rsid w:val="007E4253"/>
    <w:rsid w:val="007E60E7"/>
    <w:rsid w:val="007E6106"/>
    <w:rsid w:val="007F1B71"/>
    <w:rsid w:val="007F4946"/>
    <w:rsid w:val="007F65ED"/>
    <w:rsid w:val="00800174"/>
    <w:rsid w:val="008044C6"/>
    <w:rsid w:val="00805131"/>
    <w:rsid w:val="00806141"/>
    <w:rsid w:val="00807E7D"/>
    <w:rsid w:val="00810BC0"/>
    <w:rsid w:val="00813EF2"/>
    <w:rsid w:val="00817DB1"/>
    <w:rsid w:val="00823D21"/>
    <w:rsid w:val="00824B6F"/>
    <w:rsid w:val="0082552D"/>
    <w:rsid w:val="00826D9F"/>
    <w:rsid w:val="00831675"/>
    <w:rsid w:val="0083206D"/>
    <w:rsid w:val="0083477D"/>
    <w:rsid w:val="00835F71"/>
    <w:rsid w:val="00835FC0"/>
    <w:rsid w:val="00836BA5"/>
    <w:rsid w:val="008375CF"/>
    <w:rsid w:val="00840352"/>
    <w:rsid w:val="008433B0"/>
    <w:rsid w:val="0084358E"/>
    <w:rsid w:val="00844BA0"/>
    <w:rsid w:val="00846240"/>
    <w:rsid w:val="00846526"/>
    <w:rsid w:val="00846EE3"/>
    <w:rsid w:val="0085038A"/>
    <w:rsid w:val="008520ED"/>
    <w:rsid w:val="008522E0"/>
    <w:rsid w:val="008535D2"/>
    <w:rsid w:val="008541DE"/>
    <w:rsid w:val="00855670"/>
    <w:rsid w:val="00855D82"/>
    <w:rsid w:val="00856AC6"/>
    <w:rsid w:val="00860F53"/>
    <w:rsid w:val="00862737"/>
    <w:rsid w:val="0086283C"/>
    <w:rsid w:val="00865EC1"/>
    <w:rsid w:val="00866D3E"/>
    <w:rsid w:val="00866F44"/>
    <w:rsid w:val="00867B0A"/>
    <w:rsid w:val="00867BC6"/>
    <w:rsid w:val="0087050F"/>
    <w:rsid w:val="008706D1"/>
    <w:rsid w:val="00871D55"/>
    <w:rsid w:val="00873842"/>
    <w:rsid w:val="0087432E"/>
    <w:rsid w:val="00874945"/>
    <w:rsid w:val="00874D3B"/>
    <w:rsid w:val="008759EB"/>
    <w:rsid w:val="00877080"/>
    <w:rsid w:val="00880553"/>
    <w:rsid w:val="008822E8"/>
    <w:rsid w:val="00882AC6"/>
    <w:rsid w:val="0088467C"/>
    <w:rsid w:val="00885B28"/>
    <w:rsid w:val="008915E0"/>
    <w:rsid w:val="00891BA1"/>
    <w:rsid w:val="00893395"/>
    <w:rsid w:val="00894579"/>
    <w:rsid w:val="0089682B"/>
    <w:rsid w:val="008970F4"/>
    <w:rsid w:val="00897329"/>
    <w:rsid w:val="00897966"/>
    <w:rsid w:val="008A1AC7"/>
    <w:rsid w:val="008A1C8C"/>
    <w:rsid w:val="008A1E62"/>
    <w:rsid w:val="008A1F92"/>
    <w:rsid w:val="008A22A7"/>
    <w:rsid w:val="008A2F46"/>
    <w:rsid w:val="008A5A83"/>
    <w:rsid w:val="008A5B67"/>
    <w:rsid w:val="008B0431"/>
    <w:rsid w:val="008B3076"/>
    <w:rsid w:val="008B3304"/>
    <w:rsid w:val="008B5140"/>
    <w:rsid w:val="008B63C1"/>
    <w:rsid w:val="008B6E2E"/>
    <w:rsid w:val="008B7CB2"/>
    <w:rsid w:val="008B7EB5"/>
    <w:rsid w:val="008C215F"/>
    <w:rsid w:val="008C27FD"/>
    <w:rsid w:val="008C33FF"/>
    <w:rsid w:val="008C3691"/>
    <w:rsid w:val="008C4610"/>
    <w:rsid w:val="008C6A8C"/>
    <w:rsid w:val="008D148C"/>
    <w:rsid w:val="008D16F7"/>
    <w:rsid w:val="008D2921"/>
    <w:rsid w:val="008D30E7"/>
    <w:rsid w:val="008D4D5B"/>
    <w:rsid w:val="008D4F0B"/>
    <w:rsid w:val="008D54CF"/>
    <w:rsid w:val="008D6864"/>
    <w:rsid w:val="008D6C1D"/>
    <w:rsid w:val="008E0274"/>
    <w:rsid w:val="008E1427"/>
    <w:rsid w:val="008E15D6"/>
    <w:rsid w:val="008E5D8A"/>
    <w:rsid w:val="008E5E26"/>
    <w:rsid w:val="008E61D5"/>
    <w:rsid w:val="008E6FEA"/>
    <w:rsid w:val="008F5081"/>
    <w:rsid w:val="008F5BB4"/>
    <w:rsid w:val="008F7723"/>
    <w:rsid w:val="009015CD"/>
    <w:rsid w:val="009037BB"/>
    <w:rsid w:val="0090381F"/>
    <w:rsid w:val="00903AAE"/>
    <w:rsid w:val="00903C38"/>
    <w:rsid w:val="00904790"/>
    <w:rsid w:val="0090513E"/>
    <w:rsid w:val="009051DD"/>
    <w:rsid w:val="00905B78"/>
    <w:rsid w:val="00907026"/>
    <w:rsid w:val="00907810"/>
    <w:rsid w:val="00910471"/>
    <w:rsid w:val="00910A2A"/>
    <w:rsid w:val="00911532"/>
    <w:rsid w:val="00913C86"/>
    <w:rsid w:val="009143A0"/>
    <w:rsid w:val="009170BF"/>
    <w:rsid w:val="00917B64"/>
    <w:rsid w:val="009269CB"/>
    <w:rsid w:val="00926C07"/>
    <w:rsid w:val="00926D29"/>
    <w:rsid w:val="0093113D"/>
    <w:rsid w:val="00931848"/>
    <w:rsid w:val="00932389"/>
    <w:rsid w:val="00932677"/>
    <w:rsid w:val="00932F64"/>
    <w:rsid w:val="0093430F"/>
    <w:rsid w:val="00934F51"/>
    <w:rsid w:val="00935D5A"/>
    <w:rsid w:val="00937BFC"/>
    <w:rsid w:val="00940D7D"/>
    <w:rsid w:val="0094376F"/>
    <w:rsid w:val="00946AD5"/>
    <w:rsid w:val="009506F0"/>
    <w:rsid w:val="00950CFE"/>
    <w:rsid w:val="00950DEB"/>
    <w:rsid w:val="0095144D"/>
    <w:rsid w:val="00952D6D"/>
    <w:rsid w:val="009533A8"/>
    <w:rsid w:val="00954679"/>
    <w:rsid w:val="00954A6B"/>
    <w:rsid w:val="00957D18"/>
    <w:rsid w:val="00966AE4"/>
    <w:rsid w:val="009703AB"/>
    <w:rsid w:val="00970860"/>
    <w:rsid w:val="00970C70"/>
    <w:rsid w:val="00975938"/>
    <w:rsid w:val="00977D84"/>
    <w:rsid w:val="0098025F"/>
    <w:rsid w:val="009808D2"/>
    <w:rsid w:val="00981AC7"/>
    <w:rsid w:val="00981CB6"/>
    <w:rsid w:val="009836BF"/>
    <w:rsid w:val="009838E0"/>
    <w:rsid w:val="00983F9E"/>
    <w:rsid w:val="00986279"/>
    <w:rsid w:val="00986BB5"/>
    <w:rsid w:val="00990A3E"/>
    <w:rsid w:val="00990A7B"/>
    <w:rsid w:val="00991BE5"/>
    <w:rsid w:val="0099201B"/>
    <w:rsid w:val="009923B9"/>
    <w:rsid w:val="00992540"/>
    <w:rsid w:val="0099282F"/>
    <w:rsid w:val="0099333F"/>
    <w:rsid w:val="00993F16"/>
    <w:rsid w:val="00994245"/>
    <w:rsid w:val="0099686E"/>
    <w:rsid w:val="00997590"/>
    <w:rsid w:val="009A0854"/>
    <w:rsid w:val="009A09EC"/>
    <w:rsid w:val="009A0B87"/>
    <w:rsid w:val="009A0CC0"/>
    <w:rsid w:val="009A1422"/>
    <w:rsid w:val="009A1D3D"/>
    <w:rsid w:val="009A1FAD"/>
    <w:rsid w:val="009A2028"/>
    <w:rsid w:val="009A290D"/>
    <w:rsid w:val="009A345A"/>
    <w:rsid w:val="009A3527"/>
    <w:rsid w:val="009A3AD9"/>
    <w:rsid w:val="009A56E4"/>
    <w:rsid w:val="009A6BB4"/>
    <w:rsid w:val="009B130D"/>
    <w:rsid w:val="009B14D4"/>
    <w:rsid w:val="009B4410"/>
    <w:rsid w:val="009B4C93"/>
    <w:rsid w:val="009B779E"/>
    <w:rsid w:val="009C0A73"/>
    <w:rsid w:val="009C0C1D"/>
    <w:rsid w:val="009C0D67"/>
    <w:rsid w:val="009C1DFD"/>
    <w:rsid w:val="009C2CF4"/>
    <w:rsid w:val="009C41D8"/>
    <w:rsid w:val="009C7475"/>
    <w:rsid w:val="009D07B4"/>
    <w:rsid w:val="009D0AA2"/>
    <w:rsid w:val="009D0E19"/>
    <w:rsid w:val="009D16A9"/>
    <w:rsid w:val="009D3481"/>
    <w:rsid w:val="009D4898"/>
    <w:rsid w:val="009D4B47"/>
    <w:rsid w:val="009D64AB"/>
    <w:rsid w:val="009E26C6"/>
    <w:rsid w:val="009E2F86"/>
    <w:rsid w:val="009E500F"/>
    <w:rsid w:val="009E581B"/>
    <w:rsid w:val="009E7EEC"/>
    <w:rsid w:val="009F41ED"/>
    <w:rsid w:val="009F734D"/>
    <w:rsid w:val="00A00005"/>
    <w:rsid w:val="00A000DB"/>
    <w:rsid w:val="00A025B7"/>
    <w:rsid w:val="00A034F8"/>
    <w:rsid w:val="00A03F93"/>
    <w:rsid w:val="00A0424F"/>
    <w:rsid w:val="00A06322"/>
    <w:rsid w:val="00A06883"/>
    <w:rsid w:val="00A07F69"/>
    <w:rsid w:val="00A116F0"/>
    <w:rsid w:val="00A12209"/>
    <w:rsid w:val="00A15ACB"/>
    <w:rsid w:val="00A15C37"/>
    <w:rsid w:val="00A17DDF"/>
    <w:rsid w:val="00A2093A"/>
    <w:rsid w:val="00A20E3E"/>
    <w:rsid w:val="00A21C5B"/>
    <w:rsid w:val="00A2376D"/>
    <w:rsid w:val="00A26DB6"/>
    <w:rsid w:val="00A3021B"/>
    <w:rsid w:val="00A315ED"/>
    <w:rsid w:val="00A3218E"/>
    <w:rsid w:val="00A336E2"/>
    <w:rsid w:val="00A35884"/>
    <w:rsid w:val="00A3608E"/>
    <w:rsid w:val="00A36285"/>
    <w:rsid w:val="00A36DF3"/>
    <w:rsid w:val="00A40137"/>
    <w:rsid w:val="00A404AD"/>
    <w:rsid w:val="00A40A7F"/>
    <w:rsid w:val="00A40D5C"/>
    <w:rsid w:val="00A40F3D"/>
    <w:rsid w:val="00A4184D"/>
    <w:rsid w:val="00A421C1"/>
    <w:rsid w:val="00A42538"/>
    <w:rsid w:val="00A42B6D"/>
    <w:rsid w:val="00A4551B"/>
    <w:rsid w:val="00A45D99"/>
    <w:rsid w:val="00A46BEB"/>
    <w:rsid w:val="00A46EF1"/>
    <w:rsid w:val="00A5011D"/>
    <w:rsid w:val="00A50CEE"/>
    <w:rsid w:val="00A532DD"/>
    <w:rsid w:val="00A53F6B"/>
    <w:rsid w:val="00A5465C"/>
    <w:rsid w:val="00A54815"/>
    <w:rsid w:val="00A54FD8"/>
    <w:rsid w:val="00A6155F"/>
    <w:rsid w:val="00A62C7A"/>
    <w:rsid w:val="00A62F85"/>
    <w:rsid w:val="00A63238"/>
    <w:rsid w:val="00A6327A"/>
    <w:rsid w:val="00A633F8"/>
    <w:rsid w:val="00A640C3"/>
    <w:rsid w:val="00A645E9"/>
    <w:rsid w:val="00A6763D"/>
    <w:rsid w:val="00A67667"/>
    <w:rsid w:val="00A70681"/>
    <w:rsid w:val="00A70C90"/>
    <w:rsid w:val="00A71CA9"/>
    <w:rsid w:val="00A7311F"/>
    <w:rsid w:val="00A765EA"/>
    <w:rsid w:val="00A77237"/>
    <w:rsid w:val="00A77431"/>
    <w:rsid w:val="00A8036F"/>
    <w:rsid w:val="00A807B0"/>
    <w:rsid w:val="00A80BCF"/>
    <w:rsid w:val="00A82067"/>
    <w:rsid w:val="00A8369C"/>
    <w:rsid w:val="00A85783"/>
    <w:rsid w:val="00A85F7B"/>
    <w:rsid w:val="00A87AF5"/>
    <w:rsid w:val="00A90D8A"/>
    <w:rsid w:val="00A91383"/>
    <w:rsid w:val="00A927FC"/>
    <w:rsid w:val="00A92D12"/>
    <w:rsid w:val="00A937E8"/>
    <w:rsid w:val="00A95B67"/>
    <w:rsid w:val="00A961BF"/>
    <w:rsid w:val="00A96E60"/>
    <w:rsid w:val="00AA0422"/>
    <w:rsid w:val="00AA1689"/>
    <w:rsid w:val="00AA26D3"/>
    <w:rsid w:val="00AA275A"/>
    <w:rsid w:val="00AA300E"/>
    <w:rsid w:val="00AA453D"/>
    <w:rsid w:val="00AA4CC3"/>
    <w:rsid w:val="00AA4E9A"/>
    <w:rsid w:val="00AA637B"/>
    <w:rsid w:val="00AA7D34"/>
    <w:rsid w:val="00AB4F8E"/>
    <w:rsid w:val="00AB77FB"/>
    <w:rsid w:val="00AC1B64"/>
    <w:rsid w:val="00AC1CEE"/>
    <w:rsid w:val="00AC1D15"/>
    <w:rsid w:val="00AC310A"/>
    <w:rsid w:val="00AC426A"/>
    <w:rsid w:val="00AC4D0E"/>
    <w:rsid w:val="00AC6620"/>
    <w:rsid w:val="00AD3188"/>
    <w:rsid w:val="00AD3803"/>
    <w:rsid w:val="00AD53BB"/>
    <w:rsid w:val="00AD5778"/>
    <w:rsid w:val="00AE19BF"/>
    <w:rsid w:val="00AE2850"/>
    <w:rsid w:val="00AE2D02"/>
    <w:rsid w:val="00AE464B"/>
    <w:rsid w:val="00AE4B34"/>
    <w:rsid w:val="00AE60A3"/>
    <w:rsid w:val="00AE6C60"/>
    <w:rsid w:val="00AE72CE"/>
    <w:rsid w:val="00AF0B23"/>
    <w:rsid w:val="00AF122F"/>
    <w:rsid w:val="00AF1E7F"/>
    <w:rsid w:val="00AF1FBA"/>
    <w:rsid w:val="00AF64D5"/>
    <w:rsid w:val="00AF6580"/>
    <w:rsid w:val="00AF6F2A"/>
    <w:rsid w:val="00B006D6"/>
    <w:rsid w:val="00B013C2"/>
    <w:rsid w:val="00B036A8"/>
    <w:rsid w:val="00B05865"/>
    <w:rsid w:val="00B0590B"/>
    <w:rsid w:val="00B07195"/>
    <w:rsid w:val="00B07966"/>
    <w:rsid w:val="00B07B0C"/>
    <w:rsid w:val="00B10564"/>
    <w:rsid w:val="00B13CD7"/>
    <w:rsid w:val="00B14ACD"/>
    <w:rsid w:val="00B14BCB"/>
    <w:rsid w:val="00B14E25"/>
    <w:rsid w:val="00B15240"/>
    <w:rsid w:val="00B15D3F"/>
    <w:rsid w:val="00B16A4C"/>
    <w:rsid w:val="00B17173"/>
    <w:rsid w:val="00B207F8"/>
    <w:rsid w:val="00B219DD"/>
    <w:rsid w:val="00B25563"/>
    <w:rsid w:val="00B25572"/>
    <w:rsid w:val="00B25D3E"/>
    <w:rsid w:val="00B261D6"/>
    <w:rsid w:val="00B263C8"/>
    <w:rsid w:val="00B2695E"/>
    <w:rsid w:val="00B26B5A"/>
    <w:rsid w:val="00B26D48"/>
    <w:rsid w:val="00B314AA"/>
    <w:rsid w:val="00B36BDC"/>
    <w:rsid w:val="00B37C57"/>
    <w:rsid w:val="00B40352"/>
    <w:rsid w:val="00B41979"/>
    <w:rsid w:val="00B425C2"/>
    <w:rsid w:val="00B42EE1"/>
    <w:rsid w:val="00B44471"/>
    <w:rsid w:val="00B46B5C"/>
    <w:rsid w:val="00B50C52"/>
    <w:rsid w:val="00B53F48"/>
    <w:rsid w:val="00B552BA"/>
    <w:rsid w:val="00B55352"/>
    <w:rsid w:val="00B57280"/>
    <w:rsid w:val="00B574BD"/>
    <w:rsid w:val="00B612E7"/>
    <w:rsid w:val="00B6169D"/>
    <w:rsid w:val="00B637C6"/>
    <w:rsid w:val="00B65409"/>
    <w:rsid w:val="00B667E5"/>
    <w:rsid w:val="00B71DB7"/>
    <w:rsid w:val="00B72053"/>
    <w:rsid w:val="00B745F6"/>
    <w:rsid w:val="00B7680C"/>
    <w:rsid w:val="00B77F2B"/>
    <w:rsid w:val="00B8007B"/>
    <w:rsid w:val="00B806F3"/>
    <w:rsid w:val="00B80E9B"/>
    <w:rsid w:val="00B81A7A"/>
    <w:rsid w:val="00B8501B"/>
    <w:rsid w:val="00B8661E"/>
    <w:rsid w:val="00B87012"/>
    <w:rsid w:val="00B92240"/>
    <w:rsid w:val="00B92478"/>
    <w:rsid w:val="00B92CAC"/>
    <w:rsid w:val="00B933FF"/>
    <w:rsid w:val="00B964B6"/>
    <w:rsid w:val="00BA04FA"/>
    <w:rsid w:val="00BA112E"/>
    <w:rsid w:val="00BA1577"/>
    <w:rsid w:val="00BA25DC"/>
    <w:rsid w:val="00BA37A1"/>
    <w:rsid w:val="00BA4366"/>
    <w:rsid w:val="00BB1473"/>
    <w:rsid w:val="00BB1CE5"/>
    <w:rsid w:val="00BB27BC"/>
    <w:rsid w:val="00BB2BFC"/>
    <w:rsid w:val="00BB3504"/>
    <w:rsid w:val="00BB3A86"/>
    <w:rsid w:val="00BB3C30"/>
    <w:rsid w:val="00BB54AF"/>
    <w:rsid w:val="00BB7580"/>
    <w:rsid w:val="00BC037D"/>
    <w:rsid w:val="00BC0BFD"/>
    <w:rsid w:val="00BC168B"/>
    <w:rsid w:val="00BC3384"/>
    <w:rsid w:val="00BC4561"/>
    <w:rsid w:val="00BC50D2"/>
    <w:rsid w:val="00BC6469"/>
    <w:rsid w:val="00BC686C"/>
    <w:rsid w:val="00BD0198"/>
    <w:rsid w:val="00BD1DAF"/>
    <w:rsid w:val="00BD29CD"/>
    <w:rsid w:val="00BD5431"/>
    <w:rsid w:val="00BD54C2"/>
    <w:rsid w:val="00BD6175"/>
    <w:rsid w:val="00BD61A2"/>
    <w:rsid w:val="00BE04F3"/>
    <w:rsid w:val="00BE1CCF"/>
    <w:rsid w:val="00BE227F"/>
    <w:rsid w:val="00BE484D"/>
    <w:rsid w:val="00BE6D2D"/>
    <w:rsid w:val="00BE71AA"/>
    <w:rsid w:val="00BE7E6B"/>
    <w:rsid w:val="00BF01DC"/>
    <w:rsid w:val="00BF14CA"/>
    <w:rsid w:val="00BF1FA1"/>
    <w:rsid w:val="00BF2F67"/>
    <w:rsid w:val="00BF47D2"/>
    <w:rsid w:val="00BF5E0F"/>
    <w:rsid w:val="00BF6244"/>
    <w:rsid w:val="00C0047B"/>
    <w:rsid w:val="00C0117B"/>
    <w:rsid w:val="00C04510"/>
    <w:rsid w:val="00C049A3"/>
    <w:rsid w:val="00C06C12"/>
    <w:rsid w:val="00C1083C"/>
    <w:rsid w:val="00C111D2"/>
    <w:rsid w:val="00C13C1D"/>
    <w:rsid w:val="00C14081"/>
    <w:rsid w:val="00C16F63"/>
    <w:rsid w:val="00C2011C"/>
    <w:rsid w:val="00C20D3D"/>
    <w:rsid w:val="00C24FE7"/>
    <w:rsid w:val="00C26227"/>
    <w:rsid w:val="00C26823"/>
    <w:rsid w:val="00C2684C"/>
    <w:rsid w:val="00C2735E"/>
    <w:rsid w:val="00C275A2"/>
    <w:rsid w:val="00C27A0C"/>
    <w:rsid w:val="00C32CA0"/>
    <w:rsid w:val="00C36FEC"/>
    <w:rsid w:val="00C37E05"/>
    <w:rsid w:val="00C4166F"/>
    <w:rsid w:val="00C42450"/>
    <w:rsid w:val="00C46A10"/>
    <w:rsid w:val="00C50703"/>
    <w:rsid w:val="00C5087B"/>
    <w:rsid w:val="00C55766"/>
    <w:rsid w:val="00C557C5"/>
    <w:rsid w:val="00C55D29"/>
    <w:rsid w:val="00C573A3"/>
    <w:rsid w:val="00C577A5"/>
    <w:rsid w:val="00C61A4B"/>
    <w:rsid w:val="00C62D29"/>
    <w:rsid w:val="00C65422"/>
    <w:rsid w:val="00C679B1"/>
    <w:rsid w:val="00C7423E"/>
    <w:rsid w:val="00C758CC"/>
    <w:rsid w:val="00C7735B"/>
    <w:rsid w:val="00C7783E"/>
    <w:rsid w:val="00C803BA"/>
    <w:rsid w:val="00C831C8"/>
    <w:rsid w:val="00C83332"/>
    <w:rsid w:val="00C838FB"/>
    <w:rsid w:val="00C85228"/>
    <w:rsid w:val="00C85AB9"/>
    <w:rsid w:val="00C85D9E"/>
    <w:rsid w:val="00C866CB"/>
    <w:rsid w:val="00C927EC"/>
    <w:rsid w:val="00C9290C"/>
    <w:rsid w:val="00C9414F"/>
    <w:rsid w:val="00C945F6"/>
    <w:rsid w:val="00CA0BE9"/>
    <w:rsid w:val="00CA138D"/>
    <w:rsid w:val="00CA2110"/>
    <w:rsid w:val="00CA2799"/>
    <w:rsid w:val="00CA29C1"/>
    <w:rsid w:val="00CA394C"/>
    <w:rsid w:val="00CA3E00"/>
    <w:rsid w:val="00CA4691"/>
    <w:rsid w:val="00CA5A0D"/>
    <w:rsid w:val="00CA7627"/>
    <w:rsid w:val="00CB16E0"/>
    <w:rsid w:val="00CB23CA"/>
    <w:rsid w:val="00CB3272"/>
    <w:rsid w:val="00CB415A"/>
    <w:rsid w:val="00CB6411"/>
    <w:rsid w:val="00CB7A01"/>
    <w:rsid w:val="00CB7ACC"/>
    <w:rsid w:val="00CC2586"/>
    <w:rsid w:val="00CC2E7F"/>
    <w:rsid w:val="00CC31F1"/>
    <w:rsid w:val="00CC7641"/>
    <w:rsid w:val="00CD1118"/>
    <w:rsid w:val="00CD1F1A"/>
    <w:rsid w:val="00CD2220"/>
    <w:rsid w:val="00CD4C14"/>
    <w:rsid w:val="00CD576A"/>
    <w:rsid w:val="00CD6ABB"/>
    <w:rsid w:val="00CD74E0"/>
    <w:rsid w:val="00CD7DB1"/>
    <w:rsid w:val="00CD7FC9"/>
    <w:rsid w:val="00CE17E9"/>
    <w:rsid w:val="00CE2989"/>
    <w:rsid w:val="00CE2A70"/>
    <w:rsid w:val="00CE4319"/>
    <w:rsid w:val="00CE4906"/>
    <w:rsid w:val="00CE722C"/>
    <w:rsid w:val="00CF17CE"/>
    <w:rsid w:val="00CF2367"/>
    <w:rsid w:val="00CF3BD8"/>
    <w:rsid w:val="00CF5AC5"/>
    <w:rsid w:val="00D0192B"/>
    <w:rsid w:val="00D01BC2"/>
    <w:rsid w:val="00D036AC"/>
    <w:rsid w:val="00D050E4"/>
    <w:rsid w:val="00D05B3F"/>
    <w:rsid w:val="00D109F1"/>
    <w:rsid w:val="00D13794"/>
    <w:rsid w:val="00D147DC"/>
    <w:rsid w:val="00D15028"/>
    <w:rsid w:val="00D201A8"/>
    <w:rsid w:val="00D20CC4"/>
    <w:rsid w:val="00D21C8D"/>
    <w:rsid w:val="00D225E9"/>
    <w:rsid w:val="00D2345C"/>
    <w:rsid w:val="00D235F1"/>
    <w:rsid w:val="00D24052"/>
    <w:rsid w:val="00D24386"/>
    <w:rsid w:val="00D24847"/>
    <w:rsid w:val="00D25EA0"/>
    <w:rsid w:val="00D26D03"/>
    <w:rsid w:val="00D26F2D"/>
    <w:rsid w:val="00D305DB"/>
    <w:rsid w:val="00D31575"/>
    <w:rsid w:val="00D34626"/>
    <w:rsid w:val="00D35A59"/>
    <w:rsid w:val="00D363B6"/>
    <w:rsid w:val="00D40274"/>
    <w:rsid w:val="00D4069D"/>
    <w:rsid w:val="00D40BD1"/>
    <w:rsid w:val="00D419A6"/>
    <w:rsid w:val="00D41F03"/>
    <w:rsid w:val="00D4237B"/>
    <w:rsid w:val="00D4257A"/>
    <w:rsid w:val="00D42D27"/>
    <w:rsid w:val="00D43519"/>
    <w:rsid w:val="00D43685"/>
    <w:rsid w:val="00D4480F"/>
    <w:rsid w:val="00D44BED"/>
    <w:rsid w:val="00D4515B"/>
    <w:rsid w:val="00D4524A"/>
    <w:rsid w:val="00D45A1C"/>
    <w:rsid w:val="00D45EE2"/>
    <w:rsid w:val="00D4742C"/>
    <w:rsid w:val="00D529ED"/>
    <w:rsid w:val="00D52D9D"/>
    <w:rsid w:val="00D52DA5"/>
    <w:rsid w:val="00D52E81"/>
    <w:rsid w:val="00D5379D"/>
    <w:rsid w:val="00D53AC5"/>
    <w:rsid w:val="00D54DB3"/>
    <w:rsid w:val="00D56C04"/>
    <w:rsid w:val="00D578BE"/>
    <w:rsid w:val="00D60BF0"/>
    <w:rsid w:val="00D61CE0"/>
    <w:rsid w:val="00D61EB3"/>
    <w:rsid w:val="00D62665"/>
    <w:rsid w:val="00D632AE"/>
    <w:rsid w:val="00D65AAD"/>
    <w:rsid w:val="00D667B1"/>
    <w:rsid w:val="00D6697B"/>
    <w:rsid w:val="00D67A27"/>
    <w:rsid w:val="00D7028B"/>
    <w:rsid w:val="00D70FC6"/>
    <w:rsid w:val="00D71292"/>
    <w:rsid w:val="00D7240A"/>
    <w:rsid w:val="00D74E4A"/>
    <w:rsid w:val="00D7658D"/>
    <w:rsid w:val="00D7659C"/>
    <w:rsid w:val="00D8148A"/>
    <w:rsid w:val="00D81590"/>
    <w:rsid w:val="00D81ABB"/>
    <w:rsid w:val="00D831B3"/>
    <w:rsid w:val="00D83DC7"/>
    <w:rsid w:val="00D845F0"/>
    <w:rsid w:val="00D85BB8"/>
    <w:rsid w:val="00D860E9"/>
    <w:rsid w:val="00D867EF"/>
    <w:rsid w:val="00D86DED"/>
    <w:rsid w:val="00D9047F"/>
    <w:rsid w:val="00D90C7D"/>
    <w:rsid w:val="00D90E9C"/>
    <w:rsid w:val="00D921B4"/>
    <w:rsid w:val="00D924F7"/>
    <w:rsid w:val="00D92CC1"/>
    <w:rsid w:val="00D93714"/>
    <w:rsid w:val="00D93B53"/>
    <w:rsid w:val="00D958CA"/>
    <w:rsid w:val="00D96D46"/>
    <w:rsid w:val="00D97DF3"/>
    <w:rsid w:val="00DA042F"/>
    <w:rsid w:val="00DA4188"/>
    <w:rsid w:val="00DA497E"/>
    <w:rsid w:val="00DA7548"/>
    <w:rsid w:val="00DA7AA4"/>
    <w:rsid w:val="00DA7B34"/>
    <w:rsid w:val="00DB1FB7"/>
    <w:rsid w:val="00DB2EB9"/>
    <w:rsid w:val="00DB3DCF"/>
    <w:rsid w:val="00DB4286"/>
    <w:rsid w:val="00DB4829"/>
    <w:rsid w:val="00DB55AA"/>
    <w:rsid w:val="00DB5F34"/>
    <w:rsid w:val="00DC0CDE"/>
    <w:rsid w:val="00DC402F"/>
    <w:rsid w:val="00DC4D72"/>
    <w:rsid w:val="00DC5556"/>
    <w:rsid w:val="00DC697E"/>
    <w:rsid w:val="00DC6AD7"/>
    <w:rsid w:val="00DD0DA3"/>
    <w:rsid w:val="00DD22FB"/>
    <w:rsid w:val="00DD2B7E"/>
    <w:rsid w:val="00DD2F2C"/>
    <w:rsid w:val="00DD364B"/>
    <w:rsid w:val="00DD3F3F"/>
    <w:rsid w:val="00DD4FC2"/>
    <w:rsid w:val="00DD5141"/>
    <w:rsid w:val="00DD52DD"/>
    <w:rsid w:val="00DD5F06"/>
    <w:rsid w:val="00DD61A1"/>
    <w:rsid w:val="00DD635A"/>
    <w:rsid w:val="00DE144D"/>
    <w:rsid w:val="00DE20D7"/>
    <w:rsid w:val="00DE448D"/>
    <w:rsid w:val="00DE619F"/>
    <w:rsid w:val="00DE6F4B"/>
    <w:rsid w:val="00DE7877"/>
    <w:rsid w:val="00DF10B3"/>
    <w:rsid w:val="00DF1BBE"/>
    <w:rsid w:val="00DF334E"/>
    <w:rsid w:val="00DF38F9"/>
    <w:rsid w:val="00DF45D6"/>
    <w:rsid w:val="00DF4C19"/>
    <w:rsid w:val="00DF5D87"/>
    <w:rsid w:val="00DF6202"/>
    <w:rsid w:val="00E0019D"/>
    <w:rsid w:val="00E00F97"/>
    <w:rsid w:val="00E02113"/>
    <w:rsid w:val="00E027B8"/>
    <w:rsid w:val="00E03488"/>
    <w:rsid w:val="00E03A9A"/>
    <w:rsid w:val="00E0624D"/>
    <w:rsid w:val="00E074EE"/>
    <w:rsid w:val="00E07C37"/>
    <w:rsid w:val="00E1168D"/>
    <w:rsid w:val="00E11CA7"/>
    <w:rsid w:val="00E12BC6"/>
    <w:rsid w:val="00E13C18"/>
    <w:rsid w:val="00E15543"/>
    <w:rsid w:val="00E15EF7"/>
    <w:rsid w:val="00E16AB1"/>
    <w:rsid w:val="00E21C4F"/>
    <w:rsid w:val="00E21C7E"/>
    <w:rsid w:val="00E2321D"/>
    <w:rsid w:val="00E236C7"/>
    <w:rsid w:val="00E24C02"/>
    <w:rsid w:val="00E25844"/>
    <w:rsid w:val="00E26103"/>
    <w:rsid w:val="00E30407"/>
    <w:rsid w:val="00E32074"/>
    <w:rsid w:val="00E32136"/>
    <w:rsid w:val="00E3235D"/>
    <w:rsid w:val="00E338CB"/>
    <w:rsid w:val="00E340C1"/>
    <w:rsid w:val="00E341BD"/>
    <w:rsid w:val="00E34CA4"/>
    <w:rsid w:val="00E3644A"/>
    <w:rsid w:val="00E36475"/>
    <w:rsid w:val="00E409B3"/>
    <w:rsid w:val="00E40EC9"/>
    <w:rsid w:val="00E41BB6"/>
    <w:rsid w:val="00E421E9"/>
    <w:rsid w:val="00E426D2"/>
    <w:rsid w:val="00E43C06"/>
    <w:rsid w:val="00E4438C"/>
    <w:rsid w:val="00E457F3"/>
    <w:rsid w:val="00E475FF"/>
    <w:rsid w:val="00E5359F"/>
    <w:rsid w:val="00E55B0B"/>
    <w:rsid w:val="00E55C57"/>
    <w:rsid w:val="00E5699D"/>
    <w:rsid w:val="00E57495"/>
    <w:rsid w:val="00E57C6E"/>
    <w:rsid w:val="00E57DE9"/>
    <w:rsid w:val="00E63ABD"/>
    <w:rsid w:val="00E65602"/>
    <w:rsid w:val="00E65FE6"/>
    <w:rsid w:val="00E668F0"/>
    <w:rsid w:val="00E70117"/>
    <w:rsid w:val="00E735DA"/>
    <w:rsid w:val="00E73CE3"/>
    <w:rsid w:val="00E740E4"/>
    <w:rsid w:val="00E74652"/>
    <w:rsid w:val="00E76B1F"/>
    <w:rsid w:val="00E80E8C"/>
    <w:rsid w:val="00E844B7"/>
    <w:rsid w:val="00E84A26"/>
    <w:rsid w:val="00E86A4E"/>
    <w:rsid w:val="00E87484"/>
    <w:rsid w:val="00E9059F"/>
    <w:rsid w:val="00E917A8"/>
    <w:rsid w:val="00E9281D"/>
    <w:rsid w:val="00E9385B"/>
    <w:rsid w:val="00E94BD4"/>
    <w:rsid w:val="00E9588A"/>
    <w:rsid w:val="00E958B8"/>
    <w:rsid w:val="00E95DAB"/>
    <w:rsid w:val="00E96783"/>
    <w:rsid w:val="00E97995"/>
    <w:rsid w:val="00EA05AC"/>
    <w:rsid w:val="00EA0C7A"/>
    <w:rsid w:val="00EA1812"/>
    <w:rsid w:val="00EA2D03"/>
    <w:rsid w:val="00EA3510"/>
    <w:rsid w:val="00EA4A41"/>
    <w:rsid w:val="00EA4CAB"/>
    <w:rsid w:val="00EA6B1C"/>
    <w:rsid w:val="00EB1E91"/>
    <w:rsid w:val="00EB5EAA"/>
    <w:rsid w:val="00EB66B9"/>
    <w:rsid w:val="00EB76A8"/>
    <w:rsid w:val="00EB7E71"/>
    <w:rsid w:val="00EC04F3"/>
    <w:rsid w:val="00EC76DC"/>
    <w:rsid w:val="00EC7ED4"/>
    <w:rsid w:val="00ED0649"/>
    <w:rsid w:val="00ED07D8"/>
    <w:rsid w:val="00ED1397"/>
    <w:rsid w:val="00ED42FF"/>
    <w:rsid w:val="00ED4594"/>
    <w:rsid w:val="00ED4BA5"/>
    <w:rsid w:val="00ED5B17"/>
    <w:rsid w:val="00ED62ED"/>
    <w:rsid w:val="00ED7604"/>
    <w:rsid w:val="00EE07B9"/>
    <w:rsid w:val="00EE1185"/>
    <w:rsid w:val="00EE29FA"/>
    <w:rsid w:val="00EE39D1"/>
    <w:rsid w:val="00EE3C65"/>
    <w:rsid w:val="00EE5253"/>
    <w:rsid w:val="00EE7215"/>
    <w:rsid w:val="00EE77B4"/>
    <w:rsid w:val="00EF066F"/>
    <w:rsid w:val="00EF12EA"/>
    <w:rsid w:val="00EF3938"/>
    <w:rsid w:val="00EF47F6"/>
    <w:rsid w:val="00F011C7"/>
    <w:rsid w:val="00F02083"/>
    <w:rsid w:val="00F055A3"/>
    <w:rsid w:val="00F05FC8"/>
    <w:rsid w:val="00F07B83"/>
    <w:rsid w:val="00F07E2A"/>
    <w:rsid w:val="00F1040A"/>
    <w:rsid w:val="00F109D4"/>
    <w:rsid w:val="00F11C45"/>
    <w:rsid w:val="00F11D40"/>
    <w:rsid w:val="00F12190"/>
    <w:rsid w:val="00F127AF"/>
    <w:rsid w:val="00F145D3"/>
    <w:rsid w:val="00F151FB"/>
    <w:rsid w:val="00F16343"/>
    <w:rsid w:val="00F178DF"/>
    <w:rsid w:val="00F2446F"/>
    <w:rsid w:val="00F24697"/>
    <w:rsid w:val="00F30ACB"/>
    <w:rsid w:val="00F30F82"/>
    <w:rsid w:val="00F3325D"/>
    <w:rsid w:val="00F34053"/>
    <w:rsid w:val="00F340A0"/>
    <w:rsid w:val="00F343E7"/>
    <w:rsid w:val="00F35EDA"/>
    <w:rsid w:val="00F36368"/>
    <w:rsid w:val="00F36900"/>
    <w:rsid w:val="00F41513"/>
    <w:rsid w:val="00F41F6E"/>
    <w:rsid w:val="00F420D5"/>
    <w:rsid w:val="00F4369A"/>
    <w:rsid w:val="00F44BA7"/>
    <w:rsid w:val="00F455F3"/>
    <w:rsid w:val="00F46DB8"/>
    <w:rsid w:val="00F470DB"/>
    <w:rsid w:val="00F47585"/>
    <w:rsid w:val="00F51CCB"/>
    <w:rsid w:val="00F56118"/>
    <w:rsid w:val="00F57724"/>
    <w:rsid w:val="00F57967"/>
    <w:rsid w:val="00F62D36"/>
    <w:rsid w:val="00F6393F"/>
    <w:rsid w:val="00F66528"/>
    <w:rsid w:val="00F67653"/>
    <w:rsid w:val="00F7044F"/>
    <w:rsid w:val="00F732CB"/>
    <w:rsid w:val="00F75813"/>
    <w:rsid w:val="00F774A2"/>
    <w:rsid w:val="00F7756D"/>
    <w:rsid w:val="00F829C7"/>
    <w:rsid w:val="00F85E6F"/>
    <w:rsid w:val="00F866F1"/>
    <w:rsid w:val="00F87167"/>
    <w:rsid w:val="00F87419"/>
    <w:rsid w:val="00F8782A"/>
    <w:rsid w:val="00F9098F"/>
    <w:rsid w:val="00F90BA3"/>
    <w:rsid w:val="00F9123B"/>
    <w:rsid w:val="00F9301B"/>
    <w:rsid w:val="00F93110"/>
    <w:rsid w:val="00F93268"/>
    <w:rsid w:val="00F94933"/>
    <w:rsid w:val="00F94A62"/>
    <w:rsid w:val="00F94E0A"/>
    <w:rsid w:val="00F9525A"/>
    <w:rsid w:val="00F96237"/>
    <w:rsid w:val="00F978A9"/>
    <w:rsid w:val="00FA0022"/>
    <w:rsid w:val="00FA1A1C"/>
    <w:rsid w:val="00FA1CD1"/>
    <w:rsid w:val="00FA21B2"/>
    <w:rsid w:val="00FA272F"/>
    <w:rsid w:val="00FA5141"/>
    <w:rsid w:val="00FB06E7"/>
    <w:rsid w:val="00FB4D8D"/>
    <w:rsid w:val="00FB6311"/>
    <w:rsid w:val="00FB75CD"/>
    <w:rsid w:val="00FC0C51"/>
    <w:rsid w:val="00FC3021"/>
    <w:rsid w:val="00FC40DE"/>
    <w:rsid w:val="00FC54C1"/>
    <w:rsid w:val="00FC78EF"/>
    <w:rsid w:val="00FC7AEE"/>
    <w:rsid w:val="00FD02DB"/>
    <w:rsid w:val="00FD12DC"/>
    <w:rsid w:val="00FD2CD0"/>
    <w:rsid w:val="00FD416B"/>
    <w:rsid w:val="00FD5820"/>
    <w:rsid w:val="00FD6DCB"/>
    <w:rsid w:val="00FD74C1"/>
    <w:rsid w:val="00FE04E4"/>
    <w:rsid w:val="00FE1244"/>
    <w:rsid w:val="00FE1F1C"/>
    <w:rsid w:val="00FE2EF5"/>
    <w:rsid w:val="00FE34C5"/>
    <w:rsid w:val="00FE6892"/>
    <w:rsid w:val="00FE73F9"/>
    <w:rsid w:val="00FE743C"/>
    <w:rsid w:val="00FE781B"/>
    <w:rsid w:val="00FF1057"/>
    <w:rsid w:val="00FF14DB"/>
    <w:rsid w:val="00FF276F"/>
    <w:rsid w:val="00FF35A4"/>
    <w:rsid w:val="00FF3A0B"/>
    <w:rsid w:val="00FF3E25"/>
    <w:rsid w:val="00FF5F00"/>
    <w:rsid w:val="00FF6EDE"/>
    <w:rsid w:val="00FF6F4D"/>
    <w:rsid w:val="00FF7092"/>
    <w:rsid w:val="00FF7C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89830"/>
  <w15:docId w15:val="{C7ED7E36-3DD0-4F25-9EE5-D966F76C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9C7475"/>
    <w:pPr>
      <w:spacing w:before="0" w:after="0"/>
      <w:ind w:left="720"/>
    </w:pPr>
    <w:rPr>
      <w:rFonts w:ascii="Calibri" w:eastAsiaTheme="minorHAnsi" w:hAnsi="Calibri"/>
      <w:sz w:val="22"/>
      <w:szCs w:val="22"/>
      <w:lang w:eastAsia="en-US"/>
    </w:rPr>
  </w:style>
  <w:style w:type="paragraph" w:customStyle="1" w:styleId="definition">
    <w:name w:val="definition"/>
    <w:basedOn w:val="Normal"/>
    <w:rsid w:val="008D30E7"/>
    <w:pPr>
      <w:spacing w:before="100" w:beforeAutospacing="1" w:after="100" w:afterAutospacing="1"/>
    </w:pPr>
    <w:rPr>
      <w:szCs w:val="24"/>
    </w:rPr>
  </w:style>
  <w:style w:type="paragraph" w:customStyle="1" w:styleId="paragraph">
    <w:name w:val="paragraph"/>
    <w:basedOn w:val="Normal"/>
    <w:rsid w:val="008D30E7"/>
    <w:pPr>
      <w:spacing w:before="100" w:beforeAutospacing="1" w:after="100" w:afterAutospacing="1"/>
    </w:pPr>
    <w:rPr>
      <w:szCs w:val="24"/>
    </w:rPr>
  </w:style>
  <w:style w:type="paragraph" w:styleId="FootnoteText">
    <w:name w:val="footnote text"/>
    <w:basedOn w:val="Normal"/>
    <w:link w:val="FootnoteTextChar"/>
    <w:uiPriority w:val="99"/>
    <w:unhideWhenUsed/>
    <w:rsid w:val="00A35884"/>
    <w:pPr>
      <w:spacing w:before="0" w:after="0"/>
    </w:pPr>
    <w:rPr>
      <w:sz w:val="20"/>
    </w:rPr>
  </w:style>
  <w:style w:type="character" w:customStyle="1" w:styleId="FootnoteTextChar">
    <w:name w:val="Footnote Text Char"/>
    <w:basedOn w:val="DefaultParagraphFont"/>
    <w:link w:val="FootnoteText"/>
    <w:uiPriority w:val="99"/>
    <w:rsid w:val="00A35884"/>
  </w:style>
  <w:style w:type="character" w:styleId="FootnoteReference">
    <w:name w:val="footnote reference"/>
    <w:basedOn w:val="DefaultParagraphFont"/>
    <w:uiPriority w:val="99"/>
    <w:unhideWhenUsed/>
    <w:rsid w:val="00A35884"/>
    <w:rPr>
      <w:vertAlign w:val="superscript"/>
    </w:rPr>
  </w:style>
  <w:style w:type="character" w:customStyle="1" w:styleId="base-text-paragraphChar">
    <w:name w:val="base-text-paragraph Char"/>
    <w:basedOn w:val="DefaultParagraphFont"/>
    <w:link w:val="base-text-paragraph"/>
    <w:rsid w:val="00D85BB8"/>
    <w:rPr>
      <w:sz w:val="24"/>
    </w:rPr>
  </w:style>
  <w:style w:type="paragraph" w:customStyle="1" w:styleId="paragraphsub">
    <w:name w:val="paragraphsub"/>
    <w:basedOn w:val="Normal"/>
    <w:rsid w:val="0013403A"/>
    <w:pPr>
      <w:spacing w:before="100" w:beforeAutospacing="1" w:after="100" w:afterAutospacing="1"/>
    </w:pPr>
    <w:rPr>
      <w:szCs w:val="24"/>
    </w:rPr>
  </w:style>
  <w:style w:type="paragraph" w:customStyle="1" w:styleId="acthead5">
    <w:name w:val="acthead5"/>
    <w:basedOn w:val="Normal"/>
    <w:rsid w:val="00377651"/>
    <w:pPr>
      <w:spacing w:before="100" w:beforeAutospacing="1" w:after="100" w:afterAutospacing="1"/>
    </w:pPr>
    <w:rPr>
      <w:szCs w:val="24"/>
    </w:rPr>
  </w:style>
  <w:style w:type="character" w:customStyle="1" w:styleId="charsectno">
    <w:name w:val="charsectno"/>
    <w:basedOn w:val="DefaultParagraphFont"/>
    <w:rsid w:val="00377651"/>
  </w:style>
  <w:style w:type="paragraph" w:customStyle="1" w:styleId="subsectionhead">
    <w:name w:val="subsectionhead"/>
    <w:basedOn w:val="Normal"/>
    <w:rsid w:val="00377651"/>
    <w:pPr>
      <w:spacing w:before="100" w:beforeAutospacing="1" w:after="100" w:afterAutospacing="1"/>
    </w:pPr>
    <w:rPr>
      <w:szCs w:val="24"/>
    </w:rPr>
  </w:style>
  <w:style w:type="paragraph" w:customStyle="1" w:styleId="subsection">
    <w:name w:val="subsection"/>
    <w:basedOn w:val="Normal"/>
    <w:rsid w:val="00377651"/>
    <w:pPr>
      <w:spacing w:before="100" w:beforeAutospacing="1" w:after="100" w:afterAutospacing="1"/>
    </w:pPr>
    <w:rPr>
      <w:szCs w:val="24"/>
    </w:rPr>
  </w:style>
  <w:style w:type="paragraph" w:customStyle="1" w:styleId="BodyNum">
    <w:name w:val="BodyNum"/>
    <w:aliases w:val="b1"/>
    <w:basedOn w:val="Normal"/>
    <w:rsid w:val="00DE619F"/>
    <w:pPr>
      <w:numPr>
        <w:numId w:val="19"/>
      </w:numPr>
      <w:spacing w:before="240" w:after="0"/>
    </w:pPr>
  </w:style>
  <w:style w:type="paragraph" w:customStyle="1" w:styleId="BodyPara">
    <w:name w:val="BodyPara"/>
    <w:aliases w:val="ba"/>
    <w:basedOn w:val="Normal"/>
    <w:rsid w:val="00DE619F"/>
    <w:pPr>
      <w:numPr>
        <w:ilvl w:val="1"/>
        <w:numId w:val="19"/>
      </w:numPr>
      <w:spacing w:before="240" w:after="0"/>
    </w:pPr>
  </w:style>
  <w:style w:type="paragraph" w:customStyle="1" w:styleId="BodyParaBullet">
    <w:name w:val="BodyParaBullet"/>
    <w:aliases w:val="bpb"/>
    <w:basedOn w:val="Normal"/>
    <w:rsid w:val="00DE619F"/>
    <w:pPr>
      <w:numPr>
        <w:ilvl w:val="2"/>
        <w:numId w:val="19"/>
      </w:numPr>
      <w:tabs>
        <w:tab w:val="left" w:pos="2160"/>
      </w:tabs>
      <w:spacing w:before="240" w:after="0"/>
    </w:pPr>
  </w:style>
  <w:style w:type="paragraph" w:customStyle="1" w:styleId="BodySubPara">
    <w:name w:val="BodySubPara"/>
    <w:aliases w:val="bi"/>
    <w:basedOn w:val="Normal"/>
    <w:rsid w:val="00DE619F"/>
    <w:pPr>
      <w:numPr>
        <w:ilvl w:val="3"/>
        <w:numId w:val="19"/>
      </w:numPr>
      <w:spacing w:before="240" w:after="0"/>
    </w:pPr>
  </w:style>
  <w:style w:type="numbering" w:customStyle="1" w:styleId="OPCBodyList">
    <w:name w:val="OPCBodyList"/>
    <w:uiPriority w:val="99"/>
    <w:rsid w:val="00DE619F"/>
    <w:pPr>
      <w:numPr>
        <w:numId w:val="19"/>
      </w:numPr>
    </w:pPr>
  </w:style>
  <w:style w:type="paragraph" w:styleId="Revision">
    <w:name w:val="Revision"/>
    <w:hidden/>
    <w:uiPriority w:val="99"/>
    <w:semiHidden/>
    <w:rsid w:val="00D860E9"/>
    <w:rPr>
      <w:sz w:val="24"/>
    </w:rPr>
  </w:style>
  <w:style w:type="paragraph" w:customStyle="1" w:styleId="li-bodytextunnumbered">
    <w:name w:val="li-bodytextunnumbered"/>
    <w:basedOn w:val="Normal"/>
    <w:rsid w:val="00FF7092"/>
    <w:pPr>
      <w:spacing w:before="100" w:beforeAutospacing="1" w:after="100" w:afterAutospacing="1"/>
    </w:pPr>
    <w:rPr>
      <w:szCs w:val="24"/>
    </w:rPr>
  </w:style>
  <w:style w:type="paragraph" w:customStyle="1" w:styleId="li-bodytextparaa">
    <w:name w:val="li-bodytextparaa"/>
    <w:basedOn w:val="Normal"/>
    <w:rsid w:val="00FF7092"/>
    <w:pPr>
      <w:spacing w:before="100" w:beforeAutospacing="1" w:after="100" w:afterAutospacing="1"/>
    </w:pPr>
    <w:rPr>
      <w:szCs w:val="24"/>
    </w:rPr>
  </w:style>
  <w:style w:type="paragraph" w:customStyle="1" w:styleId="li-bodytextsubparai">
    <w:name w:val="li-bodytextsubparai"/>
    <w:basedOn w:val="Normal"/>
    <w:rsid w:val="00FF7092"/>
    <w:pPr>
      <w:spacing w:before="100" w:beforeAutospacing="1" w:after="100" w:afterAutospacing="1"/>
    </w:pPr>
    <w:rPr>
      <w:szCs w:val="24"/>
    </w:rPr>
  </w:style>
  <w:style w:type="paragraph" w:customStyle="1" w:styleId="Definition0">
    <w:name w:val="Definition"/>
    <w:aliases w:val="dd"/>
    <w:basedOn w:val="Normal"/>
    <w:rsid w:val="002C3209"/>
    <w:pPr>
      <w:spacing w:before="180" w:after="0"/>
      <w:ind w:left="1134"/>
    </w:pPr>
    <w:rPr>
      <w:sz w:val="22"/>
    </w:rPr>
  </w:style>
  <w:style w:type="character" w:customStyle="1" w:styleId="Referencingstyle">
    <w:name w:val="Referencing style"/>
    <w:basedOn w:val="DefaultParagraphFont"/>
    <w:rsid w:val="00632771"/>
    <w:rPr>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3768">
      <w:bodyDiv w:val="1"/>
      <w:marLeft w:val="0"/>
      <w:marRight w:val="0"/>
      <w:marTop w:val="0"/>
      <w:marBottom w:val="0"/>
      <w:divBdr>
        <w:top w:val="none" w:sz="0" w:space="0" w:color="auto"/>
        <w:left w:val="none" w:sz="0" w:space="0" w:color="auto"/>
        <w:bottom w:val="none" w:sz="0" w:space="0" w:color="auto"/>
        <w:right w:val="none" w:sz="0" w:space="0" w:color="auto"/>
      </w:divBdr>
    </w:div>
    <w:div w:id="197859570">
      <w:bodyDiv w:val="1"/>
      <w:marLeft w:val="0"/>
      <w:marRight w:val="0"/>
      <w:marTop w:val="0"/>
      <w:marBottom w:val="0"/>
      <w:divBdr>
        <w:top w:val="none" w:sz="0" w:space="0" w:color="auto"/>
        <w:left w:val="none" w:sz="0" w:space="0" w:color="auto"/>
        <w:bottom w:val="none" w:sz="0" w:space="0" w:color="auto"/>
        <w:right w:val="none" w:sz="0" w:space="0" w:color="auto"/>
      </w:divBdr>
    </w:div>
    <w:div w:id="279528528">
      <w:bodyDiv w:val="1"/>
      <w:marLeft w:val="0"/>
      <w:marRight w:val="0"/>
      <w:marTop w:val="0"/>
      <w:marBottom w:val="0"/>
      <w:divBdr>
        <w:top w:val="none" w:sz="0" w:space="0" w:color="auto"/>
        <w:left w:val="none" w:sz="0" w:space="0" w:color="auto"/>
        <w:bottom w:val="none" w:sz="0" w:space="0" w:color="auto"/>
        <w:right w:val="none" w:sz="0" w:space="0" w:color="auto"/>
      </w:divBdr>
    </w:div>
    <w:div w:id="540827754">
      <w:bodyDiv w:val="1"/>
      <w:marLeft w:val="0"/>
      <w:marRight w:val="0"/>
      <w:marTop w:val="0"/>
      <w:marBottom w:val="0"/>
      <w:divBdr>
        <w:top w:val="none" w:sz="0" w:space="0" w:color="auto"/>
        <w:left w:val="none" w:sz="0" w:space="0" w:color="auto"/>
        <w:bottom w:val="none" w:sz="0" w:space="0" w:color="auto"/>
        <w:right w:val="none" w:sz="0" w:space="0" w:color="auto"/>
      </w:divBdr>
    </w:div>
    <w:div w:id="542138718">
      <w:bodyDiv w:val="1"/>
      <w:marLeft w:val="0"/>
      <w:marRight w:val="0"/>
      <w:marTop w:val="0"/>
      <w:marBottom w:val="0"/>
      <w:divBdr>
        <w:top w:val="none" w:sz="0" w:space="0" w:color="auto"/>
        <w:left w:val="none" w:sz="0" w:space="0" w:color="auto"/>
        <w:bottom w:val="none" w:sz="0" w:space="0" w:color="auto"/>
        <w:right w:val="none" w:sz="0" w:space="0" w:color="auto"/>
      </w:divBdr>
    </w:div>
    <w:div w:id="573783814">
      <w:bodyDiv w:val="1"/>
      <w:marLeft w:val="0"/>
      <w:marRight w:val="0"/>
      <w:marTop w:val="0"/>
      <w:marBottom w:val="0"/>
      <w:divBdr>
        <w:top w:val="none" w:sz="0" w:space="0" w:color="auto"/>
        <w:left w:val="none" w:sz="0" w:space="0" w:color="auto"/>
        <w:bottom w:val="none" w:sz="0" w:space="0" w:color="auto"/>
        <w:right w:val="none" w:sz="0" w:space="0" w:color="auto"/>
      </w:divBdr>
    </w:div>
    <w:div w:id="592275100">
      <w:bodyDiv w:val="1"/>
      <w:marLeft w:val="0"/>
      <w:marRight w:val="0"/>
      <w:marTop w:val="0"/>
      <w:marBottom w:val="0"/>
      <w:divBdr>
        <w:top w:val="none" w:sz="0" w:space="0" w:color="auto"/>
        <w:left w:val="none" w:sz="0" w:space="0" w:color="auto"/>
        <w:bottom w:val="none" w:sz="0" w:space="0" w:color="auto"/>
        <w:right w:val="none" w:sz="0" w:space="0" w:color="auto"/>
      </w:divBdr>
    </w:div>
    <w:div w:id="858084474">
      <w:bodyDiv w:val="1"/>
      <w:marLeft w:val="0"/>
      <w:marRight w:val="0"/>
      <w:marTop w:val="0"/>
      <w:marBottom w:val="0"/>
      <w:divBdr>
        <w:top w:val="none" w:sz="0" w:space="0" w:color="auto"/>
        <w:left w:val="none" w:sz="0" w:space="0" w:color="auto"/>
        <w:bottom w:val="none" w:sz="0" w:space="0" w:color="auto"/>
        <w:right w:val="none" w:sz="0" w:space="0" w:color="auto"/>
      </w:divBdr>
    </w:div>
    <w:div w:id="993490954">
      <w:bodyDiv w:val="1"/>
      <w:marLeft w:val="0"/>
      <w:marRight w:val="0"/>
      <w:marTop w:val="0"/>
      <w:marBottom w:val="0"/>
      <w:divBdr>
        <w:top w:val="none" w:sz="0" w:space="0" w:color="auto"/>
        <w:left w:val="none" w:sz="0" w:space="0" w:color="auto"/>
        <w:bottom w:val="none" w:sz="0" w:space="0" w:color="auto"/>
        <w:right w:val="none" w:sz="0" w:space="0" w:color="auto"/>
      </w:divBdr>
    </w:div>
    <w:div w:id="1072508108">
      <w:bodyDiv w:val="1"/>
      <w:marLeft w:val="0"/>
      <w:marRight w:val="0"/>
      <w:marTop w:val="0"/>
      <w:marBottom w:val="0"/>
      <w:divBdr>
        <w:top w:val="none" w:sz="0" w:space="0" w:color="auto"/>
        <w:left w:val="none" w:sz="0" w:space="0" w:color="auto"/>
        <w:bottom w:val="none" w:sz="0" w:space="0" w:color="auto"/>
        <w:right w:val="none" w:sz="0" w:space="0" w:color="auto"/>
      </w:divBdr>
    </w:div>
    <w:div w:id="1412314593">
      <w:bodyDiv w:val="1"/>
      <w:marLeft w:val="0"/>
      <w:marRight w:val="0"/>
      <w:marTop w:val="0"/>
      <w:marBottom w:val="0"/>
      <w:divBdr>
        <w:top w:val="none" w:sz="0" w:space="0" w:color="auto"/>
        <w:left w:val="none" w:sz="0" w:space="0" w:color="auto"/>
        <w:bottom w:val="none" w:sz="0" w:space="0" w:color="auto"/>
        <w:right w:val="none" w:sz="0" w:space="0" w:color="auto"/>
      </w:divBdr>
    </w:div>
    <w:div w:id="1491216107">
      <w:bodyDiv w:val="1"/>
      <w:marLeft w:val="0"/>
      <w:marRight w:val="0"/>
      <w:marTop w:val="0"/>
      <w:marBottom w:val="0"/>
      <w:divBdr>
        <w:top w:val="none" w:sz="0" w:space="0" w:color="auto"/>
        <w:left w:val="none" w:sz="0" w:space="0" w:color="auto"/>
        <w:bottom w:val="none" w:sz="0" w:space="0" w:color="auto"/>
        <w:right w:val="none" w:sz="0" w:space="0" w:color="auto"/>
      </w:divBdr>
    </w:div>
    <w:div w:id="1719427355">
      <w:bodyDiv w:val="1"/>
      <w:marLeft w:val="0"/>
      <w:marRight w:val="0"/>
      <w:marTop w:val="0"/>
      <w:marBottom w:val="0"/>
      <w:divBdr>
        <w:top w:val="none" w:sz="0" w:space="0" w:color="auto"/>
        <w:left w:val="none" w:sz="0" w:space="0" w:color="auto"/>
        <w:bottom w:val="none" w:sz="0" w:space="0" w:color="auto"/>
        <w:right w:val="none" w:sz="0" w:space="0" w:color="auto"/>
      </w:divBdr>
    </w:div>
    <w:div w:id="1743521893">
      <w:bodyDiv w:val="1"/>
      <w:marLeft w:val="0"/>
      <w:marRight w:val="0"/>
      <w:marTop w:val="0"/>
      <w:marBottom w:val="0"/>
      <w:divBdr>
        <w:top w:val="none" w:sz="0" w:space="0" w:color="auto"/>
        <w:left w:val="none" w:sz="0" w:space="0" w:color="auto"/>
        <w:bottom w:val="none" w:sz="0" w:space="0" w:color="auto"/>
        <w:right w:val="none" w:sz="0" w:space="0" w:color="auto"/>
      </w:divBdr>
    </w:div>
    <w:div w:id="1747535120">
      <w:bodyDiv w:val="1"/>
      <w:marLeft w:val="0"/>
      <w:marRight w:val="0"/>
      <w:marTop w:val="0"/>
      <w:marBottom w:val="0"/>
      <w:divBdr>
        <w:top w:val="none" w:sz="0" w:space="0" w:color="auto"/>
        <w:left w:val="none" w:sz="0" w:space="0" w:color="auto"/>
        <w:bottom w:val="none" w:sz="0" w:space="0" w:color="auto"/>
        <w:right w:val="none" w:sz="0" w:space="0" w:color="auto"/>
      </w:divBdr>
    </w:div>
    <w:div w:id="1953320738">
      <w:bodyDiv w:val="1"/>
      <w:marLeft w:val="0"/>
      <w:marRight w:val="0"/>
      <w:marTop w:val="0"/>
      <w:marBottom w:val="0"/>
      <w:divBdr>
        <w:top w:val="none" w:sz="0" w:space="0" w:color="auto"/>
        <w:left w:val="none" w:sz="0" w:space="0" w:color="auto"/>
        <w:bottom w:val="none" w:sz="0" w:space="0" w:color="auto"/>
        <w:right w:val="none" w:sz="0" w:space="0" w:color="auto"/>
      </w:divBdr>
    </w:div>
    <w:div w:id="1981957261">
      <w:bodyDiv w:val="1"/>
      <w:marLeft w:val="0"/>
      <w:marRight w:val="0"/>
      <w:marTop w:val="0"/>
      <w:marBottom w:val="0"/>
      <w:divBdr>
        <w:top w:val="none" w:sz="0" w:space="0" w:color="auto"/>
        <w:left w:val="none" w:sz="0" w:space="0" w:color="auto"/>
        <w:bottom w:val="none" w:sz="0" w:space="0" w:color="auto"/>
        <w:right w:val="none" w:sz="0" w:space="0" w:color="auto"/>
      </w:divBdr>
    </w:div>
    <w:div w:id="2025671419">
      <w:bodyDiv w:val="1"/>
      <w:marLeft w:val="0"/>
      <w:marRight w:val="0"/>
      <w:marTop w:val="0"/>
      <w:marBottom w:val="0"/>
      <w:divBdr>
        <w:top w:val="none" w:sz="0" w:space="0" w:color="auto"/>
        <w:left w:val="none" w:sz="0" w:space="0" w:color="auto"/>
        <w:bottom w:val="none" w:sz="0" w:space="0" w:color="auto"/>
        <w:right w:val="none" w:sz="0" w:space="0" w:color="auto"/>
      </w:divBdr>
    </w:div>
    <w:div w:id="2050106864">
      <w:bodyDiv w:val="1"/>
      <w:marLeft w:val="0"/>
      <w:marRight w:val="0"/>
      <w:marTop w:val="0"/>
      <w:marBottom w:val="0"/>
      <w:divBdr>
        <w:top w:val="none" w:sz="0" w:space="0" w:color="auto"/>
        <w:left w:val="none" w:sz="0" w:space="0" w:color="auto"/>
        <w:bottom w:val="none" w:sz="0" w:space="0" w:color="auto"/>
        <w:right w:val="none" w:sz="0" w:space="0" w:color="auto"/>
      </w:divBdr>
    </w:div>
    <w:div w:id="211150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fsi.gov.au/files/2014/12/FSI_Final_Report_Consolidated20141210.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4786" ma:contentTypeDescription=" " ma:contentTypeScope="" ma:versionID="b27d1d76a17bd5389b1aaf99c3443380">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24</Value>
    </TaxCatchAll>
    <_dlc_DocId xmlns="0f563589-9cf9-4143-b1eb-fb0534803d38">2019RG-111-12788</_dlc_DocId>
    <_dlc_DocIdUrl xmlns="0f563589-9cf9-4143-b1eb-fb0534803d38">
      <Url>http://tweb/sites/rg/ldp/lmu/_layouts/15/DocIdRedir.aspx?ID=2019RG-111-12788</Url>
      <Description>2019RG-111-12788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1E39D-304B-420D-A008-FDE33A9A8E30}"/>
</file>

<file path=customXml/itemProps2.xml><?xml version="1.0" encoding="utf-8"?>
<ds:datastoreItem xmlns:ds="http://schemas.openxmlformats.org/officeDocument/2006/customXml" ds:itemID="{3A88508A-E297-4B70-92E5-53605CCF4762}"/>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46278533-3486-40E5-9013-DD26FD164D39}">
  <ds:schemaRefs>
    <ds:schemaRef ds:uri="http://schemas.microsoft.com/office/2006/documentManagement/types"/>
    <ds:schemaRef ds:uri="http://purl.org/dc/elements/1.1/"/>
    <ds:schemaRef ds:uri="0f563589-9cf9-4143-b1eb-fb0534803d38"/>
    <ds:schemaRef ds:uri="http://schemas.microsoft.com/sharepoint/v3"/>
    <ds:schemaRef ds:uri="http://schemas.microsoft.com/office/infopath/2007/PartnerControls"/>
    <ds:schemaRef ds:uri="http://schemas.openxmlformats.org/package/2006/metadata/core-properties"/>
    <ds:schemaRef ds:uri="http://purl.org/dc/terms/"/>
    <ds:schemaRef ds:uri="http://schemas.microsoft.com/sharepoint/v4"/>
    <ds:schemaRef ds:uri="507a8a59-704d-43cf-b103-02b0cd527a9d"/>
    <ds:schemaRef ds:uri="9f7bc583-7cbe-45b9-a2bd-8bbb6543b37e"/>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EDEC2D41-D068-4C93-99ED-E03E3036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21</Pages>
  <Words>7079</Words>
  <Characters>40351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47336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Murphy, Richard</dc:creator>
  <cp:lastModifiedBy>Murphy, Richard</cp:lastModifiedBy>
  <cp:revision>3</cp:revision>
  <cp:lastPrinted>2019-11-11T00:15:00Z</cp:lastPrinted>
  <dcterms:created xsi:type="dcterms:W3CDTF">2019-11-19T04:27:00Z</dcterms:created>
  <dcterms:modified xsi:type="dcterms:W3CDTF">2019-11-19T04:28:00Z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670935288</vt:i4>
  </property>
  <property fmtid="{D5CDD505-2E9C-101B-9397-08002B2CF9AE}" pid="3" name="_NewReviewCycle">
    <vt:lpwstr/>
  </property>
  <property fmtid="{D5CDD505-2E9C-101B-9397-08002B2CF9AE}" pid="4" name="_EmailSubject">
    <vt:lpwstr>FOR LAW ACTION - Corporations Amendment (Design and Distribution Obligations) Regulations 2019 [SEC=PROTECTED, DLM=Sensitive:Legal]</vt:lpwstr>
  </property>
  <property fmtid="{D5CDD505-2E9C-101B-9397-08002B2CF9AE}" pid="5" name="_AuthorEmail">
    <vt:lpwstr>Richard.Murphy@TREASURY.GOV.AU</vt:lpwstr>
  </property>
  <property fmtid="{D5CDD505-2E9C-101B-9397-08002B2CF9AE}" pid="6" name="_AuthorEmailDisplayName">
    <vt:lpwstr>Murphy, Richard</vt:lpwstr>
  </property>
  <property fmtid="{D5CDD505-2E9C-101B-9397-08002B2CF9AE}" pid="7" name="ContentTypeId">
    <vt:lpwstr>0x01010036BB8DE7EC542E42A8B2E98CC20CB69700D5C18F41BA18FB44827A222ACD6776F5</vt:lpwstr>
  </property>
  <property fmtid="{D5CDD505-2E9C-101B-9397-08002B2CF9AE}" pid="8" name="_PreviousAdHocReviewCycleID">
    <vt:i4>1557153746</vt:i4>
  </property>
  <property fmtid="{D5CDD505-2E9C-101B-9397-08002B2CF9AE}" pid="9" name="RecordPoint_WorkflowType">
    <vt:lpwstr>ActiveSubmitStub</vt:lpwstr>
  </property>
  <property fmtid="{D5CDD505-2E9C-101B-9397-08002B2CF9AE}" pid="10" name="RecordPoint_ActiveItemWebId">
    <vt:lpwstr>{2602612e-a30f-4de0-b9eb-e01e73dc8005}</vt:lpwstr>
  </property>
  <property fmtid="{D5CDD505-2E9C-101B-9397-08002B2CF9AE}" pid="11" name="RecordPoint_ActiveItemSiteId">
    <vt:lpwstr>{5b52b9a5-e5b2-4521-8814-a1e24ca2869d}</vt:lpwstr>
  </property>
  <property fmtid="{D5CDD505-2E9C-101B-9397-08002B2CF9AE}" pid="12" name="RecordPoint_ActiveItemListId">
    <vt:lpwstr>{1a010be9-83b3-4740-abb7-452f2d1120fe}</vt:lpwstr>
  </property>
  <property fmtid="{D5CDD505-2E9C-101B-9397-08002B2CF9AE}" pid="13" name="TSYRecordClass">
    <vt:lpwstr>11</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_dlc_DocIdItemGuid">
    <vt:lpwstr>13152ced-5664-4a77-a0ae-031ffbc7301f</vt:lpwstr>
  </property>
  <property fmtid="{D5CDD505-2E9C-101B-9397-08002B2CF9AE}" pid="18" name="RecordPoint_ActiveItemUniqueId">
    <vt:lpwstr>{13152ced-5664-4a77-a0ae-031ffbc7301f}</vt:lpwstr>
  </property>
  <property fmtid="{D5CDD505-2E9C-101B-9397-08002B2CF9AE}" pid="19" name="RecordPoint_RecordNumberSubmitted">
    <vt:lpwstr/>
  </property>
  <property fmtid="{D5CDD505-2E9C-101B-9397-08002B2CF9AE}" pid="20" name="RecordPoint_SubmissionCompleted">
    <vt:lpwstr/>
  </property>
</Properties>
</file>