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E5BDE" w14:textId="77777777" w:rsidR="007A53DD" w:rsidRPr="00AC7962" w:rsidRDefault="002533F0" w:rsidP="002D657C">
      <w:pPr>
        <w:spacing w:before="0" w:after="120"/>
        <w:ind w:right="91"/>
        <w:jc w:val="center"/>
        <w:rPr>
          <w:rFonts w:ascii="Arial" w:hAnsi="Arial" w:cs="Arial"/>
          <w:color w:val="0070C0"/>
          <w:szCs w:val="24"/>
        </w:rPr>
      </w:pPr>
      <w:bookmarkStart w:id="0" w:name="_GoBack"/>
      <w:bookmarkEnd w:id="0"/>
      <w:r w:rsidRPr="00AC7962">
        <w:rPr>
          <w:rFonts w:ascii="Arial" w:hAnsi="Arial" w:cs="Arial"/>
          <w:b/>
          <w:szCs w:val="24"/>
          <w:u w:val="single"/>
        </w:rPr>
        <w:t>EXPLANATORY STATEMENT</w:t>
      </w:r>
      <w:r w:rsidR="00B54C30" w:rsidRPr="00AC7962">
        <w:rPr>
          <w:rFonts w:ascii="Arial" w:hAnsi="Arial" w:cs="Arial"/>
          <w:b/>
          <w:szCs w:val="24"/>
          <w:u w:val="single"/>
        </w:rPr>
        <w:t xml:space="preserve"> </w:t>
      </w:r>
    </w:p>
    <w:p w14:paraId="29A20653" w14:textId="77777777" w:rsidR="00EC0C59" w:rsidRPr="00AC7962" w:rsidRDefault="00EC0C59" w:rsidP="002C2B21">
      <w:pPr>
        <w:spacing w:before="0"/>
        <w:ind w:right="91"/>
        <w:rPr>
          <w:rFonts w:ascii="Arial" w:hAnsi="Arial" w:cs="Arial"/>
          <w:b/>
          <w:szCs w:val="24"/>
          <w:u w:val="single"/>
        </w:rPr>
      </w:pPr>
    </w:p>
    <w:p w14:paraId="47D9791D" w14:textId="77777777" w:rsidR="002D657C" w:rsidRPr="00AC7962" w:rsidRDefault="002D657C" w:rsidP="002D657C">
      <w:pPr>
        <w:spacing w:before="0"/>
        <w:ind w:right="91"/>
        <w:jc w:val="center"/>
        <w:rPr>
          <w:rFonts w:ascii="Arial" w:hAnsi="Arial" w:cs="Arial"/>
          <w:szCs w:val="24"/>
        </w:rPr>
      </w:pPr>
      <w:r w:rsidRPr="00AC7962">
        <w:rPr>
          <w:rFonts w:ascii="Arial" w:hAnsi="Arial" w:cs="Arial"/>
          <w:szCs w:val="24"/>
        </w:rPr>
        <w:t>Issued by the authority of the Secretary of the Department of Social Services</w:t>
      </w:r>
    </w:p>
    <w:p w14:paraId="7D083B01" w14:textId="77777777" w:rsidR="002D657C" w:rsidRPr="00AC7962" w:rsidRDefault="002D657C" w:rsidP="002D657C">
      <w:pPr>
        <w:spacing w:before="0"/>
        <w:ind w:right="91"/>
        <w:jc w:val="center"/>
        <w:rPr>
          <w:rFonts w:ascii="Arial" w:hAnsi="Arial" w:cs="Arial"/>
          <w:i/>
          <w:szCs w:val="24"/>
        </w:rPr>
      </w:pPr>
    </w:p>
    <w:p w14:paraId="3FCC7DAA" w14:textId="77777777" w:rsidR="002D657C" w:rsidRPr="00AC7962" w:rsidRDefault="002D657C" w:rsidP="002D657C">
      <w:pPr>
        <w:spacing w:before="0"/>
        <w:ind w:right="91"/>
        <w:jc w:val="center"/>
        <w:rPr>
          <w:rFonts w:ascii="Arial" w:hAnsi="Arial" w:cs="Arial"/>
          <w:i/>
          <w:szCs w:val="24"/>
        </w:rPr>
      </w:pPr>
      <w:r w:rsidRPr="00AC7962">
        <w:rPr>
          <w:rFonts w:ascii="Arial" w:hAnsi="Arial" w:cs="Arial"/>
          <w:i/>
          <w:szCs w:val="24"/>
        </w:rPr>
        <w:t>Social Security (Administration) Act 1999</w:t>
      </w:r>
    </w:p>
    <w:p w14:paraId="22FDB69B" w14:textId="77777777" w:rsidR="002D657C" w:rsidRPr="00AC7962" w:rsidRDefault="002D657C" w:rsidP="002D657C">
      <w:pPr>
        <w:spacing w:before="0"/>
        <w:ind w:right="91"/>
        <w:jc w:val="center"/>
        <w:rPr>
          <w:rFonts w:ascii="Arial" w:hAnsi="Arial" w:cs="Arial"/>
          <w:i/>
          <w:szCs w:val="24"/>
        </w:rPr>
      </w:pPr>
    </w:p>
    <w:p w14:paraId="7A531599" w14:textId="242107BC" w:rsidR="002D657C" w:rsidRPr="00AC7962" w:rsidRDefault="002D657C" w:rsidP="002D657C">
      <w:pPr>
        <w:spacing w:before="0"/>
        <w:ind w:right="91"/>
        <w:jc w:val="center"/>
        <w:rPr>
          <w:rFonts w:ascii="Arial" w:hAnsi="Arial" w:cs="Arial"/>
          <w:i/>
          <w:szCs w:val="24"/>
        </w:rPr>
      </w:pPr>
      <w:r w:rsidRPr="00AC7962">
        <w:rPr>
          <w:rFonts w:ascii="Arial" w:hAnsi="Arial" w:cs="Arial"/>
          <w:i/>
          <w:szCs w:val="24"/>
        </w:rPr>
        <w:t>Social Security (Administration) (Authorised Certifier) Determination 2019</w:t>
      </w:r>
    </w:p>
    <w:p w14:paraId="60707EBF" w14:textId="77777777" w:rsidR="002533F0" w:rsidRPr="00AC7962" w:rsidRDefault="002533F0" w:rsidP="002533F0">
      <w:pPr>
        <w:spacing w:before="0"/>
        <w:ind w:right="91"/>
        <w:jc w:val="center"/>
        <w:rPr>
          <w:rFonts w:ascii="Arial" w:hAnsi="Arial" w:cs="Arial"/>
          <w:i/>
          <w:szCs w:val="24"/>
        </w:rPr>
      </w:pPr>
    </w:p>
    <w:p w14:paraId="56BB6271" w14:textId="77777777" w:rsidR="002533F0" w:rsidRPr="00AC7962" w:rsidRDefault="0083135C" w:rsidP="002533F0">
      <w:pPr>
        <w:spacing w:before="0"/>
        <w:ind w:right="91"/>
        <w:rPr>
          <w:rFonts w:ascii="Arial" w:hAnsi="Arial" w:cs="Arial"/>
          <w:b/>
          <w:szCs w:val="24"/>
        </w:rPr>
      </w:pPr>
      <w:r w:rsidRPr="00AC7962">
        <w:rPr>
          <w:rFonts w:ascii="Arial" w:hAnsi="Arial" w:cs="Arial"/>
          <w:b/>
          <w:szCs w:val="24"/>
        </w:rPr>
        <w:t>Purpose</w:t>
      </w:r>
    </w:p>
    <w:p w14:paraId="6DBC68F5" w14:textId="22328C31" w:rsidR="00F905CB" w:rsidRPr="00AC7962" w:rsidRDefault="002D657C" w:rsidP="00306A3C">
      <w:pPr>
        <w:jc w:val="both"/>
        <w:rPr>
          <w:rFonts w:ascii="Arial" w:hAnsi="Arial" w:cs="Arial"/>
          <w:szCs w:val="24"/>
        </w:rPr>
      </w:pPr>
      <w:r w:rsidRPr="00AC7962">
        <w:rPr>
          <w:rFonts w:ascii="Arial" w:hAnsi="Arial" w:cs="Arial"/>
          <w:szCs w:val="24"/>
        </w:rPr>
        <w:t xml:space="preserve">The </w:t>
      </w:r>
      <w:r w:rsidRPr="00AC7962">
        <w:rPr>
          <w:rFonts w:ascii="Arial" w:hAnsi="Arial" w:cs="Arial"/>
          <w:i/>
          <w:szCs w:val="24"/>
        </w:rPr>
        <w:t>Social Security (Administration) (Authorised Certifier) Determination 2019</w:t>
      </w:r>
      <w:r w:rsidR="00BB0E5D" w:rsidRPr="00AC7962">
        <w:rPr>
          <w:rFonts w:ascii="Arial" w:hAnsi="Arial" w:cs="Arial"/>
          <w:szCs w:val="24"/>
        </w:rPr>
        <w:t xml:space="preserve"> (</w:t>
      </w:r>
      <w:r w:rsidR="00537321" w:rsidRPr="00AC7962">
        <w:rPr>
          <w:rFonts w:ascii="Arial" w:hAnsi="Arial" w:cs="Arial"/>
          <w:szCs w:val="24"/>
        </w:rPr>
        <w:t xml:space="preserve">the </w:t>
      </w:r>
      <w:r w:rsidR="00537321" w:rsidRPr="00AC7962">
        <w:rPr>
          <w:rFonts w:ascii="Arial" w:hAnsi="Arial" w:cs="Arial"/>
          <w:b/>
          <w:szCs w:val="24"/>
        </w:rPr>
        <w:t>instrument</w:t>
      </w:r>
      <w:r w:rsidRPr="00AC7962">
        <w:rPr>
          <w:rFonts w:ascii="Arial" w:hAnsi="Arial" w:cs="Arial"/>
          <w:szCs w:val="24"/>
        </w:rPr>
        <w:t xml:space="preserve">) is made under subsection 63A(9) of the </w:t>
      </w:r>
      <w:r w:rsidRPr="00AC7962">
        <w:rPr>
          <w:rFonts w:ascii="Arial" w:hAnsi="Arial" w:cs="Arial"/>
          <w:i/>
          <w:szCs w:val="24"/>
        </w:rPr>
        <w:t xml:space="preserve">Social Security (Administration) Act 1999 </w:t>
      </w:r>
      <w:r w:rsidR="00BB0E5D" w:rsidRPr="00AC7962">
        <w:rPr>
          <w:rFonts w:ascii="Arial" w:hAnsi="Arial" w:cs="Arial"/>
          <w:szCs w:val="24"/>
        </w:rPr>
        <w:t>(</w:t>
      </w:r>
      <w:r w:rsidRPr="00AC7962">
        <w:rPr>
          <w:rFonts w:ascii="Arial" w:hAnsi="Arial" w:cs="Arial"/>
          <w:b/>
          <w:szCs w:val="24"/>
        </w:rPr>
        <w:t>Act</w:t>
      </w:r>
      <w:r w:rsidRPr="00AC7962">
        <w:rPr>
          <w:rFonts w:ascii="Arial" w:hAnsi="Arial" w:cs="Arial"/>
          <w:szCs w:val="24"/>
        </w:rPr>
        <w:t xml:space="preserve">). </w:t>
      </w:r>
    </w:p>
    <w:p w14:paraId="70136C06" w14:textId="148F50F2" w:rsidR="00BB0E5D" w:rsidRPr="00AC7962" w:rsidRDefault="00F905CB" w:rsidP="00306A3C">
      <w:pPr>
        <w:jc w:val="both"/>
        <w:rPr>
          <w:rFonts w:ascii="Arial" w:hAnsi="Arial" w:cs="Arial"/>
          <w:szCs w:val="24"/>
        </w:rPr>
      </w:pPr>
      <w:r w:rsidRPr="00AC7962">
        <w:rPr>
          <w:rFonts w:ascii="Arial" w:hAnsi="Arial" w:cs="Arial"/>
          <w:szCs w:val="24"/>
        </w:rPr>
        <w:t>S</w:t>
      </w:r>
      <w:r w:rsidR="00F114B5" w:rsidRPr="00AC7962">
        <w:rPr>
          <w:rFonts w:ascii="Arial" w:hAnsi="Arial" w:cs="Arial"/>
          <w:szCs w:val="24"/>
        </w:rPr>
        <w:t>ub</w:t>
      </w:r>
      <w:r w:rsidR="006D2E5B" w:rsidRPr="00AC7962">
        <w:rPr>
          <w:rFonts w:ascii="Arial" w:hAnsi="Arial" w:cs="Arial"/>
          <w:szCs w:val="24"/>
        </w:rPr>
        <w:t>s</w:t>
      </w:r>
      <w:r w:rsidRPr="00AC7962">
        <w:rPr>
          <w:rFonts w:ascii="Arial" w:hAnsi="Arial" w:cs="Arial"/>
          <w:szCs w:val="24"/>
        </w:rPr>
        <w:t>ection</w:t>
      </w:r>
      <w:r w:rsidR="00F114B5" w:rsidRPr="00AC7962">
        <w:rPr>
          <w:rFonts w:ascii="Arial" w:hAnsi="Arial" w:cs="Arial"/>
          <w:szCs w:val="24"/>
        </w:rPr>
        <w:t>s</w:t>
      </w:r>
      <w:r w:rsidRPr="00AC7962">
        <w:rPr>
          <w:rFonts w:ascii="Arial" w:hAnsi="Arial" w:cs="Arial"/>
          <w:szCs w:val="24"/>
        </w:rPr>
        <w:t xml:space="preserve"> 63(2AA)</w:t>
      </w:r>
      <w:r w:rsidR="00F2064F" w:rsidRPr="00AC7962">
        <w:rPr>
          <w:rFonts w:ascii="Arial" w:hAnsi="Arial" w:cs="Arial"/>
          <w:szCs w:val="24"/>
        </w:rPr>
        <w:t xml:space="preserve">, (2AB) and </w:t>
      </w:r>
      <w:r w:rsidRPr="00AC7962">
        <w:rPr>
          <w:rFonts w:ascii="Arial" w:hAnsi="Arial" w:cs="Arial"/>
          <w:szCs w:val="24"/>
        </w:rPr>
        <w:t xml:space="preserve">(2AC) of the Act </w:t>
      </w:r>
      <w:r w:rsidR="00DC62D2" w:rsidRPr="00AC7962">
        <w:rPr>
          <w:rFonts w:ascii="Arial" w:hAnsi="Arial" w:cs="Arial"/>
          <w:szCs w:val="24"/>
        </w:rPr>
        <w:t>allow</w:t>
      </w:r>
      <w:r w:rsidRPr="00AC7962">
        <w:rPr>
          <w:rFonts w:ascii="Arial" w:hAnsi="Arial" w:cs="Arial"/>
          <w:szCs w:val="24"/>
        </w:rPr>
        <w:t xml:space="preserve"> the Secretary to require a person to provide a proof of life certificate under certain circumstances. </w:t>
      </w:r>
      <w:r w:rsidR="00747C6D" w:rsidRPr="00AC7962">
        <w:rPr>
          <w:rFonts w:ascii="Arial" w:hAnsi="Arial" w:cs="Arial"/>
          <w:szCs w:val="24"/>
        </w:rPr>
        <w:t xml:space="preserve"> </w:t>
      </w:r>
      <w:r w:rsidRPr="00AC7962">
        <w:rPr>
          <w:rFonts w:ascii="Arial" w:hAnsi="Arial" w:cs="Arial"/>
          <w:szCs w:val="24"/>
        </w:rPr>
        <w:t>Section 63A of the Act outlines the requirements for a valid proof of life certificate, including that the certificat</w:t>
      </w:r>
      <w:r w:rsidR="00BB0E5D" w:rsidRPr="00AC7962">
        <w:rPr>
          <w:rFonts w:ascii="Arial" w:hAnsi="Arial" w:cs="Arial"/>
          <w:szCs w:val="24"/>
        </w:rPr>
        <w:t xml:space="preserve">e must include a statement by an authorised certifier. </w:t>
      </w:r>
    </w:p>
    <w:p w14:paraId="3424071C" w14:textId="01C3BC2E" w:rsidR="00F905CB" w:rsidRPr="00AC7962" w:rsidRDefault="00BB0E5D" w:rsidP="00306A3C">
      <w:pPr>
        <w:jc w:val="both"/>
        <w:rPr>
          <w:rFonts w:ascii="Arial" w:hAnsi="Arial" w:cs="Arial"/>
          <w:szCs w:val="24"/>
        </w:rPr>
      </w:pPr>
      <w:r w:rsidRPr="00AC7962">
        <w:rPr>
          <w:rFonts w:ascii="Arial" w:hAnsi="Arial" w:cs="Arial"/>
          <w:szCs w:val="24"/>
        </w:rPr>
        <w:t xml:space="preserve">This </w:t>
      </w:r>
      <w:r w:rsidR="00537321" w:rsidRPr="00AC7962">
        <w:rPr>
          <w:rFonts w:ascii="Arial" w:hAnsi="Arial" w:cs="Arial"/>
          <w:szCs w:val="24"/>
        </w:rPr>
        <w:t xml:space="preserve">instrument </w:t>
      </w:r>
      <w:r w:rsidRPr="00AC7962">
        <w:rPr>
          <w:rFonts w:ascii="Arial" w:hAnsi="Arial" w:cs="Arial"/>
          <w:szCs w:val="24"/>
        </w:rPr>
        <w:t xml:space="preserve">specifies the classes of person that are authorised certifiers </w:t>
      </w:r>
      <w:r w:rsidR="00747C6D" w:rsidRPr="00AC7962">
        <w:rPr>
          <w:rFonts w:ascii="Arial" w:hAnsi="Arial" w:cs="Arial"/>
          <w:szCs w:val="24"/>
        </w:rPr>
        <w:t xml:space="preserve">for the purposes of </w:t>
      </w:r>
      <w:r w:rsidR="006461FB" w:rsidRPr="00AC7962">
        <w:rPr>
          <w:rFonts w:ascii="Arial" w:hAnsi="Arial" w:cs="Arial"/>
          <w:szCs w:val="24"/>
        </w:rPr>
        <w:t>verifying</w:t>
      </w:r>
      <w:r w:rsidR="00747C6D" w:rsidRPr="00AC7962">
        <w:rPr>
          <w:rFonts w:ascii="Arial" w:hAnsi="Arial" w:cs="Arial"/>
          <w:szCs w:val="24"/>
        </w:rPr>
        <w:t xml:space="preserve"> that the social security recipient is alive </w:t>
      </w:r>
      <w:r w:rsidR="006461FB" w:rsidRPr="00AC7962">
        <w:rPr>
          <w:rFonts w:ascii="Arial" w:hAnsi="Arial" w:cs="Arial"/>
          <w:szCs w:val="24"/>
        </w:rPr>
        <w:t>through</w:t>
      </w:r>
      <w:r w:rsidR="00747C6D" w:rsidRPr="00AC7962">
        <w:rPr>
          <w:rFonts w:ascii="Arial" w:hAnsi="Arial" w:cs="Arial"/>
          <w:szCs w:val="24"/>
        </w:rPr>
        <w:t xml:space="preserve"> the </w:t>
      </w:r>
      <w:r w:rsidRPr="00AC7962">
        <w:rPr>
          <w:rFonts w:ascii="Arial" w:hAnsi="Arial" w:cs="Arial"/>
          <w:szCs w:val="24"/>
        </w:rPr>
        <w:t xml:space="preserve">proof of life certificate </w:t>
      </w:r>
      <w:r w:rsidR="006461FB" w:rsidRPr="00AC7962">
        <w:rPr>
          <w:rFonts w:ascii="Arial" w:hAnsi="Arial" w:cs="Arial"/>
          <w:szCs w:val="24"/>
        </w:rPr>
        <w:t xml:space="preserve">provided </w:t>
      </w:r>
      <w:r w:rsidR="00747C6D" w:rsidRPr="00AC7962">
        <w:rPr>
          <w:rFonts w:ascii="Arial" w:hAnsi="Arial" w:cs="Arial"/>
          <w:szCs w:val="24"/>
        </w:rPr>
        <w:t>under</w:t>
      </w:r>
      <w:r w:rsidR="00F114B5" w:rsidRPr="00AC7962">
        <w:rPr>
          <w:rFonts w:ascii="Arial" w:hAnsi="Arial" w:cs="Arial"/>
          <w:szCs w:val="24"/>
        </w:rPr>
        <w:t xml:space="preserve"> s</w:t>
      </w:r>
      <w:r w:rsidRPr="00AC7962">
        <w:rPr>
          <w:rFonts w:ascii="Arial" w:hAnsi="Arial" w:cs="Arial"/>
          <w:szCs w:val="24"/>
        </w:rPr>
        <w:t>ection 63A of the Act.</w:t>
      </w:r>
    </w:p>
    <w:p w14:paraId="65318A6C" w14:textId="77777777" w:rsidR="0015134A" w:rsidRPr="00AC7962" w:rsidRDefault="0015134A" w:rsidP="004B54CA">
      <w:pPr>
        <w:rPr>
          <w:rStyle w:val="BookTitle"/>
          <w:rFonts w:ascii="Arial" w:hAnsi="Arial" w:cs="Arial"/>
          <w:b/>
          <w:i w:val="0"/>
          <w:iCs w:val="0"/>
          <w:smallCaps w:val="0"/>
          <w:spacing w:val="0"/>
          <w:szCs w:val="24"/>
        </w:rPr>
      </w:pPr>
      <w:r w:rsidRPr="00AC7962">
        <w:rPr>
          <w:rStyle w:val="BookTitle"/>
          <w:rFonts w:ascii="Arial" w:hAnsi="Arial" w:cs="Arial"/>
          <w:b/>
          <w:i w:val="0"/>
          <w:iCs w:val="0"/>
          <w:smallCaps w:val="0"/>
          <w:spacing w:val="0"/>
          <w:szCs w:val="24"/>
        </w:rPr>
        <w:t>Background</w:t>
      </w:r>
    </w:p>
    <w:p w14:paraId="12C71647" w14:textId="57527B8C" w:rsidR="0085092F" w:rsidRPr="00AC7962" w:rsidRDefault="002D657C" w:rsidP="00306A3C">
      <w:pPr>
        <w:jc w:val="both"/>
        <w:rPr>
          <w:rFonts w:ascii="Arial" w:hAnsi="Arial" w:cs="Arial"/>
          <w:szCs w:val="24"/>
        </w:rPr>
      </w:pPr>
      <w:r w:rsidRPr="00AC7962">
        <w:rPr>
          <w:rFonts w:ascii="Arial" w:hAnsi="Arial" w:cs="Arial"/>
          <w:szCs w:val="24"/>
        </w:rPr>
        <w:t xml:space="preserve">The </w:t>
      </w:r>
      <w:r w:rsidRPr="00AC7962">
        <w:rPr>
          <w:rFonts w:ascii="Arial" w:hAnsi="Arial" w:cs="Arial"/>
          <w:i/>
          <w:szCs w:val="24"/>
        </w:rPr>
        <w:t xml:space="preserve">Social Services Legislation Amendment (Overseas Welfare Recipients Integrity Program) Act 2019 </w:t>
      </w:r>
      <w:r w:rsidRPr="00AC7962">
        <w:rPr>
          <w:rFonts w:ascii="Arial" w:hAnsi="Arial" w:cs="Arial"/>
          <w:szCs w:val="24"/>
        </w:rPr>
        <w:t>(</w:t>
      </w:r>
      <w:r w:rsidR="009133E4" w:rsidRPr="00AC7962">
        <w:rPr>
          <w:rFonts w:ascii="Arial" w:hAnsi="Arial" w:cs="Arial"/>
          <w:szCs w:val="24"/>
        </w:rPr>
        <w:t xml:space="preserve">the </w:t>
      </w:r>
      <w:r w:rsidR="000213BB" w:rsidRPr="00AC7962">
        <w:rPr>
          <w:rFonts w:ascii="Arial" w:hAnsi="Arial" w:cs="Arial"/>
          <w:b/>
          <w:szCs w:val="24"/>
        </w:rPr>
        <w:t>Amendment</w:t>
      </w:r>
      <w:r w:rsidRPr="00AC7962">
        <w:rPr>
          <w:rFonts w:ascii="Arial" w:hAnsi="Arial" w:cs="Arial"/>
          <w:b/>
          <w:szCs w:val="24"/>
        </w:rPr>
        <w:t xml:space="preserve"> Act</w:t>
      </w:r>
      <w:r w:rsidRPr="00AC7962">
        <w:rPr>
          <w:rFonts w:ascii="Arial" w:hAnsi="Arial" w:cs="Arial"/>
          <w:szCs w:val="24"/>
        </w:rPr>
        <w:t xml:space="preserve">) </w:t>
      </w:r>
      <w:r w:rsidR="006A33F4" w:rsidRPr="00AC7962">
        <w:rPr>
          <w:rFonts w:ascii="Arial" w:hAnsi="Arial" w:cs="Arial"/>
          <w:szCs w:val="24"/>
        </w:rPr>
        <w:t>amend</w:t>
      </w:r>
      <w:r w:rsidR="00747C6D" w:rsidRPr="00AC7962">
        <w:rPr>
          <w:rFonts w:ascii="Arial" w:hAnsi="Arial" w:cs="Arial"/>
          <w:szCs w:val="24"/>
        </w:rPr>
        <w:t>s</w:t>
      </w:r>
      <w:r w:rsidR="000213BB" w:rsidRPr="00AC7962">
        <w:rPr>
          <w:rFonts w:ascii="Arial" w:hAnsi="Arial" w:cs="Arial"/>
          <w:szCs w:val="24"/>
        </w:rPr>
        <w:t xml:space="preserve"> the Act by introducing a requirement for certain welfare re</w:t>
      </w:r>
      <w:r w:rsidR="00DB2233" w:rsidRPr="00AC7962">
        <w:rPr>
          <w:rFonts w:ascii="Arial" w:hAnsi="Arial" w:cs="Arial"/>
          <w:szCs w:val="24"/>
        </w:rPr>
        <w:t>cipients aged 80 years and over,</w:t>
      </w:r>
      <w:r w:rsidR="000213BB" w:rsidRPr="00AC7962">
        <w:rPr>
          <w:rFonts w:ascii="Arial" w:hAnsi="Arial" w:cs="Arial"/>
          <w:szCs w:val="24"/>
        </w:rPr>
        <w:t xml:space="preserve"> who have been absent from A</w:t>
      </w:r>
      <w:r w:rsidR="00DB2233" w:rsidRPr="00AC7962">
        <w:rPr>
          <w:rFonts w:ascii="Arial" w:hAnsi="Arial" w:cs="Arial"/>
          <w:szCs w:val="24"/>
        </w:rPr>
        <w:t>ustralia for at least two years,</w:t>
      </w:r>
      <w:r w:rsidR="000213BB" w:rsidRPr="00AC7962">
        <w:rPr>
          <w:rFonts w:ascii="Arial" w:hAnsi="Arial" w:cs="Arial"/>
          <w:szCs w:val="24"/>
        </w:rPr>
        <w:t xml:space="preserve"> to provide a proof of life certificate at least once every two years in accordance with a notice sent by the Secretary.</w:t>
      </w:r>
      <w:r w:rsidR="00747C6D" w:rsidRPr="00AC7962">
        <w:rPr>
          <w:rFonts w:ascii="Arial" w:hAnsi="Arial" w:cs="Arial"/>
          <w:szCs w:val="24"/>
        </w:rPr>
        <w:t xml:space="preserve"> </w:t>
      </w:r>
      <w:r w:rsidR="000213BB" w:rsidRPr="00AC7962">
        <w:rPr>
          <w:rFonts w:ascii="Arial" w:hAnsi="Arial" w:cs="Arial"/>
          <w:szCs w:val="24"/>
        </w:rPr>
        <w:t xml:space="preserve"> </w:t>
      </w:r>
      <w:r w:rsidR="002D78B3" w:rsidRPr="00AC7962">
        <w:rPr>
          <w:rFonts w:ascii="Arial" w:hAnsi="Arial" w:cs="Arial"/>
          <w:szCs w:val="24"/>
        </w:rPr>
        <w:t>The majority of social security recipients affected by this new requirement receive Age Pension.</w:t>
      </w:r>
      <w:r w:rsidR="0085092F" w:rsidRPr="00AC7962">
        <w:rPr>
          <w:rFonts w:ascii="Arial" w:hAnsi="Arial" w:cs="Arial"/>
          <w:szCs w:val="24"/>
        </w:rPr>
        <w:t xml:space="preserve"> </w:t>
      </w:r>
      <w:r w:rsidR="00747C6D" w:rsidRPr="00AC7962">
        <w:rPr>
          <w:rFonts w:ascii="Arial" w:hAnsi="Arial" w:cs="Arial"/>
          <w:szCs w:val="24"/>
        </w:rPr>
        <w:t xml:space="preserve"> </w:t>
      </w:r>
      <w:r w:rsidR="000213BB" w:rsidRPr="00AC7962">
        <w:rPr>
          <w:rFonts w:ascii="Arial" w:hAnsi="Arial" w:cs="Arial"/>
          <w:szCs w:val="24"/>
        </w:rPr>
        <w:t xml:space="preserve">The policy intent behind the Amendment Act </w:t>
      </w:r>
      <w:r w:rsidR="006A33F4" w:rsidRPr="00AC7962">
        <w:rPr>
          <w:rFonts w:ascii="Arial" w:hAnsi="Arial" w:cs="Arial"/>
          <w:szCs w:val="24"/>
        </w:rPr>
        <w:t>i</w:t>
      </w:r>
      <w:r w:rsidR="000213BB" w:rsidRPr="00AC7962">
        <w:rPr>
          <w:rFonts w:ascii="Arial" w:hAnsi="Arial" w:cs="Arial"/>
          <w:szCs w:val="24"/>
        </w:rPr>
        <w:t xml:space="preserve">s to ensure that Services Australia (formerly the Department of Human Services) does not continue to provide social security payments to </w:t>
      </w:r>
      <w:r w:rsidR="002D78B3" w:rsidRPr="00AC7962">
        <w:rPr>
          <w:rFonts w:ascii="Arial" w:hAnsi="Arial" w:cs="Arial"/>
          <w:szCs w:val="24"/>
        </w:rPr>
        <w:t>pension recipients</w:t>
      </w:r>
      <w:r w:rsidR="000213BB" w:rsidRPr="00AC7962">
        <w:rPr>
          <w:rFonts w:ascii="Arial" w:hAnsi="Arial" w:cs="Arial"/>
          <w:szCs w:val="24"/>
        </w:rPr>
        <w:t xml:space="preserve"> </w:t>
      </w:r>
      <w:r w:rsidR="00434B7F" w:rsidRPr="00AC7962">
        <w:rPr>
          <w:rFonts w:ascii="Arial" w:hAnsi="Arial" w:cs="Arial"/>
          <w:szCs w:val="24"/>
        </w:rPr>
        <w:t xml:space="preserve">who </w:t>
      </w:r>
      <w:r w:rsidR="000213BB" w:rsidRPr="00AC7962">
        <w:rPr>
          <w:rFonts w:ascii="Arial" w:hAnsi="Arial" w:cs="Arial"/>
          <w:szCs w:val="24"/>
        </w:rPr>
        <w:t xml:space="preserve">have died </w:t>
      </w:r>
      <w:r w:rsidR="006461FB" w:rsidRPr="00AC7962">
        <w:rPr>
          <w:rFonts w:ascii="Arial" w:hAnsi="Arial" w:cs="Arial"/>
          <w:szCs w:val="24"/>
        </w:rPr>
        <w:t xml:space="preserve">while living </w:t>
      </w:r>
      <w:r w:rsidR="000213BB" w:rsidRPr="00AC7962">
        <w:rPr>
          <w:rFonts w:ascii="Arial" w:hAnsi="Arial" w:cs="Arial"/>
          <w:szCs w:val="24"/>
        </w:rPr>
        <w:t xml:space="preserve">overseas.  </w:t>
      </w:r>
    </w:p>
    <w:p w14:paraId="7F83E497" w14:textId="25717CE2" w:rsidR="000213BB" w:rsidRPr="00AC7962" w:rsidRDefault="00436A3E" w:rsidP="00306A3C">
      <w:pPr>
        <w:jc w:val="both"/>
        <w:rPr>
          <w:rFonts w:ascii="Arial" w:hAnsi="Arial" w:cs="Arial"/>
          <w:szCs w:val="24"/>
        </w:rPr>
      </w:pPr>
      <w:r w:rsidRPr="00AC7962">
        <w:rPr>
          <w:rFonts w:ascii="Arial" w:hAnsi="Arial" w:cs="Arial"/>
          <w:i/>
          <w:szCs w:val="24"/>
        </w:rPr>
        <w:t>Proof of life certificates</w:t>
      </w:r>
    </w:p>
    <w:p w14:paraId="630832E5" w14:textId="3C8DC480" w:rsidR="00EA0FE3" w:rsidRPr="00AC7962" w:rsidRDefault="00434B7F" w:rsidP="00306A3C">
      <w:pPr>
        <w:jc w:val="both"/>
        <w:rPr>
          <w:rFonts w:ascii="Arial" w:hAnsi="Arial" w:cs="Arial"/>
          <w:szCs w:val="24"/>
        </w:rPr>
      </w:pPr>
      <w:r w:rsidRPr="00AC7962">
        <w:rPr>
          <w:rFonts w:ascii="Arial" w:hAnsi="Arial" w:cs="Arial"/>
          <w:szCs w:val="24"/>
        </w:rPr>
        <w:t>S</w:t>
      </w:r>
      <w:r w:rsidR="006461FB" w:rsidRPr="00AC7962">
        <w:rPr>
          <w:rFonts w:ascii="Arial" w:hAnsi="Arial" w:cs="Arial"/>
          <w:szCs w:val="24"/>
        </w:rPr>
        <w:t>ubs</w:t>
      </w:r>
      <w:r w:rsidRPr="00AC7962">
        <w:rPr>
          <w:rFonts w:ascii="Arial" w:hAnsi="Arial" w:cs="Arial"/>
          <w:szCs w:val="24"/>
        </w:rPr>
        <w:t>ection</w:t>
      </w:r>
      <w:r w:rsidR="006461FB" w:rsidRPr="00AC7962">
        <w:rPr>
          <w:rFonts w:ascii="Arial" w:hAnsi="Arial" w:cs="Arial"/>
          <w:szCs w:val="24"/>
        </w:rPr>
        <w:t>s</w:t>
      </w:r>
      <w:r w:rsidRPr="00AC7962">
        <w:rPr>
          <w:rFonts w:ascii="Arial" w:hAnsi="Arial" w:cs="Arial"/>
          <w:szCs w:val="24"/>
        </w:rPr>
        <w:t xml:space="preserve"> 63(2AA)</w:t>
      </w:r>
      <w:r w:rsidR="00F2064F" w:rsidRPr="00AC7962">
        <w:rPr>
          <w:rFonts w:ascii="Arial" w:hAnsi="Arial" w:cs="Arial"/>
          <w:szCs w:val="24"/>
        </w:rPr>
        <w:t>, (2AB) and</w:t>
      </w:r>
      <w:r w:rsidRPr="00AC7962">
        <w:rPr>
          <w:rFonts w:ascii="Arial" w:hAnsi="Arial" w:cs="Arial"/>
          <w:szCs w:val="24"/>
        </w:rPr>
        <w:t xml:space="preserve"> (2AC) of the Act </w:t>
      </w:r>
      <w:r w:rsidR="006461FB" w:rsidRPr="00AC7962">
        <w:rPr>
          <w:rFonts w:ascii="Arial" w:hAnsi="Arial" w:cs="Arial"/>
          <w:szCs w:val="24"/>
        </w:rPr>
        <w:t>set</w:t>
      </w:r>
      <w:r w:rsidRPr="00AC7962">
        <w:rPr>
          <w:rFonts w:ascii="Arial" w:hAnsi="Arial" w:cs="Arial"/>
          <w:szCs w:val="24"/>
        </w:rPr>
        <w:t xml:space="preserve"> out the </w:t>
      </w:r>
      <w:r w:rsidR="00AC7F22" w:rsidRPr="00AC7962">
        <w:rPr>
          <w:rFonts w:ascii="Arial" w:hAnsi="Arial" w:cs="Arial"/>
          <w:szCs w:val="24"/>
        </w:rPr>
        <w:t>circumstances under</w:t>
      </w:r>
      <w:r w:rsidRPr="00AC7962">
        <w:rPr>
          <w:rFonts w:ascii="Arial" w:hAnsi="Arial" w:cs="Arial"/>
          <w:szCs w:val="24"/>
        </w:rPr>
        <w:t xml:space="preserve"> which proof of li</w:t>
      </w:r>
      <w:r w:rsidR="00AC7F22" w:rsidRPr="00AC7962">
        <w:rPr>
          <w:rFonts w:ascii="Arial" w:hAnsi="Arial" w:cs="Arial"/>
          <w:szCs w:val="24"/>
        </w:rPr>
        <w:t>f</w:t>
      </w:r>
      <w:r w:rsidRPr="00AC7962">
        <w:rPr>
          <w:rFonts w:ascii="Arial" w:hAnsi="Arial" w:cs="Arial"/>
          <w:szCs w:val="24"/>
        </w:rPr>
        <w:t>e certificates are to be given to t</w:t>
      </w:r>
      <w:r w:rsidR="00DC62D2" w:rsidRPr="00AC7962">
        <w:rPr>
          <w:rFonts w:ascii="Arial" w:hAnsi="Arial" w:cs="Arial"/>
          <w:szCs w:val="24"/>
        </w:rPr>
        <w:t>he</w:t>
      </w:r>
      <w:r w:rsidR="00436A3E" w:rsidRPr="00AC7962">
        <w:rPr>
          <w:rFonts w:ascii="Arial" w:hAnsi="Arial" w:cs="Arial"/>
          <w:szCs w:val="24"/>
        </w:rPr>
        <w:t xml:space="preserve"> Secretary</w:t>
      </w:r>
      <w:r w:rsidRPr="00AC7962">
        <w:rPr>
          <w:rFonts w:ascii="Arial" w:hAnsi="Arial" w:cs="Arial"/>
          <w:szCs w:val="24"/>
        </w:rPr>
        <w:t xml:space="preserve">. </w:t>
      </w:r>
      <w:r w:rsidR="00DC62D2" w:rsidRPr="00AC7962">
        <w:rPr>
          <w:rFonts w:ascii="Arial" w:hAnsi="Arial" w:cs="Arial"/>
          <w:szCs w:val="24"/>
        </w:rPr>
        <w:t xml:space="preserve"> </w:t>
      </w:r>
    </w:p>
    <w:p w14:paraId="06A8A456" w14:textId="6C038D07" w:rsidR="00EA0FE3" w:rsidRPr="00AC7962" w:rsidRDefault="00EA0FE3" w:rsidP="00EA0FE3">
      <w:p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 xml:space="preserve">Subsection 63(2AA) </w:t>
      </w:r>
      <w:r w:rsidR="005071F0" w:rsidRPr="00AC7962">
        <w:rPr>
          <w:rStyle w:val="BookTitle"/>
          <w:rFonts w:ascii="Arial" w:hAnsi="Arial" w:cs="Arial"/>
          <w:i w:val="0"/>
          <w:iCs w:val="0"/>
          <w:smallCaps w:val="0"/>
          <w:spacing w:val="0"/>
          <w:szCs w:val="24"/>
        </w:rPr>
        <w:t xml:space="preserve">of the Act </w:t>
      </w:r>
      <w:r w:rsidRPr="00AC7962">
        <w:rPr>
          <w:rStyle w:val="BookTitle"/>
          <w:rFonts w:ascii="Arial" w:hAnsi="Arial" w:cs="Arial"/>
          <w:i w:val="0"/>
          <w:iCs w:val="0"/>
          <w:smallCaps w:val="0"/>
          <w:spacing w:val="0"/>
          <w:szCs w:val="24"/>
        </w:rPr>
        <w:t xml:space="preserve">states that the Secretary may require a person to provide a proof of life certificate if that person is at least 80 years old, has been continuously absent from Australia in the last 2 years, and is receiving any of the following social security payments: </w:t>
      </w:r>
    </w:p>
    <w:p w14:paraId="0EB535D0" w14:textId="6209EE4B" w:rsidR="00EA0FE3" w:rsidRPr="00AC7962" w:rsidRDefault="00EA0FE3" w:rsidP="00EA0FE3">
      <w:pPr>
        <w:pStyle w:val="ListParagraph"/>
        <w:numPr>
          <w:ilvl w:val="0"/>
          <w:numId w:val="19"/>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Age Pension</w:t>
      </w:r>
      <w:r w:rsidR="00513504" w:rsidRPr="00AC7962">
        <w:rPr>
          <w:rStyle w:val="BookTitle"/>
          <w:rFonts w:ascii="Arial" w:hAnsi="Arial" w:cs="Arial"/>
          <w:i w:val="0"/>
          <w:iCs w:val="0"/>
          <w:smallCaps w:val="0"/>
          <w:spacing w:val="0"/>
          <w:szCs w:val="24"/>
        </w:rPr>
        <w:t>;</w:t>
      </w:r>
    </w:p>
    <w:p w14:paraId="58DE1360" w14:textId="3207AEF4" w:rsidR="00EA0FE3" w:rsidRPr="00AC7962" w:rsidRDefault="00EA0FE3" w:rsidP="00EA0FE3">
      <w:pPr>
        <w:pStyle w:val="ListParagraph"/>
        <w:numPr>
          <w:ilvl w:val="0"/>
          <w:numId w:val="19"/>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Carer Payment</w:t>
      </w:r>
      <w:r w:rsidR="00513504" w:rsidRPr="00AC7962">
        <w:rPr>
          <w:rStyle w:val="BookTitle"/>
          <w:rFonts w:ascii="Arial" w:hAnsi="Arial" w:cs="Arial"/>
          <w:i w:val="0"/>
          <w:iCs w:val="0"/>
          <w:smallCaps w:val="0"/>
          <w:spacing w:val="0"/>
          <w:szCs w:val="24"/>
        </w:rPr>
        <w:t>;</w:t>
      </w:r>
    </w:p>
    <w:p w14:paraId="5A9A2729" w14:textId="6BCF9C35" w:rsidR="00EA0FE3" w:rsidRPr="00AC7962" w:rsidRDefault="00EA0FE3" w:rsidP="00EA0FE3">
      <w:pPr>
        <w:pStyle w:val="ListParagraph"/>
        <w:numPr>
          <w:ilvl w:val="0"/>
          <w:numId w:val="19"/>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Disability Support Pension</w:t>
      </w:r>
      <w:r w:rsidR="00513504" w:rsidRPr="00AC7962">
        <w:rPr>
          <w:rStyle w:val="BookTitle"/>
          <w:rFonts w:ascii="Arial" w:hAnsi="Arial" w:cs="Arial"/>
          <w:i w:val="0"/>
          <w:iCs w:val="0"/>
          <w:smallCaps w:val="0"/>
          <w:spacing w:val="0"/>
          <w:szCs w:val="24"/>
        </w:rPr>
        <w:t>;</w:t>
      </w:r>
    </w:p>
    <w:p w14:paraId="66DD2F34" w14:textId="16A887BB" w:rsidR="00EA0FE3" w:rsidRPr="00AC7962" w:rsidRDefault="00EA0FE3" w:rsidP="00EA0FE3">
      <w:pPr>
        <w:pStyle w:val="ListParagraph"/>
        <w:numPr>
          <w:ilvl w:val="0"/>
          <w:numId w:val="19"/>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Widow B Pension</w:t>
      </w:r>
      <w:r w:rsidR="00513504" w:rsidRPr="00AC7962">
        <w:rPr>
          <w:rStyle w:val="BookTitle"/>
          <w:rFonts w:ascii="Arial" w:hAnsi="Arial" w:cs="Arial"/>
          <w:i w:val="0"/>
          <w:iCs w:val="0"/>
          <w:smallCaps w:val="0"/>
          <w:spacing w:val="0"/>
          <w:szCs w:val="24"/>
        </w:rPr>
        <w:t>;</w:t>
      </w:r>
      <w:r w:rsidRPr="00AC7962">
        <w:rPr>
          <w:rStyle w:val="BookTitle"/>
          <w:rFonts w:ascii="Arial" w:hAnsi="Arial" w:cs="Arial"/>
          <w:i w:val="0"/>
          <w:iCs w:val="0"/>
          <w:smallCaps w:val="0"/>
          <w:spacing w:val="0"/>
          <w:szCs w:val="24"/>
        </w:rPr>
        <w:t xml:space="preserve"> </w:t>
      </w:r>
    </w:p>
    <w:p w14:paraId="4E68B987" w14:textId="5A6BC8C1" w:rsidR="00EA0FE3" w:rsidRPr="00AC7962" w:rsidRDefault="00EA0FE3" w:rsidP="00EA0FE3">
      <w:pPr>
        <w:pStyle w:val="ListParagraph"/>
        <w:numPr>
          <w:ilvl w:val="0"/>
          <w:numId w:val="19"/>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Wife Pension</w:t>
      </w:r>
      <w:r w:rsidR="00513504" w:rsidRPr="00AC7962">
        <w:rPr>
          <w:rStyle w:val="BookTitle"/>
          <w:rFonts w:ascii="Arial" w:hAnsi="Arial" w:cs="Arial"/>
          <w:i w:val="0"/>
          <w:iCs w:val="0"/>
          <w:smallCaps w:val="0"/>
          <w:spacing w:val="0"/>
          <w:szCs w:val="24"/>
        </w:rPr>
        <w:t>.</w:t>
      </w:r>
      <w:r w:rsidRPr="00AC7962">
        <w:rPr>
          <w:rStyle w:val="BookTitle"/>
          <w:rFonts w:ascii="Arial" w:hAnsi="Arial" w:cs="Arial"/>
          <w:i w:val="0"/>
          <w:iCs w:val="0"/>
          <w:smallCaps w:val="0"/>
          <w:spacing w:val="0"/>
          <w:szCs w:val="24"/>
        </w:rPr>
        <w:t xml:space="preserve"> </w:t>
      </w:r>
    </w:p>
    <w:p w14:paraId="237D7230" w14:textId="1E65B307" w:rsidR="00AC7F22" w:rsidRPr="00AC7962" w:rsidRDefault="00040B98" w:rsidP="00306A3C">
      <w:pPr>
        <w:jc w:val="both"/>
        <w:rPr>
          <w:rFonts w:ascii="Arial" w:hAnsi="Arial" w:cs="Arial"/>
          <w:szCs w:val="24"/>
        </w:rPr>
      </w:pPr>
      <w:r w:rsidRPr="00AC7962">
        <w:rPr>
          <w:rFonts w:ascii="Arial" w:hAnsi="Arial" w:cs="Arial"/>
          <w:szCs w:val="24"/>
        </w:rPr>
        <w:lastRenderedPageBreak/>
        <w:t>Subsection 63(2AB)</w:t>
      </w:r>
      <w:r w:rsidR="005071F0" w:rsidRPr="00AC7962">
        <w:rPr>
          <w:rFonts w:ascii="Arial" w:hAnsi="Arial" w:cs="Arial"/>
          <w:szCs w:val="24"/>
        </w:rPr>
        <w:t xml:space="preserve"> of the Act</w:t>
      </w:r>
      <w:r w:rsidRPr="00AC7962">
        <w:rPr>
          <w:rFonts w:ascii="Arial" w:hAnsi="Arial" w:cs="Arial"/>
          <w:szCs w:val="24"/>
        </w:rPr>
        <w:t xml:space="preserve"> states the Secretary may issue a notice requiring </w:t>
      </w:r>
      <w:r w:rsidR="00513504" w:rsidRPr="00AC7962">
        <w:rPr>
          <w:rFonts w:ascii="Arial" w:hAnsi="Arial" w:cs="Arial"/>
          <w:szCs w:val="24"/>
        </w:rPr>
        <w:t>t</w:t>
      </w:r>
      <w:r w:rsidR="00872A5F" w:rsidRPr="00AC7962">
        <w:rPr>
          <w:rFonts w:ascii="Arial" w:hAnsi="Arial" w:cs="Arial"/>
          <w:szCs w:val="24"/>
        </w:rPr>
        <w:t>he person</w:t>
      </w:r>
      <w:r w:rsidRPr="00AC7962">
        <w:rPr>
          <w:rFonts w:ascii="Arial" w:hAnsi="Arial" w:cs="Arial"/>
          <w:szCs w:val="24"/>
        </w:rPr>
        <w:t xml:space="preserve">, within 13 weeks, </w:t>
      </w:r>
      <w:r w:rsidR="00872A5F" w:rsidRPr="00AC7962">
        <w:rPr>
          <w:rFonts w:ascii="Arial" w:hAnsi="Arial" w:cs="Arial"/>
          <w:szCs w:val="24"/>
        </w:rPr>
        <w:t xml:space="preserve">to </w:t>
      </w:r>
      <w:r w:rsidRPr="00AC7962">
        <w:rPr>
          <w:rFonts w:ascii="Arial" w:hAnsi="Arial" w:cs="Arial"/>
          <w:szCs w:val="24"/>
        </w:rPr>
        <w:t xml:space="preserve">provide a proof of life certificate </w:t>
      </w:r>
      <w:r w:rsidR="00872A5F" w:rsidRPr="00AC7962">
        <w:rPr>
          <w:rFonts w:ascii="Arial" w:hAnsi="Arial" w:cs="Arial"/>
          <w:szCs w:val="24"/>
        </w:rPr>
        <w:t>that relates</w:t>
      </w:r>
      <w:r w:rsidRPr="00AC7962">
        <w:rPr>
          <w:rFonts w:ascii="Arial" w:hAnsi="Arial" w:cs="Arial"/>
          <w:szCs w:val="24"/>
        </w:rPr>
        <w:t xml:space="preserve"> to themselves </w:t>
      </w:r>
      <w:r w:rsidR="00872A5F" w:rsidRPr="00AC7962">
        <w:rPr>
          <w:rFonts w:ascii="Arial" w:hAnsi="Arial" w:cs="Arial"/>
          <w:szCs w:val="24"/>
        </w:rPr>
        <w:t>and</w:t>
      </w:r>
      <w:r w:rsidRPr="00AC7962">
        <w:rPr>
          <w:rFonts w:ascii="Arial" w:hAnsi="Arial" w:cs="Arial"/>
          <w:szCs w:val="24"/>
        </w:rPr>
        <w:t xml:space="preserve"> has been completed within that 13 week period. </w:t>
      </w:r>
      <w:r w:rsidR="00872A5F" w:rsidRPr="00AC7962">
        <w:rPr>
          <w:rFonts w:ascii="Arial" w:hAnsi="Arial" w:cs="Arial"/>
          <w:szCs w:val="24"/>
        </w:rPr>
        <w:t xml:space="preserve"> </w:t>
      </w:r>
      <w:r w:rsidRPr="00AC7962">
        <w:rPr>
          <w:rFonts w:ascii="Arial" w:hAnsi="Arial" w:cs="Arial"/>
          <w:szCs w:val="24"/>
        </w:rPr>
        <w:t>If the notified person enters Australia within the 13 week p</w:t>
      </w:r>
      <w:r w:rsidR="00E9434A" w:rsidRPr="00AC7962">
        <w:rPr>
          <w:rFonts w:ascii="Arial" w:hAnsi="Arial" w:cs="Arial"/>
          <w:szCs w:val="24"/>
        </w:rPr>
        <w:t xml:space="preserve">eriod, they </w:t>
      </w:r>
      <w:r w:rsidR="00872A5F" w:rsidRPr="00AC7962">
        <w:rPr>
          <w:rFonts w:ascii="Arial" w:hAnsi="Arial" w:cs="Arial"/>
          <w:szCs w:val="24"/>
        </w:rPr>
        <w:t>do not</w:t>
      </w:r>
      <w:r w:rsidR="00E9434A" w:rsidRPr="00AC7962">
        <w:rPr>
          <w:rFonts w:ascii="Arial" w:hAnsi="Arial" w:cs="Arial"/>
          <w:szCs w:val="24"/>
        </w:rPr>
        <w:t xml:space="preserve"> need to </w:t>
      </w:r>
      <w:r w:rsidR="00AC7F22" w:rsidRPr="00AC7962">
        <w:rPr>
          <w:rFonts w:ascii="Arial" w:hAnsi="Arial" w:cs="Arial"/>
          <w:szCs w:val="24"/>
        </w:rPr>
        <w:t xml:space="preserve">provide a proof of life certificate. </w:t>
      </w:r>
      <w:r w:rsidR="00872A5F" w:rsidRPr="00AC7962">
        <w:rPr>
          <w:rFonts w:ascii="Arial" w:hAnsi="Arial" w:cs="Arial"/>
          <w:szCs w:val="24"/>
        </w:rPr>
        <w:t xml:space="preserve"> </w:t>
      </w:r>
      <w:r w:rsidR="00AC7F22" w:rsidRPr="00AC7962">
        <w:rPr>
          <w:rFonts w:ascii="Arial" w:hAnsi="Arial" w:cs="Arial"/>
          <w:szCs w:val="24"/>
        </w:rPr>
        <w:t xml:space="preserve">Where </w:t>
      </w:r>
      <w:r w:rsidR="005071F0" w:rsidRPr="00AC7962">
        <w:rPr>
          <w:rFonts w:ascii="Arial" w:hAnsi="Arial" w:cs="Arial"/>
          <w:szCs w:val="24"/>
        </w:rPr>
        <w:t>a person’s circumstances continue to meet subsection 63(2AA)</w:t>
      </w:r>
      <w:r w:rsidR="00960B00" w:rsidRPr="00AC7962">
        <w:rPr>
          <w:rFonts w:ascii="Arial" w:hAnsi="Arial" w:cs="Arial"/>
          <w:szCs w:val="24"/>
        </w:rPr>
        <w:t xml:space="preserve"> of the Act</w:t>
      </w:r>
      <w:r w:rsidR="00AC7F22" w:rsidRPr="00AC7962">
        <w:rPr>
          <w:rFonts w:ascii="Arial" w:hAnsi="Arial" w:cs="Arial"/>
          <w:szCs w:val="24"/>
        </w:rPr>
        <w:t xml:space="preserve">, </w:t>
      </w:r>
      <w:r w:rsidR="005071F0" w:rsidRPr="00AC7962">
        <w:rPr>
          <w:rFonts w:ascii="Arial" w:hAnsi="Arial" w:cs="Arial"/>
          <w:szCs w:val="24"/>
        </w:rPr>
        <w:t xml:space="preserve">the Secretary </w:t>
      </w:r>
      <w:r w:rsidR="00872A5F" w:rsidRPr="00AC7962">
        <w:rPr>
          <w:rFonts w:ascii="Arial" w:hAnsi="Arial" w:cs="Arial"/>
          <w:szCs w:val="24"/>
        </w:rPr>
        <w:t xml:space="preserve">must, under </w:t>
      </w:r>
      <w:r w:rsidR="005071F0" w:rsidRPr="00AC7962">
        <w:rPr>
          <w:rFonts w:ascii="Arial" w:hAnsi="Arial" w:cs="Arial"/>
          <w:szCs w:val="24"/>
        </w:rPr>
        <w:t>subsection 63(2AC) of the Act</w:t>
      </w:r>
      <w:r w:rsidR="00872A5F" w:rsidRPr="00AC7962">
        <w:rPr>
          <w:rFonts w:ascii="Arial" w:hAnsi="Arial" w:cs="Arial"/>
          <w:szCs w:val="24"/>
        </w:rPr>
        <w:t>,</w:t>
      </w:r>
      <w:r w:rsidR="005071F0" w:rsidRPr="00AC7962">
        <w:rPr>
          <w:rFonts w:ascii="Arial" w:hAnsi="Arial" w:cs="Arial"/>
          <w:szCs w:val="24"/>
        </w:rPr>
        <w:t xml:space="preserve"> </w:t>
      </w:r>
      <w:r w:rsidR="00872A5F" w:rsidRPr="00AC7962">
        <w:rPr>
          <w:rFonts w:ascii="Arial" w:hAnsi="Arial" w:cs="Arial"/>
          <w:szCs w:val="24"/>
        </w:rPr>
        <w:t>notify the person that a</w:t>
      </w:r>
      <w:r w:rsidR="005071F0" w:rsidRPr="00AC7962">
        <w:rPr>
          <w:rFonts w:ascii="Arial" w:hAnsi="Arial" w:cs="Arial"/>
          <w:szCs w:val="24"/>
        </w:rPr>
        <w:t xml:space="preserve"> proof of life certificate </w:t>
      </w:r>
      <w:r w:rsidR="00872A5F" w:rsidRPr="00AC7962">
        <w:rPr>
          <w:rFonts w:ascii="Arial" w:hAnsi="Arial" w:cs="Arial"/>
          <w:szCs w:val="24"/>
        </w:rPr>
        <w:t>is required</w:t>
      </w:r>
      <w:r w:rsidR="005071F0" w:rsidRPr="00AC7962">
        <w:rPr>
          <w:rFonts w:ascii="Arial" w:hAnsi="Arial" w:cs="Arial"/>
          <w:szCs w:val="24"/>
        </w:rPr>
        <w:t xml:space="preserve"> at least once every 2 years. </w:t>
      </w:r>
    </w:p>
    <w:p w14:paraId="01E57729" w14:textId="016682B8" w:rsidR="00FD7E59" w:rsidRPr="00AC7962" w:rsidRDefault="00040B98" w:rsidP="00306A3C">
      <w:pPr>
        <w:jc w:val="both"/>
        <w:rPr>
          <w:rFonts w:ascii="Arial" w:hAnsi="Arial" w:cs="Arial"/>
          <w:szCs w:val="24"/>
        </w:rPr>
      </w:pPr>
      <w:r w:rsidRPr="00AC7962">
        <w:rPr>
          <w:rFonts w:ascii="Arial" w:hAnsi="Arial" w:cs="Arial"/>
          <w:szCs w:val="24"/>
        </w:rPr>
        <w:t>S</w:t>
      </w:r>
      <w:r w:rsidR="0085092F" w:rsidRPr="00AC7962">
        <w:rPr>
          <w:rFonts w:ascii="Arial" w:hAnsi="Arial" w:cs="Arial"/>
          <w:szCs w:val="24"/>
        </w:rPr>
        <w:t>ubs</w:t>
      </w:r>
      <w:r w:rsidR="00FD7E59" w:rsidRPr="00AC7962">
        <w:rPr>
          <w:rFonts w:ascii="Arial" w:hAnsi="Arial" w:cs="Arial"/>
          <w:szCs w:val="24"/>
        </w:rPr>
        <w:t xml:space="preserve">ection 63A(4) of the Act </w:t>
      </w:r>
      <w:r w:rsidR="000619DA" w:rsidRPr="00AC7962">
        <w:rPr>
          <w:rFonts w:ascii="Arial" w:hAnsi="Arial" w:cs="Arial"/>
          <w:szCs w:val="24"/>
        </w:rPr>
        <w:t xml:space="preserve">provides </w:t>
      </w:r>
      <w:r w:rsidR="00FD7E59" w:rsidRPr="00AC7962">
        <w:rPr>
          <w:rFonts w:ascii="Arial" w:hAnsi="Arial" w:cs="Arial"/>
          <w:szCs w:val="24"/>
        </w:rPr>
        <w:t>that a proof of life certificate</w:t>
      </w:r>
      <w:r w:rsidR="000619DA" w:rsidRPr="00AC7962">
        <w:rPr>
          <w:rFonts w:ascii="Arial" w:hAnsi="Arial" w:cs="Arial"/>
          <w:szCs w:val="24"/>
        </w:rPr>
        <w:t>,</w:t>
      </w:r>
      <w:r w:rsidR="00FD7E59" w:rsidRPr="00AC7962">
        <w:rPr>
          <w:rFonts w:ascii="Arial" w:hAnsi="Arial" w:cs="Arial"/>
          <w:szCs w:val="24"/>
        </w:rPr>
        <w:t xml:space="preserve"> that relates to a person</w:t>
      </w:r>
      <w:r w:rsidR="000619DA" w:rsidRPr="00AC7962">
        <w:rPr>
          <w:rFonts w:ascii="Arial" w:hAnsi="Arial" w:cs="Arial"/>
          <w:szCs w:val="24"/>
        </w:rPr>
        <w:t>,</w:t>
      </w:r>
      <w:r w:rsidR="00FD7E59" w:rsidRPr="00AC7962">
        <w:rPr>
          <w:rFonts w:ascii="Arial" w:hAnsi="Arial" w:cs="Arial"/>
          <w:szCs w:val="24"/>
        </w:rPr>
        <w:t xml:space="preserve"> must include a statement by an authorised certifier</w:t>
      </w:r>
      <w:r w:rsidR="00C4557A" w:rsidRPr="00AC7962">
        <w:rPr>
          <w:rFonts w:ascii="Arial" w:hAnsi="Arial" w:cs="Arial"/>
          <w:szCs w:val="24"/>
        </w:rPr>
        <w:t xml:space="preserve">. </w:t>
      </w:r>
      <w:r w:rsidR="00434B7F" w:rsidRPr="00AC7962">
        <w:rPr>
          <w:rFonts w:ascii="Arial" w:hAnsi="Arial" w:cs="Arial"/>
          <w:szCs w:val="24"/>
        </w:rPr>
        <w:t xml:space="preserve"> </w:t>
      </w:r>
      <w:r w:rsidR="000619DA" w:rsidRPr="00AC7962">
        <w:rPr>
          <w:rFonts w:ascii="Arial" w:hAnsi="Arial" w:cs="Arial"/>
          <w:szCs w:val="24"/>
        </w:rPr>
        <w:t>Under subsection </w:t>
      </w:r>
      <w:r w:rsidR="00596B6B" w:rsidRPr="00AC7962">
        <w:rPr>
          <w:rFonts w:ascii="Arial" w:hAnsi="Arial" w:cs="Arial"/>
          <w:szCs w:val="24"/>
        </w:rPr>
        <w:t>63A(8) of the Act</w:t>
      </w:r>
      <w:r w:rsidR="000619DA" w:rsidRPr="00AC7962">
        <w:rPr>
          <w:rFonts w:ascii="Arial" w:hAnsi="Arial" w:cs="Arial"/>
          <w:szCs w:val="24"/>
        </w:rPr>
        <w:t>,</w:t>
      </w:r>
      <w:r w:rsidR="00596B6B" w:rsidRPr="00AC7962">
        <w:rPr>
          <w:rFonts w:ascii="Arial" w:hAnsi="Arial" w:cs="Arial"/>
          <w:szCs w:val="24"/>
        </w:rPr>
        <w:t xml:space="preserve"> an authorised certifier is a person included in a class of persons specified in a determination under s</w:t>
      </w:r>
      <w:r w:rsidR="0085092F" w:rsidRPr="00AC7962">
        <w:rPr>
          <w:rFonts w:ascii="Arial" w:hAnsi="Arial" w:cs="Arial"/>
          <w:szCs w:val="24"/>
        </w:rPr>
        <w:t>ubs</w:t>
      </w:r>
      <w:r w:rsidR="00596B6B" w:rsidRPr="00AC7962">
        <w:rPr>
          <w:rFonts w:ascii="Arial" w:hAnsi="Arial" w:cs="Arial"/>
          <w:szCs w:val="24"/>
        </w:rPr>
        <w:t xml:space="preserve">ection 63A(9). </w:t>
      </w:r>
      <w:r w:rsidR="000619DA" w:rsidRPr="00AC7962">
        <w:rPr>
          <w:rFonts w:ascii="Arial" w:hAnsi="Arial" w:cs="Arial"/>
          <w:szCs w:val="24"/>
        </w:rPr>
        <w:t xml:space="preserve"> </w:t>
      </w:r>
      <w:r w:rsidR="006461FB" w:rsidRPr="00AC7962">
        <w:rPr>
          <w:rFonts w:ascii="Arial" w:hAnsi="Arial" w:cs="Arial"/>
          <w:szCs w:val="24"/>
        </w:rPr>
        <w:t>Subsection </w:t>
      </w:r>
      <w:r w:rsidR="00596B6B" w:rsidRPr="00AC7962">
        <w:rPr>
          <w:rFonts w:ascii="Arial" w:hAnsi="Arial" w:cs="Arial"/>
          <w:szCs w:val="24"/>
        </w:rPr>
        <w:t xml:space="preserve">63A(9) </w:t>
      </w:r>
      <w:r w:rsidR="000619DA" w:rsidRPr="00AC7962">
        <w:rPr>
          <w:rFonts w:ascii="Arial" w:hAnsi="Arial" w:cs="Arial"/>
          <w:szCs w:val="24"/>
        </w:rPr>
        <w:t xml:space="preserve">provides for </w:t>
      </w:r>
      <w:r w:rsidR="00596B6B" w:rsidRPr="00AC7962">
        <w:rPr>
          <w:rFonts w:ascii="Arial" w:hAnsi="Arial" w:cs="Arial"/>
          <w:szCs w:val="24"/>
        </w:rPr>
        <w:t xml:space="preserve">the Secretary to determine </w:t>
      </w:r>
      <w:r w:rsidR="006C1B0D" w:rsidRPr="00AC7962">
        <w:rPr>
          <w:rFonts w:ascii="Arial" w:hAnsi="Arial" w:cs="Arial"/>
          <w:szCs w:val="24"/>
        </w:rPr>
        <w:t xml:space="preserve">that </w:t>
      </w:r>
      <w:r w:rsidR="00596B6B" w:rsidRPr="00AC7962">
        <w:rPr>
          <w:rFonts w:ascii="Arial" w:hAnsi="Arial" w:cs="Arial"/>
          <w:szCs w:val="24"/>
        </w:rPr>
        <w:t xml:space="preserve">one or more classes of persons </w:t>
      </w:r>
      <w:r w:rsidR="006C1B0D" w:rsidRPr="00AC7962">
        <w:rPr>
          <w:rFonts w:ascii="Arial" w:hAnsi="Arial" w:cs="Arial"/>
          <w:szCs w:val="24"/>
        </w:rPr>
        <w:t xml:space="preserve">are authorised certifiers for the purpose of section 63A of the Act. </w:t>
      </w:r>
    </w:p>
    <w:p w14:paraId="0F3BF43B" w14:textId="45DDF7B0" w:rsidR="00596B6B" w:rsidRPr="00AC7962" w:rsidRDefault="00596B6B" w:rsidP="00306A3C">
      <w:pPr>
        <w:jc w:val="both"/>
        <w:rPr>
          <w:rFonts w:ascii="Arial" w:hAnsi="Arial" w:cs="Arial"/>
          <w:szCs w:val="24"/>
        </w:rPr>
      </w:pPr>
      <w:r w:rsidRPr="00AC7962">
        <w:rPr>
          <w:rFonts w:ascii="Arial" w:hAnsi="Arial" w:cs="Arial"/>
          <w:szCs w:val="24"/>
        </w:rPr>
        <w:t xml:space="preserve">The effect of this </w:t>
      </w:r>
      <w:r w:rsidR="00537321" w:rsidRPr="00AC7962">
        <w:rPr>
          <w:rFonts w:ascii="Arial" w:hAnsi="Arial" w:cs="Arial"/>
          <w:szCs w:val="24"/>
        </w:rPr>
        <w:t xml:space="preserve">instrument </w:t>
      </w:r>
      <w:r w:rsidRPr="00AC7962">
        <w:rPr>
          <w:rFonts w:ascii="Arial" w:hAnsi="Arial" w:cs="Arial"/>
          <w:szCs w:val="24"/>
        </w:rPr>
        <w:t xml:space="preserve">is that any person </w:t>
      </w:r>
      <w:r w:rsidR="008356D3" w:rsidRPr="00AC7962">
        <w:rPr>
          <w:rFonts w:ascii="Arial" w:hAnsi="Arial" w:cs="Arial"/>
          <w:szCs w:val="24"/>
        </w:rPr>
        <w:t>included in</w:t>
      </w:r>
      <w:r w:rsidR="00493D76" w:rsidRPr="00AC7962">
        <w:rPr>
          <w:rFonts w:ascii="Arial" w:hAnsi="Arial" w:cs="Arial"/>
          <w:szCs w:val="24"/>
        </w:rPr>
        <w:t xml:space="preserve"> one of the classes of persons listed in </w:t>
      </w:r>
      <w:r w:rsidR="00960B00" w:rsidRPr="00AC7962">
        <w:rPr>
          <w:rFonts w:ascii="Arial" w:hAnsi="Arial" w:cs="Arial"/>
          <w:szCs w:val="24"/>
        </w:rPr>
        <w:t>s</w:t>
      </w:r>
      <w:r w:rsidR="00493D76" w:rsidRPr="00AC7962">
        <w:rPr>
          <w:rFonts w:ascii="Arial" w:hAnsi="Arial" w:cs="Arial"/>
          <w:szCs w:val="24"/>
        </w:rPr>
        <w:t xml:space="preserve">ection 5 of the </w:t>
      </w:r>
      <w:r w:rsidR="00537321" w:rsidRPr="00AC7962">
        <w:rPr>
          <w:rFonts w:ascii="Arial" w:hAnsi="Arial" w:cs="Arial"/>
          <w:szCs w:val="24"/>
        </w:rPr>
        <w:t xml:space="preserve">instrument </w:t>
      </w:r>
      <w:r w:rsidR="00493D76" w:rsidRPr="00AC7962">
        <w:rPr>
          <w:rFonts w:ascii="Arial" w:hAnsi="Arial" w:cs="Arial"/>
          <w:szCs w:val="24"/>
        </w:rPr>
        <w:t>is an authorised certifier for the purp</w:t>
      </w:r>
      <w:r w:rsidR="0085092F" w:rsidRPr="00AC7962">
        <w:rPr>
          <w:rFonts w:ascii="Arial" w:hAnsi="Arial" w:cs="Arial"/>
          <w:szCs w:val="24"/>
        </w:rPr>
        <w:t>oses of s</w:t>
      </w:r>
      <w:r w:rsidR="00493D76" w:rsidRPr="00AC7962">
        <w:rPr>
          <w:rFonts w:ascii="Arial" w:hAnsi="Arial" w:cs="Arial"/>
          <w:szCs w:val="24"/>
        </w:rPr>
        <w:t xml:space="preserve">ection 63A of the Act. </w:t>
      </w:r>
    </w:p>
    <w:p w14:paraId="581D7E85" w14:textId="3A53487B" w:rsidR="00493D76" w:rsidRPr="00AC7962" w:rsidRDefault="00493D76" w:rsidP="00306A3C">
      <w:pPr>
        <w:jc w:val="both"/>
        <w:rPr>
          <w:rFonts w:ascii="Arial" w:hAnsi="Arial" w:cs="Arial"/>
          <w:i/>
          <w:szCs w:val="24"/>
        </w:rPr>
      </w:pPr>
      <w:r w:rsidRPr="00AC7962">
        <w:rPr>
          <w:rFonts w:ascii="Arial" w:hAnsi="Arial" w:cs="Arial"/>
          <w:i/>
          <w:szCs w:val="24"/>
        </w:rPr>
        <w:t xml:space="preserve">Authorised certifiers </w:t>
      </w:r>
    </w:p>
    <w:p w14:paraId="548004A6" w14:textId="77D8525D" w:rsidR="00CA0CE7" w:rsidRPr="00AC7962" w:rsidRDefault="00CA0CE7" w:rsidP="00CA0CE7">
      <w:pPr>
        <w:jc w:val="both"/>
        <w:rPr>
          <w:rFonts w:ascii="Arial" w:hAnsi="Arial" w:cs="Arial"/>
          <w:szCs w:val="24"/>
        </w:rPr>
      </w:pPr>
      <w:r w:rsidRPr="00AC7962">
        <w:rPr>
          <w:rFonts w:ascii="Arial" w:hAnsi="Arial" w:cs="Arial"/>
          <w:szCs w:val="24"/>
        </w:rPr>
        <w:t xml:space="preserve">In order to make the certification process as easy as possible, overseas social security recipients will have a range of options available to enable verification of their proof of life certificate. </w:t>
      </w:r>
      <w:r w:rsidR="001708FF" w:rsidRPr="00AC7962">
        <w:rPr>
          <w:rFonts w:ascii="Arial" w:hAnsi="Arial" w:cs="Arial"/>
          <w:szCs w:val="24"/>
        </w:rPr>
        <w:t xml:space="preserve"> </w:t>
      </w:r>
      <w:r w:rsidRPr="00AC7962">
        <w:rPr>
          <w:rFonts w:ascii="Arial" w:hAnsi="Arial" w:cs="Arial"/>
          <w:szCs w:val="24"/>
        </w:rPr>
        <w:t>Providing a range of people who can act as authorised certifiers will ensure recipients can easily locate a person to certify their certificate.</w:t>
      </w:r>
    </w:p>
    <w:p w14:paraId="06A6029C" w14:textId="51701E7F" w:rsidR="006E3F9B" w:rsidRPr="00AC7962" w:rsidRDefault="006E3F9B" w:rsidP="00306A3C">
      <w:pPr>
        <w:jc w:val="both"/>
        <w:rPr>
          <w:rFonts w:ascii="Arial" w:hAnsi="Arial" w:cs="Arial"/>
          <w:szCs w:val="24"/>
        </w:rPr>
      </w:pPr>
      <w:r w:rsidRPr="00AC7962">
        <w:rPr>
          <w:rFonts w:ascii="Arial" w:hAnsi="Arial" w:cs="Arial"/>
          <w:szCs w:val="24"/>
        </w:rPr>
        <w:t>The instrument specifies classes of persons recognised under Australian law and in the social security recipient’s place of residence.</w:t>
      </w:r>
    </w:p>
    <w:p w14:paraId="2E0D2E3E" w14:textId="3F8A47F7" w:rsidR="00631B47" w:rsidRPr="00AC7962" w:rsidRDefault="006E3F9B" w:rsidP="005E69CD">
      <w:pPr>
        <w:jc w:val="both"/>
        <w:rPr>
          <w:rFonts w:ascii="Arial" w:hAnsi="Arial" w:cs="Arial"/>
          <w:szCs w:val="24"/>
        </w:rPr>
      </w:pPr>
      <w:r w:rsidRPr="00AC7962">
        <w:rPr>
          <w:rFonts w:ascii="Arial" w:hAnsi="Arial" w:cs="Arial"/>
          <w:szCs w:val="24"/>
        </w:rPr>
        <w:t xml:space="preserve">The majority of authorised certifiers will be </w:t>
      </w:r>
      <w:r w:rsidR="005E69CD" w:rsidRPr="00AC7962">
        <w:rPr>
          <w:rFonts w:ascii="Arial" w:hAnsi="Arial" w:cs="Arial"/>
          <w:szCs w:val="24"/>
        </w:rPr>
        <w:t xml:space="preserve">recognised </w:t>
      </w:r>
      <w:r w:rsidRPr="00AC7962">
        <w:rPr>
          <w:rFonts w:ascii="Arial" w:hAnsi="Arial" w:cs="Arial"/>
          <w:szCs w:val="24"/>
        </w:rPr>
        <w:t>in the recipient’s place of residence.  These authorised certifiers</w:t>
      </w:r>
      <w:r w:rsidR="00DC62D2" w:rsidRPr="00AC7962">
        <w:rPr>
          <w:rFonts w:ascii="Arial" w:hAnsi="Arial" w:cs="Arial"/>
          <w:szCs w:val="24"/>
        </w:rPr>
        <w:t xml:space="preserve"> must be authorised or entitled to practise, or hold their position </w:t>
      </w:r>
      <w:r w:rsidR="00631B47" w:rsidRPr="00AC7962">
        <w:rPr>
          <w:rFonts w:ascii="Arial" w:hAnsi="Arial" w:cs="Arial"/>
          <w:szCs w:val="24"/>
        </w:rPr>
        <w:t xml:space="preserve">in the same country as the recipient’s place of residence. </w:t>
      </w:r>
      <w:r w:rsidR="000619DA" w:rsidRPr="00AC7962">
        <w:rPr>
          <w:rFonts w:ascii="Arial" w:hAnsi="Arial" w:cs="Arial"/>
          <w:szCs w:val="24"/>
        </w:rPr>
        <w:t xml:space="preserve"> </w:t>
      </w:r>
      <w:r w:rsidR="005E69CD" w:rsidRPr="00AC7962">
        <w:rPr>
          <w:rFonts w:ascii="Arial" w:hAnsi="Arial" w:cs="Arial"/>
          <w:szCs w:val="24"/>
        </w:rPr>
        <w:t>This aims to ensure that these authorised certifiers are able to verify the identification documentation provided by the person. T</w:t>
      </w:r>
      <w:r w:rsidR="000619DA" w:rsidRPr="00AC7962">
        <w:rPr>
          <w:rFonts w:ascii="Arial" w:hAnsi="Arial" w:cs="Arial"/>
          <w:szCs w:val="24"/>
        </w:rPr>
        <w:t>here is no requirement for the</w:t>
      </w:r>
      <w:r w:rsidR="005E69CD" w:rsidRPr="00AC7962">
        <w:rPr>
          <w:rFonts w:ascii="Arial" w:hAnsi="Arial" w:cs="Arial"/>
          <w:szCs w:val="24"/>
        </w:rPr>
        <w:t>se</w:t>
      </w:r>
      <w:r w:rsidR="000619DA" w:rsidRPr="00AC7962">
        <w:rPr>
          <w:rFonts w:ascii="Arial" w:hAnsi="Arial" w:cs="Arial"/>
          <w:szCs w:val="24"/>
        </w:rPr>
        <w:t xml:space="preserve"> authorised certifier</w:t>
      </w:r>
      <w:r w:rsidR="005E69CD" w:rsidRPr="00AC7962">
        <w:rPr>
          <w:rFonts w:ascii="Arial" w:hAnsi="Arial" w:cs="Arial"/>
          <w:szCs w:val="24"/>
        </w:rPr>
        <w:t>s</w:t>
      </w:r>
      <w:r w:rsidR="000619DA" w:rsidRPr="00AC7962">
        <w:rPr>
          <w:rFonts w:ascii="Arial" w:hAnsi="Arial" w:cs="Arial"/>
          <w:szCs w:val="24"/>
        </w:rPr>
        <w:t xml:space="preserve"> to</w:t>
      </w:r>
      <w:r w:rsidR="006461FB" w:rsidRPr="00AC7962">
        <w:rPr>
          <w:rFonts w:ascii="Arial" w:hAnsi="Arial" w:cs="Arial"/>
          <w:szCs w:val="24"/>
        </w:rPr>
        <w:t xml:space="preserve"> also</w:t>
      </w:r>
      <w:r w:rsidR="000619DA" w:rsidRPr="00AC7962">
        <w:rPr>
          <w:rFonts w:ascii="Arial" w:hAnsi="Arial" w:cs="Arial"/>
          <w:szCs w:val="24"/>
        </w:rPr>
        <w:t xml:space="preserve"> be resident in that same country.</w:t>
      </w:r>
    </w:p>
    <w:p w14:paraId="3B30DCA3" w14:textId="77777777" w:rsidR="002511DC" w:rsidRPr="00AC7962" w:rsidRDefault="005E69CD" w:rsidP="00306A3C">
      <w:pPr>
        <w:jc w:val="both"/>
        <w:rPr>
          <w:rFonts w:ascii="Arial" w:hAnsi="Arial" w:cs="Arial"/>
          <w:szCs w:val="24"/>
        </w:rPr>
      </w:pPr>
      <w:r w:rsidRPr="00AC7962">
        <w:rPr>
          <w:rFonts w:ascii="Arial" w:hAnsi="Arial" w:cs="Arial"/>
          <w:szCs w:val="24"/>
        </w:rPr>
        <w:t>Specified</w:t>
      </w:r>
      <w:r w:rsidR="00DE7B36" w:rsidRPr="00AC7962" w:rsidDel="00586C12">
        <w:rPr>
          <w:rFonts w:ascii="Arial" w:hAnsi="Arial" w:cs="Arial"/>
          <w:szCs w:val="24"/>
        </w:rPr>
        <w:t xml:space="preserve"> persons </w:t>
      </w:r>
      <w:r w:rsidRPr="00AC7962">
        <w:rPr>
          <w:rFonts w:ascii="Arial" w:hAnsi="Arial" w:cs="Arial"/>
          <w:szCs w:val="24"/>
        </w:rPr>
        <w:t>who are</w:t>
      </w:r>
      <w:r w:rsidR="00DC62D2" w:rsidRPr="00AC7962" w:rsidDel="00586C12">
        <w:rPr>
          <w:rFonts w:ascii="Arial" w:hAnsi="Arial" w:cs="Arial"/>
          <w:szCs w:val="24"/>
        </w:rPr>
        <w:t xml:space="preserve"> authorised or</w:t>
      </w:r>
      <w:r w:rsidR="00631B47" w:rsidRPr="00AC7962" w:rsidDel="00586C12">
        <w:rPr>
          <w:rFonts w:ascii="Arial" w:hAnsi="Arial" w:cs="Arial"/>
          <w:szCs w:val="24"/>
        </w:rPr>
        <w:t xml:space="preserve"> entitled to practice, or hold</w:t>
      </w:r>
      <w:r w:rsidR="00303AB6" w:rsidRPr="00AC7962" w:rsidDel="00586C12">
        <w:rPr>
          <w:rFonts w:ascii="Arial" w:hAnsi="Arial" w:cs="Arial"/>
          <w:szCs w:val="24"/>
        </w:rPr>
        <w:t xml:space="preserve"> </w:t>
      </w:r>
      <w:r w:rsidR="00DE7B36" w:rsidRPr="00AC7962" w:rsidDel="00586C12">
        <w:rPr>
          <w:rFonts w:ascii="Arial" w:hAnsi="Arial" w:cs="Arial"/>
          <w:szCs w:val="24"/>
        </w:rPr>
        <w:t xml:space="preserve">their </w:t>
      </w:r>
      <w:r w:rsidR="00631B47" w:rsidRPr="00AC7962" w:rsidDel="00586C12">
        <w:rPr>
          <w:rFonts w:ascii="Arial" w:hAnsi="Arial" w:cs="Arial"/>
          <w:szCs w:val="24"/>
        </w:rPr>
        <w:t>position</w:t>
      </w:r>
      <w:r w:rsidR="00CA0CE7" w:rsidRPr="00AC7962" w:rsidDel="00586C12">
        <w:rPr>
          <w:rFonts w:ascii="Arial" w:hAnsi="Arial" w:cs="Arial"/>
          <w:szCs w:val="24"/>
        </w:rPr>
        <w:t>,</w:t>
      </w:r>
      <w:r w:rsidR="00631B47" w:rsidRPr="00AC7962" w:rsidDel="00586C12">
        <w:rPr>
          <w:rFonts w:ascii="Arial" w:hAnsi="Arial" w:cs="Arial"/>
          <w:szCs w:val="24"/>
        </w:rPr>
        <w:t xml:space="preserve"> </w:t>
      </w:r>
      <w:r w:rsidR="00CA0CE7" w:rsidRPr="00AC7962" w:rsidDel="00586C12">
        <w:rPr>
          <w:rFonts w:ascii="Arial" w:hAnsi="Arial" w:cs="Arial"/>
          <w:szCs w:val="24"/>
        </w:rPr>
        <w:t xml:space="preserve">under relevant Australian laws </w:t>
      </w:r>
      <w:r w:rsidR="0037339E" w:rsidRPr="00AC7962" w:rsidDel="00586C12">
        <w:rPr>
          <w:rFonts w:ascii="Arial" w:hAnsi="Arial" w:cs="Arial"/>
          <w:szCs w:val="24"/>
        </w:rPr>
        <w:t xml:space="preserve">will also be an authorised certifier </w:t>
      </w:r>
      <w:r w:rsidR="0085092F" w:rsidRPr="00AC7962" w:rsidDel="00586C12">
        <w:rPr>
          <w:rFonts w:ascii="Arial" w:hAnsi="Arial" w:cs="Arial"/>
          <w:szCs w:val="24"/>
        </w:rPr>
        <w:t>for the purposes of s</w:t>
      </w:r>
      <w:r w:rsidR="0037339E" w:rsidRPr="00AC7962" w:rsidDel="00586C12">
        <w:rPr>
          <w:rFonts w:ascii="Arial" w:hAnsi="Arial" w:cs="Arial"/>
          <w:szCs w:val="24"/>
        </w:rPr>
        <w:t xml:space="preserve">ection 63A of the Act. </w:t>
      </w:r>
      <w:r w:rsidRPr="00AC7962">
        <w:rPr>
          <w:rFonts w:ascii="Arial" w:hAnsi="Arial" w:cs="Arial"/>
          <w:szCs w:val="24"/>
        </w:rPr>
        <w:t xml:space="preserve"> </w:t>
      </w:r>
    </w:p>
    <w:p w14:paraId="3BF77C5A" w14:textId="5C60D24C" w:rsidR="0029462A" w:rsidRPr="00AC7962" w:rsidRDefault="002511DC" w:rsidP="00306A3C">
      <w:pPr>
        <w:jc w:val="both"/>
        <w:rPr>
          <w:rFonts w:ascii="Arial" w:hAnsi="Arial" w:cs="Arial"/>
          <w:szCs w:val="24"/>
        </w:rPr>
      </w:pPr>
      <w:r w:rsidRPr="00AC7962">
        <w:rPr>
          <w:rFonts w:ascii="Arial" w:hAnsi="Arial" w:cs="Arial"/>
          <w:szCs w:val="24"/>
        </w:rPr>
        <w:t>Authorised certifiers recognised under Australian law include</w:t>
      </w:r>
      <w:r w:rsidR="005E69CD" w:rsidRPr="00AC7962">
        <w:rPr>
          <w:rFonts w:ascii="Arial" w:hAnsi="Arial" w:cs="Arial"/>
          <w:szCs w:val="24"/>
        </w:rPr>
        <w:t xml:space="preserve"> Australian Consular or Diplomatic Officers and other relevant staff authorised to perform consular acts who are</w:t>
      </w:r>
      <w:r w:rsidRPr="00AC7962">
        <w:rPr>
          <w:rFonts w:ascii="Arial" w:hAnsi="Arial" w:cs="Arial"/>
          <w:szCs w:val="24"/>
        </w:rPr>
        <w:t xml:space="preserve"> </w:t>
      </w:r>
      <w:r w:rsidR="005E69CD" w:rsidRPr="00AC7962">
        <w:rPr>
          <w:rFonts w:ascii="Arial" w:hAnsi="Arial" w:cs="Arial"/>
          <w:szCs w:val="24"/>
        </w:rPr>
        <w:t xml:space="preserve">located overseas. </w:t>
      </w:r>
      <w:r w:rsidRPr="00AC7962">
        <w:rPr>
          <w:rFonts w:ascii="Arial" w:hAnsi="Arial" w:cs="Arial"/>
          <w:szCs w:val="24"/>
        </w:rPr>
        <w:t xml:space="preserve"> The other classes of persons who are</w:t>
      </w:r>
      <w:r w:rsidRPr="00AC7962" w:rsidDel="00586C12">
        <w:rPr>
          <w:rFonts w:ascii="Arial" w:hAnsi="Arial" w:cs="Arial"/>
          <w:szCs w:val="24"/>
        </w:rPr>
        <w:t xml:space="preserve"> entitled to practice, or hold their position, under relevant Australian laws</w:t>
      </w:r>
      <w:r w:rsidRPr="00AC7962">
        <w:rPr>
          <w:rFonts w:ascii="Arial" w:hAnsi="Arial" w:cs="Arial"/>
          <w:szCs w:val="24"/>
        </w:rPr>
        <w:t xml:space="preserve"> mirror those recognised in the recipient’s place of residence. </w:t>
      </w:r>
      <w:r w:rsidR="005E69CD" w:rsidRPr="00AC7962">
        <w:rPr>
          <w:rFonts w:ascii="Arial" w:hAnsi="Arial" w:cs="Arial"/>
          <w:szCs w:val="24"/>
        </w:rPr>
        <w:t xml:space="preserve"> </w:t>
      </w:r>
      <w:r w:rsidR="00AC7962">
        <w:rPr>
          <w:rFonts w:ascii="Arial" w:hAnsi="Arial" w:cs="Arial"/>
          <w:szCs w:val="24"/>
        </w:rPr>
        <w:t>However, i</w:t>
      </w:r>
      <w:r w:rsidRPr="00AC7962">
        <w:rPr>
          <w:rFonts w:ascii="Arial" w:hAnsi="Arial" w:cs="Arial"/>
          <w:szCs w:val="24"/>
        </w:rPr>
        <w:t xml:space="preserve">t is unlikely that these classes of people will need to act as an authorised certifier, given they are </w:t>
      </w:r>
      <w:r w:rsidR="00365309" w:rsidRPr="00AC7962">
        <w:rPr>
          <w:rFonts w:ascii="Arial" w:hAnsi="Arial" w:cs="Arial"/>
          <w:szCs w:val="24"/>
        </w:rPr>
        <w:t xml:space="preserve">primarily </w:t>
      </w:r>
      <w:r w:rsidRPr="00AC7962">
        <w:rPr>
          <w:rFonts w:ascii="Arial" w:hAnsi="Arial" w:cs="Arial"/>
          <w:szCs w:val="24"/>
        </w:rPr>
        <w:t>located in Australia.</w:t>
      </w:r>
      <w:r w:rsidR="005E69CD" w:rsidRPr="00AC7962">
        <w:rPr>
          <w:rFonts w:ascii="Arial" w:hAnsi="Arial" w:cs="Arial"/>
          <w:szCs w:val="24"/>
        </w:rPr>
        <w:t xml:space="preserve"> </w:t>
      </w:r>
    </w:p>
    <w:p w14:paraId="3B8A26BF" w14:textId="4F23EA58" w:rsidR="00296EF0" w:rsidRPr="00AC7962" w:rsidRDefault="00D7233A" w:rsidP="00306A3C">
      <w:pPr>
        <w:jc w:val="both"/>
        <w:rPr>
          <w:rFonts w:ascii="Arial" w:hAnsi="Arial" w:cs="Arial"/>
          <w:szCs w:val="24"/>
        </w:rPr>
      </w:pPr>
      <w:r w:rsidRPr="00AC7962">
        <w:rPr>
          <w:rFonts w:ascii="Arial" w:hAnsi="Arial" w:cs="Arial"/>
          <w:szCs w:val="24"/>
        </w:rPr>
        <w:t>Subsection 63A(9) is intended to provide sufficient flexibility for the Secretary to specify additional classes of persons as authorised certifiers</w:t>
      </w:r>
      <w:r w:rsidR="00960B00" w:rsidRPr="00AC7962">
        <w:rPr>
          <w:rFonts w:ascii="Arial" w:hAnsi="Arial" w:cs="Arial"/>
          <w:szCs w:val="24"/>
        </w:rPr>
        <w:t xml:space="preserve"> if it becomes necessary to do so in the future</w:t>
      </w:r>
      <w:r w:rsidR="00F91457" w:rsidRPr="00AC7962">
        <w:rPr>
          <w:rFonts w:ascii="Arial" w:hAnsi="Arial" w:cs="Arial"/>
          <w:szCs w:val="24"/>
        </w:rPr>
        <w:t>.</w:t>
      </w:r>
    </w:p>
    <w:p w14:paraId="577F6010" w14:textId="77777777" w:rsidR="008671FE" w:rsidRPr="00AC7962" w:rsidRDefault="008671FE" w:rsidP="00306A3C">
      <w:pPr>
        <w:jc w:val="both"/>
        <w:rPr>
          <w:rFonts w:ascii="Arial" w:hAnsi="Arial" w:cs="Arial"/>
          <w:i/>
          <w:szCs w:val="24"/>
        </w:rPr>
        <w:sectPr w:rsidR="008671FE" w:rsidRPr="00AC7962">
          <w:pgSz w:w="11906" w:h="16838"/>
          <w:pgMar w:top="1440" w:right="1440" w:bottom="1440" w:left="1440" w:header="708" w:footer="708" w:gutter="0"/>
          <w:cols w:space="708"/>
          <w:docGrid w:linePitch="360"/>
        </w:sectPr>
      </w:pPr>
    </w:p>
    <w:p w14:paraId="3B91699B" w14:textId="1F45E56E" w:rsidR="00B53EAF" w:rsidRPr="00AC7962" w:rsidRDefault="00B53EAF" w:rsidP="00306A3C">
      <w:pPr>
        <w:jc w:val="both"/>
        <w:rPr>
          <w:rFonts w:ascii="Arial" w:hAnsi="Arial" w:cs="Arial"/>
          <w:i/>
          <w:szCs w:val="24"/>
        </w:rPr>
      </w:pPr>
      <w:r w:rsidRPr="00AC7962">
        <w:rPr>
          <w:rFonts w:ascii="Arial" w:hAnsi="Arial" w:cs="Arial"/>
          <w:i/>
          <w:szCs w:val="24"/>
        </w:rPr>
        <w:lastRenderedPageBreak/>
        <w:t>Incorporation by reference</w:t>
      </w:r>
    </w:p>
    <w:p w14:paraId="262431A1" w14:textId="40275AD2" w:rsidR="00D051F6" w:rsidRPr="00AC7962" w:rsidRDefault="005F7B20" w:rsidP="00306A3C">
      <w:pPr>
        <w:jc w:val="both"/>
        <w:rPr>
          <w:rFonts w:ascii="Arial" w:hAnsi="Arial" w:cs="Arial"/>
          <w:szCs w:val="24"/>
        </w:rPr>
      </w:pPr>
      <w:r w:rsidRPr="00AC7962">
        <w:rPr>
          <w:rFonts w:ascii="Arial" w:hAnsi="Arial" w:cs="Arial"/>
          <w:szCs w:val="24"/>
        </w:rPr>
        <w:t xml:space="preserve">Under </w:t>
      </w:r>
      <w:r w:rsidR="00DF5A44" w:rsidRPr="00AC7962">
        <w:rPr>
          <w:rFonts w:ascii="Arial" w:hAnsi="Arial" w:cs="Arial"/>
          <w:szCs w:val="24"/>
        </w:rPr>
        <w:t>paragraph</w:t>
      </w:r>
      <w:r w:rsidRPr="00AC7962">
        <w:rPr>
          <w:rFonts w:ascii="Arial" w:hAnsi="Arial" w:cs="Arial"/>
          <w:szCs w:val="24"/>
        </w:rPr>
        <w:t xml:space="preserve"> 14(1)</w:t>
      </w:r>
      <w:r w:rsidR="00DF5A44" w:rsidRPr="00AC7962">
        <w:rPr>
          <w:rFonts w:ascii="Arial" w:hAnsi="Arial" w:cs="Arial"/>
          <w:szCs w:val="24"/>
        </w:rPr>
        <w:t>(a)</w:t>
      </w:r>
      <w:r w:rsidRPr="00AC7962">
        <w:rPr>
          <w:rFonts w:ascii="Arial" w:hAnsi="Arial" w:cs="Arial"/>
          <w:szCs w:val="24"/>
        </w:rPr>
        <w:t xml:space="preserve"> </w:t>
      </w:r>
      <w:r w:rsidR="00FE604F" w:rsidRPr="00AC7962">
        <w:rPr>
          <w:rFonts w:ascii="Arial" w:hAnsi="Arial" w:cs="Arial"/>
          <w:szCs w:val="24"/>
        </w:rPr>
        <w:t xml:space="preserve">and subsection 14(3) </w:t>
      </w:r>
      <w:r w:rsidRPr="00AC7962">
        <w:rPr>
          <w:rFonts w:ascii="Arial" w:hAnsi="Arial" w:cs="Arial"/>
          <w:szCs w:val="24"/>
        </w:rPr>
        <w:t xml:space="preserve">of the </w:t>
      </w:r>
      <w:r w:rsidRPr="00AC7962">
        <w:rPr>
          <w:rFonts w:ascii="Arial" w:hAnsi="Arial" w:cs="Arial"/>
          <w:i/>
          <w:szCs w:val="24"/>
        </w:rPr>
        <w:t>Legislation Act 2003</w:t>
      </w:r>
      <w:r w:rsidR="00D051F6" w:rsidRPr="00AC7962">
        <w:rPr>
          <w:rFonts w:ascii="Arial" w:hAnsi="Arial" w:cs="Arial"/>
          <w:i/>
          <w:szCs w:val="24"/>
        </w:rPr>
        <w:t xml:space="preserve"> </w:t>
      </w:r>
      <w:r w:rsidR="00D051F6" w:rsidRPr="00AC7962">
        <w:rPr>
          <w:rFonts w:ascii="Arial" w:hAnsi="Arial" w:cs="Arial"/>
          <w:szCs w:val="24"/>
        </w:rPr>
        <w:t xml:space="preserve">(the </w:t>
      </w:r>
      <w:r w:rsidR="00D051F6" w:rsidRPr="00AC7962">
        <w:rPr>
          <w:rFonts w:ascii="Arial" w:hAnsi="Arial" w:cs="Arial"/>
          <w:b/>
          <w:szCs w:val="24"/>
        </w:rPr>
        <w:t>Legislation Act</w:t>
      </w:r>
      <w:r w:rsidR="00D051F6" w:rsidRPr="00AC7962">
        <w:rPr>
          <w:rFonts w:ascii="Arial" w:hAnsi="Arial" w:cs="Arial"/>
          <w:szCs w:val="24"/>
        </w:rPr>
        <w:t>)</w:t>
      </w:r>
      <w:r w:rsidRPr="00AC7962">
        <w:rPr>
          <w:rFonts w:ascii="Arial" w:hAnsi="Arial" w:cs="Arial"/>
          <w:szCs w:val="24"/>
        </w:rPr>
        <w:t xml:space="preserve">, a legislative instrument may reference provisions of another Act by applying, adopting or incorporating it, with or without modification, as in force </w:t>
      </w:r>
      <w:r w:rsidR="00E24ACD" w:rsidRPr="00AC7962">
        <w:rPr>
          <w:rFonts w:ascii="Arial" w:hAnsi="Arial" w:cs="Arial"/>
          <w:szCs w:val="24"/>
        </w:rPr>
        <w:t xml:space="preserve">or existing </w:t>
      </w:r>
      <w:r w:rsidRPr="00AC7962">
        <w:rPr>
          <w:rFonts w:ascii="Arial" w:hAnsi="Arial" w:cs="Arial"/>
          <w:szCs w:val="24"/>
        </w:rPr>
        <w:t xml:space="preserve">from time to time.  </w:t>
      </w:r>
      <w:r w:rsidR="00D051F6" w:rsidRPr="00AC7962">
        <w:rPr>
          <w:rFonts w:ascii="Arial" w:hAnsi="Arial" w:cs="Arial"/>
          <w:szCs w:val="24"/>
        </w:rPr>
        <w:t xml:space="preserve">Section 10 of the </w:t>
      </w:r>
      <w:r w:rsidR="00D051F6" w:rsidRPr="00AC7962">
        <w:rPr>
          <w:rFonts w:ascii="Arial" w:hAnsi="Arial" w:cs="Arial"/>
          <w:i/>
          <w:szCs w:val="24"/>
        </w:rPr>
        <w:t xml:space="preserve">Acts Interpretation Act 1901 </w:t>
      </w:r>
      <w:r w:rsidR="00D051F6" w:rsidRPr="00AC7962">
        <w:rPr>
          <w:rFonts w:ascii="Arial" w:hAnsi="Arial" w:cs="Arial"/>
          <w:szCs w:val="24"/>
        </w:rPr>
        <w:t xml:space="preserve">(the </w:t>
      </w:r>
      <w:r w:rsidR="00D051F6" w:rsidRPr="00AC7962">
        <w:rPr>
          <w:rFonts w:ascii="Arial" w:hAnsi="Arial" w:cs="Arial"/>
          <w:b/>
          <w:szCs w:val="24"/>
        </w:rPr>
        <w:t>Acts Interpretation Act</w:t>
      </w:r>
      <w:r w:rsidR="00D051F6" w:rsidRPr="00AC7962">
        <w:rPr>
          <w:rFonts w:ascii="Arial" w:hAnsi="Arial" w:cs="Arial"/>
          <w:szCs w:val="24"/>
        </w:rPr>
        <w:t xml:space="preserve">) (as applied by </w:t>
      </w:r>
      <w:r w:rsidR="00D76810" w:rsidRPr="00AC7962">
        <w:rPr>
          <w:rFonts w:ascii="Arial" w:hAnsi="Arial" w:cs="Arial"/>
          <w:szCs w:val="24"/>
        </w:rPr>
        <w:t>subsection</w:t>
      </w:r>
      <w:r w:rsidR="00D051F6" w:rsidRPr="00AC7962">
        <w:rPr>
          <w:rFonts w:ascii="Arial" w:hAnsi="Arial" w:cs="Arial"/>
          <w:szCs w:val="24"/>
        </w:rPr>
        <w:t xml:space="preserve"> 1</w:t>
      </w:r>
      <w:r w:rsidR="00D76810" w:rsidRPr="00AC7962">
        <w:rPr>
          <w:rFonts w:ascii="Arial" w:hAnsi="Arial" w:cs="Arial"/>
          <w:szCs w:val="24"/>
        </w:rPr>
        <w:t>3(1)</w:t>
      </w:r>
      <w:r w:rsidR="00D051F6" w:rsidRPr="00AC7962">
        <w:rPr>
          <w:rFonts w:ascii="Arial" w:hAnsi="Arial" w:cs="Arial"/>
          <w:szCs w:val="24"/>
        </w:rPr>
        <w:t xml:space="preserve"> of the Legislation Act</w:t>
      </w:r>
      <w:r w:rsidR="00D76810" w:rsidRPr="00AC7962">
        <w:rPr>
          <w:rFonts w:ascii="Arial" w:hAnsi="Arial" w:cs="Arial"/>
          <w:szCs w:val="24"/>
        </w:rPr>
        <w:t>)</w:t>
      </w:r>
      <w:r w:rsidR="00D051F6" w:rsidRPr="00AC7962">
        <w:rPr>
          <w:rFonts w:ascii="Arial" w:hAnsi="Arial" w:cs="Arial"/>
          <w:szCs w:val="24"/>
        </w:rPr>
        <w:t xml:space="preserve"> has the effect that, unless otherwise specified, references to Acts </w:t>
      </w:r>
      <w:r w:rsidR="00D76810" w:rsidRPr="00AC7962">
        <w:rPr>
          <w:rFonts w:ascii="Arial" w:hAnsi="Arial" w:cs="Arial"/>
          <w:szCs w:val="24"/>
        </w:rPr>
        <w:t xml:space="preserve">in a legislative instrument </w:t>
      </w:r>
      <w:r w:rsidR="00D051F6" w:rsidRPr="00AC7962">
        <w:rPr>
          <w:rFonts w:ascii="Arial" w:hAnsi="Arial" w:cs="Arial"/>
          <w:szCs w:val="24"/>
        </w:rPr>
        <w:t xml:space="preserve">can be taken to be references to those </w:t>
      </w:r>
      <w:r w:rsidR="00D76810" w:rsidRPr="00AC7962">
        <w:rPr>
          <w:rFonts w:ascii="Arial" w:hAnsi="Arial" w:cs="Arial"/>
          <w:szCs w:val="24"/>
        </w:rPr>
        <w:t>Acts</w:t>
      </w:r>
      <w:r w:rsidR="00D051F6" w:rsidRPr="00AC7962">
        <w:rPr>
          <w:rFonts w:ascii="Arial" w:hAnsi="Arial" w:cs="Arial"/>
          <w:szCs w:val="24"/>
        </w:rPr>
        <w:t xml:space="preserve"> as in force from time to time.  </w:t>
      </w:r>
    </w:p>
    <w:p w14:paraId="059E1413" w14:textId="651B447B" w:rsidR="005F7B20" w:rsidRPr="00AC7962" w:rsidRDefault="00D051F6" w:rsidP="00306A3C">
      <w:pPr>
        <w:jc w:val="both"/>
        <w:rPr>
          <w:rFonts w:ascii="Arial" w:hAnsi="Arial" w:cs="Arial"/>
          <w:szCs w:val="24"/>
        </w:rPr>
      </w:pPr>
      <w:r w:rsidRPr="00AC7962">
        <w:rPr>
          <w:rFonts w:ascii="Arial" w:hAnsi="Arial" w:cs="Arial"/>
          <w:szCs w:val="24"/>
        </w:rPr>
        <w:t>Under s</w:t>
      </w:r>
      <w:r w:rsidR="005F7B20" w:rsidRPr="00AC7962">
        <w:rPr>
          <w:rFonts w:ascii="Arial" w:hAnsi="Arial" w:cs="Arial"/>
          <w:szCs w:val="24"/>
        </w:rPr>
        <w:t>ection 5 of this instrument</w:t>
      </w:r>
      <w:r w:rsidR="00960B00" w:rsidRPr="00AC7962">
        <w:rPr>
          <w:rFonts w:ascii="Arial" w:hAnsi="Arial" w:cs="Arial"/>
          <w:szCs w:val="24"/>
        </w:rPr>
        <w:t>,</w:t>
      </w:r>
      <w:r w:rsidR="005F7B20" w:rsidRPr="00AC7962">
        <w:rPr>
          <w:rFonts w:ascii="Arial" w:hAnsi="Arial" w:cs="Arial"/>
          <w:szCs w:val="24"/>
        </w:rPr>
        <w:t xml:space="preserve"> a number of terms </w:t>
      </w:r>
      <w:r w:rsidRPr="00AC7962">
        <w:rPr>
          <w:rFonts w:ascii="Arial" w:hAnsi="Arial" w:cs="Arial"/>
          <w:szCs w:val="24"/>
        </w:rPr>
        <w:t xml:space="preserve">that </w:t>
      </w:r>
      <w:r w:rsidR="005F7B20" w:rsidRPr="00AC7962">
        <w:rPr>
          <w:rFonts w:ascii="Arial" w:hAnsi="Arial" w:cs="Arial"/>
          <w:szCs w:val="24"/>
        </w:rPr>
        <w:t xml:space="preserve">are defined in other Commonwealth Acts (that is, terms defined under the </w:t>
      </w:r>
      <w:r w:rsidR="005F7B20" w:rsidRPr="00AC7962">
        <w:rPr>
          <w:rFonts w:ascii="Arial" w:hAnsi="Arial" w:cs="Arial"/>
          <w:i/>
          <w:szCs w:val="24"/>
        </w:rPr>
        <w:t>Australian Federal Police Act 1979</w:t>
      </w:r>
      <w:r w:rsidR="001D02DB" w:rsidRPr="00AC7962">
        <w:rPr>
          <w:rFonts w:ascii="Arial" w:hAnsi="Arial" w:cs="Arial"/>
          <w:i/>
          <w:szCs w:val="24"/>
        </w:rPr>
        <w:t xml:space="preserve"> </w:t>
      </w:r>
      <w:r w:rsidR="001D02DB" w:rsidRPr="00AC7962">
        <w:rPr>
          <w:rStyle w:val="BookTitle"/>
          <w:rFonts w:ascii="Arial" w:hAnsi="Arial" w:cs="Arial"/>
          <w:i w:val="0"/>
          <w:iCs w:val="0"/>
          <w:smallCaps w:val="0"/>
          <w:spacing w:val="0"/>
          <w:szCs w:val="24"/>
        </w:rPr>
        <w:t>(</w:t>
      </w:r>
      <w:r w:rsidR="001D02DB" w:rsidRPr="00AC7962">
        <w:rPr>
          <w:rStyle w:val="BookTitle"/>
          <w:rFonts w:ascii="Arial" w:hAnsi="Arial" w:cs="Arial"/>
          <w:b/>
          <w:i w:val="0"/>
          <w:iCs w:val="0"/>
          <w:smallCaps w:val="0"/>
          <w:spacing w:val="0"/>
          <w:szCs w:val="24"/>
        </w:rPr>
        <w:t>AFP Act</w:t>
      </w:r>
      <w:r w:rsidR="001D02DB" w:rsidRPr="00AC7962">
        <w:rPr>
          <w:rStyle w:val="BookTitle"/>
          <w:rFonts w:ascii="Arial" w:hAnsi="Arial" w:cs="Arial"/>
          <w:i w:val="0"/>
          <w:iCs w:val="0"/>
          <w:smallCaps w:val="0"/>
          <w:spacing w:val="0"/>
          <w:szCs w:val="24"/>
        </w:rPr>
        <w:t>)</w:t>
      </w:r>
      <w:r w:rsidR="005F7B20" w:rsidRPr="00AC7962">
        <w:rPr>
          <w:rFonts w:ascii="Arial" w:hAnsi="Arial" w:cs="Arial"/>
          <w:szCs w:val="24"/>
        </w:rPr>
        <w:t xml:space="preserve">, the </w:t>
      </w:r>
      <w:r w:rsidR="005F7B20" w:rsidRPr="00AC7962">
        <w:rPr>
          <w:rFonts w:ascii="Arial" w:hAnsi="Arial" w:cs="Arial"/>
          <w:i/>
          <w:szCs w:val="24"/>
        </w:rPr>
        <w:t>Consular Fees Act 1955</w:t>
      </w:r>
      <w:r w:rsidR="005F7B20" w:rsidRPr="00AC7962">
        <w:rPr>
          <w:rFonts w:ascii="Arial" w:hAnsi="Arial" w:cs="Arial"/>
          <w:szCs w:val="24"/>
        </w:rPr>
        <w:t xml:space="preserve"> </w:t>
      </w:r>
      <w:r w:rsidR="001D02DB" w:rsidRPr="00AC7962">
        <w:rPr>
          <w:rFonts w:ascii="Arial" w:hAnsi="Arial" w:cs="Arial"/>
          <w:szCs w:val="24"/>
        </w:rPr>
        <w:t>(</w:t>
      </w:r>
      <w:r w:rsidR="001D02DB" w:rsidRPr="00AC7962">
        <w:rPr>
          <w:rFonts w:ascii="Arial" w:hAnsi="Arial" w:cs="Arial"/>
          <w:b/>
          <w:szCs w:val="24"/>
        </w:rPr>
        <w:t>Consular Fees Act</w:t>
      </w:r>
      <w:r w:rsidR="001D02DB" w:rsidRPr="00AC7962">
        <w:rPr>
          <w:rFonts w:ascii="Arial" w:hAnsi="Arial" w:cs="Arial"/>
          <w:szCs w:val="24"/>
        </w:rPr>
        <w:t xml:space="preserve">) </w:t>
      </w:r>
      <w:r w:rsidR="005F7B20" w:rsidRPr="00AC7962">
        <w:rPr>
          <w:rFonts w:ascii="Arial" w:hAnsi="Arial" w:cs="Arial"/>
          <w:szCs w:val="24"/>
        </w:rPr>
        <w:t xml:space="preserve">and the </w:t>
      </w:r>
      <w:r w:rsidR="005F7B20" w:rsidRPr="00AC7962">
        <w:rPr>
          <w:rFonts w:ascii="Arial" w:hAnsi="Arial" w:cs="Arial"/>
          <w:i/>
          <w:szCs w:val="24"/>
        </w:rPr>
        <w:t>Health Insurance Act 1973</w:t>
      </w:r>
      <w:r w:rsidR="001D02DB" w:rsidRPr="00AC7962">
        <w:rPr>
          <w:rFonts w:ascii="Arial" w:hAnsi="Arial" w:cs="Arial"/>
          <w:i/>
          <w:szCs w:val="24"/>
        </w:rPr>
        <w:t xml:space="preserve"> </w:t>
      </w:r>
      <w:r w:rsidR="001D02DB" w:rsidRPr="00AC7962">
        <w:rPr>
          <w:rFonts w:ascii="Arial" w:hAnsi="Arial" w:cs="Arial"/>
          <w:szCs w:val="24"/>
        </w:rPr>
        <w:t>(</w:t>
      </w:r>
      <w:r w:rsidR="001D02DB" w:rsidRPr="00AC7962">
        <w:rPr>
          <w:rFonts w:ascii="Arial" w:hAnsi="Arial" w:cs="Arial"/>
          <w:b/>
          <w:szCs w:val="24"/>
        </w:rPr>
        <w:t>Health Insurance Act</w:t>
      </w:r>
      <w:r w:rsidR="001D02DB" w:rsidRPr="00AC7962">
        <w:rPr>
          <w:rFonts w:ascii="Arial" w:hAnsi="Arial" w:cs="Arial"/>
          <w:szCs w:val="24"/>
        </w:rPr>
        <w:t>)</w:t>
      </w:r>
      <w:r w:rsidR="005F7B20" w:rsidRPr="00AC7962">
        <w:rPr>
          <w:rFonts w:ascii="Arial" w:hAnsi="Arial" w:cs="Arial"/>
          <w:szCs w:val="24"/>
        </w:rPr>
        <w:t>)</w:t>
      </w:r>
      <w:r w:rsidRPr="00AC7962">
        <w:rPr>
          <w:rFonts w:ascii="Arial" w:hAnsi="Arial" w:cs="Arial"/>
          <w:szCs w:val="24"/>
        </w:rPr>
        <w:t xml:space="preserve"> are incorporated by reference</w:t>
      </w:r>
      <w:r w:rsidR="005F7B20" w:rsidRPr="00AC7962">
        <w:rPr>
          <w:rFonts w:ascii="Arial" w:hAnsi="Arial" w:cs="Arial"/>
          <w:szCs w:val="24"/>
        </w:rPr>
        <w:t xml:space="preserve">.  </w:t>
      </w:r>
      <w:r w:rsidRPr="00AC7962">
        <w:rPr>
          <w:rFonts w:ascii="Arial" w:hAnsi="Arial" w:cs="Arial"/>
          <w:szCs w:val="24"/>
        </w:rPr>
        <w:t>In accordance with the requirements of the Legislation Act and the Acts Interpretation Act,</w:t>
      </w:r>
      <w:r w:rsidR="00517592" w:rsidRPr="00AC7962">
        <w:rPr>
          <w:rFonts w:ascii="Arial" w:hAnsi="Arial" w:cs="Arial"/>
          <w:szCs w:val="24"/>
        </w:rPr>
        <w:t xml:space="preserve"> </w:t>
      </w:r>
      <w:r w:rsidR="00BC06A0" w:rsidRPr="00AC7962">
        <w:rPr>
          <w:rFonts w:ascii="Arial" w:hAnsi="Arial" w:cs="Arial"/>
          <w:szCs w:val="24"/>
        </w:rPr>
        <w:t xml:space="preserve">the </w:t>
      </w:r>
      <w:r w:rsidRPr="00AC7962">
        <w:rPr>
          <w:rFonts w:ascii="Arial" w:hAnsi="Arial" w:cs="Arial"/>
          <w:szCs w:val="24"/>
        </w:rPr>
        <w:t xml:space="preserve">references to </w:t>
      </w:r>
      <w:r w:rsidR="00517592" w:rsidRPr="00AC7962">
        <w:rPr>
          <w:rFonts w:ascii="Arial" w:hAnsi="Arial" w:cs="Arial"/>
          <w:szCs w:val="24"/>
        </w:rPr>
        <w:t>t</w:t>
      </w:r>
      <w:r w:rsidR="005F7B20" w:rsidRPr="00AC7962">
        <w:rPr>
          <w:rFonts w:ascii="Arial" w:hAnsi="Arial" w:cs="Arial"/>
          <w:szCs w:val="24"/>
        </w:rPr>
        <w:t>hese terms are</w:t>
      </w:r>
      <w:r w:rsidR="00BC06A0" w:rsidRPr="00AC7962">
        <w:rPr>
          <w:rFonts w:ascii="Arial" w:hAnsi="Arial" w:cs="Arial"/>
          <w:szCs w:val="24"/>
        </w:rPr>
        <w:t xml:space="preserve"> taken to be</w:t>
      </w:r>
      <w:r w:rsidR="008C653F" w:rsidRPr="00AC7962">
        <w:rPr>
          <w:rFonts w:ascii="Arial" w:hAnsi="Arial" w:cs="Arial"/>
          <w:szCs w:val="24"/>
        </w:rPr>
        <w:t xml:space="preserve"> </w:t>
      </w:r>
      <w:r w:rsidR="005F7B20" w:rsidRPr="00AC7962">
        <w:rPr>
          <w:rFonts w:ascii="Arial" w:hAnsi="Arial" w:cs="Arial"/>
          <w:szCs w:val="24"/>
        </w:rPr>
        <w:t xml:space="preserve">incorporated as in force from time to time.  The Acts </w:t>
      </w:r>
      <w:r w:rsidRPr="00AC7962">
        <w:rPr>
          <w:rFonts w:ascii="Arial" w:hAnsi="Arial" w:cs="Arial"/>
          <w:szCs w:val="24"/>
        </w:rPr>
        <w:t xml:space="preserve">referred to in this instrument </w:t>
      </w:r>
      <w:r w:rsidR="005F7B20" w:rsidRPr="00AC7962">
        <w:rPr>
          <w:rFonts w:ascii="Arial" w:hAnsi="Arial" w:cs="Arial"/>
          <w:szCs w:val="24"/>
        </w:rPr>
        <w:t xml:space="preserve">are </w:t>
      </w:r>
      <w:r w:rsidRPr="00AC7962">
        <w:rPr>
          <w:rFonts w:ascii="Arial" w:hAnsi="Arial" w:cs="Arial"/>
          <w:szCs w:val="24"/>
        </w:rPr>
        <w:t xml:space="preserve">freely </w:t>
      </w:r>
      <w:r w:rsidR="005F7B20" w:rsidRPr="00AC7962">
        <w:rPr>
          <w:rFonts w:ascii="Arial" w:hAnsi="Arial" w:cs="Arial"/>
          <w:szCs w:val="24"/>
        </w:rPr>
        <w:t xml:space="preserve">available to the general public on the Federal Register of Legislation website at </w:t>
      </w:r>
      <w:hyperlink r:id="rId11" w:history="1">
        <w:r w:rsidR="008C653F" w:rsidRPr="00AC7962">
          <w:rPr>
            <w:rStyle w:val="Hyperlink"/>
            <w:rFonts w:ascii="Arial" w:hAnsi="Arial" w:cs="Arial"/>
            <w:color w:val="000000" w:themeColor="text1"/>
            <w:szCs w:val="24"/>
            <w:u w:val="none"/>
          </w:rPr>
          <w:t>https://www.legislation.gov.au/</w:t>
        </w:r>
      </w:hyperlink>
      <w:r w:rsidR="008C653F" w:rsidRPr="00AC7962">
        <w:rPr>
          <w:rFonts w:ascii="Arial" w:hAnsi="Arial" w:cs="Arial"/>
          <w:color w:val="000000" w:themeColor="text1"/>
          <w:szCs w:val="24"/>
        </w:rPr>
        <w:t xml:space="preserve">. </w:t>
      </w:r>
    </w:p>
    <w:p w14:paraId="6B50FD76" w14:textId="77777777" w:rsidR="000B4130" w:rsidRPr="00AC7962" w:rsidRDefault="000B4130" w:rsidP="004B54CA">
      <w:pPr>
        <w:rPr>
          <w:rStyle w:val="BookTitle"/>
          <w:rFonts w:ascii="Arial" w:hAnsi="Arial" w:cs="Arial"/>
          <w:b/>
          <w:i w:val="0"/>
          <w:iCs w:val="0"/>
          <w:smallCaps w:val="0"/>
          <w:spacing w:val="0"/>
          <w:szCs w:val="24"/>
        </w:rPr>
      </w:pPr>
      <w:r w:rsidRPr="00AC7962">
        <w:rPr>
          <w:rStyle w:val="BookTitle"/>
          <w:rFonts w:ascii="Arial" w:hAnsi="Arial" w:cs="Arial"/>
          <w:b/>
          <w:i w:val="0"/>
          <w:iCs w:val="0"/>
          <w:smallCaps w:val="0"/>
          <w:spacing w:val="0"/>
          <w:szCs w:val="24"/>
        </w:rPr>
        <w:t>Commencement</w:t>
      </w:r>
    </w:p>
    <w:p w14:paraId="6CB6CB59" w14:textId="35EF6AEE" w:rsidR="00326917" w:rsidRPr="00AC7962" w:rsidRDefault="00FF64FA" w:rsidP="00ED4E40">
      <w:p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Th</w:t>
      </w:r>
      <w:r w:rsidR="00F905CB" w:rsidRPr="00AC7962">
        <w:rPr>
          <w:rStyle w:val="BookTitle"/>
          <w:rFonts w:ascii="Arial" w:hAnsi="Arial" w:cs="Arial"/>
          <w:i w:val="0"/>
          <w:iCs w:val="0"/>
          <w:smallCaps w:val="0"/>
          <w:spacing w:val="0"/>
          <w:szCs w:val="24"/>
        </w:rPr>
        <w:t xml:space="preserve">is </w:t>
      </w:r>
      <w:r w:rsidR="00537321" w:rsidRPr="00AC7962">
        <w:rPr>
          <w:rStyle w:val="BookTitle"/>
          <w:rFonts w:ascii="Arial" w:hAnsi="Arial" w:cs="Arial"/>
          <w:i w:val="0"/>
          <w:iCs w:val="0"/>
          <w:smallCaps w:val="0"/>
          <w:spacing w:val="0"/>
          <w:szCs w:val="24"/>
        </w:rPr>
        <w:t xml:space="preserve">instrument </w:t>
      </w:r>
      <w:r w:rsidR="00F905CB" w:rsidRPr="00AC7962">
        <w:rPr>
          <w:rStyle w:val="BookTitle"/>
          <w:rFonts w:ascii="Arial" w:hAnsi="Arial" w:cs="Arial"/>
          <w:i w:val="0"/>
          <w:iCs w:val="0"/>
          <w:smallCaps w:val="0"/>
          <w:spacing w:val="0"/>
          <w:szCs w:val="24"/>
        </w:rPr>
        <w:t>commences on 20</w:t>
      </w:r>
      <w:r w:rsidRPr="00AC7962">
        <w:rPr>
          <w:rStyle w:val="BookTitle"/>
          <w:rFonts w:ascii="Arial" w:hAnsi="Arial" w:cs="Arial"/>
          <w:i w:val="0"/>
          <w:iCs w:val="0"/>
          <w:smallCaps w:val="0"/>
          <w:spacing w:val="0"/>
          <w:szCs w:val="24"/>
        </w:rPr>
        <w:t xml:space="preserve"> December 2019.</w:t>
      </w:r>
      <w:r w:rsidR="00B6433A" w:rsidRPr="00AC7962">
        <w:rPr>
          <w:rStyle w:val="BookTitle"/>
          <w:rFonts w:ascii="Arial" w:hAnsi="Arial" w:cs="Arial"/>
          <w:i w:val="0"/>
          <w:iCs w:val="0"/>
          <w:smallCaps w:val="0"/>
          <w:spacing w:val="0"/>
          <w:szCs w:val="24"/>
        </w:rPr>
        <w:t xml:space="preserve">  This</w:t>
      </w:r>
      <w:r w:rsidR="00110D06" w:rsidRPr="00AC7962">
        <w:rPr>
          <w:rStyle w:val="BookTitle"/>
          <w:rFonts w:ascii="Arial" w:hAnsi="Arial" w:cs="Arial"/>
          <w:i w:val="0"/>
          <w:iCs w:val="0"/>
          <w:smallCaps w:val="0"/>
          <w:spacing w:val="0"/>
          <w:szCs w:val="24"/>
        </w:rPr>
        <w:t xml:space="preserve"> aligns the instrument’s commencement</w:t>
      </w:r>
      <w:r w:rsidR="00B6433A" w:rsidRPr="00AC7962">
        <w:rPr>
          <w:rStyle w:val="BookTitle"/>
          <w:rFonts w:ascii="Arial" w:hAnsi="Arial" w:cs="Arial"/>
          <w:i w:val="0"/>
          <w:iCs w:val="0"/>
          <w:smallCaps w:val="0"/>
          <w:spacing w:val="0"/>
          <w:szCs w:val="24"/>
        </w:rPr>
        <w:t xml:space="preserve"> with the commencement date of </w:t>
      </w:r>
      <w:r w:rsidR="00131483" w:rsidRPr="00AC7962">
        <w:rPr>
          <w:rStyle w:val="BookTitle"/>
          <w:rFonts w:ascii="Arial" w:hAnsi="Arial" w:cs="Arial"/>
          <w:i w:val="0"/>
          <w:iCs w:val="0"/>
          <w:smallCaps w:val="0"/>
          <w:spacing w:val="0"/>
          <w:szCs w:val="24"/>
        </w:rPr>
        <w:t xml:space="preserve">relevant provisions of </w:t>
      </w:r>
      <w:r w:rsidR="00B6433A" w:rsidRPr="00AC7962">
        <w:rPr>
          <w:rStyle w:val="BookTitle"/>
          <w:rFonts w:ascii="Arial" w:hAnsi="Arial" w:cs="Arial"/>
          <w:i w:val="0"/>
          <w:iCs w:val="0"/>
          <w:smallCaps w:val="0"/>
          <w:spacing w:val="0"/>
          <w:szCs w:val="24"/>
        </w:rPr>
        <w:t>the Amendment Act</w:t>
      </w:r>
      <w:r w:rsidR="00326917" w:rsidRPr="00AC7962">
        <w:rPr>
          <w:rStyle w:val="BookTitle"/>
          <w:rFonts w:ascii="Arial" w:hAnsi="Arial" w:cs="Arial"/>
          <w:i w:val="0"/>
          <w:iCs w:val="0"/>
          <w:smallCaps w:val="0"/>
          <w:spacing w:val="0"/>
          <w:szCs w:val="24"/>
        </w:rPr>
        <w:t>.</w:t>
      </w:r>
    </w:p>
    <w:p w14:paraId="02063A53" w14:textId="1AA5E4B9" w:rsidR="006B763C" w:rsidRPr="00AC7962" w:rsidRDefault="00517592" w:rsidP="00ED4E40">
      <w:p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Section 4 of the Acts Interpretation Act</w:t>
      </w:r>
      <w:r w:rsidRPr="00AC7962">
        <w:rPr>
          <w:rStyle w:val="BookTitle"/>
          <w:rFonts w:ascii="Arial" w:hAnsi="Arial" w:cs="Arial"/>
          <w:iCs w:val="0"/>
          <w:smallCaps w:val="0"/>
          <w:spacing w:val="0"/>
          <w:szCs w:val="24"/>
        </w:rPr>
        <w:t xml:space="preserve"> </w:t>
      </w:r>
      <w:r w:rsidRPr="00AC7962">
        <w:rPr>
          <w:rStyle w:val="BookTitle"/>
          <w:rFonts w:ascii="Arial" w:hAnsi="Arial" w:cs="Arial"/>
          <w:i w:val="0"/>
          <w:iCs w:val="0"/>
          <w:smallCaps w:val="0"/>
          <w:spacing w:val="0"/>
          <w:szCs w:val="24"/>
        </w:rPr>
        <w:t>provides for the exercise of powers between enactmen</w:t>
      </w:r>
      <w:r w:rsidR="006B763C" w:rsidRPr="00AC7962">
        <w:rPr>
          <w:rStyle w:val="BookTitle"/>
          <w:rFonts w:ascii="Arial" w:hAnsi="Arial" w:cs="Arial"/>
          <w:i w:val="0"/>
          <w:iCs w:val="0"/>
          <w:smallCaps w:val="0"/>
          <w:spacing w:val="0"/>
          <w:szCs w:val="24"/>
        </w:rPr>
        <w:t>t and commencement of an Act.  Under subsection 4(2</w:t>
      </w:r>
      <w:r w:rsidRPr="00AC7962">
        <w:rPr>
          <w:rStyle w:val="BookTitle"/>
          <w:rFonts w:ascii="Arial" w:hAnsi="Arial" w:cs="Arial"/>
          <w:i w:val="0"/>
          <w:iCs w:val="0"/>
          <w:smallCaps w:val="0"/>
          <w:spacing w:val="0"/>
          <w:szCs w:val="24"/>
        </w:rPr>
        <w:t>)</w:t>
      </w:r>
      <w:r w:rsidR="00960B00" w:rsidRPr="00AC7962">
        <w:rPr>
          <w:rStyle w:val="BookTitle"/>
          <w:rFonts w:ascii="Arial" w:hAnsi="Arial" w:cs="Arial"/>
          <w:i w:val="0"/>
          <w:iCs w:val="0"/>
          <w:smallCaps w:val="0"/>
          <w:spacing w:val="0"/>
          <w:szCs w:val="24"/>
        </w:rPr>
        <w:t xml:space="preserve"> of the Acts </w:t>
      </w:r>
      <w:r w:rsidR="00DA2FE3" w:rsidRPr="00AC7962">
        <w:rPr>
          <w:rStyle w:val="BookTitle"/>
          <w:rFonts w:ascii="Arial" w:hAnsi="Arial" w:cs="Arial"/>
          <w:i w:val="0"/>
          <w:iCs w:val="0"/>
          <w:smallCaps w:val="0"/>
          <w:spacing w:val="0"/>
          <w:szCs w:val="24"/>
        </w:rPr>
        <w:t>Interpretation</w:t>
      </w:r>
      <w:r w:rsidR="00960B00" w:rsidRPr="00AC7962">
        <w:rPr>
          <w:rStyle w:val="BookTitle"/>
          <w:rFonts w:ascii="Arial" w:hAnsi="Arial" w:cs="Arial"/>
          <w:i w:val="0"/>
          <w:iCs w:val="0"/>
          <w:smallCaps w:val="0"/>
          <w:spacing w:val="0"/>
          <w:szCs w:val="24"/>
        </w:rPr>
        <w:t xml:space="preserve"> Act, </w:t>
      </w:r>
      <w:r w:rsidR="006B763C" w:rsidRPr="00AC7962">
        <w:rPr>
          <w:rStyle w:val="BookTitle"/>
          <w:rFonts w:ascii="Arial" w:hAnsi="Arial" w:cs="Arial"/>
          <w:i w:val="0"/>
          <w:iCs w:val="0"/>
          <w:smallCaps w:val="0"/>
          <w:spacing w:val="0"/>
          <w:szCs w:val="24"/>
        </w:rPr>
        <w:t xml:space="preserve">where an Act confers power to make a legislative instrument, the power may be exercised in the period between the Act being enacted (that is, receiving the Royal Assent) and the commencement date of that Act.  For the purposes of this instrument, subsection 4(2) enables this instrument to be </w:t>
      </w:r>
      <w:r w:rsidR="005A63B9" w:rsidRPr="00AC7962">
        <w:rPr>
          <w:rStyle w:val="BookTitle"/>
          <w:rFonts w:ascii="Arial" w:hAnsi="Arial" w:cs="Arial"/>
          <w:i w:val="0"/>
          <w:iCs w:val="0"/>
          <w:smallCaps w:val="0"/>
          <w:spacing w:val="0"/>
          <w:szCs w:val="24"/>
        </w:rPr>
        <w:t>made</w:t>
      </w:r>
      <w:r w:rsidR="006B763C" w:rsidRPr="00AC7962">
        <w:rPr>
          <w:rStyle w:val="BookTitle"/>
          <w:rFonts w:ascii="Arial" w:hAnsi="Arial" w:cs="Arial"/>
          <w:i w:val="0"/>
          <w:iCs w:val="0"/>
          <w:smallCaps w:val="0"/>
          <w:spacing w:val="0"/>
          <w:szCs w:val="24"/>
        </w:rPr>
        <w:t xml:space="preserve"> ready for commencement at the same time as the Amendment Act commences.</w:t>
      </w:r>
    </w:p>
    <w:p w14:paraId="50783FC6" w14:textId="7A35EDF5" w:rsidR="006A6D51" w:rsidRPr="00AC7962" w:rsidRDefault="006A6D51" w:rsidP="00E01E71">
      <w:pPr>
        <w:rPr>
          <w:rStyle w:val="BookTitle"/>
          <w:rFonts w:ascii="Arial" w:hAnsi="Arial" w:cs="Arial"/>
          <w:b/>
          <w:i w:val="0"/>
          <w:iCs w:val="0"/>
          <w:smallCaps w:val="0"/>
          <w:spacing w:val="0"/>
          <w:szCs w:val="24"/>
        </w:rPr>
      </w:pPr>
      <w:r w:rsidRPr="00AC7962">
        <w:rPr>
          <w:rStyle w:val="BookTitle"/>
          <w:rFonts w:ascii="Arial" w:hAnsi="Arial" w:cs="Arial"/>
          <w:b/>
          <w:i w:val="0"/>
          <w:iCs w:val="0"/>
          <w:smallCaps w:val="0"/>
          <w:spacing w:val="0"/>
          <w:szCs w:val="24"/>
        </w:rPr>
        <w:t>Consultation</w:t>
      </w:r>
    </w:p>
    <w:p w14:paraId="30337D13" w14:textId="7B1CBD01" w:rsidR="001026EC" w:rsidRPr="00AC7962" w:rsidRDefault="001D02DB" w:rsidP="000260D6">
      <w:pPr>
        <w:jc w:val="both"/>
        <w:rPr>
          <w:rFonts w:ascii="Arial" w:hAnsi="Arial" w:cs="Arial"/>
          <w:szCs w:val="24"/>
        </w:rPr>
      </w:pPr>
      <w:r w:rsidRPr="00AC7962">
        <w:rPr>
          <w:rFonts w:ascii="Arial" w:hAnsi="Arial" w:cs="Arial"/>
          <w:szCs w:val="24"/>
        </w:rPr>
        <w:t>The Department of Foreign Affairs</w:t>
      </w:r>
      <w:r w:rsidR="001026EC" w:rsidRPr="00AC7962">
        <w:rPr>
          <w:rFonts w:ascii="Arial" w:hAnsi="Arial" w:cs="Arial"/>
          <w:szCs w:val="24"/>
        </w:rPr>
        <w:t xml:space="preserve"> </w:t>
      </w:r>
      <w:r w:rsidR="00960B00" w:rsidRPr="00AC7962">
        <w:rPr>
          <w:rFonts w:ascii="Arial" w:hAnsi="Arial" w:cs="Arial"/>
          <w:szCs w:val="24"/>
        </w:rPr>
        <w:t xml:space="preserve">and Trade </w:t>
      </w:r>
      <w:r w:rsidR="001026EC" w:rsidRPr="00AC7962">
        <w:rPr>
          <w:rFonts w:ascii="Arial" w:hAnsi="Arial" w:cs="Arial"/>
          <w:szCs w:val="24"/>
        </w:rPr>
        <w:t xml:space="preserve">was consulted in the preparation </w:t>
      </w:r>
      <w:r w:rsidR="00306A3C" w:rsidRPr="00AC7962">
        <w:rPr>
          <w:rFonts w:ascii="Arial" w:hAnsi="Arial" w:cs="Arial"/>
          <w:szCs w:val="24"/>
        </w:rPr>
        <w:t xml:space="preserve">and drafting </w:t>
      </w:r>
      <w:r w:rsidR="001026EC" w:rsidRPr="00AC7962">
        <w:rPr>
          <w:rFonts w:ascii="Arial" w:hAnsi="Arial" w:cs="Arial"/>
          <w:szCs w:val="24"/>
        </w:rPr>
        <w:t xml:space="preserve">of this </w:t>
      </w:r>
      <w:r w:rsidR="00537321" w:rsidRPr="00AC7962">
        <w:rPr>
          <w:rFonts w:ascii="Arial" w:hAnsi="Arial" w:cs="Arial"/>
          <w:szCs w:val="24"/>
        </w:rPr>
        <w:t>instrument</w:t>
      </w:r>
      <w:r w:rsidR="00E57645" w:rsidRPr="00AC7962">
        <w:rPr>
          <w:rFonts w:ascii="Arial" w:hAnsi="Arial" w:cs="Arial"/>
          <w:szCs w:val="24"/>
        </w:rPr>
        <w:t xml:space="preserve">, as </w:t>
      </w:r>
      <w:r w:rsidRPr="00AC7962">
        <w:rPr>
          <w:rFonts w:ascii="Arial" w:hAnsi="Arial" w:cs="Arial"/>
          <w:szCs w:val="24"/>
        </w:rPr>
        <w:t xml:space="preserve">well as Services Australia </w:t>
      </w:r>
      <w:r w:rsidR="00E57645" w:rsidRPr="00AC7962">
        <w:rPr>
          <w:rFonts w:ascii="Arial" w:hAnsi="Arial" w:cs="Arial"/>
          <w:szCs w:val="24"/>
        </w:rPr>
        <w:t xml:space="preserve">as the </w:t>
      </w:r>
      <w:r w:rsidR="00960B00" w:rsidRPr="00AC7962">
        <w:rPr>
          <w:rFonts w:ascii="Arial" w:hAnsi="Arial" w:cs="Arial"/>
          <w:szCs w:val="24"/>
        </w:rPr>
        <w:t>department</w:t>
      </w:r>
      <w:r w:rsidR="00E57645" w:rsidRPr="00AC7962">
        <w:rPr>
          <w:rFonts w:ascii="Arial" w:hAnsi="Arial" w:cs="Arial"/>
          <w:szCs w:val="24"/>
        </w:rPr>
        <w:t xml:space="preserve"> responsible for processing proof of life certificates. </w:t>
      </w:r>
    </w:p>
    <w:p w14:paraId="42521C31" w14:textId="77777777" w:rsidR="002329E1" w:rsidRPr="00AC7962" w:rsidRDefault="002329E1" w:rsidP="003A04AD">
      <w:pPr>
        <w:spacing w:after="240"/>
        <w:jc w:val="both"/>
        <w:rPr>
          <w:rFonts w:ascii="Arial" w:hAnsi="Arial" w:cs="Arial"/>
          <w:b/>
          <w:szCs w:val="24"/>
        </w:rPr>
      </w:pPr>
      <w:r w:rsidRPr="00AC7962">
        <w:rPr>
          <w:rFonts w:ascii="Arial" w:hAnsi="Arial" w:cs="Arial"/>
          <w:b/>
          <w:szCs w:val="24"/>
        </w:rPr>
        <w:t>Regulat</w:t>
      </w:r>
      <w:r w:rsidR="00D459E0" w:rsidRPr="00AC7962">
        <w:rPr>
          <w:rFonts w:ascii="Arial" w:hAnsi="Arial" w:cs="Arial"/>
          <w:b/>
          <w:szCs w:val="24"/>
        </w:rPr>
        <w:t>ion</w:t>
      </w:r>
      <w:r w:rsidRPr="00AC7962">
        <w:rPr>
          <w:rFonts w:ascii="Arial" w:hAnsi="Arial" w:cs="Arial"/>
          <w:b/>
          <w:szCs w:val="24"/>
        </w:rPr>
        <w:t xml:space="preserve"> Impact </w:t>
      </w:r>
      <w:r w:rsidR="00D459E0" w:rsidRPr="00AC7962">
        <w:rPr>
          <w:rFonts w:ascii="Arial" w:hAnsi="Arial" w:cs="Arial"/>
          <w:b/>
          <w:szCs w:val="24"/>
        </w:rPr>
        <w:t>Statement</w:t>
      </w:r>
      <w:r w:rsidR="00F52853" w:rsidRPr="00AC7962">
        <w:rPr>
          <w:rFonts w:ascii="Arial" w:hAnsi="Arial" w:cs="Arial"/>
          <w:b/>
          <w:szCs w:val="24"/>
        </w:rPr>
        <w:t xml:space="preserve"> (RIS)</w:t>
      </w:r>
    </w:p>
    <w:p w14:paraId="631058EB" w14:textId="4E19CDB6" w:rsidR="00FF64FA" w:rsidRPr="00AC7962" w:rsidRDefault="00FF64FA" w:rsidP="000260D6">
      <w:pPr>
        <w:jc w:val="both"/>
        <w:rPr>
          <w:rFonts w:ascii="Arial" w:hAnsi="Arial" w:cs="Arial"/>
          <w:szCs w:val="24"/>
        </w:rPr>
      </w:pPr>
      <w:r w:rsidRPr="00AC7962">
        <w:rPr>
          <w:rFonts w:ascii="Arial" w:hAnsi="Arial" w:cs="Arial"/>
          <w:szCs w:val="24"/>
        </w:rPr>
        <w:t>A Regulation Impact Statement is not required</w:t>
      </w:r>
      <w:r w:rsidR="00310254" w:rsidRPr="00AC7962">
        <w:rPr>
          <w:rFonts w:ascii="Arial" w:hAnsi="Arial" w:cs="Arial"/>
          <w:szCs w:val="24"/>
        </w:rPr>
        <w:t xml:space="preserve">.  </w:t>
      </w:r>
      <w:r w:rsidRPr="00AC7962">
        <w:rPr>
          <w:rFonts w:ascii="Arial" w:hAnsi="Arial" w:cs="Arial"/>
          <w:szCs w:val="24"/>
        </w:rPr>
        <w:t xml:space="preserve">The </w:t>
      </w:r>
      <w:r w:rsidR="00537321" w:rsidRPr="00AC7962">
        <w:rPr>
          <w:rFonts w:ascii="Arial" w:hAnsi="Arial" w:cs="Arial"/>
          <w:szCs w:val="24"/>
        </w:rPr>
        <w:t xml:space="preserve">instrument </w:t>
      </w:r>
      <w:r w:rsidRPr="00AC7962">
        <w:rPr>
          <w:rFonts w:ascii="Arial" w:hAnsi="Arial" w:cs="Arial"/>
          <w:szCs w:val="24"/>
        </w:rPr>
        <w:t xml:space="preserve">gives effect to the proof of life certificate requirements enacted in the </w:t>
      </w:r>
      <w:r w:rsidR="006A33F4" w:rsidRPr="00AC7962">
        <w:rPr>
          <w:rFonts w:ascii="Arial" w:hAnsi="Arial" w:cs="Arial"/>
          <w:szCs w:val="24"/>
        </w:rPr>
        <w:t>Amendment</w:t>
      </w:r>
      <w:r w:rsidRPr="00AC7962">
        <w:rPr>
          <w:rFonts w:ascii="Arial" w:hAnsi="Arial" w:cs="Arial"/>
          <w:szCs w:val="24"/>
        </w:rPr>
        <w:t xml:space="preserve"> Act, and any regulatory impact is addressed in the explanatory materials for </w:t>
      </w:r>
      <w:r w:rsidR="006A33F4" w:rsidRPr="00AC7962">
        <w:rPr>
          <w:rFonts w:ascii="Arial" w:hAnsi="Arial" w:cs="Arial"/>
          <w:szCs w:val="24"/>
        </w:rPr>
        <w:t>the Amendment Act</w:t>
      </w:r>
      <w:r w:rsidR="00310254" w:rsidRPr="00AC7962">
        <w:rPr>
          <w:rFonts w:ascii="Arial" w:hAnsi="Arial" w:cs="Arial"/>
          <w:szCs w:val="24"/>
        </w:rPr>
        <w:t xml:space="preserve"> (OBPR ID 23652)</w:t>
      </w:r>
      <w:r w:rsidR="00C17904" w:rsidRPr="00AC7962">
        <w:rPr>
          <w:rFonts w:ascii="Arial" w:hAnsi="Arial" w:cs="Arial"/>
          <w:szCs w:val="24"/>
        </w:rPr>
        <w:t>.</w:t>
      </w:r>
    </w:p>
    <w:p w14:paraId="73FAE54A" w14:textId="77777777" w:rsidR="008671FE" w:rsidRPr="00AC7962" w:rsidRDefault="008671FE" w:rsidP="003A04AD">
      <w:pPr>
        <w:rPr>
          <w:rStyle w:val="BookTitle"/>
          <w:rFonts w:ascii="Arial" w:hAnsi="Arial" w:cs="Arial"/>
          <w:b/>
          <w:i w:val="0"/>
          <w:iCs w:val="0"/>
          <w:smallCaps w:val="0"/>
          <w:spacing w:val="0"/>
          <w:szCs w:val="24"/>
        </w:rPr>
        <w:sectPr w:rsidR="008671FE" w:rsidRPr="00AC7962">
          <w:pgSz w:w="11906" w:h="16838"/>
          <w:pgMar w:top="1440" w:right="1440" w:bottom="1440" w:left="1440" w:header="708" w:footer="708" w:gutter="0"/>
          <w:cols w:space="708"/>
          <w:docGrid w:linePitch="360"/>
        </w:sectPr>
      </w:pPr>
    </w:p>
    <w:p w14:paraId="05301667" w14:textId="3AD40CC6" w:rsidR="006A6D51" w:rsidRPr="00AC7962" w:rsidRDefault="006A6D51" w:rsidP="003A04AD">
      <w:pPr>
        <w:rPr>
          <w:rStyle w:val="BookTitle"/>
          <w:rFonts w:ascii="Arial" w:hAnsi="Arial" w:cs="Arial"/>
          <w:b/>
          <w:i w:val="0"/>
          <w:iCs w:val="0"/>
          <w:smallCaps w:val="0"/>
          <w:spacing w:val="0"/>
          <w:szCs w:val="24"/>
        </w:rPr>
      </w:pPr>
      <w:r w:rsidRPr="00AC7962">
        <w:rPr>
          <w:rStyle w:val="BookTitle"/>
          <w:rFonts w:ascii="Arial" w:hAnsi="Arial" w:cs="Arial"/>
          <w:b/>
          <w:i w:val="0"/>
          <w:iCs w:val="0"/>
          <w:smallCaps w:val="0"/>
          <w:spacing w:val="0"/>
          <w:szCs w:val="24"/>
        </w:rPr>
        <w:lastRenderedPageBreak/>
        <w:t>Explanation of the provisions</w:t>
      </w:r>
    </w:p>
    <w:p w14:paraId="5B48BD57" w14:textId="77777777" w:rsidR="00871F28" w:rsidRPr="00AC7962" w:rsidRDefault="00365424" w:rsidP="00871F28">
      <w:pPr>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u w:val="single"/>
        </w:rPr>
        <w:t>Section</w:t>
      </w:r>
      <w:r w:rsidR="00871F28" w:rsidRPr="00AC7962">
        <w:rPr>
          <w:rStyle w:val="BookTitle"/>
          <w:rFonts w:ascii="Arial" w:hAnsi="Arial" w:cs="Arial"/>
          <w:i w:val="0"/>
          <w:iCs w:val="0"/>
          <w:smallCaps w:val="0"/>
          <w:spacing w:val="0"/>
          <w:szCs w:val="24"/>
          <w:u w:val="single"/>
        </w:rPr>
        <w:t xml:space="preserve"> 1</w:t>
      </w:r>
      <w:r w:rsidR="00871F28" w:rsidRPr="00AC7962">
        <w:rPr>
          <w:rStyle w:val="BookTitle"/>
          <w:rFonts w:ascii="Arial" w:hAnsi="Arial" w:cs="Arial"/>
          <w:i w:val="0"/>
          <w:iCs w:val="0"/>
          <w:smallCaps w:val="0"/>
          <w:spacing w:val="0"/>
          <w:szCs w:val="24"/>
        </w:rPr>
        <w:t xml:space="preserve"> </w:t>
      </w:r>
    </w:p>
    <w:p w14:paraId="2E9CF2FA" w14:textId="7D0AFC29" w:rsidR="00306A3C" w:rsidRPr="00AC7962" w:rsidRDefault="00306A3C" w:rsidP="000260D6">
      <w:p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 xml:space="preserve">This section </w:t>
      </w:r>
      <w:r w:rsidR="0029462A" w:rsidRPr="00AC7962">
        <w:rPr>
          <w:rStyle w:val="BookTitle"/>
          <w:rFonts w:ascii="Arial" w:hAnsi="Arial" w:cs="Arial"/>
          <w:i w:val="0"/>
          <w:iCs w:val="0"/>
          <w:smallCaps w:val="0"/>
          <w:spacing w:val="0"/>
          <w:szCs w:val="24"/>
        </w:rPr>
        <w:t xml:space="preserve">provides that </w:t>
      </w:r>
      <w:r w:rsidRPr="00AC7962">
        <w:rPr>
          <w:rStyle w:val="BookTitle"/>
          <w:rFonts w:ascii="Arial" w:hAnsi="Arial" w:cs="Arial"/>
          <w:i w:val="0"/>
          <w:iCs w:val="0"/>
          <w:smallCaps w:val="0"/>
          <w:spacing w:val="0"/>
          <w:szCs w:val="24"/>
        </w:rPr>
        <w:t xml:space="preserve">the name of the </w:t>
      </w:r>
      <w:r w:rsidR="00537321" w:rsidRPr="00AC7962">
        <w:rPr>
          <w:rStyle w:val="BookTitle"/>
          <w:rFonts w:ascii="Arial" w:hAnsi="Arial" w:cs="Arial"/>
          <w:i w:val="0"/>
          <w:iCs w:val="0"/>
          <w:smallCaps w:val="0"/>
          <w:spacing w:val="0"/>
          <w:szCs w:val="24"/>
        </w:rPr>
        <w:t xml:space="preserve">instrument </w:t>
      </w:r>
      <w:r w:rsidR="0029462A" w:rsidRPr="00AC7962">
        <w:rPr>
          <w:rStyle w:val="BookTitle"/>
          <w:rFonts w:ascii="Arial" w:hAnsi="Arial" w:cs="Arial"/>
          <w:i w:val="0"/>
          <w:iCs w:val="0"/>
          <w:smallCaps w:val="0"/>
          <w:spacing w:val="0"/>
          <w:szCs w:val="24"/>
        </w:rPr>
        <w:t xml:space="preserve">is the </w:t>
      </w:r>
      <w:r w:rsidR="0029462A" w:rsidRPr="00AC7962">
        <w:rPr>
          <w:rStyle w:val="BookTitle"/>
          <w:rFonts w:ascii="Arial" w:hAnsi="Arial" w:cs="Arial"/>
          <w:iCs w:val="0"/>
          <w:smallCaps w:val="0"/>
          <w:spacing w:val="0"/>
          <w:szCs w:val="24"/>
        </w:rPr>
        <w:t>Social Security (Administration) (Authorised Certifier) Determination 2019</w:t>
      </w:r>
      <w:r w:rsidRPr="00AC7962">
        <w:rPr>
          <w:rStyle w:val="BookTitle"/>
          <w:rFonts w:ascii="Arial" w:hAnsi="Arial" w:cs="Arial"/>
          <w:i w:val="0"/>
          <w:iCs w:val="0"/>
          <w:smallCaps w:val="0"/>
          <w:spacing w:val="0"/>
          <w:szCs w:val="24"/>
        </w:rPr>
        <w:t xml:space="preserve">. </w:t>
      </w:r>
    </w:p>
    <w:p w14:paraId="309A2388" w14:textId="380ADAB3" w:rsidR="00871F28" w:rsidRPr="00AC7962" w:rsidRDefault="00365424" w:rsidP="00871F28">
      <w:pPr>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u w:val="single"/>
        </w:rPr>
        <w:t>Section</w:t>
      </w:r>
      <w:r w:rsidR="00446D6C" w:rsidRPr="00AC7962">
        <w:rPr>
          <w:rStyle w:val="BookTitle"/>
          <w:rFonts w:ascii="Arial" w:hAnsi="Arial" w:cs="Arial"/>
          <w:i w:val="0"/>
          <w:iCs w:val="0"/>
          <w:smallCaps w:val="0"/>
          <w:spacing w:val="0"/>
          <w:szCs w:val="24"/>
          <w:u w:val="single"/>
        </w:rPr>
        <w:t xml:space="preserve"> 2 </w:t>
      </w:r>
      <w:r w:rsidR="00871F28" w:rsidRPr="00AC7962">
        <w:rPr>
          <w:rStyle w:val="BookTitle"/>
          <w:rFonts w:ascii="Arial" w:hAnsi="Arial" w:cs="Arial"/>
          <w:i w:val="0"/>
          <w:iCs w:val="0"/>
          <w:smallCaps w:val="0"/>
          <w:spacing w:val="0"/>
          <w:szCs w:val="24"/>
        </w:rPr>
        <w:t xml:space="preserve"> </w:t>
      </w:r>
    </w:p>
    <w:p w14:paraId="1374C95D" w14:textId="29789A8C" w:rsidR="00306A3C" w:rsidRPr="00AC7962" w:rsidRDefault="00306A3C" w:rsidP="000260D6">
      <w:p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 xml:space="preserve">This section states that the </w:t>
      </w:r>
      <w:r w:rsidR="00537321" w:rsidRPr="00AC7962">
        <w:rPr>
          <w:rStyle w:val="BookTitle"/>
          <w:rFonts w:ascii="Arial" w:hAnsi="Arial" w:cs="Arial"/>
          <w:i w:val="0"/>
          <w:iCs w:val="0"/>
          <w:smallCaps w:val="0"/>
          <w:spacing w:val="0"/>
          <w:szCs w:val="24"/>
        </w:rPr>
        <w:t xml:space="preserve">instrument </w:t>
      </w:r>
      <w:r w:rsidRPr="00AC7962">
        <w:rPr>
          <w:rStyle w:val="BookTitle"/>
          <w:rFonts w:ascii="Arial" w:hAnsi="Arial" w:cs="Arial"/>
          <w:i w:val="0"/>
          <w:iCs w:val="0"/>
          <w:smallCaps w:val="0"/>
          <w:spacing w:val="0"/>
          <w:szCs w:val="24"/>
        </w:rPr>
        <w:t xml:space="preserve">commences on 20 December 2019. </w:t>
      </w:r>
    </w:p>
    <w:p w14:paraId="757F7B4C" w14:textId="27672C88" w:rsidR="00871F28" w:rsidRPr="00AC7962" w:rsidRDefault="00306A3C" w:rsidP="000260D6">
      <w:pPr>
        <w:jc w:val="both"/>
        <w:rPr>
          <w:rStyle w:val="BookTitle"/>
          <w:rFonts w:ascii="Arial" w:hAnsi="Arial" w:cs="Arial"/>
          <w:i w:val="0"/>
          <w:iCs w:val="0"/>
          <w:smallCaps w:val="0"/>
          <w:spacing w:val="0"/>
          <w:szCs w:val="24"/>
          <w:u w:val="single"/>
        </w:rPr>
      </w:pPr>
      <w:r w:rsidRPr="00AC7962">
        <w:rPr>
          <w:rStyle w:val="BookTitle"/>
          <w:rFonts w:ascii="Arial" w:hAnsi="Arial" w:cs="Arial"/>
          <w:i w:val="0"/>
          <w:iCs w:val="0"/>
          <w:smallCaps w:val="0"/>
          <w:spacing w:val="0"/>
          <w:szCs w:val="24"/>
          <w:u w:val="single"/>
        </w:rPr>
        <w:t>Section 3</w:t>
      </w:r>
    </w:p>
    <w:p w14:paraId="3C24294F" w14:textId="04B5FD9B" w:rsidR="00306A3C" w:rsidRPr="00AC7962" w:rsidRDefault="00306A3C" w:rsidP="000260D6">
      <w:p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 xml:space="preserve">This section </w:t>
      </w:r>
      <w:r w:rsidR="00C353A7" w:rsidRPr="00AC7962">
        <w:rPr>
          <w:rStyle w:val="BookTitle"/>
          <w:rFonts w:ascii="Arial" w:hAnsi="Arial" w:cs="Arial"/>
          <w:i w:val="0"/>
          <w:iCs w:val="0"/>
          <w:smallCaps w:val="0"/>
          <w:spacing w:val="0"/>
          <w:szCs w:val="24"/>
        </w:rPr>
        <w:t xml:space="preserve">provides </w:t>
      </w:r>
      <w:r w:rsidRPr="00AC7962">
        <w:rPr>
          <w:rStyle w:val="BookTitle"/>
          <w:rFonts w:ascii="Arial" w:hAnsi="Arial" w:cs="Arial"/>
          <w:i w:val="0"/>
          <w:iCs w:val="0"/>
          <w:smallCaps w:val="0"/>
          <w:spacing w:val="0"/>
          <w:szCs w:val="24"/>
        </w:rPr>
        <w:t xml:space="preserve">that the authority for making this instrument is </w:t>
      </w:r>
      <w:r w:rsidR="00C353A7" w:rsidRPr="00AC7962">
        <w:rPr>
          <w:rStyle w:val="BookTitle"/>
          <w:rFonts w:ascii="Arial" w:hAnsi="Arial" w:cs="Arial"/>
          <w:i w:val="0"/>
          <w:iCs w:val="0"/>
          <w:smallCaps w:val="0"/>
          <w:spacing w:val="0"/>
          <w:szCs w:val="24"/>
        </w:rPr>
        <w:t>subsection </w:t>
      </w:r>
      <w:r w:rsidRPr="00AC7962">
        <w:rPr>
          <w:rStyle w:val="BookTitle"/>
          <w:rFonts w:ascii="Arial" w:hAnsi="Arial" w:cs="Arial"/>
          <w:i w:val="0"/>
          <w:iCs w:val="0"/>
          <w:smallCaps w:val="0"/>
          <w:spacing w:val="0"/>
          <w:szCs w:val="24"/>
        </w:rPr>
        <w:t xml:space="preserve">63A(9) of the Act. </w:t>
      </w:r>
    </w:p>
    <w:p w14:paraId="36AA1BCE" w14:textId="44A4049E" w:rsidR="00871F28" w:rsidRPr="00AC7962" w:rsidRDefault="00306A3C" w:rsidP="000260D6">
      <w:pPr>
        <w:jc w:val="both"/>
        <w:rPr>
          <w:rStyle w:val="BookTitle"/>
          <w:rFonts w:ascii="Arial" w:hAnsi="Arial" w:cs="Arial"/>
          <w:i w:val="0"/>
          <w:iCs w:val="0"/>
          <w:smallCaps w:val="0"/>
          <w:spacing w:val="0"/>
          <w:szCs w:val="24"/>
          <w:u w:val="single"/>
        </w:rPr>
      </w:pPr>
      <w:r w:rsidRPr="00AC7962">
        <w:rPr>
          <w:rStyle w:val="BookTitle"/>
          <w:rFonts w:ascii="Arial" w:hAnsi="Arial" w:cs="Arial"/>
          <w:i w:val="0"/>
          <w:iCs w:val="0"/>
          <w:smallCaps w:val="0"/>
          <w:spacing w:val="0"/>
          <w:szCs w:val="24"/>
          <w:u w:val="single"/>
        </w:rPr>
        <w:t>Section 4</w:t>
      </w:r>
    </w:p>
    <w:p w14:paraId="2B1F80A7" w14:textId="12CDA4D5" w:rsidR="00306A3C" w:rsidRPr="00AC7962" w:rsidRDefault="00306A3C" w:rsidP="000260D6">
      <w:p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This section provides definitions for te</w:t>
      </w:r>
      <w:r w:rsidR="006C1B0D" w:rsidRPr="00AC7962">
        <w:rPr>
          <w:rStyle w:val="BookTitle"/>
          <w:rFonts w:ascii="Arial" w:hAnsi="Arial" w:cs="Arial"/>
          <w:i w:val="0"/>
          <w:iCs w:val="0"/>
          <w:smallCaps w:val="0"/>
          <w:spacing w:val="0"/>
          <w:szCs w:val="24"/>
        </w:rPr>
        <w:t xml:space="preserve">rms used in the </w:t>
      </w:r>
      <w:r w:rsidR="00537321" w:rsidRPr="00AC7962">
        <w:rPr>
          <w:rStyle w:val="BookTitle"/>
          <w:rFonts w:ascii="Arial" w:hAnsi="Arial" w:cs="Arial"/>
          <w:i w:val="0"/>
          <w:iCs w:val="0"/>
          <w:smallCaps w:val="0"/>
          <w:spacing w:val="0"/>
          <w:szCs w:val="24"/>
        </w:rPr>
        <w:t>instrument</w:t>
      </w:r>
      <w:r w:rsidR="006C1B0D" w:rsidRPr="00AC7962">
        <w:rPr>
          <w:rStyle w:val="BookTitle"/>
          <w:rFonts w:ascii="Arial" w:hAnsi="Arial" w:cs="Arial"/>
          <w:i w:val="0"/>
          <w:iCs w:val="0"/>
          <w:smallCaps w:val="0"/>
          <w:spacing w:val="0"/>
          <w:szCs w:val="24"/>
        </w:rPr>
        <w:t xml:space="preserve">. </w:t>
      </w:r>
    </w:p>
    <w:p w14:paraId="3E469690" w14:textId="3A36D8F8" w:rsidR="0029462A" w:rsidRPr="00AC7962" w:rsidRDefault="0029462A" w:rsidP="000260D6">
      <w:pPr>
        <w:jc w:val="both"/>
        <w:rPr>
          <w:rStyle w:val="BookTitle"/>
          <w:rFonts w:ascii="Arial" w:hAnsi="Arial" w:cs="Arial"/>
          <w:iCs w:val="0"/>
          <w:smallCaps w:val="0"/>
          <w:spacing w:val="0"/>
          <w:szCs w:val="24"/>
        </w:rPr>
      </w:pPr>
      <w:r w:rsidRPr="00AC7962">
        <w:rPr>
          <w:rStyle w:val="BookTitle"/>
          <w:rFonts w:ascii="Arial" w:hAnsi="Arial" w:cs="Arial"/>
          <w:b/>
          <w:iCs w:val="0"/>
          <w:smallCaps w:val="0"/>
          <w:spacing w:val="0"/>
          <w:szCs w:val="24"/>
        </w:rPr>
        <w:t xml:space="preserve">Act </w:t>
      </w:r>
      <w:r w:rsidRPr="00AC7962">
        <w:rPr>
          <w:rStyle w:val="BookTitle"/>
          <w:rFonts w:ascii="Arial" w:hAnsi="Arial" w:cs="Arial"/>
          <w:i w:val="0"/>
          <w:iCs w:val="0"/>
          <w:smallCaps w:val="0"/>
          <w:spacing w:val="0"/>
          <w:szCs w:val="24"/>
        </w:rPr>
        <w:t xml:space="preserve">means the </w:t>
      </w:r>
      <w:r w:rsidRPr="00AC7962">
        <w:rPr>
          <w:rStyle w:val="BookTitle"/>
          <w:rFonts w:ascii="Arial" w:hAnsi="Arial" w:cs="Arial"/>
          <w:iCs w:val="0"/>
          <w:smallCaps w:val="0"/>
          <w:spacing w:val="0"/>
          <w:szCs w:val="24"/>
        </w:rPr>
        <w:t>Social Security (Administration) Act 1999.</w:t>
      </w:r>
    </w:p>
    <w:p w14:paraId="6379B99F" w14:textId="5DEBE895" w:rsidR="00E81B91" w:rsidRPr="00AC7962" w:rsidRDefault="00296C20" w:rsidP="000260D6">
      <w:pPr>
        <w:jc w:val="both"/>
        <w:rPr>
          <w:rStyle w:val="BookTitle"/>
          <w:rFonts w:ascii="Arial" w:hAnsi="Arial" w:cs="Arial"/>
          <w:i w:val="0"/>
          <w:iCs w:val="0"/>
          <w:smallCaps w:val="0"/>
          <w:spacing w:val="0"/>
          <w:szCs w:val="24"/>
        </w:rPr>
      </w:pPr>
      <w:r w:rsidRPr="00AC7962">
        <w:rPr>
          <w:rStyle w:val="BookTitle"/>
          <w:rFonts w:ascii="Arial" w:hAnsi="Arial" w:cs="Arial"/>
          <w:b/>
          <w:iCs w:val="0"/>
          <w:smallCaps w:val="0"/>
          <w:spacing w:val="0"/>
          <w:szCs w:val="24"/>
        </w:rPr>
        <w:t>social security recipient</w:t>
      </w:r>
      <w:r w:rsidRPr="00AC7962">
        <w:rPr>
          <w:rStyle w:val="BookTitle"/>
          <w:rFonts w:ascii="Arial" w:hAnsi="Arial" w:cs="Arial"/>
          <w:iCs w:val="0"/>
          <w:smallCaps w:val="0"/>
          <w:spacing w:val="0"/>
          <w:szCs w:val="24"/>
        </w:rPr>
        <w:t xml:space="preserve"> </w:t>
      </w:r>
      <w:r w:rsidRPr="00AC7962">
        <w:rPr>
          <w:rStyle w:val="BookTitle"/>
          <w:rFonts w:ascii="Arial" w:hAnsi="Arial" w:cs="Arial"/>
          <w:i w:val="0"/>
          <w:iCs w:val="0"/>
          <w:smallCaps w:val="0"/>
          <w:spacing w:val="0"/>
          <w:szCs w:val="24"/>
        </w:rPr>
        <w:t xml:space="preserve">is defined as a person required by section 63 of the Act to provide a proof of life certificate (as defined in section 63A of the Act). </w:t>
      </w:r>
    </w:p>
    <w:p w14:paraId="36F977CB" w14:textId="7BAA6624" w:rsidR="00871F28" w:rsidRPr="00AC7962" w:rsidRDefault="006C1B0D" w:rsidP="000260D6">
      <w:p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u w:val="single"/>
        </w:rPr>
        <w:t>Section 5</w:t>
      </w:r>
    </w:p>
    <w:p w14:paraId="1EB62E00" w14:textId="7B606AE2" w:rsidR="00E3212A" w:rsidRPr="00AC7962" w:rsidRDefault="000B55C8" w:rsidP="00E357FA">
      <w:pPr>
        <w:jc w:val="both"/>
        <w:rPr>
          <w:rFonts w:ascii="Arial" w:hAnsi="Arial" w:cs="Arial"/>
          <w:szCs w:val="24"/>
        </w:rPr>
      </w:pPr>
      <w:r w:rsidRPr="00AC7962">
        <w:rPr>
          <w:rStyle w:val="BookTitle"/>
          <w:rFonts w:ascii="Arial" w:hAnsi="Arial" w:cs="Arial"/>
          <w:i w:val="0"/>
          <w:iCs w:val="0"/>
          <w:smallCaps w:val="0"/>
          <w:spacing w:val="0"/>
          <w:szCs w:val="24"/>
        </w:rPr>
        <w:t xml:space="preserve">Subsection 5(1) provides that the classes of persons specified in subsections </w:t>
      </w:r>
      <w:r w:rsidR="00B6433A" w:rsidRPr="00AC7962">
        <w:rPr>
          <w:rStyle w:val="BookTitle"/>
          <w:rFonts w:ascii="Arial" w:hAnsi="Arial" w:cs="Arial"/>
          <w:i w:val="0"/>
          <w:iCs w:val="0"/>
          <w:smallCaps w:val="0"/>
          <w:spacing w:val="0"/>
          <w:szCs w:val="24"/>
        </w:rPr>
        <w:t>5</w:t>
      </w:r>
      <w:r w:rsidRPr="00AC7962">
        <w:rPr>
          <w:rStyle w:val="BookTitle"/>
          <w:rFonts w:ascii="Arial" w:hAnsi="Arial" w:cs="Arial"/>
          <w:i w:val="0"/>
          <w:iCs w:val="0"/>
          <w:smallCaps w:val="0"/>
          <w:spacing w:val="0"/>
          <w:szCs w:val="24"/>
        </w:rPr>
        <w:t xml:space="preserve">(2) and </w:t>
      </w:r>
      <w:r w:rsidR="00B6433A" w:rsidRPr="00AC7962">
        <w:rPr>
          <w:rStyle w:val="BookTitle"/>
          <w:rFonts w:ascii="Arial" w:hAnsi="Arial" w:cs="Arial"/>
          <w:i w:val="0"/>
          <w:iCs w:val="0"/>
          <w:smallCaps w:val="0"/>
          <w:spacing w:val="0"/>
          <w:szCs w:val="24"/>
        </w:rPr>
        <w:t>5</w:t>
      </w:r>
      <w:r w:rsidRPr="00AC7962">
        <w:rPr>
          <w:rStyle w:val="BookTitle"/>
          <w:rFonts w:ascii="Arial" w:hAnsi="Arial" w:cs="Arial"/>
          <w:i w:val="0"/>
          <w:iCs w:val="0"/>
          <w:smallCaps w:val="0"/>
          <w:spacing w:val="0"/>
          <w:szCs w:val="24"/>
        </w:rPr>
        <w:t xml:space="preserve">(3) are determined by the Secretary to be </w:t>
      </w:r>
      <w:r w:rsidR="00E81B91" w:rsidRPr="00AC7962">
        <w:rPr>
          <w:rStyle w:val="BookTitle"/>
          <w:rFonts w:ascii="Arial" w:hAnsi="Arial" w:cs="Arial"/>
          <w:i w:val="0"/>
          <w:iCs w:val="0"/>
          <w:smallCaps w:val="0"/>
          <w:spacing w:val="0"/>
          <w:szCs w:val="24"/>
        </w:rPr>
        <w:t>authorised certifier</w:t>
      </w:r>
      <w:r w:rsidR="00810A2C" w:rsidRPr="00AC7962">
        <w:rPr>
          <w:rStyle w:val="BookTitle"/>
          <w:rFonts w:ascii="Arial" w:hAnsi="Arial" w:cs="Arial"/>
          <w:i w:val="0"/>
          <w:iCs w:val="0"/>
          <w:smallCaps w:val="0"/>
          <w:spacing w:val="0"/>
          <w:szCs w:val="24"/>
        </w:rPr>
        <w:t>s</w:t>
      </w:r>
      <w:r w:rsidR="00E81B91" w:rsidRPr="00AC7962">
        <w:rPr>
          <w:rStyle w:val="BookTitle"/>
          <w:rFonts w:ascii="Arial" w:hAnsi="Arial" w:cs="Arial"/>
          <w:i w:val="0"/>
          <w:iCs w:val="0"/>
          <w:smallCaps w:val="0"/>
          <w:spacing w:val="0"/>
          <w:szCs w:val="24"/>
        </w:rPr>
        <w:t xml:space="preserve"> for the purposes of s</w:t>
      </w:r>
      <w:r w:rsidR="0029462A" w:rsidRPr="00AC7962">
        <w:rPr>
          <w:rStyle w:val="BookTitle"/>
          <w:rFonts w:ascii="Arial" w:hAnsi="Arial" w:cs="Arial"/>
          <w:i w:val="0"/>
          <w:iCs w:val="0"/>
          <w:smallCaps w:val="0"/>
          <w:spacing w:val="0"/>
          <w:szCs w:val="24"/>
        </w:rPr>
        <w:t>ubs</w:t>
      </w:r>
      <w:r w:rsidR="00E81B91" w:rsidRPr="00AC7962">
        <w:rPr>
          <w:rStyle w:val="BookTitle"/>
          <w:rFonts w:ascii="Arial" w:hAnsi="Arial" w:cs="Arial"/>
          <w:i w:val="0"/>
          <w:iCs w:val="0"/>
          <w:smallCaps w:val="0"/>
          <w:spacing w:val="0"/>
          <w:szCs w:val="24"/>
        </w:rPr>
        <w:t>ection 63A</w:t>
      </w:r>
      <w:r w:rsidR="0029462A" w:rsidRPr="00AC7962">
        <w:rPr>
          <w:rStyle w:val="BookTitle"/>
          <w:rFonts w:ascii="Arial" w:hAnsi="Arial" w:cs="Arial"/>
          <w:i w:val="0"/>
          <w:iCs w:val="0"/>
          <w:smallCaps w:val="0"/>
          <w:spacing w:val="0"/>
          <w:szCs w:val="24"/>
        </w:rPr>
        <w:t>(9)</w:t>
      </w:r>
      <w:r w:rsidR="00E81B91" w:rsidRPr="00AC7962">
        <w:rPr>
          <w:rStyle w:val="BookTitle"/>
          <w:rFonts w:ascii="Arial" w:hAnsi="Arial" w:cs="Arial"/>
          <w:i w:val="0"/>
          <w:iCs w:val="0"/>
          <w:smallCaps w:val="0"/>
          <w:spacing w:val="0"/>
          <w:szCs w:val="24"/>
        </w:rPr>
        <w:t xml:space="preserve"> of the Act. </w:t>
      </w:r>
      <w:r w:rsidR="0029462A" w:rsidRPr="00AC7962">
        <w:rPr>
          <w:rStyle w:val="BookTitle"/>
          <w:rFonts w:ascii="Arial" w:hAnsi="Arial" w:cs="Arial"/>
          <w:i w:val="0"/>
          <w:iCs w:val="0"/>
          <w:smallCaps w:val="0"/>
          <w:spacing w:val="0"/>
          <w:szCs w:val="24"/>
        </w:rPr>
        <w:t xml:space="preserve"> </w:t>
      </w:r>
      <w:r w:rsidR="00E357FA" w:rsidRPr="00AC7962">
        <w:rPr>
          <w:rStyle w:val="BookTitle"/>
          <w:rFonts w:ascii="Arial" w:hAnsi="Arial" w:cs="Arial"/>
          <w:i w:val="0"/>
          <w:iCs w:val="0"/>
          <w:smallCaps w:val="0"/>
          <w:spacing w:val="0"/>
          <w:szCs w:val="24"/>
        </w:rPr>
        <w:t>The note in this subsection</w:t>
      </w:r>
      <w:r w:rsidR="00BE638F" w:rsidRPr="00AC7962">
        <w:rPr>
          <w:rStyle w:val="BookTitle"/>
          <w:rFonts w:ascii="Arial" w:hAnsi="Arial" w:cs="Arial"/>
          <w:i w:val="0"/>
          <w:iCs w:val="0"/>
          <w:smallCaps w:val="0"/>
          <w:spacing w:val="0"/>
          <w:szCs w:val="24"/>
        </w:rPr>
        <w:t xml:space="preserve"> directs the reader to subsection 63A(8) of the Act and</w:t>
      </w:r>
      <w:r w:rsidR="00E357FA" w:rsidRPr="00AC7962">
        <w:rPr>
          <w:rStyle w:val="BookTitle"/>
          <w:rFonts w:ascii="Arial" w:hAnsi="Arial" w:cs="Arial"/>
          <w:i w:val="0"/>
          <w:iCs w:val="0"/>
          <w:smallCaps w:val="0"/>
          <w:spacing w:val="0"/>
          <w:szCs w:val="24"/>
        </w:rPr>
        <w:t xml:space="preserve"> clarifies that any person included in any of the classes specified in this instrument is an authorised certifier for the purposes of section</w:t>
      </w:r>
      <w:r w:rsidR="00BE638F" w:rsidRPr="00AC7962">
        <w:rPr>
          <w:rStyle w:val="BookTitle"/>
          <w:rFonts w:ascii="Arial" w:hAnsi="Arial" w:cs="Arial"/>
          <w:i w:val="0"/>
          <w:iCs w:val="0"/>
          <w:smallCaps w:val="0"/>
          <w:spacing w:val="0"/>
          <w:szCs w:val="24"/>
        </w:rPr>
        <w:t> </w:t>
      </w:r>
      <w:r w:rsidR="00E357FA" w:rsidRPr="00AC7962">
        <w:rPr>
          <w:rStyle w:val="BookTitle"/>
          <w:rFonts w:ascii="Arial" w:hAnsi="Arial" w:cs="Arial"/>
          <w:i w:val="0"/>
          <w:iCs w:val="0"/>
          <w:smallCaps w:val="0"/>
          <w:spacing w:val="0"/>
          <w:szCs w:val="24"/>
        </w:rPr>
        <w:t xml:space="preserve">63A. </w:t>
      </w:r>
      <w:r w:rsidR="00B6433A" w:rsidRPr="00AC7962">
        <w:rPr>
          <w:rStyle w:val="BookTitle"/>
          <w:rFonts w:ascii="Arial" w:hAnsi="Arial" w:cs="Arial"/>
          <w:i w:val="0"/>
          <w:iCs w:val="0"/>
          <w:smallCaps w:val="0"/>
          <w:spacing w:val="0"/>
          <w:szCs w:val="24"/>
        </w:rPr>
        <w:t xml:space="preserve"> </w:t>
      </w:r>
      <w:r w:rsidR="00E81B91" w:rsidRPr="00AC7962">
        <w:rPr>
          <w:rStyle w:val="BookTitle"/>
          <w:rFonts w:ascii="Arial" w:hAnsi="Arial" w:cs="Arial"/>
          <w:i w:val="0"/>
          <w:iCs w:val="0"/>
          <w:smallCaps w:val="0"/>
          <w:spacing w:val="0"/>
          <w:szCs w:val="24"/>
        </w:rPr>
        <w:t xml:space="preserve">Classes of persons fall into one of two categories: </w:t>
      </w:r>
      <w:r w:rsidR="0029462A" w:rsidRPr="00AC7962">
        <w:rPr>
          <w:rStyle w:val="BookTitle"/>
          <w:rFonts w:ascii="Arial" w:hAnsi="Arial" w:cs="Arial"/>
          <w:i w:val="0"/>
          <w:iCs w:val="0"/>
          <w:smallCaps w:val="0"/>
          <w:spacing w:val="0"/>
          <w:szCs w:val="24"/>
        </w:rPr>
        <w:t xml:space="preserve"> </w:t>
      </w:r>
      <w:r w:rsidR="00E81B91" w:rsidRPr="00AC7962">
        <w:rPr>
          <w:rStyle w:val="BookTitle"/>
          <w:rFonts w:ascii="Arial" w:hAnsi="Arial" w:cs="Arial"/>
          <w:i w:val="0"/>
          <w:iCs w:val="0"/>
          <w:smallCaps w:val="0"/>
          <w:spacing w:val="0"/>
          <w:szCs w:val="24"/>
        </w:rPr>
        <w:t xml:space="preserve">persons recognised under Australian law and persons recognised in the social security recipient’s place of residence. </w:t>
      </w:r>
    </w:p>
    <w:p w14:paraId="5FDB29BD" w14:textId="267BA2DA" w:rsidR="000B55C8" w:rsidRPr="00AC7962" w:rsidRDefault="000B55C8">
      <w:pPr>
        <w:jc w:val="both"/>
        <w:rPr>
          <w:rFonts w:ascii="Arial" w:hAnsi="Arial" w:cs="Arial"/>
          <w:szCs w:val="24"/>
        </w:rPr>
      </w:pPr>
      <w:r w:rsidRPr="00AC7962">
        <w:rPr>
          <w:rFonts w:ascii="Arial" w:hAnsi="Arial" w:cs="Arial"/>
          <w:szCs w:val="24"/>
        </w:rPr>
        <w:t xml:space="preserve">Subsection 5(2) outlines that the </w:t>
      </w:r>
      <w:r w:rsidR="004F132D" w:rsidRPr="00AC7962">
        <w:rPr>
          <w:rFonts w:ascii="Arial" w:hAnsi="Arial" w:cs="Arial"/>
          <w:szCs w:val="24"/>
        </w:rPr>
        <w:t xml:space="preserve">following classes of persons recognised under Australian law are determined as authorised certifiers: </w:t>
      </w:r>
    </w:p>
    <w:p w14:paraId="0E225AE9" w14:textId="77777777" w:rsidR="00533FAD" w:rsidRPr="00AC7962" w:rsidRDefault="00BE638F" w:rsidP="000260D6">
      <w:pPr>
        <w:pStyle w:val="ListParagraph"/>
        <w:numPr>
          <w:ilvl w:val="0"/>
          <w:numId w:val="20"/>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w:t>
      </w:r>
      <w:r w:rsidR="00296A89" w:rsidRPr="00AC7962">
        <w:rPr>
          <w:rStyle w:val="BookTitle"/>
          <w:rFonts w:ascii="Arial" w:hAnsi="Arial" w:cs="Arial"/>
          <w:i w:val="0"/>
          <w:iCs w:val="0"/>
          <w:smallCaps w:val="0"/>
          <w:spacing w:val="0"/>
          <w:szCs w:val="24"/>
        </w:rPr>
        <w:t xml:space="preserve"> </w:t>
      </w:r>
      <w:r w:rsidRPr="00AC7962">
        <w:rPr>
          <w:rStyle w:val="BookTitle"/>
          <w:rFonts w:ascii="Arial" w:hAnsi="Arial" w:cs="Arial"/>
          <w:i w:val="0"/>
          <w:iCs w:val="0"/>
          <w:smallCaps w:val="0"/>
          <w:spacing w:val="0"/>
          <w:szCs w:val="24"/>
        </w:rPr>
        <w:t>person who</w:t>
      </w:r>
      <w:r w:rsidR="00533FAD" w:rsidRPr="00AC7962">
        <w:rPr>
          <w:rStyle w:val="BookTitle"/>
          <w:rFonts w:ascii="Arial" w:hAnsi="Arial" w:cs="Arial"/>
          <w:i w:val="0"/>
          <w:iCs w:val="0"/>
          <w:smallCaps w:val="0"/>
          <w:spacing w:val="0"/>
          <w:szCs w:val="24"/>
        </w:rPr>
        <w:t>:</w:t>
      </w:r>
    </w:p>
    <w:p w14:paraId="426F9EF3" w14:textId="08FE96E0" w:rsidR="00533FAD" w:rsidRPr="00AC7962" w:rsidRDefault="00DA00D1" w:rsidP="00122B41">
      <w:pPr>
        <w:pStyle w:val="ListParagraph"/>
        <w:numPr>
          <w:ilvl w:val="1"/>
          <w:numId w:val="20"/>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i</w:t>
      </w:r>
      <w:r w:rsidR="00533FAD" w:rsidRPr="00AC7962">
        <w:rPr>
          <w:rStyle w:val="BookTitle"/>
          <w:rFonts w:ascii="Arial" w:hAnsi="Arial" w:cs="Arial"/>
          <w:i w:val="0"/>
          <w:iCs w:val="0"/>
          <w:smallCaps w:val="0"/>
          <w:spacing w:val="0"/>
          <w:szCs w:val="24"/>
        </w:rPr>
        <w:t>s admitted to the legal profession by a Supreme Court of a State or Territory under a law of a State or Territory; and</w:t>
      </w:r>
    </w:p>
    <w:p w14:paraId="72726F1F" w14:textId="1A38496C" w:rsidR="00533FAD" w:rsidRPr="00AC7962" w:rsidRDefault="00DA00D1" w:rsidP="00122B41">
      <w:pPr>
        <w:pStyle w:val="ListParagraph"/>
        <w:numPr>
          <w:ilvl w:val="1"/>
          <w:numId w:val="20"/>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h</w:t>
      </w:r>
      <w:r w:rsidR="00533FAD" w:rsidRPr="00AC7962">
        <w:rPr>
          <w:rStyle w:val="BookTitle"/>
          <w:rFonts w:ascii="Arial" w:hAnsi="Arial" w:cs="Arial"/>
          <w:i w:val="0"/>
          <w:iCs w:val="0"/>
          <w:smallCaps w:val="0"/>
          <w:spacing w:val="0"/>
          <w:szCs w:val="24"/>
        </w:rPr>
        <w:t>olds a certificate to practise as a legal practitioner under a law of a State or Territory</w:t>
      </w:r>
      <w:r w:rsidR="00DE7864" w:rsidRPr="00AC7962">
        <w:rPr>
          <w:rStyle w:val="BookTitle"/>
          <w:rFonts w:ascii="Arial" w:hAnsi="Arial" w:cs="Arial"/>
          <w:i w:val="0"/>
          <w:iCs w:val="0"/>
          <w:smallCaps w:val="0"/>
          <w:spacing w:val="0"/>
          <w:szCs w:val="24"/>
        </w:rPr>
        <w:t>.</w:t>
      </w:r>
    </w:p>
    <w:p w14:paraId="797871FD" w14:textId="77777777" w:rsidR="001708FF" w:rsidRPr="00AC7962" w:rsidRDefault="001708FF" w:rsidP="00122B41">
      <w:pPr>
        <w:spacing w:before="0"/>
        <w:ind w:left="720"/>
        <w:jc w:val="both"/>
        <w:rPr>
          <w:rStyle w:val="BookTitle"/>
          <w:rFonts w:ascii="Arial" w:hAnsi="Arial" w:cs="Arial"/>
          <w:i w:val="0"/>
          <w:iCs w:val="0"/>
          <w:smallCaps w:val="0"/>
          <w:spacing w:val="0"/>
          <w:szCs w:val="24"/>
        </w:rPr>
      </w:pPr>
    </w:p>
    <w:p w14:paraId="791E171C" w14:textId="3F92D717" w:rsidR="001708FF" w:rsidRPr="00AC7962" w:rsidRDefault="00F75900" w:rsidP="00122B41">
      <w:pPr>
        <w:spacing w:before="0"/>
        <w:ind w:left="720"/>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Paragraph 5(2)(a)</w:t>
      </w:r>
      <w:r w:rsidR="00533FAD" w:rsidRPr="00AC7962">
        <w:rPr>
          <w:rStyle w:val="BookTitle"/>
          <w:rFonts w:ascii="Arial" w:hAnsi="Arial" w:cs="Arial"/>
          <w:i w:val="0"/>
          <w:iCs w:val="0"/>
          <w:smallCaps w:val="0"/>
          <w:spacing w:val="0"/>
          <w:szCs w:val="24"/>
        </w:rPr>
        <w:t xml:space="preserve"> has been drafted to </w:t>
      </w:r>
      <w:r w:rsidR="00DA00D1" w:rsidRPr="00AC7962">
        <w:rPr>
          <w:rStyle w:val="BookTitle"/>
          <w:rFonts w:ascii="Arial" w:hAnsi="Arial" w:cs="Arial"/>
          <w:i w:val="0"/>
          <w:iCs w:val="0"/>
          <w:smallCaps w:val="0"/>
          <w:spacing w:val="0"/>
          <w:szCs w:val="24"/>
        </w:rPr>
        <w:t>correspond with</w:t>
      </w:r>
      <w:r w:rsidR="00533FAD" w:rsidRPr="00AC7962">
        <w:rPr>
          <w:rStyle w:val="BookTitle"/>
          <w:rFonts w:ascii="Arial" w:hAnsi="Arial" w:cs="Arial"/>
          <w:i w:val="0"/>
          <w:iCs w:val="0"/>
          <w:smallCaps w:val="0"/>
          <w:spacing w:val="0"/>
          <w:szCs w:val="24"/>
        </w:rPr>
        <w:t xml:space="preserve"> the </w:t>
      </w:r>
      <w:r w:rsidR="00C073E8" w:rsidRPr="00AC7962">
        <w:rPr>
          <w:rStyle w:val="BookTitle"/>
          <w:rFonts w:ascii="Arial" w:hAnsi="Arial" w:cs="Arial"/>
          <w:i w:val="0"/>
          <w:iCs w:val="0"/>
          <w:smallCaps w:val="0"/>
          <w:spacing w:val="0"/>
          <w:szCs w:val="24"/>
        </w:rPr>
        <w:t xml:space="preserve">existing </w:t>
      </w:r>
      <w:r w:rsidR="00533FAD" w:rsidRPr="00AC7962">
        <w:rPr>
          <w:rStyle w:val="BookTitle"/>
          <w:rFonts w:ascii="Arial" w:hAnsi="Arial" w:cs="Arial"/>
          <w:i w:val="0"/>
          <w:iCs w:val="0"/>
          <w:smallCaps w:val="0"/>
          <w:spacing w:val="0"/>
          <w:szCs w:val="24"/>
        </w:rPr>
        <w:t xml:space="preserve">concept of ‘Australian Legal Practitioner’ in the </w:t>
      </w:r>
      <w:r w:rsidR="00533FAD" w:rsidRPr="00AC7962">
        <w:rPr>
          <w:rStyle w:val="BookTitle"/>
          <w:rFonts w:ascii="Arial" w:hAnsi="Arial" w:cs="Arial"/>
          <w:iCs w:val="0"/>
          <w:smallCaps w:val="0"/>
          <w:spacing w:val="0"/>
          <w:szCs w:val="24"/>
        </w:rPr>
        <w:t>Evidence Act 1995</w:t>
      </w:r>
      <w:r w:rsidR="00F13557" w:rsidRPr="00AC7962">
        <w:rPr>
          <w:rStyle w:val="BookTitle"/>
          <w:rFonts w:ascii="Arial" w:hAnsi="Arial" w:cs="Arial"/>
          <w:iCs w:val="0"/>
          <w:smallCaps w:val="0"/>
          <w:spacing w:val="0"/>
          <w:szCs w:val="24"/>
        </w:rPr>
        <w:t xml:space="preserve">.  </w:t>
      </w:r>
      <w:r w:rsidR="00274742" w:rsidRPr="00AC7962">
        <w:rPr>
          <w:rStyle w:val="BookTitle"/>
          <w:rFonts w:ascii="Arial" w:hAnsi="Arial" w:cs="Arial"/>
          <w:i w:val="0"/>
          <w:iCs w:val="0"/>
          <w:smallCaps w:val="0"/>
          <w:spacing w:val="0"/>
          <w:szCs w:val="24"/>
        </w:rPr>
        <w:t>For the purposes of this instrument, t</w:t>
      </w:r>
      <w:r w:rsidR="00F13557" w:rsidRPr="00AC7962">
        <w:rPr>
          <w:rStyle w:val="BookTitle"/>
          <w:rFonts w:ascii="Arial" w:hAnsi="Arial" w:cs="Arial"/>
          <w:i w:val="0"/>
          <w:iCs w:val="0"/>
          <w:smallCaps w:val="0"/>
          <w:spacing w:val="0"/>
          <w:szCs w:val="24"/>
        </w:rPr>
        <w:t xml:space="preserve">he </w:t>
      </w:r>
      <w:r w:rsidR="00274742" w:rsidRPr="00AC7962">
        <w:rPr>
          <w:rStyle w:val="BookTitle"/>
          <w:rFonts w:ascii="Arial" w:hAnsi="Arial" w:cs="Arial"/>
          <w:i w:val="0"/>
          <w:iCs w:val="0"/>
          <w:smallCaps w:val="0"/>
          <w:spacing w:val="0"/>
          <w:szCs w:val="24"/>
        </w:rPr>
        <w:t>term</w:t>
      </w:r>
      <w:r w:rsidR="00F13557" w:rsidRPr="00AC7962">
        <w:rPr>
          <w:rStyle w:val="BookTitle"/>
          <w:rFonts w:ascii="Arial" w:hAnsi="Arial" w:cs="Arial"/>
          <w:i w:val="0"/>
          <w:iCs w:val="0"/>
          <w:smallCaps w:val="0"/>
          <w:spacing w:val="0"/>
          <w:szCs w:val="24"/>
        </w:rPr>
        <w:t xml:space="preserve"> ‘Australian Legal Practitioner’ </w:t>
      </w:r>
      <w:r w:rsidR="00274742" w:rsidRPr="00AC7962">
        <w:rPr>
          <w:rStyle w:val="BookTitle"/>
          <w:rFonts w:ascii="Arial" w:hAnsi="Arial" w:cs="Arial"/>
          <w:i w:val="0"/>
          <w:iCs w:val="0"/>
          <w:smallCaps w:val="0"/>
          <w:spacing w:val="0"/>
          <w:szCs w:val="24"/>
        </w:rPr>
        <w:t>has</w:t>
      </w:r>
      <w:r w:rsidR="00F13557" w:rsidRPr="00AC7962">
        <w:rPr>
          <w:rStyle w:val="BookTitle"/>
          <w:rFonts w:ascii="Arial" w:hAnsi="Arial" w:cs="Arial"/>
          <w:i w:val="0"/>
          <w:iCs w:val="0"/>
          <w:smallCaps w:val="0"/>
          <w:spacing w:val="0"/>
          <w:szCs w:val="24"/>
        </w:rPr>
        <w:t xml:space="preserve"> not</w:t>
      </w:r>
      <w:r w:rsidR="00274742" w:rsidRPr="00AC7962">
        <w:rPr>
          <w:rStyle w:val="BookTitle"/>
          <w:rFonts w:ascii="Arial" w:hAnsi="Arial" w:cs="Arial"/>
          <w:i w:val="0"/>
          <w:iCs w:val="0"/>
          <w:smallCaps w:val="0"/>
          <w:spacing w:val="0"/>
          <w:szCs w:val="24"/>
        </w:rPr>
        <w:t xml:space="preserve"> been</w:t>
      </w:r>
      <w:r w:rsidR="00F13557" w:rsidRPr="00AC7962">
        <w:rPr>
          <w:rStyle w:val="BookTitle"/>
          <w:rFonts w:ascii="Arial" w:hAnsi="Arial" w:cs="Arial"/>
          <w:i w:val="0"/>
          <w:iCs w:val="0"/>
          <w:smallCaps w:val="0"/>
          <w:spacing w:val="0"/>
          <w:szCs w:val="24"/>
        </w:rPr>
        <w:t xml:space="preserve"> incorporated by reference</w:t>
      </w:r>
      <w:r w:rsidR="00533FAD" w:rsidRPr="00AC7962">
        <w:rPr>
          <w:rStyle w:val="BookTitle"/>
          <w:rFonts w:ascii="Arial" w:hAnsi="Arial" w:cs="Arial"/>
          <w:i w:val="0"/>
          <w:iCs w:val="0"/>
          <w:smallCaps w:val="0"/>
          <w:spacing w:val="0"/>
          <w:szCs w:val="24"/>
        </w:rPr>
        <w:t xml:space="preserve">.  </w:t>
      </w:r>
      <w:r w:rsidR="003D2FB8" w:rsidRPr="00AC7962">
        <w:rPr>
          <w:rStyle w:val="BookTitle"/>
          <w:rFonts w:ascii="Arial" w:hAnsi="Arial" w:cs="Arial"/>
          <w:i w:val="0"/>
          <w:iCs w:val="0"/>
          <w:smallCaps w:val="0"/>
          <w:spacing w:val="0"/>
          <w:szCs w:val="24"/>
        </w:rPr>
        <w:t>The intention is that</w:t>
      </w:r>
      <w:r w:rsidR="00274742" w:rsidRPr="00AC7962">
        <w:rPr>
          <w:rStyle w:val="BookTitle"/>
          <w:rFonts w:ascii="Arial" w:hAnsi="Arial" w:cs="Arial"/>
          <w:i w:val="0"/>
          <w:iCs w:val="0"/>
          <w:smallCaps w:val="0"/>
          <w:spacing w:val="0"/>
          <w:szCs w:val="24"/>
        </w:rPr>
        <w:t>, from commencement of this instrument,</w:t>
      </w:r>
      <w:r w:rsidR="009133E4" w:rsidRPr="00AC7962">
        <w:rPr>
          <w:rStyle w:val="BookTitle"/>
          <w:rFonts w:ascii="Arial" w:hAnsi="Arial" w:cs="Arial"/>
          <w:i w:val="0"/>
          <w:iCs w:val="0"/>
          <w:smallCaps w:val="0"/>
          <w:spacing w:val="0"/>
          <w:szCs w:val="24"/>
        </w:rPr>
        <w:t xml:space="preserve"> a lawyer, a solicitor or a barrister</w:t>
      </w:r>
      <w:r w:rsidR="003D2FB8" w:rsidRPr="00AC7962">
        <w:rPr>
          <w:rStyle w:val="BookTitle"/>
          <w:rFonts w:ascii="Arial" w:hAnsi="Arial" w:cs="Arial"/>
          <w:i w:val="0"/>
          <w:iCs w:val="0"/>
          <w:smallCaps w:val="0"/>
          <w:spacing w:val="0"/>
          <w:szCs w:val="24"/>
        </w:rPr>
        <w:t xml:space="preserve"> who holds a practising certificate is able to be an authorised certifie</w:t>
      </w:r>
      <w:r w:rsidR="00AA64F0" w:rsidRPr="00AC7962">
        <w:rPr>
          <w:rStyle w:val="BookTitle"/>
          <w:rFonts w:ascii="Arial" w:hAnsi="Arial" w:cs="Arial"/>
          <w:i w:val="0"/>
          <w:iCs w:val="0"/>
          <w:smallCaps w:val="0"/>
          <w:spacing w:val="0"/>
          <w:szCs w:val="24"/>
        </w:rPr>
        <w:t>r</w:t>
      </w:r>
      <w:r w:rsidR="00DE7864" w:rsidRPr="00AC7962">
        <w:rPr>
          <w:rStyle w:val="BookTitle"/>
          <w:rFonts w:ascii="Arial" w:hAnsi="Arial" w:cs="Arial"/>
          <w:i w:val="0"/>
          <w:iCs w:val="0"/>
          <w:smallCaps w:val="0"/>
          <w:spacing w:val="0"/>
          <w:szCs w:val="24"/>
        </w:rPr>
        <w:t>;</w:t>
      </w:r>
    </w:p>
    <w:p w14:paraId="25E23E5B" w14:textId="77777777" w:rsidR="001708FF" w:rsidRPr="00AC7962" w:rsidRDefault="001708FF" w:rsidP="00122B41">
      <w:pPr>
        <w:spacing w:before="0"/>
        <w:ind w:left="720"/>
        <w:jc w:val="both"/>
        <w:rPr>
          <w:rStyle w:val="BookTitle"/>
          <w:rFonts w:ascii="Arial" w:hAnsi="Arial" w:cs="Arial"/>
          <w:i w:val="0"/>
          <w:iCs w:val="0"/>
          <w:smallCaps w:val="0"/>
          <w:spacing w:val="0"/>
          <w:szCs w:val="24"/>
        </w:rPr>
      </w:pPr>
    </w:p>
    <w:p w14:paraId="751C6BB7" w14:textId="7D15708C" w:rsidR="00BE638F" w:rsidRPr="00AC7962" w:rsidRDefault="00BE638F" w:rsidP="00122B41">
      <w:pPr>
        <w:pStyle w:val="ListParagraph"/>
        <w:numPr>
          <w:ilvl w:val="0"/>
          <w:numId w:val="20"/>
        </w:numPr>
        <w:spacing w:before="0"/>
        <w:ind w:left="714" w:hanging="357"/>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w:t>
      </w:r>
      <w:r w:rsidR="00296A89" w:rsidRPr="00AC7962">
        <w:rPr>
          <w:rStyle w:val="BookTitle"/>
          <w:rFonts w:ascii="Arial" w:hAnsi="Arial" w:cs="Arial"/>
          <w:i w:val="0"/>
          <w:iCs w:val="0"/>
          <w:smallCaps w:val="0"/>
          <w:spacing w:val="0"/>
          <w:szCs w:val="24"/>
        </w:rPr>
        <w:t xml:space="preserve"> R</w:t>
      </w:r>
      <w:r w:rsidR="004F132D" w:rsidRPr="00AC7962">
        <w:rPr>
          <w:rStyle w:val="BookTitle"/>
          <w:rFonts w:ascii="Arial" w:hAnsi="Arial" w:cs="Arial"/>
          <w:i w:val="0"/>
          <w:iCs w:val="0"/>
          <w:smallCaps w:val="0"/>
          <w:spacing w:val="0"/>
          <w:szCs w:val="24"/>
        </w:rPr>
        <w:t>egistrar o</w:t>
      </w:r>
      <w:r w:rsidR="00296A89" w:rsidRPr="00AC7962">
        <w:rPr>
          <w:rStyle w:val="BookTitle"/>
          <w:rFonts w:ascii="Arial" w:hAnsi="Arial" w:cs="Arial"/>
          <w:i w:val="0"/>
          <w:iCs w:val="0"/>
          <w:smallCaps w:val="0"/>
          <w:spacing w:val="0"/>
          <w:szCs w:val="24"/>
        </w:rPr>
        <w:t>r</w:t>
      </w:r>
      <w:r w:rsidR="004F132D" w:rsidRPr="00AC7962">
        <w:rPr>
          <w:rStyle w:val="BookTitle"/>
          <w:rFonts w:ascii="Arial" w:hAnsi="Arial" w:cs="Arial"/>
          <w:i w:val="0"/>
          <w:iCs w:val="0"/>
          <w:smallCaps w:val="0"/>
          <w:spacing w:val="0"/>
          <w:szCs w:val="24"/>
        </w:rPr>
        <w:t xml:space="preserve"> Deputy Registrar </w:t>
      </w:r>
      <w:r w:rsidR="000B55C8" w:rsidRPr="00AC7962">
        <w:rPr>
          <w:rStyle w:val="BookTitle"/>
          <w:rFonts w:ascii="Arial" w:hAnsi="Arial" w:cs="Arial"/>
          <w:i w:val="0"/>
          <w:iCs w:val="0"/>
          <w:smallCaps w:val="0"/>
          <w:spacing w:val="0"/>
          <w:szCs w:val="24"/>
        </w:rPr>
        <w:t>of a federal court or of a court of a State o</w:t>
      </w:r>
      <w:r w:rsidRPr="00AC7962">
        <w:rPr>
          <w:rStyle w:val="BookTitle"/>
          <w:rFonts w:ascii="Arial" w:hAnsi="Arial" w:cs="Arial"/>
          <w:i w:val="0"/>
          <w:iCs w:val="0"/>
          <w:smallCaps w:val="0"/>
          <w:spacing w:val="0"/>
          <w:szCs w:val="24"/>
        </w:rPr>
        <w:t>r</w:t>
      </w:r>
      <w:r w:rsidR="000B55C8" w:rsidRPr="00AC7962">
        <w:rPr>
          <w:rStyle w:val="BookTitle"/>
          <w:rFonts w:ascii="Arial" w:hAnsi="Arial" w:cs="Arial"/>
          <w:i w:val="0"/>
          <w:iCs w:val="0"/>
          <w:smallCaps w:val="0"/>
          <w:spacing w:val="0"/>
          <w:szCs w:val="24"/>
        </w:rPr>
        <w:t xml:space="preserve"> Territory;</w:t>
      </w:r>
    </w:p>
    <w:p w14:paraId="115B2203" w14:textId="77777777" w:rsidR="000B55C8" w:rsidRPr="00AC7962" w:rsidRDefault="000B55C8" w:rsidP="002C2B21">
      <w:pPr>
        <w:pStyle w:val="ListParagraph"/>
        <w:jc w:val="both"/>
        <w:rPr>
          <w:rStyle w:val="BookTitle"/>
          <w:rFonts w:ascii="Arial" w:hAnsi="Arial" w:cs="Arial"/>
          <w:i w:val="0"/>
          <w:iCs w:val="0"/>
          <w:smallCaps w:val="0"/>
          <w:spacing w:val="0"/>
          <w:szCs w:val="24"/>
        </w:rPr>
      </w:pPr>
    </w:p>
    <w:p w14:paraId="2A462010" w14:textId="1F42F998" w:rsidR="000B55C8" w:rsidRPr="00AC7962" w:rsidRDefault="00BE638F" w:rsidP="00E357FA">
      <w:pPr>
        <w:pStyle w:val="ListParagraph"/>
        <w:numPr>
          <w:ilvl w:val="0"/>
          <w:numId w:val="20"/>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w:t>
      </w:r>
      <w:r w:rsidR="00296A89" w:rsidRPr="00AC7962">
        <w:rPr>
          <w:rStyle w:val="BookTitle"/>
          <w:rFonts w:ascii="Arial" w:hAnsi="Arial" w:cs="Arial"/>
          <w:i w:val="0"/>
          <w:iCs w:val="0"/>
          <w:smallCaps w:val="0"/>
          <w:spacing w:val="0"/>
          <w:szCs w:val="24"/>
        </w:rPr>
        <w:t xml:space="preserve"> person </w:t>
      </w:r>
      <w:r w:rsidRPr="00AC7962">
        <w:rPr>
          <w:rStyle w:val="BookTitle"/>
          <w:rFonts w:ascii="Arial" w:hAnsi="Arial" w:cs="Arial"/>
          <w:i w:val="0"/>
          <w:iCs w:val="0"/>
          <w:smallCaps w:val="0"/>
          <w:spacing w:val="0"/>
          <w:szCs w:val="24"/>
        </w:rPr>
        <w:t>who is the holder of</w:t>
      </w:r>
      <w:r w:rsidR="000B55C8" w:rsidRPr="00AC7962">
        <w:rPr>
          <w:rStyle w:val="BookTitle"/>
          <w:rFonts w:ascii="Arial" w:hAnsi="Arial" w:cs="Arial"/>
          <w:i w:val="0"/>
          <w:iCs w:val="0"/>
          <w:smallCaps w:val="0"/>
          <w:spacing w:val="0"/>
          <w:szCs w:val="24"/>
        </w:rPr>
        <w:t xml:space="preserve"> an office of a judge, magistrate or justice of a federal court or of a court of a State or Territory, or a person appointed </w:t>
      </w:r>
      <w:r w:rsidR="009133E4" w:rsidRPr="00AC7962">
        <w:rPr>
          <w:rStyle w:val="BookTitle"/>
          <w:rFonts w:ascii="Arial" w:hAnsi="Arial" w:cs="Arial"/>
          <w:i w:val="0"/>
          <w:iCs w:val="0"/>
          <w:smallCaps w:val="0"/>
          <w:spacing w:val="0"/>
          <w:szCs w:val="24"/>
        </w:rPr>
        <w:t>under an Act of the Commonwealth, State or Territory</w:t>
      </w:r>
      <w:r w:rsidR="000B55C8" w:rsidRPr="00AC7962">
        <w:rPr>
          <w:rStyle w:val="BookTitle"/>
          <w:rFonts w:ascii="Arial" w:hAnsi="Arial" w:cs="Arial"/>
          <w:i w:val="0"/>
          <w:iCs w:val="0"/>
          <w:smallCaps w:val="0"/>
          <w:spacing w:val="0"/>
          <w:szCs w:val="24"/>
        </w:rPr>
        <w:t xml:space="preserve"> with the same status as a judge, magistrate or justice of a federal court or a court of a State or Territory; </w:t>
      </w:r>
    </w:p>
    <w:p w14:paraId="70FC9D95" w14:textId="77777777" w:rsidR="00BE638F" w:rsidRPr="00AC7962" w:rsidRDefault="00BE638F" w:rsidP="002C2B21">
      <w:pPr>
        <w:pStyle w:val="ListParagraph"/>
        <w:jc w:val="both"/>
        <w:rPr>
          <w:rStyle w:val="BookTitle"/>
          <w:rFonts w:ascii="Arial" w:hAnsi="Arial" w:cs="Arial"/>
          <w:i w:val="0"/>
          <w:iCs w:val="0"/>
          <w:smallCaps w:val="0"/>
          <w:spacing w:val="0"/>
          <w:szCs w:val="24"/>
        </w:rPr>
      </w:pPr>
    </w:p>
    <w:p w14:paraId="1567C65F" w14:textId="6982ADF2" w:rsidR="004F132D" w:rsidRPr="00AC7962" w:rsidRDefault="00BE638F">
      <w:pPr>
        <w:pStyle w:val="ListParagraph"/>
        <w:numPr>
          <w:ilvl w:val="0"/>
          <w:numId w:val="20"/>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w:t>
      </w:r>
      <w:r w:rsidR="00296A89" w:rsidRPr="00AC7962">
        <w:rPr>
          <w:rStyle w:val="BookTitle"/>
          <w:rFonts w:ascii="Arial" w:hAnsi="Arial" w:cs="Arial"/>
          <w:i w:val="0"/>
          <w:iCs w:val="0"/>
          <w:smallCaps w:val="0"/>
          <w:spacing w:val="0"/>
          <w:szCs w:val="24"/>
        </w:rPr>
        <w:t xml:space="preserve"> justice of the peace</w:t>
      </w:r>
      <w:r w:rsidRPr="00AC7962">
        <w:rPr>
          <w:rStyle w:val="BookTitle"/>
          <w:rFonts w:ascii="Arial" w:hAnsi="Arial" w:cs="Arial"/>
          <w:i w:val="0"/>
          <w:iCs w:val="0"/>
          <w:smallCaps w:val="0"/>
          <w:spacing w:val="0"/>
          <w:szCs w:val="24"/>
        </w:rPr>
        <w:t>;</w:t>
      </w:r>
    </w:p>
    <w:p w14:paraId="5F8439C7" w14:textId="77777777" w:rsidR="00BE638F" w:rsidRPr="00AC7962" w:rsidRDefault="00BE638F" w:rsidP="002C2B21">
      <w:pPr>
        <w:pStyle w:val="ListParagraph"/>
        <w:jc w:val="both"/>
        <w:rPr>
          <w:rStyle w:val="BookTitle"/>
          <w:rFonts w:ascii="Arial" w:hAnsi="Arial" w:cs="Arial"/>
          <w:i w:val="0"/>
          <w:iCs w:val="0"/>
          <w:smallCaps w:val="0"/>
          <w:spacing w:val="0"/>
          <w:szCs w:val="24"/>
        </w:rPr>
      </w:pPr>
    </w:p>
    <w:p w14:paraId="320AE193" w14:textId="7FD6E527" w:rsidR="00BE638F" w:rsidRPr="00AC7962" w:rsidRDefault="00BE638F">
      <w:pPr>
        <w:pStyle w:val="ListParagraph"/>
        <w:numPr>
          <w:ilvl w:val="0"/>
          <w:numId w:val="20"/>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 notary public;</w:t>
      </w:r>
    </w:p>
    <w:p w14:paraId="0F11B2C5" w14:textId="77777777" w:rsidR="00BE638F" w:rsidRPr="00AC7962" w:rsidRDefault="00BE638F" w:rsidP="002C2B21">
      <w:pPr>
        <w:pStyle w:val="ListParagraph"/>
        <w:jc w:val="both"/>
        <w:rPr>
          <w:rStyle w:val="BookTitle"/>
          <w:rFonts w:ascii="Arial" w:hAnsi="Arial" w:cs="Arial"/>
          <w:i w:val="0"/>
          <w:iCs w:val="0"/>
          <w:smallCaps w:val="0"/>
          <w:spacing w:val="0"/>
          <w:szCs w:val="24"/>
        </w:rPr>
      </w:pPr>
    </w:p>
    <w:p w14:paraId="346EE424" w14:textId="68FF6316" w:rsidR="004F132D" w:rsidRPr="00AC7962" w:rsidRDefault="00BE638F" w:rsidP="000260D6">
      <w:pPr>
        <w:pStyle w:val="ListParagraph"/>
        <w:numPr>
          <w:ilvl w:val="0"/>
          <w:numId w:val="20"/>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w:t>
      </w:r>
      <w:r w:rsidR="00296A89" w:rsidRPr="00AC7962">
        <w:rPr>
          <w:rStyle w:val="BookTitle"/>
          <w:rFonts w:ascii="Arial" w:hAnsi="Arial" w:cs="Arial"/>
          <w:i w:val="0"/>
          <w:iCs w:val="0"/>
          <w:smallCaps w:val="0"/>
          <w:spacing w:val="0"/>
          <w:szCs w:val="24"/>
        </w:rPr>
        <w:t xml:space="preserve"> </w:t>
      </w:r>
      <w:r w:rsidR="004F132D" w:rsidRPr="00AC7962">
        <w:rPr>
          <w:rStyle w:val="BookTitle"/>
          <w:rFonts w:ascii="Arial" w:hAnsi="Arial" w:cs="Arial"/>
          <w:i w:val="0"/>
          <w:iCs w:val="0"/>
          <w:smallCaps w:val="0"/>
          <w:spacing w:val="0"/>
          <w:szCs w:val="24"/>
        </w:rPr>
        <w:t>police officer</w:t>
      </w:r>
      <w:r w:rsidR="00296A89" w:rsidRPr="00AC7962">
        <w:rPr>
          <w:rStyle w:val="BookTitle"/>
          <w:rFonts w:ascii="Arial" w:hAnsi="Arial" w:cs="Arial"/>
          <w:i w:val="0"/>
          <w:iCs w:val="0"/>
          <w:smallCaps w:val="0"/>
          <w:spacing w:val="0"/>
          <w:szCs w:val="24"/>
        </w:rPr>
        <w:t>, which includes:</w:t>
      </w:r>
    </w:p>
    <w:p w14:paraId="79AE699D" w14:textId="2982BE69" w:rsidR="00296A89" w:rsidRPr="00AC7962" w:rsidRDefault="00BE638F" w:rsidP="002C2B21">
      <w:pPr>
        <w:pStyle w:val="ListParagraph"/>
        <w:numPr>
          <w:ilvl w:val="0"/>
          <w:numId w:val="25"/>
        </w:numPr>
        <w:ind w:left="1418"/>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w:t>
      </w:r>
      <w:r w:rsidR="00296A89" w:rsidRPr="00AC7962">
        <w:rPr>
          <w:rStyle w:val="BookTitle"/>
          <w:rFonts w:ascii="Arial" w:hAnsi="Arial" w:cs="Arial"/>
          <w:i w:val="0"/>
          <w:iCs w:val="0"/>
          <w:smallCaps w:val="0"/>
          <w:spacing w:val="0"/>
          <w:szCs w:val="24"/>
        </w:rPr>
        <w:t xml:space="preserve"> member of the Australian Federal Police (within the meaning of the </w:t>
      </w:r>
      <w:r w:rsidR="00296A89" w:rsidRPr="00AC7962">
        <w:rPr>
          <w:rStyle w:val="BookTitle"/>
          <w:rFonts w:ascii="Arial" w:hAnsi="Arial" w:cs="Arial"/>
          <w:i w:val="0"/>
          <w:smallCaps w:val="0"/>
          <w:spacing w:val="0"/>
          <w:szCs w:val="24"/>
        </w:rPr>
        <w:t>AFP Act</w:t>
      </w:r>
      <w:r w:rsidR="00296A89" w:rsidRPr="00AC7962">
        <w:rPr>
          <w:rStyle w:val="BookTitle"/>
          <w:rFonts w:ascii="Arial" w:hAnsi="Arial" w:cs="Arial"/>
          <w:iCs w:val="0"/>
          <w:smallCaps w:val="0"/>
          <w:spacing w:val="0"/>
          <w:szCs w:val="24"/>
        </w:rPr>
        <w:t>)</w:t>
      </w:r>
      <w:r w:rsidR="00296A89" w:rsidRPr="00AC7962">
        <w:rPr>
          <w:rStyle w:val="BookTitle"/>
          <w:rFonts w:ascii="Arial" w:hAnsi="Arial" w:cs="Arial"/>
          <w:i w:val="0"/>
          <w:iCs w:val="0"/>
          <w:smallCaps w:val="0"/>
          <w:spacing w:val="0"/>
          <w:szCs w:val="24"/>
        </w:rPr>
        <w:t xml:space="preserve">; </w:t>
      </w:r>
    </w:p>
    <w:p w14:paraId="5A581094" w14:textId="4B5AF847" w:rsidR="00296A89" w:rsidRPr="00AC7962" w:rsidRDefault="00296A89" w:rsidP="002C2B21">
      <w:pPr>
        <w:pStyle w:val="ListParagraph"/>
        <w:numPr>
          <w:ilvl w:val="0"/>
          <w:numId w:val="25"/>
        </w:numPr>
        <w:ind w:left="1418"/>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 special member within the AFP Act; or</w:t>
      </w:r>
    </w:p>
    <w:p w14:paraId="713E0DC3" w14:textId="77DA096A" w:rsidR="00BE638F" w:rsidRPr="00AC7962" w:rsidRDefault="00296A89" w:rsidP="002C2B21">
      <w:pPr>
        <w:pStyle w:val="ListParagraph"/>
        <w:numPr>
          <w:ilvl w:val="0"/>
          <w:numId w:val="25"/>
        </w:numPr>
        <w:ind w:left="1418"/>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 member of a police force or police service of a State or Territory.</w:t>
      </w:r>
    </w:p>
    <w:p w14:paraId="02A81150" w14:textId="77777777" w:rsidR="009133E4" w:rsidRPr="00AC7962" w:rsidRDefault="009133E4" w:rsidP="002C2B21">
      <w:pPr>
        <w:pStyle w:val="ListParagraph"/>
        <w:ind w:left="1418"/>
        <w:jc w:val="both"/>
        <w:rPr>
          <w:rStyle w:val="BookTitle"/>
          <w:rFonts w:ascii="Arial" w:hAnsi="Arial" w:cs="Arial"/>
          <w:i w:val="0"/>
          <w:iCs w:val="0"/>
          <w:smallCaps w:val="0"/>
          <w:spacing w:val="0"/>
          <w:szCs w:val="24"/>
        </w:rPr>
      </w:pPr>
    </w:p>
    <w:p w14:paraId="212BB36B" w14:textId="619D382F" w:rsidR="00BE638F" w:rsidRPr="00AC7962" w:rsidRDefault="00BE638F" w:rsidP="002C2B21">
      <w:pPr>
        <w:pStyle w:val="ListParagraph"/>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 xml:space="preserve">The intention is that only sworn members of </w:t>
      </w:r>
      <w:r w:rsidR="00E3212A" w:rsidRPr="00AC7962">
        <w:rPr>
          <w:rStyle w:val="BookTitle"/>
          <w:rFonts w:ascii="Arial" w:hAnsi="Arial" w:cs="Arial"/>
          <w:i w:val="0"/>
          <w:iCs w:val="0"/>
          <w:smallCaps w:val="0"/>
          <w:spacing w:val="0"/>
          <w:szCs w:val="24"/>
        </w:rPr>
        <w:t xml:space="preserve">the </w:t>
      </w:r>
      <w:r w:rsidRPr="00AC7962">
        <w:rPr>
          <w:rStyle w:val="BookTitle"/>
          <w:rFonts w:ascii="Arial" w:hAnsi="Arial" w:cs="Arial"/>
          <w:i w:val="0"/>
          <w:iCs w:val="0"/>
          <w:smallCaps w:val="0"/>
          <w:spacing w:val="0"/>
          <w:szCs w:val="24"/>
        </w:rPr>
        <w:t xml:space="preserve">Commonwealth, State or Territory policy force </w:t>
      </w:r>
      <w:r w:rsidR="00646A72" w:rsidRPr="00AC7962">
        <w:rPr>
          <w:rStyle w:val="BookTitle"/>
          <w:rFonts w:ascii="Arial" w:hAnsi="Arial" w:cs="Arial"/>
          <w:i w:val="0"/>
          <w:iCs w:val="0"/>
          <w:smallCaps w:val="0"/>
          <w:spacing w:val="0"/>
          <w:szCs w:val="24"/>
        </w:rPr>
        <w:t>will be authorised certifiers for the purposes of verifying a social security recipient’s proof of life certificate;</w:t>
      </w:r>
    </w:p>
    <w:p w14:paraId="7ACF1BEB" w14:textId="77777777" w:rsidR="00BE638F" w:rsidRPr="00AC7962" w:rsidRDefault="00BE638F" w:rsidP="002C2B21">
      <w:pPr>
        <w:pStyle w:val="ListParagraph"/>
        <w:ind w:left="1418"/>
        <w:jc w:val="both"/>
        <w:rPr>
          <w:rStyle w:val="BookTitle"/>
          <w:rFonts w:ascii="Arial" w:hAnsi="Arial" w:cs="Arial"/>
          <w:i w:val="0"/>
          <w:iCs w:val="0"/>
          <w:smallCaps w:val="0"/>
          <w:spacing w:val="0"/>
          <w:szCs w:val="24"/>
        </w:rPr>
      </w:pPr>
    </w:p>
    <w:p w14:paraId="5F1179C7" w14:textId="2AB0FD18" w:rsidR="004F132D" w:rsidRPr="00AC7962" w:rsidRDefault="00646A72" w:rsidP="00E357FA">
      <w:pPr>
        <w:pStyle w:val="ListParagraph"/>
        <w:numPr>
          <w:ilvl w:val="0"/>
          <w:numId w:val="20"/>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w:t>
      </w:r>
      <w:r w:rsidR="00296A89" w:rsidRPr="00AC7962">
        <w:rPr>
          <w:rStyle w:val="BookTitle"/>
          <w:rFonts w:ascii="Arial" w:hAnsi="Arial" w:cs="Arial"/>
          <w:i w:val="0"/>
          <w:iCs w:val="0"/>
          <w:smallCaps w:val="0"/>
          <w:spacing w:val="0"/>
          <w:szCs w:val="24"/>
        </w:rPr>
        <w:t xml:space="preserve">n </w:t>
      </w:r>
      <w:r w:rsidR="004F132D" w:rsidRPr="00AC7962">
        <w:rPr>
          <w:rStyle w:val="BookTitle"/>
          <w:rFonts w:ascii="Arial" w:hAnsi="Arial" w:cs="Arial"/>
          <w:i w:val="0"/>
          <w:iCs w:val="0"/>
          <w:smallCaps w:val="0"/>
          <w:spacing w:val="0"/>
          <w:szCs w:val="24"/>
        </w:rPr>
        <w:t xml:space="preserve">Australian Consular Officer or Australian Diplomatic Officer </w:t>
      </w:r>
      <w:r w:rsidR="00E57645" w:rsidRPr="00AC7962">
        <w:rPr>
          <w:rStyle w:val="BookTitle"/>
          <w:rFonts w:ascii="Arial" w:hAnsi="Arial" w:cs="Arial"/>
          <w:i w:val="0"/>
          <w:iCs w:val="0"/>
          <w:smallCaps w:val="0"/>
          <w:spacing w:val="0"/>
          <w:szCs w:val="24"/>
        </w:rPr>
        <w:t xml:space="preserve">(as defined in </w:t>
      </w:r>
      <w:r w:rsidR="00211FDE" w:rsidRPr="00AC7962">
        <w:rPr>
          <w:rStyle w:val="BookTitle"/>
          <w:rFonts w:ascii="Arial" w:hAnsi="Arial" w:cs="Arial"/>
          <w:i w:val="0"/>
          <w:iCs w:val="0"/>
          <w:smallCaps w:val="0"/>
          <w:spacing w:val="0"/>
          <w:szCs w:val="24"/>
        </w:rPr>
        <w:t>s</w:t>
      </w:r>
      <w:r w:rsidR="00E57645" w:rsidRPr="00AC7962">
        <w:rPr>
          <w:rStyle w:val="BookTitle"/>
          <w:rFonts w:ascii="Arial" w:hAnsi="Arial" w:cs="Arial"/>
          <w:i w:val="0"/>
          <w:iCs w:val="0"/>
          <w:smallCaps w:val="0"/>
          <w:spacing w:val="0"/>
          <w:szCs w:val="24"/>
        </w:rPr>
        <w:t>ection 2 of the Consular Fees Act)</w:t>
      </w:r>
      <w:r w:rsidRPr="00AC7962">
        <w:rPr>
          <w:rStyle w:val="BookTitle"/>
          <w:rFonts w:ascii="Arial" w:hAnsi="Arial" w:cs="Arial"/>
          <w:i w:val="0"/>
          <w:iCs w:val="0"/>
          <w:smallCaps w:val="0"/>
          <w:spacing w:val="0"/>
          <w:szCs w:val="24"/>
        </w:rPr>
        <w:t>;</w:t>
      </w:r>
    </w:p>
    <w:p w14:paraId="1C59275B" w14:textId="77777777" w:rsidR="00BE638F" w:rsidRPr="00AC7962" w:rsidRDefault="00BE638F" w:rsidP="002C2B21">
      <w:pPr>
        <w:pStyle w:val="ListParagraph"/>
        <w:jc w:val="both"/>
        <w:rPr>
          <w:rStyle w:val="BookTitle"/>
          <w:rFonts w:ascii="Arial" w:hAnsi="Arial" w:cs="Arial"/>
          <w:i w:val="0"/>
          <w:iCs w:val="0"/>
          <w:smallCaps w:val="0"/>
          <w:spacing w:val="0"/>
          <w:szCs w:val="24"/>
        </w:rPr>
      </w:pPr>
    </w:p>
    <w:p w14:paraId="102E7CC9" w14:textId="2A9E006F" w:rsidR="00EE6319" w:rsidRPr="00AC7962" w:rsidRDefault="00211FDE">
      <w:pPr>
        <w:pStyle w:val="ListParagraph"/>
        <w:numPr>
          <w:ilvl w:val="0"/>
          <w:numId w:val="20"/>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a</w:t>
      </w:r>
      <w:r w:rsidR="00296A89" w:rsidRPr="00AC7962">
        <w:rPr>
          <w:rStyle w:val="BookTitle"/>
          <w:rFonts w:ascii="Arial" w:hAnsi="Arial" w:cs="Arial"/>
          <w:i w:val="0"/>
          <w:iCs w:val="0"/>
          <w:smallCaps w:val="0"/>
          <w:spacing w:val="0"/>
          <w:szCs w:val="24"/>
        </w:rPr>
        <w:t xml:space="preserve"> person who is</w:t>
      </w:r>
      <w:r w:rsidR="00E57645" w:rsidRPr="00AC7962">
        <w:rPr>
          <w:rStyle w:val="BookTitle"/>
          <w:rFonts w:ascii="Arial" w:hAnsi="Arial" w:cs="Arial"/>
          <w:i w:val="0"/>
          <w:iCs w:val="0"/>
          <w:smallCaps w:val="0"/>
          <w:spacing w:val="0"/>
          <w:szCs w:val="24"/>
        </w:rPr>
        <w:t xml:space="preserve"> </w:t>
      </w:r>
      <w:r w:rsidR="00296A89" w:rsidRPr="00AC7962">
        <w:rPr>
          <w:rStyle w:val="BookTitle"/>
          <w:rFonts w:ascii="Arial" w:hAnsi="Arial" w:cs="Arial"/>
          <w:i w:val="0"/>
          <w:iCs w:val="0"/>
          <w:smallCaps w:val="0"/>
          <w:spacing w:val="0"/>
          <w:szCs w:val="24"/>
        </w:rPr>
        <w:t xml:space="preserve">located outside of Australia </w:t>
      </w:r>
      <w:r w:rsidRPr="00AC7962">
        <w:rPr>
          <w:rStyle w:val="BookTitle"/>
          <w:rFonts w:ascii="Arial" w:hAnsi="Arial" w:cs="Arial"/>
          <w:i w:val="0"/>
          <w:iCs w:val="0"/>
          <w:smallCaps w:val="0"/>
          <w:spacing w:val="0"/>
          <w:szCs w:val="24"/>
        </w:rPr>
        <w:t>and</w:t>
      </w:r>
      <w:r w:rsidR="00296A89" w:rsidRPr="00AC7962">
        <w:rPr>
          <w:rStyle w:val="BookTitle"/>
          <w:rFonts w:ascii="Arial" w:hAnsi="Arial" w:cs="Arial"/>
          <w:i w:val="0"/>
          <w:iCs w:val="0"/>
          <w:smallCaps w:val="0"/>
          <w:spacing w:val="0"/>
          <w:szCs w:val="24"/>
        </w:rPr>
        <w:t xml:space="preserve"> </w:t>
      </w:r>
      <w:r w:rsidR="00E57645" w:rsidRPr="00AC7962">
        <w:rPr>
          <w:rStyle w:val="BookTitle"/>
          <w:rFonts w:ascii="Arial" w:hAnsi="Arial" w:cs="Arial"/>
          <w:i w:val="0"/>
          <w:iCs w:val="0"/>
          <w:smallCaps w:val="0"/>
          <w:spacing w:val="0"/>
          <w:szCs w:val="24"/>
        </w:rPr>
        <w:t xml:space="preserve">authorised by the Secretary of the Department of Foreign Affairs and Trade to perform consular acts within the meaning of </w:t>
      </w:r>
      <w:r w:rsidRPr="00AC7962">
        <w:rPr>
          <w:rStyle w:val="BookTitle"/>
          <w:rFonts w:ascii="Arial" w:hAnsi="Arial" w:cs="Arial"/>
          <w:i w:val="0"/>
          <w:iCs w:val="0"/>
          <w:smallCaps w:val="0"/>
          <w:spacing w:val="0"/>
          <w:szCs w:val="24"/>
        </w:rPr>
        <w:t xml:space="preserve">paragraphs 3(c) or 3(d) of </w:t>
      </w:r>
      <w:r w:rsidR="00E57645" w:rsidRPr="00AC7962">
        <w:rPr>
          <w:rStyle w:val="BookTitle"/>
          <w:rFonts w:ascii="Arial" w:hAnsi="Arial" w:cs="Arial"/>
          <w:i w:val="0"/>
          <w:iCs w:val="0"/>
          <w:smallCaps w:val="0"/>
          <w:spacing w:val="0"/>
          <w:szCs w:val="24"/>
        </w:rPr>
        <w:t>the Consular Fees Act</w:t>
      </w:r>
      <w:r w:rsidR="00F74A78" w:rsidRPr="00AC7962">
        <w:rPr>
          <w:rStyle w:val="BookTitle"/>
          <w:rFonts w:ascii="Arial" w:hAnsi="Arial" w:cs="Arial"/>
          <w:i w:val="0"/>
          <w:iCs w:val="0"/>
          <w:smallCaps w:val="0"/>
          <w:spacing w:val="0"/>
          <w:szCs w:val="24"/>
        </w:rPr>
        <w:t xml:space="preserve">.  </w:t>
      </w:r>
    </w:p>
    <w:p w14:paraId="6275DEA5" w14:textId="77777777" w:rsidR="00EE6319" w:rsidRPr="00AC7962" w:rsidRDefault="00EE6319" w:rsidP="00D7233A">
      <w:pPr>
        <w:pStyle w:val="ListParagraph"/>
        <w:rPr>
          <w:rStyle w:val="BookTitle"/>
          <w:rFonts w:ascii="Arial" w:hAnsi="Arial" w:cs="Arial"/>
          <w:i w:val="0"/>
          <w:iCs w:val="0"/>
          <w:smallCaps w:val="0"/>
          <w:spacing w:val="0"/>
          <w:szCs w:val="24"/>
        </w:rPr>
      </w:pPr>
    </w:p>
    <w:p w14:paraId="0BE797ED" w14:textId="43BD5A3C" w:rsidR="00BE638F" w:rsidRPr="00AC7962" w:rsidRDefault="00F74A78">
      <w:pPr>
        <w:pStyle w:val="ListParagraph"/>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 xml:space="preserve">This applies to </w:t>
      </w:r>
      <w:r w:rsidRPr="00AC7962">
        <w:rPr>
          <w:rFonts w:ascii="Arial" w:hAnsi="Arial" w:cs="Arial"/>
          <w:szCs w:val="24"/>
        </w:rPr>
        <w:t>Commonwealth employees and employees of the Australian Trade and Investment Commission</w:t>
      </w:r>
      <w:r w:rsidR="00EE6319" w:rsidRPr="00AC7962">
        <w:rPr>
          <w:rFonts w:ascii="Arial" w:hAnsi="Arial" w:cs="Arial"/>
          <w:szCs w:val="24"/>
        </w:rPr>
        <w:t xml:space="preserve"> who have been authorised in writing by the Secretary to perform consular acts.  Consular act</w:t>
      </w:r>
      <w:r w:rsidR="003934FE" w:rsidRPr="00AC7962">
        <w:rPr>
          <w:rFonts w:ascii="Arial" w:hAnsi="Arial" w:cs="Arial"/>
          <w:szCs w:val="24"/>
        </w:rPr>
        <w:t xml:space="preserve"> </w:t>
      </w:r>
      <w:r w:rsidR="00EE6319" w:rsidRPr="00AC7962">
        <w:rPr>
          <w:rFonts w:ascii="Arial" w:hAnsi="Arial" w:cs="Arial"/>
          <w:szCs w:val="24"/>
        </w:rPr>
        <w:t>is</w:t>
      </w:r>
      <w:r w:rsidR="003934FE" w:rsidRPr="00AC7962">
        <w:rPr>
          <w:rFonts w:ascii="Arial" w:hAnsi="Arial" w:cs="Arial"/>
          <w:szCs w:val="24"/>
        </w:rPr>
        <w:t xml:space="preserve"> defined in the Consular Fees Act as ‘an act specified in the regulations as being a consular act for the purposes of the Consular Fees Act’</w:t>
      </w:r>
      <w:r w:rsidR="00296A89" w:rsidRPr="00AC7962">
        <w:rPr>
          <w:rStyle w:val="BookTitle"/>
          <w:rFonts w:ascii="Arial" w:hAnsi="Arial" w:cs="Arial"/>
          <w:i w:val="0"/>
          <w:iCs w:val="0"/>
          <w:smallCaps w:val="0"/>
          <w:spacing w:val="0"/>
          <w:szCs w:val="24"/>
        </w:rPr>
        <w:t>; and</w:t>
      </w:r>
    </w:p>
    <w:p w14:paraId="525D38F2" w14:textId="02340F19" w:rsidR="003934FE" w:rsidRPr="00AC7962" w:rsidRDefault="003934FE">
      <w:pPr>
        <w:pStyle w:val="ListParagraph"/>
        <w:rPr>
          <w:rStyle w:val="BookTitle"/>
          <w:rFonts w:ascii="Arial" w:hAnsi="Arial" w:cs="Arial"/>
          <w:i w:val="0"/>
          <w:iCs w:val="0"/>
          <w:smallCaps w:val="0"/>
          <w:spacing w:val="0"/>
          <w:szCs w:val="24"/>
        </w:rPr>
      </w:pPr>
    </w:p>
    <w:p w14:paraId="1B667B0F" w14:textId="01F6D994" w:rsidR="003934FE" w:rsidRPr="00AC7962" w:rsidRDefault="003934FE" w:rsidP="003934FE">
      <w:pPr>
        <w:pStyle w:val="ListParagraph"/>
        <w:numPr>
          <w:ilvl w:val="0"/>
          <w:numId w:val="20"/>
        </w:numPr>
        <w:jc w:val="both"/>
        <w:rPr>
          <w:rStyle w:val="BookTitle"/>
          <w:rFonts w:ascii="Arial" w:hAnsi="Arial" w:cs="Arial"/>
          <w:i w:val="0"/>
          <w:iCs w:val="0"/>
          <w:smallCaps w:val="0"/>
          <w:spacing w:val="0"/>
          <w:szCs w:val="24"/>
        </w:rPr>
      </w:pPr>
      <w:r w:rsidRPr="00AC7962">
        <w:rPr>
          <w:rStyle w:val="BookTitle"/>
          <w:rFonts w:ascii="Arial" w:hAnsi="Arial" w:cs="Arial"/>
          <w:i w:val="0"/>
          <w:iCs w:val="0"/>
          <w:smallCaps w:val="0"/>
          <w:spacing w:val="0"/>
          <w:szCs w:val="24"/>
        </w:rPr>
        <w:t xml:space="preserve">a medical practitioner (within the meaning of the </w:t>
      </w:r>
      <w:r w:rsidRPr="00AC7962">
        <w:rPr>
          <w:rStyle w:val="BookTitle"/>
          <w:rFonts w:ascii="Arial" w:hAnsi="Arial" w:cs="Arial"/>
          <w:i w:val="0"/>
          <w:smallCaps w:val="0"/>
          <w:spacing w:val="0"/>
          <w:szCs w:val="24"/>
        </w:rPr>
        <w:t>Health Insurance Act</w:t>
      </w:r>
      <w:r w:rsidRPr="00AC7962">
        <w:rPr>
          <w:rStyle w:val="BookTitle"/>
          <w:rFonts w:ascii="Arial" w:hAnsi="Arial" w:cs="Arial"/>
          <w:i w:val="0"/>
          <w:iCs w:val="0"/>
          <w:smallCaps w:val="0"/>
          <w:spacing w:val="0"/>
          <w:szCs w:val="24"/>
        </w:rPr>
        <w:t>)</w:t>
      </w:r>
      <w:r w:rsidR="00CB7415" w:rsidRPr="00AC7962">
        <w:rPr>
          <w:rStyle w:val="BookTitle"/>
          <w:rFonts w:ascii="Arial" w:hAnsi="Arial" w:cs="Arial"/>
          <w:i w:val="0"/>
          <w:iCs w:val="0"/>
          <w:smallCaps w:val="0"/>
          <w:spacing w:val="0"/>
          <w:szCs w:val="24"/>
        </w:rPr>
        <w:t>, that is, ‘a person registered or licensed as a medical practitioner under a law of a State or Territory that provides for the registration or licensing of medical practitioners’.  However, it does not include a person whose registration or licence to practise has been suspended or cancelled following an inquiry relating to the person’s conduct and who has not been reinstated to practise as a medical practitioner in that State or Territory.</w:t>
      </w:r>
      <w:r w:rsidRPr="00AC7962">
        <w:rPr>
          <w:rStyle w:val="BookTitle"/>
          <w:rFonts w:ascii="Arial" w:hAnsi="Arial" w:cs="Arial"/>
          <w:i w:val="0"/>
          <w:iCs w:val="0"/>
          <w:smallCaps w:val="0"/>
          <w:spacing w:val="0"/>
          <w:szCs w:val="24"/>
        </w:rPr>
        <w:t xml:space="preserve"> </w:t>
      </w:r>
    </w:p>
    <w:p w14:paraId="7B42904F" w14:textId="0B814D9E" w:rsidR="00AA64F0" w:rsidRPr="00AC7962" w:rsidRDefault="00AA64F0" w:rsidP="00122B41">
      <w:pPr>
        <w:spacing w:before="0"/>
        <w:jc w:val="both"/>
        <w:rPr>
          <w:rStyle w:val="BookTitle"/>
          <w:rFonts w:ascii="Arial" w:hAnsi="Arial" w:cs="Arial"/>
          <w:i w:val="0"/>
          <w:iCs w:val="0"/>
          <w:smallCaps w:val="0"/>
          <w:spacing w:val="0"/>
          <w:szCs w:val="24"/>
        </w:rPr>
      </w:pPr>
    </w:p>
    <w:p w14:paraId="7C15368F" w14:textId="69FAD02F" w:rsidR="00063B07" w:rsidRPr="00AC7962" w:rsidRDefault="00296A89" w:rsidP="000260D6">
      <w:pPr>
        <w:shd w:val="clear" w:color="auto" w:fill="FFFFFF"/>
        <w:spacing w:before="0"/>
        <w:jc w:val="both"/>
        <w:textAlignment w:val="top"/>
        <w:rPr>
          <w:rFonts w:ascii="Arial" w:hAnsi="Arial" w:cs="Arial"/>
          <w:color w:val="111111"/>
          <w:szCs w:val="24"/>
        </w:rPr>
      </w:pPr>
      <w:r w:rsidRPr="00AC7962">
        <w:rPr>
          <w:rFonts w:ascii="Arial" w:hAnsi="Arial" w:cs="Arial"/>
          <w:color w:val="111111"/>
          <w:szCs w:val="24"/>
        </w:rPr>
        <w:t>Subsection 5(3) outlines t</w:t>
      </w:r>
      <w:r w:rsidR="004F132D" w:rsidRPr="00AC7962">
        <w:rPr>
          <w:rFonts w:ascii="Arial" w:hAnsi="Arial" w:cs="Arial"/>
          <w:color w:val="111111"/>
          <w:szCs w:val="24"/>
        </w:rPr>
        <w:t>he following classes of persons</w:t>
      </w:r>
      <w:r w:rsidR="00063B07" w:rsidRPr="00AC7962">
        <w:rPr>
          <w:rFonts w:ascii="Arial" w:hAnsi="Arial" w:cs="Arial"/>
          <w:color w:val="111111"/>
          <w:szCs w:val="24"/>
        </w:rPr>
        <w:t>,</w:t>
      </w:r>
      <w:r w:rsidR="00E357FA" w:rsidRPr="00AC7962">
        <w:rPr>
          <w:rFonts w:ascii="Arial" w:hAnsi="Arial" w:cs="Arial"/>
          <w:color w:val="111111"/>
          <w:szCs w:val="24"/>
        </w:rPr>
        <w:t xml:space="preserve"> however described in their respective jurisdictions,</w:t>
      </w:r>
      <w:r w:rsidR="00063B07" w:rsidRPr="00AC7962">
        <w:rPr>
          <w:rFonts w:ascii="Arial" w:hAnsi="Arial" w:cs="Arial"/>
          <w:color w:val="111111"/>
          <w:szCs w:val="24"/>
        </w:rPr>
        <w:t xml:space="preserve"> are determined as authorised certifiers in the social security recipient’s place of residence:</w:t>
      </w:r>
    </w:p>
    <w:p w14:paraId="2562398E" w14:textId="4446C963" w:rsidR="00296A89" w:rsidRPr="00AC7962" w:rsidRDefault="00296A89" w:rsidP="000260D6">
      <w:pPr>
        <w:shd w:val="clear" w:color="auto" w:fill="FFFFFF"/>
        <w:spacing w:before="0"/>
        <w:jc w:val="both"/>
        <w:textAlignment w:val="top"/>
        <w:rPr>
          <w:rFonts w:ascii="Arial" w:hAnsi="Arial" w:cs="Arial"/>
          <w:color w:val="111111"/>
          <w:szCs w:val="24"/>
        </w:rPr>
      </w:pPr>
    </w:p>
    <w:p w14:paraId="6AA8BBC5" w14:textId="3B5381B1" w:rsidR="00296A89" w:rsidRPr="00AC7962" w:rsidRDefault="00211FDE" w:rsidP="002C2B21">
      <w:pPr>
        <w:pStyle w:val="ListParagraph"/>
        <w:numPr>
          <w:ilvl w:val="0"/>
          <w:numId w:val="26"/>
        </w:numPr>
        <w:shd w:val="clear" w:color="auto" w:fill="FFFFFF"/>
        <w:spacing w:before="0"/>
        <w:jc w:val="both"/>
        <w:textAlignment w:val="top"/>
        <w:rPr>
          <w:rFonts w:ascii="Arial" w:hAnsi="Arial" w:cs="Arial"/>
          <w:color w:val="111111"/>
          <w:szCs w:val="24"/>
        </w:rPr>
      </w:pPr>
      <w:r w:rsidRPr="00AC7962">
        <w:rPr>
          <w:rFonts w:ascii="Arial" w:hAnsi="Arial" w:cs="Arial"/>
          <w:color w:val="111111"/>
          <w:szCs w:val="24"/>
        </w:rPr>
        <w:t>a</w:t>
      </w:r>
      <w:r w:rsidR="00296A89" w:rsidRPr="00AC7962">
        <w:rPr>
          <w:rFonts w:ascii="Arial" w:hAnsi="Arial" w:cs="Arial"/>
          <w:color w:val="111111"/>
          <w:szCs w:val="24"/>
        </w:rPr>
        <w:t xml:space="preserve"> person who, under the law of</w:t>
      </w:r>
      <w:r w:rsidRPr="00AC7962">
        <w:rPr>
          <w:rFonts w:ascii="Arial" w:hAnsi="Arial" w:cs="Arial"/>
          <w:color w:val="111111"/>
          <w:szCs w:val="24"/>
        </w:rPr>
        <w:t>, or applying at,</w:t>
      </w:r>
      <w:r w:rsidR="00296A89" w:rsidRPr="00AC7962">
        <w:rPr>
          <w:rFonts w:ascii="Arial" w:hAnsi="Arial" w:cs="Arial"/>
          <w:color w:val="111111"/>
          <w:szCs w:val="24"/>
        </w:rPr>
        <w:t xml:space="preserve"> that place, is </w:t>
      </w:r>
      <w:r w:rsidR="00D67DB6" w:rsidRPr="00AC7962">
        <w:rPr>
          <w:rFonts w:ascii="Arial" w:hAnsi="Arial" w:cs="Arial"/>
          <w:color w:val="111111"/>
          <w:szCs w:val="24"/>
        </w:rPr>
        <w:t xml:space="preserve">currently </w:t>
      </w:r>
      <w:r w:rsidR="00296A89" w:rsidRPr="00AC7962">
        <w:rPr>
          <w:rFonts w:ascii="Arial" w:hAnsi="Arial" w:cs="Arial"/>
          <w:color w:val="111111"/>
          <w:szCs w:val="24"/>
        </w:rPr>
        <w:t xml:space="preserve">authorised or entitled to practise in that place as: </w:t>
      </w:r>
    </w:p>
    <w:p w14:paraId="759CD7E0" w14:textId="2A346789" w:rsidR="00296A89" w:rsidRPr="00AC7962" w:rsidRDefault="00296A89" w:rsidP="002C2B21">
      <w:pPr>
        <w:pStyle w:val="ListParagraph"/>
        <w:numPr>
          <w:ilvl w:val="1"/>
          <w:numId w:val="26"/>
        </w:numPr>
        <w:shd w:val="clear" w:color="auto" w:fill="FFFFFF"/>
        <w:spacing w:before="0"/>
        <w:jc w:val="both"/>
        <w:textAlignment w:val="top"/>
        <w:rPr>
          <w:rFonts w:ascii="Arial" w:hAnsi="Arial" w:cs="Arial"/>
          <w:color w:val="111111"/>
          <w:szCs w:val="24"/>
        </w:rPr>
      </w:pPr>
      <w:r w:rsidRPr="00AC7962">
        <w:rPr>
          <w:rFonts w:ascii="Arial" w:hAnsi="Arial" w:cs="Arial"/>
          <w:color w:val="111111"/>
          <w:szCs w:val="24"/>
        </w:rPr>
        <w:lastRenderedPageBreak/>
        <w:t>a legal practitioner</w:t>
      </w:r>
      <w:r w:rsidR="00955E5F" w:rsidRPr="00AC7962">
        <w:rPr>
          <w:rFonts w:ascii="Arial" w:hAnsi="Arial" w:cs="Arial"/>
          <w:color w:val="111111"/>
          <w:szCs w:val="24"/>
        </w:rPr>
        <w:t>.  The intention is that the person</w:t>
      </w:r>
      <w:r w:rsidR="00C05445" w:rsidRPr="00AC7962">
        <w:rPr>
          <w:rFonts w:ascii="Arial" w:hAnsi="Arial" w:cs="Arial"/>
          <w:color w:val="111111"/>
          <w:szCs w:val="24"/>
        </w:rPr>
        <w:t>’s qualification and registration</w:t>
      </w:r>
      <w:r w:rsidR="00E02803" w:rsidRPr="00AC7962">
        <w:rPr>
          <w:rFonts w:ascii="Arial" w:hAnsi="Arial" w:cs="Arial"/>
          <w:color w:val="111111"/>
          <w:szCs w:val="24"/>
        </w:rPr>
        <w:t xml:space="preserve"> </w:t>
      </w:r>
      <w:r w:rsidR="00C05445" w:rsidRPr="00AC7962">
        <w:rPr>
          <w:rFonts w:ascii="Arial" w:hAnsi="Arial" w:cs="Arial"/>
          <w:color w:val="111111"/>
          <w:szCs w:val="24"/>
        </w:rPr>
        <w:t>to practise</w:t>
      </w:r>
      <w:r w:rsidR="00E02803" w:rsidRPr="00AC7962">
        <w:rPr>
          <w:rFonts w:ascii="Arial" w:hAnsi="Arial" w:cs="Arial"/>
          <w:color w:val="111111"/>
          <w:szCs w:val="24"/>
        </w:rPr>
        <w:t xml:space="preserve"> as a legal practitioner (that is, a lawyer, solicitor or barrister) </w:t>
      </w:r>
      <w:r w:rsidR="00C05445" w:rsidRPr="00AC7962">
        <w:rPr>
          <w:rFonts w:ascii="Arial" w:hAnsi="Arial" w:cs="Arial"/>
          <w:color w:val="111111"/>
          <w:szCs w:val="24"/>
        </w:rPr>
        <w:t>should be</w:t>
      </w:r>
      <w:r w:rsidR="00E02803" w:rsidRPr="00AC7962">
        <w:rPr>
          <w:rFonts w:ascii="Arial" w:hAnsi="Arial" w:cs="Arial"/>
          <w:color w:val="111111"/>
          <w:szCs w:val="24"/>
        </w:rPr>
        <w:t xml:space="preserve"> up-to-date;</w:t>
      </w:r>
    </w:p>
    <w:p w14:paraId="3B815EEC" w14:textId="07A4DB97" w:rsidR="00296A89" w:rsidRPr="00AC7962" w:rsidRDefault="00296A89" w:rsidP="002C2B21">
      <w:pPr>
        <w:pStyle w:val="ListParagraph"/>
        <w:numPr>
          <w:ilvl w:val="1"/>
          <w:numId w:val="26"/>
        </w:numPr>
        <w:shd w:val="clear" w:color="auto" w:fill="FFFFFF"/>
        <w:spacing w:before="0"/>
        <w:jc w:val="both"/>
        <w:textAlignment w:val="top"/>
        <w:rPr>
          <w:rFonts w:ascii="Arial" w:hAnsi="Arial" w:cs="Arial"/>
          <w:color w:val="111111"/>
          <w:szCs w:val="24"/>
        </w:rPr>
      </w:pPr>
      <w:r w:rsidRPr="00AC7962">
        <w:rPr>
          <w:rFonts w:ascii="Arial" w:hAnsi="Arial" w:cs="Arial"/>
          <w:color w:val="111111"/>
          <w:szCs w:val="24"/>
        </w:rPr>
        <w:t>a notary public;</w:t>
      </w:r>
      <w:r w:rsidR="00E357FA" w:rsidRPr="00AC7962">
        <w:rPr>
          <w:rFonts w:ascii="Arial" w:hAnsi="Arial" w:cs="Arial"/>
          <w:color w:val="111111"/>
          <w:szCs w:val="24"/>
        </w:rPr>
        <w:t xml:space="preserve"> or</w:t>
      </w:r>
    </w:p>
    <w:p w14:paraId="6F83FD87" w14:textId="66CEF470" w:rsidR="00296A89" w:rsidRPr="00AC7962" w:rsidRDefault="00296A89" w:rsidP="002C2B21">
      <w:pPr>
        <w:pStyle w:val="ListParagraph"/>
        <w:numPr>
          <w:ilvl w:val="1"/>
          <w:numId w:val="26"/>
        </w:numPr>
        <w:shd w:val="clear" w:color="auto" w:fill="FFFFFF"/>
        <w:spacing w:before="0"/>
        <w:jc w:val="both"/>
        <w:textAlignment w:val="top"/>
        <w:rPr>
          <w:rFonts w:ascii="Arial" w:hAnsi="Arial" w:cs="Arial"/>
          <w:color w:val="111111"/>
          <w:szCs w:val="24"/>
        </w:rPr>
      </w:pPr>
      <w:r w:rsidRPr="00AC7962">
        <w:rPr>
          <w:rFonts w:ascii="Arial" w:hAnsi="Arial" w:cs="Arial"/>
          <w:color w:val="111111"/>
          <w:szCs w:val="24"/>
        </w:rPr>
        <w:t>a medical practitioner</w:t>
      </w:r>
      <w:r w:rsidR="00955E5F" w:rsidRPr="00AC7962">
        <w:rPr>
          <w:rFonts w:ascii="Arial" w:hAnsi="Arial" w:cs="Arial"/>
          <w:color w:val="111111"/>
          <w:szCs w:val="24"/>
        </w:rPr>
        <w:t>.  The intention</w:t>
      </w:r>
      <w:r w:rsidR="000C3145" w:rsidRPr="00AC7962">
        <w:rPr>
          <w:rFonts w:ascii="Arial" w:hAnsi="Arial" w:cs="Arial"/>
          <w:color w:val="111111"/>
          <w:szCs w:val="24"/>
        </w:rPr>
        <w:t xml:space="preserve"> is</w:t>
      </w:r>
      <w:r w:rsidR="00955E5F" w:rsidRPr="00AC7962">
        <w:rPr>
          <w:rFonts w:ascii="Arial" w:hAnsi="Arial" w:cs="Arial"/>
          <w:color w:val="111111"/>
          <w:szCs w:val="24"/>
        </w:rPr>
        <w:t xml:space="preserve"> that this category of persons </w:t>
      </w:r>
      <w:r w:rsidR="00E02803" w:rsidRPr="00AC7962">
        <w:rPr>
          <w:rFonts w:ascii="Arial" w:hAnsi="Arial" w:cs="Arial"/>
          <w:color w:val="111111"/>
          <w:szCs w:val="24"/>
        </w:rPr>
        <w:t>will, in addition to medical doctors or specialists,</w:t>
      </w:r>
      <w:r w:rsidR="00955E5F" w:rsidRPr="00AC7962">
        <w:rPr>
          <w:rFonts w:ascii="Arial" w:hAnsi="Arial" w:cs="Arial"/>
          <w:color w:val="111111"/>
          <w:szCs w:val="24"/>
        </w:rPr>
        <w:t xml:space="preserve"> also include allied</w:t>
      </w:r>
      <w:r w:rsidR="00E02803" w:rsidRPr="00AC7962">
        <w:rPr>
          <w:rFonts w:ascii="Arial" w:hAnsi="Arial" w:cs="Arial"/>
          <w:color w:val="111111"/>
          <w:szCs w:val="24"/>
        </w:rPr>
        <w:t xml:space="preserve"> health practitioners (such as nurses, physiotherapists etc</w:t>
      </w:r>
      <w:r w:rsidR="001D02DB" w:rsidRPr="00AC7962">
        <w:rPr>
          <w:rFonts w:ascii="Arial" w:hAnsi="Arial" w:cs="Arial"/>
          <w:color w:val="111111"/>
          <w:szCs w:val="24"/>
        </w:rPr>
        <w:t>.</w:t>
      </w:r>
      <w:r w:rsidR="00E02803" w:rsidRPr="00AC7962">
        <w:rPr>
          <w:rFonts w:ascii="Arial" w:hAnsi="Arial" w:cs="Arial"/>
          <w:color w:val="111111"/>
          <w:szCs w:val="24"/>
        </w:rPr>
        <w:t>)</w:t>
      </w:r>
      <w:r w:rsidR="00C05445" w:rsidRPr="00AC7962">
        <w:rPr>
          <w:rFonts w:ascii="Arial" w:hAnsi="Arial" w:cs="Arial"/>
          <w:color w:val="111111"/>
          <w:szCs w:val="24"/>
        </w:rPr>
        <w:t>,</w:t>
      </w:r>
      <w:r w:rsidR="00E02803" w:rsidRPr="00AC7962">
        <w:rPr>
          <w:rFonts w:ascii="Arial" w:hAnsi="Arial" w:cs="Arial"/>
          <w:color w:val="111111"/>
          <w:szCs w:val="24"/>
        </w:rPr>
        <w:t xml:space="preserve"> currently </w:t>
      </w:r>
      <w:r w:rsidR="00C05445" w:rsidRPr="00AC7962">
        <w:rPr>
          <w:rFonts w:ascii="Arial" w:hAnsi="Arial" w:cs="Arial"/>
          <w:color w:val="111111"/>
          <w:szCs w:val="24"/>
        </w:rPr>
        <w:t>be authorised or entitled to practise</w:t>
      </w:r>
      <w:r w:rsidR="00E02803" w:rsidRPr="00AC7962">
        <w:rPr>
          <w:rFonts w:ascii="Arial" w:hAnsi="Arial" w:cs="Arial"/>
          <w:color w:val="111111"/>
          <w:szCs w:val="24"/>
        </w:rPr>
        <w:t xml:space="preserve"> in their field of speciality</w:t>
      </w:r>
      <w:r w:rsidRPr="00AC7962">
        <w:rPr>
          <w:rFonts w:ascii="Arial" w:hAnsi="Arial" w:cs="Arial"/>
          <w:color w:val="111111"/>
          <w:szCs w:val="24"/>
        </w:rPr>
        <w:t>;</w:t>
      </w:r>
      <w:r w:rsidR="00E357FA" w:rsidRPr="00AC7962">
        <w:rPr>
          <w:rFonts w:ascii="Arial" w:hAnsi="Arial" w:cs="Arial"/>
          <w:color w:val="111111"/>
          <w:szCs w:val="24"/>
        </w:rPr>
        <w:t xml:space="preserve"> or</w:t>
      </w:r>
    </w:p>
    <w:p w14:paraId="159F246C" w14:textId="43681171" w:rsidR="00FD00BE" w:rsidRPr="00AC7962" w:rsidRDefault="00296A89" w:rsidP="002C2B21">
      <w:pPr>
        <w:pStyle w:val="ListParagraph"/>
        <w:numPr>
          <w:ilvl w:val="1"/>
          <w:numId w:val="26"/>
        </w:numPr>
        <w:shd w:val="clear" w:color="auto" w:fill="FFFFFF"/>
        <w:spacing w:before="0"/>
        <w:jc w:val="both"/>
        <w:textAlignment w:val="top"/>
        <w:rPr>
          <w:rFonts w:ascii="Arial" w:hAnsi="Arial" w:cs="Arial"/>
          <w:color w:val="111111"/>
          <w:szCs w:val="24"/>
        </w:rPr>
      </w:pPr>
      <w:r w:rsidRPr="00AC7962">
        <w:rPr>
          <w:rFonts w:ascii="Arial" w:hAnsi="Arial" w:cs="Arial"/>
          <w:color w:val="111111"/>
          <w:szCs w:val="24"/>
        </w:rPr>
        <w:t>a police officer;</w:t>
      </w:r>
    </w:p>
    <w:p w14:paraId="0A71EF26" w14:textId="77777777" w:rsidR="00211FDE" w:rsidRPr="00AC7962" w:rsidRDefault="00211FDE" w:rsidP="002C2B21">
      <w:pPr>
        <w:pStyle w:val="ListParagraph"/>
        <w:shd w:val="clear" w:color="auto" w:fill="FFFFFF"/>
        <w:spacing w:before="0"/>
        <w:ind w:left="1440"/>
        <w:jc w:val="both"/>
        <w:textAlignment w:val="top"/>
        <w:rPr>
          <w:rFonts w:ascii="Arial" w:hAnsi="Arial" w:cs="Arial"/>
          <w:color w:val="111111"/>
          <w:szCs w:val="24"/>
        </w:rPr>
      </w:pPr>
    </w:p>
    <w:p w14:paraId="6DBB0E75" w14:textId="05FF7F69" w:rsidR="00E357FA" w:rsidRPr="00AC7962" w:rsidRDefault="00E357FA" w:rsidP="002C2B21">
      <w:pPr>
        <w:pStyle w:val="ListParagraph"/>
        <w:numPr>
          <w:ilvl w:val="0"/>
          <w:numId w:val="26"/>
        </w:numPr>
        <w:shd w:val="clear" w:color="auto" w:fill="FFFFFF"/>
        <w:spacing w:before="0"/>
        <w:jc w:val="both"/>
        <w:textAlignment w:val="top"/>
        <w:rPr>
          <w:rFonts w:ascii="Arial" w:hAnsi="Arial" w:cs="Arial"/>
          <w:color w:val="111111"/>
          <w:szCs w:val="24"/>
        </w:rPr>
      </w:pPr>
      <w:r w:rsidRPr="00AC7962">
        <w:rPr>
          <w:rFonts w:ascii="Arial" w:hAnsi="Arial" w:cs="Arial"/>
          <w:color w:val="111111"/>
          <w:szCs w:val="24"/>
        </w:rPr>
        <w:t xml:space="preserve">a person who holds </w:t>
      </w:r>
      <w:r w:rsidR="00211FDE" w:rsidRPr="00AC7962">
        <w:rPr>
          <w:rFonts w:ascii="Arial" w:hAnsi="Arial" w:cs="Arial"/>
          <w:color w:val="111111"/>
          <w:szCs w:val="24"/>
        </w:rPr>
        <w:t xml:space="preserve">any of </w:t>
      </w:r>
      <w:r w:rsidRPr="00AC7962">
        <w:rPr>
          <w:rFonts w:ascii="Arial" w:hAnsi="Arial" w:cs="Arial"/>
          <w:color w:val="111111"/>
          <w:szCs w:val="24"/>
        </w:rPr>
        <w:t>the following offices of a court of</w:t>
      </w:r>
      <w:r w:rsidR="00211FDE" w:rsidRPr="00AC7962">
        <w:rPr>
          <w:rFonts w:ascii="Arial" w:hAnsi="Arial" w:cs="Arial"/>
          <w:color w:val="111111"/>
          <w:szCs w:val="24"/>
        </w:rPr>
        <w:t>, or having jurisdiction at,</w:t>
      </w:r>
      <w:r w:rsidRPr="00AC7962">
        <w:rPr>
          <w:rFonts w:ascii="Arial" w:hAnsi="Arial" w:cs="Arial"/>
          <w:color w:val="111111"/>
          <w:szCs w:val="24"/>
        </w:rPr>
        <w:t xml:space="preserve"> that place:</w:t>
      </w:r>
    </w:p>
    <w:p w14:paraId="5A4FD16D" w14:textId="7E6CAF8D" w:rsidR="00E357FA" w:rsidRPr="00AC7962" w:rsidRDefault="00E357FA" w:rsidP="002C2B21">
      <w:pPr>
        <w:pStyle w:val="ListParagraph"/>
        <w:numPr>
          <w:ilvl w:val="1"/>
          <w:numId w:val="26"/>
        </w:numPr>
        <w:shd w:val="clear" w:color="auto" w:fill="FFFFFF"/>
        <w:spacing w:before="0"/>
        <w:jc w:val="both"/>
        <w:textAlignment w:val="top"/>
        <w:rPr>
          <w:rFonts w:ascii="Arial" w:hAnsi="Arial" w:cs="Arial"/>
          <w:color w:val="111111"/>
          <w:szCs w:val="24"/>
        </w:rPr>
      </w:pPr>
      <w:r w:rsidRPr="00AC7962">
        <w:rPr>
          <w:rFonts w:ascii="Arial" w:hAnsi="Arial" w:cs="Arial"/>
          <w:color w:val="111111"/>
          <w:szCs w:val="24"/>
        </w:rPr>
        <w:t>a judge, magistrate or justice; or</w:t>
      </w:r>
    </w:p>
    <w:p w14:paraId="1C6E8690" w14:textId="77777777" w:rsidR="00B57E03" w:rsidRPr="00AC7962" w:rsidRDefault="00E357FA" w:rsidP="002C2B21">
      <w:pPr>
        <w:pStyle w:val="ListParagraph"/>
        <w:numPr>
          <w:ilvl w:val="1"/>
          <w:numId w:val="26"/>
        </w:numPr>
        <w:shd w:val="clear" w:color="auto" w:fill="FFFFFF"/>
        <w:spacing w:before="0"/>
        <w:jc w:val="both"/>
        <w:textAlignment w:val="top"/>
        <w:rPr>
          <w:rFonts w:ascii="Arial" w:hAnsi="Arial" w:cs="Arial"/>
          <w:color w:val="111111"/>
          <w:szCs w:val="24"/>
        </w:rPr>
      </w:pPr>
      <w:r w:rsidRPr="00AC7962">
        <w:rPr>
          <w:rFonts w:ascii="Arial" w:hAnsi="Arial" w:cs="Arial"/>
          <w:color w:val="111111"/>
          <w:szCs w:val="24"/>
        </w:rPr>
        <w:t>a registrar or deputy registrar.</w:t>
      </w:r>
    </w:p>
    <w:p w14:paraId="2EE3921F" w14:textId="61D65E57" w:rsidR="00B57E03" w:rsidRPr="00AC7962" w:rsidRDefault="00B57E03" w:rsidP="00B57E03">
      <w:pPr>
        <w:shd w:val="clear" w:color="auto" w:fill="FFFFFF"/>
        <w:spacing w:before="0"/>
        <w:jc w:val="both"/>
        <w:textAlignment w:val="top"/>
        <w:rPr>
          <w:rFonts w:ascii="Arial" w:hAnsi="Arial" w:cs="Arial"/>
          <w:color w:val="111111"/>
          <w:szCs w:val="24"/>
        </w:rPr>
      </w:pPr>
    </w:p>
    <w:p w14:paraId="6933472C" w14:textId="35CA6FCA" w:rsidR="0020330E" w:rsidRPr="00AC7962" w:rsidRDefault="0020330E" w:rsidP="00B57E03">
      <w:pPr>
        <w:shd w:val="clear" w:color="auto" w:fill="FFFFFF"/>
        <w:spacing w:before="0"/>
        <w:jc w:val="both"/>
        <w:textAlignment w:val="top"/>
        <w:rPr>
          <w:rFonts w:ascii="Arial" w:hAnsi="Arial" w:cs="Arial"/>
          <w:color w:val="111111"/>
          <w:szCs w:val="24"/>
        </w:rPr>
      </w:pPr>
    </w:p>
    <w:p w14:paraId="07375B0A" w14:textId="77777777" w:rsidR="00E3212A" w:rsidRPr="00AC7962" w:rsidRDefault="00E3212A" w:rsidP="00B57E03">
      <w:pPr>
        <w:shd w:val="clear" w:color="auto" w:fill="FFFFFF"/>
        <w:spacing w:before="0"/>
        <w:jc w:val="both"/>
        <w:textAlignment w:val="top"/>
        <w:rPr>
          <w:rFonts w:ascii="Arial" w:hAnsi="Arial" w:cs="Arial"/>
          <w:color w:val="111111"/>
          <w:szCs w:val="24"/>
        </w:rPr>
      </w:pPr>
    </w:p>
    <w:p w14:paraId="3F6C73B3" w14:textId="77777777" w:rsidR="00B57E03" w:rsidRPr="00AC7962" w:rsidRDefault="00B57E03" w:rsidP="00B57E03">
      <w:pPr>
        <w:widowControl w:val="0"/>
        <w:suppressAutoHyphens/>
        <w:autoSpaceDE w:val="0"/>
        <w:autoSpaceDN w:val="0"/>
        <w:spacing w:before="0"/>
        <w:jc w:val="center"/>
        <w:textAlignment w:val="baseline"/>
        <w:rPr>
          <w:rFonts w:ascii="Arial" w:hAnsi="Arial" w:cs="Arial"/>
          <w:szCs w:val="24"/>
        </w:rPr>
      </w:pPr>
      <w:r w:rsidRPr="00AC7962">
        <w:rPr>
          <w:rFonts w:ascii="Arial" w:hAnsi="Arial" w:cs="Arial"/>
          <w:b/>
          <w:szCs w:val="24"/>
        </w:rPr>
        <w:t>Kathryn Campbell AO CSC, Secretary of the Department of Social Services</w:t>
      </w:r>
    </w:p>
    <w:p w14:paraId="04D53BB6" w14:textId="1EA89DD8" w:rsidR="00B3221D" w:rsidRPr="00AC7962" w:rsidRDefault="00E357FA" w:rsidP="00901DC0">
      <w:pPr>
        <w:shd w:val="clear" w:color="auto" w:fill="FFFFFF"/>
        <w:spacing w:before="0"/>
        <w:jc w:val="both"/>
        <w:textAlignment w:val="top"/>
        <w:rPr>
          <w:rFonts w:ascii="Arial" w:hAnsi="Arial" w:cs="Arial"/>
          <w:color w:val="111111"/>
          <w:szCs w:val="24"/>
        </w:rPr>
      </w:pPr>
      <w:r w:rsidRPr="00AC7962">
        <w:rPr>
          <w:rFonts w:ascii="Arial" w:hAnsi="Arial" w:cs="Arial"/>
          <w:color w:val="111111"/>
          <w:szCs w:val="24"/>
        </w:rPr>
        <w:t xml:space="preserve"> </w:t>
      </w:r>
    </w:p>
    <w:p w14:paraId="01EEC78B" w14:textId="77777777" w:rsidR="00E3212A" w:rsidRPr="00AC7962" w:rsidRDefault="00E3212A" w:rsidP="00FF64FA">
      <w:pPr>
        <w:shd w:val="clear" w:color="auto" w:fill="FFFFFF"/>
        <w:spacing w:before="0"/>
        <w:jc w:val="center"/>
        <w:textAlignment w:val="top"/>
        <w:rPr>
          <w:rFonts w:ascii="Arial" w:hAnsi="Arial" w:cs="Arial"/>
          <w:b/>
          <w:szCs w:val="24"/>
        </w:rPr>
        <w:sectPr w:rsidR="00E3212A" w:rsidRPr="00AC7962">
          <w:pgSz w:w="11906" w:h="16838"/>
          <w:pgMar w:top="1440" w:right="1440" w:bottom="1440" w:left="1440" w:header="708" w:footer="708" w:gutter="0"/>
          <w:cols w:space="708"/>
          <w:docGrid w:linePitch="360"/>
        </w:sectPr>
      </w:pPr>
    </w:p>
    <w:p w14:paraId="6E9053B5" w14:textId="16A2E318" w:rsidR="00FF64FA" w:rsidRPr="00AC7962" w:rsidRDefault="00FF64FA" w:rsidP="00FF64FA">
      <w:pPr>
        <w:shd w:val="clear" w:color="auto" w:fill="FFFFFF"/>
        <w:spacing w:before="0"/>
        <w:jc w:val="center"/>
        <w:textAlignment w:val="top"/>
        <w:rPr>
          <w:rFonts w:ascii="Arial" w:hAnsi="Arial" w:cs="Arial"/>
          <w:b/>
          <w:szCs w:val="24"/>
        </w:rPr>
      </w:pPr>
      <w:r w:rsidRPr="00AC7962">
        <w:rPr>
          <w:rFonts w:ascii="Arial" w:hAnsi="Arial" w:cs="Arial"/>
          <w:b/>
          <w:szCs w:val="24"/>
        </w:rPr>
        <w:lastRenderedPageBreak/>
        <w:t>Statement of Compatibility with Human Rights</w:t>
      </w:r>
    </w:p>
    <w:p w14:paraId="31E84B01" w14:textId="77777777" w:rsidR="00FF64FA" w:rsidRPr="00AC7962" w:rsidRDefault="00FF64FA" w:rsidP="00FF64FA">
      <w:pPr>
        <w:shd w:val="clear" w:color="auto" w:fill="FFFFFF"/>
        <w:spacing w:before="0"/>
        <w:jc w:val="center"/>
        <w:textAlignment w:val="top"/>
        <w:rPr>
          <w:rFonts w:ascii="Arial" w:hAnsi="Arial" w:cs="Arial"/>
          <w:b/>
          <w:szCs w:val="24"/>
        </w:rPr>
      </w:pPr>
    </w:p>
    <w:p w14:paraId="37922FC5" w14:textId="77777777" w:rsidR="00FF64FA" w:rsidRPr="00AC7962" w:rsidRDefault="00FF64FA" w:rsidP="00FF64FA">
      <w:pPr>
        <w:widowControl w:val="0"/>
        <w:suppressAutoHyphens/>
        <w:autoSpaceDE w:val="0"/>
        <w:autoSpaceDN w:val="0"/>
        <w:spacing w:before="0"/>
        <w:jc w:val="center"/>
        <w:textAlignment w:val="baseline"/>
        <w:rPr>
          <w:rFonts w:ascii="Arial" w:hAnsi="Arial" w:cs="Arial"/>
          <w:i/>
          <w:szCs w:val="24"/>
        </w:rPr>
      </w:pPr>
      <w:r w:rsidRPr="00AC7962">
        <w:rPr>
          <w:rFonts w:ascii="Arial" w:hAnsi="Arial" w:cs="Arial"/>
          <w:szCs w:val="24"/>
        </w:rPr>
        <w:t>Prepared in accordance with Part 3 of the</w:t>
      </w:r>
      <w:r w:rsidRPr="00AC7962">
        <w:rPr>
          <w:rFonts w:ascii="Arial" w:hAnsi="Arial" w:cs="Arial"/>
          <w:i/>
          <w:szCs w:val="24"/>
        </w:rPr>
        <w:t xml:space="preserve"> Human Rights (Parliamentary Scrutiny) Act 2011</w:t>
      </w:r>
    </w:p>
    <w:p w14:paraId="7E3F5A33" w14:textId="77777777" w:rsidR="00FF64FA" w:rsidRPr="00AC7962" w:rsidRDefault="00FF64FA" w:rsidP="00FF64FA">
      <w:pPr>
        <w:widowControl w:val="0"/>
        <w:suppressAutoHyphens/>
        <w:autoSpaceDE w:val="0"/>
        <w:autoSpaceDN w:val="0"/>
        <w:spacing w:before="0"/>
        <w:jc w:val="center"/>
        <w:textAlignment w:val="baseline"/>
        <w:rPr>
          <w:rFonts w:ascii="Arial" w:hAnsi="Arial" w:cs="Arial"/>
          <w:i/>
          <w:szCs w:val="24"/>
        </w:rPr>
      </w:pPr>
    </w:p>
    <w:p w14:paraId="5F745B39" w14:textId="0EA50B93" w:rsidR="00FF64FA" w:rsidRPr="00AC7962" w:rsidRDefault="00FF64FA" w:rsidP="00FF64FA">
      <w:pPr>
        <w:widowControl w:val="0"/>
        <w:suppressAutoHyphens/>
        <w:autoSpaceDE w:val="0"/>
        <w:autoSpaceDN w:val="0"/>
        <w:spacing w:before="0"/>
        <w:jc w:val="center"/>
        <w:textAlignment w:val="baseline"/>
        <w:rPr>
          <w:rFonts w:ascii="Arial" w:hAnsi="Arial" w:cs="Arial"/>
          <w:b/>
          <w:i/>
          <w:szCs w:val="24"/>
        </w:rPr>
      </w:pPr>
      <w:r w:rsidRPr="00AC7962">
        <w:rPr>
          <w:rFonts w:ascii="Arial" w:hAnsi="Arial" w:cs="Arial"/>
          <w:b/>
          <w:i/>
          <w:szCs w:val="24"/>
        </w:rPr>
        <w:t>Social Security (Administration) (Authorised Certifier) Determination 2019</w:t>
      </w:r>
    </w:p>
    <w:p w14:paraId="0DDC8DED" w14:textId="77777777" w:rsidR="00FF64FA" w:rsidRPr="00AC7962" w:rsidRDefault="00FF64FA" w:rsidP="00FF64FA">
      <w:pPr>
        <w:spacing w:before="0"/>
        <w:jc w:val="both"/>
        <w:rPr>
          <w:rFonts w:ascii="Arial" w:hAnsi="Arial" w:cs="Arial"/>
          <w:szCs w:val="24"/>
        </w:rPr>
      </w:pPr>
    </w:p>
    <w:p w14:paraId="613D6602" w14:textId="7B75EB05" w:rsidR="00FF64FA" w:rsidRPr="00AC7962" w:rsidRDefault="00FF64FA" w:rsidP="00FF64FA">
      <w:pPr>
        <w:spacing w:before="0"/>
        <w:jc w:val="both"/>
        <w:rPr>
          <w:rFonts w:ascii="Arial" w:hAnsi="Arial" w:cs="Arial"/>
          <w:szCs w:val="24"/>
        </w:rPr>
      </w:pPr>
      <w:r w:rsidRPr="00AC7962">
        <w:rPr>
          <w:rFonts w:ascii="Arial" w:hAnsi="Arial" w:cs="Arial"/>
          <w:szCs w:val="24"/>
        </w:rPr>
        <w:t xml:space="preserve">The </w:t>
      </w:r>
      <w:r w:rsidR="00537321" w:rsidRPr="00AC7962">
        <w:rPr>
          <w:rFonts w:ascii="Arial" w:hAnsi="Arial" w:cs="Arial"/>
          <w:szCs w:val="24"/>
        </w:rPr>
        <w:t xml:space="preserve">instrument </w:t>
      </w:r>
      <w:r w:rsidRPr="00AC7962">
        <w:rPr>
          <w:rFonts w:ascii="Arial" w:hAnsi="Arial" w:cs="Arial"/>
          <w:szCs w:val="24"/>
        </w:rPr>
        <w:t xml:space="preserve">is compatible with the human rights and freedoms recognised or declared in the international instruments listed in section 3 of the </w:t>
      </w:r>
      <w:r w:rsidR="00EB3EB2" w:rsidRPr="00AC7962">
        <w:rPr>
          <w:rFonts w:ascii="Arial" w:hAnsi="Arial" w:cs="Arial"/>
          <w:szCs w:val="24"/>
        </w:rPr>
        <w:br/>
      </w:r>
      <w:r w:rsidRPr="00AC7962">
        <w:rPr>
          <w:rFonts w:ascii="Arial" w:hAnsi="Arial" w:cs="Arial"/>
          <w:i/>
          <w:szCs w:val="24"/>
        </w:rPr>
        <w:t>Human Rights (Parliamentary Scrutiny) Act 2011</w:t>
      </w:r>
      <w:r w:rsidRPr="00AC7962">
        <w:rPr>
          <w:rFonts w:ascii="Arial" w:hAnsi="Arial" w:cs="Arial"/>
          <w:szCs w:val="24"/>
        </w:rPr>
        <w:t>.</w:t>
      </w:r>
    </w:p>
    <w:p w14:paraId="0B7F3B50" w14:textId="77777777" w:rsidR="00FF64FA" w:rsidRPr="00AC7962" w:rsidRDefault="00FF64FA" w:rsidP="00FF64FA">
      <w:pPr>
        <w:spacing w:before="0"/>
        <w:jc w:val="both"/>
        <w:rPr>
          <w:rFonts w:ascii="Arial" w:hAnsi="Arial" w:cs="Arial"/>
          <w:szCs w:val="24"/>
        </w:rPr>
      </w:pPr>
    </w:p>
    <w:p w14:paraId="533923AD" w14:textId="2F02AE6E" w:rsidR="00C82C1A" w:rsidRPr="00AC7962" w:rsidRDefault="00FF64FA" w:rsidP="00FF64FA">
      <w:pPr>
        <w:spacing w:before="0"/>
        <w:jc w:val="both"/>
        <w:rPr>
          <w:rFonts w:ascii="Arial" w:hAnsi="Arial" w:cs="Arial"/>
          <w:b/>
          <w:szCs w:val="24"/>
        </w:rPr>
      </w:pPr>
      <w:r w:rsidRPr="00AC7962">
        <w:rPr>
          <w:rFonts w:ascii="Arial" w:hAnsi="Arial" w:cs="Arial"/>
          <w:b/>
          <w:szCs w:val="24"/>
        </w:rPr>
        <w:t>Overview of the legislative instrument</w:t>
      </w:r>
    </w:p>
    <w:p w14:paraId="78804749" w14:textId="4AB41433" w:rsidR="00FF64FA" w:rsidRPr="00AC7962" w:rsidRDefault="00FF64FA" w:rsidP="00FF64FA">
      <w:pPr>
        <w:spacing w:before="0"/>
        <w:jc w:val="both"/>
        <w:rPr>
          <w:rFonts w:ascii="Arial" w:hAnsi="Arial" w:cs="Arial"/>
          <w:szCs w:val="24"/>
        </w:rPr>
      </w:pPr>
    </w:p>
    <w:p w14:paraId="1BFB5C6C" w14:textId="0E66823E" w:rsidR="003A6EA9" w:rsidRPr="00AC7962" w:rsidRDefault="00FF64FA" w:rsidP="00FF64FA">
      <w:pPr>
        <w:spacing w:before="0"/>
        <w:jc w:val="both"/>
        <w:rPr>
          <w:rFonts w:ascii="Arial" w:hAnsi="Arial" w:cs="Arial"/>
          <w:szCs w:val="24"/>
        </w:rPr>
      </w:pPr>
      <w:r w:rsidRPr="00AC7962">
        <w:rPr>
          <w:rFonts w:ascii="Arial" w:hAnsi="Arial" w:cs="Arial"/>
          <w:szCs w:val="24"/>
        </w:rPr>
        <w:t xml:space="preserve">This </w:t>
      </w:r>
      <w:r w:rsidR="00537321" w:rsidRPr="00AC7962">
        <w:rPr>
          <w:rFonts w:ascii="Arial" w:hAnsi="Arial" w:cs="Arial"/>
          <w:szCs w:val="24"/>
        </w:rPr>
        <w:t xml:space="preserve">instrument </w:t>
      </w:r>
      <w:r w:rsidRPr="00AC7962">
        <w:rPr>
          <w:rFonts w:ascii="Arial" w:hAnsi="Arial" w:cs="Arial"/>
          <w:szCs w:val="24"/>
        </w:rPr>
        <w:t>facilitates administrati</w:t>
      </w:r>
      <w:r w:rsidR="00C353A7" w:rsidRPr="00AC7962">
        <w:rPr>
          <w:rFonts w:ascii="Arial" w:hAnsi="Arial" w:cs="Arial"/>
          <w:szCs w:val="24"/>
        </w:rPr>
        <w:t>on</w:t>
      </w:r>
      <w:r w:rsidRPr="00AC7962">
        <w:rPr>
          <w:rFonts w:ascii="Arial" w:hAnsi="Arial" w:cs="Arial"/>
          <w:szCs w:val="24"/>
        </w:rPr>
        <w:t xml:space="preserve"> </w:t>
      </w:r>
      <w:r w:rsidR="00C353A7" w:rsidRPr="00AC7962">
        <w:rPr>
          <w:rFonts w:ascii="Arial" w:hAnsi="Arial" w:cs="Arial"/>
          <w:szCs w:val="24"/>
        </w:rPr>
        <w:t xml:space="preserve">of </w:t>
      </w:r>
      <w:r w:rsidRPr="00AC7962">
        <w:rPr>
          <w:rFonts w:ascii="Arial" w:hAnsi="Arial" w:cs="Arial"/>
          <w:szCs w:val="24"/>
        </w:rPr>
        <w:t xml:space="preserve">the </w:t>
      </w:r>
      <w:r w:rsidR="00C353A7" w:rsidRPr="00AC7962">
        <w:rPr>
          <w:rFonts w:ascii="Arial" w:hAnsi="Arial" w:cs="Arial"/>
          <w:szCs w:val="24"/>
        </w:rPr>
        <w:t xml:space="preserve">requirement for social security recipients who live overseas to provide a </w:t>
      </w:r>
      <w:r w:rsidRPr="00AC7962">
        <w:rPr>
          <w:rFonts w:ascii="Arial" w:hAnsi="Arial" w:cs="Arial"/>
          <w:szCs w:val="24"/>
        </w:rPr>
        <w:t>proof of life certificate</w:t>
      </w:r>
      <w:r w:rsidR="009133E4" w:rsidRPr="00AC7962">
        <w:rPr>
          <w:rFonts w:ascii="Arial" w:hAnsi="Arial" w:cs="Arial"/>
          <w:szCs w:val="24"/>
        </w:rPr>
        <w:t xml:space="preserve">.  This </w:t>
      </w:r>
      <w:r w:rsidR="00C353A7" w:rsidRPr="00AC7962">
        <w:rPr>
          <w:rFonts w:ascii="Arial" w:hAnsi="Arial" w:cs="Arial"/>
          <w:szCs w:val="24"/>
        </w:rPr>
        <w:t xml:space="preserve">was introduced by </w:t>
      </w:r>
      <w:r w:rsidRPr="00AC7962">
        <w:rPr>
          <w:rFonts w:ascii="Arial" w:hAnsi="Arial" w:cs="Arial"/>
          <w:szCs w:val="24"/>
        </w:rPr>
        <w:t xml:space="preserve">the </w:t>
      </w:r>
      <w:r w:rsidR="00C353A7" w:rsidRPr="00AC7962">
        <w:rPr>
          <w:rFonts w:ascii="Arial" w:hAnsi="Arial" w:cs="Arial"/>
          <w:i/>
          <w:szCs w:val="24"/>
        </w:rPr>
        <w:t xml:space="preserve">Social Services Legislation Amendment (Overseas Welfare Recipients Integrity Program) Act 2019 </w:t>
      </w:r>
      <w:r w:rsidR="00DC62D2" w:rsidRPr="00AC7962">
        <w:rPr>
          <w:rFonts w:ascii="Arial" w:hAnsi="Arial" w:cs="Arial"/>
          <w:szCs w:val="24"/>
        </w:rPr>
        <w:t>(</w:t>
      </w:r>
      <w:r w:rsidR="009133E4" w:rsidRPr="00AC7962">
        <w:rPr>
          <w:rFonts w:ascii="Arial" w:hAnsi="Arial" w:cs="Arial"/>
          <w:szCs w:val="24"/>
        </w:rPr>
        <w:t xml:space="preserve">the </w:t>
      </w:r>
      <w:r w:rsidR="00DC62D2" w:rsidRPr="00AC7962">
        <w:rPr>
          <w:rFonts w:ascii="Arial" w:hAnsi="Arial" w:cs="Arial"/>
          <w:b/>
          <w:szCs w:val="24"/>
        </w:rPr>
        <w:t>Amendment Act</w:t>
      </w:r>
      <w:r w:rsidR="00DC62D2" w:rsidRPr="00AC7962">
        <w:rPr>
          <w:rFonts w:ascii="Arial" w:hAnsi="Arial" w:cs="Arial"/>
          <w:szCs w:val="24"/>
        </w:rPr>
        <w:t>)</w:t>
      </w:r>
      <w:r w:rsidR="003A6EA9" w:rsidRPr="00AC7962">
        <w:rPr>
          <w:rFonts w:ascii="Arial" w:hAnsi="Arial" w:cs="Arial"/>
          <w:szCs w:val="24"/>
        </w:rPr>
        <w:t xml:space="preserve">. </w:t>
      </w:r>
    </w:p>
    <w:p w14:paraId="720E3905" w14:textId="77777777" w:rsidR="003A6EA9" w:rsidRPr="00AC7962" w:rsidRDefault="003A6EA9" w:rsidP="00FF64FA">
      <w:pPr>
        <w:spacing w:before="0"/>
        <w:jc w:val="both"/>
        <w:rPr>
          <w:rFonts w:ascii="Arial" w:hAnsi="Arial" w:cs="Arial"/>
          <w:szCs w:val="24"/>
        </w:rPr>
      </w:pPr>
    </w:p>
    <w:p w14:paraId="4695884F" w14:textId="2D2F0DCE" w:rsidR="00FF64FA" w:rsidRPr="00AC7962" w:rsidRDefault="003A6EA9" w:rsidP="00FF64FA">
      <w:pPr>
        <w:spacing w:before="0"/>
        <w:jc w:val="both"/>
        <w:rPr>
          <w:rFonts w:ascii="Arial" w:hAnsi="Arial" w:cs="Arial"/>
          <w:szCs w:val="24"/>
        </w:rPr>
      </w:pPr>
      <w:r w:rsidRPr="00AC7962">
        <w:rPr>
          <w:rFonts w:ascii="Arial" w:hAnsi="Arial" w:cs="Arial"/>
          <w:szCs w:val="24"/>
        </w:rPr>
        <w:t xml:space="preserve">The </w:t>
      </w:r>
      <w:r w:rsidR="00DC62D2" w:rsidRPr="00AC7962">
        <w:rPr>
          <w:rFonts w:ascii="Arial" w:hAnsi="Arial" w:cs="Arial"/>
          <w:szCs w:val="24"/>
        </w:rPr>
        <w:t xml:space="preserve">Amendment Act </w:t>
      </w:r>
      <w:r w:rsidRPr="00AC7962">
        <w:rPr>
          <w:rFonts w:ascii="Arial" w:hAnsi="Arial" w:cs="Arial"/>
          <w:szCs w:val="24"/>
        </w:rPr>
        <w:t xml:space="preserve">strengthens the integrity of social security payments by requiring certain overseas pension recipients to provide proof of life certificates. </w:t>
      </w:r>
      <w:r w:rsidR="00C353A7" w:rsidRPr="00AC7962">
        <w:rPr>
          <w:rFonts w:ascii="Arial" w:hAnsi="Arial" w:cs="Arial"/>
          <w:szCs w:val="24"/>
        </w:rPr>
        <w:t xml:space="preserve"> </w:t>
      </w:r>
      <w:r w:rsidR="00040847" w:rsidRPr="00AC7962">
        <w:rPr>
          <w:rFonts w:ascii="Arial" w:hAnsi="Arial" w:cs="Arial"/>
          <w:szCs w:val="24"/>
        </w:rPr>
        <w:t xml:space="preserve">This is designed to ensure that Australian social security payments are only paid to those who are alive.  </w:t>
      </w:r>
      <w:r w:rsidRPr="00AC7962">
        <w:rPr>
          <w:rFonts w:ascii="Arial" w:hAnsi="Arial" w:cs="Arial"/>
          <w:szCs w:val="24"/>
        </w:rPr>
        <w:t xml:space="preserve">These certificates must be verified by an </w:t>
      </w:r>
      <w:r w:rsidRPr="00AC7962">
        <w:rPr>
          <w:rFonts w:ascii="Arial" w:hAnsi="Arial" w:cs="Arial"/>
          <w:i/>
          <w:szCs w:val="24"/>
        </w:rPr>
        <w:t>authorised certifier</w:t>
      </w:r>
      <w:r w:rsidR="00932CA8" w:rsidRPr="00AC7962">
        <w:rPr>
          <w:rFonts w:ascii="Arial" w:hAnsi="Arial" w:cs="Arial"/>
          <w:szCs w:val="24"/>
        </w:rPr>
        <w:t xml:space="preserve">, </w:t>
      </w:r>
      <w:r w:rsidR="00301A05" w:rsidRPr="00AC7962">
        <w:rPr>
          <w:rFonts w:ascii="Arial" w:hAnsi="Arial" w:cs="Arial"/>
          <w:szCs w:val="24"/>
        </w:rPr>
        <w:t>that is,</w:t>
      </w:r>
      <w:r w:rsidR="00932CA8" w:rsidRPr="00AC7962">
        <w:rPr>
          <w:rFonts w:ascii="Arial" w:hAnsi="Arial" w:cs="Arial"/>
          <w:szCs w:val="24"/>
        </w:rPr>
        <w:t xml:space="preserve"> a person included in a class of persons that the Secretary has determined</w:t>
      </w:r>
      <w:r w:rsidR="00301A05" w:rsidRPr="00AC7962">
        <w:rPr>
          <w:rFonts w:ascii="Arial" w:hAnsi="Arial" w:cs="Arial"/>
          <w:szCs w:val="24"/>
        </w:rPr>
        <w:t>, under section 63A</w:t>
      </w:r>
      <w:r w:rsidR="00B57E03" w:rsidRPr="00AC7962">
        <w:rPr>
          <w:rFonts w:ascii="Arial" w:hAnsi="Arial" w:cs="Arial"/>
          <w:szCs w:val="24"/>
        </w:rPr>
        <w:t>(9)</w:t>
      </w:r>
      <w:r w:rsidR="00301A05" w:rsidRPr="00AC7962">
        <w:rPr>
          <w:rFonts w:ascii="Arial" w:hAnsi="Arial" w:cs="Arial"/>
          <w:szCs w:val="24"/>
        </w:rPr>
        <w:t xml:space="preserve"> of the Act, to be an</w:t>
      </w:r>
      <w:r w:rsidR="00932CA8" w:rsidRPr="00AC7962">
        <w:rPr>
          <w:rFonts w:ascii="Arial" w:hAnsi="Arial" w:cs="Arial"/>
          <w:szCs w:val="24"/>
        </w:rPr>
        <w:t xml:space="preserve"> authorised certifier. </w:t>
      </w:r>
      <w:r w:rsidR="00E3212A" w:rsidRPr="00AC7962">
        <w:rPr>
          <w:rFonts w:ascii="Arial" w:hAnsi="Arial" w:cs="Arial"/>
          <w:szCs w:val="24"/>
        </w:rPr>
        <w:t xml:space="preserve"> </w:t>
      </w:r>
      <w:r w:rsidR="00932CA8" w:rsidRPr="00AC7962">
        <w:rPr>
          <w:rFonts w:ascii="Arial" w:hAnsi="Arial" w:cs="Arial"/>
          <w:szCs w:val="24"/>
        </w:rPr>
        <w:t xml:space="preserve">This </w:t>
      </w:r>
      <w:r w:rsidR="00537321" w:rsidRPr="00AC7962">
        <w:rPr>
          <w:rFonts w:ascii="Arial" w:hAnsi="Arial" w:cs="Arial"/>
          <w:szCs w:val="24"/>
        </w:rPr>
        <w:t>instrument</w:t>
      </w:r>
      <w:r w:rsidR="00932CA8" w:rsidRPr="00AC7962">
        <w:rPr>
          <w:rFonts w:ascii="Arial" w:hAnsi="Arial" w:cs="Arial"/>
          <w:szCs w:val="24"/>
        </w:rPr>
        <w:t xml:space="preserve"> is made by the Secretary</w:t>
      </w:r>
      <w:r w:rsidR="00AE7E41" w:rsidRPr="00AC7962">
        <w:rPr>
          <w:rFonts w:ascii="Arial" w:hAnsi="Arial" w:cs="Arial"/>
          <w:szCs w:val="24"/>
        </w:rPr>
        <w:t xml:space="preserve"> </w:t>
      </w:r>
      <w:r w:rsidR="00932CA8" w:rsidRPr="00AC7962">
        <w:rPr>
          <w:rFonts w:ascii="Arial" w:hAnsi="Arial" w:cs="Arial"/>
          <w:szCs w:val="24"/>
        </w:rPr>
        <w:t>specifying the classes of persons that are authorised certifiers.</w:t>
      </w:r>
    </w:p>
    <w:p w14:paraId="180E6C2A" w14:textId="77777777" w:rsidR="00932CA8" w:rsidRPr="00AC7962" w:rsidRDefault="00932CA8" w:rsidP="00FF64FA">
      <w:pPr>
        <w:spacing w:before="0"/>
        <w:jc w:val="both"/>
        <w:rPr>
          <w:rFonts w:ascii="Arial" w:hAnsi="Arial" w:cs="Arial"/>
          <w:szCs w:val="24"/>
        </w:rPr>
      </w:pPr>
    </w:p>
    <w:p w14:paraId="53F8644E" w14:textId="77777777" w:rsidR="00FF64FA" w:rsidRPr="00AC7962" w:rsidRDefault="00FF64FA" w:rsidP="00FF64FA">
      <w:pPr>
        <w:widowControl w:val="0"/>
        <w:suppressAutoHyphens/>
        <w:autoSpaceDE w:val="0"/>
        <w:autoSpaceDN w:val="0"/>
        <w:spacing w:before="0"/>
        <w:jc w:val="both"/>
        <w:textAlignment w:val="baseline"/>
        <w:outlineLvl w:val="2"/>
        <w:rPr>
          <w:rFonts w:ascii="Arial" w:hAnsi="Arial" w:cs="Arial"/>
          <w:b/>
          <w:szCs w:val="24"/>
        </w:rPr>
      </w:pPr>
      <w:r w:rsidRPr="00AC7962">
        <w:rPr>
          <w:rFonts w:ascii="Arial" w:hAnsi="Arial" w:cs="Arial"/>
          <w:b/>
          <w:szCs w:val="24"/>
        </w:rPr>
        <w:t>Human rights implications</w:t>
      </w:r>
    </w:p>
    <w:p w14:paraId="7B2CD7CE" w14:textId="77777777" w:rsidR="00FF64FA" w:rsidRPr="00AC7962" w:rsidRDefault="00FF64FA" w:rsidP="00FF64FA">
      <w:pPr>
        <w:widowControl w:val="0"/>
        <w:suppressAutoHyphens/>
        <w:autoSpaceDE w:val="0"/>
        <w:autoSpaceDN w:val="0"/>
        <w:adjustRightInd w:val="0"/>
        <w:spacing w:before="0"/>
        <w:jc w:val="both"/>
        <w:textAlignment w:val="baseline"/>
        <w:rPr>
          <w:rFonts w:ascii="Arial" w:hAnsi="Arial" w:cs="Arial"/>
          <w:szCs w:val="24"/>
        </w:rPr>
      </w:pPr>
    </w:p>
    <w:p w14:paraId="025FE104" w14:textId="3CF4014C" w:rsidR="00FF64FA" w:rsidRPr="00AC7962" w:rsidRDefault="00FF64FA" w:rsidP="00FF64FA">
      <w:pPr>
        <w:widowControl w:val="0"/>
        <w:suppressAutoHyphens/>
        <w:autoSpaceDE w:val="0"/>
        <w:autoSpaceDN w:val="0"/>
        <w:adjustRightInd w:val="0"/>
        <w:spacing w:before="0"/>
        <w:jc w:val="both"/>
        <w:textAlignment w:val="baseline"/>
        <w:rPr>
          <w:rFonts w:ascii="Arial" w:hAnsi="Arial" w:cs="Arial"/>
          <w:szCs w:val="24"/>
        </w:rPr>
      </w:pPr>
      <w:r w:rsidRPr="00AC7962">
        <w:rPr>
          <w:rFonts w:ascii="Arial" w:hAnsi="Arial" w:cs="Arial"/>
          <w:szCs w:val="24"/>
        </w:rPr>
        <w:t xml:space="preserve">The </w:t>
      </w:r>
      <w:r w:rsidR="00537321" w:rsidRPr="00AC7962">
        <w:rPr>
          <w:rFonts w:ascii="Arial" w:hAnsi="Arial" w:cs="Arial"/>
          <w:szCs w:val="24"/>
        </w:rPr>
        <w:t xml:space="preserve">instrument </w:t>
      </w:r>
      <w:r w:rsidRPr="00AC7962">
        <w:rPr>
          <w:rFonts w:ascii="Arial" w:hAnsi="Arial" w:cs="Arial"/>
          <w:szCs w:val="24"/>
        </w:rPr>
        <w:t>engages Article 9 of the International Covenant on Economic, Soci</w:t>
      </w:r>
      <w:r w:rsidR="00C3242B" w:rsidRPr="00AC7962">
        <w:rPr>
          <w:rFonts w:ascii="Arial" w:hAnsi="Arial" w:cs="Arial"/>
          <w:szCs w:val="24"/>
        </w:rPr>
        <w:t>al and Cultural Rights (ICESCR)</w:t>
      </w:r>
      <w:r w:rsidR="00365309" w:rsidRPr="00AC7962">
        <w:rPr>
          <w:rFonts w:ascii="Arial" w:hAnsi="Arial" w:cs="Arial"/>
          <w:szCs w:val="24"/>
        </w:rPr>
        <w:t>,</w:t>
      </w:r>
      <w:r w:rsidR="00C3242B" w:rsidRPr="00AC7962">
        <w:rPr>
          <w:rFonts w:ascii="Arial" w:hAnsi="Arial" w:cs="Arial"/>
          <w:szCs w:val="24"/>
        </w:rPr>
        <w:t xml:space="preserve"> </w:t>
      </w:r>
      <w:r w:rsidRPr="00AC7962">
        <w:rPr>
          <w:rFonts w:ascii="Arial" w:hAnsi="Arial" w:cs="Arial"/>
          <w:szCs w:val="24"/>
        </w:rPr>
        <w:t xml:space="preserve">which recognises </w:t>
      </w:r>
      <w:r w:rsidRPr="00AC7962">
        <w:rPr>
          <w:rFonts w:ascii="Arial" w:hAnsi="Arial" w:cs="Arial"/>
          <w:i/>
          <w:iCs/>
          <w:szCs w:val="24"/>
        </w:rPr>
        <w:t>‘the right of everyone to social security, including social insurance’</w:t>
      </w:r>
      <w:r w:rsidR="007739A2" w:rsidRPr="00AC7962">
        <w:rPr>
          <w:rFonts w:ascii="Arial" w:hAnsi="Arial" w:cs="Arial"/>
          <w:szCs w:val="24"/>
        </w:rPr>
        <w:t xml:space="preserve">. </w:t>
      </w:r>
      <w:r w:rsidR="00E3212A" w:rsidRPr="00AC7962">
        <w:rPr>
          <w:rFonts w:ascii="Arial" w:hAnsi="Arial" w:cs="Arial"/>
          <w:szCs w:val="24"/>
        </w:rPr>
        <w:t xml:space="preserve"> </w:t>
      </w:r>
      <w:r w:rsidRPr="00AC7962">
        <w:rPr>
          <w:rFonts w:ascii="Arial" w:hAnsi="Arial" w:cs="Arial"/>
          <w:szCs w:val="24"/>
        </w:rPr>
        <w:t>The ICESCR requires a country to, within its maximum available resources, provide a minimum essential level of benefits to all individuals and families that will enable them to acquire at least essential health care, basic shelter and housing, water and sanitation, foodstuffs, and the most basic forms of education.</w:t>
      </w:r>
    </w:p>
    <w:p w14:paraId="33480E93" w14:textId="77777777" w:rsidR="00FF64FA" w:rsidRPr="00AC7962" w:rsidRDefault="00FF64FA" w:rsidP="00FF64FA">
      <w:pPr>
        <w:widowControl w:val="0"/>
        <w:suppressAutoHyphens/>
        <w:autoSpaceDE w:val="0"/>
        <w:autoSpaceDN w:val="0"/>
        <w:adjustRightInd w:val="0"/>
        <w:spacing w:before="0"/>
        <w:jc w:val="both"/>
        <w:textAlignment w:val="baseline"/>
        <w:rPr>
          <w:rFonts w:ascii="Arial" w:hAnsi="Arial" w:cs="Arial"/>
          <w:szCs w:val="24"/>
        </w:rPr>
      </w:pPr>
    </w:p>
    <w:p w14:paraId="6E63F91D" w14:textId="4E577988" w:rsidR="00FF64FA" w:rsidRPr="00AC7962" w:rsidRDefault="00FF64FA" w:rsidP="00FF64FA">
      <w:pPr>
        <w:spacing w:before="0"/>
        <w:jc w:val="both"/>
        <w:rPr>
          <w:rFonts w:ascii="Arial" w:hAnsi="Arial" w:cs="Arial"/>
          <w:szCs w:val="24"/>
        </w:rPr>
      </w:pPr>
      <w:r w:rsidRPr="00AC7962">
        <w:rPr>
          <w:rFonts w:ascii="Arial" w:hAnsi="Arial" w:cs="Arial"/>
          <w:szCs w:val="24"/>
        </w:rPr>
        <w:t xml:space="preserve">This </w:t>
      </w:r>
      <w:r w:rsidR="00537321" w:rsidRPr="00AC7962">
        <w:rPr>
          <w:rFonts w:ascii="Arial" w:hAnsi="Arial" w:cs="Arial"/>
          <w:szCs w:val="24"/>
        </w:rPr>
        <w:t xml:space="preserve">instrument </w:t>
      </w:r>
      <w:r w:rsidRPr="00AC7962">
        <w:rPr>
          <w:rFonts w:ascii="Arial" w:hAnsi="Arial" w:cs="Arial"/>
          <w:szCs w:val="24"/>
        </w:rPr>
        <w:t>also engages Article</w:t>
      </w:r>
      <w:r w:rsidR="00365309" w:rsidRPr="00AC7962">
        <w:rPr>
          <w:rFonts w:ascii="Arial" w:hAnsi="Arial" w:cs="Arial"/>
          <w:szCs w:val="24"/>
        </w:rPr>
        <w:t xml:space="preserve"> 11 of the ICESCR, which recognis</w:t>
      </w:r>
      <w:r w:rsidRPr="00AC7962">
        <w:rPr>
          <w:rFonts w:ascii="Arial" w:hAnsi="Arial" w:cs="Arial"/>
          <w:szCs w:val="24"/>
        </w:rPr>
        <w:t xml:space="preserve">es the right of everyone to an adequate standard of living for himself and his family, including adequate food, clothing and housing, and to the continuous improvement of living conditions. </w:t>
      </w:r>
    </w:p>
    <w:p w14:paraId="0C58CAF8" w14:textId="01316EFB" w:rsidR="00FF64FA" w:rsidRPr="00AC7962" w:rsidRDefault="00FF64FA" w:rsidP="00FF64FA">
      <w:pPr>
        <w:spacing w:before="0"/>
        <w:jc w:val="both"/>
        <w:rPr>
          <w:rFonts w:ascii="Arial" w:hAnsi="Arial" w:cs="Arial"/>
          <w:color w:val="444444"/>
          <w:szCs w:val="24"/>
        </w:rPr>
      </w:pPr>
    </w:p>
    <w:p w14:paraId="3E0D119C" w14:textId="6805D5E1" w:rsidR="00040847" w:rsidRPr="00AC7962" w:rsidRDefault="00040847" w:rsidP="00040847">
      <w:pPr>
        <w:spacing w:before="0"/>
        <w:jc w:val="both"/>
        <w:rPr>
          <w:rFonts w:ascii="Arial" w:hAnsi="Arial" w:cs="Arial"/>
          <w:szCs w:val="24"/>
        </w:rPr>
      </w:pPr>
      <w:r w:rsidRPr="00AC7962">
        <w:rPr>
          <w:rFonts w:ascii="Arial" w:hAnsi="Arial" w:cs="Arial"/>
          <w:szCs w:val="24"/>
        </w:rPr>
        <w:t xml:space="preserve">This instrument does not change a person’s entitlement to social security </w:t>
      </w:r>
      <w:r w:rsidR="00365309" w:rsidRPr="00AC7962">
        <w:rPr>
          <w:rFonts w:ascii="Arial" w:hAnsi="Arial" w:cs="Arial"/>
          <w:szCs w:val="24"/>
        </w:rPr>
        <w:t>or their ability to maintain an adequate standard of living</w:t>
      </w:r>
      <w:r w:rsidRPr="00AC7962">
        <w:rPr>
          <w:rFonts w:ascii="Arial" w:hAnsi="Arial" w:cs="Arial"/>
          <w:szCs w:val="24"/>
        </w:rPr>
        <w:t xml:space="preserve">.  </w:t>
      </w:r>
      <w:r w:rsidR="000C5457" w:rsidRPr="00AC7962">
        <w:rPr>
          <w:rFonts w:ascii="Arial" w:hAnsi="Arial" w:cs="Arial"/>
          <w:szCs w:val="24"/>
        </w:rPr>
        <w:t>The instrument facilitates the administration of the proof of life requirements introduced by the Amendment Act.</w:t>
      </w:r>
    </w:p>
    <w:p w14:paraId="31E9FEAD" w14:textId="77777777" w:rsidR="00040847" w:rsidRPr="00AC7962" w:rsidRDefault="00040847" w:rsidP="00FF64FA">
      <w:pPr>
        <w:spacing w:before="0"/>
        <w:jc w:val="both"/>
        <w:rPr>
          <w:rFonts w:ascii="Arial" w:hAnsi="Arial" w:cs="Arial"/>
          <w:color w:val="444444"/>
          <w:szCs w:val="24"/>
        </w:rPr>
      </w:pPr>
    </w:p>
    <w:p w14:paraId="456F4244" w14:textId="55AD2019" w:rsidR="00FF64FA" w:rsidRPr="00AC7962" w:rsidRDefault="00FF64FA" w:rsidP="00FF64FA">
      <w:pPr>
        <w:spacing w:before="0"/>
        <w:jc w:val="both"/>
        <w:rPr>
          <w:rFonts w:ascii="Arial" w:hAnsi="Arial" w:cs="Arial"/>
          <w:szCs w:val="24"/>
        </w:rPr>
      </w:pPr>
      <w:r w:rsidRPr="00AC7962">
        <w:rPr>
          <w:rFonts w:ascii="Arial" w:hAnsi="Arial" w:cs="Arial"/>
          <w:szCs w:val="24"/>
        </w:rPr>
        <w:t xml:space="preserve">The </w:t>
      </w:r>
      <w:r w:rsidR="00365309" w:rsidRPr="00AC7962">
        <w:rPr>
          <w:rFonts w:ascii="Arial" w:hAnsi="Arial" w:cs="Arial"/>
          <w:szCs w:val="24"/>
        </w:rPr>
        <w:t xml:space="preserve">Amendment Act is designed to help </w:t>
      </w:r>
      <w:r w:rsidRPr="00AC7962">
        <w:rPr>
          <w:rFonts w:ascii="Arial" w:hAnsi="Arial" w:cs="Arial"/>
          <w:szCs w:val="24"/>
        </w:rPr>
        <w:t xml:space="preserve">ensure </w:t>
      </w:r>
      <w:r w:rsidR="00365309" w:rsidRPr="00AC7962">
        <w:rPr>
          <w:rFonts w:ascii="Arial" w:hAnsi="Arial" w:cs="Arial"/>
          <w:szCs w:val="24"/>
        </w:rPr>
        <w:t xml:space="preserve">that Australian pensions are not paid to people who are no longer alive.  The arrangements introduced by the Amendment Act </w:t>
      </w:r>
      <w:r w:rsidRPr="00AC7962">
        <w:rPr>
          <w:rFonts w:ascii="Arial" w:hAnsi="Arial" w:cs="Arial"/>
          <w:szCs w:val="24"/>
        </w:rPr>
        <w:t xml:space="preserve">people </w:t>
      </w:r>
      <w:r w:rsidR="00365309" w:rsidRPr="00AC7962">
        <w:rPr>
          <w:rFonts w:ascii="Arial" w:hAnsi="Arial" w:cs="Arial"/>
          <w:szCs w:val="24"/>
        </w:rPr>
        <w:t>are</w:t>
      </w:r>
      <w:r w:rsidRPr="00AC7962">
        <w:rPr>
          <w:rFonts w:ascii="Arial" w:hAnsi="Arial" w:cs="Arial"/>
          <w:szCs w:val="24"/>
        </w:rPr>
        <w:t xml:space="preserve"> s</w:t>
      </w:r>
      <w:r w:rsidRPr="00AC7962">
        <w:rPr>
          <w:rFonts w:ascii="Arial" w:hAnsi="Arial" w:cs="Arial"/>
          <w:bCs/>
          <w:szCs w:val="24"/>
        </w:rPr>
        <w:t xml:space="preserve">imilar </w:t>
      </w:r>
      <w:r w:rsidR="00365309" w:rsidRPr="00AC7962">
        <w:rPr>
          <w:rFonts w:ascii="Arial" w:hAnsi="Arial" w:cs="Arial"/>
          <w:bCs/>
          <w:szCs w:val="24"/>
        </w:rPr>
        <w:t xml:space="preserve">to the </w:t>
      </w:r>
      <w:r w:rsidRPr="00AC7962">
        <w:rPr>
          <w:rFonts w:ascii="Arial" w:hAnsi="Arial" w:cs="Arial"/>
          <w:bCs/>
          <w:szCs w:val="24"/>
        </w:rPr>
        <w:t>life certifica</w:t>
      </w:r>
      <w:r w:rsidR="00365309" w:rsidRPr="00AC7962">
        <w:rPr>
          <w:rFonts w:ascii="Arial" w:hAnsi="Arial" w:cs="Arial"/>
          <w:bCs/>
          <w:szCs w:val="24"/>
        </w:rPr>
        <w:t>tes or proof of life requests that</w:t>
      </w:r>
      <w:r w:rsidRPr="00AC7962">
        <w:rPr>
          <w:rFonts w:ascii="Arial" w:hAnsi="Arial" w:cs="Arial"/>
          <w:bCs/>
          <w:szCs w:val="24"/>
        </w:rPr>
        <w:t xml:space="preserve"> are commonly used to confirm eligibility for pensions by </w:t>
      </w:r>
      <w:r w:rsidR="00DA36E4" w:rsidRPr="00AC7962">
        <w:rPr>
          <w:rFonts w:ascii="Arial" w:hAnsi="Arial" w:cs="Arial"/>
          <w:bCs/>
          <w:szCs w:val="24"/>
        </w:rPr>
        <w:t>many other</w:t>
      </w:r>
      <w:r w:rsidRPr="00AC7962">
        <w:rPr>
          <w:rFonts w:ascii="Arial" w:hAnsi="Arial" w:cs="Arial"/>
          <w:bCs/>
          <w:szCs w:val="24"/>
        </w:rPr>
        <w:t xml:space="preserve"> countries, and have been in use in some countries for more than a decade.</w:t>
      </w:r>
      <w:r w:rsidR="00DC62D2" w:rsidRPr="00AC7962">
        <w:rPr>
          <w:rFonts w:ascii="Arial" w:hAnsi="Arial" w:cs="Arial"/>
          <w:bCs/>
          <w:szCs w:val="24"/>
        </w:rPr>
        <w:t xml:space="preserve"> </w:t>
      </w:r>
      <w:r w:rsidR="000C5457" w:rsidRPr="00AC7962">
        <w:rPr>
          <w:rFonts w:ascii="Arial" w:hAnsi="Arial" w:cs="Arial"/>
          <w:bCs/>
          <w:szCs w:val="24"/>
        </w:rPr>
        <w:t xml:space="preserve"> The human rights implications of these </w:t>
      </w:r>
      <w:r w:rsidR="000C5457" w:rsidRPr="00AC7962">
        <w:rPr>
          <w:rFonts w:ascii="Arial" w:hAnsi="Arial" w:cs="Arial"/>
          <w:bCs/>
          <w:szCs w:val="24"/>
        </w:rPr>
        <w:lastRenderedPageBreak/>
        <w:t xml:space="preserve">arrangements are addressed in the Explanatory Memorandum to the </w:t>
      </w:r>
      <w:r w:rsidR="000C5457" w:rsidRPr="00AC7962">
        <w:rPr>
          <w:rFonts w:ascii="Arial" w:hAnsi="Arial" w:cs="Arial"/>
          <w:szCs w:val="24"/>
        </w:rPr>
        <w:t>Social Services Legislation Amendment (Overseas Welfare Recipients Integrity Program) Bill 2019.</w:t>
      </w:r>
    </w:p>
    <w:p w14:paraId="1AD2E879" w14:textId="282D2108" w:rsidR="00B3221D" w:rsidRPr="00AC7962" w:rsidRDefault="00B3221D" w:rsidP="00FF64FA">
      <w:pPr>
        <w:spacing w:before="0"/>
        <w:jc w:val="both"/>
        <w:rPr>
          <w:rFonts w:ascii="Arial" w:hAnsi="Arial" w:cs="Arial"/>
          <w:szCs w:val="24"/>
        </w:rPr>
      </w:pPr>
    </w:p>
    <w:p w14:paraId="53038CA9" w14:textId="3429394E" w:rsidR="00C14CAC" w:rsidRPr="00AC7962" w:rsidRDefault="00C14CAC" w:rsidP="00B3221D">
      <w:pPr>
        <w:spacing w:before="0"/>
        <w:jc w:val="both"/>
        <w:rPr>
          <w:rFonts w:ascii="Arial" w:hAnsi="Arial" w:cs="Arial"/>
          <w:bCs/>
          <w:szCs w:val="24"/>
        </w:rPr>
      </w:pPr>
      <w:r w:rsidRPr="00AC7962">
        <w:rPr>
          <w:rFonts w:ascii="Arial" w:hAnsi="Arial" w:cs="Arial"/>
          <w:bCs/>
          <w:szCs w:val="24"/>
        </w:rPr>
        <w:t>As o</w:t>
      </w:r>
      <w:r w:rsidR="00B3221D" w:rsidRPr="00AC7962">
        <w:rPr>
          <w:rFonts w:ascii="Arial" w:hAnsi="Arial" w:cs="Arial"/>
          <w:bCs/>
          <w:szCs w:val="24"/>
        </w:rPr>
        <w:t xml:space="preserve">verseas pensioners will </w:t>
      </w:r>
      <w:r w:rsidRPr="00AC7962">
        <w:rPr>
          <w:rFonts w:ascii="Arial" w:hAnsi="Arial" w:cs="Arial"/>
          <w:bCs/>
          <w:szCs w:val="24"/>
        </w:rPr>
        <w:t>need to have their proof of life certificates verified by an ‘authorised certifier’, this Instrument provides a range</w:t>
      </w:r>
      <w:r w:rsidR="00B3221D" w:rsidRPr="00AC7962">
        <w:rPr>
          <w:rFonts w:ascii="Arial" w:hAnsi="Arial" w:cs="Arial"/>
          <w:bCs/>
          <w:szCs w:val="24"/>
        </w:rPr>
        <w:t xml:space="preserve"> of options to </w:t>
      </w:r>
      <w:r w:rsidRPr="00AC7962">
        <w:rPr>
          <w:rFonts w:ascii="Arial" w:hAnsi="Arial" w:cs="Arial"/>
          <w:bCs/>
          <w:szCs w:val="24"/>
        </w:rPr>
        <w:t xml:space="preserve">allow pensioners to complete this requirement. </w:t>
      </w:r>
      <w:r w:rsidR="00DA36E4" w:rsidRPr="00AC7962">
        <w:rPr>
          <w:rFonts w:ascii="Arial" w:hAnsi="Arial" w:cs="Arial"/>
          <w:bCs/>
          <w:szCs w:val="24"/>
        </w:rPr>
        <w:t xml:space="preserve"> </w:t>
      </w:r>
      <w:r w:rsidR="000C5457" w:rsidRPr="00AC7962">
        <w:rPr>
          <w:rFonts w:ascii="Arial" w:hAnsi="Arial" w:cs="Arial"/>
          <w:bCs/>
          <w:szCs w:val="24"/>
        </w:rPr>
        <w:t>This will allow the process to be as easy as possible for pensioners, while safeguarding the integrity of the verification process.</w:t>
      </w:r>
    </w:p>
    <w:p w14:paraId="665EEB15" w14:textId="77777777" w:rsidR="00C14CAC" w:rsidRPr="00AC7962" w:rsidRDefault="00C14CAC" w:rsidP="00B3221D">
      <w:pPr>
        <w:spacing w:before="0"/>
        <w:jc w:val="both"/>
        <w:rPr>
          <w:rFonts w:ascii="Arial" w:hAnsi="Arial" w:cs="Arial"/>
          <w:bCs/>
          <w:szCs w:val="24"/>
        </w:rPr>
      </w:pPr>
    </w:p>
    <w:p w14:paraId="020F827D" w14:textId="2451D6EF" w:rsidR="00B3221D" w:rsidRPr="00AC7962" w:rsidRDefault="000C5457" w:rsidP="00B3221D">
      <w:pPr>
        <w:spacing w:before="0"/>
        <w:jc w:val="both"/>
        <w:rPr>
          <w:rFonts w:ascii="Arial" w:hAnsi="Arial" w:cs="Arial"/>
          <w:bCs/>
          <w:szCs w:val="24"/>
        </w:rPr>
      </w:pPr>
      <w:r w:rsidRPr="00AC7962">
        <w:rPr>
          <w:rFonts w:ascii="Arial" w:hAnsi="Arial" w:cs="Arial"/>
          <w:bCs/>
          <w:szCs w:val="24"/>
        </w:rPr>
        <w:t>The</w:t>
      </w:r>
      <w:r w:rsidR="00B3221D" w:rsidRPr="00AC7962">
        <w:rPr>
          <w:rFonts w:ascii="Arial" w:hAnsi="Arial" w:cs="Arial"/>
          <w:bCs/>
          <w:szCs w:val="24"/>
        </w:rPr>
        <w:t xml:space="preserve"> options include, </w:t>
      </w:r>
      <w:r w:rsidR="00901DC0" w:rsidRPr="00AC7962">
        <w:rPr>
          <w:rFonts w:ascii="Arial" w:hAnsi="Arial" w:cs="Arial"/>
          <w:bCs/>
          <w:szCs w:val="24"/>
        </w:rPr>
        <w:t>amongst other classes of persons</w:t>
      </w:r>
      <w:r w:rsidR="00B3221D" w:rsidRPr="00AC7962">
        <w:rPr>
          <w:rFonts w:ascii="Arial" w:hAnsi="Arial" w:cs="Arial"/>
          <w:bCs/>
          <w:szCs w:val="24"/>
        </w:rPr>
        <w:t xml:space="preserve">, a judge or magistrate of a law court, a medical </w:t>
      </w:r>
      <w:r w:rsidR="00DA36E4" w:rsidRPr="00AC7962">
        <w:rPr>
          <w:rFonts w:ascii="Arial" w:hAnsi="Arial" w:cs="Arial"/>
          <w:bCs/>
          <w:szCs w:val="24"/>
        </w:rPr>
        <w:t>practitioner or legal practitioner</w:t>
      </w:r>
      <w:r w:rsidR="00B3221D" w:rsidRPr="00AC7962">
        <w:rPr>
          <w:rFonts w:ascii="Arial" w:hAnsi="Arial" w:cs="Arial"/>
          <w:bCs/>
          <w:szCs w:val="24"/>
        </w:rPr>
        <w:t xml:space="preserve"> who is registered or licensed to practice in that country, or an Australian official at an embassy, consulate or high commission.  </w:t>
      </w:r>
    </w:p>
    <w:p w14:paraId="2ED880DB" w14:textId="77777777" w:rsidR="00B3221D" w:rsidRPr="00AC7962" w:rsidRDefault="00B3221D" w:rsidP="00B3221D">
      <w:pPr>
        <w:spacing w:before="0"/>
        <w:jc w:val="both"/>
        <w:rPr>
          <w:rFonts w:ascii="Arial" w:hAnsi="Arial" w:cs="Arial"/>
          <w:bCs/>
          <w:szCs w:val="24"/>
        </w:rPr>
      </w:pPr>
    </w:p>
    <w:p w14:paraId="1FDA4402" w14:textId="1CDFFA5E" w:rsidR="00B3221D" w:rsidRPr="00AC7962" w:rsidRDefault="000C5457" w:rsidP="00B3221D">
      <w:pPr>
        <w:spacing w:before="0"/>
        <w:jc w:val="both"/>
        <w:rPr>
          <w:rFonts w:ascii="Arial" w:hAnsi="Arial" w:cs="Arial"/>
          <w:bCs/>
          <w:szCs w:val="24"/>
        </w:rPr>
      </w:pPr>
      <w:r w:rsidRPr="00AC7962">
        <w:rPr>
          <w:rFonts w:ascii="Arial" w:hAnsi="Arial" w:cs="Arial"/>
          <w:bCs/>
          <w:szCs w:val="24"/>
        </w:rPr>
        <w:t>The</w:t>
      </w:r>
      <w:r w:rsidR="00B3221D" w:rsidRPr="00AC7962">
        <w:rPr>
          <w:rFonts w:ascii="Arial" w:hAnsi="Arial" w:cs="Arial"/>
          <w:bCs/>
          <w:szCs w:val="24"/>
        </w:rPr>
        <w:t xml:space="preserve"> instrument provide</w:t>
      </w:r>
      <w:r w:rsidR="00C14CAC" w:rsidRPr="00AC7962">
        <w:rPr>
          <w:rFonts w:ascii="Arial" w:hAnsi="Arial" w:cs="Arial"/>
          <w:bCs/>
          <w:szCs w:val="24"/>
        </w:rPr>
        <w:t>s</w:t>
      </w:r>
      <w:r w:rsidR="00B3221D" w:rsidRPr="00AC7962">
        <w:rPr>
          <w:rFonts w:ascii="Arial" w:hAnsi="Arial" w:cs="Arial"/>
          <w:bCs/>
          <w:szCs w:val="24"/>
        </w:rPr>
        <w:t xml:space="preserve"> flexibility to add additional </w:t>
      </w:r>
      <w:r w:rsidRPr="00AC7962">
        <w:rPr>
          <w:rFonts w:ascii="Arial" w:hAnsi="Arial" w:cs="Arial"/>
          <w:bCs/>
          <w:szCs w:val="24"/>
        </w:rPr>
        <w:t>classes of persons</w:t>
      </w:r>
      <w:r w:rsidR="00B3221D" w:rsidRPr="00AC7962">
        <w:rPr>
          <w:rFonts w:ascii="Arial" w:hAnsi="Arial" w:cs="Arial"/>
          <w:bCs/>
          <w:szCs w:val="24"/>
        </w:rPr>
        <w:t xml:space="preserve"> to the instrument </w:t>
      </w:r>
      <w:r w:rsidR="00C14CAC" w:rsidRPr="00AC7962">
        <w:rPr>
          <w:rFonts w:ascii="Arial" w:hAnsi="Arial" w:cs="Arial"/>
          <w:bCs/>
          <w:szCs w:val="24"/>
        </w:rPr>
        <w:t>as necessary</w:t>
      </w:r>
      <w:r w:rsidRPr="00AC7962">
        <w:rPr>
          <w:rFonts w:ascii="Arial" w:hAnsi="Arial" w:cs="Arial"/>
          <w:bCs/>
          <w:szCs w:val="24"/>
        </w:rPr>
        <w:t xml:space="preserve"> if other appropriate</w:t>
      </w:r>
      <w:r w:rsidR="00C14CAC" w:rsidRPr="00AC7962">
        <w:rPr>
          <w:rFonts w:ascii="Arial" w:hAnsi="Arial" w:cs="Arial"/>
          <w:bCs/>
          <w:szCs w:val="24"/>
        </w:rPr>
        <w:t xml:space="preserve"> </w:t>
      </w:r>
      <w:r w:rsidRPr="00AC7962">
        <w:rPr>
          <w:rFonts w:ascii="Arial" w:hAnsi="Arial" w:cs="Arial"/>
          <w:bCs/>
          <w:szCs w:val="24"/>
        </w:rPr>
        <w:t xml:space="preserve">classes are identified </w:t>
      </w:r>
      <w:r w:rsidR="00C14CAC" w:rsidRPr="00AC7962">
        <w:rPr>
          <w:rFonts w:ascii="Arial" w:hAnsi="Arial" w:cs="Arial"/>
          <w:bCs/>
          <w:szCs w:val="24"/>
        </w:rPr>
        <w:t xml:space="preserve">in the future.  </w:t>
      </w:r>
    </w:p>
    <w:p w14:paraId="584E110E" w14:textId="77777777" w:rsidR="00FF64FA" w:rsidRPr="00AC7962" w:rsidRDefault="00FF64FA" w:rsidP="00FF64FA">
      <w:pPr>
        <w:widowControl w:val="0"/>
        <w:suppressAutoHyphens/>
        <w:autoSpaceDE w:val="0"/>
        <w:autoSpaceDN w:val="0"/>
        <w:spacing w:before="0"/>
        <w:jc w:val="both"/>
        <w:textAlignment w:val="baseline"/>
        <w:rPr>
          <w:rFonts w:ascii="Arial" w:hAnsi="Arial" w:cs="Arial"/>
          <w:b/>
          <w:bCs/>
          <w:szCs w:val="24"/>
        </w:rPr>
      </w:pPr>
    </w:p>
    <w:p w14:paraId="45F12492" w14:textId="77777777" w:rsidR="00FF64FA" w:rsidRPr="00AC7962" w:rsidRDefault="00FF64FA" w:rsidP="00FF64FA">
      <w:pPr>
        <w:widowControl w:val="0"/>
        <w:suppressAutoHyphens/>
        <w:autoSpaceDE w:val="0"/>
        <w:autoSpaceDN w:val="0"/>
        <w:spacing w:before="0"/>
        <w:jc w:val="both"/>
        <w:textAlignment w:val="baseline"/>
        <w:rPr>
          <w:rFonts w:ascii="Arial" w:hAnsi="Arial" w:cs="Arial"/>
          <w:b/>
          <w:bCs/>
          <w:szCs w:val="24"/>
        </w:rPr>
      </w:pPr>
      <w:r w:rsidRPr="00AC7962">
        <w:rPr>
          <w:rFonts w:ascii="Arial" w:hAnsi="Arial" w:cs="Arial"/>
          <w:b/>
          <w:bCs/>
          <w:szCs w:val="24"/>
        </w:rPr>
        <w:t xml:space="preserve">Conclusion </w:t>
      </w:r>
    </w:p>
    <w:p w14:paraId="4F14D0C0" w14:textId="77777777" w:rsidR="00FF64FA" w:rsidRPr="00AC7962" w:rsidRDefault="00FF64FA" w:rsidP="00FF64FA">
      <w:pPr>
        <w:widowControl w:val="0"/>
        <w:suppressAutoHyphens/>
        <w:autoSpaceDE w:val="0"/>
        <w:autoSpaceDN w:val="0"/>
        <w:spacing w:before="0"/>
        <w:jc w:val="both"/>
        <w:textAlignment w:val="baseline"/>
        <w:rPr>
          <w:rFonts w:ascii="Arial" w:hAnsi="Arial" w:cs="Arial"/>
          <w:szCs w:val="24"/>
        </w:rPr>
      </w:pPr>
    </w:p>
    <w:p w14:paraId="6C993C2D" w14:textId="05E7C6A2" w:rsidR="00FF64FA" w:rsidRPr="00AC7962" w:rsidRDefault="006B5866" w:rsidP="00FF64FA">
      <w:pPr>
        <w:widowControl w:val="0"/>
        <w:suppressAutoHyphens/>
        <w:autoSpaceDE w:val="0"/>
        <w:autoSpaceDN w:val="0"/>
        <w:spacing w:before="0"/>
        <w:jc w:val="both"/>
        <w:textAlignment w:val="baseline"/>
        <w:rPr>
          <w:rFonts w:ascii="Arial" w:hAnsi="Arial" w:cs="Arial"/>
          <w:szCs w:val="24"/>
        </w:rPr>
      </w:pPr>
      <w:r w:rsidRPr="00AC7962">
        <w:rPr>
          <w:rFonts w:ascii="Arial" w:hAnsi="Arial" w:cs="Arial"/>
          <w:bCs/>
          <w:szCs w:val="24"/>
        </w:rPr>
        <w:t>The instrument only operates to give effect to the proof of life certificate requirements in the Amendment Act, by identifying classes of persons who can verify a social security recipient’s proof of life certificate.</w:t>
      </w:r>
      <w:r w:rsidR="00FF64FA" w:rsidRPr="00AC7962">
        <w:rPr>
          <w:rFonts w:ascii="Arial" w:hAnsi="Arial" w:cs="Arial"/>
          <w:szCs w:val="24"/>
        </w:rPr>
        <w:t xml:space="preserve"> </w:t>
      </w:r>
      <w:r w:rsidR="00DA36E4" w:rsidRPr="00AC7962">
        <w:rPr>
          <w:rFonts w:ascii="Arial" w:hAnsi="Arial" w:cs="Arial"/>
          <w:szCs w:val="24"/>
        </w:rPr>
        <w:t xml:space="preserve"> It </w:t>
      </w:r>
      <w:r w:rsidR="00DA36E4" w:rsidRPr="00AC7962">
        <w:rPr>
          <w:rFonts w:ascii="Arial" w:hAnsi="Arial" w:cs="Arial"/>
          <w:bCs/>
          <w:szCs w:val="24"/>
        </w:rPr>
        <w:t>does not limit a person’s ability to access social security payments</w:t>
      </w:r>
      <w:r w:rsidR="00DA36E4" w:rsidRPr="00AC7962">
        <w:rPr>
          <w:rFonts w:ascii="Arial" w:hAnsi="Arial" w:cs="Arial"/>
          <w:szCs w:val="24"/>
        </w:rPr>
        <w:t xml:space="preserve"> or maintain an adequate standard of living.</w:t>
      </w:r>
      <w:r w:rsidR="00DA36E4" w:rsidRPr="00AC7962">
        <w:rPr>
          <w:rFonts w:ascii="Arial" w:hAnsi="Arial" w:cs="Arial"/>
          <w:bCs/>
          <w:szCs w:val="24"/>
        </w:rPr>
        <w:t xml:space="preserve">  </w:t>
      </w:r>
      <w:r w:rsidR="00FF64FA" w:rsidRPr="00AC7962">
        <w:rPr>
          <w:rFonts w:ascii="Arial" w:hAnsi="Arial" w:cs="Arial"/>
          <w:szCs w:val="24"/>
        </w:rPr>
        <w:t xml:space="preserve"> </w:t>
      </w:r>
    </w:p>
    <w:p w14:paraId="7918C3A3" w14:textId="12F15F37" w:rsidR="00301A05" w:rsidRPr="00AC7962" w:rsidRDefault="00301A05" w:rsidP="00FF64FA">
      <w:pPr>
        <w:widowControl w:val="0"/>
        <w:suppressAutoHyphens/>
        <w:autoSpaceDE w:val="0"/>
        <w:autoSpaceDN w:val="0"/>
        <w:spacing w:before="0"/>
        <w:jc w:val="both"/>
        <w:textAlignment w:val="baseline"/>
        <w:rPr>
          <w:rFonts w:ascii="Arial" w:hAnsi="Arial" w:cs="Arial"/>
          <w:szCs w:val="24"/>
        </w:rPr>
      </w:pPr>
    </w:p>
    <w:p w14:paraId="50DE7D39" w14:textId="2FD0919D" w:rsidR="00E3212A" w:rsidRPr="00AC7962" w:rsidRDefault="00E3212A" w:rsidP="00FF64FA">
      <w:pPr>
        <w:widowControl w:val="0"/>
        <w:suppressAutoHyphens/>
        <w:autoSpaceDE w:val="0"/>
        <w:autoSpaceDN w:val="0"/>
        <w:spacing w:before="0"/>
        <w:jc w:val="both"/>
        <w:textAlignment w:val="baseline"/>
        <w:rPr>
          <w:rFonts w:ascii="Arial" w:hAnsi="Arial" w:cs="Arial"/>
          <w:szCs w:val="24"/>
        </w:rPr>
      </w:pPr>
    </w:p>
    <w:p w14:paraId="6F6EFA64" w14:textId="15C5DA6B" w:rsidR="00E3212A" w:rsidRPr="00AC7962" w:rsidRDefault="00E3212A" w:rsidP="00FF64FA">
      <w:pPr>
        <w:widowControl w:val="0"/>
        <w:suppressAutoHyphens/>
        <w:autoSpaceDE w:val="0"/>
        <w:autoSpaceDN w:val="0"/>
        <w:spacing w:before="0"/>
        <w:jc w:val="both"/>
        <w:textAlignment w:val="baseline"/>
        <w:rPr>
          <w:rFonts w:ascii="Arial" w:hAnsi="Arial" w:cs="Arial"/>
          <w:szCs w:val="24"/>
        </w:rPr>
      </w:pPr>
    </w:p>
    <w:p w14:paraId="6258FA1C" w14:textId="38EF01B6" w:rsidR="00E3212A" w:rsidRPr="00AC7962" w:rsidRDefault="00E3212A" w:rsidP="00FF64FA">
      <w:pPr>
        <w:widowControl w:val="0"/>
        <w:suppressAutoHyphens/>
        <w:autoSpaceDE w:val="0"/>
        <w:autoSpaceDN w:val="0"/>
        <w:spacing w:before="0"/>
        <w:jc w:val="both"/>
        <w:textAlignment w:val="baseline"/>
        <w:rPr>
          <w:rFonts w:ascii="Arial" w:hAnsi="Arial" w:cs="Arial"/>
          <w:szCs w:val="24"/>
        </w:rPr>
      </w:pPr>
    </w:p>
    <w:p w14:paraId="44217730" w14:textId="77777777" w:rsidR="00E3212A" w:rsidRPr="00AC7962" w:rsidRDefault="00E3212A" w:rsidP="00FF64FA">
      <w:pPr>
        <w:widowControl w:val="0"/>
        <w:suppressAutoHyphens/>
        <w:autoSpaceDE w:val="0"/>
        <w:autoSpaceDN w:val="0"/>
        <w:spacing w:before="0"/>
        <w:jc w:val="both"/>
        <w:textAlignment w:val="baseline"/>
        <w:rPr>
          <w:rFonts w:ascii="Arial" w:hAnsi="Arial" w:cs="Arial"/>
          <w:szCs w:val="24"/>
        </w:rPr>
      </w:pPr>
    </w:p>
    <w:p w14:paraId="21D4BD0D" w14:textId="37C3C839" w:rsidR="002810A5" w:rsidRPr="00F6722D" w:rsidRDefault="00FF64FA" w:rsidP="00D37C2C">
      <w:pPr>
        <w:spacing w:before="0" w:after="200" w:line="276" w:lineRule="auto"/>
        <w:rPr>
          <w:rFonts w:ascii="Arial" w:hAnsi="Arial" w:cs="Arial"/>
          <w:szCs w:val="24"/>
        </w:rPr>
      </w:pPr>
      <w:r w:rsidRPr="00AC7962">
        <w:rPr>
          <w:rFonts w:ascii="Arial" w:hAnsi="Arial" w:cs="Arial"/>
          <w:b/>
          <w:szCs w:val="24"/>
        </w:rPr>
        <w:t>Kathryn Campbell AO CSC, Secretary of the Department of Social Service</w:t>
      </w:r>
    </w:p>
    <w:sectPr w:rsidR="002810A5" w:rsidRPr="00F672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6E899" w14:textId="77777777" w:rsidR="00543C7B" w:rsidRDefault="00543C7B" w:rsidP="00AD1645">
      <w:pPr>
        <w:spacing w:before="0"/>
      </w:pPr>
      <w:r>
        <w:separator/>
      </w:r>
    </w:p>
  </w:endnote>
  <w:endnote w:type="continuationSeparator" w:id="0">
    <w:p w14:paraId="4724F47B" w14:textId="77777777" w:rsidR="00543C7B" w:rsidRDefault="00543C7B" w:rsidP="00AD1645">
      <w:pPr>
        <w:spacing w:before="0"/>
      </w:pPr>
      <w:r>
        <w:continuationSeparator/>
      </w:r>
    </w:p>
  </w:endnote>
  <w:endnote w:type="continuationNotice" w:id="1">
    <w:p w14:paraId="49AEE9DA" w14:textId="77777777" w:rsidR="00543C7B" w:rsidRDefault="00543C7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B1868" w14:textId="77777777" w:rsidR="00543C7B" w:rsidRDefault="00543C7B" w:rsidP="00AD1645">
      <w:pPr>
        <w:spacing w:before="0"/>
      </w:pPr>
      <w:r>
        <w:separator/>
      </w:r>
    </w:p>
  </w:footnote>
  <w:footnote w:type="continuationSeparator" w:id="0">
    <w:p w14:paraId="120DE003" w14:textId="77777777" w:rsidR="00543C7B" w:rsidRDefault="00543C7B" w:rsidP="00AD1645">
      <w:pPr>
        <w:spacing w:before="0"/>
      </w:pPr>
      <w:r>
        <w:continuationSeparator/>
      </w:r>
    </w:p>
  </w:footnote>
  <w:footnote w:type="continuationNotice" w:id="1">
    <w:p w14:paraId="6FD1E353" w14:textId="77777777" w:rsidR="00543C7B" w:rsidRDefault="00543C7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2BA"/>
    <w:multiLevelType w:val="hybridMultilevel"/>
    <w:tmpl w:val="5D90F48C"/>
    <w:lvl w:ilvl="0" w:tplc="6F3CBE20">
      <w:start w:val="1"/>
      <w:numFmt w:val="lowerLetter"/>
      <w:lvlText w:val="(%1)"/>
      <w:lvlJc w:val="left"/>
      <w:pPr>
        <w:ind w:left="720" w:hanging="360"/>
      </w:pPr>
      <w:rPr>
        <w:rFonts w:hint="default"/>
      </w:rPr>
    </w:lvl>
    <w:lvl w:ilvl="1" w:tplc="40F0B1F8">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10482"/>
    <w:multiLevelType w:val="hybridMultilevel"/>
    <w:tmpl w:val="0B66855E"/>
    <w:lvl w:ilvl="0" w:tplc="FDF403A6">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C374F8"/>
    <w:multiLevelType w:val="hybridMultilevel"/>
    <w:tmpl w:val="5F083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B04A3"/>
    <w:multiLevelType w:val="hybridMultilevel"/>
    <w:tmpl w:val="116CCAB6"/>
    <w:lvl w:ilvl="0" w:tplc="6F3CB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6A183B"/>
    <w:multiLevelType w:val="hybridMultilevel"/>
    <w:tmpl w:val="7144D01E"/>
    <w:lvl w:ilvl="0" w:tplc="B20ABD7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C591D"/>
    <w:multiLevelType w:val="hybridMultilevel"/>
    <w:tmpl w:val="4F560AD4"/>
    <w:lvl w:ilvl="0" w:tplc="6F3CBE20">
      <w:start w:val="1"/>
      <w:numFmt w:val="lowerLetter"/>
      <w:lvlText w:val="(%1)"/>
      <w:lvlJc w:val="left"/>
      <w:pPr>
        <w:ind w:left="720" w:hanging="360"/>
      </w:pPr>
      <w:rPr>
        <w:rFonts w:hint="default"/>
      </w:rPr>
    </w:lvl>
    <w:lvl w:ilvl="1" w:tplc="01E2A9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82E55D1"/>
    <w:multiLevelType w:val="hybridMultilevel"/>
    <w:tmpl w:val="FD1CAE3C"/>
    <w:lvl w:ilvl="0" w:tplc="D4BE1BBA">
      <w:start w:val="9"/>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DD11E7"/>
    <w:multiLevelType w:val="hybridMultilevel"/>
    <w:tmpl w:val="E09A0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F0446E"/>
    <w:multiLevelType w:val="hybridMultilevel"/>
    <w:tmpl w:val="CA665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DC415E"/>
    <w:multiLevelType w:val="hybridMultilevel"/>
    <w:tmpl w:val="DDD4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9"/>
  </w:num>
  <w:num w:numId="5">
    <w:abstractNumId w:val="17"/>
  </w:num>
  <w:num w:numId="6">
    <w:abstractNumId w:val="2"/>
  </w:num>
  <w:num w:numId="7">
    <w:abstractNumId w:val="14"/>
  </w:num>
  <w:num w:numId="8">
    <w:abstractNumId w:val="20"/>
  </w:num>
  <w:num w:numId="9">
    <w:abstractNumId w:val="10"/>
  </w:num>
  <w:num w:numId="10">
    <w:abstractNumId w:val="21"/>
  </w:num>
  <w:num w:numId="11">
    <w:abstractNumId w:val="5"/>
  </w:num>
  <w:num w:numId="12">
    <w:abstractNumId w:val="7"/>
  </w:num>
  <w:num w:numId="13">
    <w:abstractNumId w:val="1"/>
  </w:num>
  <w:num w:numId="14">
    <w:abstractNumId w:val="12"/>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2"/>
  </w:num>
  <w:num w:numId="19">
    <w:abstractNumId w:val="18"/>
  </w:num>
  <w:num w:numId="20">
    <w:abstractNumId w:val="0"/>
  </w:num>
  <w:num w:numId="21">
    <w:abstractNumId w:val="3"/>
  </w:num>
  <w:num w:numId="22">
    <w:abstractNumId w:val="23"/>
  </w:num>
  <w:num w:numId="23">
    <w:abstractNumId w:val="9"/>
  </w:num>
  <w:num w:numId="24">
    <w:abstractNumId w:val="15"/>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3BB"/>
    <w:rsid w:val="00021ED2"/>
    <w:rsid w:val="0002256A"/>
    <w:rsid w:val="000260D6"/>
    <w:rsid w:val="00030B79"/>
    <w:rsid w:val="00031D0B"/>
    <w:rsid w:val="00040847"/>
    <w:rsid w:val="00040B98"/>
    <w:rsid w:val="00043B6D"/>
    <w:rsid w:val="00045BF2"/>
    <w:rsid w:val="00051C3F"/>
    <w:rsid w:val="000606EB"/>
    <w:rsid w:val="000619DA"/>
    <w:rsid w:val="00063B07"/>
    <w:rsid w:val="00066DAE"/>
    <w:rsid w:val="00074C1A"/>
    <w:rsid w:val="000760DC"/>
    <w:rsid w:val="000844AF"/>
    <w:rsid w:val="00084B46"/>
    <w:rsid w:val="00085730"/>
    <w:rsid w:val="00096B8D"/>
    <w:rsid w:val="000A3595"/>
    <w:rsid w:val="000A772F"/>
    <w:rsid w:val="000B4130"/>
    <w:rsid w:val="000B55C8"/>
    <w:rsid w:val="000C2DDB"/>
    <w:rsid w:val="000C3145"/>
    <w:rsid w:val="000C5204"/>
    <w:rsid w:val="000C5457"/>
    <w:rsid w:val="000D365F"/>
    <w:rsid w:val="000E02A0"/>
    <w:rsid w:val="000E3915"/>
    <w:rsid w:val="001026EC"/>
    <w:rsid w:val="00107320"/>
    <w:rsid w:val="00110D06"/>
    <w:rsid w:val="0011719D"/>
    <w:rsid w:val="00122B41"/>
    <w:rsid w:val="00126429"/>
    <w:rsid w:val="001310C6"/>
    <w:rsid w:val="00131483"/>
    <w:rsid w:val="00140359"/>
    <w:rsid w:val="001430E8"/>
    <w:rsid w:val="001502F9"/>
    <w:rsid w:val="0015134A"/>
    <w:rsid w:val="00152472"/>
    <w:rsid w:val="00163809"/>
    <w:rsid w:val="0016653C"/>
    <w:rsid w:val="001708FF"/>
    <w:rsid w:val="00175BC6"/>
    <w:rsid w:val="00183A65"/>
    <w:rsid w:val="00191AEC"/>
    <w:rsid w:val="001920F3"/>
    <w:rsid w:val="001A737C"/>
    <w:rsid w:val="001B5379"/>
    <w:rsid w:val="001C64F9"/>
    <w:rsid w:val="001D02DB"/>
    <w:rsid w:val="001D0D7D"/>
    <w:rsid w:val="001D69AF"/>
    <w:rsid w:val="001E376B"/>
    <w:rsid w:val="001E5B72"/>
    <w:rsid w:val="001E5D12"/>
    <w:rsid w:val="001E630D"/>
    <w:rsid w:val="001E7422"/>
    <w:rsid w:val="001F4805"/>
    <w:rsid w:val="001F4E3C"/>
    <w:rsid w:val="0020330E"/>
    <w:rsid w:val="002051E3"/>
    <w:rsid w:val="00211FDE"/>
    <w:rsid w:val="002154EE"/>
    <w:rsid w:val="00221BAF"/>
    <w:rsid w:val="00224887"/>
    <w:rsid w:val="002329E1"/>
    <w:rsid w:val="002334D9"/>
    <w:rsid w:val="00234F9E"/>
    <w:rsid w:val="00235728"/>
    <w:rsid w:val="0024465E"/>
    <w:rsid w:val="0024760C"/>
    <w:rsid w:val="002511DC"/>
    <w:rsid w:val="002533F0"/>
    <w:rsid w:val="002534F0"/>
    <w:rsid w:val="002642C7"/>
    <w:rsid w:val="00264C31"/>
    <w:rsid w:val="002741BD"/>
    <w:rsid w:val="00274742"/>
    <w:rsid w:val="00274CAF"/>
    <w:rsid w:val="00276D06"/>
    <w:rsid w:val="00276F09"/>
    <w:rsid w:val="002810A5"/>
    <w:rsid w:val="00283079"/>
    <w:rsid w:val="002926E3"/>
    <w:rsid w:val="0029462A"/>
    <w:rsid w:val="00296A89"/>
    <w:rsid w:val="00296C20"/>
    <w:rsid w:val="00296EF0"/>
    <w:rsid w:val="002A0E63"/>
    <w:rsid w:val="002A2A71"/>
    <w:rsid w:val="002A2DF7"/>
    <w:rsid w:val="002A523B"/>
    <w:rsid w:val="002A6007"/>
    <w:rsid w:val="002A63EA"/>
    <w:rsid w:val="002B0175"/>
    <w:rsid w:val="002C0F57"/>
    <w:rsid w:val="002C1403"/>
    <w:rsid w:val="002C1938"/>
    <w:rsid w:val="002C2252"/>
    <w:rsid w:val="002C2B21"/>
    <w:rsid w:val="002C6177"/>
    <w:rsid w:val="002D0F1C"/>
    <w:rsid w:val="002D35D8"/>
    <w:rsid w:val="002D4522"/>
    <w:rsid w:val="002D657C"/>
    <w:rsid w:val="002D78B3"/>
    <w:rsid w:val="002E0BB1"/>
    <w:rsid w:val="002E45E2"/>
    <w:rsid w:val="00300D8B"/>
    <w:rsid w:val="00301A05"/>
    <w:rsid w:val="00303AB6"/>
    <w:rsid w:val="00306A3C"/>
    <w:rsid w:val="00310254"/>
    <w:rsid w:val="003119FD"/>
    <w:rsid w:val="00326917"/>
    <w:rsid w:val="00334F9D"/>
    <w:rsid w:val="00337065"/>
    <w:rsid w:val="003430FC"/>
    <w:rsid w:val="003434E2"/>
    <w:rsid w:val="00345FFE"/>
    <w:rsid w:val="0035378F"/>
    <w:rsid w:val="003606C5"/>
    <w:rsid w:val="00364CF4"/>
    <w:rsid w:val="00365309"/>
    <w:rsid w:val="00365424"/>
    <w:rsid w:val="0037339E"/>
    <w:rsid w:val="00374A77"/>
    <w:rsid w:val="00380666"/>
    <w:rsid w:val="00387D89"/>
    <w:rsid w:val="00392EB6"/>
    <w:rsid w:val="003934FE"/>
    <w:rsid w:val="00393D4E"/>
    <w:rsid w:val="00394743"/>
    <w:rsid w:val="00397879"/>
    <w:rsid w:val="003A04AD"/>
    <w:rsid w:val="003A6EA9"/>
    <w:rsid w:val="003B2BB8"/>
    <w:rsid w:val="003B44E1"/>
    <w:rsid w:val="003C3368"/>
    <w:rsid w:val="003C54B6"/>
    <w:rsid w:val="003D2FB8"/>
    <w:rsid w:val="003D34FF"/>
    <w:rsid w:val="003D71F6"/>
    <w:rsid w:val="003E1784"/>
    <w:rsid w:val="00400273"/>
    <w:rsid w:val="00420387"/>
    <w:rsid w:val="0042132E"/>
    <w:rsid w:val="00434B7F"/>
    <w:rsid w:val="00436A3E"/>
    <w:rsid w:val="00446D6C"/>
    <w:rsid w:val="0045240C"/>
    <w:rsid w:val="00453FC9"/>
    <w:rsid w:val="00454405"/>
    <w:rsid w:val="004552E2"/>
    <w:rsid w:val="00456FBD"/>
    <w:rsid w:val="00457792"/>
    <w:rsid w:val="004646E1"/>
    <w:rsid w:val="004702F1"/>
    <w:rsid w:val="00470C3D"/>
    <w:rsid w:val="004726FF"/>
    <w:rsid w:val="004814F1"/>
    <w:rsid w:val="00482411"/>
    <w:rsid w:val="00485822"/>
    <w:rsid w:val="00493D76"/>
    <w:rsid w:val="004956ED"/>
    <w:rsid w:val="0049646F"/>
    <w:rsid w:val="00497768"/>
    <w:rsid w:val="004A0C19"/>
    <w:rsid w:val="004A126A"/>
    <w:rsid w:val="004A24AF"/>
    <w:rsid w:val="004B3147"/>
    <w:rsid w:val="004B54CA"/>
    <w:rsid w:val="004C163F"/>
    <w:rsid w:val="004C3CA1"/>
    <w:rsid w:val="004D336A"/>
    <w:rsid w:val="004E0473"/>
    <w:rsid w:val="004E3A61"/>
    <w:rsid w:val="004E4D92"/>
    <w:rsid w:val="004E5CBF"/>
    <w:rsid w:val="004F132D"/>
    <w:rsid w:val="004F1CD0"/>
    <w:rsid w:val="004F264A"/>
    <w:rsid w:val="004F5308"/>
    <w:rsid w:val="004F69ED"/>
    <w:rsid w:val="005071F0"/>
    <w:rsid w:val="00511520"/>
    <w:rsid w:val="00513504"/>
    <w:rsid w:val="00517592"/>
    <w:rsid w:val="00520E89"/>
    <w:rsid w:val="00527238"/>
    <w:rsid w:val="005332C8"/>
    <w:rsid w:val="00533FAD"/>
    <w:rsid w:val="00537321"/>
    <w:rsid w:val="00540BD8"/>
    <w:rsid w:val="00543C7B"/>
    <w:rsid w:val="0055003B"/>
    <w:rsid w:val="0055503B"/>
    <w:rsid w:val="00562CBC"/>
    <w:rsid w:val="00566538"/>
    <w:rsid w:val="00566BF6"/>
    <w:rsid w:val="00570884"/>
    <w:rsid w:val="00576330"/>
    <w:rsid w:val="0057641C"/>
    <w:rsid w:val="005766D2"/>
    <w:rsid w:val="00586C12"/>
    <w:rsid w:val="00590D0D"/>
    <w:rsid w:val="00591D1A"/>
    <w:rsid w:val="00594251"/>
    <w:rsid w:val="00596B6B"/>
    <w:rsid w:val="005A63B9"/>
    <w:rsid w:val="005C390A"/>
    <w:rsid w:val="005C3AA9"/>
    <w:rsid w:val="005C54B4"/>
    <w:rsid w:val="005C78B2"/>
    <w:rsid w:val="005D0E9B"/>
    <w:rsid w:val="005E1DC5"/>
    <w:rsid w:val="005E4167"/>
    <w:rsid w:val="005E4362"/>
    <w:rsid w:val="005E4607"/>
    <w:rsid w:val="005E69CD"/>
    <w:rsid w:val="005E7B26"/>
    <w:rsid w:val="005F41C9"/>
    <w:rsid w:val="005F4DA0"/>
    <w:rsid w:val="005F54C5"/>
    <w:rsid w:val="005F5E17"/>
    <w:rsid w:val="005F7B20"/>
    <w:rsid w:val="00614C63"/>
    <w:rsid w:val="00620404"/>
    <w:rsid w:val="00622668"/>
    <w:rsid w:val="00622B71"/>
    <w:rsid w:val="00622D63"/>
    <w:rsid w:val="00624E34"/>
    <w:rsid w:val="00625ACE"/>
    <w:rsid w:val="00631B47"/>
    <w:rsid w:val="00632F44"/>
    <w:rsid w:val="006402A6"/>
    <w:rsid w:val="006407D3"/>
    <w:rsid w:val="0064167D"/>
    <w:rsid w:val="0064502C"/>
    <w:rsid w:val="006461FB"/>
    <w:rsid w:val="00646A72"/>
    <w:rsid w:val="00650B9C"/>
    <w:rsid w:val="00650C1C"/>
    <w:rsid w:val="006546B7"/>
    <w:rsid w:val="00660F41"/>
    <w:rsid w:val="006643AB"/>
    <w:rsid w:val="0067070B"/>
    <w:rsid w:val="00681C7F"/>
    <w:rsid w:val="006839A8"/>
    <w:rsid w:val="00683FF5"/>
    <w:rsid w:val="00687351"/>
    <w:rsid w:val="006A1F70"/>
    <w:rsid w:val="006A33F4"/>
    <w:rsid w:val="006A4CE7"/>
    <w:rsid w:val="006A5D55"/>
    <w:rsid w:val="006A6D51"/>
    <w:rsid w:val="006B0803"/>
    <w:rsid w:val="006B5866"/>
    <w:rsid w:val="006B763C"/>
    <w:rsid w:val="006C1B0D"/>
    <w:rsid w:val="006C5E5E"/>
    <w:rsid w:val="006D2E5B"/>
    <w:rsid w:val="006D7E0F"/>
    <w:rsid w:val="006E1B19"/>
    <w:rsid w:val="006E3F9B"/>
    <w:rsid w:val="006F0769"/>
    <w:rsid w:val="00701486"/>
    <w:rsid w:val="00703FC3"/>
    <w:rsid w:val="00720E42"/>
    <w:rsid w:val="007343B8"/>
    <w:rsid w:val="0073766B"/>
    <w:rsid w:val="00747C6D"/>
    <w:rsid w:val="00762A05"/>
    <w:rsid w:val="00771003"/>
    <w:rsid w:val="007739A2"/>
    <w:rsid w:val="0077461F"/>
    <w:rsid w:val="0078126B"/>
    <w:rsid w:val="00785261"/>
    <w:rsid w:val="007907A8"/>
    <w:rsid w:val="007938F3"/>
    <w:rsid w:val="0079557B"/>
    <w:rsid w:val="007A53DD"/>
    <w:rsid w:val="007B0256"/>
    <w:rsid w:val="007B3811"/>
    <w:rsid w:val="007B69DD"/>
    <w:rsid w:val="007C4060"/>
    <w:rsid w:val="007C5234"/>
    <w:rsid w:val="007C5466"/>
    <w:rsid w:val="007D6273"/>
    <w:rsid w:val="007E4FAD"/>
    <w:rsid w:val="007F44F6"/>
    <w:rsid w:val="00802DC2"/>
    <w:rsid w:val="00807CD7"/>
    <w:rsid w:val="00810A2C"/>
    <w:rsid w:val="00816CFA"/>
    <w:rsid w:val="00827ED4"/>
    <w:rsid w:val="0083135C"/>
    <w:rsid w:val="008356D3"/>
    <w:rsid w:val="00841C22"/>
    <w:rsid w:val="0085092F"/>
    <w:rsid w:val="00860BE9"/>
    <w:rsid w:val="008669B7"/>
    <w:rsid w:val="008671FE"/>
    <w:rsid w:val="008707FE"/>
    <w:rsid w:val="00871F28"/>
    <w:rsid w:val="00872A5F"/>
    <w:rsid w:val="008761FF"/>
    <w:rsid w:val="00880E92"/>
    <w:rsid w:val="00882864"/>
    <w:rsid w:val="0088346C"/>
    <w:rsid w:val="008954BF"/>
    <w:rsid w:val="00896466"/>
    <w:rsid w:val="008A211F"/>
    <w:rsid w:val="008B026E"/>
    <w:rsid w:val="008B1AA5"/>
    <w:rsid w:val="008B4CF1"/>
    <w:rsid w:val="008B6775"/>
    <w:rsid w:val="008C653F"/>
    <w:rsid w:val="008D2D41"/>
    <w:rsid w:val="008D2FC2"/>
    <w:rsid w:val="008D59CA"/>
    <w:rsid w:val="008D5E6E"/>
    <w:rsid w:val="008D68B6"/>
    <w:rsid w:val="008D7A97"/>
    <w:rsid w:val="008E1D0E"/>
    <w:rsid w:val="008E320A"/>
    <w:rsid w:val="008F5702"/>
    <w:rsid w:val="0090001F"/>
    <w:rsid w:val="00901DC0"/>
    <w:rsid w:val="0090702B"/>
    <w:rsid w:val="009133E4"/>
    <w:rsid w:val="009140F6"/>
    <w:rsid w:val="00915A96"/>
    <w:rsid w:val="009225F0"/>
    <w:rsid w:val="00925633"/>
    <w:rsid w:val="00930624"/>
    <w:rsid w:val="00932797"/>
    <w:rsid w:val="00932CA8"/>
    <w:rsid w:val="00932E80"/>
    <w:rsid w:val="009332B3"/>
    <w:rsid w:val="00935A03"/>
    <w:rsid w:val="009426E4"/>
    <w:rsid w:val="009451C8"/>
    <w:rsid w:val="00946730"/>
    <w:rsid w:val="0095006E"/>
    <w:rsid w:val="00950ACB"/>
    <w:rsid w:val="0095196E"/>
    <w:rsid w:val="00953F9E"/>
    <w:rsid w:val="00955E5F"/>
    <w:rsid w:val="00956519"/>
    <w:rsid w:val="00960B00"/>
    <w:rsid w:val="00963061"/>
    <w:rsid w:val="00966756"/>
    <w:rsid w:val="00966F79"/>
    <w:rsid w:val="00970C88"/>
    <w:rsid w:val="00971D12"/>
    <w:rsid w:val="00985038"/>
    <w:rsid w:val="0099649B"/>
    <w:rsid w:val="009A4EAB"/>
    <w:rsid w:val="009A5D3E"/>
    <w:rsid w:val="009B71A9"/>
    <w:rsid w:val="009C4EFE"/>
    <w:rsid w:val="009C63A9"/>
    <w:rsid w:val="009C63B6"/>
    <w:rsid w:val="009D1BE5"/>
    <w:rsid w:val="009E1DED"/>
    <w:rsid w:val="009F3C43"/>
    <w:rsid w:val="00A04F19"/>
    <w:rsid w:val="00A06B72"/>
    <w:rsid w:val="00A14653"/>
    <w:rsid w:val="00A27E85"/>
    <w:rsid w:val="00A31225"/>
    <w:rsid w:val="00A375D4"/>
    <w:rsid w:val="00A37984"/>
    <w:rsid w:val="00A42690"/>
    <w:rsid w:val="00A4616D"/>
    <w:rsid w:val="00A51B03"/>
    <w:rsid w:val="00A6045B"/>
    <w:rsid w:val="00A63D74"/>
    <w:rsid w:val="00A66DD0"/>
    <w:rsid w:val="00A719D2"/>
    <w:rsid w:val="00A763EC"/>
    <w:rsid w:val="00A84678"/>
    <w:rsid w:val="00A8767B"/>
    <w:rsid w:val="00A94C22"/>
    <w:rsid w:val="00AA0F80"/>
    <w:rsid w:val="00AA37AC"/>
    <w:rsid w:val="00AA40D8"/>
    <w:rsid w:val="00AA45C6"/>
    <w:rsid w:val="00AA51E7"/>
    <w:rsid w:val="00AA64F0"/>
    <w:rsid w:val="00AB7356"/>
    <w:rsid w:val="00AC05CC"/>
    <w:rsid w:val="00AC271F"/>
    <w:rsid w:val="00AC635D"/>
    <w:rsid w:val="00AC7962"/>
    <w:rsid w:val="00AC7F22"/>
    <w:rsid w:val="00AD1347"/>
    <w:rsid w:val="00AD1645"/>
    <w:rsid w:val="00AD69FE"/>
    <w:rsid w:val="00AE11F6"/>
    <w:rsid w:val="00AE3176"/>
    <w:rsid w:val="00AE7E41"/>
    <w:rsid w:val="00AF0E6A"/>
    <w:rsid w:val="00AF11D1"/>
    <w:rsid w:val="00B01538"/>
    <w:rsid w:val="00B04EB0"/>
    <w:rsid w:val="00B261D9"/>
    <w:rsid w:val="00B3221D"/>
    <w:rsid w:val="00B33E33"/>
    <w:rsid w:val="00B371C6"/>
    <w:rsid w:val="00B376E6"/>
    <w:rsid w:val="00B52B87"/>
    <w:rsid w:val="00B53EAF"/>
    <w:rsid w:val="00B54C30"/>
    <w:rsid w:val="00B57278"/>
    <w:rsid w:val="00B57E03"/>
    <w:rsid w:val="00B6433A"/>
    <w:rsid w:val="00B6472A"/>
    <w:rsid w:val="00B70CBE"/>
    <w:rsid w:val="00B73680"/>
    <w:rsid w:val="00B74531"/>
    <w:rsid w:val="00B777D9"/>
    <w:rsid w:val="00B821A0"/>
    <w:rsid w:val="00BA2980"/>
    <w:rsid w:val="00BA2DB9"/>
    <w:rsid w:val="00BB0D37"/>
    <w:rsid w:val="00BB0E5D"/>
    <w:rsid w:val="00BB4F04"/>
    <w:rsid w:val="00BC06A0"/>
    <w:rsid w:val="00BC35F6"/>
    <w:rsid w:val="00BC76EB"/>
    <w:rsid w:val="00BD25AE"/>
    <w:rsid w:val="00BD2CF6"/>
    <w:rsid w:val="00BD7E9D"/>
    <w:rsid w:val="00BE56A0"/>
    <w:rsid w:val="00BE638F"/>
    <w:rsid w:val="00BE7148"/>
    <w:rsid w:val="00BF2FB3"/>
    <w:rsid w:val="00C043EE"/>
    <w:rsid w:val="00C05445"/>
    <w:rsid w:val="00C06E47"/>
    <w:rsid w:val="00C073E8"/>
    <w:rsid w:val="00C14CAC"/>
    <w:rsid w:val="00C17904"/>
    <w:rsid w:val="00C21C68"/>
    <w:rsid w:val="00C2733D"/>
    <w:rsid w:val="00C3204C"/>
    <w:rsid w:val="00C3242B"/>
    <w:rsid w:val="00C32A6F"/>
    <w:rsid w:val="00C33435"/>
    <w:rsid w:val="00C3470C"/>
    <w:rsid w:val="00C353A7"/>
    <w:rsid w:val="00C37944"/>
    <w:rsid w:val="00C37BA8"/>
    <w:rsid w:val="00C4511C"/>
    <w:rsid w:val="00C4557A"/>
    <w:rsid w:val="00C455A2"/>
    <w:rsid w:val="00C52E80"/>
    <w:rsid w:val="00C559BF"/>
    <w:rsid w:val="00C66CFA"/>
    <w:rsid w:val="00C7238E"/>
    <w:rsid w:val="00C77B41"/>
    <w:rsid w:val="00C82C1A"/>
    <w:rsid w:val="00C87EEE"/>
    <w:rsid w:val="00CA0CE7"/>
    <w:rsid w:val="00CA2F2C"/>
    <w:rsid w:val="00CA33B2"/>
    <w:rsid w:val="00CA3D78"/>
    <w:rsid w:val="00CA43C4"/>
    <w:rsid w:val="00CA6F15"/>
    <w:rsid w:val="00CA7277"/>
    <w:rsid w:val="00CB344C"/>
    <w:rsid w:val="00CB42CE"/>
    <w:rsid w:val="00CB7415"/>
    <w:rsid w:val="00CC29AC"/>
    <w:rsid w:val="00CC2D8E"/>
    <w:rsid w:val="00CC38A0"/>
    <w:rsid w:val="00CC7EC4"/>
    <w:rsid w:val="00CD0DDB"/>
    <w:rsid w:val="00CE08BF"/>
    <w:rsid w:val="00CE1802"/>
    <w:rsid w:val="00CF0527"/>
    <w:rsid w:val="00D051F6"/>
    <w:rsid w:val="00D11F83"/>
    <w:rsid w:val="00D1706F"/>
    <w:rsid w:val="00D2075E"/>
    <w:rsid w:val="00D21D83"/>
    <w:rsid w:val="00D243C5"/>
    <w:rsid w:val="00D3019E"/>
    <w:rsid w:val="00D3071D"/>
    <w:rsid w:val="00D31C51"/>
    <w:rsid w:val="00D32A78"/>
    <w:rsid w:val="00D367AA"/>
    <w:rsid w:val="00D37C2C"/>
    <w:rsid w:val="00D427B5"/>
    <w:rsid w:val="00D459E0"/>
    <w:rsid w:val="00D520A1"/>
    <w:rsid w:val="00D61C4B"/>
    <w:rsid w:val="00D67DB6"/>
    <w:rsid w:val="00D708CA"/>
    <w:rsid w:val="00D7233A"/>
    <w:rsid w:val="00D72F4B"/>
    <w:rsid w:val="00D76810"/>
    <w:rsid w:val="00D849AE"/>
    <w:rsid w:val="00DA00D1"/>
    <w:rsid w:val="00DA2FE3"/>
    <w:rsid w:val="00DA36E4"/>
    <w:rsid w:val="00DA6A52"/>
    <w:rsid w:val="00DB2233"/>
    <w:rsid w:val="00DB6E7A"/>
    <w:rsid w:val="00DC62D2"/>
    <w:rsid w:val="00DC765C"/>
    <w:rsid w:val="00DD1F2A"/>
    <w:rsid w:val="00DD3BC1"/>
    <w:rsid w:val="00DE0717"/>
    <w:rsid w:val="00DE3A1F"/>
    <w:rsid w:val="00DE7864"/>
    <w:rsid w:val="00DE7B36"/>
    <w:rsid w:val="00DF5A44"/>
    <w:rsid w:val="00E01E71"/>
    <w:rsid w:val="00E027AF"/>
    <w:rsid w:val="00E02803"/>
    <w:rsid w:val="00E15CFF"/>
    <w:rsid w:val="00E230ED"/>
    <w:rsid w:val="00E23C53"/>
    <w:rsid w:val="00E24ACD"/>
    <w:rsid w:val="00E24CC9"/>
    <w:rsid w:val="00E3212A"/>
    <w:rsid w:val="00E32139"/>
    <w:rsid w:val="00E357FA"/>
    <w:rsid w:val="00E44FD4"/>
    <w:rsid w:val="00E57645"/>
    <w:rsid w:val="00E64160"/>
    <w:rsid w:val="00E708B1"/>
    <w:rsid w:val="00E72DC6"/>
    <w:rsid w:val="00E745BB"/>
    <w:rsid w:val="00E7675B"/>
    <w:rsid w:val="00E81B91"/>
    <w:rsid w:val="00E87016"/>
    <w:rsid w:val="00E907A4"/>
    <w:rsid w:val="00E9434A"/>
    <w:rsid w:val="00E9738E"/>
    <w:rsid w:val="00EA0FE3"/>
    <w:rsid w:val="00EA16F9"/>
    <w:rsid w:val="00EA2DDC"/>
    <w:rsid w:val="00EA3666"/>
    <w:rsid w:val="00EA677D"/>
    <w:rsid w:val="00EA6829"/>
    <w:rsid w:val="00EA76C2"/>
    <w:rsid w:val="00EB038A"/>
    <w:rsid w:val="00EB3EB2"/>
    <w:rsid w:val="00EB51BC"/>
    <w:rsid w:val="00EC0C59"/>
    <w:rsid w:val="00EC25F5"/>
    <w:rsid w:val="00EC47F6"/>
    <w:rsid w:val="00ED1D5E"/>
    <w:rsid w:val="00ED4E40"/>
    <w:rsid w:val="00ED6613"/>
    <w:rsid w:val="00EE2764"/>
    <w:rsid w:val="00EE6319"/>
    <w:rsid w:val="00EF54F0"/>
    <w:rsid w:val="00F04695"/>
    <w:rsid w:val="00F0576D"/>
    <w:rsid w:val="00F108ED"/>
    <w:rsid w:val="00F114B5"/>
    <w:rsid w:val="00F13557"/>
    <w:rsid w:val="00F2064F"/>
    <w:rsid w:val="00F227A4"/>
    <w:rsid w:val="00F328DA"/>
    <w:rsid w:val="00F35271"/>
    <w:rsid w:val="00F35580"/>
    <w:rsid w:val="00F502A9"/>
    <w:rsid w:val="00F50C6B"/>
    <w:rsid w:val="00F52853"/>
    <w:rsid w:val="00F61A88"/>
    <w:rsid w:val="00F6722D"/>
    <w:rsid w:val="00F7265E"/>
    <w:rsid w:val="00F74A78"/>
    <w:rsid w:val="00F754A3"/>
    <w:rsid w:val="00F75900"/>
    <w:rsid w:val="00F905CB"/>
    <w:rsid w:val="00F91457"/>
    <w:rsid w:val="00F925B9"/>
    <w:rsid w:val="00FA6F53"/>
    <w:rsid w:val="00FA7196"/>
    <w:rsid w:val="00FB030F"/>
    <w:rsid w:val="00FD00BE"/>
    <w:rsid w:val="00FD2F20"/>
    <w:rsid w:val="00FD368E"/>
    <w:rsid w:val="00FD6BF4"/>
    <w:rsid w:val="00FD7A80"/>
    <w:rsid w:val="00FD7E59"/>
    <w:rsid w:val="00FE2A1D"/>
    <w:rsid w:val="00FE5C69"/>
    <w:rsid w:val="00FE604F"/>
    <w:rsid w:val="00FF20B0"/>
    <w:rsid w:val="00FF5304"/>
    <w:rsid w:val="00FF6117"/>
    <w:rsid w:val="00FF6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CD00"/>
  <w15:docId w15:val="{7F2C4230-D17D-42E4-A2B6-06EA0970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8B677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E2E6B4E4D5DE64F80171A540971ABCB" ma:contentTypeVersion="" ma:contentTypeDescription="PDMS Document Site Content Type" ma:contentTypeScope="" ma:versionID="8abfda2256668fdde9452949485111ab">
  <xsd:schema xmlns:xsd="http://www.w3.org/2001/XMLSchema" xmlns:xs="http://www.w3.org/2001/XMLSchema" xmlns:p="http://schemas.microsoft.com/office/2006/metadata/properties" xmlns:ns2="AA686343-4638-4EC2-B1D2-5585BFE86D31" targetNamespace="http://schemas.microsoft.com/office/2006/metadata/properties" ma:root="true" ma:fieldsID="f291b3f80182bc35a13e6e8c008941f4" ns2:_="">
    <xsd:import namespace="AA686343-4638-4EC2-B1D2-5585BFE86D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86343-4638-4EC2-B1D2-5585BFE86D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A686343-4638-4EC2-B1D2-5585BFE86D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D790-99E7-4822-80B6-BC35961AB9FC}">
  <ds:schemaRefs>
    <ds:schemaRef ds:uri="http://schemas.microsoft.com/sharepoint/v3/contenttype/forms"/>
  </ds:schemaRefs>
</ds:datastoreItem>
</file>

<file path=customXml/itemProps2.xml><?xml version="1.0" encoding="utf-8"?>
<ds:datastoreItem xmlns:ds="http://schemas.openxmlformats.org/officeDocument/2006/customXml" ds:itemID="{EC4AEB25-5CA0-4549-A3A7-4402DA511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86343-4638-4EC2-B1D2-5585BFE86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E6A96-DCC9-44AE-8343-B6963FBDF9DF}">
  <ds:schemaRefs>
    <ds:schemaRef ds:uri="http://schemas.microsoft.com/office/2006/documentManagement/types"/>
    <ds:schemaRef ds:uri="AA686343-4638-4EC2-B1D2-5585BFE86D3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8BDEA1D-2CAC-4E6A-8047-CFDAC1B2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BAUTISTA, Bianca</cp:lastModifiedBy>
  <cp:revision>5</cp:revision>
  <cp:lastPrinted>2016-04-08T01:41:00Z</cp:lastPrinted>
  <dcterms:created xsi:type="dcterms:W3CDTF">2019-12-12T05:17:00Z</dcterms:created>
  <dcterms:modified xsi:type="dcterms:W3CDTF">2019-12-13T02:35:00Z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0x010100266966F133664895A6EE3632470D45F500AE2E6B4E4D5DE64F80171A540971ABCB</vt:lpwstr>
  </property>
</Properties>
</file>