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C9F2D" w14:textId="35E2CECC" w:rsidR="001309EC" w:rsidRPr="0095666C" w:rsidRDefault="001309EC" w:rsidP="001309EC">
      <w:pPr>
        <w:pStyle w:val="Heading1"/>
        <w:spacing w:before="0" w:after="0" w:line="240" w:lineRule="auto"/>
        <w:jc w:val="center"/>
        <w:rPr>
          <w:rFonts w:ascii="Times New Roman" w:hAnsi="Times New Roman"/>
          <w:caps w:val="0"/>
          <w:color w:val="FF0000"/>
          <w:sz w:val="24"/>
          <w:szCs w:val="24"/>
        </w:rPr>
      </w:pPr>
      <w:r w:rsidRPr="0095666C">
        <w:rPr>
          <w:rFonts w:ascii="Times New Roman" w:hAnsi="Times New Roman"/>
          <w:b/>
          <w:sz w:val="24"/>
          <w:szCs w:val="24"/>
          <w:u w:val="single"/>
        </w:rPr>
        <w:t>EXPLANATORY STATEMENT</w:t>
      </w:r>
      <w:r w:rsidRPr="0095666C">
        <w:rPr>
          <w:rFonts w:ascii="Times New Roman" w:hAnsi="Times New Roman"/>
          <w:b/>
          <w:sz w:val="24"/>
          <w:szCs w:val="24"/>
          <w:u w:val="single"/>
        </w:rPr>
        <w:br/>
      </w:r>
    </w:p>
    <w:p w14:paraId="2B5179D3" w14:textId="77777777" w:rsidR="001309EC" w:rsidRPr="0095666C" w:rsidRDefault="001309EC" w:rsidP="001309EC">
      <w:pPr>
        <w:jc w:val="center"/>
        <w:rPr>
          <w:rFonts w:ascii="Times New Roman" w:hAnsi="Times New Roman" w:cs="Times New Roman"/>
          <w:sz w:val="24"/>
          <w:szCs w:val="24"/>
          <w:u w:val="single"/>
        </w:rPr>
      </w:pPr>
      <w:bookmarkStart w:id="0" w:name="_GoBack"/>
      <w:bookmarkEnd w:id="0"/>
      <w:r w:rsidRPr="0095666C">
        <w:rPr>
          <w:rFonts w:ascii="Times New Roman" w:hAnsi="Times New Roman" w:cs="Times New Roman"/>
          <w:sz w:val="24"/>
          <w:szCs w:val="24"/>
          <w:u w:val="single"/>
        </w:rPr>
        <w:t>Issued by the authority of the Attorney-General</w:t>
      </w:r>
    </w:p>
    <w:p w14:paraId="6FBB609A" w14:textId="77777777" w:rsidR="001309EC" w:rsidRPr="0095666C" w:rsidRDefault="001309EC" w:rsidP="001309EC">
      <w:pPr>
        <w:ind w:right="91"/>
        <w:jc w:val="center"/>
        <w:rPr>
          <w:rFonts w:ascii="Times New Roman" w:hAnsi="Times New Roman" w:cs="Times New Roman"/>
          <w:i/>
          <w:sz w:val="24"/>
          <w:szCs w:val="24"/>
        </w:rPr>
      </w:pPr>
      <w:r w:rsidRPr="0095666C">
        <w:rPr>
          <w:rFonts w:ascii="Times New Roman" w:hAnsi="Times New Roman" w:cs="Times New Roman"/>
          <w:i/>
          <w:sz w:val="24"/>
          <w:szCs w:val="24"/>
        </w:rPr>
        <w:t>Privacy Act 1988</w:t>
      </w:r>
    </w:p>
    <w:p w14:paraId="0275E2B2" w14:textId="38C0C266" w:rsidR="001309EC" w:rsidRPr="0095666C" w:rsidRDefault="001309EC" w:rsidP="001309EC">
      <w:pPr>
        <w:pStyle w:val="Heading1"/>
        <w:spacing w:before="0" w:after="0" w:line="240" w:lineRule="auto"/>
        <w:jc w:val="center"/>
        <w:rPr>
          <w:rFonts w:ascii="Times New Roman" w:eastAsiaTheme="minorHAnsi" w:hAnsi="Times New Roman"/>
          <w:bCs w:val="0"/>
          <w:i/>
          <w:caps w:val="0"/>
          <w:kern w:val="0"/>
          <w:sz w:val="24"/>
          <w:szCs w:val="24"/>
        </w:rPr>
      </w:pPr>
      <w:r w:rsidRPr="0095666C">
        <w:rPr>
          <w:rFonts w:ascii="Times New Roman" w:eastAsiaTheme="minorHAnsi" w:hAnsi="Times New Roman"/>
          <w:bCs w:val="0"/>
          <w:i/>
          <w:caps w:val="0"/>
          <w:kern w:val="0"/>
          <w:sz w:val="24"/>
          <w:szCs w:val="24"/>
        </w:rPr>
        <w:t>Privacy Amendment (</w:t>
      </w:r>
      <w:r w:rsidR="002E23A6">
        <w:rPr>
          <w:rFonts w:ascii="Times New Roman" w:eastAsiaTheme="minorHAnsi" w:hAnsi="Times New Roman"/>
          <w:bCs w:val="0"/>
          <w:i/>
          <w:caps w:val="0"/>
          <w:kern w:val="0"/>
          <w:sz w:val="24"/>
          <w:szCs w:val="24"/>
        </w:rPr>
        <w:t xml:space="preserve">Extension </w:t>
      </w:r>
      <w:r>
        <w:rPr>
          <w:rFonts w:ascii="Times New Roman" w:eastAsiaTheme="minorHAnsi" w:hAnsi="Times New Roman"/>
          <w:bCs w:val="0"/>
          <w:i/>
          <w:caps w:val="0"/>
          <w:kern w:val="0"/>
          <w:sz w:val="24"/>
          <w:szCs w:val="24"/>
        </w:rPr>
        <w:t xml:space="preserve">of </w:t>
      </w:r>
      <w:r w:rsidRPr="0095666C">
        <w:rPr>
          <w:rFonts w:ascii="Times New Roman" w:eastAsiaTheme="minorHAnsi" w:hAnsi="Times New Roman"/>
          <w:bCs w:val="0"/>
          <w:i/>
          <w:caps w:val="0"/>
          <w:kern w:val="0"/>
          <w:sz w:val="24"/>
          <w:szCs w:val="24"/>
        </w:rPr>
        <w:t>External Dispute Resolution Scheme</w:t>
      </w:r>
      <w:r>
        <w:rPr>
          <w:rFonts w:ascii="Times New Roman" w:eastAsiaTheme="minorHAnsi" w:hAnsi="Times New Roman"/>
          <w:bCs w:val="0"/>
          <w:i/>
          <w:caps w:val="0"/>
          <w:kern w:val="0"/>
          <w:sz w:val="24"/>
          <w:szCs w:val="24"/>
        </w:rPr>
        <w:t xml:space="preserve"> Exemption</w:t>
      </w:r>
      <w:r w:rsidRPr="0095666C">
        <w:rPr>
          <w:rFonts w:ascii="Times New Roman" w:eastAsiaTheme="minorHAnsi" w:hAnsi="Times New Roman"/>
          <w:bCs w:val="0"/>
          <w:i/>
          <w:caps w:val="0"/>
          <w:kern w:val="0"/>
          <w:sz w:val="24"/>
          <w:szCs w:val="24"/>
        </w:rPr>
        <w:t>) Regulations 2019</w:t>
      </w:r>
    </w:p>
    <w:p w14:paraId="7F8665C1" w14:textId="77777777" w:rsidR="001309EC" w:rsidRDefault="001309EC" w:rsidP="001309EC">
      <w:pPr>
        <w:ind w:right="91"/>
        <w:rPr>
          <w:rFonts w:ascii="Times New Roman" w:hAnsi="Times New Roman" w:cs="Times New Roman"/>
          <w:sz w:val="24"/>
          <w:szCs w:val="24"/>
        </w:rPr>
      </w:pPr>
    </w:p>
    <w:p w14:paraId="6E2C2085" w14:textId="16406198" w:rsidR="00BC4AD1" w:rsidRPr="00BC4AD1" w:rsidRDefault="00BC4AD1" w:rsidP="001309EC">
      <w:pPr>
        <w:ind w:right="91"/>
        <w:rPr>
          <w:rFonts w:ascii="Times New Roman" w:hAnsi="Times New Roman" w:cs="Times New Roman"/>
          <w:sz w:val="24"/>
        </w:rPr>
      </w:pPr>
      <w:r w:rsidRPr="003D7F82">
        <w:rPr>
          <w:rFonts w:ascii="Times New Roman" w:hAnsi="Times New Roman" w:cs="Times New Roman"/>
          <w:sz w:val="24"/>
        </w:rPr>
        <w:t xml:space="preserve">The </w:t>
      </w:r>
      <w:r w:rsidRPr="003D7F82">
        <w:rPr>
          <w:rFonts w:ascii="Times New Roman" w:hAnsi="Times New Roman" w:cs="Times New Roman"/>
          <w:i/>
          <w:sz w:val="24"/>
        </w:rPr>
        <w:t>Privacy Act 1988</w:t>
      </w:r>
      <w:r w:rsidRPr="003D7F82">
        <w:rPr>
          <w:rFonts w:ascii="Times New Roman" w:hAnsi="Times New Roman" w:cs="Times New Roman"/>
          <w:sz w:val="24"/>
        </w:rPr>
        <w:t xml:space="preserve"> (Cth) (the Privacy Act) contains 13 Australian Privacy Principles (APPs) which regulate the collection, use, disclosure and storage of individuals’ personal information. The APPs apply to government agencies and certain private sector organisations with an annual turnover of $3 million or more, as well as certain smaller organisations. </w:t>
      </w:r>
    </w:p>
    <w:p w14:paraId="61FAABED" w14:textId="0B44D236" w:rsidR="001309EC" w:rsidRPr="0095666C" w:rsidRDefault="001309EC" w:rsidP="001309EC">
      <w:pPr>
        <w:spacing w:line="240" w:lineRule="auto"/>
        <w:ind w:right="91"/>
        <w:rPr>
          <w:rFonts w:ascii="Times New Roman" w:hAnsi="Times New Roman" w:cs="Times New Roman"/>
          <w:sz w:val="24"/>
          <w:szCs w:val="24"/>
        </w:rPr>
      </w:pPr>
      <w:r w:rsidRPr="0095666C">
        <w:rPr>
          <w:rFonts w:ascii="Times New Roman" w:hAnsi="Times New Roman" w:cs="Times New Roman"/>
          <w:sz w:val="24"/>
          <w:szCs w:val="24"/>
        </w:rPr>
        <w:t>Subsection 100(1) of the Privacy Act provides that the Governor-General may make regulations, not inconsistent with the Act, prescribing matters required or permitted to be prescribed, or necessary or convenient to be prescribed, for carrying out or giving effect to the Act.</w:t>
      </w:r>
    </w:p>
    <w:p w14:paraId="68A29BF4" w14:textId="3C093AFE" w:rsidR="001309EC" w:rsidRPr="0095666C" w:rsidRDefault="001309EC" w:rsidP="001309EC">
      <w:pPr>
        <w:spacing w:before="240" w:after="0" w:line="240" w:lineRule="auto"/>
        <w:rPr>
          <w:rFonts w:ascii="Times New Roman" w:hAnsi="Times New Roman"/>
          <w:sz w:val="24"/>
          <w:szCs w:val="24"/>
        </w:rPr>
      </w:pPr>
      <w:r w:rsidRPr="0095666C">
        <w:rPr>
          <w:rFonts w:ascii="Times New Roman" w:hAnsi="Times New Roman"/>
          <w:sz w:val="24"/>
          <w:szCs w:val="24"/>
        </w:rPr>
        <w:t>Part IIIA of the Privacy Act sets out the regulatory scheme for credit reporting in Australia. Under sub</w:t>
      </w:r>
      <w:r w:rsidR="002E23A6">
        <w:rPr>
          <w:rFonts w:ascii="Times New Roman" w:hAnsi="Times New Roman"/>
          <w:sz w:val="24"/>
          <w:szCs w:val="24"/>
        </w:rPr>
        <w:t xml:space="preserve">paragraph </w:t>
      </w:r>
      <w:r>
        <w:rPr>
          <w:rFonts w:ascii="Times New Roman" w:hAnsi="Times New Roman"/>
          <w:sz w:val="24"/>
          <w:szCs w:val="24"/>
        </w:rPr>
        <w:t>21D(2)(a)(i)</w:t>
      </w:r>
      <w:r w:rsidRPr="0095666C">
        <w:rPr>
          <w:rFonts w:ascii="Times New Roman" w:hAnsi="Times New Roman"/>
          <w:sz w:val="24"/>
          <w:szCs w:val="24"/>
        </w:rPr>
        <w:t xml:space="preserve">, credit providers, including energy or water utilities companies, must be a </w:t>
      </w:r>
      <w:r>
        <w:rPr>
          <w:rFonts w:ascii="Times New Roman" w:hAnsi="Times New Roman"/>
          <w:sz w:val="24"/>
          <w:szCs w:val="24"/>
        </w:rPr>
        <w:t>‘</w:t>
      </w:r>
      <w:r w:rsidRPr="0095666C">
        <w:rPr>
          <w:rFonts w:ascii="Times New Roman" w:hAnsi="Times New Roman"/>
          <w:sz w:val="24"/>
          <w:szCs w:val="24"/>
        </w:rPr>
        <w:t>member</w:t>
      </w:r>
      <w:r>
        <w:rPr>
          <w:rFonts w:ascii="Times New Roman" w:hAnsi="Times New Roman"/>
          <w:sz w:val="24"/>
          <w:szCs w:val="24"/>
        </w:rPr>
        <w:t>’</w:t>
      </w:r>
      <w:r w:rsidRPr="0095666C">
        <w:rPr>
          <w:rFonts w:ascii="Times New Roman" w:hAnsi="Times New Roman"/>
          <w:sz w:val="24"/>
          <w:szCs w:val="24"/>
        </w:rPr>
        <w:t xml:space="preserve"> of an external dispute resolution (EDR) scheme recognised by the Australian Information Commissioner (the Commissioner) in order to participate in the  credit reporting system. The Commissioner’s power to recognise EDR schemes to handle particular privacy-related complaints is set out at section 35A of the Privacy Act. </w:t>
      </w:r>
    </w:p>
    <w:p w14:paraId="4145DF52" w14:textId="77777777" w:rsidR="001309EC" w:rsidRPr="0095666C" w:rsidRDefault="001309EC" w:rsidP="001309EC">
      <w:pPr>
        <w:spacing w:before="240" w:after="0" w:line="240" w:lineRule="auto"/>
        <w:rPr>
          <w:rFonts w:ascii="Times New Roman" w:hAnsi="Times New Roman"/>
          <w:sz w:val="24"/>
          <w:szCs w:val="24"/>
        </w:rPr>
      </w:pPr>
      <w:r w:rsidRPr="0095666C">
        <w:rPr>
          <w:rFonts w:ascii="Times New Roman" w:hAnsi="Times New Roman"/>
          <w:sz w:val="24"/>
          <w:szCs w:val="24"/>
        </w:rPr>
        <w:t xml:space="preserve">The policy intention of the credit reporting EDR requirement and the Commissioner EDR recognition process was to allow any EDR schemes already in place to be recognised for the purposes of the credit reporting provisions. In the Australian energy and water utility sector, states and territories either </w:t>
      </w:r>
      <w:r w:rsidRPr="0095666C">
        <w:rPr>
          <w:rFonts w:ascii="Times New Roman" w:hAnsi="Times New Roman"/>
          <w:sz w:val="24"/>
          <w:szCs w:val="24"/>
        </w:rPr>
        <w:lastRenderedPageBreak/>
        <w:t>ha</w:t>
      </w:r>
      <w:r>
        <w:rPr>
          <w:rFonts w:ascii="Times New Roman" w:hAnsi="Times New Roman"/>
          <w:sz w:val="24"/>
          <w:szCs w:val="24"/>
        </w:rPr>
        <w:t>d</w:t>
      </w:r>
      <w:r w:rsidRPr="0095666C">
        <w:rPr>
          <w:rFonts w:ascii="Times New Roman" w:hAnsi="Times New Roman"/>
          <w:sz w:val="24"/>
          <w:szCs w:val="24"/>
        </w:rPr>
        <w:t xml:space="preserve"> existing EDR schemes that were recognised by the Commissioner for the purposes of the credit reporting provisions, or the energy and water utilities in a jurisdiction have joined other EDR schemes that had been recognised by the Commissioner. </w:t>
      </w:r>
    </w:p>
    <w:p w14:paraId="3095140C" w14:textId="1BABFFE5" w:rsidR="001309EC" w:rsidRPr="0095666C" w:rsidRDefault="001309EC" w:rsidP="001309EC">
      <w:pPr>
        <w:spacing w:before="240" w:after="0" w:line="240" w:lineRule="auto"/>
        <w:rPr>
          <w:rFonts w:ascii="Times New Roman" w:hAnsi="Times New Roman"/>
          <w:sz w:val="24"/>
          <w:szCs w:val="24"/>
        </w:rPr>
      </w:pPr>
      <w:r w:rsidRPr="0095666C">
        <w:rPr>
          <w:rFonts w:ascii="Times New Roman" w:hAnsi="Times New Roman"/>
          <w:sz w:val="24"/>
          <w:szCs w:val="24"/>
        </w:rPr>
        <w:t>EDR in relation to ACT energy and water utilities, however, is provided through the ACT Civil and Administrative Tribunal (</w:t>
      </w:r>
      <w:r w:rsidR="00731920">
        <w:rPr>
          <w:rFonts w:ascii="Times New Roman" w:hAnsi="Times New Roman"/>
          <w:sz w:val="24"/>
          <w:szCs w:val="24"/>
        </w:rPr>
        <w:t xml:space="preserve">the </w:t>
      </w:r>
      <w:r w:rsidRPr="0095666C">
        <w:rPr>
          <w:rFonts w:ascii="Times New Roman" w:hAnsi="Times New Roman"/>
          <w:sz w:val="24"/>
          <w:szCs w:val="24"/>
        </w:rPr>
        <w:t>ACAT). The ACAT is not an organisation of which credit providers can become ‘members’. As such, it is not possible for the Commissioner to recognise the ACAT as an EDR scheme under section 35A of the Privacy Act, since sub</w:t>
      </w:r>
      <w:r>
        <w:rPr>
          <w:rFonts w:ascii="Times New Roman" w:hAnsi="Times New Roman"/>
          <w:sz w:val="24"/>
          <w:szCs w:val="24"/>
        </w:rPr>
        <w:t xml:space="preserve">paragraph </w:t>
      </w:r>
      <w:r w:rsidRPr="0095666C">
        <w:rPr>
          <w:rFonts w:ascii="Times New Roman" w:hAnsi="Times New Roman"/>
          <w:sz w:val="24"/>
          <w:szCs w:val="24"/>
        </w:rPr>
        <w:t>21D(2)(a)(i) requires that a credit provider be a ‘member’ of the EDR scheme.</w:t>
      </w:r>
    </w:p>
    <w:p w14:paraId="7B782523" w14:textId="79C6CD74" w:rsidR="002E23A6" w:rsidRDefault="001309EC" w:rsidP="002E23A6">
      <w:pPr>
        <w:spacing w:before="240" w:after="0" w:line="240" w:lineRule="auto"/>
        <w:rPr>
          <w:rFonts w:ascii="Times New Roman" w:hAnsi="Times New Roman"/>
          <w:sz w:val="24"/>
          <w:szCs w:val="24"/>
        </w:rPr>
      </w:pPr>
      <w:r w:rsidRPr="0095666C">
        <w:rPr>
          <w:rFonts w:ascii="Times New Roman" w:hAnsi="Times New Roman"/>
          <w:sz w:val="24"/>
          <w:szCs w:val="24"/>
        </w:rPr>
        <w:t>Sub</w:t>
      </w:r>
      <w:r>
        <w:rPr>
          <w:rFonts w:ascii="Times New Roman" w:hAnsi="Times New Roman"/>
          <w:sz w:val="24"/>
          <w:szCs w:val="24"/>
        </w:rPr>
        <w:t xml:space="preserve">paragraph </w:t>
      </w:r>
      <w:r w:rsidRPr="0095666C">
        <w:rPr>
          <w:rFonts w:ascii="Times New Roman" w:hAnsi="Times New Roman"/>
          <w:sz w:val="24"/>
          <w:szCs w:val="24"/>
        </w:rPr>
        <w:t xml:space="preserve">21D(2)(a)(i) of the Privacy Act provides, as an alternative to being a member of an EDR scheme, that a credit provider can be prescribed by regulations (the exemption). To clarify that ACT energy and water utilities can continue to </w:t>
      </w:r>
      <w:r>
        <w:rPr>
          <w:rFonts w:ascii="Times New Roman" w:hAnsi="Times New Roman"/>
          <w:sz w:val="24"/>
          <w:szCs w:val="24"/>
        </w:rPr>
        <w:t>participate in the</w:t>
      </w:r>
      <w:r w:rsidRPr="0095666C">
        <w:rPr>
          <w:rFonts w:ascii="Times New Roman" w:hAnsi="Times New Roman"/>
          <w:sz w:val="24"/>
          <w:szCs w:val="24"/>
        </w:rPr>
        <w:t xml:space="preserve"> credit reporting system, </w:t>
      </w:r>
      <w:r>
        <w:rPr>
          <w:rFonts w:ascii="Times New Roman" w:hAnsi="Times New Roman"/>
          <w:sz w:val="24"/>
          <w:szCs w:val="24"/>
        </w:rPr>
        <w:t xml:space="preserve">such </w:t>
      </w:r>
      <w:r w:rsidRPr="0095666C">
        <w:rPr>
          <w:rFonts w:ascii="Times New Roman" w:hAnsi="Times New Roman"/>
          <w:sz w:val="24"/>
          <w:szCs w:val="24"/>
        </w:rPr>
        <w:t>regulation</w:t>
      </w:r>
      <w:r>
        <w:rPr>
          <w:rFonts w:ascii="Times New Roman" w:hAnsi="Times New Roman"/>
          <w:sz w:val="24"/>
          <w:szCs w:val="24"/>
        </w:rPr>
        <w:t xml:space="preserve">s have been made. </w:t>
      </w:r>
      <w:r w:rsidR="002E23A6">
        <w:rPr>
          <w:rFonts w:ascii="Times New Roman" w:hAnsi="Times New Roman"/>
          <w:sz w:val="24"/>
          <w:szCs w:val="24"/>
        </w:rPr>
        <w:t>Previous r</w:t>
      </w:r>
      <w:r>
        <w:rPr>
          <w:rFonts w:ascii="Times New Roman" w:hAnsi="Times New Roman"/>
          <w:sz w:val="24"/>
          <w:szCs w:val="24"/>
        </w:rPr>
        <w:t>egulation 14B</w:t>
      </w:r>
      <w:r w:rsidRPr="0095666C">
        <w:rPr>
          <w:rFonts w:ascii="Times New Roman" w:hAnsi="Times New Roman"/>
          <w:sz w:val="24"/>
          <w:szCs w:val="24"/>
        </w:rPr>
        <w:t xml:space="preserve"> of the </w:t>
      </w:r>
      <w:r w:rsidRPr="0095666C">
        <w:rPr>
          <w:rFonts w:ascii="Times New Roman" w:hAnsi="Times New Roman"/>
          <w:i/>
          <w:sz w:val="24"/>
          <w:szCs w:val="24"/>
        </w:rPr>
        <w:t>Privacy Regulation 2013</w:t>
      </w:r>
      <w:r w:rsidRPr="0095666C">
        <w:rPr>
          <w:rFonts w:ascii="Times New Roman" w:hAnsi="Times New Roman"/>
          <w:sz w:val="24"/>
          <w:szCs w:val="24"/>
        </w:rPr>
        <w:t xml:space="preserve"> (the Principal Regulation)</w:t>
      </w:r>
      <w:r w:rsidRPr="0095666C">
        <w:rPr>
          <w:rFonts w:ascii="Times New Roman" w:hAnsi="Times New Roman"/>
          <w:i/>
          <w:sz w:val="24"/>
          <w:szCs w:val="24"/>
        </w:rPr>
        <w:t xml:space="preserve"> </w:t>
      </w:r>
      <w:r w:rsidR="002E23A6">
        <w:rPr>
          <w:rFonts w:ascii="Times New Roman" w:hAnsi="Times New Roman"/>
          <w:sz w:val="24"/>
          <w:szCs w:val="24"/>
        </w:rPr>
        <w:t>provided</w:t>
      </w:r>
      <w:r w:rsidR="002E23A6" w:rsidRPr="0095666C">
        <w:rPr>
          <w:rFonts w:ascii="Times New Roman" w:hAnsi="Times New Roman"/>
          <w:sz w:val="24"/>
          <w:szCs w:val="24"/>
        </w:rPr>
        <w:t xml:space="preserve"> </w:t>
      </w:r>
      <w:r w:rsidRPr="0095666C">
        <w:rPr>
          <w:rFonts w:ascii="Times New Roman" w:hAnsi="Times New Roman"/>
          <w:sz w:val="24"/>
          <w:szCs w:val="24"/>
        </w:rPr>
        <w:t xml:space="preserve">utilities in the Australian Capital Territory with an exemption to the EDR membership requirement until 1 January </w:t>
      </w:r>
      <w:r>
        <w:rPr>
          <w:rFonts w:ascii="Times New Roman" w:hAnsi="Times New Roman"/>
          <w:sz w:val="24"/>
          <w:szCs w:val="24"/>
        </w:rPr>
        <w:t>2020</w:t>
      </w:r>
      <w:r w:rsidRPr="0095666C">
        <w:rPr>
          <w:rFonts w:ascii="Times New Roman" w:hAnsi="Times New Roman"/>
          <w:sz w:val="24"/>
          <w:szCs w:val="24"/>
        </w:rPr>
        <w:t xml:space="preserve">. </w:t>
      </w:r>
    </w:p>
    <w:p w14:paraId="000A1276" w14:textId="4B35AB92" w:rsidR="001309EC" w:rsidRPr="002E23A6" w:rsidRDefault="001309EC" w:rsidP="002E23A6">
      <w:pPr>
        <w:spacing w:before="240" w:after="0" w:line="240" w:lineRule="auto"/>
        <w:rPr>
          <w:rFonts w:ascii="Times New Roman" w:hAnsi="Times New Roman"/>
          <w:sz w:val="24"/>
          <w:szCs w:val="24"/>
        </w:rPr>
      </w:pPr>
      <w:r w:rsidRPr="0095666C">
        <w:rPr>
          <w:rFonts w:ascii="Times New Roman" w:hAnsi="Times New Roman" w:cs="Times New Roman"/>
          <w:sz w:val="24"/>
          <w:szCs w:val="24"/>
          <w:u w:val="single"/>
        </w:rPr>
        <w:t>Purpose and Operation of the Instrument</w:t>
      </w:r>
    </w:p>
    <w:p w14:paraId="3B2DD0F3" w14:textId="5AC4D2A6" w:rsidR="00731920" w:rsidRDefault="001309EC" w:rsidP="001309EC">
      <w:pPr>
        <w:spacing w:before="240" w:after="0" w:line="240" w:lineRule="auto"/>
        <w:rPr>
          <w:rFonts w:ascii="Times New Roman" w:hAnsi="Times New Roman"/>
          <w:sz w:val="24"/>
          <w:szCs w:val="24"/>
        </w:rPr>
      </w:pPr>
      <w:r w:rsidRPr="0095666C">
        <w:rPr>
          <w:rFonts w:ascii="Times New Roman" w:hAnsi="Times New Roman" w:cs="Times New Roman"/>
          <w:sz w:val="24"/>
          <w:szCs w:val="24"/>
        </w:rPr>
        <w:t xml:space="preserve">The purpose of the </w:t>
      </w:r>
      <w:r w:rsidRPr="0095666C">
        <w:rPr>
          <w:rFonts w:ascii="Times New Roman" w:hAnsi="Times New Roman" w:cs="Times New Roman"/>
          <w:i/>
          <w:sz w:val="24"/>
          <w:szCs w:val="24"/>
        </w:rPr>
        <w:t>Privacy Amendment (</w:t>
      </w:r>
      <w:r>
        <w:rPr>
          <w:rFonts w:ascii="Times New Roman" w:hAnsi="Times New Roman" w:cs="Times New Roman"/>
          <w:i/>
          <w:sz w:val="24"/>
          <w:szCs w:val="24"/>
        </w:rPr>
        <w:t xml:space="preserve">Extension of </w:t>
      </w:r>
      <w:r w:rsidRPr="0095666C">
        <w:rPr>
          <w:rFonts w:ascii="Times New Roman" w:hAnsi="Times New Roman" w:cs="Times New Roman"/>
          <w:i/>
          <w:sz w:val="24"/>
          <w:szCs w:val="24"/>
        </w:rPr>
        <w:t>External Dispute Resolution Scheme</w:t>
      </w:r>
      <w:r>
        <w:rPr>
          <w:rFonts w:ascii="Times New Roman" w:hAnsi="Times New Roman" w:cs="Times New Roman"/>
          <w:i/>
          <w:sz w:val="24"/>
          <w:szCs w:val="24"/>
        </w:rPr>
        <w:t xml:space="preserve"> Exemption</w:t>
      </w:r>
      <w:r w:rsidRPr="0095666C">
        <w:rPr>
          <w:rFonts w:ascii="Times New Roman" w:hAnsi="Times New Roman" w:cs="Times New Roman"/>
          <w:i/>
          <w:sz w:val="24"/>
          <w:szCs w:val="24"/>
        </w:rPr>
        <w:t xml:space="preserve">) Regulations 2019 </w:t>
      </w:r>
      <w:r w:rsidRPr="0095666C">
        <w:rPr>
          <w:rFonts w:ascii="Times New Roman" w:hAnsi="Times New Roman" w:cs="Times New Roman"/>
          <w:sz w:val="24"/>
          <w:szCs w:val="24"/>
        </w:rPr>
        <w:t xml:space="preserve">(the </w:t>
      </w:r>
      <w:r>
        <w:rPr>
          <w:rFonts w:ascii="Times New Roman" w:hAnsi="Times New Roman" w:cs="Times New Roman"/>
          <w:sz w:val="24"/>
          <w:szCs w:val="24"/>
        </w:rPr>
        <w:t xml:space="preserve">new </w:t>
      </w:r>
      <w:r w:rsidRPr="0095666C">
        <w:rPr>
          <w:rFonts w:ascii="Times New Roman" w:hAnsi="Times New Roman" w:cs="Times New Roman"/>
          <w:sz w:val="24"/>
          <w:szCs w:val="24"/>
        </w:rPr>
        <w:t xml:space="preserve">Regulations) is to amend the Principal Regulation </w:t>
      </w:r>
      <w:r w:rsidRPr="0095666C">
        <w:rPr>
          <w:rFonts w:ascii="Times New Roman" w:hAnsi="Times New Roman"/>
          <w:sz w:val="24"/>
          <w:szCs w:val="24"/>
        </w:rPr>
        <w:t>to extend the prescription of energy or water utilities in the ACT, for the purposes of sub</w:t>
      </w:r>
      <w:r>
        <w:rPr>
          <w:rFonts w:ascii="Times New Roman" w:hAnsi="Times New Roman"/>
          <w:sz w:val="24"/>
          <w:szCs w:val="24"/>
        </w:rPr>
        <w:t xml:space="preserve">paragraph </w:t>
      </w:r>
      <w:r w:rsidRPr="0095666C">
        <w:rPr>
          <w:rFonts w:ascii="Times New Roman" w:hAnsi="Times New Roman"/>
          <w:sz w:val="24"/>
          <w:szCs w:val="24"/>
        </w:rPr>
        <w:t xml:space="preserve">21D(2)(a)(i) of the Privacy Act, until </w:t>
      </w:r>
      <w:r w:rsidR="004C24A5">
        <w:rPr>
          <w:rFonts w:ascii="Times New Roman" w:hAnsi="Times New Roman"/>
          <w:sz w:val="24"/>
          <w:szCs w:val="24"/>
        </w:rPr>
        <w:t xml:space="preserve">31 December 2021. </w:t>
      </w:r>
      <w:r>
        <w:rPr>
          <w:rFonts w:ascii="Times New Roman" w:hAnsi="Times New Roman"/>
          <w:sz w:val="24"/>
          <w:szCs w:val="24"/>
        </w:rPr>
        <w:t>This 24</w:t>
      </w:r>
      <w:r w:rsidRPr="0095666C">
        <w:rPr>
          <w:rFonts w:ascii="Times New Roman" w:hAnsi="Times New Roman"/>
          <w:sz w:val="24"/>
          <w:szCs w:val="24"/>
        </w:rPr>
        <w:t xml:space="preserve">-month extension for ACT utilities is </w:t>
      </w:r>
      <w:r>
        <w:rPr>
          <w:rFonts w:ascii="Times New Roman" w:hAnsi="Times New Roman"/>
          <w:sz w:val="24"/>
          <w:szCs w:val="24"/>
        </w:rPr>
        <w:t xml:space="preserve">to allow </w:t>
      </w:r>
      <w:r w:rsidRPr="0095666C">
        <w:rPr>
          <w:rFonts w:ascii="Times New Roman" w:hAnsi="Times New Roman"/>
          <w:sz w:val="24"/>
          <w:szCs w:val="24"/>
        </w:rPr>
        <w:t xml:space="preserve">time to progress necessary amendments to the Privacy Act such that there is no longer a requirement </w:t>
      </w:r>
      <w:r>
        <w:rPr>
          <w:rFonts w:ascii="Times New Roman" w:hAnsi="Times New Roman"/>
          <w:sz w:val="24"/>
          <w:szCs w:val="24"/>
        </w:rPr>
        <w:t xml:space="preserve">under </w:t>
      </w:r>
      <w:r w:rsidR="002E23A6">
        <w:rPr>
          <w:rFonts w:ascii="Times New Roman" w:hAnsi="Times New Roman"/>
          <w:sz w:val="24"/>
          <w:szCs w:val="24"/>
        </w:rPr>
        <w:t xml:space="preserve">subparagraph </w:t>
      </w:r>
      <w:r>
        <w:rPr>
          <w:rFonts w:ascii="Times New Roman" w:hAnsi="Times New Roman"/>
          <w:sz w:val="24"/>
          <w:szCs w:val="24"/>
        </w:rPr>
        <w:t xml:space="preserve">21D(2)(a)(i) </w:t>
      </w:r>
      <w:r w:rsidRPr="0095666C">
        <w:rPr>
          <w:rFonts w:ascii="Times New Roman" w:hAnsi="Times New Roman"/>
          <w:sz w:val="24"/>
          <w:szCs w:val="24"/>
        </w:rPr>
        <w:t>for providers to be a ‘member’ of an EDR scheme</w:t>
      </w:r>
      <w:r>
        <w:rPr>
          <w:rFonts w:ascii="Times New Roman" w:hAnsi="Times New Roman"/>
          <w:sz w:val="24"/>
          <w:szCs w:val="24"/>
        </w:rPr>
        <w:t xml:space="preserve"> in order for the Commissioner to recognise such a scheme</w:t>
      </w:r>
      <w:r w:rsidRPr="0095666C">
        <w:rPr>
          <w:rFonts w:ascii="Times New Roman" w:hAnsi="Times New Roman"/>
          <w:sz w:val="24"/>
          <w:szCs w:val="24"/>
        </w:rPr>
        <w:t xml:space="preserve">. </w:t>
      </w:r>
    </w:p>
    <w:p w14:paraId="5F2C2342" w14:textId="77777777" w:rsidR="001309EC" w:rsidRPr="0095666C" w:rsidRDefault="001309EC" w:rsidP="001309EC">
      <w:pPr>
        <w:spacing w:before="240" w:after="0" w:line="240" w:lineRule="auto"/>
        <w:rPr>
          <w:rFonts w:ascii="Times New Roman" w:hAnsi="Times New Roman"/>
          <w:color w:val="000000" w:themeColor="text1"/>
          <w:sz w:val="24"/>
          <w:szCs w:val="24"/>
        </w:rPr>
      </w:pPr>
      <w:r w:rsidRPr="0095666C">
        <w:rPr>
          <w:rFonts w:ascii="Times New Roman" w:hAnsi="Times New Roman" w:cs="Times New Roman"/>
          <w:sz w:val="24"/>
          <w:szCs w:val="24"/>
        </w:rPr>
        <w:t>Details</w:t>
      </w:r>
      <w:r w:rsidRPr="0095666C">
        <w:rPr>
          <w:rFonts w:ascii="Times New Roman" w:hAnsi="Times New Roman"/>
          <w:color w:val="000000" w:themeColor="text1"/>
          <w:sz w:val="24"/>
          <w:szCs w:val="24"/>
        </w:rPr>
        <w:t xml:space="preserve"> of the </w:t>
      </w:r>
      <w:r>
        <w:rPr>
          <w:rFonts w:ascii="Times New Roman" w:hAnsi="Times New Roman"/>
          <w:color w:val="000000" w:themeColor="text1"/>
          <w:sz w:val="24"/>
          <w:szCs w:val="24"/>
        </w:rPr>
        <w:t xml:space="preserve">new </w:t>
      </w:r>
      <w:r w:rsidRPr="0095666C">
        <w:rPr>
          <w:rFonts w:ascii="Times New Roman" w:hAnsi="Times New Roman"/>
          <w:color w:val="000000" w:themeColor="text1"/>
          <w:sz w:val="24"/>
          <w:szCs w:val="24"/>
        </w:rPr>
        <w:t xml:space="preserve">Regulations are set out in </w:t>
      </w:r>
      <w:r w:rsidRPr="0095666C">
        <w:rPr>
          <w:rFonts w:ascii="Times New Roman" w:hAnsi="Times New Roman"/>
          <w:color w:val="000000" w:themeColor="text1"/>
          <w:sz w:val="24"/>
          <w:szCs w:val="24"/>
          <w:u w:val="single"/>
        </w:rPr>
        <w:t>Attachment A.</w:t>
      </w:r>
      <w:r w:rsidRPr="0095666C">
        <w:rPr>
          <w:rFonts w:ascii="Times New Roman" w:hAnsi="Times New Roman"/>
          <w:color w:val="000000" w:themeColor="text1"/>
          <w:sz w:val="24"/>
          <w:szCs w:val="24"/>
        </w:rPr>
        <w:t xml:space="preserve"> </w:t>
      </w:r>
    </w:p>
    <w:p w14:paraId="3B51854D" w14:textId="77777777" w:rsidR="001309EC" w:rsidRPr="0095666C" w:rsidRDefault="001309EC" w:rsidP="001309EC">
      <w:pPr>
        <w:spacing w:before="240" w:after="0" w:line="240" w:lineRule="auto"/>
        <w:rPr>
          <w:rFonts w:ascii="Times New Roman" w:hAnsi="Times New Roman"/>
          <w:color w:val="000000" w:themeColor="text1"/>
          <w:sz w:val="24"/>
          <w:szCs w:val="24"/>
        </w:rPr>
      </w:pPr>
      <w:r w:rsidRPr="0095666C">
        <w:rPr>
          <w:rFonts w:ascii="Times New Roman" w:hAnsi="Times New Roman"/>
          <w:color w:val="000000" w:themeColor="text1"/>
          <w:sz w:val="24"/>
          <w:szCs w:val="24"/>
        </w:rPr>
        <w:lastRenderedPageBreak/>
        <w:t xml:space="preserve">A </w:t>
      </w:r>
      <w:r w:rsidRPr="0095666C">
        <w:rPr>
          <w:rFonts w:ascii="Times New Roman" w:hAnsi="Times New Roman" w:cs="Times New Roman"/>
          <w:sz w:val="24"/>
          <w:szCs w:val="24"/>
        </w:rPr>
        <w:t>Statement</w:t>
      </w:r>
      <w:r w:rsidRPr="0095666C">
        <w:rPr>
          <w:rFonts w:ascii="Times New Roman" w:hAnsi="Times New Roman"/>
          <w:color w:val="000000" w:themeColor="text1"/>
          <w:sz w:val="24"/>
          <w:szCs w:val="24"/>
        </w:rPr>
        <w:t xml:space="preserve"> of Compatibility with Human Rights is set out in </w:t>
      </w:r>
      <w:r w:rsidRPr="0095666C">
        <w:rPr>
          <w:rFonts w:ascii="Times New Roman" w:hAnsi="Times New Roman"/>
          <w:color w:val="000000" w:themeColor="text1"/>
          <w:sz w:val="24"/>
          <w:szCs w:val="24"/>
          <w:u w:val="single"/>
        </w:rPr>
        <w:t>Attachment B</w:t>
      </w:r>
      <w:r w:rsidRPr="0095666C">
        <w:rPr>
          <w:rFonts w:ascii="Times New Roman" w:hAnsi="Times New Roman"/>
          <w:color w:val="000000" w:themeColor="text1"/>
          <w:sz w:val="24"/>
          <w:szCs w:val="24"/>
        </w:rPr>
        <w:t xml:space="preserve"> prepared in accordance with Part 3 of the </w:t>
      </w:r>
      <w:r w:rsidRPr="0095666C">
        <w:rPr>
          <w:rFonts w:ascii="Times New Roman" w:hAnsi="Times New Roman"/>
          <w:i/>
          <w:color w:val="000000" w:themeColor="text1"/>
          <w:sz w:val="24"/>
          <w:szCs w:val="24"/>
        </w:rPr>
        <w:t>Human Rights (Parliamentary Scrutiny Act) 2011.</w:t>
      </w:r>
      <w:r w:rsidRPr="0095666C">
        <w:rPr>
          <w:rFonts w:ascii="Times New Roman" w:hAnsi="Times New Roman"/>
          <w:color w:val="000000" w:themeColor="text1"/>
          <w:sz w:val="24"/>
          <w:szCs w:val="24"/>
        </w:rPr>
        <w:t xml:space="preserve"> </w:t>
      </w:r>
    </w:p>
    <w:p w14:paraId="4173AB25" w14:textId="0EB599F1" w:rsidR="001309EC" w:rsidRDefault="001309EC" w:rsidP="001309EC">
      <w:pPr>
        <w:spacing w:before="240" w:after="0" w:line="240" w:lineRule="auto"/>
        <w:rPr>
          <w:rFonts w:ascii="Times New Roman" w:hAnsi="Times New Roman" w:cs="Times New Roman"/>
          <w:sz w:val="24"/>
          <w:szCs w:val="24"/>
        </w:rPr>
      </w:pPr>
      <w:r w:rsidRPr="0095666C">
        <w:rPr>
          <w:rFonts w:ascii="Times New Roman" w:hAnsi="Times New Roman" w:cs="Times New Roman"/>
          <w:sz w:val="24"/>
          <w:szCs w:val="24"/>
        </w:rPr>
        <w:t xml:space="preserve">Consistent with the requirements of </w:t>
      </w:r>
      <w:r>
        <w:rPr>
          <w:rFonts w:ascii="Times New Roman" w:hAnsi="Times New Roman" w:cs="Times New Roman"/>
          <w:sz w:val="24"/>
          <w:szCs w:val="24"/>
        </w:rPr>
        <w:t xml:space="preserve">section 17 of </w:t>
      </w:r>
      <w:r w:rsidRPr="0095666C">
        <w:rPr>
          <w:rFonts w:ascii="Times New Roman" w:hAnsi="Times New Roman" w:cs="Times New Roman"/>
          <w:sz w:val="24"/>
          <w:szCs w:val="24"/>
        </w:rPr>
        <w:t xml:space="preserve">the </w:t>
      </w:r>
      <w:r w:rsidRPr="0095666C">
        <w:rPr>
          <w:rFonts w:ascii="Times New Roman" w:hAnsi="Times New Roman" w:cs="Times New Roman"/>
          <w:i/>
          <w:sz w:val="24"/>
          <w:szCs w:val="24"/>
        </w:rPr>
        <w:t xml:space="preserve">Legislation Act 2003 </w:t>
      </w:r>
      <w:r w:rsidRPr="0095666C">
        <w:rPr>
          <w:rFonts w:ascii="Times New Roman" w:hAnsi="Times New Roman" w:cs="Times New Roman"/>
          <w:sz w:val="24"/>
          <w:szCs w:val="24"/>
        </w:rPr>
        <w:t>(Legislation Act),</w:t>
      </w:r>
      <w:r w:rsidRPr="0095666C">
        <w:rPr>
          <w:rFonts w:ascii="Times New Roman" w:hAnsi="Times New Roman" w:cs="Times New Roman"/>
          <w:i/>
          <w:sz w:val="24"/>
          <w:szCs w:val="24"/>
        </w:rPr>
        <w:t xml:space="preserve"> </w:t>
      </w:r>
      <w:r w:rsidRPr="0095666C">
        <w:rPr>
          <w:rFonts w:ascii="Times New Roman" w:hAnsi="Times New Roman" w:cs="Times New Roman"/>
          <w:sz w:val="24"/>
          <w:szCs w:val="24"/>
        </w:rPr>
        <w:t xml:space="preserve">the </w:t>
      </w:r>
      <w:r>
        <w:rPr>
          <w:rFonts w:ascii="Times New Roman" w:hAnsi="Times New Roman" w:cs="Times New Roman"/>
          <w:sz w:val="24"/>
          <w:szCs w:val="24"/>
        </w:rPr>
        <w:t>new</w:t>
      </w:r>
      <w:r w:rsidRPr="0095666C">
        <w:rPr>
          <w:rFonts w:ascii="Times New Roman" w:hAnsi="Times New Roman" w:cs="Times New Roman"/>
          <w:sz w:val="24"/>
          <w:szCs w:val="24"/>
        </w:rPr>
        <w:t xml:space="preserve"> Regulations have been the subject of consultation with the ACT Justice and Community Safety Directorate</w:t>
      </w:r>
      <w:r>
        <w:rPr>
          <w:rFonts w:ascii="Times New Roman" w:hAnsi="Times New Roman" w:cs="Times New Roman"/>
          <w:sz w:val="24"/>
          <w:szCs w:val="24"/>
        </w:rPr>
        <w:t xml:space="preserve"> and the Office of the Australian Information Commissioner (OAIC)</w:t>
      </w:r>
      <w:r w:rsidRPr="0095666C">
        <w:rPr>
          <w:rFonts w:ascii="Times New Roman" w:hAnsi="Times New Roman" w:cs="Times New Roman"/>
          <w:sz w:val="24"/>
          <w:szCs w:val="24"/>
        </w:rPr>
        <w:t>.</w:t>
      </w:r>
      <w:r>
        <w:rPr>
          <w:rFonts w:ascii="Times New Roman" w:hAnsi="Times New Roman" w:cs="Times New Roman"/>
          <w:sz w:val="24"/>
          <w:szCs w:val="24"/>
        </w:rPr>
        <w:t xml:space="preserve">  </w:t>
      </w:r>
    </w:p>
    <w:p w14:paraId="0D7991EC" w14:textId="77777777" w:rsidR="001309EC" w:rsidRPr="0095666C" w:rsidRDefault="001309EC" w:rsidP="001309EC">
      <w:pPr>
        <w:spacing w:before="240" w:after="0" w:line="240" w:lineRule="auto"/>
        <w:rPr>
          <w:rFonts w:ascii="Times New Roman" w:hAnsi="Times New Roman" w:cs="Times New Roman"/>
          <w:sz w:val="24"/>
          <w:szCs w:val="24"/>
        </w:rPr>
      </w:pPr>
      <w:r w:rsidRPr="00AA63F4">
        <w:rPr>
          <w:rFonts w:ascii="Times New Roman" w:hAnsi="Times New Roman" w:cs="Times New Roman"/>
          <w:sz w:val="24"/>
          <w:szCs w:val="24"/>
        </w:rPr>
        <w:t xml:space="preserve">The Office of Best Practice Regulation (OBPR) was consulted and has stated that a Regulation Impact Statement is not required for the </w:t>
      </w:r>
      <w:r>
        <w:rPr>
          <w:rFonts w:ascii="Times New Roman" w:hAnsi="Times New Roman" w:cs="Times New Roman"/>
          <w:sz w:val="24"/>
          <w:szCs w:val="24"/>
        </w:rPr>
        <w:t>new</w:t>
      </w:r>
      <w:r w:rsidRPr="00AA63F4">
        <w:rPr>
          <w:rFonts w:ascii="Times New Roman" w:hAnsi="Times New Roman" w:cs="Times New Roman"/>
          <w:sz w:val="24"/>
          <w:szCs w:val="24"/>
        </w:rPr>
        <w:t xml:space="preserve"> Regulations (OBPR ID: 25</w:t>
      </w:r>
      <w:r>
        <w:rPr>
          <w:rFonts w:ascii="Times New Roman" w:hAnsi="Times New Roman" w:cs="Times New Roman"/>
          <w:sz w:val="24"/>
          <w:szCs w:val="24"/>
        </w:rPr>
        <w:t>832</w:t>
      </w:r>
      <w:r w:rsidRPr="00AA63F4">
        <w:rPr>
          <w:rFonts w:ascii="Times New Roman" w:hAnsi="Times New Roman" w:cs="Times New Roman"/>
          <w:sz w:val="24"/>
          <w:szCs w:val="24"/>
        </w:rPr>
        <w:t>).</w:t>
      </w:r>
    </w:p>
    <w:p w14:paraId="0BDFB84B" w14:textId="77777777" w:rsidR="001309EC" w:rsidRPr="0095666C" w:rsidRDefault="001309EC" w:rsidP="001309EC">
      <w:pPr>
        <w:spacing w:before="240" w:after="0" w:line="240" w:lineRule="auto"/>
        <w:rPr>
          <w:rFonts w:ascii="Times New Roman" w:hAnsi="Times New Roman" w:cs="Times New Roman"/>
          <w:sz w:val="24"/>
          <w:szCs w:val="24"/>
        </w:rPr>
      </w:pPr>
      <w:r w:rsidRPr="0095666C">
        <w:rPr>
          <w:rFonts w:ascii="Times New Roman" w:hAnsi="Times New Roman" w:cs="Times New Roman"/>
          <w:sz w:val="24"/>
          <w:szCs w:val="24"/>
        </w:rPr>
        <w:t xml:space="preserve">The </w:t>
      </w:r>
      <w:r>
        <w:rPr>
          <w:rFonts w:ascii="Times New Roman" w:hAnsi="Times New Roman" w:cs="Times New Roman"/>
          <w:sz w:val="24"/>
          <w:szCs w:val="24"/>
        </w:rPr>
        <w:t xml:space="preserve">new </w:t>
      </w:r>
      <w:r w:rsidRPr="0095666C">
        <w:rPr>
          <w:rFonts w:ascii="Times New Roman" w:hAnsi="Times New Roman" w:cs="Times New Roman"/>
          <w:sz w:val="24"/>
          <w:szCs w:val="24"/>
        </w:rPr>
        <w:t>Regulations are a legislative instrument for the purposes of the Legislation Act.</w:t>
      </w:r>
    </w:p>
    <w:p w14:paraId="20ADD982" w14:textId="767F2CD9" w:rsidR="001309EC" w:rsidRPr="0095666C" w:rsidRDefault="001309EC" w:rsidP="001309EC">
      <w:pPr>
        <w:spacing w:before="240" w:after="0" w:line="240" w:lineRule="auto"/>
        <w:rPr>
          <w:rFonts w:ascii="Times New Roman" w:hAnsi="Times New Roman" w:cs="Times New Roman"/>
          <w:sz w:val="24"/>
          <w:szCs w:val="24"/>
        </w:rPr>
      </w:pPr>
      <w:r w:rsidRPr="0095666C">
        <w:rPr>
          <w:rFonts w:ascii="Times New Roman" w:hAnsi="Times New Roman" w:cs="Times New Roman"/>
          <w:sz w:val="24"/>
          <w:szCs w:val="24"/>
        </w:rPr>
        <w:t xml:space="preserve">The </w:t>
      </w:r>
      <w:r>
        <w:rPr>
          <w:rFonts w:ascii="Times New Roman" w:hAnsi="Times New Roman" w:cs="Times New Roman"/>
          <w:sz w:val="24"/>
          <w:szCs w:val="24"/>
        </w:rPr>
        <w:t xml:space="preserve">new </w:t>
      </w:r>
      <w:r w:rsidRPr="0095666C">
        <w:rPr>
          <w:rFonts w:ascii="Times New Roman" w:hAnsi="Times New Roman" w:cs="Times New Roman"/>
          <w:sz w:val="24"/>
          <w:szCs w:val="24"/>
        </w:rPr>
        <w:t>Regulations comme</w:t>
      </w:r>
      <w:r>
        <w:rPr>
          <w:rFonts w:ascii="Times New Roman" w:hAnsi="Times New Roman" w:cs="Times New Roman"/>
          <w:sz w:val="24"/>
          <w:szCs w:val="24"/>
        </w:rPr>
        <w:t xml:space="preserve">nce </w:t>
      </w:r>
      <w:r w:rsidR="00BC4AD1">
        <w:rPr>
          <w:rFonts w:ascii="Times New Roman" w:hAnsi="Times New Roman" w:cs="Times New Roman"/>
          <w:sz w:val="24"/>
          <w:szCs w:val="24"/>
        </w:rPr>
        <w:t>on 1 January 2020</w:t>
      </w:r>
      <w:r>
        <w:rPr>
          <w:rFonts w:ascii="Times New Roman" w:hAnsi="Times New Roman" w:cs="Times New Roman"/>
          <w:sz w:val="24"/>
          <w:szCs w:val="24"/>
        </w:rPr>
        <w:t>.</w:t>
      </w:r>
    </w:p>
    <w:p w14:paraId="487E15E9" w14:textId="598335D1" w:rsidR="001309EC" w:rsidRDefault="001309EC" w:rsidP="001309EC">
      <w:pPr>
        <w:tabs>
          <w:tab w:val="left" w:pos="3757"/>
        </w:tabs>
        <w:rPr>
          <w:rFonts w:ascii="Times New Roman" w:hAnsi="Times New Roman" w:cs="Times New Roman"/>
          <w:sz w:val="24"/>
          <w:szCs w:val="24"/>
        </w:rPr>
      </w:pPr>
      <w:r>
        <w:rPr>
          <w:rFonts w:ascii="Times New Roman" w:hAnsi="Times New Roman" w:cs="Times New Roman"/>
          <w:sz w:val="24"/>
          <w:szCs w:val="24"/>
        </w:rPr>
        <w:tab/>
      </w:r>
    </w:p>
    <w:p w14:paraId="3BC040D0" w14:textId="77777777" w:rsidR="004A5474" w:rsidRDefault="004A5474" w:rsidP="001309EC">
      <w:pPr>
        <w:tabs>
          <w:tab w:val="left" w:pos="3757"/>
        </w:tabs>
        <w:rPr>
          <w:rFonts w:ascii="Times New Roman" w:hAnsi="Times New Roman" w:cs="Times New Roman"/>
          <w:sz w:val="24"/>
          <w:szCs w:val="24"/>
        </w:rPr>
      </w:pPr>
    </w:p>
    <w:p w14:paraId="2B1D6C0A" w14:textId="77777777" w:rsidR="004A5474" w:rsidRDefault="004A5474" w:rsidP="001309EC">
      <w:pPr>
        <w:tabs>
          <w:tab w:val="left" w:pos="3757"/>
        </w:tabs>
        <w:rPr>
          <w:rFonts w:ascii="Times New Roman" w:hAnsi="Times New Roman" w:cs="Times New Roman"/>
          <w:sz w:val="24"/>
          <w:szCs w:val="24"/>
        </w:rPr>
      </w:pPr>
    </w:p>
    <w:p w14:paraId="30241474" w14:textId="77777777" w:rsidR="004A5474" w:rsidRDefault="004A5474" w:rsidP="001309EC">
      <w:pPr>
        <w:tabs>
          <w:tab w:val="left" w:pos="3757"/>
        </w:tabs>
        <w:rPr>
          <w:rFonts w:ascii="Times New Roman" w:hAnsi="Times New Roman" w:cs="Times New Roman"/>
          <w:sz w:val="24"/>
          <w:szCs w:val="24"/>
        </w:rPr>
      </w:pPr>
    </w:p>
    <w:p w14:paraId="067096B8" w14:textId="77777777" w:rsidR="004A5474" w:rsidRDefault="004A5474" w:rsidP="001309EC">
      <w:pPr>
        <w:tabs>
          <w:tab w:val="left" w:pos="3757"/>
        </w:tabs>
        <w:rPr>
          <w:rFonts w:ascii="Times New Roman" w:hAnsi="Times New Roman" w:cs="Times New Roman"/>
          <w:sz w:val="24"/>
          <w:szCs w:val="24"/>
        </w:rPr>
      </w:pPr>
    </w:p>
    <w:p w14:paraId="65170D0A" w14:textId="77777777" w:rsidR="004A5474" w:rsidRDefault="004A5474" w:rsidP="001309EC">
      <w:pPr>
        <w:tabs>
          <w:tab w:val="left" w:pos="3757"/>
        </w:tabs>
        <w:rPr>
          <w:rFonts w:ascii="Times New Roman" w:hAnsi="Times New Roman" w:cs="Times New Roman"/>
          <w:sz w:val="24"/>
          <w:szCs w:val="24"/>
        </w:rPr>
      </w:pPr>
    </w:p>
    <w:p w14:paraId="605CD763" w14:textId="77777777" w:rsidR="004A5474" w:rsidRDefault="004A5474" w:rsidP="001309EC">
      <w:pPr>
        <w:tabs>
          <w:tab w:val="left" w:pos="3757"/>
        </w:tabs>
        <w:rPr>
          <w:rFonts w:ascii="Times New Roman" w:hAnsi="Times New Roman" w:cs="Times New Roman"/>
          <w:sz w:val="24"/>
          <w:szCs w:val="24"/>
        </w:rPr>
      </w:pPr>
    </w:p>
    <w:p w14:paraId="41F6CB1A" w14:textId="77777777" w:rsidR="004A5474" w:rsidRDefault="004A5474" w:rsidP="001309EC">
      <w:pPr>
        <w:tabs>
          <w:tab w:val="left" w:pos="3757"/>
        </w:tabs>
        <w:rPr>
          <w:rFonts w:ascii="Times New Roman" w:hAnsi="Times New Roman" w:cs="Times New Roman"/>
          <w:sz w:val="24"/>
          <w:szCs w:val="24"/>
        </w:rPr>
      </w:pPr>
    </w:p>
    <w:p w14:paraId="6FFFA325" w14:textId="77777777" w:rsidR="004A5474" w:rsidRDefault="004A5474" w:rsidP="001309EC">
      <w:pPr>
        <w:tabs>
          <w:tab w:val="left" w:pos="3757"/>
        </w:tabs>
        <w:rPr>
          <w:rFonts w:ascii="Times New Roman" w:hAnsi="Times New Roman" w:cs="Times New Roman"/>
          <w:sz w:val="24"/>
          <w:szCs w:val="24"/>
        </w:rPr>
      </w:pPr>
    </w:p>
    <w:p w14:paraId="79F55B9D" w14:textId="562CF2A9" w:rsidR="00296CA4" w:rsidRDefault="00296CA4" w:rsidP="00BC4AD1">
      <w:pPr>
        <w:spacing w:line="360" w:lineRule="auto"/>
        <w:rPr>
          <w:rFonts w:ascii="Times New Roman" w:hAnsi="Times New Roman" w:cs="Times New Roman"/>
          <w:b/>
          <w:sz w:val="24"/>
          <w:szCs w:val="24"/>
        </w:rPr>
      </w:pPr>
    </w:p>
    <w:p w14:paraId="69C21859" w14:textId="77777777" w:rsidR="00BC4AD1" w:rsidRDefault="00BC4AD1" w:rsidP="00BC4AD1">
      <w:pPr>
        <w:spacing w:line="360" w:lineRule="auto"/>
        <w:rPr>
          <w:rFonts w:ascii="Times New Roman" w:hAnsi="Times New Roman" w:cs="Times New Roman"/>
          <w:b/>
          <w:sz w:val="24"/>
          <w:szCs w:val="24"/>
        </w:rPr>
      </w:pPr>
    </w:p>
    <w:p w14:paraId="5E804FBA" w14:textId="77777777" w:rsidR="003D7F82" w:rsidRDefault="003D7F82" w:rsidP="00BC4AD1">
      <w:pPr>
        <w:spacing w:line="360" w:lineRule="auto"/>
        <w:rPr>
          <w:rFonts w:ascii="Times New Roman" w:hAnsi="Times New Roman" w:cs="Times New Roman"/>
          <w:b/>
          <w:sz w:val="24"/>
          <w:szCs w:val="24"/>
        </w:rPr>
      </w:pPr>
    </w:p>
    <w:p w14:paraId="281B62A3" w14:textId="77777777" w:rsidR="001309EC" w:rsidRPr="0095666C" w:rsidRDefault="001309EC" w:rsidP="001309EC">
      <w:pPr>
        <w:spacing w:line="360" w:lineRule="auto"/>
        <w:jc w:val="right"/>
        <w:rPr>
          <w:rFonts w:ascii="Times New Roman" w:hAnsi="Times New Roman" w:cs="Times New Roman"/>
          <w:b/>
          <w:sz w:val="24"/>
          <w:szCs w:val="24"/>
        </w:rPr>
      </w:pPr>
      <w:r w:rsidRPr="0095666C">
        <w:rPr>
          <w:rFonts w:ascii="Times New Roman" w:hAnsi="Times New Roman" w:cs="Times New Roman"/>
          <w:b/>
          <w:sz w:val="24"/>
          <w:szCs w:val="24"/>
        </w:rPr>
        <w:t>Attachment A</w:t>
      </w:r>
    </w:p>
    <w:p w14:paraId="3DA3DCA2" w14:textId="58902A96" w:rsidR="001309EC" w:rsidRPr="0095666C" w:rsidRDefault="001309EC" w:rsidP="001309EC">
      <w:pPr>
        <w:pStyle w:val="Heading1"/>
        <w:spacing w:before="0" w:after="0" w:line="240" w:lineRule="auto"/>
        <w:rPr>
          <w:rFonts w:ascii="Times New Roman" w:eastAsiaTheme="minorHAnsi" w:hAnsi="Times New Roman"/>
          <w:b/>
          <w:bCs w:val="0"/>
          <w:i/>
          <w:caps w:val="0"/>
          <w:kern w:val="0"/>
          <w:sz w:val="24"/>
          <w:szCs w:val="24"/>
          <w:u w:val="single"/>
        </w:rPr>
      </w:pPr>
      <w:r w:rsidRPr="0095666C">
        <w:rPr>
          <w:rFonts w:ascii="Times New Roman" w:eastAsiaTheme="minorHAnsi" w:hAnsi="Times New Roman"/>
          <w:b/>
          <w:bCs w:val="0"/>
          <w:i/>
          <w:caps w:val="0"/>
          <w:kern w:val="0"/>
          <w:sz w:val="24"/>
          <w:szCs w:val="24"/>
          <w:u w:val="single"/>
        </w:rPr>
        <w:lastRenderedPageBreak/>
        <w:t>Privacy Amendment (</w:t>
      </w:r>
      <w:r w:rsidR="002E23A6">
        <w:rPr>
          <w:rFonts w:ascii="Times New Roman" w:eastAsiaTheme="minorHAnsi" w:hAnsi="Times New Roman"/>
          <w:b/>
          <w:bCs w:val="0"/>
          <w:i/>
          <w:caps w:val="0"/>
          <w:kern w:val="0"/>
          <w:sz w:val="24"/>
          <w:szCs w:val="24"/>
          <w:u w:val="single"/>
        </w:rPr>
        <w:t xml:space="preserve">Extension of </w:t>
      </w:r>
      <w:r w:rsidRPr="0095666C">
        <w:rPr>
          <w:rFonts w:ascii="Times New Roman" w:eastAsiaTheme="minorHAnsi" w:hAnsi="Times New Roman"/>
          <w:b/>
          <w:bCs w:val="0"/>
          <w:i/>
          <w:caps w:val="0"/>
          <w:kern w:val="0"/>
          <w:sz w:val="24"/>
          <w:szCs w:val="24"/>
          <w:u w:val="single"/>
        </w:rPr>
        <w:t>External Dispute Resolution Scheme</w:t>
      </w:r>
      <w:r w:rsidR="002E23A6">
        <w:rPr>
          <w:rFonts w:ascii="Times New Roman" w:eastAsiaTheme="minorHAnsi" w:hAnsi="Times New Roman"/>
          <w:b/>
          <w:bCs w:val="0"/>
          <w:i/>
          <w:caps w:val="0"/>
          <w:kern w:val="0"/>
          <w:sz w:val="24"/>
          <w:szCs w:val="24"/>
          <w:u w:val="single"/>
        </w:rPr>
        <w:t xml:space="preserve"> Exemption</w:t>
      </w:r>
      <w:r w:rsidRPr="0095666C">
        <w:rPr>
          <w:rFonts w:ascii="Times New Roman" w:eastAsiaTheme="minorHAnsi" w:hAnsi="Times New Roman"/>
          <w:b/>
          <w:bCs w:val="0"/>
          <w:i/>
          <w:caps w:val="0"/>
          <w:kern w:val="0"/>
          <w:sz w:val="24"/>
          <w:szCs w:val="24"/>
          <w:u w:val="single"/>
        </w:rPr>
        <w:t>) Regulations 2019</w:t>
      </w:r>
    </w:p>
    <w:p w14:paraId="52540F63" w14:textId="77777777" w:rsidR="001309EC" w:rsidRPr="0095666C" w:rsidRDefault="001309EC" w:rsidP="001309EC">
      <w:pPr>
        <w:spacing w:line="360" w:lineRule="auto"/>
        <w:rPr>
          <w:rFonts w:ascii="Times New Roman" w:hAnsi="Times New Roman" w:cs="Times New Roman"/>
          <w:b/>
          <w:sz w:val="24"/>
          <w:szCs w:val="24"/>
        </w:rPr>
      </w:pPr>
    </w:p>
    <w:p w14:paraId="7DDF2F50" w14:textId="77777777" w:rsidR="001309EC" w:rsidRPr="0095666C" w:rsidRDefault="001309EC" w:rsidP="001309EC">
      <w:pPr>
        <w:spacing w:line="360" w:lineRule="auto"/>
        <w:rPr>
          <w:rFonts w:ascii="Times New Roman" w:hAnsi="Times New Roman" w:cs="Times New Roman"/>
          <w:b/>
          <w:sz w:val="24"/>
          <w:szCs w:val="24"/>
          <w:u w:val="single"/>
        </w:rPr>
      </w:pPr>
      <w:r w:rsidRPr="0095666C">
        <w:rPr>
          <w:rFonts w:ascii="Times New Roman" w:hAnsi="Times New Roman" w:cs="Times New Roman"/>
          <w:b/>
          <w:sz w:val="24"/>
          <w:szCs w:val="24"/>
          <w:u w:val="single"/>
        </w:rPr>
        <w:t xml:space="preserve">Preliminary </w:t>
      </w:r>
    </w:p>
    <w:p w14:paraId="762714E8" w14:textId="77777777" w:rsidR="001309EC" w:rsidRPr="0095666C" w:rsidRDefault="001309EC" w:rsidP="001309EC">
      <w:pPr>
        <w:spacing w:line="360" w:lineRule="auto"/>
        <w:rPr>
          <w:rFonts w:ascii="Times New Roman" w:hAnsi="Times New Roman" w:cs="Times New Roman"/>
          <w:b/>
          <w:sz w:val="24"/>
          <w:szCs w:val="24"/>
        </w:rPr>
      </w:pPr>
      <w:r w:rsidRPr="0095666C">
        <w:rPr>
          <w:rFonts w:ascii="Times New Roman" w:hAnsi="Times New Roman" w:cs="Times New Roman"/>
          <w:b/>
          <w:sz w:val="24"/>
          <w:szCs w:val="24"/>
        </w:rPr>
        <w:t>Section 1 – Name</w:t>
      </w:r>
    </w:p>
    <w:p w14:paraId="545A0A6E" w14:textId="77777777" w:rsidR="001309EC" w:rsidRPr="0095666C" w:rsidRDefault="001309EC" w:rsidP="001309EC">
      <w:pPr>
        <w:shd w:val="clear" w:color="auto" w:fill="FFFFFF"/>
        <w:spacing w:after="100" w:afterAutospacing="1"/>
        <w:rPr>
          <w:rFonts w:ascii="Times New Roman" w:hAnsi="Times New Roman" w:cs="Times New Roman"/>
          <w:i/>
          <w:sz w:val="24"/>
          <w:szCs w:val="24"/>
        </w:rPr>
      </w:pPr>
      <w:r w:rsidRPr="0095666C">
        <w:rPr>
          <w:rFonts w:ascii="Times New Roman" w:hAnsi="Times New Roman" w:cs="Times New Roman"/>
          <w:sz w:val="24"/>
          <w:szCs w:val="24"/>
        </w:rPr>
        <w:t>Section 1 provides that the title of the instrument is the</w:t>
      </w:r>
      <w:r w:rsidRPr="0095666C">
        <w:rPr>
          <w:sz w:val="24"/>
          <w:szCs w:val="24"/>
        </w:rPr>
        <w:t xml:space="preserve"> </w:t>
      </w:r>
      <w:r w:rsidRPr="0095666C">
        <w:rPr>
          <w:rFonts w:ascii="Times New Roman" w:hAnsi="Times New Roman" w:cs="Times New Roman"/>
          <w:i/>
          <w:sz w:val="24"/>
          <w:szCs w:val="24"/>
        </w:rPr>
        <w:t>Privacy Amendment (</w:t>
      </w:r>
      <w:r>
        <w:rPr>
          <w:rFonts w:ascii="Times New Roman" w:hAnsi="Times New Roman" w:cs="Times New Roman"/>
          <w:i/>
          <w:sz w:val="24"/>
          <w:szCs w:val="24"/>
        </w:rPr>
        <w:t xml:space="preserve">Extension of </w:t>
      </w:r>
      <w:r w:rsidRPr="0095666C">
        <w:rPr>
          <w:rFonts w:ascii="Times New Roman" w:hAnsi="Times New Roman" w:cs="Times New Roman"/>
          <w:i/>
          <w:sz w:val="24"/>
          <w:szCs w:val="24"/>
        </w:rPr>
        <w:t>External Dispute Resolution Scheme</w:t>
      </w:r>
      <w:r>
        <w:rPr>
          <w:rFonts w:ascii="Times New Roman" w:hAnsi="Times New Roman" w:cs="Times New Roman"/>
          <w:i/>
          <w:sz w:val="24"/>
          <w:szCs w:val="24"/>
        </w:rPr>
        <w:t xml:space="preserve"> Exemption</w:t>
      </w:r>
      <w:r w:rsidRPr="0095666C">
        <w:rPr>
          <w:rFonts w:ascii="Times New Roman" w:hAnsi="Times New Roman" w:cs="Times New Roman"/>
          <w:i/>
          <w:sz w:val="24"/>
          <w:szCs w:val="24"/>
        </w:rPr>
        <w:t xml:space="preserve">) Regulations 2019.  </w:t>
      </w:r>
    </w:p>
    <w:p w14:paraId="1D4F0B6F" w14:textId="77777777" w:rsidR="001309EC" w:rsidRPr="0095666C" w:rsidRDefault="001309EC" w:rsidP="001309EC">
      <w:pPr>
        <w:spacing w:line="360" w:lineRule="auto"/>
        <w:rPr>
          <w:rFonts w:ascii="Times New Roman" w:hAnsi="Times New Roman" w:cs="Times New Roman"/>
          <w:b/>
          <w:sz w:val="24"/>
          <w:szCs w:val="24"/>
        </w:rPr>
      </w:pPr>
      <w:r w:rsidRPr="0095666C">
        <w:rPr>
          <w:rFonts w:ascii="Times New Roman" w:hAnsi="Times New Roman" w:cs="Times New Roman"/>
          <w:b/>
          <w:sz w:val="24"/>
          <w:szCs w:val="24"/>
        </w:rPr>
        <w:t>Section 2 – Commencement</w:t>
      </w:r>
    </w:p>
    <w:p w14:paraId="7C766342" w14:textId="5F2980C5" w:rsidR="001309EC" w:rsidRDefault="001309EC" w:rsidP="001309EC">
      <w:pPr>
        <w:shd w:val="clear" w:color="auto" w:fill="FFFFFF"/>
        <w:spacing w:after="100" w:afterAutospacing="1"/>
        <w:rPr>
          <w:rFonts w:ascii="Times New Roman" w:hAnsi="Times New Roman" w:cs="Times New Roman"/>
          <w:sz w:val="24"/>
          <w:szCs w:val="24"/>
        </w:rPr>
      </w:pPr>
      <w:r w:rsidRPr="0095666C">
        <w:rPr>
          <w:rFonts w:ascii="Times New Roman" w:hAnsi="Times New Roman" w:cs="Times New Roman"/>
          <w:sz w:val="24"/>
          <w:szCs w:val="24"/>
        </w:rPr>
        <w:t xml:space="preserve">Section 2 provides that the Regulations commence </w:t>
      </w:r>
      <w:r w:rsidR="004F51D9">
        <w:rPr>
          <w:rFonts w:ascii="Times New Roman" w:hAnsi="Times New Roman" w:cs="Times New Roman"/>
          <w:sz w:val="24"/>
          <w:szCs w:val="24"/>
        </w:rPr>
        <w:t>on 1 January 2020</w:t>
      </w:r>
      <w:r>
        <w:rPr>
          <w:rFonts w:ascii="Times New Roman" w:hAnsi="Times New Roman" w:cs="Times New Roman"/>
          <w:sz w:val="24"/>
          <w:szCs w:val="24"/>
        </w:rPr>
        <w:t>.</w:t>
      </w:r>
    </w:p>
    <w:p w14:paraId="64CAD52F" w14:textId="7B3A492F" w:rsidR="001309EC" w:rsidRPr="00997CAB" w:rsidRDefault="001309EC" w:rsidP="001309EC">
      <w:pPr>
        <w:shd w:val="clear" w:color="auto" w:fill="FFFFFF"/>
        <w:spacing w:after="100" w:afterAutospacing="1"/>
        <w:rPr>
          <w:rFonts w:ascii="Times New Roman" w:hAnsi="Times New Roman" w:cs="Times New Roman"/>
          <w:sz w:val="24"/>
          <w:szCs w:val="24"/>
        </w:rPr>
      </w:pPr>
      <w:r>
        <w:rPr>
          <w:rFonts w:ascii="Times New Roman" w:hAnsi="Times New Roman" w:cs="Times New Roman"/>
          <w:sz w:val="24"/>
          <w:szCs w:val="24"/>
        </w:rPr>
        <w:t xml:space="preserve">Subsection (1) </w:t>
      </w:r>
      <w:r w:rsidRPr="00997CAB">
        <w:rPr>
          <w:rFonts w:ascii="Times New Roman" w:hAnsi="Times New Roman" w:cs="Times New Roman"/>
          <w:sz w:val="24"/>
          <w:szCs w:val="24"/>
        </w:rPr>
        <w:t>provide</w:t>
      </w:r>
      <w:r>
        <w:rPr>
          <w:rFonts w:ascii="Times New Roman" w:hAnsi="Times New Roman" w:cs="Times New Roman"/>
          <w:sz w:val="24"/>
          <w:szCs w:val="24"/>
        </w:rPr>
        <w:t>s</w:t>
      </w:r>
      <w:r w:rsidRPr="00997CAB">
        <w:rPr>
          <w:rFonts w:ascii="Times New Roman" w:hAnsi="Times New Roman" w:cs="Times New Roman"/>
          <w:sz w:val="24"/>
          <w:szCs w:val="24"/>
        </w:rPr>
        <w:t xml:space="preserve"> that each provision of the instrument specified in column 1 of the table commences in accordance with column 2 of t</w:t>
      </w:r>
      <w:r>
        <w:rPr>
          <w:rFonts w:ascii="Times New Roman" w:hAnsi="Times New Roman" w:cs="Times New Roman"/>
          <w:sz w:val="24"/>
          <w:szCs w:val="24"/>
        </w:rPr>
        <w:t xml:space="preserve">he table. Columns 1 and 2 </w:t>
      </w:r>
      <w:r w:rsidRPr="00997CAB">
        <w:rPr>
          <w:rFonts w:ascii="Times New Roman" w:hAnsi="Times New Roman" w:cs="Times New Roman"/>
          <w:sz w:val="24"/>
          <w:szCs w:val="24"/>
        </w:rPr>
        <w:t xml:space="preserve">provide that the Regulations commence </w:t>
      </w:r>
      <w:r w:rsidR="00BC4AD1">
        <w:rPr>
          <w:rFonts w:ascii="Times New Roman" w:hAnsi="Times New Roman" w:cs="Times New Roman"/>
          <w:sz w:val="24"/>
          <w:szCs w:val="24"/>
        </w:rPr>
        <w:t>on 1 January 2020</w:t>
      </w:r>
      <w:r>
        <w:rPr>
          <w:rFonts w:ascii="Times New Roman" w:hAnsi="Times New Roman" w:cs="Times New Roman"/>
          <w:sz w:val="24"/>
          <w:szCs w:val="24"/>
        </w:rPr>
        <w:t>.</w:t>
      </w:r>
    </w:p>
    <w:p w14:paraId="54614FCE" w14:textId="77777777" w:rsidR="001309EC" w:rsidRPr="00997CAB" w:rsidRDefault="001309EC" w:rsidP="001309EC">
      <w:pPr>
        <w:shd w:val="clear" w:color="auto" w:fill="FFFFFF"/>
        <w:spacing w:after="100" w:afterAutospacing="1"/>
        <w:rPr>
          <w:rFonts w:ascii="Times New Roman" w:hAnsi="Times New Roman" w:cs="Times New Roman"/>
          <w:sz w:val="24"/>
          <w:szCs w:val="24"/>
        </w:rPr>
      </w:pPr>
      <w:r w:rsidRPr="00997CAB">
        <w:rPr>
          <w:rFonts w:ascii="Times New Roman" w:hAnsi="Times New Roman" w:cs="Times New Roman"/>
          <w:sz w:val="24"/>
          <w:szCs w:val="24"/>
        </w:rPr>
        <w:t xml:space="preserve">The note to subsection (1) </w:t>
      </w:r>
      <w:r>
        <w:rPr>
          <w:rFonts w:ascii="Times New Roman" w:hAnsi="Times New Roman" w:cs="Times New Roman"/>
          <w:sz w:val="24"/>
          <w:szCs w:val="24"/>
        </w:rPr>
        <w:t>clarifies</w:t>
      </w:r>
      <w:r w:rsidRPr="00997CAB">
        <w:rPr>
          <w:rFonts w:ascii="Times New Roman" w:hAnsi="Times New Roman" w:cs="Times New Roman"/>
          <w:sz w:val="24"/>
          <w:szCs w:val="24"/>
        </w:rPr>
        <w:t xml:space="preserve"> that the table only relates to the provisions of this instrument as originally made, and that it will not be amended to deal with any later amendments to the instrument. </w:t>
      </w:r>
    </w:p>
    <w:p w14:paraId="343F629C" w14:textId="0D78E4A7" w:rsidR="001309EC" w:rsidRPr="0095666C" w:rsidRDefault="001309EC" w:rsidP="001309EC">
      <w:pPr>
        <w:shd w:val="clear" w:color="auto" w:fill="FFFFFF"/>
        <w:spacing w:after="100" w:afterAutospacing="1"/>
        <w:rPr>
          <w:rFonts w:ascii="Times New Roman" w:hAnsi="Times New Roman" w:cs="Times New Roman"/>
          <w:sz w:val="24"/>
          <w:szCs w:val="24"/>
        </w:rPr>
      </w:pPr>
      <w:r w:rsidRPr="00997CAB">
        <w:rPr>
          <w:rFonts w:ascii="Times New Roman" w:hAnsi="Times New Roman" w:cs="Times New Roman"/>
          <w:sz w:val="24"/>
          <w:szCs w:val="24"/>
        </w:rPr>
        <w:t xml:space="preserve">Subsection (2) </w:t>
      </w:r>
      <w:r>
        <w:rPr>
          <w:rFonts w:ascii="Times New Roman" w:hAnsi="Times New Roman" w:cs="Times New Roman"/>
          <w:sz w:val="24"/>
          <w:szCs w:val="24"/>
        </w:rPr>
        <w:t>provides</w:t>
      </w:r>
      <w:r w:rsidRPr="00997CAB">
        <w:rPr>
          <w:rFonts w:ascii="Times New Roman" w:hAnsi="Times New Roman" w:cs="Times New Roman"/>
          <w:sz w:val="24"/>
          <w:szCs w:val="24"/>
        </w:rPr>
        <w:t xml:space="preserve"> that information in column 3 of the table is not part of the instrument. It is designed to assist readers, and may be updated or changed in any published version of the Regulations. </w:t>
      </w:r>
    </w:p>
    <w:p w14:paraId="7EB6CD2A" w14:textId="77777777" w:rsidR="001309EC" w:rsidRPr="0095666C" w:rsidRDefault="001309EC" w:rsidP="001309EC">
      <w:pPr>
        <w:spacing w:line="360" w:lineRule="auto"/>
        <w:rPr>
          <w:rFonts w:ascii="Times New Roman" w:hAnsi="Times New Roman" w:cs="Times New Roman"/>
          <w:b/>
          <w:sz w:val="24"/>
          <w:szCs w:val="24"/>
        </w:rPr>
      </w:pPr>
      <w:r w:rsidRPr="0095666C">
        <w:rPr>
          <w:rFonts w:ascii="Times New Roman" w:hAnsi="Times New Roman" w:cs="Times New Roman"/>
          <w:b/>
          <w:sz w:val="24"/>
          <w:szCs w:val="24"/>
        </w:rPr>
        <w:t>Section 3 – Authority</w:t>
      </w:r>
    </w:p>
    <w:p w14:paraId="45E9C3F0" w14:textId="77777777" w:rsidR="001309EC" w:rsidRPr="0095666C" w:rsidRDefault="001309EC" w:rsidP="002E23A6">
      <w:pPr>
        <w:shd w:val="clear" w:color="auto" w:fill="FFFFFF"/>
        <w:spacing w:after="100" w:afterAutospacing="1"/>
        <w:rPr>
          <w:rFonts w:ascii="Times New Roman" w:hAnsi="Times New Roman" w:cs="Times New Roman"/>
          <w:sz w:val="24"/>
          <w:szCs w:val="24"/>
        </w:rPr>
      </w:pPr>
      <w:r w:rsidRPr="0095666C">
        <w:rPr>
          <w:rFonts w:ascii="Times New Roman" w:hAnsi="Times New Roman" w:cs="Times New Roman"/>
          <w:sz w:val="24"/>
          <w:szCs w:val="24"/>
        </w:rPr>
        <w:t xml:space="preserve">Section 3 provides that the Regulations are made under the </w:t>
      </w:r>
      <w:r w:rsidRPr="0095666C">
        <w:rPr>
          <w:rFonts w:ascii="Times New Roman" w:hAnsi="Times New Roman" w:cs="Times New Roman"/>
          <w:i/>
          <w:sz w:val="24"/>
          <w:szCs w:val="24"/>
        </w:rPr>
        <w:t>Privacy Act 1988</w:t>
      </w:r>
      <w:r w:rsidRPr="0095666C">
        <w:rPr>
          <w:rFonts w:ascii="Times New Roman" w:hAnsi="Times New Roman" w:cs="Times New Roman"/>
          <w:sz w:val="24"/>
          <w:szCs w:val="24"/>
        </w:rPr>
        <w:t xml:space="preserve"> (Privacy Act).</w:t>
      </w:r>
    </w:p>
    <w:p w14:paraId="340E9572" w14:textId="77777777" w:rsidR="001309EC" w:rsidRPr="0095666C" w:rsidRDefault="001309EC" w:rsidP="001309EC">
      <w:pPr>
        <w:spacing w:line="360" w:lineRule="auto"/>
        <w:rPr>
          <w:rFonts w:ascii="Times New Roman" w:hAnsi="Times New Roman" w:cs="Times New Roman"/>
          <w:b/>
          <w:sz w:val="24"/>
          <w:szCs w:val="24"/>
        </w:rPr>
      </w:pPr>
      <w:r w:rsidRPr="0095666C">
        <w:rPr>
          <w:rFonts w:ascii="Times New Roman" w:hAnsi="Times New Roman" w:cs="Times New Roman"/>
          <w:b/>
          <w:sz w:val="24"/>
          <w:szCs w:val="24"/>
        </w:rPr>
        <w:t>Section 4 – Schedules</w:t>
      </w:r>
    </w:p>
    <w:p w14:paraId="2E88064A" w14:textId="77777777" w:rsidR="001309EC" w:rsidRDefault="001309EC" w:rsidP="002E23A6">
      <w:pPr>
        <w:shd w:val="clear" w:color="auto" w:fill="FFFFFF"/>
        <w:spacing w:after="100" w:afterAutospacing="1"/>
        <w:rPr>
          <w:rFonts w:ascii="Times New Roman" w:hAnsi="Times New Roman" w:cs="Times New Roman"/>
          <w:sz w:val="24"/>
          <w:szCs w:val="24"/>
        </w:rPr>
      </w:pPr>
      <w:r>
        <w:rPr>
          <w:rFonts w:ascii="Times New Roman" w:hAnsi="Times New Roman" w:cs="Times New Roman"/>
          <w:sz w:val="24"/>
          <w:szCs w:val="24"/>
        </w:rPr>
        <w:lastRenderedPageBreak/>
        <w:t xml:space="preserve">Section 4 </w:t>
      </w:r>
      <w:r w:rsidRPr="00997CAB">
        <w:rPr>
          <w:rFonts w:ascii="Times New Roman" w:hAnsi="Times New Roman" w:cs="Times New Roman"/>
          <w:sz w:val="24"/>
          <w:szCs w:val="24"/>
        </w:rPr>
        <w:t>provide</w:t>
      </w:r>
      <w:r>
        <w:rPr>
          <w:rFonts w:ascii="Times New Roman" w:hAnsi="Times New Roman" w:cs="Times New Roman"/>
          <w:sz w:val="24"/>
          <w:szCs w:val="24"/>
        </w:rPr>
        <w:t>s</w:t>
      </w:r>
      <w:r w:rsidRPr="00997CAB">
        <w:rPr>
          <w:rFonts w:ascii="Times New Roman" w:hAnsi="Times New Roman" w:cs="Times New Roman"/>
          <w:sz w:val="24"/>
          <w:szCs w:val="24"/>
        </w:rPr>
        <w:t xml:space="preserve"> that each instrument that is specified in Schedule 1 to this instrument is amended or repealed as set out in the applicable items in the Schedule concerned, and any other item in that Schedule has effect according to its terms. </w:t>
      </w:r>
    </w:p>
    <w:p w14:paraId="3366107D" w14:textId="77777777" w:rsidR="001309EC" w:rsidRDefault="001309EC" w:rsidP="001309E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D934973" w14:textId="77777777" w:rsidR="001309EC" w:rsidRPr="0095666C" w:rsidRDefault="001309EC" w:rsidP="001309EC">
      <w:pPr>
        <w:rPr>
          <w:rFonts w:ascii="Times New Roman" w:hAnsi="Times New Roman" w:cs="Times New Roman"/>
          <w:b/>
          <w:sz w:val="24"/>
          <w:szCs w:val="24"/>
          <w:u w:val="single"/>
        </w:rPr>
      </w:pPr>
      <w:r w:rsidRPr="0095666C">
        <w:rPr>
          <w:rFonts w:ascii="Times New Roman" w:hAnsi="Times New Roman" w:cs="Times New Roman"/>
          <w:b/>
          <w:sz w:val="24"/>
          <w:szCs w:val="24"/>
          <w:u w:val="single"/>
        </w:rPr>
        <w:lastRenderedPageBreak/>
        <w:t>SCHEDULE 1 – Amendments</w:t>
      </w:r>
    </w:p>
    <w:p w14:paraId="4675A9E7" w14:textId="77777777" w:rsidR="001309EC" w:rsidRPr="006744B9" w:rsidRDefault="001309EC" w:rsidP="001309EC">
      <w:pPr>
        <w:shd w:val="clear" w:color="auto" w:fill="FFFFFF"/>
        <w:spacing w:after="100" w:afterAutospacing="1"/>
        <w:rPr>
          <w:rFonts w:ascii="Times New Roman" w:hAnsi="Times New Roman" w:cs="Times New Roman"/>
          <w:sz w:val="24"/>
          <w:szCs w:val="24"/>
          <w:u w:val="single"/>
        </w:rPr>
      </w:pPr>
      <w:r w:rsidRPr="006744B9">
        <w:rPr>
          <w:rFonts w:ascii="Times New Roman" w:hAnsi="Times New Roman" w:cs="Times New Roman"/>
          <w:sz w:val="24"/>
          <w:szCs w:val="24"/>
          <w:u w:val="single"/>
        </w:rPr>
        <w:t>Item 1</w:t>
      </w:r>
    </w:p>
    <w:p w14:paraId="2B03D6C4" w14:textId="54EE8C11" w:rsidR="001309EC" w:rsidRPr="0095666C" w:rsidRDefault="001309EC" w:rsidP="001309EC">
      <w:pPr>
        <w:shd w:val="clear" w:color="auto" w:fill="FFFFFF"/>
        <w:spacing w:after="100" w:afterAutospacing="1"/>
        <w:rPr>
          <w:rFonts w:ascii="Times New Roman" w:hAnsi="Times New Roman" w:cs="Times New Roman"/>
          <w:sz w:val="24"/>
          <w:szCs w:val="24"/>
        </w:rPr>
      </w:pPr>
      <w:r w:rsidRPr="0095666C">
        <w:rPr>
          <w:rFonts w:ascii="Times New Roman" w:hAnsi="Times New Roman" w:cs="Times New Roman"/>
          <w:sz w:val="24"/>
          <w:szCs w:val="24"/>
        </w:rPr>
        <w:t xml:space="preserve">Item 1 </w:t>
      </w:r>
      <w:r w:rsidR="002E23A6">
        <w:rPr>
          <w:rFonts w:ascii="Times New Roman" w:hAnsi="Times New Roman" w:cs="Times New Roman"/>
          <w:sz w:val="24"/>
          <w:szCs w:val="24"/>
        </w:rPr>
        <w:t xml:space="preserve">repeals and replaces previous </w:t>
      </w:r>
      <w:r w:rsidRPr="0095666C">
        <w:rPr>
          <w:rFonts w:ascii="Times New Roman" w:hAnsi="Times New Roman" w:cs="Times New Roman"/>
          <w:sz w:val="24"/>
          <w:szCs w:val="24"/>
        </w:rPr>
        <w:t>section 14B</w:t>
      </w:r>
      <w:r>
        <w:rPr>
          <w:rFonts w:ascii="Times New Roman" w:hAnsi="Times New Roman" w:cs="Times New Roman"/>
          <w:sz w:val="24"/>
          <w:szCs w:val="24"/>
        </w:rPr>
        <w:t xml:space="preserve"> in the </w:t>
      </w:r>
      <w:r>
        <w:rPr>
          <w:rFonts w:ascii="Times New Roman" w:hAnsi="Times New Roman" w:cs="Times New Roman"/>
          <w:i/>
          <w:sz w:val="24"/>
          <w:szCs w:val="24"/>
        </w:rPr>
        <w:t>Privacy Regulation 2013</w:t>
      </w:r>
      <w:r w:rsidRPr="0095666C">
        <w:rPr>
          <w:rFonts w:ascii="Times New Roman" w:hAnsi="Times New Roman" w:cs="Times New Roman"/>
          <w:sz w:val="24"/>
          <w:szCs w:val="24"/>
        </w:rPr>
        <w:t>. S</w:t>
      </w:r>
      <w:r w:rsidR="002E23A6">
        <w:rPr>
          <w:rFonts w:ascii="Times New Roman" w:hAnsi="Times New Roman" w:cs="Times New Roman"/>
          <w:sz w:val="24"/>
          <w:szCs w:val="24"/>
        </w:rPr>
        <w:t>ubs</w:t>
      </w:r>
      <w:r w:rsidRPr="0095666C">
        <w:rPr>
          <w:rFonts w:ascii="Times New Roman" w:hAnsi="Times New Roman" w:cs="Times New Roman"/>
          <w:sz w:val="24"/>
          <w:szCs w:val="24"/>
        </w:rPr>
        <w:t>ection 14B(1) states that entities that engage in the</w:t>
      </w:r>
      <w:r>
        <w:rPr>
          <w:rFonts w:ascii="Times New Roman" w:hAnsi="Times New Roman" w:cs="Times New Roman"/>
          <w:sz w:val="24"/>
          <w:szCs w:val="24"/>
        </w:rPr>
        <w:t xml:space="preserve"> retail</w:t>
      </w:r>
      <w:r w:rsidRPr="0095666C">
        <w:rPr>
          <w:rFonts w:ascii="Times New Roman" w:hAnsi="Times New Roman" w:cs="Times New Roman"/>
          <w:sz w:val="24"/>
          <w:szCs w:val="24"/>
        </w:rPr>
        <w:t xml:space="preserve"> sale of electricity, gas, water, sewerage or draining services in the Australian Capital Territory are prescribed credit providers for the purposes of sub</w:t>
      </w:r>
      <w:r>
        <w:rPr>
          <w:rFonts w:ascii="Times New Roman" w:hAnsi="Times New Roman" w:cs="Times New Roman"/>
          <w:sz w:val="24"/>
          <w:szCs w:val="24"/>
        </w:rPr>
        <w:t xml:space="preserve">paragraph </w:t>
      </w:r>
      <w:r w:rsidRPr="0095666C">
        <w:rPr>
          <w:rFonts w:ascii="Times New Roman" w:hAnsi="Times New Roman" w:cs="Times New Roman"/>
          <w:sz w:val="24"/>
          <w:szCs w:val="24"/>
        </w:rPr>
        <w:t>21D(</w:t>
      </w:r>
      <w:r w:rsidR="006E79DE">
        <w:rPr>
          <w:rFonts w:ascii="Times New Roman" w:hAnsi="Times New Roman" w:cs="Times New Roman"/>
          <w:sz w:val="24"/>
          <w:szCs w:val="24"/>
        </w:rPr>
        <w:t xml:space="preserve">2)(a)(i) of the Privacy Act </w:t>
      </w:r>
      <w:r>
        <w:rPr>
          <w:rFonts w:ascii="Times New Roman" w:hAnsi="Times New Roman" w:cs="Times New Roman"/>
          <w:sz w:val="24"/>
          <w:szCs w:val="24"/>
        </w:rPr>
        <w:t>beginning on 1</w:t>
      </w:r>
      <w:r w:rsidR="002E23A6">
        <w:rPr>
          <w:rFonts w:ascii="Times New Roman" w:hAnsi="Times New Roman" w:cs="Times New Roman"/>
          <w:sz w:val="24"/>
          <w:szCs w:val="24"/>
        </w:rPr>
        <w:t> </w:t>
      </w:r>
      <w:r w:rsidRPr="0095666C">
        <w:rPr>
          <w:rFonts w:ascii="Times New Roman" w:hAnsi="Times New Roman" w:cs="Times New Roman"/>
          <w:sz w:val="24"/>
          <w:szCs w:val="24"/>
        </w:rPr>
        <w:t xml:space="preserve">January </w:t>
      </w:r>
      <w:r w:rsidR="006E79DE">
        <w:rPr>
          <w:rFonts w:ascii="Times New Roman" w:hAnsi="Times New Roman" w:cs="Times New Roman"/>
          <w:sz w:val="24"/>
          <w:szCs w:val="24"/>
        </w:rPr>
        <w:t>20</w:t>
      </w:r>
      <w:r w:rsidR="00BC4AD1">
        <w:rPr>
          <w:rFonts w:ascii="Times New Roman" w:hAnsi="Times New Roman" w:cs="Times New Roman"/>
          <w:sz w:val="24"/>
          <w:szCs w:val="24"/>
        </w:rPr>
        <w:t>20</w:t>
      </w:r>
      <w:r w:rsidR="002E23A6">
        <w:rPr>
          <w:rFonts w:ascii="Times New Roman" w:hAnsi="Times New Roman" w:cs="Times New Roman"/>
          <w:sz w:val="24"/>
          <w:szCs w:val="24"/>
        </w:rPr>
        <w:t xml:space="preserve"> and ending on 31 December 2021</w:t>
      </w:r>
      <w:r w:rsidRPr="0095666C">
        <w:rPr>
          <w:rFonts w:ascii="Times New Roman" w:hAnsi="Times New Roman" w:cs="Times New Roman"/>
          <w:sz w:val="24"/>
          <w:szCs w:val="24"/>
        </w:rPr>
        <w:t xml:space="preserve">. </w:t>
      </w:r>
    </w:p>
    <w:p w14:paraId="4D52DA7E" w14:textId="0C6CBE7F" w:rsidR="001309EC" w:rsidRPr="0095666C" w:rsidRDefault="001309EC" w:rsidP="001309EC">
      <w:pPr>
        <w:shd w:val="clear" w:color="auto" w:fill="FFFFFF"/>
        <w:spacing w:after="100" w:afterAutospacing="1"/>
        <w:rPr>
          <w:rFonts w:ascii="Times New Roman" w:hAnsi="Times New Roman" w:cs="Times New Roman"/>
          <w:sz w:val="24"/>
          <w:szCs w:val="24"/>
        </w:rPr>
      </w:pPr>
      <w:r w:rsidRPr="0095666C">
        <w:rPr>
          <w:rFonts w:ascii="Times New Roman" w:hAnsi="Times New Roman" w:cs="Times New Roman"/>
          <w:sz w:val="24"/>
          <w:szCs w:val="24"/>
        </w:rPr>
        <w:t>S</w:t>
      </w:r>
      <w:r w:rsidR="002E23A6">
        <w:rPr>
          <w:rFonts w:ascii="Times New Roman" w:hAnsi="Times New Roman" w:cs="Times New Roman"/>
          <w:sz w:val="24"/>
          <w:szCs w:val="24"/>
        </w:rPr>
        <w:t>ubs</w:t>
      </w:r>
      <w:r w:rsidRPr="0095666C">
        <w:rPr>
          <w:rFonts w:ascii="Times New Roman" w:hAnsi="Times New Roman" w:cs="Times New Roman"/>
          <w:sz w:val="24"/>
          <w:szCs w:val="24"/>
        </w:rPr>
        <w:t>ection 14B(2) provides that section</w:t>
      </w:r>
      <w:r w:rsidR="006E79DE">
        <w:rPr>
          <w:rFonts w:ascii="Times New Roman" w:hAnsi="Times New Roman" w:cs="Times New Roman"/>
          <w:sz w:val="24"/>
          <w:szCs w:val="24"/>
        </w:rPr>
        <w:t xml:space="preserve"> 14B is repealed at the </w:t>
      </w:r>
      <w:r w:rsidR="002E23A6">
        <w:rPr>
          <w:rFonts w:ascii="Times New Roman" w:hAnsi="Times New Roman" w:cs="Times New Roman"/>
          <w:sz w:val="24"/>
          <w:szCs w:val="24"/>
        </w:rPr>
        <w:t>start of 1 January 2022</w:t>
      </w:r>
      <w:r w:rsidRPr="0095666C">
        <w:rPr>
          <w:rFonts w:ascii="Times New Roman" w:hAnsi="Times New Roman" w:cs="Times New Roman"/>
          <w:sz w:val="24"/>
          <w:szCs w:val="24"/>
        </w:rPr>
        <w:t xml:space="preserve">. </w:t>
      </w:r>
    </w:p>
    <w:p w14:paraId="7E9503F0" w14:textId="77777777" w:rsidR="001309EC" w:rsidRPr="0095666C" w:rsidRDefault="001309EC" w:rsidP="001309EC">
      <w:pPr>
        <w:rPr>
          <w:rFonts w:ascii="Times New Roman" w:hAnsi="Times New Roman" w:cs="Times New Roman"/>
          <w:color w:val="FF0000"/>
          <w:sz w:val="24"/>
          <w:szCs w:val="24"/>
        </w:rPr>
      </w:pPr>
      <w:r w:rsidRPr="0095666C">
        <w:rPr>
          <w:rFonts w:ascii="Times New Roman" w:hAnsi="Times New Roman" w:cs="Times New Roman"/>
          <w:color w:val="FF0000"/>
          <w:sz w:val="24"/>
          <w:szCs w:val="24"/>
        </w:rPr>
        <w:br w:type="page"/>
      </w:r>
    </w:p>
    <w:p w14:paraId="35C50B2B" w14:textId="77777777" w:rsidR="001309EC" w:rsidRPr="0095666C" w:rsidRDefault="001309EC" w:rsidP="001309EC">
      <w:pPr>
        <w:spacing w:line="360" w:lineRule="auto"/>
        <w:jc w:val="right"/>
        <w:rPr>
          <w:rFonts w:ascii="Times New Roman" w:hAnsi="Times New Roman" w:cs="Times New Roman"/>
          <w:b/>
          <w:sz w:val="24"/>
          <w:szCs w:val="24"/>
        </w:rPr>
      </w:pPr>
      <w:r w:rsidRPr="0095666C">
        <w:rPr>
          <w:rFonts w:ascii="Times New Roman" w:hAnsi="Times New Roman" w:cs="Times New Roman"/>
          <w:b/>
          <w:sz w:val="24"/>
          <w:szCs w:val="24"/>
        </w:rPr>
        <w:lastRenderedPageBreak/>
        <w:t>Attachment B</w:t>
      </w:r>
    </w:p>
    <w:p w14:paraId="634A498F" w14:textId="77777777" w:rsidR="001309EC" w:rsidRPr="0095666C" w:rsidRDefault="001309EC" w:rsidP="001309EC">
      <w:pPr>
        <w:shd w:val="clear" w:color="auto" w:fill="FFFFFF"/>
        <w:spacing w:after="100" w:afterAutospacing="1"/>
        <w:jc w:val="center"/>
        <w:rPr>
          <w:rFonts w:ascii="Times New Roman" w:hAnsi="Times New Roman" w:cs="Times New Roman"/>
          <w:sz w:val="24"/>
          <w:szCs w:val="24"/>
          <w:lang w:val="en-US"/>
        </w:rPr>
      </w:pPr>
      <w:r w:rsidRPr="0095666C">
        <w:rPr>
          <w:rFonts w:ascii="Times New Roman" w:hAnsi="Times New Roman" w:cs="Times New Roman"/>
          <w:b/>
          <w:bCs/>
          <w:sz w:val="24"/>
          <w:szCs w:val="24"/>
        </w:rPr>
        <w:t>Statement of Compatibility with Human Rights</w:t>
      </w:r>
    </w:p>
    <w:p w14:paraId="33F4E418" w14:textId="77777777" w:rsidR="001309EC" w:rsidRPr="0095666C" w:rsidRDefault="001309EC" w:rsidP="001309EC">
      <w:pPr>
        <w:shd w:val="clear" w:color="auto" w:fill="FFFFFF"/>
        <w:spacing w:after="100" w:afterAutospacing="1"/>
        <w:jc w:val="center"/>
        <w:rPr>
          <w:rFonts w:ascii="Times New Roman" w:hAnsi="Times New Roman" w:cs="Times New Roman"/>
          <w:sz w:val="24"/>
          <w:szCs w:val="24"/>
          <w:lang w:val="en-US"/>
        </w:rPr>
      </w:pPr>
      <w:r w:rsidRPr="0095666C">
        <w:rPr>
          <w:rFonts w:ascii="Times New Roman" w:hAnsi="Times New Roman" w:cs="Times New Roman"/>
          <w:sz w:val="24"/>
          <w:szCs w:val="24"/>
        </w:rPr>
        <w:t>Prepared in accordance with Part 3 of the</w:t>
      </w:r>
      <w:r w:rsidRPr="0095666C">
        <w:rPr>
          <w:rFonts w:ascii="Times New Roman" w:hAnsi="Times New Roman" w:cs="Times New Roman"/>
          <w:i/>
          <w:iCs/>
          <w:sz w:val="24"/>
          <w:szCs w:val="24"/>
        </w:rPr>
        <w:t xml:space="preserve"> Human Rights (Parliamentary Scrutiny) Act 2011</w:t>
      </w:r>
    </w:p>
    <w:p w14:paraId="54DF2AD5" w14:textId="77777777" w:rsidR="001309EC" w:rsidRPr="0095666C" w:rsidRDefault="001309EC" w:rsidP="001309EC">
      <w:pPr>
        <w:shd w:val="clear" w:color="auto" w:fill="FFFFFF"/>
        <w:spacing w:after="100" w:afterAutospacing="1"/>
        <w:jc w:val="center"/>
        <w:rPr>
          <w:rFonts w:ascii="Times New Roman" w:hAnsi="Times New Roman" w:cs="Times New Roman"/>
          <w:sz w:val="24"/>
          <w:szCs w:val="24"/>
          <w:lang w:val="en-US"/>
        </w:rPr>
      </w:pPr>
      <w:r w:rsidRPr="0095666C">
        <w:rPr>
          <w:rFonts w:ascii="Times New Roman" w:hAnsi="Times New Roman" w:cs="Times New Roman"/>
          <w:b/>
          <w:bCs/>
          <w:sz w:val="24"/>
          <w:szCs w:val="24"/>
        </w:rPr>
        <w:t>Privacy Regulation 2013</w:t>
      </w:r>
    </w:p>
    <w:p w14:paraId="107B1D7A" w14:textId="77777777" w:rsidR="001309EC" w:rsidRPr="0095666C" w:rsidRDefault="001309EC" w:rsidP="001309EC">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5666C">
        <w:rPr>
          <w:rFonts w:ascii="Times New Roman" w:hAnsi="Times New Roman" w:cs="Times New Roman"/>
          <w:i/>
          <w:iCs/>
          <w:sz w:val="24"/>
          <w:szCs w:val="24"/>
        </w:rPr>
        <w:t>Human Rights (Parliamentary Scrutiny) Act 2011</w:t>
      </w:r>
      <w:r w:rsidRPr="0095666C">
        <w:rPr>
          <w:rFonts w:ascii="Times New Roman" w:hAnsi="Times New Roman" w:cs="Times New Roman"/>
          <w:sz w:val="24"/>
          <w:szCs w:val="24"/>
        </w:rPr>
        <w:t xml:space="preserve">. </w:t>
      </w:r>
    </w:p>
    <w:p w14:paraId="5E267A9B" w14:textId="77777777" w:rsidR="001309EC" w:rsidRPr="0095666C" w:rsidRDefault="001309EC" w:rsidP="001309EC">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b/>
          <w:bCs/>
          <w:sz w:val="24"/>
          <w:szCs w:val="24"/>
        </w:rPr>
        <w:t>Overview of the Legislative Instrument</w:t>
      </w:r>
    </w:p>
    <w:p w14:paraId="053A6960" w14:textId="25FDEB44" w:rsidR="001309EC" w:rsidRPr="0095666C" w:rsidRDefault="001309EC" w:rsidP="001309EC">
      <w:pPr>
        <w:shd w:val="clear" w:color="auto" w:fill="FFFFFF"/>
        <w:spacing w:after="100" w:afterAutospacing="1"/>
        <w:rPr>
          <w:rFonts w:ascii="Times New Roman" w:hAnsi="Times New Roman" w:cs="Times New Roman"/>
          <w:iCs/>
          <w:sz w:val="24"/>
          <w:szCs w:val="24"/>
        </w:rPr>
      </w:pPr>
      <w:r w:rsidRPr="0095666C">
        <w:rPr>
          <w:rFonts w:ascii="Times New Roman" w:hAnsi="Times New Roman" w:cs="Times New Roman"/>
          <w:sz w:val="24"/>
          <w:szCs w:val="24"/>
        </w:rPr>
        <w:t xml:space="preserve">The </w:t>
      </w:r>
      <w:r w:rsidRPr="0095666C">
        <w:rPr>
          <w:rFonts w:ascii="Times New Roman" w:hAnsi="Times New Roman" w:cs="Times New Roman"/>
          <w:i/>
          <w:sz w:val="24"/>
          <w:szCs w:val="24"/>
        </w:rPr>
        <w:t>Privacy Amendment (</w:t>
      </w:r>
      <w:r>
        <w:rPr>
          <w:rFonts w:ascii="Times New Roman" w:hAnsi="Times New Roman" w:cs="Times New Roman"/>
          <w:i/>
          <w:sz w:val="24"/>
          <w:szCs w:val="24"/>
        </w:rPr>
        <w:t xml:space="preserve">Extension of </w:t>
      </w:r>
      <w:r w:rsidRPr="0095666C">
        <w:rPr>
          <w:rFonts w:ascii="Times New Roman" w:hAnsi="Times New Roman" w:cs="Times New Roman"/>
          <w:i/>
          <w:sz w:val="24"/>
          <w:szCs w:val="24"/>
        </w:rPr>
        <w:t>External Dispute Resolution Scheme</w:t>
      </w:r>
      <w:r>
        <w:rPr>
          <w:rFonts w:ascii="Times New Roman" w:hAnsi="Times New Roman" w:cs="Times New Roman"/>
          <w:i/>
          <w:sz w:val="24"/>
          <w:szCs w:val="24"/>
        </w:rPr>
        <w:t xml:space="preserve"> Exemption</w:t>
      </w:r>
      <w:r w:rsidRPr="0095666C">
        <w:rPr>
          <w:rFonts w:ascii="Times New Roman" w:hAnsi="Times New Roman" w:cs="Times New Roman"/>
          <w:i/>
          <w:sz w:val="24"/>
          <w:szCs w:val="24"/>
        </w:rPr>
        <w:t xml:space="preserve">) Regulations 2019 </w:t>
      </w:r>
      <w:r w:rsidRPr="0095666C">
        <w:rPr>
          <w:rFonts w:ascii="Times New Roman" w:hAnsi="Times New Roman" w:cs="Times New Roman"/>
          <w:sz w:val="24"/>
          <w:szCs w:val="24"/>
        </w:rPr>
        <w:t xml:space="preserve">(the </w:t>
      </w:r>
      <w:r w:rsidR="004950DC">
        <w:rPr>
          <w:rFonts w:ascii="Times New Roman" w:hAnsi="Times New Roman" w:cs="Times New Roman"/>
          <w:sz w:val="24"/>
          <w:szCs w:val="24"/>
        </w:rPr>
        <w:t xml:space="preserve">new </w:t>
      </w:r>
      <w:r w:rsidRPr="0095666C">
        <w:rPr>
          <w:rFonts w:ascii="Times New Roman" w:hAnsi="Times New Roman" w:cs="Times New Roman"/>
          <w:sz w:val="24"/>
          <w:szCs w:val="24"/>
        </w:rPr>
        <w:t xml:space="preserve">Regulations) amend the </w:t>
      </w:r>
      <w:r w:rsidRPr="0095666C">
        <w:rPr>
          <w:rFonts w:ascii="Times New Roman" w:hAnsi="Times New Roman" w:cs="Times New Roman"/>
          <w:i/>
          <w:iCs/>
          <w:sz w:val="24"/>
          <w:szCs w:val="24"/>
        </w:rPr>
        <w:t xml:space="preserve">Privacy Regulation 2013 </w:t>
      </w:r>
      <w:r w:rsidRPr="0095666C">
        <w:rPr>
          <w:rFonts w:ascii="Times New Roman" w:hAnsi="Times New Roman" w:cs="Times New Roman"/>
          <w:iCs/>
          <w:sz w:val="24"/>
          <w:szCs w:val="24"/>
        </w:rPr>
        <w:t xml:space="preserve">to extend, until </w:t>
      </w:r>
      <w:r w:rsidR="00E35B6B">
        <w:rPr>
          <w:rFonts w:ascii="Times New Roman" w:hAnsi="Times New Roman" w:cs="Times New Roman"/>
          <w:iCs/>
          <w:sz w:val="24"/>
          <w:szCs w:val="24"/>
        </w:rPr>
        <w:t>31 December 2021</w:t>
      </w:r>
      <w:r w:rsidRPr="0095666C">
        <w:rPr>
          <w:rFonts w:ascii="Times New Roman" w:hAnsi="Times New Roman" w:cs="Times New Roman"/>
          <w:iCs/>
          <w:sz w:val="24"/>
          <w:szCs w:val="24"/>
        </w:rPr>
        <w:t xml:space="preserve">, the exemption of energy and water utilities in the Australian Capital Territory from the requirement to be a </w:t>
      </w:r>
      <w:r>
        <w:rPr>
          <w:rFonts w:ascii="Times New Roman" w:hAnsi="Times New Roman" w:cs="Times New Roman"/>
          <w:iCs/>
          <w:sz w:val="24"/>
          <w:szCs w:val="24"/>
        </w:rPr>
        <w:t xml:space="preserve">‘member’ </w:t>
      </w:r>
      <w:r w:rsidRPr="0095666C">
        <w:rPr>
          <w:rFonts w:ascii="Times New Roman" w:hAnsi="Times New Roman" w:cs="Times New Roman"/>
          <w:iCs/>
          <w:sz w:val="24"/>
          <w:szCs w:val="24"/>
        </w:rPr>
        <w:t xml:space="preserve">of a recognised external dispute resolution (EDR) scheme in order to </w:t>
      </w:r>
      <w:r>
        <w:rPr>
          <w:rFonts w:ascii="Times New Roman" w:hAnsi="Times New Roman" w:cs="Times New Roman"/>
          <w:iCs/>
          <w:sz w:val="24"/>
          <w:szCs w:val="24"/>
        </w:rPr>
        <w:t xml:space="preserve">participate in </w:t>
      </w:r>
      <w:r w:rsidRPr="0095666C">
        <w:rPr>
          <w:rFonts w:ascii="Times New Roman" w:hAnsi="Times New Roman" w:cs="Times New Roman"/>
          <w:iCs/>
          <w:sz w:val="24"/>
          <w:szCs w:val="24"/>
        </w:rPr>
        <w:t xml:space="preserve">the credit reporting system regulated by the </w:t>
      </w:r>
      <w:r w:rsidRPr="0095666C">
        <w:rPr>
          <w:rFonts w:ascii="Times New Roman" w:hAnsi="Times New Roman" w:cs="Times New Roman"/>
          <w:i/>
          <w:iCs/>
          <w:sz w:val="24"/>
          <w:szCs w:val="24"/>
        </w:rPr>
        <w:t xml:space="preserve">Privacy Act 1988 </w:t>
      </w:r>
      <w:r w:rsidRPr="0095666C">
        <w:rPr>
          <w:rFonts w:ascii="Times New Roman" w:hAnsi="Times New Roman" w:cs="Times New Roman"/>
          <w:iCs/>
          <w:sz w:val="24"/>
          <w:szCs w:val="24"/>
        </w:rPr>
        <w:t xml:space="preserve">(Privacy Act). </w:t>
      </w:r>
    </w:p>
    <w:p w14:paraId="2CE92BEB" w14:textId="77777777" w:rsidR="001309EC" w:rsidRPr="0095666C" w:rsidRDefault="001309EC" w:rsidP="001309EC">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b/>
          <w:bCs/>
          <w:sz w:val="24"/>
          <w:szCs w:val="24"/>
        </w:rPr>
        <w:t>Human rights implications</w:t>
      </w:r>
    </w:p>
    <w:p w14:paraId="08469803" w14:textId="77777777" w:rsidR="001309EC" w:rsidRPr="0095666C" w:rsidRDefault="001309EC" w:rsidP="001309EC">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sz w:val="24"/>
          <w:szCs w:val="24"/>
        </w:rPr>
        <w:t xml:space="preserve">This Legislative Instrument engages the right to the protection against arbitrary interference with privacy, protected in Article 17 of the </w:t>
      </w:r>
      <w:r w:rsidRPr="0095666C">
        <w:rPr>
          <w:rFonts w:ascii="Times New Roman" w:hAnsi="Times New Roman" w:cs="Times New Roman"/>
          <w:i/>
          <w:sz w:val="24"/>
          <w:szCs w:val="24"/>
        </w:rPr>
        <w:t>International Covenant on Civil and Political Rights</w:t>
      </w:r>
      <w:r w:rsidRPr="0095666C">
        <w:rPr>
          <w:rFonts w:ascii="Times New Roman" w:hAnsi="Times New Roman" w:cs="Times New Roman"/>
          <w:sz w:val="24"/>
          <w:szCs w:val="24"/>
        </w:rPr>
        <w:t xml:space="preserve"> (ICCPR).  The right to privacy in Article 17 of the ICCPR prohibits unlawful or arbitrary interferences with a person’s privacy, family, home and correspondence.  In order for an interference with a right not to be ‘arbitrary’, the interference must be for a reason consistent with the relevant Convention and reasonable in the particular circumstances.</w:t>
      </w:r>
    </w:p>
    <w:p w14:paraId="17426310" w14:textId="77777777" w:rsidR="001309EC" w:rsidRPr="00736064" w:rsidRDefault="001309EC" w:rsidP="001309EC">
      <w:pPr>
        <w:keepLines/>
        <w:ind w:right="91"/>
        <w:rPr>
          <w:rFonts w:ascii="Times New Roman" w:hAnsi="Times New Roman" w:cs="Times New Roman"/>
          <w:sz w:val="24"/>
          <w:szCs w:val="24"/>
        </w:rPr>
      </w:pPr>
      <w:r w:rsidRPr="00736064">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new </w:t>
      </w:r>
      <w:r w:rsidRPr="00736064">
        <w:rPr>
          <w:rFonts w:ascii="Times New Roman" w:hAnsi="Times New Roman" w:cs="Times New Roman"/>
          <w:sz w:val="24"/>
          <w:szCs w:val="24"/>
        </w:rPr>
        <w:t xml:space="preserve">Regulations </w:t>
      </w:r>
      <w:r>
        <w:rPr>
          <w:rFonts w:ascii="Times New Roman" w:hAnsi="Times New Roman" w:cs="Times New Roman"/>
          <w:sz w:val="24"/>
          <w:szCs w:val="24"/>
        </w:rPr>
        <w:t>relate to</w:t>
      </w:r>
      <w:r w:rsidRPr="00736064">
        <w:rPr>
          <w:rFonts w:ascii="Times New Roman" w:hAnsi="Times New Roman" w:cs="Times New Roman"/>
          <w:sz w:val="24"/>
          <w:szCs w:val="24"/>
        </w:rPr>
        <w:t xml:space="preserve"> the use and disclosure of credit information, which is personal information. The Regulations ensure that consumers within the Australian Capital Territory are not disadvantaged simply due to the A</w:t>
      </w:r>
      <w:r>
        <w:rPr>
          <w:rFonts w:ascii="Times New Roman" w:hAnsi="Times New Roman" w:cs="Times New Roman"/>
          <w:sz w:val="24"/>
          <w:szCs w:val="24"/>
        </w:rPr>
        <w:t xml:space="preserve">CAT </w:t>
      </w:r>
      <w:r w:rsidRPr="00736064">
        <w:rPr>
          <w:rFonts w:ascii="Times New Roman" w:hAnsi="Times New Roman" w:cs="Times New Roman"/>
          <w:sz w:val="24"/>
          <w:szCs w:val="24"/>
        </w:rPr>
        <w:t>not being an EDR scheme</w:t>
      </w:r>
      <w:r>
        <w:rPr>
          <w:rFonts w:ascii="Times New Roman" w:hAnsi="Times New Roman" w:cs="Times New Roman"/>
          <w:sz w:val="24"/>
          <w:szCs w:val="24"/>
        </w:rPr>
        <w:t xml:space="preserve"> with a strict ‘membership’ structure as contemplated by the Privacy Act</w:t>
      </w:r>
      <w:r w:rsidRPr="00736064">
        <w:rPr>
          <w:rFonts w:ascii="Times New Roman" w:hAnsi="Times New Roman" w:cs="Times New Roman"/>
          <w:sz w:val="24"/>
          <w:szCs w:val="24"/>
        </w:rPr>
        <w:t>. The prescription is limited to utilities operating in the Australian Capital Territory</w:t>
      </w:r>
      <w:r>
        <w:rPr>
          <w:rFonts w:ascii="Times New Roman" w:hAnsi="Times New Roman" w:cs="Times New Roman"/>
          <w:sz w:val="24"/>
          <w:szCs w:val="24"/>
        </w:rPr>
        <w:t>, where individuals are still able to make privacy complaints to an equivalent EDR scheme: the ACAT</w:t>
      </w:r>
      <w:r w:rsidRPr="00736064">
        <w:rPr>
          <w:rFonts w:ascii="Times New Roman" w:hAnsi="Times New Roman" w:cs="Times New Roman"/>
          <w:sz w:val="24"/>
          <w:szCs w:val="24"/>
        </w:rPr>
        <w:t>. The measures are time limited, reasonable, necessary and proportionate as they ensure that a discrete subset of personal data is used for the purpose of providing essential services to Australians.  These are legitimate objectives consistent with the Privacy Act.</w:t>
      </w:r>
    </w:p>
    <w:p w14:paraId="68DF2A96" w14:textId="77777777" w:rsidR="001309EC" w:rsidRPr="0095666C" w:rsidRDefault="001309EC" w:rsidP="001309EC">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b/>
          <w:bCs/>
          <w:sz w:val="24"/>
          <w:szCs w:val="24"/>
        </w:rPr>
        <w:t>Conclusion</w:t>
      </w:r>
    </w:p>
    <w:p w14:paraId="5471AB29" w14:textId="77777777" w:rsidR="001309EC" w:rsidRPr="0095666C" w:rsidRDefault="001309EC" w:rsidP="001309EC">
      <w:pPr>
        <w:shd w:val="clear" w:color="auto" w:fill="FFFFFF"/>
        <w:spacing w:after="100" w:afterAutospacing="1"/>
        <w:rPr>
          <w:rFonts w:ascii="Times New Roman" w:hAnsi="Times New Roman" w:cs="Times New Roman"/>
          <w:sz w:val="24"/>
          <w:szCs w:val="24"/>
          <w:lang w:val="en-US"/>
        </w:rPr>
      </w:pPr>
      <w:r w:rsidRPr="0095666C">
        <w:rPr>
          <w:rFonts w:ascii="Times New Roman" w:hAnsi="Times New Roman" w:cs="Times New Roman"/>
          <w:sz w:val="24"/>
          <w:szCs w:val="24"/>
        </w:rPr>
        <w:t>This Legislative Instrument engages the right to privacy,</w:t>
      </w:r>
      <w:r>
        <w:rPr>
          <w:rFonts w:ascii="Times New Roman" w:hAnsi="Times New Roman" w:cs="Times New Roman"/>
          <w:sz w:val="24"/>
          <w:szCs w:val="24"/>
        </w:rPr>
        <w:t xml:space="preserve"> by facilitating ACT utilities’ participation in the credit reporting system involving</w:t>
      </w:r>
      <w:r w:rsidRPr="0095666C">
        <w:rPr>
          <w:rFonts w:ascii="Times New Roman" w:hAnsi="Times New Roman" w:cs="Times New Roman"/>
          <w:sz w:val="24"/>
          <w:szCs w:val="24"/>
        </w:rPr>
        <w:t xml:space="preserve"> the use and disclosure of personal information. To the extent that the Legislative Instrument may limit the right to privacy, those limitations are reasonable, necessary and proportionate to achieve the legitimate aims of the Legislative Instrument.</w:t>
      </w:r>
    </w:p>
    <w:p w14:paraId="27C0289A" w14:textId="77777777" w:rsidR="001309EC" w:rsidRDefault="001309EC" w:rsidP="001309EC"/>
    <w:p w14:paraId="0EABDDF4" w14:textId="77777777" w:rsidR="0054138E" w:rsidRPr="001309EC" w:rsidRDefault="0054138E" w:rsidP="001309EC"/>
    <w:sectPr w:rsidR="0054138E" w:rsidRPr="001309E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80E9C" w14:textId="77777777" w:rsidR="00A276EB" w:rsidRDefault="00A276EB">
      <w:pPr>
        <w:spacing w:after="0" w:line="240" w:lineRule="auto"/>
      </w:pPr>
      <w:r>
        <w:separator/>
      </w:r>
    </w:p>
  </w:endnote>
  <w:endnote w:type="continuationSeparator" w:id="0">
    <w:p w14:paraId="49414E54" w14:textId="77777777" w:rsidR="00A276EB" w:rsidRDefault="00A2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2C082F36" w14:textId="77777777" w:rsidR="0002636A" w:rsidRDefault="009625BA">
        <w:pPr>
          <w:pStyle w:val="Footer"/>
          <w:jc w:val="right"/>
        </w:pPr>
        <w:r>
          <w:fldChar w:fldCharType="begin"/>
        </w:r>
        <w:r>
          <w:instrText xml:space="preserve"> PAGE   \* MERGEFORMAT </w:instrText>
        </w:r>
        <w:r>
          <w:fldChar w:fldCharType="separate"/>
        </w:r>
        <w:r w:rsidR="006A1791">
          <w:rPr>
            <w:noProof/>
          </w:rPr>
          <w:t>1</w:t>
        </w:r>
        <w:r>
          <w:rPr>
            <w:noProof/>
          </w:rPr>
          <w:fldChar w:fldCharType="end"/>
        </w:r>
      </w:p>
    </w:sdtContent>
  </w:sdt>
  <w:p w14:paraId="5107FEE9" w14:textId="77777777" w:rsidR="0002636A" w:rsidRDefault="006A1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A4C6C" w14:textId="77777777" w:rsidR="00A276EB" w:rsidRDefault="00A276EB">
      <w:pPr>
        <w:spacing w:after="0" w:line="240" w:lineRule="auto"/>
      </w:pPr>
      <w:r>
        <w:separator/>
      </w:r>
    </w:p>
  </w:footnote>
  <w:footnote w:type="continuationSeparator" w:id="0">
    <w:p w14:paraId="72ED63C7" w14:textId="77777777" w:rsidR="00A276EB" w:rsidRDefault="00A27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BA"/>
    <w:rsid w:val="001309EC"/>
    <w:rsid w:val="001D04FA"/>
    <w:rsid w:val="00296CA4"/>
    <w:rsid w:val="002A78CE"/>
    <w:rsid w:val="002D77BC"/>
    <w:rsid w:val="002E23A6"/>
    <w:rsid w:val="003D7F82"/>
    <w:rsid w:val="004950DC"/>
    <w:rsid w:val="004A5474"/>
    <w:rsid w:val="004C044D"/>
    <w:rsid w:val="004C24A5"/>
    <w:rsid w:val="004D52E7"/>
    <w:rsid w:val="004F1A30"/>
    <w:rsid w:val="004F51D9"/>
    <w:rsid w:val="0054138E"/>
    <w:rsid w:val="0054313B"/>
    <w:rsid w:val="005D2CD2"/>
    <w:rsid w:val="00644F41"/>
    <w:rsid w:val="006A1791"/>
    <w:rsid w:val="006E79DE"/>
    <w:rsid w:val="00731920"/>
    <w:rsid w:val="007C01A3"/>
    <w:rsid w:val="008C408C"/>
    <w:rsid w:val="008D5B2D"/>
    <w:rsid w:val="009625BA"/>
    <w:rsid w:val="009F658B"/>
    <w:rsid w:val="00A276EB"/>
    <w:rsid w:val="00A70AAB"/>
    <w:rsid w:val="00AD2870"/>
    <w:rsid w:val="00BB374D"/>
    <w:rsid w:val="00BC4AD1"/>
    <w:rsid w:val="00C03F4C"/>
    <w:rsid w:val="00CE1AF8"/>
    <w:rsid w:val="00D164A9"/>
    <w:rsid w:val="00D750DD"/>
    <w:rsid w:val="00E348BE"/>
    <w:rsid w:val="00E35B6B"/>
    <w:rsid w:val="00E75CA4"/>
    <w:rsid w:val="00F172CA"/>
    <w:rsid w:val="00F34B24"/>
    <w:rsid w:val="00F60D10"/>
    <w:rsid w:val="00FF6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C3E9"/>
  <w15:chartTrackingRefBased/>
  <w15:docId w15:val="{B7E53E12-B3E6-4605-A1C7-4A4E8DDA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5BA"/>
    <w:pPr>
      <w:spacing w:after="200" w:line="276" w:lineRule="auto"/>
    </w:pPr>
  </w:style>
  <w:style w:type="paragraph" w:styleId="Heading1">
    <w:name w:val="heading 1"/>
    <w:basedOn w:val="Normal"/>
    <w:next w:val="Normal"/>
    <w:link w:val="Heading1Char"/>
    <w:uiPriority w:val="9"/>
    <w:qFormat/>
    <w:rsid w:val="009625BA"/>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5BA"/>
    <w:rPr>
      <w:rFonts w:ascii="Cambria" w:eastAsia="Times New Roman" w:hAnsi="Cambria" w:cs="Times New Roman"/>
      <w:bCs/>
      <w:caps/>
      <w:kern w:val="32"/>
      <w:sz w:val="32"/>
      <w:szCs w:val="32"/>
    </w:rPr>
  </w:style>
  <w:style w:type="paragraph" w:styleId="Footer">
    <w:name w:val="footer"/>
    <w:basedOn w:val="Normal"/>
    <w:link w:val="FooterChar"/>
    <w:uiPriority w:val="99"/>
    <w:unhideWhenUsed/>
    <w:rsid w:val="00962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5BA"/>
  </w:style>
  <w:style w:type="character" w:styleId="CommentReference">
    <w:name w:val="annotation reference"/>
    <w:basedOn w:val="DefaultParagraphFont"/>
    <w:uiPriority w:val="99"/>
    <w:semiHidden/>
    <w:unhideWhenUsed/>
    <w:rsid w:val="009625BA"/>
    <w:rPr>
      <w:sz w:val="16"/>
      <w:szCs w:val="16"/>
    </w:rPr>
  </w:style>
  <w:style w:type="paragraph" w:styleId="CommentText">
    <w:name w:val="annotation text"/>
    <w:basedOn w:val="Normal"/>
    <w:link w:val="CommentTextChar"/>
    <w:uiPriority w:val="99"/>
    <w:semiHidden/>
    <w:unhideWhenUsed/>
    <w:rsid w:val="009625BA"/>
    <w:pPr>
      <w:spacing w:line="240" w:lineRule="auto"/>
    </w:pPr>
    <w:rPr>
      <w:sz w:val="20"/>
      <w:szCs w:val="20"/>
    </w:rPr>
  </w:style>
  <w:style w:type="character" w:customStyle="1" w:styleId="CommentTextChar">
    <w:name w:val="Comment Text Char"/>
    <w:basedOn w:val="DefaultParagraphFont"/>
    <w:link w:val="CommentText"/>
    <w:uiPriority w:val="99"/>
    <w:semiHidden/>
    <w:rsid w:val="009625BA"/>
    <w:rPr>
      <w:sz w:val="20"/>
      <w:szCs w:val="20"/>
    </w:rPr>
  </w:style>
  <w:style w:type="paragraph" w:styleId="CommentSubject">
    <w:name w:val="annotation subject"/>
    <w:basedOn w:val="CommentText"/>
    <w:next w:val="CommentText"/>
    <w:link w:val="CommentSubjectChar"/>
    <w:uiPriority w:val="99"/>
    <w:semiHidden/>
    <w:unhideWhenUsed/>
    <w:rsid w:val="009625BA"/>
    <w:rPr>
      <w:b/>
      <w:bCs/>
    </w:rPr>
  </w:style>
  <w:style w:type="character" w:customStyle="1" w:styleId="CommentSubjectChar">
    <w:name w:val="Comment Subject Char"/>
    <w:basedOn w:val="CommentTextChar"/>
    <w:link w:val="CommentSubject"/>
    <w:uiPriority w:val="99"/>
    <w:semiHidden/>
    <w:rsid w:val="009625BA"/>
    <w:rPr>
      <w:b/>
      <w:bCs/>
      <w:sz w:val="20"/>
      <w:szCs w:val="20"/>
    </w:rPr>
  </w:style>
  <w:style w:type="paragraph" w:styleId="BalloonText">
    <w:name w:val="Balloon Text"/>
    <w:basedOn w:val="Normal"/>
    <w:link w:val="BalloonTextChar"/>
    <w:uiPriority w:val="99"/>
    <w:semiHidden/>
    <w:unhideWhenUsed/>
    <w:rsid w:val="00962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19101F6-6579-4168-B798-C14C95906F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64123364BA754DBCC89054334E77B2" ma:contentTypeVersion="" ma:contentTypeDescription="PDMS Document Site Content Type" ma:contentTypeScope="" ma:versionID="9f6bab7f7b290db0f3d29ddd636ff7c7">
  <xsd:schema xmlns:xsd="http://www.w3.org/2001/XMLSchema" xmlns:xs="http://www.w3.org/2001/XMLSchema" xmlns:p="http://schemas.microsoft.com/office/2006/metadata/properties" xmlns:ns2="219101F6-6579-4168-B798-C14C95906F78" targetNamespace="http://schemas.microsoft.com/office/2006/metadata/properties" ma:root="true" ma:fieldsID="50a53198c3d68006d3da8dd002c2a242" ns2:_="">
    <xsd:import namespace="219101F6-6579-4168-B798-C14C95906F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01F6-6579-4168-B798-C14C95906F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E8CE-0E48-4FCF-BAD5-07C9CEE629AA}">
  <ds:schemaRefs>
    <ds:schemaRef ds:uri="http://purl.org/dc/terms/"/>
    <ds:schemaRef ds:uri="http://schemas.openxmlformats.org/package/2006/metadata/core-properties"/>
    <ds:schemaRef ds:uri="http://purl.org/dc/dcmitype/"/>
    <ds:schemaRef ds:uri="http://schemas.microsoft.com/office/infopath/2007/PartnerControls"/>
    <ds:schemaRef ds:uri="219101F6-6579-4168-B798-C14C95906F78"/>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A2ACEBF-33CB-475B-9262-42526E86BF9D}">
  <ds:schemaRefs>
    <ds:schemaRef ds:uri="http://schemas.microsoft.com/sharepoint/v3/contenttype/forms"/>
  </ds:schemaRefs>
</ds:datastoreItem>
</file>

<file path=customXml/itemProps3.xml><?xml version="1.0" encoding="utf-8"?>
<ds:datastoreItem xmlns:ds="http://schemas.openxmlformats.org/officeDocument/2006/customXml" ds:itemID="{A52BDB50-1263-4688-99BE-8E49F42E0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101F6-6579-4168-B798-C14C95906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A524D-6ED6-44FD-ACA1-D6B35122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7608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Stephanie</dc:creator>
  <cp:keywords/>
  <dc:description/>
  <cp:lastModifiedBy>Singh, Seema</cp:lastModifiedBy>
  <cp:revision>2</cp:revision>
  <dcterms:created xsi:type="dcterms:W3CDTF">2019-12-16T05:28:00Z</dcterms:created>
  <dcterms:modified xsi:type="dcterms:W3CDTF">2019-12-16T05:28:00Z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0x010100266966F133664895A6EE3632470D45F5009664123364BA754DBCC89054334E77B2</vt:lpwstr>
  </property>
</Properties>
</file>