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0948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E6F8404"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793E893D43D44D98301152BE5028338"/>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5D4994">
            <w:rPr>
              <w:sz w:val="24"/>
              <w:szCs w:val="24"/>
            </w:rPr>
            <w:t>Treasurer</w:t>
          </w:r>
        </w:sdtContent>
      </w:sdt>
    </w:p>
    <w:p w14:paraId="77288064" w14:textId="77777777" w:rsidR="00F109D4" w:rsidRDefault="005D4994" w:rsidP="003C7907">
      <w:pPr>
        <w:spacing w:before="240" w:after="240"/>
        <w:jc w:val="center"/>
        <w:rPr>
          <w:i/>
        </w:rPr>
      </w:pPr>
      <w:r>
        <w:rPr>
          <w:i/>
        </w:rPr>
        <w:t>Competition and Consumer Act 2010</w:t>
      </w:r>
    </w:p>
    <w:p w14:paraId="67D26E97" w14:textId="77777777" w:rsidR="00F109D4" w:rsidRPr="00503E44" w:rsidRDefault="005D4994" w:rsidP="00AA1689">
      <w:pPr>
        <w:tabs>
          <w:tab w:val="left" w:pos="1418"/>
        </w:tabs>
        <w:spacing w:before="0" w:after="240"/>
        <w:jc w:val="center"/>
        <w:rPr>
          <w:i/>
        </w:rPr>
      </w:pPr>
      <w:r>
        <w:rPr>
          <w:i/>
        </w:rPr>
        <w:t>Competition and Consumer (Price Monitoring—Petroleum Fuels) Direction 2019</w:t>
      </w:r>
    </w:p>
    <w:p w14:paraId="0EE99736" w14:textId="5E7F9F92" w:rsidR="00F109D4" w:rsidRDefault="00C55D29" w:rsidP="00647BB7">
      <w:pPr>
        <w:spacing w:before="240"/>
      </w:pPr>
      <w:r w:rsidRPr="00503E44">
        <w:t>S</w:t>
      </w:r>
      <w:r w:rsidR="005D4994">
        <w:t>ubs</w:t>
      </w:r>
      <w:r w:rsidRPr="00503E44">
        <w:t xml:space="preserve">ection </w:t>
      </w:r>
      <w:r w:rsidR="005D4994">
        <w:t>95ZE(1)</w:t>
      </w:r>
      <w:r w:rsidR="005E4BAC">
        <w:t xml:space="preserve"> </w:t>
      </w:r>
      <w:r w:rsidR="00F109D4" w:rsidRPr="00503E44">
        <w:t xml:space="preserve">of the </w:t>
      </w:r>
      <w:r w:rsidR="00D22800" w:rsidRPr="00D22800">
        <w:rPr>
          <w:i/>
        </w:rPr>
        <w:t>Competition and Consumer Act 2010</w:t>
      </w:r>
      <w:r w:rsidR="00F109D4" w:rsidRPr="00503E44">
        <w:t xml:space="preserve"> (the Act) provides that the </w:t>
      </w:r>
      <w:r w:rsidR="00D22800">
        <w:t>Minister</w:t>
      </w:r>
      <w:r w:rsidR="00F109D4" w:rsidRPr="00503E44">
        <w:t xml:space="preserve"> may </w:t>
      </w:r>
      <w:r w:rsidR="00D22800">
        <w:t xml:space="preserve">give the Australian Competition and Consumer Commission </w:t>
      </w:r>
      <w:r w:rsidR="0069664E">
        <w:t xml:space="preserve">(ACCC) </w:t>
      </w:r>
      <w:r w:rsidR="00D22800">
        <w:t xml:space="preserve">a written direction to monitor prices, costs and profits relating to the supply of goods or services by persons in </w:t>
      </w:r>
      <w:r w:rsidR="0069664E">
        <w:t xml:space="preserve">an </w:t>
      </w:r>
      <w:r w:rsidR="00D22800">
        <w:t>industry, and to give the Minister reports on the monitoring</w:t>
      </w:r>
      <w:r w:rsidR="00F109D4" w:rsidRPr="00503E44">
        <w:t>.</w:t>
      </w:r>
      <w:r w:rsidR="0069664E">
        <w:t xml:space="preserve"> Subsection 95ZH(1) of the Act provides that the Minister may </w:t>
      </w:r>
      <w:r w:rsidR="0001122E">
        <w:t xml:space="preserve">also </w:t>
      </w:r>
      <w:r w:rsidR="0069664E">
        <w:t>give the ACCC a written direction to give special consideration to matters in exercising the ACCC’s powers and performing the ACCC’s functions under Part VIIA of the Act.</w:t>
      </w:r>
    </w:p>
    <w:p w14:paraId="050AFA57" w14:textId="77777777" w:rsidR="009E6CFA" w:rsidRDefault="004573FD" w:rsidP="004573FD">
      <w:r>
        <w:t xml:space="preserve">The purpose of the </w:t>
      </w:r>
      <w:r w:rsidR="003735D7" w:rsidRPr="003735D7">
        <w:rPr>
          <w:i/>
        </w:rPr>
        <w:t>Competition and Consumer (Price Monitoring—Petroleum Fuels) Direction 2019</w:t>
      </w:r>
      <w:r w:rsidR="003735D7">
        <w:t xml:space="preserve"> (the </w:t>
      </w:r>
      <w:r>
        <w:t>Direction</w:t>
      </w:r>
      <w:r w:rsidR="003735D7">
        <w:t>)</w:t>
      </w:r>
      <w:r>
        <w:t xml:space="preserve"> is to require the ACCC to monitor the </w:t>
      </w:r>
      <w:r w:rsidRPr="002D548B">
        <w:t xml:space="preserve">prices, costs and profits relating to the supply of goods or services by persons in </w:t>
      </w:r>
      <w:r>
        <w:t>specified industries</w:t>
      </w:r>
      <w:r w:rsidR="005D13D6">
        <w:t>. These industries are</w:t>
      </w:r>
      <w:r>
        <w:t xml:space="preserve"> involved in the supply of petroleum fuels</w:t>
      </w:r>
      <w:r w:rsidR="00F93A65">
        <w:t>, or in the supply of services related to the supply of petroleum fuels</w:t>
      </w:r>
      <w:r w:rsidR="009E6CFA">
        <w:t>.</w:t>
      </w:r>
    </w:p>
    <w:p w14:paraId="4A46E293" w14:textId="77777777" w:rsidR="00297821" w:rsidRDefault="00297821" w:rsidP="00297821">
      <w:r>
        <w:t>The Direction gives effect to the Government’s decision that the ACCC continue to monitor and report on the prices, costs and profits relating to the supply of petroleum products and related services in the petroleum industry in Australia.</w:t>
      </w:r>
    </w:p>
    <w:p w14:paraId="5B800E6E" w14:textId="76FABCBF" w:rsidR="004573FD" w:rsidRDefault="004573FD" w:rsidP="004573FD">
      <w:r>
        <w:t xml:space="preserve">The Direction also requires the ACCC to give special consideration to monitoring the </w:t>
      </w:r>
      <w:r w:rsidRPr="002D548B">
        <w:t xml:space="preserve">prices, costs and profits relating to the supply of </w:t>
      </w:r>
      <w:r>
        <w:t xml:space="preserve">petroleum fuels and related services by persons in </w:t>
      </w:r>
      <w:r w:rsidR="00297821">
        <w:t>the</w:t>
      </w:r>
      <w:r>
        <w:t xml:space="preserve"> industries</w:t>
      </w:r>
      <w:r w:rsidR="00297821">
        <w:t xml:space="preserve"> specified in the Direction</w:t>
      </w:r>
      <w:r>
        <w:t>.</w:t>
      </w:r>
    </w:p>
    <w:p w14:paraId="07DCD561" w14:textId="1F507172" w:rsidR="009E6CFA" w:rsidRDefault="009E6CFA" w:rsidP="004573FD">
      <w:r>
        <w:t xml:space="preserve">The Direction requires the ACCC to monitor prices, costs and profits for a period of three years, </w:t>
      </w:r>
      <w:r w:rsidR="00E00B9D">
        <w:t>and to report to the Treasurer every 3 months</w:t>
      </w:r>
      <w:r w:rsidR="006A5843">
        <w:t xml:space="preserve"> on the monitoring</w:t>
      </w:r>
      <w:r w:rsidR="00E00B9D">
        <w:t xml:space="preserve"> during that period.</w:t>
      </w:r>
    </w:p>
    <w:p w14:paraId="428A57B4" w14:textId="7F3A1803" w:rsidR="007B0017" w:rsidRPr="004573FD" w:rsidRDefault="007B0017" w:rsidP="00EB60B2">
      <w:r>
        <w:t xml:space="preserve">The Direction </w:t>
      </w:r>
      <w:r w:rsidR="003735D7">
        <w:t xml:space="preserve">requires monitoring similar to </w:t>
      </w:r>
      <w:r>
        <w:t xml:space="preserve">the </w:t>
      </w:r>
      <w:r w:rsidRPr="007B0017">
        <w:rPr>
          <w:i/>
        </w:rPr>
        <w:t>Monitoring of Prices, Costs and Profits Relating to the Supply of Petroleum Products in the Petroleum Industry in Australia</w:t>
      </w:r>
      <w:r w:rsidR="003735D7">
        <w:rPr>
          <w:i/>
        </w:rPr>
        <w:t xml:space="preserve"> </w:t>
      </w:r>
      <w:r w:rsidR="003735D7">
        <w:t>(the Previous Direction), which was</w:t>
      </w:r>
      <w:r>
        <w:t xml:space="preserve"> made on 20 December 2017. The monitoring and reporting period covered by </w:t>
      </w:r>
      <w:r w:rsidR="003735D7">
        <w:t>the Previous Direction expires at the end of 19 December 201</w:t>
      </w:r>
      <w:r w:rsidR="0041690A">
        <w:t>9</w:t>
      </w:r>
      <w:bookmarkStart w:id="0" w:name="_GoBack"/>
      <w:bookmarkEnd w:id="0"/>
      <w:r w:rsidR="003735D7">
        <w:t>.</w:t>
      </w:r>
    </w:p>
    <w:p w14:paraId="282A433E" w14:textId="38705EC8" w:rsidR="00EB60B2" w:rsidRDefault="00EB60B2" w:rsidP="002C226C">
      <w:pPr>
        <w:spacing w:before="240"/>
      </w:pPr>
      <w:r>
        <w:t>The Direction has been developed in consultation with the Australian Competition and Consumer Commission.</w:t>
      </w:r>
    </w:p>
    <w:p w14:paraId="6D242F00" w14:textId="50FD8027" w:rsidR="002C226C" w:rsidRDefault="002C226C" w:rsidP="002C226C">
      <w:pPr>
        <w:spacing w:before="240"/>
      </w:pPr>
      <w:r>
        <w:t xml:space="preserve">Details of the </w:t>
      </w:r>
      <w:r w:rsidR="0069664E">
        <w:t xml:space="preserve">Direction </w:t>
      </w:r>
      <w:r w:rsidR="00EB2AEF">
        <w:t>are set out in</w:t>
      </w:r>
      <w:r>
        <w:t xml:space="preserve"> </w:t>
      </w:r>
      <w:r w:rsidRPr="00317816">
        <w:rPr>
          <w:u w:val="single"/>
        </w:rPr>
        <w:t>Attachment</w:t>
      </w:r>
      <w:r w:rsidR="00EB2AEF">
        <w:rPr>
          <w:u w:val="single"/>
        </w:rPr>
        <w:t xml:space="preserve"> </w:t>
      </w:r>
      <w:r w:rsidR="00083504">
        <w:rPr>
          <w:u w:val="single"/>
        </w:rPr>
        <w:t>A.</w:t>
      </w:r>
    </w:p>
    <w:p w14:paraId="202BF828" w14:textId="71EDA14C" w:rsidR="002C226C" w:rsidRDefault="002C226C" w:rsidP="00647BB7">
      <w:pPr>
        <w:spacing w:before="240"/>
      </w:pPr>
      <w:r>
        <w:t>The</w:t>
      </w:r>
      <w:r w:rsidRPr="00D3322F">
        <w:t xml:space="preserve"> </w:t>
      </w:r>
      <w:r w:rsidR="00083504">
        <w:t xml:space="preserve">Direction is </w:t>
      </w:r>
      <w:r w:rsidRPr="00D3322F">
        <w:t>a legislative instrument for the purposes of the</w:t>
      </w:r>
      <w:r w:rsidRPr="00322524">
        <w:t xml:space="preserve"> </w:t>
      </w:r>
      <w:r w:rsidRPr="00D3322F">
        <w:rPr>
          <w:i/>
        </w:rPr>
        <w:t>Legislation Act 2003</w:t>
      </w:r>
      <w:r w:rsidRPr="00D3322F">
        <w:t>.</w:t>
      </w:r>
      <w:r w:rsidR="00EB60B2">
        <w:t xml:space="preserve">  However, the Direction is not subject to disallowance or </w:t>
      </w:r>
      <w:proofErr w:type="spellStart"/>
      <w:r w:rsidR="00EB60B2">
        <w:t>sunsetting</w:t>
      </w:r>
      <w:proofErr w:type="spellEnd"/>
      <w:r w:rsidR="00EB60B2">
        <w:t>.</w:t>
      </w:r>
    </w:p>
    <w:p w14:paraId="51DBD266" w14:textId="77777777" w:rsidR="009143A0" w:rsidRPr="00647BB7" w:rsidRDefault="00F109D4" w:rsidP="00647BB7">
      <w:pPr>
        <w:spacing w:before="240"/>
        <w:rPr>
          <w:i/>
        </w:rPr>
      </w:pPr>
      <w:r w:rsidRPr="00503E44">
        <w:t xml:space="preserve">The </w:t>
      </w:r>
      <w:r w:rsidR="00083504">
        <w:t xml:space="preserve">Direction </w:t>
      </w:r>
      <w:r w:rsidRPr="00503E44">
        <w:t xml:space="preserve">commenced on </w:t>
      </w:r>
      <w:r w:rsidR="00083504">
        <w:t xml:space="preserve">the day after it </w:t>
      </w:r>
      <w:r w:rsidR="00FD27D4">
        <w:t>wa</w:t>
      </w:r>
      <w:r w:rsidR="00083504">
        <w:t>s registered on the Federal Register of Legislation.</w:t>
      </w:r>
    </w:p>
    <w:p w14:paraId="4414C99E" w14:textId="590B1DA8" w:rsidR="00EB2AEF" w:rsidRPr="00013390" w:rsidRDefault="00EB2AEF" w:rsidP="00647BB7">
      <w:pPr>
        <w:spacing w:before="240"/>
      </w:pPr>
      <w:r>
        <w:t xml:space="preserve">A statement of Compatibility with Human Rights is at </w:t>
      </w:r>
      <w:r w:rsidRPr="000B39A1">
        <w:rPr>
          <w:u w:val="single"/>
        </w:rPr>
        <w:t xml:space="preserve">Attachment </w:t>
      </w:r>
      <w:r w:rsidR="0001122E">
        <w:rPr>
          <w:u w:val="single"/>
        </w:rPr>
        <w:t>B</w:t>
      </w:r>
      <w:r w:rsidR="000B39A1" w:rsidRPr="000B39A1">
        <w:t>.</w:t>
      </w:r>
    </w:p>
    <w:p w14:paraId="6C877B27" w14:textId="77777777" w:rsidR="00EA4DD8" w:rsidRDefault="00EA4DD8" w:rsidP="00EA4DD8">
      <w:pPr>
        <w:pageBreakBefore/>
        <w:spacing w:before="240"/>
        <w:jc w:val="right"/>
        <w:rPr>
          <w:b/>
          <w:u w:val="single"/>
        </w:rPr>
      </w:pPr>
      <w:r w:rsidRPr="007B335E">
        <w:rPr>
          <w:b/>
          <w:u w:val="single"/>
        </w:rPr>
        <w:lastRenderedPageBreak/>
        <w:t xml:space="preserve">ATTACHMENT </w:t>
      </w:r>
      <w:r w:rsidR="0069664E">
        <w:rPr>
          <w:b/>
          <w:u w:val="single"/>
        </w:rPr>
        <w:t>A</w:t>
      </w:r>
    </w:p>
    <w:p w14:paraId="248C6F52" w14:textId="77777777" w:rsidR="00EA4DD8" w:rsidRDefault="00EA4DD8" w:rsidP="00EA4DD8">
      <w:pPr>
        <w:spacing w:before="240"/>
        <w:ind w:right="91"/>
        <w:rPr>
          <w:b/>
          <w:bCs/>
          <w:szCs w:val="24"/>
          <w:u w:val="single"/>
        </w:rPr>
      </w:pPr>
      <w:r>
        <w:rPr>
          <w:b/>
          <w:bCs/>
          <w:u w:val="single"/>
        </w:rPr>
        <w:t xml:space="preserve">Details of the </w:t>
      </w:r>
      <w:r w:rsidR="00524D30" w:rsidRPr="00524D30">
        <w:rPr>
          <w:b/>
          <w:i/>
          <w:u w:val="single"/>
        </w:rPr>
        <w:t>Competition and Consumer (Price Monitoring—Petroleum Fuels) Direction 2019</w:t>
      </w:r>
    </w:p>
    <w:p w14:paraId="3A9762D9" w14:textId="77777777" w:rsidR="00EA4DD8" w:rsidRDefault="00EA4DD8" w:rsidP="005D13D6">
      <w:pPr>
        <w:keepNext/>
        <w:spacing w:before="240"/>
        <w:rPr>
          <w:rFonts w:ascii="Calibri" w:hAnsi="Calibri"/>
          <w:sz w:val="22"/>
          <w:szCs w:val="22"/>
          <w:u w:val="single"/>
          <w:lang w:eastAsia="en-US"/>
        </w:rPr>
      </w:pPr>
      <w:r>
        <w:rPr>
          <w:u w:val="single"/>
        </w:rPr>
        <w:t>Section 1</w:t>
      </w:r>
      <w:r w:rsidR="00094085">
        <w:rPr>
          <w:u w:val="single"/>
        </w:rPr>
        <w:t>—</w:t>
      </w:r>
      <w:r>
        <w:rPr>
          <w:u w:val="single"/>
        </w:rPr>
        <w:t xml:space="preserve">Name of the </w:t>
      </w:r>
      <w:r w:rsidR="00524D30">
        <w:rPr>
          <w:u w:val="single"/>
        </w:rPr>
        <w:t>Direction</w:t>
      </w:r>
    </w:p>
    <w:p w14:paraId="5CB7F24D" w14:textId="77777777" w:rsidR="00EA4DD8" w:rsidRDefault="00524D30" w:rsidP="00EA4DD8">
      <w:pPr>
        <w:spacing w:before="240"/>
      </w:pPr>
      <w:r>
        <w:t>S</w:t>
      </w:r>
      <w:r w:rsidR="00EA4DD8">
        <w:t xml:space="preserve">ection </w:t>
      </w:r>
      <w:r>
        <w:t xml:space="preserve">1 </w:t>
      </w:r>
      <w:r w:rsidR="00EA4DD8">
        <w:t xml:space="preserve">provides that the name of the </w:t>
      </w:r>
      <w:r>
        <w:t xml:space="preserve">Direction </w:t>
      </w:r>
      <w:r w:rsidR="00EA4DD8">
        <w:t xml:space="preserve">is the </w:t>
      </w:r>
      <w:r>
        <w:rPr>
          <w:i/>
        </w:rPr>
        <w:t>Competition and Consumer (Price Monitoring—Petroleum Fuels) Direction 2019</w:t>
      </w:r>
      <w:r w:rsidR="00EA4DD8">
        <w:t xml:space="preserve"> (the </w:t>
      </w:r>
      <w:r>
        <w:t>Direction</w:t>
      </w:r>
      <w:r w:rsidR="00EA4DD8">
        <w:t>).</w:t>
      </w:r>
    </w:p>
    <w:p w14:paraId="17D75B27" w14:textId="77777777" w:rsidR="00EA4DD8" w:rsidRDefault="00EA4DD8" w:rsidP="005D13D6">
      <w:pPr>
        <w:keepNext/>
        <w:spacing w:before="240"/>
        <w:ind w:right="91"/>
        <w:rPr>
          <w:u w:val="single"/>
        </w:rPr>
      </w:pPr>
      <w:r>
        <w:rPr>
          <w:u w:val="single"/>
        </w:rPr>
        <w:t>Section 2</w:t>
      </w:r>
      <w:r w:rsidR="00094085">
        <w:rPr>
          <w:u w:val="single"/>
        </w:rPr>
        <w:t>—</w:t>
      </w:r>
      <w:r>
        <w:rPr>
          <w:u w:val="single"/>
        </w:rPr>
        <w:t>Commencement</w:t>
      </w:r>
    </w:p>
    <w:p w14:paraId="3BD09F37" w14:textId="77777777" w:rsidR="00EA4DD8" w:rsidRPr="00524D30" w:rsidRDefault="00524D30" w:rsidP="00EA4DD8">
      <w:pPr>
        <w:spacing w:before="240"/>
        <w:ind w:right="91"/>
      </w:pPr>
      <w:r>
        <w:t xml:space="preserve">Section 2 </w:t>
      </w:r>
      <w:r w:rsidRPr="00524D30">
        <w:t xml:space="preserve">provides that </w:t>
      </w:r>
      <w:r w:rsidR="00EA4DD8" w:rsidRPr="00524D30">
        <w:t xml:space="preserve">the </w:t>
      </w:r>
      <w:r w:rsidRPr="00524D30">
        <w:t xml:space="preserve">Direction </w:t>
      </w:r>
      <w:r w:rsidR="00EA4DD8" w:rsidRPr="00524D30">
        <w:t>commence</w:t>
      </w:r>
      <w:r w:rsidRPr="00524D30">
        <w:t>d</w:t>
      </w:r>
      <w:r w:rsidR="00EA4DD8" w:rsidRPr="00524D30">
        <w:t xml:space="preserve"> on the day after the instrument </w:t>
      </w:r>
      <w:r w:rsidRPr="00524D30">
        <w:t>was</w:t>
      </w:r>
      <w:r w:rsidR="00EA4DD8" w:rsidRPr="00524D30">
        <w:t xml:space="preserve"> registered on the Federal Register of Legislation.</w:t>
      </w:r>
    </w:p>
    <w:p w14:paraId="4D78D5B9" w14:textId="77777777" w:rsidR="00EA4DD8" w:rsidRDefault="00EA4DD8" w:rsidP="005D13D6">
      <w:pPr>
        <w:keepNext/>
        <w:spacing w:before="240"/>
        <w:ind w:right="91"/>
        <w:rPr>
          <w:u w:val="single"/>
        </w:rPr>
      </w:pPr>
      <w:r>
        <w:rPr>
          <w:u w:val="single"/>
        </w:rPr>
        <w:t>Section 3</w:t>
      </w:r>
      <w:r w:rsidR="00094085">
        <w:rPr>
          <w:u w:val="single"/>
        </w:rPr>
        <w:t>—</w:t>
      </w:r>
      <w:r>
        <w:rPr>
          <w:u w:val="single"/>
        </w:rPr>
        <w:t>Authority</w:t>
      </w:r>
    </w:p>
    <w:p w14:paraId="2FAC04C2" w14:textId="77777777" w:rsidR="00EA4DD8" w:rsidRDefault="00524D30" w:rsidP="00EA4DD8">
      <w:pPr>
        <w:spacing w:before="240"/>
        <w:ind w:right="91"/>
      </w:pPr>
      <w:r>
        <w:t>Section 3 provides that t</w:t>
      </w:r>
      <w:r w:rsidR="00EA4DD8">
        <w:t xml:space="preserve">he </w:t>
      </w:r>
      <w:r>
        <w:t xml:space="preserve">Direction is </w:t>
      </w:r>
      <w:r w:rsidR="00EA4DD8">
        <w:t xml:space="preserve">made under the </w:t>
      </w:r>
      <w:r>
        <w:rPr>
          <w:i/>
        </w:rPr>
        <w:t xml:space="preserve">Competition and Consumer Act 2010 </w:t>
      </w:r>
      <w:r w:rsidR="00EA4DD8">
        <w:t>(the Act).</w:t>
      </w:r>
    </w:p>
    <w:p w14:paraId="753F4530" w14:textId="77777777" w:rsidR="00EA4DD8" w:rsidRDefault="00EA4DD8" w:rsidP="005D13D6">
      <w:pPr>
        <w:keepNext/>
        <w:spacing w:before="240"/>
        <w:ind w:right="91"/>
        <w:rPr>
          <w:u w:val="single"/>
        </w:rPr>
      </w:pPr>
      <w:r>
        <w:rPr>
          <w:u w:val="single"/>
        </w:rPr>
        <w:t>Section 4</w:t>
      </w:r>
      <w:r w:rsidR="00094085">
        <w:rPr>
          <w:u w:val="single"/>
        </w:rPr>
        <w:t>—Definitions</w:t>
      </w:r>
    </w:p>
    <w:p w14:paraId="174E43EB" w14:textId="77777777" w:rsidR="00EA4DD8" w:rsidRDefault="00094085" w:rsidP="00EA4DD8">
      <w:pPr>
        <w:spacing w:before="240" w:after="200"/>
        <w:ind w:right="91"/>
      </w:pPr>
      <w:r>
        <w:t>Section 4 provides definitions of expressions used in the Direction.</w:t>
      </w:r>
    </w:p>
    <w:p w14:paraId="30903D0D" w14:textId="77777777" w:rsidR="00094085" w:rsidRDefault="00094085" w:rsidP="00EA4DD8">
      <w:pPr>
        <w:spacing w:before="240" w:after="200"/>
        <w:ind w:right="91"/>
      </w:pPr>
      <w:r>
        <w:t xml:space="preserve">The industries referred to in section 5 are defined by reference to the </w:t>
      </w:r>
      <w:r w:rsidRPr="00094085">
        <w:t xml:space="preserve">Australian and New Zealand Standard Industrial Classification 2006 </w:t>
      </w:r>
      <w:r>
        <w:t xml:space="preserve">(ANZSIC) </w:t>
      </w:r>
      <w:r w:rsidRPr="00094085">
        <w:t>published by the Australian Bureau of Statistics</w:t>
      </w:r>
      <w:r>
        <w:t xml:space="preserve"> (</w:t>
      </w:r>
      <w:r w:rsidRPr="00094085">
        <w:t>1292.0)</w:t>
      </w:r>
      <w:r>
        <w:t>. ANZSIC is used as a standard means of classifying business units into industry sectors.</w:t>
      </w:r>
    </w:p>
    <w:p w14:paraId="2882FBC8" w14:textId="77777777" w:rsidR="00094085" w:rsidRDefault="00094085" w:rsidP="00EA4DD8">
      <w:pPr>
        <w:spacing w:before="240" w:after="200"/>
        <w:ind w:right="91"/>
      </w:pPr>
      <w:r>
        <w:t>The references to ANZSIC are as that document was revised and in force at the time the Direction commenced. At the time the Direction was registered, this document was freely available on the Australian Bureau of Statistics’ website (http://www.abs.gov.au).</w:t>
      </w:r>
    </w:p>
    <w:p w14:paraId="2F1AD158" w14:textId="7983ACC7" w:rsidR="008A5632" w:rsidRDefault="008A5632" w:rsidP="008A5632">
      <w:pPr>
        <w:keepNext/>
        <w:spacing w:before="240"/>
        <w:rPr>
          <w:u w:val="single"/>
        </w:rPr>
      </w:pPr>
      <w:r w:rsidRPr="00094085">
        <w:rPr>
          <w:u w:val="single"/>
        </w:rPr>
        <w:t xml:space="preserve">Section </w:t>
      </w:r>
      <w:r>
        <w:rPr>
          <w:u w:val="single"/>
        </w:rPr>
        <w:t>5</w:t>
      </w:r>
      <w:r w:rsidRPr="00094085">
        <w:rPr>
          <w:u w:val="single"/>
        </w:rPr>
        <w:t>—</w:t>
      </w:r>
      <w:r>
        <w:rPr>
          <w:u w:val="single"/>
        </w:rPr>
        <w:t>Object</w:t>
      </w:r>
    </w:p>
    <w:p w14:paraId="32DDEC05" w14:textId="001699C0" w:rsidR="008A5632" w:rsidRDefault="008A5632" w:rsidP="008A5632">
      <w:pPr>
        <w:spacing w:before="240" w:after="200"/>
        <w:ind w:right="91"/>
      </w:pPr>
      <w:r>
        <w:t xml:space="preserve">Section 5 states the object of the instrument, which is to </w:t>
      </w:r>
      <w:r w:rsidR="00213BFE">
        <w:t>continue the ACCC’s monitoring and reporting on the prices, costs and profits relating to the supply of petroleum products and related services in the petroleum industry in Australia.</w:t>
      </w:r>
    </w:p>
    <w:p w14:paraId="4401FC40" w14:textId="50D338F8" w:rsidR="00094085" w:rsidRDefault="00094085" w:rsidP="00365E2A">
      <w:pPr>
        <w:keepNext/>
        <w:spacing w:before="240"/>
        <w:rPr>
          <w:u w:val="single"/>
        </w:rPr>
      </w:pPr>
      <w:r w:rsidRPr="00094085">
        <w:rPr>
          <w:u w:val="single"/>
        </w:rPr>
        <w:t xml:space="preserve">Section </w:t>
      </w:r>
      <w:r w:rsidR="00DE3911">
        <w:rPr>
          <w:u w:val="single"/>
        </w:rPr>
        <w:t>6</w:t>
      </w:r>
      <w:r w:rsidRPr="00094085">
        <w:rPr>
          <w:u w:val="single"/>
        </w:rPr>
        <w:t>—Commission to monitor prices</w:t>
      </w:r>
    </w:p>
    <w:p w14:paraId="0D9E408F" w14:textId="3FFB3E35" w:rsidR="00365E2A" w:rsidRDefault="00365E2A" w:rsidP="00365E2A">
      <w:pPr>
        <w:spacing w:before="240" w:after="200"/>
        <w:ind w:right="91"/>
      </w:pPr>
      <w:r>
        <w:t xml:space="preserve">Section </w:t>
      </w:r>
      <w:r w:rsidR="008A5632">
        <w:t>6</w:t>
      </w:r>
      <w:r>
        <w:t xml:space="preserve"> directs the ACCC to monitor prices, costs and profits relating to the supply of goods or services by persons in specified industries. These industries are involved in the supply of petroleum fuels, or in the supply of services related to the supply of petroleum fuels.</w:t>
      </w:r>
    </w:p>
    <w:p w14:paraId="1B36FFDD" w14:textId="78A7AEF0" w:rsidR="00354DA4" w:rsidRDefault="009E6CFA" w:rsidP="005D13D6">
      <w:pPr>
        <w:spacing w:before="240" w:after="0"/>
        <w:ind w:right="91"/>
      </w:pPr>
      <w:r>
        <w:t>The</w:t>
      </w:r>
      <w:r w:rsidR="00F93A65">
        <w:t xml:space="preserve"> </w:t>
      </w:r>
      <w:r>
        <w:t xml:space="preserve">ACCC is required to monitor prices, costs and profits of the following </w:t>
      </w:r>
      <w:r w:rsidR="00F93A65">
        <w:t>industries:</w:t>
      </w:r>
    </w:p>
    <w:p w14:paraId="09A9B95D" w14:textId="10098A27" w:rsidR="00F93A65" w:rsidRDefault="00F93A65" w:rsidP="00F93A65">
      <w:pPr>
        <w:pStyle w:val="ListParagraph"/>
        <w:numPr>
          <w:ilvl w:val="0"/>
          <w:numId w:val="5"/>
        </w:numPr>
        <w:spacing w:before="0" w:after="200"/>
        <w:ind w:left="714" w:right="91" w:hanging="357"/>
      </w:pPr>
      <w:r>
        <w:t>the fuel retailing industry;</w:t>
      </w:r>
    </w:p>
    <w:p w14:paraId="4F38D6C3" w14:textId="3DD5531D" w:rsidR="00F93A65" w:rsidRDefault="00F93A65" w:rsidP="00F93A65">
      <w:pPr>
        <w:pStyle w:val="ListParagraph"/>
        <w:numPr>
          <w:ilvl w:val="0"/>
          <w:numId w:val="5"/>
        </w:numPr>
        <w:spacing w:before="240" w:after="200"/>
        <w:ind w:right="91"/>
      </w:pPr>
      <w:r>
        <w:t>the petroleum product wholesaling industry;</w:t>
      </w:r>
    </w:p>
    <w:p w14:paraId="462F4EBE" w14:textId="0737912F" w:rsidR="00F93A65" w:rsidRDefault="00F93A65" w:rsidP="00F93A65">
      <w:pPr>
        <w:pStyle w:val="ListParagraph"/>
        <w:numPr>
          <w:ilvl w:val="0"/>
          <w:numId w:val="5"/>
        </w:numPr>
        <w:spacing w:before="240" w:after="200"/>
        <w:ind w:right="91"/>
      </w:pPr>
      <w:r>
        <w:t>the petrol</w:t>
      </w:r>
      <w:r w:rsidR="00297821">
        <w:t>eum fuel manufacturing industry; and</w:t>
      </w:r>
    </w:p>
    <w:p w14:paraId="66B66773" w14:textId="7AB49F52" w:rsidR="00297821" w:rsidRDefault="00297821" w:rsidP="00F93A65">
      <w:pPr>
        <w:pStyle w:val="ListParagraph"/>
        <w:numPr>
          <w:ilvl w:val="0"/>
          <w:numId w:val="5"/>
        </w:numPr>
        <w:spacing w:before="240" w:after="200"/>
        <w:ind w:right="91"/>
      </w:pPr>
      <w:r>
        <w:lastRenderedPageBreak/>
        <w:t>the bulk petroleum storage sub-industry;</w:t>
      </w:r>
    </w:p>
    <w:p w14:paraId="3A37A4B4" w14:textId="12A012AF" w:rsidR="009E6CFA" w:rsidRDefault="009E6CFA" w:rsidP="006A5843">
      <w:r>
        <w:t xml:space="preserve">The ACCC is required to </w:t>
      </w:r>
      <w:r w:rsidR="006A5843">
        <w:t>monitor prices, costs and profits for a period of three years, and to report to the Treasurer every 3 months on the monitoring during that period.</w:t>
      </w:r>
    </w:p>
    <w:p w14:paraId="486501C8" w14:textId="0E32496D" w:rsidR="005D13D6" w:rsidRDefault="005D13D6" w:rsidP="005D13D6">
      <w:pPr>
        <w:spacing w:before="240" w:after="200"/>
        <w:ind w:right="91"/>
      </w:pPr>
      <w:r>
        <w:t xml:space="preserve">This direction is given under subsection </w:t>
      </w:r>
      <w:proofErr w:type="gramStart"/>
      <w:r>
        <w:t>95ZE(</w:t>
      </w:r>
      <w:proofErr w:type="gramEnd"/>
      <w:r>
        <w:t>1) of the Act.</w:t>
      </w:r>
    </w:p>
    <w:p w14:paraId="2802883E" w14:textId="3E990DC2" w:rsidR="00094085" w:rsidRPr="005D13D6" w:rsidRDefault="00094085" w:rsidP="00365E2A">
      <w:pPr>
        <w:keepNext/>
        <w:spacing w:before="240"/>
        <w:rPr>
          <w:u w:val="single"/>
        </w:rPr>
      </w:pPr>
      <w:r>
        <w:rPr>
          <w:u w:val="single"/>
        </w:rPr>
        <w:t xml:space="preserve">Section </w:t>
      </w:r>
      <w:r w:rsidR="00DE3911">
        <w:rPr>
          <w:u w:val="single"/>
        </w:rPr>
        <w:t>7</w:t>
      </w:r>
      <w:r>
        <w:rPr>
          <w:u w:val="single"/>
        </w:rPr>
        <w:t>—Direction to give special consideration to specified matters</w:t>
      </w:r>
    </w:p>
    <w:p w14:paraId="32352570" w14:textId="3D6A517C" w:rsidR="00340138" w:rsidRDefault="00F93A65" w:rsidP="005D13D6">
      <w:pPr>
        <w:spacing w:before="240" w:after="200"/>
        <w:ind w:right="91"/>
      </w:pPr>
      <w:r>
        <w:t xml:space="preserve">Section </w:t>
      </w:r>
      <w:r w:rsidR="008A5632">
        <w:t>7</w:t>
      </w:r>
      <w:r>
        <w:t xml:space="preserve"> directs the ACCC to give special consideration to monitoring the </w:t>
      </w:r>
      <w:r w:rsidR="005D13D6">
        <w:t xml:space="preserve">prices, costs and profits relating to the supply of </w:t>
      </w:r>
      <w:r w:rsidR="005D13D6" w:rsidRPr="005D13D6">
        <w:t>petroleum fuel products</w:t>
      </w:r>
      <w:r w:rsidR="005D13D6" w:rsidRPr="005D13D6" w:rsidDel="002D548B">
        <w:t xml:space="preserve"> </w:t>
      </w:r>
      <w:r w:rsidR="005D13D6">
        <w:t xml:space="preserve">and services related to the supply of petroleum fuel products when conducting the price monitoring required by the direction in section </w:t>
      </w:r>
      <w:r w:rsidR="00DE3911">
        <w:t>6</w:t>
      </w:r>
      <w:r w:rsidR="005D13D6">
        <w:t>.</w:t>
      </w:r>
    </w:p>
    <w:p w14:paraId="32C4CA34" w14:textId="6CEC25C6" w:rsidR="00213BFE" w:rsidRDefault="00213BFE" w:rsidP="005D13D6">
      <w:pPr>
        <w:spacing w:before="240" w:after="200"/>
        <w:ind w:right="91"/>
      </w:pPr>
      <w:r>
        <w:t>Section 7 also directs the ACCC to give special consideration to the object of the Direction when exercising its powers and performing its functions under the Act as required by the direction in section 6.</w:t>
      </w:r>
    </w:p>
    <w:p w14:paraId="6C8AC622" w14:textId="6C0C00C1" w:rsidR="005D13D6" w:rsidRDefault="005D13D6" w:rsidP="005D13D6">
      <w:pPr>
        <w:spacing w:before="240" w:after="200"/>
        <w:ind w:right="91"/>
      </w:pPr>
      <w:r>
        <w:t xml:space="preserve">This direction is given because persons in the industries specified in the direction in section </w:t>
      </w:r>
      <w:r w:rsidR="00213BFE">
        <w:t>6</w:t>
      </w:r>
      <w:r>
        <w:t xml:space="preserve"> may also supply other goods and services </w:t>
      </w:r>
      <w:r w:rsidR="00340138">
        <w:t xml:space="preserve">that are </w:t>
      </w:r>
      <w:r>
        <w:t xml:space="preserve">not </w:t>
      </w:r>
      <w:r w:rsidR="00213BFE">
        <w:t>necessary relevant to the core object of</w:t>
      </w:r>
      <w:r>
        <w:t xml:space="preserve"> price monito</w:t>
      </w:r>
      <w:r w:rsidR="00213BFE">
        <w:t>ring of petroleum fuel products in Australia.</w:t>
      </w:r>
    </w:p>
    <w:p w14:paraId="4F52DB30" w14:textId="77777777" w:rsidR="0095575A" w:rsidRDefault="005D13D6" w:rsidP="0095575A">
      <w:pPr>
        <w:spacing w:before="240"/>
      </w:pPr>
      <w:r>
        <w:t xml:space="preserve">This direction is given under subsection </w:t>
      </w:r>
      <w:proofErr w:type="gramStart"/>
      <w:r>
        <w:t>95ZH(</w:t>
      </w:r>
      <w:proofErr w:type="gramEnd"/>
      <w:r>
        <w:t>1) of the Act.</w:t>
      </w:r>
    </w:p>
    <w:p w14:paraId="7BF6BC8C" w14:textId="5BDD2EA2" w:rsidR="007A55A7" w:rsidRDefault="007A55A7" w:rsidP="00013390">
      <w:pPr>
        <w:pageBreakBefore/>
        <w:spacing w:before="240"/>
        <w:jc w:val="right"/>
        <w:rPr>
          <w:b/>
          <w:u w:val="single"/>
        </w:rPr>
      </w:pPr>
      <w:r w:rsidRPr="007B335E">
        <w:rPr>
          <w:b/>
          <w:u w:val="single"/>
        </w:rPr>
        <w:lastRenderedPageBreak/>
        <w:t xml:space="preserve">ATTACHMENT </w:t>
      </w:r>
      <w:r w:rsidR="00213BFE">
        <w:rPr>
          <w:b/>
          <w:u w:val="single"/>
        </w:rPr>
        <w:t>B</w:t>
      </w:r>
    </w:p>
    <w:p w14:paraId="43AC5021" w14:textId="77777777" w:rsidR="00E4438C" w:rsidRPr="00462095" w:rsidRDefault="00E4438C" w:rsidP="003E1CE3">
      <w:pPr>
        <w:pStyle w:val="Heading3"/>
      </w:pPr>
      <w:r w:rsidRPr="00462095">
        <w:t>Statement of Compatibility with Human Rights</w:t>
      </w:r>
    </w:p>
    <w:p w14:paraId="448AD2D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1CC73536" w14:textId="0EE44ADD" w:rsidR="00E4438C" w:rsidRPr="0095575A" w:rsidRDefault="0095575A" w:rsidP="003E1CE3">
      <w:pPr>
        <w:pStyle w:val="Heading3"/>
        <w:jc w:val="center"/>
      </w:pPr>
      <w:r w:rsidRPr="0095575A">
        <w:t>Competition and Consumer (Price Monitoring—Petroleum Fuels) Direction</w:t>
      </w:r>
      <w:r>
        <w:t> </w:t>
      </w:r>
      <w:r w:rsidRPr="0095575A">
        <w:t>2019</w:t>
      </w:r>
    </w:p>
    <w:p w14:paraId="21510773"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C978E69" w14:textId="77777777" w:rsidR="00E4438C" w:rsidRPr="00647BB7" w:rsidRDefault="00E4438C" w:rsidP="003E1CE3">
      <w:pPr>
        <w:pStyle w:val="Heading3"/>
      </w:pPr>
      <w:r w:rsidRPr="00647BB7">
        <w:t>Overview of the Legislative Instrument</w:t>
      </w:r>
    </w:p>
    <w:p w14:paraId="28485578" w14:textId="5488283A" w:rsidR="00213BFE" w:rsidRDefault="00213BFE" w:rsidP="00213BFE">
      <w:r>
        <w:t xml:space="preserve">The purpose of the </w:t>
      </w:r>
      <w:r w:rsidRPr="003735D7">
        <w:rPr>
          <w:i/>
        </w:rPr>
        <w:t>Competition and Consumer (Price Monitoring—Petroleum Fuels) Direction 2019</w:t>
      </w:r>
      <w:r>
        <w:t xml:space="preserve"> (the Direction) is to require the Australian Competition and Consumer Commission (ACCC) to monitor the </w:t>
      </w:r>
      <w:r w:rsidRPr="002D548B">
        <w:t xml:space="preserve">prices, costs and profits relating to the supply of goods or services by persons in </w:t>
      </w:r>
      <w:r>
        <w:t>specified industries. These industries are involved in the supply of petroleum fuels, or in the supply of services related to the supply of petroleum fuels.</w:t>
      </w:r>
    </w:p>
    <w:p w14:paraId="0E5BE791" w14:textId="77777777" w:rsidR="00297821" w:rsidRDefault="00297821" w:rsidP="00297821">
      <w:r>
        <w:t>The Direction gives effect to the Government’s decision that the ACCC continue to monitor and report on the prices, costs and profits relating to the supply of petroleum products and related services in the petroleum industry in Australia.</w:t>
      </w:r>
    </w:p>
    <w:p w14:paraId="7A03A5CC" w14:textId="5AB8FEC5" w:rsidR="00213BFE" w:rsidRDefault="00213BFE" w:rsidP="00213BFE">
      <w:r>
        <w:t xml:space="preserve">The Direction also requires the ACCC to give special consideration to monitoring the </w:t>
      </w:r>
      <w:r w:rsidRPr="002D548B">
        <w:t xml:space="preserve">prices, costs and profits relating to the supply of </w:t>
      </w:r>
      <w:r>
        <w:t xml:space="preserve">petroleum fuels and related services by persons in </w:t>
      </w:r>
      <w:r w:rsidR="00297821">
        <w:t>the specified</w:t>
      </w:r>
      <w:r>
        <w:t xml:space="preserve"> industries.</w:t>
      </w:r>
    </w:p>
    <w:p w14:paraId="78FC6EB4" w14:textId="77777777" w:rsidR="00213BFE" w:rsidRDefault="00213BFE" w:rsidP="00213BFE">
      <w:r>
        <w:t>The Direction requires the ACCC to monitor prices, costs and profits for a period of three years, and to report to the Treasurer every 3 months on the monitoring during that period.</w:t>
      </w:r>
    </w:p>
    <w:p w14:paraId="1981CB80" w14:textId="77777777" w:rsidR="00E4438C" w:rsidRPr="00647BB7" w:rsidRDefault="00E4438C" w:rsidP="003E1CE3">
      <w:pPr>
        <w:pStyle w:val="Heading3"/>
      </w:pPr>
      <w:r w:rsidRPr="00647BB7">
        <w:t>Human rights implications</w:t>
      </w:r>
    </w:p>
    <w:p w14:paraId="2368AD6A" w14:textId="77777777" w:rsidR="00E4438C" w:rsidRPr="00647BB7" w:rsidRDefault="00E4438C" w:rsidP="00647BB7">
      <w:pPr>
        <w:spacing w:before="240"/>
      </w:pPr>
      <w:r w:rsidRPr="00647BB7">
        <w:t>This Legislative Instrument does not engage any of the applicable rights or freedoms.</w:t>
      </w:r>
    </w:p>
    <w:p w14:paraId="01D19307" w14:textId="77777777" w:rsidR="00E4438C" w:rsidRPr="00647BB7" w:rsidRDefault="00E4438C" w:rsidP="003E1CE3">
      <w:pPr>
        <w:pStyle w:val="Heading3"/>
      </w:pPr>
      <w:r w:rsidRPr="00647BB7">
        <w:t>Conclusion</w:t>
      </w:r>
    </w:p>
    <w:p w14:paraId="4E85B225" w14:textId="4768EA44" w:rsidR="00482B81" w:rsidRPr="00EA4DD8" w:rsidRDefault="00E4438C" w:rsidP="005D13D6">
      <w:pPr>
        <w:spacing w:before="240"/>
      </w:pPr>
      <w:r w:rsidRPr="00647BB7">
        <w:t>This Legislative Instrument is compatible with human rights as it does not raise any human rights issues.</w:t>
      </w: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2956" w14:textId="77777777" w:rsidR="005D4994" w:rsidRDefault="005D4994" w:rsidP="00954679">
      <w:pPr>
        <w:spacing w:before="0" w:after="0"/>
      </w:pPr>
      <w:r>
        <w:separator/>
      </w:r>
    </w:p>
  </w:endnote>
  <w:endnote w:type="continuationSeparator" w:id="0">
    <w:p w14:paraId="1133AA10" w14:textId="77777777" w:rsidR="005D4994" w:rsidRDefault="005D4994"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0EAB3" w14:textId="77777777" w:rsidR="001413C5" w:rsidRDefault="00141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C50758B" w14:textId="0461D52E"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716B1">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716B1">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8190" w14:textId="77777777" w:rsidR="001413C5" w:rsidRDefault="0014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8173E" w14:textId="77777777" w:rsidR="005D4994" w:rsidRDefault="005D4994" w:rsidP="00954679">
      <w:pPr>
        <w:spacing w:before="0" w:after="0"/>
      </w:pPr>
      <w:r>
        <w:separator/>
      </w:r>
    </w:p>
  </w:footnote>
  <w:footnote w:type="continuationSeparator" w:id="0">
    <w:p w14:paraId="17B15EC5" w14:textId="77777777" w:rsidR="005D4994" w:rsidRDefault="005D4994"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AE45" w14:textId="1AEFECFA" w:rsidR="001413C5" w:rsidRDefault="00141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DBEF" w14:textId="0162E387" w:rsidR="001413C5" w:rsidRDefault="00141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CE0F" w14:textId="26836CC1" w:rsidR="001413C5" w:rsidRDefault="00141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2CA3214"/>
    <w:multiLevelType w:val="hybridMultilevel"/>
    <w:tmpl w:val="EEE20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FD0749"/>
    <w:multiLevelType w:val="hybridMultilevel"/>
    <w:tmpl w:val="AA26E526"/>
    <w:lvl w:ilvl="0" w:tplc="FDAE8D7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DF7791E"/>
    <w:multiLevelType w:val="hybridMultilevel"/>
    <w:tmpl w:val="AE56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94"/>
    <w:rsid w:val="0001122E"/>
    <w:rsid w:val="00013390"/>
    <w:rsid w:val="00016EA2"/>
    <w:rsid w:val="00076178"/>
    <w:rsid w:val="00083504"/>
    <w:rsid w:val="00094085"/>
    <w:rsid w:val="00095211"/>
    <w:rsid w:val="000A75C3"/>
    <w:rsid w:val="000B39A1"/>
    <w:rsid w:val="000C10DF"/>
    <w:rsid w:val="000C6935"/>
    <w:rsid w:val="00113B45"/>
    <w:rsid w:val="001413C5"/>
    <w:rsid w:val="001B7535"/>
    <w:rsid w:val="001E6A74"/>
    <w:rsid w:val="001F41D0"/>
    <w:rsid w:val="00213BFE"/>
    <w:rsid w:val="00220F16"/>
    <w:rsid w:val="00254C5B"/>
    <w:rsid w:val="00297821"/>
    <w:rsid w:val="002A7E1F"/>
    <w:rsid w:val="002C226C"/>
    <w:rsid w:val="002D548B"/>
    <w:rsid w:val="003041FA"/>
    <w:rsid w:val="003342CD"/>
    <w:rsid w:val="00335042"/>
    <w:rsid w:val="00340138"/>
    <w:rsid w:val="00354DA4"/>
    <w:rsid w:val="00362B70"/>
    <w:rsid w:val="00365E2A"/>
    <w:rsid w:val="003735D7"/>
    <w:rsid w:val="00392BBA"/>
    <w:rsid w:val="003954FD"/>
    <w:rsid w:val="003C7304"/>
    <w:rsid w:val="003C7907"/>
    <w:rsid w:val="003D60D7"/>
    <w:rsid w:val="003E1CE3"/>
    <w:rsid w:val="0041690A"/>
    <w:rsid w:val="004573FD"/>
    <w:rsid w:val="00462095"/>
    <w:rsid w:val="00482B81"/>
    <w:rsid w:val="00482D4C"/>
    <w:rsid w:val="004B3C0F"/>
    <w:rsid w:val="004C05E4"/>
    <w:rsid w:val="004E39E1"/>
    <w:rsid w:val="004F56D0"/>
    <w:rsid w:val="00503E44"/>
    <w:rsid w:val="00515283"/>
    <w:rsid w:val="00524D30"/>
    <w:rsid w:val="00533926"/>
    <w:rsid w:val="0055675D"/>
    <w:rsid w:val="00566E8F"/>
    <w:rsid w:val="005716B1"/>
    <w:rsid w:val="0057422E"/>
    <w:rsid w:val="005833BE"/>
    <w:rsid w:val="005D13D6"/>
    <w:rsid w:val="005D4994"/>
    <w:rsid w:val="005D7D5A"/>
    <w:rsid w:val="005E4BAC"/>
    <w:rsid w:val="0060130D"/>
    <w:rsid w:val="0064129F"/>
    <w:rsid w:val="00647BB7"/>
    <w:rsid w:val="00680297"/>
    <w:rsid w:val="006873CE"/>
    <w:rsid w:val="0069664E"/>
    <w:rsid w:val="006A0786"/>
    <w:rsid w:val="006A5843"/>
    <w:rsid w:val="006E25C1"/>
    <w:rsid w:val="00710E94"/>
    <w:rsid w:val="00727D8A"/>
    <w:rsid w:val="00731FEA"/>
    <w:rsid w:val="00736F61"/>
    <w:rsid w:val="00742253"/>
    <w:rsid w:val="007662C7"/>
    <w:rsid w:val="00776306"/>
    <w:rsid w:val="007A55A7"/>
    <w:rsid w:val="007B0017"/>
    <w:rsid w:val="007B1F10"/>
    <w:rsid w:val="007B335E"/>
    <w:rsid w:val="007E018D"/>
    <w:rsid w:val="007F1B71"/>
    <w:rsid w:val="00807E7D"/>
    <w:rsid w:val="00831675"/>
    <w:rsid w:val="00882C35"/>
    <w:rsid w:val="0088467C"/>
    <w:rsid w:val="00894579"/>
    <w:rsid w:val="008A5632"/>
    <w:rsid w:val="008A5B67"/>
    <w:rsid w:val="008D16F7"/>
    <w:rsid w:val="008E1427"/>
    <w:rsid w:val="009143A0"/>
    <w:rsid w:val="00936902"/>
    <w:rsid w:val="00954679"/>
    <w:rsid w:val="0095575A"/>
    <w:rsid w:val="009806CD"/>
    <w:rsid w:val="009C0D92"/>
    <w:rsid w:val="009C6A1E"/>
    <w:rsid w:val="009E2F86"/>
    <w:rsid w:val="009E6CFA"/>
    <w:rsid w:val="00A12209"/>
    <w:rsid w:val="00A16886"/>
    <w:rsid w:val="00A36DF3"/>
    <w:rsid w:val="00A532DD"/>
    <w:rsid w:val="00A80BCF"/>
    <w:rsid w:val="00A8369C"/>
    <w:rsid w:val="00AA1689"/>
    <w:rsid w:val="00AA5770"/>
    <w:rsid w:val="00AC1D15"/>
    <w:rsid w:val="00B07B0C"/>
    <w:rsid w:val="00B25563"/>
    <w:rsid w:val="00B26D48"/>
    <w:rsid w:val="00B42EE1"/>
    <w:rsid w:val="00B45290"/>
    <w:rsid w:val="00B8293D"/>
    <w:rsid w:val="00B92478"/>
    <w:rsid w:val="00BA6188"/>
    <w:rsid w:val="00BD61A2"/>
    <w:rsid w:val="00BE484D"/>
    <w:rsid w:val="00C37E05"/>
    <w:rsid w:val="00C55D29"/>
    <w:rsid w:val="00CA0BE9"/>
    <w:rsid w:val="00CA138D"/>
    <w:rsid w:val="00CC7641"/>
    <w:rsid w:val="00D13794"/>
    <w:rsid w:val="00D22800"/>
    <w:rsid w:val="00D24052"/>
    <w:rsid w:val="00D24386"/>
    <w:rsid w:val="00D31575"/>
    <w:rsid w:val="00D34626"/>
    <w:rsid w:val="00D34FB4"/>
    <w:rsid w:val="00D4257A"/>
    <w:rsid w:val="00D62665"/>
    <w:rsid w:val="00D82E47"/>
    <w:rsid w:val="00DC0CDE"/>
    <w:rsid w:val="00DC4D72"/>
    <w:rsid w:val="00DE3911"/>
    <w:rsid w:val="00E00B9D"/>
    <w:rsid w:val="00E0624D"/>
    <w:rsid w:val="00E4438C"/>
    <w:rsid w:val="00E457F3"/>
    <w:rsid w:val="00EA4DD8"/>
    <w:rsid w:val="00EB2AEF"/>
    <w:rsid w:val="00EB60B2"/>
    <w:rsid w:val="00EB7E71"/>
    <w:rsid w:val="00EC5C88"/>
    <w:rsid w:val="00F109D4"/>
    <w:rsid w:val="00F15EE9"/>
    <w:rsid w:val="00F47585"/>
    <w:rsid w:val="00F85E6F"/>
    <w:rsid w:val="00F92AA9"/>
    <w:rsid w:val="00F93A65"/>
    <w:rsid w:val="00FA25BD"/>
    <w:rsid w:val="00FD27D4"/>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6F0D0E"/>
  <w15:docId w15:val="{A94B496D-EDBB-4F98-837D-D6C001A6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F9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0201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93E893D43D44D98301152BE5028338"/>
        <w:category>
          <w:name w:val="General"/>
          <w:gallery w:val="placeholder"/>
        </w:category>
        <w:types>
          <w:type w:val="bbPlcHdr"/>
        </w:types>
        <w:behaviors>
          <w:behavior w:val="content"/>
        </w:behaviors>
        <w:guid w:val="{B7B838AC-A80F-4C05-879E-BB38587062E7}"/>
      </w:docPartPr>
      <w:docPartBody>
        <w:p w:rsidR="00790EA2" w:rsidRDefault="00790EA2">
          <w:pPr>
            <w:pStyle w:val="3793E893D43D44D98301152BE502833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A2"/>
    <w:rsid w:val="00790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93E893D43D44D98301152BE5028338">
    <w:name w:val="3793E893D43D44D98301152BE5028338"/>
  </w:style>
  <w:style w:type="paragraph" w:customStyle="1" w:styleId="9AE078B83F644BAEA870B18970F0C293">
    <w:name w:val="9AE078B83F644BAEA870B18970F0C293"/>
  </w:style>
  <w:style w:type="paragraph" w:customStyle="1" w:styleId="42F49C62E5DD433C87F950AAB795A6F0">
    <w:name w:val="42F49C62E5DD433C87F950AAB795A6F0"/>
  </w:style>
  <w:style w:type="paragraph" w:customStyle="1" w:styleId="18623DB508664E408BE70176872C91D6">
    <w:name w:val="18623DB508664E408BE70176872C9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2019RG-111-13112</_dlc_DocId>
    <_dlc_DocIdUrl xmlns="0f563589-9cf9-4143-b1eb-fb0534803d38">
      <Url>http://tweb/sites/rg/ldp/lmu/_layouts/15/DocIdRedir.aspx?ID=2019RG-111-13112</Url>
      <Description>2019RG-111-13112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5028" ma:contentTypeDescription=" " ma:contentTypeScope="" ma:versionID="ad998410a1bbf4f8ff665ca155197e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infopath/2007/PartnerControls"/>
    <ds:schemaRef ds:uri="http://schemas.openxmlformats.org/package/2006/metadata/core-properties"/>
    <ds:schemaRef ds:uri="http://schemas.microsoft.com/sharepoint/v4"/>
    <ds:schemaRef ds:uri="9f7bc583-7cbe-45b9-a2bd-8bbb6543b37e"/>
    <ds:schemaRef ds:uri="http://purl.org/dc/terms/"/>
    <ds:schemaRef ds:uri="http://www.w3.org/XML/1998/namespace"/>
    <ds:schemaRef ds:uri="http://schemas.microsoft.com/office/2006/documentManagement/types"/>
    <ds:schemaRef ds:uri="687b78b0-2ddd-4441-8a8b-c9638c2a1939"/>
    <ds:schemaRef ds:uri="0f563589-9cf9-4143-b1eb-fb0534803d38"/>
    <ds:schemaRef ds:uri="http://schemas.microsoft.com/sharepoint/v3"/>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7E59DE55-B194-4A63-9F74-1D44D8446363}"/>
</file>

<file path=customXml/itemProps5.xml><?xml version="1.0" encoding="utf-8"?>
<ds:datastoreItem xmlns:ds="http://schemas.openxmlformats.org/officeDocument/2006/customXml" ds:itemID="{5F73654A-6557-42A2-AB99-8D7C517DF7A6}"/>
</file>

<file path=customXml/itemProps6.xml><?xml version="1.0" encoding="utf-8"?>
<ds:datastoreItem xmlns:ds="http://schemas.openxmlformats.org/officeDocument/2006/customXml" ds:itemID="{F45ED8D4-5266-4D31-8D58-16489546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327</TotalTime>
  <Pages>4</Pages>
  <Words>1179</Words>
  <Characters>6359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Clulow, Timothy</dc:creator>
  <cp:lastModifiedBy>Leggett, Chris</cp:lastModifiedBy>
  <cp:revision>20</cp:revision>
  <cp:lastPrinted>2019-12-06T04:37:00Z</cp:lastPrinted>
  <dcterms:created xsi:type="dcterms:W3CDTF">2019-11-25T06:41:00Z</dcterms:created>
  <dcterms:modified xsi:type="dcterms:W3CDTF">2019-12-06T04:52:00Z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-1714460209</vt:i4>
  </property>
  <property fmtid="{D5CDD505-2E9C-101B-9397-08002B2CF9AE}" pid="3" name="_NewReviewCycle">
    <vt:lpwstr/>
  </property>
  <property fmtid="{D5CDD505-2E9C-101B-9397-08002B2CF9AE}" pid="4" name="_EmailSubject">
    <vt:lpwstr>ES for Competition and Consumer (Price Monitoring – Petroleum Fuels) Direction 2019</vt:lpwstr>
  </property>
  <property fmtid="{D5CDD505-2E9C-101B-9397-08002B2CF9AE}" pid="5" name="_AuthorEmail">
    <vt:lpwstr>Timothy.Clulow@TREASURY.GOV.AU</vt:lpwstr>
  </property>
  <property fmtid="{D5CDD505-2E9C-101B-9397-08002B2CF9AE}" pid="6" name="_AuthorEmailDisplayName">
    <vt:lpwstr>Clulow, Timothy</vt:lpwstr>
  </property>
  <property fmtid="{D5CDD505-2E9C-101B-9397-08002B2CF9AE}" pid="7" name="ContentTypeId">
    <vt:lpwstr>0x01010036BB8DE7EC542E42A8B2E98CC20CB69700D5C18F41BA18FB44827A222ACD6776F5</vt:lpwstr>
  </property>
  <property fmtid="{D5CDD505-2E9C-101B-9397-08002B2CF9AE}" pid="8" name="TSYRecordClass">
    <vt:lpwstr>7;#TSY RA-9236 - Retain as national archives|c6a225b4-6b93-473e-bcbb-6bc6ab25b623</vt:lpwstr>
  </property>
  <property fmtid="{D5CDD505-2E9C-101B-9397-08002B2CF9AE}" pid="9" name="_dlc_DocIdItemGuid">
    <vt:lpwstr>7cbe2799-f99f-4dba-9293-ddfe854ee51d</vt:lpwstr>
  </property>
  <property fmtid="{D5CDD505-2E9C-101B-9397-08002B2CF9AE}" pid="10" name="_PreviousAdHocReviewCycleID">
    <vt:i4>-1714460209</vt:i4>
  </property>
  <property fmtid="{D5CDD505-2E9C-101B-9397-08002B2CF9AE}" pid="12" name="RecordPoint_WorkflowType">
    <vt:lpwstr>ActiveSubmitStub</vt:lpwstr>
  </property>
  <property fmtid="{D5CDD505-2E9C-101B-9397-08002B2CF9AE}" pid="13" name="RecordPoint_ActiveItemUniqueId">
    <vt:lpwstr>{68fc5e7c-8bfb-4484-ba80-044043e8bf51}</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ies>
</file>