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9A" w:rsidRDefault="004C7C9A" w:rsidP="004C7C9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9178805" r:id="rId9"/>
        </w:object>
      </w:r>
    </w:p>
    <w:p w:rsidR="004C7C9A" w:rsidRPr="00E500D4" w:rsidRDefault="004C7C9A" w:rsidP="004C7C9A">
      <w:pPr>
        <w:pStyle w:val="ShortT"/>
        <w:spacing w:before="240"/>
      </w:pPr>
      <w:r>
        <w:t>Therapeutic Goods Legislation Amendment (2019 Meas</w:t>
      </w:r>
      <w:bookmarkStart w:id="0" w:name="_GoBack"/>
      <w:bookmarkEnd w:id="0"/>
      <w:r>
        <w:t xml:space="preserve">ures No. 1) </w:t>
      </w:r>
      <w:r w:rsidR="00D425F1">
        <w:t>Regulations 2</w:t>
      </w:r>
      <w:r>
        <w:t>019</w:t>
      </w:r>
    </w:p>
    <w:p w:rsidR="004C7C9A" w:rsidRDefault="004C7C9A" w:rsidP="004C7C9A">
      <w:pPr>
        <w:pStyle w:val="MadeunderText"/>
      </w:pPr>
      <w:r>
        <w:t>made under the</w:t>
      </w:r>
    </w:p>
    <w:p w:rsidR="004C7C9A" w:rsidRPr="004E4F1A" w:rsidRDefault="004C7C9A" w:rsidP="004C7C9A">
      <w:pPr>
        <w:pStyle w:val="CompiledMadeUnder"/>
        <w:spacing w:before="240"/>
      </w:pPr>
      <w:r>
        <w:t>Therapeutic Goods Act 1989</w:t>
      </w:r>
      <w:r w:rsidRPr="004E4F1A">
        <w:rPr>
          <w:i w:val="0"/>
        </w:rPr>
        <w:t xml:space="preserve"> and the </w:t>
      </w:r>
      <w:r>
        <w:t>Therapeutic Goods (Charges) Act 1989</w:t>
      </w:r>
    </w:p>
    <w:p w:rsidR="004C7C9A" w:rsidRPr="00376CEF" w:rsidRDefault="004C7C9A" w:rsidP="004C7C9A">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6E5FB0">
        <w:rPr>
          <w:rFonts w:cs="Arial"/>
          <w:b/>
          <w:sz w:val="32"/>
          <w:szCs w:val="32"/>
        </w:rPr>
        <w:t>1</w:t>
      </w:r>
      <w:r>
        <w:rPr>
          <w:rFonts w:cs="Arial"/>
          <w:b/>
          <w:sz w:val="32"/>
          <w:szCs w:val="32"/>
        </w:rPr>
        <w:fldChar w:fldCharType="end"/>
      </w:r>
    </w:p>
    <w:p w:rsidR="004C7C9A" w:rsidRDefault="004C7C9A" w:rsidP="004C7C9A">
      <w:pPr>
        <w:tabs>
          <w:tab w:val="left" w:pos="3600"/>
        </w:tabs>
        <w:spacing w:before="480"/>
        <w:rPr>
          <w:rFonts w:cs="Arial"/>
          <w:sz w:val="24"/>
        </w:rPr>
      </w:pPr>
      <w:r>
        <w:rPr>
          <w:rFonts w:cs="Arial"/>
          <w:b/>
          <w:sz w:val="24"/>
        </w:rPr>
        <w:t>Compilation date:</w:t>
      </w:r>
      <w:r>
        <w:rPr>
          <w:rFonts w:cs="Arial"/>
          <w:b/>
          <w:sz w:val="24"/>
        </w:rPr>
        <w:tab/>
      </w:r>
      <w:r w:rsidRPr="006E5FB0">
        <w:rPr>
          <w:rFonts w:cs="Arial"/>
          <w:sz w:val="24"/>
        </w:rPr>
        <w:fldChar w:fldCharType="begin"/>
      </w:r>
      <w:r w:rsidRPr="006E5FB0">
        <w:rPr>
          <w:rFonts w:cs="Arial"/>
          <w:sz w:val="24"/>
        </w:rPr>
        <w:instrText xml:space="preserve"> DOCPROPERTY StartDate \@ "d MMMM yyyy" \*MERGEFORMAT </w:instrText>
      </w:r>
      <w:r w:rsidRPr="006E5FB0">
        <w:rPr>
          <w:rFonts w:cs="Arial"/>
          <w:sz w:val="24"/>
        </w:rPr>
        <w:fldChar w:fldCharType="separate"/>
      </w:r>
      <w:r w:rsidR="006E5FB0" w:rsidRPr="006E5FB0">
        <w:rPr>
          <w:rFonts w:cs="Arial"/>
          <w:bCs/>
          <w:sz w:val="24"/>
          <w:lang w:val="en-US"/>
        </w:rPr>
        <w:t>24 July</w:t>
      </w:r>
      <w:r w:rsidR="006E5FB0">
        <w:rPr>
          <w:rFonts w:cs="Arial"/>
          <w:sz w:val="24"/>
        </w:rPr>
        <w:t xml:space="preserve"> 2020</w:t>
      </w:r>
      <w:r w:rsidRPr="006E5FB0">
        <w:rPr>
          <w:rFonts w:cs="Arial"/>
          <w:sz w:val="24"/>
        </w:rPr>
        <w:fldChar w:fldCharType="end"/>
      </w:r>
    </w:p>
    <w:p w:rsidR="004C7C9A" w:rsidRDefault="004C7C9A" w:rsidP="004C7C9A">
      <w:pPr>
        <w:spacing w:before="240"/>
        <w:rPr>
          <w:rFonts w:cs="Arial"/>
          <w:sz w:val="24"/>
        </w:rPr>
      </w:pPr>
      <w:r w:rsidRPr="00FD265D">
        <w:rPr>
          <w:rFonts w:cs="Arial"/>
          <w:b/>
          <w:sz w:val="24"/>
        </w:rPr>
        <w:t>Includes amendments up to:</w:t>
      </w:r>
      <w:r w:rsidRPr="00FD265D">
        <w:rPr>
          <w:rFonts w:cs="Arial"/>
          <w:b/>
          <w:sz w:val="24"/>
        </w:rPr>
        <w:tab/>
      </w:r>
      <w:r w:rsidRPr="006E5FB0">
        <w:rPr>
          <w:rFonts w:cs="Arial"/>
          <w:sz w:val="24"/>
        </w:rPr>
        <w:fldChar w:fldCharType="begin"/>
      </w:r>
      <w:r w:rsidRPr="006E5FB0">
        <w:rPr>
          <w:rFonts w:cs="Arial"/>
          <w:sz w:val="24"/>
        </w:rPr>
        <w:instrText xml:space="preserve"> DOCPROPERTY IncludesUpTo </w:instrText>
      </w:r>
      <w:r w:rsidRPr="006E5FB0">
        <w:rPr>
          <w:rFonts w:cs="Arial"/>
          <w:sz w:val="24"/>
        </w:rPr>
        <w:fldChar w:fldCharType="separate"/>
      </w:r>
      <w:r w:rsidR="006E5FB0">
        <w:rPr>
          <w:rFonts w:cs="Arial"/>
          <w:sz w:val="24"/>
        </w:rPr>
        <w:t>F2020L00946</w:t>
      </w:r>
      <w:r w:rsidRPr="006E5FB0">
        <w:rPr>
          <w:rFonts w:cs="Arial"/>
          <w:sz w:val="24"/>
        </w:rPr>
        <w:fldChar w:fldCharType="end"/>
      </w:r>
    </w:p>
    <w:p w:rsidR="004C7C9A" w:rsidRPr="008D251B" w:rsidRDefault="004C7C9A" w:rsidP="004C7C9A">
      <w:pPr>
        <w:tabs>
          <w:tab w:val="left" w:pos="3600"/>
        </w:tabs>
        <w:spacing w:before="240" w:after="240"/>
        <w:rPr>
          <w:rFonts w:cs="Arial"/>
          <w:sz w:val="28"/>
          <w:szCs w:val="28"/>
        </w:rPr>
      </w:pPr>
      <w:r w:rsidRPr="00376CEF">
        <w:rPr>
          <w:rFonts w:cs="Arial"/>
          <w:b/>
          <w:sz w:val="24"/>
        </w:rPr>
        <w:t>Registered:</w:t>
      </w:r>
      <w:r>
        <w:rPr>
          <w:rFonts w:cs="Arial"/>
          <w:b/>
          <w:sz w:val="24"/>
        </w:rPr>
        <w:tab/>
      </w:r>
      <w:r w:rsidRPr="006E5FB0">
        <w:rPr>
          <w:rFonts w:cs="Arial"/>
          <w:sz w:val="24"/>
        </w:rPr>
        <w:fldChar w:fldCharType="begin"/>
      </w:r>
      <w:r w:rsidRPr="006E5FB0">
        <w:rPr>
          <w:rFonts w:cs="Arial"/>
          <w:sz w:val="24"/>
        </w:rPr>
        <w:instrText xml:space="preserve"> IF </w:instrText>
      </w:r>
      <w:r w:rsidRPr="006E5FB0">
        <w:rPr>
          <w:rFonts w:cs="Arial"/>
          <w:sz w:val="24"/>
        </w:rPr>
        <w:fldChar w:fldCharType="begin"/>
      </w:r>
      <w:r w:rsidRPr="006E5FB0">
        <w:rPr>
          <w:rFonts w:cs="Arial"/>
          <w:sz w:val="24"/>
        </w:rPr>
        <w:instrText xml:space="preserve"> DOCPROPERTY RegisteredDate </w:instrText>
      </w:r>
      <w:r w:rsidRPr="006E5FB0">
        <w:rPr>
          <w:rFonts w:cs="Arial"/>
          <w:sz w:val="24"/>
        </w:rPr>
        <w:fldChar w:fldCharType="separate"/>
      </w:r>
      <w:r w:rsidR="006E5FB0">
        <w:rPr>
          <w:rFonts w:cs="Arial"/>
          <w:sz w:val="24"/>
        </w:rPr>
        <w:instrText>17 August 2020</w:instrText>
      </w:r>
      <w:r w:rsidRPr="006E5FB0">
        <w:rPr>
          <w:rFonts w:cs="Arial"/>
          <w:sz w:val="24"/>
        </w:rPr>
        <w:fldChar w:fldCharType="end"/>
      </w:r>
      <w:r w:rsidRPr="006E5FB0">
        <w:rPr>
          <w:rFonts w:cs="Arial"/>
          <w:sz w:val="24"/>
        </w:rPr>
        <w:instrText xml:space="preserve"> = #1/1/1901# "Unknown" </w:instrText>
      </w:r>
      <w:r w:rsidRPr="006E5FB0">
        <w:rPr>
          <w:rFonts w:cs="Arial"/>
          <w:sz w:val="24"/>
        </w:rPr>
        <w:fldChar w:fldCharType="begin"/>
      </w:r>
      <w:r w:rsidRPr="006E5FB0">
        <w:rPr>
          <w:rFonts w:cs="Arial"/>
          <w:sz w:val="24"/>
        </w:rPr>
        <w:instrText xml:space="preserve"> DOCPROPERTY RegisteredDate \@ "d MMMM yyyy" </w:instrText>
      </w:r>
      <w:r w:rsidRPr="006E5FB0">
        <w:rPr>
          <w:rFonts w:cs="Arial"/>
          <w:sz w:val="24"/>
        </w:rPr>
        <w:fldChar w:fldCharType="separate"/>
      </w:r>
      <w:r w:rsidR="006E5FB0">
        <w:rPr>
          <w:rFonts w:cs="Arial"/>
          <w:sz w:val="24"/>
        </w:rPr>
        <w:instrText>17 August 2020</w:instrText>
      </w:r>
      <w:r w:rsidRPr="006E5FB0">
        <w:rPr>
          <w:rFonts w:cs="Arial"/>
          <w:sz w:val="24"/>
        </w:rPr>
        <w:fldChar w:fldCharType="end"/>
      </w:r>
      <w:r w:rsidRPr="006E5FB0">
        <w:rPr>
          <w:rFonts w:cs="Arial"/>
          <w:sz w:val="24"/>
        </w:rPr>
        <w:instrText xml:space="preserve"> \*MERGEFORMAT </w:instrText>
      </w:r>
      <w:r w:rsidRPr="006E5FB0">
        <w:rPr>
          <w:rFonts w:cs="Arial"/>
          <w:sz w:val="24"/>
        </w:rPr>
        <w:fldChar w:fldCharType="separate"/>
      </w:r>
      <w:r w:rsidR="006E5FB0" w:rsidRPr="006E5FB0">
        <w:rPr>
          <w:rFonts w:cs="Arial"/>
          <w:bCs/>
          <w:noProof/>
          <w:sz w:val="24"/>
          <w:lang w:val="en-US"/>
        </w:rPr>
        <w:t>17 August</w:t>
      </w:r>
      <w:r w:rsidR="006E5FB0">
        <w:rPr>
          <w:rFonts w:cs="Arial"/>
          <w:noProof/>
          <w:sz w:val="24"/>
        </w:rPr>
        <w:t xml:space="preserve"> 2020</w:t>
      </w:r>
      <w:r w:rsidRPr="006E5FB0">
        <w:rPr>
          <w:rFonts w:cs="Arial"/>
          <w:sz w:val="24"/>
        </w:rPr>
        <w:fldChar w:fldCharType="end"/>
      </w:r>
    </w:p>
    <w:p w:rsidR="004C7C9A" w:rsidRPr="00DA25EC" w:rsidRDefault="004C7C9A" w:rsidP="004C7C9A">
      <w:pPr>
        <w:pageBreakBefore/>
        <w:rPr>
          <w:rFonts w:cs="Arial"/>
          <w:b/>
          <w:sz w:val="32"/>
          <w:szCs w:val="32"/>
        </w:rPr>
      </w:pPr>
      <w:r w:rsidRPr="00DA25EC">
        <w:rPr>
          <w:rFonts w:cs="Arial"/>
          <w:b/>
          <w:sz w:val="32"/>
          <w:szCs w:val="32"/>
        </w:rPr>
        <w:lastRenderedPageBreak/>
        <w:t>About this compilation</w:t>
      </w:r>
    </w:p>
    <w:p w:rsidR="004C7C9A" w:rsidRPr="00DA25EC" w:rsidRDefault="004C7C9A" w:rsidP="004C7C9A">
      <w:pPr>
        <w:spacing w:before="240"/>
        <w:rPr>
          <w:rFonts w:cs="Arial"/>
        </w:rPr>
      </w:pPr>
      <w:r w:rsidRPr="00DA25EC">
        <w:rPr>
          <w:rFonts w:cs="Arial"/>
          <w:b/>
          <w:szCs w:val="22"/>
        </w:rPr>
        <w:t>This compilation</w:t>
      </w:r>
    </w:p>
    <w:p w:rsidR="004C7C9A" w:rsidRPr="00DA25EC" w:rsidRDefault="004C7C9A" w:rsidP="004C7C9A">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E5FB0">
        <w:rPr>
          <w:rFonts w:cs="Arial"/>
          <w:i/>
          <w:noProof/>
          <w:szCs w:val="22"/>
        </w:rPr>
        <w:t>Therapeutic Goods Legislation Amendment (2019 Measures No. 1) Regulations 2019</w:t>
      </w:r>
      <w:r w:rsidRPr="00DA25EC">
        <w:rPr>
          <w:rFonts w:cs="Arial"/>
          <w:i/>
          <w:szCs w:val="22"/>
        </w:rPr>
        <w:fldChar w:fldCharType="end"/>
      </w:r>
      <w:r w:rsidRPr="00DA25EC">
        <w:rPr>
          <w:rFonts w:cs="Arial"/>
          <w:szCs w:val="22"/>
        </w:rPr>
        <w:t xml:space="preserve"> that shows the text of the law as amended and in force on </w:t>
      </w:r>
      <w:r w:rsidRPr="006E5FB0">
        <w:rPr>
          <w:rFonts w:cs="Arial"/>
          <w:szCs w:val="22"/>
        </w:rPr>
        <w:fldChar w:fldCharType="begin"/>
      </w:r>
      <w:r w:rsidRPr="006E5FB0">
        <w:rPr>
          <w:rFonts w:cs="Arial"/>
          <w:szCs w:val="22"/>
        </w:rPr>
        <w:instrText xml:space="preserve"> DOCPROPERTY StartDate \@ "d MMMM yyyy" </w:instrText>
      </w:r>
      <w:r w:rsidRPr="006E5FB0">
        <w:rPr>
          <w:rFonts w:cs="Arial"/>
          <w:szCs w:val="22"/>
        </w:rPr>
        <w:fldChar w:fldCharType="separate"/>
      </w:r>
      <w:r w:rsidR="006E5FB0">
        <w:rPr>
          <w:rFonts w:cs="Arial"/>
          <w:szCs w:val="22"/>
        </w:rPr>
        <w:t>24 July 2020</w:t>
      </w:r>
      <w:r w:rsidRPr="006E5FB0">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4C7C9A" w:rsidRPr="00DA25EC" w:rsidRDefault="004C7C9A" w:rsidP="004C7C9A">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4C7C9A" w:rsidRPr="00DA25EC" w:rsidRDefault="004C7C9A" w:rsidP="004C7C9A">
      <w:pPr>
        <w:tabs>
          <w:tab w:val="left" w:pos="5640"/>
        </w:tabs>
        <w:spacing w:before="120" w:after="120"/>
        <w:rPr>
          <w:rFonts w:cs="Arial"/>
          <w:b/>
          <w:szCs w:val="22"/>
        </w:rPr>
      </w:pPr>
      <w:r w:rsidRPr="00DA25EC">
        <w:rPr>
          <w:rFonts w:cs="Arial"/>
          <w:b/>
          <w:szCs w:val="22"/>
        </w:rPr>
        <w:t>Uncommenced amendments</w:t>
      </w:r>
    </w:p>
    <w:p w:rsidR="004C7C9A" w:rsidRPr="00DA25EC" w:rsidRDefault="004C7C9A" w:rsidP="004C7C9A">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4C7C9A" w:rsidRPr="00DA25EC" w:rsidRDefault="004C7C9A" w:rsidP="004C7C9A">
      <w:pPr>
        <w:spacing w:before="120" w:after="120"/>
        <w:rPr>
          <w:rFonts w:cs="Arial"/>
          <w:b/>
          <w:szCs w:val="22"/>
        </w:rPr>
      </w:pPr>
      <w:r w:rsidRPr="00DA25EC">
        <w:rPr>
          <w:rFonts w:cs="Arial"/>
          <w:b/>
          <w:szCs w:val="22"/>
        </w:rPr>
        <w:t>Application, saving and transitional provisions for provisions and amendments</w:t>
      </w:r>
    </w:p>
    <w:p w:rsidR="004C7C9A" w:rsidRDefault="004C7C9A" w:rsidP="004C7C9A">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4C7C9A" w:rsidRDefault="004C7C9A" w:rsidP="004C7C9A">
      <w:pPr>
        <w:spacing w:after="120"/>
        <w:rPr>
          <w:rFonts w:cs="Arial"/>
          <w:b/>
          <w:szCs w:val="22"/>
        </w:rPr>
      </w:pPr>
      <w:r w:rsidRPr="003F3B80">
        <w:rPr>
          <w:rFonts w:cs="Arial"/>
          <w:b/>
          <w:szCs w:val="22"/>
        </w:rPr>
        <w:t>Editorial changes</w:t>
      </w:r>
    </w:p>
    <w:p w:rsidR="004C7C9A" w:rsidRPr="003F3B80" w:rsidRDefault="004C7C9A" w:rsidP="004C7C9A">
      <w:pPr>
        <w:spacing w:after="120"/>
        <w:rPr>
          <w:rFonts w:cs="Arial"/>
          <w:szCs w:val="22"/>
        </w:rPr>
      </w:pPr>
      <w:r>
        <w:rPr>
          <w:rFonts w:cs="Arial"/>
          <w:szCs w:val="22"/>
        </w:rPr>
        <w:t>For more information about any editorial changes made in this compilation, see the endnotes.</w:t>
      </w:r>
    </w:p>
    <w:p w:rsidR="004C7C9A" w:rsidRPr="00DA25EC" w:rsidRDefault="004C7C9A" w:rsidP="004C7C9A">
      <w:pPr>
        <w:spacing w:before="120" w:after="120"/>
        <w:rPr>
          <w:rFonts w:cs="Arial"/>
          <w:b/>
          <w:szCs w:val="22"/>
        </w:rPr>
      </w:pPr>
      <w:r w:rsidRPr="00DA25EC">
        <w:rPr>
          <w:rFonts w:cs="Arial"/>
          <w:b/>
          <w:szCs w:val="22"/>
        </w:rPr>
        <w:t>Modifications</w:t>
      </w:r>
    </w:p>
    <w:p w:rsidR="004C7C9A" w:rsidRPr="00DA25EC" w:rsidRDefault="004C7C9A" w:rsidP="004C7C9A">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4C7C9A" w:rsidRPr="00DA25EC" w:rsidRDefault="004C7C9A" w:rsidP="004C7C9A">
      <w:pPr>
        <w:spacing w:before="80" w:after="120"/>
        <w:rPr>
          <w:rFonts w:cs="Arial"/>
          <w:b/>
          <w:szCs w:val="22"/>
        </w:rPr>
      </w:pPr>
      <w:r w:rsidRPr="00DA25EC">
        <w:rPr>
          <w:rFonts w:cs="Arial"/>
          <w:b/>
          <w:szCs w:val="22"/>
        </w:rPr>
        <w:t>Self</w:t>
      </w:r>
      <w:r w:rsidR="00D425F1">
        <w:rPr>
          <w:rFonts w:cs="Arial"/>
          <w:b/>
          <w:szCs w:val="22"/>
        </w:rPr>
        <w:noBreakHyphen/>
      </w:r>
      <w:r w:rsidRPr="00DA25EC">
        <w:rPr>
          <w:rFonts w:cs="Arial"/>
          <w:b/>
          <w:szCs w:val="22"/>
        </w:rPr>
        <w:t>repealing provisions</w:t>
      </w:r>
    </w:p>
    <w:p w:rsidR="004C7C9A" w:rsidRPr="00B75B4D" w:rsidRDefault="004C7C9A" w:rsidP="004C7C9A">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4C7C9A" w:rsidRPr="004E4F1A" w:rsidRDefault="004C7C9A" w:rsidP="004C7C9A">
      <w:pPr>
        <w:pStyle w:val="Header"/>
        <w:tabs>
          <w:tab w:val="clear" w:pos="4150"/>
          <w:tab w:val="clear" w:pos="8307"/>
        </w:tabs>
        <w:rPr>
          <w:rStyle w:val="CharAmSchText"/>
        </w:rPr>
      </w:pPr>
      <w:r w:rsidRPr="004E4F1A">
        <w:rPr>
          <w:rStyle w:val="CharAmSchNo"/>
        </w:rPr>
        <w:t xml:space="preserve"> </w:t>
      </w:r>
      <w:r w:rsidRPr="004E4F1A">
        <w:rPr>
          <w:rStyle w:val="CharAmSchText"/>
        </w:rPr>
        <w:t xml:space="preserve"> </w:t>
      </w:r>
    </w:p>
    <w:p w:rsidR="004C7C9A" w:rsidRPr="004E4F1A" w:rsidRDefault="004C7C9A" w:rsidP="004C7C9A">
      <w:pPr>
        <w:pStyle w:val="Header"/>
        <w:tabs>
          <w:tab w:val="clear" w:pos="4150"/>
          <w:tab w:val="clear" w:pos="8307"/>
        </w:tabs>
        <w:rPr>
          <w:rStyle w:val="CharAmPartText"/>
        </w:rPr>
      </w:pPr>
      <w:r w:rsidRPr="004E4F1A">
        <w:rPr>
          <w:rStyle w:val="CharAmPartNo"/>
        </w:rPr>
        <w:t xml:space="preserve"> </w:t>
      </w:r>
      <w:r w:rsidRPr="004E4F1A">
        <w:rPr>
          <w:rStyle w:val="CharAmPartText"/>
        </w:rPr>
        <w:t xml:space="preserve"> </w:t>
      </w:r>
    </w:p>
    <w:p w:rsidR="004C7C9A" w:rsidRPr="00ED79B6" w:rsidRDefault="004C7C9A" w:rsidP="004C7C9A">
      <w:pPr>
        <w:pStyle w:val="Header"/>
        <w:tabs>
          <w:tab w:val="clear" w:pos="4150"/>
          <w:tab w:val="clear" w:pos="8307"/>
        </w:tabs>
      </w:pPr>
      <w:r w:rsidRPr="00ED79B6">
        <w:rPr>
          <w:rStyle w:val="CharDivNo"/>
        </w:rPr>
        <w:t xml:space="preserve"> </w:t>
      </w:r>
      <w:r w:rsidRPr="00ED79B6">
        <w:rPr>
          <w:rStyle w:val="CharDivText"/>
        </w:rPr>
        <w:t xml:space="preserve"> </w:t>
      </w:r>
    </w:p>
    <w:p w:rsidR="004C7C9A" w:rsidRDefault="004C7C9A" w:rsidP="004C7C9A">
      <w:pPr>
        <w:sectPr w:rsidR="004C7C9A" w:rsidSect="00E35C6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4C7C9A" w:rsidRPr="00B14E91" w:rsidRDefault="004C7C9A" w:rsidP="004C7C9A">
      <w:pPr>
        <w:rPr>
          <w:sz w:val="36"/>
        </w:rPr>
      </w:pPr>
      <w:r w:rsidRPr="00B14E91">
        <w:rPr>
          <w:sz w:val="36"/>
        </w:rPr>
        <w:lastRenderedPageBreak/>
        <w:t>Contents</w:t>
      </w:r>
    </w:p>
    <w:p w:rsidR="00367A30" w:rsidRDefault="004C7C9A">
      <w:pPr>
        <w:pStyle w:val="TOC5"/>
        <w:rPr>
          <w:rFonts w:asciiTheme="minorHAnsi" w:eastAsiaTheme="minorEastAsia" w:hAnsiTheme="minorHAnsi" w:cstheme="minorBidi"/>
          <w:noProof/>
          <w:kern w:val="0"/>
          <w:sz w:val="22"/>
          <w:szCs w:val="22"/>
        </w:rPr>
      </w:pPr>
      <w:r w:rsidRPr="0002198D">
        <w:fldChar w:fldCharType="begin"/>
      </w:r>
      <w:r w:rsidRPr="00B14E91">
        <w:instrText xml:space="preserve"> TOC \o "1-9" </w:instrText>
      </w:r>
      <w:r w:rsidRPr="0002198D">
        <w:fldChar w:fldCharType="separate"/>
      </w:r>
      <w:r w:rsidR="00367A30">
        <w:rPr>
          <w:noProof/>
        </w:rPr>
        <w:t>1</w:t>
      </w:r>
      <w:r w:rsidR="00367A30">
        <w:rPr>
          <w:noProof/>
        </w:rPr>
        <w:tab/>
        <w:t>Name</w:t>
      </w:r>
      <w:r w:rsidR="00367A30" w:rsidRPr="00367A30">
        <w:rPr>
          <w:noProof/>
        </w:rPr>
        <w:tab/>
      </w:r>
      <w:r w:rsidR="00367A30" w:rsidRPr="00367A30">
        <w:rPr>
          <w:noProof/>
        </w:rPr>
        <w:fldChar w:fldCharType="begin"/>
      </w:r>
      <w:r w:rsidR="00367A30" w:rsidRPr="00367A30">
        <w:rPr>
          <w:noProof/>
        </w:rPr>
        <w:instrText xml:space="preserve"> PAGEREF _Toc48564260 \h </w:instrText>
      </w:r>
      <w:r w:rsidR="00367A30" w:rsidRPr="00367A30">
        <w:rPr>
          <w:noProof/>
        </w:rPr>
      </w:r>
      <w:r w:rsidR="00367A30" w:rsidRPr="00367A30">
        <w:rPr>
          <w:noProof/>
        </w:rPr>
        <w:fldChar w:fldCharType="separate"/>
      </w:r>
      <w:r w:rsidR="006E5FB0">
        <w:rPr>
          <w:noProof/>
        </w:rPr>
        <w:t>1</w:t>
      </w:r>
      <w:r w:rsidR="00367A30" w:rsidRPr="00367A30">
        <w:rPr>
          <w:noProof/>
        </w:rPr>
        <w:fldChar w:fldCharType="end"/>
      </w:r>
    </w:p>
    <w:p w:rsidR="00367A30" w:rsidRDefault="00367A30">
      <w:pPr>
        <w:pStyle w:val="TOC5"/>
        <w:rPr>
          <w:rFonts w:asciiTheme="minorHAnsi" w:eastAsiaTheme="minorEastAsia" w:hAnsiTheme="minorHAnsi" w:cstheme="minorBidi"/>
          <w:noProof/>
          <w:kern w:val="0"/>
          <w:sz w:val="22"/>
          <w:szCs w:val="22"/>
        </w:rPr>
      </w:pPr>
      <w:r>
        <w:rPr>
          <w:noProof/>
        </w:rPr>
        <w:t>2</w:t>
      </w:r>
      <w:r>
        <w:rPr>
          <w:noProof/>
        </w:rPr>
        <w:tab/>
        <w:t>Commencement</w:t>
      </w:r>
      <w:r w:rsidRPr="00367A30">
        <w:rPr>
          <w:noProof/>
        </w:rPr>
        <w:tab/>
      </w:r>
      <w:r w:rsidRPr="00367A30">
        <w:rPr>
          <w:noProof/>
        </w:rPr>
        <w:fldChar w:fldCharType="begin"/>
      </w:r>
      <w:r w:rsidRPr="00367A30">
        <w:rPr>
          <w:noProof/>
        </w:rPr>
        <w:instrText xml:space="preserve"> PAGEREF _Toc48564261 \h </w:instrText>
      </w:r>
      <w:r w:rsidRPr="00367A30">
        <w:rPr>
          <w:noProof/>
        </w:rPr>
      </w:r>
      <w:r w:rsidRPr="00367A30">
        <w:rPr>
          <w:noProof/>
        </w:rPr>
        <w:fldChar w:fldCharType="separate"/>
      </w:r>
      <w:r w:rsidR="006E5FB0">
        <w:rPr>
          <w:noProof/>
        </w:rPr>
        <w:t>1</w:t>
      </w:r>
      <w:r w:rsidRPr="00367A30">
        <w:rPr>
          <w:noProof/>
        </w:rPr>
        <w:fldChar w:fldCharType="end"/>
      </w:r>
    </w:p>
    <w:p w:rsidR="00367A30" w:rsidRDefault="00367A30">
      <w:pPr>
        <w:pStyle w:val="TOC5"/>
        <w:rPr>
          <w:rFonts w:asciiTheme="minorHAnsi" w:eastAsiaTheme="minorEastAsia" w:hAnsiTheme="minorHAnsi" w:cstheme="minorBidi"/>
          <w:noProof/>
          <w:kern w:val="0"/>
          <w:sz w:val="22"/>
          <w:szCs w:val="22"/>
        </w:rPr>
      </w:pPr>
      <w:r>
        <w:rPr>
          <w:noProof/>
        </w:rPr>
        <w:t>3</w:t>
      </w:r>
      <w:r>
        <w:rPr>
          <w:noProof/>
        </w:rPr>
        <w:tab/>
        <w:t>Authority</w:t>
      </w:r>
      <w:r w:rsidRPr="00367A30">
        <w:rPr>
          <w:noProof/>
        </w:rPr>
        <w:tab/>
      </w:r>
      <w:r w:rsidRPr="00367A30">
        <w:rPr>
          <w:noProof/>
        </w:rPr>
        <w:fldChar w:fldCharType="begin"/>
      </w:r>
      <w:r w:rsidRPr="00367A30">
        <w:rPr>
          <w:noProof/>
        </w:rPr>
        <w:instrText xml:space="preserve"> PAGEREF _Toc48564262 \h </w:instrText>
      </w:r>
      <w:r w:rsidRPr="00367A30">
        <w:rPr>
          <w:noProof/>
        </w:rPr>
      </w:r>
      <w:r w:rsidRPr="00367A30">
        <w:rPr>
          <w:noProof/>
        </w:rPr>
        <w:fldChar w:fldCharType="separate"/>
      </w:r>
      <w:r w:rsidR="006E5FB0">
        <w:rPr>
          <w:noProof/>
        </w:rPr>
        <w:t>1</w:t>
      </w:r>
      <w:r w:rsidRPr="00367A30">
        <w:rPr>
          <w:noProof/>
        </w:rPr>
        <w:fldChar w:fldCharType="end"/>
      </w:r>
    </w:p>
    <w:p w:rsidR="00367A30" w:rsidRDefault="00367A30">
      <w:pPr>
        <w:pStyle w:val="TOC5"/>
        <w:rPr>
          <w:rFonts w:asciiTheme="minorHAnsi" w:eastAsiaTheme="minorEastAsia" w:hAnsiTheme="minorHAnsi" w:cstheme="minorBidi"/>
          <w:noProof/>
          <w:kern w:val="0"/>
          <w:sz w:val="22"/>
          <w:szCs w:val="22"/>
        </w:rPr>
      </w:pPr>
      <w:r>
        <w:rPr>
          <w:noProof/>
        </w:rPr>
        <w:t>4</w:t>
      </w:r>
      <w:r>
        <w:rPr>
          <w:noProof/>
        </w:rPr>
        <w:tab/>
        <w:t>Schedules</w:t>
      </w:r>
      <w:r w:rsidRPr="00367A30">
        <w:rPr>
          <w:noProof/>
        </w:rPr>
        <w:tab/>
      </w:r>
      <w:r w:rsidRPr="00367A30">
        <w:rPr>
          <w:noProof/>
        </w:rPr>
        <w:fldChar w:fldCharType="begin"/>
      </w:r>
      <w:r w:rsidRPr="00367A30">
        <w:rPr>
          <w:noProof/>
        </w:rPr>
        <w:instrText xml:space="preserve"> PAGEREF _Toc48564263 \h </w:instrText>
      </w:r>
      <w:r w:rsidRPr="00367A30">
        <w:rPr>
          <w:noProof/>
        </w:rPr>
      </w:r>
      <w:r w:rsidRPr="00367A30">
        <w:rPr>
          <w:noProof/>
        </w:rPr>
        <w:fldChar w:fldCharType="separate"/>
      </w:r>
      <w:r w:rsidR="006E5FB0">
        <w:rPr>
          <w:noProof/>
        </w:rPr>
        <w:t>2</w:t>
      </w:r>
      <w:r w:rsidRPr="00367A30">
        <w:rPr>
          <w:noProof/>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1—Reclassification of medical devices</w:t>
      </w:r>
      <w:r w:rsidRPr="00367A30">
        <w:rPr>
          <w:b w:val="0"/>
          <w:noProof/>
          <w:sz w:val="18"/>
        </w:rPr>
        <w:tab/>
      </w:r>
      <w:r w:rsidRPr="00367A30">
        <w:rPr>
          <w:b w:val="0"/>
          <w:noProof/>
          <w:sz w:val="18"/>
        </w:rPr>
        <w:fldChar w:fldCharType="begin"/>
      </w:r>
      <w:r w:rsidRPr="00367A30">
        <w:rPr>
          <w:b w:val="0"/>
          <w:noProof/>
          <w:sz w:val="18"/>
        </w:rPr>
        <w:instrText xml:space="preserve"> PAGEREF _Toc48564264 \h </w:instrText>
      </w:r>
      <w:r w:rsidRPr="00367A30">
        <w:rPr>
          <w:b w:val="0"/>
          <w:noProof/>
          <w:sz w:val="18"/>
        </w:rPr>
      </w:r>
      <w:r w:rsidRPr="00367A30">
        <w:rPr>
          <w:b w:val="0"/>
          <w:noProof/>
          <w:sz w:val="18"/>
        </w:rPr>
        <w:fldChar w:fldCharType="separate"/>
      </w:r>
      <w:r w:rsidR="006E5FB0">
        <w:rPr>
          <w:b w:val="0"/>
          <w:noProof/>
          <w:sz w:val="18"/>
        </w:rPr>
        <w:t>3</w:t>
      </w:r>
      <w:r w:rsidRPr="00367A30">
        <w:rPr>
          <w:b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1—Spinal implantable medical devices</w:t>
      </w:r>
      <w:r w:rsidRPr="00367A30">
        <w:rPr>
          <w:noProof/>
          <w:sz w:val="18"/>
        </w:rPr>
        <w:tab/>
      </w:r>
      <w:r w:rsidRPr="00367A30">
        <w:rPr>
          <w:noProof/>
          <w:sz w:val="18"/>
        </w:rPr>
        <w:fldChar w:fldCharType="begin"/>
      </w:r>
      <w:r w:rsidRPr="00367A30">
        <w:rPr>
          <w:noProof/>
          <w:sz w:val="18"/>
        </w:rPr>
        <w:instrText xml:space="preserve"> PAGEREF _Toc48564265 \h </w:instrText>
      </w:r>
      <w:r w:rsidRPr="00367A30">
        <w:rPr>
          <w:noProof/>
          <w:sz w:val="18"/>
        </w:rPr>
      </w:r>
      <w:r w:rsidRPr="00367A30">
        <w:rPr>
          <w:noProof/>
          <w:sz w:val="18"/>
        </w:rPr>
        <w:fldChar w:fldCharType="separate"/>
      </w:r>
      <w:r w:rsidR="006E5FB0">
        <w:rPr>
          <w:noProof/>
          <w:sz w:val="18"/>
        </w:rPr>
        <w:t>3</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_Toc48564266 \h </w:instrText>
      </w:r>
      <w:r w:rsidRPr="00367A30">
        <w:rPr>
          <w:i w:val="0"/>
          <w:noProof/>
          <w:sz w:val="18"/>
        </w:rPr>
      </w:r>
      <w:r w:rsidRPr="00367A30">
        <w:rPr>
          <w:i w:val="0"/>
          <w:noProof/>
          <w:sz w:val="18"/>
        </w:rPr>
        <w:fldChar w:fldCharType="separate"/>
      </w:r>
      <w:r w:rsidR="006E5FB0">
        <w:rPr>
          <w:i w:val="0"/>
          <w:noProof/>
          <w:sz w:val="18"/>
        </w:rPr>
        <w:t>3</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2—Active implantable medical devices</w:t>
      </w:r>
      <w:r w:rsidRPr="00367A30">
        <w:rPr>
          <w:noProof/>
          <w:sz w:val="18"/>
        </w:rPr>
        <w:tab/>
      </w:r>
      <w:r w:rsidRPr="00367A30">
        <w:rPr>
          <w:noProof/>
          <w:sz w:val="18"/>
        </w:rPr>
        <w:fldChar w:fldCharType="begin"/>
      </w:r>
      <w:r w:rsidRPr="00367A30">
        <w:rPr>
          <w:noProof/>
          <w:sz w:val="18"/>
        </w:rPr>
        <w:instrText xml:space="preserve"> PAGEREF _Toc48564267 \h </w:instrText>
      </w:r>
      <w:r w:rsidRPr="00367A30">
        <w:rPr>
          <w:noProof/>
          <w:sz w:val="18"/>
        </w:rPr>
      </w:r>
      <w:r w:rsidRPr="00367A30">
        <w:rPr>
          <w:noProof/>
          <w:sz w:val="18"/>
        </w:rPr>
        <w:fldChar w:fldCharType="separate"/>
      </w:r>
      <w:r w:rsidR="006E5FB0">
        <w:rPr>
          <w:noProof/>
          <w:sz w:val="18"/>
        </w:rPr>
        <w:t>4</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_Toc48564268 \h </w:instrText>
      </w:r>
      <w:r w:rsidRPr="00367A30">
        <w:rPr>
          <w:i w:val="0"/>
          <w:noProof/>
          <w:sz w:val="18"/>
        </w:rPr>
      </w:r>
      <w:r w:rsidRPr="00367A30">
        <w:rPr>
          <w:i w:val="0"/>
          <w:noProof/>
          <w:sz w:val="18"/>
        </w:rPr>
        <w:fldChar w:fldCharType="separate"/>
      </w:r>
      <w:r w:rsidR="006E5FB0">
        <w:rPr>
          <w:i w:val="0"/>
          <w:noProof/>
          <w:sz w:val="18"/>
        </w:rPr>
        <w:t>4</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3—Medical devices that administer medicines or biologicals by inhalation</w:t>
      </w:r>
      <w:r w:rsidRPr="00367A30">
        <w:rPr>
          <w:noProof/>
          <w:sz w:val="18"/>
        </w:rPr>
        <w:tab/>
      </w:r>
      <w:r w:rsidRPr="00367A30">
        <w:rPr>
          <w:noProof/>
          <w:sz w:val="18"/>
        </w:rPr>
        <w:fldChar w:fldCharType="begin"/>
      </w:r>
      <w:r w:rsidRPr="00367A30">
        <w:rPr>
          <w:noProof/>
          <w:sz w:val="18"/>
        </w:rPr>
        <w:instrText xml:space="preserve"> PAGEREF _Toc48564269 \h </w:instrText>
      </w:r>
      <w:r w:rsidRPr="00367A30">
        <w:rPr>
          <w:noProof/>
          <w:sz w:val="18"/>
        </w:rPr>
      </w:r>
      <w:r w:rsidRPr="00367A30">
        <w:rPr>
          <w:noProof/>
          <w:sz w:val="18"/>
        </w:rPr>
        <w:fldChar w:fldCharType="separate"/>
      </w:r>
      <w:r w:rsidR="006E5FB0">
        <w:rPr>
          <w:noProof/>
          <w:sz w:val="18"/>
        </w:rPr>
        <w:t>7</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_Toc48564270 \h </w:instrText>
      </w:r>
      <w:r w:rsidRPr="00367A30">
        <w:rPr>
          <w:i w:val="0"/>
          <w:noProof/>
          <w:sz w:val="18"/>
        </w:rPr>
      </w:r>
      <w:r w:rsidRPr="00367A30">
        <w:rPr>
          <w:i w:val="0"/>
          <w:noProof/>
          <w:sz w:val="18"/>
        </w:rPr>
        <w:fldChar w:fldCharType="separate"/>
      </w:r>
      <w:r w:rsidR="006E5FB0">
        <w:rPr>
          <w:i w:val="0"/>
          <w:noProof/>
          <w:sz w:val="18"/>
        </w:rPr>
        <w:t>7</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4—Medical devices that are substances for introduction into the body</w:t>
      </w:r>
      <w:r w:rsidRPr="00367A30">
        <w:rPr>
          <w:noProof/>
          <w:sz w:val="18"/>
        </w:rPr>
        <w:tab/>
      </w:r>
      <w:r w:rsidRPr="00367A30">
        <w:rPr>
          <w:noProof/>
          <w:sz w:val="18"/>
        </w:rPr>
        <w:fldChar w:fldCharType="begin"/>
      </w:r>
      <w:r w:rsidRPr="00367A30">
        <w:rPr>
          <w:noProof/>
          <w:sz w:val="18"/>
        </w:rPr>
        <w:instrText xml:space="preserve"> PAGEREF _Toc48564271 \h </w:instrText>
      </w:r>
      <w:r w:rsidRPr="00367A30">
        <w:rPr>
          <w:noProof/>
          <w:sz w:val="18"/>
        </w:rPr>
      </w:r>
      <w:r w:rsidRPr="00367A30">
        <w:rPr>
          <w:noProof/>
          <w:sz w:val="18"/>
        </w:rPr>
        <w:fldChar w:fldCharType="separate"/>
      </w:r>
      <w:r w:rsidR="006E5FB0">
        <w:rPr>
          <w:noProof/>
          <w:sz w:val="18"/>
        </w:rPr>
        <w:t>8</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_Toc48564272 \h </w:instrText>
      </w:r>
      <w:r w:rsidRPr="00367A30">
        <w:rPr>
          <w:i w:val="0"/>
          <w:noProof/>
          <w:sz w:val="18"/>
        </w:rPr>
      </w:r>
      <w:r w:rsidRPr="00367A30">
        <w:rPr>
          <w:i w:val="0"/>
          <w:noProof/>
          <w:sz w:val="18"/>
        </w:rPr>
        <w:fldChar w:fldCharType="separate"/>
      </w:r>
      <w:r w:rsidR="006E5FB0">
        <w:rPr>
          <w:i w:val="0"/>
          <w:noProof/>
          <w:sz w:val="18"/>
        </w:rPr>
        <w:t>8</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5—Active medical devices for therapy</w:t>
      </w:r>
      <w:r w:rsidRPr="00367A30">
        <w:rPr>
          <w:noProof/>
          <w:sz w:val="18"/>
        </w:rPr>
        <w:tab/>
      </w:r>
      <w:r w:rsidRPr="00367A30">
        <w:rPr>
          <w:noProof/>
          <w:sz w:val="18"/>
        </w:rPr>
        <w:fldChar w:fldCharType="begin"/>
      </w:r>
      <w:r w:rsidRPr="00367A30">
        <w:rPr>
          <w:noProof/>
          <w:sz w:val="18"/>
        </w:rPr>
        <w:instrText xml:space="preserve"> PAGEREF _Toc48564273 \h </w:instrText>
      </w:r>
      <w:r w:rsidRPr="00367A30">
        <w:rPr>
          <w:noProof/>
          <w:sz w:val="18"/>
        </w:rPr>
      </w:r>
      <w:r w:rsidRPr="00367A30">
        <w:rPr>
          <w:noProof/>
          <w:sz w:val="18"/>
        </w:rPr>
        <w:fldChar w:fldCharType="separate"/>
      </w:r>
      <w:r w:rsidR="006E5FB0">
        <w:rPr>
          <w:noProof/>
          <w:sz w:val="18"/>
        </w:rPr>
        <w:t>9</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_Toc48564274 \h </w:instrText>
      </w:r>
      <w:r w:rsidRPr="00367A30">
        <w:rPr>
          <w:i w:val="0"/>
          <w:noProof/>
          <w:sz w:val="18"/>
        </w:rPr>
      </w:r>
      <w:r w:rsidRPr="00367A30">
        <w:rPr>
          <w:i w:val="0"/>
          <w:noProof/>
          <w:sz w:val="18"/>
        </w:rPr>
        <w:fldChar w:fldCharType="separate"/>
      </w:r>
      <w:r w:rsidR="006E5FB0">
        <w:rPr>
          <w:i w:val="0"/>
          <w:noProof/>
          <w:sz w:val="18"/>
        </w:rPr>
        <w:t>9</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6—Medical devices in direct contact with the heart etc.</w:t>
      </w:r>
      <w:r w:rsidRPr="00367A30">
        <w:rPr>
          <w:noProof/>
          <w:sz w:val="18"/>
        </w:rPr>
        <w:tab/>
      </w:r>
      <w:r w:rsidRPr="00367A30">
        <w:rPr>
          <w:noProof/>
          <w:sz w:val="18"/>
        </w:rPr>
        <w:fldChar w:fldCharType="begin"/>
      </w:r>
      <w:r w:rsidRPr="00367A30">
        <w:rPr>
          <w:noProof/>
          <w:sz w:val="18"/>
        </w:rPr>
        <w:instrText xml:space="preserve"> PAGEREF _Toc48564275 \h </w:instrText>
      </w:r>
      <w:r w:rsidRPr="00367A30">
        <w:rPr>
          <w:noProof/>
          <w:sz w:val="18"/>
        </w:rPr>
      </w:r>
      <w:r w:rsidRPr="00367A30">
        <w:rPr>
          <w:noProof/>
          <w:sz w:val="18"/>
        </w:rPr>
        <w:fldChar w:fldCharType="separate"/>
      </w:r>
      <w:r w:rsidR="006E5FB0">
        <w:rPr>
          <w:noProof/>
          <w:sz w:val="18"/>
        </w:rPr>
        <w:t>10</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_Toc48564276 \h </w:instrText>
      </w:r>
      <w:r w:rsidRPr="00367A30">
        <w:rPr>
          <w:i w:val="0"/>
          <w:noProof/>
          <w:sz w:val="18"/>
        </w:rPr>
      </w:r>
      <w:r w:rsidRPr="00367A30">
        <w:rPr>
          <w:i w:val="0"/>
          <w:noProof/>
          <w:sz w:val="18"/>
        </w:rPr>
        <w:fldChar w:fldCharType="separate"/>
      </w:r>
      <w:r w:rsidR="006E5FB0">
        <w:rPr>
          <w:i w:val="0"/>
          <w:noProof/>
          <w:sz w:val="18"/>
        </w:rPr>
        <w:t>10</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7—Amendments relating to charges</w:t>
      </w:r>
      <w:r w:rsidRPr="00367A30">
        <w:rPr>
          <w:noProof/>
          <w:sz w:val="18"/>
        </w:rPr>
        <w:tab/>
      </w:r>
      <w:r w:rsidRPr="00367A30">
        <w:rPr>
          <w:noProof/>
          <w:sz w:val="18"/>
        </w:rPr>
        <w:fldChar w:fldCharType="begin"/>
      </w:r>
      <w:r w:rsidRPr="00367A30">
        <w:rPr>
          <w:noProof/>
          <w:sz w:val="18"/>
        </w:rPr>
        <w:instrText xml:space="preserve"> PAGEREF _Toc48564277 \h </w:instrText>
      </w:r>
      <w:r w:rsidRPr="00367A30">
        <w:rPr>
          <w:noProof/>
          <w:sz w:val="18"/>
        </w:rPr>
      </w:r>
      <w:r w:rsidRPr="00367A30">
        <w:rPr>
          <w:noProof/>
          <w:sz w:val="18"/>
        </w:rPr>
        <w:fldChar w:fldCharType="separate"/>
      </w:r>
      <w:r w:rsidR="006E5FB0">
        <w:rPr>
          <w:noProof/>
          <w:sz w:val="18"/>
        </w:rPr>
        <w:t>11</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(Charges) Regulations 2018</w:t>
      </w:r>
      <w:r w:rsidRPr="00367A30">
        <w:rPr>
          <w:i w:val="0"/>
          <w:noProof/>
          <w:sz w:val="18"/>
        </w:rPr>
        <w:tab/>
      </w:r>
      <w:r w:rsidRPr="00367A30">
        <w:rPr>
          <w:i w:val="0"/>
          <w:noProof/>
          <w:sz w:val="18"/>
        </w:rPr>
        <w:fldChar w:fldCharType="begin"/>
      </w:r>
      <w:r w:rsidRPr="00367A30">
        <w:rPr>
          <w:i w:val="0"/>
          <w:noProof/>
          <w:sz w:val="18"/>
        </w:rPr>
        <w:instrText xml:space="preserve"> PAGEREF _Toc48564278 \h </w:instrText>
      </w:r>
      <w:r w:rsidRPr="00367A30">
        <w:rPr>
          <w:i w:val="0"/>
          <w:noProof/>
          <w:sz w:val="18"/>
        </w:rPr>
      </w:r>
      <w:r w:rsidRPr="00367A30">
        <w:rPr>
          <w:i w:val="0"/>
          <w:noProof/>
          <w:sz w:val="18"/>
        </w:rPr>
        <w:fldChar w:fldCharType="separate"/>
      </w:r>
      <w:r w:rsidR="006E5FB0">
        <w:rPr>
          <w:i w:val="0"/>
          <w:noProof/>
          <w:sz w:val="18"/>
        </w:rPr>
        <w:t>11</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2—Programmed or programmable medical device or software that is a medical device</w:t>
      </w:r>
      <w:r w:rsidRPr="00367A30">
        <w:rPr>
          <w:b w:val="0"/>
          <w:noProof/>
          <w:sz w:val="18"/>
        </w:rPr>
        <w:tab/>
      </w:r>
      <w:r w:rsidRPr="00367A30">
        <w:rPr>
          <w:b w:val="0"/>
          <w:noProof/>
          <w:sz w:val="18"/>
        </w:rPr>
        <w:fldChar w:fldCharType="begin"/>
      </w:r>
      <w:r w:rsidRPr="00367A30">
        <w:rPr>
          <w:b w:val="0"/>
          <w:noProof/>
          <w:sz w:val="18"/>
        </w:rPr>
        <w:instrText xml:space="preserve"> PAGEREF _Toc48564282 \h </w:instrText>
      </w:r>
      <w:r w:rsidRPr="00367A30">
        <w:rPr>
          <w:b w:val="0"/>
          <w:noProof/>
          <w:sz w:val="18"/>
        </w:rPr>
      </w:r>
      <w:r w:rsidRPr="00367A30">
        <w:rPr>
          <w:b w:val="0"/>
          <w:noProof/>
          <w:sz w:val="18"/>
        </w:rPr>
        <w:fldChar w:fldCharType="separate"/>
      </w:r>
      <w:r w:rsidR="006E5FB0">
        <w:rPr>
          <w:b w:val="0"/>
          <w:noProof/>
          <w:sz w:val="18"/>
        </w:rPr>
        <w:t>12</w:t>
      </w:r>
      <w:r w:rsidRPr="00367A30">
        <w:rPr>
          <w:b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1—Classification rules</w:t>
      </w:r>
      <w:r w:rsidRPr="00367A30">
        <w:rPr>
          <w:noProof/>
          <w:sz w:val="18"/>
        </w:rPr>
        <w:tab/>
      </w:r>
      <w:r w:rsidRPr="00367A30">
        <w:rPr>
          <w:noProof/>
          <w:sz w:val="18"/>
        </w:rPr>
        <w:fldChar w:fldCharType="begin"/>
      </w:r>
      <w:r w:rsidRPr="00367A30">
        <w:rPr>
          <w:noProof/>
          <w:sz w:val="18"/>
        </w:rPr>
        <w:instrText xml:space="preserve"> PAGEREF _Toc48564283 \h </w:instrText>
      </w:r>
      <w:r w:rsidRPr="00367A30">
        <w:rPr>
          <w:noProof/>
          <w:sz w:val="18"/>
        </w:rPr>
      </w:r>
      <w:r w:rsidRPr="00367A30">
        <w:rPr>
          <w:noProof/>
          <w:sz w:val="18"/>
        </w:rPr>
        <w:fldChar w:fldCharType="separate"/>
      </w:r>
      <w:r w:rsidR="006E5FB0">
        <w:rPr>
          <w:noProof/>
          <w:sz w:val="18"/>
        </w:rPr>
        <w:t>12</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_Toc48564284 \h </w:instrText>
      </w:r>
      <w:r w:rsidRPr="00367A30">
        <w:rPr>
          <w:i w:val="0"/>
          <w:noProof/>
          <w:sz w:val="18"/>
        </w:rPr>
      </w:r>
      <w:r w:rsidRPr="00367A30">
        <w:rPr>
          <w:i w:val="0"/>
          <w:noProof/>
          <w:sz w:val="18"/>
        </w:rPr>
        <w:fldChar w:fldCharType="separate"/>
      </w:r>
      <w:r w:rsidR="006E5FB0">
        <w:rPr>
          <w:i w:val="0"/>
          <w:noProof/>
          <w:sz w:val="18"/>
        </w:rPr>
        <w:t>12</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2—Essential principles</w:t>
      </w:r>
      <w:r w:rsidRPr="00367A30">
        <w:rPr>
          <w:noProof/>
          <w:sz w:val="18"/>
        </w:rPr>
        <w:tab/>
      </w:r>
      <w:r w:rsidRPr="00367A30">
        <w:rPr>
          <w:noProof/>
          <w:sz w:val="18"/>
        </w:rPr>
        <w:fldChar w:fldCharType="begin"/>
      </w:r>
      <w:r w:rsidRPr="00367A30">
        <w:rPr>
          <w:noProof/>
          <w:sz w:val="18"/>
        </w:rPr>
        <w:instrText xml:space="preserve"> PAGEREF _Toc48564289 \h </w:instrText>
      </w:r>
      <w:r w:rsidRPr="00367A30">
        <w:rPr>
          <w:noProof/>
          <w:sz w:val="18"/>
        </w:rPr>
      </w:r>
      <w:r w:rsidRPr="00367A30">
        <w:rPr>
          <w:noProof/>
          <w:sz w:val="18"/>
        </w:rPr>
        <w:fldChar w:fldCharType="separate"/>
      </w:r>
      <w:r w:rsidR="006E5FB0">
        <w:rPr>
          <w:noProof/>
          <w:sz w:val="18"/>
        </w:rPr>
        <w:t>15</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_Toc48564290 \h </w:instrText>
      </w:r>
      <w:r w:rsidRPr="00367A30">
        <w:rPr>
          <w:i w:val="0"/>
          <w:noProof/>
          <w:sz w:val="18"/>
        </w:rPr>
      </w:r>
      <w:r w:rsidRPr="00367A30">
        <w:rPr>
          <w:i w:val="0"/>
          <w:noProof/>
          <w:sz w:val="18"/>
        </w:rPr>
        <w:fldChar w:fldCharType="separate"/>
      </w:r>
      <w:r w:rsidR="006E5FB0">
        <w:rPr>
          <w:i w:val="0"/>
          <w:noProof/>
          <w:sz w:val="18"/>
        </w:rPr>
        <w:t>15</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3—Personalised medical devices</w:t>
      </w:r>
      <w:r w:rsidRPr="00367A30">
        <w:rPr>
          <w:b w:val="0"/>
          <w:noProof/>
          <w:sz w:val="18"/>
        </w:rPr>
        <w:tab/>
      </w:r>
      <w:r w:rsidRPr="00367A30">
        <w:rPr>
          <w:b w:val="0"/>
          <w:noProof/>
          <w:sz w:val="18"/>
        </w:rPr>
        <w:fldChar w:fldCharType="begin"/>
      </w:r>
      <w:r w:rsidRPr="00367A30">
        <w:rPr>
          <w:b w:val="0"/>
          <w:noProof/>
          <w:sz w:val="18"/>
        </w:rPr>
        <w:instrText xml:space="preserve"> PAGEREF _Toc48564293 \h </w:instrText>
      </w:r>
      <w:r w:rsidRPr="00367A30">
        <w:rPr>
          <w:b w:val="0"/>
          <w:noProof/>
          <w:sz w:val="18"/>
        </w:rPr>
      </w:r>
      <w:r w:rsidRPr="00367A30">
        <w:rPr>
          <w:b w:val="0"/>
          <w:noProof/>
          <w:sz w:val="18"/>
        </w:rPr>
        <w:fldChar w:fldCharType="separate"/>
      </w:r>
      <w:r w:rsidR="006E5FB0">
        <w:rPr>
          <w:b w:val="0"/>
          <w:noProof/>
          <w:sz w:val="18"/>
        </w:rPr>
        <w:t>18</w:t>
      </w:r>
      <w:r w:rsidRPr="00367A30">
        <w:rPr>
          <w:b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1—Definitions</w:t>
      </w:r>
      <w:r w:rsidRPr="00367A30">
        <w:rPr>
          <w:noProof/>
          <w:sz w:val="18"/>
        </w:rPr>
        <w:tab/>
      </w:r>
      <w:r w:rsidRPr="00367A30">
        <w:rPr>
          <w:noProof/>
          <w:sz w:val="18"/>
        </w:rPr>
        <w:fldChar w:fldCharType="begin"/>
      </w:r>
      <w:r w:rsidRPr="00367A30">
        <w:rPr>
          <w:noProof/>
          <w:sz w:val="18"/>
        </w:rPr>
        <w:instrText xml:space="preserve"> PAGEREF _Toc48564294 \h </w:instrText>
      </w:r>
      <w:r w:rsidRPr="00367A30">
        <w:rPr>
          <w:noProof/>
          <w:sz w:val="18"/>
        </w:rPr>
      </w:r>
      <w:r w:rsidRPr="00367A30">
        <w:rPr>
          <w:noProof/>
          <w:sz w:val="18"/>
        </w:rPr>
        <w:fldChar w:fldCharType="separate"/>
      </w:r>
      <w:r w:rsidR="006E5FB0">
        <w:rPr>
          <w:noProof/>
          <w:sz w:val="18"/>
        </w:rPr>
        <w:t>18</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_Toc48564295 \h </w:instrText>
      </w:r>
      <w:r w:rsidRPr="00367A30">
        <w:rPr>
          <w:i w:val="0"/>
          <w:noProof/>
          <w:sz w:val="18"/>
        </w:rPr>
      </w:r>
      <w:r w:rsidRPr="00367A30">
        <w:rPr>
          <w:i w:val="0"/>
          <w:noProof/>
          <w:sz w:val="18"/>
        </w:rPr>
        <w:fldChar w:fldCharType="separate"/>
      </w:r>
      <w:r w:rsidR="006E5FB0">
        <w:rPr>
          <w:i w:val="0"/>
          <w:noProof/>
          <w:sz w:val="18"/>
        </w:rPr>
        <w:t>18</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2—Reports</w:t>
      </w:r>
      <w:r w:rsidRPr="00367A30">
        <w:rPr>
          <w:noProof/>
          <w:sz w:val="18"/>
        </w:rPr>
        <w:tab/>
      </w:r>
      <w:r w:rsidRPr="00367A30">
        <w:rPr>
          <w:noProof/>
          <w:sz w:val="18"/>
        </w:rPr>
        <w:fldChar w:fldCharType="begin"/>
      </w:r>
      <w:r w:rsidRPr="00367A30">
        <w:rPr>
          <w:noProof/>
          <w:sz w:val="18"/>
        </w:rPr>
        <w:instrText xml:space="preserve"> PAGEREF _Toc48564297 \h </w:instrText>
      </w:r>
      <w:r w:rsidRPr="00367A30">
        <w:rPr>
          <w:noProof/>
          <w:sz w:val="18"/>
        </w:rPr>
      </w:r>
      <w:r w:rsidRPr="00367A30">
        <w:rPr>
          <w:noProof/>
          <w:sz w:val="18"/>
        </w:rPr>
        <w:fldChar w:fldCharType="separate"/>
      </w:r>
      <w:r w:rsidR="006E5FB0">
        <w:rPr>
          <w:noProof/>
          <w:sz w:val="18"/>
        </w:rPr>
        <w:t>20</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_Toc48564298 \h </w:instrText>
      </w:r>
      <w:r w:rsidRPr="00367A30">
        <w:rPr>
          <w:i w:val="0"/>
          <w:noProof/>
          <w:sz w:val="18"/>
        </w:rPr>
      </w:r>
      <w:r w:rsidRPr="00367A30">
        <w:rPr>
          <w:i w:val="0"/>
          <w:noProof/>
          <w:sz w:val="18"/>
        </w:rPr>
        <w:fldChar w:fldCharType="separate"/>
      </w:r>
      <w:r w:rsidR="006E5FB0">
        <w:rPr>
          <w:i w:val="0"/>
          <w:noProof/>
          <w:sz w:val="18"/>
        </w:rPr>
        <w:t>20</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3—Conformity assessment procedures</w:t>
      </w:r>
      <w:r w:rsidRPr="00367A30">
        <w:rPr>
          <w:noProof/>
          <w:sz w:val="18"/>
        </w:rPr>
        <w:tab/>
      </w:r>
      <w:r w:rsidRPr="00367A30">
        <w:rPr>
          <w:noProof/>
          <w:sz w:val="18"/>
        </w:rPr>
        <w:fldChar w:fldCharType="begin"/>
      </w:r>
      <w:r w:rsidRPr="00367A30">
        <w:rPr>
          <w:noProof/>
          <w:sz w:val="18"/>
        </w:rPr>
        <w:instrText xml:space="preserve"> PAGEREF _Toc48564300 \h </w:instrText>
      </w:r>
      <w:r w:rsidRPr="00367A30">
        <w:rPr>
          <w:noProof/>
          <w:sz w:val="18"/>
        </w:rPr>
      </w:r>
      <w:r w:rsidRPr="00367A30">
        <w:rPr>
          <w:noProof/>
          <w:sz w:val="18"/>
        </w:rPr>
        <w:fldChar w:fldCharType="separate"/>
      </w:r>
      <w:r w:rsidR="006E5FB0">
        <w:rPr>
          <w:noProof/>
          <w:sz w:val="18"/>
        </w:rPr>
        <w:t>21</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_Toc48564301 \h </w:instrText>
      </w:r>
      <w:r w:rsidRPr="00367A30">
        <w:rPr>
          <w:i w:val="0"/>
          <w:noProof/>
          <w:sz w:val="18"/>
        </w:rPr>
      </w:r>
      <w:r w:rsidRPr="00367A30">
        <w:rPr>
          <w:i w:val="0"/>
          <w:noProof/>
          <w:sz w:val="18"/>
        </w:rPr>
        <w:fldChar w:fldCharType="separate"/>
      </w:r>
      <w:r w:rsidR="006E5FB0">
        <w:rPr>
          <w:i w:val="0"/>
          <w:noProof/>
          <w:sz w:val="18"/>
        </w:rPr>
        <w:t>21</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4—Exemptions</w:t>
      </w:r>
      <w:r w:rsidRPr="00367A30">
        <w:rPr>
          <w:noProof/>
          <w:sz w:val="18"/>
        </w:rPr>
        <w:tab/>
      </w:r>
      <w:r w:rsidRPr="00367A30">
        <w:rPr>
          <w:noProof/>
          <w:sz w:val="18"/>
        </w:rPr>
        <w:fldChar w:fldCharType="begin"/>
      </w:r>
      <w:r w:rsidRPr="00367A30">
        <w:rPr>
          <w:noProof/>
          <w:sz w:val="18"/>
        </w:rPr>
        <w:instrText xml:space="preserve"> PAGEREF _Toc48564302 \h </w:instrText>
      </w:r>
      <w:r w:rsidRPr="00367A30">
        <w:rPr>
          <w:noProof/>
          <w:sz w:val="18"/>
        </w:rPr>
      </w:r>
      <w:r w:rsidRPr="00367A30">
        <w:rPr>
          <w:noProof/>
          <w:sz w:val="18"/>
        </w:rPr>
        <w:fldChar w:fldCharType="separate"/>
      </w:r>
      <w:r w:rsidR="006E5FB0">
        <w:rPr>
          <w:noProof/>
          <w:sz w:val="18"/>
        </w:rPr>
        <w:t>22</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_Toc48564303 \h </w:instrText>
      </w:r>
      <w:r w:rsidRPr="00367A30">
        <w:rPr>
          <w:i w:val="0"/>
          <w:noProof/>
          <w:sz w:val="18"/>
        </w:rPr>
      </w:r>
      <w:r w:rsidRPr="00367A30">
        <w:rPr>
          <w:i w:val="0"/>
          <w:noProof/>
          <w:sz w:val="18"/>
        </w:rPr>
        <w:fldChar w:fldCharType="separate"/>
      </w:r>
      <w:r w:rsidR="006E5FB0">
        <w:rPr>
          <w:i w:val="0"/>
          <w:noProof/>
          <w:sz w:val="18"/>
        </w:rPr>
        <w:t>22</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lastRenderedPageBreak/>
        <w:t>Part 5—Classification rules</w:t>
      </w:r>
      <w:r w:rsidRPr="00367A30">
        <w:rPr>
          <w:noProof/>
          <w:sz w:val="18"/>
        </w:rPr>
        <w:tab/>
      </w:r>
      <w:r w:rsidRPr="00367A30">
        <w:rPr>
          <w:noProof/>
          <w:sz w:val="18"/>
        </w:rPr>
        <w:fldChar w:fldCharType="begin"/>
      </w:r>
      <w:r w:rsidRPr="00367A30">
        <w:rPr>
          <w:noProof/>
          <w:sz w:val="18"/>
        </w:rPr>
        <w:instrText xml:space="preserve"> PAGEREF _Toc48564304 \h </w:instrText>
      </w:r>
      <w:r w:rsidRPr="00367A30">
        <w:rPr>
          <w:noProof/>
          <w:sz w:val="18"/>
        </w:rPr>
      </w:r>
      <w:r w:rsidRPr="00367A30">
        <w:rPr>
          <w:noProof/>
          <w:sz w:val="18"/>
        </w:rPr>
        <w:fldChar w:fldCharType="separate"/>
      </w:r>
      <w:r w:rsidR="006E5FB0">
        <w:rPr>
          <w:noProof/>
          <w:sz w:val="18"/>
        </w:rPr>
        <w:t>25</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_Toc48564305 \h </w:instrText>
      </w:r>
      <w:r w:rsidRPr="00367A30">
        <w:rPr>
          <w:i w:val="0"/>
          <w:noProof/>
          <w:sz w:val="18"/>
        </w:rPr>
      </w:r>
      <w:r w:rsidRPr="00367A30">
        <w:rPr>
          <w:i w:val="0"/>
          <w:noProof/>
          <w:sz w:val="18"/>
        </w:rPr>
        <w:fldChar w:fldCharType="separate"/>
      </w:r>
      <w:r w:rsidR="006E5FB0">
        <w:rPr>
          <w:i w:val="0"/>
          <w:noProof/>
          <w:sz w:val="18"/>
        </w:rPr>
        <w:t>25</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6—Essential principles</w:t>
      </w:r>
      <w:r w:rsidRPr="00367A30">
        <w:rPr>
          <w:noProof/>
          <w:sz w:val="18"/>
        </w:rPr>
        <w:tab/>
      </w:r>
      <w:r w:rsidRPr="00367A30">
        <w:rPr>
          <w:noProof/>
          <w:sz w:val="18"/>
        </w:rPr>
        <w:fldChar w:fldCharType="begin"/>
      </w:r>
      <w:r w:rsidRPr="00367A30">
        <w:rPr>
          <w:noProof/>
          <w:sz w:val="18"/>
        </w:rPr>
        <w:instrText xml:space="preserve"> PAGEREF _Toc48564307 \h </w:instrText>
      </w:r>
      <w:r w:rsidRPr="00367A30">
        <w:rPr>
          <w:noProof/>
          <w:sz w:val="18"/>
        </w:rPr>
      </w:r>
      <w:r w:rsidRPr="00367A30">
        <w:rPr>
          <w:noProof/>
          <w:sz w:val="18"/>
        </w:rPr>
        <w:fldChar w:fldCharType="separate"/>
      </w:r>
      <w:r w:rsidR="006E5FB0">
        <w:rPr>
          <w:noProof/>
          <w:sz w:val="18"/>
        </w:rPr>
        <w:t>26</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_Toc48564308 \h </w:instrText>
      </w:r>
      <w:r w:rsidRPr="00367A30">
        <w:rPr>
          <w:i w:val="0"/>
          <w:noProof/>
          <w:sz w:val="18"/>
        </w:rPr>
      </w:r>
      <w:r w:rsidRPr="00367A30">
        <w:rPr>
          <w:i w:val="0"/>
          <w:noProof/>
          <w:sz w:val="18"/>
        </w:rPr>
        <w:fldChar w:fldCharType="separate"/>
      </w:r>
      <w:r w:rsidR="006E5FB0">
        <w:rPr>
          <w:i w:val="0"/>
          <w:noProof/>
          <w:sz w:val="18"/>
        </w:rPr>
        <w:t>26</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4—IVD companion diagnostics</w:t>
      </w:r>
      <w:r w:rsidRPr="00367A30">
        <w:rPr>
          <w:b w:val="0"/>
          <w:noProof/>
          <w:sz w:val="18"/>
        </w:rPr>
        <w:tab/>
      </w:r>
      <w:r w:rsidRPr="00367A30">
        <w:rPr>
          <w:b w:val="0"/>
          <w:noProof/>
          <w:sz w:val="18"/>
        </w:rPr>
        <w:fldChar w:fldCharType="begin"/>
      </w:r>
      <w:r w:rsidRPr="00367A30">
        <w:rPr>
          <w:b w:val="0"/>
          <w:noProof/>
          <w:sz w:val="18"/>
        </w:rPr>
        <w:instrText xml:space="preserve"> PAGEREF _Toc48564309 \h </w:instrText>
      </w:r>
      <w:r w:rsidRPr="00367A30">
        <w:rPr>
          <w:b w:val="0"/>
          <w:noProof/>
          <w:sz w:val="18"/>
        </w:rPr>
      </w:r>
      <w:r w:rsidRPr="00367A30">
        <w:rPr>
          <w:b w:val="0"/>
          <w:noProof/>
          <w:sz w:val="18"/>
        </w:rPr>
        <w:fldChar w:fldCharType="separate"/>
      </w:r>
      <w:r w:rsidR="006E5FB0">
        <w:rPr>
          <w:b w:val="0"/>
          <w:noProof/>
          <w:sz w:val="18"/>
        </w:rPr>
        <w:t>27</w:t>
      </w:r>
      <w:r w:rsidRPr="00367A30">
        <w:rPr>
          <w:b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_Toc48564310 \h </w:instrText>
      </w:r>
      <w:r w:rsidRPr="00367A30">
        <w:rPr>
          <w:i w:val="0"/>
          <w:noProof/>
          <w:sz w:val="18"/>
        </w:rPr>
      </w:r>
      <w:r w:rsidRPr="00367A30">
        <w:rPr>
          <w:i w:val="0"/>
          <w:noProof/>
          <w:sz w:val="18"/>
        </w:rPr>
        <w:fldChar w:fldCharType="separate"/>
      </w:r>
      <w:r w:rsidR="006E5FB0">
        <w:rPr>
          <w:i w:val="0"/>
          <w:noProof/>
          <w:sz w:val="18"/>
        </w:rPr>
        <w:t>27</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5—Faecal microbiota transplant products</w:t>
      </w:r>
      <w:r w:rsidRPr="00367A30">
        <w:rPr>
          <w:b w:val="0"/>
          <w:noProof/>
          <w:sz w:val="18"/>
        </w:rPr>
        <w:tab/>
      </w:r>
      <w:r w:rsidRPr="00367A30">
        <w:rPr>
          <w:b w:val="0"/>
          <w:noProof/>
          <w:sz w:val="18"/>
        </w:rPr>
        <w:fldChar w:fldCharType="begin"/>
      </w:r>
      <w:r w:rsidRPr="00367A30">
        <w:rPr>
          <w:b w:val="0"/>
          <w:noProof/>
          <w:sz w:val="18"/>
        </w:rPr>
        <w:instrText xml:space="preserve"> PAGEREF _Toc48564311 \h </w:instrText>
      </w:r>
      <w:r w:rsidRPr="00367A30">
        <w:rPr>
          <w:b w:val="0"/>
          <w:noProof/>
          <w:sz w:val="18"/>
        </w:rPr>
      </w:r>
      <w:r w:rsidRPr="00367A30">
        <w:rPr>
          <w:b w:val="0"/>
          <w:noProof/>
          <w:sz w:val="18"/>
        </w:rPr>
        <w:fldChar w:fldCharType="separate"/>
      </w:r>
      <w:r w:rsidR="006E5FB0">
        <w:rPr>
          <w:b w:val="0"/>
          <w:noProof/>
          <w:sz w:val="18"/>
        </w:rPr>
        <w:t>28</w:t>
      </w:r>
      <w:r w:rsidRPr="00367A30">
        <w:rPr>
          <w:b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_Toc48564312 \h </w:instrText>
      </w:r>
      <w:r w:rsidRPr="00367A30">
        <w:rPr>
          <w:i w:val="0"/>
          <w:noProof/>
          <w:sz w:val="18"/>
        </w:rPr>
      </w:r>
      <w:r w:rsidRPr="00367A30">
        <w:rPr>
          <w:i w:val="0"/>
          <w:noProof/>
          <w:sz w:val="18"/>
        </w:rPr>
        <w:fldChar w:fldCharType="separate"/>
      </w:r>
      <w:r w:rsidR="006E5FB0">
        <w:rPr>
          <w:i w:val="0"/>
          <w:noProof/>
          <w:sz w:val="18"/>
        </w:rPr>
        <w:t>28</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6—Consumer medicine information documents</w:t>
      </w:r>
      <w:r w:rsidRPr="00367A30">
        <w:rPr>
          <w:b w:val="0"/>
          <w:noProof/>
          <w:sz w:val="18"/>
        </w:rPr>
        <w:tab/>
      </w:r>
      <w:r w:rsidRPr="00367A30">
        <w:rPr>
          <w:b w:val="0"/>
          <w:noProof/>
          <w:sz w:val="18"/>
        </w:rPr>
        <w:fldChar w:fldCharType="begin"/>
      </w:r>
      <w:r w:rsidRPr="00367A30">
        <w:rPr>
          <w:b w:val="0"/>
          <w:noProof/>
          <w:sz w:val="18"/>
        </w:rPr>
        <w:instrText xml:space="preserve"> PAGEREF _Toc48564314 \h </w:instrText>
      </w:r>
      <w:r w:rsidRPr="00367A30">
        <w:rPr>
          <w:b w:val="0"/>
          <w:noProof/>
          <w:sz w:val="18"/>
        </w:rPr>
      </w:r>
      <w:r w:rsidRPr="00367A30">
        <w:rPr>
          <w:b w:val="0"/>
          <w:noProof/>
          <w:sz w:val="18"/>
        </w:rPr>
        <w:fldChar w:fldCharType="separate"/>
      </w:r>
      <w:r w:rsidR="006E5FB0">
        <w:rPr>
          <w:b w:val="0"/>
          <w:noProof/>
          <w:sz w:val="18"/>
        </w:rPr>
        <w:t>29</w:t>
      </w:r>
      <w:r w:rsidRPr="00367A30">
        <w:rPr>
          <w:b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_Toc48564315 \h </w:instrText>
      </w:r>
      <w:r w:rsidRPr="00367A30">
        <w:rPr>
          <w:i w:val="0"/>
          <w:noProof/>
          <w:sz w:val="18"/>
        </w:rPr>
      </w:r>
      <w:r w:rsidRPr="00367A30">
        <w:rPr>
          <w:i w:val="0"/>
          <w:noProof/>
          <w:sz w:val="18"/>
        </w:rPr>
        <w:fldChar w:fldCharType="separate"/>
      </w:r>
      <w:r w:rsidR="006E5FB0">
        <w:rPr>
          <w:i w:val="0"/>
          <w:noProof/>
          <w:sz w:val="18"/>
        </w:rPr>
        <w:t>29</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7—Handling and testing of samples</w:t>
      </w:r>
      <w:r w:rsidRPr="00367A30">
        <w:rPr>
          <w:b w:val="0"/>
          <w:noProof/>
          <w:sz w:val="18"/>
        </w:rPr>
        <w:tab/>
      </w:r>
      <w:r w:rsidRPr="00367A30">
        <w:rPr>
          <w:b w:val="0"/>
          <w:noProof/>
          <w:sz w:val="18"/>
        </w:rPr>
        <w:fldChar w:fldCharType="begin"/>
      </w:r>
      <w:r w:rsidRPr="00367A30">
        <w:rPr>
          <w:b w:val="0"/>
          <w:noProof/>
          <w:sz w:val="18"/>
        </w:rPr>
        <w:instrText xml:space="preserve"> PAGEREF _Toc48564324 \h </w:instrText>
      </w:r>
      <w:r w:rsidRPr="00367A30">
        <w:rPr>
          <w:b w:val="0"/>
          <w:noProof/>
          <w:sz w:val="18"/>
        </w:rPr>
      </w:r>
      <w:r w:rsidRPr="00367A30">
        <w:rPr>
          <w:b w:val="0"/>
          <w:noProof/>
          <w:sz w:val="18"/>
        </w:rPr>
        <w:fldChar w:fldCharType="separate"/>
      </w:r>
      <w:r w:rsidR="006E5FB0">
        <w:rPr>
          <w:b w:val="0"/>
          <w:noProof/>
          <w:sz w:val="18"/>
        </w:rPr>
        <w:t>31</w:t>
      </w:r>
      <w:r w:rsidRPr="00367A30">
        <w:rPr>
          <w:b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_Toc48564325 \h </w:instrText>
      </w:r>
      <w:r w:rsidRPr="00367A30">
        <w:rPr>
          <w:i w:val="0"/>
          <w:noProof/>
          <w:sz w:val="18"/>
        </w:rPr>
      </w:r>
      <w:r w:rsidRPr="00367A30">
        <w:rPr>
          <w:i w:val="0"/>
          <w:noProof/>
          <w:sz w:val="18"/>
        </w:rPr>
        <w:fldChar w:fldCharType="separate"/>
      </w:r>
      <w:r w:rsidR="006E5FB0">
        <w:rPr>
          <w:i w:val="0"/>
          <w:noProof/>
          <w:sz w:val="18"/>
        </w:rPr>
        <w:t>31</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8—Fee waivers for certain requests relating to prescription opioids</w:t>
      </w:r>
      <w:r w:rsidRPr="00367A30">
        <w:rPr>
          <w:b w:val="0"/>
          <w:noProof/>
          <w:sz w:val="18"/>
        </w:rPr>
        <w:tab/>
      </w:r>
      <w:r w:rsidRPr="00367A30">
        <w:rPr>
          <w:b w:val="0"/>
          <w:noProof/>
          <w:sz w:val="18"/>
        </w:rPr>
        <w:fldChar w:fldCharType="begin"/>
      </w:r>
      <w:r w:rsidRPr="00367A30">
        <w:rPr>
          <w:b w:val="0"/>
          <w:noProof/>
          <w:sz w:val="18"/>
        </w:rPr>
        <w:instrText xml:space="preserve"> PAGEREF _Toc48564330 \h </w:instrText>
      </w:r>
      <w:r w:rsidRPr="00367A30">
        <w:rPr>
          <w:b w:val="0"/>
          <w:noProof/>
          <w:sz w:val="18"/>
        </w:rPr>
      </w:r>
      <w:r w:rsidRPr="00367A30">
        <w:rPr>
          <w:b w:val="0"/>
          <w:noProof/>
          <w:sz w:val="18"/>
        </w:rPr>
        <w:fldChar w:fldCharType="separate"/>
      </w:r>
      <w:r w:rsidR="006E5FB0">
        <w:rPr>
          <w:b w:val="0"/>
          <w:noProof/>
          <w:sz w:val="18"/>
        </w:rPr>
        <w:t>36</w:t>
      </w:r>
      <w:r w:rsidRPr="00367A30">
        <w:rPr>
          <w:b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_Toc48564331 \h </w:instrText>
      </w:r>
      <w:r w:rsidRPr="00367A30">
        <w:rPr>
          <w:i w:val="0"/>
          <w:noProof/>
          <w:sz w:val="18"/>
        </w:rPr>
      </w:r>
      <w:r w:rsidRPr="00367A30">
        <w:rPr>
          <w:i w:val="0"/>
          <w:noProof/>
          <w:sz w:val="18"/>
        </w:rPr>
        <w:fldChar w:fldCharType="separate"/>
      </w:r>
      <w:r w:rsidR="006E5FB0">
        <w:rPr>
          <w:i w:val="0"/>
          <w:noProof/>
          <w:sz w:val="18"/>
        </w:rPr>
        <w:t>36</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9—Other amendments</w:t>
      </w:r>
      <w:r w:rsidRPr="00367A30">
        <w:rPr>
          <w:b w:val="0"/>
          <w:noProof/>
          <w:sz w:val="18"/>
        </w:rPr>
        <w:tab/>
      </w:r>
      <w:r w:rsidRPr="00367A30">
        <w:rPr>
          <w:b w:val="0"/>
          <w:noProof/>
          <w:sz w:val="18"/>
        </w:rPr>
        <w:fldChar w:fldCharType="begin"/>
      </w:r>
      <w:r w:rsidRPr="00367A30">
        <w:rPr>
          <w:b w:val="0"/>
          <w:noProof/>
          <w:sz w:val="18"/>
        </w:rPr>
        <w:instrText xml:space="preserve"> PAGEREF _Toc48564332 \h </w:instrText>
      </w:r>
      <w:r w:rsidRPr="00367A30">
        <w:rPr>
          <w:b w:val="0"/>
          <w:noProof/>
          <w:sz w:val="18"/>
        </w:rPr>
      </w:r>
      <w:r w:rsidRPr="00367A30">
        <w:rPr>
          <w:b w:val="0"/>
          <w:noProof/>
          <w:sz w:val="18"/>
        </w:rPr>
        <w:fldChar w:fldCharType="separate"/>
      </w:r>
      <w:r w:rsidR="006E5FB0">
        <w:rPr>
          <w:b w:val="0"/>
          <w:noProof/>
          <w:sz w:val="18"/>
        </w:rPr>
        <w:t>37</w:t>
      </w:r>
      <w:r w:rsidRPr="00367A30">
        <w:rPr>
          <w:b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1—Fee waiver for requests to vary product information for medicine</w:t>
      </w:r>
      <w:r w:rsidRPr="00367A30">
        <w:rPr>
          <w:noProof/>
          <w:sz w:val="18"/>
        </w:rPr>
        <w:tab/>
      </w:r>
      <w:r w:rsidRPr="00367A30">
        <w:rPr>
          <w:noProof/>
          <w:sz w:val="18"/>
        </w:rPr>
        <w:fldChar w:fldCharType="begin"/>
      </w:r>
      <w:r w:rsidRPr="00367A30">
        <w:rPr>
          <w:noProof/>
          <w:sz w:val="18"/>
        </w:rPr>
        <w:instrText xml:space="preserve"> PAGEREF _Toc48564333 \h </w:instrText>
      </w:r>
      <w:r w:rsidRPr="00367A30">
        <w:rPr>
          <w:noProof/>
          <w:sz w:val="18"/>
        </w:rPr>
      </w:r>
      <w:r w:rsidRPr="00367A30">
        <w:rPr>
          <w:noProof/>
          <w:sz w:val="18"/>
        </w:rPr>
        <w:fldChar w:fldCharType="separate"/>
      </w:r>
      <w:r w:rsidR="006E5FB0">
        <w:rPr>
          <w:noProof/>
          <w:sz w:val="18"/>
        </w:rPr>
        <w:t>37</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_Toc48564334 \h </w:instrText>
      </w:r>
      <w:r w:rsidRPr="00367A30">
        <w:rPr>
          <w:i w:val="0"/>
          <w:noProof/>
          <w:sz w:val="18"/>
        </w:rPr>
      </w:r>
      <w:r w:rsidRPr="00367A30">
        <w:rPr>
          <w:i w:val="0"/>
          <w:noProof/>
          <w:sz w:val="18"/>
        </w:rPr>
        <w:fldChar w:fldCharType="separate"/>
      </w:r>
      <w:r w:rsidR="006E5FB0">
        <w:rPr>
          <w:i w:val="0"/>
          <w:noProof/>
          <w:sz w:val="18"/>
        </w:rPr>
        <w:t>37</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2—Clinical trials</w:t>
      </w:r>
      <w:r w:rsidRPr="00367A30">
        <w:rPr>
          <w:noProof/>
          <w:sz w:val="18"/>
        </w:rPr>
        <w:tab/>
      </w:r>
      <w:r w:rsidRPr="00367A30">
        <w:rPr>
          <w:noProof/>
          <w:sz w:val="18"/>
        </w:rPr>
        <w:fldChar w:fldCharType="begin"/>
      </w:r>
      <w:r w:rsidRPr="00367A30">
        <w:rPr>
          <w:noProof/>
          <w:sz w:val="18"/>
        </w:rPr>
        <w:instrText xml:space="preserve"> PAGEREF _Toc48564335 \h </w:instrText>
      </w:r>
      <w:r w:rsidRPr="00367A30">
        <w:rPr>
          <w:noProof/>
          <w:sz w:val="18"/>
        </w:rPr>
      </w:r>
      <w:r w:rsidRPr="00367A30">
        <w:rPr>
          <w:noProof/>
          <w:sz w:val="18"/>
        </w:rPr>
        <w:fldChar w:fldCharType="separate"/>
      </w:r>
      <w:r w:rsidR="006E5FB0">
        <w:rPr>
          <w:noProof/>
          <w:sz w:val="18"/>
        </w:rPr>
        <w:t>38</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_Toc48564336 \h </w:instrText>
      </w:r>
      <w:r w:rsidRPr="00367A30">
        <w:rPr>
          <w:i w:val="0"/>
          <w:noProof/>
          <w:sz w:val="18"/>
        </w:rPr>
      </w:r>
      <w:r w:rsidRPr="00367A30">
        <w:rPr>
          <w:i w:val="0"/>
          <w:noProof/>
          <w:sz w:val="18"/>
        </w:rPr>
        <w:fldChar w:fldCharType="separate"/>
      </w:r>
      <w:r w:rsidR="006E5FB0">
        <w:rPr>
          <w:i w:val="0"/>
          <w:noProof/>
          <w:sz w:val="18"/>
        </w:rPr>
        <w:t>38</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3—Nappy rash products</w:t>
      </w:r>
      <w:r w:rsidRPr="00367A30">
        <w:rPr>
          <w:noProof/>
          <w:sz w:val="18"/>
        </w:rPr>
        <w:tab/>
      </w:r>
      <w:r w:rsidRPr="00367A30">
        <w:rPr>
          <w:noProof/>
          <w:sz w:val="18"/>
        </w:rPr>
        <w:fldChar w:fldCharType="begin"/>
      </w:r>
      <w:r w:rsidRPr="00367A30">
        <w:rPr>
          <w:noProof/>
          <w:sz w:val="18"/>
        </w:rPr>
        <w:instrText xml:space="preserve"> PAGEREF _Toc48564337 \h </w:instrText>
      </w:r>
      <w:r w:rsidRPr="00367A30">
        <w:rPr>
          <w:noProof/>
          <w:sz w:val="18"/>
        </w:rPr>
      </w:r>
      <w:r w:rsidRPr="00367A30">
        <w:rPr>
          <w:noProof/>
          <w:sz w:val="18"/>
        </w:rPr>
        <w:fldChar w:fldCharType="separate"/>
      </w:r>
      <w:r w:rsidR="006E5FB0">
        <w:rPr>
          <w:noProof/>
          <w:sz w:val="18"/>
        </w:rPr>
        <w:t>39</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_Toc48564338 \h </w:instrText>
      </w:r>
      <w:r w:rsidRPr="00367A30">
        <w:rPr>
          <w:i w:val="0"/>
          <w:noProof/>
          <w:sz w:val="18"/>
        </w:rPr>
      </w:r>
      <w:r w:rsidRPr="00367A30">
        <w:rPr>
          <w:i w:val="0"/>
          <w:noProof/>
          <w:sz w:val="18"/>
        </w:rPr>
        <w:fldChar w:fldCharType="separate"/>
      </w:r>
      <w:r w:rsidR="006E5FB0">
        <w:rPr>
          <w:i w:val="0"/>
          <w:noProof/>
          <w:sz w:val="18"/>
        </w:rPr>
        <w:t>39</w:t>
      </w:r>
      <w:r w:rsidRPr="00367A30">
        <w:rPr>
          <w:i w:val="0"/>
          <w:noProof/>
          <w:sz w:val="18"/>
        </w:rPr>
        <w:fldChar w:fldCharType="end"/>
      </w:r>
    </w:p>
    <w:p w:rsidR="00367A30" w:rsidRDefault="00367A30">
      <w:pPr>
        <w:pStyle w:val="TOC7"/>
        <w:rPr>
          <w:rFonts w:asciiTheme="minorHAnsi" w:eastAsiaTheme="minorEastAsia" w:hAnsiTheme="minorHAnsi" w:cstheme="minorBidi"/>
          <w:noProof/>
          <w:kern w:val="0"/>
          <w:sz w:val="22"/>
          <w:szCs w:val="22"/>
        </w:rPr>
      </w:pPr>
      <w:r>
        <w:rPr>
          <w:noProof/>
        </w:rPr>
        <w:t>Part 4—Other amendments</w:t>
      </w:r>
      <w:r w:rsidRPr="00367A30">
        <w:rPr>
          <w:noProof/>
          <w:sz w:val="18"/>
        </w:rPr>
        <w:tab/>
      </w:r>
      <w:r w:rsidRPr="00367A30">
        <w:rPr>
          <w:noProof/>
          <w:sz w:val="18"/>
        </w:rPr>
        <w:fldChar w:fldCharType="begin"/>
      </w:r>
      <w:r w:rsidRPr="00367A30">
        <w:rPr>
          <w:noProof/>
          <w:sz w:val="18"/>
        </w:rPr>
        <w:instrText xml:space="preserve"> PAGEREF _Toc48564339 \h </w:instrText>
      </w:r>
      <w:r w:rsidRPr="00367A30">
        <w:rPr>
          <w:noProof/>
          <w:sz w:val="18"/>
        </w:rPr>
      </w:r>
      <w:r w:rsidRPr="00367A30">
        <w:rPr>
          <w:noProof/>
          <w:sz w:val="18"/>
        </w:rPr>
        <w:fldChar w:fldCharType="separate"/>
      </w:r>
      <w:r w:rsidR="006E5FB0">
        <w:rPr>
          <w:noProof/>
          <w:sz w:val="18"/>
        </w:rPr>
        <w:t>40</w:t>
      </w:r>
      <w:r w:rsidRPr="00367A30">
        <w:rPr>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_Toc48564340 \h </w:instrText>
      </w:r>
      <w:r w:rsidRPr="00367A30">
        <w:rPr>
          <w:i w:val="0"/>
          <w:noProof/>
          <w:sz w:val="18"/>
        </w:rPr>
      </w:r>
      <w:r w:rsidRPr="00367A30">
        <w:rPr>
          <w:i w:val="0"/>
          <w:noProof/>
          <w:sz w:val="18"/>
        </w:rPr>
        <w:fldChar w:fldCharType="separate"/>
      </w:r>
      <w:r w:rsidR="006E5FB0">
        <w:rPr>
          <w:i w:val="0"/>
          <w:noProof/>
          <w:sz w:val="18"/>
        </w:rPr>
        <w:t>40</w:t>
      </w:r>
      <w:r w:rsidRPr="00367A30">
        <w:rPr>
          <w:i w:val="0"/>
          <w:noProof/>
          <w:sz w:val="18"/>
        </w:rPr>
        <w:fldChar w:fldCharType="end"/>
      </w:r>
    </w:p>
    <w:p w:rsidR="00367A30" w:rsidRDefault="00367A30">
      <w:pPr>
        <w:pStyle w:val="TOC6"/>
        <w:rPr>
          <w:rFonts w:asciiTheme="minorHAnsi" w:eastAsiaTheme="minorEastAsia" w:hAnsiTheme="minorHAnsi" w:cstheme="minorBidi"/>
          <w:b w:val="0"/>
          <w:noProof/>
          <w:kern w:val="0"/>
          <w:sz w:val="22"/>
          <w:szCs w:val="22"/>
        </w:rPr>
      </w:pPr>
      <w:r>
        <w:rPr>
          <w:noProof/>
        </w:rPr>
        <w:t>Schedule 10—Application, saving and transitional provisions</w:t>
      </w:r>
      <w:r w:rsidRPr="00367A30">
        <w:rPr>
          <w:b w:val="0"/>
          <w:noProof/>
          <w:sz w:val="18"/>
        </w:rPr>
        <w:tab/>
      </w:r>
      <w:r w:rsidRPr="00367A30">
        <w:rPr>
          <w:b w:val="0"/>
          <w:noProof/>
          <w:sz w:val="18"/>
        </w:rPr>
        <w:fldChar w:fldCharType="begin"/>
      </w:r>
      <w:r w:rsidRPr="00367A30">
        <w:rPr>
          <w:b w:val="0"/>
          <w:noProof/>
          <w:sz w:val="18"/>
        </w:rPr>
        <w:instrText xml:space="preserve"> PAGEREF _Toc48564341 \h </w:instrText>
      </w:r>
      <w:r w:rsidRPr="00367A30">
        <w:rPr>
          <w:b w:val="0"/>
          <w:noProof/>
          <w:sz w:val="18"/>
        </w:rPr>
      </w:r>
      <w:r w:rsidRPr="00367A30">
        <w:rPr>
          <w:b w:val="0"/>
          <w:noProof/>
          <w:sz w:val="18"/>
        </w:rPr>
        <w:fldChar w:fldCharType="separate"/>
      </w:r>
      <w:r w:rsidR="006E5FB0">
        <w:rPr>
          <w:b w:val="0"/>
          <w:noProof/>
          <w:sz w:val="18"/>
        </w:rPr>
        <w:t>41</w:t>
      </w:r>
      <w:r w:rsidRPr="00367A30">
        <w:rPr>
          <w:b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367A30">
        <w:rPr>
          <w:i w:val="0"/>
          <w:noProof/>
          <w:sz w:val="18"/>
        </w:rPr>
        <w:tab/>
      </w:r>
      <w:r w:rsidRPr="00367A30">
        <w:rPr>
          <w:i w:val="0"/>
          <w:noProof/>
          <w:sz w:val="18"/>
        </w:rPr>
        <w:fldChar w:fldCharType="begin"/>
      </w:r>
      <w:r w:rsidRPr="00367A30">
        <w:rPr>
          <w:i w:val="0"/>
          <w:noProof/>
          <w:sz w:val="18"/>
        </w:rPr>
        <w:instrText xml:space="preserve"> PAGEREF _Toc48564342 \h </w:instrText>
      </w:r>
      <w:r w:rsidRPr="00367A30">
        <w:rPr>
          <w:i w:val="0"/>
          <w:noProof/>
          <w:sz w:val="18"/>
        </w:rPr>
      </w:r>
      <w:r w:rsidRPr="00367A30">
        <w:rPr>
          <w:i w:val="0"/>
          <w:noProof/>
          <w:sz w:val="18"/>
        </w:rPr>
        <w:fldChar w:fldCharType="separate"/>
      </w:r>
      <w:r w:rsidR="006E5FB0">
        <w:rPr>
          <w:i w:val="0"/>
          <w:noProof/>
          <w:sz w:val="18"/>
        </w:rPr>
        <w:t>41</w:t>
      </w:r>
      <w:r w:rsidRPr="00367A30">
        <w:rPr>
          <w:i w:val="0"/>
          <w:noProof/>
          <w:sz w:val="18"/>
        </w:rPr>
        <w:fldChar w:fldCharType="end"/>
      </w:r>
    </w:p>
    <w:p w:rsidR="00367A30" w:rsidRDefault="00367A30">
      <w:pPr>
        <w:pStyle w:val="TOC9"/>
        <w:rPr>
          <w:rFonts w:asciiTheme="minorHAnsi" w:eastAsiaTheme="minorEastAsia" w:hAnsiTheme="minorHAnsi" w:cstheme="minorBidi"/>
          <w:i w:val="0"/>
          <w:noProof/>
          <w:kern w:val="0"/>
          <w:sz w:val="22"/>
          <w:szCs w:val="22"/>
        </w:rPr>
      </w:pPr>
      <w:r>
        <w:rPr>
          <w:noProof/>
        </w:rPr>
        <w:t>Therapeutic Goods Regulations 1990</w:t>
      </w:r>
      <w:r w:rsidRPr="00367A30">
        <w:rPr>
          <w:i w:val="0"/>
          <w:noProof/>
          <w:sz w:val="18"/>
        </w:rPr>
        <w:tab/>
      </w:r>
      <w:r w:rsidRPr="00367A30">
        <w:rPr>
          <w:i w:val="0"/>
          <w:noProof/>
          <w:sz w:val="18"/>
        </w:rPr>
        <w:fldChar w:fldCharType="begin"/>
      </w:r>
      <w:r w:rsidRPr="00367A30">
        <w:rPr>
          <w:i w:val="0"/>
          <w:noProof/>
          <w:sz w:val="18"/>
        </w:rPr>
        <w:instrText xml:space="preserve"> PAGEREF _Toc48564366 \h </w:instrText>
      </w:r>
      <w:r w:rsidRPr="00367A30">
        <w:rPr>
          <w:i w:val="0"/>
          <w:noProof/>
          <w:sz w:val="18"/>
        </w:rPr>
      </w:r>
      <w:r w:rsidRPr="00367A30">
        <w:rPr>
          <w:i w:val="0"/>
          <w:noProof/>
          <w:sz w:val="18"/>
        </w:rPr>
        <w:fldChar w:fldCharType="separate"/>
      </w:r>
      <w:r w:rsidR="006E5FB0">
        <w:rPr>
          <w:i w:val="0"/>
          <w:noProof/>
          <w:sz w:val="18"/>
        </w:rPr>
        <w:t>50</w:t>
      </w:r>
      <w:r w:rsidRPr="00367A30">
        <w:rPr>
          <w:i w:val="0"/>
          <w:noProof/>
          <w:sz w:val="18"/>
        </w:rPr>
        <w:fldChar w:fldCharType="end"/>
      </w:r>
    </w:p>
    <w:p w:rsidR="00367A30" w:rsidRDefault="00367A30" w:rsidP="00367A30">
      <w:pPr>
        <w:pStyle w:val="TOC2"/>
        <w:rPr>
          <w:rFonts w:asciiTheme="minorHAnsi" w:eastAsiaTheme="minorEastAsia" w:hAnsiTheme="minorHAnsi" w:cstheme="minorBidi"/>
          <w:b w:val="0"/>
          <w:noProof/>
          <w:kern w:val="0"/>
          <w:sz w:val="22"/>
          <w:szCs w:val="22"/>
        </w:rPr>
      </w:pPr>
      <w:r>
        <w:rPr>
          <w:noProof/>
        </w:rPr>
        <w:t>Endnotes</w:t>
      </w:r>
      <w:r w:rsidRPr="00367A30">
        <w:rPr>
          <w:b w:val="0"/>
          <w:noProof/>
          <w:sz w:val="18"/>
        </w:rPr>
        <w:tab/>
      </w:r>
      <w:r w:rsidRPr="00367A30">
        <w:rPr>
          <w:b w:val="0"/>
          <w:noProof/>
          <w:sz w:val="18"/>
        </w:rPr>
        <w:fldChar w:fldCharType="begin"/>
      </w:r>
      <w:r w:rsidRPr="00367A30">
        <w:rPr>
          <w:b w:val="0"/>
          <w:noProof/>
          <w:sz w:val="18"/>
        </w:rPr>
        <w:instrText xml:space="preserve"> PAGEREF _Toc48564381 \h </w:instrText>
      </w:r>
      <w:r w:rsidRPr="00367A30">
        <w:rPr>
          <w:b w:val="0"/>
          <w:noProof/>
          <w:sz w:val="18"/>
        </w:rPr>
      </w:r>
      <w:r w:rsidRPr="00367A30">
        <w:rPr>
          <w:b w:val="0"/>
          <w:noProof/>
          <w:sz w:val="18"/>
        </w:rPr>
        <w:fldChar w:fldCharType="separate"/>
      </w:r>
      <w:r w:rsidR="006E5FB0">
        <w:rPr>
          <w:b w:val="0"/>
          <w:noProof/>
          <w:sz w:val="18"/>
        </w:rPr>
        <w:t>55</w:t>
      </w:r>
      <w:r w:rsidRPr="00367A30">
        <w:rPr>
          <w:b w:val="0"/>
          <w:noProof/>
          <w:sz w:val="18"/>
        </w:rPr>
        <w:fldChar w:fldCharType="end"/>
      </w:r>
    </w:p>
    <w:p w:rsidR="00367A30" w:rsidRDefault="00367A30">
      <w:pPr>
        <w:pStyle w:val="TOC3"/>
        <w:rPr>
          <w:rFonts w:asciiTheme="minorHAnsi" w:eastAsiaTheme="minorEastAsia" w:hAnsiTheme="minorHAnsi" w:cstheme="minorBidi"/>
          <w:b w:val="0"/>
          <w:noProof/>
          <w:kern w:val="0"/>
          <w:szCs w:val="22"/>
        </w:rPr>
      </w:pPr>
      <w:r>
        <w:rPr>
          <w:noProof/>
        </w:rPr>
        <w:t>Endnote 1—About the endnotes</w:t>
      </w:r>
      <w:r w:rsidRPr="00367A30">
        <w:rPr>
          <w:b w:val="0"/>
          <w:noProof/>
          <w:sz w:val="18"/>
        </w:rPr>
        <w:tab/>
      </w:r>
      <w:r w:rsidRPr="00367A30">
        <w:rPr>
          <w:b w:val="0"/>
          <w:noProof/>
          <w:sz w:val="18"/>
        </w:rPr>
        <w:fldChar w:fldCharType="begin"/>
      </w:r>
      <w:r w:rsidRPr="00367A30">
        <w:rPr>
          <w:b w:val="0"/>
          <w:noProof/>
          <w:sz w:val="18"/>
        </w:rPr>
        <w:instrText xml:space="preserve"> PAGEREF _Toc48564382 \h </w:instrText>
      </w:r>
      <w:r w:rsidRPr="00367A30">
        <w:rPr>
          <w:b w:val="0"/>
          <w:noProof/>
          <w:sz w:val="18"/>
        </w:rPr>
      </w:r>
      <w:r w:rsidRPr="00367A30">
        <w:rPr>
          <w:b w:val="0"/>
          <w:noProof/>
          <w:sz w:val="18"/>
        </w:rPr>
        <w:fldChar w:fldCharType="separate"/>
      </w:r>
      <w:r w:rsidR="006E5FB0">
        <w:rPr>
          <w:b w:val="0"/>
          <w:noProof/>
          <w:sz w:val="18"/>
        </w:rPr>
        <w:t>55</w:t>
      </w:r>
      <w:r w:rsidRPr="00367A30">
        <w:rPr>
          <w:b w:val="0"/>
          <w:noProof/>
          <w:sz w:val="18"/>
        </w:rPr>
        <w:fldChar w:fldCharType="end"/>
      </w:r>
    </w:p>
    <w:p w:rsidR="00367A30" w:rsidRDefault="00367A30">
      <w:pPr>
        <w:pStyle w:val="TOC3"/>
        <w:rPr>
          <w:rFonts w:asciiTheme="minorHAnsi" w:eastAsiaTheme="minorEastAsia" w:hAnsiTheme="minorHAnsi" w:cstheme="minorBidi"/>
          <w:b w:val="0"/>
          <w:noProof/>
          <w:kern w:val="0"/>
          <w:szCs w:val="22"/>
        </w:rPr>
      </w:pPr>
      <w:r>
        <w:rPr>
          <w:noProof/>
        </w:rPr>
        <w:t>Endnote 2—Abbreviation key</w:t>
      </w:r>
      <w:r w:rsidRPr="00367A30">
        <w:rPr>
          <w:b w:val="0"/>
          <w:noProof/>
          <w:sz w:val="18"/>
        </w:rPr>
        <w:tab/>
      </w:r>
      <w:r w:rsidRPr="00367A30">
        <w:rPr>
          <w:b w:val="0"/>
          <w:noProof/>
          <w:sz w:val="18"/>
        </w:rPr>
        <w:fldChar w:fldCharType="begin"/>
      </w:r>
      <w:r w:rsidRPr="00367A30">
        <w:rPr>
          <w:b w:val="0"/>
          <w:noProof/>
          <w:sz w:val="18"/>
        </w:rPr>
        <w:instrText xml:space="preserve"> PAGEREF _Toc48564383 \h </w:instrText>
      </w:r>
      <w:r w:rsidRPr="00367A30">
        <w:rPr>
          <w:b w:val="0"/>
          <w:noProof/>
          <w:sz w:val="18"/>
        </w:rPr>
      </w:r>
      <w:r w:rsidRPr="00367A30">
        <w:rPr>
          <w:b w:val="0"/>
          <w:noProof/>
          <w:sz w:val="18"/>
        </w:rPr>
        <w:fldChar w:fldCharType="separate"/>
      </w:r>
      <w:r w:rsidR="006E5FB0">
        <w:rPr>
          <w:b w:val="0"/>
          <w:noProof/>
          <w:sz w:val="18"/>
        </w:rPr>
        <w:t>56</w:t>
      </w:r>
      <w:r w:rsidRPr="00367A30">
        <w:rPr>
          <w:b w:val="0"/>
          <w:noProof/>
          <w:sz w:val="18"/>
        </w:rPr>
        <w:fldChar w:fldCharType="end"/>
      </w:r>
    </w:p>
    <w:p w:rsidR="00367A30" w:rsidRDefault="00367A30">
      <w:pPr>
        <w:pStyle w:val="TOC3"/>
        <w:rPr>
          <w:rFonts w:asciiTheme="minorHAnsi" w:eastAsiaTheme="minorEastAsia" w:hAnsiTheme="minorHAnsi" w:cstheme="minorBidi"/>
          <w:b w:val="0"/>
          <w:noProof/>
          <w:kern w:val="0"/>
          <w:szCs w:val="22"/>
        </w:rPr>
      </w:pPr>
      <w:r>
        <w:rPr>
          <w:noProof/>
        </w:rPr>
        <w:t>Endnote 3—Legislation history</w:t>
      </w:r>
      <w:r w:rsidRPr="00367A30">
        <w:rPr>
          <w:b w:val="0"/>
          <w:noProof/>
          <w:sz w:val="18"/>
        </w:rPr>
        <w:tab/>
      </w:r>
      <w:r w:rsidRPr="00367A30">
        <w:rPr>
          <w:b w:val="0"/>
          <w:noProof/>
          <w:sz w:val="18"/>
        </w:rPr>
        <w:fldChar w:fldCharType="begin"/>
      </w:r>
      <w:r w:rsidRPr="00367A30">
        <w:rPr>
          <w:b w:val="0"/>
          <w:noProof/>
          <w:sz w:val="18"/>
        </w:rPr>
        <w:instrText xml:space="preserve"> PAGEREF _Toc48564384 \h </w:instrText>
      </w:r>
      <w:r w:rsidRPr="00367A30">
        <w:rPr>
          <w:b w:val="0"/>
          <w:noProof/>
          <w:sz w:val="18"/>
        </w:rPr>
      </w:r>
      <w:r w:rsidRPr="00367A30">
        <w:rPr>
          <w:b w:val="0"/>
          <w:noProof/>
          <w:sz w:val="18"/>
        </w:rPr>
        <w:fldChar w:fldCharType="separate"/>
      </w:r>
      <w:r w:rsidR="006E5FB0">
        <w:rPr>
          <w:b w:val="0"/>
          <w:noProof/>
          <w:sz w:val="18"/>
        </w:rPr>
        <w:t>57</w:t>
      </w:r>
      <w:r w:rsidRPr="00367A30">
        <w:rPr>
          <w:b w:val="0"/>
          <w:noProof/>
          <w:sz w:val="18"/>
        </w:rPr>
        <w:fldChar w:fldCharType="end"/>
      </w:r>
    </w:p>
    <w:p w:rsidR="00367A30" w:rsidRPr="00367A30" w:rsidRDefault="00367A30">
      <w:pPr>
        <w:pStyle w:val="TOC3"/>
        <w:rPr>
          <w:rFonts w:eastAsiaTheme="minorEastAsia"/>
          <w:b w:val="0"/>
          <w:noProof/>
          <w:kern w:val="0"/>
          <w:sz w:val="18"/>
          <w:szCs w:val="22"/>
        </w:rPr>
      </w:pPr>
      <w:r>
        <w:rPr>
          <w:noProof/>
        </w:rPr>
        <w:t>Endnote 4—Amendment history</w:t>
      </w:r>
      <w:r w:rsidRPr="00367A30">
        <w:rPr>
          <w:b w:val="0"/>
          <w:noProof/>
          <w:sz w:val="18"/>
        </w:rPr>
        <w:tab/>
      </w:r>
      <w:r w:rsidRPr="00367A30">
        <w:rPr>
          <w:b w:val="0"/>
          <w:noProof/>
          <w:sz w:val="18"/>
        </w:rPr>
        <w:fldChar w:fldCharType="begin"/>
      </w:r>
      <w:r w:rsidRPr="00367A30">
        <w:rPr>
          <w:b w:val="0"/>
          <w:noProof/>
          <w:sz w:val="18"/>
        </w:rPr>
        <w:instrText xml:space="preserve"> PAGEREF _Toc48564385 \h </w:instrText>
      </w:r>
      <w:r w:rsidRPr="00367A30">
        <w:rPr>
          <w:b w:val="0"/>
          <w:noProof/>
          <w:sz w:val="18"/>
        </w:rPr>
      </w:r>
      <w:r w:rsidRPr="00367A30">
        <w:rPr>
          <w:b w:val="0"/>
          <w:noProof/>
          <w:sz w:val="18"/>
        </w:rPr>
        <w:fldChar w:fldCharType="separate"/>
      </w:r>
      <w:r w:rsidR="006E5FB0">
        <w:rPr>
          <w:b w:val="0"/>
          <w:noProof/>
          <w:sz w:val="18"/>
        </w:rPr>
        <w:t>58</w:t>
      </w:r>
      <w:r w:rsidRPr="00367A30">
        <w:rPr>
          <w:b w:val="0"/>
          <w:noProof/>
          <w:sz w:val="18"/>
        </w:rPr>
        <w:fldChar w:fldCharType="end"/>
      </w:r>
    </w:p>
    <w:p w:rsidR="004C7C9A" w:rsidRPr="00B14E91" w:rsidRDefault="004C7C9A" w:rsidP="004C7C9A">
      <w:r w:rsidRPr="00367A30">
        <w:rPr>
          <w:rFonts w:cs="Times New Roman"/>
          <w:sz w:val="18"/>
        </w:rPr>
        <w:fldChar w:fldCharType="end"/>
      </w:r>
    </w:p>
    <w:p w:rsidR="004C7C9A" w:rsidRPr="00B14E91" w:rsidRDefault="004C7C9A" w:rsidP="004C7C9A">
      <w:pPr>
        <w:sectPr w:rsidR="004C7C9A" w:rsidRPr="00B14E91" w:rsidSect="00E35C69">
          <w:headerReference w:type="even" r:id="rId16"/>
          <w:headerReference w:type="default" r:id="rId17"/>
          <w:footerReference w:type="even" r:id="rId18"/>
          <w:footerReference w:type="default" r:id="rId19"/>
          <w:headerReference w:type="first" r:id="rId20"/>
          <w:pgSz w:w="11907" w:h="16839"/>
          <w:pgMar w:top="2384" w:right="1797" w:bottom="1440" w:left="1797" w:header="720" w:footer="709" w:gutter="0"/>
          <w:pgNumType w:fmt="lowerRoman" w:start="1"/>
          <w:cols w:space="708"/>
          <w:docGrid w:linePitch="360"/>
        </w:sectPr>
      </w:pPr>
    </w:p>
    <w:p w:rsidR="004C7C9A" w:rsidRPr="00B14E91" w:rsidRDefault="004C7C9A" w:rsidP="004C7C9A">
      <w:pPr>
        <w:pStyle w:val="ActHead5"/>
      </w:pPr>
      <w:bookmarkStart w:id="1" w:name="_Toc48564260"/>
      <w:r w:rsidRPr="00B14E91">
        <w:rPr>
          <w:rStyle w:val="CharSectno"/>
        </w:rPr>
        <w:lastRenderedPageBreak/>
        <w:t>1</w:t>
      </w:r>
      <w:r w:rsidRPr="00B14E91">
        <w:t xml:space="preserve">  Name</w:t>
      </w:r>
      <w:bookmarkEnd w:id="1"/>
    </w:p>
    <w:p w:rsidR="004C7C9A" w:rsidRPr="00B14E91" w:rsidRDefault="004C7C9A" w:rsidP="004C7C9A">
      <w:pPr>
        <w:pStyle w:val="subsection"/>
      </w:pPr>
      <w:r w:rsidRPr="00B14E91">
        <w:tab/>
      </w:r>
      <w:r w:rsidRPr="00B14E91">
        <w:tab/>
        <w:t xml:space="preserve">This instrument is the </w:t>
      </w:r>
      <w:r w:rsidRPr="00B14E91">
        <w:rPr>
          <w:i/>
        </w:rPr>
        <w:t xml:space="preserve">Therapeutic Goods Legislation Amendment (2019 Measures No. 1) </w:t>
      </w:r>
      <w:r w:rsidR="00D425F1">
        <w:rPr>
          <w:i/>
        </w:rPr>
        <w:t>Regulations 2</w:t>
      </w:r>
      <w:r w:rsidRPr="00B14E91">
        <w:rPr>
          <w:i/>
        </w:rPr>
        <w:t>019</w:t>
      </w:r>
      <w:r w:rsidRPr="00B14E91">
        <w:t>.</w:t>
      </w:r>
    </w:p>
    <w:p w:rsidR="004C7C9A" w:rsidRPr="00B14E91" w:rsidRDefault="004C7C9A" w:rsidP="004C7C9A">
      <w:pPr>
        <w:pStyle w:val="ActHead5"/>
      </w:pPr>
      <w:bookmarkStart w:id="2" w:name="_Toc48564261"/>
      <w:r w:rsidRPr="00B14E91">
        <w:rPr>
          <w:rStyle w:val="CharSectno"/>
        </w:rPr>
        <w:t>2</w:t>
      </w:r>
      <w:r w:rsidRPr="00B14E91">
        <w:t xml:space="preserve">  Commencement</w:t>
      </w:r>
      <w:bookmarkEnd w:id="2"/>
    </w:p>
    <w:p w:rsidR="004C7C9A" w:rsidRPr="00B14E91" w:rsidRDefault="004C7C9A" w:rsidP="004C7C9A">
      <w:pPr>
        <w:pStyle w:val="subsection"/>
      </w:pPr>
      <w:r w:rsidRPr="00B14E91">
        <w:tab/>
        <w:t>(1)</w:t>
      </w:r>
      <w:r w:rsidRPr="00B14E91">
        <w:tab/>
        <w:t>Each provision of this instrument specified in column 1 of the table commences, or is taken to have commenced, in accordance with column 2 of the table. Any other statement in column 2 has effect according to its terms.</w:t>
      </w:r>
    </w:p>
    <w:p w:rsidR="004C7C9A" w:rsidRPr="00B14E91" w:rsidRDefault="004C7C9A" w:rsidP="004C7C9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4C7C9A" w:rsidRPr="00B14E91" w:rsidTr="00B807E7">
        <w:trPr>
          <w:tblHeader/>
        </w:trPr>
        <w:tc>
          <w:tcPr>
            <w:tcW w:w="5000" w:type="pct"/>
            <w:gridSpan w:val="3"/>
            <w:tcBorders>
              <w:top w:val="single" w:sz="12" w:space="0" w:color="auto"/>
              <w:bottom w:val="single" w:sz="6" w:space="0" w:color="auto"/>
            </w:tcBorders>
            <w:shd w:val="clear" w:color="auto" w:fill="auto"/>
            <w:hideMark/>
          </w:tcPr>
          <w:p w:rsidR="004C7C9A" w:rsidRPr="00B14E91" w:rsidRDefault="004C7C9A" w:rsidP="00B807E7">
            <w:pPr>
              <w:pStyle w:val="TableHeading"/>
            </w:pPr>
            <w:r w:rsidRPr="00B14E91">
              <w:t>Commencement information</w:t>
            </w:r>
          </w:p>
        </w:tc>
      </w:tr>
      <w:tr w:rsidR="004C7C9A" w:rsidRPr="00B14E91" w:rsidTr="00B807E7">
        <w:trPr>
          <w:tblHeader/>
        </w:trPr>
        <w:tc>
          <w:tcPr>
            <w:tcW w:w="1272" w:type="pct"/>
            <w:tcBorders>
              <w:top w:val="single" w:sz="6" w:space="0" w:color="auto"/>
              <w:bottom w:val="single" w:sz="6" w:space="0" w:color="auto"/>
            </w:tcBorders>
            <w:shd w:val="clear" w:color="auto" w:fill="auto"/>
            <w:hideMark/>
          </w:tcPr>
          <w:p w:rsidR="004C7C9A" w:rsidRPr="00B14E91" w:rsidRDefault="004C7C9A" w:rsidP="00B807E7">
            <w:pPr>
              <w:pStyle w:val="TableHeading"/>
            </w:pPr>
            <w:r w:rsidRPr="00B14E91">
              <w:t>Column 1</w:t>
            </w:r>
          </w:p>
        </w:tc>
        <w:tc>
          <w:tcPr>
            <w:tcW w:w="2627" w:type="pct"/>
            <w:tcBorders>
              <w:top w:val="single" w:sz="6" w:space="0" w:color="auto"/>
              <w:bottom w:val="single" w:sz="6" w:space="0" w:color="auto"/>
            </w:tcBorders>
            <w:shd w:val="clear" w:color="auto" w:fill="auto"/>
            <w:hideMark/>
          </w:tcPr>
          <w:p w:rsidR="004C7C9A" w:rsidRPr="00B14E91" w:rsidRDefault="004C7C9A" w:rsidP="00B807E7">
            <w:pPr>
              <w:pStyle w:val="TableHeading"/>
            </w:pPr>
            <w:r w:rsidRPr="00B14E91">
              <w:t>Column 2</w:t>
            </w:r>
          </w:p>
        </w:tc>
        <w:tc>
          <w:tcPr>
            <w:tcW w:w="1101" w:type="pct"/>
            <w:tcBorders>
              <w:top w:val="single" w:sz="6" w:space="0" w:color="auto"/>
              <w:bottom w:val="single" w:sz="6" w:space="0" w:color="auto"/>
            </w:tcBorders>
            <w:shd w:val="clear" w:color="auto" w:fill="auto"/>
            <w:hideMark/>
          </w:tcPr>
          <w:p w:rsidR="004C7C9A" w:rsidRPr="00B14E91" w:rsidRDefault="004C7C9A" w:rsidP="00B807E7">
            <w:pPr>
              <w:pStyle w:val="TableHeading"/>
            </w:pPr>
            <w:r w:rsidRPr="00B14E91">
              <w:t>Column 3</w:t>
            </w:r>
          </w:p>
        </w:tc>
      </w:tr>
      <w:tr w:rsidR="004C7C9A" w:rsidRPr="00B14E91" w:rsidTr="00B807E7">
        <w:trPr>
          <w:tblHeader/>
        </w:trPr>
        <w:tc>
          <w:tcPr>
            <w:tcW w:w="1272" w:type="pct"/>
            <w:tcBorders>
              <w:top w:val="single" w:sz="6" w:space="0" w:color="auto"/>
              <w:bottom w:val="single" w:sz="12" w:space="0" w:color="auto"/>
            </w:tcBorders>
            <w:shd w:val="clear" w:color="auto" w:fill="auto"/>
            <w:hideMark/>
          </w:tcPr>
          <w:p w:rsidR="004C7C9A" w:rsidRPr="00B14E91" w:rsidRDefault="004C7C9A" w:rsidP="00B807E7">
            <w:pPr>
              <w:pStyle w:val="TableHeading"/>
            </w:pPr>
            <w:r w:rsidRPr="00B14E91">
              <w:t>Provisions</w:t>
            </w:r>
          </w:p>
        </w:tc>
        <w:tc>
          <w:tcPr>
            <w:tcW w:w="2627" w:type="pct"/>
            <w:tcBorders>
              <w:top w:val="single" w:sz="6" w:space="0" w:color="auto"/>
              <w:bottom w:val="single" w:sz="12" w:space="0" w:color="auto"/>
            </w:tcBorders>
            <w:shd w:val="clear" w:color="auto" w:fill="auto"/>
            <w:hideMark/>
          </w:tcPr>
          <w:p w:rsidR="004C7C9A" w:rsidRPr="00B14E91" w:rsidRDefault="004C7C9A" w:rsidP="00B807E7">
            <w:pPr>
              <w:pStyle w:val="TableHeading"/>
            </w:pPr>
            <w:r w:rsidRPr="00B14E91">
              <w:t>Commencement</w:t>
            </w:r>
          </w:p>
        </w:tc>
        <w:tc>
          <w:tcPr>
            <w:tcW w:w="1101" w:type="pct"/>
            <w:tcBorders>
              <w:top w:val="single" w:sz="6" w:space="0" w:color="auto"/>
              <w:bottom w:val="single" w:sz="12" w:space="0" w:color="auto"/>
            </w:tcBorders>
            <w:shd w:val="clear" w:color="auto" w:fill="auto"/>
            <w:hideMark/>
          </w:tcPr>
          <w:p w:rsidR="004C7C9A" w:rsidRPr="00B14E91" w:rsidRDefault="004C7C9A" w:rsidP="00B807E7">
            <w:pPr>
              <w:pStyle w:val="TableHeading"/>
            </w:pPr>
            <w:r w:rsidRPr="00B14E91">
              <w:t>Date/Details</w:t>
            </w:r>
          </w:p>
        </w:tc>
      </w:tr>
      <w:tr w:rsidR="004C7C9A" w:rsidRPr="00B14E91" w:rsidTr="00B807E7">
        <w:tc>
          <w:tcPr>
            <w:tcW w:w="1272" w:type="pct"/>
            <w:tcBorders>
              <w:top w:val="single" w:sz="12" w:space="0" w:color="auto"/>
              <w:bottom w:val="single" w:sz="2" w:space="0" w:color="auto"/>
            </w:tcBorders>
            <w:shd w:val="clear" w:color="auto" w:fill="auto"/>
            <w:hideMark/>
          </w:tcPr>
          <w:p w:rsidR="004C7C9A" w:rsidRPr="00B14E91" w:rsidRDefault="004C7C9A" w:rsidP="00B807E7">
            <w:pPr>
              <w:pStyle w:val="Tabletext"/>
            </w:pPr>
            <w:r w:rsidRPr="00B14E91">
              <w:t>1.  Sections 1 to 4 and anything in this instrument not elsewhere covered by this table</w:t>
            </w:r>
          </w:p>
        </w:tc>
        <w:tc>
          <w:tcPr>
            <w:tcW w:w="2627" w:type="pct"/>
            <w:tcBorders>
              <w:top w:val="single" w:sz="12" w:space="0" w:color="auto"/>
              <w:bottom w:val="single" w:sz="2" w:space="0" w:color="auto"/>
            </w:tcBorders>
            <w:shd w:val="clear" w:color="auto" w:fill="auto"/>
            <w:hideMark/>
          </w:tcPr>
          <w:p w:rsidR="004C7C9A" w:rsidRPr="00B14E91" w:rsidRDefault="004C7C9A" w:rsidP="00B807E7">
            <w:pPr>
              <w:pStyle w:val="Tabletext"/>
            </w:pPr>
            <w:r w:rsidRPr="00B14E91">
              <w:t>The day after this instrument is registered.</w:t>
            </w:r>
          </w:p>
        </w:tc>
        <w:tc>
          <w:tcPr>
            <w:tcW w:w="1101" w:type="pct"/>
            <w:tcBorders>
              <w:top w:val="single" w:sz="12" w:space="0" w:color="auto"/>
              <w:bottom w:val="single" w:sz="2" w:space="0" w:color="auto"/>
            </w:tcBorders>
            <w:shd w:val="clear" w:color="auto" w:fill="auto"/>
          </w:tcPr>
          <w:p w:rsidR="004C7C9A" w:rsidRPr="00B14E91" w:rsidRDefault="00D425F1" w:rsidP="00B807E7">
            <w:pPr>
              <w:pStyle w:val="Tabletext"/>
            </w:pPr>
            <w:r>
              <w:t>19 December</w:t>
            </w:r>
            <w:r w:rsidR="004C7C9A">
              <w:t xml:space="preserve"> 2019</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E367C1">
              <w:t>2.  Schedule 1</w:t>
            </w:r>
          </w:p>
        </w:tc>
        <w:tc>
          <w:tcPr>
            <w:tcW w:w="2627" w:type="pct"/>
            <w:tcBorders>
              <w:top w:val="single" w:sz="2" w:space="0" w:color="auto"/>
              <w:bottom w:val="single" w:sz="2" w:space="0" w:color="auto"/>
            </w:tcBorders>
            <w:shd w:val="clear" w:color="auto" w:fill="auto"/>
          </w:tcPr>
          <w:p w:rsidR="004C7C9A" w:rsidRPr="00B14E91" w:rsidRDefault="004C7C9A" w:rsidP="00B807E7">
            <w:pPr>
              <w:pStyle w:val="Tabletext"/>
            </w:pPr>
            <w:r w:rsidRPr="00E367C1">
              <w:t>25 November 2021.</w:t>
            </w:r>
          </w:p>
        </w:tc>
        <w:tc>
          <w:tcPr>
            <w:tcW w:w="1101" w:type="pct"/>
            <w:tcBorders>
              <w:top w:val="single" w:sz="2" w:space="0" w:color="auto"/>
              <w:bottom w:val="single" w:sz="2" w:space="0" w:color="auto"/>
            </w:tcBorders>
            <w:shd w:val="clear" w:color="auto" w:fill="auto"/>
          </w:tcPr>
          <w:p w:rsidR="004C7C9A" w:rsidRPr="00B14E91" w:rsidRDefault="004C7C9A" w:rsidP="00B807E7">
            <w:pPr>
              <w:pStyle w:val="Tabletext"/>
            </w:pPr>
            <w:r w:rsidRPr="00E367C1">
              <w:t>25 November 2021</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E367C1">
              <w:t>2A.  Schedules 2 and 3</w:t>
            </w:r>
          </w:p>
        </w:tc>
        <w:tc>
          <w:tcPr>
            <w:tcW w:w="2627" w:type="pct"/>
            <w:tcBorders>
              <w:top w:val="single" w:sz="2" w:space="0" w:color="auto"/>
              <w:bottom w:val="single" w:sz="2" w:space="0" w:color="auto"/>
            </w:tcBorders>
            <w:shd w:val="clear" w:color="auto" w:fill="auto"/>
          </w:tcPr>
          <w:p w:rsidR="004C7C9A" w:rsidRPr="00B14E91" w:rsidRDefault="004C7C9A" w:rsidP="00B807E7">
            <w:pPr>
              <w:pStyle w:val="Tabletext"/>
            </w:pPr>
            <w:r w:rsidRPr="00E367C1">
              <w:t>25 February 2021.</w:t>
            </w:r>
          </w:p>
        </w:tc>
        <w:tc>
          <w:tcPr>
            <w:tcW w:w="1101" w:type="pct"/>
            <w:tcBorders>
              <w:top w:val="single" w:sz="2" w:space="0" w:color="auto"/>
              <w:bottom w:val="single" w:sz="2" w:space="0" w:color="auto"/>
            </w:tcBorders>
            <w:shd w:val="clear" w:color="auto" w:fill="auto"/>
          </w:tcPr>
          <w:p w:rsidR="004C7C9A" w:rsidRPr="00B14E91" w:rsidRDefault="004C7C9A" w:rsidP="00B807E7">
            <w:pPr>
              <w:pStyle w:val="Tabletext"/>
            </w:pPr>
            <w:r w:rsidRPr="00E367C1">
              <w:t>25 February 2021</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3.  Schedule 4</w:t>
            </w:r>
          </w:p>
        </w:tc>
        <w:tc>
          <w:tcPr>
            <w:tcW w:w="2627"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1 February 2020.</w:t>
            </w:r>
          </w:p>
        </w:tc>
        <w:tc>
          <w:tcPr>
            <w:tcW w:w="1101"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1 February 2020</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4.  Schedule 5</w:t>
            </w:r>
          </w:p>
        </w:tc>
        <w:tc>
          <w:tcPr>
            <w:tcW w:w="2627"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2020.</w:t>
            </w:r>
          </w:p>
        </w:tc>
        <w:tc>
          <w:tcPr>
            <w:tcW w:w="1101"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2020</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5.  Schedule 6</w:t>
            </w:r>
          </w:p>
        </w:tc>
        <w:tc>
          <w:tcPr>
            <w:tcW w:w="2627"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2021.</w:t>
            </w:r>
          </w:p>
        </w:tc>
        <w:tc>
          <w:tcPr>
            <w:tcW w:w="1101"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2021</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6.  Schedule 7</w:t>
            </w:r>
          </w:p>
        </w:tc>
        <w:tc>
          <w:tcPr>
            <w:tcW w:w="2627"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2020.</w:t>
            </w:r>
          </w:p>
        </w:tc>
        <w:tc>
          <w:tcPr>
            <w:tcW w:w="1101"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2020</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7.  Schedule 8</w:t>
            </w:r>
          </w:p>
        </w:tc>
        <w:tc>
          <w:tcPr>
            <w:tcW w:w="2627"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The day after this instrument is registered.</w:t>
            </w:r>
          </w:p>
        </w:tc>
        <w:tc>
          <w:tcPr>
            <w:tcW w:w="1101" w:type="pct"/>
            <w:tcBorders>
              <w:top w:val="single" w:sz="2" w:space="0" w:color="auto"/>
              <w:bottom w:val="single" w:sz="2" w:space="0" w:color="auto"/>
            </w:tcBorders>
            <w:shd w:val="clear" w:color="auto" w:fill="auto"/>
          </w:tcPr>
          <w:p w:rsidR="004C7C9A" w:rsidRPr="00B14E91" w:rsidRDefault="00D425F1" w:rsidP="00B807E7">
            <w:pPr>
              <w:pStyle w:val="Tabletext"/>
            </w:pPr>
            <w:r>
              <w:t>19 December</w:t>
            </w:r>
            <w:r w:rsidR="004C7C9A">
              <w:t xml:space="preserve"> 2019</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8.  Schedule 9, Parts 1 to 3</w:t>
            </w:r>
          </w:p>
        </w:tc>
        <w:tc>
          <w:tcPr>
            <w:tcW w:w="2627"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2020.</w:t>
            </w:r>
          </w:p>
        </w:tc>
        <w:tc>
          <w:tcPr>
            <w:tcW w:w="1101" w:type="pct"/>
            <w:tcBorders>
              <w:top w:val="single" w:sz="2" w:space="0" w:color="auto"/>
              <w:bottom w:val="single" w:sz="2" w:space="0" w:color="auto"/>
            </w:tcBorders>
            <w:shd w:val="clear" w:color="auto" w:fill="auto"/>
          </w:tcPr>
          <w:p w:rsidR="004C7C9A" w:rsidRPr="00B14E91" w:rsidRDefault="00D425F1" w:rsidP="00B807E7">
            <w:pPr>
              <w:pStyle w:val="Tabletext"/>
            </w:pPr>
            <w:r>
              <w:t>1 January</w:t>
            </w:r>
            <w:r w:rsidR="004C7C9A" w:rsidRPr="00B14E91">
              <w:t xml:space="preserve"> 2020</w:t>
            </w:r>
          </w:p>
        </w:tc>
      </w:tr>
      <w:tr w:rsidR="004C7C9A" w:rsidRPr="00B14E91" w:rsidTr="00B807E7">
        <w:tc>
          <w:tcPr>
            <w:tcW w:w="1272"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9.  Schedule 9, Part 4</w:t>
            </w:r>
          </w:p>
        </w:tc>
        <w:tc>
          <w:tcPr>
            <w:tcW w:w="2627" w:type="pct"/>
            <w:tcBorders>
              <w:top w:val="single" w:sz="2" w:space="0" w:color="auto"/>
              <w:bottom w:val="single" w:sz="2" w:space="0" w:color="auto"/>
            </w:tcBorders>
            <w:shd w:val="clear" w:color="auto" w:fill="auto"/>
          </w:tcPr>
          <w:p w:rsidR="004C7C9A" w:rsidRPr="00B14E91" w:rsidRDefault="004C7C9A" w:rsidP="00B807E7">
            <w:pPr>
              <w:pStyle w:val="Tabletext"/>
            </w:pPr>
            <w:r w:rsidRPr="00B14E91">
              <w:t>The day after this instrument is registered.</w:t>
            </w:r>
          </w:p>
        </w:tc>
        <w:tc>
          <w:tcPr>
            <w:tcW w:w="1101" w:type="pct"/>
            <w:tcBorders>
              <w:top w:val="single" w:sz="2" w:space="0" w:color="auto"/>
              <w:bottom w:val="single" w:sz="2" w:space="0" w:color="auto"/>
            </w:tcBorders>
            <w:shd w:val="clear" w:color="auto" w:fill="auto"/>
          </w:tcPr>
          <w:p w:rsidR="004C7C9A" w:rsidRPr="00B14E91" w:rsidRDefault="00D425F1" w:rsidP="00B807E7">
            <w:pPr>
              <w:pStyle w:val="Tabletext"/>
            </w:pPr>
            <w:r>
              <w:t>19 December</w:t>
            </w:r>
            <w:r w:rsidR="004C7C9A">
              <w:t xml:space="preserve"> 2019</w:t>
            </w:r>
          </w:p>
        </w:tc>
      </w:tr>
      <w:tr w:rsidR="004C7C9A" w:rsidRPr="00B14E91" w:rsidTr="00B807E7">
        <w:tc>
          <w:tcPr>
            <w:tcW w:w="1272"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10.  Schedule 10</w:t>
            </w:r>
          </w:p>
        </w:tc>
        <w:tc>
          <w:tcPr>
            <w:tcW w:w="2627"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The day after this instrument is registered.</w:t>
            </w:r>
          </w:p>
        </w:tc>
        <w:tc>
          <w:tcPr>
            <w:tcW w:w="1101" w:type="pct"/>
            <w:tcBorders>
              <w:top w:val="single" w:sz="2" w:space="0" w:color="auto"/>
              <w:bottom w:val="single" w:sz="12" w:space="0" w:color="auto"/>
            </w:tcBorders>
            <w:shd w:val="clear" w:color="auto" w:fill="auto"/>
          </w:tcPr>
          <w:p w:rsidR="004C7C9A" w:rsidRPr="00B14E91" w:rsidRDefault="00D425F1" w:rsidP="00B807E7">
            <w:pPr>
              <w:pStyle w:val="Tabletext"/>
            </w:pPr>
            <w:r>
              <w:t>19 December</w:t>
            </w:r>
            <w:r w:rsidR="004C7C9A">
              <w:t xml:space="preserve"> 2019</w:t>
            </w:r>
          </w:p>
        </w:tc>
      </w:tr>
    </w:tbl>
    <w:p w:rsidR="004C7C9A" w:rsidRPr="00B14E91" w:rsidRDefault="004C7C9A" w:rsidP="004C7C9A">
      <w:pPr>
        <w:pStyle w:val="notetext"/>
      </w:pPr>
      <w:r w:rsidRPr="00B14E91">
        <w:rPr>
          <w:snapToGrid w:val="0"/>
          <w:lang w:eastAsia="en-US"/>
        </w:rPr>
        <w:t>Note:</w:t>
      </w:r>
      <w:r w:rsidRPr="00B14E91">
        <w:rPr>
          <w:snapToGrid w:val="0"/>
          <w:lang w:eastAsia="en-US"/>
        </w:rPr>
        <w:tab/>
        <w:t>This table relates only to the provisions of this instrument</w:t>
      </w:r>
      <w:r w:rsidRPr="00B14E91">
        <w:t xml:space="preserve"> </w:t>
      </w:r>
      <w:r w:rsidRPr="00B14E91">
        <w:rPr>
          <w:snapToGrid w:val="0"/>
          <w:lang w:eastAsia="en-US"/>
        </w:rPr>
        <w:t>as originally made. It will not be amended to deal with any later amendments of this instrument.</w:t>
      </w:r>
    </w:p>
    <w:p w:rsidR="004C7C9A" w:rsidRPr="00B14E91" w:rsidRDefault="004C7C9A" w:rsidP="004C7C9A">
      <w:pPr>
        <w:pStyle w:val="subsection"/>
      </w:pPr>
      <w:r w:rsidRPr="00B14E91">
        <w:tab/>
        <w:t>(2)</w:t>
      </w:r>
      <w:r w:rsidRPr="00B14E91">
        <w:tab/>
        <w:t>Any information in column 3 of the table is not part of this instrument. Information may be inserted in this column, or information in it may be edited, in any published version of this instrument.</w:t>
      </w:r>
    </w:p>
    <w:p w:rsidR="004C7C9A" w:rsidRPr="00B14E91" w:rsidRDefault="004C7C9A" w:rsidP="004C7C9A">
      <w:pPr>
        <w:pStyle w:val="ActHead5"/>
      </w:pPr>
      <w:bookmarkStart w:id="3" w:name="_Toc48564262"/>
      <w:r w:rsidRPr="00B14E91">
        <w:rPr>
          <w:rStyle w:val="CharSectno"/>
        </w:rPr>
        <w:t>3</w:t>
      </w:r>
      <w:r w:rsidRPr="00B14E91">
        <w:t xml:space="preserve">  Authority</w:t>
      </w:r>
      <w:bookmarkEnd w:id="3"/>
    </w:p>
    <w:p w:rsidR="004C7C9A" w:rsidRPr="00B14E91" w:rsidRDefault="004C7C9A" w:rsidP="004C7C9A">
      <w:pPr>
        <w:pStyle w:val="subsection"/>
      </w:pPr>
      <w:r w:rsidRPr="00B14E91">
        <w:tab/>
      </w:r>
      <w:r w:rsidRPr="00B14E91">
        <w:tab/>
        <w:t>This instrument is made under the following:</w:t>
      </w:r>
    </w:p>
    <w:p w:rsidR="004C7C9A" w:rsidRPr="00B14E91" w:rsidRDefault="004C7C9A" w:rsidP="004C7C9A">
      <w:pPr>
        <w:pStyle w:val="paragraph"/>
      </w:pPr>
      <w:r w:rsidRPr="00B14E91">
        <w:tab/>
        <w:t>(a)</w:t>
      </w:r>
      <w:r w:rsidRPr="00B14E91">
        <w:tab/>
        <w:t xml:space="preserve">the </w:t>
      </w:r>
      <w:r w:rsidRPr="00B14E91">
        <w:rPr>
          <w:i/>
        </w:rPr>
        <w:t>Therapeutic Goods Act 1989</w:t>
      </w:r>
      <w:r w:rsidRPr="00B14E91">
        <w:t>;</w:t>
      </w:r>
    </w:p>
    <w:p w:rsidR="004C7C9A" w:rsidRPr="00B14E91" w:rsidRDefault="004C7C9A" w:rsidP="004C7C9A">
      <w:pPr>
        <w:pStyle w:val="paragraph"/>
      </w:pPr>
      <w:r w:rsidRPr="00B14E91">
        <w:tab/>
        <w:t>(b)</w:t>
      </w:r>
      <w:r w:rsidRPr="00B14E91">
        <w:tab/>
        <w:t xml:space="preserve">the </w:t>
      </w:r>
      <w:r w:rsidRPr="00B14E91">
        <w:rPr>
          <w:i/>
        </w:rPr>
        <w:t>Therapeutic Goods (Charges) Act 1989</w:t>
      </w:r>
      <w:r w:rsidRPr="00B14E91">
        <w:t>.</w:t>
      </w:r>
    </w:p>
    <w:p w:rsidR="004C7C9A" w:rsidRPr="00B14E91" w:rsidRDefault="004C7C9A" w:rsidP="004C7C9A">
      <w:pPr>
        <w:pStyle w:val="ActHead5"/>
      </w:pPr>
      <w:bookmarkStart w:id="4" w:name="_Toc48564263"/>
      <w:r w:rsidRPr="00B14E91">
        <w:rPr>
          <w:rStyle w:val="CharSectno"/>
        </w:rPr>
        <w:lastRenderedPageBreak/>
        <w:t>4</w:t>
      </w:r>
      <w:r w:rsidRPr="00B14E91">
        <w:t xml:space="preserve">  Schedules</w:t>
      </w:r>
      <w:bookmarkEnd w:id="4"/>
    </w:p>
    <w:p w:rsidR="004C7C9A" w:rsidRPr="00B14E91" w:rsidRDefault="004C7C9A" w:rsidP="004C7C9A">
      <w:pPr>
        <w:pStyle w:val="subsection"/>
      </w:pPr>
      <w:r w:rsidRPr="00B14E91">
        <w:tab/>
      </w:r>
      <w:r w:rsidRPr="00B14E91">
        <w:tab/>
        <w:t>Each instrument that is specified in a Schedule to this instrument is amended or repealed as set out in the applicable items in the Schedule concerned, and any other item in a Schedule to this instrument has effect according to its terms.</w:t>
      </w:r>
    </w:p>
    <w:p w:rsidR="004C7C9A" w:rsidRPr="00B14E91" w:rsidRDefault="004C7C9A" w:rsidP="004C7C9A">
      <w:pPr>
        <w:pStyle w:val="ActHead6"/>
        <w:pageBreakBefore/>
      </w:pPr>
      <w:bookmarkStart w:id="5" w:name="opcAmSched"/>
      <w:bookmarkStart w:id="6" w:name="_Toc48564264"/>
      <w:r w:rsidRPr="00B14E91">
        <w:rPr>
          <w:rStyle w:val="CharAmSchNo"/>
        </w:rPr>
        <w:lastRenderedPageBreak/>
        <w:t>Schedule 1</w:t>
      </w:r>
      <w:r w:rsidRPr="00B14E91">
        <w:t>—</w:t>
      </w:r>
      <w:r w:rsidRPr="00B14E91">
        <w:rPr>
          <w:rStyle w:val="CharAmSchText"/>
        </w:rPr>
        <w:t>Reclassification of medical devices</w:t>
      </w:r>
      <w:bookmarkEnd w:id="6"/>
    </w:p>
    <w:p w:rsidR="004C7C9A" w:rsidRPr="00B14E91" w:rsidRDefault="004C7C9A" w:rsidP="004C7C9A">
      <w:pPr>
        <w:pStyle w:val="ActHead7"/>
      </w:pPr>
      <w:bookmarkStart w:id="7" w:name="_Toc48564265"/>
      <w:bookmarkEnd w:id="5"/>
      <w:r w:rsidRPr="00B14E91">
        <w:rPr>
          <w:rStyle w:val="CharAmPartNo"/>
        </w:rPr>
        <w:t>Part 1</w:t>
      </w:r>
      <w:r w:rsidRPr="00B14E91">
        <w:t>—</w:t>
      </w:r>
      <w:r w:rsidRPr="00B14E91">
        <w:rPr>
          <w:rStyle w:val="CharAmPartText"/>
        </w:rPr>
        <w:t>Spinal implantable medical devices</w:t>
      </w:r>
      <w:bookmarkEnd w:id="7"/>
    </w:p>
    <w:p w:rsidR="004C7C9A" w:rsidRPr="00B14E91" w:rsidRDefault="004C7C9A" w:rsidP="004C7C9A">
      <w:pPr>
        <w:pStyle w:val="ActHead9"/>
      </w:pPr>
      <w:bookmarkStart w:id="8" w:name="_Toc48564266"/>
      <w:r w:rsidRPr="00B14E91">
        <w:t xml:space="preserve">Therapeutic Goods (Medical Devices) </w:t>
      </w:r>
      <w:r w:rsidR="00D425F1">
        <w:t>Regulations 2</w:t>
      </w:r>
      <w:r w:rsidRPr="00B14E91">
        <w:t>002</w:t>
      </w:r>
      <w:bookmarkEnd w:id="8"/>
    </w:p>
    <w:p w:rsidR="004C7C9A" w:rsidRPr="00B14E91" w:rsidRDefault="004C7C9A" w:rsidP="004C7C9A">
      <w:pPr>
        <w:pStyle w:val="ItemHead"/>
      </w:pPr>
      <w:r w:rsidRPr="00B14E91">
        <w:t>1  After paragraph 5.3(1)(b)</w:t>
      </w:r>
    </w:p>
    <w:p w:rsidR="004C7C9A" w:rsidRPr="00B14E91" w:rsidRDefault="004C7C9A" w:rsidP="004C7C9A">
      <w:pPr>
        <w:pStyle w:val="Item"/>
      </w:pPr>
      <w:r w:rsidRPr="00B14E91">
        <w:t>Insert:</w:t>
      </w:r>
    </w:p>
    <w:p w:rsidR="004C7C9A" w:rsidRPr="00B14E91" w:rsidRDefault="004C7C9A" w:rsidP="004C7C9A">
      <w:pPr>
        <w:pStyle w:val="paragraph"/>
      </w:pPr>
      <w:r w:rsidRPr="00B14E91">
        <w:tab/>
        <w:t>(c)</w:t>
      </w:r>
      <w:r w:rsidRPr="00B14E91">
        <w:tab/>
        <w:t>a medical device that is a spinal fusion implantable device;</w:t>
      </w:r>
    </w:p>
    <w:p w:rsidR="004C7C9A" w:rsidRPr="00B14E91" w:rsidRDefault="004C7C9A" w:rsidP="004C7C9A">
      <w:pPr>
        <w:pStyle w:val="noteToPara"/>
      </w:pPr>
      <w:r w:rsidRPr="00B14E91">
        <w:t>Note:</w:t>
      </w:r>
      <w:r w:rsidRPr="00B14E91">
        <w:tab/>
        <w:t>Examples of spinal fusion implantable devices include screws, cages, plates, hooks or rods that are intended to be used during spinal fusion surgical procedures.</w:t>
      </w:r>
    </w:p>
    <w:p w:rsidR="004C7C9A" w:rsidRPr="00B14E91" w:rsidRDefault="004C7C9A" w:rsidP="004C7C9A">
      <w:pPr>
        <w:pStyle w:val="ItemHead"/>
      </w:pPr>
      <w:r w:rsidRPr="00B14E91">
        <w:t>2  Regulation 5.12 (heading)</w:t>
      </w:r>
    </w:p>
    <w:p w:rsidR="004C7C9A" w:rsidRPr="00B14E91" w:rsidRDefault="004C7C9A" w:rsidP="004C7C9A">
      <w:pPr>
        <w:pStyle w:val="Item"/>
      </w:pPr>
      <w:r w:rsidRPr="00B14E91">
        <w:t>Omit “</w:t>
      </w:r>
      <w:r w:rsidRPr="00B14E91">
        <w:rPr>
          <w:b/>
        </w:rPr>
        <w:t>relating to certain IVD medical devices</w:t>
      </w:r>
      <w:r w:rsidRPr="00B14E91">
        <w:t>”.</w:t>
      </w:r>
    </w:p>
    <w:p w:rsidR="004C7C9A" w:rsidRPr="00B14E91" w:rsidRDefault="004C7C9A" w:rsidP="004C7C9A">
      <w:pPr>
        <w:pStyle w:val="ItemHead"/>
      </w:pPr>
      <w:r w:rsidRPr="00B14E91">
        <w:t>3  At the end of subregulation 5.12(1)</w:t>
      </w:r>
    </w:p>
    <w:p w:rsidR="004C7C9A" w:rsidRPr="00B14E91" w:rsidRDefault="004C7C9A" w:rsidP="004C7C9A">
      <w:pPr>
        <w:pStyle w:val="Item"/>
      </w:pPr>
      <w:r w:rsidRPr="00B14E91">
        <w:t>Add “or a kind of medical device that is a spinal fusion implantable device”.</w:t>
      </w:r>
    </w:p>
    <w:p w:rsidR="004C7C9A" w:rsidRPr="00B14E91" w:rsidRDefault="004C7C9A" w:rsidP="004C7C9A">
      <w:pPr>
        <w:pStyle w:val="ItemHead"/>
      </w:pPr>
      <w:r w:rsidRPr="00B14E91">
        <w:t>4  At the end of subregulation 5.12(1)</w:t>
      </w:r>
    </w:p>
    <w:p w:rsidR="004C7C9A" w:rsidRPr="00B14E91" w:rsidRDefault="004C7C9A" w:rsidP="004C7C9A">
      <w:pPr>
        <w:pStyle w:val="Item"/>
      </w:pPr>
      <w:r w:rsidRPr="00B14E91">
        <w:t>Add:</w:t>
      </w:r>
    </w:p>
    <w:p w:rsidR="004C7C9A" w:rsidRPr="00B14E91" w:rsidRDefault="004C7C9A" w:rsidP="004C7C9A">
      <w:pPr>
        <w:pStyle w:val="notetext"/>
      </w:pPr>
      <w:r w:rsidRPr="00B14E91">
        <w:t>Note:</w:t>
      </w:r>
      <w:r w:rsidRPr="00B14E91">
        <w:tab/>
        <w:t>Examples of spinal fusion implantable devices include screws, cages, plates, hooks or rods that are intended to be used during spinal fusion surgical procedures.</w:t>
      </w:r>
    </w:p>
    <w:p w:rsidR="004C7C9A" w:rsidRPr="00B14E91" w:rsidRDefault="004C7C9A" w:rsidP="004C7C9A">
      <w:pPr>
        <w:pStyle w:val="ItemHead"/>
      </w:pPr>
      <w:r w:rsidRPr="00B14E91">
        <w:t>5  Subclause 3.4(2) of Schedule 2</w:t>
      </w:r>
    </w:p>
    <w:p w:rsidR="004C7C9A" w:rsidRPr="00B14E91" w:rsidRDefault="004C7C9A" w:rsidP="004C7C9A">
      <w:pPr>
        <w:pStyle w:val="Item"/>
      </w:pPr>
      <w:r w:rsidRPr="00B14E91">
        <w:t>Omit “and (4A)”, substitute “, (4A) and (4B)”.</w:t>
      </w:r>
    </w:p>
    <w:p w:rsidR="004C7C9A" w:rsidRPr="00B14E91" w:rsidRDefault="004C7C9A" w:rsidP="004C7C9A">
      <w:pPr>
        <w:pStyle w:val="ItemHead"/>
      </w:pPr>
      <w:r w:rsidRPr="00B14E91">
        <w:t>6  After subclause 3.4(4A) of Schedule 2</w:t>
      </w:r>
    </w:p>
    <w:p w:rsidR="004C7C9A" w:rsidRPr="00B14E91" w:rsidRDefault="004C7C9A" w:rsidP="004C7C9A">
      <w:pPr>
        <w:pStyle w:val="Item"/>
      </w:pPr>
      <w:r w:rsidRPr="00B14E91">
        <w:t>Insert:</w:t>
      </w:r>
    </w:p>
    <w:p w:rsidR="004C7C9A" w:rsidRPr="00B14E91" w:rsidRDefault="004C7C9A" w:rsidP="004C7C9A">
      <w:pPr>
        <w:pStyle w:val="subsection"/>
      </w:pPr>
      <w:r w:rsidRPr="00B14E91">
        <w:tab/>
        <w:t>(4B)</w:t>
      </w:r>
      <w:r w:rsidRPr="00B14E91">
        <w:tab/>
        <w:t>If the device:</w:t>
      </w:r>
    </w:p>
    <w:p w:rsidR="004C7C9A" w:rsidRPr="00B14E91" w:rsidRDefault="004C7C9A" w:rsidP="004C7C9A">
      <w:pPr>
        <w:pStyle w:val="paragraph"/>
      </w:pPr>
      <w:r w:rsidRPr="00B14E91">
        <w:tab/>
        <w:t>(a)</w:t>
      </w:r>
      <w:r w:rsidRPr="00B14E91">
        <w:tab/>
        <w:t xml:space="preserve"> is intended by the manufacturer:</w:t>
      </w:r>
    </w:p>
    <w:p w:rsidR="004C7C9A" w:rsidRPr="00B14E91" w:rsidRDefault="004C7C9A" w:rsidP="004C7C9A">
      <w:pPr>
        <w:pStyle w:val="paragraphsub"/>
      </w:pPr>
      <w:r w:rsidRPr="00B14E91">
        <w:tab/>
        <w:t>(i)</w:t>
      </w:r>
      <w:r w:rsidRPr="00B14E91">
        <w:tab/>
        <w:t>to be a motion</w:t>
      </w:r>
      <w:r w:rsidR="00D425F1">
        <w:noBreakHyphen/>
      </w:r>
      <w:r w:rsidRPr="00B14E91">
        <w:t>preserving device for the spine (such as a spinal disc replacement); or</w:t>
      </w:r>
    </w:p>
    <w:p w:rsidR="004C7C9A" w:rsidRPr="00B14E91" w:rsidRDefault="004C7C9A" w:rsidP="004C7C9A">
      <w:pPr>
        <w:pStyle w:val="paragraphsub"/>
      </w:pPr>
      <w:r w:rsidRPr="00B14E91">
        <w:tab/>
        <w:t>(ii)</w:t>
      </w:r>
      <w:r w:rsidRPr="00B14E91">
        <w:tab/>
        <w:t>to come in contact with a person’s spinal column; and</w:t>
      </w:r>
    </w:p>
    <w:p w:rsidR="004C7C9A" w:rsidRPr="00B14E91" w:rsidRDefault="004C7C9A" w:rsidP="004C7C9A">
      <w:pPr>
        <w:pStyle w:val="paragraph"/>
      </w:pPr>
      <w:r w:rsidRPr="00B14E91">
        <w:tab/>
        <w:t>(b)</w:t>
      </w:r>
      <w:r w:rsidRPr="00B14E91">
        <w:tab/>
        <w:t>is not a spinal fusion implantable device;</w:t>
      </w:r>
    </w:p>
    <w:p w:rsidR="004C7C9A" w:rsidRPr="00B14E91" w:rsidRDefault="004C7C9A" w:rsidP="004C7C9A">
      <w:pPr>
        <w:pStyle w:val="subsection2"/>
      </w:pPr>
      <w:r w:rsidRPr="00B14E91">
        <w:t>the device is classified as Class III.</w:t>
      </w:r>
    </w:p>
    <w:p w:rsidR="004C7C9A" w:rsidRPr="00B14E91" w:rsidRDefault="004C7C9A" w:rsidP="004C7C9A">
      <w:pPr>
        <w:pStyle w:val="notetext"/>
      </w:pPr>
      <w:r w:rsidRPr="00B14E91">
        <w:t>Note:</w:t>
      </w:r>
      <w:r w:rsidRPr="00B14E91">
        <w:tab/>
        <w:t>Examples of spinal fusion implantable devices include screws, cages, plates, hooks or rods that are intended to be used during spinal fusion surgical procedures.</w:t>
      </w:r>
    </w:p>
    <w:p w:rsidR="004C7C9A" w:rsidRPr="00B14E91" w:rsidRDefault="004C7C9A" w:rsidP="004C7C9A">
      <w:pPr>
        <w:pStyle w:val="ActHead7"/>
        <w:pageBreakBefore/>
      </w:pPr>
      <w:bookmarkStart w:id="9" w:name="_Toc48564267"/>
      <w:r w:rsidRPr="00B14E91">
        <w:rPr>
          <w:rStyle w:val="CharAmPartNo"/>
        </w:rPr>
        <w:lastRenderedPageBreak/>
        <w:t>Part 2</w:t>
      </w:r>
      <w:r w:rsidRPr="00B14E91">
        <w:t>—</w:t>
      </w:r>
      <w:r w:rsidRPr="00B14E91">
        <w:rPr>
          <w:rStyle w:val="CharAmPartText"/>
        </w:rPr>
        <w:t>Active implantable medical devices</w:t>
      </w:r>
      <w:bookmarkEnd w:id="9"/>
    </w:p>
    <w:p w:rsidR="004C7C9A" w:rsidRPr="00B14E91" w:rsidRDefault="004C7C9A" w:rsidP="004C7C9A">
      <w:pPr>
        <w:pStyle w:val="ActHead9"/>
      </w:pPr>
      <w:bookmarkStart w:id="10" w:name="_Toc48564268"/>
      <w:r w:rsidRPr="00B14E91">
        <w:t xml:space="preserve">Therapeutic Goods (Medical Devices) </w:t>
      </w:r>
      <w:r w:rsidR="00D425F1">
        <w:t>Regulations 2</w:t>
      </w:r>
      <w:r w:rsidRPr="00B14E91">
        <w:t>002</w:t>
      </w:r>
      <w:bookmarkEnd w:id="10"/>
    </w:p>
    <w:p w:rsidR="004C7C9A" w:rsidRPr="00B14E91" w:rsidRDefault="004C7C9A" w:rsidP="004C7C9A">
      <w:pPr>
        <w:pStyle w:val="ItemHead"/>
      </w:pPr>
      <w:r w:rsidRPr="00B14E91">
        <w:t xml:space="preserve">7  </w:t>
      </w:r>
      <w:r w:rsidR="00D425F1">
        <w:t>Paragraph 1</w:t>
      </w:r>
      <w:r w:rsidRPr="00B14E91">
        <w:t>.6(b)</w:t>
      </w:r>
    </w:p>
    <w:p w:rsidR="004C7C9A" w:rsidRPr="00B14E91" w:rsidRDefault="004C7C9A" w:rsidP="004C7C9A">
      <w:pPr>
        <w:pStyle w:val="Item"/>
      </w:pPr>
      <w:r w:rsidRPr="00B14E91">
        <w:t>Repeal the paragraph.</w:t>
      </w:r>
    </w:p>
    <w:p w:rsidR="004C7C9A" w:rsidRPr="00B14E91" w:rsidRDefault="004C7C9A" w:rsidP="004C7C9A">
      <w:pPr>
        <w:pStyle w:val="ItemHead"/>
      </w:pPr>
      <w:r w:rsidRPr="00B14E91">
        <w:t xml:space="preserve">8  </w:t>
      </w:r>
      <w:r w:rsidR="00D425F1">
        <w:t>Paragraph 1</w:t>
      </w:r>
      <w:r w:rsidRPr="00B14E91">
        <w:t>.7(1)(f)</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9  Subregulation 3.1(1) (table)</w:t>
      </w:r>
    </w:p>
    <w:p w:rsidR="004C7C9A" w:rsidRPr="00B14E91" w:rsidRDefault="004C7C9A" w:rsidP="004C7C9A">
      <w:pPr>
        <w:pStyle w:val="Item"/>
      </w:pPr>
      <w:r w:rsidRPr="00B14E91">
        <w:t>Repeal the table, substitute:</w:t>
      </w:r>
    </w:p>
    <w:p w:rsidR="004C7C9A" w:rsidRPr="00B14E91" w:rsidRDefault="004C7C9A" w:rsidP="004C7C9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76"/>
        <w:gridCol w:w="2647"/>
        <w:gridCol w:w="1177"/>
        <w:gridCol w:w="1177"/>
        <w:gridCol w:w="1177"/>
        <w:gridCol w:w="1173"/>
      </w:tblGrid>
      <w:tr w:rsidR="004C7C9A" w:rsidRPr="00B14E91" w:rsidTr="00B807E7">
        <w:trPr>
          <w:tblHeader/>
        </w:trPr>
        <w:tc>
          <w:tcPr>
            <w:tcW w:w="2932" w:type="pct"/>
            <w:gridSpan w:val="3"/>
            <w:tcBorders>
              <w:top w:val="single" w:sz="12" w:space="0" w:color="auto"/>
              <w:bottom w:val="single" w:sz="6" w:space="0" w:color="auto"/>
            </w:tcBorders>
            <w:shd w:val="clear" w:color="auto" w:fill="auto"/>
            <w:hideMark/>
          </w:tcPr>
          <w:p w:rsidR="004C7C9A" w:rsidRPr="00B14E91" w:rsidRDefault="004C7C9A" w:rsidP="00B807E7">
            <w:pPr>
              <w:pStyle w:val="TableHeading"/>
            </w:pPr>
            <w:r w:rsidRPr="00B14E91">
              <w:t>Medical device classifications</w:t>
            </w:r>
          </w:p>
        </w:tc>
        <w:tc>
          <w:tcPr>
            <w:tcW w:w="690" w:type="pct"/>
            <w:tcBorders>
              <w:top w:val="single" w:sz="12" w:space="0" w:color="auto"/>
              <w:bottom w:val="single" w:sz="6" w:space="0" w:color="auto"/>
            </w:tcBorders>
            <w:shd w:val="clear" w:color="auto" w:fill="auto"/>
          </w:tcPr>
          <w:p w:rsidR="004C7C9A" w:rsidRPr="00B14E91" w:rsidRDefault="004C7C9A" w:rsidP="00B807E7">
            <w:pPr>
              <w:pStyle w:val="TableHeading"/>
            </w:pPr>
          </w:p>
        </w:tc>
        <w:tc>
          <w:tcPr>
            <w:tcW w:w="690" w:type="pct"/>
            <w:tcBorders>
              <w:top w:val="single" w:sz="12" w:space="0" w:color="auto"/>
              <w:bottom w:val="single" w:sz="6" w:space="0" w:color="auto"/>
            </w:tcBorders>
            <w:shd w:val="clear" w:color="auto" w:fill="auto"/>
          </w:tcPr>
          <w:p w:rsidR="004C7C9A" w:rsidRPr="00B14E91" w:rsidRDefault="004C7C9A" w:rsidP="00B807E7">
            <w:pPr>
              <w:pStyle w:val="TableHeading"/>
            </w:pPr>
          </w:p>
        </w:tc>
        <w:tc>
          <w:tcPr>
            <w:tcW w:w="688" w:type="pct"/>
            <w:tcBorders>
              <w:top w:val="single" w:sz="12" w:space="0" w:color="auto"/>
              <w:bottom w:val="single" w:sz="6" w:space="0" w:color="auto"/>
            </w:tcBorders>
            <w:shd w:val="clear" w:color="auto" w:fill="auto"/>
          </w:tcPr>
          <w:p w:rsidR="004C7C9A" w:rsidRPr="00B14E91" w:rsidRDefault="004C7C9A" w:rsidP="00B807E7">
            <w:pPr>
              <w:pStyle w:val="TableHeading"/>
            </w:pPr>
          </w:p>
        </w:tc>
      </w:tr>
      <w:tr w:rsidR="004C7C9A" w:rsidRPr="00B14E91" w:rsidTr="00B807E7">
        <w:trPr>
          <w:tblHeader/>
        </w:trPr>
        <w:tc>
          <w:tcPr>
            <w:tcW w:w="690" w:type="pct"/>
            <w:tcBorders>
              <w:top w:val="single" w:sz="6" w:space="0" w:color="auto"/>
              <w:bottom w:val="nil"/>
            </w:tcBorders>
            <w:shd w:val="clear" w:color="auto" w:fill="auto"/>
            <w:hideMark/>
          </w:tcPr>
          <w:p w:rsidR="004C7C9A" w:rsidRPr="00B14E91" w:rsidRDefault="004C7C9A" w:rsidP="00B807E7">
            <w:pPr>
              <w:pStyle w:val="TableHeading"/>
            </w:pPr>
          </w:p>
        </w:tc>
        <w:tc>
          <w:tcPr>
            <w:tcW w:w="1552" w:type="pct"/>
            <w:tcBorders>
              <w:top w:val="single" w:sz="6" w:space="0" w:color="auto"/>
              <w:bottom w:val="nil"/>
            </w:tcBorders>
            <w:shd w:val="clear" w:color="auto" w:fill="auto"/>
            <w:hideMark/>
          </w:tcPr>
          <w:p w:rsidR="004C7C9A" w:rsidRPr="00B14E91" w:rsidRDefault="004C7C9A" w:rsidP="00B807E7">
            <w:pPr>
              <w:pStyle w:val="TableHeading"/>
            </w:pPr>
            <w:r w:rsidRPr="00B14E91">
              <w:t>Column 1</w:t>
            </w:r>
          </w:p>
        </w:tc>
        <w:tc>
          <w:tcPr>
            <w:tcW w:w="690" w:type="pct"/>
            <w:tcBorders>
              <w:top w:val="single" w:sz="6" w:space="0" w:color="auto"/>
              <w:bottom w:val="nil"/>
            </w:tcBorders>
            <w:shd w:val="clear" w:color="auto" w:fill="auto"/>
            <w:hideMark/>
          </w:tcPr>
          <w:p w:rsidR="004C7C9A" w:rsidRPr="00B14E91" w:rsidRDefault="004C7C9A" w:rsidP="00B807E7">
            <w:pPr>
              <w:pStyle w:val="TableHeading"/>
            </w:pPr>
            <w:r w:rsidRPr="00B14E91">
              <w:t>Column 2</w:t>
            </w:r>
          </w:p>
        </w:tc>
        <w:tc>
          <w:tcPr>
            <w:tcW w:w="690" w:type="pct"/>
            <w:tcBorders>
              <w:top w:val="single" w:sz="6" w:space="0" w:color="auto"/>
              <w:bottom w:val="nil"/>
            </w:tcBorders>
            <w:shd w:val="clear" w:color="auto" w:fill="auto"/>
          </w:tcPr>
          <w:p w:rsidR="004C7C9A" w:rsidRPr="00B14E91" w:rsidRDefault="004C7C9A" w:rsidP="00B807E7">
            <w:pPr>
              <w:pStyle w:val="TableHeading"/>
            </w:pPr>
            <w:r w:rsidRPr="00B14E91">
              <w:t>Column 3</w:t>
            </w:r>
          </w:p>
        </w:tc>
        <w:tc>
          <w:tcPr>
            <w:tcW w:w="690" w:type="pct"/>
            <w:tcBorders>
              <w:top w:val="single" w:sz="6" w:space="0" w:color="auto"/>
              <w:bottom w:val="nil"/>
            </w:tcBorders>
            <w:shd w:val="clear" w:color="auto" w:fill="auto"/>
          </w:tcPr>
          <w:p w:rsidR="004C7C9A" w:rsidRPr="00B14E91" w:rsidRDefault="004C7C9A" w:rsidP="00B807E7">
            <w:pPr>
              <w:pStyle w:val="TableHeading"/>
            </w:pPr>
            <w:r w:rsidRPr="00B14E91">
              <w:t>Column 4</w:t>
            </w:r>
          </w:p>
        </w:tc>
        <w:tc>
          <w:tcPr>
            <w:tcW w:w="688" w:type="pct"/>
            <w:tcBorders>
              <w:top w:val="single" w:sz="6" w:space="0" w:color="auto"/>
              <w:bottom w:val="nil"/>
            </w:tcBorders>
            <w:shd w:val="clear" w:color="auto" w:fill="auto"/>
          </w:tcPr>
          <w:p w:rsidR="004C7C9A" w:rsidRPr="00B14E91" w:rsidRDefault="004C7C9A" w:rsidP="00B807E7">
            <w:pPr>
              <w:pStyle w:val="TableHeading"/>
            </w:pPr>
            <w:r w:rsidRPr="00B14E91">
              <w:t>Column 5</w:t>
            </w:r>
          </w:p>
        </w:tc>
      </w:tr>
      <w:tr w:rsidR="004C7C9A" w:rsidRPr="00B14E91" w:rsidTr="00B807E7">
        <w:trPr>
          <w:tblHeader/>
        </w:trPr>
        <w:tc>
          <w:tcPr>
            <w:tcW w:w="690" w:type="pct"/>
            <w:tcBorders>
              <w:top w:val="nil"/>
              <w:bottom w:val="single" w:sz="12" w:space="0" w:color="auto"/>
            </w:tcBorders>
            <w:shd w:val="clear" w:color="auto" w:fill="auto"/>
            <w:hideMark/>
          </w:tcPr>
          <w:p w:rsidR="004C7C9A" w:rsidRPr="00B14E91" w:rsidRDefault="004C7C9A" w:rsidP="00B807E7">
            <w:pPr>
              <w:pStyle w:val="TableHeading"/>
            </w:pPr>
            <w:r w:rsidRPr="00B14E91">
              <w:t>Item</w:t>
            </w:r>
          </w:p>
        </w:tc>
        <w:tc>
          <w:tcPr>
            <w:tcW w:w="1552" w:type="pct"/>
            <w:tcBorders>
              <w:top w:val="nil"/>
              <w:bottom w:val="single" w:sz="12" w:space="0" w:color="auto"/>
            </w:tcBorders>
            <w:shd w:val="clear" w:color="auto" w:fill="auto"/>
            <w:hideMark/>
          </w:tcPr>
          <w:p w:rsidR="004C7C9A" w:rsidRPr="00B14E91" w:rsidRDefault="004C7C9A" w:rsidP="00B807E7">
            <w:pPr>
              <w:pStyle w:val="TableHeading"/>
            </w:pPr>
            <w:r w:rsidRPr="00B14E91">
              <w:t>Medical device</w:t>
            </w:r>
          </w:p>
        </w:tc>
        <w:tc>
          <w:tcPr>
            <w:tcW w:w="690" w:type="pct"/>
            <w:tcBorders>
              <w:top w:val="nil"/>
              <w:bottom w:val="single" w:sz="12" w:space="0" w:color="auto"/>
            </w:tcBorders>
            <w:shd w:val="clear" w:color="auto" w:fill="auto"/>
            <w:hideMark/>
          </w:tcPr>
          <w:p w:rsidR="004C7C9A" w:rsidRPr="00B14E91" w:rsidRDefault="004C7C9A" w:rsidP="00B807E7">
            <w:pPr>
              <w:pStyle w:val="TableHeading"/>
            </w:pPr>
            <w:r w:rsidRPr="00B14E91">
              <w:t>Class</w:t>
            </w:r>
          </w:p>
        </w:tc>
        <w:tc>
          <w:tcPr>
            <w:tcW w:w="690" w:type="pct"/>
            <w:tcBorders>
              <w:top w:val="nil"/>
              <w:bottom w:val="single" w:sz="12" w:space="0" w:color="auto"/>
            </w:tcBorders>
            <w:shd w:val="clear" w:color="auto" w:fill="auto"/>
          </w:tcPr>
          <w:p w:rsidR="004C7C9A" w:rsidRPr="00B14E91" w:rsidRDefault="004C7C9A" w:rsidP="00B807E7">
            <w:pPr>
              <w:pStyle w:val="TableHeading"/>
            </w:pPr>
            <w:r w:rsidRPr="00B14E91">
              <w:t>Class</w:t>
            </w:r>
          </w:p>
        </w:tc>
        <w:tc>
          <w:tcPr>
            <w:tcW w:w="690" w:type="pct"/>
            <w:tcBorders>
              <w:top w:val="nil"/>
              <w:bottom w:val="single" w:sz="12" w:space="0" w:color="auto"/>
            </w:tcBorders>
            <w:shd w:val="clear" w:color="auto" w:fill="auto"/>
          </w:tcPr>
          <w:p w:rsidR="004C7C9A" w:rsidRPr="00B14E91" w:rsidRDefault="004C7C9A" w:rsidP="00B807E7">
            <w:pPr>
              <w:pStyle w:val="TableHeading"/>
            </w:pPr>
            <w:r w:rsidRPr="00B14E91">
              <w:t>Class</w:t>
            </w:r>
          </w:p>
        </w:tc>
        <w:tc>
          <w:tcPr>
            <w:tcW w:w="688" w:type="pct"/>
            <w:tcBorders>
              <w:top w:val="nil"/>
              <w:bottom w:val="single" w:sz="12" w:space="0" w:color="auto"/>
            </w:tcBorders>
            <w:shd w:val="clear" w:color="auto" w:fill="auto"/>
          </w:tcPr>
          <w:p w:rsidR="004C7C9A" w:rsidRPr="00B14E91" w:rsidRDefault="004C7C9A" w:rsidP="00B807E7">
            <w:pPr>
              <w:pStyle w:val="TableHeading"/>
            </w:pPr>
            <w:r w:rsidRPr="00B14E91">
              <w:t>Class</w:t>
            </w:r>
          </w:p>
        </w:tc>
      </w:tr>
      <w:tr w:rsidR="004C7C9A" w:rsidRPr="00B14E91" w:rsidTr="00B807E7">
        <w:tc>
          <w:tcPr>
            <w:tcW w:w="690" w:type="pct"/>
            <w:tcBorders>
              <w:top w:val="single" w:sz="12" w:space="0" w:color="auto"/>
              <w:bottom w:val="single" w:sz="2" w:space="0" w:color="auto"/>
            </w:tcBorders>
            <w:shd w:val="clear" w:color="auto" w:fill="auto"/>
            <w:hideMark/>
          </w:tcPr>
          <w:p w:rsidR="004C7C9A" w:rsidRPr="00B14E91" w:rsidRDefault="004C7C9A" w:rsidP="00B807E7">
            <w:pPr>
              <w:pStyle w:val="Tabletext"/>
            </w:pPr>
            <w:r w:rsidRPr="00B14E91">
              <w:t>1</w:t>
            </w:r>
          </w:p>
        </w:tc>
        <w:tc>
          <w:tcPr>
            <w:tcW w:w="1552" w:type="pct"/>
            <w:tcBorders>
              <w:top w:val="single" w:sz="12" w:space="0" w:color="auto"/>
              <w:bottom w:val="single" w:sz="2" w:space="0" w:color="auto"/>
            </w:tcBorders>
            <w:shd w:val="clear" w:color="auto" w:fill="auto"/>
            <w:hideMark/>
          </w:tcPr>
          <w:p w:rsidR="004C7C9A" w:rsidRPr="00B14E91" w:rsidRDefault="004C7C9A" w:rsidP="00B807E7">
            <w:pPr>
              <w:pStyle w:val="Tabletext"/>
            </w:pPr>
            <w:r w:rsidRPr="00B14E91">
              <w:t>Medical devices other than IVD medical devices</w:t>
            </w:r>
          </w:p>
        </w:tc>
        <w:tc>
          <w:tcPr>
            <w:tcW w:w="690" w:type="pct"/>
            <w:tcBorders>
              <w:top w:val="single" w:sz="12" w:space="0" w:color="auto"/>
              <w:bottom w:val="single" w:sz="2" w:space="0" w:color="auto"/>
            </w:tcBorders>
            <w:shd w:val="clear" w:color="auto" w:fill="auto"/>
          </w:tcPr>
          <w:p w:rsidR="004C7C9A" w:rsidRPr="00B14E91" w:rsidRDefault="004C7C9A" w:rsidP="00B807E7">
            <w:pPr>
              <w:pStyle w:val="Tabletext"/>
            </w:pPr>
            <w:r w:rsidRPr="00B14E91">
              <w:t>I</w:t>
            </w:r>
          </w:p>
        </w:tc>
        <w:tc>
          <w:tcPr>
            <w:tcW w:w="690" w:type="pct"/>
            <w:tcBorders>
              <w:top w:val="single" w:sz="12" w:space="0" w:color="auto"/>
              <w:bottom w:val="single" w:sz="2" w:space="0" w:color="auto"/>
            </w:tcBorders>
            <w:shd w:val="clear" w:color="auto" w:fill="auto"/>
          </w:tcPr>
          <w:p w:rsidR="004C7C9A" w:rsidRPr="00B14E91" w:rsidRDefault="004C7C9A" w:rsidP="00B807E7">
            <w:pPr>
              <w:pStyle w:val="Tabletext"/>
            </w:pPr>
            <w:r w:rsidRPr="00B14E91">
              <w:t>IIa</w:t>
            </w:r>
          </w:p>
        </w:tc>
        <w:tc>
          <w:tcPr>
            <w:tcW w:w="690" w:type="pct"/>
            <w:tcBorders>
              <w:top w:val="single" w:sz="12" w:space="0" w:color="auto"/>
              <w:bottom w:val="single" w:sz="2" w:space="0" w:color="auto"/>
            </w:tcBorders>
            <w:shd w:val="clear" w:color="auto" w:fill="auto"/>
          </w:tcPr>
          <w:p w:rsidR="004C7C9A" w:rsidRPr="00B14E91" w:rsidRDefault="004C7C9A" w:rsidP="00B807E7">
            <w:pPr>
              <w:pStyle w:val="Tabletext"/>
            </w:pPr>
            <w:r w:rsidRPr="00B14E91">
              <w:t>IIb</w:t>
            </w:r>
          </w:p>
        </w:tc>
        <w:tc>
          <w:tcPr>
            <w:tcW w:w="688" w:type="pct"/>
            <w:tcBorders>
              <w:top w:val="single" w:sz="12" w:space="0" w:color="auto"/>
              <w:bottom w:val="single" w:sz="2" w:space="0" w:color="auto"/>
            </w:tcBorders>
            <w:shd w:val="clear" w:color="auto" w:fill="auto"/>
          </w:tcPr>
          <w:p w:rsidR="004C7C9A" w:rsidRPr="00B14E91" w:rsidRDefault="004C7C9A" w:rsidP="00B807E7">
            <w:pPr>
              <w:pStyle w:val="Tabletext"/>
            </w:pPr>
            <w:r w:rsidRPr="00B14E91">
              <w:t>III</w:t>
            </w:r>
          </w:p>
        </w:tc>
      </w:tr>
      <w:tr w:rsidR="004C7C9A" w:rsidRPr="00B14E91" w:rsidTr="00B807E7">
        <w:tc>
          <w:tcPr>
            <w:tcW w:w="690"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2</w:t>
            </w:r>
          </w:p>
        </w:tc>
        <w:tc>
          <w:tcPr>
            <w:tcW w:w="1552"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IVD medical devices and in</w:t>
            </w:r>
            <w:r w:rsidR="00D425F1">
              <w:noBreakHyphen/>
            </w:r>
            <w:r w:rsidRPr="00B14E91">
              <w:t>house IVD medical devices</w:t>
            </w:r>
          </w:p>
        </w:tc>
        <w:tc>
          <w:tcPr>
            <w:tcW w:w="690"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1</w:t>
            </w:r>
          </w:p>
        </w:tc>
        <w:tc>
          <w:tcPr>
            <w:tcW w:w="690"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2</w:t>
            </w:r>
          </w:p>
        </w:tc>
        <w:tc>
          <w:tcPr>
            <w:tcW w:w="690"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3</w:t>
            </w:r>
          </w:p>
        </w:tc>
        <w:tc>
          <w:tcPr>
            <w:tcW w:w="688"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4</w:t>
            </w:r>
          </w:p>
        </w:tc>
      </w:tr>
    </w:tbl>
    <w:p w:rsidR="004C7C9A" w:rsidRPr="00B14E91" w:rsidRDefault="004C7C9A" w:rsidP="004C7C9A">
      <w:pPr>
        <w:pStyle w:val="ItemHead"/>
      </w:pPr>
      <w:r w:rsidRPr="00B14E91">
        <w:t xml:space="preserve">10  </w:t>
      </w:r>
      <w:r w:rsidR="00D425F1">
        <w:t>Paragraph 3</w:t>
      </w:r>
      <w:r w:rsidRPr="00B14E91">
        <w:t>.1(2)(a)</w:t>
      </w:r>
    </w:p>
    <w:p w:rsidR="004C7C9A" w:rsidRPr="00B14E91" w:rsidRDefault="004C7C9A" w:rsidP="004C7C9A">
      <w:pPr>
        <w:pStyle w:val="Item"/>
      </w:pPr>
      <w:r w:rsidRPr="00B14E91">
        <w:t>Omit “column 3”, substitute “column 2”.</w:t>
      </w:r>
    </w:p>
    <w:p w:rsidR="004C7C9A" w:rsidRPr="00B14E91" w:rsidRDefault="004C7C9A" w:rsidP="004C7C9A">
      <w:pPr>
        <w:pStyle w:val="ItemHead"/>
      </w:pPr>
      <w:r w:rsidRPr="00B14E91">
        <w:t xml:space="preserve">11  </w:t>
      </w:r>
      <w:r w:rsidR="00D425F1">
        <w:t>Paragraph 3</w:t>
      </w:r>
      <w:r w:rsidRPr="00B14E91">
        <w:t>.1(2)(b)</w:t>
      </w:r>
    </w:p>
    <w:p w:rsidR="004C7C9A" w:rsidRPr="00B14E91" w:rsidRDefault="004C7C9A" w:rsidP="004C7C9A">
      <w:pPr>
        <w:pStyle w:val="Item"/>
      </w:pPr>
      <w:r w:rsidRPr="00B14E91">
        <w:t>Omit “columns 4 to 6”, substitute “columns 3 to 5”.</w:t>
      </w:r>
    </w:p>
    <w:p w:rsidR="004C7C9A" w:rsidRPr="00B14E91" w:rsidRDefault="004C7C9A" w:rsidP="004C7C9A">
      <w:pPr>
        <w:pStyle w:val="ItemHead"/>
      </w:pPr>
      <w:r w:rsidRPr="00B14E91">
        <w:t xml:space="preserve">12  </w:t>
      </w:r>
      <w:r w:rsidR="00D425F1">
        <w:t>Paragraph 3</w:t>
      </w:r>
      <w:r w:rsidRPr="00B14E91">
        <w:t>.1(2)(c)</w:t>
      </w:r>
    </w:p>
    <w:p w:rsidR="004C7C9A" w:rsidRPr="00B14E91" w:rsidRDefault="004C7C9A" w:rsidP="004C7C9A">
      <w:pPr>
        <w:pStyle w:val="Item"/>
      </w:pPr>
      <w:r w:rsidRPr="00B14E91">
        <w:t>Repeal the paragraph.</w:t>
      </w:r>
    </w:p>
    <w:p w:rsidR="004C7C9A" w:rsidRPr="00B14E91" w:rsidRDefault="004C7C9A" w:rsidP="004C7C9A">
      <w:pPr>
        <w:pStyle w:val="ItemHead"/>
      </w:pPr>
      <w:r w:rsidRPr="00B14E91">
        <w:t>13  Regulation 3.6 (heading)</w:t>
      </w:r>
    </w:p>
    <w:p w:rsidR="004C7C9A" w:rsidRPr="00B14E91" w:rsidRDefault="004C7C9A" w:rsidP="004C7C9A">
      <w:pPr>
        <w:pStyle w:val="Item"/>
      </w:pPr>
      <w:r w:rsidRPr="00B14E91">
        <w:t>Omit “</w:t>
      </w:r>
      <w:r w:rsidRPr="00B14E91">
        <w:rPr>
          <w:b/>
        </w:rPr>
        <w:t>and Class AIMD medical devices</w:t>
      </w:r>
      <w:r w:rsidRPr="00B14E91">
        <w:t>”.</w:t>
      </w:r>
    </w:p>
    <w:p w:rsidR="004C7C9A" w:rsidRPr="00B14E91" w:rsidRDefault="004C7C9A" w:rsidP="004C7C9A">
      <w:pPr>
        <w:pStyle w:val="ItemHead"/>
      </w:pPr>
      <w:r w:rsidRPr="00B14E91">
        <w:t>14  Subregulation 3.6(1)</w:t>
      </w:r>
    </w:p>
    <w:p w:rsidR="004C7C9A" w:rsidRPr="00B14E91" w:rsidRDefault="004C7C9A" w:rsidP="004C7C9A">
      <w:pPr>
        <w:pStyle w:val="Item"/>
      </w:pPr>
      <w:r w:rsidRPr="00B14E91">
        <w:t>Omit “, or a Class AIMD medical device,”.</w:t>
      </w:r>
    </w:p>
    <w:p w:rsidR="004C7C9A" w:rsidRPr="00B14E91" w:rsidRDefault="004C7C9A" w:rsidP="004C7C9A">
      <w:pPr>
        <w:pStyle w:val="ItemHead"/>
      </w:pPr>
      <w:r w:rsidRPr="00B14E91">
        <w:t xml:space="preserve">15  </w:t>
      </w:r>
      <w:r w:rsidR="00D425F1">
        <w:t>Paragraph 5</w:t>
      </w:r>
      <w:r w:rsidRPr="00B14E91">
        <w:t>.3(1)(e)</w:t>
      </w:r>
    </w:p>
    <w:p w:rsidR="004C7C9A" w:rsidRPr="00B14E91" w:rsidRDefault="004C7C9A" w:rsidP="004C7C9A">
      <w:pPr>
        <w:pStyle w:val="Item"/>
      </w:pPr>
      <w:r w:rsidRPr="00B14E91">
        <w:t>Repeal the paragraph.</w:t>
      </w:r>
    </w:p>
    <w:p w:rsidR="004C7C9A" w:rsidRPr="00B14E91" w:rsidRDefault="004C7C9A" w:rsidP="004C7C9A">
      <w:pPr>
        <w:pStyle w:val="ItemHead"/>
      </w:pPr>
      <w:r w:rsidRPr="00B14E91">
        <w:t xml:space="preserve">16  </w:t>
      </w:r>
      <w:r w:rsidR="00D425F1">
        <w:t>Subparagraph 5</w:t>
      </w:r>
      <w:r w:rsidRPr="00B14E91">
        <w:t>.10(2)(a)(i)</w:t>
      </w:r>
    </w:p>
    <w:p w:rsidR="004C7C9A" w:rsidRPr="00B14E91" w:rsidRDefault="004C7C9A" w:rsidP="004C7C9A">
      <w:pPr>
        <w:pStyle w:val="Item"/>
      </w:pPr>
      <w:r w:rsidRPr="00B14E91">
        <w:t>Repeal the subparagraph.</w:t>
      </w:r>
    </w:p>
    <w:p w:rsidR="004C7C9A" w:rsidRPr="00B14E91" w:rsidRDefault="004C7C9A" w:rsidP="004C7C9A">
      <w:pPr>
        <w:pStyle w:val="ItemHead"/>
      </w:pPr>
      <w:r w:rsidRPr="00B14E91">
        <w:t xml:space="preserve">17  </w:t>
      </w:r>
      <w:r w:rsidR="00D425F1">
        <w:t>Paragraph 5</w:t>
      </w:r>
      <w:r w:rsidRPr="00B14E91">
        <w:t>.11(1)(a)</w:t>
      </w:r>
    </w:p>
    <w:p w:rsidR="004C7C9A" w:rsidRPr="00B14E91" w:rsidRDefault="004C7C9A" w:rsidP="004C7C9A">
      <w:pPr>
        <w:pStyle w:val="Item"/>
      </w:pPr>
      <w:r w:rsidRPr="00B14E91">
        <w:t>Repeal the paragraph.</w:t>
      </w:r>
    </w:p>
    <w:p w:rsidR="004C7C9A" w:rsidRPr="00B14E91" w:rsidRDefault="004C7C9A" w:rsidP="004C7C9A">
      <w:pPr>
        <w:pStyle w:val="ItemHead"/>
      </w:pPr>
      <w:r w:rsidRPr="00B14E91">
        <w:lastRenderedPageBreak/>
        <w:t xml:space="preserve">18  </w:t>
      </w:r>
      <w:r w:rsidR="00D425F1">
        <w:t>Subparagraph 8</w:t>
      </w:r>
      <w:r w:rsidRPr="00B14E91">
        <w:t>.1(b)(i)</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19  Subclause 5.7(1) of Schedule 2</w:t>
      </w:r>
    </w:p>
    <w:p w:rsidR="004C7C9A" w:rsidRPr="00B14E91" w:rsidRDefault="004C7C9A" w:rsidP="004C7C9A">
      <w:pPr>
        <w:pStyle w:val="Item"/>
      </w:pPr>
      <w:r w:rsidRPr="00B14E91">
        <w:t>Omit “Class AIMD”, substitute “Class III”.</w:t>
      </w:r>
    </w:p>
    <w:p w:rsidR="004C7C9A" w:rsidRPr="00B14E91" w:rsidRDefault="004C7C9A" w:rsidP="004C7C9A">
      <w:pPr>
        <w:pStyle w:val="ItemHead"/>
      </w:pPr>
      <w:r w:rsidRPr="00B14E91">
        <w:t xml:space="preserve">20  </w:t>
      </w:r>
      <w:r w:rsidR="00D425F1">
        <w:t>Paragraph 1</w:t>
      </w:r>
      <w:r w:rsidRPr="00B14E91">
        <w:t>.1(b) of Schedule 3</w:t>
      </w:r>
    </w:p>
    <w:p w:rsidR="004C7C9A" w:rsidRPr="00B14E91" w:rsidRDefault="004C7C9A" w:rsidP="004C7C9A">
      <w:pPr>
        <w:pStyle w:val="Item"/>
      </w:pPr>
      <w:r w:rsidRPr="00B14E91">
        <w:t>Omit “, Class AIMD medical device”.</w:t>
      </w:r>
    </w:p>
    <w:p w:rsidR="004C7C9A" w:rsidRPr="00B14E91" w:rsidRDefault="004C7C9A" w:rsidP="004C7C9A">
      <w:pPr>
        <w:pStyle w:val="ItemHead"/>
      </w:pPr>
      <w:r w:rsidRPr="00B14E91">
        <w:t>21  Clause 1.6 of Schedule 3 (heading)</w:t>
      </w:r>
    </w:p>
    <w:p w:rsidR="004C7C9A" w:rsidRPr="00B14E91" w:rsidRDefault="004C7C9A" w:rsidP="004C7C9A">
      <w:pPr>
        <w:pStyle w:val="Item"/>
      </w:pPr>
      <w:r w:rsidRPr="00B14E91">
        <w:t>Omit “</w:t>
      </w:r>
      <w:r w:rsidRPr="00B14E91">
        <w:rPr>
          <w:b/>
        </w:rPr>
        <w:t>, Class AIMD medical device</w:t>
      </w:r>
      <w:r w:rsidRPr="00B14E91">
        <w:t>”.</w:t>
      </w:r>
    </w:p>
    <w:p w:rsidR="004C7C9A" w:rsidRPr="00B14E91" w:rsidRDefault="004C7C9A" w:rsidP="004C7C9A">
      <w:pPr>
        <w:pStyle w:val="ItemHead"/>
      </w:pPr>
      <w:r w:rsidRPr="00B14E91">
        <w:t>22  Subclause 1.6(1) of Schedule 3</w:t>
      </w:r>
    </w:p>
    <w:p w:rsidR="004C7C9A" w:rsidRPr="00B14E91" w:rsidRDefault="004C7C9A" w:rsidP="004C7C9A">
      <w:pPr>
        <w:pStyle w:val="Item"/>
      </w:pPr>
      <w:r w:rsidRPr="00B14E91">
        <w:t>Omit “, a Class AIMD medical device,”.</w:t>
      </w:r>
    </w:p>
    <w:p w:rsidR="004C7C9A" w:rsidRPr="00B14E91" w:rsidRDefault="004C7C9A" w:rsidP="004C7C9A">
      <w:pPr>
        <w:pStyle w:val="ItemHead"/>
      </w:pPr>
      <w:r w:rsidRPr="00B14E91">
        <w:t xml:space="preserve">23  </w:t>
      </w:r>
      <w:r w:rsidR="00D425F1">
        <w:t>Paragraph 1</w:t>
      </w:r>
      <w:r w:rsidRPr="00B14E91">
        <w:t>.9(1)(c) of Schedule 3</w:t>
      </w:r>
    </w:p>
    <w:p w:rsidR="004C7C9A" w:rsidRPr="00B14E91" w:rsidRDefault="004C7C9A" w:rsidP="004C7C9A">
      <w:pPr>
        <w:pStyle w:val="Item"/>
      </w:pPr>
      <w:r w:rsidRPr="00B14E91">
        <w:t>Omit “, Class AIMD medical device”.</w:t>
      </w:r>
    </w:p>
    <w:p w:rsidR="004C7C9A" w:rsidRPr="00B14E91" w:rsidRDefault="004C7C9A" w:rsidP="004C7C9A">
      <w:pPr>
        <w:pStyle w:val="ItemHead"/>
      </w:pPr>
      <w:r w:rsidRPr="00B14E91">
        <w:t>24  Subclause 3.5(1) of Schedule 3</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 xml:space="preserve">25  </w:t>
      </w:r>
      <w:r w:rsidR="00D425F1">
        <w:t>Paragraph 3</w:t>
      </w:r>
      <w:r w:rsidRPr="00B14E91">
        <w:t>.6(1)(b) of Schedule 3</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26  Subclause 4.7(1) of Schedule 3</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 xml:space="preserve">27  </w:t>
      </w:r>
      <w:r w:rsidR="00D425F1">
        <w:t>Paragraph 4</w:t>
      </w:r>
      <w:r w:rsidRPr="00B14E91">
        <w:t>.8(1)(c) of Schedule 3</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 xml:space="preserve">28  Schedule 4 (table </w:t>
      </w:r>
      <w:r w:rsidR="00D425F1">
        <w:t>item 1</w:t>
      </w:r>
      <w:r w:rsidRPr="00B14E91">
        <w:t>.1, column headed “Kinds of medical devices”, paragraph (c))</w:t>
      </w:r>
    </w:p>
    <w:p w:rsidR="004C7C9A" w:rsidRPr="00B14E91" w:rsidRDefault="004C7C9A" w:rsidP="004C7C9A">
      <w:pPr>
        <w:pStyle w:val="Item"/>
      </w:pPr>
      <w:r w:rsidRPr="00B14E91">
        <w:t>Omit “Class AIMD medical device,”.</w:t>
      </w:r>
    </w:p>
    <w:p w:rsidR="004C7C9A" w:rsidRPr="00B14E91" w:rsidRDefault="004C7C9A" w:rsidP="004C7C9A">
      <w:pPr>
        <w:pStyle w:val="ItemHead"/>
      </w:pPr>
      <w:r w:rsidRPr="00B14E91">
        <w:t xml:space="preserve">29  Schedule 5 (table </w:t>
      </w:r>
      <w:r w:rsidR="00D425F1">
        <w:t>item 1</w:t>
      </w:r>
      <w:r w:rsidRPr="00B14E91">
        <w:t>.5)</w:t>
      </w:r>
    </w:p>
    <w:p w:rsidR="004C7C9A" w:rsidRPr="00B14E91" w:rsidRDefault="004C7C9A" w:rsidP="004C7C9A">
      <w:pPr>
        <w:pStyle w:val="Item"/>
      </w:pPr>
      <w:r w:rsidRPr="00B14E91">
        <w:t>Omit: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48"/>
        <w:gridCol w:w="3790"/>
        <w:gridCol w:w="2270"/>
        <w:gridCol w:w="1621"/>
      </w:tblGrid>
      <w:tr w:rsidR="004C7C9A" w:rsidRPr="00B14E91" w:rsidTr="00B807E7">
        <w:tc>
          <w:tcPr>
            <w:tcW w:w="497" w:type="pct"/>
            <w:tcBorders>
              <w:top w:val="nil"/>
              <w:bottom w:val="nil"/>
            </w:tcBorders>
            <w:shd w:val="clear" w:color="auto" w:fill="auto"/>
          </w:tcPr>
          <w:p w:rsidR="004C7C9A" w:rsidRPr="00B14E91" w:rsidRDefault="004C7C9A" w:rsidP="00B807E7">
            <w:pPr>
              <w:pStyle w:val="Tabletext"/>
            </w:pPr>
          </w:p>
        </w:tc>
        <w:tc>
          <w:tcPr>
            <w:tcW w:w="2222" w:type="pct"/>
            <w:tcBorders>
              <w:top w:val="nil"/>
              <w:bottom w:val="nil"/>
            </w:tcBorders>
            <w:shd w:val="clear" w:color="auto" w:fill="auto"/>
          </w:tcPr>
          <w:p w:rsidR="004C7C9A" w:rsidRPr="00B14E91" w:rsidRDefault="004C7C9A" w:rsidP="00B807E7">
            <w:pPr>
              <w:pStyle w:val="Tablea"/>
            </w:pPr>
            <w:r w:rsidRPr="00B14E91">
              <w:t>(a) a Class AIMD medical device;</w:t>
            </w:r>
          </w:p>
        </w:tc>
        <w:tc>
          <w:tcPr>
            <w:tcW w:w="1331" w:type="pct"/>
            <w:tcBorders>
              <w:top w:val="nil"/>
              <w:bottom w:val="nil"/>
            </w:tcBorders>
            <w:shd w:val="clear" w:color="auto" w:fill="auto"/>
          </w:tcPr>
          <w:p w:rsidR="004C7C9A" w:rsidRPr="00B14E91" w:rsidRDefault="004C7C9A" w:rsidP="00B807E7">
            <w:pPr>
              <w:pStyle w:val="Tabletext"/>
            </w:pPr>
          </w:p>
        </w:tc>
        <w:tc>
          <w:tcPr>
            <w:tcW w:w="950" w:type="pct"/>
            <w:tcBorders>
              <w:top w:val="nil"/>
              <w:bottom w:val="nil"/>
            </w:tcBorders>
            <w:shd w:val="clear" w:color="auto" w:fill="auto"/>
          </w:tcPr>
          <w:p w:rsidR="004C7C9A" w:rsidRPr="00B14E91" w:rsidRDefault="004C7C9A" w:rsidP="00B807E7">
            <w:pPr>
              <w:pStyle w:val="Tabletext"/>
            </w:pPr>
            <w:r w:rsidRPr="00B14E91">
              <w:t>1,340</w:t>
            </w:r>
          </w:p>
        </w:tc>
      </w:tr>
    </w:tbl>
    <w:p w:rsidR="004C7C9A" w:rsidRPr="00B14E91" w:rsidRDefault="004C7C9A" w:rsidP="004C7C9A">
      <w:pPr>
        <w:pStyle w:val="ItemHead"/>
      </w:pPr>
      <w:r w:rsidRPr="00B14E91">
        <w:t xml:space="preserve">30  Dictionary (definition of </w:t>
      </w:r>
      <w:r w:rsidRPr="00B14E91">
        <w:rPr>
          <w:i/>
        </w:rPr>
        <w:t xml:space="preserve">active implantable medical device </w:t>
      </w:r>
      <w:r w:rsidRPr="00B14E91">
        <w:t>or</w:t>
      </w:r>
      <w:r w:rsidRPr="00B14E91">
        <w:rPr>
          <w:i/>
        </w:rPr>
        <w:t xml:space="preserve"> AIMD</w:t>
      </w:r>
      <w:r w:rsidRPr="00B14E91">
        <w:t>)</w:t>
      </w:r>
    </w:p>
    <w:p w:rsidR="004C7C9A" w:rsidRPr="00B14E91" w:rsidRDefault="004C7C9A" w:rsidP="004C7C9A">
      <w:pPr>
        <w:pStyle w:val="Item"/>
      </w:pPr>
      <w:r w:rsidRPr="00B14E91">
        <w:t xml:space="preserve">Omit “or </w:t>
      </w:r>
      <w:r w:rsidRPr="00B14E91">
        <w:rPr>
          <w:b/>
          <w:i/>
        </w:rPr>
        <w:t>AIMD</w:t>
      </w:r>
      <w:r w:rsidRPr="00B14E91">
        <w:t>”.</w:t>
      </w:r>
    </w:p>
    <w:p w:rsidR="004C7C9A" w:rsidRPr="00B14E91" w:rsidRDefault="004C7C9A" w:rsidP="004C7C9A">
      <w:pPr>
        <w:pStyle w:val="ItemHead"/>
      </w:pPr>
      <w:r w:rsidRPr="00B14E91">
        <w:t xml:space="preserve">31  Dictionary (definition of </w:t>
      </w:r>
      <w:r w:rsidRPr="00B14E91">
        <w:rPr>
          <w:i/>
        </w:rPr>
        <w:t>Class AIMD medical device</w:t>
      </w:r>
      <w:r w:rsidRPr="00B14E91">
        <w:t>)</w:t>
      </w:r>
    </w:p>
    <w:p w:rsidR="004C7C9A" w:rsidRPr="00B14E91" w:rsidRDefault="004C7C9A" w:rsidP="004C7C9A">
      <w:pPr>
        <w:pStyle w:val="Item"/>
      </w:pPr>
      <w:r w:rsidRPr="00B14E91">
        <w:t>Repeal the definition.</w:t>
      </w:r>
    </w:p>
    <w:p w:rsidR="004C7C9A" w:rsidRPr="00B14E91" w:rsidRDefault="004C7C9A" w:rsidP="004C7C9A">
      <w:pPr>
        <w:pStyle w:val="ItemHead"/>
      </w:pPr>
      <w:r w:rsidRPr="00B14E91">
        <w:lastRenderedPageBreak/>
        <w:t xml:space="preserve">32  Dictionary (subparagraph (b)(ii) of the definition of </w:t>
      </w:r>
      <w:r w:rsidRPr="00B14E91">
        <w:rPr>
          <w:i/>
        </w:rPr>
        <w:t>partial designation conformity assessment body determination (partial QMS or partial devices)</w:t>
      </w:r>
      <w:r w:rsidRPr="00B14E91">
        <w:t>)</w:t>
      </w:r>
    </w:p>
    <w:p w:rsidR="004C7C9A" w:rsidRPr="00B14E91" w:rsidRDefault="004C7C9A" w:rsidP="004C7C9A">
      <w:pPr>
        <w:pStyle w:val="Item"/>
      </w:pPr>
      <w:r w:rsidRPr="00B14E91">
        <w:t>Omit “or Class AIMD”.</w:t>
      </w:r>
    </w:p>
    <w:p w:rsidR="004C7C9A" w:rsidRPr="00B14E91" w:rsidRDefault="004C7C9A" w:rsidP="004C7C9A">
      <w:pPr>
        <w:pStyle w:val="ActHead7"/>
        <w:pageBreakBefore/>
      </w:pPr>
      <w:bookmarkStart w:id="11" w:name="_Toc48564269"/>
      <w:r w:rsidRPr="00B14E91">
        <w:rPr>
          <w:rStyle w:val="CharAmPartNo"/>
        </w:rPr>
        <w:lastRenderedPageBreak/>
        <w:t>Part 3</w:t>
      </w:r>
      <w:r w:rsidRPr="00B14E91">
        <w:t>—</w:t>
      </w:r>
      <w:r w:rsidRPr="00B14E91">
        <w:rPr>
          <w:rStyle w:val="CharAmPartText"/>
        </w:rPr>
        <w:t>Medical devices that administer medicines or biologicals by inhalation</w:t>
      </w:r>
      <w:bookmarkEnd w:id="11"/>
    </w:p>
    <w:p w:rsidR="004C7C9A" w:rsidRPr="00B14E91" w:rsidRDefault="004C7C9A" w:rsidP="004C7C9A">
      <w:pPr>
        <w:pStyle w:val="ActHead9"/>
      </w:pPr>
      <w:bookmarkStart w:id="12" w:name="_Toc48564270"/>
      <w:r w:rsidRPr="00B14E91">
        <w:t xml:space="preserve">Therapeutic Goods (Medical Devices) </w:t>
      </w:r>
      <w:r w:rsidR="00D425F1">
        <w:t>Regulations 2</w:t>
      </w:r>
      <w:r w:rsidRPr="00B14E91">
        <w:t>002</w:t>
      </w:r>
      <w:bookmarkEnd w:id="12"/>
    </w:p>
    <w:p w:rsidR="004C7C9A" w:rsidRPr="00B14E91" w:rsidRDefault="004C7C9A" w:rsidP="004C7C9A">
      <w:pPr>
        <w:pStyle w:val="ItemHead"/>
      </w:pPr>
      <w:r w:rsidRPr="00B14E91">
        <w:t>33  After subclause 3.1(2) of Schedule 2</w:t>
      </w:r>
    </w:p>
    <w:p w:rsidR="004C7C9A" w:rsidRPr="00B14E91" w:rsidRDefault="004C7C9A" w:rsidP="004C7C9A">
      <w:pPr>
        <w:pStyle w:val="Item"/>
      </w:pPr>
      <w:r w:rsidRPr="00B14E91">
        <w:t>Insert:</w:t>
      </w:r>
    </w:p>
    <w:p w:rsidR="004C7C9A" w:rsidRPr="00B14E91" w:rsidRDefault="004C7C9A" w:rsidP="004C7C9A">
      <w:pPr>
        <w:pStyle w:val="subsection"/>
      </w:pPr>
      <w:r w:rsidRPr="00B14E91">
        <w:tab/>
        <w:t>(2A)</w:t>
      </w:r>
      <w:r w:rsidRPr="00B14E91">
        <w:tab/>
        <w:t>If the device is intended to be used to administer medicines or biologicals by inhalation:</w:t>
      </w:r>
    </w:p>
    <w:p w:rsidR="004C7C9A" w:rsidRPr="00B14E91" w:rsidRDefault="004C7C9A" w:rsidP="004C7C9A">
      <w:pPr>
        <w:pStyle w:val="paragraph"/>
      </w:pPr>
      <w:r w:rsidRPr="00B14E91">
        <w:tab/>
        <w:t>(a)</w:t>
      </w:r>
      <w:r w:rsidRPr="00B14E91">
        <w:tab/>
        <w:t>if the mode of action of the device has an essential impact on the efficacy and safety of the medicines or biologicals—the device is classified as Class IIb; or</w:t>
      </w:r>
    </w:p>
    <w:p w:rsidR="004C7C9A" w:rsidRPr="00B14E91" w:rsidRDefault="004C7C9A" w:rsidP="004C7C9A">
      <w:pPr>
        <w:pStyle w:val="paragraph"/>
      </w:pPr>
      <w:r w:rsidRPr="00B14E91">
        <w:tab/>
        <w:t>(b)</w:t>
      </w:r>
      <w:r w:rsidRPr="00B14E91">
        <w:tab/>
        <w:t>if the device is intended to treat a life</w:t>
      </w:r>
      <w:r w:rsidR="00D425F1">
        <w:noBreakHyphen/>
      </w:r>
      <w:r w:rsidRPr="00B14E91">
        <w:t>threatening condition—the device is classified as Class IIb; or</w:t>
      </w:r>
    </w:p>
    <w:p w:rsidR="004C7C9A" w:rsidRPr="00B14E91" w:rsidRDefault="004C7C9A" w:rsidP="004C7C9A">
      <w:pPr>
        <w:pStyle w:val="paragraph"/>
      </w:pPr>
      <w:r w:rsidRPr="00B14E91">
        <w:tab/>
        <w:t>(c)</w:t>
      </w:r>
      <w:r w:rsidRPr="00B14E91">
        <w:tab/>
        <w:t>if paragraphs (a) and (b) do not apply—the device is classified as Class IIa.</w:t>
      </w:r>
    </w:p>
    <w:p w:rsidR="004C7C9A" w:rsidRPr="00B14E91" w:rsidRDefault="004C7C9A" w:rsidP="004C7C9A">
      <w:pPr>
        <w:pStyle w:val="ActHead7"/>
        <w:pageBreakBefore/>
      </w:pPr>
      <w:bookmarkStart w:id="13" w:name="_Toc48564271"/>
      <w:r w:rsidRPr="00B14E91">
        <w:rPr>
          <w:rStyle w:val="CharAmPartNo"/>
        </w:rPr>
        <w:lastRenderedPageBreak/>
        <w:t>Part 4</w:t>
      </w:r>
      <w:r w:rsidRPr="00B14E91">
        <w:t>—</w:t>
      </w:r>
      <w:r w:rsidRPr="00B14E91">
        <w:rPr>
          <w:rStyle w:val="CharAmPartText"/>
        </w:rPr>
        <w:t>Medical devices that are substances for introduction into the body</w:t>
      </w:r>
      <w:bookmarkEnd w:id="13"/>
    </w:p>
    <w:p w:rsidR="004C7C9A" w:rsidRPr="00B14E91" w:rsidRDefault="004C7C9A" w:rsidP="004C7C9A">
      <w:pPr>
        <w:pStyle w:val="ActHead9"/>
      </w:pPr>
      <w:bookmarkStart w:id="14" w:name="_Toc48564272"/>
      <w:r w:rsidRPr="00B14E91">
        <w:t xml:space="preserve">Therapeutic Goods (Medical Devices) </w:t>
      </w:r>
      <w:r w:rsidR="00D425F1">
        <w:t>Regulations 2</w:t>
      </w:r>
      <w:r w:rsidRPr="00B14E91">
        <w:t>002</w:t>
      </w:r>
      <w:bookmarkEnd w:id="14"/>
    </w:p>
    <w:p w:rsidR="004C7C9A" w:rsidRPr="00B14E91" w:rsidRDefault="004C7C9A" w:rsidP="004C7C9A">
      <w:pPr>
        <w:pStyle w:val="ItemHead"/>
      </w:pPr>
      <w:r w:rsidRPr="00B14E91">
        <w:t>34  Clause 2.4 of Schedule 2 (heading)</w:t>
      </w:r>
    </w:p>
    <w:p w:rsidR="004C7C9A" w:rsidRPr="00B14E91" w:rsidRDefault="004C7C9A" w:rsidP="004C7C9A">
      <w:pPr>
        <w:pStyle w:val="Item"/>
      </w:pPr>
      <w:r w:rsidRPr="00B14E91">
        <w:t>Omit “</w:t>
      </w:r>
      <w:r w:rsidRPr="00B14E91">
        <w:rPr>
          <w:b/>
        </w:rPr>
        <w:t>skin</w:t>
      </w:r>
      <w:r w:rsidRPr="00B14E91">
        <w:t>”, substitute “</w:t>
      </w:r>
      <w:r w:rsidRPr="00B14E91">
        <w:rPr>
          <w:b/>
        </w:rPr>
        <w:t>skin or mucous membrane</w:t>
      </w:r>
      <w:r w:rsidRPr="00B14E91">
        <w:t>”.</w:t>
      </w:r>
    </w:p>
    <w:p w:rsidR="004C7C9A" w:rsidRPr="00B14E91" w:rsidRDefault="004C7C9A" w:rsidP="004C7C9A">
      <w:pPr>
        <w:pStyle w:val="ItemHead"/>
      </w:pPr>
      <w:r w:rsidRPr="00B14E91">
        <w:t>35  Subclause 2.4(1) of Schedule 2</w:t>
      </w:r>
    </w:p>
    <w:p w:rsidR="004C7C9A" w:rsidRPr="00B14E91" w:rsidRDefault="004C7C9A" w:rsidP="004C7C9A">
      <w:pPr>
        <w:pStyle w:val="Item"/>
      </w:pPr>
      <w:r w:rsidRPr="00B14E91">
        <w:t>After “skin”, insert “or a mucous membrane”.</w:t>
      </w:r>
    </w:p>
    <w:p w:rsidR="004C7C9A" w:rsidRPr="00B14E91" w:rsidRDefault="004C7C9A" w:rsidP="004C7C9A">
      <w:pPr>
        <w:pStyle w:val="ItemHead"/>
      </w:pPr>
      <w:r w:rsidRPr="00B14E91">
        <w:t xml:space="preserve">36  </w:t>
      </w:r>
      <w:r w:rsidR="00D425F1">
        <w:t>Subparagraph 3</w:t>
      </w:r>
      <w:r w:rsidRPr="00B14E91">
        <w:t>.1(2)(c)(ii) of Schedule 2</w:t>
      </w:r>
    </w:p>
    <w:p w:rsidR="004C7C9A" w:rsidRPr="00B14E91" w:rsidRDefault="004C7C9A" w:rsidP="004C7C9A">
      <w:pPr>
        <w:pStyle w:val="Item"/>
      </w:pPr>
      <w:r w:rsidRPr="00B14E91">
        <w:t>Omit “mucous membrane”, substitute “skin or mucous membrane”.</w:t>
      </w:r>
    </w:p>
    <w:p w:rsidR="004C7C9A" w:rsidRPr="00B14E91" w:rsidRDefault="004C7C9A" w:rsidP="004C7C9A">
      <w:pPr>
        <w:pStyle w:val="ItemHead"/>
      </w:pPr>
      <w:r w:rsidRPr="00B14E91">
        <w:t>37  At the end of clause 3.1 of Schedule 2</w:t>
      </w:r>
    </w:p>
    <w:p w:rsidR="004C7C9A" w:rsidRPr="00B14E91" w:rsidRDefault="004C7C9A" w:rsidP="004C7C9A">
      <w:pPr>
        <w:pStyle w:val="Item"/>
      </w:pPr>
      <w:r w:rsidRPr="00B14E91">
        <w:t>Add:</w:t>
      </w:r>
    </w:p>
    <w:p w:rsidR="004C7C9A" w:rsidRPr="00B14E91" w:rsidRDefault="004C7C9A" w:rsidP="004C7C9A">
      <w:pPr>
        <w:pStyle w:val="subsection"/>
      </w:pPr>
      <w:r w:rsidRPr="00B14E91">
        <w:tab/>
        <w:t>(4)</w:t>
      </w:r>
      <w:r w:rsidRPr="00B14E91">
        <w:tab/>
        <w:t>If a device is composed of substances, or combinations of substances, that are:</w:t>
      </w:r>
    </w:p>
    <w:p w:rsidR="004C7C9A" w:rsidRPr="00B14E91" w:rsidRDefault="004C7C9A" w:rsidP="004C7C9A">
      <w:pPr>
        <w:pStyle w:val="paragraph"/>
      </w:pPr>
      <w:r w:rsidRPr="00B14E91">
        <w:tab/>
        <w:t>(a)</w:t>
      </w:r>
      <w:r w:rsidRPr="00B14E91">
        <w:tab/>
        <w:t>intended to be:</w:t>
      </w:r>
    </w:p>
    <w:p w:rsidR="004C7C9A" w:rsidRPr="00B14E91" w:rsidRDefault="004C7C9A" w:rsidP="004C7C9A">
      <w:pPr>
        <w:pStyle w:val="paragraphsub"/>
      </w:pPr>
      <w:r w:rsidRPr="00B14E91">
        <w:tab/>
        <w:t>(i)</w:t>
      </w:r>
      <w:r w:rsidRPr="00B14E91">
        <w:tab/>
        <w:t>introduced into the human body through a body orifice; or</w:t>
      </w:r>
    </w:p>
    <w:p w:rsidR="004C7C9A" w:rsidRPr="00B14E91" w:rsidRDefault="004C7C9A" w:rsidP="004C7C9A">
      <w:pPr>
        <w:pStyle w:val="paragraphsub"/>
      </w:pPr>
      <w:r w:rsidRPr="00B14E91">
        <w:tab/>
        <w:t>(ii)</w:t>
      </w:r>
      <w:r w:rsidRPr="00B14E91">
        <w:tab/>
        <w:t>applied to the skin; and</w:t>
      </w:r>
    </w:p>
    <w:p w:rsidR="004C7C9A" w:rsidRPr="00B14E91" w:rsidRDefault="004C7C9A" w:rsidP="004C7C9A">
      <w:pPr>
        <w:pStyle w:val="paragraph"/>
      </w:pPr>
      <w:r w:rsidRPr="00B14E91">
        <w:tab/>
        <w:t>(b)</w:t>
      </w:r>
      <w:r w:rsidRPr="00B14E91">
        <w:tab/>
        <w:t>absorbed by, or locally dispersed, in the human body after introduction or application;</w:t>
      </w:r>
    </w:p>
    <w:p w:rsidR="004C7C9A" w:rsidRPr="00B14E91" w:rsidRDefault="004C7C9A" w:rsidP="004C7C9A">
      <w:pPr>
        <w:pStyle w:val="subsection2"/>
      </w:pPr>
      <w:r w:rsidRPr="00B14E91">
        <w:t>the device is classified as follows:</w:t>
      </w:r>
    </w:p>
    <w:p w:rsidR="004C7C9A" w:rsidRPr="00B14E91" w:rsidRDefault="004C7C9A" w:rsidP="004C7C9A">
      <w:pPr>
        <w:pStyle w:val="paragraph"/>
      </w:pPr>
      <w:r w:rsidRPr="00B14E91">
        <w:tab/>
        <w:t>(c)</w:t>
      </w:r>
      <w:r w:rsidRPr="00B14E91">
        <w:tab/>
        <w:t>if the device, or its products of metabolism, are systemically absorbed by the human body in order to achieve the intended purpose—Class III;</w:t>
      </w:r>
    </w:p>
    <w:p w:rsidR="004C7C9A" w:rsidRPr="00B14E91" w:rsidRDefault="004C7C9A" w:rsidP="004C7C9A">
      <w:pPr>
        <w:pStyle w:val="paragraph"/>
      </w:pPr>
      <w:r w:rsidRPr="00B14E91">
        <w:tab/>
        <w:t>(d)</w:t>
      </w:r>
      <w:r w:rsidRPr="00B14E91">
        <w:tab/>
        <w:t>if the device achieves its intended purpose in the stomach or lower gastrointestinal tract and the device, or its products of metabolism, are systemically absorbed by the human body—Class III;</w:t>
      </w:r>
    </w:p>
    <w:p w:rsidR="004C7C9A" w:rsidRPr="00B14E91" w:rsidRDefault="004C7C9A" w:rsidP="004C7C9A">
      <w:pPr>
        <w:pStyle w:val="paragraph"/>
      </w:pPr>
      <w:r w:rsidRPr="00B14E91">
        <w:tab/>
        <w:t>(e)</w:t>
      </w:r>
      <w:r w:rsidRPr="00B14E91">
        <w:tab/>
        <w:t>if the device is applied to the skin, or in the nasal or oral cavity as far as the pharynx, and achieves its intended purpose on those cavities—Class IIa;</w:t>
      </w:r>
    </w:p>
    <w:p w:rsidR="004C7C9A" w:rsidRPr="00B14E91" w:rsidRDefault="004C7C9A" w:rsidP="004C7C9A">
      <w:pPr>
        <w:pStyle w:val="paragraph"/>
      </w:pPr>
      <w:r w:rsidRPr="00B14E91">
        <w:tab/>
        <w:t>(f)</w:t>
      </w:r>
      <w:r w:rsidRPr="00B14E91">
        <w:tab/>
        <w:t>in any other case—Class IIb.</w:t>
      </w:r>
    </w:p>
    <w:p w:rsidR="004C7C9A" w:rsidRPr="00B14E91" w:rsidRDefault="004C7C9A" w:rsidP="004C7C9A">
      <w:pPr>
        <w:pStyle w:val="ItemHead"/>
      </w:pPr>
      <w:r w:rsidRPr="00B14E91">
        <w:t>38  Dictionary</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injured skin or mucous membrane</w:t>
      </w:r>
      <w:r w:rsidRPr="00B14E91">
        <w:t xml:space="preserve"> means an area of skin or mucous membrane that has evidence of:</w:t>
      </w:r>
    </w:p>
    <w:p w:rsidR="004C7C9A" w:rsidRPr="00B14E91" w:rsidRDefault="004C7C9A" w:rsidP="004C7C9A">
      <w:pPr>
        <w:pStyle w:val="paragraph"/>
      </w:pPr>
      <w:r w:rsidRPr="00B14E91">
        <w:tab/>
        <w:t>(a)</w:t>
      </w:r>
      <w:r w:rsidRPr="00B14E91">
        <w:tab/>
        <w:t>a pathological change; or</w:t>
      </w:r>
    </w:p>
    <w:p w:rsidR="004C7C9A" w:rsidRPr="00B14E91" w:rsidRDefault="004C7C9A" w:rsidP="004C7C9A">
      <w:pPr>
        <w:pStyle w:val="paragraph"/>
      </w:pPr>
      <w:r w:rsidRPr="00B14E91">
        <w:tab/>
        <w:t>(b)</w:t>
      </w:r>
      <w:r w:rsidRPr="00B14E91">
        <w:tab/>
        <w:t>a change following:</w:t>
      </w:r>
    </w:p>
    <w:p w:rsidR="004C7C9A" w:rsidRPr="00B14E91" w:rsidRDefault="004C7C9A" w:rsidP="004C7C9A">
      <w:pPr>
        <w:pStyle w:val="paragraphsub"/>
      </w:pPr>
      <w:r w:rsidRPr="00B14E91">
        <w:tab/>
        <w:t>(i)</w:t>
      </w:r>
      <w:r w:rsidRPr="00B14E91">
        <w:tab/>
        <w:t>disease; or</w:t>
      </w:r>
    </w:p>
    <w:p w:rsidR="004C7C9A" w:rsidRPr="00B14E91" w:rsidRDefault="004C7C9A" w:rsidP="004C7C9A">
      <w:pPr>
        <w:pStyle w:val="paragraphsub"/>
      </w:pPr>
      <w:r w:rsidRPr="00B14E91">
        <w:tab/>
        <w:t>(ii)</w:t>
      </w:r>
      <w:r w:rsidRPr="00B14E91">
        <w:tab/>
        <w:t>a wound.</w:t>
      </w:r>
    </w:p>
    <w:p w:rsidR="004C7C9A" w:rsidRPr="00B14E91" w:rsidRDefault="004C7C9A" w:rsidP="004C7C9A">
      <w:pPr>
        <w:pStyle w:val="ActHead7"/>
        <w:pageBreakBefore/>
      </w:pPr>
      <w:bookmarkStart w:id="15" w:name="_Toc48564273"/>
      <w:r w:rsidRPr="00B14E91">
        <w:rPr>
          <w:rStyle w:val="CharAmPartNo"/>
        </w:rPr>
        <w:lastRenderedPageBreak/>
        <w:t>Part 5</w:t>
      </w:r>
      <w:r w:rsidRPr="00B14E91">
        <w:t>—</w:t>
      </w:r>
      <w:r w:rsidRPr="00B14E91">
        <w:rPr>
          <w:rStyle w:val="CharAmPartText"/>
        </w:rPr>
        <w:t>Active medical devices for therapy</w:t>
      </w:r>
      <w:bookmarkEnd w:id="15"/>
    </w:p>
    <w:p w:rsidR="004C7C9A" w:rsidRPr="00B14E91" w:rsidRDefault="004C7C9A" w:rsidP="004C7C9A">
      <w:pPr>
        <w:pStyle w:val="ActHead9"/>
      </w:pPr>
      <w:bookmarkStart w:id="16" w:name="_Toc48564274"/>
      <w:r w:rsidRPr="00B14E91">
        <w:t xml:space="preserve">Therapeutic Goods (Medical Devices) </w:t>
      </w:r>
      <w:r w:rsidR="00D425F1">
        <w:t>Regulations 2</w:t>
      </w:r>
      <w:r w:rsidRPr="00B14E91">
        <w:t>002</w:t>
      </w:r>
      <w:bookmarkEnd w:id="16"/>
    </w:p>
    <w:p w:rsidR="004C7C9A" w:rsidRPr="00B14E91" w:rsidRDefault="004C7C9A" w:rsidP="004C7C9A">
      <w:pPr>
        <w:pStyle w:val="ItemHead"/>
      </w:pPr>
      <w:r w:rsidRPr="00B14E91">
        <w:t>39  At the end of clause 4.2 of Schedule 2</w:t>
      </w:r>
    </w:p>
    <w:p w:rsidR="004C7C9A" w:rsidRPr="00B14E91" w:rsidRDefault="004C7C9A" w:rsidP="004C7C9A">
      <w:pPr>
        <w:pStyle w:val="Item"/>
      </w:pPr>
      <w:r w:rsidRPr="00B14E91">
        <w:t>Add:</w:t>
      </w:r>
    </w:p>
    <w:p w:rsidR="004C7C9A" w:rsidRPr="00B14E91" w:rsidRDefault="004C7C9A" w:rsidP="004C7C9A">
      <w:pPr>
        <w:pStyle w:val="subsection"/>
      </w:pPr>
      <w:r w:rsidRPr="00B14E91">
        <w:tab/>
        <w:t>(4)</w:t>
      </w:r>
      <w:r w:rsidRPr="00B14E91">
        <w:tab/>
        <w:t>An active medical device for therapy that includes a diagnostic function the purpose of which is to significantly determine patient management by the device is classified as Class III.</w:t>
      </w:r>
    </w:p>
    <w:p w:rsidR="004C7C9A" w:rsidRPr="00B14E91" w:rsidRDefault="004C7C9A" w:rsidP="004C7C9A">
      <w:pPr>
        <w:pStyle w:val="notetext"/>
      </w:pPr>
      <w:r w:rsidRPr="00B14E91">
        <w:t>Example:</w:t>
      </w:r>
      <w:r w:rsidRPr="00B14E91">
        <w:tab/>
        <w:t>An automated external defibrillator.</w:t>
      </w:r>
    </w:p>
    <w:p w:rsidR="004C7C9A" w:rsidRPr="00B14E91" w:rsidRDefault="004C7C9A" w:rsidP="004C7C9A">
      <w:pPr>
        <w:pStyle w:val="ActHead7"/>
        <w:pageBreakBefore/>
      </w:pPr>
      <w:bookmarkStart w:id="17" w:name="_Toc48564275"/>
      <w:r w:rsidRPr="00B14E91">
        <w:rPr>
          <w:rStyle w:val="CharAmPartNo"/>
        </w:rPr>
        <w:lastRenderedPageBreak/>
        <w:t>Part 6</w:t>
      </w:r>
      <w:r w:rsidRPr="00B14E91">
        <w:t>—</w:t>
      </w:r>
      <w:r w:rsidRPr="00B14E91">
        <w:rPr>
          <w:rStyle w:val="CharAmPartText"/>
        </w:rPr>
        <w:t>Medical devices in direct contact with the heart etc.</w:t>
      </w:r>
      <w:bookmarkEnd w:id="17"/>
    </w:p>
    <w:p w:rsidR="004C7C9A" w:rsidRPr="00B14E91" w:rsidRDefault="004C7C9A" w:rsidP="004C7C9A">
      <w:pPr>
        <w:pStyle w:val="ActHead9"/>
      </w:pPr>
      <w:bookmarkStart w:id="18" w:name="_Toc48564276"/>
      <w:r w:rsidRPr="00B14E91">
        <w:t xml:space="preserve">Therapeutic Goods (Medical Devices) </w:t>
      </w:r>
      <w:r w:rsidR="00D425F1">
        <w:t>Regulations 2</w:t>
      </w:r>
      <w:r w:rsidRPr="00B14E91">
        <w:t>002</w:t>
      </w:r>
      <w:bookmarkEnd w:id="18"/>
    </w:p>
    <w:p w:rsidR="004C7C9A" w:rsidRPr="00B14E91" w:rsidRDefault="004C7C9A" w:rsidP="004C7C9A">
      <w:pPr>
        <w:pStyle w:val="ItemHead"/>
      </w:pPr>
      <w:r w:rsidRPr="00B14E91">
        <w:t>40  Clause 1.1 of Schedule 2</w:t>
      </w:r>
    </w:p>
    <w:p w:rsidR="004C7C9A" w:rsidRPr="00B14E91" w:rsidRDefault="004C7C9A" w:rsidP="004C7C9A">
      <w:pPr>
        <w:pStyle w:val="Item"/>
      </w:pPr>
      <w:r w:rsidRPr="00B14E91">
        <w:t>Omit “For”, substitute “(1) For the purposes of”.</w:t>
      </w:r>
    </w:p>
    <w:p w:rsidR="004C7C9A" w:rsidRPr="00B14E91" w:rsidRDefault="004C7C9A" w:rsidP="004C7C9A">
      <w:pPr>
        <w:pStyle w:val="ItemHead"/>
      </w:pPr>
      <w:r w:rsidRPr="00B14E91">
        <w:t>41  At the end of clause 1.1 of Schedule 2</w:t>
      </w:r>
    </w:p>
    <w:p w:rsidR="004C7C9A" w:rsidRPr="00B14E91" w:rsidRDefault="004C7C9A" w:rsidP="004C7C9A">
      <w:pPr>
        <w:pStyle w:val="Item"/>
      </w:pPr>
      <w:r w:rsidRPr="00B14E91">
        <w:t>Add:</w:t>
      </w:r>
    </w:p>
    <w:p w:rsidR="004C7C9A" w:rsidRPr="00B14E91" w:rsidRDefault="004C7C9A" w:rsidP="004C7C9A">
      <w:pPr>
        <w:pStyle w:val="subsection"/>
      </w:pPr>
      <w:r w:rsidRPr="00B14E91">
        <w:tab/>
        <w:t>(2)</w:t>
      </w:r>
      <w:r w:rsidRPr="00B14E91">
        <w:tab/>
        <w:t>For the purposes of determining whether a medical device is intended to be used continuously, disregard any temporary interruption or removal.</w:t>
      </w:r>
    </w:p>
    <w:p w:rsidR="004C7C9A" w:rsidRPr="00B14E91" w:rsidRDefault="004C7C9A" w:rsidP="004C7C9A">
      <w:pPr>
        <w:pStyle w:val="notetext"/>
      </w:pPr>
      <w:r w:rsidRPr="00B14E91">
        <w:t>Example:</w:t>
      </w:r>
      <w:r w:rsidRPr="00B14E91">
        <w:tab/>
        <w:t>A temporary interruption or removal in order to clean or disinfect the medical device.</w:t>
      </w:r>
    </w:p>
    <w:p w:rsidR="004C7C9A" w:rsidRPr="00B14E91" w:rsidRDefault="004C7C9A" w:rsidP="004C7C9A">
      <w:pPr>
        <w:pStyle w:val="ItemHead"/>
      </w:pPr>
      <w:r w:rsidRPr="00B14E91">
        <w:t>42  After subclause 3.2(3) of Schedule 2</w:t>
      </w:r>
    </w:p>
    <w:p w:rsidR="004C7C9A" w:rsidRPr="00B14E91" w:rsidRDefault="004C7C9A" w:rsidP="004C7C9A">
      <w:pPr>
        <w:pStyle w:val="Item"/>
      </w:pPr>
      <w:r w:rsidRPr="00B14E91">
        <w:t>Insert:</w:t>
      </w:r>
    </w:p>
    <w:p w:rsidR="004C7C9A" w:rsidRPr="00B14E91" w:rsidRDefault="004C7C9A" w:rsidP="004C7C9A">
      <w:pPr>
        <w:pStyle w:val="subsection"/>
      </w:pPr>
      <w:r w:rsidRPr="00B14E91">
        <w:tab/>
        <w:t>(3A)</w:t>
      </w:r>
      <w:r w:rsidRPr="00B14E91">
        <w:tab/>
        <w:t>If the device is intended by the manufacturer specifically to be used in direct contact with the heart, the central circulatory system or the central nervous system of a patient, the device is classified as Class III.</w:t>
      </w:r>
    </w:p>
    <w:p w:rsidR="004C7C9A" w:rsidRPr="00B14E91" w:rsidRDefault="004C7C9A" w:rsidP="004C7C9A">
      <w:pPr>
        <w:pStyle w:val="ItemHead"/>
      </w:pPr>
      <w:r w:rsidRPr="00B14E91">
        <w:t xml:space="preserve">43  </w:t>
      </w:r>
      <w:r w:rsidR="00D425F1">
        <w:t>Paragraph 3</w:t>
      </w:r>
      <w:r w:rsidRPr="00B14E91">
        <w:t>.3(4)(b) of Schedule 2</w:t>
      </w:r>
    </w:p>
    <w:p w:rsidR="004C7C9A" w:rsidRPr="00B14E91" w:rsidRDefault="004C7C9A" w:rsidP="004C7C9A">
      <w:pPr>
        <w:pStyle w:val="Item"/>
      </w:pPr>
      <w:r w:rsidRPr="00B14E91">
        <w:t>Repeal the paragraph, substitute:</w:t>
      </w:r>
    </w:p>
    <w:p w:rsidR="004C7C9A" w:rsidRPr="00B14E91" w:rsidRDefault="004C7C9A" w:rsidP="004C7C9A">
      <w:pPr>
        <w:pStyle w:val="paragraph"/>
      </w:pPr>
      <w:r w:rsidRPr="00B14E91">
        <w:tab/>
        <w:t>(b)</w:t>
      </w:r>
      <w:r w:rsidRPr="00B14E91">
        <w:tab/>
        <w:t>specifically to be used in direct contact with the heart, the central circulatory system or the central nervous system of a patient; or</w:t>
      </w:r>
    </w:p>
    <w:p w:rsidR="004C7C9A" w:rsidRPr="00B14E91" w:rsidRDefault="004C7C9A" w:rsidP="004C7C9A">
      <w:pPr>
        <w:pStyle w:val="ActHead7"/>
        <w:pageBreakBefore/>
      </w:pPr>
      <w:bookmarkStart w:id="19" w:name="_Toc48564277"/>
      <w:r w:rsidRPr="00B14E91">
        <w:rPr>
          <w:rStyle w:val="CharAmPartNo"/>
        </w:rPr>
        <w:lastRenderedPageBreak/>
        <w:t>Part 7</w:t>
      </w:r>
      <w:r w:rsidRPr="00B14E91">
        <w:t>—</w:t>
      </w:r>
      <w:r w:rsidRPr="00B14E91">
        <w:rPr>
          <w:rStyle w:val="CharAmPartText"/>
        </w:rPr>
        <w:t>Amendments relating to charges</w:t>
      </w:r>
      <w:bookmarkEnd w:id="19"/>
    </w:p>
    <w:p w:rsidR="004C7C9A" w:rsidRPr="00B14E91" w:rsidRDefault="004C7C9A" w:rsidP="004C7C9A">
      <w:pPr>
        <w:pStyle w:val="ActHead9"/>
      </w:pPr>
      <w:bookmarkStart w:id="20" w:name="_Toc48564278"/>
      <w:r w:rsidRPr="00B14E91">
        <w:t xml:space="preserve">Therapeutic Goods (Charges) </w:t>
      </w:r>
      <w:r w:rsidR="00D425F1">
        <w:t>Regulations 2</w:t>
      </w:r>
      <w:r w:rsidRPr="00B14E91">
        <w:t>018</w:t>
      </w:r>
      <w:bookmarkEnd w:id="20"/>
    </w:p>
    <w:p w:rsidR="004C7C9A" w:rsidRPr="00B14E91" w:rsidRDefault="004C7C9A" w:rsidP="004C7C9A">
      <w:pPr>
        <w:pStyle w:val="ItemHead"/>
      </w:pPr>
      <w:r w:rsidRPr="00B14E91">
        <w:t xml:space="preserve">44  </w:t>
      </w:r>
      <w:r w:rsidR="00D425F1">
        <w:t>Paragraph 7</w:t>
      </w:r>
      <w:r w:rsidRPr="00B14E91">
        <w:t>(4)(d)</w:t>
      </w:r>
    </w:p>
    <w:p w:rsidR="004C7C9A" w:rsidRPr="00B14E91" w:rsidRDefault="004C7C9A" w:rsidP="004C7C9A">
      <w:pPr>
        <w:pStyle w:val="Item"/>
      </w:pPr>
      <w:r w:rsidRPr="00B14E91">
        <w:t>Omit “Class AIMD medical device or”.</w:t>
      </w:r>
    </w:p>
    <w:p w:rsidR="004C7C9A" w:rsidRPr="00B14E91" w:rsidRDefault="004C7C9A" w:rsidP="004C7C9A">
      <w:pPr>
        <w:pStyle w:val="ItemHead"/>
      </w:pPr>
      <w:r w:rsidRPr="00B14E91">
        <w:t>45  At the end of the instrument</w:t>
      </w:r>
    </w:p>
    <w:p w:rsidR="004C7C9A" w:rsidRPr="00B14E91" w:rsidRDefault="004C7C9A" w:rsidP="004C7C9A">
      <w:pPr>
        <w:pStyle w:val="Item"/>
      </w:pPr>
      <w:r w:rsidRPr="00B14E91">
        <w:t>Add:</w:t>
      </w:r>
    </w:p>
    <w:p w:rsidR="004C7C9A" w:rsidRPr="00B14E91" w:rsidRDefault="004C7C9A" w:rsidP="004C7C9A">
      <w:pPr>
        <w:pStyle w:val="ActHead2"/>
      </w:pPr>
      <w:bookmarkStart w:id="21" w:name="_Toc48564279"/>
      <w:r w:rsidRPr="00B14E91">
        <w:rPr>
          <w:rStyle w:val="CharPartNo"/>
        </w:rPr>
        <w:t>Part 3</w:t>
      </w:r>
      <w:r w:rsidRPr="00B14E91">
        <w:t>—</w:t>
      </w:r>
      <w:r w:rsidRPr="00B14E91">
        <w:rPr>
          <w:rStyle w:val="CharPartText"/>
        </w:rPr>
        <w:t>Application and transitional provisions</w:t>
      </w:r>
      <w:bookmarkEnd w:id="21"/>
    </w:p>
    <w:p w:rsidR="004C7C9A" w:rsidRPr="00B14E91" w:rsidRDefault="004C7C9A" w:rsidP="004C7C9A">
      <w:pPr>
        <w:pStyle w:val="ActHead3"/>
      </w:pPr>
      <w:bookmarkStart w:id="22" w:name="_Toc48564280"/>
      <w:r w:rsidRPr="00B14E91">
        <w:rPr>
          <w:rStyle w:val="CharDivNo"/>
        </w:rPr>
        <w:t>Division 1</w:t>
      </w:r>
      <w:r w:rsidRPr="00B14E91">
        <w:t>—</w:t>
      </w:r>
      <w:r w:rsidRPr="00B14E91">
        <w:rPr>
          <w:rStyle w:val="CharDivText"/>
        </w:rPr>
        <w:t xml:space="preserve">Transitional provision relating to the Therapeutic Goods Legislation Amendment (2019 Measures No. 1) </w:t>
      </w:r>
      <w:r w:rsidR="00D425F1">
        <w:rPr>
          <w:rStyle w:val="CharDivText"/>
        </w:rPr>
        <w:t>Regulations 2</w:t>
      </w:r>
      <w:r w:rsidRPr="00B14E91">
        <w:rPr>
          <w:rStyle w:val="CharDivText"/>
        </w:rPr>
        <w:t>019</w:t>
      </w:r>
      <w:bookmarkEnd w:id="22"/>
    </w:p>
    <w:p w:rsidR="004C7C9A" w:rsidRPr="00B14E91" w:rsidRDefault="004C7C9A" w:rsidP="004C7C9A">
      <w:pPr>
        <w:pStyle w:val="ActHead5"/>
      </w:pPr>
      <w:bookmarkStart w:id="23" w:name="_Toc48564281"/>
      <w:r w:rsidRPr="00B14E91">
        <w:rPr>
          <w:rStyle w:val="CharSectno"/>
        </w:rPr>
        <w:t>10</w:t>
      </w:r>
      <w:r w:rsidRPr="00B14E91">
        <w:t xml:space="preserve">  Transitional provision relating to the </w:t>
      </w:r>
      <w:r w:rsidRPr="00B14E91">
        <w:rPr>
          <w:i/>
        </w:rPr>
        <w:t xml:space="preserve">Therapeutic Goods Legislation Amendment (2019 Measures No. 1) </w:t>
      </w:r>
      <w:r w:rsidR="00D425F1">
        <w:rPr>
          <w:i/>
        </w:rPr>
        <w:t>Regulations 2</w:t>
      </w:r>
      <w:r w:rsidRPr="00B14E91">
        <w:rPr>
          <w:i/>
        </w:rPr>
        <w:t>019</w:t>
      </w:r>
      <w:bookmarkEnd w:id="23"/>
    </w:p>
    <w:p w:rsidR="004C7C9A" w:rsidRPr="00B14E91" w:rsidRDefault="004C7C9A" w:rsidP="004C7C9A">
      <w:pPr>
        <w:pStyle w:val="subsection"/>
      </w:pPr>
      <w:r w:rsidRPr="00B14E91">
        <w:tab/>
      </w:r>
      <w:r w:rsidRPr="00B14E91">
        <w:tab/>
        <w:t>If, at any time during a charge year, the same medical device is included in the Register as a Class AIMD medical device and a Class III medical device, the charge in respect of the inclusion in the Register of the medical device as a Class III medical device during the charge year is nil.</w:t>
      </w:r>
    </w:p>
    <w:p w:rsidR="004C7C9A" w:rsidRPr="00B14E91" w:rsidRDefault="004C7C9A" w:rsidP="004C7C9A">
      <w:pPr>
        <w:pStyle w:val="ActHead6"/>
        <w:pageBreakBefore/>
      </w:pPr>
      <w:bookmarkStart w:id="24" w:name="_Toc48564282"/>
      <w:r w:rsidRPr="00B14E91">
        <w:rPr>
          <w:rStyle w:val="CharAmSchNo"/>
        </w:rPr>
        <w:lastRenderedPageBreak/>
        <w:t>Schedule 2</w:t>
      </w:r>
      <w:r w:rsidRPr="00B14E91">
        <w:t>—</w:t>
      </w:r>
      <w:r w:rsidRPr="00B14E91">
        <w:rPr>
          <w:rStyle w:val="CharAmSchText"/>
        </w:rPr>
        <w:t>Programmed or programmable medical device or software that is a medical device</w:t>
      </w:r>
      <w:bookmarkEnd w:id="24"/>
    </w:p>
    <w:p w:rsidR="004C7C9A" w:rsidRPr="00B14E91" w:rsidRDefault="004C7C9A" w:rsidP="004C7C9A">
      <w:pPr>
        <w:pStyle w:val="ActHead7"/>
      </w:pPr>
      <w:bookmarkStart w:id="25" w:name="_Toc48564283"/>
      <w:r w:rsidRPr="00B14E91">
        <w:rPr>
          <w:rStyle w:val="CharAmPartNo"/>
        </w:rPr>
        <w:t>Part 1</w:t>
      </w:r>
      <w:r w:rsidRPr="00B14E91">
        <w:t>—</w:t>
      </w:r>
      <w:r w:rsidRPr="00B14E91">
        <w:rPr>
          <w:rStyle w:val="CharAmPartText"/>
        </w:rPr>
        <w:t>Classification rules</w:t>
      </w:r>
      <w:bookmarkEnd w:id="25"/>
    </w:p>
    <w:p w:rsidR="004C7C9A" w:rsidRPr="00B14E91" w:rsidRDefault="004C7C9A" w:rsidP="004C7C9A">
      <w:pPr>
        <w:pStyle w:val="ActHead9"/>
      </w:pPr>
      <w:bookmarkStart w:id="26" w:name="_Toc48564284"/>
      <w:r w:rsidRPr="00B14E91">
        <w:t xml:space="preserve">Therapeutic Goods (Medical Devices) </w:t>
      </w:r>
      <w:r w:rsidR="00D425F1">
        <w:t>Regulations 2</w:t>
      </w:r>
      <w:r w:rsidRPr="00B14E91">
        <w:t>002</w:t>
      </w:r>
      <w:bookmarkEnd w:id="26"/>
    </w:p>
    <w:p w:rsidR="004C7C9A" w:rsidRPr="00B14E91" w:rsidRDefault="004C7C9A" w:rsidP="004C7C9A">
      <w:pPr>
        <w:pStyle w:val="ItemHead"/>
      </w:pPr>
      <w:r w:rsidRPr="00B14E91">
        <w:t>1  Schedule 2 (note to Schedule heading)</w:t>
      </w:r>
    </w:p>
    <w:p w:rsidR="004C7C9A" w:rsidRPr="00B14E91" w:rsidRDefault="004C7C9A" w:rsidP="004C7C9A">
      <w:pPr>
        <w:pStyle w:val="Item"/>
      </w:pPr>
      <w:r w:rsidRPr="00B14E91">
        <w:t>Repeal the note, substitute:</w:t>
      </w:r>
    </w:p>
    <w:p w:rsidR="004C7C9A" w:rsidRPr="00B14E91" w:rsidRDefault="004C7C9A" w:rsidP="004C7C9A">
      <w:pPr>
        <w:pStyle w:val="notemargin"/>
      </w:pPr>
      <w:r w:rsidRPr="00B14E91">
        <w:t>Note:</w:t>
      </w:r>
      <w:r w:rsidRPr="00B14E91">
        <w:tab/>
        <w:t>Regulation 3.2 provides for the making of classification rules. Regulation 3.3 sets out the principles for applying those rules.</w:t>
      </w:r>
    </w:p>
    <w:p w:rsidR="004C7C9A" w:rsidRPr="00B14E91" w:rsidRDefault="004C7C9A" w:rsidP="004C7C9A">
      <w:pPr>
        <w:pStyle w:val="ItemHead"/>
      </w:pPr>
      <w:r w:rsidRPr="00B14E91">
        <w:t>2  At the end of Part 4 of Schedule 2</w:t>
      </w:r>
    </w:p>
    <w:p w:rsidR="004C7C9A" w:rsidRPr="00B14E91" w:rsidRDefault="004C7C9A" w:rsidP="004C7C9A">
      <w:pPr>
        <w:pStyle w:val="Item"/>
      </w:pPr>
      <w:r w:rsidRPr="00B14E91">
        <w:t>Add:</w:t>
      </w:r>
    </w:p>
    <w:p w:rsidR="004C7C9A" w:rsidRPr="00B14E91" w:rsidRDefault="004C7C9A" w:rsidP="004C7C9A">
      <w:pPr>
        <w:pStyle w:val="ActHead5"/>
      </w:pPr>
      <w:bookmarkStart w:id="27" w:name="_Toc48564285"/>
      <w:r w:rsidRPr="00B14E91">
        <w:rPr>
          <w:rStyle w:val="CharSectno"/>
        </w:rPr>
        <w:t>4.5</w:t>
      </w:r>
      <w:r w:rsidRPr="00B14E91">
        <w:t xml:space="preserve">  Programmed or programmable medical device or software that is a medical device for use in relation to diagnosing or screening for a disease or condition</w:t>
      </w:r>
      <w:bookmarkEnd w:id="27"/>
    </w:p>
    <w:p w:rsidR="004C7C9A" w:rsidRPr="00B14E91" w:rsidRDefault="004C7C9A" w:rsidP="004C7C9A">
      <w:pPr>
        <w:pStyle w:val="subsection"/>
      </w:pPr>
      <w:r w:rsidRPr="00B14E91">
        <w:tab/>
        <w:t>(1)</w:t>
      </w:r>
      <w:r w:rsidRPr="00B14E91">
        <w:tab/>
        <w:t>A programmed or programmable medical device, or software that is a medical device, that is intended by the manufacturer to be used to:</w:t>
      </w:r>
    </w:p>
    <w:p w:rsidR="004C7C9A" w:rsidRPr="00B14E91" w:rsidRDefault="004C7C9A" w:rsidP="004C7C9A">
      <w:pPr>
        <w:pStyle w:val="paragraph"/>
      </w:pPr>
      <w:r w:rsidRPr="00B14E91">
        <w:tab/>
        <w:t>(a)</w:t>
      </w:r>
      <w:r w:rsidRPr="00B14E91">
        <w:tab/>
        <w:t>provide a diagnosis of a disease or condition; or</w:t>
      </w:r>
    </w:p>
    <w:p w:rsidR="004C7C9A" w:rsidRPr="00B14E91" w:rsidRDefault="004C7C9A" w:rsidP="004C7C9A">
      <w:pPr>
        <w:pStyle w:val="paragraph"/>
      </w:pPr>
      <w:r w:rsidRPr="00B14E91">
        <w:tab/>
        <w:t>(b)</w:t>
      </w:r>
      <w:r w:rsidRPr="00B14E91">
        <w:tab/>
        <w:t>screen for a disease or condition;</w:t>
      </w:r>
    </w:p>
    <w:p w:rsidR="004C7C9A" w:rsidRPr="00B14E91" w:rsidRDefault="004C7C9A" w:rsidP="004C7C9A">
      <w:pPr>
        <w:pStyle w:val="subsection2"/>
      </w:pPr>
      <w:r w:rsidRPr="00B14E91">
        <w:t>is classified as:</w:t>
      </w:r>
    </w:p>
    <w:p w:rsidR="004C7C9A" w:rsidRPr="00B14E91" w:rsidRDefault="004C7C9A" w:rsidP="004C7C9A">
      <w:pPr>
        <w:pStyle w:val="paragraph"/>
      </w:pPr>
      <w:r w:rsidRPr="00B14E91">
        <w:tab/>
        <w:t>(c)</w:t>
      </w:r>
      <w:r w:rsidRPr="00B14E91">
        <w:tab/>
        <w:t>in the case of a disease or condition that:</w:t>
      </w:r>
    </w:p>
    <w:p w:rsidR="004C7C9A" w:rsidRPr="00B14E91" w:rsidRDefault="004C7C9A" w:rsidP="004C7C9A">
      <w:pPr>
        <w:pStyle w:val="paragraphsub"/>
      </w:pPr>
      <w:r w:rsidRPr="00B14E91">
        <w:tab/>
        <w:t>(i)</w:t>
      </w:r>
      <w:r w:rsidRPr="00B14E91">
        <w:tab/>
        <w:t>may lead to the death of a person, or a severe deterioration in the state of a person’s health, without urgent treatment; or</w:t>
      </w:r>
    </w:p>
    <w:p w:rsidR="004C7C9A" w:rsidRPr="00B14E91" w:rsidRDefault="004C7C9A" w:rsidP="004C7C9A">
      <w:pPr>
        <w:pStyle w:val="paragraphsub"/>
      </w:pPr>
      <w:r w:rsidRPr="00B14E91">
        <w:tab/>
        <w:t>(ii)</w:t>
      </w:r>
      <w:r w:rsidRPr="00B14E91">
        <w:tab/>
        <w:t>may pose a high risk to public health;</w:t>
      </w:r>
    </w:p>
    <w:p w:rsidR="004C7C9A" w:rsidRPr="00B14E91" w:rsidRDefault="004C7C9A" w:rsidP="004C7C9A">
      <w:pPr>
        <w:pStyle w:val="paragraph"/>
      </w:pPr>
      <w:r w:rsidRPr="00B14E91">
        <w:tab/>
      </w:r>
      <w:r w:rsidRPr="00B14E91">
        <w:tab/>
        <w:t>Class III; or</w:t>
      </w:r>
    </w:p>
    <w:p w:rsidR="004C7C9A" w:rsidRPr="00B14E91" w:rsidRDefault="004C7C9A" w:rsidP="004C7C9A">
      <w:pPr>
        <w:pStyle w:val="paragraph"/>
      </w:pPr>
      <w:r w:rsidRPr="00B14E91">
        <w:tab/>
        <w:t>(d)</w:t>
      </w:r>
      <w:r w:rsidRPr="00B14E91">
        <w:tab/>
        <w:t>in the case of a serious disease or serious condition or a disease or condition that may pose a moderate risk to public health, and where paragraph (c) does not apply—Class IIb; or</w:t>
      </w:r>
    </w:p>
    <w:p w:rsidR="004C7C9A" w:rsidRPr="00B14E91" w:rsidRDefault="004C7C9A" w:rsidP="004C7C9A">
      <w:pPr>
        <w:pStyle w:val="paragraph"/>
      </w:pPr>
      <w:r w:rsidRPr="00B14E91">
        <w:tab/>
        <w:t>(e)</w:t>
      </w:r>
      <w:r w:rsidRPr="00B14E91">
        <w:tab/>
        <w:t>in any other case—Class IIa.</w:t>
      </w:r>
    </w:p>
    <w:p w:rsidR="004C7C9A" w:rsidRPr="00B14E91" w:rsidRDefault="004C7C9A" w:rsidP="004C7C9A">
      <w:pPr>
        <w:pStyle w:val="subsection"/>
      </w:pPr>
      <w:r w:rsidRPr="00B14E91">
        <w:tab/>
        <w:t>(2)</w:t>
      </w:r>
      <w:r w:rsidRPr="00B14E91">
        <w:tab/>
        <w:t>A programmed or programmable medical device, or software that is a medical device, that is intended by the manufacturer to be used to provide information to a relevant health professional for the purposes of the health professional making a diagnosis of a disease or condition:</w:t>
      </w:r>
    </w:p>
    <w:p w:rsidR="004C7C9A" w:rsidRPr="00B14E91" w:rsidRDefault="004C7C9A" w:rsidP="004C7C9A">
      <w:pPr>
        <w:pStyle w:val="paragraph"/>
      </w:pPr>
      <w:r w:rsidRPr="00B14E91">
        <w:tab/>
        <w:t>(a)</w:t>
      </w:r>
      <w:r w:rsidRPr="00B14E91">
        <w:tab/>
        <w:t>in the case of a disease or condition that:</w:t>
      </w:r>
    </w:p>
    <w:p w:rsidR="004C7C9A" w:rsidRPr="00B14E91" w:rsidRDefault="004C7C9A" w:rsidP="004C7C9A">
      <w:pPr>
        <w:pStyle w:val="paragraphsub"/>
      </w:pPr>
      <w:r w:rsidRPr="00B14E91">
        <w:tab/>
        <w:t>(i)</w:t>
      </w:r>
      <w:r w:rsidRPr="00B14E91">
        <w:tab/>
        <w:t>may lead to the death of a person, or a severe deterioration in the state of a person’s health, without urgent treatment; or</w:t>
      </w:r>
    </w:p>
    <w:p w:rsidR="004C7C9A" w:rsidRPr="00B14E91" w:rsidRDefault="004C7C9A" w:rsidP="004C7C9A">
      <w:pPr>
        <w:pStyle w:val="paragraphsub"/>
      </w:pPr>
      <w:r w:rsidRPr="00B14E91">
        <w:tab/>
        <w:t>(ii)</w:t>
      </w:r>
      <w:r w:rsidRPr="00B14E91">
        <w:tab/>
        <w:t>may pose a high risk to public health;</w:t>
      </w:r>
    </w:p>
    <w:p w:rsidR="004C7C9A" w:rsidRPr="00B14E91" w:rsidRDefault="004C7C9A" w:rsidP="004C7C9A">
      <w:pPr>
        <w:pStyle w:val="paragraph"/>
      </w:pPr>
      <w:r w:rsidRPr="00B14E91">
        <w:tab/>
      </w:r>
      <w:r w:rsidRPr="00B14E91">
        <w:tab/>
        <w:t>is classified as Class IIb; or</w:t>
      </w:r>
    </w:p>
    <w:p w:rsidR="004C7C9A" w:rsidRPr="00B14E91" w:rsidRDefault="004C7C9A" w:rsidP="004C7C9A">
      <w:pPr>
        <w:pStyle w:val="paragraph"/>
      </w:pPr>
      <w:r w:rsidRPr="00B14E91">
        <w:tab/>
        <w:t>(b)</w:t>
      </w:r>
      <w:r w:rsidRPr="00B14E91">
        <w:tab/>
        <w:t>in the case of a serious disease or serious condition or a disease or condition that may pose a moderate risk to public health, and where paragraph (a) does not apply—is classified as Class IIa; or</w:t>
      </w:r>
    </w:p>
    <w:p w:rsidR="004C7C9A" w:rsidRPr="00B14E91" w:rsidRDefault="004C7C9A" w:rsidP="004C7C9A">
      <w:pPr>
        <w:pStyle w:val="paragraph"/>
      </w:pPr>
      <w:r w:rsidRPr="00B14E91">
        <w:lastRenderedPageBreak/>
        <w:tab/>
        <w:t>(c)</w:t>
      </w:r>
      <w:r w:rsidRPr="00B14E91">
        <w:tab/>
        <w:t>in any other case—is classified as Class I.</w:t>
      </w:r>
    </w:p>
    <w:p w:rsidR="004C7C9A" w:rsidRPr="00B14E91" w:rsidRDefault="004C7C9A" w:rsidP="004C7C9A">
      <w:pPr>
        <w:pStyle w:val="ActHead5"/>
      </w:pPr>
      <w:r w:rsidRPr="00B14E91">
        <w:rPr>
          <w:rStyle w:val="CharSectno"/>
        </w:rPr>
        <w:t xml:space="preserve"> </w:t>
      </w:r>
      <w:bookmarkStart w:id="28" w:name="_Toc48564286"/>
      <w:r w:rsidRPr="00B14E91">
        <w:rPr>
          <w:rStyle w:val="CharSectno"/>
        </w:rPr>
        <w:t>4.6</w:t>
      </w:r>
      <w:r w:rsidRPr="00B14E91">
        <w:t xml:space="preserve">  Programmed or programmable medical device or software that is a medical device for use for monitoring the state or progression of a disease or condition etc.</w:t>
      </w:r>
      <w:bookmarkEnd w:id="28"/>
    </w:p>
    <w:p w:rsidR="004C7C9A" w:rsidRPr="00B14E91" w:rsidRDefault="004C7C9A" w:rsidP="004C7C9A">
      <w:pPr>
        <w:pStyle w:val="subsection"/>
      </w:pPr>
      <w:r w:rsidRPr="00B14E91">
        <w:tab/>
      </w:r>
      <w:r w:rsidRPr="00B14E91">
        <w:tab/>
        <w:t>A programmed or programmable medical device, or software that is a medical device, that is intended by the manufacturer to be used to provide information that is to be used for monitoring the state or progression of a disease or condition of a person or the parameters in relation to a person:</w:t>
      </w:r>
    </w:p>
    <w:p w:rsidR="004C7C9A" w:rsidRPr="00B14E91" w:rsidRDefault="004C7C9A" w:rsidP="004C7C9A">
      <w:pPr>
        <w:pStyle w:val="paragraph"/>
      </w:pPr>
      <w:r w:rsidRPr="00B14E91">
        <w:tab/>
        <w:t>(a)</w:t>
      </w:r>
      <w:r w:rsidRPr="00B14E91">
        <w:tab/>
        <w:t>in the case where the information to be provided could indicate that the person or another person may be in immediate danger or that there may be a high risk to public health—is classified as Class IIb; or</w:t>
      </w:r>
    </w:p>
    <w:p w:rsidR="004C7C9A" w:rsidRPr="00B14E91" w:rsidRDefault="004C7C9A" w:rsidP="004C7C9A">
      <w:pPr>
        <w:pStyle w:val="paragraph"/>
      </w:pPr>
      <w:r w:rsidRPr="00B14E91">
        <w:tab/>
        <w:t>(b)</w:t>
      </w:r>
      <w:r w:rsidRPr="00B14E91">
        <w:tab/>
        <w:t>in the case where the information to be provided could indicate that the person or another person may be in other danger or that there may be a moderate risk to public health—is classified as Class IIa; or</w:t>
      </w:r>
    </w:p>
    <w:p w:rsidR="004C7C9A" w:rsidRPr="00B14E91" w:rsidRDefault="004C7C9A" w:rsidP="004C7C9A">
      <w:pPr>
        <w:pStyle w:val="paragraph"/>
      </w:pPr>
      <w:r w:rsidRPr="00B14E91">
        <w:tab/>
        <w:t>(c)</w:t>
      </w:r>
      <w:r w:rsidRPr="00B14E91">
        <w:tab/>
        <w:t>in any other case—is classified as Class I.</w:t>
      </w:r>
    </w:p>
    <w:p w:rsidR="004C7C9A" w:rsidRPr="00B14E91" w:rsidRDefault="004C7C9A" w:rsidP="004C7C9A">
      <w:pPr>
        <w:pStyle w:val="ActHead5"/>
      </w:pPr>
      <w:bookmarkStart w:id="29" w:name="_Toc48564287"/>
      <w:r w:rsidRPr="00B14E91">
        <w:rPr>
          <w:rStyle w:val="CharSectno"/>
        </w:rPr>
        <w:t>4.7</w:t>
      </w:r>
      <w:r w:rsidRPr="00B14E91">
        <w:t xml:space="preserve">  Programmed or programmable medical device or software that is a medical device for use in specifying or recommending treatment or intervention</w:t>
      </w:r>
      <w:bookmarkEnd w:id="29"/>
    </w:p>
    <w:p w:rsidR="004C7C9A" w:rsidRPr="00B14E91" w:rsidRDefault="004C7C9A" w:rsidP="004C7C9A">
      <w:pPr>
        <w:pStyle w:val="subsection"/>
      </w:pPr>
      <w:r w:rsidRPr="00B14E91">
        <w:tab/>
        <w:t>(1)</w:t>
      </w:r>
      <w:r w:rsidRPr="00B14E91">
        <w:tab/>
        <w:t>Subject to subclause (2), a programmed or programmable medical device, or software that is a medical device, that is intended by the manufacturer to be used to specify or recommend a treatment or intervention:</w:t>
      </w:r>
    </w:p>
    <w:p w:rsidR="004C7C9A" w:rsidRPr="00B14E91" w:rsidRDefault="004C7C9A" w:rsidP="004C7C9A">
      <w:pPr>
        <w:pStyle w:val="paragraph"/>
      </w:pPr>
      <w:r w:rsidRPr="00B14E91">
        <w:tab/>
        <w:t>(a)</w:t>
      </w:r>
      <w:r w:rsidRPr="00B14E91">
        <w:tab/>
        <w:t>in the case where the absence of the treatment or intervention or where the treatment or intervention itself:</w:t>
      </w:r>
    </w:p>
    <w:p w:rsidR="004C7C9A" w:rsidRPr="00B14E91" w:rsidRDefault="004C7C9A" w:rsidP="004C7C9A">
      <w:pPr>
        <w:pStyle w:val="paragraphsub"/>
      </w:pPr>
      <w:r w:rsidRPr="00B14E91">
        <w:tab/>
        <w:t>(i)</w:t>
      </w:r>
      <w:r w:rsidRPr="00B14E91">
        <w:tab/>
        <w:t>may lead to the death of a person or a severe deterioration in the state of a person’s health; or</w:t>
      </w:r>
    </w:p>
    <w:p w:rsidR="004C7C9A" w:rsidRPr="00B14E91" w:rsidRDefault="004C7C9A" w:rsidP="004C7C9A">
      <w:pPr>
        <w:pStyle w:val="paragraphsub"/>
      </w:pPr>
      <w:r w:rsidRPr="00B14E91">
        <w:tab/>
        <w:t>(ii)</w:t>
      </w:r>
      <w:r w:rsidRPr="00B14E91">
        <w:tab/>
        <w:t>may pose a high risk to public health;</w:t>
      </w:r>
    </w:p>
    <w:p w:rsidR="004C7C9A" w:rsidRPr="00B14E91" w:rsidRDefault="004C7C9A" w:rsidP="004C7C9A">
      <w:pPr>
        <w:pStyle w:val="paragraph"/>
      </w:pPr>
      <w:r w:rsidRPr="00B14E91">
        <w:tab/>
      </w:r>
      <w:r w:rsidRPr="00B14E91">
        <w:tab/>
        <w:t>is classified as Class III; or</w:t>
      </w:r>
    </w:p>
    <w:p w:rsidR="004C7C9A" w:rsidRPr="00B14E91" w:rsidRDefault="004C7C9A" w:rsidP="004C7C9A">
      <w:pPr>
        <w:pStyle w:val="paragraph"/>
      </w:pPr>
      <w:r w:rsidRPr="00B14E91">
        <w:tab/>
        <w:t>(b)</w:t>
      </w:r>
      <w:r w:rsidRPr="00B14E91">
        <w:tab/>
        <w:t>in the case where the absence of the treatment or intervention or where the treatment or intervention itself:</w:t>
      </w:r>
    </w:p>
    <w:p w:rsidR="004C7C9A" w:rsidRPr="00B14E91" w:rsidRDefault="004C7C9A" w:rsidP="004C7C9A">
      <w:pPr>
        <w:pStyle w:val="paragraphsub"/>
      </w:pPr>
      <w:r w:rsidRPr="00B14E91">
        <w:tab/>
        <w:t>(i)</w:t>
      </w:r>
      <w:r w:rsidRPr="00B14E91">
        <w:tab/>
        <w:t>may otherwise be harmful to a person; or</w:t>
      </w:r>
    </w:p>
    <w:p w:rsidR="004C7C9A" w:rsidRPr="00B14E91" w:rsidRDefault="004C7C9A" w:rsidP="004C7C9A">
      <w:pPr>
        <w:pStyle w:val="paragraphsub"/>
      </w:pPr>
      <w:r w:rsidRPr="00B14E91">
        <w:tab/>
        <w:t>(ii)</w:t>
      </w:r>
      <w:r w:rsidRPr="00B14E91">
        <w:tab/>
        <w:t>may pose a moderate risk to public health;</w:t>
      </w:r>
    </w:p>
    <w:p w:rsidR="004C7C9A" w:rsidRPr="00B14E91" w:rsidRDefault="004C7C9A" w:rsidP="004C7C9A">
      <w:pPr>
        <w:pStyle w:val="paragraph"/>
      </w:pPr>
      <w:r w:rsidRPr="00B14E91">
        <w:tab/>
      </w:r>
      <w:r w:rsidRPr="00B14E91">
        <w:tab/>
        <w:t>is classified as Class IIb; or</w:t>
      </w:r>
    </w:p>
    <w:p w:rsidR="004C7C9A" w:rsidRPr="00B14E91" w:rsidRDefault="004C7C9A" w:rsidP="004C7C9A">
      <w:pPr>
        <w:pStyle w:val="paragraph"/>
      </w:pPr>
      <w:r w:rsidRPr="00B14E91">
        <w:tab/>
        <w:t>(c)</w:t>
      </w:r>
      <w:r w:rsidRPr="00B14E91">
        <w:tab/>
        <w:t>in any other case—is classified as Class IIa.</w:t>
      </w:r>
    </w:p>
    <w:p w:rsidR="004C7C9A" w:rsidRPr="00B14E91" w:rsidRDefault="004C7C9A" w:rsidP="004C7C9A">
      <w:pPr>
        <w:pStyle w:val="subsection"/>
      </w:pPr>
      <w:r w:rsidRPr="00B14E91">
        <w:tab/>
        <w:t>(2)</w:t>
      </w:r>
      <w:r w:rsidRPr="00B14E91">
        <w:tab/>
        <w:t xml:space="preserve">A programmed or programmable medical device, or software that is a medical device, that is intended by the manufacturer to be used to recommend a treatment or intervention (the </w:t>
      </w:r>
      <w:r w:rsidRPr="00B14E91">
        <w:rPr>
          <w:b/>
          <w:i/>
        </w:rPr>
        <w:t>recommended treatment or intervention</w:t>
      </w:r>
      <w:r w:rsidRPr="00B14E91">
        <w:t>) to a relevant health professional for the purposes of the health professional making a decision about the treatment or intervention:</w:t>
      </w:r>
    </w:p>
    <w:p w:rsidR="004C7C9A" w:rsidRPr="00B14E91" w:rsidRDefault="004C7C9A" w:rsidP="004C7C9A">
      <w:pPr>
        <w:pStyle w:val="paragraph"/>
      </w:pPr>
      <w:r w:rsidRPr="00B14E91">
        <w:tab/>
        <w:t>(a)</w:t>
      </w:r>
      <w:r w:rsidRPr="00B14E91">
        <w:tab/>
        <w:t>in the case where the absence of the recommended treatment or intervention or where the recommended treatment or intervention itself:</w:t>
      </w:r>
    </w:p>
    <w:p w:rsidR="004C7C9A" w:rsidRPr="00B14E91" w:rsidRDefault="004C7C9A" w:rsidP="004C7C9A">
      <w:pPr>
        <w:pStyle w:val="paragraphsub"/>
      </w:pPr>
      <w:r w:rsidRPr="00B14E91">
        <w:tab/>
        <w:t>(i)</w:t>
      </w:r>
      <w:r w:rsidRPr="00B14E91">
        <w:tab/>
        <w:t>may lead to the death of a person or a severe deterioration in the state of a person’s health; or</w:t>
      </w:r>
    </w:p>
    <w:p w:rsidR="004C7C9A" w:rsidRPr="00B14E91" w:rsidRDefault="004C7C9A" w:rsidP="004C7C9A">
      <w:pPr>
        <w:pStyle w:val="paragraphsub"/>
      </w:pPr>
      <w:r w:rsidRPr="00B14E91">
        <w:tab/>
        <w:t>(ii)</w:t>
      </w:r>
      <w:r w:rsidRPr="00B14E91">
        <w:tab/>
        <w:t>may pose a high risk to public health;</w:t>
      </w:r>
    </w:p>
    <w:p w:rsidR="004C7C9A" w:rsidRPr="00B14E91" w:rsidRDefault="004C7C9A" w:rsidP="004C7C9A">
      <w:pPr>
        <w:pStyle w:val="paragraph"/>
      </w:pPr>
      <w:r w:rsidRPr="00B14E91">
        <w:lastRenderedPageBreak/>
        <w:tab/>
      </w:r>
      <w:r w:rsidRPr="00B14E91">
        <w:tab/>
        <w:t>is classified as Class IIb; or</w:t>
      </w:r>
    </w:p>
    <w:p w:rsidR="004C7C9A" w:rsidRPr="00B14E91" w:rsidRDefault="004C7C9A" w:rsidP="004C7C9A">
      <w:pPr>
        <w:pStyle w:val="paragraph"/>
      </w:pPr>
      <w:r w:rsidRPr="00B14E91">
        <w:tab/>
        <w:t>(b)</w:t>
      </w:r>
      <w:r w:rsidRPr="00B14E91">
        <w:tab/>
        <w:t>in the case where the absence of the recommended treatment or intervention or where the recommended treatment or intervention itself:</w:t>
      </w:r>
    </w:p>
    <w:p w:rsidR="004C7C9A" w:rsidRPr="00B14E91" w:rsidRDefault="004C7C9A" w:rsidP="004C7C9A">
      <w:pPr>
        <w:pStyle w:val="paragraphsub"/>
      </w:pPr>
      <w:r w:rsidRPr="00B14E91">
        <w:tab/>
        <w:t>(i)</w:t>
      </w:r>
      <w:r w:rsidRPr="00B14E91">
        <w:tab/>
        <w:t>may otherwise be harmful to a person; or</w:t>
      </w:r>
    </w:p>
    <w:p w:rsidR="004C7C9A" w:rsidRPr="00B14E91" w:rsidRDefault="004C7C9A" w:rsidP="004C7C9A">
      <w:pPr>
        <w:pStyle w:val="paragraphsub"/>
      </w:pPr>
      <w:r w:rsidRPr="00B14E91">
        <w:tab/>
        <w:t>(ii)</w:t>
      </w:r>
      <w:r w:rsidRPr="00B14E91">
        <w:tab/>
        <w:t>may pose a moderate risk to public health;</w:t>
      </w:r>
    </w:p>
    <w:p w:rsidR="004C7C9A" w:rsidRPr="00B14E91" w:rsidRDefault="004C7C9A" w:rsidP="004C7C9A">
      <w:pPr>
        <w:pStyle w:val="paragraph"/>
      </w:pPr>
      <w:r w:rsidRPr="00B14E91">
        <w:tab/>
      </w:r>
      <w:r w:rsidRPr="00B14E91">
        <w:tab/>
        <w:t>is classified as Class IIa; or</w:t>
      </w:r>
    </w:p>
    <w:p w:rsidR="004C7C9A" w:rsidRPr="00B14E91" w:rsidRDefault="004C7C9A" w:rsidP="004C7C9A">
      <w:pPr>
        <w:pStyle w:val="paragraph"/>
      </w:pPr>
      <w:r w:rsidRPr="00B14E91">
        <w:tab/>
        <w:t>(c)</w:t>
      </w:r>
      <w:r w:rsidRPr="00B14E91">
        <w:tab/>
        <w:t>in any other case—is classified as Class I.</w:t>
      </w:r>
    </w:p>
    <w:p w:rsidR="004C7C9A" w:rsidRPr="00B14E91" w:rsidRDefault="004C7C9A" w:rsidP="004C7C9A">
      <w:pPr>
        <w:pStyle w:val="ActHead5"/>
      </w:pPr>
      <w:bookmarkStart w:id="30" w:name="_Toc48564288"/>
      <w:r w:rsidRPr="00B14E91">
        <w:rPr>
          <w:rStyle w:val="CharSectno"/>
        </w:rPr>
        <w:t>4.8</w:t>
      </w:r>
      <w:r w:rsidRPr="00B14E91">
        <w:t xml:space="preserve">  Programmed or programmable medical device or software that is a medical device that is to provide therapy to a person through the provision of information</w:t>
      </w:r>
      <w:bookmarkEnd w:id="30"/>
    </w:p>
    <w:p w:rsidR="004C7C9A" w:rsidRPr="00B14E91" w:rsidRDefault="004C7C9A" w:rsidP="004C7C9A">
      <w:pPr>
        <w:pStyle w:val="subsection"/>
      </w:pPr>
      <w:r w:rsidRPr="00B14E91">
        <w:tab/>
      </w:r>
      <w:r w:rsidRPr="00B14E91">
        <w:tab/>
        <w:t>A programmed or programmable medical device, or software that is a medical device, that is intended by the manufacturer to provide therapy to a person through the provision of information to the person:</w:t>
      </w:r>
    </w:p>
    <w:p w:rsidR="004C7C9A" w:rsidRPr="00B14E91" w:rsidRDefault="004C7C9A" w:rsidP="004C7C9A">
      <w:pPr>
        <w:pStyle w:val="paragraph"/>
      </w:pPr>
      <w:r w:rsidRPr="00B14E91">
        <w:tab/>
        <w:t>(a)</w:t>
      </w:r>
      <w:r w:rsidRPr="00B14E91">
        <w:tab/>
        <w:t>in the case of therapy that may result in the death of the person or a severe deterioration in the state of the person’s health—is classified as Class III; or</w:t>
      </w:r>
    </w:p>
    <w:p w:rsidR="004C7C9A" w:rsidRPr="00B14E91" w:rsidRDefault="004C7C9A" w:rsidP="004C7C9A">
      <w:pPr>
        <w:pStyle w:val="paragraph"/>
      </w:pPr>
      <w:r w:rsidRPr="00B14E91">
        <w:tab/>
        <w:t>(b)</w:t>
      </w:r>
      <w:r w:rsidRPr="00B14E91">
        <w:tab/>
        <w:t>in the case of therapy that may cause serious harm to the person and where paragraph (a) does not apply—is classified as Class IIb; or</w:t>
      </w:r>
    </w:p>
    <w:p w:rsidR="004C7C9A" w:rsidRPr="00B14E91" w:rsidRDefault="004C7C9A" w:rsidP="004C7C9A">
      <w:pPr>
        <w:pStyle w:val="paragraph"/>
      </w:pPr>
      <w:r w:rsidRPr="00B14E91">
        <w:tab/>
        <w:t>(c)</w:t>
      </w:r>
      <w:r w:rsidRPr="00B14E91">
        <w:tab/>
        <w:t>in the case of therapy that may cause harm to the person and where neither paragraph (a) nor (b) applies—is classified as Class IIa; or</w:t>
      </w:r>
    </w:p>
    <w:p w:rsidR="004C7C9A" w:rsidRPr="00B14E91" w:rsidRDefault="004C7C9A" w:rsidP="004C7C9A">
      <w:pPr>
        <w:pStyle w:val="paragraph"/>
      </w:pPr>
      <w:r w:rsidRPr="00B14E91">
        <w:tab/>
        <w:t>(d)</w:t>
      </w:r>
      <w:r w:rsidRPr="00B14E91">
        <w:tab/>
        <w:t>in any other case—is classified as Class I.</w:t>
      </w:r>
    </w:p>
    <w:p w:rsidR="004C7C9A" w:rsidRPr="00B14E91" w:rsidRDefault="004C7C9A" w:rsidP="004C7C9A">
      <w:pPr>
        <w:pStyle w:val="ItemHead"/>
      </w:pPr>
      <w:r w:rsidRPr="00B14E91">
        <w:t>3  Schedule 2A (note to Schedule heading)</w:t>
      </w:r>
    </w:p>
    <w:p w:rsidR="004C7C9A" w:rsidRPr="00B14E91" w:rsidRDefault="004C7C9A" w:rsidP="004C7C9A">
      <w:pPr>
        <w:pStyle w:val="Item"/>
      </w:pPr>
      <w:r w:rsidRPr="00B14E91">
        <w:t>Repeal the note, substitute:</w:t>
      </w:r>
    </w:p>
    <w:p w:rsidR="004C7C9A" w:rsidRPr="00B14E91" w:rsidRDefault="004C7C9A" w:rsidP="004C7C9A">
      <w:pPr>
        <w:pStyle w:val="notemargin"/>
      </w:pPr>
      <w:r w:rsidRPr="00B14E91">
        <w:t>Note:</w:t>
      </w:r>
      <w:r w:rsidRPr="00B14E91">
        <w:tab/>
        <w:t>Regulation 3.2 provides for the making of classification rules. Regulation 3.3 sets out the principles for applying those rules.</w:t>
      </w:r>
    </w:p>
    <w:p w:rsidR="004C7C9A" w:rsidRPr="00B14E91" w:rsidRDefault="004C7C9A" w:rsidP="004C7C9A">
      <w:pPr>
        <w:pStyle w:val="ItemHead"/>
        <w:rPr>
          <w:b w:val="0"/>
        </w:rPr>
      </w:pPr>
      <w:r w:rsidRPr="00B14E91">
        <w:t xml:space="preserve">4  Dictionary (at the end of the definition of </w:t>
      </w:r>
      <w:r w:rsidRPr="00B14E91">
        <w:rPr>
          <w:i/>
        </w:rPr>
        <w:t>active medical device</w:t>
      </w:r>
      <w:r w:rsidRPr="00B14E91">
        <w:t>)</w:t>
      </w:r>
    </w:p>
    <w:p w:rsidR="004C7C9A" w:rsidRPr="00B14E91" w:rsidRDefault="004C7C9A" w:rsidP="004C7C9A">
      <w:pPr>
        <w:pStyle w:val="Item"/>
      </w:pPr>
      <w:r w:rsidRPr="00B14E91">
        <w:t>Add:</w:t>
      </w:r>
    </w:p>
    <w:p w:rsidR="004C7C9A" w:rsidRPr="00B14E91" w:rsidRDefault="004C7C9A" w:rsidP="004C7C9A">
      <w:pPr>
        <w:pStyle w:val="subsection2"/>
      </w:pPr>
      <w:r w:rsidRPr="00B14E91">
        <w:t xml:space="preserve">Software that is a medical device is an </w:t>
      </w:r>
      <w:r w:rsidRPr="00B14E91">
        <w:rPr>
          <w:b/>
          <w:i/>
        </w:rPr>
        <w:t>active medical device</w:t>
      </w:r>
      <w:r w:rsidRPr="00B14E91">
        <w:t>.</w:t>
      </w:r>
    </w:p>
    <w:p w:rsidR="004C7C9A" w:rsidRPr="00B14E91" w:rsidRDefault="004C7C9A" w:rsidP="004C7C9A">
      <w:pPr>
        <w:pStyle w:val="ActHead7"/>
        <w:pageBreakBefore/>
      </w:pPr>
      <w:bookmarkStart w:id="31" w:name="_Toc48564289"/>
      <w:r w:rsidRPr="00B14E91">
        <w:rPr>
          <w:rStyle w:val="CharAmPartNo"/>
        </w:rPr>
        <w:lastRenderedPageBreak/>
        <w:t>Part 2</w:t>
      </w:r>
      <w:r w:rsidRPr="00B14E91">
        <w:t>—</w:t>
      </w:r>
      <w:r w:rsidRPr="00B14E91">
        <w:rPr>
          <w:rStyle w:val="CharAmPartText"/>
        </w:rPr>
        <w:t>Essential principles</w:t>
      </w:r>
      <w:bookmarkEnd w:id="31"/>
    </w:p>
    <w:p w:rsidR="004C7C9A" w:rsidRPr="00B14E91" w:rsidRDefault="004C7C9A" w:rsidP="004C7C9A">
      <w:pPr>
        <w:pStyle w:val="ActHead9"/>
      </w:pPr>
      <w:bookmarkStart w:id="32" w:name="_Toc48564290"/>
      <w:r w:rsidRPr="00B14E91">
        <w:t xml:space="preserve">Therapeutic Goods (Medical Devices) </w:t>
      </w:r>
      <w:r w:rsidR="00D425F1">
        <w:t>Regulations 2</w:t>
      </w:r>
      <w:r w:rsidRPr="00B14E91">
        <w:t>002</w:t>
      </w:r>
      <w:bookmarkEnd w:id="32"/>
    </w:p>
    <w:p w:rsidR="004C7C9A" w:rsidRPr="00B14E91" w:rsidRDefault="004C7C9A" w:rsidP="004C7C9A">
      <w:pPr>
        <w:pStyle w:val="ItemHead"/>
      </w:pPr>
      <w:r w:rsidRPr="00B14E91">
        <w:t>5  Clause 12.1 of Schedule 1</w:t>
      </w:r>
    </w:p>
    <w:p w:rsidR="004C7C9A" w:rsidRPr="00B14E91" w:rsidRDefault="004C7C9A" w:rsidP="004C7C9A">
      <w:pPr>
        <w:pStyle w:val="Item"/>
      </w:pPr>
      <w:r w:rsidRPr="00B14E91">
        <w:t>Repeal the clause, substitute:</w:t>
      </w:r>
    </w:p>
    <w:p w:rsidR="004C7C9A" w:rsidRPr="00B14E91" w:rsidRDefault="004C7C9A" w:rsidP="004C7C9A">
      <w:pPr>
        <w:pStyle w:val="ActHead5"/>
      </w:pPr>
      <w:bookmarkStart w:id="33" w:name="_Toc48564291"/>
      <w:r w:rsidRPr="00B14E91">
        <w:rPr>
          <w:rStyle w:val="CharSectno"/>
        </w:rPr>
        <w:t>12.1</w:t>
      </w:r>
      <w:r w:rsidRPr="00B14E91">
        <w:t xml:space="preserve">  Programmed or programmable medical device or software that is a medical device</w:t>
      </w:r>
      <w:bookmarkEnd w:id="33"/>
    </w:p>
    <w:p w:rsidR="004C7C9A" w:rsidRPr="00B14E91" w:rsidRDefault="004C7C9A" w:rsidP="004C7C9A">
      <w:pPr>
        <w:pStyle w:val="subsection"/>
      </w:pPr>
      <w:r w:rsidRPr="00B14E91">
        <w:tab/>
        <w:t>(1)</w:t>
      </w:r>
      <w:r w:rsidRPr="00B14E91">
        <w:tab/>
        <w:t>A programmed or programmable medical device, or software that is a medical device, that is intended to make use of either or both of data and information must be designed and produced in a way that ensures that:</w:t>
      </w:r>
    </w:p>
    <w:p w:rsidR="004C7C9A" w:rsidRPr="00B14E91" w:rsidRDefault="004C7C9A" w:rsidP="004C7C9A">
      <w:pPr>
        <w:pStyle w:val="paragraph"/>
      </w:pPr>
      <w:r w:rsidRPr="00B14E91">
        <w:tab/>
        <w:t>(a)</w:t>
      </w:r>
      <w:r w:rsidRPr="00B14E91">
        <w:tab/>
        <w:t>the safety, performance, reliability, accuracy, precision, useability, security and repeatability of the device are appropriate for the intended purpose of the device; and</w:t>
      </w:r>
    </w:p>
    <w:p w:rsidR="004C7C9A" w:rsidRPr="00B14E91" w:rsidRDefault="004C7C9A" w:rsidP="004C7C9A">
      <w:pPr>
        <w:pStyle w:val="paragraph"/>
      </w:pPr>
      <w:r w:rsidRPr="00B14E91">
        <w:tab/>
        <w:t>(b)</w:t>
      </w:r>
      <w:r w:rsidRPr="00B14E91">
        <w:tab/>
        <w:t>any consequent risks, or impairment of performance, associated with one or more fault conditions is eliminated or appropriately reduced; and</w:t>
      </w:r>
    </w:p>
    <w:p w:rsidR="004C7C9A" w:rsidRPr="00B14E91" w:rsidRDefault="004C7C9A" w:rsidP="004C7C9A">
      <w:pPr>
        <w:pStyle w:val="paragraph"/>
      </w:pPr>
      <w:r w:rsidRPr="00B14E91">
        <w:tab/>
        <w:t>(c)</w:t>
      </w:r>
      <w:r w:rsidRPr="00B14E91">
        <w:tab/>
        <w:t>the device is resilient with respect to interactions that could occur during the use of the device and that could result in unsafe performance of the device; and</w:t>
      </w:r>
    </w:p>
    <w:p w:rsidR="004C7C9A" w:rsidRPr="00B14E91" w:rsidRDefault="004C7C9A" w:rsidP="004C7C9A">
      <w:pPr>
        <w:pStyle w:val="paragraph"/>
      </w:pPr>
      <w:r w:rsidRPr="00B14E91">
        <w:tab/>
        <w:t>(d)</w:t>
      </w:r>
      <w:r w:rsidRPr="00B14E91">
        <w:tab/>
        <w:t>if relevant to the safety of a patient, or the safety and health of the user or any other person, the device provides suitable warnings in a timely manner:</w:t>
      </w:r>
    </w:p>
    <w:p w:rsidR="004C7C9A" w:rsidRPr="00B14E91" w:rsidRDefault="004C7C9A" w:rsidP="004C7C9A">
      <w:pPr>
        <w:pStyle w:val="paragraphsub"/>
      </w:pPr>
      <w:r w:rsidRPr="00B14E91">
        <w:tab/>
        <w:t>(i)</w:t>
      </w:r>
      <w:r w:rsidRPr="00B14E91">
        <w:tab/>
        <w:t>following the disruption to services upon which the device is dependent for the device’s operation; and</w:t>
      </w:r>
    </w:p>
    <w:p w:rsidR="004C7C9A" w:rsidRPr="00B14E91" w:rsidRDefault="004C7C9A" w:rsidP="004C7C9A">
      <w:pPr>
        <w:pStyle w:val="paragraphsub"/>
      </w:pPr>
      <w:r w:rsidRPr="00B14E91">
        <w:tab/>
        <w:t>(ii)</w:t>
      </w:r>
      <w:r w:rsidRPr="00B14E91">
        <w:tab/>
        <w:t>following the performance of the device being adversely affected; and</w:t>
      </w:r>
    </w:p>
    <w:p w:rsidR="004C7C9A" w:rsidRPr="00B14E91" w:rsidRDefault="004C7C9A" w:rsidP="004C7C9A">
      <w:pPr>
        <w:pStyle w:val="paragraph"/>
      </w:pPr>
      <w:r w:rsidRPr="00B14E91">
        <w:tab/>
        <w:t>(e)</w:t>
      </w:r>
      <w:r w:rsidRPr="00B14E91">
        <w:tab/>
        <w:t>if relevant to the safety of a patient, or the safety and health of the user or any other person, the device provides a means by which the user can verify correct operation of the device; and</w:t>
      </w:r>
    </w:p>
    <w:p w:rsidR="004C7C9A" w:rsidRPr="00B14E91" w:rsidRDefault="004C7C9A" w:rsidP="004C7C9A">
      <w:pPr>
        <w:pStyle w:val="paragraph"/>
      </w:pPr>
      <w:r w:rsidRPr="00B14E91">
        <w:tab/>
        <w:t>(f)</w:t>
      </w:r>
      <w:r w:rsidRPr="00B14E91">
        <w:tab/>
        <w:t>if relevant to the safety of a patient, or the safety and health of the user or any other person, the integrity and quality of the data or information is maintained; and</w:t>
      </w:r>
    </w:p>
    <w:p w:rsidR="004C7C9A" w:rsidRPr="00B14E91" w:rsidRDefault="004C7C9A" w:rsidP="004C7C9A">
      <w:pPr>
        <w:pStyle w:val="paragraph"/>
      </w:pPr>
      <w:r w:rsidRPr="00B14E91">
        <w:tab/>
        <w:t>(g)</w:t>
      </w:r>
      <w:r w:rsidRPr="00B14E91">
        <w:tab/>
        <w:t>if relevant, the privacy of the data or information is maintained.</w:t>
      </w:r>
    </w:p>
    <w:p w:rsidR="004C7C9A" w:rsidRPr="00B14E91" w:rsidRDefault="004C7C9A" w:rsidP="004C7C9A">
      <w:pPr>
        <w:pStyle w:val="subsection"/>
      </w:pPr>
      <w:r w:rsidRPr="00B14E91">
        <w:tab/>
        <w:t>(2)</w:t>
      </w:r>
      <w:r w:rsidRPr="00B14E91">
        <w:tab/>
        <w:t>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verification and validation, change and configuration management and problem resolution).</w:t>
      </w:r>
    </w:p>
    <w:p w:rsidR="004C7C9A" w:rsidRPr="00B14E91" w:rsidRDefault="004C7C9A" w:rsidP="004C7C9A">
      <w:pPr>
        <w:pStyle w:val="subsection"/>
      </w:pPr>
      <w:r w:rsidRPr="00B14E91">
        <w:tab/>
        <w:t>(3)</w:t>
      </w:r>
      <w:r w:rsidRPr="00B14E91">
        <w:tab/>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p>
    <w:p w:rsidR="004C7C9A" w:rsidRPr="00B14E91" w:rsidRDefault="004C7C9A" w:rsidP="004C7C9A">
      <w:pPr>
        <w:pStyle w:val="subsection"/>
      </w:pPr>
      <w:r w:rsidRPr="00B14E91">
        <w:lastRenderedPageBreak/>
        <w:tab/>
        <w:t>(4)</w:t>
      </w:r>
      <w:r w:rsidRPr="00B14E91">
        <w:tab/>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p w:rsidR="004C7C9A" w:rsidRPr="00B14E91" w:rsidRDefault="004C7C9A" w:rsidP="004C7C9A">
      <w:pPr>
        <w:pStyle w:val="subsection"/>
      </w:pPr>
      <w:r w:rsidRPr="00B14E91">
        <w:tab/>
        <w:t>(5)</w:t>
      </w:r>
      <w:r w:rsidRPr="00B14E91">
        <w:tab/>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rsidR="004C7C9A" w:rsidRPr="00B14E91" w:rsidRDefault="004C7C9A" w:rsidP="004C7C9A">
      <w:pPr>
        <w:pStyle w:val="paragraph"/>
      </w:pPr>
      <w:r w:rsidRPr="00B14E91">
        <w:tab/>
        <w:t>(a)</w:t>
      </w:r>
      <w:r w:rsidRPr="00B14E91">
        <w:tab/>
        <w:t>protection against unauthorised access, unauthorised influence or unauthorised manipulation;</w:t>
      </w:r>
    </w:p>
    <w:p w:rsidR="004C7C9A" w:rsidRPr="00B14E91" w:rsidRDefault="004C7C9A" w:rsidP="004C7C9A">
      <w:pPr>
        <w:pStyle w:val="paragraph"/>
      </w:pPr>
      <w:r w:rsidRPr="00B14E91">
        <w:tab/>
        <w:t>(b)</w:t>
      </w:r>
      <w:r w:rsidRPr="00B14E91">
        <w:tab/>
        <w:t>minimisation of risks associated with known cybersecurity vulnerabilities (including either or both of remediation of known vulnerabilities and application of compensating controls);</w:t>
      </w:r>
    </w:p>
    <w:p w:rsidR="004C7C9A" w:rsidRPr="00B14E91" w:rsidRDefault="004C7C9A" w:rsidP="004C7C9A">
      <w:pPr>
        <w:pStyle w:val="paragraph"/>
      </w:pPr>
      <w:r w:rsidRPr="00B14E91">
        <w:tab/>
        <w:t>(c)</w:t>
      </w:r>
      <w:r w:rsidRPr="00B14E91">
        <w:tab/>
        <w:t>facilitation of the application of updates, patches, compensating controls and other improvements;</w:t>
      </w:r>
    </w:p>
    <w:p w:rsidR="004C7C9A" w:rsidRPr="00B14E91" w:rsidRDefault="004C7C9A" w:rsidP="004C7C9A">
      <w:pPr>
        <w:pStyle w:val="paragraph"/>
      </w:pPr>
      <w:r w:rsidRPr="00B14E91">
        <w:tab/>
        <w:t>(d)</w:t>
      </w:r>
      <w:r w:rsidRPr="00B14E91">
        <w:tab/>
        <w:t>disclosure of known vulnerabilities in the device or its components and associated mitigations;</w:t>
      </w:r>
    </w:p>
    <w:p w:rsidR="004C7C9A" w:rsidRPr="00B14E91" w:rsidRDefault="004C7C9A" w:rsidP="004C7C9A">
      <w:pPr>
        <w:pStyle w:val="paragraph"/>
      </w:pPr>
      <w:r w:rsidRPr="00B14E91">
        <w:tab/>
        <w:t>(e)</w:t>
      </w:r>
      <w:r w:rsidRPr="00B14E91">
        <w:tab/>
        <w:t>making available sufficient information for a user to make decisions with respect to the safety of applying, or not applying, updates, patches, compensating controls and other improvements.</w:t>
      </w:r>
    </w:p>
    <w:p w:rsidR="004C7C9A" w:rsidRPr="00B14E91" w:rsidRDefault="004C7C9A" w:rsidP="004C7C9A">
      <w:pPr>
        <w:pStyle w:val="subsection"/>
      </w:pPr>
      <w:r w:rsidRPr="00B14E91">
        <w:tab/>
        <w:t>(6)</w:t>
      </w:r>
      <w:r w:rsidRPr="00B14E91">
        <w:tab/>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rsidR="004C7C9A" w:rsidRPr="00B14E91" w:rsidRDefault="004C7C9A" w:rsidP="004C7C9A">
      <w:pPr>
        <w:pStyle w:val="paragraph"/>
      </w:pPr>
      <w:r w:rsidRPr="00B14E91">
        <w:tab/>
        <w:t>(a)</w:t>
      </w:r>
      <w:r w:rsidRPr="00B14E91">
        <w:tab/>
        <w:t>representative; and</w:t>
      </w:r>
    </w:p>
    <w:p w:rsidR="004C7C9A" w:rsidRPr="00B14E91" w:rsidRDefault="004C7C9A" w:rsidP="004C7C9A">
      <w:pPr>
        <w:pStyle w:val="paragraph"/>
      </w:pPr>
      <w:r w:rsidRPr="00B14E91">
        <w:tab/>
        <w:t>(b)</w:t>
      </w:r>
      <w:r w:rsidRPr="00B14E91">
        <w:tab/>
        <w:t>of sufficient quality; and</w:t>
      </w:r>
    </w:p>
    <w:p w:rsidR="004C7C9A" w:rsidRPr="00B14E91" w:rsidRDefault="004C7C9A" w:rsidP="004C7C9A">
      <w:pPr>
        <w:pStyle w:val="paragraph"/>
      </w:pPr>
      <w:r w:rsidRPr="00B14E91">
        <w:tab/>
        <w:t>(c)</w:t>
      </w:r>
      <w:r w:rsidRPr="00B14E91">
        <w:tab/>
        <w:t>maintained to ensure integrity; and</w:t>
      </w:r>
    </w:p>
    <w:p w:rsidR="004C7C9A" w:rsidRPr="00B14E91" w:rsidRDefault="004C7C9A" w:rsidP="004C7C9A">
      <w:pPr>
        <w:pStyle w:val="paragraph"/>
      </w:pPr>
      <w:r w:rsidRPr="00B14E91">
        <w:tab/>
        <w:t>(d)</w:t>
      </w:r>
      <w:r w:rsidRPr="00B14E91">
        <w:tab/>
        <w:t>managed to reduce bias.</w:t>
      </w:r>
    </w:p>
    <w:p w:rsidR="004C7C9A" w:rsidRPr="00B14E91" w:rsidRDefault="004C7C9A" w:rsidP="004C7C9A">
      <w:pPr>
        <w:pStyle w:val="ItemHead"/>
      </w:pPr>
      <w:r w:rsidRPr="00B14E91">
        <w:t>6  Subclause 13.2(3) of Schedule 1</w:t>
      </w:r>
    </w:p>
    <w:p w:rsidR="004C7C9A" w:rsidRPr="00B14E91" w:rsidRDefault="004C7C9A" w:rsidP="004C7C9A">
      <w:pPr>
        <w:pStyle w:val="Item"/>
      </w:pPr>
      <w:r w:rsidRPr="00B14E91">
        <w:t>Repeal the subclause, substitute:</w:t>
      </w:r>
    </w:p>
    <w:p w:rsidR="004C7C9A" w:rsidRPr="00B14E91" w:rsidRDefault="004C7C9A" w:rsidP="004C7C9A">
      <w:pPr>
        <w:pStyle w:val="subsection"/>
      </w:pPr>
      <w:r w:rsidRPr="00B14E91">
        <w:tab/>
        <w:t>(3)</w:t>
      </w:r>
      <w:r w:rsidRPr="00B14E91">
        <w:tab/>
        <w:t>If it is not practicable to comply with subclause (1) or (2) in relation to the provision of the information required under subregulation 10.2(1) or clause 13.3:</w:t>
      </w:r>
    </w:p>
    <w:p w:rsidR="004C7C9A" w:rsidRPr="00B14E91" w:rsidRDefault="004C7C9A" w:rsidP="004C7C9A">
      <w:pPr>
        <w:pStyle w:val="paragraph"/>
      </w:pPr>
      <w:r w:rsidRPr="00B14E91">
        <w:tab/>
        <w:t>(a)</w:t>
      </w:r>
      <w:r w:rsidRPr="00B14E91">
        <w:tab/>
        <w:t>for a medical device that is not software—the information must be provided on a leaflet supplied with the device; or</w:t>
      </w:r>
    </w:p>
    <w:p w:rsidR="004C7C9A" w:rsidRPr="00B14E91" w:rsidRDefault="004C7C9A" w:rsidP="004C7C9A">
      <w:pPr>
        <w:pStyle w:val="paragraph"/>
      </w:pPr>
      <w:r w:rsidRPr="00B14E91">
        <w:tab/>
        <w:t>(b)</w:t>
      </w:r>
      <w:r w:rsidRPr="00B14E91">
        <w:tab/>
        <w:t>for a medical device that is software—the information must be provided on a leaflet supplied with the device or the information must be provided electronically.</w:t>
      </w:r>
    </w:p>
    <w:p w:rsidR="004C7C9A" w:rsidRPr="00B14E91" w:rsidRDefault="004C7C9A" w:rsidP="004C7C9A">
      <w:pPr>
        <w:pStyle w:val="ItemHead"/>
      </w:pPr>
      <w:r w:rsidRPr="00B14E91">
        <w:t>7  After clause 13A.4 of Schedule 1</w:t>
      </w:r>
    </w:p>
    <w:p w:rsidR="004C7C9A" w:rsidRPr="00B14E91" w:rsidRDefault="004C7C9A" w:rsidP="004C7C9A">
      <w:pPr>
        <w:pStyle w:val="Item"/>
      </w:pPr>
      <w:r w:rsidRPr="00B14E91">
        <w:t>Insert:</w:t>
      </w:r>
    </w:p>
    <w:p w:rsidR="004C7C9A" w:rsidRPr="00B14E91" w:rsidRDefault="004C7C9A" w:rsidP="004C7C9A">
      <w:pPr>
        <w:pStyle w:val="ActHead5"/>
      </w:pPr>
      <w:bookmarkStart w:id="34" w:name="_Toc48564292"/>
      <w:r w:rsidRPr="00B14E91">
        <w:rPr>
          <w:rStyle w:val="CharSectno"/>
        </w:rPr>
        <w:lastRenderedPageBreak/>
        <w:t>13B</w:t>
      </w:r>
      <w:r w:rsidRPr="00B14E91">
        <w:t xml:space="preserve">  Software—version numbers and build numbers</w:t>
      </w:r>
      <w:bookmarkEnd w:id="34"/>
    </w:p>
    <w:p w:rsidR="004C7C9A" w:rsidRPr="00B14E91" w:rsidRDefault="004C7C9A" w:rsidP="004C7C9A">
      <w:pPr>
        <w:pStyle w:val="subsection"/>
      </w:pPr>
      <w:r w:rsidRPr="00B14E91">
        <w:tab/>
        <w:t>(1)</w:t>
      </w:r>
      <w:r w:rsidRPr="00B14E91">
        <w:tab/>
        <w:t>For a medical device that is software, or that incorporates software, the current version number and current build number of the software must be accessible by, and identifiable to, users of the device.</w:t>
      </w:r>
    </w:p>
    <w:p w:rsidR="004C7C9A" w:rsidRPr="00B14E91" w:rsidRDefault="004C7C9A" w:rsidP="004C7C9A">
      <w:pPr>
        <w:pStyle w:val="subsection"/>
      </w:pPr>
      <w:r w:rsidRPr="00B14E91">
        <w:tab/>
        <w:t>(2)</w:t>
      </w:r>
      <w:r w:rsidRPr="00B14E91">
        <w:tab/>
        <w:t>The current version number and current build number of the software:</w:t>
      </w:r>
    </w:p>
    <w:p w:rsidR="004C7C9A" w:rsidRPr="00B14E91" w:rsidRDefault="004C7C9A" w:rsidP="004C7C9A">
      <w:pPr>
        <w:pStyle w:val="paragraph"/>
      </w:pPr>
      <w:r w:rsidRPr="00B14E91">
        <w:tab/>
        <w:t>(a)</w:t>
      </w:r>
      <w:r w:rsidRPr="00B14E91">
        <w:tab/>
        <w:t>must be in English; and</w:t>
      </w:r>
    </w:p>
    <w:p w:rsidR="004C7C9A" w:rsidRPr="00B14E91" w:rsidRDefault="004C7C9A" w:rsidP="004C7C9A">
      <w:pPr>
        <w:pStyle w:val="paragraph"/>
      </w:pPr>
      <w:r w:rsidRPr="00B14E91">
        <w:tab/>
        <w:t>(b)</w:t>
      </w:r>
      <w:r w:rsidRPr="00B14E91">
        <w:tab/>
        <w:t>may also be in any other language.</w:t>
      </w:r>
    </w:p>
    <w:p w:rsidR="004C7C9A" w:rsidRPr="00B14E91" w:rsidRDefault="004C7C9A" w:rsidP="004C7C9A">
      <w:pPr>
        <w:pStyle w:val="ActHead6"/>
        <w:pageBreakBefore/>
      </w:pPr>
      <w:bookmarkStart w:id="35" w:name="_Toc48564293"/>
      <w:r w:rsidRPr="00B14E91">
        <w:rPr>
          <w:rStyle w:val="CharAmSchNo"/>
        </w:rPr>
        <w:lastRenderedPageBreak/>
        <w:t>Schedule 3</w:t>
      </w:r>
      <w:r w:rsidRPr="00B14E91">
        <w:t>—</w:t>
      </w:r>
      <w:r w:rsidRPr="00B14E91">
        <w:rPr>
          <w:rStyle w:val="CharAmSchText"/>
        </w:rPr>
        <w:t>Personalised medical devices</w:t>
      </w:r>
      <w:bookmarkEnd w:id="35"/>
    </w:p>
    <w:p w:rsidR="004C7C9A" w:rsidRPr="00B14E91" w:rsidRDefault="004C7C9A" w:rsidP="004C7C9A">
      <w:pPr>
        <w:pStyle w:val="ActHead7"/>
      </w:pPr>
      <w:bookmarkStart w:id="36" w:name="_Toc48564294"/>
      <w:r w:rsidRPr="00B14E91">
        <w:rPr>
          <w:rStyle w:val="CharAmPartNo"/>
        </w:rPr>
        <w:t>Part 1</w:t>
      </w:r>
      <w:r w:rsidRPr="00B14E91">
        <w:t>—</w:t>
      </w:r>
      <w:r w:rsidRPr="00B14E91">
        <w:rPr>
          <w:rStyle w:val="CharAmPartText"/>
        </w:rPr>
        <w:t>Definitions</w:t>
      </w:r>
      <w:bookmarkEnd w:id="36"/>
    </w:p>
    <w:p w:rsidR="004C7C9A" w:rsidRPr="00B14E91" w:rsidRDefault="004C7C9A" w:rsidP="004C7C9A">
      <w:pPr>
        <w:pStyle w:val="ActHead9"/>
      </w:pPr>
      <w:bookmarkStart w:id="37" w:name="_Toc48564295"/>
      <w:r w:rsidRPr="00B14E91">
        <w:t xml:space="preserve">Therapeutic Goods (Medical Devices) </w:t>
      </w:r>
      <w:r w:rsidR="00D425F1">
        <w:t>Regulations 2</w:t>
      </w:r>
      <w:r w:rsidRPr="00B14E91">
        <w:t>002</w:t>
      </w:r>
      <w:bookmarkEnd w:id="37"/>
    </w:p>
    <w:p w:rsidR="004C7C9A" w:rsidRPr="00B14E91" w:rsidRDefault="004C7C9A" w:rsidP="004C7C9A">
      <w:pPr>
        <w:pStyle w:val="ItemHead"/>
      </w:pPr>
      <w:r w:rsidRPr="00B14E91">
        <w:t>1  At the end of Part 1</w:t>
      </w:r>
    </w:p>
    <w:p w:rsidR="004C7C9A" w:rsidRPr="00B14E91" w:rsidRDefault="004C7C9A" w:rsidP="004C7C9A">
      <w:pPr>
        <w:pStyle w:val="Item"/>
      </w:pPr>
      <w:r w:rsidRPr="00B14E91">
        <w:t>Add:</w:t>
      </w:r>
    </w:p>
    <w:p w:rsidR="004C7C9A" w:rsidRPr="00B14E91" w:rsidRDefault="004C7C9A" w:rsidP="004C7C9A">
      <w:pPr>
        <w:pStyle w:val="ActHead5"/>
      </w:pPr>
      <w:bookmarkStart w:id="38" w:name="_Toc48564296"/>
      <w:r w:rsidRPr="00B14E91">
        <w:rPr>
          <w:rStyle w:val="CharSectno"/>
        </w:rPr>
        <w:t>1.8</w:t>
      </w:r>
      <w:r w:rsidRPr="00B14E91">
        <w:t xml:space="preserve">  Classes of persons that are not manufacturers of a medical device</w:t>
      </w:r>
      <w:bookmarkEnd w:id="38"/>
    </w:p>
    <w:p w:rsidR="004C7C9A" w:rsidRPr="00B14E91" w:rsidRDefault="004C7C9A" w:rsidP="004C7C9A">
      <w:pPr>
        <w:pStyle w:val="subsection"/>
      </w:pPr>
      <w:r w:rsidRPr="00B14E91">
        <w:tab/>
      </w:r>
      <w:r w:rsidRPr="00B14E91">
        <w:tab/>
        <w:t xml:space="preserve">For the purposes of subsection 41BG(4) of the Act, a class of persons is health professionals, or suitably qualified persons within a healthcare facility, who produce a medical device (the </w:t>
      </w:r>
      <w:r w:rsidRPr="00B14E91">
        <w:rPr>
          <w:b/>
          <w:i/>
        </w:rPr>
        <w:t>final device</w:t>
      </w:r>
      <w:r w:rsidRPr="00B14E91">
        <w:t>) where the following are satisfied:</w:t>
      </w:r>
    </w:p>
    <w:p w:rsidR="004C7C9A" w:rsidRPr="00B14E91" w:rsidRDefault="004C7C9A" w:rsidP="004C7C9A">
      <w:pPr>
        <w:pStyle w:val="paragraph"/>
      </w:pPr>
      <w:r w:rsidRPr="00B14E91">
        <w:tab/>
        <w:t>(a)</w:t>
      </w:r>
      <w:r w:rsidRPr="00B14E91">
        <w:tab/>
        <w:t>a medical device production system is used to produce the final device;</w:t>
      </w:r>
    </w:p>
    <w:p w:rsidR="004C7C9A" w:rsidRPr="00B14E91" w:rsidRDefault="004C7C9A" w:rsidP="004C7C9A">
      <w:pPr>
        <w:pStyle w:val="paragraph"/>
      </w:pPr>
      <w:r w:rsidRPr="00B14E91">
        <w:tab/>
        <w:t>(b)</w:t>
      </w:r>
      <w:r w:rsidRPr="00B14E91">
        <w:tab/>
        <w:t>the medical device production system is included in the Register as a kind of medical device.</w:t>
      </w:r>
    </w:p>
    <w:p w:rsidR="004C7C9A" w:rsidRPr="00B14E91" w:rsidRDefault="004C7C9A" w:rsidP="004C7C9A">
      <w:pPr>
        <w:pStyle w:val="ItemHead"/>
      </w:pPr>
      <w:r w:rsidRPr="00B14E91">
        <w:t>2  Dictionary</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adaptable medical device</w:t>
      </w:r>
      <w:r w:rsidRPr="00B14E91">
        <w:t xml:space="preserve"> means a mass</w:t>
      </w:r>
      <w:r w:rsidR="00D425F1">
        <w:noBreakHyphen/>
      </w:r>
      <w:r w:rsidRPr="00B14E91">
        <w:t>produced medical device that is intended by the manufacturer to be assembled or adapted after it has been supplied, in accordance with the manufacturer’s instructions, to:</w:t>
      </w:r>
    </w:p>
    <w:p w:rsidR="004C7C9A" w:rsidRPr="00B14E91" w:rsidRDefault="004C7C9A" w:rsidP="004C7C9A">
      <w:pPr>
        <w:pStyle w:val="paragraph"/>
      </w:pPr>
      <w:r w:rsidRPr="00B14E91">
        <w:tab/>
        <w:t>(a)</w:t>
      </w:r>
      <w:r w:rsidRPr="00B14E91">
        <w:tab/>
        <w:t>address either or both of the anatomical and physiological features of a particular individual; or</w:t>
      </w:r>
    </w:p>
    <w:p w:rsidR="004C7C9A" w:rsidRPr="00B14E91" w:rsidRDefault="004C7C9A" w:rsidP="004C7C9A">
      <w:pPr>
        <w:pStyle w:val="paragraph"/>
      </w:pPr>
      <w:r w:rsidRPr="00B14E91">
        <w:tab/>
        <w:t>(b)</w:t>
      </w:r>
      <w:r w:rsidRPr="00B14E91">
        <w:tab/>
        <w:t>address a pathological condition of a particular individual; or</w:t>
      </w:r>
    </w:p>
    <w:p w:rsidR="004C7C9A" w:rsidRPr="00B14E91" w:rsidRDefault="004C7C9A" w:rsidP="004C7C9A">
      <w:pPr>
        <w:pStyle w:val="paragraph"/>
      </w:pPr>
      <w:r w:rsidRPr="00B14E91">
        <w:tab/>
        <w:t>(c)</w:t>
      </w:r>
      <w:r w:rsidRPr="00B14E91">
        <w:tab/>
        <w:t>otherwise perform as intended by the manufacturer.</w:t>
      </w:r>
    </w:p>
    <w:p w:rsidR="004C7C9A" w:rsidRPr="00B14E91" w:rsidRDefault="004C7C9A" w:rsidP="004C7C9A">
      <w:pPr>
        <w:pStyle w:val="ItemHead"/>
      </w:pPr>
      <w:r w:rsidRPr="00B14E91">
        <w:t xml:space="preserve">3  Dictionary (definition of </w:t>
      </w:r>
      <w:r w:rsidRPr="00B14E91">
        <w:rPr>
          <w:i/>
        </w:rPr>
        <w:t>custom</w:t>
      </w:r>
      <w:r w:rsidR="00D425F1">
        <w:rPr>
          <w:i/>
        </w:rPr>
        <w:noBreakHyphen/>
      </w:r>
      <w:r w:rsidRPr="00B14E91">
        <w:rPr>
          <w:i/>
        </w:rPr>
        <w:t>made medical device</w:t>
      </w:r>
      <w:r w:rsidRPr="00B14E91">
        <w:t>)</w:t>
      </w:r>
    </w:p>
    <w:p w:rsidR="004C7C9A" w:rsidRPr="00B14E91" w:rsidRDefault="004C7C9A" w:rsidP="004C7C9A">
      <w:pPr>
        <w:pStyle w:val="Item"/>
      </w:pPr>
      <w:r w:rsidRPr="00B14E91">
        <w:t>Repeal the definition, substitute:</w:t>
      </w:r>
    </w:p>
    <w:p w:rsidR="004C7C9A" w:rsidRPr="00B14E91" w:rsidRDefault="004C7C9A" w:rsidP="004C7C9A">
      <w:pPr>
        <w:pStyle w:val="Definition"/>
      </w:pPr>
      <w:r w:rsidRPr="00B14E91">
        <w:rPr>
          <w:b/>
          <w:i/>
        </w:rPr>
        <w:t>custom</w:t>
      </w:r>
      <w:r w:rsidR="00D425F1">
        <w:rPr>
          <w:b/>
          <w:i/>
        </w:rPr>
        <w:noBreakHyphen/>
      </w:r>
      <w:r w:rsidRPr="00B14E91">
        <w:rPr>
          <w:b/>
          <w:i/>
        </w:rPr>
        <w:t>made medical device</w:t>
      </w:r>
      <w:r w:rsidRPr="00B14E91">
        <w:t xml:space="preserve"> means a medical device that:</w:t>
      </w:r>
    </w:p>
    <w:p w:rsidR="004C7C9A" w:rsidRPr="00B14E91" w:rsidRDefault="004C7C9A" w:rsidP="004C7C9A">
      <w:pPr>
        <w:pStyle w:val="paragraph"/>
      </w:pPr>
      <w:r w:rsidRPr="00B14E91">
        <w:tab/>
        <w:t>(a)</w:t>
      </w:r>
      <w:r w:rsidRPr="00B14E91">
        <w:tab/>
        <w:t>is intended by the manufacturer to be for:</w:t>
      </w:r>
    </w:p>
    <w:p w:rsidR="004C7C9A" w:rsidRPr="00B14E91" w:rsidRDefault="004C7C9A" w:rsidP="004C7C9A">
      <w:pPr>
        <w:pStyle w:val="paragraphsub"/>
      </w:pPr>
      <w:r w:rsidRPr="00B14E91">
        <w:t xml:space="preserve"> </w:t>
      </w:r>
      <w:r w:rsidRPr="00B14E91">
        <w:tab/>
        <w:t>(i)</w:t>
      </w:r>
      <w:r w:rsidRPr="00B14E91">
        <w:tab/>
        <w:t xml:space="preserve">the sole use of a particular patient (the </w:t>
      </w:r>
      <w:r w:rsidRPr="00B14E91">
        <w:rPr>
          <w:b/>
          <w:i/>
        </w:rPr>
        <w:t>intended recipient</w:t>
      </w:r>
      <w:r w:rsidRPr="00B14E91">
        <w:t>); or</w:t>
      </w:r>
    </w:p>
    <w:p w:rsidR="004C7C9A" w:rsidRPr="00B14E91" w:rsidRDefault="004C7C9A" w:rsidP="004C7C9A">
      <w:pPr>
        <w:pStyle w:val="paragraphsub"/>
      </w:pPr>
      <w:r w:rsidRPr="00B14E91">
        <w:tab/>
        <w:t>(ii)</w:t>
      </w:r>
      <w:r w:rsidRPr="00B14E91">
        <w:tab/>
        <w:t xml:space="preserve">the sole use of a particular health professional (the </w:t>
      </w:r>
      <w:r w:rsidRPr="00B14E91">
        <w:rPr>
          <w:b/>
          <w:i/>
        </w:rPr>
        <w:t>intended recipient</w:t>
      </w:r>
      <w:r w:rsidRPr="00B14E91">
        <w:t>) in the course of the health professional’s practice; and</w:t>
      </w:r>
    </w:p>
    <w:p w:rsidR="004C7C9A" w:rsidRPr="00B14E91" w:rsidRDefault="004C7C9A" w:rsidP="004C7C9A">
      <w:pPr>
        <w:pStyle w:val="paragraph"/>
      </w:pPr>
      <w:r w:rsidRPr="00B14E91">
        <w:tab/>
        <w:t>(b)</w:t>
      </w:r>
      <w:r w:rsidRPr="00B14E91">
        <w:tab/>
        <w:t xml:space="preserve">is manufactured by the manufacturer in accordance with a written request of a health professional (the </w:t>
      </w:r>
      <w:r w:rsidRPr="00B14E91">
        <w:rPr>
          <w:b/>
          <w:i/>
        </w:rPr>
        <w:t>requesting health professional</w:t>
      </w:r>
      <w:r w:rsidRPr="00B14E91">
        <w:t>) and with particular design characteristics specified by that health professional in the request (even if the design is developed in consultation with the manufacturer), where those design characteristics are intended to address:</w:t>
      </w:r>
    </w:p>
    <w:p w:rsidR="004C7C9A" w:rsidRPr="00B14E91" w:rsidRDefault="004C7C9A" w:rsidP="004C7C9A">
      <w:pPr>
        <w:pStyle w:val="paragraphsub"/>
      </w:pPr>
      <w:r w:rsidRPr="00B14E91">
        <w:tab/>
        <w:t>(i)</w:t>
      </w:r>
      <w:r w:rsidRPr="00B14E91">
        <w:tab/>
        <w:t>either or both of the anatomical and physiological features of the intended recipient; or</w:t>
      </w:r>
    </w:p>
    <w:p w:rsidR="004C7C9A" w:rsidRPr="00B14E91" w:rsidRDefault="004C7C9A" w:rsidP="004C7C9A">
      <w:pPr>
        <w:pStyle w:val="paragraphsub"/>
      </w:pPr>
      <w:r w:rsidRPr="00B14E91">
        <w:tab/>
        <w:t>(ii)</w:t>
      </w:r>
      <w:r w:rsidRPr="00B14E91">
        <w:tab/>
        <w:t>a pathological condition of the intended recipient; and</w:t>
      </w:r>
    </w:p>
    <w:p w:rsidR="004C7C9A" w:rsidRPr="00B14E91" w:rsidRDefault="004C7C9A" w:rsidP="004C7C9A">
      <w:pPr>
        <w:pStyle w:val="paragraph"/>
      </w:pPr>
      <w:r w:rsidRPr="00B14E91">
        <w:tab/>
        <w:t>(c)</w:t>
      </w:r>
      <w:r w:rsidRPr="00B14E91">
        <w:tab/>
        <w:t xml:space="preserve">the requesting health professional has determined is necessary to address the matters covered by paragraph (b) because there is no kind of medical </w:t>
      </w:r>
      <w:r w:rsidRPr="00B14E91">
        <w:lastRenderedPageBreak/>
        <w:t>device included in the Register to address those matters or to address those matters to an appropriate level.</w:t>
      </w:r>
    </w:p>
    <w:p w:rsidR="004C7C9A" w:rsidRPr="00B14E91" w:rsidRDefault="004C7C9A" w:rsidP="004C7C9A">
      <w:pPr>
        <w:pStyle w:val="subsection2"/>
      </w:pPr>
      <w:r w:rsidRPr="00B14E91">
        <w:t>However, a custom</w:t>
      </w:r>
      <w:r w:rsidR="00D425F1">
        <w:noBreakHyphen/>
      </w:r>
      <w:r w:rsidRPr="00B14E91">
        <w:t>made medical device does not include a patient</w:t>
      </w:r>
      <w:r w:rsidR="00D425F1">
        <w:noBreakHyphen/>
      </w:r>
      <w:r w:rsidRPr="00B14E91">
        <w:t>matched medical device, an adaptable medical device or other mass</w:t>
      </w:r>
      <w:r w:rsidR="00D425F1">
        <w:noBreakHyphen/>
      </w:r>
      <w:r w:rsidRPr="00B14E91">
        <w:t>produced medical device.</w:t>
      </w:r>
    </w:p>
    <w:p w:rsidR="004C7C9A" w:rsidRPr="00B14E91" w:rsidRDefault="004C7C9A" w:rsidP="004C7C9A">
      <w:pPr>
        <w:pStyle w:val="ItemHead"/>
      </w:pPr>
      <w:r w:rsidRPr="00B14E91">
        <w:t>4  Dictionary</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mass</w:t>
      </w:r>
      <w:r w:rsidR="00D425F1">
        <w:rPr>
          <w:b/>
          <w:i/>
        </w:rPr>
        <w:noBreakHyphen/>
      </w:r>
      <w:r w:rsidRPr="00B14E91">
        <w:rPr>
          <w:b/>
          <w:i/>
        </w:rPr>
        <w:t>produced medical device</w:t>
      </w:r>
      <w:r w:rsidRPr="00B14E91">
        <w:t xml:space="preserve"> means a medical device that:</w:t>
      </w:r>
    </w:p>
    <w:p w:rsidR="004C7C9A" w:rsidRPr="00B14E91" w:rsidRDefault="004C7C9A" w:rsidP="004C7C9A">
      <w:pPr>
        <w:pStyle w:val="paragraph"/>
      </w:pPr>
      <w:r w:rsidRPr="00B14E91">
        <w:tab/>
        <w:t>(a)</w:t>
      </w:r>
      <w:r w:rsidRPr="00B14E91">
        <w:tab/>
        <w:t>is manufactured according to standardised dimensions or designs; and</w:t>
      </w:r>
    </w:p>
    <w:p w:rsidR="004C7C9A" w:rsidRPr="00B14E91" w:rsidRDefault="004C7C9A" w:rsidP="004C7C9A">
      <w:pPr>
        <w:pStyle w:val="paragraph"/>
      </w:pPr>
      <w:r w:rsidRPr="00B14E91">
        <w:tab/>
        <w:t>(b)</w:t>
      </w:r>
      <w:r w:rsidRPr="00B14E91">
        <w:tab/>
        <w:t>is not designed for a particular individual; and</w:t>
      </w:r>
    </w:p>
    <w:p w:rsidR="004C7C9A" w:rsidRPr="00B14E91" w:rsidRDefault="004C7C9A" w:rsidP="004C7C9A">
      <w:pPr>
        <w:pStyle w:val="paragraph"/>
      </w:pPr>
      <w:r w:rsidRPr="00B14E91">
        <w:tab/>
        <w:t>(c)</w:t>
      </w:r>
      <w:r w:rsidRPr="00B14E91">
        <w:tab/>
        <w:t>is manufactured in a continuous production process or in a homogenous batch.</w:t>
      </w:r>
    </w:p>
    <w:p w:rsidR="004C7C9A" w:rsidRPr="00B14E91" w:rsidRDefault="004C7C9A" w:rsidP="004C7C9A">
      <w:pPr>
        <w:pStyle w:val="Definition"/>
      </w:pPr>
      <w:r w:rsidRPr="00B14E91">
        <w:rPr>
          <w:b/>
          <w:i/>
        </w:rPr>
        <w:t>medical device production system</w:t>
      </w:r>
      <w:r w:rsidRPr="00B14E91">
        <w:t xml:space="preserve"> means a system that consists of raw materials and main production equipment (whether or not the system also consists of software), where the system is intended by the manufacturer to be used (whether or not with ancillary inputs or equipment) by a health professional, or suitably qualified person within a healthcare facility, to produce a particular medical device for use in relation to a patient of the health professional or healthcare facility.</w:t>
      </w:r>
    </w:p>
    <w:p w:rsidR="004C7C9A" w:rsidRPr="00B14E91" w:rsidRDefault="004C7C9A" w:rsidP="004C7C9A">
      <w:pPr>
        <w:pStyle w:val="Definition"/>
      </w:pPr>
      <w:r w:rsidRPr="00B14E91">
        <w:rPr>
          <w:b/>
          <w:i/>
        </w:rPr>
        <w:t>patient</w:t>
      </w:r>
      <w:r w:rsidR="00D425F1">
        <w:rPr>
          <w:b/>
          <w:i/>
        </w:rPr>
        <w:noBreakHyphen/>
      </w:r>
      <w:r w:rsidRPr="00B14E91">
        <w:rPr>
          <w:b/>
          <w:i/>
        </w:rPr>
        <w:t>matched medical device</w:t>
      </w:r>
      <w:r w:rsidRPr="00B14E91">
        <w:t xml:space="preserve"> means a medical device that:</w:t>
      </w:r>
    </w:p>
    <w:p w:rsidR="004C7C9A" w:rsidRPr="00B14E91" w:rsidRDefault="004C7C9A" w:rsidP="004C7C9A">
      <w:pPr>
        <w:pStyle w:val="paragraph"/>
      </w:pPr>
      <w:r w:rsidRPr="00B14E91">
        <w:tab/>
        <w:t>(a)</w:t>
      </w:r>
      <w:r w:rsidRPr="00B14E91">
        <w:tab/>
        <w:t>is manufactured by the manufacturer, within a specified design envelope, to match:</w:t>
      </w:r>
    </w:p>
    <w:p w:rsidR="004C7C9A" w:rsidRPr="00B14E91" w:rsidRDefault="004C7C9A" w:rsidP="004C7C9A">
      <w:pPr>
        <w:pStyle w:val="paragraphsub"/>
      </w:pPr>
      <w:r w:rsidRPr="00B14E91">
        <w:tab/>
        <w:t>(i)</w:t>
      </w:r>
      <w:r w:rsidRPr="00B14E91">
        <w:tab/>
        <w:t>either or both of the anatomical and physiological features of a particular individual; or</w:t>
      </w:r>
    </w:p>
    <w:p w:rsidR="004C7C9A" w:rsidRPr="00B14E91" w:rsidRDefault="004C7C9A" w:rsidP="004C7C9A">
      <w:pPr>
        <w:pStyle w:val="paragraphsub"/>
      </w:pPr>
      <w:r w:rsidRPr="00B14E91">
        <w:tab/>
        <w:t>(ii)</w:t>
      </w:r>
      <w:r w:rsidRPr="00B14E91">
        <w:tab/>
        <w:t>a pathological condition of a particular individual; and</w:t>
      </w:r>
    </w:p>
    <w:p w:rsidR="004C7C9A" w:rsidRPr="00B14E91" w:rsidRDefault="004C7C9A" w:rsidP="004C7C9A">
      <w:pPr>
        <w:pStyle w:val="paragraph"/>
      </w:pPr>
      <w:r w:rsidRPr="00B14E91">
        <w:tab/>
        <w:t>(b)</w:t>
      </w:r>
      <w:r w:rsidRPr="00B14E91">
        <w:tab/>
        <w:t>is designed by the manufacturer (even if the design is developed in consultation with a health professional); and</w:t>
      </w:r>
    </w:p>
    <w:p w:rsidR="004C7C9A" w:rsidRPr="00B14E91" w:rsidRDefault="004C7C9A" w:rsidP="004C7C9A">
      <w:pPr>
        <w:pStyle w:val="paragraph"/>
      </w:pPr>
      <w:r w:rsidRPr="00B14E91">
        <w:tab/>
        <w:t>(c)</w:t>
      </w:r>
      <w:r w:rsidRPr="00B14E91">
        <w:tab/>
        <w:t>is manufactured using production processes that are capable of being:</w:t>
      </w:r>
    </w:p>
    <w:p w:rsidR="004C7C9A" w:rsidRPr="00B14E91" w:rsidRDefault="004C7C9A" w:rsidP="004C7C9A">
      <w:pPr>
        <w:pStyle w:val="paragraphsub"/>
      </w:pPr>
      <w:r w:rsidRPr="00B14E91">
        <w:tab/>
        <w:t>(i)</w:t>
      </w:r>
      <w:r w:rsidRPr="00B14E91">
        <w:tab/>
        <w:t>either or both validated and verified; and</w:t>
      </w:r>
    </w:p>
    <w:p w:rsidR="004C7C9A" w:rsidRPr="00B14E91" w:rsidRDefault="004C7C9A" w:rsidP="004C7C9A">
      <w:pPr>
        <w:pStyle w:val="paragraphsub"/>
      </w:pPr>
      <w:r w:rsidRPr="00B14E91">
        <w:tab/>
        <w:t>(ii)</w:t>
      </w:r>
      <w:r w:rsidRPr="00B14E91">
        <w:tab/>
        <w:t>reproduced.</w:t>
      </w:r>
    </w:p>
    <w:p w:rsidR="004C7C9A" w:rsidRPr="00B14E91" w:rsidRDefault="004C7C9A" w:rsidP="004C7C9A">
      <w:pPr>
        <w:pStyle w:val="Definition"/>
        <w:rPr>
          <w:szCs w:val="22"/>
        </w:rPr>
      </w:pPr>
      <w:r w:rsidRPr="00B14E91">
        <w:rPr>
          <w:b/>
          <w:i/>
        </w:rPr>
        <w:t>specified design envelope</w:t>
      </w:r>
      <w:r w:rsidRPr="00B14E91">
        <w:t xml:space="preserve"> means m</w:t>
      </w:r>
      <w:r w:rsidRPr="00B14E91">
        <w:rPr>
          <w:szCs w:val="22"/>
        </w:rPr>
        <w:t>inimum and maximum dimensions, performance limits or other relevant factors that:</w:t>
      </w:r>
    </w:p>
    <w:p w:rsidR="004C7C9A" w:rsidRPr="00B14E91" w:rsidRDefault="004C7C9A" w:rsidP="004C7C9A">
      <w:pPr>
        <w:pStyle w:val="paragraph"/>
      </w:pPr>
      <w:r w:rsidRPr="00B14E91">
        <w:tab/>
        <w:t>(a)</w:t>
      </w:r>
      <w:r w:rsidRPr="00B14E91">
        <w:tab/>
        <w:t>characterise a medical device for production purposes; and</w:t>
      </w:r>
    </w:p>
    <w:p w:rsidR="004C7C9A" w:rsidRPr="00B14E91" w:rsidRDefault="004C7C9A" w:rsidP="004C7C9A">
      <w:pPr>
        <w:pStyle w:val="paragraph"/>
      </w:pPr>
      <w:r w:rsidRPr="00B14E91">
        <w:tab/>
        <w:t>(b)</w:t>
      </w:r>
      <w:r w:rsidRPr="00B14E91">
        <w:tab/>
        <w:t>may be based on a standard device template.</w:t>
      </w:r>
    </w:p>
    <w:p w:rsidR="004C7C9A" w:rsidRPr="00B14E91" w:rsidRDefault="004C7C9A" w:rsidP="004C7C9A">
      <w:pPr>
        <w:pStyle w:val="ActHead7"/>
        <w:pageBreakBefore/>
      </w:pPr>
      <w:bookmarkStart w:id="39" w:name="_Toc48564297"/>
      <w:r w:rsidRPr="00B14E91">
        <w:rPr>
          <w:rStyle w:val="CharAmPartNo"/>
        </w:rPr>
        <w:lastRenderedPageBreak/>
        <w:t>Part 2</w:t>
      </w:r>
      <w:r w:rsidRPr="00B14E91">
        <w:t>—</w:t>
      </w:r>
      <w:r w:rsidRPr="00B14E91">
        <w:rPr>
          <w:rStyle w:val="CharAmPartText"/>
        </w:rPr>
        <w:t>Reports</w:t>
      </w:r>
      <w:bookmarkEnd w:id="39"/>
    </w:p>
    <w:p w:rsidR="004C7C9A" w:rsidRPr="00B14E91" w:rsidRDefault="004C7C9A" w:rsidP="004C7C9A">
      <w:pPr>
        <w:pStyle w:val="ActHead9"/>
      </w:pPr>
      <w:bookmarkStart w:id="40" w:name="_Toc48564298"/>
      <w:r w:rsidRPr="00B14E91">
        <w:t xml:space="preserve">Therapeutic Goods (Medical Devices) </w:t>
      </w:r>
      <w:r w:rsidR="00D425F1">
        <w:t>Regulations 2</w:t>
      </w:r>
      <w:r w:rsidRPr="00B14E91">
        <w:t>002</w:t>
      </w:r>
      <w:bookmarkEnd w:id="40"/>
    </w:p>
    <w:p w:rsidR="004C7C9A" w:rsidRPr="00B14E91" w:rsidRDefault="004C7C9A" w:rsidP="004C7C9A">
      <w:pPr>
        <w:pStyle w:val="ItemHead"/>
      </w:pPr>
      <w:r w:rsidRPr="00B14E91">
        <w:t>5  After regulation 10.3</w:t>
      </w:r>
    </w:p>
    <w:p w:rsidR="004C7C9A" w:rsidRPr="00B14E91" w:rsidRDefault="004C7C9A" w:rsidP="004C7C9A">
      <w:pPr>
        <w:pStyle w:val="Item"/>
      </w:pPr>
      <w:r w:rsidRPr="00B14E91">
        <w:t>Insert:</w:t>
      </w:r>
    </w:p>
    <w:p w:rsidR="004C7C9A" w:rsidRPr="00B14E91" w:rsidRDefault="004C7C9A" w:rsidP="004C7C9A">
      <w:pPr>
        <w:pStyle w:val="ActHead5"/>
      </w:pPr>
      <w:bookmarkStart w:id="41" w:name="_Toc48564299"/>
      <w:r w:rsidRPr="00B14E91">
        <w:rPr>
          <w:rStyle w:val="CharSectno"/>
        </w:rPr>
        <w:t>10.3A</w:t>
      </w:r>
      <w:r w:rsidRPr="00B14E91">
        <w:t xml:space="preserve">  Custom</w:t>
      </w:r>
      <w:r w:rsidR="00D425F1">
        <w:noBreakHyphen/>
      </w:r>
      <w:r w:rsidRPr="00B14E91">
        <w:t>made medical devices—information about supplies</w:t>
      </w:r>
      <w:bookmarkEnd w:id="41"/>
    </w:p>
    <w:p w:rsidR="004C7C9A" w:rsidRPr="00B14E91" w:rsidRDefault="004C7C9A" w:rsidP="004C7C9A">
      <w:pPr>
        <w:pStyle w:val="subsection"/>
      </w:pPr>
      <w:r w:rsidRPr="00B14E91">
        <w:tab/>
        <w:t>(1)</w:t>
      </w:r>
      <w:r w:rsidRPr="00B14E91">
        <w:tab/>
        <w:t>A person commits an offence if:</w:t>
      </w:r>
    </w:p>
    <w:p w:rsidR="004C7C9A" w:rsidRPr="00B14E91" w:rsidRDefault="004C7C9A" w:rsidP="004C7C9A">
      <w:pPr>
        <w:pStyle w:val="paragraph"/>
      </w:pPr>
      <w:r w:rsidRPr="00B14E91">
        <w:tab/>
        <w:t>(a)</w:t>
      </w:r>
      <w:r w:rsidRPr="00B14E91">
        <w:tab/>
        <w:t>the person is the manufacturer of a custom</w:t>
      </w:r>
      <w:r w:rsidR="00D425F1">
        <w:noBreakHyphen/>
      </w:r>
      <w:r w:rsidRPr="00B14E91">
        <w:t xml:space="preserve">made medical device that is manufactured in Australia in a financial year (the </w:t>
      </w:r>
      <w:r w:rsidRPr="00B14E91">
        <w:rPr>
          <w:b/>
          <w:i/>
        </w:rPr>
        <w:t>relevant financial year</w:t>
      </w:r>
      <w:r w:rsidRPr="00B14E91">
        <w:t>); and</w:t>
      </w:r>
    </w:p>
    <w:p w:rsidR="004C7C9A" w:rsidRPr="00B14E91" w:rsidRDefault="004C7C9A" w:rsidP="004C7C9A">
      <w:pPr>
        <w:pStyle w:val="paragraph"/>
      </w:pPr>
      <w:r w:rsidRPr="00B14E91">
        <w:tab/>
        <w:t>(b)</w:t>
      </w:r>
      <w:r w:rsidRPr="00B14E91">
        <w:tab/>
        <w:t>the person does not, before 1 October in the next financial year, give the Secretary a written report that relates to all the custom</w:t>
      </w:r>
      <w:r w:rsidR="00D425F1">
        <w:noBreakHyphen/>
      </w:r>
      <w:r w:rsidRPr="00B14E91">
        <w:t>made medical devices the person manufactured in the relevant financial year and that complies with subregulation (3).</w:t>
      </w:r>
    </w:p>
    <w:p w:rsidR="004C7C9A" w:rsidRPr="00B14E91" w:rsidRDefault="004C7C9A" w:rsidP="004C7C9A">
      <w:pPr>
        <w:pStyle w:val="Penalty"/>
      </w:pPr>
      <w:r w:rsidRPr="00B14E91">
        <w:t>Penalty:</w:t>
      </w:r>
      <w:r w:rsidRPr="00B14E91">
        <w:tab/>
        <w:t>10 penalty units.</w:t>
      </w:r>
    </w:p>
    <w:p w:rsidR="004C7C9A" w:rsidRPr="00B14E91" w:rsidRDefault="004C7C9A" w:rsidP="004C7C9A">
      <w:pPr>
        <w:pStyle w:val="subsection"/>
      </w:pPr>
      <w:r w:rsidRPr="00B14E91">
        <w:tab/>
        <w:t>(2)</w:t>
      </w:r>
      <w:r w:rsidRPr="00B14E91">
        <w:tab/>
        <w:t>A person commits an offence if:</w:t>
      </w:r>
    </w:p>
    <w:p w:rsidR="004C7C9A" w:rsidRPr="00B14E91" w:rsidRDefault="004C7C9A" w:rsidP="004C7C9A">
      <w:pPr>
        <w:pStyle w:val="paragraph"/>
      </w:pPr>
      <w:r w:rsidRPr="00B14E91">
        <w:tab/>
        <w:t>(a)</w:t>
      </w:r>
      <w:r w:rsidRPr="00B14E91">
        <w:tab/>
        <w:t>the person is the sponsor of a custom</w:t>
      </w:r>
      <w:r w:rsidR="00D425F1">
        <w:noBreakHyphen/>
      </w:r>
      <w:r w:rsidRPr="00B14E91">
        <w:t xml:space="preserve">made medical device that the person imported into Australia in a financial year (the </w:t>
      </w:r>
      <w:r w:rsidRPr="00B14E91">
        <w:rPr>
          <w:b/>
          <w:i/>
        </w:rPr>
        <w:t>relevant financial year</w:t>
      </w:r>
      <w:r w:rsidRPr="00B14E91">
        <w:t>); and</w:t>
      </w:r>
    </w:p>
    <w:p w:rsidR="004C7C9A" w:rsidRPr="00B14E91" w:rsidRDefault="004C7C9A" w:rsidP="004C7C9A">
      <w:pPr>
        <w:pStyle w:val="paragraph"/>
      </w:pPr>
      <w:r w:rsidRPr="00B14E91">
        <w:tab/>
        <w:t>(b)</w:t>
      </w:r>
      <w:r w:rsidRPr="00B14E91">
        <w:tab/>
        <w:t>the person does not, before 1 October in the next financial year, give the Secretary a written report that relates to all the custom</w:t>
      </w:r>
      <w:r w:rsidR="00D425F1">
        <w:noBreakHyphen/>
      </w:r>
      <w:r w:rsidRPr="00B14E91">
        <w:t>made medical devices the person imported in the relevant financial year and that complies with subregulation (3).</w:t>
      </w:r>
    </w:p>
    <w:p w:rsidR="004C7C9A" w:rsidRPr="00B14E91" w:rsidRDefault="004C7C9A" w:rsidP="004C7C9A">
      <w:pPr>
        <w:pStyle w:val="Penalty"/>
      </w:pPr>
      <w:r w:rsidRPr="00B14E91">
        <w:t>Penalty:</w:t>
      </w:r>
      <w:r w:rsidRPr="00B14E91">
        <w:tab/>
        <w:t>10 penalty units.</w:t>
      </w:r>
    </w:p>
    <w:p w:rsidR="004C7C9A" w:rsidRPr="00B14E91" w:rsidRDefault="004C7C9A" w:rsidP="004C7C9A">
      <w:pPr>
        <w:pStyle w:val="subsection"/>
      </w:pPr>
      <w:r w:rsidRPr="00B14E91">
        <w:tab/>
        <w:t>(3)</w:t>
      </w:r>
      <w:r w:rsidRPr="00B14E91">
        <w:tab/>
        <w:t>A report under this regulation must:</w:t>
      </w:r>
    </w:p>
    <w:p w:rsidR="004C7C9A" w:rsidRPr="00B14E91" w:rsidRDefault="004C7C9A" w:rsidP="004C7C9A">
      <w:pPr>
        <w:pStyle w:val="paragraph"/>
      </w:pPr>
      <w:r w:rsidRPr="00B14E91">
        <w:tab/>
        <w:t>(a)</w:t>
      </w:r>
      <w:r w:rsidRPr="00B14E91">
        <w:tab/>
        <w:t>be made in accordance with a form approved, in writing, by the Secretary; and</w:t>
      </w:r>
    </w:p>
    <w:p w:rsidR="004C7C9A" w:rsidRPr="00B14E91" w:rsidRDefault="004C7C9A" w:rsidP="004C7C9A">
      <w:pPr>
        <w:pStyle w:val="paragraph"/>
      </w:pPr>
      <w:r w:rsidRPr="00B14E91">
        <w:tab/>
        <w:t>(b)</w:t>
      </w:r>
      <w:r w:rsidRPr="00B14E91">
        <w:tab/>
        <w:t>contain the information that the form requires.</w:t>
      </w:r>
    </w:p>
    <w:p w:rsidR="004C7C9A" w:rsidRPr="00B14E91" w:rsidRDefault="004C7C9A" w:rsidP="004C7C9A">
      <w:pPr>
        <w:pStyle w:val="subsection"/>
      </w:pPr>
      <w:r w:rsidRPr="00B14E91">
        <w:tab/>
        <w:t>(4)</w:t>
      </w:r>
      <w:r w:rsidRPr="00B14E91">
        <w:tab/>
        <w:t>Without limiting subregulation (3), the form may require details in relation to supplies of custom</w:t>
      </w:r>
      <w:r w:rsidR="00D425F1">
        <w:noBreakHyphen/>
      </w:r>
      <w:r w:rsidRPr="00B14E91">
        <w:t>made medical devices covered by paragraph (1)(b) or (2)(b).</w:t>
      </w:r>
    </w:p>
    <w:p w:rsidR="004C7C9A" w:rsidRPr="00B14E91" w:rsidRDefault="004C7C9A" w:rsidP="004C7C9A">
      <w:pPr>
        <w:pStyle w:val="subsection"/>
      </w:pPr>
      <w:r w:rsidRPr="00B14E91">
        <w:tab/>
        <w:t>(5)</w:t>
      </w:r>
      <w:r w:rsidRPr="00B14E91">
        <w:tab/>
        <w:t>The Secretary must make the form available on the Therapeutic Goods Administration’s website.</w:t>
      </w:r>
    </w:p>
    <w:p w:rsidR="004C7C9A" w:rsidRPr="00B14E91" w:rsidRDefault="004C7C9A" w:rsidP="004C7C9A">
      <w:pPr>
        <w:pStyle w:val="ActHead7"/>
        <w:pageBreakBefore/>
      </w:pPr>
      <w:bookmarkStart w:id="42" w:name="_Toc48564300"/>
      <w:r w:rsidRPr="00B14E91">
        <w:rPr>
          <w:rStyle w:val="CharAmPartNo"/>
        </w:rPr>
        <w:lastRenderedPageBreak/>
        <w:t>Part 3</w:t>
      </w:r>
      <w:r w:rsidRPr="00B14E91">
        <w:t>—</w:t>
      </w:r>
      <w:r w:rsidRPr="00B14E91">
        <w:rPr>
          <w:rStyle w:val="CharAmPartText"/>
        </w:rPr>
        <w:t>Conformity assessment procedures</w:t>
      </w:r>
      <w:bookmarkEnd w:id="42"/>
    </w:p>
    <w:p w:rsidR="004C7C9A" w:rsidRPr="00B14E91" w:rsidRDefault="004C7C9A" w:rsidP="004C7C9A">
      <w:pPr>
        <w:pStyle w:val="ActHead9"/>
      </w:pPr>
      <w:bookmarkStart w:id="43" w:name="_Toc48564301"/>
      <w:r w:rsidRPr="00B14E91">
        <w:t xml:space="preserve">Therapeutic Goods (Medical Devices) </w:t>
      </w:r>
      <w:r w:rsidR="00D425F1">
        <w:t>Regulations 2</w:t>
      </w:r>
      <w:r w:rsidRPr="00B14E91">
        <w:t>002</w:t>
      </w:r>
      <w:bookmarkEnd w:id="43"/>
    </w:p>
    <w:p w:rsidR="004C7C9A" w:rsidRPr="00B14E91" w:rsidRDefault="004C7C9A" w:rsidP="004C7C9A">
      <w:pPr>
        <w:pStyle w:val="ItemHead"/>
      </w:pPr>
      <w:r w:rsidRPr="00B14E91">
        <w:t xml:space="preserve">6  </w:t>
      </w:r>
      <w:r w:rsidR="00D425F1">
        <w:t>Paragraph 7</w:t>
      </w:r>
      <w:r w:rsidRPr="00B14E91">
        <w:t>.1(a) of Schedule 3</w:t>
      </w:r>
    </w:p>
    <w:p w:rsidR="004C7C9A" w:rsidRPr="00B14E91" w:rsidRDefault="004C7C9A" w:rsidP="004C7C9A">
      <w:pPr>
        <w:pStyle w:val="Item"/>
      </w:pPr>
      <w:r w:rsidRPr="00B14E91">
        <w:t>After “device”, insert “and to provide a copy of the statement with the device”.</w:t>
      </w:r>
    </w:p>
    <w:p w:rsidR="004C7C9A" w:rsidRPr="00B14E91" w:rsidRDefault="004C7C9A" w:rsidP="004C7C9A">
      <w:pPr>
        <w:pStyle w:val="ItemHead"/>
      </w:pPr>
      <w:r w:rsidRPr="00B14E91">
        <w:t>7  Subclause 7.2(1) of Schedule 3 (note)</w:t>
      </w:r>
    </w:p>
    <w:p w:rsidR="004C7C9A" w:rsidRPr="00B14E91" w:rsidRDefault="004C7C9A" w:rsidP="004C7C9A">
      <w:pPr>
        <w:pStyle w:val="Item"/>
      </w:pPr>
      <w:r w:rsidRPr="00B14E91">
        <w:t>Repeal the note.</w:t>
      </w:r>
    </w:p>
    <w:p w:rsidR="004C7C9A" w:rsidRPr="00B14E91" w:rsidRDefault="004C7C9A" w:rsidP="004C7C9A">
      <w:pPr>
        <w:pStyle w:val="ItemHead"/>
      </w:pPr>
      <w:r w:rsidRPr="00B14E91">
        <w:t xml:space="preserve">8  </w:t>
      </w:r>
      <w:r w:rsidR="00D425F1">
        <w:t>Paragraph 7</w:t>
      </w:r>
      <w:r w:rsidRPr="00B14E91">
        <w:t>.2(2)(c) of Schedule 3</w:t>
      </w:r>
    </w:p>
    <w:p w:rsidR="004C7C9A" w:rsidRPr="00B14E91" w:rsidRDefault="004C7C9A" w:rsidP="004C7C9A">
      <w:pPr>
        <w:pStyle w:val="Item"/>
      </w:pPr>
      <w:r w:rsidRPr="00B14E91">
        <w:t>Omit “used only in relation to a particular individual”, substitute “for the sole use of a particular patient”.</w:t>
      </w:r>
    </w:p>
    <w:p w:rsidR="004C7C9A" w:rsidRPr="00B14E91" w:rsidRDefault="004C7C9A" w:rsidP="004C7C9A">
      <w:pPr>
        <w:pStyle w:val="ItemHead"/>
      </w:pPr>
      <w:r w:rsidRPr="00B14E91">
        <w:t xml:space="preserve">9  </w:t>
      </w:r>
      <w:r w:rsidR="00D425F1">
        <w:t>Paragraph 7</w:t>
      </w:r>
      <w:r w:rsidRPr="00B14E91">
        <w:t>.2(2)(e) of Schedule 3</w:t>
      </w:r>
    </w:p>
    <w:p w:rsidR="004C7C9A" w:rsidRPr="00B14E91" w:rsidRDefault="004C7C9A" w:rsidP="004C7C9A">
      <w:pPr>
        <w:pStyle w:val="Item"/>
      </w:pPr>
      <w:r w:rsidRPr="00B14E91">
        <w:t>Omit “provided the specification”, substitute “made the request”.</w:t>
      </w:r>
    </w:p>
    <w:p w:rsidR="004C7C9A" w:rsidRPr="00B14E91" w:rsidRDefault="004C7C9A" w:rsidP="004C7C9A">
      <w:pPr>
        <w:pStyle w:val="ItemHead"/>
      </w:pPr>
      <w:r w:rsidRPr="00B14E91">
        <w:t xml:space="preserve">10  </w:t>
      </w:r>
      <w:r w:rsidR="00D425F1">
        <w:t>Paragraph 7</w:t>
      </w:r>
      <w:r w:rsidRPr="00B14E91">
        <w:t>.2(2)(f) of Schedule 3</w:t>
      </w:r>
    </w:p>
    <w:p w:rsidR="004C7C9A" w:rsidRPr="00B14E91" w:rsidRDefault="004C7C9A" w:rsidP="004C7C9A">
      <w:pPr>
        <w:pStyle w:val="Item"/>
      </w:pPr>
      <w:r w:rsidRPr="00B14E91">
        <w:t>Omit “or construction of the device as specified by the health professional who provided the specification”, substitute “of the device as specified by the health professional who made the request”.</w:t>
      </w:r>
    </w:p>
    <w:p w:rsidR="004C7C9A" w:rsidRPr="00B14E91" w:rsidRDefault="004C7C9A" w:rsidP="004C7C9A">
      <w:pPr>
        <w:pStyle w:val="ItemHead"/>
      </w:pPr>
      <w:r w:rsidRPr="00B14E91">
        <w:t>11  After subclause 7.2(3) of Schedule 3</w:t>
      </w:r>
    </w:p>
    <w:p w:rsidR="004C7C9A" w:rsidRPr="00B14E91" w:rsidRDefault="004C7C9A" w:rsidP="004C7C9A">
      <w:pPr>
        <w:pStyle w:val="Item"/>
      </w:pPr>
      <w:r w:rsidRPr="00B14E91">
        <w:t>Insert:</w:t>
      </w:r>
    </w:p>
    <w:p w:rsidR="004C7C9A" w:rsidRPr="00B14E91" w:rsidRDefault="004C7C9A" w:rsidP="004C7C9A">
      <w:pPr>
        <w:pStyle w:val="subsection"/>
      </w:pPr>
      <w:r w:rsidRPr="00B14E91">
        <w:tab/>
        <w:t>(3A)</w:t>
      </w:r>
      <w:r w:rsidRPr="00B14E91">
        <w:tab/>
        <w:t>The manufacturer must provide a copy of the statement with the device.</w:t>
      </w:r>
    </w:p>
    <w:p w:rsidR="004C7C9A" w:rsidRPr="00B14E91" w:rsidRDefault="004C7C9A" w:rsidP="004C7C9A">
      <w:pPr>
        <w:pStyle w:val="ItemHead"/>
      </w:pPr>
      <w:r w:rsidRPr="00B14E91">
        <w:t>12  Subclause 7.6(2) of Schedule 3</w:t>
      </w:r>
    </w:p>
    <w:p w:rsidR="004C7C9A" w:rsidRPr="00B14E91" w:rsidRDefault="004C7C9A" w:rsidP="004C7C9A">
      <w:pPr>
        <w:pStyle w:val="Item"/>
      </w:pPr>
      <w:r w:rsidRPr="00B14E91">
        <w:t>Repeal the subclause, substitute:</w:t>
      </w:r>
    </w:p>
    <w:p w:rsidR="004C7C9A" w:rsidRPr="00B14E91" w:rsidRDefault="004C7C9A" w:rsidP="004C7C9A">
      <w:pPr>
        <w:pStyle w:val="subsection"/>
      </w:pPr>
      <w:r w:rsidRPr="00B14E91">
        <w:tab/>
        <w:t>(2)</w:t>
      </w:r>
      <w:r w:rsidRPr="00B14E91">
        <w:tab/>
        <w:t>The manufacturer must keep the statement and documentation for at least:</w:t>
      </w:r>
    </w:p>
    <w:p w:rsidR="004C7C9A" w:rsidRPr="00B14E91" w:rsidRDefault="004C7C9A" w:rsidP="004C7C9A">
      <w:pPr>
        <w:pStyle w:val="paragraph"/>
      </w:pPr>
      <w:r w:rsidRPr="00B14E91">
        <w:tab/>
        <w:t>(a)</w:t>
      </w:r>
      <w:r w:rsidRPr="00B14E91">
        <w:tab/>
        <w:t>if the device is not an implantable medical device—5 years after the manufacture of the medical device to which the statement and documentation relate; or</w:t>
      </w:r>
    </w:p>
    <w:p w:rsidR="004C7C9A" w:rsidRPr="00B14E91" w:rsidRDefault="004C7C9A" w:rsidP="004C7C9A">
      <w:pPr>
        <w:pStyle w:val="paragraph"/>
      </w:pPr>
      <w:r w:rsidRPr="00B14E91">
        <w:tab/>
        <w:t>(b)</w:t>
      </w:r>
      <w:r w:rsidRPr="00B14E91">
        <w:tab/>
        <w:t>if the device is an implantable medical device—15 years after the manufacture of the medical device to which the statement and documentation relate.</w:t>
      </w:r>
    </w:p>
    <w:p w:rsidR="004C7C9A" w:rsidRPr="00B14E91" w:rsidRDefault="004C7C9A" w:rsidP="004C7C9A">
      <w:pPr>
        <w:pStyle w:val="ActHead7"/>
        <w:pageBreakBefore/>
      </w:pPr>
      <w:bookmarkStart w:id="44" w:name="_Toc48564302"/>
      <w:r w:rsidRPr="00B14E91">
        <w:rPr>
          <w:rStyle w:val="CharAmPartNo"/>
        </w:rPr>
        <w:lastRenderedPageBreak/>
        <w:t>Part 4</w:t>
      </w:r>
      <w:r w:rsidRPr="00B14E91">
        <w:t>—</w:t>
      </w:r>
      <w:r w:rsidRPr="00B14E91">
        <w:rPr>
          <w:rStyle w:val="CharAmPartText"/>
        </w:rPr>
        <w:t>Exemptions</w:t>
      </w:r>
      <w:bookmarkEnd w:id="44"/>
    </w:p>
    <w:p w:rsidR="004C7C9A" w:rsidRPr="00B14E91" w:rsidRDefault="004C7C9A" w:rsidP="004C7C9A">
      <w:pPr>
        <w:pStyle w:val="ActHead9"/>
      </w:pPr>
      <w:bookmarkStart w:id="45" w:name="_Toc48564303"/>
      <w:r w:rsidRPr="00B14E91">
        <w:t xml:space="preserve">Therapeutic Goods (Medical Devices) </w:t>
      </w:r>
      <w:r w:rsidR="00D425F1">
        <w:t>Regulations 2</w:t>
      </w:r>
      <w:r w:rsidRPr="00B14E91">
        <w:t>002</w:t>
      </w:r>
      <w:bookmarkEnd w:id="45"/>
    </w:p>
    <w:p w:rsidR="004C7C9A" w:rsidRPr="00B14E91" w:rsidRDefault="004C7C9A" w:rsidP="004C7C9A">
      <w:pPr>
        <w:pStyle w:val="ItemHead"/>
      </w:pPr>
      <w:r w:rsidRPr="00B14E91">
        <w:t>13  Regulation 1.6</w:t>
      </w:r>
    </w:p>
    <w:p w:rsidR="004C7C9A" w:rsidRPr="00B14E91" w:rsidRDefault="004C7C9A" w:rsidP="004C7C9A">
      <w:pPr>
        <w:pStyle w:val="Item"/>
      </w:pPr>
      <w:r w:rsidRPr="00B14E91">
        <w:t>Omit “given to the device by its manufacturer to identify the device and any variants”, substitute “of the device”.</w:t>
      </w:r>
    </w:p>
    <w:p w:rsidR="004C7C9A" w:rsidRPr="00B14E91" w:rsidRDefault="004C7C9A" w:rsidP="004C7C9A">
      <w:pPr>
        <w:pStyle w:val="ItemHead"/>
      </w:pPr>
      <w:r w:rsidRPr="00B14E91">
        <w:t xml:space="preserve">14  </w:t>
      </w:r>
      <w:r w:rsidR="00D425F1">
        <w:t>Paragraph 3</w:t>
      </w:r>
      <w:r w:rsidRPr="00B14E91">
        <w:t>.11(2)(a)</w:t>
      </w:r>
    </w:p>
    <w:p w:rsidR="004C7C9A" w:rsidRPr="00B14E91" w:rsidRDefault="004C7C9A" w:rsidP="004C7C9A">
      <w:pPr>
        <w:pStyle w:val="Item"/>
      </w:pPr>
      <w:r w:rsidRPr="00B14E91">
        <w:t>Omit “or 1.5”.</w:t>
      </w:r>
    </w:p>
    <w:p w:rsidR="004C7C9A" w:rsidRPr="00B14E91" w:rsidRDefault="004C7C9A" w:rsidP="004C7C9A">
      <w:pPr>
        <w:pStyle w:val="ItemHead"/>
      </w:pPr>
      <w:r w:rsidRPr="00B14E91">
        <w:t>15  At the end of regulation 3.11</w:t>
      </w:r>
    </w:p>
    <w:p w:rsidR="004C7C9A" w:rsidRPr="00B14E91" w:rsidRDefault="004C7C9A" w:rsidP="004C7C9A">
      <w:pPr>
        <w:pStyle w:val="Item"/>
      </w:pPr>
      <w:r w:rsidRPr="00B14E91">
        <w:t>Add:</w:t>
      </w:r>
    </w:p>
    <w:p w:rsidR="004C7C9A" w:rsidRPr="00B14E91" w:rsidRDefault="004C7C9A" w:rsidP="004C7C9A">
      <w:pPr>
        <w:pStyle w:val="subsection"/>
      </w:pPr>
      <w:r w:rsidRPr="00B14E91">
        <w:tab/>
        <w:t>(3)</w:t>
      </w:r>
      <w:r w:rsidRPr="00B14E91">
        <w:tab/>
        <w:t>Despite subregulation (2), this regulation applies to a custom</w:t>
      </w:r>
      <w:r w:rsidR="00D425F1">
        <w:noBreakHyphen/>
      </w:r>
      <w:r w:rsidRPr="00B14E91">
        <w:t>made medical device.</w:t>
      </w:r>
    </w:p>
    <w:p w:rsidR="004C7C9A" w:rsidRPr="00B14E91" w:rsidRDefault="004C7C9A" w:rsidP="004C7C9A">
      <w:pPr>
        <w:pStyle w:val="ItemHead"/>
      </w:pPr>
      <w:r w:rsidRPr="00B14E91">
        <w:t xml:space="preserve">16  </w:t>
      </w:r>
      <w:r w:rsidR="00D425F1">
        <w:t>Paragraph 4</w:t>
      </w:r>
      <w:r w:rsidRPr="00B14E91">
        <w:t>.3F(e)</w:t>
      </w:r>
    </w:p>
    <w:p w:rsidR="004C7C9A" w:rsidRPr="00B14E91" w:rsidRDefault="004C7C9A" w:rsidP="004C7C9A">
      <w:pPr>
        <w:pStyle w:val="Item"/>
      </w:pPr>
      <w:r w:rsidRPr="00B14E91">
        <w:t>Omit “given to the device by the manufacturer”, substitute “of the device”.</w:t>
      </w:r>
    </w:p>
    <w:p w:rsidR="004C7C9A" w:rsidRPr="00B14E91" w:rsidRDefault="004C7C9A" w:rsidP="004C7C9A">
      <w:pPr>
        <w:pStyle w:val="ItemHead"/>
      </w:pPr>
      <w:r w:rsidRPr="00B14E91">
        <w:t xml:space="preserve">17  </w:t>
      </w:r>
      <w:r w:rsidR="00D425F1">
        <w:t>Paragraph 4</w:t>
      </w:r>
      <w:r w:rsidRPr="00B14E91">
        <w:t>A.31(h)</w:t>
      </w:r>
    </w:p>
    <w:p w:rsidR="004C7C9A" w:rsidRPr="00B14E91" w:rsidRDefault="004C7C9A" w:rsidP="004C7C9A">
      <w:pPr>
        <w:pStyle w:val="Item"/>
      </w:pPr>
      <w:r w:rsidRPr="00B14E91">
        <w:t>Omit “given to the device by the manufacturer”, substitute “of the device”.</w:t>
      </w:r>
    </w:p>
    <w:p w:rsidR="004C7C9A" w:rsidRPr="00B14E91" w:rsidRDefault="004C7C9A" w:rsidP="004C7C9A">
      <w:pPr>
        <w:pStyle w:val="ItemHead"/>
      </w:pPr>
      <w:r w:rsidRPr="00B14E91">
        <w:t xml:space="preserve">18  </w:t>
      </w:r>
      <w:r w:rsidR="00D425F1">
        <w:t>Subparagraph 1</w:t>
      </w:r>
      <w:r w:rsidRPr="00B14E91">
        <w:t>.8(2)(c)(i) of Schedule 3</w:t>
      </w:r>
    </w:p>
    <w:p w:rsidR="004C7C9A" w:rsidRPr="00B14E91" w:rsidRDefault="004C7C9A" w:rsidP="004C7C9A">
      <w:pPr>
        <w:pStyle w:val="Item"/>
      </w:pPr>
      <w:r w:rsidRPr="00B14E91">
        <w:t>Omit “(for example, the product name or model number)”.</w:t>
      </w:r>
    </w:p>
    <w:p w:rsidR="004C7C9A" w:rsidRPr="00B14E91" w:rsidRDefault="004C7C9A" w:rsidP="004C7C9A">
      <w:pPr>
        <w:pStyle w:val="ItemHead"/>
      </w:pPr>
      <w:r w:rsidRPr="00B14E91">
        <w:t xml:space="preserve">19  </w:t>
      </w:r>
      <w:r w:rsidR="00D425F1">
        <w:t>Subparagraph 3</w:t>
      </w:r>
      <w:r w:rsidRPr="00B14E91">
        <w:t>.5(2)(c)(i) of Schedule 3</w:t>
      </w:r>
    </w:p>
    <w:p w:rsidR="004C7C9A" w:rsidRPr="00B14E91" w:rsidRDefault="004C7C9A" w:rsidP="004C7C9A">
      <w:pPr>
        <w:pStyle w:val="Item"/>
      </w:pPr>
      <w:r w:rsidRPr="00B14E91">
        <w:t>Omit “(for example, the product name or model number)”.</w:t>
      </w:r>
    </w:p>
    <w:p w:rsidR="004C7C9A" w:rsidRPr="00B14E91" w:rsidRDefault="004C7C9A" w:rsidP="004C7C9A">
      <w:pPr>
        <w:pStyle w:val="ItemHead"/>
      </w:pPr>
      <w:r w:rsidRPr="00B14E91">
        <w:t xml:space="preserve">20  </w:t>
      </w:r>
      <w:r w:rsidR="00D425F1">
        <w:t>Subparagraph 5</w:t>
      </w:r>
      <w:r w:rsidRPr="00B14E91">
        <w:t>.7(2)(c)(i) of Schedule 3</w:t>
      </w:r>
    </w:p>
    <w:p w:rsidR="004C7C9A" w:rsidRPr="00B14E91" w:rsidRDefault="004C7C9A" w:rsidP="004C7C9A">
      <w:pPr>
        <w:pStyle w:val="Item"/>
      </w:pPr>
      <w:r w:rsidRPr="00B14E91">
        <w:t>Omit “(for example, the product name or model number)”.</w:t>
      </w:r>
    </w:p>
    <w:p w:rsidR="004C7C9A" w:rsidRPr="00B14E91" w:rsidRDefault="004C7C9A" w:rsidP="004C7C9A">
      <w:pPr>
        <w:pStyle w:val="ItemHead"/>
      </w:pPr>
      <w:r w:rsidRPr="00B14E91">
        <w:t xml:space="preserve">21  </w:t>
      </w:r>
      <w:r w:rsidR="00D425F1">
        <w:t>Subparagraph 6</w:t>
      </w:r>
      <w:r w:rsidRPr="00B14E91">
        <w:t>.6(2)(c)(i) of Schedule 3</w:t>
      </w:r>
    </w:p>
    <w:p w:rsidR="004C7C9A" w:rsidRPr="00B14E91" w:rsidRDefault="004C7C9A" w:rsidP="004C7C9A">
      <w:pPr>
        <w:pStyle w:val="Item"/>
      </w:pPr>
      <w:r w:rsidRPr="00B14E91">
        <w:t>Omit “(for example, the product name or model number)”.</w:t>
      </w:r>
    </w:p>
    <w:p w:rsidR="004C7C9A" w:rsidRPr="00B14E91" w:rsidRDefault="004C7C9A" w:rsidP="004C7C9A">
      <w:pPr>
        <w:pStyle w:val="ItemHead"/>
      </w:pPr>
      <w:r w:rsidRPr="00B14E91">
        <w:t xml:space="preserve">22  </w:t>
      </w:r>
      <w:r w:rsidR="00D425F1">
        <w:t>Subparagraph 6</w:t>
      </w:r>
      <w:r w:rsidRPr="00B14E91">
        <w:t>B.6(2)(c)(i) of Schedule 3</w:t>
      </w:r>
    </w:p>
    <w:p w:rsidR="004C7C9A" w:rsidRPr="00B14E91" w:rsidRDefault="004C7C9A" w:rsidP="004C7C9A">
      <w:pPr>
        <w:pStyle w:val="Item"/>
      </w:pPr>
      <w:r w:rsidRPr="00B14E91">
        <w:t>Omit “(for example, the product name)”.</w:t>
      </w:r>
    </w:p>
    <w:p w:rsidR="004C7C9A" w:rsidRPr="00B14E91" w:rsidRDefault="004C7C9A" w:rsidP="004C7C9A">
      <w:pPr>
        <w:pStyle w:val="ItemHead"/>
      </w:pPr>
      <w:r w:rsidRPr="00B14E91">
        <w:t xml:space="preserve">23  Part 1 of Schedule 4 (table </w:t>
      </w:r>
      <w:r w:rsidR="00D425F1">
        <w:t>item 1</w:t>
      </w:r>
      <w:r w:rsidRPr="00B14E91">
        <w:t>.5)</w:t>
      </w:r>
    </w:p>
    <w:p w:rsidR="004C7C9A" w:rsidRPr="00B14E91" w:rsidRDefault="004C7C9A" w:rsidP="004C7C9A">
      <w:pPr>
        <w:pStyle w:val="Item"/>
      </w:pPr>
      <w:r w:rsidRPr="00B14E91">
        <w:t>Repeal the item.</w:t>
      </w:r>
    </w:p>
    <w:p w:rsidR="004C7C9A" w:rsidRPr="00B14E91" w:rsidRDefault="004C7C9A" w:rsidP="004C7C9A">
      <w:pPr>
        <w:pStyle w:val="ItemHead"/>
      </w:pPr>
      <w:r w:rsidRPr="00B14E91">
        <w:t>24  Part 2 of Schedule 4 (at the end of the table)</w:t>
      </w:r>
    </w:p>
    <w:p w:rsidR="004C7C9A" w:rsidRPr="00B14E91" w:rsidRDefault="004C7C9A" w:rsidP="004C7C9A">
      <w:pPr>
        <w:pStyle w:val="Item"/>
      </w:pPr>
      <w:r w:rsidRPr="00B14E91">
        <w:t>Add:</w:t>
      </w:r>
    </w:p>
    <w:tbl>
      <w:tblPr>
        <w:tblW w:w="5000" w:type="pct"/>
        <w:tblBorders>
          <w:insideH w:val="single" w:sz="2" w:space="0" w:color="auto"/>
        </w:tblBorders>
        <w:tblLook w:val="0000" w:firstRow="0" w:lastRow="0" w:firstColumn="0" w:lastColumn="0" w:noHBand="0" w:noVBand="0"/>
      </w:tblPr>
      <w:tblGrid>
        <w:gridCol w:w="731"/>
        <w:gridCol w:w="3279"/>
        <w:gridCol w:w="4519"/>
      </w:tblGrid>
      <w:tr w:rsidR="004C7C9A" w:rsidRPr="00B14E91" w:rsidTr="00B807E7">
        <w:tc>
          <w:tcPr>
            <w:tcW w:w="429" w:type="pct"/>
            <w:shd w:val="clear" w:color="auto" w:fill="auto"/>
          </w:tcPr>
          <w:p w:rsidR="004C7C9A" w:rsidRPr="00B14E91" w:rsidRDefault="004C7C9A" w:rsidP="00B807E7">
            <w:pPr>
              <w:pStyle w:val="Tabletext"/>
            </w:pPr>
            <w:r w:rsidRPr="00B14E91">
              <w:t>2.12</w:t>
            </w:r>
          </w:p>
        </w:tc>
        <w:tc>
          <w:tcPr>
            <w:tcW w:w="1922" w:type="pct"/>
            <w:shd w:val="clear" w:color="auto" w:fill="auto"/>
          </w:tcPr>
          <w:p w:rsidR="004C7C9A" w:rsidRPr="00B14E91" w:rsidRDefault="004C7C9A" w:rsidP="00B807E7">
            <w:pPr>
              <w:pStyle w:val="Tabletext"/>
            </w:pPr>
            <w:r w:rsidRPr="00B14E91">
              <w:t>Custom</w:t>
            </w:r>
            <w:r w:rsidR="00D425F1">
              <w:noBreakHyphen/>
            </w:r>
            <w:r w:rsidRPr="00B14E91">
              <w:t>made medical device that is manufactured in Australia</w:t>
            </w:r>
          </w:p>
        </w:tc>
        <w:tc>
          <w:tcPr>
            <w:tcW w:w="2649" w:type="pct"/>
            <w:shd w:val="clear" w:color="auto" w:fill="auto"/>
          </w:tcPr>
          <w:p w:rsidR="004C7C9A" w:rsidRPr="00B14E91" w:rsidRDefault="004C7C9A" w:rsidP="00B807E7">
            <w:pPr>
              <w:pStyle w:val="Tablea"/>
            </w:pPr>
            <w:r w:rsidRPr="00B14E91">
              <w:t>(a) The manufacturer of the device must, at all times, have available:</w:t>
            </w:r>
          </w:p>
          <w:p w:rsidR="004C7C9A" w:rsidRPr="00B14E91" w:rsidRDefault="004C7C9A" w:rsidP="00B807E7">
            <w:pPr>
              <w:pStyle w:val="Tablei"/>
            </w:pPr>
            <w:r w:rsidRPr="00B14E91">
              <w:t xml:space="preserve">(i) sufficient information to substantiate that </w:t>
            </w:r>
            <w:r w:rsidRPr="00B14E91">
              <w:lastRenderedPageBreak/>
              <w:t>the conformity assessment procedures have been applied to the device; or</w:t>
            </w:r>
          </w:p>
          <w:p w:rsidR="004C7C9A" w:rsidRPr="00B14E91" w:rsidRDefault="004C7C9A" w:rsidP="00B807E7">
            <w:pPr>
              <w:pStyle w:val="Tablei"/>
            </w:pPr>
            <w:r w:rsidRPr="00B14E91">
              <w:t>(ii) information relating to the design and manufacture of the device and to any changes to the device.</w:t>
            </w:r>
          </w:p>
          <w:p w:rsidR="004C7C9A" w:rsidRPr="00B14E91" w:rsidRDefault="004C7C9A" w:rsidP="00B807E7">
            <w:pPr>
              <w:pStyle w:val="Tablea"/>
            </w:pPr>
            <w:r w:rsidRPr="00B14E91">
              <w:t>(b) The manufacturer of the device must allow an authorised person to do any of the following:</w:t>
            </w:r>
          </w:p>
          <w:p w:rsidR="004C7C9A" w:rsidRPr="00B14E91" w:rsidRDefault="004C7C9A" w:rsidP="00B807E7">
            <w:pPr>
              <w:pStyle w:val="Tablei"/>
            </w:pPr>
            <w:r w:rsidRPr="00B14E91">
              <w:t>(i) enter, at any reasonable time, any premises (including premises outside Australia) at which the manufacturer or any other person deals with the device;</w:t>
            </w:r>
          </w:p>
          <w:p w:rsidR="004C7C9A" w:rsidRPr="00B14E91" w:rsidRDefault="004C7C9A" w:rsidP="00B807E7">
            <w:pPr>
              <w:pStyle w:val="Tablei"/>
            </w:pPr>
            <w:r w:rsidRPr="00B14E91">
              <w:t>(ii) inspect those premises;</w:t>
            </w:r>
          </w:p>
          <w:p w:rsidR="004C7C9A" w:rsidRPr="00B14E91" w:rsidRDefault="004C7C9A" w:rsidP="00B807E7">
            <w:pPr>
              <w:pStyle w:val="Tablei"/>
            </w:pPr>
            <w:r w:rsidRPr="00B14E91">
              <w:t>(iii) if the device is on those premises—inspect the device and examine, take measurements of, conduct tests on or require tests to be conducted on the device;</w:t>
            </w:r>
          </w:p>
          <w:p w:rsidR="004C7C9A" w:rsidRPr="00B14E91" w:rsidRDefault="004C7C9A" w:rsidP="00B807E7">
            <w:pPr>
              <w:pStyle w:val="Tablei"/>
            </w:pPr>
            <w:r w:rsidRPr="00B14E91">
              <w:t>(iv) inspect any thing on those premises that relates to the device and examine, take measurements of, conduct tests on, require tests to be conducted on or take samples of any such thing;</w:t>
            </w:r>
          </w:p>
          <w:p w:rsidR="004C7C9A" w:rsidRPr="00B14E91" w:rsidRDefault="004C7C9A" w:rsidP="00B807E7">
            <w:pPr>
              <w:pStyle w:val="Tablei"/>
            </w:pPr>
            <w:r w:rsidRPr="00B14E91">
              <w:t>(v) make any still or moving image or any recording of those premises or any thing on those premises.</w:t>
            </w:r>
          </w:p>
          <w:p w:rsidR="004C7C9A" w:rsidRPr="00B14E91" w:rsidRDefault="004C7C9A" w:rsidP="00B807E7">
            <w:pPr>
              <w:pStyle w:val="Tablea"/>
            </w:pPr>
            <w:r w:rsidRPr="00B14E91">
              <w:t>(c) If asked to do so by an authorised person, the manufacturer of the device must produce to the authorised person any documents relating to the device that the authorised person requires and allow the authorised person to copy the documents.</w:t>
            </w:r>
          </w:p>
          <w:p w:rsidR="004C7C9A" w:rsidRPr="00B14E91" w:rsidRDefault="004C7C9A" w:rsidP="00B807E7">
            <w:pPr>
              <w:pStyle w:val="Tablea"/>
            </w:pPr>
            <w:r w:rsidRPr="00B14E91">
              <w:t>(d) The manufacturer of the device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4C7C9A" w:rsidRPr="00B14E91" w:rsidTr="00B807E7">
        <w:tc>
          <w:tcPr>
            <w:tcW w:w="429" w:type="pct"/>
            <w:shd w:val="clear" w:color="auto" w:fill="auto"/>
          </w:tcPr>
          <w:p w:rsidR="004C7C9A" w:rsidRPr="00B14E91" w:rsidRDefault="004C7C9A" w:rsidP="00B807E7">
            <w:pPr>
              <w:pStyle w:val="Tabletext"/>
            </w:pPr>
            <w:r w:rsidRPr="00B14E91">
              <w:lastRenderedPageBreak/>
              <w:t>2.13</w:t>
            </w:r>
          </w:p>
        </w:tc>
        <w:tc>
          <w:tcPr>
            <w:tcW w:w="1922" w:type="pct"/>
            <w:shd w:val="clear" w:color="auto" w:fill="auto"/>
          </w:tcPr>
          <w:p w:rsidR="004C7C9A" w:rsidRPr="00B14E91" w:rsidRDefault="004C7C9A" w:rsidP="00B807E7">
            <w:pPr>
              <w:pStyle w:val="Tabletext"/>
            </w:pPr>
            <w:r w:rsidRPr="00B14E91">
              <w:t>Custom</w:t>
            </w:r>
            <w:r w:rsidR="00D425F1">
              <w:noBreakHyphen/>
            </w:r>
            <w:r w:rsidRPr="00B14E91">
              <w:t>made medical device that is manufactured outside Australia</w:t>
            </w:r>
          </w:p>
        </w:tc>
        <w:tc>
          <w:tcPr>
            <w:tcW w:w="2649" w:type="pct"/>
            <w:shd w:val="clear" w:color="auto" w:fill="auto"/>
          </w:tcPr>
          <w:p w:rsidR="004C7C9A" w:rsidRPr="00B14E91" w:rsidRDefault="004C7C9A" w:rsidP="00B807E7">
            <w:pPr>
              <w:pStyle w:val="Tablea"/>
            </w:pPr>
            <w:r w:rsidRPr="00B14E91">
              <w:t>(a) The sponsor must have procedures in place to ensure that the manufacturer of the device, at all times, has available:</w:t>
            </w:r>
          </w:p>
          <w:p w:rsidR="004C7C9A" w:rsidRPr="00B14E91" w:rsidRDefault="004C7C9A" w:rsidP="00B807E7">
            <w:pPr>
              <w:pStyle w:val="Tablei"/>
            </w:pPr>
            <w:r w:rsidRPr="00B14E91">
              <w:t>(i) sufficient information to substantiate that the conformity assessment procedures have been applied to the device; or</w:t>
            </w:r>
          </w:p>
          <w:p w:rsidR="004C7C9A" w:rsidRPr="00B14E91" w:rsidRDefault="004C7C9A" w:rsidP="00B807E7">
            <w:pPr>
              <w:pStyle w:val="Tablei"/>
            </w:pPr>
            <w:r w:rsidRPr="00B14E91">
              <w:t>(ii) information relating to the design and manufacture of the device and to any changes to the device.</w:t>
            </w:r>
          </w:p>
          <w:p w:rsidR="004C7C9A" w:rsidRPr="00B14E91" w:rsidRDefault="004C7C9A" w:rsidP="00B807E7">
            <w:pPr>
              <w:pStyle w:val="Tablea"/>
            </w:pPr>
            <w:r w:rsidRPr="00B14E91">
              <w:t>(b) The sponsor must have procedures in place to ensure that the manufacturer of the device allows an authorised person to do any of the following:</w:t>
            </w:r>
          </w:p>
          <w:p w:rsidR="004C7C9A" w:rsidRPr="00B14E91" w:rsidRDefault="004C7C9A" w:rsidP="00B807E7">
            <w:pPr>
              <w:pStyle w:val="Tablei"/>
            </w:pPr>
            <w:r w:rsidRPr="00B14E91">
              <w:t>(i) enter, at any reasonable time, any premises at which the manufacturer or any other person deals with the device;</w:t>
            </w:r>
          </w:p>
          <w:p w:rsidR="004C7C9A" w:rsidRPr="00B14E91" w:rsidRDefault="004C7C9A" w:rsidP="00B807E7">
            <w:pPr>
              <w:pStyle w:val="Tablei"/>
            </w:pPr>
            <w:r w:rsidRPr="00B14E91">
              <w:t>(ii) inspect those premises;</w:t>
            </w:r>
          </w:p>
          <w:p w:rsidR="004C7C9A" w:rsidRPr="00B14E91" w:rsidRDefault="004C7C9A" w:rsidP="00B807E7">
            <w:pPr>
              <w:pStyle w:val="Tablei"/>
            </w:pPr>
            <w:r w:rsidRPr="00B14E91">
              <w:lastRenderedPageBreak/>
              <w:t>(iii) if the device is on those premises—inspect the device and examine, take measurements of, conduct tests on or require tests to be conducted on the device;</w:t>
            </w:r>
          </w:p>
          <w:p w:rsidR="004C7C9A" w:rsidRPr="00B14E91" w:rsidRDefault="004C7C9A" w:rsidP="00B807E7">
            <w:pPr>
              <w:pStyle w:val="Tablei"/>
            </w:pPr>
            <w:r w:rsidRPr="00B14E91">
              <w:t>(iv) inspect any thing on those premises that relates to the device and examine, take measurements of, conduct tests on, require tests to be conducted on or take samples of any such thing;</w:t>
            </w:r>
          </w:p>
          <w:p w:rsidR="004C7C9A" w:rsidRPr="00B14E91" w:rsidRDefault="004C7C9A" w:rsidP="00B807E7">
            <w:pPr>
              <w:pStyle w:val="Tablei"/>
            </w:pPr>
            <w:r w:rsidRPr="00B14E91">
              <w:t>(v) make any still or moving image or any recording of those premises or any thing on those premises.</w:t>
            </w:r>
          </w:p>
          <w:p w:rsidR="004C7C9A" w:rsidRPr="00B14E91" w:rsidRDefault="004C7C9A" w:rsidP="00B807E7">
            <w:pPr>
              <w:pStyle w:val="Tablea"/>
            </w:pPr>
            <w:r w:rsidRPr="00B14E91">
              <w:t>(c) The sponsor must have procedures in place to ensure that the manufacturer of the device, if the manufacturer is asked to do so by an authorised person, produces to the authorised person any documents relating to the device that the authorised person requires and allows the authorised person to copy the documents.</w:t>
            </w:r>
          </w:p>
          <w:p w:rsidR="004C7C9A" w:rsidRPr="00B14E91" w:rsidRDefault="004C7C9A" w:rsidP="00B807E7">
            <w:pPr>
              <w:pStyle w:val="Tablea"/>
            </w:pPr>
            <w:r w:rsidRPr="00B14E91">
              <w:t>(d) The sponsor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4C7C9A" w:rsidRPr="00B14E91" w:rsidTr="00B807E7">
        <w:tc>
          <w:tcPr>
            <w:tcW w:w="429" w:type="pct"/>
            <w:shd w:val="clear" w:color="auto" w:fill="auto"/>
          </w:tcPr>
          <w:p w:rsidR="004C7C9A" w:rsidRPr="00B14E91" w:rsidRDefault="004C7C9A" w:rsidP="00B807E7">
            <w:pPr>
              <w:pStyle w:val="Tabletext"/>
            </w:pPr>
            <w:r w:rsidRPr="00B14E91">
              <w:lastRenderedPageBreak/>
              <w:t>2.14</w:t>
            </w:r>
          </w:p>
        </w:tc>
        <w:tc>
          <w:tcPr>
            <w:tcW w:w="1922" w:type="pct"/>
            <w:shd w:val="clear" w:color="auto" w:fill="auto"/>
          </w:tcPr>
          <w:p w:rsidR="004C7C9A" w:rsidRPr="00B14E91" w:rsidRDefault="004C7C9A" w:rsidP="00B807E7">
            <w:pPr>
              <w:pStyle w:val="Tabletext"/>
            </w:pPr>
            <w:r w:rsidRPr="00B14E91">
              <w:t>Patient</w:t>
            </w:r>
            <w:r w:rsidR="00D425F1">
              <w:noBreakHyphen/>
            </w:r>
            <w:r w:rsidRPr="00B14E91">
              <w:t>matched medical device</w:t>
            </w:r>
          </w:p>
        </w:tc>
        <w:tc>
          <w:tcPr>
            <w:tcW w:w="2649" w:type="pct"/>
            <w:shd w:val="clear" w:color="auto" w:fill="auto"/>
          </w:tcPr>
          <w:p w:rsidR="004C7C9A" w:rsidRPr="00B14E91" w:rsidRDefault="004C7C9A" w:rsidP="00B807E7">
            <w:pPr>
              <w:pStyle w:val="Tabletext"/>
            </w:pPr>
            <w:r w:rsidRPr="00B14E91">
              <w:t>The sponsor must, before 25 February 2021, notify the Secretary in writing of each kind of medical device covered by the description mentioned in paragraph 11.51(3)(b) that is intended to be supplied in Australia on or after 1 November 2024 and of the following:</w:t>
            </w:r>
          </w:p>
          <w:p w:rsidR="004C7C9A" w:rsidRPr="00B14E91" w:rsidRDefault="004C7C9A" w:rsidP="00B807E7">
            <w:pPr>
              <w:pStyle w:val="Tablea"/>
            </w:pPr>
            <w:r w:rsidRPr="00B14E91">
              <w:t>(a) the name and address of the sponsor;</w:t>
            </w:r>
          </w:p>
          <w:p w:rsidR="004C7C9A" w:rsidRPr="00B14E91" w:rsidRDefault="004C7C9A" w:rsidP="00B807E7">
            <w:pPr>
              <w:pStyle w:val="Tablea"/>
            </w:pPr>
            <w:r w:rsidRPr="00B14E91">
              <w:t>(b) the name and address of the manufacturer of that kind of medical device;</w:t>
            </w:r>
          </w:p>
          <w:p w:rsidR="004C7C9A" w:rsidRPr="00B14E91" w:rsidRDefault="004C7C9A" w:rsidP="00B807E7">
            <w:pPr>
              <w:pStyle w:val="Tablea"/>
            </w:pPr>
            <w:r w:rsidRPr="00B14E91">
              <w:t>(c) the device nomenclature system code of that kind of medical device;</w:t>
            </w:r>
          </w:p>
          <w:p w:rsidR="004C7C9A" w:rsidRPr="00B14E91" w:rsidRDefault="004C7C9A" w:rsidP="00B807E7">
            <w:pPr>
              <w:pStyle w:val="Tablea"/>
            </w:pPr>
            <w:r w:rsidRPr="00B14E91">
              <w:t>(d) the medical device classification of that kind of medical device;</w:t>
            </w:r>
          </w:p>
          <w:p w:rsidR="004C7C9A" w:rsidRPr="00B14E91" w:rsidRDefault="004C7C9A" w:rsidP="00B807E7">
            <w:pPr>
              <w:pStyle w:val="Tablea"/>
            </w:pPr>
            <w:r w:rsidRPr="00B14E91">
              <w:t>(e) the unique product identifier given to each medical device of that kind.</w:t>
            </w:r>
          </w:p>
        </w:tc>
      </w:tr>
    </w:tbl>
    <w:p w:rsidR="004C7C9A" w:rsidRPr="00B14E91" w:rsidRDefault="004C7C9A" w:rsidP="004C7C9A">
      <w:pPr>
        <w:pStyle w:val="ItemHead"/>
      </w:pPr>
      <w:r w:rsidRPr="00B14E91">
        <w:t>25  Dictionary</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 xml:space="preserve">unique product identifier </w:t>
      </w:r>
      <w:r w:rsidRPr="00B14E91">
        <w:t>of a medical device means the unique product identifier (for example, the product name or model number) given to the device by its manufacturer to identify the device and any variants.</w:t>
      </w:r>
    </w:p>
    <w:p w:rsidR="004C7C9A" w:rsidRPr="00B14E91" w:rsidRDefault="004C7C9A" w:rsidP="004C7C9A">
      <w:pPr>
        <w:pStyle w:val="ActHead7"/>
        <w:pageBreakBefore/>
      </w:pPr>
      <w:bookmarkStart w:id="46" w:name="_Toc48564304"/>
      <w:r w:rsidRPr="00B14E91">
        <w:rPr>
          <w:rStyle w:val="CharAmPartNo"/>
        </w:rPr>
        <w:lastRenderedPageBreak/>
        <w:t>Part 5</w:t>
      </w:r>
      <w:r w:rsidRPr="00B14E91">
        <w:t>—</w:t>
      </w:r>
      <w:r w:rsidRPr="00B14E91">
        <w:rPr>
          <w:rStyle w:val="CharAmPartText"/>
        </w:rPr>
        <w:t>Classification rules</w:t>
      </w:r>
      <w:bookmarkEnd w:id="46"/>
    </w:p>
    <w:p w:rsidR="004C7C9A" w:rsidRPr="00B14E91" w:rsidRDefault="004C7C9A" w:rsidP="004C7C9A">
      <w:pPr>
        <w:pStyle w:val="ActHead9"/>
      </w:pPr>
      <w:bookmarkStart w:id="47" w:name="_Toc48564305"/>
      <w:r w:rsidRPr="00B14E91">
        <w:t xml:space="preserve">Therapeutic Goods (Medical Devices) </w:t>
      </w:r>
      <w:r w:rsidR="00D425F1">
        <w:t>Regulations 2</w:t>
      </w:r>
      <w:r w:rsidRPr="00B14E91">
        <w:t>002</w:t>
      </w:r>
      <w:bookmarkEnd w:id="47"/>
    </w:p>
    <w:p w:rsidR="004C7C9A" w:rsidRPr="00B14E91" w:rsidRDefault="004C7C9A" w:rsidP="004C7C9A">
      <w:pPr>
        <w:pStyle w:val="ItemHead"/>
      </w:pPr>
      <w:r w:rsidRPr="00B14E91">
        <w:t>26  After subregulation 3.3(5)</w:t>
      </w:r>
    </w:p>
    <w:p w:rsidR="004C7C9A" w:rsidRPr="00B14E91" w:rsidRDefault="004C7C9A" w:rsidP="004C7C9A">
      <w:pPr>
        <w:pStyle w:val="Item"/>
      </w:pPr>
      <w:r w:rsidRPr="00B14E91">
        <w:t>Insert:</w:t>
      </w:r>
    </w:p>
    <w:p w:rsidR="004C7C9A" w:rsidRPr="00B14E91" w:rsidRDefault="004C7C9A" w:rsidP="004C7C9A">
      <w:pPr>
        <w:pStyle w:val="subsection"/>
      </w:pPr>
      <w:r w:rsidRPr="00B14E91">
        <w:tab/>
        <w:t>(5A)</w:t>
      </w:r>
      <w:r w:rsidRPr="00B14E91">
        <w:tab/>
        <w:t>A medical device production system has the same classification as the medical device the system is intended to produce.</w:t>
      </w:r>
    </w:p>
    <w:p w:rsidR="004C7C9A" w:rsidRPr="00B14E91" w:rsidRDefault="004C7C9A" w:rsidP="004C7C9A">
      <w:pPr>
        <w:pStyle w:val="ItemHead"/>
      </w:pPr>
      <w:r w:rsidRPr="00B14E91">
        <w:t>27  Clause 5.4 of Schedule 2</w:t>
      </w:r>
    </w:p>
    <w:p w:rsidR="004C7C9A" w:rsidRPr="00B14E91" w:rsidRDefault="004C7C9A" w:rsidP="004C7C9A">
      <w:pPr>
        <w:pStyle w:val="Item"/>
      </w:pPr>
      <w:r w:rsidRPr="00B14E91">
        <w:t>Repeal the clause, substitute:</w:t>
      </w:r>
    </w:p>
    <w:p w:rsidR="004C7C9A" w:rsidRPr="00B14E91" w:rsidRDefault="004C7C9A" w:rsidP="004C7C9A">
      <w:pPr>
        <w:pStyle w:val="ActHead5"/>
      </w:pPr>
      <w:bookmarkStart w:id="48" w:name="_Toc48564306"/>
      <w:r w:rsidRPr="00B14E91">
        <w:rPr>
          <w:rStyle w:val="CharSectno"/>
        </w:rPr>
        <w:t>5.4</w:t>
      </w:r>
      <w:r w:rsidRPr="00B14E91">
        <w:t xml:space="preserve">  Medical devices that record patient images or that are anatomical models etc.</w:t>
      </w:r>
      <w:bookmarkEnd w:id="48"/>
    </w:p>
    <w:p w:rsidR="004C7C9A" w:rsidRPr="00B14E91" w:rsidRDefault="004C7C9A" w:rsidP="004C7C9A">
      <w:pPr>
        <w:pStyle w:val="subsection"/>
      </w:pPr>
      <w:r w:rsidRPr="00B14E91">
        <w:tab/>
        <w:t>(1)</w:t>
      </w:r>
      <w:r w:rsidRPr="00B14E91">
        <w:tab/>
        <w:t>If:</w:t>
      </w:r>
    </w:p>
    <w:p w:rsidR="004C7C9A" w:rsidRPr="00B14E91" w:rsidRDefault="004C7C9A" w:rsidP="004C7C9A">
      <w:pPr>
        <w:pStyle w:val="paragraph"/>
      </w:pPr>
      <w:r w:rsidRPr="00B14E91">
        <w:tab/>
        <w:t>(a)</w:t>
      </w:r>
      <w:r w:rsidRPr="00B14E91">
        <w:tab/>
        <w:t>a medical device is intended by the manufacturer to be used to record patient images that are to be used for either or both of the following:</w:t>
      </w:r>
    </w:p>
    <w:p w:rsidR="004C7C9A" w:rsidRPr="00B14E91" w:rsidRDefault="004C7C9A" w:rsidP="004C7C9A">
      <w:pPr>
        <w:pStyle w:val="paragraphsub"/>
      </w:pPr>
      <w:r w:rsidRPr="00B14E91">
        <w:tab/>
        <w:t>(i)</w:t>
      </w:r>
      <w:r w:rsidRPr="00B14E91">
        <w:tab/>
        <w:t>the diagnosis or monitoring of a disease, injury or disability;</w:t>
      </w:r>
    </w:p>
    <w:p w:rsidR="004C7C9A" w:rsidRPr="00B14E91" w:rsidRDefault="004C7C9A" w:rsidP="004C7C9A">
      <w:pPr>
        <w:pStyle w:val="paragraphsub"/>
      </w:pPr>
      <w:r w:rsidRPr="00B14E91">
        <w:tab/>
        <w:t>(ii)</w:t>
      </w:r>
      <w:r w:rsidRPr="00B14E91">
        <w:tab/>
        <w:t>the investigation of the anatomy or of a physiological process; and</w:t>
      </w:r>
    </w:p>
    <w:p w:rsidR="004C7C9A" w:rsidRPr="00B14E91" w:rsidRDefault="004C7C9A" w:rsidP="004C7C9A">
      <w:pPr>
        <w:pStyle w:val="paragraph"/>
      </w:pPr>
      <w:r w:rsidRPr="00B14E91">
        <w:tab/>
        <w:t>(b)</w:t>
      </w:r>
      <w:r w:rsidRPr="00B14E91">
        <w:tab/>
        <w:t>the images are to be acquired through a method that relies on energy outside the visible spectrum;</w:t>
      </w:r>
    </w:p>
    <w:p w:rsidR="004C7C9A" w:rsidRPr="00B14E91" w:rsidRDefault="004C7C9A" w:rsidP="004C7C9A">
      <w:pPr>
        <w:pStyle w:val="subsection2"/>
      </w:pPr>
      <w:r w:rsidRPr="00B14E91">
        <w:t>the device is classified as Class IIa.</w:t>
      </w:r>
    </w:p>
    <w:p w:rsidR="004C7C9A" w:rsidRPr="00B14E91" w:rsidRDefault="004C7C9A" w:rsidP="004C7C9A">
      <w:pPr>
        <w:pStyle w:val="subsection"/>
      </w:pPr>
      <w:r w:rsidRPr="00B14E91">
        <w:tab/>
        <w:t>(2)</w:t>
      </w:r>
      <w:r w:rsidRPr="00B14E91">
        <w:tab/>
        <w:t>A medical device that is an anatomical model (whether physical or virtual) that is intended by the manufacturer to be used for either or both of the following:</w:t>
      </w:r>
    </w:p>
    <w:p w:rsidR="004C7C9A" w:rsidRPr="00B14E91" w:rsidRDefault="004C7C9A" w:rsidP="004C7C9A">
      <w:pPr>
        <w:pStyle w:val="paragraph"/>
      </w:pPr>
      <w:r w:rsidRPr="00B14E91">
        <w:tab/>
        <w:t>(a)</w:t>
      </w:r>
      <w:r w:rsidRPr="00B14E91">
        <w:tab/>
        <w:t>the diagnosis or monitoring of a disease, injury or disability;</w:t>
      </w:r>
    </w:p>
    <w:p w:rsidR="004C7C9A" w:rsidRPr="00B14E91" w:rsidRDefault="004C7C9A" w:rsidP="004C7C9A">
      <w:pPr>
        <w:pStyle w:val="paragraph"/>
      </w:pPr>
      <w:r w:rsidRPr="00B14E91">
        <w:tab/>
        <w:t>(b)</w:t>
      </w:r>
      <w:r w:rsidRPr="00B14E91">
        <w:tab/>
        <w:t>the investigation of the anatomy or of a physiological process;</w:t>
      </w:r>
    </w:p>
    <w:p w:rsidR="004C7C9A" w:rsidRPr="00B14E91" w:rsidRDefault="004C7C9A" w:rsidP="004C7C9A">
      <w:pPr>
        <w:pStyle w:val="subsection2"/>
      </w:pPr>
      <w:r w:rsidRPr="00B14E91">
        <w:t>is classified as Class IIa.</w:t>
      </w:r>
    </w:p>
    <w:p w:rsidR="004C7C9A" w:rsidRPr="00B14E91" w:rsidRDefault="004C7C9A" w:rsidP="004C7C9A">
      <w:pPr>
        <w:pStyle w:val="subsection"/>
      </w:pPr>
      <w:r w:rsidRPr="00B14E91">
        <w:tab/>
        <w:t>(3)</w:t>
      </w:r>
      <w:r w:rsidRPr="00B14E91">
        <w:tab/>
        <w:t>A programmed or programmable medical device, or software that is a medical device, that is intended by the manufacturer to be used to generate a virtual anatomical model that is to be used for either or both of the following:</w:t>
      </w:r>
    </w:p>
    <w:p w:rsidR="004C7C9A" w:rsidRPr="00B14E91" w:rsidRDefault="004C7C9A" w:rsidP="004C7C9A">
      <w:pPr>
        <w:pStyle w:val="paragraph"/>
      </w:pPr>
      <w:r w:rsidRPr="00B14E91">
        <w:tab/>
        <w:t>(a)</w:t>
      </w:r>
      <w:r w:rsidRPr="00B14E91">
        <w:tab/>
        <w:t>the diagnosis or monitoring of a disease, injury or disability;</w:t>
      </w:r>
    </w:p>
    <w:p w:rsidR="004C7C9A" w:rsidRPr="00B14E91" w:rsidRDefault="004C7C9A" w:rsidP="004C7C9A">
      <w:pPr>
        <w:pStyle w:val="paragraph"/>
      </w:pPr>
      <w:r w:rsidRPr="00B14E91">
        <w:tab/>
        <w:t>(b)</w:t>
      </w:r>
      <w:r w:rsidRPr="00B14E91">
        <w:tab/>
        <w:t>the investigation of the anatomy or of a physiological process;</w:t>
      </w:r>
    </w:p>
    <w:p w:rsidR="004C7C9A" w:rsidRPr="00B14E91" w:rsidRDefault="004C7C9A" w:rsidP="004C7C9A">
      <w:pPr>
        <w:pStyle w:val="subsection2"/>
      </w:pPr>
      <w:r w:rsidRPr="00B14E91">
        <w:t>is classified as Class IIa.</w:t>
      </w:r>
    </w:p>
    <w:p w:rsidR="004C7C9A" w:rsidRPr="00B14E91" w:rsidRDefault="004C7C9A" w:rsidP="004C7C9A">
      <w:pPr>
        <w:pStyle w:val="ActHead7"/>
        <w:pageBreakBefore/>
      </w:pPr>
      <w:bookmarkStart w:id="49" w:name="_Toc48564307"/>
      <w:r w:rsidRPr="00B14E91">
        <w:rPr>
          <w:rStyle w:val="CharAmPartNo"/>
        </w:rPr>
        <w:lastRenderedPageBreak/>
        <w:t>Part 6</w:t>
      </w:r>
      <w:r w:rsidRPr="00B14E91">
        <w:t>—</w:t>
      </w:r>
      <w:r w:rsidRPr="00B14E91">
        <w:rPr>
          <w:rStyle w:val="CharAmPartText"/>
        </w:rPr>
        <w:t>Essential principles</w:t>
      </w:r>
      <w:bookmarkEnd w:id="49"/>
    </w:p>
    <w:p w:rsidR="004C7C9A" w:rsidRPr="00B14E91" w:rsidRDefault="004C7C9A" w:rsidP="004C7C9A">
      <w:pPr>
        <w:pStyle w:val="ActHead9"/>
      </w:pPr>
      <w:bookmarkStart w:id="50" w:name="_Toc48564308"/>
      <w:r w:rsidRPr="00B14E91">
        <w:t xml:space="preserve">Therapeutic Goods (Medical Devices) </w:t>
      </w:r>
      <w:r w:rsidR="00D425F1">
        <w:t>Regulations 2</w:t>
      </w:r>
      <w:r w:rsidRPr="00B14E91">
        <w:t>002</w:t>
      </w:r>
      <w:bookmarkEnd w:id="50"/>
    </w:p>
    <w:p w:rsidR="004C7C9A" w:rsidRPr="00B14E91" w:rsidRDefault="004C7C9A" w:rsidP="004C7C9A">
      <w:pPr>
        <w:pStyle w:val="ItemHead"/>
      </w:pPr>
      <w:r w:rsidRPr="00B14E91">
        <w:t>28  Subclause 13.4(3) of Schedule 1 (at the end of the table)</w:t>
      </w:r>
    </w:p>
    <w:p w:rsidR="004C7C9A" w:rsidRPr="00B14E91" w:rsidRDefault="004C7C9A" w:rsidP="004C7C9A">
      <w:pPr>
        <w:pStyle w:val="Item"/>
      </w:pPr>
      <w:r w:rsidRPr="00B14E91">
        <w:t>Add:</w:t>
      </w:r>
    </w:p>
    <w:tbl>
      <w:tblPr>
        <w:tblW w:w="5000" w:type="pct"/>
        <w:tblBorders>
          <w:insideH w:val="single" w:sz="4" w:space="0" w:color="auto"/>
        </w:tblBorders>
        <w:tblLook w:val="0000" w:firstRow="0" w:lastRow="0" w:firstColumn="0" w:lastColumn="0" w:noHBand="0" w:noVBand="0"/>
      </w:tblPr>
      <w:tblGrid>
        <w:gridCol w:w="986"/>
        <w:gridCol w:w="7543"/>
      </w:tblGrid>
      <w:tr w:rsidR="004C7C9A" w:rsidRPr="00B14E91" w:rsidTr="00B807E7">
        <w:tc>
          <w:tcPr>
            <w:tcW w:w="578" w:type="pct"/>
            <w:shd w:val="clear" w:color="auto" w:fill="auto"/>
          </w:tcPr>
          <w:p w:rsidR="004C7C9A" w:rsidRPr="00B14E91" w:rsidRDefault="004C7C9A" w:rsidP="00B807E7">
            <w:pPr>
              <w:pStyle w:val="Tabletext"/>
            </w:pPr>
            <w:r w:rsidRPr="00B14E91">
              <w:t>30</w:t>
            </w:r>
          </w:p>
        </w:tc>
        <w:tc>
          <w:tcPr>
            <w:tcW w:w="4422" w:type="pct"/>
            <w:shd w:val="clear" w:color="auto" w:fill="auto"/>
          </w:tcPr>
          <w:p w:rsidR="004C7C9A" w:rsidRPr="00B14E91" w:rsidRDefault="004C7C9A" w:rsidP="00B807E7">
            <w:pPr>
              <w:pStyle w:val="Tabletext"/>
            </w:pPr>
            <w:r w:rsidRPr="00B14E91">
              <w:t>For an adaptable medical device, instructions for assembling or adapting the device which, if followed, will ensure that the device continues to comply with the applicable provisions of the essential principles</w:t>
            </w:r>
          </w:p>
        </w:tc>
      </w:tr>
      <w:tr w:rsidR="004C7C9A" w:rsidRPr="00B14E91" w:rsidTr="00B807E7">
        <w:tc>
          <w:tcPr>
            <w:tcW w:w="578" w:type="pct"/>
            <w:shd w:val="clear" w:color="auto" w:fill="auto"/>
          </w:tcPr>
          <w:p w:rsidR="004C7C9A" w:rsidRPr="00B14E91" w:rsidRDefault="004C7C9A" w:rsidP="00B807E7">
            <w:pPr>
              <w:pStyle w:val="Tabletext"/>
            </w:pPr>
            <w:r w:rsidRPr="00B14E91">
              <w:t>31</w:t>
            </w:r>
          </w:p>
        </w:tc>
        <w:tc>
          <w:tcPr>
            <w:tcW w:w="4422" w:type="pct"/>
            <w:shd w:val="clear" w:color="auto" w:fill="auto"/>
          </w:tcPr>
          <w:p w:rsidR="004C7C9A" w:rsidRPr="00B14E91" w:rsidRDefault="004C7C9A" w:rsidP="00B807E7">
            <w:pPr>
              <w:pStyle w:val="Tabletext"/>
            </w:pPr>
            <w:r w:rsidRPr="00B14E91">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p>
        </w:tc>
      </w:tr>
    </w:tbl>
    <w:p w:rsidR="004C7C9A" w:rsidRPr="00B14E91" w:rsidRDefault="004C7C9A" w:rsidP="004C7C9A"/>
    <w:p w:rsidR="004C7C9A" w:rsidRPr="00B14E91" w:rsidRDefault="004C7C9A" w:rsidP="004C7C9A">
      <w:pPr>
        <w:pStyle w:val="ActHead6"/>
        <w:pageBreakBefore/>
      </w:pPr>
      <w:bookmarkStart w:id="51" w:name="_Toc48564309"/>
      <w:r w:rsidRPr="00B14E91">
        <w:rPr>
          <w:rStyle w:val="CharAmSchNo"/>
        </w:rPr>
        <w:lastRenderedPageBreak/>
        <w:t>Schedule 4</w:t>
      </w:r>
      <w:r w:rsidRPr="00B14E91">
        <w:t>—</w:t>
      </w:r>
      <w:r w:rsidRPr="00B14E91">
        <w:rPr>
          <w:rStyle w:val="CharAmSchText"/>
        </w:rPr>
        <w:t>IVD companion diagnostics</w:t>
      </w:r>
      <w:bookmarkEnd w:id="51"/>
    </w:p>
    <w:p w:rsidR="004C7C9A" w:rsidRPr="00B14E91" w:rsidRDefault="004C7C9A" w:rsidP="004C7C9A">
      <w:pPr>
        <w:pStyle w:val="Header"/>
      </w:pPr>
      <w:r w:rsidRPr="00B14E91">
        <w:rPr>
          <w:rStyle w:val="CharAmPartNo"/>
        </w:rPr>
        <w:t xml:space="preserve"> </w:t>
      </w:r>
      <w:r w:rsidRPr="00B14E91">
        <w:rPr>
          <w:rStyle w:val="CharAmPartText"/>
        </w:rPr>
        <w:t xml:space="preserve"> </w:t>
      </w:r>
    </w:p>
    <w:p w:rsidR="004C7C9A" w:rsidRPr="00B14E91" w:rsidRDefault="004C7C9A" w:rsidP="004C7C9A">
      <w:pPr>
        <w:pStyle w:val="ActHead9"/>
      </w:pPr>
      <w:bookmarkStart w:id="52" w:name="_Toc48564310"/>
      <w:r w:rsidRPr="00B14E91">
        <w:t xml:space="preserve">Therapeutic Goods (Medical Devices) </w:t>
      </w:r>
      <w:r w:rsidR="00D425F1">
        <w:t>Regulations 2</w:t>
      </w:r>
      <w:r w:rsidRPr="00B14E91">
        <w:t>002</w:t>
      </w:r>
      <w:bookmarkEnd w:id="52"/>
    </w:p>
    <w:p w:rsidR="004C7C9A" w:rsidRPr="00B14E91" w:rsidRDefault="004C7C9A" w:rsidP="004C7C9A">
      <w:pPr>
        <w:pStyle w:val="ItemHead"/>
      </w:pPr>
      <w:r w:rsidRPr="00B14E91">
        <w:t>1  At the end of regulation 1.6</w:t>
      </w:r>
    </w:p>
    <w:p w:rsidR="004C7C9A" w:rsidRPr="00B14E91" w:rsidRDefault="004C7C9A" w:rsidP="004C7C9A">
      <w:pPr>
        <w:pStyle w:val="Item"/>
      </w:pPr>
      <w:r w:rsidRPr="00B14E91">
        <w:t>Add:</w:t>
      </w:r>
    </w:p>
    <w:p w:rsidR="004C7C9A" w:rsidRPr="00B14E91" w:rsidRDefault="004C7C9A" w:rsidP="004C7C9A">
      <w:pPr>
        <w:pStyle w:val="paragraph"/>
      </w:pPr>
      <w:r w:rsidRPr="00B14E91">
        <w:tab/>
        <w:t>; (d)</w:t>
      </w:r>
      <w:r w:rsidRPr="00B14E91">
        <w:tab/>
        <w:t>an IVD companion diagnostic.</w:t>
      </w:r>
    </w:p>
    <w:p w:rsidR="004C7C9A" w:rsidRPr="00B14E91" w:rsidRDefault="004C7C9A" w:rsidP="004C7C9A">
      <w:pPr>
        <w:pStyle w:val="ItemHead"/>
      </w:pPr>
      <w:r w:rsidRPr="00B14E91">
        <w:t>2  Paragraphs 4.3F(e) and 4A.31(h)</w:t>
      </w:r>
    </w:p>
    <w:p w:rsidR="004C7C9A" w:rsidRPr="00B14E91" w:rsidRDefault="004C7C9A" w:rsidP="004C7C9A">
      <w:pPr>
        <w:pStyle w:val="Item"/>
      </w:pPr>
      <w:r w:rsidRPr="00B14E91">
        <w:t>Omit “or (c)”, substitute “, (c) or (d)”.</w:t>
      </w:r>
    </w:p>
    <w:p w:rsidR="004C7C9A" w:rsidRPr="00B14E91" w:rsidRDefault="004C7C9A" w:rsidP="004C7C9A">
      <w:pPr>
        <w:pStyle w:val="ItemHead"/>
      </w:pPr>
      <w:r w:rsidRPr="00B14E91">
        <w:t>3  At the end of paragraph 5.3(1)(j)</w:t>
      </w:r>
    </w:p>
    <w:p w:rsidR="004C7C9A" w:rsidRPr="00B14E91" w:rsidRDefault="004C7C9A" w:rsidP="004C7C9A">
      <w:pPr>
        <w:pStyle w:val="Item"/>
      </w:pPr>
      <w:r w:rsidRPr="00B14E91">
        <w:t>Add:</w:t>
      </w:r>
    </w:p>
    <w:p w:rsidR="004C7C9A" w:rsidRPr="00B14E91" w:rsidRDefault="004C7C9A" w:rsidP="004C7C9A">
      <w:pPr>
        <w:pStyle w:val="paragraphsub"/>
      </w:pPr>
      <w:r w:rsidRPr="00B14E91">
        <w:tab/>
        <w:t>; (x)</w:t>
      </w:r>
      <w:r w:rsidRPr="00B14E91">
        <w:tab/>
        <w:t>an IVD companion diagnostic.</w:t>
      </w:r>
    </w:p>
    <w:p w:rsidR="004C7C9A" w:rsidRPr="00B14E91" w:rsidRDefault="004C7C9A" w:rsidP="004C7C9A">
      <w:pPr>
        <w:pStyle w:val="ItemHead"/>
      </w:pPr>
      <w:r w:rsidRPr="00B14E91">
        <w:t>4  After paragraph 1.3(f) of Schedule 2A</w:t>
      </w:r>
    </w:p>
    <w:p w:rsidR="004C7C9A" w:rsidRPr="00B14E91" w:rsidRDefault="004C7C9A" w:rsidP="004C7C9A">
      <w:pPr>
        <w:pStyle w:val="Item"/>
      </w:pPr>
      <w:r w:rsidRPr="00B14E91">
        <w:t>Insert:</w:t>
      </w:r>
    </w:p>
    <w:p w:rsidR="004C7C9A" w:rsidRPr="00B14E91" w:rsidRDefault="004C7C9A" w:rsidP="004C7C9A">
      <w:pPr>
        <w:pStyle w:val="paragraph"/>
      </w:pPr>
      <w:r w:rsidRPr="00B14E91">
        <w:tab/>
        <w:t>(fa)</w:t>
      </w:r>
      <w:r w:rsidRPr="00B14E91">
        <w:tab/>
        <w:t>use as an IVD companion diagnostic;</w:t>
      </w:r>
    </w:p>
    <w:p w:rsidR="004C7C9A" w:rsidRPr="00B14E91" w:rsidRDefault="004C7C9A" w:rsidP="004C7C9A">
      <w:pPr>
        <w:pStyle w:val="ItemHead"/>
      </w:pPr>
      <w:r w:rsidRPr="00B14E91">
        <w:t>5  Clause 1.3 of Schedule 2A (note)</w:t>
      </w:r>
    </w:p>
    <w:p w:rsidR="004C7C9A" w:rsidRPr="00B14E91" w:rsidRDefault="004C7C9A" w:rsidP="004C7C9A">
      <w:pPr>
        <w:pStyle w:val="Item"/>
      </w:pPr>
      <w:r w:rsidRPr="00B14E91">
        <w:t>After “IVD medical device”, insert “(except an IVD companion diagnostic)”.</w:t>
      </w:r>
    </w:p>
    <w:p w:rsidR="004C7C9A" w:rsidRPr="00B14E91" w:rsidRDefault="004C7C9A" w:rsidP="004C7C9A">
      <w:pPr>
        <w:pStyle w:val="ItemHead"/>
      </w:pPr>
      <w:r w:rsidRPr="00B14E91">
        <w:t>6  Dictionary</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IVD companion diagnostic</w:t>
      </w:r>
      <w:r w:rsidRPr="00B14E91">
        <w:t xml:space="preserve"> means an IVD medical device:</w:t>
      </w:r>
    </w:p>
    <w:p w:rsidR="004C7C9A" w:rsidRPr="00B14E91" w:rsidRDefault="004C7C9A" w:rsidP="004C7C9A">
      <w:pPr>
        <w:pStyle w:val="paragraph"/>
      </w:pPr>
      <w:r w:rsidRPr="00B14E91">
        <w:tab/>
        <w:t>(a)</w:t>
      </w:r>
      <w:r w:rsidRPr="00B14E91">
        <w:tab/>
        <w:t>that is intended by the manufacturer to be used for the examination of a specimen from the body of an individual:</w:t>
      </w:r>
    </w:p>
    <w:p w:rsidR="004C7C9A" w:rsidRPr="00B14E91" w:rsidRDefault="004C7C9A" w:rsidP="004C7C9A">
      <w:pPr>
        <w:pStyle w:val="paragraphsub"/>
      </w:pPr>
      <w:r w:rsidRPr="00B14E91">
        <w:tab/>
        <w:t>(i)</w:t>
      </w:r>
      <w:r w:rsidRPr="00B14E91">
        <w:tab/>
        <w:t>to identify whether the individual would be likely to benefit from the use of a particular medicine or biological; or</w:t>
      </w:r>
    </w:p>
    <w:p w:rsidR="004C7C9A" w:rsidRPr="00B14E91" w:rsidRDefault="004C7C9A" w:rsidP="004C7C9A">
      <w:pPr>
        <w:pStyle w:val="paragraphsub"/>
      </w:pPr>
      <w:r w:rsidRPr="00B14E91">
        <w:tab/>
        <w:t>(ii)</w:t>
      </w:r>
      <w:r w:rsidRPr="00B14E91">
        <w:tab/>
        <w:t>to identify whether the individual is likely to be at particular risk of a serious adverse reaction to the use of a particular medicine or biological; or</w:t>
      </w:r>
    </w:p>
    <w:p w:rsidR="004C7C9A" w:rsidRPr="00B14E91" w:rsidRDefault="004C7C9A" w:rsidP="004C7C9A">
      <w:pPr>
        <w:pStyle w:val="paragraphsub"/>
      </w:pPr>
      <w:r w:rsidRPr="00B14E91">
        <w:tab/>
        <w:t>(iii)</w:t>
      </w:r>
      <w:r w:rsidRPr="00B14E91">
        <w:tab/>
        <w:t>to monitor the individual’s response to the use of a particular medicine or biological; and</w:t>
      </w:r>
    </w:p>
    <w:p w:rsidR="004C7C9A" w:rsidRPr="00B14E91" w:rsidRDefault="004C7C9A" w:rsidP="004C7C9A">
      <w:pPr>
        <w:pStyle w:val="paragraph"/>
      </w:pPr>
      <w:r w:rsidRPr="00B14E91">
        <w:tab/>
        <w:t>(b)</w:t>
      </w:r>
      <w:r w:rsidRPr="00B14E91">
        <w:tab/>
        <w:t>that is mentioned in product information for the medicine or biological as being essential for the safe and effective use of the medicine or biological; and</w:t>
      </w:r>
    </w:p>
    <w:p w:rsidR="004C7C9A" w:rsidRPr="00B14E91" w:rsidRDefault="004C7C9A" w:rsidP="004C7C9A">
      <w:pPr>
        <w:pStyle w:val="paragraph"/>
      </w:pPr>
      <w:r w:rsidRPr="00B14E91">
        <w:tab/>
        <w:t>(c)</w:t>
      </w:r>
      <w:r w:rsidRPr="00B14E91">
        <w:tab/>
        <w:t>if the medicine or biological comprises blood, a blood component, cells, tissue or an organ, from a donor other than the individual—that is not intended by the manufacturer to be used for the examination of the specimen merely to determine whether the medicine or biological is compatible with the individual.</w:t>
      </w:r>
    </w:p>
    <w:p w:rsidR="004C7C9A" w:rsidRPr="00B14E91" w:rsidRDefault="004C7C9A" w:rsidP="004C7C9A">
      <w:pPr>
        <w:pStyle w:val="ActHead6"/>
        <w:pageBreakBefore/>
      </w:pPr>
      <w:bookmarkStart w:id="53" w:name="_Toc48564311"/>
      <w:r w:rsidRPr="00B14E91">
        <w:rPr>
          <w:rStyle w:val="CharAmSchNo"/>
        </w:rPr>
        <w:lastRenderedPageBreak/>
        <w:t>Schedule 5</w:t>
      </w:r>
      <w:r w:rsidRPr="00B14E91">
        <w:t>—</w:t>
      </w:r>
      <w:r w:rsidRPr="00B14E91">
        <w:rPr>
          <w:rStyle w:val="CharAmSchText"/>
        </w:rPr>
        <w:t>Faecal microbiota transplant products</w:t>
      </w:r>
      <w:bookmarkEnd w:id="53"/>
    </w:p>
    <w:p w:rsidR="004C7C9A" w:rsidRPr="00B14E91" w:rsidRDefault="004C7C9A" w:rsidP="004C7C9A">
      <w:pPr>
        <w:pStyle w:val="Header"/>
      </w:pPr>
      <w:r w:rsidRPr="00B14E91">
        <w:rPr>
          <w:rStyle w:val="CharAmPartNo"/>
        </w:rPr>
        <w:t xml:space="preserve"> </w:t>
      </w:r>
      <w:r w:rsidRPr="00B14E91">
        <w:rPr>
          <w:rStyle w:val="CharAmPartText"/>
        </w:rPr>
        <w:t xml:space="preserve"> </w:t>
      </w:r>
    </w:p>
    <w:p w:rsidR="004C7C9A" w:rsidRPr="00B14E91" w:rsidRDefault="004C7C9A" w:rsidP="004C7C9A">
      <w:pPr>
        <w:pStyle w:val="ActHead9"/>
      </w:pPr>
      <w:bookmarkStart w:id="54" w:name="_Toc48564312"/>
      <w:r w:rsidRPr="00B14E91">
        <w:t>Therapeutic Goods Regulations 1990</w:t>
      </w:r>
      <w:bookmarkEnd w:id="54"/>
    </w:p>
    <w:p w:rsidR="004C7C9A" w:rsidRPr="00B14E91" w:rsidRDefault="004C7C9A" w:rsidP="004C7C9A">
      <w:pPr>
        <w:pStyle w:val="ItemHead"/>
      </w:pPr>
      <w:r w:rsidRPr="00B14E91">
        <w:t>1  Regulation 2</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faecal microbiota transplant product</w:t>
      </w:r>
      <w:r w:rsidRPr="00B14E91">
        <w:t xml:space="preserve"> means a thing that:</w:t>
      </w:r>
    </w:p>
    <w:p w:rsidR="004C7C9A" w:rsidRPr="00B14E91" w:rsidRDefault="004C7C9A" w:rsidP="004C7C9A">
      <w:pPr>
        <w:pStyle w:val="paragraph"/>
      </w:pPr>
      <w:r w:rsidRPr="00B14E91">
        <w:tab/>
        <w:t>(a)</w:t>
      </w:r>
      <w:r w:rsidRPr="00B14E91">
        <w:tab/>
        <w:t>comprises, contains or is derived from human stool; and</w:t>
      </w:r>
    </w:p>
    <w:p w:rsidR="004C7C9A" w:rsidRPr="00B14E91" w:rsidRDefault="004C7C9A" w:rsidP="004C7C9A">
      <w:pPr>
        <w:pStyle w:val="paragraph"/>
      </w:pPr>
      <w:r w:rsidRPr="00B14E91">
        <w:tab/>
        <w:t>(b)</w:t>
      </w:r>
      <w:r w:rsidRPr="00B14E91">
        <w:tab/>
        <w:t>is for introduction into a person for a therapeutic use.</w:t>
      </w:r>
    </w:p>
    <w:p w:rsidR="004C7C9A" w:rsidRPr="00B14E91" w:rsidRDefault="004C7C9A" w:rsidP="004C7C9A">
      <w:pPr>
        <w:pStyle w:val="ItemHead"/>
      </w:pPr>
      <w:r w:rsidRPr="00B14E91">
        <w:t>2  Before clause 1 of Schedule 16</w:t>
      </w:r>
    </w:p>
    <w:p w:rsidR="004C7C9A" w:rsidRPr="00B14E91" w:rsidRDefault="004C7C9A" w:rsidP="004C7C9A">
      <w:pPr>
        <w:pStyle w:val="Item"/>
      </w:pPr>
      <w:r w:rsidRPr="00B14E91">
        <w:t>Insert:</w:t>
      </w:r>
    </w:p>
    <w:p w:rsidR="004C7C9A" w:rsidRPr="00B14E91" w:rsidRDefault="004C7C9A" w:rsidP="004C7C9A">
      <w:pPr>
        <w:pStyle w:val="ActHead5"/>
      </w:pPr>
      <w:bookmarkStart w:id="55" w:name="_Toc48564313"/>
      <w:r w:rsidRPr="00B14E91">
        <w:rPr>
          <w:rStyle w:val="CharSectno"/>
        </w:rPr>
        <w:t>1A</w:t>
      </w:r>
      <w:r w:rsidRPr="00B14E91">
        <w:t xml:space="preserve">  Class 1 biologicals</w:t>
      </w:r>
      <w:bookmarkEnd w:id="55"/>
    </w:p>
    <w:p w:rsidR="004C7C9A" w:rsidRPr="00B14E91" w:rsidRDefault="004C7C9A" w:rsidP="004C7C9A">
      <w:pPr>
        <w:pStyle w:val="subsection"/>
      </w:pPr>
      <w:r w:rsidRPr="00B14E91">
        <w:tab/>
      </w:r>
      <w:r w:rsidRPr="00B14E91">
        <w:tab/>
        <w:t xml:space="preserve">For the purposes of the definition of </w:t>
      </w:r>
      <w:r w:rsidRPr="00B14E91">
        <w:rPr>
          <w:b/>
          <w:i/>
        </w:rPr>
        <w:t>Class 1 biological</w:t>
      </w:r>
      <w:r w:rsidRPr="00B14E91">
        <w:t xml:space="preserve"> in regulation 2, a biological is a Class 1 biological if:</w:t>
      </w:r>
    </w:p>
    <w:p w:rsidR="004C7C9A" w:rsidRPr="00B14E91" w:rsidRDefault="004C7C9A" w:rsidP="004C7C9A">
      <w:pPr>
        <w:pStyle w:val="paragraph"/>
      </w:pPr>
      <w:r w:rsidRPr="00B14E91">
        <w:tab/>
        <w:t>(a)</w:t>
      </w:r>
      <w:r w:rsidRPr="00B14E91">
        <w:tab/>
        <w:t>it is a faecal microbiota transplant product; and</w:t>
      </w:r>
    </w:p>
    <w:p w:rsidR="004C7C9A" w:rsidRPr="00B14E91" w:rsidRDefault="004C7C9A" w:rsidP="004C7C9A">
      <w:pPr>
        <w:pStyle w:val="paragraph"/>
      </w:pPr>
      <w:r w:rsidRPr="00B14E91">
        <w:tab/>
        <w:t>(b)</w:t>
      </w:r>
      <w:r w:rsidRPr="00B14E91">
        <w:tab/>
        <w:t>it is not advertised to consumers; and</w:t>
      </w:r>
    </w:p>
    <w:p w:rsidR="004C7C9A" w:rsidRPr="00B14E91" w:rsidRDefault="004C7C9A" w:rsidP="004C7C9A">
      <w:pPr>
        <w:pStyle w:val="paragraph"/>
      </w:pPr>
      <w:r w:rsidRPr="00B14E91">
        <w:tab/>
        <w:t>(c)</w:t>
      </w:r>
      <w:r w:rsidRPr="00B14E91">
        <w:tab/>
        <w:t>it is to be collected under the supervision or direction, or in accordance with the requirements, of a medical practitioner registered, in a State or internal Territory, as a medical practitioner; and</w:t>
      </w:r>
    </w:p>
    <w:p w:rsidR="004C7C9A" w:rsidRPr="00B14E91" w:rsidRDefault="004C7C9A" w:rsidP="004C7C9A">
      <w:pPr>
        <w:pStyle w:val="paragraph"/>
      </w:pPr>
      <w:r w:rsidRPr="00B14E91">
        <w:tab/>
        <w:t>(d)</w:t>
      </w:r>
      <w:r w:rsidRPr="00B14E91">
        <w:tab/>
        <w:t>each later step in the manufacture of it is to be carried out in a hospital by, or under the supervision or direction of, the practitioner (unless the step relates to the storage or testing of the biological, in which case it may instead be carried out by a person under a contract with the hospital in a State or internal Territory); and</w:t>
      </w:r>
    </w:p>
    <w:p w:rsidR="004C7C9A" w:rsidRPr="00B14E91" w:rsidRDefault="004C7C9A" w:rsidP="004C7C9A">
      <w:pPr>
        <w:pStyle w:val="paragraph"/>
      </w:pPr>
      <w:r w:rsidRPr="00B14E91">
        <w:tab/>
        <w:t>(e)</w:t>
      </w:r>
      <w:r w:rsidRPr="00B14E91">
        <w:tab/>
        <w:t>it is for use in a recipient who is a patient of the hospital with the recipient being under the clinical care of the practitioner.</w:t>
      </w:r>
    </w:p>
    <w:p w:rsidR="004C7C9A" w:rsidRPr="00B14E91" w:rsidRDefault="004C7C9A" w:rsidP="004C7C9A">
      <w:pPr>
        <w:pStyle w:val="ActHead6"/>
        <w:pageBreakBefore/>
      </w:pPr>
      <w:bookmarkStart w:id="56" w:name="_Toc48564314"/>
      <w:r w:rsidRPr="00B14E91">
        <w:rPr>
          <w:rStyle w:val="CharAmSchNo"/>
        </w:rPr>
        <w:lastRenderedPageBreak/>
        <w:t>Schedule 6</w:t>
      </w:r>
      <w:r w:rsidRPr="00B14E91">
        <w:t>—</w:t>
      </w:r>
      <w:r w:rsidRPr="00B14E91">
        <w:rPr>
          <w:rStyle w:val="CharAmSchText"/>
        </w:rPr>
        <w:t>Consumer medicine information documents</w:t>
      </w:r>
      <w:bookmarkEnd w:id="56"/>
    </w:p>
    <w:p w:rsidR="004C7C9A" w:rsidRPr="00B14E91" w:rsidRDefault="004C7C9A" w:rsidP="004C7C9A">
      <w:pPr>
        <w:pStyle w:val="Header"/>
      </w:pPr>
      <w:r w:rsidRPr="00B14E91">
        <w:rPr>
          <w:rStyle w:val="CharAmPartNo"/>
        </w:rPr>
        <w:t xml:space="preserve"> </w:t>
      </w:r>
      <w:r w:rsidRPr="00B14E91">
        <w:rPr>
          <w:rStyle w:val="CharAmPartText"/>
        </w:rPr>
        <w:t xml:space="preserve"> </w:t>
      </w:r>
    </w:p>
    <w:p w:rsidR="004C7C9A" w:rsidRPr="00B14E91" w:rsidRDefault="004C7C9A" w:rsidP="004C7C9A">
      <w:pPr>
        <w:pStyle w:val="ActHead9"/>
      </w:pPr>
      <w:bookmarkStart w:id="57" w:name="_Toc48564315"/>
      <w:r w:rsidRPr="00B14E91">
        <w:t>Therapeutic Goods Regulations 1990</w:t>
      </w:r>
      <w:bookmarkEnd w:id="57"/>
    </w:p>
    <w:p w:rsidR="004C7C9A" w:rsidRPr="00B14E91" w:rsidRDefault="004C7C9A" w:rsidP="004C7C9A">
      <w:pPr>
        <w:pStyle w:val="ItemHead"/>
      </w:pPr>
      <w:r w:rsidRPr="00B14E91">
        <w:t>1  Subregulations 9A(1) and (1A)</w:t>
      </w:r>
    </w:p>
    <w:p w:rsidR="004C7C9A" w:rsidRPr="00B14E91" w:rsidRDefault="004C7C9A" w:rsidP="004C7C9A">
      <w:pPr>
        <w:pStyle w:val="Item"/>
      </w:pPr>
      <w:r w:rsidRPr="00B14E91">
        <w:t>Omit “patient information document”, substitute “consumer medicine information document”.</w:t>
      </w:r>
    </w:p>
    <w:p w:rsidR="004C7C9A" w:rsidRPr="00B14E91" w:rsidRDefault="004C7C9A" w:rsidP="004C7C9A">
      <w:pPr>
        <w:pStyle w:val="ItemHead"/>
      </w:pPr>
      <w:r w:rsidRPr="00B14E91">
        <w:t xml:space="preserve">2  </w:t>
      </w:r>
      <w:r w:rsidR="00D425F1">
        <w:t>Paragraph 9</w:t>
      </w:r>
      <w:r w:rsidRPr="00B14E91">
        <w:t>B(3)(a)</w:t>
      </w:r>
    </w:p>
    <w:p w:rsidR="004C7C9A" w:rsidRPr="00B14E91" w:rsidRDefault="004C7C9A" w:rsidP="004C7C9A">
      <w:pPr>
        <w:pStyle w:val="Item"/>
      </w:pPr>
      <w:r w:rsidRPr="00B14E91">
        <w:t>Omit “patient information document”, substitute “consumer medicine information document”.</w:t>
      </w:r>
    </w:p>
    <w:p w:rsidR="004C7C9A" w:rsidRPr="00B14E91" w:rsidRDefault="004C7C9A" w:rsidP="004C7C9A">
      <w:pPr>
        <w:pStyle w:val="ItemHead"/>
      </w:pPr>
      <w:r w:rsidRPr="00B14E91">
        <w:t>3  Schedule 12</w:t>
      </w:r>
    </w:p>
    <w:p w:rsidR="004C7C9A" w:rsidRPr="00B14E91" w:rsidRDefault="004C7C9A" w:rsidP="004C7C9A">
      <w:pPr>
        <w:pStyle w:val="Item"/>
      </w:pPr>
      <w:r w:rsidRPr="00B14E91">
        <w:t>Repeal the Schedule, substitute:</w:t>
      </w:r>
    </w:p>
    <w:p w:rsidR="004C7C9A" w:rsidRPr="00B14E91" w:rsidRDefault="004C7C9A" w:rsidP="004C7C9A">
      <w:pPr>
        <w:pStyle w:val="ActHead1"/>
      </w:pPr>
      <w:bookmarkStart w:id="58" w:name="_Toc48564316"/>
      <w:r w:rsidRPr="00B14E91">
        <w:rPr>
          <w:rStyle w:val="CharChapNo"/>
        </w:rPr>
        <w:t>Schedule 12</w:t>
      </w:r>
      <w:r w:rsidRPr="00B14E91">
        <w:t>—</w:t>
      </w:r>
      <w:r w:rsidRPr="00B14E91">
        <w:rPr>
          <w:rStyle w:val="CharChapText"/>
        </w:rPr>
        <w:t>Consumer medicine information documents</w:t>
      </w:r>
      <w:bookmarkEnd w:id="58"/>
    </w:p>
    <w:p w:rsidR="004C7C9A" w:rsidRPr="00B14E91" w:rsidRDefault="004C7C9A" w:rsidP="004C7C9A">
      <w:pPr>
        <w:pStyle w:val="notemargin"/>
      </w:pPr>
      <w:r w:rsidRPr="00B14E91">
        <w:t>Note:</w:t>
      </w:r>
      <w:r w:rsidRPr="00B14E91">
        <w:tab/>
        <w:t>See subregulation 9A(1).</w:t>
      </w:r>
    </w:p>
    <w:p w:rsidR="004C7C9A" w:rsidRPr="00B14E91" w:rsidRDefault="004C7C9A" w:rsidP="004C7C9A">
      <w:pPr>
        <w:pStyle w:val="Header"/>
      </w:pPr>
      <w:r w:rsidRPr="00B14E91">
        <w:rPr>
          <w:rStyle w:val="CharPartNo"/>
        </w:rPr>
        <w:t xml:space="preserve"> </w:t>
      </w:r>
      <w:r w:rsidRPr="00B14E91">
        <w:rPr>
          <w:rStyle w:val="CharPartText"/>
        </w:rPr>
        <w:t xml:space="preserve"> </w:t>
      </w:r>
    </w:p>
    <w:p w:rsidR="004C7C9A" w:rsidRPr="00B14E91" w:rsidRDefault="004C7C9A" w:rsidP="004C7C9A">
      <w:pPr>
        <w:pStyle w:val="Header"/>
      </w:pPr>
      <w:r w:rsidRPr="00B14E91">
        <w:rPr>
          <w:rStyle w:val="CharDivNo"/>
        </w:rPr>
        <w:t xml:space="preserve"> </w:t>
      </w:r>
      <w:r w:rsidRPr="00B14E91">
        <w:rPr>
          <w:rStyle w:val="CharDivText"/>
        </w:rPr>
        <w:t xml:space="preserve"> </w:t>
      </w:r>
    </w:p>
    <w:p w:rsidR="004C7C9A" w:rsidRPr="00B14E91" w:rsidRDefault="004C7C9A" w:rsidP="004C7C9A">
      <w:pPr>
        <w:pStyle w:val="ActHead5"/>
      </w:pPr>
      <w:bookmarkStart w:id="59" w:name="_Toc48564317"/>
      <w:r w:rsidRPr="00B14E91">
        <w:rPr>
          <w:rStyle w:val="CharSectno"/>
        </w:rPr>
        <w:t>1</w:t>
      </w:r>
      <w:r w:rsidRPr="00B14E91">
        <w:t xml:space="preserve">  General requirements</w:t>
      </w:r>
      <w:bookmarkEnd w:id="59"/>
    </w:p>
    <w:p w:rsidR="004C7C9A" w:rsidRPr="00B14E91" w:rsidRDefault="004C7C9A" w:rsidP="004C7C9A">
      <w:pPr>
        <w:pStyle w:val="subsection"/>
      </w:pPr>
      <w:r w:rsidRPr="00B14E91">
        <w:tab/>
      </w:r>
      <w:r w:rsidRPr="00B14E91">
        <w:tab/>
        <w:t>A consumer medicine information document about a medicine must:</w:t>
      </w:r>
    </w:p>
    <w:p w:rsidR="004C7C9A" w:rsidRPr="00B14E91" w:rsidRDefault="004C7C9A" w:rsidP="004C7C9A">
      <w:pPr>
        <w:pStyle w:val="paragraph"/>
      </w:pPr>
      <w:r w:rsidRPr="00B14E91">
        <w:tab/>
        <w:t>(a)</w:t>
      </w:r>
      <w:r w:rsidRPr="00B14E91">
        <w:tab/>
        <w:t>be written in English; and</w:t>
      </w:r>
    </w:p>
    <w:p w:rsidR="004C7C9A" w:rsidRPr="00B14E91" w:rsidRDefault="004C7C9A" w:rsidP="004C7C9A">
      <w:pPr>
        <w:pStyle w:val="paragraph"/>
      </w:pPr>
      <w:r w:rsidRPr="00B14E91">
        <w:tab/>
        <w:t>(b)</w:t>
      </w:r>
      <w:r w:rsidRPr="00B14E91">
        <w:tab/>
        <w:t>be clearly legible; and</w:t>
      </w:r>
    </w:p>
    <w:p w:rsidR="004C7C9A" w:rsidRPr="00B14E91" w:rsidRDefault="004C7C9A" w:rsidP="004C7C9A">
      <w:pPr>
        <w:pStyle w:val="paragraph"/>
      </w:pPr>
      <w:r w:rsidRPr="00B14E91">
        <w:tab/>
        <w:t>(c)</w:t>
      </w:r>
      <w:r w:rsidRPr="00B14E91">
        <w:tab/>
        <w:t>be written in language that will easily be understood by patients; and</w:t>
      </w:r>
    </w:p>
    <w:p w:rsidR="004C7C9A" w:rsidRPr="00B14E91" w:rsidRDefault="004C7C9A" w:rsidP="004C7C9A">
      <w:pPr>
        <w:pStyle w:val="paragraph"/>
      </w:pPr>
      <w:r w:rsidRPr="00B14E91">
        <w:tab/>
        <w:t>(d)</w:t>
      </w:r>
      <w:r w:rsidRPr="00B14E91">
        <w:tab/>
        <w:t>be consistent with product information about the product.</w:t>
      </w:r>
    </w:p>
    <w:p w:rsidR="004C7C9A" w:rsidRPr="00B14E91" w:rsidRDefault="004C7C9A" w:rsidP="004C7C9A">
      <w:pPr>
        <w:pStyle w:val="ActHead5"/>
      </w:pPr>
      <w:bookmarkStart w:id="60" w:name="_Toc48564318"/>
      <w:r w:rsidRPr="00B14E91">
        <w:rPr>
          <w:rStyle w:val="CharSectno"/>
        </w:rPr>
        <w:t>2</w:t>
      </w:r>
      <w:r w:rsidRPr="00B14E91">
        <w:t xml:space="preserve">  Specific requirements—document enclosed within packaging etc.</w:t>
      </w:r>
      <w:bookmarkEnd w:id="60"/>
    </w:p>
    <w:p w:rsidR="004C7C9A" w:rsidRPr="00B14E91" w:rsidRDefault="004C7C9A" w:rsidP="004C7C9A">
      <w:pPr>
        <w:pStyle w:val="subsection"/>
      </w:pPr>
      <w:r w:rsidRPr="00B14E91">
        <w:tab/>
      </w:r>
      <w:r w:rsidRPr="00B14E91">
        <w:tab/>
        <w:t>Also, if the consumer medicine information document about a medicine is enclosed within, on a surface of, or affixed to a surface of, the packaging of the medicine, it must set out all of the information required by the “TGA Consumer Medicine Information (Prescription Medicine) Template” (published by the Therapeutic Goods Administration on its website) but:</w:t>
      </w:r>
    </w:p>
    <w:p w:rsidR="004C7C9A" w:rsidRPr="00B14E91" w:rsidRDefault="004C7C9A" w:rsidP="004C7C9A">
      <w:pPr>
        <w:pStyle w:val="paragraph"/>
      </w:pPr>
      <w:r w:rsidRPr="00B14E91">
        <w:tab/>
        <w:t>(a)</w:t>
      </w:r>
      <w:r w:rsidRPr="00B14E91">
        <w:tab/>
        <w:t>it is not required to set out the information in the same order as the Template; and</w:t>
      </w:r>
    </w:p>
    <w:p w:rsidR="004C7C9A" w:rsidRPr="00B14E91" w:rsidRDefault="004C7C9A" w:rsidP="004C7C9A">
      <w:pPr>
        <w:pStyle w:val="paragraph"/>
      </w:pPr>
      <w:r w:rsidRPr="00B14E91">
        <w:tab/>
        <w:t>(b)</w:t>
      </w:r>
      <w:r w:rsidRPr="00B14E91">
        <w:tab/>
        <w:t>it is not required to include any Consumer Medicine Information (CMI) summary that forms part of that Template.</w:t>
      </w:r>
    </w:p>
    <w:p w:rsidR="004C7C9A" w:rsidRPr="00B14E91" w:rsidRDefault="004C7C9A" w:rsidP="004C7C9A">
      <w:pPr>
        <w:pStyle w:val="ActHead5"/>
      </w:pPr>
      <w:bookmarkStart w:id="61" w:name="_Toc48564319"/>
      <w:r w:rsidRPr="00B14E91">
        <w:rPr>
          <w:rStyle w:val="CharSectno"/>
        </w:rPr>
        <w:t>3</w:t>
      </w:r>
      <w:r w:rsidRPr="00B14E91">
        <w:t xml:space="preserve">  Specific requirements—document not enclosed within packaging etc.</w:t>
      </w:r>
      <w:bookmarkEnd w:id="61"/>
    </w:p>
    <w:p w:rsidR="004C7C9A" w:rsidRPr="00B14E91" w:rsidRDefault="004C7C9A" w:rsidP="004C7C9A">
      <w:pPr>
        <w:pStyle w:val="subsection"/>
      </w:pPr>
      <w:r w:rsidRPr="00B14E91">
        <w:tab/>
      </w:r>
      <w:r w:rsidRPr="00B14E91">
        <w:tab/>
        <w:t>Also, if the consumer medicine information document about a medicine is not enclosed within, on a surface of, or affixed to a surface of, the packaging of the medicine:</w:t>
      </w:r>
    </w:p>
    <w:p w:rsidR="004C7C9A" w:rsidRPr="00B14E91" w:rsidRDefault="004C7C9A" w:rsidP="004C7C9A">
      <w:pPr>
        <w:pStyle w:val="paragraph"/>
      </w:pPr>
      <w:r w:rsidRPr="00B14E91">
        <w:lastRenderedPageBreak/>
        <w:tab/>
        <w:t>(a)</w:t>
      </w:r>
      <w:r w:rsidRPr="00B14E91">
        <w:tab/>
        <w:t>it must set out all of the information required by the “TGA Consumer Medicine Information (Prescription Medicine) Template” (published by the Therapeutic Goods Administration on its website) in the same order as the Template; and</w:t>
      </w:r>
    </w:p>
    <w:p w:rsidR="004C7C9A" w:rsidRPr="00B14E91" w:rsidRDefault="004C7C9A" w:rsidP="004C7C9A">
      <w:pPr>
        <w:pStyle w:val="paragraph"/>
      </w:pPr>
      <w:r w:rsidRPr="00B14E91">
        <w:tab/>
        <w:t>(b)</w:t>
      </w:r>
      <w:r w:rsidRPr="00B14E91">
        <w:tab/>
        <w:t>if it is supplied in electronic form, it must be in the form of a PDF file or an HTML file.</w:t>
      </w:r>
    </w:p>
    <w:p w:rsidR="004C7C9A" w:rsidRPr="00B14E91" w:rsidRDefault="004C7C9A" w:rsidP="004C7C9A">
      <w:pPr>
        <w:pStyle w:val="ItemHead"/>
      </w:pPr>
      <w:r w:rsidRPr="00B14E91">
        <w:t>4  Schedule 13</w:t>
      </w:r>
    </w:p>
    <w:p w:rsidR="004C7C9A" w:rsidRPr="00B14E91" w:rsidRDefault="004C7C9A" w:rsidP="004C7C9A">
      <w:pPr>
        <w:pStyle w:val="Item"/>
      </w:pPr>
      <w:r w:rsidRPr="00B14E91">
        <w:t>Repeal the Schedule, substitute:</w:t>
      </w:r>
    </w:p>
    <w:p w:rsidR="004C7C9A" w:rsidRPr="00B14E91" w:rsidRDefault="004C7C9A" w:rsidP="004C7C9A">
      <w:pPr>
        <w:pStyle w:val="ActHead1"/>
      </w:pPr>
      <w:bookmarkStart w:id="62" w:name="_Toc48564320"/>
      <w:r w:rsidRPr="00B14E91">
        <w:rPr>
          <w:rStyle w:val="CharChapNo"/>
        </w:rPr>
        <w:t>Schedule 13</w:t>
      </w:r>
      <w:r w:rsidRPr="00B14E91">
        <w:t>—</w:t>
      </w:r>
      <w:r w:rsidRPr="00B14E91">
        <w:rPr>
          <w:rStyle w:val="CharChapText"/>
        </w:rPr>
        <w:t>Consumer medicine information documents</w:t>
      </w:r>
      <w:bookmarkEnd w:id="62"/>
    </w:p>
    <w:p w:rsidR="004C7C9A" w:rsidRPr="00B14E91" w:rsidRDefault="004C7C9A" w:rsidP="004C7C9A">
      <w:pPr>
        <w:pStyle w:val="notemargin"/>
      </w:pPr>
      <w:r w:rsidRPr="00B14E91">
        <w:t>Note:</w:t>
      </w:r>
      <w:r w:rsidRPr="00B14E91">
        <w:tab/>
        <w:t>See subregulation 9A(1A).</w:t>
      </w:r>
    </w:p>
    <w:p w:rsidR="004C7C9A" w:rsidRPr="00B14E91" w:rsidRDefault="004C7C9A" w:rsidP="004C7C9A">
      <w:pPr>
        <w:pStyle w:val="Header"/>
      </w:pPr>
      <w:bookmarkStart w:id="63" w:name="f_Check_Lines_below"/>
      <w:bookmarkEnd w:id="63"/>
      <w:r w:rsidRPr="00B14E91">
        <w:rPr>
          <w:rStyle w:val="CharPartNo"/>
        </w:rPr>
        <w:t xml:space="preserve"> </w:t>
      </w:r>
      <w:r w:rsidRPr="00B14E91">
        <w:rPr>
          <w:rStyle w:val="CharPartText"/>
        </w:rPr>
        <w:t xml:space="preserve"> </w:t>
      </w:r>
    </w:p>
    <w:p w:rsidR="004C7C9A" w:rsidRPr="00B14E91" w:rsidRDefault="004C7C9A" w:rsidP="004C7C9A">
      <w:pPr>
        <w:pStyle w:val="Header"/>
      </w:pPr>
      <w:r w:rsidRPr="00B14E91">
        <w:rPr>
          <w:rStyle w:val="CharDivNo"/>
        </w:rPr>
        <w:t xml:space="preserve"> </w:t>
      </w:r>
      <w:r w:rsidRPr="00B14E91">
        <w:rPr>
          <w:rStyle w:val="CharDivText"/>
        </w:rPr>
        <w:t xml:space="preserve"> </w:t>
      </w:r>
    </w:p>
    <w:p w:rsidR="004C7C9A" w:rsidRPr="00B14E91" w:rsidRDefault="004C7C9A" w:rsidP="004C7C9A">
      <w:pPr>
        <w:pStyle w:val="ActHead5"/>
      </w:pPr>
      <w:bookmarkStart w:id="64" w:name="_Toc48564321"/>
      <w:r w:rsidRPr="00B14E91">
        <w:rPr>
          <w:rStyle w:val="CharSectno"/>
        </w:rPr>
        <w:t>1</w:t>
      </w:r>
      <w:r w:rsidRPr="00B14E91">
        <w:t xml:space="preserve">  General requirements</w:t>
      </w:r>
      <w:bookmarkEnd w:id="64"/>
    </w:p>
    <w:p w:rsidR="004C7C9A" w:rsidRPr="00B14E91" w:rsidRDefault="004C7C9A" w:rsidP="004C7C9A">
      <w:pPr>
        <w:pStyle w:val="subsection"/>
      </w:pPr>
      <w:r w:rsidRPr="00B14E91">
        <w:tab/>
      </w:r>
      <w:r w:rsidRPr="00B14E91">
        <w:tab/>
        <w:t>A consumer medicine information document about a medicine must:</w:t>
      </w:r>
    </w:p>
    <w:p w:rsidR="004C7C9A" w:rsidRPr="00B14E91" w:rsidRDefault="004C7C9A" w:rsidP="004C7C9A">
      <w:pPr>
        <w:pStyle w:val="paragraph"/>
      </w:pPr>
      <w:r w:rsidRPr="00B14E91">
        <w:tab/>
        <w:t>(a)</w:t>
      </w:r>
      <w:r w:rsidRPr="00B14E91">
        <w:tab/>
        <w:t>be written in English; and</w:t>
      </w:r>
    </w:p>
    <w:p w:rsidR="004C7C9A" w:rsidRPr="00B14E91" w:rsidRDefault="004C7C9A" w:rsidP="004C7C9A">
      <w:pPr>
        <w:pStyle w:val="paragraph"/>
      </w:pPr>
      <w:r w:rsidRPr="00B14E91">
        <w:tab/>
        <w:t>(b)</w:t>
      </w:r>
      <w:r w:rsidRPr="00B14E91">
        <w:tab/>
        <w:t>be clearly legible; and</w:t>
      </w:r>
    </w:p>
    <w:p w:rsidR="004C7C9A" w:rsidRPr="00B14E91" w:rsidRDefault="004C7C9A" w:rsidP="004C7C9A">
      <w:pPr>
        <w:pStyle w:val="paragraph"/>
      </w:pPr>
      <w:r w:rsidRPr="00B14E91">
        <w:tab/>
        <w:t>(c)</w:t>
      </w:r>
      <w:r w:rsidRPr="00B14E91">
        <w:tab/>
        <w:t>be written in language that will easily be understood by patients; and</w:t>
      </w:r>
    </w:p>
    <w:p w:rsidR="004C7C9A" w:rsidRPr="00B14E91" w:rsidRDefault="004C7C9A" w:rsidP="004C7C9A">
      <w:pPr>
        <w:pStyle w:val="paragraph"/>
      </w:pPr>
      <w:r w:rsidRPr="00B14E91">
        <w:tab/>
        <w:t>(d)</w:t>
      </w:r>
      <w:r w:rsidRPr="00B14E91">
        <w:tab/>
        <w:t>be consistent with product information about the product.</w:t>
      </w:r>
    </w:p>
    <w:p w:rsidR="004C7C9A" w:rsidRPr="00B14E91" w:rsidRDefault="004C7C9A" w:rsidP="004C7C9A">
      <w:pPr>
        <w:pStyle w:val="ActHead5"/>
      </w:pPr>
      <w:bookmarkStart w:id="65" w:name="_Toc48564322"/>
      <w:r w:rsidRPr="00B14E91">
        <w:rPr>
          <w:rStyle w:val="CharSectno"/>
        </w:rPr>
        <w:t>2</w:t>
      </w:r>
      <w:r w:rsidRPr="00B14E91">
        <w:t xml:space="preserve">  Specific requirements—document enclosed within packaging etc.</w:t>
      </w:r>
      <w:bookmarkEnd w:id="65"/>
    </w:p>
    <w:p w:rsidR="004C7C9A" w:rsidRPr="00B14E91" w:rsidRDefault="004C7C9A" w:rsidP="004C7C9A">
      <w:pPr>
        <w:pStyle w:val="subsection"/>
      </w:pPr>
      <w:r w:rsidRPr="00B14E91">
        <w:tab/>
      </w:r>
      <w:r w:rsidRPr="00B14E91">
        <w:tab/>
        <w:t>Also, if the consumer medicine information document about a medicine is enclosed within, on a surface of, or affixed to a surface of, the packaging of the medicine, it must set out all of the information required by the “TGA Consumer Medicine Information (Non</w:t>
      </w:r>
      <w:r w:rsidR="00D425F1">
        <w:noBreakHyphen/>
      </w:r>
      <w:r w:rsidRPr="00B14E91">
        <w:t>prescription Medicine) Template” (published by the Therapeutic Goods Administration on its website) but:</w:t>
      </w:r>
    </w:p>
    <w:p w:rsidR="004C7C9A" w:rsidRPr="00B14E91" w:rsidRDefault="004C7C9A" w:rsidP="004C7C9A">
      <w:pPr>
        <w:pStyle w:val="paragraph"/>
      </w:pPr>
      <w:r w:rsidRPr="00B14E91">
        <w:tab/>
        <w:t>(a)</w:t>
      </w:r>
      <w:r w:rsidRPr="00B14E91">
        <w:tab/>
        <w:t>it is not required to set out the information in the same order as the Template; and</w:t>
      </w:r>
    </w:p>
    <w:p w:rsidR="004C7C9A" w:rsidRPr="00B14E91" w:rsidRDefault="004C7C9A" w:rsidP="004C7C9A">
      <w:pPr>
        <w:pStyle w:val="paragraph"/>
      </w:pPr>
      <w:r w:rsidRPr="00B14E91">
        <w:tab/>
        <w:t>(b)</w:t>
      </w:r>
      <w:r w:rsidRPr="00B14E91">
        <w:tab/>
        <w:t>it is not required to include any Consumer Medicine Information (CMI) summary that forms part of that Template.</w:t>
      </w:r>
    </w:p>
    <w:p w:rsidR="004C7C9A" w:rsidRPr="00B14E91" w:rsidRDefault="004C7C9A" w:rsidP="004C7C9A">
      <w:pPr>
        <w:pStyle w:val="ActHead5"/>
      </w:pPr>
      <w:bookmarkStart w:id="66" w:name="_Toc48564323"/>
      <w:r w:rsidRPr="00B14E91">
        <w:rPr>
          <w:rStyle w:val="CharSectno"/>
        </w:rPr>
        <w:t>3</w:t>
      </w:r>
      <w:r w:rsidRPr="00B14E91">
        <w:t xml:space="preserve">  Specific requirements—document not enclosed within packaging etc.</w:t>
      </w:r>
      <w:bookmarkEnd w:id="66"/>
    </w:p>
    <w:p w:rsidR="004C7C9A" w:rsidRPr="00B14E91" w:rsidRDefault="004C7C9A" w:rsidP="004C7C9A">
      <w:pPr>
        <w:pStyle w:val="subsection"/>
      </w:pPr>
      <w:r w:rsidRPr="00B14E91">
        <w:tab/>
      </w:r>
      <w:r w:rsidRPr="00B14E91">
        <w:tab/>
        <w:t>Also, if the consumer medicine information document about a medicine is not enclosed within, on a surface of, or affixed to a surface of, the packaging of the medicine:</w:t>
      </w:r>
    </w:p>
    <w:p w:rsidR="004C7C9A" w:rsidRPr="00B14E91" w:rsidRDefault="004C7C9A" w:rsidP="004C7C9A">
      <w:pPr>
        <w:pStyle w:val="paragraph"/>
      </w:pPr>
      <w:r w:rsidRPr="00B14E91">
        <w:tab/>
        <w:t>(a)</w:t>
      </w:r>
      <w:r w:rsidRPr="00B14E91">
        <w:tab/>
        <w:t>it must set out all of the information required by the “TGA Consumer Medicine Information (Non</w:t>
      </w:r>
      <w:r w:rsidR="00D425F1">
        <w:noBreakHyphen/>
      </w:r>
      <w:r w:rsidRPr="00B14E91">
        <w:t>prescription Medicine) Template” (published by the Therapeutic Goods Administration on its website) in the same order as the Template; and</w:t>
      </w:r>
    </w:p>
    <w:p w:rsidR="004C7C9A" w:rsidRPr="00B14E91" w:rsidRDefault="004C7C9A" w:rsidP="004C7C9A">
      <w:pPr>
        <w:pStyle w:val="paragraph"/>
      </w:pPr>
      <w:r w:rsidRPr="00B14E91">
        <w:tab/>
        <w:t>(b)</w:t>
      </w:r>
      <w:r w:rsidRPr="00B14E91">
        <w:tab/>
        <w:t>if it is supplied in electronic form, it must be in the form of a PDF file or an HTML file.</w:t>
      </w:r>
    </w:p>
    <w:p w:rsidR="004C7C9A" w:rsidRPr="00B14E91" w:rsidRDefault="004C7C9A" w:rsidP="004C7C9A">
      <w:pPr>
        <w:pStyle w:val="ActHead6"/>
        <w:pageBreakBefore/>
      </w:pPr>
      <w:bookmarkStart w:id="67" w:name="_Toc48564324"/>
      <w:r w:rsidRPr="00B14E91">
        <w:rPr>
          <w:rStyle w:val="CharAmSchNo"/>
        </w:rPr>
        <w:lastRenderedPageBreak/>
        <w:t>Schedule 7</w:t>
      </w:r>
      <w:r w:rsidRPr="00B14E91">
        <w:t>—</w:t>
      </w:r>
      <w:r w:rsidRPr="00B14E91">
        <w:rPr>
          <w:rStyle w:val="CharAmSchText"/>
        </w:rPr>
        <w:t>Handling and testing of samples</w:t>
      </w:r>
      <w:bookmarkEnd w:id="67"/>
    </w:p>
    <w:p w:rsidR="004C7C9A" w:rsidRPr="00B14E91" w:rsidRDefault="004C7C9A" w:rsidP="004C7C9A">
      <w:pPr>
        <w:pStyle w:val="Header"/>
      </w:pPr>
      <w:r w:rsidRPr="00B14E91">
        <w:rPr>
          <w:rStyle w:val="CharAmPartNo"/>
        </w:rPr>
        <w:t xml:space="preserve"> </w:t>
      </w:r>
      <w:r w:rsidRPr="00B14E91">
        <w:rPr>
          <w:rStyle w:val="CharAmPartText"/>
        </w:rPr>
        <w:t xml:space="preserve"> </w:t>
      </w:r>
    </w:p>
    <w:p w:rsidR="004C7C9A" w:rsidRPr="00B14E91" w:rsidRDefault="004C7C9A" w:rsidP="004C7C9A">
      <w:pPr>
        <w:pStyle w:val="ActHead9"/>
      </w:pPr>
      <w:bookmarkStart w:id="68" w:name="_Toc48564325"/>
      <w:r w:rsidRPr="00B14E91">
        <w:t>Therapeutic Goods Regulations 1990</w:t>
      </w:r>
      <w:bookmarkEnd w:id="68"/>
    </w:p>
    <w:p w:rsidR="004C7C9A" w:rsidRPr="00B14E91" w:rsidRDefault="004C7C9A" w:rsidP="004C7C9A">
      <w:pPr>
        <w:pStyle w:val="ItemHead"/>
      </w:pPr>
      <w:r w:rsidRPr="00B14E91">
        <w:t xml:space="preserve">1  Regulation 2 (definition of </w:t>
      </w:r>
      <w:r w:rsidRPr="00B14E91">
        <w:rPr>
          <w:i/>
        </w:rPr>
        <w:t>official analyst</w:t>
      </w:r>
      <w:r w:rsidRPr="00B14E91">
        <w:t>)</w:t>
      </w:r>
    </w:p>
    <w:p w:rsidR="004C7C9A" w:rsidRPr="00B14E91" w:rsidRDefault="004C7C9A" w:rsidP="004C7C9A">
      <w:pPr>
        <w:pStyle w:val="Item"/>
      </w:pPr>
      <w:r w:rsidRPr="00B14E91">
        <w:t>Repeal the definition.</w:t>
      </w:r>
    </w:p>
    <w:p w:rsidR="004C7C9A" w:rsidRPr="00B14E91" w:rsidRDefault="004C7C9A" w:rsidP="004C7C9A">
      <w:pPr>
        <w:pStyle w:val="ItemHead"/>
      </w:pPr>
      <w:r w:rsidRPr="00B14E91">
        <w:t>2  Subregulation 23(1)</w:t>
      </w:r>
    </w:p>
    <w:p w:rsidR="004C7C9A" w:rsidRPr="00B14E91" w:rsidRDefault="004C7C9A" w:rsidP="004C7C9A">
      <w:pPr>
        <w:pStyle w:val="Item"/>
      </w:pPr>
      <w:r w:rsidRPr="00B14E91">
        <w:t>Insert:</w:t>
      </w:r>
    </w:p>
    <w:p w:rsidR="004C7C9A" w:rsidRPr="00B14E91" w:rsidRDefault="004C7C9A" w:rsidP="004C7C9A">
      <w:pPr>
        <w:pStyle w:val="Definition"/>
        <w:rPr>
          <w:b/>
          <w:i/>
        </w:rPr>
      </w:pPr>
      <w:r w:rsidRPr="00B14E91">
        <w:rPr>
          <w:b/>
          <w:i/>
        </w:rPr>
        <w:t xml:space="preserve">analyst </w:t>
      </w:r>
      <w:r w:rsidRPr="00B14E91">
        <w:t>means a person appointed by the Secretary as an analyst (except an official analyst) under regulation 25.</w:t>
      </w:r>
    </w:p>
    <w:p w:rsidR="004C7C9A" w:rsidRPr="00B14E91" w:rsidRDefault="004C7C9A" w:rsidP="004C7C9A">
      <w:pPr>
        <w:pStyle w:val="Definition"/>
      </w:pPr>
      <w:r w:rsidRPr="00B14E91">
        <w:rPr>
          <w:b/>
          <w:i/>
        </w:rPr>
        <w:t>appropriately fastened and sealed</w:t>
      </w:r>
      <w:r w:rsidRPr="00B14E91">
        <w:t>: see subregulation (2).</w:t>
      </w:r>
    </w:p>
    <w:p w:rsidR="004C7C9A" w:rsidRPr="00B14E91" w:rsidRDefault="004C7C9A" w:rsidP="004C7C9A">
      <w:pPr>
        <w:pStyle w:val="Definition"/>
      </w:pPr>
      <w:r w:rsidRPr="00B14E91">
        <w:rPr>
          <w:b/>
          <w:i/>
        </w:rPr>
        <w:t xml:space="preserve">official analyst </w:t>
      </w:r>
      <w:r w:rsidRPr="00B14E91">
        <w:t>means a person appointed by the Secretary as an official analyst under regulation 25.</w:t>
      </w:r>
    </w:p>
    <w:p w:rsidR="004C7C9A" w:rsidRPr="00B14E91" w:rsidRDefault="004C7C9A" w:rsidP="004C7C9A">
      <w:pPr>
        <w:pStyle w:val="ItemHead"/>
      </w:pPr>
      <w:r w:rsidRPr="00B14E91">
        <w:t xml:space="preserve">3  Subregulation 23(1) (definition of </w:t>
      </w:r>
      <w:r w:rsidRPr="00B14E91">
        <w:rPr>
          <w:i/>
        </w:rPr>
        <w:t>relevant test</w:t>
      </w:r>
      <w:r w:rsidRPr="00B14E91">
        <w:t>)</w:t>
      </w:r>
    </w:p>
    <w:p w:rsidR="004C7C9A" w:rsidRPr="00B14E91" w:rsidRDefault="004C7C9A" w:rsidP="004C7C9A">
      <w:pPr>
        <w:pStyle w:val="Item"/>
      </w:pPr>
      <w:r w:rsidRPr="00B14E91">
        <w:t>Repeal the definition.</w:t>
      </w:r>
    </w:p>
    <w:p w:rsidR="004C7C9A" w:rsidRPr="00B14E91" w:rsidRDefault="004C7C9A" w:rsidP="004C7C9A">
      <w:pPr>
        <w:pStyle w:val="ItemHead"/>
      </w:pPr>
      <w:r w:rsidRPr="00B14E91">
        <w:t xml:space="preserve">4  Subregulation 23(1) (definition of </w:t>
      </w:r>
      <w:r w:rsidRPr="00B14E91">
        <w:rPr>
          <w:i/>
        </w:rPr>
        <w:t>responsible analyst</w:t>
      </w:r>
      <w:r w:rsidRPr="00B14E91">
        <w:t>)</w:t>
      </w:r>
    </w:p>
    <w:p w:rsidR="004C7C9A" w:rsidRPr="00B14E91" w:rsidRDefault="004C7C9A" w:rsidP="004C7C9A">
      <w:pPr>
        <w:pStyle w:val="Item"/>
      </w:pPr>
      <w:r w:rsidRPr="00B14E91">
        <w:t>After “means an”, insert “analyst or”.</w:t>
      </w:r>
    </w:p>
    <w:p w:rsidR="004C7C9A" w:rsidRPr="00B14E91" w:rsidRDefault="004C7C9A" w:rsidP="004C7C9A">
      <w:pPr>
        <w:pStyle w:val="ItemHead"/>
      </w:pPr>
      <w:r w:rsidRPr="00B14E91">
        <w:t>5  Subregulation 23(2)</w:t>
      </w:r>
    </w:p>
    <w:p w:rsidR="004C7C9A" w:rsidRPr="00B14E91" w:rsidRDefault="004C7C9A" w:rsidP="004C7C9A">
      <w:pPr>
        <w:pStyle w:val="Item"/>
      </w:pPr>
      <w:r w:rsidRPr="00B14E91">
        <w:t>Repeal the subregulation, substitute:</w:t>
      </w:r>
    </w:p>
    <w:p w:rsidR="004C7C9A" w:rsidRPr="00B14E91" w:rsidRDefault="004C7C9A" w:rsidP="004C7C9A">
      <w:pPr>
        <w:pStyle w:val="subsection"/>
      </w:pPr>
      <w:r w:rsidRPr="00B14E91">
        <w:tab/>
        <w:t>(2)</w:t>
      </w:r>
      <w:r w:rsidRPr="00B14E91">
        <w:tab/>
        <w:t xml:space="preserve">For the purposes of this Part, a sample of therapeutic goods is </w:t>
      </w:r>
      <w:r w:rsidRPr="00B14E91">
        <w:rPr>
          <w:b/>
          <w:i/>
        </w:rPr>
        <w:t>appropriately fastened and sealed</w:t>
      </w:r>
      <w:r w:rsidRPr="00B14E91">
        <w:t xml:space="preserve"> if the sample is fastened and sealed:</w:t>
      </w:r>
    </w:p>
    <w:p w:rsidR="004C7C9A" w:rsidRPr="00B14E91" w:rsidRDefault="004C7C9A" w:rsidP="004C7C9A">
      <w:pPr>
        <w:pStyle w:val="paragraph"/>
      </w:pPr>
      <w:r w:rsidRPr="00B14E91">
        <w:tab/>
        <w:t>(a)</w:t>
      </w:r>
      <w:r w:rsidRPr="00B14E91">
        <w:tab/>
        <w:t>in a container or package that is marked with a unique identification number or with the name and address of:</w:t>
      </w:r>
    </w:p>
    <w:p w:rsidR="004C7C9A" w:rsidRPr="00B14E91" w:rsidRDefault="004C7C9A" w:rsidP="004C7C9A">
      <w:pPr>
        <w:pStyle w:val="paragraphsub"/>
      </w:pPr>
      <w:r w:rsidRPr="00B14E91">
        <w:tab/>
        <w:t>(i)</w:t>
      </w:r>
      <w:r w:rsidRPr="00B14E91">
        <w:tab/>
        <w:t>the person from whom the sample was taken; or</w:t>
      </w:r>
    </w:p>
    <w:p w:rsidR="004C7C9A" w:rsidRPr="00B14E91" w:rsidRDefault="004C7C9A" w:rsidP="004C7C9A">
      <w:pPr>
        <w:pStyle w:val="paragraphsub"/>
      </w:pPr>
      <w:r w:rsidRPr="00B14E91">
        <w:tab/>
        <w:t>(ii)</w:t>
      </w:r>
      <w:r w:rsidRPr="00B14E91">
        <w:tab/>
        <w:t>for a sample delivered under paragraph 28(5)(h) or subsection 41FN(2) of the Act—the sponsor of the goods; and</w:t>
      </w:r>
    </w:p>
    <w:p w:rsidR="004C7C9A" w:rsidRPr="00B14E91" w:rsidRDefault="004C7C9A" w:rsidP="004C7C9A">
      <w:pPr>
        <w:pStyle w:val="paragraph"/>
      </w:pPr>
      <w:r w:rsidRPr="00B14E91">
        <w:tab/>
        <w:t>(b)</w:t>
      </w:r>
      <w:r w:rsidRPr="00B14E91">
        <w:tab/>
        <w:t>so as to prevent the opening of the container or package, and the removal of the unique identification number or the name and address, without breaking the seal.</w:t>
      </w:r>
    </w:p>
    <w:p w:rsidR="004C7C9A" w:rsidRPr="00B14E91" w:rsidRDefault="004C7C9A" w:rsidP="004C7C9A">
      <w:pPr>
        <w:pStyle w:val="ItemHead"/>
      </w:pPr>
      <w:r w:rsidRPr="00B14E91">
        <w:t>6  Regulation 25 (heading)</w:t>
      </w:r>
    </w:p>
    <w:p w:rsidR="004C7C9A" w:rsidRPr="00B14E91" w:rsidRDefault="004C7C9A" w:rsidP="004C7C9A">
      <w:pPr>
        <w:pStyle w:val="Item"/>
      </w:pPr>
      <w:r w:rsidRPr="00B14E91">
        <w:t>Repeal the heading, substitute:</w:t>
      </w:r>
    </w:p>
    <w:p w:rsidR="004C7C9A" w:rsidRPr="00B14E91" w:rsidRDefault="004C7C9A" w:rsidP="004C7C9A">
      <w:pPr>
        <w:pStyle w:val="ActHead5"/>
      </w:pPr>
      <w:bookmarkStart w:id="69" w:name="_Toc48564326"/>
      <w:r w:rsidRPr="00B14E91">
        <w:rPr>
          <w:rStyle w:val="CharSectno"/>
        </w:rPr>
        <w:t>25</w:t>
      </w:r>
      <w:r w:rsidRPr="00B14E91">
        <w:t xml:space="preserve">  Appointment of analysts and official analysts and powers of official analysts</w:t>
      </w:r>
      <w:bookmarkEnd w:id="69"/>
    </w:p>
    <w:p w:rsidR="004C7C9A" w:rsidRPr="00B14E91" w:rsidRDefault="004C7C9A" w:rsidP="004C7C9A">
      <w:pPr>
        <w:pStyle w:val="ItemHead"/>
      </w:pPr>
      <w:r w:rsidRPr="00B14E91">
        <w:t>7  Subregulation 25(1)</w:t>
      </w:r>
    </w:p>
    <w:p w:rsidR="004C7C9A" w:rsidRPr="00B14E91" w:rsidRDefault="004C7C9A" w:rsidP="004C7C9A">
      <w:pPr>
        <w:pStyle w:val="Item"/>
      </w:pPr>
      <w:r w:rsidRPr="00B14E91">
        <w:t>After “to be an”, insert “analyst or an”.</w:t>
      </w:r>
    </w:p>
    <w:p w:rsidR="004C7C9A" w:rsidRPr="00B14E91" w:rsidRDefault="004C7C9A" w:rsidP="004C7C9A">
      <w:pPr>
        <w:pStyle w:val="ItemHead"/>
      </w:pPr>
      <w:r w:rsidRPr="00B14E91">
        <w:t>8  Subregulation 25(2)</w:t>
      </w:r>
    </w:p>
    <w:p w:rsidR="004C7C9A" w:rsidRPr="00B14E91" w:rsidRDefault="004C7C9A" w:rsidP="004C7C9A">
      <w:pPr>
        <w:pStyle w:val="Item"/>
      </w:pPr>
      <w:r w:rsidRPr="00B14E91">
        <w:t>Repeal the subregulation.</w:t>
      </w:r>
    </w:p>
    <w:p w:rsidR="004C7C9A" w:rsidRPr="00B14E91" w:rsidRDefault="004C7C9A" w:rsidP="004C7C9A">
      <w:pPr>
        <w:pStyle w:val="ItemHead"/>
      </w:pPr>
      <w:r w:rsidRPr="00B14E91">
        <w:lastRenderedPageBreak/>
        <w:t xml:space="preserve">9  </w:t>
      </w:r>
      <w:r w:rsidR="00D425F1">
        <w:t>Paragraph 2</w:t>
      </w:r>
      <w:r w:rsidRPr="00B14E91">
        <w:t>5(3)(c)</w:t>
      </w:r>
    </w:p>
    <w:p w:rsidR="004C7C9A" w:rsidRPr="00B14E91" w:rsidRDefault="004C7C9A" w:rsidP="004C7C9A">
      <w:pPr>
        <w:pStyle w:val="Item"/>
      </w:pPr>
      <w:r w:rsidRPr="00B14E91">
        <w:t>After “nominate an”, insert “analyst or”.</w:t>
      </w:r>
    </w:p>
    <w:p w:rsidR="004C7C9A" w:rsidRPr="00B14E91" w:rsidRDefault="004C7C9A" w:rsidP="004C7C9A">
      <w:pPr>
        <w:pStyle w:val="ItemHead"/>
      </w:pPr>
      <w:r w:rsidRPr="00B14E91">
        <w:t>10  At the end of regulation 25</w:t>
      </w:r>
    </w:p>
    <w:p w:rsidR="004C7C9A" w:rsidRPr="00B14E91" w:rsidRDefault="004C7C9A" w:rsidP="004C7C9A">
      <w:pPr>
        <w:pStyle w:val="Item"/>
      </w:pPr>
      <w:r w:rsidRPr="00B14E91">
        <w:t>Add:</w:t>
      </w:r>
    </w:p>
    <w:p w:rsidR="004C7C9A" w:rsidRPr="00B14E91" w:rsidRDefault="004C7C9A" w:rsidP="004C7C9A">
      <w:pPr>
        <w:pStyle w:val="subsection"/>
      </w:pPr>
      <w:r w:rsidRPr="00B14E91">
        <w:tab/>
        <w:t>(4)</w:t>
      </w:r>
      <w:r w:rsidRPr="00B14E91">
        <w:tab/>
        <w:t>The tests determined under paragraph (3)(b), by an official analyst, for the following matters must be tests covered by regulation 28:</w:t>
      </w:r>
    </w:p>
    <w:p w:rsidR="004C7C9A" w:rsidRPr="00B14E91" w:rsidRDefault="004C7C9A" w:rsidP="004C7C9A">
      <w:pPr>
        <w:pStyle w:val="paragraph"/>
      </w:pPr>
      <w:r w:rsidRPr="00B14E91">
        <w:tab/>
        <w:t>(a)</w:t>
      </w:r>
      <w:r w:rsidRPr="00B14E91">
        <w:tab/>
        <w:t>determining whether particular therapeutic goods (other than medical devices) are goods that conform with a standard applicable to the goods;</w:t>
      </w:r>
    </w:p>
    <w:p w:rsidR="004C7C9A" w:rsidRPr="00B14E91" w:rsidRDefault="004C7C9A" w:rsidP="004C7C9A">
      <w:pPr>
        <w:pStyle w:val="paragraph"/>
      </w:pPr>
      <w:r w:rsidRPr="00B14E91">
        <w:tab/>
        <w:t>(b)</w:t>
      </w:r>
      <w:r w:rsidRPr="00B14E91">
        <w:tab/>
        <w:t>determining whether a particular kind of medical device complies with the applicable provisions of the essential principles.</w:t>
      </w:r>
    </w:p>
    <w:p w:rsidR="004C7C9A" w:rsidRPr="00B14E91" w:rsidRDefault="004C7C9A" w:rsidP="004C7C9A">
      <w:pPr>
        <w:pStyle w:val="subsection"/>
      </w:pPr>
      <w:r w:rsidRPr="00B14E91">
        <w:tab/>
        <w:t>(5)</w:t>
      </w:r>
      <w:r w:rsidRPr="00B14E91">
        <w:tab/>
        <w:t>The tests determined under paragraph (3)(b), by an official analyst, for a matter not covered by subregulation (4), are the tests that the official analyst considers appropriate.</w:t>
      </w:r>
    </w:p>
    <w:p w:rsidR="004C7C9A" w:rsidRPr="00B14E91" w:rsidRDefault="004C7C9A" w:rsidP="004C7C9A">
      <w:pPr>
        <w:pStyle w:val="ItemHead"/>
      </w:pPr>
      <w:r w:rsidRPr="00B14E91">
        <w:t xml:space="preserve">11  </w:t>
      </w:r>
      <w:r w:rsidR="00D425F1">
        <w:t>Paragraph 2</w:t>
      </w:r>
      <w:r w:rsidRPr="00B14E91">
        <w:t>6(2)(a)</w:t>
      </w:r>
    </w:p>
    <w:p w:rsidR="004C7C9A" w:rsidRPr="00B14E91" w:rsidRDefault="004C7C9A" w:rsidP="004C7C9A">
      <w:pPr>
        <w:pStyle w:val="Item"/>
      </w:pPr>
      <w:r w:rsidRPr="00B14E91">
        <w:t>Omit “packaged,”.</w:t>
      </w:r>
    </w:p>
    <w:p w:rsidR="004C7C9A" w:rsidRPr="00B14E91" w:rsidRDefault="004C7C9A" w:rsidP="004C7C9A">
      <w:pPr>
        <w:pStyle w:val="ItemHead"/>
      </w:pPr>
      <w:r w:rsidRPr="00B14E91">
        <w:t xml:space="preserve">12  </w:t>
      </w:r>
      <w:r w:rsidR="00D425F1">
        <w:t>Paragraph 2</w:t>
      </w:r>
      <w:r w:rsidRPr="00B14E91">
        <w:t>6A(1)(a)</w:t>
      </w:r>
    </w:p>
    <w:p w:rsidR="004C7C9A" w:rsidRPr="00B14E91" w:rsidRDefault="004C7C9A" w:rsidP="004C7C9A">
      <w:pPr>
        <w:pStyle w:val="Item"/>
      </w:pPr>
      <w:r w:rsidRPr="00B14E91">
        <w:t>Omit “packaged,”.</w:t>
      </w:r>
    </w:p>
    <w:p w:rsidR="004C7C9A" w:rsidRPr="00B14E91" w:rsidRDefault="004C7C9A" w:rsidP="004C7C9A">
      <w:pPr>
        <w:pStyle w:val="ItemHead"/>
      </w:pPr>
      <w:r w:rsidRPr="00B14E91">
        <w:t>13  Subparagraphs 26A(1)(b)(i) and (ii)</w:t>
      </w:r>
    </w:p>
    <w:p w:rsidR="004C7C9A" w:rsidRPr="00B14E91" w:rsidRDefault="004C7C9A" w:rsidP="004C7C9A">
      <w:pPr>
        <w:pStyle w:val="Item"/>
      </w:pPr>
      <w:r w:rsidRPr="00B14E91">
        <w:t>Omit “packaged,” (wherever occurring).</w:t>
      </w:r>
    </w:p>
    <w:p w:rsidR="004C7C9A" w:rsidRPr="00B14E91" w:rsidRDefault="004C7C9A" w:rsidP="004C7C9A">
      <w:pPr>
        <w:pStyle w:val="ItemHead"/>
      </w:pPr>
      <w:r w:rsidRPr="00B14E91">
        <w:t>14  Paragraphs 27(1)(a) and (b)</w:t>
      </w:r>
    </w:p>
    <w:p w:rsidR="004C7C9A" w:rsidRPr="00B14E91" w:rsidRDefault="004C7C9A" w:rsidP="004C7C9A">
      <w:pPr>
        <w:pStyle w:val="Item"/>
      </w:pPr>
      <w:r w:rsidRPr="00B14E91">
        <w:t>Omit “packaged,”.</w:t>
      </w:r>
    </w:p>
    <w:p w:rsidR="004C7C9A" w:rsidRPr="00B14E91" w:rsidRDefault="004C7C9A" w:rsidP="004C7C9A">
      <w:pPr>
        <w:pStyle w:val="ItemHead"/>
      </w:pPr>
      <w:r w:rsidRPr="00B14E91">
        <w:t xml:space="preserve">15  </w:t>
      </w:r>
      <w:r w:rsidR="00D425F1">
        <w:t>Paragraph 2</w:t>
      </w:r>
      <w:r w:rsidRPr="00B14E91">
        <w:t>7(2)(a)</w:t>
      </w:r>
    </w:p>
    <w:p w:rsidR="004C7C9A" w:rsidRPr="00B14E91" w:rsidRDefault="004C7C9A" w:rsidP="004C7C9A">
      <w:pPr>
        <w:pStyle w:val="Item"/>
      </w:pPr>
      <w:r w:rsidRPr="00B14E91">
        <w:t>Omit “relevant tests to the extent the analyst considers necessary”, substitute “performing the tests determined under paragraph 25(3)(b) in relation to the sample”.</w:t>
      </w:r>
    </w:p>
    <w:p w:rsidR="004C7C9A" w:rsidRPr="00B14E91" w:rsidRDefault="004C7C9A" w:rsidP="004C7C9A">
      <w:pPr>
        <w:pStyle w:val="ItemHead"/>
      </w:pPr>
      <w:r w:rsidRPr="00B14E91">
        <w:t>16  At the end of paragraph 27(2)(a)</w:t>
      </w:r>
    </w:p>
    <w:p w:rsidR="004C7C9A" w:rsidRPr="00B14E91" w:rsidRDefault="004C7C9A" w:rsidP="004C7C9A">
      <w:pPr>
        <w:pStyle w:val="Item"/>
      </w:pPr>
      <w:r w:rsidRPr="00B14E91">
        <w:t>Add:</w:t>
      </w:r>
    </w:p>
    <w:p w:rsidR="004C7C9A" w:rsidRPr="00B14E91" w:rsidRDefault="004C7C9A" w:rsidP="004C7C9A">
      <w:pPr>
        <w:pStyle w:val="paragraphsub"/>
      </w:pPr>
      <w:r w:rsidRPr="00B14E91">
        <w:tab/>
        <w:t>(iii)</w:t>
      </w:r>
      <w:r w:rsidRPr="00B14E91">
        <w:tab/>
        <w:t>for a sample of medicine listed under section 26A or 26AE of the Act—whether the medicine contains an ingredient that is not specified in a determination under paragraph 26BB(1)(a) of the Act or whether any of the requirements determined under paragraph 26BB(1)(b) of the Act have been contravened; and</w:t>
      </w:r>
    </w:p>
    <w:p w:rsidR="004C7C9A" w:rsidRPr="00B14E91" w:rsidRDefault="004C7C9A" w:rsidP="004C7C9A">
      <w:pPr>
        <w:pStyle w:val="ItemHead"/>
      </w:pPr>
      <w:r w:rsidRPr="00B14E91">
        <w:t>17  Regulation 28 (heading)</w:t>
      </w:r>
    </w:p>
    <w:p w:rsidR="004C7C9A" w:rsidRPr="00B14E91" w:rsidRDefault="004C7C9A" w:rsidP="004C7C9A">
      <w:pPr>
        <w:pStyle w:val="Item"/>
      </w:pPr>
      <w:r w:rsidRPr="00B14E91">
        <w:t>Repeal the heading, substitute:</w:t>
      </w:r>
    </w:p>
    <w:p w:rsidR="004C7C9A" w:rsidRPr="00B14E91" w:rsidRDefault="004C7C9A" w:rsidP="004C7C9A">
      <w:pPr>
        <w:pStyle w:val="ActHead5"/>
      </w:pPr>
      <w:bookmarkStart w:id="70" w:name="_Toc48564327"/>
      <w:r w:rsidRPr="00B14E91">
        <w:rPr>
          <w:rStyle w:val="CharSectno"/>
        </w:rPr>
        <w:lastRenderedPageBreak/>
        <w:t>28</w:t>
      </w:r>
      <w:r w:rsidRPr="00B14E91">
        <w:t xml:space="preserve">  Tests for determining conformity with a standard or compliance with essential principles</w:t>
      </w:r>
      <w:bookmarkEnd w:id="70"/>
    </w:p>
    <w:p w:rsidR="004C7C9A" w:rsidRPr="00B14E91" w:rsidRDefault="004C7C9A" w:rsidP="004C7C9A">
      <w:pPr>
        <w:pStyle w:val="ItemHead"/>
      </w:pPr>
      <w:r w:rsidRPr="00B14E91">
        <w:t>18  Subregulation 28(1)</w:t>
      </w:r>
    </w:p>
    <w:p w:rsidR="004C7C9A" w:rsidRPr="00B14E91" w:rsidRDefault="004C7C9A" w:rsidP="004C7C9A">
      <w:pPr>
        <w:pStyle w:val="Item"/>
      </w:pPr>
      <w:r w:rsidRPr="00B14E91">
        <w:t>Omit “relevant”.</w:t>
      </w:r>
    </w:p>
    <w:p w:rsidR="004C7C9A" w:rsidRPr="00B14E91" w:rsidRDefault="004C7C9A" w:rsidP="004C7C9A">
      <w:pPr>
        <w:pStyle w:val="ItemHead"/>
      </w:pPr>
      <w:r w:rsidRPr="00B14E91">
        <w:t xml:space="preserve">19  </w:t>
      </w:r>
      <w:r w:rsidR="00D425F1">
        <w:t>Paragraph 2</w:t>
      </w:r>
      <w:r w:rsidRPr="00B14E91">
        <w:t>8(1)(b)</w:t>
      </w:r>
    </w:p>
    <w:p w:rsidR="004C7C9A" w:rsidRPr="00B14E91" w:rsidRDefault="004C7C9A" w:rsidP="004C7C9A">
      <w:pPr>
        <w:pStyle w:val="Item"/>
      </w:pPr>
      <w:r w:rsidRPr="00B14E91">
        <w:t>After “British Pharmacopoeia”, insert “, the European Pharmacopoeia or the United States Pharmacopeia</w:t>
      </w:r>
      <w:r w:rsidR="00D425F1">
        <w:noBreakHyphen/>
      </w:r>
      <w:r w:rsidRPr="00B14E91">
        <w:t>National Formulary”.</w:t>
      </w:r>
    </w:p>
    <w:p w:rsidR="004C7C9A" w:rsidRPr="00B14E91" w:rsidRDefault="004C7C9A" w:rsidP="004C7C9A">
      <w:pPr>
        <w:pStyle w:val="ItemHead"/>
      </w:pPr>
      <w:r w:rsidRPr="00B14E91">
        <w:t xml:space="preserve">20  </w:t>
      </w:r>
      <w:r w:rsidR="00D425F1">
        <w:t>Paragraph 2</w:t>
      </w:r>
      <w:r w:rsidRPr="00B14E91">
        <w:t>8(1)(c)</w:t>
      </w:r>
    </w:p>
    <w:p w:rsidR="004C7C9A" w:rsidRPr="00B14E91" w:rsidRDefault="004C7C9A" w:rsidP="004C7C9A">
      <w:pPr>
        <w:pStyle w:val="Item"/>
      </w:pPr>
      <w:r w:rsidRPr="00B14E91">
        <w:t>Repeal the paragraph.</w:t>
      </w:r>
    </w:p>
    <w:p w:rsidR="004C7C9A" w:rsidRPr="00B14E91" w:rsidRDefault="004C7C9A" w:rsidP="004C7C9A">
      <w:pPr>
        <w:pStyle w:val="ItemHead"/>
      </w:pPr>
      <w:r w:rsidRPr="00B14E91">
        <w:t>21  Subregulation 28(2)</w:t>
      </w:r>
    </w:p>
    <w:p w:rsidR="004C7C9A" w:rsidRPr="00B14E91" w:rsidRDefault="004C7C9A" w:rsidP="004C7C9A">
      <w:pPr>
        <w:pStyle w:val="Item"/>
      </w:pPr>
      <w:r w:rsidRPr="00B14E91">
        <w:t>Omit “relevant”.</w:t>
      </w:r>
    </w:p>
    <w:p w:rsidR="004C7C9A" w:rsidRPr="00B14E91" w:rsidRDefault="004C7C9A" w:rsidP="004C7C9A">
      <w:pPr>
        <w:pStyle w:val="ItemHead"/>
      </w:pPr>
      <w:r w:rsidRPr="00B14E91">
        <w:t>22  Regulation 29 (heading)</w:t>
      </w:r>
    </w:p>
    <w:p w:rsidR="004C7C9A" w:rsidRPr="00B14E91" w:rsidRDefault="004C7C9A" w:rsidP="004C7C9A">
      <w:pPr>
        <w:pStyle w:val="Item"/>
      </w:pPr>
      <w:r w:rsidRPr="00B14E91">
        <w:t>Repeal the heading, substitute:</w:t>
      </w:r>
    </w:p>
    <w:p w:rsidR="004C7C9A" w:rsidRPr="00B14E91" w:rsidRDefault="004C7C9A" w:rsidP="004C7C9A">
      <w:pPr>
        <w:pStyle w:val="ActHead5"/>
      </w:pPr>
      <w:bookmarkStart w:id="71" w:name="_Toc48564328"/>
      <w:r w:rsidRPr="00B14E91">
        <w:rPr>
          <w:rStyle w:val="CharSectno"/>
        </w:rPr>
        <w:t>29</w:t>
      </w:r>
      <w:r w:rsidRPr="00B14E91">
        <w:t xml:space="preserve">  Certificate of responsible analyst</w:t>
      </w:r>
      <w:bookmarkEnd w:id="71"/>
    </w:p>
    <w:p w:rsidR="004C7C9A" w:rsidRPr="00B14E91" w:rsidRDefault="004C7C9A" w:rsidP="004C7C9A">
      <w:pPr>
        <w:pStyle w:val="ItemHead"/>
      </w:pPr>
      <w:r w:rsidRPr="00B14E91">
        <w:t>23  Subregulation 29(1)</w:t>
      </w:r>
    </w:p>
    <w:p w:rsidR="004C7C9A" w:rsidRPr="00B14E91" w:rsidRDefault="004C7C9A" w:rsidP="004C7C9A">
      <w:pPr>
        <w:pStyle w:val="Item"/>
      </w:pPr>
      <w:r w:rsidRPr="00B14E91">
        <w:t>Omit “send to the sponsor of the goods a certificate signed by the analyst”, substitute “issue a certificate”.</w:t>
      </w:r>
    </w:p>
    <w:p w:rsidR="004C7C9A" w:rsidRPr="00B14E91" w:rsidRDefault="004C7C9A" w:rsidP="004C7C9A">
      <w:pPr>
        <w:pStyle w:val="ItemHead"/>
      </w:pPr>
      <w:r w:rsidRPr="00B14E91">
        <w:t>24  Subregulations 29(2) and (3)</w:t>
      </w:r>
    </w:p>
    <w:p w:rsidR="004C7C9A" w:rsidRPr="00B14E91" w:rsidRDefault="004C7C9A" w:rsidP="004C7C9A">
      <w:pPr>
        <w:pStyle w:val="Item"/>
      </w:pPr>
      <w:r w:rsidRPr="00B14E91">
        <w:t>Repeal the subregulations, substitute:</w:t>
      </w:r>
    </w:p>
    <w:p w:rsidR="004C7C9A" w:rsidRPr="00B14E91" w:rsidRDefault="004C7C9A" w:rsidP="004C7C9A">
      <w:pPr>
        <w:pStyle w:val="subsection"/>
      </w:pPr>
      <w:r w:rsidRPr="00B14E91">
        <w:tab/>
        <w:t>(2)</w:t>
      </w:r>
      <w:r w:rsidRPr="00B14E91">
        <w:tab/>
        <w:t>Within a reasonable time of the completion of the analysis, the responsible analyst must send a copy of the certificate to:</w:t>
      </w:r>
    </w:p>
    <w:p w:rsidR="004C7C9A" w:rsidRPr="00B14E91" w:rsidRDefault="004C7C9A" w:rsidP="004C7C9A">
      <w:pPr>
        <w:pStyle w:val="paragraph"/>
      </w:pPr>
      <w:r w:rsidRPr="00B14E91">
        <w:tab/>
        <w:t>(a)</w:t>
      </w:r>
      <w:r w:rsidRPr="00B14E91">
        <w:tab/>
        <w:t>the sponsor of the goods; and</w:t>
      </w:r>
    </w:p>
    <w:p w:rsidR="004C7C9A" w:rsidRPr="00B14E91" w:rsidRDefault="004C7C9A" w:rsidP="004C7C9A">
      <w:pPr>
        <w:pStyle w:val="paragraph"/>
      </w:pPr>
      <w:r w:rsidRPr="00B14E91">
        <w:tab/>
        <w:t>(b)</w:t>
      </w:r>
      <w:r w:rsidRPr="00B14E91">
        <w:tab/>
        <w:t>if the sample was taken under paragraph 25(3)(a) and the person from whom the sample was taken is not the sponsor of the goods—the person from whom the sample was taken.</w:t>
      </w:r>
    </w:p>
    <w:p w:rsidR="004C7C9A" w:rsidRPr="00B14E91" w:rsidRDefault="004C7C9A" w:rsidP="004C7C9A">
      <w:pPr>
        <w:pStyle w:val="ItemHead"/>
      </w:pPr>
      <w:r w:rsidRPr="00B14E91">
        <w:t>25  Subregulation 29(4)</w:t>
      </w:r>
    </w:p>
    <w:p w:rsidR="004C7C9A" w:rsidRPr="00B14E91" w:rsidRDefault="004C7C9A" w:rsidP="004C7C9A">
      <w:pPr>
        <w:pStyle w:val="Item"/>
      </w:pPr>
      <w:r w:rsidRPr="00B14E91">
        <w:t>Omit “the certificate, and the copy of it referred to in subregulation (2),”, substitute “a copy of the certificate sent under subregulation (2)”.</w:t>
      </w:r>
    </w:p>
    <w:p w:rsidR="004C7C9A" w:rsidRPr="00B14E91" w:rsidRDefault="004C7C9A" w:rsidP="004C7C9A">
      <w:pPr>
        <w:pStyle w:val="ItemHead"/>
      </w:pPr>
      <w:r w:rsidRPr="00B14E91">
        <w:t xml:space="preserve">26  </w:t>
      </w:r>
      <w:r w:rsidR="00D425F1">
        <w:t>Paragraph 2</w:t>
      </w:r>
      <w:r w:rsidRPr="00B14E91">
        <w:t>9(4A)(a)</w:t>
      </w:r>
    </w:p>
    <w:p w:rsidR="004C7C9A" w:rsidRPr="00B14E91" w:rsidRDefault="004C7C9A" w:rsidP="004C7C9A">
      <w:pPr>
        <w:pStyle w:val="Item"/>
      </w:pPr>
      <w:r w:rsidRPr="00B14E91">
        <w:t>Omit “certificate or copy is sent may ask for the results of the analysis referred to in the certificate”, substitute “copy is sent may ask for the results of the analysis referred to in the copy”.</w:t>
      </w:r>
    </w:p>
    <w:p w:rsidR="004C7C9A" w:rsidRPr="00B14E91" w:rsidRDefault="004C7C9A" w:rsidP="004C7C9A">
      <w:pPr>
        <w:pStyle w:val="ItemHead"/>
      </w:pPr>
      <w:r w:rsidRPr="00B14E91">
        <w:t>27  Subregulation 29(5)</w:t>
      </w:r>
    </w:p>
    <w:p w:rsidR="004C7C9A" w:rsidRPr="00B14E91" w:rsidRDefault="004C7C9A" w:rsidP="004C7C9A">
      <w:pPr>
        <w:pStyle w:val="Item"/>
      </w:pPr>
      <w:r w:rsidRPr="00B14E91">
        <w:t>Omit “of an official analyst”.</w:t>
      </w:r>
    </w:p>
    <w:p w:rsidR="004C7C9A" w:rsidRPr="00B14E91" w:rsidRDefault="004C7C9A" w:rsidP="004C7C9A">
      <w:pPr>
        <w:pStyle w:val="ItemHead"/>
      </w:pPr>
      <w:r w:rsidRPr="00B14E91">
        <w:lastRenderedPageBreak/>
        <w:t xml:space="preserve">28  </w:t>
      </w:r>
      <w:r w:rsidR="00D425F1">
        <w:t>Paragraph 2</w:t>
      </w:r>
      <w:r w:rsidRPr="00B14E91">
        <w:t>9(6)(a)</w:t>
      </w:r>
    </w:p>
    <w:p w:rsidR="004C7C9A" w:rsidRPr="00B14E91" w:rsidRDefault="004C7C9A" w:rsidP="004C7C9A">
      <w:pPr>
        <w:pStyle w:val="Item"/>
      </w:pPr>
      <w:r w:rsidRPr="00B14E91">
        <w:t>Omit “of an official analyst”.</w:t>
      </w:r>
    </w:p>
    <w:p w:rsidR="004C7C9A" w:rsidRPr="00B14E91" w:rsidRDefault="004C7C9A" w:rsidP="004C7C9A">
      <w:pPr>
        <w:pStyle w:val="ItemHead"/>
      </w:pPr>
      <w:r w:rsidRPr="00B14E91">
        <w:t>29  Subregulation 29(6)</w:t>
      </w:r>
    </w:p>
    <w:p w:rsidR="004C7C9A" w:rsidRPr="00B14E91" w:rsidRDefault="004C7C9A" w:rsidP="004C7C9A">
      <w:pPr>
        <w:pStyle w:val="Item"/>
      </w:pPr>
      <w:r w:rsidRPr="00B14E91">
        <w:t>Omit “and purporting to be signed by an official analyst”.</w:t>
      </w:r>
    </w:p>
    <w:p w:rsidR="004C7C9A" w:rsidRPr="00B14E91" w:rsidRDefault="004C7C9A" w:rsidP="004C7C9A">
      <w:pPr>
        <w:pStyle w:val="ItemHead"/>
      </w:pPr>
      <w:r w:rsidRPr="00B14E91">
        <w:t>30  Subregulation 29(6)</w:t>
      </w:r>
    </w:p>
    <w:p w:rsidR="004C7C9A" w:rsidRPr="00B14E91" w:rsidRDefault="004C7C9A" w:rsidP="004C7C9A">
      <w:pPr>
        <w:pStyle w:val="Item"/>
      </w:pPr>
      <w:r w:rsidRPr="00B14E91">
        <w:t>Omit “and to have been issued under subregulation (1) or (2), as the case requires”.</w:t>
      </w:r>
    </w:p>
    <w:p w:rsidR="004C7C9A" w:rsidRPr="00B14E91" w:rsidRDefault="004C7C9A" w:rsidP="004C7C9A">
      <w:pPr>
        <w:pStyle w:val="ItemHead"/>
      </w:pPr>
      <w:r w:rsidRPr="00B14E91">
        <w:t>31  Regulation 30 (heading)</w:t>
      </w:r>
    </w:p>
    <w:p w:rsidR="004C7C9A" w:rsidRPr="00B14E91" w:rsidRDefault="004C7C9A" w:rsidP="004C7C9A">
      <w:pPr>
        <w:pStyle w:val="Item"/>
      </w:pPr>
      <w:r w:rsidRPr="00B14E91">
        <w:t>Repeal the heading, substitute:</w:t>
      </w:r>
    </w:p>
    <w:p w:rsidR="004C7C9A" w:rsidRPr="00B14E91" w:rsidRDefault="004C7C9A" w:rsidP="004C7C9A">
      <w:pPr>
        <w:pStyle w:val="ActHead5"/>
      </w:pPr>
      <w:bookmarkStart w:id="72" w:name="_Toc48564329"/>
      <w:r w:rsidRPr="00B14E91">
        <w:rPr>
          <w:rStyle w:val="CharSectno"/>
        </w:rPr>
        <w:t>30</w:t>
      </w:r>
      <w:r w:rsidRPr="00B14E91">
        <w:t xml:space="preserve">  Review of results of examination and analysis</w:t>
      </w:r>
      <w:bookmarkEnd w:id="72"/>
    </w:p>
    <w:p w:rsidR="004C7C9A" w:rsidRPr="00B14E91" w:rsidRDefault="004C7C9A" w:rsidP="004C7C9A">
      <w:pPr>
        <w:pStyle w:val="ItemHead"/>
      </w:pPr>
      <w:r w:rsidRPr="00B14E91">
        <w:t xml:space="preserve">32  </w:t>
      </w:r>
      <w:r w:rsidR="00D425F1">
        <w:t>Paragraph 3</w:t>
      </w:r>
      <w:r w:rsidRPr="00B14E91">
        <w:t>0(1)(a)</w:t>
      </w:r>
    </w:p>
    <w:p w:rsidR="004C7C9A" w:rsidRPr="00B14E91" w:rsidRDefault="004C7C9A" w:rsidP="004C7C9A">
      <w:pPr>
        <w:pStyle w:val="Item"/>
      </w:pPr>
      <w:r w:rsidRPr="00B14E91">
        <w:t>Repeal the paragraph, substitute:</w:t>
      </w:r>
    </w:p>
    <w:p w:rsidR="004C7C9A" w:rsidRPr="00B14E91" w:rsidRDefault="004C7C9A" w:rsidP="004C7C9A">
      <w:pPr>
        <w:pStyle w:val="paragraph"/>
      </w:pPr>
      <w:r w:rsidRPr="00B14E91">
        <w:tab/>
        <w:t>(a)</w:t>
      </w:r>
      <w:r w:rsidRPr="00B14E91">
        <w:tab/>
        <w:t>to whom a copy of a certificate, setting out the results of the examination and analysis of goods, is sent under subregulation 29(2); and</w:t>
      </w:r>
    </w:p>
    <w:p w:rsidR="004C7C9A" w:rsidRPr="00B14E91" w:rsidRDefault="004C7C9A" w:rsidP="004C7C9A">
      <w:pPr>
        <w:pStyle w:val="ItemHead"/>
      </w:pPr>
      <w:r w:rsidRPr="00B14E91">
        <w:t>33  Subregulation 30(2)</w:t>
      </w:r>
    </w:p>
    <w:p w:rsidR="004C7C9A" w:rsidRPr="00B14E91" w:rsidRDefault="004C7C9A" w:rsidP="004C7C9A">
      <w:pPr>
        <w:pStyle w:val="Item"/>
      </w:pPr>
      <w:r w:rsidRPr="00B14E91">
        <w:t>Omit “certificate, or the copy of the certificate, as the case may be”, substitute “copy of the certificate”.</w:t>
      </w:r>
    </w:p>
    <w:p w:rsidR="004C7C9A" w:rsidRPr="00B14E91" w:rsidRDefault="004C7C9A" w:rsidP="004C7C9A">
      <w:pPr>
        <w:pStyle w:val="ItemHead"/>
      </w:pPr>
      <w:r w:rsidRPr="00B14E91">
        <w:t>34  Subregulation 30(4)</w:t>
      </w:r>
    </w:p>
    <w:p w:rsidR="004C7C9A" w:rsidRPr="00B14E91" w:rsidRDefault="004C7C9A" w:rsidP="004C7C9A">
      <w:pPr>
        <w:pStyle w:val="Item"/>
      </w:pPr>
      <w:r w:rsidRPr="00B14E91">
        <w:t xml:space="preserve">Omit “an analyst”, substitute “a person (the </w:t>
      </w:r>
      <w:r w:rsidRPr="00B14E91">
        <w:rPr>
          <w:b/>
          <w:i/>
        </w:rPr>
        <w:t>third party</w:t>
      </w:r>
      <w:r w:rsidRPr="00B14E91">
        <w:t>)”.</w:t>
      </w:r>
    </w:p>
    <w:p w:rsidR="004C7C9A" w:rsidRPr="00B14E91" w:rsidRDefault="004C7C9A" w:rsidP="004C7C9A">
      <w:pPr>
        <w:pStyle w:val="ItemHead"/>
      </w:pPr>
      <w:r w:rsidRPr="00B14E91">
        <w:t xml:space="preserve">35  </w:t>
      </w:r>
      <w:r w:rsidR="00D425F1">
        <w:t>Paragraph 3</w:t>
      </w:r>
      <w:r w:rsidRPr="00B14E91">
        <w:t>0(4)(a)</w:t>
      </w:r>
    </w:p>
    <w:p w:rsidR="004C7C9A" w:rsidRPr="00B14E91" w:rsidRDefault="004C7C9A" w:rsidP="004C7C9A">
      <w:pPr>
        <w:pStyle w:val="Item"/>
      </w:pPr>
      <w:r w:rsidRPr="00B14E91">
        <w:t>Omit “analyst”, substitute “third party”.</w:t>
      </w:r>
    </w:p>
    <w:p w:rsidR="004C7C9A" w:rsidRPr="00B14E91" w:rsidRDefault="004C7C9A" w:rsidP="004C7C9A">
      <w:pPr>
        <w:pStyle w:val="ItemHead"/>
      </w:pPr>
      <w:r w:rsidRPr="00B14E91">
        <w:t>36  Subregulation 30(5)</w:t>
      </w:r>
    </w:p>
    <w:p w:rsidR="004C7C9A" w:rsidRPr="00B14E91" w:rsidRDefault="004C7C9A" w:rsidP="004C7C9A">
      <w:pPr>
        <w:pStyle w:val="Item"/>
      </w:pPr>
      <w:r w:rsidRPr="00B14E91">
        <w:t>Omit “relevant tests in relation to the goods”, substitute “tests determined by an official analyst under paragraph 25(3)(b) on the basis of which the certificate referred to in paragraph (1)(a) of this regulation was issued”.</w:t>
      </w:r>
    </w:p>
    <w:p w:rsidR="004C7C9A" w:rsidRPr="00B14E91" w:rsidRDefault="004C7C9A" w:rsidP="004C7C9A">
      <w:pPr>
        <w:pStyle w:val="ItemHead"/>
      </w:pPr>
      <w:r w:rsidRPr="00B14E91">
        <w:t>37  Subregulation 30(6)</w:t>
      </w:r>
    </w:p>
    <w:p w:rsidR="004C7C9A" w:rsidRPr="00B14E91" w:rsidRDefault="004C7C9A" w:rsidP="004C7C9A">
      <w:pPr>
        <w:pStyle w:val="Item"/>
      </w:pPr>
      <w:r w:rsidRPr="00B14E91">
        <w:t>Omit “, at the request of the sponsor of the goods,”.</w:t>
      </w:r>
    </w:p>
    <w:p w:rsidR="004C7C9A" w:rsidRPr="00B14E91" w:rsidRDefault="004C7C9A" w:rsidP="004C7C9A">
      <w:pPr>
        <w:pStyle w:val="ItemHead"/>
      </w:pPr>
      <w:r w:rsidRPr="00B14E91">
        <w:t xml:space="preserve">38  </w:t>
      </w:r>
      <w:r w:rsidR="00D425F1">
        <w:t>Paragraph 3</w:t>
      </w:r>
      <w:r w:rsidRPr="00B14E91">
        <w:t>0(6)(a)</w:t>
      </w:r>
    </w:p>
    <w:p w:rsidR="004C7C9A" w:rsidRPr="00B14E91" w:rsidRDefault="004C7C9A" w:rsidP="004C7C9A">
      <w:pPr>
        <w:pStyle w:val="Item"/>
      </w:pPr>
      <w:r w:rsidRPr="00B14E91">
        <w:t>Omit “the official analyst”, substitute “an official analyst”.</w:t>
      </w:r>
    </w:p>
    <w:p w:rsidR="004C7C9A" w:rsidRPr="00B14E91" w:rsidRDefault="004C7C9A" w:rsidP="004C7C9A">
      <w:pPr>
        <w:pStyle w:val="ItemHead"/>
      </w:pPr>
      <w:r w:rsidRPr="00B14E91">
        <w:t>39  Subregulation 30(6)</w:t>
      </w:r>
    </w:p>
    <w:p w:rsidR="004C7C9A" w:rsidRPr="00B14E91" w:rsidRDefault="004C7C9A" w:rsidP="004C7C9A">
      <w:pPr>
        <w:pStyle w:val="Item"/>
      </w:pPr>
      <w:r w:rsidRPr="00B14E91">
        <w:t>Omit “to an analyst agreed”, substitute “to a person agreed (who may be an analyst or official analyst)”.</w:t>
      </w:r>
    </w:p>
    <w:p w:rsidR="004C7C9A" w:rsidRPr="00B14E91" w:rsidRDefault="004C7C9A" w:rsidP="004C7C9A">
      <w:pPr>
        <w:pStyle w:val="ItemHead"/>
      </w:pPr>
      <w:r w:rsidRPr="00B14E91">
        <w:t>40  Subregulation 30(6)</w:t>
      </w:r>
    </w:p>
    <w:p w:rsidR="004C7C9A" w:rsidRPr="00B14E91" w:rsidRDefault="004C7C9A" w:rsidP="004C7C9A">
      <w:pPr>
        <w:pStyle w:val="Item"/>
      </w:pPr>
      <w:r w:rsidRPr="00B14E91">
        <w:t>After “and the official analyst”, insert “referred to in subregulation (5)”.</w:t>
      </w:r>
    </w:p>
    <w:p w:rsidR="004C7C9A" w:rsidRPr="00B14E91" w:rsidRDefault="004C7C9A" w:rsidP="004C7C9A">
      <w:pPr>
        <w:pStyle w:val="ItemHead"/>
      </w:pPr>
      <w:r w:rsidRPr="00B14E91">
        <w:lastRenderedPageBreak/>
        <w:t>41  Subregulation 30(6)</w:t>
      </w:r>
    </w:p>
    <w:p w:rsidR="004C7C9A" w:rsidRPr="00B14E91" w:rsidRDefault="004C7C9A" w:rsidP="004C7C9A">
      <w:pPr>
        <w:pStyle w:val="Item"/>
      </w:pPr>
      <w:r w:rsidRPr="00B14E91">
        <w:t>Omit “an analyst nominated”, substitute “a person nominated (who may be an analyst or official analyst)”.</w:t>
      </w:r>
    </w:p>
    <w:p w:rsidR="004C7C9A" w:rsidRPr="00B14E91" w:rsidRDefault="004C7C9A" w:rsidP="004C7C9A">
      <w:pPr>
        <w:pStyle w:val="ItemHead"/>
      </w:pPr>
      <w:r w:rsidRPr="00B14E91">
        <w:t>42  Subregulation 30(7)</w:t>
      </w:r>
    </w:p>
    <w:p w:rsidR="004C7C9A" w:rsidRPr="00B14E91" w:rsidRDefault="004C7C9A" w:rsidP="004C7C9A">
      <w:pPr>
        <w:pStyle w:val="Item"/>
      </w:pPr>
      <w:r w:rsidRPr="00B14E91">
        <w:t>Omit “forwarded to an analyst referred to in subregulation (6), the analyst”, substitute “sent to a person as mentioned in subregulation (6), the person”.</w:t>
      </w:r>
    </w:p>
    <w:p w:rsidR="004C7C9A" w:rsidRPr="00B14E91" w:rsidRDefault="004C7C9A" w:rsidP="004C7C9A">
      <w:pPr>
        <w:pStyle w:val="ItemHead"/>
      </w:pPr>
      <w:r w:rsidRPr="00B14E91">
        <w:t xml:space="preserve">43  </w:t>
      </w:r>
      <w:r w:rsidR="00D425F1">
        <w:t>Paragraph 3</w:t>
      </w:r>
      <w:r w:rsidRPr="00B14E91">
        <w:t>0(7)(a)</w:t>
      </w:r>
    </w:p>
    <w:p w:rsidR="004C7C9A" w:rsidRPr="00B14E91" w:rsidRDefault="004C7C9A" w:rsidP="004C7C9A">
      <w:pPr>
        <w:pStyle w:val="Item"/>
      </w:pPr>
      <w:r w:rsidRPr="00B14E91">
        <w:t>Omit “any relevant tests”, substitute “the tests determined by an official analyst under paragraph 25(3)(b) on the basis of which the certificate referred to in paragraph (1)(a) of this regulation was issued”.</w:t>
      </w:r>
    </w:p>
    <w:p w:rsidR="004C7C9A" w:rsidRPr="00B14E91" w:rsidRDefault="004C7C9A" w:rsidP="004C7C9A">
      <w:pPr>
        <w:pStyle w:val="ItemHead"/>
      </w:pPr>
      <w:r w:rsidRPr="00B14E91">
        <w:t>44  Paragraphs 30(7)(b) and (c)</w:t>
      </w:r>
    </w:p>
    <w:p w:rsidR="004C7C9A" w:rsidRPr="00B14E91" w:rsidRDefault="004C7C9A" w:rsidP="004C7C9A">
      <w:pPr>
        <w:pStyle w:val="Item"/>
      </w:pPr>
      <w:r w:rsidRPr="00B14E91">
        <w:t>Omit “analyst”, substitute “person”.</w:t>
      </w:r>
    </w:p>
    <w:p w:rsidR="004C7C9A" w:rsidRPr="00B14E91" w:rsidRDefault="004C7C9A" w:rsidP="004C7C9A">
      <w:pPr>
        <w:pStyle w:val="ItemHead"/>
      </w:pPr>
      <w:r w:rsidRPr="00B14E91">
        <w:t xml:space="preserve">45  </w:t>
      </w:r>
      <w:r w:rsidR="00D425F1">
        <w:t>Paragraph 3</w:t>
      </w:r>
      <w:r w:rsidRPr="00B14E91">
        <w:t>0(7)(c)</w:t>
      </w:r>
    </w:p>
    <w:p w:rsidR="004C7C9A" w:rsidRPr="00B14E91" w:rsidRDefault="004C7C9A" w:rsidP="004C7C9A">
      <w:pPr>
        <w:pStyle w:val="Item"/>
      </w:pPr>
      <w:r w:rsidRPr="00B14E91">
        <w:t>Omit “sponsor of the goods”, substitute “person who requested the review”.</w:t>
      </w:r>
    </w:p>
    <w:p w:rsidR="004C7C9A" w:rsidRPr="00B14E91" w:rsidRDefault="004C7C9A" w:rsidP="004C7C9A">
      <w:pPr>
        <w:pStyle w:val="ItemHead"/>
      </w:pPr>
      <w:r w:rsidRPr="00B14E91">
        <w:t>46  Subregulation 30(9)</w:t>
      </w:r>
    </w:p>
    <w:p w:rsidR="004C7C9A" w:rsidRPr="00B14E91" w:rsidRDefault="004C7C9A" w:rsidP="004C7C9A">
      <w:pPr>
        <w:pStyle w:val="Item"/>
      </w:pPr>
      <w:r w:rsidRPr="00B14E91">
        <w:t>Omit “official analyst”, substitute “responsible analyst”.</w:t>
      </w:r>
    </w:p>
    <w:p w:rsidR="004C7C9A" w:rsidRPr="00B14E91" w:rsidRDefault="004C7C9A" w:rsidP="004C7C9A">
      <w:pPr>
        <w:pStyle w:val="ItemHead"/>
      </w:pPr>
      <w:r w:rsidRPr="00B14E91">
        <w:t>47  Subregulation 30(9)</w:t>
      </w:r>
    </w:p>
    <w:p w:rsidR="004C7C9A" w:rsidRPr="00B14E91" w:rsidRDefault="004C7C9A" w:rsidP="004C7C9A">
      <w:pPr>
        <w:pStyle w:val="Item"/>
      </w:pPr>
      <w:r w:rsidRPr="00B14E91">
        <w:t>Omit “analyst referred to in”, substitute “person to whom a sample is sent as mentioned in”.</w:t>
      </w:r>
    </w:p>
    <w:p w:rsidR="004C7C9A" w:rsidRPr="00B14E91" w:rsidRDefault="004C7C9A" w:rsidP="004C7C9A">
      <w:pPr>
        <w:pStyle w:val="ItemHead"/>
      </w:pPr>
      <w:r w:rsidRPr="00B14E91">
        <w:t>48  Subregulation 30(10)</w:t>
      </w:r>
    </w:p>
    <w:p w:rsidR="004C7C9A" w:rsidRPr="00B14E91" w:rsidRDefault="004C7C9A" w:rsidP="004C7C9A">
      <w:pPr>
        <w:pStyle w:val="Item"/>
      </w:pPr>
      <w:r w:rsidRPr="00B14E91">
        <w:t>Omit “of an analyst”.</w:t>
      </w:r>
    </w:p>
    <w:p w:rsidR="004C7C9A" w:rsidRPr="00B14E91" w:rsidRDefault="004C7C9A" w:rsidP="004C7C9A">
      <w:pPr>
        <w:pStyle w:val="ItemHead"/>
      </w:pPr>
      <w:r w:rsidRPr="00B14E91">
        <w:t xml:space="preserve">49  </w:t>
      </w:r>
      <w:r w:rsidR="00D425F1">
        <w:t>Paragraph 3</w:t>
      </w:r>
      <w:r w:rsidRPr="00B14E91">
        <w:t>0(11)(a)</w:t>
      </w:r>
    </w:p>
    <w:p w:rsidR="004C7C9A" w:rsidRPr="00B14E91" w:rsidRDefault="004C7C9A" w:rsidP="004C7C9A">
      <w:pPr>
        <w:pStyle w:val="Item"/>
      </w:pPr>
      <w:r w:rsidRPr="00B14E91">
        <w:t>Omit “an analyst”, substitute “a person”.</w:t>
      </w:r>
    </w:p>
    <w:p w:rsidR="004C7C9A" w:rsidRPr="00B14E91" w:rsidRDefault="004C7C9A" w:rsidP="004C7C9A">
      <w:pPr>
        <w:pStyle w:val="ItemHead"/>
      </w:pPr>
      <w:r w:rsidRPr="00B14E91">
        <w:t xml:space="preserve">50  </w:t>
      </w:r>
      <w:r w:rsidR="00D425F1">
        <w:t>Paragraph 3</w:t>
      </w:r>
      <w:r w:rsidRPr="00B14E91">
        <w:t>0(11)(b)</w:t>
      </w:r>
    </w:p>
    <w:p w:rsidR="004C7C9A" w:rsidRPr="00B14E91" w:rsidRDefault="004C7C9A" w:rsidP="004C7C9A">
      <w:pPr>
        <w:pStyle w:val="Item"/>
      </w:pPr>
      <w:r w:rsidRPr="00B14E91">
        <w:t>Omit “analyst”, substitute “person”.</w:t>
      </w:r>
    </w:p>
    <w:p w:rsidR="004C7C9A" w:rsidRPr="00B14E91" w:rsidRDefault="004C7C9A" w:rsidP="004C7C9A">
      <w:pPr>
        <w:pStyle w:val="ItemHead"/>
      </w:pPr>
      <w:r w:rsidRPr="00B14E91">
        <w:t>51  Subregulation 30(11)</w:t>
      </w:r>
    </w:p>
    <w:p w:rsidR="004C7C9A" w:rsidRPr="00B14E91" w:rsidRDefault="004C7C9A" w:rsidP="004C7C9A">
      <w:pPr>
        <w:pStyle w:val="Item"/>
      </w:pPr>
      <w:r w:rsidRPr="00B14E91">
        <w:t>Omit “, or a copy of the certificate, and to have been issued under that subregulation”, substitute “or a copy of the certificate”.</w:t>
      </w:r>
    </w:p>
    <w:p w:rsidR="004C7C9A" w:rsidRPr="00B14E91" w:rsidRDefault="004C7C9A" w:rsidP="004C7C9A">
      <w:pPr>
        <w:pStyle w:val="ActHead6"/>
        <w:pageBreakBefore/>
      </w:pPr>
      <w:bookmarkStart w:id="73" w:name="_Toc48564330"/>
      <w:r w:rsidRPr="00B14E91">
        <w:rPr>
          <w:rStyle w:val="CharAmSchNo"/>
        </w:rPr>
        <w:lastRenderedPageBreak/>
        <w:t>Schedule 8</w:t>
      </w:r>
      <w:r w:rsidRPr="00B14E91">
        <w:t>—</w:t>
      </w:r>
      <w:r w:rsidRPr="00B14E91">
        <w:rPr>
          <w:rStyle w:val="CharAmSchText"/>
        </w:rPr>
        <w:t>Fee waivers for certain requests relating to prescription opioids</w:t>
      </w:r>
      <w:bookmarkEnd w:id="73"/>
    </w:p>
    <w:p w:rsidR="004C7C9A" w:rsidRPr="00B14E91" w:rsidRDefault="004C7C9A" w:rsidP="004C7C9A">
      <w:pPr>
        <w:pStyle w:val="Header"/>
      </w:pPr>
      <w:r w:rsidRPr="00B14E91">
        <w:rPr>
          <w:rStyle w:val="CharAmPartNo"/>
        </w:rPr>
        <w:t xml:space="preserve"> </w:t>
      </w:r>
      <w:r w:rsidRPr="00B14E91">
        <w:rPr>
          <w:rStyle w:val="CharAmPartText"/>
        </w:rPr>
        <w:t xml:space="preserve"> </w:t>
      </w:r>
    </w:p>
    <w:p w:rsidR="004C7C9A" w:rsidRPr="00B14E91" w:rsidRDefault="004C7C9A" w:rsidP="004C7C9A">
      <w:pPr>
        <w:pStyle w:val="ActHead9"/>
      </w:pPr>
      <w:bookmarkStart w:id="74" w:name="_Toc48564331"/>
      <w:r w:rsidRPr="00B14E91">
        <w:t>Therapeutic Goods Regulations 1990</w:t>
      </w:r>
      <w:bookmarkEnd w:id="74"/>
    </w:p>
    <w:p w:rsidR="004C7C9A" w:rsidRPr="00B14E91" w:rsidRDefault="004C7C9A" w:rsidP="004C7C9A">
      <w:pPr>
        <w:pStyle w:val="ItemHead"/>
      </w:pPr>
      <w:r w:rsidRPr="00B14E91">
        <w:t>1  After subregulation 45(6)</w:t>
      </w:r>
    </w:p>
    <w:p w:rsidR="004C7C9A" w:rsidRPr="00B14E91" w:rsidRDefault="004C7C9A" w:rsidP="004C7C9A">
      <w:pPr>
        <w:pStyle w:val="Item"/>
      </w:pPr>
      <w:r w:rsidRPr="00B14E91">
        <w:t>Insert:</w:t>
      </w:r>
    </w:p>
    <w:p w:rsidR="004C7C9A" w:rsidRPr="00B14E91" w:rsidRDefault="004C7C9A" w:rsidP="004C7C9A">
      <w:pPr>
        <w:pStyle w:val="SubsectionHead"/>
      </w:pPr>
      <w:r w:rsidRPr="00B14E91">
        <w:t>Fee waivers for prescription opioids</w:t>
      </w:r>
    </w:p>
    <w:p w:rsidR="004C7C9A" w:rsidRPr="00B14E91" w:rsidRDefault="004C7C9A" w:rsidP="004C7C9A">
      <w:pPr>
        <w:pStyle w:val="subsection"/>
      </w:pPr>
      <w:r w:rsidRPr="00B14E91">
        <w:tab/>
        <w:t>(7)</w:t>
      </w:r>
      <w:r w:rsidRPr="00B14E91">
        <w:tab/>
        <w:t xml:space="preserve">The Secretary must waive a fee prescribed in Schedule 9 in relation to a request (an </w:t>
      </w:r>
      <w:r w:rsidRPr="00B14E91">
        <w:rPr>
          <w:b/>
          <w:i/>
        </w:rPr>
        <w:t>opioid reform request</w:t>
      </w:r>
      <w:r w:rsidRPr="00B14E91">
        <w:t>) that satisfies all of the following:</w:t>
      </w:r>
    </w:p>
    <w:p w:rsidR="004C7C9A" w:rsidRPr="00B14E91" w:rsidRDefault="004C7C9A" w:rsidP="004C7C9A">
      <w:pPr>
        <w:pStyle w:val="paragraph"/>
      </w:pPr>
      <w:r w:rsidRPr="00B14E91">
        <w:tab/>
        <w:t>(a)</w:t>
      </w:r>
      <w:r w:rsidRPr="00B14E91">
        <w:tab/>
        <w:t>it is made in relation to prescription opioids that are registered goods;</w:t>
      </w:r>
    </w:p>
    <w:p w:rsidR="004C7C9A" w:rsidRPr="00B14E91" w:rsidRDefault="004C7C9A" w:rsidP="004C7C9A">
      <w:pPr>
        <w:pStyle w:val="paragraph"/>
      </w:pPr>
      <w:r w:rsidRPr="00B14E91">
        <w:tab/>
        <w:t>(b)</w:t>
      </w:r>
      <w:r w:rsidRPr="00B14E91">
        <w:tab/>
        <w:t>it is made in the period beginning on the commencement of this subregulation and ending at the end of 31 December 2020;</w:t>
      </w:r>
    </w:p>
    <w:p w:rsidR="004C7C9A" w:rsidRPr="00B14E91" w:rsidRDefault="004C7C9A" w:rsidP="004C7C9A">
      <w:pPr>
        <w:pStyle w:val="paragraph"/>
      </w:pPr>
      <w:r w:rsidRPr="00B14E91">
        <w:tab/>
        <w:t>(c)</w:t>
      </w:r>
      <w:r w:rsidRPr="00B14E91">
        <w:tab/>
        <w:t>it is made under subsection 9D(2) or (3) of the Act;</w:t>
      </w:r>
    </w:p>
    <w:p w:rsidR="004C7C9A" w:rsidRPr="00B14E91" w:rsidRDefault="004C7C9A" w:rsidP="004C7C9A">
      <w:pPr>
        <w:pStyle w:val="paragraph"/>
      </w:pPr>
      <w:r w:rsidRPr="00B14E91">
        <w:tab/>
        <w:t>(d)</w:t>
      </w:r>
      <w:r w:rsidRPr="00B14E91">
        <w:tab/>
        <w:t>it is made solely for an opioid reform purpose (see subregulation (8)) or solely for an opioid reform purpose and an associated variation of product information purpose (see subregulation (9)).</w:t>
      </w:r>
    </w:p>
    <w:p w:rsidR="004C7C9A" w:rsidRPr="00B14E91" w:rsidRDefault="004C7C9A" w:rsidP="004C7C9A">
      <w:pPr>
        <w:pStyle w:val="subsection"/>
      </w:pPr>
      <w:r w:rsidRPr="00B14E91">
        <w:tab/>
        <w:t>(8)</w:t>
      </w:r>
      <w:r w:rsidRPr="00B14E91">
        <w:tab/>
        <w:t>For the purposes of subregulation (7), an opioid reform request is made for an opioid reform purpose if it is made:</w:t>
      </w:r>
    </w:p>
    <w:p w:rsidR="004C7C9A" w:rsidRPr="00B14E91" w:rsidRDefault="004C7C9A" w:rsidP="004C7C9A">
      <w:pPr>
        <w:pStyle w:val="paragraph"/>
      </w:pPr>
      <w:r w:rsidRPr="00B14E91">
        <w:tab/>
        <w:t>(a)</w:t>
      </w:r>
      <w:r w:rsidRPr="00B14E91">
        <w:tab/>
        <w:t>under subsection 9D(2) of the Act, to do either or both of the following:</w:t>
      </w:r>
    </w:p>
    <w:p w:rsidR="004C7C9A" w:rsidRPr="00B14E91" w:rsidRDefault="004C7C9A" w:rsidP="004C7C9A">
      <w:pPr>
        <w:pStyle w:val="paragraphsub"/>
      </w:pPr>
      <w:r w:rsidRPr="00B14E91">
        <w:tab/>
        <w:t>(i)</w:t>
      </w:r>
      <w:r w:rsidRPr="00B14E91">
        <w:tab/>
        <w:t>add a warning, or precaution, in relation to the goods that does not include any comparison of the goods with any other therapeutic goods by reference to quality, safety or efficacy;</w:t>
      </w:r>
    </w:p>
    <w:p w:rsidR="004C7C9A" w:rsidRPr="00B14E91" w:rsidRDefault="004C7C9A" w:rsidP="004C7C9A">
      <w:pPr>
        <w:pStyle w:val="paragraphsub"/>
      </w:pPr>
      <w:r w:rsidRPr="00B14E91">
        <w:tab/>
        <w:t>(ii)</w:t>
      </w:r>
      <w:r w:rsidRPr="00B14E91">
        <w:tab/>
        <w:t>reduce the class of persons for whom the goods are suitable; or</w:t>
      </w:r>
    </w:p>
    <w:p w:rsidR="004C7C9A" w:rsidRPr="00B14E91" w:rsidRDefault="004C7C9A" w:rsidP="004C7C9A">
      <w:pPr>
        <w:pStyle w:val="paragraph"/>
      </w:pPr>
      <w:r w:rsidRPr="00B14E91">
        <w:tab/>
        <w:t>(b)</w:t>
      </w:r>
      <w:r w:rsidRPr="00B14E91">
        <w:tab/>
        <w:t>under subsection 9D(3) of the Act, to introduce a smaller pack size in relation to the goods.</w:t>
      </w:r>
    </w:p>
    <w:p w:rsidR="004C7C9A" w:rsidRPr="00B14E91" w:rsidRDefault="004C7C9A" w:rsidP="004C7C9A">
      <w:pPr>
        <w:pStyle w:val="subsection"/>
      </w:pPr>
      <w:r w:rsidRPr="00B14E91">
        <w:tab/>
        <w:t>(9)</w:t>
      </w:r>
      <w:r w:rsidRPr="00B14E91">
        <w:tab/>
        <w:t>For the purposes of subregulation (7), an opioid reform request is made for an associated variation of product information purpose if:</w:t>
      </w:r>
    </w:p>
    <w:p w:rsidR="004C7C9A" w:rsidRPr="00B14E91" w:rsidRDefault="004C7C9A" w:rsidP="004C7C9A">
      <w:pPr>
        <w:pStyle w:val="paragraph"/>
      </w:pPr>
      <w:r w:rsidRPr="00B14E91">
        <w:tab/>
        <w:t>(a)</w:t>
      </w:r>
      <w:r w:rsidRPr="00B14E91">
        <w:tab/>
        <w:t>the opioid reform request is made under subsection 9D(3) of the Act; and</w:t>
      </w:r>
    </w:p>
    <w:p w:rsidR="004C7C9A" w:rsidRPr="00B14E91" w:rsidRDefault="004C7C9A" w:rsidP="004C7C9A">
      <w:pPr>
        <w:pStyle w:val="paragraph"/>
      </w:pPr>
      <w:r w:rsidRPr="00B14E91">
        <w:tab/>
        <w:t>(b)</w:t>
      </w:r>
      <w:r w:rsidRPr="00B14E91">
        <w:tab/>
        <w:t>paragraphs 9D(3)(b) to (c) of the Act are satisfied in relation to the request; and</w:t>
      </w:r>
    </w:p>
    <w:p w:rsidR="004C7C9A" w:rsidRPr="00B14E91" w:rsidRDefault="004C7C9A" w:rsidP="004C7C9A">
      <w:pPr>
        <w:pStyle w:val="paragraph"/>
      </w:pPr>
      <w:r w:rsidRPr="00B14E91">
        <w:tab/>
        <w:t>(c)</w:t>
      </w:r>
      <w:r w:rsidRPr="00B14E91">
        <w:tab/>
        <w:t>the request is made for the purpose of varying product information in relation to the prescription opioids so that the product information is in the form approved under section 7D of the Act in relation to the prescription opioids.</w:t>
      </w:r>
    </w:p>
    <w:p w:rsidR="004C7C9A" w:rsidRPr="00B14E91" w:rsidRDefault="004C7C9A" w:rsidP="004C7C9A">
      <w:pPr>
        <w:pStyle w:val="ActHead6"/>
        <w:pageBreakBefore/>
      </w:pPr>
      <w:bookmarkStart w:id="75" w:name="_Toc48564332"/>
      <w:r w:rsidRPr="00B14E91">
        <w:rPr>
          <w:rStyle w:val="CharAmSchNo"/>
        </w:rPr>
        <w:lastRenderedPageBreak/>
        <w:t>Schedule 9</w:t>
      </w:r>
      <w:r w:rsidRPr="00B14E91">
        <w:t>—</w:t>
      </w:r>
      <w:r w:rsidRPr="00B14E91">
        <w:rPr>
          <w:rStyle w:val="CharAmSchText"/>
        </w:rPr>
        <w:t>Other amendments</w:t>
      </w:r>
      <w:bookmarkEnd w:id="75"/>
    </w:p>
    <w:p w:rsidR="004C7C9A" w:rsidRPr="00B14E91" w:rsidRDefault="004C7C9A" w:rsidP="004C7C9A">
      <w:pPr>
        <w:pStyle w:val="ActHead7"/>
      </w:pPr>
      <w:bookmarkStart w:id="76" w:name="_Toc48564333"/>
      <w:r w:rsidRPr="00B14E91">
        <w:rPr>
          <w:rStyle w:val="CharAmPartNo"/>
        </w:rPr>
        <w:t>Part 1</w:t>
      </w:r>
      <w:r w:rsidRPr="00B14E91">
        <w:t>—</w:t>
      </w:r>
      <w:r w:rsidRPr="00B14E91">
        <w:rPr>
          <w:rStyle w:val="CharAmPartText"/>
        </w:rPr>
        <w:t>Fee waiver for requests to vary product information for medicine</w:t>
      </w:r>
      <w:bookmarkEnd w:id="76"/>
    </w:p>
    <w:p w:rsidR="004C7C9A" w:rsidRPr="00B14E91" w:rsidRDefault="004C7C9A" w:rsidP="004C7C9A">
      <w:pPr>
        <w:pStyle w:val="ActHead9"/>
      </w:pPr>
      <w:bookmarkStart w:id="77" w:name="_Toc48564334"/>
      <w:r w:rsidRPr="00B14E91">
        <w:t>Therapeutic Goods Regulations 1990</w:t>
      </w:r>
      <w:bookmarkEnd w:id="77"/>
    </w:p>
    <w:p w:rsidR="004C7C9A" w:rsidRPr="00B14E91" w:rsidRDefault="004C7C9A" w:rsidP="004C7C9A">
      <w:pPr>
        <w:pStyle w:val="ItemHead"/>
      </w:pPr>
      <w:r w:rsidRPr="00B14E91">
        <w:t>1  At the end of regulation 45</w:t>
      </w:r>
    </w:p>
    <w:p w:rsidR="004C7C9A" w:rsidRPr="00B14E91" w:rsidRDefault="004C7C9A" w:rsidP="004C7C9A">
      <w:pPr>
        <w:pStyle w:val="Item"/>
      </w:pPr>
      <w:r w:rsidRPr="00B14E91">
        <w:t>Add:</w:t>
      </w:r>
    </w:p>
    <w:p w:rsidR="004C7C9A" w:rsidRPr="00B14E91" w:rsidRDefault="004C7C9A" w:rsidP="004C7C9A">
      <w:pPr>
        <w:pStyle w:val="SubsectionHead"/>
      </w:pPr>
      <w:r w:rsidRPr="00B14E91">
        <w:t>Fee waiver for requests to vary product information for medicine</w:t>
      </w:r>
    </w:p>
    <w:p w:rsidR="004C7C9A" w:rsidRPr="00B14E91" w:rsidRDefault="004C7C9A" w:rsidP="004C7C9A">
      <w:pPr>
        <w:pStyle w:val="subsection"/>
      </w:pPr>
      <w:r w:rsidRPr="00B14E91">
        <w:tab/>
        <w:t>(13)</w:t>
      </w:r>
      <w:r w:rsidRPr="00B14E91">
        <w:tab/>
        <w:t>The Secretary must waive a fee prescribed in Schedule 9 in relation to a request that a person makes under subsection 9D(3) of the Act if:</w:t>
      </w:r>
    </w:p>
    <w:p w:rsidR="004C7C9A" w:rsidRPr="00B14E91" w:rsidRDefault="004C7C9A" w:rsidP="004C7C9A">
      <w:pPr>
        <w:pStyle w:val="paragraph"/>
      </w:pPr>
      <w:r w:rsidRPr="00B14E91">
        <w:tab/>
        <w:t>(a)</w:t>
      </w:r>
      <w:r w:rsidRPr="00B14E91">
        <w:tab/>
        <w:t>the request is in relation to therapeutic goods that are registered; and</w:t>
      </w:r>
    </w:p>
    <w:p w:rsidR="004C7C9A" w:rsidRPr="00B14E91" w:rsidRDefault="004C7C9A" w:rsidP="004C7C9A">
      <w:pPr>
        <w:pStyle w:val="paragraph"/>
      </w:pPr>
      <w:r w:rsidRPr="00B14E91">
        <w:tab/>
        <w:t>(b)</w:t>
      </w:r>
      <w:r w:rsidRPr="00B14E91">
        <w:tab/>
        <w:t>the therapeutic goods are medicine; and</w:t>
      </w:r>
    </w:p>
    <w:p w:rsidR="004C7C9A" w:rsidRPr="00B14E91" w:rsidRDefault="004C7C9A" w:rsidP="004C7C9A">
      <w:pPr>
        <w:pStyle w:val="paragraph"/>
      </w:pPr>
      <w:r w:rsidRPr="00B14E91">
        <w:tab/>
        <w:t>(c)</w:t>
      </w:r>
      <w:r w:rsidRPr="00B14E91">
        <w:tab/>
        <w:t>paragraphs 9D(3)(b) to (c) of the Act are satisfied in relation to the request; and</w:t>
      </w:r>
    </w:p>
    <w:p w:rsidR="004C7C9A" w:rsidRPr="00B14E91" w:rsidRDefault="004C7C9A" w:rsidP="004C7C9A">
      <w:pPr>
        <w:pStyle w:val="paragraph"/>
      </w:pPr>
      <w:r w:rsidRPr="00B14E91">
        <w:tab/>
        <w:t>(d)</w:t>
      </w:r>
      <w:r w:rsidRPr="00B14E91">
        <w:tab/>
        <w:t>the request is made solely for the purpose of varying product information in relation to the medicine so that the product information is in the form approved under section 7D of the Act in relation to the medicine; and</w:t>
      </w:r>
    </w:p>
    <w:p w:rsidR="004C7C9A" w:rsidRPr="00B14E91" w:rsidRDefault="004C7C9A" w:rsidP="004C7C9A">
      <w:pPr>
        <w:pStyle w:val="paragraph"/>
      </w:pPr>
      <w:r w:rsidRPr="00B14E91">
        <w:tab/>
        <w:t>(e)</w:t>
      </w:r>
      <w:r w:rsidRPr="00B14E91">
        <w:tab/>
        <w:t xml:space="preserve">the request is made in the period beginning on </w:t>
      </w:r>
      <w:r w:rsidR="00D425F1">
        <w:t>1 January</w:t>
      </w:r>
      <w:r w:rsidRPr="00B14E91">
        <w:t xml:space="preserve"> 2020 and ending at the end of 31 December 2020.</w:t>
      </w:r>
    </w:p>
    <w:p w:rsidR="004C7C9A" w:rsidRPr="00B14E91" w:rsidRDefault="004C7C9A" w:rsidP="004C7C9A">
      <w:pPr>
        <w:pStyle w:val="ActHead7"/>
        <w:pageBreakBefore/>
      </w:pPr>
      <w:bookmarkStart w:id="78" w:name="_Toc48564335"/>
      <w:r w:rsidRPr="00B14E91">
        <w:rPr>
          <w:rStyle w:val="CharAmPartNo"/>
        </w:rPr>
        <w:lastRenderedPageBreak/>
        <w:t>Part 2</w:t>
      </w:r>
      <w:r w:rsidRPr="00B14E91">
        <w:t>—</w:t>
      </w:r>
      <w:r w:rsidRPr="00B14E91">
        <w:rPr>
          <w:rStyle w:val="CharAmPartText"/>
        </w:rPr>
        <w:t>Clinical trials</w:t>
      </w:r>
      <w:bookmarkEnd w:id="78"/>
    </w:p>
    <w:p w:rsidR="004C7C9A" w:rsidRPr="00B14E91" w:rsidRDefault="004C7C9A" w:rsidP="004C7C9A">
      <w:pPr>
        <w:pStyle w:val="ActHead9"/>
      </w:pPr>
      <w:bookmarkStart w:id="79" w:name="_Toc48564336"/>
      <w:r w:rsidRPr="00B14E91">
        <w:t>Therapeutic Goods Regulations 1990</w:t>
      </w:r>
      <w:bookmarkEnd w:id="79"/>
    </w:p>
    <w:p w:rsidR="004C7C9A" w:rsidRPr="00B14E91" w:rsidRDefault="004C7C9A" w:rsidP="004C7C9A">
      <w:pPr>
        <w:pStyle w:val="ItemHead"/>
      </w:pPr>
      <w:r w:rsidRPr="00B14E91">
        <w:t>2  Regulation 2</w:t>
      </w:r>
    </w:p>
    <w:p w:rsidR="004C7C9A" w:rsidRPr="00B14E91" w:rsidRDefault="004C7C9A" w:rsidP="004C7C9A">
      <w:pPr>
        <w:pStyle w:val="Item"/>
      </w:pPr>
      <w:r w:rsidRPr="00B14E91">
        <w:t>Insert:</w:t>
      </w:r>
    </w:p>
    <w:p w:rsidR="004C7C9A" w:rsidRPr="00B14E91" w:rsidRDefault="004C7C9A" w:rsidP="004C7C9A">
      <w:pPr>
        <w:pStyle w:val="Definition"/>
      </w:pPr>
      <w:r w:rsidRPr="00B14E91">
        <w:rPr>
          <w:b/>
          <w:i/>
        </w:rPr>
        <w:t>Practice Guideline</w:t>
      </w:r>
      <w:r w:rsidRPr="00B14E91">
        <w:t xml:space="preserve"> has the meaning given by paragraph 12AB(2)(a).</w:t>
      </w:r>
    </w:p>
    <w:p w:rsidR="004C7C9A" w:rsidRPr="00B14E91" w:rsidRDefault="004C7C9A" w:rsidP="004C7C9A">
      <w:pPr>
        <w:pStyle w:val="ItemHead"/>
      </w:pPr>
      <w:r w:rsidRPr="00B14E91">
        <w:t xml:space="preserve">3  Regulation 2 (definition of </w:t>
      </w:r>
      <w:r w:rsidRPr="00B14E91">
        <w:rPr>
          <w:i/>
        </w:rPr>
        <w:t>Practice Guidelines</w:t>
      </w:r>
      <w:r w:rsidRPr="00B14E91">
        <w:t>)</w:t>
      </w:r>
    </w:p>
    <w:p w:rsidR="004C7C9A" w:rsidRPr="00B14E91" w:rsidRDefault="004C7C9A" w:rsidP="004C7C9A">
      <w:pPr>
        <w:pStyle w:val="Item"/>
      </w:pPr>
      <w:r w:rsidRPr="00B14E91">
        <w:t>Repeal the definition.</w:t>
      </w:r>
    </w:p>
    <w:p w:rsidR="004C7C9A" w:rsidRPr="00B14E91" w:rsidRDefault="004C7C9A" w:rsidP="004C7C9A">
      <w:pPr>
        <w:pStyle w:val="ItemHead"/>
      </w:pPr>
      <w:r w:rsidRPr="00B14E91">
        <w:t xml:space="preserve">4  </w:t>
      </w:r>
      <w:r w:rsidR="00D425F1">
        <w:t>Paragraph 1</w:t>
      </w:r>
      <w:r w:rsidRPr="00B14E91">
        <w:t>2AB(2)(a)</w:t>
      </w:r>
    </w:p>
    <w:p w:rsidR="004C7C9A" w:rsidRPr="00B14E91" w:rsidRDefault="004C7C9A" w:rsidP="004C7C9A">
      <w:pPr>
        <w:pStyle w:val="Item"/>
      </w:pPr>
      <w:r w:rsidRPr="00B14E91">
        <w:t xml:space="preserve">Omit “the Guidelines for Good Clinical Practice (the </w:t>
      </w:r>
      <w:r w:rsidRPr="00B14E91">
        <w:rPr>
          <w:b/>
          <w:i/>
        </w:rPr>
        <w:t>Practice Guidelines</w:t>
      </w:r>
      <w:r w:rsidRPr="00B14E91">
        <w:t xml:space="preserve">)”, substitute “the Guideline for Good Clinical Practice (the </w:t>
      </w:r>
      <w:r w:rsidRPr="00B14E91">
        <w:rPr>
          <w:b/>
          <w:i/>
        </w:rPr>
        <w:t>Practice Guideline</w:t>
      </w:r>
      <w:r w:rsidRPr="00B14E91">
        <w:t>)”.</w:t>
      </w:r>
    </w:p>
    <w:p w:rsidR="004C7C9A" w:rsidRPr="00B14E91" w:rsidRDefault="004C7C9A" w:rsidP="004C7C9A">
      <w:pPr>
        <w:pStyle w:val="ItemHead"/>
      </w:pPr>
      <w:r w:rsidRPr="00B14E91">
        <w:t xml:space="preserve">5  </w:t>
      </w:r>
      <w:r w:rsidR="00D425F1">
        <w:t>Paragraph 1</w:t>
      </w:r>
      <w:r w:rsidRPr="00B14E91">
        <w:t>2AB(2)(a)</w:t>
      </w:r>
    </w:p>
    <w:p w:rsidR="004C7C9A" w:rsidRPr="00B14E91" w:rsidRDefault="004C7C9A" w:rsidP="004C7C9A">
      <w:pPr>
        <w:pStyle w:val="Item"/>
      </w:pPr>
      <w:r w:rsidRPr="00B14E91">
        <w:t>Omit “published jointly by the International Conference on Harmonisation on Technical Requirements for Registration of Pharmaceuticals for Human Use and the Committee for Medicinal Products”, substitute “published by the International Council for Harmonisation of Technical Requirements for Pharmaceuticals for Human Use”.</w:t>
      </w:r>
    </w:p>
    <w:p w:rsidR="004C7C9A" w:rsidRPr="00B14E91" w:rsidRDefault="004C7C9A" w:rsidP="004C7C9A">
      <w:pPr>
        <w:pStyle w:val="ItemHead"/>
      </w:pPr>
      <w:r w:rsidRPr="00B14E91">
        <w:t>6  Subregulation 12AC(1)</w:t>
      </w:r>
    </w:p>
    <w:p w:rsidR="004C7C9A" w:rsidRPr="00B14E91" w:rsidRDefault="004C7C9A" w:rsidP="004C7C9A">
      <w:pPr>
        <w:pStyle w:val="Item"/>
      </w:pPr>
      <w:r w:rsidRPr="00B14E91">
        <w:t xml:space="preserve">After “clinical trial mentioned in regulation 12AB”, insert “or </w:t>
      </w:r>
      <w:r w:rsidR="00D425F1">
        <w:t>item 3</w:t>
      </w:r>
      <w:r w:rsidRPr="00B14E91">
        <w:t xml:space="preserve"> of the table in Schedule 5A”.</w:t>
      </w:r>
    </w:p>
    <w:p w:rsidR="004C7C9A" w:rsidRPr="00B14E91" w:rsidRDefault="004C7C9A" w:rsidP="004C7C9A">
      <w:pPr>
        <w:pStyle w:val="ItemHead"/>
      </w:pPr>
      <w:r w:rsidRPr="00B14E91">
        <w:t xml:space="preserve">7  </w:t>
      </w:r>
      <w:r w:rsidR="00D425F1">
        <w:t>Paragraph 1</w:t>
      </w:r>
      <w:r w:rsidRPr="00B14E91">
        <w:t>2AD(a)</w:t>
      </w:r>
    </w:p>
    <w:p w:rsidR="004C7C9A" w:rsidRPr="00B14E91" w:rsidRDefault="004C7C9A" w:rsidP="004C7C9A">
      <w:pPr>
        <w:pStyle w:val="Item"/>
      </w:pPr>
      <w:r w:rsidRPr="00B14E91">
        <w:t>Omit “Practice Guidelines”, substitute “Practice Guideline”.</w:t>
      </w:r>
    </w:p>
    <w:p w:rsidR="004C7C9A" w:rsidRPr="00B14E91" w:rsidRDefault="004C7C9A" w:rsidP="004C7C9A">
      <w:pPr>
        <w:pStyle w:val="ItemHead"/>
      </w:pPr>
      <w:r w:rsidRPr="00B14E91">
        <w:t xml:space="preserve">8  Schedule 5A (at the end of the cell at table </w:t>
      </w:r>
      <w:r w:rsidR="00D425F1">
        <w:t>item 3</w:t>
      </w:r>
      <w:r w:rsidRPr="00B14E91">
        <w:t>, column 3)</w:t>
      </w:r>
    </w:p>
    <w:p w:rsidR="004C7C9A" w:rsidRPr="00B14E91" w:rsidRDefault="004C7C9A" w:rsidP="004C7C9A">
      <w:pPr>
        <w:pStyle w:val="Item"/>
      </w:pPr>
      <w:r w:rsidRPr="00B14E91">
        <w:t>Add:</w:t>
      </w:r>
    </w:p>
    <w:p w:rsidR="004C7C9A" w:rsidRPr="00B14E91" w:rsidRDefault="004C7C9A" w:rsidP="004C7C9A">
      <w:pPr>
        <w:pStyle w:val="Tablea"/>
      </w:pPr>
      <w:r w:rsidRPr="00B14E91">
        <w:t>; and (i) the sponsor must comply with requests by an authorised officer, whether made before or after the start of the trial, to give information about the conduct of the trial (whether or not the sponsor is conducting the trial); and</w:t>
      </w:r>
    </w:p>
    <w:p w:rsidR="004C7C9A" w:rsidRPr="00B14E91" w:rsidRDefault="004C7C9A" w:rsidP="004C7C9A">
      <w:pPr>
        <w:pStyle w:val="Tablea"/>
      </w:pPr>
      <w:r w:rsidRPr="00B14E91">
        <w:t>(j) if a body or organisation is conducting the trial for the sponsor, that body or organisation must comply with requests by an authorised officer, whether made before or after the start of the trial, to give information about the conduct of the trial; and</w:t>
      </w:r>
    </w:p>
    <w:p w:rsidR="004C7C9A" w:rsidRPr="00B14E91" w:rsidRDefault="004C7C9A" w:rsidP="004C7C9A">
      <w:pPr>
        <w:pStyle w:val="Tablea"/>
      </w:pPr>
      <w:r w:rsidRPr="00B14E91">
        <w:t>(k) the sponsor (if the sponsor is conducting the trial), or the body or organisation conducting the trial for the sponsor, must allow an authorised officer to do the things mentioned in regulation 12AC</w:t>
      </w:r>
    </w:p>
    <w:p w:rsidR="004C7C9A" w:rsidRPr="00B14E91" w:rsidRDefault="004C7C9A" w:rsidP="004C7C9A">
      <w:pPr>
        <w:pStyle w:val="ActHead7"/>
        <w:pageBreakBefore/>
      </w:pPr>
      <w:bookmarkStart w:id="80" w:name="_Toc48564337"/>
      <w:r w:rsidRPr="00B14E91">
        <w:rPr>
          <w:rStyle w:val="CharAmPartNo"/>
        </w:rPr>
        <w:lastRenderedPageBreak/>
        <w:t>Part 3</w:t>
      </w:r>
      <w:r w:rsidRPr="00B14E91">
        <w:t>—</w:t>
      </w:r>
      <w:r w:rsidRPr="00B14E91">
        <w:rPr>
          <w:rStyle w:val="CharAmPartText"/>
        </w:rPr>
        <w:t>Nappy rash products</w:t>
      </w:r>
      <w:bookmarkEnd w:id="80"/>
    </w:p>
    <w:p w:rsidR="004C7C9A" w:rsidRPr="00B14E91" w:rsidRDefault="004C7C9A" w:rsidP="004C7C9A">
      <w:pPr>
        <w:pStyle w:val="ActHead9"/>
      </w:pPr>
      <w:bookmarkStart w:id="81" w:name="_Toc48564338"/>
      <w:r w:rsidRPr="00B14E91">
        <w:t>Therapeutic Goods Regulations 1990</w:t>
      </w:r>
      <w:bookmarkEnd w:id="81"/>
    </w:p>
    <w:p w:rsidR="004C7C9A" w:rsidRPr="00B14E91" w:rsidRDefault="004C7C9A" w:rsidP="004C7C9A">
      <w:pPr>
        <w:pStyle w:val="ItemHead"/>
      </w:pPr>
      <w:r w:rsidRPr="00B14E91">
        <w:t>9  Schedule 5 (after table item 8A)</w:t>
      </w:r>
    </w:p>
    <w:p w:rsidR="004C7C9A" w:rsidRPr="00B14E91" w:rsidRDefault="004C7C9A" w:rsidP="004C7C9A">
      <w:pPr>
        <w:pStyle w:val="Item"/>
      </w:pPr>
      <w:r w:rsidRPr="00B14E91">
        <w:t>Insert:</w:t>
      </w:r>
    </w:p>
    <w:p w:rsidR="004C7C9A" w:rsidRPr="00B14E91" w:rsidRDefault="004C7C9A" w:rsidP="004C7C9A">
      <w:pPr>
        <w:pStyle w:val="Tabletext"/>
      </w:pPr>
    </w:p>
    <w:tbl>
      <w:tblPr>
        <w:tblW w:w="5000" w:type="pct"/>
        <w:tblLook w:val="04A0" w:firstRow="1" w:lastRow="0" w:firstColumn="1" w:lastColumn="0" w:noHBand="0" w:noVBand="1"/>
      </w:tblPr>
      <w:tblGrid>
        <w:gridCol w:w="1148"/>
        <w:gridCol w:w="7381"/>
      </w:tblGrid>
      <w:tr w:rsidR="004C7C9A" w:rsidRPr="00B14E91" w:rsidTr="00B807E7">
        <w:tc>
          <w:tcPr>
            <w:tcW w:w="673" w:type="pct"/>
            <w:hideMark/>
          </w:tcPr>
          <w:p w:rsidR="004C7C9A" w:rsidRPr="00B14E91" w:rsidRDefault="004C7C9A" w:rsidP="00B807E7">
            <w:pPr>
              <w:pStyle w:val="Tabletext"/>
              <w:rPr>
                <w:lang w:eastAsia="en-US"/>
              </w:rPr>
            </w:pPr>
            <w:r w:rsidRPr="00B14E91">
              <w:rPr>
                <w:lang w:eastAsia="en-US"/>
              </w:rPr>
              <w:t>8B</w:t>
            </w:r>
          </w:p>
        </w:tc>
        <w:tc>
          <w:tcPr>
            <w:tcW w:w="4327" w:type="pct"/>
            <w:hideMark/>
          </w:tcPr>
          <w:p w:rsidR="004C7C9A" w:rsidRPr="00B14E91" w:rsidRDefault="004C7C9A" w:rsidP="00B807E7">
            <w:pPr>
              <w:pStyle w:val="Tabletext"/>
              <w:rPr>
                <w:lang w:eastAsia="en-US"/>
              </w:rPr>
            </w:pPr>
            <w:r w:rsidRPr="00B14E91">
              <w:rPr>
                <w:lang w:eastAsia="en-US"/>
              </w:rPr>
              <w:t>unmedicated preparations for topical use for protecting against, or providing relief from, nappy rash symptoms by acting only as a barrier for the skin (whether or not the preparations also have a moisturising action)</w:t>
            </w:r>
          </w:p>
        </w:tc>
      </w:tr>
    </w:tbl>
    <w:p w:rsidR="004C7C9A" w:rsidRPr="00B14E91" w:rsidRDefault="004C7C9A" w:rsidP="004C7C9A">
      <w:pPr>
        <w:pStyle w:val="ItemHead"/>
      </w:pPr>
      <w:r w:rsidRPr="00B14E91">
        <w:t xml:space="preserve">10  Schedule 7 (after table </w:t>
      </w:r>
      <w:r w:rsidR="00D425F1">
        <w:t>item 1</w:t>
      </w:r>
      <w:r w:rsidRPr="00B14E91">
        <w:t>1)</w:t>
      </w:r>
    </w:p>
    <w:p w:rsidR="004C7C9A" w:rsidRPr="00B14E91" w:rsidRDefault="004C7C9A" w:rsidP="004C7C9A">
      <w:pPr>
        <w:pStyle w:val="Item"/>
      </w:pPr>
      <w:r w:rsidRPr="00B14E91">
        <w:t>Insert:</w:t>
      </w:r>
    </w:p>
    <w:p w:rsidR="004C7C9A" w:rsidRPr="00B14E91" w:rsidRDefault="004C7C9A" w:rsidP="004C7C9A">
      <w:pPr>
        <w:pStyle w:val="Tabletext"/>
      </w:pPr>
    </w:p>
    <w:tbl>
      <w:tblPr>
        <w:tblW w:w="5000" w:type="pct"/>
        <w:tblLook w:val="04A0" w:firstRow="1" w:lastRow="0" w:firstColumn="1" w:lastColumn="0" w:noHBand="0" w:noVBand="1"/>
      </w:tblPr>
      <w:tblGrid>
        <w:gridCol w:w="1148"/>
        <w:gridCol w:w="7381"/>
      </w:tblGrid>
      <w:tr w:rsidR="004C7C9A" w:rsidRPr="00B14E91" w:rsidTr="00B807E7">
        <w:tc>
          <w:tcPr>
            <w:tcW w:w="673" w:type="pct"/>
            <w:hideMark/>
          </w:tcPr>
          <w:p w:rsidR="004C7C9A" w:rsidRPr="00B14E91" w:rsidRDefault="004C7C9A" w:rsidP="00B807E7">
            <w:pPr>
              <w:pStyle w:val="Tabletext"/>
              <w:rPr>
                <w:lang w:eastAsia="en-US"/>
              </w:rPr>
            </w:pPr>
            <w:r w:rsidRPr="00B14E91">
              <w:rPr>
                <w:lang w:eastAsia="en-US"/>
              </w:rPr>
              <w:t>11A</w:t>
            </w:r>
          </w:p>
        </w:tc>
        <w:tc>
          <w:tcPr>
            <w:tcW w:w="4327" w:type="pct"/>
            <w:hideMark/>
          </w:tcPr>
          <w:p w:rsidR="004C7C9A" w:rsidRPr="00B14E91" w:rsidRDefault="004C7C9A" w:rsidP="00B807E7">
            <w:pPr>
              <w:pStyle w:val="Tabletext"/>
              <w:rPr>
                <w:lang w:eastAsia="en-US"/>
              </w:rPr>
            </w:pPr>
            <w:r w:rsidRPr="00B14E91">
              <w:rPr>
                <w:lang w:eastAsia="en-US"/>
              </w:rPr>
              <w:t>unmedicated preparations for topical use for protecting against, or providing relief from, nappy rash symptoms by acting only as a barrier for the skin (whether or not the preparations also have a moisturising action)</w:t>
            </w:r>
          </w:p>
        </w:tc>
      </w:tr>
    </w:tbl>
    <w:p w:rsidR="004C7C9A" w:rsidRPr="00B14E91" w:rsidRDefault="004C7C9A" w:rsidP="004C7C9A">
      <w:pPr>
        <w:pStyle w:val="ActHead7"/>
        <w:pageBreakBefore/>
      </w:pPr>
      <w:bookmarkStart w:id="82" w:name="_Toc48564339"/>
      <w:r w:rsidRPr="00B14E91">
        <w:rPr>
          <w:rStyle w:val="CharAmPartNo"/>
        </w:rPr>
        <w:lastRenderedPageBreak/>
        <w:t>Part 4</w:t>
      </w:r>
      <w:r w:rsidRPr="00B14E91">
        <w:t>—</w:t>
      </w:r>
      <w:r w:rsidRPr="00B14E91">
        <w:rPr>
          <w:rStyle w:val="CharAmPartText"/>
        </w:rPr>
        <w:t>Other amendments</w:t>
      </w:r>
      <w:bookmarkEnd w:id="82"/>
    </w:p>
    <w:p w:rsidR="004C7C9A" w:rsidRPr="00B14E91" w:rsidRDefault="004C7C9A" w:rsidP="004C7C9A">
      <w:pPr>
        <w:pStyle w:val="ActHead9"/>
      </w:pPr>
      <w:bookmarkStart w:id="83" w:name="_Toc48564340"/>
      <w:r w:rsidRPr="00B14E91">
        <w:t>Therapeutic Goods Regulations 1990</w:t>
      </w:r>
      <w:bookmarkEnd w:id="83"/>
    </w:p>
    <w:p w:rsidR="004C7C9A" w:rsidRPr="00B14E91" w:rsidRDefault="004C7C9A" w:rsidP="004C7C9A">
      <w:pPr>
        <w:pStyle w:val="ItemHead"/>
        <w:rPr>
          <w:i/>
        </w:rPr>
      </w:pPr>
      <w:r w:rsidRPr="00B14E91">
        <w:t xml:space="preserve">11  Regulation 2 (note 2 to the definition of </w:t>
      </w:r>
      <w:r w:rsidRPr="00B14E91">
        <w:rPr>
          <w:i/>
        </w:rPr>
        <w:t>Australian Approved Names List</w:t>
      </w:r>
      <w:r w:rsidRPr="00B14E91">
        <w:t>)</w:t>
      </w:r>
    </w:p>
    <w:p w:rsidR="004C7C9A" w:rsidRPr="00B14E91" w:rsidRDefault="004C7C9A" w:rsidP="004C7C9A">
      <w:pPr>
        <w:pStyle w:val="Item"/>
      </w:pPr>
      <w:r w:rsidRPr="00B14E91">
        <w:t>Omit “TGA Approved Terminology for Medicines”, substitute “TGA Approved Terminology for Therapeutic Goods”.</w:t>
      </w:r>
    </w:p>
    <w:p w:rsidR="004C7C9A" w:rsidRPr="00B14E91" w:rsidRDefault="004C7C9A" w:rsidP="004C7C9A">
      <w:pPr>
        <w:pStyle w:val="notemargin"/>
      </w:pPr>
      <w:r w:rsidRPr="00B14E91">
        <w:t>Note:</w:t>
      </w:r>
      <w:r w:rsidRPr="00B14E91">
        <w:tab/>
        <w:t>This item updates the title of a document.</w:t>
      </w:r>
    </w:p>
    <w:p w:rsidR="004C7C9A" w:rsidRPr="00B14E91" w:rsidRDefault="004C7C9A" w:rsidP="004C7C9A">
      <w:pPr>
        <w:pStyle w:val="ItemHead"/>
      </w:pPr>
      <w:r w:rsidRPr="00B14E91">
        <w:t xml:space="preserve">12  </w:t>
      </w:r>
      <w:r w:rsidR="00D425F1">
        <w:t>Subparagraph 1</w:t>
      </w:r>
      <w:r w:rsidRPr="00B14E91">
        <w:t>6M(1)(b)(i)</w:t>
      </w:r>
    </w:p>
    <w:p w:rsidR="004C7C9A" w:rsidRPr="00B14E91" w:rsidRDefault="004C7C9A" w:rsidP="004C7C9A">
      <w:pPr>
        <w:pStyle w:val="Item"/>
      </w:pPr>
      <w:r w:rsidRPr="00B14E91">
        <w:t>Omit “subregulation 16J(3)”, substitute “subregulation 16J(4)”.</w:t>
      </w:r>
    </w:p>
    <w:p w:rsidR="004C7C9A" w:rsidRPr="00B14E91" w:rsidRDefault="004C7C9A" w:rsidP="004C7C9A">
      <w:pPr>
        <w:pStyle w:val="notemargin"/>
      </w:pPr>
      <w:r w:rsidRPr="00B14E91">
        <w:t>Note:</w:t>
      </w:r>
      <w:r w:rsidRPr="00B14E91">
        <w:tab/>
        <w:t>This item fixes an incorrect cross</w:t>
      </w:r>
      <w:r w:rsidR="00D425F1">
        <w:noBreakHyphen/>
      </w:r>
      <w:r w:rsidRPr="00B14E91">
        <w:t>reference.</w:t>
      </w:r>
    </w:p>
    <w:p w:rsidR="004C7C9A" w:rsidRPr="00B14E91" w:rsidRDefault="004C7C9A" w:rsidP="004C7C9A">
      <w:pPr>
        <w:pStyle w:val="ItemHead"/>
      </w:pPr>
      <w:r w:rsidRPr="00B14E91">
        <w:t xml:space="preserve">13  </w:t>
      </w:r>
      <w:r w:rsidR="00D425F1">
        <w:t>Subparagraph 1</w:t>
      </w:r>
      <w:r w:rsidRPr="00B14E91">
        <w:t>6M(1)(b)(ii)</w:t>
      </w:r>
    </w:p>
    <w:p w:rsidR="004C7C9A" w:rsidRPr="00B14E91" w:rsidRDefault="004C7C9A" w:rsidP="004C7C9A">
      <w:pPr>
        <w:pStyle w:val="Item"/>
      </w:pPr>
      <w:r w:rsidRPr="00B14E91">
        <w:t>Omit “subregulation 16J(4)”, substitute “subregulation 16J(3)”.</w:t>
      </w:r>
    </w:p>
    <w:p w:rsidR="004C7C9A" w:rsidRPr="00B14E91" w:rsidRDefault="004C7C9A" w:rsidP="004C7C9A">
      <w:pPr>
        <w:pStyle w:val="notemargin"/>
      </w:pPr>
      <w:r w:rsidRPr="00B14E91">
        <w:t>Note:</w:t>
      </w:r>
      <w:r w:rsidRPr="00B14E91">
        <w:tab/>
        <w:t>This item fixes an incorrect cross</w:t>
      </w:r>
      <w:r w:rsidR="00D425F1">
        <w:noBreakHyphen/>
      </w:r>
      <w:r w:rsidRPr="00B14E91">
        <w:t>reference.</w:t>
      </w:r>
    </w:p>
    <w:p w:rsidR="004C7C9A" w:rsidRPr="00B14E91" w:rsidRDefault="004C7C9A" w:rsidP="004C7C9A">
      <w:pPr>
        <w:pStyle w:val="ActHead6"/>
        <w:pageBreakBefore/>
      </w:pPr>
      <w:bookmarkStart w:id="84" w:name="opcCurrentFind"/>
      <w:bookmarkStart w:id="85" w:name="_Toc48564341"/>
      <w:r w:rsidRPr="00B14E91">
        <w:rPr>
          <w:rStyle w:val="CharAmSchNo"/>
        </w:rPr>
        <w:lastRenderedPageBreak/>
        <w:t>Schedule 10</w:t>
      </w:r>
      <w:r w:rsidRPr="00B14E91">
        <w:t>—</w:t>
      </w:r>
      <w:r w:rsidRPr="00B14E91">
        <w:rPr>
          <w:rStyle w:val="CharAmSchText"/>
        </w:rPr>
        <w:t>Application, saving and transitional provisions</w:t>
      </w:r>
      <w:bookmarkEnd w:id="85"/>
    </w:p>
    <w:bookmarkEnd w:id="84"/>
    <w:p w:rsidR="004C7C9A" w:rsidRPr="00B14E91" w:rsidRDefault="004C7C9A" w:rsidP="004C7C9A">
      <w:pPr>
        <w:pStyle w:val="Header"/>
      </w:pPr>
      <w:r w:rsidRPr="00B14E91">
        <w:rPr>
          <w:rStyle w:val="CharAmPartNo"/>
        </w:rPr>
        <w:t xml:space="preserve"> </w:t>
      </w:r>
      <w:r w:rsidRPr="00B14E91">
        <w:rPr>
          <w:rStyle w:val="CharAmPartText"/>
        </w:rPr>
        <w:t xml:space="preserve"> </w:t>
      </w:r>
    </w:p>
    <w:p w:rsidR="004C7C9A" w:rsidRPr="00B14E91" w:rsidRDefault="004C7C9A" w:rsidP="004C7C9A">
      <w:pPr>
        <w:pStyle w:val="ActHead9"/>
      </w:pPr>
      <w:bookmarkStart w:id="86" w:name="_Toc48564342"/>
      <w:r w:rsidRPr="00B14E91">
        <w:t xml:space="preserve">Therapeutic Goods (Medical Devices) </w:t>
      </w:r>
      <w:r w:rsidR="00D425F1">
        <w:t>Regulations 2</w:t>
      </w:r>
      <w:r w:rsidRPr="00B14E91">
        <w:t>002</w:t>
      </w:r>
      <w:bookmarkEnd w:id="86"/>
    </w:p>
    <w:p w:rsidR="004C7C9A" w:rsidRPr="00B14E91" w:rsidRDefault="004C7C9A" w:rsidP="004C7C9A">
      <w:pPr>
        <w:pStyle w:val="ItemHead"/>
      </w:pPr>
      <w:r w:rsidRPr="00B14E91">
        <w:t>1  In the appropriate position in Part 11</w:t>
      </w:r>
    </w:p>
    <w:p w:rsidR="004C7C9A" w:rsidRPr="00B14E91" w:rsidRDefault="004C7C9A" w:rsidP="004C7C9A">
      <w:pPr>
        <w:pStyle w:val="Item"/>
      </w:pPr>
      <w:r w:rsidRPr="00B14E91">
        <w:t>Insert:</w:t>
      </w:r>
    </w:p>
    <w:p w:rsidR="004C7C9A" w:rsidRPr="00B14E91" w:rsidRDefault="004C7C9A" w:rsidP="004C7C9A">
      <w:pPr>
        <w:pStyle w:val="ActHead3"/>
      </w:pPr>
      <w:bookmarkStart w:id="87" w:name="_Toc48564343"/>
      <w:r w:rsidRPr="00B14E91">
        <w:rPr>
          <w:rStyle w:val="CharDivNo"/>
        </w:rPr>
        <w:t>Division 11.10</w:t>
      </w:r>
      <w:r w:rsidRPr="00B14E91">
        <w:t>—</w:t>
      </w:r>
      <w:r w:rsidRPr="00B14E91">
        <w:rPr>
          <w:rStyle w:val="CharDivText"/>
        </w:rPr>
        <w:t xml:space="preserve">Application and transitional provisions relating to the Therapeutic Goods Legislation Amendment (2019 Measures No. 1) </w:t>
      </w:r>
      <w:r w:rsidR="00D425F1">
        <w:rPr>
          <w:rStyle w:val="CharDivText"/>
        </w:rPr>
        <w:t>Regulations 2</w:t>
      </w:r>
      <w:r w:rsidRPr="00B14E91">
        <w:rPr>
          <w:rStyle w:val="CharDivText"/>
        </w:rPr>
        <w:t>019</w:t>
      </w:r>
      <w:bookmarkEnd w:id="87"/>
    </w:p>
    <w:p w:rsidR="004C7C9A" w:rsidRPr="00B14E91" w:rsidRDefault="004C7C9A" w:rsidP="004C7C9A">
      <w:pPr>
        <w:pStyle w:val="ActHead4"/>
      </w:pPr>
      <w:bookmarkStart w:id="88" w:name="_Toc48564344"/>
      <w:r w:rsidRPr="00B14E91">
        <w:rPr>
          <w:rStyle w:val="CharSubdNo"/>
        </w:rPr>
        <w:t>Subdivision A</w:t>
      </w:r>
      <w:r w:rsidRPr="00B14E91">
        <w:t>—</w:t>
      </w:r>
      <w:r w:rsidRPr="00B14E91">
        <w:rPr>
          <w:rStyle w:val="CharSubdText"/>
        </w:rPr>
        <w:t>Definitions</w:t>
      </w:r>
      <w:bookmarkEnd w:id="88"/>
    </w:p>
    <w:p w:rsidR="004C7C9A" w:rsidRPr="00B14E91" w:rsidRDefault="004C7C9A" w:rsidP="004C7C9A">
      <w:pPr>
        <w:pStyle w:val="ActHead5"/>
      </w:pPr>
      <w:bookmarkStart w:id="89" w:name="_Toc48564345"/>
      <w:r w:rsidRPr="00B14E91">
        <w:rPr>
          <w:rStyle w:val="CharSectno"/>
        </w:rPr>
        <w:t>11.38</w:t>
      </w:r>
      <w:r w:rsidRPr="00B14E91">
        <w:t xml:space="preserve">  Definitions</w:t>
      </w:r>
      <w:bookmarkEnd w:id="89"/>
    </w:p>
    <w:p w:rsidR="004C7C9A" w:rsidRPr="00B14E91" w:rsidRDefault="004C7C9A" w:rsidP="004C7C9A">
      <w:pPr>
        <w:pStyle w:val="subsection"/>
      </w:pPr>
      <w:r w:rsidRPr="00B14E91">
        <w:tab/>
      </w:r>
      <w:r w:rsidRPr="00B14E91">
        <w:tab/>
        <w:t>In this Division:</w:t>
      </w:r>
    </w:p>
    <w:p w:rsidR="004C7C9A" w:rsidRPr="00B14E91" w:rsidRDefault="004C7C9A" w:rsidP="004C7C9A">
      <w:pPr>
        <w:pStyle w:val="Definition"/>
      </w:pPr>
      <w:r w:rsidRPr="00B14E91">
        <w:rPr>
          <w:b/>
          <w:i/>
        </w:rPr>
        <w:t>amending regulations</w:t>
      </w:r>
      <w:r w:rsidRPr="00B14E91">
        <w:t xml:space="preserve"> means the </w:t>
      </w:r>
      <w:r w:rsidRPr="00B14E91">
        <w:rPr>
          <w:i/>
        </w:rPr>
        <w:t xml:space="preserve">Therapeutic Goods Legislation Amendment (2019 Measures No. 1) </w:t>
      </w:r>
      <w:r w:rsidR="00D425F1">
        <w:rPr>
          <w:i/>
        </w:rPr>
        <w:t>Regulations 2</w:t>
      </w:r>
      <w:r w:rsidRPr="00B14E91">
        <w:rPr>
          <w:i/>
        </w:rPr>
        <w:t>019</w:t>
      </w:r>
      <w:r w:rsidRPr="00B14E91">
        <w:t>.</w:t>
      </w:r>
    </w:p>
    <w:p w:rsidR="004C7C9A" w:rsidRPr="00B14E91" w:rsidRDefault="004C7C9A" w:rsidP="004C7C9A">
      <w:pPr>
        <w:pStyle w:val="Definition"/>
      </w:pPr>
      <w:r w:rsidRPr="00B14E91">
        <w:rPr>
          <w:b/>
          <w:i/>
        </w:rPr>
        <w:t>finally determined</w:t>
      </w:r>
      <w:r w:rsidRPr="00B14E91">
        <w:t>: an application is finally determined at the first time both the following conditions are met:</w:t>
      </w:r>
    </w:p>
    <w:p w:rsidR="004C7C9A" w:rsidRPr="00B14E91" w:rsidRDefault="004C7C9A" w:rsidP="004C7C9A">
      <w:pPr>
        <w:pStyle w:val="paragraph"/>
      </w:pPr>
      <w:r w:rsidRPr="00B14E91">
        <w:tab/>
        <w:t>(a)</w:t>
      </w:r>
      <w:r w:rsidRPr="00B14E91">
        <w:tab/>
        <w:t>a decision has been made whether or not to grant the application;</w:t>
      </w:r>
    </w:p>
    <w:p w:rsidR="004C7C9A" w:rsidRPr="00B14E91" w:rsidRDefault="004C7C9A" w:rsidP="004C7C9A">
      <w:pPr>
        <w:pStyle w:val="paragraph"/>
      </w:pPr>
      <w:r w:rsidRPr="00B14E91">
        <w:tab/>
        <w:t>(b)</w:t>
      </w:r>
      <w:r w:rsidRPr="00B14E91">
        <w:tab/>
        <w:t>there is no longer any possibility of a change in the outcome of the decision.</w:t>
      </w:r>
    </w:p>
    <w:p w:rsidR="004C7C9A" w:rsidRPr="00B14E91" w:rsidRDefault="004C7C9A" w:rsidP="004C7C9A">
      <w:pPr>
        <w:pStyle w:val="Definition"/>
      </w:pPr>
      <w:r w:rsidRPr="00B14E91">
        <w:rPr>
          <w:b/>
          <w:i/>
        </w:rPr>
        <w:t>unique product identifier</w:t>
      </w:r>
      <w:r w:rsidRPr="00B14E91">
        <w:t>, in relation to a medical device, means the unique product identifier given to the device by its manufacturer to identify the device and any variants.</w:t>
      </w:r>
    </w:p>
    <w:p w:rsidR="004C7C9A" w:rsidRPr="00B14E91" w:rsidRDefault="004C7C9A" w:rsidP="004C7C9A">
      <w:pPr>
        <w:pStyle w:val="ActHead4"/>
      </w:pPr>
      <w:bookmarkStart w:id="90" w:name="_Toc48564346"/>
      <w:r w:rsidRPr="00B14E91">
        <w:rPr>
          <w:rStyle w:val="CharSubdNo"/>
        </w:rPr>
        <w:t>Subdivision B</w:t>
      </w:r>
      <w:r w:rsidRPr="00B14E91">
        <w:t>—</w:t>
      </w:r>
      <w:r w:rsidRPr="00B14E91">
        <w:rPr>
          <w:rStyle w:val="CharSubdText"/>
        </w:rPr>
        <w:t>Reclassification of medical devices</w:t>
      </w:r>
      <w:bookmarkEnd w:id="90"/>
    </w:p>
    <w:p w:rsidR="004C7C9A" w:rsidRPr="00B14E91" w:rsidRDefault="004C7C9A" w:rsidP="004C7C9A">
      <w:pPr>
        <w:pStyle w:val="ActHead5"/>
      </w:pPr>
      <w:bookmarkStart w:id="91" w:name="_Toc48564347"/>
      <w:r w:rsidRPr="00B14E91">
        <w:rPr>
          <w:rStyle w:val="CharSectno"/>
        </w:rPr>
        <w:t>11.39</w:t>
      </w:r>
      <w:r w:rsidRPr="00B14E91">
        <w:t xml:space="preserve">  Definitions</w:t>
      </w:r>
      <w:bookmarkEnd w:id="91"/>
    </w:p>
    <w:p w:rsidR="004C7C9A" w:rsidRPr="00B14E91" w:rsidRDefault="004C7C9A" w:rsidP="004C7C9A">
      <w:pPr>
        <w:pStyle w:val="subsection"/>
      </w:pPr>
      <w:r w:rsidRPr="00B14E91">
        <w:tab/>
      </w:r>
      <w:r w:rsidRPr="00B14E91">
        <w:tab/>
        <w:t>In this Subdivision:</w:t>
      </w:r>
    </w:p>
    <w:p w:rsidR="004C7C9A" w:rsidRPr="00B14E91" w:rsidRDefault="004C7C9A" w:rsidP="004C7C9A">
      <w:pPr>
        <w:pStyle w:val="Definition"/>
      </w:pPr>
      <w:r w:rsidRPr="00B14E91">
        <w:rPr>
          <w:b/>
          <w:i/>
        </w:rPr>
        <w:t>inclusion day</w:t>
      </w:r>
      <w:r w:rsidRPr="00B14E91">
        <w:t xml:space="preserve"> for an entry of a kind of transitional medical device in the Register means the day on which the inclusion of that kind of device in the Register commences.</w:t>
      </w:r>
    </w:p>
    <w:p w:rsidR="004C7C9A" w:rsidRPr="00B14E91" w:rsidRDefault="004C7C9A" w:rsidP="004C7C9A">
      <w:pPr>
        <w:pStyle w:val="Definition"/>
      </w:pPr>
      <w:r w:rsidRPr="00B14E91">
        <w:rPr>
          <w:b/>
          <w:i/>
        </w:rPr>
        <w:t>pre</w:t>
      </w:r>
      <w:r w:rsidR="00D425F1">
        <w:rPr>
          <w:b/>
          <w:i/>
        </w:rPr>
        <w:noBreakHyphen/>
      </w:r>
      <w:r w:rsidRPr="00B14E91">
        <w:rPr>
          <w:b/>
          <w:i/>
        </w:rPr>
        <w:t>commencement entry</w:t>
      </w:r>
      <w:r w:rsidRPr="00B14E91">
        <w:t xml:space="preserve">: an entry of a kind of transitional medical device in the Register is a </w:t>
      </w:r>
      <w:r w:rsidRPr="00B14E91">
        <w:rPr>
          <w:b/>
          <w:i/>
        </w:rPr>
        <w:t>pre</w:t>
      </w:r>
      <w:r w:rsidR="00D425F1">
        <w:rPr>
          <w:b/>
          <w:i/>
        </w:rPr>
        <w:noBreakHyphen/>
      </w:r>
      <w:r w:rsidRPr="00B14E91">
        <w:rPr>
          <w:b/>
          <w:i/>
        </w:rPr>
        <w:t>commencement entry</w:t>
      </w:r>
      <w:r w:rsidRPr="00B14E91">
        <w:t xml:space="preserve"> if that kind of medical device is included in the Register because of an application made before 25 August 2020 (whether the inclusion day for the entry occurred before, on or after 25 August 2020).</w:t>
      </w:r>
    </w:p>
    <w:p w:rsidR="004C7C9A" w:rsidRPr="00B14E91" w:rsidRDefault="004C7C9A" w:rsidP="004C7C9A">
      <w:pPr>
        <w:pStyle w:val="Definition"/>
      </w:pPr>
      <w:r w:rsidRPr="00B14E91">
        <w:rPr>
          <w:b/>
          <w:i/>
        </w:rPr>
        <w:lastRenderedPageBreak/>
        <w:t>transitional AIMD device</w:t>
      </w:r>
      <w:r w:rsidRPr="00B14E91">
        <w:t xml:space="preserve"> means a transitional medical device of a kind mentioned in column 1 of </w:t>
      </w:r>
      <w:r w:rsidR="00D425F1">
        <w:t>item 2</w:t>
      </w:r>
      <w:r w:rsidRPr="00B14E91">
        <w:t xml:space="preserve"> of the table in the definition of </w:t>
      </w:r>
      <w:r w:rsidRPr="00B14E91">
        <w:rPr>
          <w:b/>
          <w:i/>
        </w:rPr>
        <w:t>transitional medical device</w:t>
      </w:r>
      <w:r w:rsidRPr="00B14E91">
        <w:t>.</w:t>
      </w:r>
    </w:p>
    <w:p w:rsidR="004C7C9A" w:rsidRPr="00B14E91" w:rsidRDefault="004C7C9A" w:rsidP="004C7C9A">
      <w:pPr>
        <w:pStyle w:val="Definition"/>
      </w:pPr>
      <w:r w:rsidRPr="00B14E91">
        <w:rPr>
          <w:b/>
          <w:i/>
        </w:rPr>
        <w:t>transitional medical device</w:t>
      </w:r>
      <w:r w:rsidRPr="00B14E91">
        <w:t xml:space="preserve"> means a medical device of a kind mentioned in column 1 of an item in the following table if:</w:t>
      </w:r>
    </w:p>
    <w:p w:rsidR="004C7C9A" w:rsidRPr="00B14E91" w:rsidRDefault="004C7C9A" w:rsidP="004C7C9A">
      <w:pPr>
        <w:pStyle w:val="paragraph"/>
      </w:pPr>
      <w:r w:rsidRPr="00B14E91">
        <w:tab/>
        <w:t>(a)</w:t>
      </w:r>
      <w:r w:rsidRPr="00B14E91">
        <w:tab/>
        <w:t>the medical device is, immediately before 25 August 2020, included in the Register and classified as a class of medical device mentioned in column 2 of the item; or</w:t>
      </w:r>
    </w:p>
    <w:p w:rsidR="004C7C9A" w:rsidRPr="00B14E91" w:rsidRDefault="004C7C9A" w:rsidP="004C7C9A">
      <w:pPr>
        <w:pStyle w:val="paragraph"/>
      </w:pPr>
      <w:r w:rsidRPr="00B14E91">
        <w:tab/>
        <w:t>(b)</w:t>
      </w:r>
      <w:r w:rsidRPr="00B14E91">
        <w:tab/>
        <w:t>on 25 August 2020:</w:t>
      </w:r>
    </w:p>
    <w:p w:rsidR="004C7C9A" w:rsidRPr="00B14E91" w:rsidRDefault="004C7C9A" w:rsidP="004C7C9A">
      <w:pPr>
        <w:pStyle w:val="paragraphsub"/>
      </w:pPr>
      <w:r w:rsidRPr="00B14E91">
        <w:tab/>
        <w:t>(i)</w:t>
      </w:r>
      <w:r w:rsidRPr="00B14E91">
        <w:tab/>
        <w:t>the medical device was the subject of a class of application mentioned in column 2 of the item for inclusion in the Register; and</w:t>
      </w:r>
    </w:p>
    <w:p w:rsidR="004C7C9A" w:rsidRPr="00B14E91" w:rsidRDefault="004C7C9A" w:rsidP="004C7C9A">
      <w:pPr>
        <w:pStyle w:val="paragraphsub"/>
      </w:pPr>
      <w:r w:rsidRPr="00B14E91">
        <w:tab/>
        <w:t>(ii)</w:t>
      </w:r>
      <w:r w:rsidRPr="00B14E91">
        <w:tab/>
        <w:t>the application had not been finally determined.</w:t>
      </w:r>
    </w:p>
    <w:p w:rsidR="004C7C9A" w:rsidRPr="00B14E91" w:rsidRDefault="004C7C9A" w:rsidP="004C7C9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77"/>
        <w:gridCol w:w="3970"/>
        <w:gridCol w:w="3380"/>
      </w:tblGrid>
      <w:tr w:rsidR="004C7C9A" w:rsidRPr="00B14E91" w:rsidTr="00B807E7">
        <w:trPr>
          <w:tblHeader/>
        </w:trPr>
        <w:tc>
          <w:tcPr>
            <w:tcW w:w="5000" w:type="pct"/>
            <w:gridSpan w:val="3"/>
            <w:tcBorders>
              <w:top w:val="single" w:sz="12" w:space="0" w:color="auto"/>
              <w:bottom w:val="single" w:sz="6" w:space="0" w:color="auto"/>
            </w:tcBorders>
            <w:shd w:val="clear" w:color="auto" w:fill="auto"/>
            <w:hideMark/>
          </w:tcPr>
          <w:p w:rsidR="004C7C9A" w:rsidRPr="00B14E91" w:rsidRDefault="004C7C9A" w:rsidP="00B807E7">
            <w:pPr>
              <w:pStyle w:val="TableHeading"/>
            </w:pPr>
            <w:r w:rsidRPr="00B14E91">
              <w:t>Transitional medical device</w:t>
            </w:r>
          </w:p>
        </w:tc>
      </w:tr>
      <w:tr w:rsidR="004C7C9A" w:rsidRPr="00B14E91" w:rsidTr="00B807E7">
        <w:trPr>
          <w:tblHeader/>
        </w:trPr>
        <w:tc>
          <w:tcPr>
            <w:tcW w:w="690" w:type="pct"/>
            <w:tcBorders>
              <w:top w:val="single" w:sz="6" w:space="0" w:color="auto"/>
              <w:bottom w:val="nil"/>
            </w:tcBorders>
            <w:shd w:val="clear" w:color="auto" w:fill="auto"/>
            <w:hideMark/>
          </w:tcPr>
          <w:p w:rsidR="004C7C9A" w:rsidRPr="00B14E91" w:rsidRDefault="004C7C9A" w:rsidP="00B807E7">
            <w:pPr>
              <w:pStyle w:val="TableHeading"/>
            </w:pPr>
          </w:p>
        </w:tc>
        <w:tc>
          <w:tcPr>
            <w:tcW w:w="2328" w:type="pct"/>
            <w:tcBorders>
              <w:top w:val="single" w:sz="6" w:space="0" w:color="auto"/>
              <w:bottom w:val="nil"/>
            </w:tcBorders>
            <w:shd w:val="clear" w:color="auto" w:fill="auto"/>
            <w:hideMark/>
          </w:tcPr>
          <w:p w:rsidR="004C7C9A" w:rsidRPr="00B14E91" w:rsidRDefault="004C7C9A" w:rsidP="00B807E7">
            <w:pPr>
              <w:pStyle w:val="TableHeading"/>
            </w:pPr>
            <w:r w:rsidRPr="00B14E91">
              <w:t>Column 1</w:t>
            </w:r>
          </w:p>
        </w:tc>
        <w:tc>
          <w:tcPr>
            <w:tcW w:w="1982" w:type="pct"/>
            <w:tcBorders>
              <w:top w:val="single" w:sz="6" w:space="0" w:color="auto"/>
              <w:bottom w:val="nil"/>
            </w:tcBorders>
            <w:shd w:val="clear" w:color="auto" w:fill="auto"/>
            <w:hideMark/>
          </w:tcPr>
          <w:p w:rsidR="004C7C9A" w:rsidRPr="00B14E91" w:rsidRDefault="004C7C9A" w:rsidP="00B807E7">
            <w:pPr>
              <w:pStyle w:val="TableHeading"/>
            </w:pPr>
            <w:r w:rsidRPr="00B14E91">
              <w:t>Column 2</w:t>
            </w:r>
          </w:p>
        </w:tc>
      </w:tr>
      <w:tr w:rsidR="004C7C9A" w:rsidRPr="00B14E91" w:rsidTr="00B807E7">
        <w:trPr>
          <w:tblHeader/>
        </w:trPr>
        <w:tc>
          <w:tcPr>
            <w:tcW w:w="690" w:type="pct"/>
            <w:tcBorders>
              <w:top w:val="nil"/>
              <w:bottom w:val="single" w:sz="12" w:space="0" w:color="auto"/>
            </w:tcBorders>
            <w:shd w:val="clear" w:color="auto" w:fill="auto"/>
            <w:hideMark/>
          </w:tcPr>
          <w:p w:rsidR="004C7C9A" w:rsidRPr="00B14E91" w:rsidRDefault="004C7C9A" w:rsidP="00B807E7">
            <w:pPr>
              <w:pStyle w:val="TableHeading"/>
            </w:pPr>
            <w:r w:rsidRPr="00B14E91">
              <w:t>Item</w:t>
            </w:r>
          </w:p>
        </w:tc>
        <w:tc>
          <w:tcPr>
            <w:tcW w:w="2328" w:type="pct"/>
            <w:tcBorders>
              <w:top w:val="nil"/>
              <w:bottom w:val="single" w:sz="12" w:space="0" w:color="auto"/>
            </w:tcBorders>
            <w:shd w:val="clear" w:color="auto" w:fill="auto"/>
            <w:hideMark/>
          </w:tcPr>
          <w:p w:rsidR="004C7C9A" w:rsidRPr="00B14E91" w:rsidRDefault="004C7C9A" w:rsidP="00B807E7">
            <w:pPr>
              <w:pStyle w:val="TableHeading"/>
            </w:pPr>
            <w:r w:rsidRPr="00B14E91">
              <w:t>Kind of medical device</w:t>
            </w:r>
          </w:p>
        </w:tc>
        <w:tc>
          <w:tcPr>
            <w:tcW w:w="1982" w:type="pct"/>
            <w:tcBorders>
              <w:top w:val="nil"/>
              <w:bottom w:val="single" w:sz="12" w:space="0" w:color="auto"/>
            </w:tcBorders>
            <w:shd w:val="clear" w:color="auto" w:fill="auto"/>
            <w:hideMark/>
          </w:tcPr>
          <w:p w:rsidR="004C7C9A" w:rsidRPr="00B14E91" w:rsidRDefault="004C7C9A" w:rsidP="00B807E7">
            <w:pPr>
              <w:pStyle w:val="TableHeading"/>
            </w:pPr>
            <w:r w:rsidRPr="00B14E91">
              <w:t>Class of medical device or application</w:t>
            </w:r>
          </w:p>
        </w:tc>
      </w:tr>
      <w:tr w:rsidR="004C7C9A" w:rsidRPr="00B14E91" w:rsidTr="00B807E7">
        <w:tc>
          <w:tcPr>
            <w:tcW w:w="690" w:type="pct"/>
            <w:tcBorders>
              <w:top w:val="single" w:sz="12" w:space="0" w:color="auto"/>
            </w:tcBorders>
            <w:shd w:val="clear" w:color="auto" w:fill="auto"/>
            <w:hideMark/>
          </w:tcPr>
          <w:p w:rsidR="004C7C9A" w:rsidRPr="00B14E91" w:rsidRDefault="004C7C9A" w:rsidP="00B807E7">
            <w:pPr>
              <w:pStyle w:val="Tabletext"/>
            </w:pPr>
            <w:r w:rsidRPr="00B14E91">
              <w:t>1</w:t>
            </w:r>
          </w:p>
        </w:tc>
        <w:tc>
          <w:tcPr>
            <w:tcW w:w="2328" w:type="pct"/>
            <w:tcBorders>
              <w:top w:val="single" w:sz="12" w:space="0" w:color="auto"/>
            </w:tcBorders>
            <w:shd w:val="clear" w:color="auto" w:fill="auto"/>
            <w:hideMark/>
          </w:tcPr>
          <w:p w:rsidR="004C7C9A" w:rsidRPr="00B14E91" w:rsidRDefault="004C7C9A" w:rsidP="00B807E7">
            <w:pPr>
              <w:pStyle w:val="Tabletext"/>
            </w:pPr>
            <w:r w:rsidRPr="00B14E91">
              <w:t>a medical device of a kind described in subclause 3.4(4B) of Schedule 2</w:t>
            </w:r>
          </w:p>
        </w:tc>
        <w:tc>
          <w:tcPr>
            <w:tcW w:w="1982" w:type="pct"/>
            <w:tcBorders>
              <w:top w:val="single" w:sz="12" w:space="0" w:color="auto"/>
            </w:tcBorders>
            <w:shd w:val="clear" w:color="auto" w:fill="auto"/>
          </w:tcPr>
          <w:p w:rsidR="004C7C9A" w:rsidRPr="00B14E91" w:rsidRDefault="004C7C9A" w:rsidP="00B807E7">
            <w:pPr>
              <w:pStyle w:val="Tabletext"/>
            </w:pPr>
            <w:r w:rsidRPr="00B14E91">
              <w:t>Class IIb</w:t>
            </w:r>
          </w:p>
        </w:tc>
      </w:tr>
      <w:tr w:rsidR="004C7C9A" w:rsidRPr="00B14E91" w:rsidTr="00B807E7">
        <w:tc>
          <w:tcPr>
            <w:tcW w:w="690" w:type="pct"/>
            <w:shd w:val="clear" w:color="auto" w:fill="auto"/>
          </w:tcPr>
          <w:p w:rsidR="004C7C9A" w:rsidRPr="00B14E91" w:rsidRDefault="004C7C9A" w:rsidP="00B807E7">
            <w:pPr>
              <w:pStyle w:val="Tabletext"/>
            </w:pPr>
            <w:r w:rsidRPr="00B14E91">
              <w:t>2</w:t>
            </w:r>
          </w:p>
        </w:tc>
        <w:tc>
          <w:tcPr>
            <w:tcW w:w="2328" w:type="pct"/>
            <w:shd w:val="clear" w:color="auto" w:fill="auto"/>
          </w:tcPr>
          <w:p w:rsidR="004C7C9A" w:rsidRPr="00B14E91" w:rsidRDefault="004C7C9A" w:rsidP="00B807E7">
            <w:pPr>
              <w:pStyle w:val="Tabletext"/>
            </w:pPr>
            <w:r w:rsidRPr="00B14E91">
              <w:t>an active implantable medical device</w:t>
            </w:r>
          </w:p>
        </w:tc>
        <w:tc>
          <w:tcPr>
            <w:tcW w:w="1982" w:type="pct"/>
            <w:shd w:val="clear" w:color="auto" w:fill="auto"/>
          </w:tcPr>
          <w:p w:rsidR="004C7C9A" w:rsidRPr="00B14E91" w:rsidRDefault="004C7C9A" w:rsidP="00B807E7">
            <w:pPr>
              <w:pStyle w:val="Tabletext"/>
            </w:pPr>
            <w:r w:rsidRPr="00B14E91">
              <w:t>Class AIMD</w:t>
            </w:r>
          </w:p>
        </w:tc>
      </w:tr>
      <w:tr w:rsidR="004C7C9A" w:rsidRPr="00B14E91" w:rsidTr="00B807E7">
        <w:tc>
          <w:tcPr>
            <w:tcW w:w="690" w:type="pct"/>
            <w:shd w:val="clear" w:color="auto" w:fill="auto"/>
          </w:tcPr>
          <w:p w:rsidR="004C7C9A" w:rsidRPr="00B14E91" w:rsidRDefault="004C7C9A" w:rsidP="00B807E7">
            <w:pPr>
              <w:pStyle w:val="Tabletext"/>
            </w:pPr>
            <w:r w:rsidRPr="00B14E91">
              <w:t>3</w:t>
            </w:r>
          </w:p>
        </w:tc>
        <w:tc>
          <w:tcPr>
            <w:tcW w:w="2328" w:type="pct"/>
            <w:shd w:val="clear" w:color="auto" w:fill="auto"/>
          </w:tcPr>
          <w:p w:rsidR="004C7C9A" w:rsidRPr="00B14E91" w:rsidRDefault="004C7C9A" w:rsidP="00B807E7">
            <w:pPr>
              <w:pStyle w:val="Tabletext"/>
            </w:pPr>
            <w:r w:rsidRPr="00B14E91">
              <w:t>a medical device of a kind described in subclause 3.1(2A) of Schedule 2</w:t>
            </w:r>
          </w:p>
        </w:tc>
        <w:tc>
          <w:tcPr>
            <w:tcW w:w="1982" w:type="pct"/>
            <w:shd w:val="clear" w:color="auto" w:fill="auto"/>
          </w:tcPr>
          <w:p w:rsidR="004C7C9A" w:rsidRPr="00B14E91" w:rsidRDefault="004C7C9A" w:rsidP="00B807E7">
            <w:pPr>
              <w:pStyle w:val="Tabletext"/>
            </w:pPr>
            <w:r w:rsidRPr="00B14E91">
              <w:t>Class I or Class IIa</w:t>
            </w:r>
          </w:p>
        </w:tc>
      </w:tr>
      <w:tr w:rsidR="004C7C9A" w:rsidRPr="00B14E91" w:rsidTr="00B807E7">
        <w:tc>
          <w:tcPr>
            <w:tcW w:w="690" w:type="pct"/>
            <w:shd w:val="clear" w:color="auto" w:fill="auto"/>
          </w:tcPr>
          <w:p w:rsidR="004C7C9A" w:rsidRPr="00B14E91" w:rsidRDefault="004C7C9A" w:rsidP="00B807E7">
            <w:pPr>
              <w:pStyle w:val="Tabletext"/>
            </w:pPr>
            <w:r w:rsidRPr="00B14E91">
              <w:t>4</w:t>
            </w:r>
          </w:p>
        </w:tc>
        <w:tc>
          <w:tcPr>
            <w:tcW w:w="2328" w:type="pct"/>
            <w:shd w:val="clear" w:color="auto" w:fill="auto"/>
          </w:tcPr>
          <w:p w:rsidR="004C7C9A" w:rsidRPr="00B14E91" w:rsidRDefault="004C7C9A" w:rsidP="00B807E7">
            <w:pPr>
              <w:pStyle w:val="Tabletext"/>
            </w:pPr>
            <w:r w:rsidRPr="00B14E91">
              <w:t>a medical device of a kind described in subclause 3.1(4) of Schedule 2</w:t>
            </w:r>
          </w:p>
        </w:tc>
        <w:tc>
          <w:tcPr>
            <w:tcW w:w="1982" w:type="pct"/>
            <w:shd w:val="clear" w:color="auto" w:fill="auto"/>
          </w:tcPr>
          <w:p w:rsidR="004C7C9A" w:rsidRPr="00B14E91" w:rsidRDefault="004C7C9A" w:rsidP="00B807E7">
            <w:pPr>
              <w:pStyle w:val="Tabletext"/>
            </w:pPr>
            <w:r w:rsidRPr="00B14E91">
              <w:t>Class I, Class IIa or Class IIb</w:t>
            </w:r>
          </w:p>
        </w:tc>
      </w:tr>
      <w:tr w:rsidR="004C7C9A" w:rsidRPr="00B14E91" w:rsidTr="00B807E7">
        <w:tc>
          <w:tcPr>
            <w:tcW w:w="690" w:type="pct"/>
            <w:tcBorders>
              <w:bottom w:val="single" w:sz="2" w:space="0" w:color="auto"/>
            </w:tcBorders>
            <w:shd w:val="clear" w:color="auto" w:fill="auto"/>
          </w:tcPr>
          <w:p w:rsidR="004C7C9A" w:rsidRPr="00B14E91" w:rsidRDefault="004C7C9A" w:rsidP="00B807E7">
            <w:pPr>
              <w:pStyle w:val="Tabletext"/>
            </w:pPr>
            <w:r w:rsidRPr="00B14E91">
              <w:t>5</w:t>
            </w:r>
          </w:p>
        </w:tc>
        <w:tc>
          <w:tcPr>
            <w:tcW w:w="2328" w:type="pct"/>
            <w:tcBorders>
              <w:bottom w:val="single" w:sz="2" w:space="0" w:color="auto"/>
            </w:tcBorders>
            <w:shd w:val="clear" w:color="auto" w:fill="auto"/>
          </w:tcPr>
          <w:p w:rsidR="004C7C9A" w:rsidRPr="00B14E91" w:rsidRDefault="004C7C9A" w:rsidP="00B807E7">
            <w:pPr>
              <w:pStyle w:val="Tabletext"/>
            </w:pPr>
            <w:r w:rsidRPr="00B14E91">
              <w:t>a medical device of a kind described in subclause 4.2(4) of Schedule 2</w:t>
            </w:r>
          </w:p>
        </w:tc>
        <w:tc>
          <w:tcPr>
            <w:tcW w:w="1982" w:type="pct"/>
            <w:tcBorders>
              <w:bottom w:val="single" w:sz="2" w:space="0" w:color="auto"/>
            </w:tcBorders>
            <w:shd w:val="clear" w:color="auto" w:fill="auto"/>
          </w:tcPr>
          <w:p w:rsidR="004C7C9A" w:rsidRPr="00B14E91" w:rsidRDefault="004C7C9A" w:rsidP="00B807E7">
            <w:pPr>
              <w:pStyle w:val="Tabletext"/>
            </w:pPr>
            <w:r w:rsidRPr="00B14E91">
              <w:t>Class IIa or Class IIb</w:t>
            </w:r>
          </w:p>
        </w:tc>
      </w:tr>
      <w:tr w:rsidR="004C7C9A" w:rsidRPr="00B14E91" w:rsidTr="00B807E7">
        <w:tc>
          <w:tcPr>
            <w:tcW w:w="690"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6</w:t>
            </w:r>
          </w:p>
        </w:tc>
        <w:tc>
          <w:tcPr>
            <w:tcW w:w="2328"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a medical device of a kind described in subclause 3.2(3A) of Schedule 2</w:t>
            </w:r>
          </w:p>
        </w:tc>
        <w:tc>
          <w:tcPr>
            <w:tcW w:w="1982" w:type="pct"/>
            <w:tcBorders>
              <w:top w:val="single" w:sz="2" w:space="0" w:color="auto"/>
              <w:bottom w:val="single" w:sz="12" w:space="0" w:color="auto"/>
            </w:tcBorders>
            <w:shd w:val="clear" w:color="auto" w:fill="auto"/>
          </w:tcPr>
          <w:p w:rsidR="004C7C9A" w:rsidRPr="00B14E91" w:rsidRDefault="004C7C9A" w:rsidP="00B807E7">
            <w:pPr>
              <w:pStyle w:val="Tabletext"/>
            </w:pPr>
            <w:r w:rsidRPr="00B14E91">
              <w:t>Class IIa or Class IIb</w:t>
            </w:r>
          </w:p>
        </w:tc>
      </w:tr>
    </w:tbl>
    <w:p w:rsidR="004C7C9A" w:rsidRPr="00B14E91" w:rsidRDefault="004C7C9A" w:rsidP="004C7C9A">
      <w:pPr>
        <w:pStyle w:val="ActHead5"/>
      </w:pPr>
      <w:bookmarkStart w:id="92" w:name="_Toc48564348"/>
      <w:r w:rsidRPr="00B14E91">
        <w:rPr>
          <w:rStyle w:val="CharSectno"/>
        </w:rPr>
        <w:t>11.40</w:t>
      </w:r>
      <w:r w:rsidRPr="00B14E91">
        <w:t xml:space="preserve">  Transitional medical devices—application of amendments</w:t>
      </w:r>
      <w:bookmarkEnd w:id="92"/>
    </w:p>
    <w:p w:rsidR="004C7C9A" w:rsidRPr="00B14E91" w:rsidRDefault="004C7C9A" w:rsidP="004C7C9A">
      <w:pPr>
        <w:pStyle w:val="SubsectionHead"/>
      </w:pPr>
      <w:r w:rsidRPr="00B14E91">
        <w:t>Applications and entries other than for transitional medical devices</w:t>
      </w:r>
    </w:p>
    <w:p w:rsidR="004C7C9A" w:rsidRPr="00B14E91" w:rsidRDefault="004C7C9A" w:rsidP="004C7C9A">
      <w:pPr>
        <w:pStyle w:val="subsection"/>
      </w:pPr>
      <w:r w:rsidRPr="00B14E91">
        <w:tab/>
        <w:t>(1)</w:t>
      </w:r>
      <w:r w:rsidRPr="00B14E91">
        <w:tab/>
        <w:t>The amendments made by Parts 1 to 6 of Schedule 1 to the amending regulations apply on and after 25 August 2020 in relation to the following:</w:t>
      </w:r>
    </w:p>
    <w:p w:rsidR="004C7C9A" w:rsidRPr="00B14E91" w:rsidRDefault="004C7C9A" w:rsidP="004C7C9A">
      <w:pPr>
        <w:pStyle w:val="paragraph"/>
      </w:pPr>
      <w:r w:rsidRPr="00B14E91">
        <w:tab/>
        <w:t>(a)</w:t>
      </w:r>
      <w:r w:rsidRPr="00B14E91">
        <w:tab/>
        <w:t>an application for a kind of medical device to be included in the Register that is made on or after 25 August 2020;</w:t>
      </w:r>
    </w:p>
    <w:p w:rsidR="004C7C9A" w:rsidRPr="00B14E91" w:rsidRDefault="004C7C9A" w:rsidP="004C7C9A">
      <w:pPr>
        <w:pStyle w:val="paragraph"/>
      </w:pPr>
      <w:r w:rsidRPr="00B14E91">
        <w:tab/>
        <w:t>(b)</w:t>
      </w:r>
      <w:r w:rsidRPr="00B14E91">
        <w:tab/>
        <w:t>a kind of medical device that is included in the Register as a result of such an application.</w:t>
      </w:r>
    </w:p>
    <w:p w:rsidR="004C7C9A" w:rsidRPr="00B14E91" w:rsidRDefault="004C7C9A" w:rsidP="004C7C9A">
      <w:pPr>
        <w:pStyle w:val="SubsectionHead"/>
      </w:pPr>
      <w:r w:rsidRPr="00B14E91">
        <w:t>Applications and entries for transitional medical devices</w:t>
      </w:r>
    </w:p>
    <w:p w:rsidR="004C7C9A" w:rsidRPr="00B14E91" w:rsidRDefault="004C7C9A" w:rsidP="004C7C9A">
      <w:pPr>
        <w:pStyle w:val="subsection"/>
      </w:pPr>
      <w:r w:rsidRPr="00B14E91">
        <w:tab/>
        <w:t>(2)</w:t>
      </w:r>
      <w:r w:rsidRPr="00B14E91">
        <w:tab/>
        <w:t>Subject to subregulations (3) and (5), the amendments made by Parts 1 to 6 of Schedule 1 to the amending regulations apply in relation to a transitional medical device on and after 1 November 2024.</w:t>
      </w:r>
    </w:p>
    <w:p w:rsidR="004C7C9A" w:rsidRPr="00B14E91" w:rsidRDefault="004C7C9A" w:rsidP="004C7C9A">
      <w:pPr>
        <w:pStyle w:val="subsection"/>
      </w:pPr>
      <w:r w:rsidRPr="00B14E91">
        <w:lastRenderedPageBreak/>
        <w:tab/>
        <w:t>(3)</w:t>
      </w:r>
      <w:r w:rsidRPr="00B14E91">
        <w:tab/>
        <w:t>The amendments made by Parts 1 to 6 of Schedule 1 to the amending regulations do not apply in relation to a transitional medical device before the day applicable under subregulation (4) if:</w:t>
      </w:r>
    </w:p>
    <w:p w:rsidR="004C7C9A" w:rsidRPr="00B14E91" w:rsidRDefault="004C7C9A" w:rsidP="004C7C9A">
      <w:pPr>
        <w:pStyle w:val="paragraph"/>
      </w:pPr>
      <w:r w:rsidRPr="00B14E91">
        <w:tab/>
        <w:t>(a)</w:t>
      </w:r>
      <w:r w:rsidRPr="00B14E91">
        <w:tab/>
        <w:t>a person applies under the Act:</w:t>
      </w:r>
    </w:p>
    <w:p w:rsidR="004C7C9A" w:rsidRPr="00B14E91" w:rsidRDefault="004C7C9A" w:rsidP="004C7C9A">
      <w:pPr>
        <w:pStyle w:val="paragraphsub"/>
      </w:pPr>
      <w:r w:rsidRPr="00B14E91">
        <w:tab/>
        <w:t>(i)</w:t>
      </w:r>
      <w:r w:rsidRPr="00B14E91">
        <w:tab/>
        <w:t>on or after the inclusion day for the entry of the transitional medical device; and</w:t>
      </w:r>
    </w:p>
    <w:p w:rsidR="004C7C9A" w:rsidRPr="00B14E91" w:rsidRDefault="004C7C9A" w:rsidP="004C7C9A">
      <w:pPr>
        <w:pStyle w:val="paragraphsub"/>
      </w:pPr>
      <w:r w:rsidRPr="00B14E91">
        <w:tab/>
        <w:t>(ii)</w:t>
      </w:r>
      <w:r w:rsidRPr="00B14E91">
        <w:tab/>
        <w:t>on or after 25 August 2020; and</w:t>
      </w:r>
    </w:p>
    <w:p w:rsidR="004C7C9A" w:rsidRPr="00B14E91" w:rsidRDefault="004C7C9A" w:rsidP="004C7C9A">
      <w:pPr>
        <w:pStyle w:val="paragraphsub"/>
      </w:pPr>
      <w:r w:rsidRPr="00B14E91">
        <w:tab/>
        <w:t>(iii)</w:t>
      </w:r>
      <w:r w:rsidRPr="00B14E91">
        <w:tab/>
        <w:t>before 1 November 2024;</w:t>
      </w:r>
    </w:p>
    <w:p w:rsidR="004C7C9A" w:rsidRPr="00B14E91" w:rsidRDefault="004C7C9A" w:rsidP="004C7C9A">
      <w:pPr>
        <w:pStyle w:val="paragraph"/>
      </w:pPr>
      <w:r w:rsidRPr="00B14E91">
        <w:tab/>
      </w:r>
      <w:r w:rsidRPr="00B14E91">
        <w:tab/>
        <w:t xml:space="preserve">to have a kind (the </w:t>
      </w:r>
      <w:r w:rsidRPr="00B14E91">
        <w:rPr>
          <w:b/>
          <w:i/>
        </w:rPr>
        <w:t>new kind</w:t>
      </w:r>
      <w:r w:rsidRPr="00B14E91">
        <w:t>) of medical device included in the Register; and</w:t>
      </w:r>
    </w:p>
    <w:p w:rsidR="004C7C9A" w:rsidRPr="00B14E91" w:rsidRDefault="004C7C9A" w:rsidP="004C7C9A">
      <w:pPr>
        <w:pStyle w:val="paragraph"/>
      </w:pPr>
      <w:r w:rsidRPr="00B14E91">
        <w:tab/>
        <w:t>(b)</w:t>
      </w:r>
      <w:r w:rsidRPr="00B14E91">
        <w:tab/>
        <w:t>the person gives to the Secretary a notice under regulation 11.41 in relation to the transitional medical device; and</w:t>
      </w:r>
    </w:p>
    <w:p w:rsidR="004C7C9A" w:rsidRPr="00B14E91" w:rsidRDefault="004C7C9A" w:rsidP="004C7C9A">
      <w:pPr>
        <w:pStyle w:val="paragraph"/>
      </w:pPr>
      <w:r w:rsidRPr="00B14E91">
        <w:tab/>
        <w:t>(c)</w:t>
      </w:r>
      <w:r w:rsidRPr="00B14E91">
        <w:tab/>
        <w:t>the unique product identifier of the device of the new kind is the unique product identifier, or one of the unique product identifiers, stated in the notice.</w:t>
      </w:r>
    </w:p>
    <w:p w:rsidR="004C7C9A" w:rsidRPr="00B14E91" w:rsidRDefault="004C7C9A" w:rsidP="004C7C9A">
      <w:pPr>
        <w:pStyle w:val="subsection"/>
      </w:pPr>
      <w:r w:rsidRPr="00B14E91">
        <w:tab/>
        <w:t>(4)</w:t>
      </w:r>
      <w:r w:rsidRPr="00B14E91">
        <w:tab/>
        <w:t>For the purposes of subregulation (3), the day is the day after the day on which:</w:t>
      </w:r>
    </w:p>
    <w:p w:rsidR="004C7C9A" w:rsidRPr="00B14E91" w:rsidRDefault="004C7C9A" w:rsidP="004C7C9A">
      <w:pPr>
        <w:pStyle w:val="paragraph"/>
      </w:pPr>
      <w:r w:rsidRPr="00B14E91">
        <w:tab/>
        <w:t>(a)</w:t>
      </w:r>
      <w:r w:rsidRPr="00B14E91">
        <w:tab/>
        <w:t>the person withdraws the application mentioned in paragraph (3)(a); or</w:t>
      </w:r>
    </w:p>
    <w:p w:rsidR="004C7C9A" w:rsidRPr="00B14E91" w:rsidRDefault="004C7C9A" w:rsidP="004C7C9A">
      <w:pPr>
        <w:pStyle w:val="paragraph"/>
      </w:pPr>
      <w:r w:rsidRPr="00B14E91">
        <w:tab/>
        <w:t>(b)</w:t>
      </w:r>
      <w:r w:rsidRPr="00B14E91">
        <w:tab/>
        <w:t>that application lapses under section 41FK of the Act; or</w:t>
      </w:r>
    </w:p>
    <w:p w:rsidR="004C7C9A" w:rsidRPr="00B14E91" w:rsidRDefault="004C7C9A" w:rsidP="004C7C9A">
      <w:pPr>
        <w:pStyle w:val="paragraph"/>
      </w:pPr>
      <w:r w:rsidRPr="00B14E91">
        <w:tab/>
        <w:t>(c)</w:t>
      </w:r>
      <w:r w:rsidRPr="00B14E91">
        <w:tab/>
        <w:t>that application is finally determined.</w:t>
      </w:r>
    </w:p>
    <w:p w:rsidR="004C7C9A" w:rsidRPr="00B14E91" w:rsidRDefault="004C7C9A" w:rsidP="004C7C9A">
      <w:pPr>
        <w:pStyle w:val="subsection"/>
      </w:pPr>
      <w:r w:rsidRPr="00B14E91">
        <w:tab/>
        <w:t>(5)</w:t>
      </w:r>
      <w:r w:rsidRPr="00B14E91">
        <w:tab/>
        <w:t>If:</w:t>
      </w:r>
    </w:p>
    <w:p w:rsidR="004C7C9A" w:rsidRPr="00B14E91" w:rsidRDefault="004C7C9A" w:rsidP="004C7C9A">
      <w:pPr>
        <w:pStyle w:val="paragraph"/>
      </w:pPr>
      <w:r w:rsidRPr="00B14E91">
        <w:tab/>
        <w:t>(a)</w:t>
      </w:r>
      <w:r w:rsidRPr="00B14E91">
        <w:tab/>
        <w:t>a person is required under regulation 11.41 to give a notice to the Secretary in relation to a transitional medical device; and</w:t>
      </w:r>
    </w:p>
    <w:p w:rsidR="004C7C9A" w:rsidRPr="00B14E91" w:rsidRDefault="004C7C9A" w:rsidP="004C7C9A">
      <w:pPr>
        <w:pStyle w:val="paragraph"/>
      </w:pPr>
      <w:r w:rsidRPr="00B14E91">
        <w:tab/>
        <w:t>(b)</w:t>
      </w:r>
      <w:r w:rsidRPr="00B14E91">
        <w:tab/>
        <w:t>the person fails to give the notice in accordance with that regulation before the later of:</w:t>
      </w:r>
    </w:p>
    <w:p w:rsidR="004C7C9A" w:rsidRPr="00B14E91" w:rsidRDefault="004C7C9A" w:rsidP="004C7C9A">
      <w:pPr>
        <w:pStyle w:val="paragraphsub"/>
      </w:pPr>
      <w:r w:rsidRPr="00B14E91">
        <w:tab/>
        <w:t>(i)</w:t>
      </w:r>
      <w:r w:rsidRPr="00B14E91">
        <w:tab/>
        <w:t>25 February 2021; and</w:t>
      </w:r>
    </w:p>
    <w:p w:rsidR="004C7C9A" w:rsidRPr="00B14E91" w:rsidRDefault="004C7C9A" w:rsidP="004C7C9A">
      <w:pPr>
        <w:pStyle w:val="paragraphsub"/>
      </w:pPr>
      <w:r w:rsidRPr="00B14E91">
        <w:tab/>
        <w:t>(ii)</w:t>
      </w:r>
      <w:r w:rsidRPr="00B14E91">
        <w:tab/>
        <w:t>the day occurring 2 months after the inclusion day for the entry of the transitional medical device;</w:t>
      </w:r>
    </w:p>
    <w:p w:rsidR="004C7C9A" w:rsidRPr="00B14E91" w:rsidRDefault="004C7C9A" w:rsidP="004C7C9A">
      <w:pPr>
        <w:pStyle w:val="subsection2"/>
      </w:pPr>
      <w:r w:rsidRPr="00B14E91">
        <w:t>then the amendments made by Parts 1 to 6 of Schedule 1 to the amending regulations apply in relation to the transitional medical device on and after the later of those days.</w:t>
      </w:r>
    </w:p>
    <w:p w:rsidR="004C7C9A" w:rsidRPr="00B14E91" w:rsidRDefault="004C7C9A" w:rsidP="004C7C9A">
      <w:pPr>
        <w:pStyle w:val="ActHead5"/>
      </w:pPr>
      <w:bookmarkStart w:id="93" w:name="_Toc48564349"/>
      <w:r w:rsidRPr="00B14E91">
        <w:rPr>
          <w:rStyle w:val="CharSectno"/>
        </w:rPr>
        <w:t>11.41</w:t>
      </w:r>
      <w:r w:rsidRPr="00B14E91">
        <w:t xml:space="preserve">  Transitional medical devices—Secretary must be notified of unique product identifiers of devices supplied under pre</w:t>
      </w:r>
      <w:r w:rsidR="00D425F1">
        <w:noBreakHyphen/>
      </w:r>
      <w:r w:rsidRPr="00B14E91">
        <w:t>commencement entries</w:t>
      </w:r>
      <w:bookmarkEnd w:id="93"/>
    </w:p>
    <w:p w:rsidR="004C7C9A" w:rsidRPr="00B14E91" w:rsidRDefault="004C7C9A" w:rsidP="004C7C9A">
      <w:pPr>
        <w:pStyle w:val="subsection"/>
      </w:pPr>
      <w:r w:rsidRPr="00B14E91">
        <w:tab/>
        <w:t>(1)</w:t>
      </w:r>
      <w:r w:rsidRPr="00B14E91">
        <w:tab/>
        <w:t>For the purposes of subsection 41FN(5A) of the Act, a person must give to the Secretary a notice in accordance with subregulation (2) if:</w:t>
      </w:r>
    </w:p>
    <w:p w:rsidR="004C7C9A" w:rsidRPr="00B14E91" w:rsidRDefault="004C7C9A" w:rsidP="004C7C9A">
      <w:pPr>
        <w:pStyle w:val="paragraph"/>
      </w:pPr>
      <w:r w:rsidRPr="00B14E91">
        <w:tab/>
        <w:t>(a)</w:t>
      </w:r>
      <w:r w:rsidRPr="00B14E91">
        <w:tab/>
        <w:t>a kind of medical device is included in the Register in relation to the person; and</w:t>
      </w:r>
    </w:p>
    <w:p w:rsidR="004C7C9A" w:rsidRPr="00B14E91" w:rsidRDefault="004C7C9A" w:rsidP="004C7C9A">
      <w:pPr>
        <w:pStyle w:val="paragraph"/>
      </w:pPr>
      <w:r w:rsidRPr="00B14E91">
        <w:tab/>
        <w:t>(b)</w:t>
      </w:r>
      <w:r w:rsidRPr="00B14E91">
        <w:tab/>
        <w:t>the entry of that kind of medical device is a pre</w:t>
      </w:r>
      <w:r w:rsidR="00D425F1">
        <w:noBreakHyphen/>
      </w:r>
      <w:r w:rsidRPr="00B14E91">
        <w:t>commencement entry; and</w:t>
      </w:r>
    </w:p>
    <w:p w:rsidR="004C7C9A" w:rsidRPr="00B14E91" w:rsidRDefault="004C7C9A" w:rsidP="004C7C9A">
      <w:pPr>
        <w:pStyle w:val="paragraph"/>
      </w:pPr>
      <w:r w:rsidRPr="00B14E91">
        <w:tab/>
        <w:t>(c)</w:t>
      </w:r>
      <w:r w:rsidRPr="00B14E91">
        <w:tab/>
        <w:t>a medical device of that kind is a transitional medical device.</w:t>
      </w:r>
    </w:p>
    <w:p w:rsidR="004C7C9A" w:rsidRPr="00B14E91" w:rsidRDefault="004C7C9A" w:rsidP="004C7C9A">
      <w:pPr>
        <w:pStyle w:val="subsection"/>
      </w:pPr>
      <w:r w:rsidRPr="00B14E91">
        <w:tab/>
        <w:t>(2)</w:t>
      </w:r>
      <w:r w:rsidRPr="00B14E91">
        <w:tab/>
        <w:t>The notice must:</w:t>
      </w:r>
    </w:p>
    <w:p w:rsidR="004C7C9A" w:rsidRPr="00B14E91" w:rsidRDefault="004C7C9A" w:rsidP="004C7C9A">
      <w:pPr>
        <w:pStyle w:val="paragraph"/>
      </w:pPr>
      <w:r w:rsidRPr="00B14E91">
        <w:tab/>
        <w:t>(a)</w:t>
      </w:r>
      <w:r w:rsidRPr="00B14E91">
        <w:tab/>
        <w:t>be in writing; and</w:t>
      </w:r>
    </w:p>
    <w:p w:rsidR="004C7C9A" w:rsidRPr="00B14E91" w:rsidRDefault="004C7C9A" w:rsidP="004C7C9A">
      <w:pPr>
        <w:pStyle w:val="paragraph"/>
      </w:pPr>
      <w:r w:rsidRPr="00B14E91">
        <w:tab/>
        <w:t>(b)</w:t>
      </w:r>
      <w:r w:rsidRPr="00B14E91">
        <w:tab/>
        <w:t>state:</w:t>
      </w:r>
    </w:p>
    <w:p w:rsidR="004C7C9A" w:rsidRPr="00B14E91" w:rsidRDefault="004C7C9A" w:rsidP="004C7C9A">
      <w:pPr>
        <w:pStyle w:val="paragraphsub"/>
      </w:pPr>
      <w:r w:rsidRPr="00B14E91">
        <w:lastRenderedPageBreak/>
        <w:tab/>
        <w:t>(i)</w:t>
      </w:r>
      <w:r w:rsidRPr="00B14E91">
        <w:tab/>
        <w:t>the unique device number assigned to that kind of device under section 41FL of the Act; and</w:t>
      </w:r>
    </w:p>
    <w:p w:rsidR="004C7C9A" w:rsidRPr="00B14E91" w:rsidRDefault="004C7C9A" w:rsidP="004C7C9A">
      <w:pPr>
        <w:pStyle w:val="paragraphsub"/>
      </w:pPr>
      <w:r w:rsidRPr="00B14E91">
        <w:tab/>
        <w:t>(ii)</w:t>
      </w:r>
      <w:r w:rsidRPr="00B14E91">
        <w:tab/>
        <w:t>the unique product identifier given to each medical device (if any) of that kind that the person supplies in Australia; and</w:t>
      </w:r>
    </w:p>
    <w:p w:rsidR="004C7C9A" w:rsidRPr="00B14E91" w:rsidRDefault="004C7C9A" w:rsidP="004C7C9A">
      <w:pPr>
        <w:pStyle w:val="paragraph"/>
      </w:pPr>
      <w:r w:rsidRPr="00B14E91">
        <w:tab/>
        <w:t>(c)</w:t>
      </w:r>
      <w:r w:rsidRPr="00B14E91">
        <w:tab/>
        <w:t>be given to the Secretary before the later of:</w:t>
      </w:r>
    </w:p>
    <w:p w:rsidR="004C7C9A" w:rsidRPr="00B14E91" w:rsidRDefault="004C7C9A" w:rsidP="004C7C9A">
      <w:pPr>
        <w:pStyle w:val="paragraphsub"/>
      </w:pPr>
      <w:r w:rsidRPr="00B14E91">
        <w:tab/>
        <w:t>(i)</w:t>
      </w:r>
      <w:r w:rsidRPr="00B14E91">
        <w:tab/>
        <w:t>25 February 2021; and</w:t>
      </w:r>
    </w:p>
    <w:p w:rsidR="004C7C9A" w:rsidRPr="00B14E91" w:rsidRDefault="004C7C9A" w:rsidP="004C7C9A">
      <w:pPr>
        <w:pStyle w:val="paragraphsub"/>
      </w:pPr>
      <w:r w:rsidRPr="00B14E91">
        <w:tab/>
        <w:t>(ii)</w:t>
      </w:r>
      <w:r w:rsidRPr="00B14E91">
        <w:tab/>
        <w:t>the day occurring 2 months after the inclusion day for the entry of the transitional medical device.</w:t>
      </w:r>
    </w:p>
    <w:p w:rsidR="004C7C9A" w:rsidRPr="00B14E91" w:rsidRDefault="004C7C9A" w:rsidP="004C7C9A">
      <w:pPr>
        <w:pStyle w:val="ActHead5"/>
      </w:pPr>
      <w:bookmarkStart w:id="94" w:name="_Toc48564350"/>
      <w:r w:rsidRPr="00B14E91">
        <w:rPr>
          <w:rStyle w:val="CharSectno"/>
        </w:rPr>
        <w:t>11.42</w:t>
      </w:r>
      <w:r w:rsidRPr="00B14E91">
        <w:t xml:space="preserve">  Transitional medical devices—selecting applications for auditing</w:t>
      </w:r>
      <w:bookmarkEnd w:id="94"/>
    </w:p>
    <w:p w:rsidR="004C7C9A" w:rsidRPr="00B14E91" w:rsidRDefault="004C7C9A" w:rsidP="004C7C9A">
      <w:pPr>
        <w:pStyle w:val="subsection"/>
      </w:pPr>
      <w:r w:rsidRPr="00B14E91">
        <w:tab/>
      </w:r>
      <w:r w:rsidRPr="00B14E91">
        <w:tab/>
        <w:t>Subregulation 5.3(1) does not apply to an application for inclusion of a kind of medical device in the Register as a Class III medical device if the application is for a transitional AIMD device.</w:t>
      </w:r>
    </w:p>
    <w:p w:rsidR="004C7C9A" w:rsidRPr="00B14E91" w:rsidRDefault="004C7C9A" w:rsidP="004C7C9A">
      <w:pPr>
        <w:pStyle w:val="ActHead5"/>
      </w:pPr>
      <w:bookmarkStart w:id="95" w:name="_Toc48564351"/>
      <w:r w:rsidRPr="00B14E91">
        <w:rPr>
          <w:rStyle w:val="CharSectno"/>
        </w:rPr>
        <w:t>11.43</w:t>
      </w:r>
      <w:r w:rsidRPr="00B14E91">
        <w:t xml:space="preserve">  Waiver of certain application fees</w:t>
      </w:r>
      <w:bookmarkEnd w:id="95"/>
    </w:p>
    <w:p w:rsidR="004C7C9A" w:rsidRPr="00B14E91" w:rsidRDefault="004C7C9A" w:rsidP="004C7C9A">
      <w:pPr>
        <w:pStyle w:val="subsection"/>
      </w:pPr>
      <w:r w:rsidRPr="00B14E91">
        <w:tab/>
        <w:t>(1)</w:t>
      </w:r>
      <w:r w:rsidRPr="00B14E91">
        <w:tab/>
        <w:t>This regulation applies in relation to an application to include in the Register a transitional AIMD device as a Class III medical device.</w:t>
      </w:r>
    </w:p>
    <w:p w:rsidR="004C7C9A" w:rsidRPr="00B14E91" w:rsidRDefault="004C7C9A" w:rsidP="004C7C9A">
      <w:pPr>
        <w:pStyle w:val="subsection"/>
      </w:pPr>
      <w:r w:rsidRPr="00B14E91">
        <w:tab/>
        <w:t>(2)</w:t>
      </w:r>
      <w:r w:rsidRPr="00B14E91">
        <w:tab/>
        <w:t xml:space="preserve">The Secretary must waive the fee set out in paragraph (b) of column 2 in </w:t>
      </w:r>
      <w:r w:rsidR="00D425F1">
        <w:t>item 1</w:t>
      </w:r>
      <w:r w:rsidRPr="00B14E91">
        <w:t>.5 of the table in Part 1 of Schedule 5 in relation to the application.</w:t>
      </w:r>
    </w:p>
    <w:p w:rsidR="004C7C9A" w:rsidRPr="00B14E91" w:rsidRDefault="004C7C9A" w:rsidP="004C7C9A">
      <w:pPr>
        <w:pStyle w:val="subsection"/>
      </w:pPr>
      <w:r w:rsidRPr="00B14E91">
        <w:tab/>
        <w:t>(3)</w:t>
      </w:r>
      <w:r w:rsidRPr="00B14E91">
        <w:tab/>
        <w:t xml:space="preserve"> This regulation ceases to have effect at the end of 24 August 2021.</w:t>
      </w:r>
    </w:p>
    <w:p w:rsidR="004C7C9A" w:rsidRPr="00B14E91" w:rsidRDefault="004C7C9A" w:rsidP="004C7C9A">
      <w:pPr>
        <w:pStyle w:val="ActHead4"/>
      </w:pPr>
      <w:bookmarkStart w:id="96" w:name="_Toc48564352"/>
      <w:r w:rsidRPr="00B14E91">
        <w:rPr>
          <w:rStyle w:val="CharSubdNo"/>
        </w:rPr>
        <w:t>Subdivision C</w:t>
      </w:r>
      <w:r w:rsidRPr="00B14E91">
        <w:t>—</w:t>
      </w:r>
      <w:r w:rsidRPr="00B14E91">
        <w:rPr>
          <w:rStyle w:val="CharSubdText"/>
        </w:rPr>
        <w:t>Programmed or programmable medical device or software that is a medical device</w:t>
      </w:r>
      <w:bookmarkEnd w:id="96"/>
    </w:p>
    <w:p w:rsidR="004C7C9A" w:rsidRPr="00B14E91" w:rsidRDefault="004C7C9A" w:rsidP="004C7C9A">
      <w:pPr>
        <w:pStyle w:val="ActHead5"/>
      </w:pPr>
      <w:bookmarkStart w:id="97" w:name="_Toc48564353"/>
      <w:r w:rsidRPr="00B14E91">
        <w:rPr>
          <w:rStyle w:val="CharSectno"/>
        </w:rPr>
        <w:t>11.44</w:t>
      </w:r>
      <w:r w:rsidRPr="00B14E91">
        <w:t xml:space="preserve">  Definitions</w:t>
      </w:r>
      <w:bookmarkEnd w:id="97"/>
    </w:p>
    <w:p w:rsidR="004C7C9A" w:rsidRPr="00B14E91" w:rsidRDefault="004C7C9A" w:rsidP="004C7C9A">
      <w:pPr>
        <w:pStyle w:val="subsection"/>
      </w:pPr>
      <w:r w:rsidRPr="00B14E91">
        <w:tab/>
      </w:r>
      <w:r w:rsidRPr="00B14E91">
        <w:tab/>
        <w:t>In this Subdivision:</w:t>
      </w:r>
    </w:p>
    <w:p w:rsidR="004C7C9A" w:rsidRPr="00B14E91" w:rsidRDefault="004C7C9A" w:rsidP="004C7C9A">
      <w:pPr>
        <w:pStyle w:val="Definition"/>
      </w:pPr>
      <w:r w:rsidRPr="00B14E91">
        <w:rPr>
          <w:b/>
          <w:i/>
        </w:rPr>
        <w:t>inclusion day</w:t>
      </w:r>
      <w:r w:rsidRPr="00B14E91">
        <w:t xml:space="preserve"> for an entry of a kind of medical device in the Register means the day on which the inclusion of that kind of device in the Register commences.</w:t>
      </w:r>
    </w:p>
    <w:p w:rsidR="004C7C9A" w:rsidRPr="00B14E91" w:rsidRDefault="004C7C9A" w:rsidP="004C7C9A">
      <w:pPr>
        <w:pStyle w:val="Definition"/>
      </w:pPr>
      <w:r w:rsidRPr="00B14E91">
        <w:rPr>
          <w:b/>
          <w:i/>
        </w:rPr>
        <w:t xml:space="preserve">transitional kind of medical device </w:t>
      </w:r>
      <w:r w:rsidRPr="00B14E91">
        <w:t>means a kind of medical device included in the Register because of an application made before 25 August 2020 (whether the inclusion day for the entry of that kind of medical device occurred before, on or after that day).</w:t>
      </w:r>
    </w:p>
    <w:p w:rsidR="004C7C9A" w:rsidRPr="00B14E91" w:rsidRDefault="004C7C9A" w:rsidP="004C7C9A">
      <w:pPr>
        <w:pStyle w:val="ActHead5"/>
      </w:pPr>
      <w:bookmarkStart w:id="98" w:name="_Toc48564354"/>
      <w:r w:rsidRPr="00B14E91">
        <w:rPr>
          <w:rStyle w:val="CharSectno"/>
        </w:rPr>
        <w:t>11.45</w:t>
      </w:r>
      <w:r w:rsidRPr="00B14E91">
        <w:t xml:space="preserve">  Programmed or programmable medical device or software that is a medical device—classification rules</w:t>
      </w:r>
      <w:bookmarkEnd w:id="98"/>
    </w:p>
    <w:p w:rsidR="004C7C9A" w:rsidRPr="00B14E91" w:rsidRDefault="004C7C9A" w:rsidP="004C7C9A">
      <w:pPr>
        <w:pStyle w:val="SubsectionHead"/>
      </w:pPr>
      <w:r w:rsidRPr="00B14E91">
        <w:t>Applications and entries other than a transitional kind of medical device</w:t>
      </w:r>
    </w:p>
    <w:p w:rsidR="004C7C9A" w:rsidRPr="00B14E91" w:rsidRDefault="004C7C9A" w:rsidP="004C7C9A">
      <w:pPr>
        <w:pStyle w:val="subsection"/>
      </w:pPr>
      <w:r w:rsidRPr="00B14E91">
        <w:tab/>
        <w:t>(1)</w:t>
      </w:r>
      <w:r w:rsidRPr="00B14E91">
        <w:tab/>
        <w:t>Clauses 4.5 to 4.8 of Schedule 2, as added by Schedule 2 to the amending regulations, apply on and after 25 August 2020 in relation to the following:</w:t>
      </w:r>
    </w:p>
    <w:p w:rsidR="004C7C9A" w:rsidRPr="00B14E91" w:rsidRDefault="004C7C9A" w:rsidP="004C7C9A">
      <w:pPr>
        <w:pStyle w:val="paragraph"/>
      </w:pPr>
      <w:r w:rsidRPr="00B14E91">
        <w:tab/>
        <w:t>(a)</w:t>
      </w:r>
      <w:r w:rsidRPr="00B14E91">
        <w:tab/>
        <w:t>an application for a kind of medical device to be included in the Register that is made on or after 25 August 2020;</w:t>
      </w:r>
    </w:p>
    <w:p w:rsidR="004C7C9A" w:rsidRPr="00B14E91" w:rsidRDefault="004C7C9A" w:rsidP="004C7C9A">
      <w:pPr>
        <w:pStyle w:val="paragraph"/>
      </w:pPr>
      <w:r w:rsidRPr="00B14E91">
        <w:tab/>
        <w:t>(b)</w:t>
      </w:r>
      <w:r w:rsidRPr="00B14E91">
        <w:tab/>
        <w:t>a kind of medical device that is included in the Register as a result of such an application.</w:t>
      </w:r>
    </w:p>
    <w:p w:rsidR="004C7C9A" w:rsidRPr="00B14E91" w:rsidRDefault="004C7C9A" w:rsidP="004C7C9A">
      <w:pPr>
        <w:pStyle w:val="SubsectionHead"/>
      </w:pPr>
      <w:r w:rsidRPr="00B14E91">
        <w:lastRenderedPageBreak/>
        <w:t>Transitional kind of medical device</w:t>
      </w:r>
    </w:p>
    <w:p w:rsidR="004C7C9A" w:rsidRPr="00B14E91" w:rsidRDefault="004C7C9A" w:rsidP="004C7C9A">
      <w:pPr>
        <w:pStyle w:val="subsection"/>
      </w:pPr>
      <w:r w:rsidRPr="00B14E91">
        <w:tab/>
        <w:t>(2)</w:t>
      </w:r>
      <w:r w:rsidRPr="00B14E91">
        <w:tab/>
        <w:t>Subject to subregulations (3) and (5), clauses 4.5 to 4.8 of Schedule 2, as added by Schedule 2 to the amending regulations, apply in relation to a transitional kind of medical device on and after 1 November 2024.</w:t>
      </w:r>
    </w:p>
    <w:p w:rsidR="004C7C9A" w:rsidRPr="00B14E91" w:rsidRDefault="004C7C9A" w:rsidP="004C7C9A">
      <w:pPr>
        <w:pStyle w:val="subsection"/>
      </w:pPr>
      <w:r w:rsidRPr="00B14E91">
        <w:tab/>
        <w:t>(3)</w:t>
      </w:r>
      <w:r w:rsidRPr="00B14E91">
        <w:tab/>
        <w:t>Clauses 4.5 to 4.8 of Schedule 2, as added by Schedule 2 to the amending regulations, do not apply in relation to a transitional kind of medical device before the day applicable under subregulation (4) if:</w:t>
      </w:r>
    </w:p>
    <w:p w:rsidR="004C7C9A" w:rsidRPr="00B14E91" w:rsidRDefault="004C7C9A" w:rsidP="004C7C9A">
      <w:pPr>
        <w:pStyle w:val="paragraph"/>
      </w:pPr>
      <w:r w:rsidRPr="00B14E91">
        <w:tab/>
        <w:t>(a)</w:t>
      </w:r>
      <w:r w:rsidRPr="00B14E91">
        <w:tab/>
        <w:t>the person applies under the Act:</w:t>
      </w:r>
    </w:p>
    <w:p w:rsidR="004C7C9A" w:rsidRPr="00B14E91" w:rsidRDefault="004C7C9A" w:rsidP="004C7C9A">
      <w:pPr>
        <w:pStyle w:val="paragraphsub"/>
      </w:pPr>
      <w:r w:rsidRPr="00B14E91">
        <w:tab/>
        <w:t>(i)</w:t>
      </w:r>
      <w:r w:rsidRPr="00B14E91">
        <w:tab/>
        <w:t>on or after the inclusion day for the entry of the transitional kind of medical device; and</w:t>
      </w:r>
    </w:p>
    <w:p w:rsidR="004C7C9A" w:rsidRPr="00B14E91" w:rsidRDefault="004C7C9A" w:rsidP="004C7C9A">
      <w:pPr>
        <w:pStyle w:val="paragraphsub"/>
      </w:pPr>
      <w:r w:rsidRPr="00B14E91">
        <w:tab/>
        <w:t>(ii)</w:t>
      </w:r>
      <w:r w:rsidRPr="00B14E91">
        <w:tab/>
        <w:t>on or after 25 August 2020; and</w:t>
      </w:r>
    </w:p>
    <w:p w:rsidR="004C7C9A" w:rsidRPr="00B14E91" w:rsidRDefault="004C7C9A" w:rsidP="004C7C9A">
      <w:pPr>
        <w:pStyle w:val="paragraphsub"/>
      </w:pPr>
      <w:r w:rsidRPr="00B14E91">
        <w:tab/>
        <w:t>(iii)</w:t>
      </w:r>
      <w:r w:rsidRPr="00B14E91">
        <w:tab/>
        <w:t>before 1 November 2024;</w:t>
      </w:r>
    </w:p>
    <w:p w:rsidR="004C7C9A" w:rsidRPr="00B14E91" w:rsidRDefault="004C7C9A" w:rsidP="004C7C9A">
      <w:pPr>
        <w:pStyle w:val="paragraph"/>
      </w:pPr>
      <w:r w:rsidRPr="00B14E91">
        <w:tab/>
      </w:r>
      <w:r w:rsidRPr="00B14E91">
        <w:tab/>
        <w:t xml:space="preserve">to have a kind (the </w:t>
      </w:r>
      <w:r w:rsidRPr="00B14E91">
        <w:rPr>
          <w:b/>
          <w:i/>
        </w:rPr>
        <w:t>new kind</w:t>
      </w:r>
      <w:r w:rsidRPr="00B14E91">
        <w:t>) of medical device included in the Register; and</w:t>
      </w:r>
    </w:p>
    <w:p w:rsidR="004C7C9A" w:rsidRPr="00B14E91" w:rsidRDefault="004C7C9A" w:rsidP="004C7C9A">
      <w:pPr>
        <w:pStyle w:val="paragraph"/>
      </w:pPr>
      <w:r w:rsidRPr="00B14E91">
        <w:tab/>
        <w:t>(b)</w:t>
      </w:r>
      <w:r w:rsidRPr="00B14E91">
        <w:tab/>
        <w:t>the person gives to the Secretary a notice under regulation 11.46 in relation to the transitional kind of medical device; and</w:t>
      </w:r>
    </w:p>
    <w:p w:rsidR="004C7C9A" w:rsidRPr="00B14E91" w:rsidRDefault="004C7C9A" w:rsidP="004C7C9A">
      <w:pPr>
        <w:pStyle w:val="paragraph"/>
      </w:pPr>
      <w:r w:rsidRPr="00B14E91">
        <w:tab/>
        <w:t>(c)</w:t>
      </w:r>
      <w:r w:rsidRPr="00B14E91">
        <w:tab/>
        <w:t>the unique product identifier of the devices of the new kind is the unique product identifier, or one of the unique product identifiers, stated in the notice.</w:t>
      </w:r>
    </w:p>
    <w:p w:rsidR="004C7C9A" w:rsidRPr="00B14E91" w:rsidRDefault="004C7C9A" w:rsidP="004C7C9A">
      <w:pPr>
        <w:pStyle w:val="subsection"/>
      </w:pPr>
      <w:r w:rsidRPr="00B14E91">
        <w:tab/>
        <w:t>(4)</w:t>
      </w:r>
      <w:r w:rsidRPr="00B14E91">
        <w:tab/>
        <w:t>For the purposes of subregulation (3), the day is the day after the day on whichever of the following events occurs first:</w:t>
      </w:r>
    </w:p>
    <w:p w:rsidR="004C7C9A" w:rsidRPr="00B14E91" w:rsidRDefault="004C7C9A" w:rsidP="004C7C9A">
      <w:pPr>
        <w:pStyle w:val="paragraph"/>
      </w:pPr>
      <w:r w:rsidRPr="00B14E91">
        <w:tab/>
        <w:t>(a)</w:t>
      </w:r>
      <w:r w:rsidRPr="00B14E91">
        <w:tab/>
        <w:t>the person withdraws the application mentioned in paragraph (3)(a);</w:t>
      </w:r>
    </w:p>
    <w:p w:rsidR="004C7C9A" w:rsidRPr="00B14E91" w:rsidRDefault="004C7C9A" w:rsidP="004C7C9A">
      <w:pPr>
        <w:pStyle w:val="paragraph"/>
      </w:pPr>
      <w:r w:rsidRPr="00B14E91">
        <w:tab/>
        <w:t>(b)</w:t>
      </w:r>
      <w:r w:rsidRPr="00B14E91">
        <w:tab/>
        <w:t>that application lapses under section 41FK of the Act;</w:t>
      </w:r>
    </w:p>
    <w:p w:rsidR="004C7C9A" w:rsidRPr="00B14E91" w:rsidRDefault="004C7C9A" w:rsidP="004C7C9A">
      <w:pPr>
        <w:pStyle w:val="paragraph"/>
      </w:pPr>
      <w:r w:rsidRPr="00B14E91">
        <w:tab/>
        <w:t>(c)</w:t>
      </w:r>
      <w:r w:rsidRPr="00B14E91">
        <w:tab/>
        <w:t>that application is finally determined.</w:t>
      </w:r>
    </w:p>
    <w:p w:rsidR="004C7C9A" w:rsidRPr="00B14E91" w:rsidRDefault="004C7C9A" w:rsidP="004C7C9A">
      <w:pPr>
        <w:pStyle w:val="subsection"/>
      </w:pPr>
      <w:r w:rsidRPr="00B14E91">
        <w:tab/>
        <w:t>(5)</w:t>
      </w:r>
      <w:r w:rsidRPr="00B14E91">
        <w:tab/>
        <w:t>If:</w:t>
      </w:r>
    </w:p>
    <w:p w:rsidR="004C7C9A" w:rsidRPr="00B14E91" w:rsidRDefault="004C7C9A" w:rsidP="004C7C9A">
      <w:pPr>
        <w:pStyle w:val="paragraph"/>
      </w:pPr>
      <w:r w:rsidRPr="00B14E91">
        <w:tab/>
        <w:t>(a)</w:t>
      </w:r>
      <w:r w:rsidRPr="00B14E91">
        <w:tab/>
        <w:t>a person is required under regulation 11.46 to give a notice to the Secretary in relation to a transitional kind of medical device; and</w:t>
      </w:r>
    </w:p>
    <w:p w:rsidR="004C7C9A" w:rsidRPr="00B14E91" w:rsidRDefault="004C7C9A" w:rsidP="004C7C9A">
      <w:pPr>
        <w:pStyle w:val="paragraph"/>
      </w:pPr>
      <w:r w:rsidRPr="00B14E91">
        <w:tab/>
        <w:t>(b)</w:t>
      </w:r>
      <w:r w:rsidRPr="00B14E91">
        <w:tab/>
        <w:t>the person fails to give the notice in accordance with that regulation before the later of:</w:t>
      </w:r>
    </w:p>
    <w:p w:rsidR="004C7C9A" w:rsidRPr="00B14E91" w:rsidRDefault="004C7C9A" w:rsidP="004C7C9A">
      <w:pPr>
        <w:pStyle w:val="paragraphsub"/>
      </w:pPr>
      <w:r w:rsidRPr="00B14E91">
        <w:tab/>
        <w:t>(i)</w:t>
      </w:r>
      <w:r w:rsidRPr="00B14E91">
        <w:tab/>
        <w:t>25 February 2021; and</w:t>
      </w:r>
    </w:p>
    <w:p w:rsidR="004C7C9A" w:rsidRPr="00B14E91" w:rsidRDefault="004C7C9A" w:rsidP="004C7C9A">
      <w:pPr>
        <w:pStyle w:val="paragraphsub"/>
      </w:pPr>
      <w:r w:rsidRPr="00B14E91">
        <w:tab/>
        <w:t>(ii)</w:t>
      </w:r>
      <w:r w:rsidRPr="00B14E91">
        <w:tab/>
        <w:t>the day occurring 2 months after the inclusion day for the entry of the transitional kind of medical device;</w:t>
      </w:r>
    </w:p>
    <w:p w:rsidR="004C7C9A" w:rsidRPr="00B14E91" w:rsidRDefault="004C7C9A" w:rsidP="004C7C9A">
      <w:pPr>
        <w:pStyle w:val="subsection2"/>
      </w:pPr>
      <w:r w:rsidRPr="00B14E91">
        <w:t>then clauses 4.5 to 4.8 of Schedule 2, as added by Schedule 2 to the amending regulations, apply in relation to the transitional kind of medical device on and after the later of those days.</w:t>
      </w:r>
    </w:p>
    <w:p w:rsidR="004C7C9A" w:rsidRPr="00B14E91" w:rsidRDefault="004C7C9A" w:rsidP="004C7C9A">
      <w:pPr>
        <w:pStyle w:val="ActHead5"/>
      </w:pPr>
      <w:bookmarkStart w:id="99" w:name="_Toc48564355"/>
      <w:r w:rsidRPr="00B14E91">
        <w:rPr>
          <w:rStyle w:val="CharSectno"/>
        </w:rPr>
        <w:t>11.46</w:t>
      </w:r>
      <w:r w:rsidRPr="00B14E91">
        <w:t xml:space="preserve">  Secretary must be notified in relation to a transitional kind of medical device</w:t>
      </w:r>
      <w:bookmarkEnd w:id="99"/>
    </w:p>
    <w:p w:rsidR="004C7C9A" w:rsidRPr="00B14E91" w:rsidRDefault="004C7C9A" w:rsidP="004C7C9A">
      <w:pPr>
        <w:pStyle w:val="subsection"/>
      </w:pPr>
      <w:r w:rsidRPr="00B14E91">
        <w:tab/>
        <w:t>(1)</w:t>
      </w:r>
      <w:r w:rsidRPr="00B14E91">
        <w:tab/>
        <w:t>For the purposes of subsection 41FN(5A) of the Act, a person must give to the Secretary a notice in accordance with subregulation (2) if:</w:t>
      </w:r>
    </w:p>
    <w:p w:rsidR="004C7C9A" w:rsidRPr="00B14E91" w:rsidRDefault="004C7C9A" w:rsidP="004C7C9A">
      <w:pPr>
        <w:pStyle w:val="paragraph"/>
      </w:pPr>
      <w:r w:rsidRPr="00B14E91">
        <w:tab/>
        <w:t>(a)</w:t>
      </w:r>
      <w:r w:rsidRPr="00B14E91">
        <w:tab/>
        <w:t>a kind of medical device is included in the Register in relation to the person; and</w:t>
      </w:r>
    </w:p>
    <w:p w:rsidR="004C7C9A" w:rsidRPr="00B14E91" w:rsidRDefault="004C7C9A" w:rsidP="004C7C9A">
      <w:pPr>
        <w:pStyle w:val="paragraph"/>
      </w:pPr>
      <w:r w:rsidRPr="00B14E91">
        <w:tab/>
        <w:t>(b)</w:t>
      </w:r>
      <w:r w:rsidRPr="00B14E91">
        <w:tab/>
        <w:t>the kind of medical device so included is a transitional kind of medical device; and</w:t>
      </w:r>
    </w:p>
    <w:p w:rsidR="004C7C9A" w:rsidRPr="00B14E91" w:rsidRDefault="004C7C9A" w:rsidP="004C7C9A">
      <w:pPr>
        <w:pStyle w:val="paragraph"/>
      </w:pPr>
      <w:r w:rsidRPr="00B14E91">
        <w:lastRenderedPageBreak/>
        <w:tab/>
        <w:t>(c)</w:t>
      </w:r>
      <w:r w:rsidRPr="00B14E91">
        <w:tab/>
        <w:t>medical devices of that kind are programmed or programmable medical devices or software.</w:t>
      </w:r>
    </w:p>
    <w:p w:rsidR="004C7C9A" w:rsidRPr="00B14E91" w:rsidRDefault="004C7C9A" w:rsidP="004C7C9A">
      <w:pPr>
        <w:pStyle w:val="subsection"/>
      </w:pPr>
      <w:r w:rsidRPr="00B14E91">
        <w:tab/>
        <w:t>(2)</w:t>
      </w:r>
      <w:r w:rsidRPr="00B14E91">
        <w:tab/>
        <w:t>The notice must:</w:t>
      </w:r>
    </w:p>
    <w:p w:rsidR="004C7C9A" w:rsidRPr="00B14E91" w:rsidRDefault="004C7C9A" w:rsidP="004C7C9A">
      <w:pPr>
        <w:pStyle w:val="paragraph"/>
      </w:pPr>
      <w:r w:rsidRPr="00B14E91">
        <w:tab/>
        <w:t>(a)</w:t>
      </w:r>
      <w:r w:rsidRPr="00B14E91">
        <w:tab/>
        <w:t>be in writing; and</w:t>
      </w:r>
    </w:p>
    <w:p w:rsidR="004C7C9A" w:rsidRPr="00B14E91" w:rsidRDefault="004C7C9A" w:rsidP="004C7C9A">
      <w:pPr>
        <w:pStyle w:val="paragraph"/>
      </w:pPr>
      <w:r w:rsidRPr="00B14E91">
        <w:tab/>
        <w:t>(b)</w:t>
      </w:r>
      <w:r w:rsidRPr="00B14E91">
        <w:tab/>
        <w:t>state:</w:t>
      </w:r>
    </w:p>
    <w:p w:rsidR="004C7C9A" w:rsidRPr="00B14E91" w:rsidRDefault="004C7C9A" w:rsidP="004C7C9A">
      <w:pPr>
        <w:pStyle w:val="paragraphsub"/>
      </w:pPr>
      <w:r w:rsidRPr="00B14E91">
        <w:tab/>
        <w:t>(i)</w:t>
      </w:r>
      <w:r w:rsidRPr="00B14E91">
        <w:tab/>
        <w:t>the unique device number assigned to that kind of device under section 41FL of the Act; and</w:t>
      </w:r>
    </w:p>
    <w:p w:rsidR="004C7C9A" w:rsidRPr="00B14E91" w:rsidRDefault="004C7C9A" w:rsidP="004C7C9A">
      <w:pPr>
        <w:pStyle w:val="paragraphsub"/>
      </w:pPr>
      <w:r w:rsidRPr="00B14E91">
        <w:tab/>
        <w:t>(ii)</w:t>
      </w:r>
      <w:r w:rsidRPr="00B14E91">
        <w:tab/>
        <w:t>the unique product identifier given to each medical device (if any) of that kind that the person supplies in Australia; and</w:t>
      </w:r>
    </w:p>
    <w:p w:rsidR="004C7C9A" w:rsidRPr="00B14E91" w:rsidRDefault="004C7C9A" w:rsidP="004C7C9A">
      <w:pPr>
        <w:pStyle w:val="paragraph"/>
      </w:pPr>
      <w:r w:rsidRPr="00B14E91">
        <w:tab/>
        <w:t>(c)</w:t>
      </w:r>
      <w:r w:rsidRPr="00B14E91">
        <w:tab/>
        <w:t>be given to the Secretary before the later of:</w:t>
      </w:r>
    </w:p>
    <w:p w:rsidR="004C7C9A" w:rsidRPr="00B14E91" w:rsidRDefault="004C7C9A" w:rsidP="004C7C9A">
      <w:pPr>
        <w:pStyle w:val="paragraphsub"/>
      </w:pPr>
      <w:r w:rsidRPr="00B14E91">
        <w:tab/>
        <w:t>(i)</w:t>
      </w:r>
      <w:r w:rsidRPr="00B14E91">
        <w:tab/>
        <w:t>25 February 2021; and</w:t>
      </w:r>
    </w:p>
    <w:p w:rsidR="004C7C9A" w:rsidRPr="00B14E91" w:rsidRDefault="004C7C9A" w:rsidP="004C7C9A">
      <w:pPr>
        <w:pStyle w:val="paragraphsub"/>
      </w:pPr>
      <w:r w:rsidRPr="00B14E91">
        <w:tab/>
        <w:t>(ii)</w:t>
      </w:r>
      <w:r w:rsidRPr="00B14E91">
        <w:tab/>
        <w:t>the day occurring 2 months after the inclusion day for the entry of the transitional kind of medical device.</w:t>
      </w:r>
    </w:p>
    <w:p w:rsidR="004C7C9A" w:rsidRPr="00B14E91" w:rsidRDefault="004C7C9A" w:rsidP="004C7C9A">
      <w:pPr>
        <w:pStyle w:val="ActHead5"/>
      </w:pPr>
      <w:bookmarkStart w:id="100" w:name="_Toc48564356"/>
      <w:r w:rsidRPr="00B14E91">
        <w:rPr>
          <w:rStyle w:val="CharSectno"/>
        </w:rPr>
        <w:t>11.47</w:t>
      </w:r>
      <w:r w:rsidRPr="00B14E91">
        <w:t xml:space="preserve">  Programmed or programmable medical device or software that is a medical device—essential principles</w:t>
      </w:r>
      <w:bookmarkEnd w:id="100"/>
    </w:p>
    <w:p w:rsidR="004C7C9A" w:rsidRPr="00B14E91" w:rsidRDefault="004C7C9A" w:rsidP="004C7C9A">
      <w:pPr>
        <w:pStyle w:val="subsection"/>
      </w:pPr>
      <w:r w:rsidRPr="00B14E91">
        <w:tab/>
        <w:t>(1)</w:t>
      </w:r>
      <w:r w:rsidRPr="00B14E91">
        <w:tab/>
        <w:t>Clause 13B of Schedule 1, as inserted by Schedule 2 to the amending regulations, applies on and after 25 August 2020 in relation to the following:</w:t>
      </w:r>
    </w:p>
    <w:p w:rsidR="004C7C9A" w:rsidRPr="00B14E91" w:rsidRDefault="004C7C9A" w:rsidP="004C7C9A">
      <w:pPr>
        <w:pStyle w:val="paragraph"/>
      </w:pPr>
      <w:r w:rsidRPr="00B14E91">
        <w:tab/>
        <w:t>(a)</w:t>
      </w:r>
      <w:r w:rsidRPr="00B14E91">
        <w:tab/>
        <w:t>an application for a kind of medical device to be included in the Register that is made on or after 25 August 2020;</w:t>
      </w:r>
    </w:p>
    <w:p w:rsidR="004C7C9A" w:rsidRPr="00B14E91" w:rsidRDefault="004C7C9A" w:rsidP="004C7C9A">
      <w:pPr>
        <w:pStyle w:val="paragraph"/>
      </w:pPr>
      <w:r w:rsidRPr="00B14E91">
        <w:tab/>
        <w:t>(b)</w:t>
      </w:r>
      <w:r w:rsidRPr="00B14E91">
        <w:tab/>
        <w:t>a kind of medical device that is included in the Register as a result of such an application.</w:t>
      </w:r>
    </w:p>
    <w:p w:rsidR="004C7C9A" w:rsidRPr="00B14E91" w:rsidRDefault="004C7C9A" w:rsidP="004C7C9A">
      <w:pPr>
        <w:pStyle w:val="subsection"/>
      </w:pPr>
      <w:r w:rsidRPr="00B14E91">
        <w:tab/>
        <w:t>(2)</w:t>
      </w:r>
      <w:r w:rsidRPr="00B14E91">
        <w:tab/>
        <w:t>Clause 13B of Schedule 1, as inserted by Schedule 2 to the amending regulations, applies in relation to a transitional kind of medical device on and after 1 November 2024.</w:t>
      </w:r>
    </w:p>
    <w:p w:rsidR="004C7C9A" w:rsidRPr="00B14E91" w:rsidRDefault="004C7C9A" w:rsidP="004C7C9A">
      <w:pPr>
        <w:pStyle w:val="ActHead4"/>
      </w:pPr>
      <w:bookmarkStart w:id="101" w:name="_Toc48564357"/>
      <w:r w:rsidRPr="00B14E91">
        <w:rPr>
          <w:rStyle w:val="CharSubdNo"/>
        </w:rPr>
        <w:t>Subdivision D</w:t>
      </w:r>
      <w:r w:rsidRPr="00B14E91">
        <w:t>—</w:t>
      </w:r>
      <w:r w:rsidRPr="00B14E91">
        <w:rPr>
          <w:rStyle w:val="CharSubdText"/>
        </w:rPr>
        <w:t>Personalised medical devices</w:t>
      </w:r>
      <w:bookmarkEnd w:id="101"/>
    </w:p>
    <w:p w:rsidR="004C7C9A" w:rsidRPr="00B14E91" w:rsidRDefault="004C7C9A" w:rsidP="004C7C9A">
      <w:pPr>
        <w:pStyle w:val="ActHead5"/>
      </w:pPr>
      <w:bookmarkStart w:id="102" w:name="_Toc48564358"/>
      <w:r w:rsidRPr="00B14E91">
        <w:rPr>
          <w:rStyle w:val="CharSectno"/>
        </w:rPr>
        <w:t>11.48</w:t>
      </w:r>
      <w:r w:rsidRPr="00B14E91">
        <w:t xml:space="preserve">  Definitions</w:t>
      </w:r>
      <w:bookmarkEnd w:id="102"/>
    </w:p>
    <w:p w:rsidR="004C7C9A" w:rsidRPr="00B14E91" w:rsidRDefault="004C7C9A" w:rsidP="004C7C9A">
      <w:pPr>
        <w:pStyle w:val="subsection"/>
      </w:pPr>
      <w:r w:rsidRPr="00B14E91">
        <w:tab/>
      </w:r>
      <w:r w:rsidRPr="00B14E91">
        <w:tab/>
        <w:t>In this Subdivision:</w:t>
      </w:r>
    </w:p>
    <w:p w:rsidR="004C7C9A" w:rsidRPr="00B14E91" w:rsidRDefault="004C7C9A" w:rsidP="004C7C9A">
      <w:pPr>
        <w:pStyle w:val="Definition"/>
      </w:pPr>
      <w:r w:rsidRPr="00B14E91">
        <w:rPr>
          <w:b/>
          <w:i/>
        </w:rPr>
        <w:t>inclusion day</w:t>
      </w:r>
      <w:r w:rsidRPr="00B14E91">
        <w:t xml:space="preserve"> for an entry of a kind of medical device in the Register means the day on which the inclusion of that kind of device in the Register commences.</w:t>
      </w:r>
    </w:p>
    <w:p w:rsidR="004C7C9A" w:rsidRPr="00B14E91" w:rsidRDefault="004C7C9A" w:rsidP="004C7C9A">
      <w:pPr>
        <w:pStyle w:val="Definition"/>
      </w:pPr>
      <w:r w:rsidRPr="00B14E91">
        <w:rPr>
          <w:b/>
          <w:i/>
        </w:rPr>
        <w:t xml:space="preserve">transitional kind of medical device </w:t>
      </w:r>
      <w:r w:rsidRPr="00B14E91">
        <w:t>means a kind of medical device included in the Register because of an application made before 25 August 2020 (whether the inclusion day for the entry of that kind of medical device occurred before, on or after that day).</w:t>
      </w:r>
    </w:p>
    <w:p w:rsidR="004C7C9A" w:rsidRPr="00B14E91" w:rsidRDefault="004C7C9A" w:rsidP="004C7C9A">
      <w:pPr>
        <w:pStyle w:val="ActHead5"/>
      </w:pPr>
      <w:bookmarkStart w:id="103" w:name="_Toc48564359"/>
      <w:r w:rsidRPr="00B14E91">
        <w:rPr>
          <w:rStyle w:val="CharSectno"/>
        </w:rPr>
        <w:t>11.49</w:t>
      </w:r>
      <w:r w:rsidRPr="00B14E91">
        <w:t xml:space="preserve">  Personalised medical devices—reports</w:t>
      </w:r>
      <w:bookmarkEnd w:id="103"/>
    </w:p>
    <w:p w:rsidR="004C7C9A" w:rsidRPr="00B14E91" w:rsidRDefault="004C7C9A" w:rsidP="004C7C9A">
      <w:pPr>
        <w:pStyle w:val="subsection"/>
      </w:pPr>
      <w:r w:rsidRPr="00B14E91">
        <w:tab/>
        <w:t>(1)</w:t>
      </w:r>
      <w:r w:rsidRPr="00B14E91">
        <w:tab/>
        <w:t>Subregulation 10.3A(1), as inserted by Schedule 3 to the amending regulations, applies in relation to a custom</w:t>
      </w:r>
      <w:r w:rsidR="00D425F1">
        <w:noBreakHyphen/>
      </w:r>
      <w:r w:rsidRPr="00B14E91">
        <w:t>made medical device that is manufactured on or after 25 August 2020.</w:t>
      </w:r>
    </w:p>
    <w:p w:rsidR="004C7C9A" w:rsidRPr="00B14E91" w:rsidRDefault="004C7C9A" w:rsidP="004C7C9A">
      <w:pPr>
        <w:pStyle w:val="subsection"/>
      </w:pPr>
      <w:r w:rsidRPr="00B14E91">
        <w:lastRenderedPageBreak/>
        <w:tab/>
        <w:t>(2)</w:t>
      </w:r>
      <w:r w:rsidRPr="00B14E91">
        <w:tab/>
        <w:t>Subregulation 10.3A(2), as inserted by Schedule 3 to the amending regulations, applies in relation to a custom</w:t>
      </w:r>
      <w:r w:rsidR="00D425F1">
        <w:noBreakHyphen/>
      </w:r>
      <w:r w:rsidRPr="00B14E91">
        <w:t>made medical device that is imported into Australia on or after 25 August 2020.</w:t>
      </w:r>
    </w:p>
    <w:p w:rsidR="004C7C9A" w:rsidRPr="00B14E91" w:rsidRDefault="004C7C9A" w:rsidP="004C7C9A">
      <w:pPr>
        <w:pStyle w:val="ActHead5"/>
      </w:pPr>
      <w:bookmarkStart w:id="104" w:name="_Toc48564360"/>
      <w:r w:rsidRPr="00B14E91">
        <w:rPr>
          <w:rStyle w:val="CharSectno"/>
        </w:rPr>
        <w:t>11.50</w:t>
      </w:r>
      <w:r w:rsidRPr="00B14E91">
        <w:t xml:space="preserve">  Personalised medical devices—conformity assessment procedures</w:t>
      </w:r>
      <w:bookmarkEnd w:id="104"/>
    </w:p>
    <w:p w:rsidR="004C7C9A" w:rsidRPr="00B14E91" w:rsidRDefault="004C7C9A" w:rsidP="004C7C9A">
      <w:pPr>
        <w:pStyle w:val="subsection"/>
      </w:pPr>
      <w:r w:rsidRPr="00B14E91">
        <w:tab/>
        <w:t>(1)</w:t>
      </w:r>
      <w:r w:rsidRPr="00B14E91">
        <w:tab/>
        <w:t>The amendments of clause 7.2 of Schedule 3 made by Schedule 3 to the amending regulations apply in relation to a custom</w:t>
      </w:r>
      <w:r w:rsidR="00D425F1">
        <w:noBreakHyphen/>
      </w:r>
      <w:r w:rsidRPr="00B14E91">
        <w:t>made medical device that is manufactured on or after 25 August 2020.</w:t>
      </w:r>
    </w:p>
    <w:p w:rsidR="004C7C9A" w:rsidRPr="00B14E91" w:rsidRDefault="004C7C9A" w:rsidP="004C7C9A">
      <w:pPr>
        <w:pStyle w:val="subsection"/>
      </w:pPr>
      <w:r w:rsidRPr="00B14E91">
        <w:tab/>
        <w:t>(2)</w:t>
      </w:r>
      <w:r w:rsidRPr="00B14E91">
        <w:tab/>
        <w:t>The repeal and substitution of subclause 7.6(2) of Schedule 3 made by Schedule 3 to the amending regulations applies in relation to a medical device that is manufactured on or after 25 August 2020.</w:t>
      </w:r>
    </w:p>
    <w:p w:rsidR="004C7C9A" w:rsidRPr="00B14E91" w:rsidRDefault="004C7C9A" w:rsidP="004C7C9A">
      <w:pPr>
        <w:pStyle w:val="ActHead5"/>
      </w:pPr>
      <w:bookmarkStart w:id="105" w:name="_Toc48564361"/>
      <w:r w:rsidRPr="00B14E91">
        <w:rPr>
          <w:rStyle w:val="CharSectno"/>
        </w:rPr>
        <w:t>11.51</w:t>
      </w:r>
      <w:r w:rsidRPr="00B14E91">
        <w:t xml:space="preserve">  Personalised medical devices—exemptions</w:t>
      </w:r>
      <w:bookmarkEnd w:id="105"/>
    </w:p>
    <w:p w:rsidR="004C7C9A" w:rsidRPr="00B14E91" w:rsidRDefault="004C7C9A" w:rsidP="004C7C9A">
      <w:pPr>
        <w:pStyle w:val="subsection"/>
      </w:pPr>
      <w:r w:rsidRPr="00B14E91">
        <w:tab/>
        <w:t>(1)</w:t>
      </w:r>
      <w:r w:rsidRPr="00B14E91">
        <w:tab/>
        <w:t>Item 1.5 of the table in Part 1 of Schedule 4, as in force immediately before 25 August 2020, continues to apply on and after that day in relation to the following:</w:t>
      </w:r>
    </w:p>
    <w:p w:rsidR="004C7C9A" w:rsidRPr="00B14E91" w:rsidRDefault="004C7C9A" w:rsidP="004C7C9A">
      <w:pPr>
        <w:pStyle w:val="paragraph"/>
      </w:pPr>
      <w:r w:rsidRPr="00B14E91">
        <w:tab/>
        <w:t>(a)</w:t>
      </w:r>
      <w:r w:rsidRPr="00B14E91">
        <w:tab/>
        <w:t>a custom</w:t>
      </w:r>
      <w:r w:rsidR="00D425F1">
        <w:noBreakHyphen/>
      </w:r>
      <w:r w:rsidRPr="00B14E91">
        <w:t>made medical device (within the meaning of these Regulations as in force immediately before that day) that is manufactured before that day;</w:t>
      </w:r>
    </w:p>
    <w:p w:rsidR="004C7C9A" w:rsidRPr="00B14E91" w:rsidRDefault="004C7C9A" w:rsidP="004C7C9A">
      <w:pPr>
        <w:pStyle w:val="paragraph"/>
      </w:pPr>
      <w:r w:rsidRPr="00B14E91">
        <w:tab/>
        <w:t>(b)</w:t>
      </w:r>
      <w:r w:rsidRPr="00B14E91">
        <w:tab/>
        <w:t>a custom</w:t>
      </w:r>
      <w:r w:rsidR="00D425F1">
        <w:noBreakHyphen/>
      </w:r>
      <w:r w:rsidRPr="00B14E91">
        <w:t>made medical device (within the meaning of these Regulations as in force immediately before that day) that is manufactured on or after that day, where the request from the health professional was made before that day.</w:t>
      </w:r>
    </w:p>
    <w:p w:rsidR="004C7C9A" w:rsidRPr="00B14E91" w:rsidRDefault="004C7C9A" w:rsidP="004C7C9A">
      <w:pPr>
        <w:pStyle w:val="subsection"/>
      </w:pPr>
      <w:r w:rsidRPr="00B14E91">
        <w:tab/>
        <w:t>(2)</w:t>
      </w:r>
      <w:r w:rsidRPr="00B14E91">
        <w:tab/>
        <w:t>Items 2.12 and 2.13 of the table in Part 2 of Schedule 4, as added by Schedule 3 to the amending regulations,</w:t>
      </w:r>
      <w:r w:rsidRPr="00B14E91">
        <w:rPr>
          <w:i/>
        </w:rPr>
        <w:t xml:space="preserve"> </w:t>
      </w:r>
      <w:r w:rsidRPr="00B14E91">
        <w:t>apply in relation to a custom</w:t>
      </w:r>
      <w:r w:rsidR="00D425F1">
        <w:noBreakHyphen/>
      </w:r>
      <w:r w:rsidRPr="00B14E91">
        <w:t>made medical device that is manufactured on or after 25 August 2020, where the request from the health professional is made on or after that day.</w:t>
      </w:r>
    </w:p>
    <w:p w:rsidR="004C7C9A" w:rsidRPr="00B14E91" w:rsidRDefault="004C7C9A" w:rsidP="004C7C9A">
      <w:pPr>
        <w:pStyle w:val="subsection"/>
      </w:pPr>
      <w:r w:rsidRPr="00B14E91">
        <w:tab/>
        <w:t>(3)</w:t>
      </w:r>
      <w:r w:rsidRPr="00B14E91">
        <w:tab/>
        <w:t>Item 2.14 of the table in Part 2 of Schedule 4, as added by Schedule 3 to the amending regulations,</w:t>
      </w:r>
      <w:r w:rsidRPr="00B14E91">
        <w:rPr>
          <w:i/>
        </w:rPr>
        <w:t xml:space="preserve"> </w:t>
      </w:r>
      <w:r w:rsidRPr="00B14E91">
        <w:t>applies in relation to a patient</w:t>
      </w:r>
      <w:r w:rsidR="00D425F1">
        <w:noBreakHyphen/>
      </w:r>
      <w:r w:rsidRPr="00B14E91">
        <w:t>matched medical device if:</w:t>
      </w:r>
    </w:p>
    <w:p w:rsidR="004C7C9A" w:rsidRPr="00B14E91" w:rsidRDefault="004C7C9A" w:rsidP="004C7C9A">
      <w:pPr>
        <w:pStyle w:val="paragraph"/>
      </w:pPr>
      <w:r w:rsidRPr="00B14E91">
        <w:tab/>
        <w:t>(a)</w:t>
      </w:r>
      <w:r w:rsidRPr="00B14E91">
        <w:tab/>
        <w:t>it is manufactured on or after 25 August 2020 and before 1 November 2024; and</w:t>
      </w:r>
    </w:p>
    <w:p w:rsidR="004C7C9A" w:rsidRPr="00B14E91" w:rsidRDefault="004C7C9A" w:rsidP="004C7C9A">
      <w:pPr>
        <w:pStyle w:val="paragraph"/>
      </w:pPr>
      <w:r w:rsidRPr="00B14E91">
        <w:tab/>
        <w:t>(b)</w:t>
      </w:r>
      <w:r w:rsidRPr="00B14E91">
        <w:tab/>
        <w:t>before 25 August 2020, information was given to the Secretary under regulation 10.3 and the patient</w:t>
      </w:r>
      <w:r w:rsidR="00D425F1">
        <w:noBreakHyphen/>
      </w:r>
      <w:r w:rsidRPr="00B14E91">
        <w:t>matched medical device is covered by the description of the kinds of medical devices referred to in paragraph 10.3(1)(b) or (2)(c).</w:t>
      </w:r>
    </w:p>
    <w:p w:rsidR="004C7C9A" w:rsidRPr="00B14E91" w:rsidRDefault="004C7C9A" w:rsidP="004C7C9A">
      <w:pPr>
        <w:pStyle w:val="ActHead5"/>
      </w:pPr>
      <w:bookmarkStart w:id="106" w:name="_Toc48564362"/>
      <w:r w:rsidRPr="00B14E91">
        <w:rPr>
          <w:rStyle w:val="CharSectno"/>
        </w:rPr>
        <w:t>11.52</w:t>
      </w:r>
      <w:r w:rsidRPr="00B14E91">
        <w:t xml:space="preserve">  Personalised medical devices—classification rules</w:t>
      </w:r>
      <w:bookmarkEnd w:id="106"/>
    </w:p>
    <w:p w:rsidR="004C7C9A" w:rsidRPr="00B14E91" w:rsidRDefault="004C7C9A" w:rsidP="004C7C9A">
      <w:pPr>
        <w:pStyle w:val="SubsectionHead"/>
      </w:pPr>
      <w:r w:rsidRPr="00B14E91">
        <w:t>Applications and entries other than a transitional kind of medical device</w:t>
      </w:r>
    </w:p>
    <w:p w:rsidR="004C7C9A" w:rsidRPr="00B14E91" w:rsidRDefault="004C7C9A" w:rsidP="004C7C9A">
      <w:pPr>
        <w:pStyle w:val="subsection"/>
      </w:pPr>
      <w:r w:rsidRPr="00B14E91">
        <w:tab/>
        <w:t>(1)</w:t>
      </w:r>
      <w:r w:rsidRPr="00B14E91">
        <w:tab/>
        <w:t>Clause 5.4 of Schedule 2, as substituted by Schedule 3 to the amending regulations, applies on and after 25 August 2020 in relation to the following:</w:t>
      </w:r>
    </w:p>
    <w:p w:rsidR="004C7C9A" w:rsidRPr="00B14E91" w:rsidRDefault="004C7C9A" w:rsidP="004C7C9A">
      <w:pPr>
        <w:pStyle w:val="paragraph"/>
      </w:pPr>
      <w:r w:rsidRPr="00B14E91">
        <w:tab/>
        <w:t>(a)</w:t>
      </w:r>
      <w:r w:rsidRPr="00B14E91">
        <w:tab/>
        <w:t>an application for a kind of medical device to be included in the Register that is made on or after 25 August 2020;</w:t>
      </w:r>
    </w:p>
    <w:p w:rsidR="004C7C9A" w:rsidRPr="00B14E91" w:rsidRDefault="004C7C9A" w:rsidP="004C7C9A">
      <w:pPr>
        <w:pStyle w:val="paragraph"/>
      </w:pPr>
      <w:r w:rsidRPr="00B14E91">
        <w:tab/>
        <w:t>(b)</w:t>
      </w:r>
      <w:r w:rsidRPr="00B14E91">
        <w:tab/>
        <w:t>a kind of medical device that is included in the Register as a result of such an application.</w:t>
      </w:r>
    </w:p>
    <w:p w:rsidR="004C7C9A" w:rsidRPr="00B14E91" w:rsidRDefault="004C7C9A" w:rsidP="004C7C9A">
      <w:pPr>
        <w:pStyle w:val="SubsectionHead"/>
      </w:pPr>
      <w:r w:rsidRPr="00B14E91">
        <w:lastRenderedPageBreak/>
        <w:t>Transitional kind of medical device</w:t>
      </w:r>
    </w:p>
    <w:p w:rsidR="004C7C9A" w:rsidRPr="00B14E91" w:rsidRDefault="004C7C9A" w:rsidP="004C7C9A">
      <w:pPr>
        <w:pStyle w:val="subsection"/>
      </w:pPr>
      <w:r w:rsidRPr="00B14E91">
        <w:tab/>
        <w:t>(2)</w:t>
      </w:r>
      <w:r w:rsidRPr="00B14E91">
        <w:tab/>
        <w:t>Subject to subregulations (3) and (5), clause 5.4 of Schedule 2, as substituted by Schedule 3 to the amending regulations, applies in relation to a transitional kind of medical device on and after 1 November 2024.</w:t>
      </w:r>
    </w:p>
    <w:p w:rsidR="004C7C9A" w:rsidRPr="00B14E91" w:rsidRDefault="004C7C9A" w:rsidP="004C7C9A">
      <w:pPr>
        <w:pStyle w:val="subsection"/>
      </w:pPr>
      <w:r w:rsidRPr="00B14E91">
        <w:tab/>
        <w:t>(3)</w:t>
      </w:r>
      <w:r w:rsidRPr="00B14E91">
        <w:tab/>
        <w:t>Clause 5.4 of Schedule 2, as substituted by Schedule 3 to the amending regulations, does not apply in relation to a transitional kind of medical device before the day applicable under subregulation (4) if:</w:t>
      </w:r>
    </w:p>
    <w:p w:rsidR="004C7C9A" w:rsidRPr="00B14E91" w:rsidRDefault="004C7C9A" w:rsidP="004C7C9A">
      <w:pPr>
        <w:pStyle w:val="paragraph"/>
      </w:pPr>
      <w:r w:rsidRPr="00B14E91">
        <w:tab/>
        <w:t>(a)</w:t>
      </w:r>
      <w:r w:rsidRPr="00B14E91">
        <w:tab/>
        <w:t>the person applies under the Act:</w:t>
      </w:r>
    </w:p>
    <w:p w:rsidR="004C7C9A" w:rsidRPr="00B14E91" w:rsidRDefault="004C7C9A" w:rsidP="004C7C9A">
      <w:pPr>
        <w:pStyle w:val="paragraphsub"/>
      </w:pPr>
      <w:r w:rsidRPr="00B14E91">
        <w:tab/>
        <w:t>(i)</w:t>
      </w:r>
      <w:r w:rsidRPr="00B14E91">
        <w:tab/>
        <w:t>on or after the inclusion day for the entry of the transitional kind of medical device; and</w:t>
      </w:r>
    </w:p>
    <w:p w:rsidR="004C7C9A" w:rsidRPr="00B14E91" w:rsidRDefault="004C7C9A" w:rsidP="004C7C9A">
      <w:pPr>
        <w:pStyle w:val="paragraphsub"/>
      </w:pPr>
      <w:r w:rsidRPr="00B14E91">
        <w:tab/>
        <w:t>(ii)</w:t>
      </w:r>
      <w:r w:rsidRPr="00B14E91">
        <w:tab/>
        <w:t>on or after 25 August 2020; and</w:t>
      </w:r>
    </w:p>
    <w:p w:rsidR="004C7C9A" w:rsidRPr="00B14E91" w:rsidRDefault="004C7C9A" w:rsidP="004C7C9A">
      <w:pPr>
        <w:pStyle w:val="paragraphsub"/>
      </w:pPr>
      <w:r w:rsidRPr="00B14E91">
        <w:tab/>
        <w:t>(iii)</w:t>
      </w:r>
      <w:r w:rsidRPr="00B14E91">
        <w:tab/>
        <w:t>before 1 November 2024;</w:t>
      </w:r>
    </w:p>
    <w:p w:rsidR="004C7C9A" w:rsidRPr="00B14E91" w:rsidRDefault="004C7C9A" w:rsidP="004C7C9A">
      <w:pPr>
        <w:pStyle w:val="paragraph"/>
      </w:pPr>
      <w:r w:rsidRPr="00B14E91">
        <w:tab/>
      </w:r>
      <w:r w:rsidRPr="00B14E91">
        <w:tab/>
        <w:t xml:space="preserve">to have a kind (the </w:t>
      </w:r>
      <w:r w:rsidRPr="00B14E91">
        <w:rPr>
          <w:b/>
          <w:i/>
        </w:rPr>
        <w:t>new kind</w:t>
      </w:r>
      <w:r w:rsidRPr="00B14E91">
        <w:t>) of medical device included in the Register; and</w:t>
      </w:r>
    </w:p>
    <w:p w:rsidR="004C7C9A" w:rsidRPr="00B14E91" w:rsidRDefault="004C7C9A" w:rsidP="004C7C9A">
      <w:pPr>
        <w:pStyle w:val="paragraph"/>
      </w:pPr>
      <w:r w:rsidRPr="00B14E91">
        <w:tab/>
        <w:t>(b)</w:t>
      </w:r>
      <w:r w:rsidRPr="00B14E91">
        <w:tab/>
        <w:t>the person gives to the Secretary a notice under regulation 11.53 in relation to the transitional kind of medical device; and</w:t>
      </w:r>
    </w:p>
    <w:p w:rsidR="004C7C9A" w:rsidRPr="00B14E91" w:rsidRDefault="004C7C9A" w:rsidP="004C7C9A">
      <w:pPr>
        <w:pStyle w:val="paragraph"/>
      </w:pPr>
      <w:r w:rsidRPr="00B14E91">
        <w:tab/>
        <w:t>(c)</w:t>
      </w:r>
      <w:r w:rsidRPr="00B14E91">
        <w:tab/>
        <w:t>the unique product identifier of the devices of the new kind is the unique product identifier, or one of the unique product identifiers, stated in the notice.</w:t>
      </w:r>
    </w:p>
    <w:p w:rsidR="004C7C9A" w:rsidRPr="00B14E91" w:rsidRDefault="004C7C9A" w:rsidP="004C7C9A">
      <w:pPr>
        <w:pStyle w:val="subsection"/>
      </w:pPr>
      <w:r w:rsidRPr="00B14E91">
        <w:tab/>
        <w:t>(4)</w:t>
      </w:r>
      <w:r w:rsidRPr="00B14E91">
        <w:tab/>
        <w:t>For the purposes of subregulation (3), the day is the day after the day on whichever of the following events occurs first:</w:t>
      </w:r>
    </w:p>
    <w:p w:rsidR="004C7C9A" w:rsidRPr="00B14E91" w:rsidRDefault="004C7C9A" w:rsidP="004C7C9A">
      <w:pPr>
        <w:pStyle w:val="paragraph"/>
      </w:pPr>
      <w:r w:rsidRPr="00B14E91">
        <w:tab/>
        <w:t>(a)</w:t>
      </w:r>
      <w:r w:rsidRPr="00B14E91">
        <w:tab/>
        <w:t>the person withdraws the application mentioned in paragraph (3)(a);</w:t>
      </w:r>
    </w:p>
    <w:p w:rsidR="004C7C9A" w:rsidRPr="00B14E91" w:rsidRDefault="004C7C9A" w:rsidP="004C7C9A">
      <w:pPr>
        <w:pStyle w:val="paragraph"/>
      </w:pPr>
      <w:r w:rsidRPr="00B14E91">
        <w:tab/>
        <w:t>(b)</w:t>
      </w:r>
      <w:r w:rsidRPr="00B14E91">
        <w:tab/>
        <w:t>that application lapses under section 41FK of the Act;</w:t>
      </w:r>
    </w:p>
    <w:p w:rsidR="004C7C9A" w:rsidRPr="00B14E91" w:rsidRDefault="004C7C9A" w:rsidP="004C7C9A">
      <w:pPr>
        <w:pStyle w:val="paragraph"/>
      </w:pPr>
      <w:r w:rsidRPr="00B14E91">
        <w:tab/>
        <w:t>(c)</w:t>
      </w:r>
      <w:r w:rsidRPr="00B14E91">
        <w:tab/>
        <w:t>that application is finally determined.</w:t>
      </w:r>
    </w:p>
    <w:p w:rsidR="004C7C9A" w:rsidRPr="00B14E91" w:rsidRDefault="004C7C9A" w:rsidP="004C7C9A">
      <w:pPr>
        <w:pStyle w:val="subsection"/>
      </w:pPr>
      <w:r w:rsidRPr="00B14E91">
        <w:tab/>
        <w:t>(5)</w:t>
      </w:r>
      <w:r w:rsidRPr="00B14E91">
        <w:tab/>
        <w:t>If:</w:t>
      </w:r>
    </w:p>
    <w:p w:rsidR="004C7C9A" w:rsidRPr="00B14E91" w:rsidRDefault="004C7C9A" w:rsidP="004C7C9A">
      <w:pPr>
        <w:pStyle w:val="paragraph"/>
      </w:pPr>
      <w:r w:rsidRPr="00B14E91">
        <w:tab/>
        <w:t>(a)</w:t>
      </w:r>
      <w:r w:rsidRPr="00B14E91">
        <w:tab/>
        <w:t>a person is required under regulation 11.53 to give a notice to the Secretary in relation to a transitional kind of medical device; and</w:t>
      </w:r>
    </w:p>
    <w:p w:rsidR="004C7C9A" w:rsidRPr="00B14E91" w:rsidRDefault="004C7C9A" w:rsidP="004C7C9A">
      <w:pPr>
        <w:pStyle w:val="paragraph"/>
      </w:pPr>
      <w:r w:rsidRPr="00B14E91">
        <w:tab/>
        <w:t>(b)</w:t>
      </w:r>
      <w:r w:rsidRPr="00B14E91">
        <w:tab/>
        <w:t>the person fails to give the notice in accordance with that regulation before the later of:</w:t>
      </w:r>
    </w:p>
    <w:p w:rsidR="004C7C9A" w:rsidRPr="00B14E91" w:rsidRDefault="004C7C9A" w:rsidP="004C7C9A">
      <w:pPr>
        <w:pStyle w:val="paragraphsub"/>
      </w:pPr>
      <w:r w:rsidRPr="00B14E91">
        <w:tab/>
        <w:t>(i)</w:t>
      </w:r>
      <w:r w:rsidRPr="00B14E91">
        <w:tab/>
        <w:t>25 February 2021; and</w:t>
      </w:r>
    </w:p>
    <w:p w:rsidR="004C7C9A" w:rsidRPr="00B14E91" w:rsidRDefault="004C7C9A" w:rsidP="004C7C9A">
      <w:pPr>
        <w:pStyle w:val="paragraphsub"/>
      </w:pPr>
      <w:r w:rsidRPr="00B14E91">
        <w:tab/>
        <w:t>(ii)</w:t>
      </w:r>
      <w:r w:rsidRPr="00B14E91">
        <w:tab/>
        <w:t>the day occurring 2 months after the inclusion day for the entry of the transitional kind of medical device;</w:t>
      </w:r>
    </w:p>
    <w:p w:rsidR="004C7C9A" w:rsidRPr="00B14E91" w:rsidRDefault="004C7C9A" w:rsidP="004C7C9A">
      <w:pPr>
        <w:pStyle w:val="subsection2"/>
      </w:pPr>
      <w:r w:rsidRPr="00B14E91">
        <w:t>then clause 5.4 of Schedule 2, as substituted by Schedule 3 to the amending regulations, applies in relation to the transitional kind of medical device on and after the later of those days.</w:t>
      </w:r>
    </w:p>
    <w:p w:rsidR="004C7C9A" w:rsidRPr="00B14E91" w:rsidRDefault="004C7C9A" w:rsidP="004C7C9A">
      <w:pPr>
        <w:pStyle w:val="ActHead5"/>
      </w:pPr>
      <w:bookmarkStart w:id="107" w:name="_Toc48564363"/>
      <w:r w:rsidRPr="00B14E91">
        <w:rPr>
          <w:rStyle w:val="CharSectno"/>
        </w:rPr>
        <w:t>11.53</w:t>
      </w:r>
      <w:r w:rsidRPr="00B14E91">
        <w:t xml:space="preserve">  Secretary must be notified in relation to a transitional kind of medical device</w:t>
      </w:r>
      <w:bookmarkEnd w:id="107"/>
    </w:p>
    <w:p w:rsidR="004C7C9A" w:rsidRPr="00B14E91" w:rsidRDefault="004C7C9A" w:rsidP="004C7C9A">
      <w:pPr>
        <w:pStyle w:val="subsection"/>
      </w:pPr>
      <w:r w:rsidRPr="00B14E91">
        <w:tab/>
        <w:t>(1)</w:t>
      </w:r>
      <w:r w:rsidRPr="00B14E91">
        <w:tab/>
        <w:t>For the purposes of subsection 41FN(5A) of the Act, a person must give to the Secretary a notice in accordance with subregulation (5) if:</w:t>
      </w:r>
    </w:p>
    <w:p w:rsidR="004C7C9A" w:rsidRPr="00B14E91" w:rsidRDefault="004C7C9A" w:rsidP="004C7C9A">
      <w:pPr>
        <w:pStyle w:val="paragraph"/>
      </w:pPr>
      <w:r w:rsidRPr="00B14E91">
        <w:tab/>
        <w:t>(a)</w:t>
      </w:r>
      <w:r w:rsidRPr="00B14E91">
        <w:tab/>
        <w:t>a kind of medical device is included in the Register in relation to the person; and</w:t>
      </w:r>
    </w:p>
    <w:p w:rsidR="004C7C9A" w:rsidRPr="00B14E91" w:rsidRDefault="004C7C9A" w:rsidP="004C7C9A">
      <w:pPr>
        <w:pStyle w:val="paragraph"/>
      </w:pPr>
      <w:r w:rsidRPr="00B14E91">
        <w:tab/>
        <w:t>(b)</w:t>
      </w:r>
      <w:r w:rsidRPr="00B14E91">
        <w:tab/>
        <w:t>the kind of medical device so included is a transitional kind of medical device; and</w:t>
      </w:r>
    </w:p>
    <w:p w:rsidR="004C7C9A" w:rsidRPr="00B14E91" w:rsidRDefault="004C7C9A" w:rsidP="004C7C9A">
      <w:pPr>
        <w:pStyle w:val="paragraph"/>
      </w:pPr>
      <w:r w:rsidRPr="00B14E91">
        <w:lastRenderedPageBreak/>
        <w:tab/>
        <w:t>(c)</w:t>
      </w:r>
      <w:r w:rsidRPr="00B14E91">
        <w:tab/>
        <w:t>medical devices of that kind are medical devices that are covered by subregulation (2), (3) or (4).</w:t>
      </w:r>
    </w:p>
    <w:p w:rsidR="004C7C9A" w:rsidRPr="00B14E91" w:rsidRDefault="004C7C9A" w:rsidP="004C7C9A">
      <w:pPr>
        <w:pStyle w:val="subsection"/>
      </w:pPr>
      <w:r w:rsidRPr="00B14E91">
        <w:tab/>
        <w:t>(2)</w:t>
      </w:r>
      <w:r w:rsidRPr="00B14E91">
        <w:tab/>
        <w:t>This subregulation covers a medical device that is intended by the manufacturer to be used to record patient images that are to be used for either or both of the following:</w:t>
      </w:r>
    </w:p>
    <w:p w:rsidR="004C7C9A" w:rsidRPr="00B14E91" w:rsidRDefault="004C7C9A" w:rsidP="004C7C9A">
      <w:pPr>
        <w:pStyle w:val="paragraph"/>
      </w:pPr>
      <w:r w:rsidRPr="00B14E91">
        <w:tab/>
        <w:t>(a)</w:t>
      </w:r>
      <w:r w:rsidRPr="00B14E91">
        <w:tab/>
        <w:t>the diagnosis or monitoring of a disease, injury or disability;</w:t>
      </w:r>
    </w:p>
    <w:p w:rsidR="004C7C9A" w:rsidRPr="00B14E91" w:rsidRDefault="004C7C9A" w:rsidP="004C7C9A">
      <w:pPr>
        <w:pStyle w:val="paragraph"/>
      </w:pPr>
      <w:r w:rsidRPr="00B14E91">
        <w:tab/>
        <w:t>(b)</w:t>
      </w:r>
      <w:r w:rsidRPr="00B14E91">
        <w:tab/>
        <w:t>the investigation of the anatomy or of a physiological process;</w:t>
      </w:r>
    </w:p>
    <w:p w:rsidR="004C7C9A" w:rsidRPr="00B14E91" w:rsidRDefault="004C7C9A" w:rsidP="004C7C9A">
      <w:pPr>
        <w:pStyle w:val="subsection2"/>
      </w:pPr>
      <w:r w:rsidRPr="00B14E91">
        <w:t>where the images are to be acquired through a method that relies on energy outside the visible spectrum.</w:t>
      </w:r>
    </w:p>
    <w:p w:rsidR="004C7C9A" w:rsidRPr="00B14E91" w:rsidRDefault="004C7C9A" w:rsidP="004C7C9A">
      <w:pPr>
        <w:pStyle w:val="subsection"/>
      </w:pPr>
      <w:r w:rsidRPr="00B14E91">
        <w:tab/>
        <w:t>(3)</w:t>
      </w:r>
      <w:r w:rsidRPr="00B14E91">
        <w:tab/>
        <w:t>This subregulation covers a medical device that is an anatomical model (whether physical or virtual) that is intended by the manufacturer to be used for either or both of the following:</w:t>
      </w:r>
    </w:p>
    <w:p w:rsidR="004C7C9A" w:rsidRPr="00B14E91" w:rsidRDefault="004C7C9A" w:rsidP="004C7C9A">
      <w:pPr>
        <w:pStyle w:val="paragraph"/>
      </w:pPr>
      <w:r w:rsidRPr="00B14E91">
        <w:tab/>
        <w:t>(a)</w:t>
      </w:r>
      <w:r w:rsidRPr="00B14E91">
        <w:tab/>
        <w:t>the diagnosis or monitoring of a disease, injury or disability;</w:t>
      </w:r>
    </w:p>
    <w:p w:rsidR="004C7C9A" w:rsidRPr="00B14E91" w:rsidRDefault="004C7C9A" w:rsidP="004C7C9A">
      <w:pPr>
        <w:pStyle w:val="paragraph"/>
      </w:pPr>
      <w:r w:rsidRPr="00B14E91">
        <w:tab/>
        <w:t>(b)</w:t>
      </w:r>
      <w:r w:rsidRPr="00B14E91">
        <w:tab/>
        <w:t>the investigation of the anatomy or of a physiological process.</w:t>
      </w:r>
    </w:p>
    <w:p w:rsidR="004C7C9A" w:rsidRPr="00B14E91" w:rsidRDefault="004C7C9A" w:rsidP="004C7C9A">
      <w:pPr>
        <w:pStyle w:val="subsection"/>
      </w:pPr>
      <w:r w:rsidRPr="00B14E91">
        <w:tab/>
        <w:t>(4)</w:t>
      </w:r>
      <w:r w:rsidRPr="00B14E91">
        <w:tab/>
        <w:t>This subregulation covers a programmed or programmable medical device, or software that is a medical device, that is intended by the manufacturer to be used to generate a virtual anatomical model that is to be used for either or both of the following:</w:t>
      </w:r>
    </w:p>
    <w:p w:rsidR="004C7C9A" w:rsidRPr="00B14E91" w:rsidRDefault="004C7C9A" w:rsidP="004C7C9A">
      <w:pPr>
        <w:pStyle w:val="paragraph"/>
      </w:pPr>
      <w:r w:rsidRPr="00B14E91">
        <w:tab/>
        <w:t>(a)</w:t>
      </w:r>
      <w:r w:rsidRPr="00B14E91">
        <w:tab/>
        <w:t>the diagnosis or monitoring of a disease, injury or disability;</w:t>
      </w:r>
    </w:p>
    <w:p w:rsidR="004C7C9A" w:rsidRPr="00B14E91" w:rsidRDefault="004C7C9A" w:rsidP="004C7C9A">
      <w:pPr>
        <w:pStyle w:val="paragraph"/>
      </w:pPr>
      <w:r w:rsidRPr="00B14E91">
        <w:tab/>
        <w:t>(b)</w:t>
      </w:r>
      <w:r w:rsidRPr="00B14E91">
        <w:tab/>
        <w:t>the investigation of the anatomy or of a physiological process.</w:t>
      </w:r>
    </w:p>
    <w:p w:rsidR="004C7C9A" w:rsidRPr="00B14E91" w:rsidRDefault="004C7C9A" w:rsidP="004C7C9A">
      <w:pPr>
        <w:pStyle w:val="subsection"/>
      </w:pPr>
      <w:r w:rsidRPr="00B14E91">
        <w:tab/>
        <w:t>(5)</w:t>
      </w:r>
      <w:r w:rsidRPr="00B14E91">
        <w:tab/>
        <w:t>The notice must:</w:t>
      </w:r>
    </w:p>
    <w:p w:rsidR="004C7C9A" w:rsidRPr="00B14E91" w:rsidRDefault="004C7C9A" w:rsidP="004C7C9A">
      <w:pPr>
        <w:pStyle w:val="paragraph"/>
      </w:pPr>
      <w:r w:rsidRPr="00B14E91">
        <w:tab/>
        <w:t>(a)</w:t>
      </w:r>
      <w:r w:rsidRPr="00B14E91">
        <w:tab/>
        <w:t>be in writing; and</w:t>
      </w:r>
    </w:p>
    <w:p w:rsidR="004C7C9A" w:rsidRPr="00B14E91" w:rsidRDefault="004C7C9A" w:rsidP="004C7C9A">
      <w:pPr>
        <w:pStyle w:val="paragraph"/>
      </w:pPr>
      <w:r w:rsidRPr="00B14E91">
        <w:tab/>
        <w:t>(b)</w:t>
      </w:r>
      <w:r w:rsidRPr="00B14E91">
        <w:tab/>
        <w:t>state:</w:t>
      </w:r>
    </w:p>
    <w:p w:rsidR="004C7C9A" w:rsidRPr="00B14E91" w:rsidRDefault="004C7C9A" w:rsidP="004C7C9A">
      <w:pPr>
        <w:pStyle w:val="paragraphsub"/>
      </w:pPr>
      <w:r w:rsidRPr="00B14E91">
        <w:tab/>
        <w:t>(i)</w:t>
      </w:r>
      <w:r w:rsidRPr="00B14E91">
        <w:tab/>
        <w:t>the unique device number assigned to that kind of device under section 41FL of the Act; and</w:t>
      </w:r>
    </w:p>
    <w:p w:rsidR="004C7C9A" w:rsidRPr="00B14E91" w:rsidRDefault="004C7C9A" w:rsidP="004C7C9A">
      <w:pPr>
        <w:pStyle w:val="paragraphsub"/>
      </w:pPr>
      <w:r w:rsidRPr="00B14E91">
        <w:tab/>
        <w:t>(ii)</w:t>
      </w:r>
      <w:r w:rsidRPr="00B14E91">
        <w:tab/>
        <w:t>the unique product identifier given to each medical device (if any) of that kind that the person supplies in Australia; and</w:t>
      </w:r>
    </w:p>
    <w:p w:rsidR="004C7C9A" w:rsidRPr="00B14E91" w:rsidRDefault="004C7C9A" w:rsidP="004C7C9A">
      <w:pPr>
        <w:pStyle w:val="paragraph"/>
      </w:pPr>
      <w:r w:rsidRPr="00B14E91">
        <w:tab/>
        <w:t>(c)</w:t>
      </w:r>
      <w:r w:rsidRPr="00B14E91">
        <w:tab/>
        <w:t>be given to the Secretary before the later of:</w:t>
      </w:r>
    </w:p>
    <w:p w:rsidR="004C7C9A" w:rsidRPr="00B14E91" w:rsidRDefault="004C7C9A" w:rsidP="004C7C9A">
      <w:pPr>
        <w:pStyle w:val="paragraphsub"/>
      </w:pPr>
      <w:r w:rsidRPr="00B14E91">
        <w:tab/>
        <w:t>(i)</w:t>
      </w:r>
      <w:r w:rsidRPr="00B14E91">
        <w:tab/>
        <w:t>25 February 2021; and</w:t>
      </w:r>
    </w:p>
    <w:p w:rsidR="004C7C9A" w:rsidRPr="00B14E91" w:rsidRDefault="004C7C9A" w:rsidP="004C7C9A">
      <w:pPr>
        <w:pStyle w:val="paragraphsub"/>
      </w:pPr>
      <w:r w:rsidRPr="00B14E91">
        <w:tab/>
        <w:t>(ii)</w:t>
      </w:r>
      <w:r w:rsidRPr="00B14E91">
        <w:tab/>
        <w:t>the day occurring 2 months after the inclusion day for the entry of the transitional kind of medical device.</w:t>
      </w:r>
    </w:p>
    <w:p w:rsidR="004C7C9A" w:rsidRPr="00B14E91" w:rsidRDefault="004C7C9A" w:rsidP="004C7C9A">
      <w:pPr>
        <w:pStyle w:val="ActHead4"/>
      </w:pPr>
      <w:bookmarkStart w:id="108" w:name="_Toc48564364"/>
      <w:r w:rsidRPr="00B14E91">
        <w:rPr>
          <w:rStyle w:val="CharSubdNo"/>
        </w:rPr>
        <w:t>Subdivision E</w:t>
      </w:r>
      <w:r w:rsidRPr="00B14E91">
        <w:t>—</w:t>
      </w:r>
      <w:r w:rsidRPr="00B14E91">
        <w:rPr>
          <w:rStyle w:val="CharSubdText"/>
        </w:rPr>
        <w:t>IVD companion diagnostics</w:t>
      </w:r>
      <w:bookmarkEnd w:id="108"/>
    </w:p>
    <w:p w:rsidR="004C7C9A" w:rsidRPr="00B14E91" w:rsidRDefault="004C7C9A" w:rsidP="004C7C9A">
      <w:pPr>
        <w:pStyle w:val="ActHead5"/>
      </w:pPr>
      <w:bookmarkStart w:id="109" w:name="_Toc48564365"/>
      <w:r w:rsidRPr="00B14E91">
        <w:rPr>
          <w:rStyle w:val="CharSectno"/>
        </w:rPr>
        <w:t>11.54</w:t>
      </w:r>
      <w:r w:rsidRPr="00B14E91">
        <w:t xml:space="preserve">  IVD companion diagnostics</w:t>
      </w:r>
      <w:bookmarkEnd w:id="109"/>
    </w:p>
    <w:p w:rsidR="004C7C9A" w:rsidRPr="00B14E91" w:rsidRDefault="004C7C9A" w:rsidP="004C7C9A">
      <w:pPr>
        <w:pStyle w:val="SubsectionHead"/>
      </w:pPr>
      <w:r w:rsidRPr="00B14E91">
        <w:t>Applications required to be audited</w:t>
      </w:r>
    </w:p>
    <w:p w:rsidR="004C7C9A" w:rsidRPr="00B14E91" w:rsidRDefault="004C7C9A" w:rsidP="004C7C9A">
      <w:pPr>
        <w:pStyle w:val="subsection"/>
      </w:pPr>
      <w:r w:rsidRPr="00B14E91">
        <w:tab/>
        <w:t>(1)</w:t>
      </w:r>
      <w:r w:rsidRPr="00B14E91">
        <w:tab/>
        <w:t>The amendment of paragraph 5.3(1)(j) by Schedule 4 to the amending regulations applies to applications made on or after 1 February 2020.</w:t>
      </w:r>
    </w:p>
    <w:p w:rsidR="004C7C9A" w:rsidRPr="00B14E91" w:rsidRDefault="004C7C9A" w:rsidP="004C7C9A">
      <w:pPr>
        <w:pStyle w:val="SubsectionHead"/>
      </w:pPr>
      <w:r w:rsidRPr="00B14E91">
        <w:t>Classification and kind of medical device</w:t>
      </w:r>
    </w:p>
    <w:p w:rsidR="004C7C9A" w:rsidRPr="00B14E91" w:rsidRDefault="004C7C9A" w:rsidP="004C7C9A">
      <w:pPr>
        <w:pStyle w:val="subsection"/>
      </w:pPr>
      <w:r w:rsidRPr="00B14E91">
        <w:tab/>
        <w:t>(2)</w:t>
      </w:r>
      <w:r w:rsidRPr="00B14E91">
        <w:tab/>
        <w:t>Despite the amendments made by Schedule 4 to the amending regulations on 1 February 2020, until 1 July 2022 those amendments:</w:t>
      </w:r>
    </w:p>
    <w:p w:rsidR="004C7C9A" w:rsidRPr="00B14E91" w:rsidRDefault="004C7C9A" w:rsidP="004C7C9A">
      <w:pPr>
        <w:pStyle w:val="paragraph"/>
      </w:pPr>
      <w:r w:rsidRPr="00B14E91">
        <w:lastRenderedPageBreak/>
        <w:tab/>
        <w:t>(a)</w:t>
      </w:r>
      <w:r w:rsidRPr="00B14E91">
        <w:tab/>
        <w:t>do not affect the classification of a device covered by subregulation (3), (4) or (5); and</w:t>
      </w:r>
    </w:p>
    <w:p w:rsidR="004C7C9A" w:rsidRPr="00B14E91" w:rsidRDefault="004C7C9A" w:rsidP="004C7C9A">
      <w:pPr>
        <w:pStyle w:val="paragraph"/>
      </w:pPr>
      <w:r w:rsidRPr="00B14E91">
        <w:tab/>
        <w:t>(b)</w:t>
      </w:r>
      <w:r w:rsidRPr="00B14E91">
        <w:tab/>
        <w:t>do not affect whether such a device is of the same kind as another device.</w:t>
      </w:r>
    </w:p>
    <w:p w:rsidR="004C7C9A" w:rsidRPr="00B14E91" w:rsidRDefault="004C7C9A" w:rsidP="004C7C9A">
      <w:pPr>
        <w:pStyle w:val="subsection"/>
      </w:pPr>
      <w:r w:rsidRPr="00B14E91">
        <w:tab/>
        <w:t>(3)</w:t>
      </w:r>
      <w:r w:rsidRPr="00B14E91">
        <w:tab/>
        <w:t>This subregulation covers an IVD companion diagnostic that, immediately before 1 February 2020, was either a Class 4 in</w:t>
      </w:r>
      <w:r w:rsidR="00D425F1">
        <w:noBreakHyphen/>
      </w:r>
      <w:r w:rsidRPr="00B14E91">
        <w:t>house IVD medical device or an IVD medical device other than an in</w:t>
      </w:r>
      <w:r w:rsidR="00D425F1">
        <w:noBreakHyphen/>
      </w:r>
      <w:r w:rsidRPr="00B14E91">
        <w:t>house IVD medical device, and:</w:t>
      </w:r>
    </w:p>
    <w:p w:rsidR="004C7C9A" w:rsidRPr="00B14E91" w:rsidRDefault="004C7C9A" w:rsidP="004C7C9A">
      <w:pPr>
        <w:pStyle w:val="paragraph"/>
      </w:pPr>
      <w:r w:rsidRPr="00B14E91">
        <w:tab/>
        <w:t>(a)</w:t>
      </w:r>
      <w:r w:rsidRPr="00B14E91">
        <w:tab/>
        <w:t>was included in the Register; or</w:t>
      </w:r>
    </w:p>
    <w:p w:rsidR="004C7C9A" w:rsidRPr="00B14E91" w:rsidRDefault="004C7C9A" w:rsidP="004C7C9A">
      <w:pPr>
        <w:pStyle w:val="paragraph"/>
      </w:pPr>
      <w:r w:rsidRPr="00B14E91">
        <w:tab/>
        <w:t>(b)</w:t>
      </w:r>
      <w:r w:rsidRPr="00B14E91">
        <w:tab/>
        <w:t>was the subject of an application for inclusion in the Register that had not been finally determined.</w:t>
      </w:r>
    </w:p>
    <w:p w:rsidR="004C7C9A" w:rsidRPr="00B14E91" w:rsidRDefault="004C7C9A" w:rsidP="004C7C9A">
      <w:pPr>
        <w:pStyle w:val="subsection"/>
      </w:pPr>
      <w:r w:rsidRPr="00B14E91">
        <w:tab/>
        <w:t>(4)</w:t>
      </w:r>
      <w:r w:rsidRPr="00B14E91">
        <w:tab/>
        <w:t>This subregulation covers an IVD companion diagnostic that, immediately before 1 February 2020, was either a Class 4 in</w:t>
      </w:r>
      <w:r w:rsidR="00D425F1">
        <w:noBreakHyphen/>
      </w:r>
      <w:r w:rsidRPr="00B14E91">
        <w:t>house IVD medical device or an IVD medical device other than an in</w:t>
      </w:r>
      <w:r w:rsidR="00D425F1">
        <w:noBreakHyphen/>
      </w:r>
      <w:r w:rsidRPr="00B14E91">
        <w:t>house IVD medical device, that:</w:t>
      </w:r>
    </w:p>
    <w:p w:rsidR="004C7C9A" w:rsidRPr="00B14E91" w:rsidRDefault="004C7C9A" w:rsidP="004C7C9A">
      <w:pPr>
        <w:pStyle w:val="paragraph"/>
      </w:pPr>
      <w:r w:rsidRPr="00B14E91">
        <w:tab/>
        <w:t>(a)</w:t>
      </w:r>
      <w:r w:rsidRPr="00B14E91">
        <w:tab/>
        <w:t>was not included in the Register but was covered by a conformity assessment certificate having effect; or</w:t>
      </w:r>
    </w:p>
    <w:p w:rsidR="004C7C9A" w:rsidRPr="00B14E91" w:rsidRDefault="004C7C9A" w:rsidP="004C7C9A">
      <w:pPr>
        <w:pStyle w:val="paragraph"/>
      </w:pPr>
      <w:r w:rsidRPr="00B14E91">
        <w:tab/>
        <w:t>(b)</w:t>
      </w:r>
      <w:r w:rsidRPr="00B14E91">
        <w:tab/>
        <w:t>was proposed to be covered by a conformity assessment certificate for which an application had been made but not finally determined.</w:t>
      </w:r>
    </w:p>
    <w:p w:rsidR="004C7C9A" w:rsidRPr="00B14E91" w:rsidRDefault="004C7C9A" w:rsidP="004C7C9A">
      <w:pPr>
        <w:pStyle w:val="subsection"/>
      </w:pPr>
      <w:r w:rsidRPr="00B14E91">
        <w:tab/>
        <w:t>(5)</w:t>
      </w:r>
      <w:r w:rsidRPr="00B14E91">
        <w:tab/>
        <w:t>This subregulation covers an IVD companion diagnostic that, immediately before 1 February 2020, was:</w:t>
      </w:r>
    </w:p>
    <w:p w:rsidR="004C7C9A" w:rsidRPr="00B14E91" w:rsidRDefault="004C7C9A" w:rsidP="004C7C9A">
      <w:pPr>
        <w:pStyle w:val="paragraph"/>
      </w:pPr>
      <w:r w:rsidRPr="00B14E91">
        <w:tab/>
        <w:t>(a)</w:t>
      </w:r>
      <w:r w:rsidRPr="00B14E91">
        <w:tab/>
        <w:t>a Class 1 in</w:t>
      </w:r>
      <w:r w:rsidR="00D425F1">
        <w:noBreakHyphen/>
      </w:r>
      <w:r w:rsidRPr="00B14E91">
        <w:t>house IVD medical device; or</w:t>
      </w:r>
    </w:p>
    <w:p w:rsidR="004C7C9A" w:rsidRPr="00B14E91" w:rsidRDefault="004C7C9A" w:rsidP="004C7C9A">
      <w:pPr>
        <w:pStyle w:val="paragraph"/>
      </w:pPr>
      <w:r w:rsidRPr="00B14E91">
        <w:tab/>
        <w:t>(b)</w:t>
      </w:r>
      <w:r w:rsidRPr="00B14E91">
        <w:tab/>
        <w:t>a Class 2 in</w:t>
      </w:r>
      <w:r w:rsidR="00D425F1">
        <w:noBreakHyphen/>
      </w:r>
      <w:r w:rsidRPr="00B14E91">
        <w:t>house IVD medical device; or</w:t>
      </w:r>
    </w:p>
    <w:p w:rsidR="004C7C9A" w:rsidRPr="00B14E91" w:rsidRDefault="004C7C9A" w:rsidP="004C7C9A">
      <w:pPr>
        <w:pStyle w:val="paragraph"/>
      </w:pPr>
      <w:r w:rsidRPr="00B14E91">
        <w:tab/>
        <w:t>(c)</w:t>
      </w:r>
      <w:r w:rsidRPr="00B14E91">
        <w:tab/>
        <w:t>a Class 3 in</w:t>
      </w:r>
      <w:r w:rsidR="00D425F1">
        <w:noBreakHyphen/>
      </w:r>
      <w:r w:rsidRPr="00B14E91">
        <w:t>house IVD medical device.</w:t>
      </w:r>
    </w:p>
    <w:p w:rsidR="004C7C9A" w:rsidRPr="00B14E91" w:rsidRDefault="004C7C9A" w:rsidP="004C7C9A">
      <w:pPr>
        <w:pStyle w:val="subsection"/>
      </w:pPr>
      <w:r w:rsidRPr="00B14E91">
        <w:tab/>
        <w:t>(6)</w:t>
      </w:r>
      <w:r w:rsidRPr="00B14E91">
        <w:tab/>
        <w:t>Subregulation (2) does not prevent the making and determination on or after 1 February 2020 and before 1 July 2022 of an application for inclusion in the Register of a device covered by subregulation (3), (4) or (5) in accordance with these Regulations as amended by Schedule 4 to the amending regulations.</w:t>
      </w:r>
    </w:p>
    <w:p w:rsidR="004C7C9A" w:rsidRPr="00B14E91" w:rsidRDefault="004C7C9A" w:rsidP="004C7C9A">
      <w:pPr>
        <w:pStyle w:val="subsection"/>
      </w:pPr>
      <w:r w:rsidRPr="00B14E91">
        <w:tab/>
        <w:t>(7)</w:t>
      </w:r>
      <w:r w:rsidRPr="00B14E91">
        <w:tab/>
        <w:t xml:space="preserve">Paragraph (h) of </w:t>
      </w:r>
      <w:r w:rsidR="00D425F1">
        <w:t>item 1</w:t>
      </w:r>
      <w:r w:rsidRPr="00B14E91">
        <w:t>.5 of the table in Part 1 of Schedule 5 does not apply to an application described in subregulation (6) of this regulation (made within the period described in that subregulation).</w:t>
      </w:r>
    </w:p>
    <w:p w:rsidR="004C7C9A" w:rsidRPr="00B14E91" w:rsidRDefault="004C7C9A" w:rsidP="004C7C9A">
      <w:pPr>
        <w:pStyle w:val="notetext"/>
      </w:pPr>
      <w:r w:rsidRPr="00B14E91">
        <w:t>Note:</w:t>
      </w:r>
      <w:r w:rsidRPr="00B14E91">
        <w:tab/>
        <w:t>This means that an application described in subregulation (6) can pass the preliminary assessment without payment of any fee.</w:t>
      </w:r>
    </w:p>
    <w:p w:rsidR="004C7C9A" w:rsidRPr="00B14E91" w:rsidRDefault="004C7C9A" w:rsidP="004C7C9A">
      <w:pPr>
        <w:pStyle w:val="ActHead9"/>
      </w:pPr>
      <w:bookmarkStart w:id="110" w:name="_Toc48564366"/>
      <w:r w:rsidRPr="00B14E91">
        <w:t>Therapeutic Goods Regulations 1990</w:t>
      </w:r>
      <w:bookmarkEnd w:id="110"/>
    </w:p>
    <w:p w:rsidR="004C7C9A" w:rsidRPr="00B14E91" w:rsidRDefault="004C7C9A" w:rsidP="004C7C9A">
      <w:pPr>
        <w:pStyle w:val="ItemHead"/>
      </w:pPr>
      <w:r w:rsidRPr="00B14E91">
        <w:t>2  In the appropriate position in Part 9</w:t>
      </w:r>
    </w:p>
    <w:p w:rsidR="004C7C9A" w:rsidRPr="00B14E91" w:rsidRDefault="004C7C9A" w:rsidP="004C7C9A">
      <w:pPr>
        <w:pStyle w:val="Item"/>
      </w:pPr>
      <w:r w:rsidRPr="00B14E91">
        <w:t>Insert:</w:t>
      </w:r>
    </w:p>
    <w:p w:rsidR="004C7C9A" w:rsidRPr="00B14E91" w:rsidRDefault="004C7C9A" w:rsidP="004C7C9A">
      <w:pPr>
        <w:pStyle w:val="ActHead3"/>
      </w:pPr>
      <w:bookmarkStart w:id="111" w:name="_Toc48564367"/>
      <w:r w:rsidRPr="00B14E91">
        <w:rPr>
          <w:rStyle w:val="CharDivNo"/>
        </w:rPr>
        <w:t>Division 12</w:t>
      </w:r>
      <w:r w:rsidRPr="00B14E91">
        <w:t>—</w:t>
      </w:r>
      <w:r w:rsidRPr="00B14E91">
        <w:rPr>
          <w:rStyle w:val="CharDivText"/>
        </w:rPr>
        <w:t xml:space="preserve">Application and transitional provisions relating to the Therapeutic Goods Legislation Amendment (2019 Measures No. 1) </w:t>
      </w:r>
      <w:r w:rsidR="00D425F1">
        <w:rPr>
          <w:rStyle w:val="CharDivText"/>
        </w:rPr>
        <w:t>Regulations 2</w:t>
      </w:r>
      <w:r w:rsidRPr="00B14E91">
        <w:rPr>
          <w:rStyle w:val="CharDivText"/>
        </w:rPr>
        <w:t>019</w:t>
      </w:r>
      <w:bookmarkEnd w:id="111"/>
    </w:p>
    <w:p w:rsidR="004C7C9A" w:rsidRPr="00B14E91" w:rsidRDefault="004C7C9A" w:rsidP="004C7C9A">
      <w:pPr>
        <w:pStyle w:val="ActHead4"/>
      </w:pPr>
      <w:bookmarkStart w:id="112" w:name="_Toc48564368"/>
      <w:r w:rsidRPr="00B14E91">
        <w:rPr>
          <w:rStyle w:val="CharSubdNo"/>
        </w:rPr>
        <w:t>Subdivision A</w:t>
      </w:r>
      <w:r w:rsidRPr="00B14E91">
        <w:t>—</w:t>
      </w:r>
      <w:r w:rsidRPr="00B14E91">
        <w:rPr>
          <w:rStyle w:val="CharSubdText"/>
        </w:rPr>
        <w:t>Definitions</w:t>
      </w:r>
      <w:bookmarkEnd w:id="112"/>
    </w:p>
    <w:p w:rsidR="004C7C9A" w:rsidRPr="00B14E91" w:rsidRDefault="004C7C9A" w:rsidP="004C7C9A">
      <w:pPr>
        <w:pStyle w:val="ActHead5"/>
      </w:pPr>
      <w:bookmarkStart w:id="113" w:name="_Toc48564369"/>
      <w:r w:rsidRPr="00B14E91">
        <w:rPr>
          <w:rStyle w:val="CharSectno"/>
        </w:rPr>
        <w:t>69</w:t>
      </w:r>
      <w:r w:rsidRPr="00B14E91">
        <w:t xml:space="preserve">  Definitions</w:t>
      </w:r>
      <w:bookmarkEnd w:id="113"/>
    </w:p>
    <w:p w:rsidR="004C7C9A" w:rsidRPr="00B14E91" w:rsidRDefault="004C7C9A" w:rsidP="004C7C9A">
      <w:pPr>
        <w:pStyle w:val="subsection"/>
      </w:pPr>
      <w:r w:rsidRPr="00B14E91">
        <w:tab/>
      </w:r>
      <w:r w:rsidRPr="00B14E91">
        <w:tab/>
        <w:t>In this Division:</w:t>
      </w:r>
    </w:p>
    <w:p w:rsidR="004C7C9A" w:rsidRPr="00B14E91" w:rsidRDefault="004C7C9A" w:rsidP="004C7C9A">
      <w:pPr>
        <w:pStyle w:val="Definition"/>
      </w:pPr>
      <w:r w:rsidRPr="00B14E91">
        <w:rPr>
          <w:b/>
          <w:i/>
        </w:rPr>
        <w:lastRenderedPageBreak/>
        <w:t>amending regulations</w:t>
      </w:r>
      <w:r w:rsidRPr="00B14E91">
        <w:t xml:space="preserve"> means the </w:t>
      </w:r>
      <w:r w:rsidRPr="00B14E91">
        <w:rPr>
          <w:i/>
        </w:rPr>
        <w:t xml:space="preserve">Therapeutic Goods Legislation Amendment (2019 Measures No. 1) </w:t>
      </w:r>
      <w:r w:rsidR="00D425F1">
        <w:rPr>
          <w:i/>
        </w:rPr>
        <w:t>Regulations 2</w:t>
      </w:r>
      <w:r w:rsidRPr="00B14E91">
        <w:rPr>
          <w:i/>
        </w:rPr>
        <w:t>019</w:t>
      </w:r>
      <w:r w:rsidRPr="00B14E91">
        <w:t>.</w:t>
      </w:r>
    </w:p>
    <w:p w:rsidR="004C7C9A" w:rsidRPr="00B14E91" w:rsidRDefault="004C7C9A" w:rsidP="004C7C9A">
      <w:pPr>
        <w:pStyle w:val="Definition"/>
      </w:pPr>
      <w:r w:rsidRPr="00B14E91">
        <w:rPr>
          <w:b/>
          <w:i/>
        </w:rPr>
        <w:t>finally determined</w:t>
      </w:r>
      <w:r w:rsidRPr="00B14E91">
        <w:t>: an application is finally determined at the first time both the following conditions are met:</w:t>
      </w:r>
    </w:p>
    <w:p w:rsidR="004C7C9A" w:rsidRPr="00B14E91" w:rsidRDefault="004C7C9A" w:rsidP="004C7C9A">
      <w:pPr>
        <w:pStyle w:val="paragraph"/>
      </w:pPr>
      <w:r w:rsidRPr="00B14E91">
        <w:tab/>
        <w:t>(a)</w:t>
      </w:r>
      <w:r w:rsidRPr="00B14E91">
        <w:tab/>
        <w:t>a decision has been made whether or not to grant the application;</w:t>
      </w:r>
    </w:p>
    <w:p w:rsidR="004C7C9A" w:rsidRPr="00B14E91" w:rsidRDefault="004C7C9A" w:rsidP="004C7C9A">
      <w:pPr>
        <w:pStyle w:val="paragraph"/>
      </w:pPr>
      <w:r w:rsidRPr="00B14E91">
        <w:tab/>
        <w:t>(b)</w:t>
      </w:r>
      <w:r w:rsidRPr="00B14E91">
        <w:tab/>
        <w:t>there is no longer any possibility of a change in the outcome of the decision.</w:t>
      </w:r>
    </w:p>
    <w:p w:rsidR="004C7C9A" w:rsidRPr="00B14E91" w:rsidRDefault="004C7C9A" w:rsidP="004C7C9A">
      <w:pPr>
        <w:pStyle w:val="ActHead4"/>
      </w:pPr>
      <w:bookmarkStart w:id="114" w:name="_Toc48564370"/>
      <w:r w:rsidRPr="00B14E91">
        <w:rPr>
          <w:rStyle w:val="CharSubdNo"/>
        </w:rPr>
        <w:t>Subdivision B</w:t>
      </w:r>
      <w:r w:rsidRPr="00B14E91">
        <w:t>—</w:t>
      </w:r>
      <w:r w:rsidRPr="00B14E91">
        <w:rPr>
          <w:rStyle w:val="CharSubdText"/>
        </w:rPr>
        <w:t>Faecal microbiota transplant products</w:t>
      </w:r>
      <w:bookmarkEnd w:id="114"/>
    </w:p>
    <w:p w:rsidR="004C7C9A" w:rsidRPr="00B14E91" w:rsidRDefault="004C7C9A" w:rsidP="004C7C9A">
      <w:pPr>
        <w:pStyle w:val="ActHead5"/>
      </w:pPr>
      <w:bookmarkStart w:id="115" w:name="_Toc48564371"/>
      <w:r w:rsidRPr="00B14E91">
        <w:rPr>
          <w:rStyle w:val="CharSectno"/>
        </w:rPr>
        <w:t>70</w:t>
      </w:r>
      <w:r w:rsidRPr="00B14E91">
        <w:t xml:space="preserve">  Faecal microbiota transplant products—Division 4 of Part 3</w:t>
      </w:r>
      <w:r w:rsidR="00D425F1">
        <w:noBreakHyphen/>
      </w:r>
      <w:r w:rsidRPr="00B14E91">
        <w:t>2A of the Act</w:t>
      </w:r>
      <w:bookmarkEnd w:id="115"/>
    </w:p>
    <w:p w:rsidR="004C7C9A" w:rsidRPr="00B14E91" w:rsidRDefault="004C7C9A" w:rsidP="004C7C9A">
      <w:pPr>
        <w:pStyle w:val="SubsectionHead"/>
      </w:pPr>
      <w:r w:rsidRPr="00B14E91">
        <w:t>Exemption</w:t>
      </w:r>
    </w:p>
    <w:p w:rsidR="004C7C9A" w:rsidRPr="00B14E91" w:rsidRDefault="004C7C9A" w:rsidP="004C7C9A">
      <w:pPr>
        <w:pStyle w:val="subsection"/>
      </w:pPr>
      <w:r w:rsidRPr="00B14E91">
        <w:tab/>
        <w:t>(1)</w:t>
      </w:r>
      <w:r w:rsidRPr="00B14E91">
        <w:tab/>
        <w:t>For the purposes of subsection 32CA(2) of the Act, faecal microbiota transplant products are exempt from the operation of Division 4 of Part 3</w:t>
      </w:r>
      <w:r w:rsidR="00D425F1">
        <w:noBreakHyphen/>
      </w:r>
      <w:r w:rsidRPr="00B14E91">
        <w:t>2A of the Act.</w:t>
      </w:r>
    </w:p>
    <w:p w:rsidR="004C7C9A" w:rsidRPr="00B14E91" w:rsidRDefault="004C7C9A" w:rsidP="004C7C9A">
      <w:pPr>
        <w:pStyle w:val="subsection"/>
      </w:pPr>
      <w:r w:rsidRPr="00B14E91">
        <w:tab/>
        <w:t>(2)</w:t>
      </w:r>
      <w:r w:rsidRPr="00B14E91">
        <w:tab/>
        <w:t>The exemption mentioned in subregulation (1) is subject to compliance with the condition that, if the sponsor of the faecal microbiota transplant products knows that particular information relating to an event or occurrence indicates that use of the products as intended by the sponsor may have an unintended harmful effect, the sponsor must give the information to the Secretary within the period specified by regulation 16AB.</w:t>
      </w:r>
    </w:p>
    <w:p w:rsidR="004C7C9A" w:rsidRPr="00B14E91" w:rsidRDefault="004C7C9A" w:rsidP="004C7C9A">
      <w:pPr>
        <w:pStyle w:val="SubsectionHead"/>
      </w:pPr>
      <w:r w:rsidRPr="00B14E91">
        <w:t>When exemption ceases</w:t>
      </w:r>
    </w:p>
    <w:p w:rsidR="004C7C9A" w:rsidRPr="00B14E91" w:rsidRDefault="004C7C9A" w:rsidP="004C7C9A">
      <w:pPr>
        <w:pStyle w:val="subsection"/>
      </w:pPr>
      <w:r w:rsidRPr="00B14E91">
        <w:tab/>
        <w:t>(3)</w:t>
      </w:r>
      <w:r w:rsidRPr="00B14E91">
        <w:tab/>
        <w:t xml:space="preserve">Subregulation (1) ceases to have effect on </w:t>
      </w:r>
      <w:r w:rsidR="00D425F1">
        <w:t>1 January</w:t>
      </w:r>
      <w:r w:rsidRPr="00B14E91">
        <w:t xml:space="preserve"> 2021, subject to subregulations (4) and (5).</w:t>
      </w:r>
    </w:p>
    <w:p w:rsidR="004C7C9A" w:rsidRPr="00B14E91" w:rsidRDefault="004C7C9A" w:rsidP="004C7C9A">
      <w:pPr>
        <w:pStyle w:val="subsection"/>
      </w:pPr>
      <w:r w:rsidRPr="00B14E91">
        <w:tab/>
        <w:t>(4)</w:t>
      </w:r>
      <w:r w:rsidRPr="00B14E91">
        <w:tab/>
        <w:t xml:space="preserve">If a sponsor of faecal microbiota transplant products applies, on or before 31 December 2020, for inclusion of the products in the Register, subregulation (1) ceases to have effect in relation to the products when the application is finally determined, lapses or is withdrawn, if that happens on or after </w:t>
      </w:r>
      <w:r w:rsidR="00D425F1">
        <w:t>1 January</w:t>
      </w:r>
      <w:r w:rsidRPr="00B14E91">
        <w:t xml:space="preserve"> 2021.</w:t>
      </w:r>
    </w:p>
    <w:p w:rsidR="004C7C9A" w:rsidRPr="00B14E91" w:rsidRDefault="004C7C9A" w:rsidP="004C7C9A">
      <w:pPr>
        <w:pStyle w:val="subsection"/>
      </w:pPr>
      <w:r w:rsidRPr="00B14E91">
        <w:tab/>
        <w:t>(5)</w:t>
      </w:r>
      <w:r w:rsidRPr="00B14E91">
        <w:tab/>
        <w:t xml:space="preserve">If a sponsor of faecal microbiota transplant products applies, on or before 31 December 2020, for an approval under section 32CK of the Act in relation to the products, subregulation (1) ceases to have effect in relation to the products when the application is finally determined or is withdrawn, if that happens on or after </w:t>
      </w:r>
      <w:r w:rsidR="00D425F1">
        <w:t>1 January</w:t>
      </w:r>
      <w:r w:rsidRPr="00B14E91">
        <w:t xml:space="preserve"> 2021.</w:t>
      </w:r>
    </w:p>
    <w:p w:rsidR="004C7C9A" w:rsidRPr="00B14E91" w:rsidRDefault="004C7C9A" w:rsidP="004C7C9A">
      <w:pPr>
        <w:pStyle w:val="ActHead5"/>
      </w:pPr>
      <w:bookmarkStart w:id="116" w:name="_Toc48564372"/>
      <w:r w:rsidRPr="00B14E91">
        <w:rPr>
          <w:rStyle w:val="CharSectno"/>
        </w:rPr>
        <w:t>71</w:t>
      </w:r>
      <w:r w:rsidRPr="00B14E91">
        <w:t xml:space="preserve">  Faecal microbiota transplant products—Part 3</w:t>
      </w:r>
      <w:r w:rsidR="00D425F1">
        <w:noBreakHyphen/>
      </w:r>
      <w:r w:rsidRPr="00B14E91">
        <w:t>3 of the Act</w:t>
      </w:r>
      <w:bookmarkEnd w:id="116"/>
    </w:p>
    <w:p w:rsidR="004C7C9A" w:rsidRPr="00B14E91" w:rsidRDefault="004C7C9A" w:rsidP="004C7C9A">
      <w:pPr>
        <w:pStyle w:val="subsection"/>
      </w:pPr>
      <w:r w:rsidRPr="00B14E91">
        <w:tab/>
        <w:t>(1)</w:t>
      </w:r>
      <w:r w:rsidRPr="00B14E91">
        <w:tab/>
        <w:t xml:space="preserve">For the purposes of this regulation, a biological is a </w:t>
      </w:r>
      <w:r w:rsidRPr="00B14E91">
        <w:rPr>
          <w:b/>
          <w:i/>
        </w:rPr>
        <w:t>transitional biological</w:t>
      </w:r>
      <w:r w:rsidRPr="00B14E91">
        <w:t xml:space="preserve"> if it is:</w:t>
      </w:r>
    </w:p>
    <w:p w:rsidR="004C7C9A" w:rsidRPr="00B14E91" w:rsidRDefault="004C7C9A" w:rsidP="004C7C9A">
      <w:pPr>
        <w:pStyle w:val="paragraph"/>
      </w:pPr>
      <w:r w:rsidRPr="00B14E91">
        <w:tab/>
        <w:t>(a)</w:t>
      </w:r>
      <w:r w:rsidRPr="00B14E91">
        <w:tab/>
        <w:t>a faecal microbiota transplant product; and</w:t>
      </w:r>
    </w:p>
    <w:p w:rsidR="004C7C9A" w:rsidRPr="00B14E91" w:rsidRDefault="004C7C9A" w:rsidP="004C7C9A">
      <w:pPr>
        <w:pStyle w:val="paragraph"/>
      </w:pPr>
      <w:r w:rsidRPr="00B14E91">
        <w:tab/>
        <w:t>(b)</w:t>
      </w:r>
      <w:r w:rsidRPr="00B14E91">
        <w:tab/>
        <w:t>a biological other than a Class 1 biological.</w:t>
      </w:r>
    </w:p>
    <w:p w:rsidR="004C7C9A" w:rsidRPr="00B14E91" w:rsidRDefault="004C7C9A" w:rsidP="004C7C9A">
      <w:pPr>
        <w:pStyle w:val="SubsectionHead"/>
      </w:pPr>
      <w:r w:rsidRPr="00B14E91">
        <w:lastRenderedPageBreak/>
        <w:t>Exemption</w:t>
      </w:r>
    </w:p>
    <w:p w:rsidR="004C7C9A" w:rsidRPr="00B14E91" w:rsidRDefault="004C7C9A" w:rsidP="004C7C9A">
      <w:pPr>
        <w:pStyle w:val="subsection"/>
      </w:pPr>
      <w:r w:rsidRPr="00B14E91">
        <w:tab/>
        <w:t>(2)</w:t>
      </w:r>
      <w:r w:rsidRPr="00B14E91">
        <w:tab/>
        <w:t>For the purposes of subsection 34(1) of the Act, transitional biologicals are exempt from the operation of Part 3</w:t>
      </w:r>
      <w:r w:rsidR="00D425F1">
        <w:noBreakHyphen/>
      </w:r>
      <w:r w:rsidRPr="00B14E91">
        <w:t>3 of the Act.</w:t>
      </w:r>
    </w:p>
    <w:p w:rsidR="004C7C9A" w:rsidRPr="00B14E91" w:rsidRDefault="004C7C9A" w:rsidP="004C7C9A">
      <w:pPr>
        <w:pStyle w:val="SubsectionHead"/>
      </w:pPr>
      <w:r w:rsidRPr="00B14E91">
        <w:t>When exemption ceases</w:t>
      </w:r>
    </w:p>
    <w:p w:rsidR="004C7C9A" w:rsidRPr="00B14E91" w:rsidRDefault="004C7C9A" w:rsidP="004C7C9A">
      <w:pPr>
        <w:pStyle w:val="subsection"/>
      </w:pPr>
      <w:r w:rsidRPr="00B14E91">
        <w:tab/>
        <w:t>(3)</w:t>
      </w:r>
      <w:r w:rsidRPr="00B14E91">
        <w:tab/>
        <w:t xml:space="preserve">Subregulation (2) ceases to have effect on </w:t>
      </w:r>
      <w:r w:rsidR="00D425F1">
        <w:t>1 January</w:t>
      </w:r>
      <w:r w:rsidRPr="00B14E91">
        <w:t xml:space="preserve"> 2021, subject to subregulation (4).</w:t>
      </w:r>
    </w:p>
    <w:p w:rsidR="004C7C9A" w:rsidRPr="00B14E91" w:rsidRDefault="004C7C9A" w:rsidP="004C7C9A">
      <w:pPr>
        <w:pStyle w:val="subsection"/>
      </w:pPr>
      <w:r w:rsidRPr="00B14E91">
        <w:tab/>
        <w:t>(4)</w:t>
      </w:r>
      <w:r w:rsidRPr="00B14E91">
        <w:tab/>
        <w:t xml:space="preserve">If, on or before 31 December 2020, each person who carries out a step in the manufacture of transitional biologicals applies for a licence authorising the person to carry out the step on premises referred to in the application, subregulation (2) ceases to have effect in relation to the transitional biologicals produced by those persons carrying out the steps on those premises when the last of those applications is finally determined or is withdrawn, if that happens on or after </w:t>
      </w:r>
      <w:r w:rsidR="00D425F1">
        <w:t>1 January</w:t>
      </w:r>
      <w:r w:rsidRPr="00B14E91">
        <w:t xml:space="preserve"> 2021.</w:t>
      </w:r>
    </w:p>
    <w:p w:rsidR="004C7C9A" w:rsidRPr="00B14E91" w:rsidRDefault="004C7C9A" w:rsidP="004C7C9A">
      <w:pPr>
        <w:pStyle w:val="ActHead4"/>
      </w:pPr>
      <w:bookmarkStart w:id="117" w:name="_Toc48564373"/>
      <w:r w:rsidRPr="00B14E91">
        <w:rPr>
          <w:rStyle w:val="CharSubdNo"/>
        </w:rPr>
        <w:t>Subdivision C</w:t>
      </w:r>
      <w:r w:rsidRPr="00B14E91">
        <w:t>—</w:t>
      </w:r>
      <w:r w:rsidRPr="00B14E91">
        <w:rPr>
          <w:rStyle w:val="CharSubdText"/>
        </w:rPr>
        <w:t>Consumer medicine information documents</w:t>
      </w:r>
      <w:bookmarkEnd w:id="117"/>
    </w:p>
    <w:p w:rsidR="004C7C9A" w:rsidRPr="00B14E91" w:rsidRDefault="004C7C9A" w:rsidP="004C7C9A">
      <w:pPr>
        <w:pStyle w:val="ActHead5"/>
      </w:pPr>
      <w:bookmarkStart w:id="118" w:name="_Toc48564374"/>
      <w:r w:rsidRPr="00B14E91">
        <w:rPr>
          <w:rStyle w:val="CharSectno"/>
        </w:rPr>
        <w:t>72</w:t>
      </w:r>
      <w:r w:rsidRPr="00B14E91">
        <w:t xml:space="preserve">  Consumer medicine information documents</w:t>
      </w:r>
      <w:bookmarkEnd w:id="118"/>
    </w:p>
    <w:p w:rsidR="004C7C9A" w:rsidRPr="00B14E91" w:rsidRDefault="004C7C9A" w:rsidP="004C7C9A">
      <w:pPr>
        <w:pStyle w:val="subsection"/>
      </w:pPr>
      <w:r w:rsidRPr="00B14E91">
        <w:tab/>
        <w:t>(1)</w:t>
      </w:r>
      <w:r w:rsidRPr="00B14E91">
        <w:tab/>
        <w:t xml:space="preserve">Subject to this regulation, the amendments of regulations 9A and 9B and Schedules 12 and 13 made by Schedule 6 to the amending regulations apply in relation to medicines supplied on and after </w:t>
      </w:r>
      <w:r w:rsidR="00D425F1">
        <w:t>1 January</w:t>
      </w:r>
      <w:r w:rsidRPr="00B14E91">
        <w:t xml:space="preserve"> 2021.</w:t>
      </w:r>
    </w:p>
    <w:p w:rsidR="004C7C9A" w:rsidRPr="00B14E91" w:rsidRDefault="004C7C9A" w:rsidP="004C7C9A">
      <w:pPr>
        <w:pStyle w:val="SubsectionHead"/>
      </w:pPr>
      <w:r w:rsidRPr="00B14E91">
        <w:t>Transitional medicines</w:t>
      </w:r>
    </w:p>
    <w:p w:rsidR="004C7C9A" w:rsidRPr="00B14E91" w:rsidRDefault="004C7C9A" w:rsidP="004C7C9A">
      <w:pPr>
        <w:pStyle w:val="subsection"/>
      </w:pPr>
      <w:r w:rsidRPr="00B14E91">
        <w:tab/>
        <w:t>(2)</w:t>
      </w:r>
      <w:r w:rsidRPr="00B14E91">
        <w:tab/>
        <w:t xml:space="preserve">Subject to subregulation (3), the amendments of regulations 9A and 9B and Schedules 12 and 13 made by Schedule 6 to the amending regulations do not apply in relation to supplies of a medicine of a kind (a </w:t>
      </w:r>
      <w:r w:rsidRPr="00B14E91">
        <w:rPr>
          <w:b/>
          <w:i/>
        </w:rPr>
        <w:t>transitional medicine</w:t>
      </w:r>
      <w:r w:rsidRPr="00B14E91">
        <w:t xml:space="preserve">) that immediately before </w:t>
      </w:r>
      <w:r w:rsidR="00D425F1">
        <w:t>1 January</w:t>
      </w:r>
      <w:r w:rsidRPr="00B14E91">
        <w:t xml:space="preserve"> 2021 was:</w:t>
      </w:r>
    </w:p>
    <w:p w:rsidR="004C7C9A" w:rsidRPr="00B14E91" w:rsidRDefault="004C7C9A" w:rsidP="004C7C9A">
      <w:pPr>
        <w:pStyle w:val="paragraph"/>
      </w:pPr>
      <w:r w:rsidRPr="00B14E91">
        <w:tab/>
        <w:t>(a)</w:t>
      </w:r>
      <w:r w:rsidRPr="00B14E91">
        <w:tab/>
        <w:t>a registered good; or</w:t>
      </w:r>
    </w:p>
    <w:p w:rsidR="004C7C9A" w:rsidRPr="00B14E91" w:rsidRDefault="004C7C9A" w:rsidP="004C7C9A">
      <w:pPr>
        <w:pStyle w:val="paragraph"/>
      </w:pPr>
      <w:r w:rsidRPr="00B14E91">
        <w:tab/>
        <w:t>(b)</w:t>
      </w:r>
      <w:r w:rsidRPr="00B14E91">
        <w:tab/>
        <w:t>an exempt good under section 18 of the Act; or</w:t>
      </w:r>
    </w:p>
    <w:p w:rsidR="004C7C9A" w:rsidRPr="00B14E91" w:rsidRDefault="004C7C9A" w:rsidP="004C7C9A">
      <w:pPr>
        <w:pStyle w:val="paragraph"/>
      </w:pPr>
      <w:r w:rsidRPr="00B14E91">
        <w:tab/>
        <w:t>(c)</w:t>
      </w:r>
      <w:r w:rsidRPr="00B14E91">
        <w:tab/>
        <w:t>an exempt good under section 18A of the Act; or</w:t>
      </w:r>
    </w:p>
    <w:p w:rsidR="004C7C9A" w:rsidRPr="00B14E91" w:rsidRDefault="004C7C9A" w:rsidP="004C7C9A">
      <w:pPr>
        <w:pStyle w:val="paragraph"/>
      </w:pPr>
      <w:r w:rsidRPr="00B14E91">
        <w:tab/>
        <w:t>(d)</w:t>
      </w:r>
      <w:r w:rsidRPr="00B14E91">
        <w:tab/>
        <w:t>the subject of an approval or authority under section 19 of the Act; or</w:t>
      </w:r>
    </w:p>
    <w:p w:rsidR="004C7C9A" w:rsidRPr="00B14E91" w:rsidRDefault="004C7C9A" w:rsidP="004C7C9A">
      <w:pPr>
        <w:pStyle w:val="paragraph"/>
      </w:pPr>
      <w:r w:rsidRPr="00B14E91">
        <w:tab/>
        <w:t>(e)</w:t>
      </w:r>
      <w:r w:rsidRPr="00B14E91">
        <w:tab/>
        <w:t>the subject of an approval under section 19A of the Act.</w:t>
      </w:r>
    </w:p>
    <w:p w:rsidR="004C7C9A" w:rsidRPr="00B14E91" w:rsidRDefault="004C7C9A" w:rsidP="004C7C9A">
      <w:pPr>
        <w:pStyle w:val="subsection"/>
      </w:pPr>
      <w:r w:rsidRPr="00B14E91">
        <w:tab/>
        <w:t>(3)</w:t>
      </w:r>
      <w:r w:rsidRPr="00B14E91">
        <w:tab/>
        <w:t xml:space="preserve">The amendments of regulations 9A and 9B and Schedules 12 and 13 made by Schedule 6 to the amending regulations apply in relation to supplies of transitional medicines on and after </w:t>
      </w:r>
      <w:r w:rsidR="00D425F1">
        <w:t>1 January</w:t>
      </w:r>
      <w:r w:rsidRPr="00B14E91">
        <w:t xml:space="preserve"> 2026.</w:t>
      </w:r>
    </w:p>
    <w:p w:rsidR="004C7C9A" w:rsidRPr="00B14E91" w:rsidRDefault="004C7C9A" w:rsidP="004C7C9A">
      <w:pPr>
        <w:pStyle w:val="SubsectionHead"/>
      </w:pPr>
      <w:r w:rsidRPr="00B14E91">
        <w:t>Medicines where applications not finally determined</w:t>
      </w:r>
    </w:p>
    <w:p w:rsidR="004C7C9A" w:rsidRPr="00B14E91" w:rsidRDefault="004C7C9A" w:rsidP="004C7C9A">
      <w:pPr>
        <w:pStyle w:val="subsection"/>
      </w:pPr>
      <w:r w:rsidRPr="00B14E91">
        <w:tab/>
        <w:t>(4)</w:t>
      </w:r>
      <w:r w:rsidRPr="00B14E91">
        <w:tab/>
        <w:t xml:space="preserve">Subject to subregulation (5), the amendments of regulations 9A and 9B and Schedules 12 and 13 made by Schedule 6 to the amending regulations do not apply in relation to supplies of a medicine of a kind (a </w:t>
      </w:r>
      <w:r w:rsidRPr="00B14E91">
        <w:rPr>
          <w:b/>
          <w:i/>
        </w:rPr>
        <w:t>transitional application medicine</w:t>
      </w:r>
      <w:r w:rsidRPr="00B14E91">
        <w:t>) while either of the following applies to the transitional application medicine:</w:t>
      </w:r>
    </w:p>
    <w:p w:rsidR="004C7C9A" w:rsidRPr="00B14E91" w:rsidRDefault="004C7C9A" w:rsidP="004C7C9A">
      <w:pPr>
        <w:pStyle w:val="paragraph"/>
      </w:pPr>
      <w:r w:rsidRPr="00B14E91">
        <w:tab/>
        <w:t>(a)</w:t>
      </w:r>
      <w:r w:rsidRPr="00B14E91">
        <w:tab/>
        <w:t xml:space="preserve">it is the subject of an application for registration that was made before </w:t>
      </w:r>
      <w:r w:rsidR="00D425F1">
        <w:t>1 January</w:t>
      </w:r>
      <w:r w:rsidRPr="00B14E91">
        <w:t xml:space="preserve"> 2021 and that immediately before that date was not finally determined;</w:t>
      </w:r>
    </w:p>
    <w:p w:rsidR="004C7C9A" w:rsidRPr="00B14E91" w:rsidRDefault="004C7C9A" w:rsidP="004C7C9A">
      <w:pPr>
        <w:pStyle w:val="paragraph"/>
      </w:pPr>
      <w:r w:rsidRPr="00B14E91">
        <w:lastRenderedPageBreak/>
        <w:tab/>
        <w:t>(b)</w:t>
      </w:r>
      <w:r w:rsidRPr="00B14E91">
        <w:tab/>
        <w:t>it is included in the Register as a result of such an application.</w:t>
      </w:r>
    </w:p>
    <w:p w:rsidR="004C7C9A" w:rsidRPr="00B14E91" w:rsidRDefault="004C7C9A" w:rsidP="004C7C9A">
      <w:pPr>
        <w:pStyle w:val="subsection"/>
      </w:pPr>
      <w:r w:rsidRPr="00B14E91">
        <w:tab/>
        <w:t>(5)</w:t>
      </w:r>
      <w:r w:rsidRPr="00B14E91">
        <w:tab/>
        <w:t>The amendments made to regulations 9A and 9B, and Schedules 12 and 13 by Schedule 6 to the amending regulations apply in relation to a supply of a transitional application medicine:</w:t>
      </w:r>
    </w:p>
    <w:p w:rsidR="004C7C9A" w:rsidRPr="00B14E91" w:rsidRDefault="004C7C9A" w:rsidP="004C7C9A">
      <w:pPr>
        <w:pStyle w:val="paragraph"/>
      </w:pPr>
      <w:r w:rsidRPr="00B14E91">
        <w:tab/>
        <w:t>(a)</w:t>
      </w:r>
      <w:r w:rsidRPr="00B14E91">
        <w:tab/>
        <w:t xml:space="preserve">if at a time before </w:t>
      </w:r>
      <w:r w:rsidR="00D425F1">
        <w:t>1 January</w:t>
      </w:r>
      <w:r w:rsidRPr="00B14E91">
        <w:t xml:space="preserve"> 2026 subregulation (4) ceases to apply in relation to the transitional application medicine—at that time; or</w:t>
      </w:r>
    </w:p>
    <w:p w:rsidR="004C7C9A" w:rsidRPr="00B14E91" w:rsidRDefault="004C7C9A" w:rsidP="004C7C9A">
      <w:pPr>
        <w:pStyle w:val="paragraph"/>
      </w:pPr>
      <w:r w:rsidRPr="00B14E91">
        <w:tab/>
        <w:t>(b)</w:t>
      </w:r>
      <w:r w:rsidRPr="00B14E91">
        <w:tab/>
        <w:t xml:space="preserve">in any other case—on and after </w:t>
      </w:r>
      <w:r w:rsidR="00D425F1">
        <w:t>1 January</w:t>
      </w:r>
      <w:r w:rsidRPr="00B14E91">
        <w:t xml:space="preserve"> 2026.</w:t>
      </w:r>
    </w:p>
    <w:p w:rsidR="004C7C9A" w:rsidRPr="00B14E91" w:rsidRDefault="004C7C9A" w:rsidP="004C7C9A">
      <w:pPr>
        <w:pStyle w:val="ActHead4"/>
      </w:pPr>
      <w:bookmarkStart w:id="119" w:name="_Toc48564375"/>
      <w:r w:rsidRPr="00B14E91">
        <w:rPr>
          <w:rStyle w:val="CharSubdNo"/>
        </w:rPr>
        <w:t>Subdivision D</w:t>
      </w:r>
      <w:r w:rsidRPr="00B14E91">
        <w:t>—</w:t>
      </w:r>
      <w:r w:rsidRPr="00B14E91">
        <w:rPr>
          <w:rStyle w:val="CharSubdText"/>
        </w:rPr>
        <w:t>Handling and testing of samples</w:t>
      </w:r>
      <w:bookmarkEnd w:id="119"/>
    </w:p>
    <w:p w:rsidR="004C7C9A" w:rsidRPr="00B14E91" w:rsidRDefault="004C7C9A" w:rsidP="004C7C9A">
      <w:pPr>
        <w:pStyle w:val="ActHead5"/>
      </w:pPr>
      <w:bookmarkStart w:id="120" w:name="_Toc48564376"/>
      <w:r w:rsidRPr="00B14E91">
        <w:rPr>
          <w:rStyle w:val="CharSectno"/>
        </w:rPr>
        <w:t>73</w:t>
      </w:r>
      <w:r w:rsidRPr="00B14E91">
        <w:t xml:space="preserve">  Handling and testing of samples</w:t>
      </w:r>
      <w:bookmarkEnd w:id="120"/>
    </w:p>
    <w:p w:rsidR="004C7C9A" w:rsidRPr="00B14E91" w:rsidRDefault="004C7C9A" w:rsidP="004C7C9A">
      <w:pPr>
        <w:pStyle w:val="subsection"/>
      </w:pPr>
      <w:r w:rsidRPr="00B14E91">
        <w:tab/>
      </w:r>
      <w:r w:rsidRPr="00B14E91">
        <w:tab/>
        <w:t xml:space="preserve">The repeal and substitution of subregulation 23(2) made by Schedule 7 to the amending regulations, the amendment of paragraph 25(3)(c) made by that Schedule, </w:t>
      </w:r>
      <w:r w:rsidR="00D425F1">
        <w:t>subregulations 2</w:t>
      </w:r>
      <w:r w:rsidRPr="00B14E91">
        <w:t xml:space="preserve">5(4) and (5) as added by that Schedule and the amendments of paragraph 27(2)(a) and of regulations 28, 29 and 30 made by that Schedule apply in relation to samples taken or delivered on or after </w:t>
      </w:r>
      <w:r w:rsidR="00D425F1">
        <w:t>1 January</w:t>
      </w:r>
      <w:r w:rsidRPr="00B14E91">
        <w:t xml:space="preserve"> 2020.</w:t>
      </w:r>
    </w:p>
    <w:p w:rsidR="004C7C9A" w:rsidRPr="00B14E91" w:rsidRDefault="004C7C9A" w:rsidP="004C7C9A">
      <w:pPr>
        <w:pStyle w:val="ActHead4"/>
      </w:pPr>
      <w:bookmarkStart w:id="121" w:name="_Toc48564377"/>
      <w:r w:rsidRPr="00B14E91">
        <w:rPr>
          <w:rStyle w:val="CharSubdNo"/>
        </w:rPr>
        <w:t>Subdivision E</w:t>
      </w:r>
      <w:r w:rsidRPr="00B14E91">
        <w:t>—</w:t>
      </w:r>
      <w:r w:rsidRPr="00B14E91">
        <w:rPr>
          <w:rStyle w:val="CharSubdText"/>
        </w:rPr>
        <w:t>Fee waivers and refunds for certain requests relating to prescription opioids</w:t>
      </w:r>
      <w:bookmarkEnd w:id="121"/>
    </w:p>
    <w:p w:rsidR="004C7C9A" w:rsidRPr="00B14E91" w:rsidRDefault="004C7C9A" w:rsidP="004C7C9A">
      <w:pPr>
        <w:pStyle w:val="ActHead5"/>
      </w:pPr>
      <w:bookmarkStart w:id="122" w:name="_Toc48564378"/>
      <w:r w:rsidRPr="00B14E91">
        <w:rPr>
          <w:rStyle w:val="CharSectno"/>
        </w:rPr>
        <w:t>74</w:t>
      </w:r>
      <w:r w:rsidRPr="00B14E91">
        <w:t xml:space="preserve">  Fee waivers and refunds for certain requests relating to prescription opioids</w:t>
      </w:r>
      <w:bookmarkEnd w:id="122"/>
    </w:p>
    <w:p w:rsidR="004C7C9A" w:rsidRPr="00B14E91" w:rsidRDefault="004C7C9A" w:rsidP="004C7C9A">
      <w:pPr>
        <w:pStyle w:val="subsection"/>
      </w:pPr>
      <w:r w:rsidRPr="00B14E91">
        <w:tab/>
        <w:t>(1)</w:t>
      </w:r>
      <w:r w:rsidRPr="00B14E91">
        <w:tab/>
        <w:t xml:space="preserve">The insertion of </w:t>
      </w:r>
      <w:r w:rsidR="00D425F1">
        <w:t>subregulations 4</w:t>
      </w:r>
      <w:r w:rsidRPr="00B14E91">
        <w:t>5(7) to (9) by Schedule 8 to the amending regulations applies in relation to requests made on or after the commencement of those subregulations.</w:t>
      </w:r>
    </w:p>
    <w:p w:rsidR="004C7C9A" w:rsidRPr="00B14E91" w:rsidRDefault="004C7C9A" w:rsidP="004C7C9A">
      <w:pPr>
        <w:pStyle w:val="subsection"/>
      </w:pPr>
      <w:r w:rsidRPr="00B14E91">
        <w:tab/>
        <w:t>(2)</w:t>
      </w:r>
      <w:r w:rsidRPr="00B14E91">
        <w:tab/>
        <w:t xml:space="preserve">If, on or after 31 August 2019 and before the commencement of </w:t>
      </w:r>
      <w:r w:rsidR="00D425F1">
        <w:t>subregulations 4</w:t>
      </w:r>
      <w:r w:rsidRPr="00B14E91">
        <w:t>5(7) to (9):</w:t>
      </w:r>
    </w:p>
    <w:p w:rsidR="004C7C9A" w:rsidRPr="00B14E91" w:rsidRDefault="004C7C9A" w:rsidP="004C7C9A">
      <w:pPr>
        <w:pStyle w:val="paragraph"/>
      </w:pPr>
      <w:r w:rsidRPr="00B14E91">
        <w:tab/>
        <w:t>(a)</w:t>
      </w:r>
      <w:r w:rsidRPr="00B14E91">
        <w:tab/>
        <w:t xml:space="preserve">a person made a request (an </w:t>
      </w:r>
      <w:r w:rsidRPr="00B14E91">
        <w:rPr>
          <w:b/>
          <w:i/>
        </w:rPr>
        <w:t>opioid reform request</w:t>
      </w:r>
      <w:r w:rsidRPr="00B14E91">
        <w:t>) that:</w:t>
      </w:r>
    </w:p>
    <w:p w:rsidR="004C7C9A" w:rsidRPr="00B14E91" w:rsidRDefault="004C7C9A" w:rsidP="004C7C9A">
      <w:pPr>
        <w:pStyle w:val="paragraphsub"/>
      </w:pPr>
      <w:r w:rsidRPr="00B14E91">
        <w:tab/>
        <w:t>(i)</w:t>
      </w:r>
      <w:r w:rsidRPr="00B14E91">
        <w:tab/>
        <w:t>was made in relation to prescription opioids that were registered goods; and</w:t>
      </w:r>
    </w:p>
    <w:p w:rsidR="004C7C9A" w:rsidRPr="00B14E91" w:rsidRDefault="004C7C9A" w:rsidP="004C7C9A">
      <w:pPr>
        <w:pStyle w:val="paragraphsub"/>
      </w:pPr>
      <w:r w:rsidRPr="00B14E91">
        <w:tab/>
        <w:t>(ii)</w:t>
      </w:r>
      <w:r w:rsidRPr="00B14E91">
        <w:tab/>
        <w:t>was made under subsection 9D(2) or (3) of the Act; and</w:t>
      </w:r>
    </w:p>
    <w:p w:rsidR="004C7C9A" w:rsidRPr="00B14E91" w:rsidRDefault="004C7C9A" w:rsidP="004C7C9A">
      <w:pPr>
        <w:pStyle w:val="paragraphsub"/>
      </w:pPr>
      <w:r w:rsidRPr="00B14E91">
        <w:tab/>
        <w:t>(iii)</w:t>
      </w:r>
      <w:r w:rsidRPr="00B14E91">
        <w:tab/>
        <w:t>was made solely for an opioid reform purpose (see subregulation (3)) or solely for an opioid reform purpose and an associated variation of product information purpose (see subregulation (4)); and</w:t>
      </w:r>
    </w:p>
    <w:p w:rsidR="004C7C9A" w:rsidRPr="00B14E91" w:rsidRDefault="004C7C9A" w:rsidP="004C7C9A">
      <w:pPr>
        <w:pStyle w:val="paragraph"/>
      </w:pPr>
      <w:r w:rsidRPr="00B14E91">
        <w:tab/>
        <w:t>(b)</w:t>
      </w:r>
      <w:r w:rsidRPr="00B14E91">
        <w:tab/>
        <w:t>the person paid the fee prescribed in Schedule 9 to these Regulations in relation to the request;</w:t>
      </w:r>
    </w:p>
    <w:p w:rsidR="004C7C9A" w:rsidRPr="00B14E91" w:rsidRDefault="004C7C9A" w:rsidP="004C7C9A">
      <w:pPr>
        <w:pStyle w:val="subsection2"/>
      </w:pPr>
      <w:r w:rsidRPr="00B14E91">
        <w:t>the Secretary must, on behalf of the Commonwealth, refund to the person an amount equal to the fee paid.</w:t>
      </w:r>
    </w:p>
    <w:p w:rsidR="004C7C9A" w:rsidRPr="00B14E91" w:rsidRDefault="004C7C9A" w:rsidP="004C7C9A">
      <w:pPr>
        <w:pStyle w:val="subsection"/>
      </w:pPr>
      <w:r w:rsidRPr="00B14E91">
        <w:tab/>
        <w:t>(3)</w:t>
      </w:r>
      <w:r w:rsidRPr="00B14E91">
        <w:tab/>
        <w:t>For the purposes of subregulation (2), an opioid reform request was made for an opioid reform purpose if it was made:</w:t>
      </w:r>
    </w:p>
    <w:p w:rsidR="004C7C9A" w:rsidRPr="00B14E91" w:rsidRDefault="004C7C9A" w:rsidP="004C7C9A">
      <w:pPr>
        <w:pStyle w:val="paragraph"/>
      </w:pPr>
      <w:r w:rsidRPr="00B14E91">
        <w:tab/>
        <w:t>(a)</w:t>
      </w:r>
      <w:r w:rsidRPr="00B14E91">
        <w:tab/>
        <w:t>under subsection 9D(2) of the Act, to do either or both of the following:</w:t>
      </w:r>
    </w:p>
    <w:p w:rsidR="004C7C9A" w:rsidRPr="00B14E91" w:rsidRDefault="004C7C9A" w:rsidP="004C7C9A">
      <w:pPr>
        <w:pStyle w:val="paragraphsub"/>
      </w:pPr>
      <w:r w:rsidRPr="00B14E91">
        <w:tab/>
        <w:t>(i)</w:t>
      </w:r>
      <w:r w:rsidRPr="00B14E91">
        <w:tab/>
        <w:t>add a warning, or precaution, in relation to the goods that did not include any comparison of the goods with any other therapeutic goods by reference to quality, safety or efficacy;</w:t>
      </w:r>
    </w:p>
    <w:p w:rsidR="004C7C9A" w:rsidRPr="00B14E91" w:rsidRDefault="004C7C9A" w:rsidP="004C7C9A">
      <w:pPr>
        <w:pStyle w:val="paragraphsub"/>
      </w:pPr>
      <w:r w:rsidRPr="00B14E91">
        <w:tab/>
        <w:t>(ii)</w:t>
      </w:r>
      <w:r w:rsidRPr="00B14E91">
        <w:tab/>
        <w:t>reduce the class of persons for whom the goods were suitable; or</w:t>
      </w:r>
    </w:p>
    <w:p w:rsidR="004C7C9A" w:rsidRPr="00B14E91" w:rsidRDefault="004C7C9A" w:rsidP="004C7C9A">
      <w:pPr>
        <w:pStyle w:val="paragraph"/>
      </w:pPr>
      <w:r w:rsidRPr="00B14E91">
        <w:lastRenderedPageBreak/>
        <w:tab/>
        <w:t>(b)</w:t>
      </w:r>
      <w:r w:rsidRPr="00B14E91">
        <w:tab/>
        <w:t>under subsection 9D(3) of the Act, to introduce a smaller pack size in relation to the goods.</w:t>
      </w:r>
    </w:p>
    <w:p w:rsidR="004C7C9A" w:rsidRPr="00B14E91" w:rsidRDefault="004C7C9A" w:rsidP="004C7C9A">
      <w:pPr>
        <w:pStyle w:val="subsection"/>
      </w:pPr>
      <w:r w:rsidRPr="00B14E91">
        <w:tab/>
        <w:t>(4)</w:t>
      </w:r>
      <w:r w:rsidRPr="00B14E91">
        <w:tab/>
        <w:t>For the purposes of subregulation (2), an opioid reform request was made for an associated variation of product information purpose if:</w:t>
      </w:r>
    </w:p>
    <w:p w:rsidR="004C7C9A" w:rsidRPr="00B14E91" w:rsidRDefault="004C7C9A" w:rsidP="004C7C9A">
      <w:pPr>
        <w:pStyle w:val="paragraph"/>
      </w:pPr>
      <w:r w:rsidRPr="00B14E91">
        <w:tab/>
        <w:t>(a)</w:t>
      </w:r>
      <w:r w:rsidRPr="00B14E91">
        <w:tab/>
        <w:t>the opioid reform request was made under subsection 9D(3) of the Act; and</w:t>
      </w:r>
    </w:p>
    <w:p w:rsidR="004C7C9A" w:rsidRPr="00B14E91" w:rsidRDefault="004C7C9A" w:rsidP="004C7C9A">
      <w:pPr>
        <w:pStyle w:val="paragraph"/>
      </w:pPr>
      <w:r w:rsidRPr="00B14E91">
        <w:tab/>
        <w:t>(b)</w:t>
      </w:r>
      <w:r w:rsidRPr="00B14E91">
        <w:tab/>
        <w:t>paragraphs 9D(3)(b) to (c) of the Act were satisfied in relation to the request; and</w:t>
      </w:r>
    </w:p>
    <w:p w:rsidR="004C7C9A" w:rsidRPr="00B14E91" w:rsidRDefault="004C7C9A" w:rsidP="004C7C9A">
      <w:pPr>
        <w:pStyle w:val="paragraph"/>
      </w:pPr>
      <w:r w:rsidRPr="00B14E91">
        <w:tab/>
        <w:t>(c)</w:t>
      </w:r>
      <w:r w:rsidRPr="00B14E91">
        <w:tab/>
        <w:t>the request was made for the purpose of varying product information in relation to the prescription opioids so that the product information would be in the form approved under section 7D of the Act in relation to the prescription opioids.</w:t>
      </w:r>
    </w:p>
    <w:p w:rsidR="004C7C9A" w:rsidRPr="00B14E91" w:rsidRDefault="004C7C9A" w:rsidP="004C7C9A">
      <w:pPr>
        <w:pStyle w:val="ActHead4"/>
      </w:pPr>
      <w:bookmarkStart w:id="123" w:name="_Toc48564379"/>
      <w:r w:rsidRPr="00B14E91">
        <w:rPr>
          <w:rStyle w:val="CharSubdNo"/>
        </w:rPr>
        <w:t>Subdivision F</w:t>
      </w:r>
      <w:r w:rsidRPr="00B14E91">
        <w:t>—</w:t>
      </w:r>
      <w:r w:rsidRPr="00B14E91">
        <w:rPr>
          <w:rStyle w:val="CharSubdText"/>
        </w:rPr>
        <w:t>Clinical trials</w:t>
      </w:r>
      <w:bookmarkEnd w:id="123"/>
    </w:p>
    <w:p w:rsidR="004C7C9A" w:rsidRPr="00B14E91" w:rsidRDefault="004C7C9A" w:rsidP="004C7C9A">
      <w:pPr>
        <w:pStyle w:val="ActHead5"/>
      </w:pPr>
      <w:bookmarkStart w:id="124" w:name="_Toc48564380"/>
      <w:r w:rsidRPr="00B14E91">
        <w:rPr>
          <w:rStyle w:val="CharSectno"/>
        </w:rPr>
        <w:t>75</w:t>
      </w:r>
      <w:r w:rsidRPr="00B14E91">
        <w:t xml:space="preserve">  Clinical trials</w:t>
      </w:r>
      <w:bookmarkEnd w:id="124"/>
    </w:p>
    <w:p w:rsidR="004C7C9A" w:rsidRPr="00B14E91" w:rsidRDefault="004C7C9A" w:rsidP="004C7C9A">
      <w:pPr>
        <w:pStyle w:val="subsection"/>
      </w:pPr>
      <w:r w:rsidRPr="00B14E91">
        <w:tab/>
        <w:t>(1)</w:t>
      </w:r>
      <w:r w:rsidRPr="00B14E91">
        <w:tab/>
        <w:t xml:space="preserve">These Regulations have effect as if a written assurance given before </w:t>
      </w:r>
      <w:r w:rsidR="00D425F1">
        <w:t>1 January</w:t>
      </w:r>
      <w:r w:rsidRPr="00B14E91">
        <w:t xml:space="preserve"> 2020 under paragraph 12AB(2)(a) that clinical trials would be conducted in accordance with the Practice Guidelines were, on and after </w:t>
      </w:r>
      <w:r w:rsidR="00D425F1">
        <w:t>1 January</w:t>
      </w:r>
      <w:r w:rsidRPr="00B14E91">
        <w:t xml:space="preserve"> 2020, a written assurance that clinical trials would be conducted in accordance with the Practice Guideline.</w:t>
      </w:r>
    </w:p>
    <w:p w:rsidR="004C7C9A" w:rsidRPr="00B14E91" w:rsidRDefault="004C7C9A" w:rsidP="004C7C9A">
      <w:pPr>
        <w:pStyle w:val="subsection"/>
      </w:pPr>
      <w:r w:rsidRPr="00B14E91">
        <w:tab/>
        <w:t>(2)</w:t>
      </w:r>
      <w:r w:rsidRPr="00B14E91">
        <w:tab/>
        <w:t xml:space="preserve">The amendment of subregulation 12AC(1) made by Part 2 of Schedule 9 to the amending regulations applies in relation to things done on or after </w:t>
      </w:r>
      <w:r w:rsidR="00D425F1">
        <w:t>1 January</w:t>
      </w:r>
      <w:r w:rsidRPr="00B14E91">
        <w:t xml:space="preserve"> 2020 in relation to a clinical trial that began before, on or after </w:t>
      </w:r>
      <w:r w:rsidR="00D425F1">
        <w:t>1 January</w:t>
      </w:r>
      <w:r w:rsidRPr="00B14E91">
        <w:t xml:space="preserve"> 2020.</w:t>
      </w:r>
    </w:p>
    <w:p w:rsidR="004C7C9A" w:rsidRPr="00B14E91" w:rsidRDefault="004C7C9A" w:rsidP="004C7C9A">
      <w:pPr>
        <w:pStyle w:val="subsection"/>
      </w:pPr>
      <w:r w:rsidRPr="00B14E91">
        <w:tab/>
        <w:t>(3)</w:t>
      </w:r>
      <w:r w:rsidRPr="00B14E91">
        <w:tab/>
        <w:t xml:space="preserve">The amendment of paragraph 12AD(a) made by Part 2 of Schedule 9 to the amending regulations applies in relation to uses on or after </w:t>
      </w:r>
      <w:r w:rsidR="00D425F1">
        <w:t>1 January</w:t>
      </w:r>
      <w:r w:rsidRPr="00B14E91">
        <w:t xml:space="preserve"> 2020 in relation to a clinical trial that began before, on or after </w:t>
      </w:r>
      <w:r w:rsidR="00D425F1">
        <w:t>1 January</w:t>
      </w:r>
      <w:r w:rsidRPr="00B14E91">
        <w:t xml:space="preserve"> 2020.</w:t>
      </w:r>
    </w:p>
    <w:p w:rsidR="004C7C9A" w:rsidRPr="00B14E91" w:rsidRDefault="004C7C9A" w:rsidP="004C7C9A">
      <w:pPr>
        <w:pStyle w:val="subsection"/>
      </w:pPr>
      <w:r w:rsidRPr="00B14E91">
        <w:tab/>
        <w:t>(4)</w:t>
      </w:r>
      <w:r w:rsidRPr="00B14E91">
        <w:tab/>
        <w:t>The amendment of Schedule 5A made by Part 2 of Schedule 9 to the amending regulations applies in relation to:</w:t>
      </w:r>
    </w:p>
    <w:p w:rsidR="004C7C9A" w:rsidRPr="00B14E91" w:rsidRDefault="004C7C9A" w:rsidP="004C7C9A">
      <w:pPr>
        <w:pStyle w:val="paragraph"/>
      </w:pPr>
      <w:r w:rsidRPr="00B14E91">
        <w:tab/>
        <w:t>(a)</w:t>
      </w:r>
      <w:r w:rsidRPr="00B14E91">
        <w:tab/>
        <w:t xml:space="preserve">requests made on or after </w:t>
      </w:r>
      <w:r w:rsidR="00D425F1">
        <w:t>1 January</w:t>
      </w:r>
      <w:r w:rsidRPr="00B14E91">
        <w:t xml:space="preserve"> 2020 to give information acquired before, on or after </w:t>
      </w:r>
      <w:r w:rsidR="00D425F1">
        <w:t>1 January</w:t>
      </w:r>
      <w:r w:rsidRPr="00B14E91">
        <w:t xml:space="preserve"> 2020; and</w:t>
      </w:r>
    </w:p>
    <w:p w:rsidR="004C7C9A" w:rsidRPr="00B14E91" w:rsidRDefault="004C7C9A" w:rsidP="004C7C9A">
      <w:pPr>
        <w:pStyle w:val="paragraph"/>
      </w:pPr>
      <w:r w:rsidRPr="00B14E91">
        <w:tab/>
        <w:t>(b)</w:t>
      </w:r>
      <w:r w:rsidRPr="00B14E91">
        <w:tab/>
        <w:t xml:space="preserve">things mentioned in regulation 12AC done on or after </w:t>
      </w:r>
      <w:r w:rsidR="00D425F1">
        <w:t>1 January</w:t>
      </w:r>
      <w:r w:rsidRPr="00B14E91">
        <w:t xml:space="preserve"> 2020;</w:t>
      </w:r>
    </w:p>
    <w:p w:rsidR="004C7C9A" w:rsidRDefault="004C7C9A" w:rsidP="004C7C9A">
      <w:pPr>
        <w:pStyle w:val="subsection2"/>
      </w:pPr>
      <w:r w:rsidRPr="00B14E91">
        <w:t xml:space="preserve">in relation to a clinical trial that began before, on or after </w:t>
      </w:r>
      <w:r w:rsidR="00D425F1">
        <w:t>1 January</w:t>
      </w:r>
      <w:r w:rsidRPr="00B14E91">
        <w:t xml:space="preserve"> 2020.</w:t>
      </w:r>
    </w:p>
    <w:p w:rsidR="004C7C9A" w:rsidRDefault="004C7C9A" w:rsidP="0002198D">
      <w:pPr>
        <w:sectPr w:rsidR="004C7C9A" w:rsidSect="00E35C69">
          <w:headerReference w:type="even" r:id="rId21"/>
          <w:headerReference w:type="default" r:id="rId22"/>
          <w:footerReference w:type="even" r:id="rId23"/>
          <w:footerReference w:type="default" r:id="rId24"/>
          <w:headerReference w:type="first" r:id="rId25"/>
          <w:footerReference w:type="first" r:id="rId26"/>
          <w:pgSz w:w="11907" w:h="16839"/>
          <w:pgMar w:top="1819" w:right="1797" w:bottom="1440" w:left="1797" w:header="720" w:footer="709" w:gutter="0"/>
          <w:pgNumType w:start="1"/>
          <w:cols w:space="708"/>
          <w:docGrid w:linePitch="360"/>
        </w:sectPr>
      </w:pPr>
      <w:bookmarkStart w:id="125" w:name="BK_S3P55L3C1"/>
      <w:bookmarkEnd w:id="125"/>
    </w:p>
    <w:p w:rsidR="004C7C9A" w:rsidRDefault="004C7C9A" w:rsidP="004C7C9A">
      <w:pPr>
        <w:pStyle w:val="ENotesHeading1"/>
      </w:pPr>
      <w:bookmarkStart w:id="126" w:name="_Toc48564381"/>
      <w:r>
        <w:lastRenderedPageBreak/>
        <w:t>Endnotes</w:t>
      </w:r>
      <w:bookmarkEnd w:id="126"/>
    </w:p>
    <w:p w:rsidR="004C7C9A" w:rsidRPr="007A36FC" w:rsidRDefault="004C7C9A" w:rsidP="004C7C9A">
      <w:pPr>
        <w:pStyle w:val="ENotesHeading2"/>
        <w:spacing w:line="240" w:lineRule="auto"/>
        <w:outlineLvl w:val="9"/>
      </w:pPr>
      <w:bookmarkStart w:id="127" w:name="_Toc48564382"/>
      <w:r w:rsidRPr="007A36FC">
        <w:t>Endnote 1—About the endnotes</w:t>
      </w:r>
      <w:bookmarkEnd w:id="127"/>
    </w:p>
    <w:p w:rsidR="004C7C9A" w:rsidRDefault="004C7C9A" w:rsidP="004C7C9A">
      <w:pPr>
        <w:spacing w:after="120"/>
      </w:pPr>
      <w:r w:rsidRPr="00BC57F4">
        <w:t xml:space="preserve">The endnotes provide </w:t>
      </w:r>
      <w:r>
        <w:t>information about this compilation and the compiled law.</w:t>
      </w:r>
    </w:p>
    <w:p w:rsidR="004C7C9A" w:rsidRPr="00BC57F4" w:rsidRDefault="004C7C9A" w:rsidP="004C7C9A">
      <w:pPr>
        <w:spacing w:after="120"/>
      </w:pPr>
      <w:r w:rsidRPr="00BC57F4">
        <w:t>The followi</w:t>
      </w:r>
      <w:r>
        <w:t>ng endnotes are included in every</w:t>
      </w:r>
      <w:r w:rsidRPr="00BC57F4">
        <w:t xml:space="preserve"> compilation:</w:t>
      </w:r>
    </w:p>
    <w:p w:rsidR="004C7C9A" w:rsidRPr="00BC57F4" w:rsidRDefault="004C7C9A" w:rsidP="004C7C9A">
      <w:r w:rsidRPr="00BC57F4">
        <w:t>Endnote 1—About the endnotes</w:t>
      </w:r>
    </w:p>
    <w:p w:rsidR="004C7C9A" w:rsidRPr="00BC57F4" w:rsidRDefault="004C7C9A" w:rsidP="004C7C9A">
      <w:r w:rsidRPr="00BC57F4">
        <w:t>Endnote 2—Abbreviation key</w:t>
      </w:r>
    </w:p>
    <w:p w:rsidR="004C7C9A" w:rsidRPr="00BC57F4" w:rsidRDefault="004C7C9A" w:rsidP="004C7C9A">
      <w:r w:rsidRPr="00BC57F4">
        <w:t>Endnote 3—Legislation history</w:t>
      </w:r>
      <w:bookmarkStart w:id="128" w:name="opcCurrentPosition"/>
      <w:bookmarkEnd w:id="128"/>
    </w:p>
    <w:p w:rsidR="004C7C9A" w:rsidRDefault="004C7C9A" w:rsidP="004C7C9A">
      <w:pPr>
        <w:spacing w:after="120"/>
      </w:pPr>
      <w:r w:rsidRPr="00BC57F4">
        <w:t>Endnote 4—Amendment history</w:t>
      </w:r>
    </w:p>
    <w:p w:rsidR="004C7C9A" w:rsidRPr="00BC57F4" w:rsidRDefault="004C7C9A" w:rsidP="004C7C9A">
      <w:r w:rsidRPr="00BC57F4">
        <w:rPr>
          <w:b/>
        </w:rPr>
        <w:t>Abbreviation key—</w:t>
      </w:r>
      <w:r>
        <w:rPr>
          <w:b/>
        </w:rPr>
        <w:t>E</w:t>
      </w:r>
      <w:r w:rsidRPr="00BC57F4">
        <w:rPr>
          <w:b/>
        </w:rPr>
        <w:t>ndnote 2</w:t>
      </w:r>
    </w:p>
    <w:p w:rsidR="004C7C9A" w:rsidRPr="00BC57F4" w:rsidRDefault="004C7C9A" w:rsidP="004C7C9A">
      <w:pPr>
        <w:spacing w:after="120"/>
      </w:pPr>
      <w:r w:rsidRPr="00BC57F4">
        <w:t xml:space="preserve">The abbreviation key sets out abbreviations </w:t>
      </w:r>
      <w:r>
        <w:t xml:space="preserve">that may be </w:t>
      </w:r>
      <w:r w:rsidRPr="00BC57F4">
        <w:t>used in the endnotes.</w:t>
      </w:r>
    </w:p>
    <w:p w:rsidR="004C7C9A" w:rsidRPr="00BC57F4" w:rsidRDefault="004C7C9A" w:rsidP="004C7C9A">
      <w:pPr>
        <w:rPr>
          <w:b/>
        </w:rPr>
      </w:pPr>
      <w:r w:rsidRPr="00BC57F4">
        <w:rPr>
          <w:b/>
        </w:rPr>
        <w:t>Legislation history and amendment history—</w:t>
      </w:r>
      <w:r>
        <w:rPr>
          <w:b/>
        </w:rPr>
        <w:t>E</w:t>
      </w:r>
      <w:r w:rsidRPr="00BC57F4">
        <w:rPr>
          <w:b/>
        </w:rPr>
        <w:t>ndnotes 3 and 4</w:t>
      </w:r>
    </w:p>
    <w:p w:rsidR="004C7C9A" w:rsidRPr="00BC57F4" w:rsidRDefault="004C7C9A" w:rsidP="004C7C9A">
      <w:pPr>
        <w:spacing w:after="120"/>
      </w:pPr>
      <w:r w:rsidRPr="00BC57F4">
        <w:t>Amending laws are annotated in the legislation history and amendment history.</w:t>
      </w:r>
    </w:p>
    <w:p w:rsidR="004C7C9A" w:rsidRPr="00BC57F4" w:rsidRDefault="004C7C9A" w:rsidP="004C7C9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C7C9A" w:rsidRDefault="004C7C9A" w:rsidP="004C7C9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C7C9A" w:rsidRPr="00FB4AD4" w:rsidRDefault="004C7C9A" w:rsidP="004C7C9A">
      <w:pPr>
        <w:rPr>
          <w:b/>
        </w:rPr>
      </w:pPr>
      <w:r w:rsidRPr="00FB4AD4">
        <w:rPr>
          <w:b/>
        </w:rPr>
        <w:t>Editorial changes</w:t>
      </w:r>
    </w:p>
    <w:p w:rsidR="004C7C9A" w:rsidRDefault="004C7C9A" w:rsidP="004C7C9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C7C9A" w:rsidRDefault="004C7C9A" w:rsidP="004C7C9A">
      <w:pPr>
        <w:spacing w:after="120"/>
      </w:pPr>
      <w:r>
        <w:t xml:space="preserve">If the compilation includes editorial changes, the endnotes include a brief outline of the changes in general terms. Full details of any changes can be obtained from the Office of Parliamentary Counsel. </w:t>
      </w:r>
    </w:p>
    <w:p w:rsidR="004C7C9A" w:rsidRPr="00BC57F4" w:rsidRDefault="004C7C9A" w:rsidP="004C7C9A">
      <w:pPr>
        <w:keepNext/>
      </w:pPr>
      <w:r>
        <w:rPr>
          <w:b/>
        </w:rPr>
        <w:t>Misdescribed amendments</w:t>
      </w:r>
    </w:p>
    <w:p w:rsidR="004C7C9A" w:rsidRDefault="004C7C9A" w:rsidP="004C7C9A">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C7C9A" w:rsidRDefault="004C7C9A" w:rsidP="004C7C9A">
      <w:pPr>
        <w:spacing w:before="120"/>
      </w:pPr>
      <w:r w:rsidRPr="00E466D8">
        <w:t>If a misdescribed amendment cannot be given effect as intended, the abbreviation “(md not incorp)” is added to the details of the amendment included in the amendment history.</w:t>
      </w:r>
    </w:p>
    <w:p w:rsidR="004C7C9A" w:rsidRDefault="004C7C9A" w:rsidP="004C7C9A">
      <w:pPr>
        <w:spacing w:before="120"/>
      </w:pPr>
    </w:p>
    <w:p w:rsidR="004C7C9A" w:rsidRPr="001F4DF3" w:rsidRDefault="004C7C9A" w:rsidP="004C7C9A">
      <w:pPr>
        <w:pStyle w:val="ENotesHeading2"/>
        <w:pageBreakBefore/>
        <w:outlineLvl w:val="9"/>
      </w:pPr>
      <w:bookmarkStart w:id="129" w:name="_Toc48564383"/>
      <w:r w:rsidRPr="001F4DF3">
        <w:lastRenderedPageBreak/>
        <w:t>Endnote 2—Abbreviation key</w:t>
      </w:r>
      <w:bookmarkEnd w:id="129"/>
    </w:p>
    <w:p w:rsidR="004C7C9A" w:rsidRPr="002F4163" w:rsidRDefault="004C7C9A" w:rsidP="004C7C9A">
      <w:pPr>
        <w:pStyle w:val="Tabletext"/>
      </w:pPr>
    </w:p>
    <w:tbl>
      <w:tblPr>
        <w:tblW w:w="5000" w:type="pct"/>
        <w:tblLook w:val="0000" w:firstRow="0" w:lastRow="0" w:firstColumn="0" w:lastColumn="0" w:noHBand="0" w:noVBand="0"/>
      </w:tblPr>
      <w:tblGrid>
        <w:gridCol w:w="4570"/>
        <w:gridCol w:w="3959"/>
      </w:tblGrid>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ad = added or inserted</w:t>
            </w:r>
          </w:p>
        </w:tc>
        <w:tc>
          <w:tcPr>
            <w:tcW w:w="2321" w:type="pct"/>
            <w:shd w:val="clear" w:color="auto" w:fill="auto"/>
          </w:tcPr>
          <w:p w:rsidR="004C7C9A" w:rsidRPr="00EA5132" w:rsidRDefault="004C7C9A" w:rsidP="00B807E7">
            <w:pPr>
              <w:spacing w:before="60"/>
              <w:ind w:left="34"/>
              <w:rPr>
                <w:sz w:val="20"/>
              </w:rPr>
            </w:pPr>
            <w:r w:rsidRPr="00EA5132">
              <w:rPr>
                <w:sz w:val="20"/>
              </w:rPr>
              <w:t>o = order(s)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am = amended</w:t>
            </w:r>
          </w:p>
        </w:tc>
        <w:tc>
          <w:tcPr>
            <w:tcW w:w="2321" w:type="pct"/>
            <w:shd w:val="clear" w:color="auto" w:fill="auto"/>
          </w:tcPr>
          <w:p w:rsidR="004C7C9A" w:rsidRPr="00EA5132" w:rsidRDefault="004C7C9A" w:rsidP="00B807E7">
            <w:pPr>
              <w:spacing w:before="60"/>
              <w:ind w:left="34"/>
              <w:rPr>
                <w:sz w:val="20"/>
              </w:rPr>
            </w:pPr>
            <w:r w:rsidRPr="00EA5132">
              <w:rPr>
                <w:sz w:val="20"/>
              </w:rPr>
              <w:t>Ord = Ordinance</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amdt = amendment</w:t>
            </w:r>
          </w:p>
        </w:tc>
        <w:tc>
          <w:tcPr>
            <w:tcW w:w="2321" w:type="pct"/>
            <w:shd w:val="clear" w:color="auto" w:fill="auto"/>
          </w:tcPr>
          <w:p w:rsidR="004C7C9A" w:rsidRPr="00EA5132" w:rsidRDefault="004C7C9A" w:rsidP="00B807E7">
            <w:pPr>
              <w:spacing w:before="60"/>
              <w:ind w:left="34"/>
              <w:rPr>
                <w:sz w:val="20"/>
              </w:rPr>
            </w:pPr>
            <w:r w:rsidRPr="00EA5132">
              <w:rPr>
                <w:sz w:val="20"/>
              </w:rPr>
              <w:t>orig = original</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c = clause(s)</w:t>
            </w:r>
          </w:p>
        </w:tc>
        <w:tc>
          <w:tcPr>
            <w:tcW w:w="2321" w:type="pct"/>
            <w:shd w:val="clear" w:color="auto" w:fill="auto"/>
          </w:tcPr>
          <w:p w:rsidR="004C7C9A" w:rsidRPr="00EA5132" w:rsidRDefault="004C7C9A" w:rsidP="00B807E7">
            <w:pPr>
              <w:spacing w:before="60"/>
              <w:ind w:left="34"/>
              <w:rPr>
                <w:sz w:val="20"/>
              </w:rPr>
            </w:pPr>
            <w:r w:rsidRPr="00EA5132">
              <w:rPr>
                <w:sz w:val="20"/>
              </w:rPr>
              <w:t>par = paragraph(s)/subparagraph(s)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C[x] = Compilation No. x</w:t>
            </w:r>
          </w:p>
        </w:tc>
        <w:tc>
          <w:tcPr>
            <w:tcW w:w="2321" w:type="pct"/>
            <w:shd w:val="clear" w:color="auto" w:fill="auto"/>
          </w:tcPr>
          <w:p w:rsidR="004C7C9A" w:rsidRPr="00EA5132" w:rsidRDefault="004C7C9A" w:rsidP="00B807E7">
            <w:pPr>
              <w:ind w:left="34" w:firstLine="249"/>
              <w:rPr>
                <w:sz w:val="20"/>
              </w:rPr>
            </w:pPr>
            <w:r w:rsidRPr="00EA5132">
              <w:rPr>
                <w:sz w:val="20"/>
              </w:rPr>
              <w:t>/sub</w:t>
            </w:r>
            <w:r w:rsidR="00D425F1">
              <w:rPr>
                <w:sz w:val="20"/>
              </w:rPr>
              <w:noBreakHyphen/>
            </w:r>
            <w:r w:rsidRPr="00EA5132">
              <w:rPr>
                <w:sz w:val="20"/>
              </w:rPr>
              <w:t>subparagraph(s)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Ch = Chapter(s)</w:t>
            </w:r>
          </w:p>
        </w:tc>
        <w:tc>
          <w:tcPr>
            <w:tcW w:w="2321" w:type="pct"/>
            <w:shd w:val="clear" w:color="auto" w:fill="auto"/>
          </w:tcPr>
          <w:p w:rsidR="004C7C9A" w:rsidRPr="00EA5132" w:rsidRDefault="004C7C9A" w:rsidP="00B807E7">
            <w:pPr>
              <w:spacing w:before="60"/>
              <w:ind w:left="34"/>
              <w:rPr>
                <w:sz w:val="20"/>
              </w:rPr>
            </w:pPr>
            <w:r w:rsidRPr="00EA5132">
              <w:rPr>
                <w:sz w:val="20"/>
              </w:rPr>
              <w:t>pres = present</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def = definition(s)</w:t>
            </w:r>
          </w:p>
        </w:tc>
        <w:tc>
          <w:tcPr>
            <w:tcW w:w="2321" w:type="pct"/>
            <w:shd w:val="clear" w:color="auto" w:fill="auto"/>
          </w:tcPr>
          <w:p w:rsidR="004C7C9A" w:rsidRPr="00EA5132" w:rsidRDefault="004C7C9A" w:rsidP="00B807E7">
            <w:pPr>
              <w:spacing w:before="60"/>
              <w:ind w:left="34"/>
              <w:rPr>
                <w:sz w:val="20"/>
              </w:rPr>
            </w:pPr>
            <w:r w:rsidRPr="00EA5132">
              <w:rPr>
                <w:sz w:val="20"/>
              </w:rPr>
              <w:t>prev = previous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Dict = Dictionary</w:t>
            </w:r>
          </w:p>
        </w:tc>
        <w:tc>
          <w:tcPr>
            <w:tcW w:w="2321" w:type="pct"/>
            <w:shd w:val="clear" w:color="auto" w:fill="auto"/>
          </w:tcPr>
          <w:p w:rsidR="004C7C9A" w:rsidRPr="00EA5132" w:rsidRDefault="004C7C9A" w:rsidP="00B807E7">
            <w:pPr>
              <w:spacing w:before="60"/>
              <w:ind w:left="34"/>
              <w:rPr>
                <w:sz w:val="20"/>
              </w:rPr>
            </w:pPr>
            <w:r w:rsidRPr="00EA5132">
              <w:rPr>
                <w:sz w:val="20"/>
              </w:rPr>
              <w:t>(prev…) = previously</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disallowed = disallowed by Parliament</w:t>
            </w:r>
          </w:p>
        </w:tc>
        <w:tc>
          <w:tcPr>
            <w:tcW w:w="2321" w:type="pct"/>
            <w:shd w:val="clear" w:color="auto" w:fill="auto"/>
          </w:tcPr>
          <w:p w:rsidR="004C7C9A" w:rsidRPr="00EA5132" w:rsidRDefault="004C7C9A" w:rsidP="00B807E7">
            <w:pPr>
              <w:spacing w:before="60"/>
              <w:ind w:left="34"/>
              <w:rPr>
                <w:sz w:val="20"/>
              </w:rPr>
            </w:pPr>
            <w:r w:rsidRPr="00EA5132">
              <w:rPr>
                <w:sz w:val="20"/>
              </w:rPr>
              <w:t>Pt = Part(s)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Div = Division(s)</w:t>
            </w:r>
          </w:p>
        </w:tc>
        <w:tc>
          <w:tcPr>
            <w:tcW w:w="2321" w:type="pct"/>
            <w:shd w:val="clear" w:color="auto" w:fill="auto"/>
          </w:tcPr>
          <w:p w:rsidR="004C7C9A" w:rsidRPr="00EA5132" w:rsidRDefault="004C7C9A" w:rsidP="00B807E7">
            <w:pPr>
              <w:spacing w:before="60"/>
              <w:ind w:left="34"/>
              <w:rPr>
                <w:sz w:val="20"/>
              </w:rPr>
            </w:pPr>
            <w:r w:rsidRPr="00EA5132">
              <w:rPr>
                <w:sz w:val="20"/>
              </w:rPr>
              <w:t>r = regulation(s)/rule(s)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Pr>
                <w:sz w:val="20"/>
              </w:rPr>
              <w:t>ed = editorial change</w:t>
            </w:r>
          </w:p>
        </w:tc>
        <w:tc>
          <w:tcPr>
            <w:tcW w:w="2321" w:type="pct"/>
            <w:shd w:val="clear" w:color="auto" w:fill="auto"/>
          </w:tcPr>
          <w:p w:rsidR="004C7C9A" w:rsidRPr="00EA5132" w:rsidRDefault="004C7C9A" w:rsidP="00B807E7">
            <w:pPr>
              <w:spacing w:before="60"/>
              <w:ind w:left="34"/>
              <w:rPr>
                <w:sz w:val="20"/>
              </w:rPr>
            </w:pPr>
            <w:r w:rsidRPr="00EA5132">
              <w:rPr>
                <w:sz w:val="20"/>
              </w:rPr>
              <w:t>reloc = relocated</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exp = expires/expired or ceases/ceased to have</w:t>
            </w:r>
          </w:p>
        </w:tc>
        <w:tc>
          <w:tcPr>
            <w:tcW w:w="2321" w:type="pct"/>
            <w:shd w:val="clear" w:color="auto" w:fill="auto"/>
          </w:tcPr>
          <w:p w:rsidR="004C7C9A" w:rsidRPr="00EA5132" w:rsidRDefault="004C7C9A" w:rsidP="00B807E7">
            <w:pPr>
              <w:spacing w:before="60"/>
              <w:ind w:left="34"/>
              <w:rPr>
                <w:sz w:val="20"/>
              </w:rPr>
            </w:pPr>
            <w:r w:rsidRPr="00EA5132">
              <w:rPr>
                <w:sz w:val="20"/>
              </w:rPr>
              <w:t>renum = renumbered</w:t>
            </w:r>
          </w:p>
        </w:tc>
      </w:tr>
      <w:tr w:rsidR="004C7C9A" w:rsidRPr="00EA5132" w:rsidTr="00B807E7">
        <w:tc>
          <w:tcPr>
            <w:tcW w:w="2679" w:type="pct"/>
            <w:shd w:val="clear" w:color="auto" w:fill="auto"/>
          </w:tcPr>
          <w:p w:rsidR="004C7C9A" w:rsidRPr="00EA5132" w:rsidRDefault="004C7C9A" w:rsidP="00B807E7">
            <w:pPr>
              <w:ind w:left="34" w:firstLine="249"/>
              <w:rPr>
                <w:sz w:val="20"/>
              </w:rPr>
            </w:pPr>
            <w:r w:rsidRPr="00EA5132">
              <w:rPr>
                <w:sz w:val="20"/>
              </w:rPr>
              <w:t>effect</w:t>
            </w:r>
          </w:p>
        </w:tc>
        <w:tc>
          <w:tcPr>
            <w:tcW w:w="2321" w:type="pct"/>
            <w:shd w:val="clear" w:color="auto" w:fill="auto"/>
          </w:tcPr>
          <w:p w:rsidR="004C7C9A" w:rsidRPr="00EA5132" w:rsidRDefault="004C7C9A" w:rsidP="00B807E7">
            <w:pPr>
              <w:spacing w:before="60"/>
              <w:ind w:left="34"/>
              <w:rPr>
                <w:sz w:val="20"/>
              </w:rPr>
            </w:pPr>
            <w:r w:rsidRPr="00EA5132">
              <w:rPr>
                <w:sz w:val="20"/>
              </w:rPr>
              <w:t>rep = repealed</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F = Federal Register of Legislat</w:t>
            </w:r>
            <w:r>
              <w:rPr>
                <w:sz w:val="20"/>
              </w:rPr>
              <w:t>ion</w:t>
            </w:r>
          </w:p>
        </w:tc>
        <w:tc>
          <w:tcPr>
            <w:tcW w:w="2321" w:type="pct"/>
            <w:shd w:val="clear" w:color="auto" w:fill="auto"/>
          </w:tcPr>
          <w:p w:rsidR="004C7C9A" w:rsidRPr="00EA5132" w:rsidRDefault="004C7C9A" w:rsidP="00B807E7">
            <w:pPr>
              <w:spacing w:before="60"/>
              <w:ind w:left="34"/>
              <w:rPr>
                <w:sz w:val="20"/>
              </w:rPr>
            </w:pPr>
            <w:r w:rsidRPr="00EA5132">
              <w:rPr>
                <w:sz w:val="20"/>
              </w:rPr>
              <w:t>rs = repealed and substituted</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gaz = gazette</w:t>
            </w:r>
          </w:p>
        </w:tc>
        <w:tc>
          <w:tcPr>
            <w:tcW w:w="2321" w:type="pct"/>
            <w:shd w:val="clear" w:color="auto" w:fill="auto"/>
          </w:tcPr>
          <w:p w:rsidR="004C7C9A" w:rsidRPr="00EA5132" w:rsidRDefault="004C7C9A" w:rsidP="00B807E7">
            <w:pPr>
              <w:spacing w:before="60"/>
              <w:ind w:left="34"/>
              <w:rPr>
                <w:sz w:val="20"/>
              </w:rPr>
            </w:pPr>
            <w:r w:rsidRPr="00EA5132">
              <w:rPr>
                <w:sz w:val="20"/>
              </w:rPr>
              <w:t>s = section(s)/subsection(s)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4C7C9A" w:rsidRPr="00EA5132" w:rsidRDefault="004C7C9A" w:rsidP="00B807E7">
            <w:pPr>
              <w:spacing w:before="60"/>
              <w:ind w:left="34"/>
              <w:rPr>
                <w:sz w:val="20"/>
              </w:rPr>
            </w:pPr>
            <w:r w:rsidRPr="00EA5132">
              <w:rPr>
                <w:sz w:val="20"/>
              </w:rPr>
              <w:t>Sch = Schedule(s)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4C7C9A" w:rsidRPr="00EA5132" w:rsidRDefault="004C7C9A" w:rsidP="00B807E7">
            <w:pPr>
              <w:spacing w:before="60"/>
              <w:ind w:left="34"/>
              <w:rPr>
                <w:sz w:val="20"/>
              </w:rPr>
            </w:pPr>
            <w:r w:rsidRPr="00EA5132">
              <w:rPr>
                <w:sz w:val="20"/>
              </w:rPr>
              <w:t>Sdiv = Subdivision(s)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(md) = misdescribed amendment can be given</w:t>
            </w:r>
          </w:p>
        </w:tc>
        <w:tc>
          <w:tcPr>
            <w:tcW w:w="2321" w:type="pct"/>
            <w:shd w:val="clear" w:color="auto" w:fill="auto"/>
          </w:tcPr>
          <w:p w:rsidR="004C7C9A" w:rsidRPr="00EA5132" w:rsidRDefault="004C7C9A" w:rsidP="00B807E7">
            <w:pPr>
              <w:spacing w:before="60"/>
              <w:ind w:left="34"/>
              <w:rPr>
                <w:sz w:val="20"/>
              </w:rPr>
            </w:pPr>
            <w:r w:rsidRPr="00EA5132">
              <w:rPr>
                <w:sz w:val="20"/>
              </w:rPr>
              <w:t>SLI = Select Legislative Instrument</w:t>
            </w:r>
          </w:p>
        </w:tc>
      </w:tr>
      <w:tr w:rsidR="004C7C9A" w:rsidRPr="00EA5132" w:rsidTr="00B807E7">
        <w:tc>
          <w:tcPr>
            <w:tcW w:w="2679" w:type="pct"/>
            <w:shd w:val="clear" w:color="auto" w:fill="auto"/>
          </w:tcPr>
          <w:p w:rsidR="004C7C9A" w:rsidRPr="00EA5132" w:rsidRDefault="004C7C9A" w:rsidP="00B807E7">
            <w:pPr>
              <w:ind w:left="34" w:firstLine="249"/>
              <w:rPr>
                <w:sz w:val="20"/>
              </w:rPr>
            </w:pPr>
            <w:r w:rsidRPr="00EA5132">
              <w:rPr>
                <w:sz w:val="20"/>
              </w:rPr>
              <w:t>effect</w:t>
            </w:r>
          </w:p>
        </w:tc>
        <w:tc>
          <w:tcPr>
            <w:tcW w:w="2321" w:type="pct"/>
            <w:shd w:val="clear" w:color="auto" w:fill="auto"/>
          </w:tcPr>
          <w:p w:rsidR="004C7C9A" w:rsidRPr="00EA5132" w:rsidRDefault="004C7C9A" w:rsidP="00B807E7">
            <w:pPr>
              <w:spacing w:before="60"/>
              <w:ind w:left="34"/>
              <w:rPr>
                <w:sz w:val="20"/>
              </w:rPr>
            </w:pPr>
            <w:r w:rsidRPr="00EA5132">
              <w:rPr>
                <w:sz w:val="20"/>
              </w:rPr>
              <w:t>SR = Statutory Rules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(md not incorp) = misdescribed amendment</w:t>
            </w:r>
          </w:p>
        </w:tc>
        <w:tc>
          <w:tcPr>
            <w:tcW w:w="2321" w:type="pct"/>
            <w:shd w:val="clear" w:color="auto" w:fill="auto"/>
          </w:tcPr>
          <w:p w:rsidR="004C7C9A" w:rsidRPr="00EA5132" w:rsidRDefault="004C7C9A" w:rsidP="00B807E7">
            <w:pPr>
              <w:spacing w:before="60"/>
              <w:ind w:left="34"/>
              <w:rPr>
                <w:sz w:val="20"/>
              </w:rPr>
            </w:pPr>
            <w:r w:rsidRPr="00EA5132">
              <w:rPr>
                <w:sz w:val="20"/>
              </w:rPr>
              <w:t>Sub</w:t>
            </w:r>
            <w:r w:rsidR="00D425F1">
              <w:rPr>
                <w:sz w:val="20"/>
              </w:rPr>
              <w:noBreakHyphen/>
            </w:r>
            <w:r w:rsidRPr="00EA5132">
              <w:rPr>
                <w:sz w:val="20"/>
              </w:rPr>
              <w:t>Ch = Sub</w:t>
            </w:r>
            <w:r w:rsidR="00D425F1">
              <w:rPr>
                <w:sz w:val="20"/>
              </w:rPr>
              <w:noBreakHyphen/>
            </w:r>
            <w:r w:rsidRPr="00EA5132">
              <w:rPr>
                <w:sz w:val="20"/>
              </w:rPr>
              <w:t>Chapter(s)</w:t>
            </w:r>
          </w:p>
        </w:tc>
      </w:tr>
      <w:tr w:rsidR="004C7C9A" w:rsidRPr="00EA5132" w:rsidTr="00B807E7">
        <w:tc>
          <w:tcPr>
            <w:tcW w:w="2679" w:type="pct"/>
            <w:shd w:val="clear" w:color="auto" w:fill="auto"/>
          </w:tcPr>
          <w:p w:rsidR="004C7C9A" w:rsidRPr="00EA5132" w:rsidRDefault="004C7C9A" w:rsidP="00B807E7">
            <w:pPr>
              <w:ind w:left="34" w:firstLine="249"/>
              <w:rPr>
                <w:sz w:val="20"/>
              </w:rPr>
            </w:pPr>
            <w:r w:rsidRPr="00EA5132">
              <w:rPr>
                <w:sz w:val="20"/>
              </w:rPr>
              <w:t>cannot be given effect</w:t>
            </w:r>
          </w:p>
        </w:tc>
        <w:tc>
          <w:tcPr>
            <w:tcW w:w="2321" w:type="pct"/>
            <w:shd w:val="clear" w:color="auto" w:fill="auto"/>
          </w:tcPr>
          <w:p w:rsidR="004C7C9A" w:rsidRPr="00EA5132" w:rsidRDefault="004C7C9A" w:rsidP="00B807E7">
            <w:pPr>
              <w:spacing w:before="60"/>
              <w:ind w:left="34"/>
              <w:rPr>
                <w:sz w:val="20"/>
              </w:rPr>
            </w:pPr>
            <w:r w:rsidRPr="00EA5132">
              <w:rPr>
                <w:sz w:val="20"/>
              </w:rPr>
              <w:t>SubPt = Subpart(s)</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mod = modified/modification</w:t>
            </w:r>
          </w:p>
        </w:tc>
        <w:tc>
          <w:tcPr>
            <w:tcW w:w="2321" w:type="pct"/>
            <w:shd w:val="clear" w:color="auto" w:fill="auto"/>
          </w:tcPr>
          <w:p w:rsidR="004C7C9A" w:rsidRPr="00EA5132" w:rsidRDefault="004C7C9A" w:rsidP="00B807E7">
            <w:pPr>
              <w:spacing w:before="60"/>
              <w:ind w:left="34"/>
              <w:rPr>
                <w:sz w:val="20"/>
              </w:rPr>
            </w:pPr>
            <w:r w:rsidRPr="00C5426A">
              <w:rPr>
                <w:sz w:val="20"/>
                <w:u w:val="single"/>
              </w:rPr>
              <w:t>underlining</w:t>
            </w:r>
            <w:r w:rsidRPr="00EA5132">
              <w:rPr>
                <w:sz w:val="20"/>
              </w:rPr>
              <w:t xml:space="preserve"> = whole or part not</w:t>
            </w:r>
          </w:p>
        </w:tc>
      </w:tr>
      <w:tr w:rsidR="004C7C9A" w:rsidRPr="00EA5132" w:rsidTr="00B807E7">
        <w:tc>
          <w:tcPr>
            <w:tcW w:w="2679" w:type="pct"/>
            <w:shd w:val="clear" w:color="auto" w:fill="auto"/>
          </w:tcPr>
          <w:p w:rsidR="004C7C9A" w:rsidRPr="00EA5132" w:rsidRDefault="004C7C9A" w:rsidP="00B807E7">
            <w:pPr>
              <w:spacing w:before="60"/>
              <w:ind w:left="34"/>
              <w:rPr>
                <w:sz w:val="20"/>
              </w:rPr>
            </w:pPr>
            <w:r w:rsidRPr="00EA5132">
              <w:rPr>
                <w:sz w:val="20"/>
              </w:rPr>
              <w:t>No. = Number(s)</w:t>
            </w:r>
          </w:p>
        </w:tc>
        <w:tc>
          <w:tcPr>
            <w:tcW w:w="2321" w:type="pct"/>
            <w:shd w:val="clear" w:color="auto" w:fill="auto"/>
          </w:tcPr>
          <w:p w:rsidR="004C7C9A" w:rsidRPr="00EA5132" w:rsidRDefault="004C7C9A" w:rsidP="00B807E7">
            <w:pPr>
              <w:ind w:left="34" w:firstLine="249"/>
              <w:rPr>
                <w:sz w:val="20"/>
              </w:rPr>
            </w:pPr>
            <w:r w:rsidRPr="00EA5132">
              <w:rPr>
                <w:sz w:val="20"/>
              </w:rPr>
              <w:t>commenced or to be commenced</w:t>
            </w:r>
          </w:p>
        </w:tc>
      </w:tr>
    </w:tbl>
    <w:p w:rsidR="004C7C9A" w:rsidRPr="00C5426A" w:rsidRDefault="004C7C9A" w:rsidP="004C7C9A">
      <w:pPr>
        <w:pStyle w:val="Tabletext"/>
      </w:pPr>
    </w:p>
    <w:p w:rsidR="004C7C9A" w:rsidRDefault="004C7C9A" w:rsidP="004C7C9A">
      <w:pPr>
        <w:pStyle w:val="ENotesHeading2"/>
        <w:pageBreakBefore/>
      </w:pPr>
      <w:bookmarkStart w:id="130" w:name="_Toc48564384"/>
      <w:r>
        <w:lastRenderedPageBreak/>
        <w:t>Endnote 3—Legislation history</w:t>
      </w:r>
      <w:bookmarkEnd w:id="130"/>
    </w:p>
    <w:p w:rsidR="004C7C9A" w:rsidRDefault="004C7C9A" w:rsidP="004C7C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4C7C9A" w:rsidRPr="0098546F" w:rsidTr="00B807E7">
        <w:trPr>
          <w:cantSplit/>
          <w:tblHeader/>
        </w:trPr>
        <w:tc>
          <w:tcPr>
            <w:tcW w:w="1250" w:type="pct"/>
            <w:tcBorders>
              <w:top w:val="single" w:sz="12" w:space="0" w:color="auto"/>
              <w:bottom w:val="single" w:sz="12" w:space="0" w:color="auto"/>
            </w:tcBorders>
            <w:shd w:val="clear" w:color="auto" w:fill="auto"/>
          </w:tcPr>
          <w:p w:rsidR="004C7C9A" w:rsidRPr="00E117A3" w:rsidRDefault="004C7C9A" w:rsidP="00B807E7">
            <w:pPr>
              <w:pStyle w:val="ENoteTableHeading"/>
            </w:pPr>
            <w:r>
              <w:t>Name</w:t>
            </w:r>
          </w:p>
        </w:tc>
        <w:tc>
          <w:tcPr>
            <w:tcW w:w="1250" w:type="pct"/>
            <w:tcBorders>
              <w:top w:val="single" w:sz="12" w:space="0" w:color="auto"/>
              <w:bottom w:val="single" w:sz="12" w:space="0" w:color="auto"/>
            </w:tcBorders>
            <w:shd w:val="clear" w:color="auto" w:fill="auto"/>
          </w:tcPr>
          <w:p w:rsidR="004C7C9A" w:rsidRPr="00E117A3" w:rsidRDefault="004C7C9A" w:rsidP="00B807E7">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rsidR="004C7C9A" w:rsidRPr="00E117A3" w:rsidRDefault="004C7C9A" w:rsidP="00B807E7">
            <w:pPr>
              <w:pStyle w:val="ENoteTableHeading"/>
            </w:pPr>
            <w:r>
              <w:t>Commencement</w:t>
            </w:r>
          </w:p>
        </w:tc>
        <w:tc>
          <w:tcPr>
            <w:tcW w:w="1250" w:type="pct"/>
            <w:tcBorders>
              <w:top w:val="single" w:sz="12" w:space="0" w:color="auto"/>
              <w:bottom w:val="single" w:sz="12" w:space="0" w:color="auto"/>
            </w:tcBorders>
            <w:shd w:val="clear" w:color="auto" w:fill="auto"/>
          </w:tcPr>
          <w:p w:rsidR="004C7C9A" w:rsidRPr="00E117A3" w:rsidRDefault="004C7C9A" w:rsidP="00B807E7">
            <w:pPr>
              <w:pStyle w:val="ENoteTableHeading"/>
            </w:pPr>
            <w:r w:rsidRPr="00E117A3">
              <w:t>Application, saving and transitional provisions</w:t>
            </w:r>
          </w:p>
        </w:tc>
      </w:tr>
      <w:tr w:rsidR="004C7C9A" w:rsidRPr="00E117A3" w:rsidTr="00B807E7">
        <w:trPr>
          <w:cantSplit/>
        </w:trPr>
        <w:tc>
          <w:tcPr>
            <w:tcW w:w="1250" w:type="pct"/>
            <w:tcBorders>
              <w:top w:val="single" w:sz="12" w:space="0" w:color="auto"/>
              <w:bottom w:val="single" w:sz="4" w:space="0" w:color="auto"/>
            </w:tcBorders>
            <w:shd w:val="clear" w:color="auto" w:fill="auto"/>
          </w:tcPr>
          <w:p w:rsidR="004C7C9A" w:rsidRPr="00E117A3" w:rsidRDefault="004C7C9A" w:rsidP="00B807E7">
            <w:pPr>
              <w:pStyle w:val="ENoteTableText"/>
            </w:pPr>
            <w:r>
              <w:t xml:space="preserve">Therapeutic Goods Legislation Amendment (2019 Measures No. 1) </w:t>
            </w:r>
            <w:r w:rsidR="00D425F1">
              <w:t>Regulations 2</w:t>
            </w:r>
            <w:r>
              <w:t>019</w:t>
            </w:r>
          </w:p>
        </w:tc>
        <w:tc>
          <w:tcPr>
            <w:tcW w:w="1250" w:type="pct"/>
            <w:tcBorders>
              <w:top w:val="single" w:sz="12" w:space="0" w:color="auto"/>
              <w:bottom w:val="single" w:sz="4" w:space="0" w:color="auto"/>
            </w:tcBorders>
            <w:shd w:val="clear" w:color="auto" w:fill="auto"/>
          </w:tcPr>
          <w:p w:rsidR="004C7C9A" w:rsidRPr="00E117A3" w:rsidRDefault="004C7C9A" w:rsidP="00B807E7">
            <w:pPr>
              <w:pStyle w:val="ENoteTableText"/>
            </w:pPr>
            <w:r>
              <w:t>18 Dec 2019 (F2019L01660)</w:t>
            </w:r>
          </w:p>
        </w:tc>
        <w:tc>
          <w:tcPr>
            <w:tcW w:w="1250" w:type="pct"/>
            <w:tcBorders>
              <w:top w:val="single" w:sz="12" w:space="0" w:color="auto"/>
              <w:bottom w:val="single" w:sz="4" w:space="0" w:color="auto"/>
            </w:tcBorders>
            <w:shd w:val="clear" w:color="auto" w:fill="auto"/>
          </w:tcPr>
          <w:p w:rsidR="004C7C9A" w:rsidRPr="00E117A3" w:rsidRDefault="004C7C9A" w:rsidP="00B807E7">
            <w:pPr>
              <w:pStyle w:val="ENoteTableText"/>
            </w:pPr>
            <w:r>
              <w:t>s 1–4, Sch 8, Sch 9 (</w:t>
            </w:r>
            <w:r w:rsidR="00D425F1">
              <w:t>items 1</w:t>
            </w:r>
            <w:r>
              <w:t xml:space="preserve">1–13) and Sch 10: 19 Dec 2019 (s 2(1) </w:t>
            </w:r>
            <w:r w:rsidR="00D425F1">
              <w:t>items 1</w:t>
            </w:r>
            <w:r>
              <w:t>, 7, 9, 10)</w:t>
            </w:r>
            <w:r>
              <w:br/>
              <w:t xml:space="preserve">Sch 1: </w:t>
            </w:r>
            <w:r w:rsidRPr="000922B5">
              <w:rPr>
                <w:u w:val="single"/>
              </w:rPr>
              <w:t xml:space="preserve">25 Nov </w:t>
            </w:r>
            <w:r>
              <w:rPr>
                <w:u w:val="single"/>
              </w:rPr>
              <w:t xml:space="preserve">2021 </w:t>
            </w:r>
            <w:r w:rsidRPr="000922B5">
              <w:rPr>
                <w:u w:val="single"/>
              </w:rPr>
              <w:t xml:space="preserve">(s 2(1) </w:t>
            </w:r>
            <w:r w:rsidR="00D425F1">
              <w:rPr>
                <w:u w:val="single"/>
              </w:rPr>
              <w:t>item 2</w:t>
            </w:r>
            <w:r w:rsidRPr="000922B5">
              <w:rPr>
                <w:u w:val="single"/>
              </w:rPr>
              <w:t>)</w:t>
            </w:r>
            <w:r>
              <w:br/>
              <w:t xml:space="preserve">Sch 2 and 3: </w:t>
            </w:r>
            <w:r w:rsidRPr="000922B5">
              <w:rPr>
                <w:u w:val="single"/>
              </w:rPr>
              <w:t xml:space="preserve">25 Feb 2021 (s 2(1) </w:t>
            </w:r>
            <w:r w:rsidR="00D425F1">
              <w:rPr>
                <w:u w:val="single"/>
              </w:rPr>
              <w:t>item 2</w:t>
            </w:r>
            <w:r w:rsidRPr="000922B5">
              <w:rPr>
                <w:u w:val="single"/>
              </w:rPr>
              <w:t>A)</w:t>
            </w:r>
            <w:r>
              <w:br/>
              <w:t xml:space="preserve">Sch 4: 1 Feb 2020 (s 2(1) </w:t>
            </w:r>
            <w:r w:rsidR="00D425F1">
              <w:t>item 3</w:t>
            </w:r>
            <w:r>
              <w:t>)</w:t>
            </w:r>
            <w:r>
              <w:br/>
              <w:t>Sch 5, 7 and Sch 9 (</w:t>
            </w:r>
            <w:r w:rsidR="00D425F1">
              <w:t>items 1</w:t>
            </w:r>
            <w:r>
              <w:t xml:space="preserve">–10): 1 Jan 2020 (s 2(1) </w:t>
            </w:r>
            <w:r w:rsidR="00D425F1">
              <w:t>items 4</w:t>
            </w:r>
            <w:r>
              <w:t>, 6, 8)</w:t>
            </w:r>
            <w:r>
              <w:br/>
              <w:t xml:space="preserve">Sch 6: </w:t>
            </w:r>
            <w:r w:rsidRPr="000922B5">
              <w:rPr>
                <w:u w:val="single"/>
              </w:rPr>
              <w:t xml:space="preserve">1 Jan 2021 (s 2(1) </w:t>
            </w:r>
            <w:r w:rsidR="00D425F1">
              <w:rPr>
                <w:u w:val="single"/>
              </w:rPr>
              <w:t>item 5</w:t>
            </w:r>
            <w:r w:rsidRPr="000922B5">
              <w:rPr>
                <w:u w:val="single"/>
              </w:rPr>
              <w:t>)</w:t>
            </w:r>
          </w:p>
        </w:tc>
        <w:tc>
          <w:tcPr>
            <w:tcW w:w="1250" w:type="pct"/>
            <w:tcBorders>
              <w:top w:val="single" w:sz="12" w:space="0" w:color="auto"/>
              <w:bottom w:val="single" w:sz="4" w:space="0" w:color="auto"/>
            </w:tcBorders>
            <w:shd w:val="clear" w:color="auto" w:fill="auto"/>
          </w:tcPr>
          <w:p w:rsidR="004C7C9A" w:rsidRPr="00E117A3" w:rsidRDefault="004C7C9A" w:rsidP="00B807E7">
            <w:pPr>
              <w:pStyle w:val="ENoteTableText"/>
            </w:pPr>
          </w:p>
        </w:tc>
      </w:tr>
      <w:tr w:rsidR="004C7C9A" w:rsidTr="00B807E7">
        <w:trPr>
          <w:cantSplit/>
        </w:trPr>
        <w:tc>
          <w:tcPr>
            <w:tcW w:w="1250" w:type="pct"/>
            <w:tcBorders>
              <w:bottom w:val="single" w:sz="12" w:space="0" w:color="auto"/>
            </w:tcBorders>
            <w:shd w:val="clear" w:color="auto" w:fill="auto"/>
          </w:tcPr>
          <w:p w:rsidR="004C7C9A" w:rsidRPr="00E117A3" w:rsidRDefault="004C7C9A" w:rsidP="00B807E7">
            <w:pPr>
              <w:pStyle w:val="ENoteTableText"/>
            </w:pPr>
            <w:r w:rsidRPr="00E367C1">
              <w:t xml:space="preserve">Therapeutic Goods Legislation Amendment (2020 Measures No. 1) </w:t>
            </w:r>
            <w:r w:rsidR="00D425F1">
              <w:t>Regulations 2</w:t>
            </w:r>
            <w:r w:rsidRPr="00E367C1">
              <w:t>020</w:t>
            </w:r>
          </w:p>
        </w:tc>
        <w:tc>
          <w:tcPr>
            <w:tcW w:w="1250" w:type="pct"/>
            <w:tcBorders>
              <w:bottom w:val="single" w:sz="12" w:space="0" w:color="auto"/>
            </w:tcBorders>
            <w:shd w:val="clear" w:color="auto" w:fill="auto"/>
          </w:tcPr>
          <w:p w:rsidR="004C7C9A" w:rsidRPr="00E117A3" w:rsidRDefault="00D425F1" w:rsidP="00B807E7">
            <w:pPr>
              <w:pStyle w:val="ENoteTableText"/>
            </w:pPr>
            <w:r>
              <w:t>23 July</w:t>
            </w:r>
            <w:r w:rsidR="004C7C9A">
              <w:t xml:space="preserve"> 2020 (F2020L00946)</w:t>
            </w:r>
          </w:p>
        </w:tc>
        <w:tc>
          <w:tcPr>
            <w:tcW w:w="1250" w:type="pct"/>
            <w:tcBorders>
              <w:bottom w:val="single" w:sz="12" w:space="0" w:color="auto"/>
            </w:tcBorders>
            <w:shd w:val="clear" w:color="auto" w:fill="auto"/>
          </w:tcPr>
          <w:p w:rsidR="004C7C9A" w:rsidRPr="00E117A3" w:rsidRDefault="004C7C9A" w:rsidP="00B807E7">
            <w:pPr>
              <w:pStyle w:val="ENoteTableText"/>
            </w:pPr>
            <w:r>
              <w:t>Sch 8 (</w:t>
            </w:r>
            <w:r w:rsidR="00D425F1">
              <w:t>item 1</w:t>
            </w:r>
            <w:r>
              <w:t xml:space="preserve">): </w:t>
            </w:r>
            <w:r w:rsidR="00D425F1">
              <w:t>24 July</w:t>
            </w:r>
            <w:r>
              <w:t xml:space="preserve"> 2020 (s 2(1) </w:t>
            </w:r>
            <w:r w:rsidR="00D425F1">
              <w:t>item 7</w:t>
            </w:r>
            <w:r>
              <w:t>)</w:t>
            </w:r>
          </w:p>
        </w:tc>
        <w:tc>
          <w:tcPr>
            <w:tcW w:w="1250" w:type="pct"/>
            <w:tcBorders>
              <w:bottom w:val="single" w:sz="12" w:space="0" w:color="auto"/>
            </w:tcBorders>
            <w:shd w:val="clear" w:color="auto" w:fill="auto"/>
          </w:tcPr>
          <w:p w:rsidR="004C7C9A" w:rsidRPr="00E117A3" w:rsidRDefault="004C7C9A" w:rsidP="00B807E7">
            <w:pPr>
              <w:pStyle w:val="ENoteTableText"/>
            </w:pPr>
            <w:r>
              <w:t>—</w:t>
            </w:r>
          </w:p>
        </w:tc>
      </w:tr>
    </w:tbl>
    <w:p w:rsidR="004C7C9A" w:rsidRDefault="004C7C9A" w:rsidP="004C7C9A">
      <w:pPr>
        <w:pStyle w:val="Tabletext"/>
      </w:pPr>
    </w:p>
    <w:p w:rsidR="004C7C9A" w:rsidRDefault="004C7C9A" w:rsidP="004C7C9A">
      <w:pPr>
        <w:pStyle w:val="ENotesHeading2"/>
        <w:pageBreakBefore/>
      </w:pPr>
      <w:bookmarkStart w:id="131" w:name="_Toc48564385"/>
      <w:r>
        <w:lastRenderedPageBreak/>
        <w:t>Endnote 4—Amendment history</w:t>
      </w:r>
      <w:bookmarkEnd w:id="131"/>
    </w:p>
    <w:p w:rsidR="004C7C9A" w:rsidRDefault="004C7C9A" w:rsidP="004C7C9A">
      <w:pPr>
        <w:pStyle w:val="Tabletext"/>
      </w:pPr>
    </w:p>
    <w:tbl>
      <w:tblPr>
        <w:tblW w:w="5000" w:type="pct"/>
        <w:tblLook w:val="0000" w:firstRow="0" w:lastRow="0" w:firstColumn="0" w:lastColumn="0" w:noHBand="0" w:noVBand="0"/>
      </w:tblPr>
      <w:tblGrid>
        <w:gridCol w:w="2352"/>
        <w:gridCol w:w="6177"/>
      </w:tblGrid>
      <w:tr w:rsidR="004C7C9A" w:rsidRPr="0098546F" w:rsidTr="00B807E7">
        <w:trPr>
          <w:cantSplit/>
          <w:tblHeader/>
        </w:trPr>
        <w:tc>
          <w:tcPr>
            <w:tcW w:w="1379" w:type="pct"/>
            <w:tcBorders>
              <w:top w:val="single" w:sz="12" w:space="0" w:color="auto"/>
              <w:bottom w:val="single" w:sz="12" w:space="0" w:color="auto"/>
            </w:tcBorders>
            <w:shd w:val="clear" w:color="auto" w:fill="auto"/>
          </w:tcPr>
          <w:p w:rsidR="004C7C9A" w:rsidRPr="00E117A3" w:rsidRDefault="004C7C9A" w:rsidP="00B807E7">
            <w:pPr>
              <w:pStyle w:val="ENoteTableHeading"/>
              <w:tabs>
                <w:tab w:val="center" w:leader="dot" w:pos="2268"/>
              </w:tabs>
            </w:pPr>
            <w:r w:rsidRPr="00E117A3">
              <w:t>Provision affected</w:t>
            </w:r>
          </w:p>
        </w:tc>
        <w:tc>
          <w:tcPr>
            <w:tcW w:w="3621" w:type="pct"/>
            <w:tcBorders>
              <w:top w:val="single" w:sz="12" w:space="0" w:color="auto"/>
              <w:bottom w:val="single" w:sz="12" w:space="0" w:color="auto"/>
            </w:tcBorders>
            <w:shd w:val="clear" w:color="auto" w:fill="auto"/>
          </w:tcPr>
          <w:p w:rsidR="004C7C9A" w:rsidRPr="00E117A3" w:rsidRDefault="004C7C9A" w:rsidP="00B807E7">
            <w:pPr>
              <w:pStyle w:val="ENoteTableHeading"/>
              <w:tabs>
                <w:tab w:val="center" w:leader="dot" w:pos="2268"/>
              </w:tabs>
            </w:pPr>
            <w:r w:rsidRPr="00E117A3">
              <w:t>How affected</w:t>
            </w:r>
          </w:p>
        </w:tc>
      </w:tr>
      <w:tr w:rsidR="004C7C9A" w:rsidRPr="00E117A3" w:rsidTr="00B807E7">
        <w:trPr>
          <w:cantSplit/>
        </w:trPr>
        <w:tc>
          <w:tcPr>
            <w:tcW w:w="1379" w:type="pct"/>
            <w:tcBorders>
              <w:top w:val="single" w:sz="12" w:space="0" w:color="auto"/>
              <w:bottom w:val="single" w:sz="12" w:space="0" w:color="auto"/>
            </w:tcBorders>
            <w:shd w:val="clear" w:color="auto" w:fill="auto"/>
          </w:tcPr>
          <w:p w:rsidR="004C7C9A" w:rsidRPr="00E117A3" w:rsidRDefault="004C7C9A" w:rsidP="00B807E7">
            <w:pPr>
              <w:pStyle w:val="ENoteTableText"/>
              <w:tabs>
                <w:tab w:val="center" w:leader="dot" w:pos="2268"/>
              </w:tabs>
            </w:pPr>
            <w:r>
              <w:t>s 2</w:t>
            </w:r>
            <w:r>
              <w:tab/>
            </w:r>
          </w:p>
        </w:tc>
        <w:tc>
          <w:tcPr>
            <w:tcW w:w="3621" w:type="pct"/>
            <w:tcBorders>
              <w:top w:val="single" w:sz="12" w:space="0" w:color="auto"/>
              <w:bottom w:val="single" w:sz="12" w:space="0" w:color="auto"/>
            </w:tcBorders>
            <w:shd w:val="clear" w:color="auto" w:fill="auto"/>
          </w:tcPr>
          <w:p w:rsidR="004C7C9A" w:rsidRPr="00E117A3" w:rsidRDefault="004C7C9A" w:rsidP="00B807E7">
            <w:pPr>
              <w:pStyle w:val="ENoteTableText"/>
              <w:tabs>
                <w:tab w:val="center" w:leader="dot" w:pos="2268"/>
              </w:tabs>
            </w:pPr>
            <w:r>
              <w:t>am F2020L00946</w:t>
            </w:r>
          </w:p>
        </w:tc>
      </w:tr>
    </w:tbl>
    <w:p w:rsidR="004C7C9A" w:rsidRDefault="004C7C9A" w:rsidP="004C7C9A">
      <w:pPr>
        <w:pStyle w:val="Tabletext"/>
      </w:pPr>
    </w:p>
    <w:p w:rsidR="004C7C9A" w:rsidRDefault="004C7C9A" w:rsidP="004C7C9A">
      <w:pPr>
        <w:sectPr w:rsidR="004C7C9A" w:rsidSect="00E35C69">
          <w:headerReference w:type="even" r:id="rId27"/>
          <w:headerReference w:type="default" r:id="rId28"/>
          <w:footerReference w:type="even" r:id="rId29"/>
          <w:footerReference w:type="default" r:id="rId30"/>
          <w:pgSz w:w="11907" w:h="16839" w:code="9"/>
          <w:pgMar w:top="1819" w:right="1797" w:bottom="1440" w:left="1797" w:header="720" w:footer="709" w:gutter="0"/>
          <w:cols w:space="708"/>
          <w:docGrid w:linePitch="360"/>
        </w:sectPr>
      </w:pPr>
    </w:p>
    <w:p w:rsidR="004C7C9A" w:rsidRPr="00262222" w:rsidRDefault="004C7C9A" w:rsidP="004C7C9A"/>
    <w:sectPr w:rsidR="004C7C9A" w:rsidRPr="00262222" w:rsidSect="00E35C69">
      <w:headerReference w:type="even" r:id="rId31"/>
      <w:headerReference w:type="default" r:id="rId32"/>
      <w:footerReference w:type="even" r:id="rId33"/>
      <w:footerReference w:type="default" r:id="rId34"/>
      <w:type w:val="continuous"/>
      <w:pgSz w:w="11907" w:h="16839"/>
      <w:pgMar w:top="1819"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4D7" w:rsidRDefault="009A64D7" w:rsidP="0048364F">
      <w:pPr>
        <w:spacing w:line="240" w:lineRule="auto"/>
      </w:pPr>
      <w:r>
        <w:separator/>
      </w:r>
    </w:p>
  </w:endnote>
  <w:endnote w:type="continuationSeparator" w:id="0">
    <w:p w:rsidR="009A64D7" w:rsidRDefault="009A64D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Default="004C7C9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7B3B51" w:rsidRDefault="004C7C9A"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7C9A" w:rsidRPr="007B3B51" w:rsidTr="004E4F1A">
      <w:tc>
        <w:tcPr>
          <w:tcW w:w="854" w:type="pct"/>
        </w:tcPr>
        <w:p w:rsidR="004C7C9A" w:rsidRPr="007B3B51" w:rsidRDefault="004C7C9A" w:rsidP="00262222">
          <w:pPr>
            <w:rPr>
              <w:i/>
              <w:sz w:val="16"/>
              <w:szCs w:val="16"/>
            </w:rPr>
          </w:pPr>
        </w:p>
      </w:tc>
      <w:tc>
        <w:tcPr>
          <w:tcW w:w="3688" w:type="pct"/>
          <w:gridSpan w:val="3"/>
        </w:tcPr>
        <w:p w:rsidR="004C7C9A" w:rsidRPr="007B3B51" w:rsidRDefault="004C7C9A"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C69">
            <w:rPr>
              <w:i/>
              <w:noProof/>
              <w:sz w:val="16"/>
              <w:szCs w:val="16"/>
            </w:rPr>
            <w:t>Therapeutic Goods Legislation Amendment (2019 Measures No. 1) Regulations 2019</w:t>
          </w:r>
          <w:r w:rsidRPr="007B3B51">
            <w:rPr>
              <w:i/>
              <w:sz w:val="16"/>
              <w:szCs w:val="16"/>
            </w:rPr>
            <w:fldChar w:fldCharType="end"/>
          </w:r>
        </w:p>
      </w:tc>
      <w:tc>
        <w:tcPr>
          <w:tcW w:w="458" w:type="pct"/>
        </w:tcPr>
        <w:p w:rsidR="004C7C9A" w:rsidRPr="007B3B51" w:rsidRDefault="004C7C9A" w:rsidP="0026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C69">
            <w:rPr>
              <w:i/>
              <w:noProof/>
              <w:sz w:val="16"/>
              <w:szCs w:val="16"/>
            </w:rPr>
            <w:t>57</w:t>
          </w:r>
          <w:r w:rsidRPr="007B3B51">
            <w:rPr>
              <w:i/>
              <w:sz w:val="16"/>
              <w:szCs w:val="16"/>
            </w:rPr>
            <w:fldChar w:fldCharType="end"/>
          </w:r>
        </w:p>
      </w:tc>
    </w:tr>
    <w:tr w:rsidR="004C7C9A" w:rsidRPr="00130F37" w:rsidTr="004E4F1A">
      <w:tc>
        <w:tcPr>
          <w:tcW w:w="1499" w:type="pct"/>
          <w:gridSpan w:val="2"/>
        </w:tcPr>
        <w:p w:rsidR="004C7C9A" w:rsidRPr="00130F37" w:rsidRDefault="004C7C9A" w:rsidP="0026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5FB0">
            <w:rPr>
              <w:sz w:val="16"/>
              <w:szCs w:val="16"/>
            </w:rPr>
            <w:t>1</w:t>
          </w:r>
          <w:r w:rsidRPr="00130F37">
            <w:rPr>
              <w:sz w:val="16"/>
              <w:szCs w:val="16"/>
            </w:rPr>
            <w:fldChar w:fldCharType="end"/>
          </w:r>
        </w:p>
      </w:tc>
      <w:tc>
        <w:tcPr>
          <w:tcW w:w="1999" w:type="pct"/>
        </w:tcPr>
        <w:p w:rsidR="004C7C9A" w:rsidRPr="00130F37" w:rsidRDefault="004C7C9A" w:rsidP="0026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t>24/07/2020</w:t>
          </w:r>
          <w:r w:rsidRPr="00130F37">
            <w:rPr>
              <w:sz w:val="16"/>
              <w:szCs w:val="16"/>
            </w:rPr>
            <w:fldChar w:fldCharType="end"/>
          </w:r>
        </w:p>
      </w:tc>
      <w:tc>
        <w:tcPr>
          <w:tcW w:w="1502" w:type="pct"/>
          <w:gridSpan w:val="2"/>
        </w:tcPr>
        <w:p w:rsidR="004C7C9A" w:rsidRPr="00130F37" w:rsidRDefault="004C7C9A" w:rsidP="0026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5FB0">
            <w:rPr>
              <w:sz w:val="16"/>
              <w:szCs w:val="16"/>
            </w:rPr>
            <w:instrText>17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instrText>17/08/2020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5FB0">
            <w:rPr>
              <w:noProof/>
              <w:sz w:val="16"/>
              <w:szCs w:val="16"/>
            </w:rPr>
            <w:t>17/08/2020</w:t>
          </w:r>
          <w:r w:rsidRPr="00130F37">
            <w:rPr>
              <w:sz w:val="16"/>
              <w:szCs w:val="16"/>
            </w:rPr>
            <w:fldChar w:fldCharType="end"/>
          </w:r>
        </w:p>
      </w:tc>
    </w:tr>
  </w:tbl>
  <w:p w:rsidR="004C7C9A" w:rsidRDefault="004C7C9A" w:rsidP="0026222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D7" w:rsidRPr="007B3B51" w:rsidRDefault="009A64D7"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A64D7" w:rsidRPr="007B3B51" w:rsidTr="004E4F1A">
      <w:tc>
        <w:tcPr>
          <w:tcW w:w="854" w:type="pct"/>
        </w:tcPr>
        <w:p w:rsidR="009A64D7" w:rsidRPr="007B3B51" w:rsidRDefault="009A64D7" w:rsidP="0026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C7C9A">
            <w:rPr>
              <w:i/>
              <w:noProof/>
              <w:sz w:val="16"/>
              <w:szCs w:val="16"/>
            </w:rPr>
            <w:t>58</w:t>
          </w:r>
          <w:r w:rsidRPr="007B3B51">
            <w:rPr>
              <w:i/>
              <w:sz w:val="16"/>
              <w:szCs w:val="16"/>
            </w:rPr>
            <w:fldChar w:fldCharType="end"/>
          </w:r>
        </w:p>
      </w:tc>
      <w:tc>
        <w:tcPr>
          <w:tcW w:w="3688" w:type="pct"/>
          <w:gridSpan w:val="3"/>
        </w:tcPr>
        <w:p w:rsidR="009A64D7" w:rsidRPr="007B3B51" w:rsidRDefault="009A64D7"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FB0">
            <w:rPr>
              <w:i/>
              <w:noProof/>
              <w:sz w:val="16"/>
              <w:szCs w:val="16"/>
            </w:rPr>
            <w:t>Therapeutic Goods Legislation Amendment (2019 Measures No. 1) Regulations 2019</w:t>
          </w:r>
          <w:r w:rsidRPr="007B3B51">
            <w:rPr>
              <w:i/>
              <w:sz w:val="16"/>
              <w:szCs w:val="16"/>
            </w:rPr>
            <w:fldChar w:fldCharType="end"/>
          </w:r>
        </w:p>
      </w:tc>
      <w:tc>
        <w:tcPr>
          <w:tcW w:w="458" w:type="pct"/>
        </w:tcPr>
        <w:p w:rsidR="009A64D7" w:rsidRPr="007B3B51" w:rsidRDefault="009A64D7" w:rsidP="00262222">
          <w:pPr>
            <w:jc w:val="right"/>
            <w:rPr>
              <w:sz w:val="16"/>
              <w:szCs w:val="16"/>
            </w:rPr>
          </w:pPr>
        </w:p>
      </w:tc>
    </w:tr>
    <w:tr w:rsidR="009A64D7" w:rsidRPr="0055472E" w:rsidTr="004E4F1A">
      <w:tc>
        <w:tcPr>
          <w:tcW w:w="1499" w:type="pct"/>
          <w:gridSpan w:val="2"/>
        </w:tcPr>
        <w:p w:rsidR="009A64D7" w:rsidRPr="0055472E" w:rsidRDefault="009A64D7" w:rsidP="0026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5FB0">
            <w:rPr>
              <w:sz w:val="16"/>
              <w:szCs w:val="16"/>
            </w:rPr>
            <w:t>1</w:t>
          </w:r>
          <w:r w:rsidRPr="0055472E">
            <w:rPr>
              <w:sz w:val="16"/>
              <w:szCs w:val="16"/>
            </w:rPr>
            <w:fldChar w:fldCharType="end"/>
          </w:r>
        </w:p>
      </w:tc>
      <w:tc>
        <w:tcPr>
          <w:tcW w:w="1999" w:type="pct"/>
        </w:tcPr>
        <w:p w:rsidR="009A64D7" w:rsidRPr="0055472E" w:rsidRDefault="009A64D7" w:rsidP="0026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t>24/07/2020</w:t>
          </w:r>
          <w:r w:rsidRPr="0055472E">
            <w:rPr>
              <w:sz w:val="16"/>
              <w:szCs w:val="16"/>
            </w:rPr>
            <w:fldChar w:fldCharType="end"/>
          </w:r>
        </w:p>
      </w:tc>
      <w:tc>
        <w:tcPr>
          <w:tcW w:w="1502" w:type="pct"/>
          <w:gridSpan w:val="2"/>
        </w:tcPr>
        <w:p w:rsidR="009A64D7" w:rsidRPr="0055472E" w:rsidRDefault="009A64D7" w:rsidP="0026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5FB0">
            <w:rPr>
              <w:sz w:val="16"/>
              <w:szCs w:val="16"/>
            </w:rPr>
            <w:instrText>17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instrText>17/08/2020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5FB0">
            <w:rPr>
              <w:noProof/>
              <w:sz w:val="16"/>
              <w:szCs w:val="16"/>
            </w:rPr>
            <w:t>17/08/2020</w:t>
          </w:r>
          <w:r w:rsidRPr="0055472E">
            <w:rPr>
              <w:sz w:val="16"/>
              <w:szCs w:val="16"/>
            </w:rPr>
            <w:fldChar w:fldCharType="end"/>
          </w:r>
        </w:p>
      </w:tc>
    </w:tr>
  </w:tbl>
  <w:p w:rsidR="009A64D7" w:rsidRDefault="009A64D7" w:rsidP="0026222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D7" w:rsidRPr="007B3B51" w:rsidRDefault="009A64D7"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A64D7" w:rsidRPr="007B3B51" w:rsidTr="004E4F1A">
      <w:tc>
        <w:tcPr>
          <w:tcW w:w="854" w:type="pct"/>
        </w:tcPr>
        <w:p w:rsidR="009A64D7" w:rsidRPr="007B3B51" w:rsidRDefault="009A64D7" w:rsidP="00262222">
          <w:pPr>
            <w:rPr>
              <w:i/>
              <w:sz w:val="16"/>
              <w:szCs w:val="16"/>
            </w:rPr>
          </w:pPr>
        </w:p>
      </w:tc>
      <w:tc>
        <w:tcPr>
          <w:tcW w:w="3688" w:type="pct"/>
          <w:gridSpan w:val="3"/>
        </w:tcPr>
        <w:p w:rsidR="009A64D7" w:rsidRPr="007B3B51" w:rsidRDefault="009A64D7"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5FB0">
            <w:rPr>
              <w:i/>
              <w:noProof/>
              <w:sz w:val="16"/>
              <w:szCs w:val="16"/>
            </w:rPr>
            <w:t>Therapeutic Goods Legislation Amendment (2019 Measures No. 1) Regulations 2019</w:t>
          </w:r>
          <w:r w:rsidRPr="007B3B51">
            <w:rPr>
              <w:i/>
              <w:sz w:val="16"/>
              <w:szCs w:val="16"/>
            </w:rPr>
            <w:fldChar w:fldCharType="end"/>
          </w:r>
        </w:p>
      </w:tc>
      <w:tc>
        <w:tcPr>
          <w:tcW w:w="458" w:type="pct"/>
        </w:tcPr>
        <w:p w:rsidR="009A64D7" w:rsidRPr="007B3B51" w:rsidRDefault="009A64D7" w:rsidP="0026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C7C9A">
            <w:rPr>
              <w:i/>
              <w:noProof/>
              <w:sz w:val="16"/>
              <w:szCs w:val="16"/>
            </w:rPr>
            <w:t>57</w:t>
          </w:r>
          <w:r w:rsidRPr="007B3B51">
            <w:rPr>
              <w:i/>
              <w:sz w:val="16"/>
              <w:szCs w:val="16"/>
            </w:rPr>
            <w:fldChar w:fldCharType="end"/>
          </w:r>
        </w:p>
      </w:tc>
    </w:tr>
    <w:tr w:rsidR="009A64D7" w:rsidRPr="00130F37" w:rsidTr="004E4F1A">
      <w:tc>
        <w:tcPr>
          <w:tcW w:w="1499" w:type="pct"/>
          <w:gridSpan w:val="2"/>
        </w:tcPr>
        <w:p w:rsidR="009A64D7" w:rsidRPr="00130F37" w:rsidRDefault="009A64D7" w:rsidP="0026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5FB0">
            <w:rPr>
              <w:sz w:val="16"/>
              <w:szCs w:val="16"/>
            </w:rPr>
            <w:t>1</w:t>
          </w:r>
          <w:r w:rsidRPr="00130F37">
            <w:rPr>
              <w:sz w:val="16"/>
              <w:szCs w:val="16"/>
            </w:rPr>
            <w:fldChar w:fldCharType="end"/>
          </w:r>
        </w:p>
      </w:tc>
      <w:tc>
        <w:tcPr>
          <w:tcW w:w="1999" w:type="pct"/>
        </w:tcPr>
        <w:p w:rsidR="009A64D7" w:rsidRPr="00130F37" w:rsidRDefault="009A64D7" w:rsidP="0026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t>24/07/2020</w:t>
          </w:r>
          <w:r w:rsidRPr="00130F37">
            <w:rPr>
              <w:sz w:val="16"/>
              <w:szCs w:val="16"/>
            </w:rPr>
            <w:fldChar w:fldCharType="end"/>
          </w:r>
        </w:p>
      </w:tc>
      <w:tc>
        <w:tcPr>
          <w:tcW w:w="1502" w:type="pct"/>
          <w:gridSpan w:val="2"/>
        </w:tcPr>
        <w:p w:rsidR="009A64D7" w:rsidRPr="00130F37" w:rsidRDefault="009A64D7" w:rsidP="0026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5FB0">
            <w:rPr>
              <w:sz w:val="16"/>
              <w:szCs w:val="16"/>
            </w:rPr>
            <w:instrText>17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instrText>17/08/2020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5FB0">
            <w:rPr>
              <w:noProof/>
              <w:sz w:val="16"/>
              <w:szCs w:val="16"/>
            </w:rPr>
            <w:t>17/08/2020</w:t>
          </w:r>
          <w:r w:rsidRPr="00130F37">
            <w:rPr>
              <w:sz w:val="16"/>
              <w:szCs w:val="16"/>
            </w:rPr>
            <w:fldChar w:fldCharType="end"/>
          </w:r>
        </w:p>
      </w:tc>
    </w:tr>
  </w:tbl>
  <w:p w:rsidR="009A64D7" w:rsidRDefault="009A64D7" w:rsidP="002622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Default="004C7C9A" w:rsidP="002F72E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ED79B6" w:rsidRDefault="004C7C9A" w:rsidP="002F72E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7B3B51" w:rsidRDefault="004C7C9A"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7C9A" w:rsidRPr="007B3B51" w:rsidTr="004E4F1A">
      <w:tc>
        <w:tcPr>
          <w:tcW w:w="854" w:type="pct"/>
        </w:tcPr>
        <w:p w:rsidR="004C7C9A" w:rsidRPr="007B3B51" w:rsidRDefault="004C7C9A" w:rsidP="0026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C69">
            <w:rPr>
              <w:i/>
              <w:noProof/>
              <w:sz w:val="16"/>
              <w:szCs w:val="16"/>
            </w:rPr>
            <w:t>ii</w:t>
          </w:r>
          <w:r w:rsidRPr="007B3B51">
            <w:rPr>
              <w:i/>
              <w:sz w:val="16"/>
              <w:szCs w:val="16"/>
            </w:rPr>
            <w:fldChar w:fldCharType="end"/>
          </w:r>
        </w:p>
      </w:tc>
      <w:tc>
        <w:tcPr>
          <w:tcW w:w="3688" w:type="pct"/>
          <w:gridSpan w:val="3"/>
        </w:tcPr>
        <w:p w:rsidR="004C7C9A" w:rsidRPr="007B3B51" w:rsidRDefault="004C7C9A"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C69">
            <w:rPr>
              <w:i/>
              <w:noProof/>
              <w:sz w:val="16"/>
              <w:szCs w:val="16"/>
            </w:rPr>
            <w:t>Therapeutic Goods Legislation Amendment (2019 Measures No. 1) Regulations 2019</w:t>
          </w:r>
          <w:r w:rsidRPr="007B3B51">
            <w:rPr>
              <w:i/>
              <w:sz w:val="16"/>
              <w:szCs w:val="16"/>
            </w:rPr>
            <w:fldChar w:fldCharType="end"/>
          </w:r>
        </w:p>
      </w:tc>
      <w:tc>
        <w:tcPr>
          <w:tcW w:w="458" w:type="pct"/>
        </w:tcPr>
        <w:p w:rsidR="004C7C9A" w:rsidRPr="007B3B51" w:rsidRDefault="004C7C9A" w:rsidP="00262222">
          <w:pPr>
            <w:jc w:val="right"/>
            <w:rPr>
              <w:sz w:val="16"/>
              <w:szCs w:val="16"/>
            </w:rPr>
          </w:pPr>
        </w:p>
      </w:tc>
    </w:tr>
    <w:tr w:rsidR="004C7C9A" w:rsidRPr="0055472E" w:rsidTr="004E4F1A">
      <w:tc>
        <w:tcPr>
          <w:tcW w:w="1499" w:type="pct"/>
          <w:gridSpan w:val="2"/>
        </w:tcPr>
        <w:p w:rsidR="004C7C9A" w:rsidRPr="0055472E" w:rsidRDefault="004C7C9A" w:rsidP="0026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5FB0">
            <w:rPr>
              <w:sz w:val="16"/>
              <w:szCs w:val="16"/>
            </w:rPr>
            <w:t>1</w:t>
          </w:r>
          <w:r w:rsidRPr="0055472E">
            <w:rPr>
              <w:sz w:val="16"/>
              <w:szCs w:val="16"/>
            </w:rPr>
            <w:fldChar w:fldCharType="end"/>
          </w:r>
        </w:p>
      </w:tc>
      <w:tc>
        <w:tcPr>
          <w:tcW w:w="1999" w:type="pct"/>
        </w:tcPr>
        <w:p w:rsidR="004C7C9A" w:rsidRPr="0055472E" w:rsidRDefault="004C7C9A" w:rsidP="0026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t>24/07/2020</w:t>
          </w:r>
          <w:r w:rsidRPr="0055472E">
            <w:rPr>
              <w:sz w:val="16"/>
              <w:szCs w:val="16"/>
            </w:rPr>
            <w:fldChar w:fldCharType="end"/>
          </w:r>
        </w:p>
      </w:tc>
      <w:tc>
        <w:tcPr>
          <w:tcW w:w="1502" w:type="pct"/>
          <w:gridSpan w:val="2"/>
        </w:tcPr>
        <w:p w:rsidR="004C7C9A" w:rsidRPr="0055472E" w:rsidRDefault="004C7C9A" w:rsidP="0026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5FB0">
            <w:rPr>
              <w:sz w:val="16"/>
              <w:szCs w:val="16"/>
            </w:rPr>
            <w:instrText>17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instrText>17/08/2020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5FB0">
            <w:rPr>
              <w:noProof/>
              <w:sz w:val="16"/>
              <w:szCs w:val="16"/>
            </w:rPr>
            <w:t>17/08/2020</w:t>
          </w:r>
          <w:r w:rsidRPr="0055472E">
            <w:rPr>
              <w:sz w:val="16"/>
              <w:szCs w:val="16"/>
            </w:rPr>
            <w:fldChar w:fldCharType="end"/>
          </w:r>
        </w:p>
      </w:tc>
    </w:tr>
  </w:tbl>
  <w:p w:rsidR="004C7C9A" w:rsidRDefault="004C7C9A" w:rsidP="0026222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7B3B51" w:rsidRDefault="004C7C9A"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7C9A" w:rsidRPr="007B3B51" w:rsidTr="004E4F1A">
      <w:tc>
        <w:tcPr>
          <w:tcW w:w="854" w:type="pct"/>
        </w:tcPr>
        <w:p w:rsidR="004C7C9A" w:rsidRPr="007B3B51" w:rsidRDefault="004C7C9A" w:rsidP="00262222">
          <w:pPr>
            <w:rPr>
              <w:i/>
              <w:sz w:val="16"/>
              <w:szCs w:val="16"/>
            </w:rPr>
          </w:pPr>
        </w:p>
      </w:tc>
      <w:tc>
        <w:tcPr>
          <w:tcW w:w="3688" w:type="pct"/>
          <w:gridSpan w:val="3"/>
        </w:tcPr>
        <w:p w:rsidR="004C7C9A" w:rsidRPr="007B3B51" w:rsidRDefault="004C7C9A"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C69">
            <w:rPr>
              <w:i/>
              <w:noProof/>
              <w:sz w:val="16"/>
              <w:szCs w:val="16"/>
            </w:rPr>
            <w:t>Therapeutic Goods Legislation Amendment (2019 Measures No. 1) Regulations 2019</w:t>
          </w:r>
          <w:r w:rsidRPr="007B3B51">
            <w:rPr>
              <w:i/>
              <w:sz w:val="16"/>
              <w:szCs w:val="16"/>
            </w:rPr>
            <w:fldChar w:fldCharType="end"/>
          </w:r>
        </w:p>
      </w:tc>
      <w:tc>
        <w:tcPr>
          <w:tcW w:w="458" w:type="pct"/>
        </w:tcPr>
        <w:p w:rsidR="004C7C9A" w:rsidRPr="007B3B51" w:rsidRDefault="004C7C9A" w:rsidP="0026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C69">
            <w:rPr>
              <w:i/>
              <w:noProof/>
              <w:sz w:val="16"/>
              <w:szCs w:val="16"/>
            </w:rPr>
            <w:t>i</w:t>
          </w:r>
          <w:r w:rsidRPr="007B3B51">
            <w:rPr>
              <w:i/>
              <w:sz w:val="16"/>
              <w:szCs w:val="16"/>
            </w:rPr>
            <w:fldChar w:fldCharType="end"/>
          </w:r>
        </w:p>
      </w:tc>
    </w:tr>
    <w:tr w:rsidR="004C7C9A" w:rsidRPr="00130F37" w:rsidTr="004E4F1A">
      <w:tc>
        <w:tcPr>
          <w:tcW w:w="1499" w:type="pct"/>
          <w:gridSpan w:val="2"/>
        </w:tcPr>
        <w:p w:rsidR="004C7C9A" w:rsidRPr="00130F37" w:rsidRDefault="004C7C9A" w:rsidP="0026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5FB0">
            <w:rPr>
              <w:sz w:val="16"/>
              <w:szCs w:val="16"/>
            </w:rPr>
            <w:t>1</w:t>
          </w:r>
          <w:r w:rsidRPr="00130F37">
            <w:rPr>
              <w:sz w:val="16"/>
              <w:szCs w:val="16"/>
            </w:rPr>
            <w:fldChar w:fldCharType="end"/>
          </w:r>
        </w:p>
      </w:tc>
      <w:tc>
        <w:tcPr>
          <w:tcW w:w="1999" w:type="pct"/>
        </w:tcPr>
        <w:p w:rsidR="004C7C9A" w:rsidRPr="00130F37" w:rsidRDefault="004C7C9A" w:rsidP="0026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t>24/07/2020</w:t>
          </w:r>
          <w:r w:rsidRPr="00130F37">
            <w:rPr>
              <w:sz w:val="16"/>
              <w:szCs w:val="16"/>
            </w:rPr>
            <w:fldChar w:fldCharType="end"/>
          </w:r>
        </w:p>
      </w:tc>
      <w:tc>
        <w:tcPr>
          <w:tcW w:w="1502" w:type="pct"/>
          <w:gridSpan w:val="2"/>
        </w:tcPr>
        <w:p w:rsidR="004C7C9A" w:rsidRPr="00130F37" w:rsidRDefault="004C7C9A" w:rsidP="0026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5FB0">
            <w:rPr>
              <w:sz w:val="16"/>
              <w:szCs w:val="16"/>
            </w:rPr>
            <w:instrText>17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instrText>17/08/2020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5FB0">
            <w:rPr>
              <w:noProof/>
              <w:sz w:val="16"/>
              <w:szCs w:val="16"/>
            </w:rPr>
            <w:t>17/08/2020</w:t>
          </w:r>
          <w:r w:rsidRPr="00130F37">
            <w:rPr>
              <w:sz w:val="16"/>
              <w:szCs w:val="16"/>
            </w:rPr>
            <w:fldChar w:fldCharType="end"/>
          </w:r>
        </w:p>
      </w:tc>
    </w:tr>
  </w:tbl>
  <w:p w:rsidR="004C7C9A" w:rsidRDefault="004C7C9A" w:rsidP="0026222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7B3B51" w:rsidRDefault="004C7C9A"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7C9A" w:rsidRPr="007B3B51" w:rsidTr="004E4F1A">
      <w:tc>
        <w:tcPr>
          <w:tcW w:w="854" w:type="pct"/>
        </w:tcPr>
        <w:p w:rsidR="004C7C9A" w:rsidRPr="007B3B51" w:rsidRDefault="004C7C9A" w:rsidP="0026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C69">
            <w:rPr>
              <w:i/>
              <w:noProof/>
              <w:sz w:val="16"/>
              <w:szCs w:val="16"/>
            </w:rPr>
            <w:t>54</w:t>
          </w:r>
          <w:r w:rsidRPr="007B3B51">
            <w:rPr>
              <w:i/>
              <w:sz w:val="16"/>
              <w:szCs w:val="16"/>
            </w:rPr>
            <w:fldChar w:fldCharType="end"/>
          </w:r>
        </w:p>
      </w:tc>
      <w:tc>
        <w:tcPr>
          <w:tcW w:w="3688" w:type="pct"/>
          <w:gridSpan w:val="3"/>
        </w:tcPr>
        <w:p w:rsidR="004C7C9A" w:rsidRPr="007B3B51" w:rsidRDefault="004C7C9A"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C69">
            <w:rPr>
              <w:i/>
              <w:noProof/>
              <w:sz w:val="16"/>
              <w:szCs w:val="16"/>
            </w:rPr>
            <w:t>Therapeutic Goods Legislation Amendment (2019 Measures No. 1) Regulations 2019</w:t>
          </w:r>
          <w:r w:rsidRPr="007B3B51">
            <w:rPr>
              <w:i/>
              <w:sz w:val="16"/>
              <w:szCs w:val="16"/>
            </w:rPr>
            <w:fldChar w:fldCharType="end"/>
          </w:r>
        </w:p>
      </w:tc>
      <w:tc>
        <w:tcPr>
          <w:tcW w:w="458" w:type="pct"/>
        </w:tcPr>
        <w:p w:rsidR="004C7C9A" w:rsidRPr="007B3B51" w:rsidRDefault="004C7C9A" w:rsidP="00262222">
          <w:pPr>
            <w:jc w:val="right"/>
            <w:rPr>
              <w:sz w:val="16"/>
              <w:szCs w:val="16"/>
            </w:rPr>
          </w:pPr>
        </w:p>
      </w:tc>
    </w:tr>
    <w:tr w:rsidR="004C7C9A" w:rsidRPr="0055472E" w:rsidTr="004E4F1A">
      <w:tc>
        <w:tcPr>
          <w:tcW w:w="1499" w:type="pct"/>
          <w:gridSpan w:val="2"/>
        </w:tcPr>
        <w:p w:rsidR="004C7C9A" w:rsidRPr="0055472E" w:rsidRDefault="004C7C9A" w:rsidP="0026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5FB0">
            <w:rPr>
              <w:sz w:val="16"/>
              <w:szCs w:val="16"/>
            </w:rPr>
            <w:t>1</w:t>
          </w:r>
          <w:r w:rsidRPr="0055472E">
            <w:rPr>
              <w:sz w:val="16"/>
              <w:szCs w:val="16"/>
            </w:rPr>
            <w:fldChar w:fldCharType="end"/>
          </w:r>
        </w:p>
      </w:tc>
      <w:tc>
        <w:tcPr>
          <w:tcW w:w="1999" w:type="pct"/>
        </w:tcPr>
        <w:p w:rsidR="004C7C9A" w:rsidRPr="0055472E" w:rsidRDefault="004C7C9A" w:rsidP="0026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t>24/07/2020</w:t>
          </w:r>
          <w:r w:rsidRPr="0055472E">
            <w:rPr>
              <w:sz w:val="16"/>
              <w:szCs w:val="16"/>
            </w:rPr>
            <w:fldChar w:fldCharType="end"/>
          </w:r>
        </w:p>
      </w:tc>
      <w:tc>
        <w:tcPr>
          <w:tcW w:w="1502" w:type="pct"/>
          <w:gridSpan w:val="2"/>
        </w:tcPr>
        <w:p w:rsidR="004C7C9A" w:rsidRPr="0055472E" w:rsidRDefault="004C7C9A" w:rsidP="0026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5FB0">
            <w:rPr>
              <w:sz w:val="16"/>
              <w:szCs w:val="16"/>
            </w:rPr>
            <w:instrText>17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instrText>17/08/2020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5FB0">
            <w:rPr>
              <w:noProof/>
              <w:sz w:val="16"/>
              <w:szCs w:val="16"/>
            </w:rPr>
            <w:t>17/08/2020</w:t>
          </w:r>
          <w:r w:rsidRPr="0055472E">
            <w:rPr>
              <w:sz w:val="16"/>
              <w:szCs w:val="16"/>
            </w:rPr>
            <w:fldChar w:fldCharType="end"/>
          </w:r>
        </w:p>
      </w:tc>
    </w:tr>
  </w:tbl>
  <w:p w:rsidR="004C7C9A" w:rsidRDefault="004C7C9A" w:rsidP="0026222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7B3B51" w:rsidRDefault="004C7C9A"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7C9A" w:rsidRPr="007B3B51" w:rsidTr="004E4F1A">
      <w:tc>
        <w:tcPr>
          <w:tcW w:w="854" w:type="pct"/>
        </w:tcPr>
        <w:p w:rsidR="004C7C9A" w:rsidRPr="007B3B51" w:rsidRDefault="004C7C9A" w:rsidP="00262222">
          <w:pPr>
            <w:rPr>
              <w:i/>
              <w:sz w:val="16"/>
              <w:szCs w:val="16"/>
            </w:rPr>
          </w:pPr>
        </w:p>
      </w:tc>
      <w:tc>
        <w:tcPr>
          <w:tcW w:w="3688" w:type="pct"/>
          <w:gridSpan w:val="3"/>
        </w:tcPr>
        <w:p w:rsidR="004C7C9A" w:rsidRPr="007B3B51" w:rsidRDefault="004C7C9A"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C69">
            <w:rPr>
              <w:i/>
              <w:noProof/>
              <w:sz w:val="16"/>
              <w:szCs w:val="16"/>
            </w:rPr>
            <w:t>Therapeutic Goods Legislation Amendment (2019 Measures No. 1) Regulations 2019</w:t>
          </w:r>
          <w:r w:rsidRPr="007B3B51">
            <w:rPr>
              <w:i/>
              <w:sz w:val="16"/>
              <w:szCs w:val="16"/>
            </w:rPr>
            <w:fldChar w:fldCharType="end"/>
          </w:r>
        </w:p>
      </w:tc>
      <w:tc>
        <w:tcPr>
          <w:tcW w:w="458" w:type="pct"/>
        </w:tcPr>
        <w:p w:rsidR="004C7C9A" w:rsidRPr="007B3B51" w:rsidRDefault="004C7C9A" w:rsidP="0026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C69">
            <w:rPr>
              <w:i/>
              <w:noProof/>
              <w:sz w:val="16"/>
              <w:szCs w:val="16"/>
            </w:rPr>
            <w:t>53</w:t>
          </w:r>
          <w:r w:rsidRPr="007B3B51">
            <w:rPr>
              <w:i/>
              <w:sz w:val="16"/>
              <w:szCs w:val="16"/>
            </w:rPr>
            <w:fldChar w:fldCharType="end"/>
          </w:r>
        </w:p>
      </w:tc>
    </w:tr>
    <w:tr w:rsidR="004C7C9A" w:rsidRPr="00130F37" w:rsidTr="004E4F1A">
      <w:tc>
        <w:tcPr>
          <w:tcW w:w="1499" w:type="pct"/>
          <w:gridSpan w:val="2"/>
        </w:tcPr>
        <w:p w:rsidR="004C7C9A" w:rsidRPr="00130F37" w:rsidRDefault="004C7C9A" w:rsidP="0026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5FB0">
            <w:rPr>
              <w:sz w:val="16"/>
              <w:szCs w:val="16"/>
            </w:rPr>
            <w:t>1</w:t>
          </w:r>
          <w:r w:rsidRPr="00130F37">
            <w:rPr>
              <w:sz w:val="16"/>
              <w:szCs w:val="16"/>
            </w:rPr>
            <w:fldChar w:fldCharType="end"/>
          </w:r>
        </w:p>
      </w:tc>
      <w:tc>
        <w:tcPr>
          <w:tcW w:w="1999" w:type="pct"/>
        </w:tcPr>
        <w:p w:rsidR="004C7C9A" w:rsidRPr="00130F37" w:rsidRDefault="004C7C9A" w:rsidP="0026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t>24/07/2020</w:t>
          </w:r>
          <w:r w:rsidRPr="00130F37">
            <w:rPr>
              <w:sz w:val="16"/>
              <w:szCs w:val="16"/>
            </w:rPr>
            <w:fldChar w:fldCharType="end"/>
          </w:r>
        </w:p>
      </w:tc>
      <w:tc>
        <w:tcPr>
          <w:tcW w:w="1502" w:type="pct"/>
          <w:gridSpan w:val="2"/>
        </w:tcPr>
        <w:p w:rsidR="004C7C9A" w:rsidRPr="00130F37" w:rsidRDefault="004C7C9A" w:rsidP="0026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5FB0">
            <w:rPr>
              <w:sz w:val="16"/>
              <w:szCs w:val="16"/>
            </w:rPr>
            <w:instrText>17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E5FB0">
            <w:rPr>
              <w:sz w:val="16"/>
              <w:szCs w:val="16"/>
            </w:rPr>
            <w:instrText>17/08/2020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5FB0">
            <w:rPr>
              <w:noProof/>
              <w:sz w:val="16"/>
              <w:szCs w:val="16"/>
            </w:rPr>
            <w:t>17/08/2020</w:t>
          </w:r>
          <w:r w:rsidRPr="00130F37">
            <w:rPr>
              <w:sz w:val="16"/>
              <w:szCs w:val="16"/>
            </w:rPr>
            <w:fldChar w:fldCharType="end"/>
          </w:r>
        </w:p>
      </w:tc>
    </w:tr>
  </w:tbl>
  <w:p w:rsidR="004C7C9A" w:rsidRDefault="004C7C9A" w:rsidP="0026222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E33C1C" w:rsidRDefault="004C7C9A"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C7C9A" w:rsidTr="004E4F1A">
      <w:tc>
        <w:tcPr>
          <w:tcW w:w="817" w:type="pct"/>
          <w:tcBorders>
            <w:top w:val="nil"/>
            <w:left w:val="nil"/>
            <w:bottom w:val="nil"/>
            <w:right w:val="nil"/>
          </w:tcBorders>
        </w:tcPr>
        <w:p w:rsidR="004C7C9A" w:rsidRDefault="004C7C9A" w:rsidP="00BB72A9">
          <w:pPr>
            <w:spacing w:line="0" w:lineRule="atLeast"/>
            <w:rPr>
              <w:sz w:val="18"/>
            </w:rPr>
          </w:pPr>
        </w:p>
      </w:tc>
      <w:tc>
        <w:tcPr>
          <w:tcW w:w="3765" w:type="pct"/>
          <w:tcBorders>
            <w:top w:val="nil"/>
            <w:left w:val="nil"/>
            <w:bottom w:val="nil"/>
            <w:right w:val="nil"/>
          </w:tcBorders>
        </w:tcPr>
        <w:p w:rsidR="004C7C9A" w:rsidRDefault="004C7C9A" w:rsidP="00BB72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5FB0">
            <w:rPr>
              <w:i/>
              <w:sz w:val="18"/>
            </w:rPr>
            <w:t>Therapeutic Goods Legislation Amendment (2019 Measures No. 1) Regulations 2019</w:t>
          </w:r>
          <w:r w:rsidRPr="007A1328">
            <w:rPr>
              <w:i/>
              <w:sz w:val="18"/>
            </w:rPr>
            <w:fldChar w:fldCharType="end"/>
          </w:r>
        </w:p>
      </w:tc>
      <w:tc>
        <w:tcPr>
          <w:tcW w:w="418" w:type="pct"/>
          <w:tcBorders>
            <w:top w:val="nil"/>
            <w:left w:val="nil"/>
            <w:bottom w:val="nil"/>
            <w:right w:val="nil"/>
          </w:tcBorders>
        </w:tcPr>
        <w:p w:rsidR="004C7C9A" w:rsidRDefault="004C7C9A" w:rsidP="00BB72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59</w:t>
          </w:r>
          <w:r w:rsidRPr="00ED79B6">
            <w:rPr>
              <w:i/>
              <w:sz w:val="18"/>
            </w:rPr>
            <w:fldChar w:fldCharType="end"/>
          </w:r>
        </w:p>
      </w:tc>
    </w:tr>
  </w:tbl>
  <w:p w:rsidR="004C7C9A" w:rsidRPr="00F41F05" w:rsidRDefault="004C7C9A" w:rsidP="00F41F05">
    <w:pPr>
      <w:rPr>
        <w:rFonts w:cs="Times New Roman"/>
        <w:i/>
        <w:sz w:val="18"/>
      </w:rPr>
    </w:pPr>
    <w:r w:rsidRPr="00F41F05">
      <w:rPr>
        <w:rFonts w:cs="Times New Roman"/>
        <w:i/>
        <w:sz w:val="18"/>
      </w:rPr>
      <w:t>OPC64043 -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7B3B51" w:rsidRDefault="004C7C9A" w:rsidP="002622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7C9A" w:rsidRPr="007B3B51" w:rsidTr="004E4F1A">
      <w:tc>
        <w:tcPr>
          <w:tcW w:w="854" w:type="pct"/>
        </w:tcPr>
        <w:p w:rsidR="004C7C9A" w:rsidRPr="007B3B51" w:rsidRDefault="004C7C9A" w:rsidP="0026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C69">
            <w:rPr>
              <w:i/>
              <w:noProof/>
              <w:sz w:val="16"/>
              <w:szCs w:val="16"/>
            </w:rPr>
            <w:t>58</w:t>
          </w:r>
          <w:r w:rsidRPr="007B3B51">
            <w:rPr>
              <w:i/>
              <w:sz w:val="16"/>
              <w:szCs w:val="16"/>
            </w:rPr>
            <w:fldChar w:fldCharType="end"/>
          </w:r>
        </w:p>
      </w:tc>
      <w:tc>
        <w:tcPr>
          <w:tcW w:w="3688" w:type="pct"/>
          <w:gridSpan w:val="3"/>
        </w:tcPr>
        <w:p w:rsidR="004C7C9A" w:rsidRPr="007B3B51" w:rsidRDefault="004C7C9A" w:rsidP="0026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C69">
            <w:rPr>
              <w:i/>
              <w:noProof/>
              <w:sz w:val="16"/>
              <w:szCs w:val="16"/>
            </w:rPr>
            <w:t>Therapeutic Goods Legislation Amendment (2019 Measures No. 1) Regulations 2019</w:t>
          </w:r>
          <w:r w:rsidRPr="007B3B51">
            <w:rPr>
              <w:i/>
              <w:sz w:val="16"/>
              <w:szCs w:val="16"/>
            </w:rPr>
            <w:fldChar w:fldCharType="end"/>
          </w:r>
        </w:p>
      </w:tc>
      <w:tc>
        <w:tcPr>
          <w:tcW w:w="458" w:type="pct"/>
        </w:tcPr>
        <w:p w:rsidR="004C7C9A" w:rsidRPr="007B3B51" w:rsidRDefault="004C7C9A" w:rsidP="00262222">
          <w:pPr>
            <w:jc w:val="right"/>
            <w:rPr>
              <w:sz w:val="16"/>
              <w:szCs w:val="16"/>
            </w:rPr>
          </w:pPr>
        </w:p>
      </w:tc>
    </w:tr>
    <w:tr w:rsidR="004C7C9A" w:rsidRPr="0055472E" w:rsidTr="004E4F1A">
      <w:tc>
        <w:tcPr>
          <w:tcW w:w="1499" w:type="pct"/>
          <w:gridSpan w:val="2"/>
        </w:tcPr>
        <w:p w:rsidR="004C7C9A" w:rsidRPr="0055472E" w:rsidRDefault="004C7C9A" w:rsidP="0026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5FB0">
            <w:rPr>
              <w:sz w:val="16"/>
              <w:szCs w:val="16"/>
            </w:rPr>
            <w:t>1</w:t>
          </w:r>
          <w:r w:rsidRPr="0055472E">
            <w:rPr>
              <w:sz w:val="16"/>
              <w:szCs w:val="16"/>
            </w:rPr>
            <w:fldChar w:fldCharType="end"/>
          </w:r>
        </w:p>
      </w:tc>
      <w:tc>
        <w:tcPr>
          <w:tcW w:w="1999" w:type="pct"/>
        </w:tcPr>
        <w:p w:rsidR="004C7C9A" w:rsidRPr="0055472E" w:rsidRDefault="004C7C9A" w:rsidP="0026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t>24/07/2020</w:t>
          </w:r>
          <w:r w:rsidRPr="0055472E">
            <w:rPr>
              <w:sz w:val="16"/>
              <w:szCs w:val="16"/>
            </w:rPr>
            <w:fldChar w:fldCharType="end"/>
          </w:r>
        </w:p>
      </w:tc>
      <w:tc>
        <w:tcPr>
          <w:tcW w:w="1502" w:type="pct"/>
          <w:gridSpan w:val="2"/>
        </w:tcPr>
        <w:p w:rsidR="004C7C9A" w:rsidRPr="0055472E" w:rsidRDefault="004C7C9A" w:rsidP="0026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5FB0">
            <w:rPr>
              <w:sz w:val="16"/>
              <w:szCs w:val="16"/>
            </w:rPr>
            <w:instrText>17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E5FB0">
            <w:rPr>
              <w:sz w:val="16"/>
              <w:szCs w:val="16"/>
            </w:rPr>
            <w:instrText>17/08/2020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5FB0">
            <w:rPr>
              <w:noProof/>
              <w:sz w:val="16"/>
              <w:szCs w:val="16"/>
            </w:rPr>
            <w:t>17/08/2020</w:t>
          </w:r>
          <w:r w:rsidRPr="0055472E">
            <w:rPr>
              <w:sz w:val="16"/>
              <w:szCs w:val="16"/>
            </w:rPr>
            <w:fldChar w:fldCharType="end"/>
          </w:r>
        </w:p>
      </w:tc>
    </w:tr>
  </w:tbl>
  <w:p w:rsidR="004C7C9A" w:rsidRDefault="004C7C9A" w:rsidP="002622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4D7" w:rsidRDefault="009A64D7" w:rsidP="0048364F">
      <w:pPr>
        <w:spacing w:line="240" w:lineRule="auto"/>
      </w:pPr>
      <w:r>
        <w:separator/>
      </w:r>
    </w:p>
  </w:footnote>
  <w:footnote w:type="continuationSeparator" w:id="0">
    <w:p w:rsidR="009A64D7" w:rsidRDefault="009A64D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Default="004C7C9A" w:rsidP="002F72E3">
    <w:pPr>
      <w:pStyle w:val="Header"/>
      <w:pBdr>
        <w:bottom w:val="single" w:sz="6" w:space="1" w:color="auto"/>
      </w:pBdr>
    </w:pPr>
  </w:p>
  <w:p w:rsidR="004C7C9A" w:rsidRDefault="004C7C9A" w:rsidP="002F72E3">
    <w:pPr>
      <w:pStyle w:val="Header"/>
      <w:pBdr>
        <w:bottom w:val="single" w:sz="6" w:space="1" w:color="auto"/>
      </w:pBdr>
    </w:pPr>
  </w:p>
  <w:p w:rsidR="004C7C9A" w:rsidRPr="001E77D2" w:rsidRDefault="004C7C9A" w:rsidP="002F72E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C4473E" w:rsidRDefault="004C7C9A" w:rsidP="00262222">
    <w:pPr>
      <w:rPr>
        <w:sz w:val="26"/>
        <w:szCs w:val="26"/>
      </w:rPr>
    </w:pPr>
  </w:p>
  <w:p w:rsidR="004C7C9A" w:rsidRPr="00965EE7" w:rsidRDefault="004C7C9A" w:rsidP="00262222">
    <w:pPr>
      <w:rPr>
        <w:b/>
        <w:sz w:val="20"/>
      </w:rPr>
    </w:pPr>
    <w:r w:rsidRPr="00965EE7">
      <w:rPr>
        <w:b/>
        <w:sz w:val="20"/>
      </w:rPr>
      <w:t>Endnotes</w:t>
    </w:r>
  </w:p>
  <w:p w:rsidR="004C7C9A" w:rsidRPr="007A1328" w:rsidRDefault="004C7C9A" w:rsidP="00262222">
    <w:pPr>
      <w:rPr>
        <w:sz w:val="20"/>
      </w:rPr>
    </w:pPr>
  </w:p>
  <w:p w:rsidR="004C7C9A" w:rsidRPr="007A1328" w:rsidRDefault="004C7C9A" w:rsidP="00262222">
    <w:pPr>
      <w:rPr>
        <w:b/>
        <w:sz w:val="24"/>
      </w:rPr>
    </w:pPr>
  </w:p>
  <w:p w:rsidR="004C7C9A" w:rsidRDefault="004C7C9A" w:rsidP="002622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35C69">
      <w:rPr>
        <w:noProof/>
        <w:szCs w:val="22"/>
      </w:rPr>
      <w:t>Endnote 4—Amendment history</w:t>
    </w:r>
    <w:r w:rsidRPr="00C4473E">
      <w:rPr>
        <w:szCs w:val="22"/>
      </w:rPr>
      <w:fldChar w:fldCharType="end"/>
    </w:r>
  </w:p>
  <w:p w:rsidR="004C7C9A" w:rsidRPr="00C4473E" w:rsidRDefault="004C7C9A" w:rsidP="00262222">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C4473E" w:rsidRDefault="004C7C9A" w:rsidP="00262222">
    <w:pPr>
      <w:jc w:val="right"/>
      <w:rPr>
        <w:sz w:val="26"/>
        <w:szCs w:val="26"/>
      </w:rPr>
    </w:pPr>
  </w:p>
  <w:p w:rsidR="004C7C9A" w:rsidRPr="00965EE7" w:rsidRDefault="004C7C9A" w:rsidP="00262222">
    <w:pPr>
      <w:jc w:val="right"/>
      <w:rPr>
        <w:b/>
        <w:sz w:val="20"/>
      </w:rPr>
    </w:pPr>
    <w:r w:rsidRPr="00965EE7">
      <w:rPr>
        <w:b/>
        <w:sz w:val="20"/>
      </w:rPr>
      <w:t>Endnotes</w:t>
    </w:r>
  </w:p>
  <w:p w:rsidR="004C7C9A" w:rsidRPr="007A1328" w:rsidRDefault="004C7C9A" w:rsidP="00262222">
    <w:pPr>
      <w:jc w:val="right"/>
      <w:rPr>
        <w:sz w:val="20"/>
      </w:rPr>
    </w:pPr>
  </w:p>
  <w:p w:rsidR="004C7C9A" w:rsidRPr="007A1328" w:rsidRDefault="004C7C9A" w:rsidP="00262222">
    <w:pPr>
      <w:jc w:val="right"/>
      <w:rPr>
        <w:b/>
        <w:sz w:val="24"/>
      </w:rPr>
    </w:pPr>
  </w:p>
  <w:p w:rsidR="004C7C9A" w:rsidRPr="00C4473E" w:rsidRDefault="004C7C9A" w:rsidP="002622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35C69">
      <w:rPr>
        <w:noProof/>
        <w:szCs w:val="22"/>
      </w:rPr>
      <w:t>Endnote 3—Legislation history</w:t>
    </w:r>
    <w:r w:rsidRPr="00C4473E">
      <w:rPr>
        <w:szCs w:val="22"/>
      </w:rPr>
      <w:fldChar w:fldCharType="end"/>
    </w:r>
  </w:p>
  <w:p w:rsidR="004C7C9A" w:rsidRDefault="004C7C9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D7" w:rsidRPr="00C4473E" w:rsidRDefault="009A64D7" w:rsidP="00262222">
    <w:pPr>
      <w:rPr>
        <w:sz w:val="26"/>
        <w:szCs w:val="26"/>
      </w:rPr>
    </w:pPr>
  </w:p>
  <w:p w:rsidR="009A64D7" w:rsidRPr="00965EE7" w:rsidRDefault="009A64D7" w:rsidP="00262222">
    <w:pPr>
      <w:rPr>
        <w:b/>
        <w:sz w:val="20"/>
      </w:rPr>
    </w:pPr>
    <w:r w:rsidRPr="00965EE7">
      <w:rPr>
        <w:b/>
        <w:sz w:val="20"/>
      </w:rPr>
      <w:t>Endnotes</w:t>
    </w:r>
  </w:p>
  <w:p w:rsidR="009A64D7" w:rsidRPr="007A1328" w:rsidRDefault="009A64D7" w:rsidP="00262222">
    <w:pPr>
      <w:rPr>
        <w:sz w:val="20"/>
      </w:rPr>
    </w:pPr>
  </w:p>
  <w:p w:rsidR="009A64D7" w:rsidRPr="007A1328" w:rsidRDefault="009A64D7" w:rsidP="00262222">
    <w:pPr>
      <w:rPr>
        <w:b/>
        <w:sz w:val="24"/>
      </w:rPr>
    </w:pPr>
  </w:p>
  <w:p w:rsidR="009A64D7" w:rsidRDefault="009A64D7" w:rsidP="002622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5FB0">
      <w:rPr>
        <w:noProof/>
        <w:szCs w:val="22"/>
      </w:rPr>
      <w:t>Endnote 4—Amendment history</w:t>
    </w:r>
    <w:r w:rsidRPr="00C4473E">
      <w:rPr>
        <w:szCs w:val="22"/>
      </w:rPr>
      <w:fldChar w:fldCharType="end"/>
    </w:r>
  </w:p>
  <w:p w:rsidR="009A64D7" w:rsidRPr="00C4473E" w:rsidRDefault="009A64D7" w:rsidP="00262222">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D7" w:rsidRPr="00C4473E" w:rsidRDefault="009A64D7" w:rsidP="00262222">
    <w:pPr>
      <w:jc w:val="right"/>
      <w:rPr>
        <w:sz w:val="26"/>
        <w:szCs w:val="26"/>
      </w:rPr>
    </w:pPr>
  </w:p>
  <w:p w:rsidR="009A64D7" w:rsidRPr="00965EE7" w:rsidRDefault="009A64D7" w:rsidP="00262222">
    <w:pPr>
      <w:jc w:val="right"/>
      <w:rPr>
        <w:b/>
        <w:sz w:val="20"/>
      </w:rPr>
    </w:pPr>
    <w:r w:rsidRPr="00965EE7">
      <w:rPr>
        <w:b/>
        <w:sz w:val="20"/>
      </w:rPr>
      <w:t>Endnotes</w:t>
    </w:r>
  </w:p>
  <w:p w:rsidR="009A64D7" w:rsidRPr="007A1328" w:rsidRDefault="009A64D7" w:rsidP="00262222">
    <w:pPr>
      <w:jc w:val="right"/>
      <w:rPr>
        <w:sz w:val="20"/>
      </w:rPr>
    </w:pPr>
  </w:p>
  <w:p w:rsidR="009A64D7" w:rsidRPr="007A1328" w:rsidRDefault="009A64D7" w:rsidP="00262222">
    <w:pPr>
      <w:jc w:val="right"/>
      <w:rPr>
        <w:b/>
        <w:sz w:val="24"/>
      </w:rPr>
    </w:pPr>
  </w:p>
  <w:p w:rsidR="009A64D7" w:rsidRPr="00C4473E" w:rsidRDefault="009A64D7" w:rsidP="002622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5FB0">
      <w:rPr>
        <w:noProof/>
        <w:szCs w:val="22"/>
      </w:rPr>
      <w:t>Endnote 4—Amendment history</w:t>
    </w:r>
    <w:r w:rsidRPr="00C4473E">
      <w:rPr>
        <w:szCs w:val="22"/>
      </w:rPr>
      <w:fldChar w:fldCharType="end"/>
    </w:r>
  </w:p>
  <w:p w:rsidR="009A64D7" w:rsidRDefault="009A64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Default="004C7C9A" w:rsidP="002F72E3">
    <w:pPr>
      <w:pStyle w:val="Header"/>
      <w:pBdr>
        <w:bottom w:val="single" w:sz="4" w:space="1" w:color="auto"/>
      </w:pBdr>
    </w:pPr>
  </w:p>
  <w:p w:rsidR="004C7C9A" w:rsidRDefault="004C7C9A" w:rsidP="002F72E3">
    <w:pPr>
      <w:pStyle w:val="Header"/>
      <w:pBdr>
        <w:bottom w:val="single" w:sz="4" w:space="1" w:color="auto"/>
      </w:pBdr>
    </w:pPr>
  </w:p>
  <w:p w:rsidR="004C7C9A" w:rsidRPr="001E77D2" w:rsidRDefault="004C7C9A" w:rsidP="002F72E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5F1388" w:rsidRDefault="004C7C9A" w:rsidP="002F72E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ED79B6" w:rsidRDefault="004C7C9A"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ED79B6" w:rsidRDefault="004C7C9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ED79B6" w:rsidRDefault="004C7C9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A961C4" w:rsidRDefault="004C7C9A" w:rsidP="0048364F">
    <w:pPr>
      <w:rPr>
        <w:b/>
        <w:sz w:val="20"/>
      </w:rPr>
    </w:pPr>
    <w:r>
      <w:rPr>
        <w:b/>
        <w:sz w:val="20"/>
      </w:rPr>
      <w:fldChar w:fldCharType="begin"/>
    </w:r>
    <w:r>
      <w:rPr>
        <w:b/>
        <w:sz w:val="20"/>
      </w:rPr>
      <w:instrText xml:space="preserve"> STYLEREF CharAmSchNo </w:instrText>
    </w:r>
    <w:r w:rsidR="006E5FB0">
      <w:rPr>
        <w:b/>
        <w:sz w:val="20"/>
      </w:rPr>
      <w:fldChar w:fldCharType="separate"/>
    </w:r>
    <w:r w:rsidR="00E35C69">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35C69">
      <w:rPr>
        <w:noProof/>
        <w:sz w:val="20"/>
      </w:rPr>
      <w:t>Application, saving and transitional provisions</w:t>
    </w:r>
    <w:r>
      <w:rPr>
        <w:sz w:val="20"/>
      </w:rPr>
      <w:fldChar w:fldCharType="end"/>
    </w:r>
  </w:p>
  <w:p w:rsidR="004C7C9A" w:rsidRPr="00A961C4" w:rsidRDefault="004C7C9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C7C9A" w:rsidRPr="00A961C4" w:rsidRDefault="004C7C9A"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A961C4" w:rsidRDefault="004C7C9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35C69">
      <w:rPr>
        <w:noProof/>
        <w:sz w:val="20"/>
      </w:rPr>
      <w:t>Application, saving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E5FB0">
      <w:rPr>
        <w:b/>
        <w:sz w:val="20"/>
      </w:rPr>
      <w:fldChar w:fldCharType="separate"/>
    </w:r>
    <w:r w:rsidR="00E35C69">
      <w:rPr>
        <w:b/>
        <w:noProof/>
        <w:sz w:val="20"/>
      </w:rPr>
      <w:t>Schedule 10</w:t>
    </w:r>
    <w:r>
      <w:rPr>
        <w:b/>
        <w:sz w:val="20"/>
      </w:rPr>
      <w:fldChar w:fldCharType="end"/>
    </w:r>
  </w:p>
  <w:p w:rsidR="004C7C9A" w:rsidRPr="00A961C4" w:rsidRDefault="004C7C9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C7C9A" w:rsidRPr="00A961C4" w:rsidRDefault="004C7C9A"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9A" w:rsidRPr="00A961C4" w:rsidRDefault="004C7C9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2FB48"/>
    <w:lvl w:ilvl="0">
      <w:start w:val="1"/>
      <w:numFmt w:val="decimal"/>
      <w:lvlText w:val="%1."/>
      <w:lvlJc w:val="left"/>
      <w:pPr>
        <w:tabs>
          <w:tab w:val="num" w:pos="1492"/>
        </w:tabs>
        <w:ind w:left="1492" w:hanging="360"/>
      </w:pPr>
    </w:lvl>
  </w:abstractNum>
  <w:abstractNum w:abstractNumId="1">
    <w:nsid w:val="FFFFFF7D"/>
    <w:multiLevelType w:val="singleLevel"/>
    <w:tmpl w:val="092E6632"/>
    <w:lvl w:ilvl="0">
      <w:start w:val="1"/>
      <w:numFmt w:val="decimal"/>
      <w:lvlText w:val="%1."/>
      <w:lvlJc w:val="left"/>
      <w:pPr>
        <w:tabs>
          <w:tab w:val="num" w:pos="1209"/>
        </w:tabs>
        <w:ind w:left="1209" w:hanging="360"/>
      </w:pPr>
    </w:lvl>
  </w:abstractNum>
  <w:abstractNum w:abstractNumId="2">
    <w:nsid w:val="FFFFFF7E"/>
    <w:multiLevelType w:val="singleLevel"/>
    <w:tmpl w:val="C7D4CD92"/>
    <w:lvl w:ilvl="0">
      <w:start w:val="1"/>
      <w:numFmt w:val="decimal"/>
      <w:lvlText w:val="%1."/>
      <w:lvlJc w:val="left"/>
      <w:pPr>
        <w:tabs>
          <w:tab w:val="num" w:pos="926"/>
        </w:tabs>
        <w:ind w:left="926" w:hanging="360"/>
      </w:pPr>
    </w:lvl>
  </w:abstractNum>
  <w:abstractNum w:abstractNumId="3">
    <w:nsid w:val="FFFFFF7F"/>
    <w:multiLevelType w:val="singleLevel"/>
    <w:tmpl w:val="37AAFAF8"/>
    <w:lvl w:ilvl="0">
      <w:start w:val="1"/>
      <w:numFmt w:val="decimal"/>
      <w:lvlText w:val="%1."/>
      <w:lvlJc w:val="left"/>
      <w:pPr>
        <w:tabs>
          <w:tab w:val="num" w:pos="643"/>
        </w:tabs>
        <w:ind w:left="643" w:hanging="360"/>
      </w:pPr>
    </w:lvl>
  </w:abstractNum>
  <w:abstractNum w:abstractNumId="4">
    <w:nsid w:val="FFFFFF80"/>
    <w:multiLevelType w:val="singleLevel"/>
    <w:tmpl w:val="A080B6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6228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B8CE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5400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4CA4FE"/>
    <w:lvl w:ilvl="0">
      <w:start w:val="1"/>
      <w:numFmt w:val="decimal"/>
      <w:lvlText w:val="%1."/>
      <w:lvlJc w:val="left"/>
      <w:pPr>
        <w:tabs>
          <w:tab w:val="num" w:pos="360"/>
        </w:tabs>
        <w:ind w:left="360" w:hanging="360"/>
      </w:pPr>
    </w:lvl>
  </w:abstractNum>
  <w:abstractNum w:abstractNumId="9">
    <w:nsid w:val="FFFFFF89"/>
    <w:multiLevelType w:val="singleLevel"/>
    <w:tmpl w:val="FEE65966"/>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A8"/>
    <w:rsid w:val="00000263"/>
    <w:rsid w:val="0001090C"/>
    <w:rsid w:val="000113BC"/>
    <w:rsid w:val="00012171"/>
    <w:rsid w:val="000136AF"/>
    <w:rsid w:val="00014E54"/>
    <w:rsid w:val="0002175A"/>
    <w:rsid w:val="0002198D"/>
    <w:rsid w:val="00031AF5"/>
    <w:rsid w:val="00037711"/>
    <w:rsid w:val="0004044E"/>
    <w:rsid w:val="00046F47"/>
    <w:rsid w:val="0005120E"/>
    <w:rsid w:val="00052434"/>
    <w:rsid w:val="00054577"/>
    <w:rsid w:val="000614BF"/>
    <w:rsid w:val="000627BC"/>
    <w:rsid w:val="00067A3E"/>
    <w:rsid w:val="00067E5A"/>
    <w:rsid w:val="0007169C"/>
    <w:rsid w:val="00077593"/>
    <w:rsid w:val="00083926"/>
    <w:rsid w:val="00083F48"/>
    <w:rsid w:val="000922B5"/>
    <w:rsid w:val="000922FE"/>
    <w:rsid w:val="000A56A5"/>
    <w:rsid w:val="000A7DF9"/>
    <w:rsid w:val="000B049D"/>
    <w:rsid w:val="000B23DC"/>
    <w:rsid w:val="000B28AD"/>
    <w:rsid w:val="000C53E2"/>
    <w:rsid w:val="000D05EF"/>
    <w:rsid w:val="000D52F5"/>
    <w:rsid w:val="000D5485"/>
    <w:rsid w:val="000E6681"/>
    <w:rsid w:val="000F12F0"/>
    <w:rsid w:val="000F21C1"/>
    <w:rsid w:val="000F7E3A"/>
    <w:rsid w:val="00105D72"/>
    <w:rsid w:val="0010745C"/>
    <w:rsid w:val="00117277"/>
    <w:rsid w:val="00124EA8"/>
    <w:rsid w:val="0012700F"/>
    <w:rsid w:val="00153FF0"/>
    <w:rsid w:val="0015400E"/>
    <w:rsid w:val="00157140"/>
    <w:rsid w:val="00157363"/>
    <w:rsid w:val="00160BD7"/>
    <w:rsid w:val="001643C9"/>
    <w:rsid w:val="00165568"/>
    <w:rsid w:val="00166082"/>
    <w:rsid w:val="001668DE"/>
    <w:rsid w:val="00166C2F"/>
    <w:rsid w:val="001716C9"/>
    <w:rsid w:val="00174863"/>
    <w:rsid w:val="001751FE"/>
    <w:rsid w:val="00184261"/>
    <w:rsid w:val="0018645E"/>
    <w:rsid w:val="00190DF5"/>
    <w:rsid w:val="00193461"/>
    <w:rsid w:val="001939E1"/>
    <w:rsid w:val="00195124"/>
    <w:rsid w:val="00195382"/>
    <w:rsid w:val="00196A77"/>
    <w:rsid w:val="001A3B9F"/>
    <w:rsid w:val="001A65C0"/>
    <w:rsid w:val="001B2701"/>
    <w:rsid w:val="001B424A"/>
    <w:rsid w:val="001B6456"/>
    <w:rsid w:val="001B7A5D"/>
    <w:rsid w:val="001C1E63"/>
    <w:rsid w:val="001C632B"/>
    <w:rsid w:val="001C69C4"/>
    <w:rsid w:val="001D0E34"/>
    <w:rsid w:val="001D1983"/>
    <w:rsid w:val="001D2DF1"/>
    <w:rsid w:val="001E0A8D"/>
    <w:rsid w:val="001E3590"/>
    <w:rsid w:val="001E7407"/>
    <w:rsid w:val="00201D27"/>
    <w:rsid w:val="0020300C"/>
    <w:rsid w:val="00211055"/>
    <w:rsid w:val="002153BA"/>
    <w:rsid w:val="00216188"/>
    <w:rsid w:val="00220A0C"/>
    <w:rsid w:val="002225B2"/>
    <w:rsid w:val="00223E4A"/>
    <w:rsid w:val="0022587B"/>
    <w:rsid w:val="00226F82"/>
    <w:rsid w:val="002302EA"/>
    <w:rsid w:val="00240749"/>
    <w:rsid w:val="002468D7"/>
    <w:rsid w:val="00250DE7"/>
    <w:rsid w:val="00262222"/>
    <w:rsid w:val="0026681A"/>
    <w:rsid w:val="00276BBE"/>
    <w:rsid w:val="0028227B"/>
    <w:rsid w:val="00285CDD"/>
    <w:rsid w:val="00291167"/>
    <w:rsid w:val="00297ECB"/>
    <w:rsid w:val="002A275B"/>
    <w:rsid w:val="002A3AE6"/>
    <w:rsid w:val="002B7F8C"/>
    <w:rsid w:val="002C152A"/>
    <w:rsid w:val="002D043A"/>
    <w:rsid w:val="002D2439"/>
    <w:rsid w:val="002E5D3F"/>
    <w:rsid w:val="002E7930"/>
    <w:rsid w:val="002F1781"/>
    <w:rsid w:val="002F30AD"/>
    <w:rsid w:val="002F72E3"/>
    <w:rsid w:val="00303A5E"/>
    <w:rsid w:val="00304C8A"/>
    <w:rsid w:val="00312B26"/>
    <w:rsid w:val="0031713F"/>
    <w:rsid w:val="0032033F"/>
    <w:rsid w:val="00320F70"/>
    <w:rsid w:val="00321913"/>
    <w:rsid w:val="00324EE6"/>
    <w:rsid w:val="003316DC"/>
    <w:rsid w:val="00332E0D"/>
    <w:rsid w:val="00340CAD"/>
    <w:rsid w:val="003415D3"/>
    <w:rsid w:val="00346335"/>
    <w:rsid w:val="0034717E"/>
    <w:rsid w:val="00352B0F"/>
    <w:rsid w:val="003561B0"/>
    <w:rsid w:val="003610DB"/>
    <w:rsid w:val="003626ED"/>
    <w:rsid w:val="00363D6B"/>
    <w:rsid w:val="00367960"/>
    <w:rsid w:val="00367A30"/>
    <w:rsid w:val="00373C73"/>
    <w:rsid w:val="0037666D"/>
    <w:rsid w:val="00380064"/>
    <w:rsid w:val="00390131"/>
    <w:rsid w:val="00394C7A"/>
    <w:rsid w:val="003A15AC"/>
    <w:rsid w:val="003A3444"/>
    <w:rsid w:val="003A56EB"/>
    <w:rsid w:val="003B0627"/>
    <w:rsid w:val="003C00CE"/>
    <w:rsid w:val="003C0425"/>
    <w:rsid w:val="003C207E"/>
    <w:rsid w:val="003C5F2B"/>
    <w:rsid w:val="003D0BFE"/>
    <w:rsid w:val="003D5700"/>
    <w:rsid w:val="003F0DE5"/>
    <w:rsid w:val="003F0F5A"/>
    <w:rsid w:val="003F1151"/>
    <w:rsid w:val="00400A30"/>
    <w:rsid w:val="004022CA"/>
    <w:rsid w:val="00403A85"/>
    <w:rsid w:val="0040679D"/>
    <w:rsid w:val="004067DD"/>
    <w:rsid w:val="00406D5B"/>
    <w:rsid w:val="004116CD"/>
    <w:rsid w:val="00414ADE"/>
    <w:rsid w:val="00424CA9"/>
    <w:rsid w:val="004257BB"/>
    <w:rsid w:val="004261D9"/>
    <w:rsid w:val="004325A2"/>
    <w:rsid w:val="0043736B"/>
    <w:rsid w:val="00437E43"/>
    <w:rsid w:val="00440656"/>
    <w:rsid w:val="0044291A"/>
    <w:rsid w:val="0045178D"/>
    <w:rsid w:val="00460499"/>
    <w:rsid w:val="00461020"/>
    <w:rsid w:val="00464C84"/>
    <w:rsid w:val="00466CA8"/>
    <w:rsid w:val="00474835"/>
    <w:rsid w:val="004819C7"/>
    <w:rsid w:val="0048320B"/>
    <w:rsid w:val="0048364F"/>
    <w:rsid w:val="00490F2E"/>
    <w:rsid w:val="00492AC1"/>
    <w:rsid w:val="00495F1B"/>
    <w:rsid w:val="00496DB3"/>
    <w:rsid w:val="00496F97"/>
    <w:rsid w:val="004A53EA"/>
    <w:rsid w:val="004C1560"/>
    <w:rsid w:val="004C54C9"/>
    <w:rsid w:val="004C7C9A"/>
    <w:rsid w:val="004E3116"/>
    <w:rsid w:val="004E4F1A"/>
    <w:rsid w:val="004E6128"/>
    <w:rsid w:val="004E693D"/>
    <w:rsid w:val="004F1FAC"/>
    <w:rsid w:val="004F563B"/>
    <w:rsid w:val="004F676E"/>
    <w:rsid w:val="00510618"/>
    <w:rsid w:val="00511F6E"/>
    <w:rsid w:val="00516B8D"/>
    <w:rsid w:val="0052686F"/>
    <w:rsid w:val="0052756C"/>
    <w:rsid w:val="00530230"/>
    <w:rsid w:val="00530CC9"/>
    <w:rsid w:val="005316D5"/>
    <w:rsid w:val="00536D76"/>
    <w:rsid w:val="00537BD9"/>
    <w:rsid w:val="00537FBC"/>
    <w:rsid w:val="00541D73"/>
    <w:rsid w:val="00543469"/>
    <w:rsid w:val="0054355A"/>
    <w:rsid w:val="005440C1"/>
    <w:rsid w:val="005452CC"/>
    <w:rsid w:val="00546FA3"/>
    <w:rsid w:val="00554243"/>
    <w:rsid w:val="00556F86"/>
    <w:rsid w:val="00557C7A"/>
    <w:rsid w:val="00562A58"/>
    <w:rsid w:val="00565BE3"/>
    <w:rsid w:val="0057497A"/>
    <w:rsid w:val="00581211"/>
    <w:rsid w:val="005839FD"/>
    <w:rsid w:val="00584404"/>
    <w:rsid w:val="00584811"/>
    <w:rsid w:val="00593AA6"/>
    <w:rsid w:val="00594161"/>
    <w:rsid w:val="00594749"/>
    <w:rsid w:val="005A0598"/>
    <w:rsid w:val="005A482B"/>
    <w:rsid w:val="005A54B4"/>
    <w:rsid w:val="005B4067"/>
    <w:rsid w:val="005C01A6"/>
    <w:rsid w:val="005C2622"/>
    <w:rsid w:val="005C2FAE"/>
    <w:rsid w:val="005C36E0"/>
    <w:rsid w:val="005C3F41"/>
    <w:rsid w:val="005C587B"/>
    <w:rsid w:val="005D168D"/>
    <w:rsid w:val="005D507F"/>
    <w:rsid w:val="005D5EA1"/>
    <w:rsid w:val="005E2581"/>
    <w:rsid w:val="005E35A1"/>
    <w:rsid w:val="005E5AF7"/>
    <w:rsid w:val="005E61D3"/>
    <w:rsid w:val="005F7738"/>
    <w:rsid w:val="00600219"/>
    <w:rsid w:val="006061CF"/>
    <w:rsid w:val="006071EF"/>
    <w:rsid w:val="00613EAD"/>
    <w:rsid w:val="006158AC"/>
    <w:rsid w:val="006159C0"/>
    <w:rsid w:val="006207E1"/>
    <w:rsid w:val="00637617"/>
    <w:rsid w:val="00640402"/>
    <w:rsid w:val="00640F78"/>
    <w:rsid w:val="00646E7B"/>
    <w:rsid w:val="006478B4"/>
    <w:rsid w:val="0065322D"/>
    <w:rsid w:val="00654226"/>
    <w:rsid w:val="00655D6A"/>
    <w:rsid w:val="00656DE9"/>
    <w:rsid w:val="00657257"/>
    <w:rsid w:val="0066087F"/>
    <w:rsid w:val="006616D6"/>
    <w:rsid w:val="00670CEB"/>
    <w:rsid w:val="00677CC2"/>
    <w:rsid w:val="00680DE4"/>
    <w:rsid w:val="00685F42"/>
    <w:rsid w:val="0068664D"/>
    <w:rsid w:val="006866A1"/>
    <w:rsid w:val="0069207B"/>
    <w:rsid w:val="006A4309"/>
    <w:rsid w:val="006B0859"/>
    <w:rsid w:val="006B0E55"/>
    <w:rsid w:val="006B7006"/>
    <w:rsid w:val="006C7F8C"/>
    <w:rsid w:val="006D44C2"/>
    <w:rsid w:val="006D7AB9"/>
    <w:rsid w:val="006E5FB0"/>
    <w:rsid w:val="006F57CE"/>
    <w:rsid w:val="00700B2C"/>
    <w:rsid w:val="00713084"/>
    <w:rsid w:val="00713F94"/>
    <w:rsid w:val="00717CA6"/>
    <w:rsid w:val="00720FC2"/>
    <w:rsid w:val="0072290B"/>
    <w:rsid w:val="00725406"/>
    <w:rsid w:val="00725914"/>
    <w:rsid w:val="007300DC"/>
    <w:rsid w:val="00731E00"/>
    <w:rsid w:val="00732E9D"/>
    <w:rsid w:val="0073491A"/>
    <w:rsid w:val="007440B7"/>
    <w:rsid w:val="00747993"/>
    <w:rsid w:val="00756132"/>
    <w:rsid w:val="00756CFF"/>
    <w:rsid w:val="007626C8"/>
    <w:rsid w:val="007634AD"/>
    <w:rsid w:val="007715C9"/>
    <w:rsid w:val="00774EDD"/>
    <w:rsid w:val="007757EC"/>
    <w:rsid w:val="00782088"/>
    <w:rsid w:val="00795A4E"/>
    <w:rsid w:val="007A115D"/>
    <w:rsid w:val="007A35E6"/>
    <w:rsid w:val="007A6863"/>
    <w:rsid w:val="007C209D"/>
    <w:rsid w:val="007C4EC8"/>
    <w:rsid w:val="007C5D37"/>
    <w:rsid w:val="007D157C"/>
    <w:rsid w:val="007D45C1"/>
    <w:rsid w:val="007E3B6D"/>
    <w:rsid w:val="007E7D4A"/>
    <w:rsid w:val="007F48ED"/>
    <w:rsid w:val="007F7947"/>
    <w:rsid w:val="00803798"/>
    <w:rsid w:val="00805613"/>
    <w:rsid w:val="00812F45"/>
    <w:rsid w:val="00825D04"/>
    <w:rsid w:val="0083435A"/>
    <w:rsid w:val="00840D75"/>
    <w:rsid w:val="0084172C"/>
    <w:rsid w:val="0084269F"/>
    <w:rsid w:val="00843947"/>
    <w:rsid w:val="00851F16"/>
    <w:rsid w:val="00856A31"/>
    <w:rsid w:val="00866703"/>
    <w:rsid w:val="00875077"/>
    <w:rsid w:val="008754D0"/>
    <w:rsid w:val="00877D48"/>
    <w:rsid w:val="00880813"/>
    <w:rsid w:val="00882C0D"/>
    <w:rsid w:val="0088345B"/>
    <w:rsid w:val="00885877"/>
    <w:rsid w:val="00887BF7"/>
    <w:rsid w:val="00895D75"/>
    <w:rsid w:val="0089738A"/>
    <w:rsid w:val="0089776E"/>
    <w:rsid w:val="008A16A5"/>
    <w:rsid w:val="008A234F"/>
    <w:rsid w:val="008A4E44"/>
    <w:rsid w:val="008C1BCB"/>
    <w:rsid w:val="008C2B5D"/>
    <w:rsid w:val="008C3158"/>
    <w:rsid w:val="008C5FFE"/>
    <w:rsid w:val="008D07EE"/>
    <w:rsid w:val="008D0EE0"/>
    <w:rsid w:val="008D5B99"/>
    <w:rsid w:val="008D7A27"/>
    <w:rsid w:val="008E1047"/>
    <w:rsid w:val="008E4702"/>
    <w:rsid w:val="008E69AA"/>
    <w:rsid w:val="008F3AEA"/>
    <w:rsid w:val="008F4F1C"/>
    <w:rsid w:val="0091408B"/>
    <w:rsid w:val="00917697"/>
    <w:rsid w:val="00922764"/>
    <w:rsid w:val="009235BB"/>
    <w:rsid w:val="00923748"/>
    <w:rsid w:val="00925163"/>
    <w:rsid w:val="00932377"/>
    <w:rsid w:val="00932FE5"/>
    <w:rsid w:val="00943102"/>
    <w:rsid w:val="0094523D"/>
    <w:rsid w:val="00954E86"/>
    <w:rsid w:val="009559E6"/>
    <w:rsid w:val="00976901"/>
    <w:rsid w:val="00976A63"/>
    <w:rsid w:val="009776CD"/>
    <w:rsid w:val="00977D72"/>
    <w:rsid w:val="00981F8C"/>
    <w:rsid w:val="00983419"/>
    <w:rsid w:val="00985416"/>
    <w:rsid w:val="00987000"/>
    <w:rsid w:val="009A2072"/>
    <w:rsid w:val="009A54B7"/>
    <w:rsid w:val="009A64D7"/>
    <w:rsid w:val="009A787F"/>
    <w:rsid w:val="009B203A"/>
    <w:rsid w:val="009B6E82"/>
    <w:rsid w:val="009B7C00"/>
    <w:rsid w:val="009C19CC"/>
    <w:rsid w:val="009C1B8A"/>
    <w:rsid w:val="009C1B9D"/>
    <w:rsid w:val="009C3431"/>
    <w:rsid w:val="009C5989"/>
    <w:rsid w:val="009C64B7"/>
    <w:rsid w:val="009D08DA"/>
    <w:rsid w:val="009D590B"/>
    <w:rsid w:val="009E0BFC"/>
    <w:rsid w:val="009F5ABE"/>
    <w:rsid w:val="009F6290"/>
    <w:rsid w:val="00A05225"/>
    <w:rsid w:val="00A06860"/>
    <w:rsid w:val="00A122C4"/>
    <w:rsid w:val="00A136F5"/>
    <w:rsid w:val="00A231E2"/>
    <w:rsid w:val="00A2550D"/>
    <w:rsid w:val="00A27734"/>
    <w:rsid w:val="00A4169B"/>
    <w:rsid w:val="00A43187"/>
    <w:rsid w:val="00A445F2"/>
    <w:rsid w:val="00A50D55"/>
    <w:rsid w:val="00A50FE1"/>
    <w:rsid w:val="00A5165B"/>
    <w:rsid w:val="00A52FDA"/>
    <w:rsid w:val="00A64912"/>
    <w:rsid w:val="00A70A74"/>
    <w:rsid w:val="00A74CB6"/>
    <w:rsid w:val="00A83D30"/>
    <w:rsid w:val="00A85816"/>
    <w:rsid w:val="00AA0343"/>
    <w:rsid w:val="00AA27A1"/>
    <w:rsid w:val="00AA2A5C"/>
    <w:rsid w:val="00AB78E9"/>
    <w:rsid w:val="00AC6D0D"/>
    <w:rsid w:val="00AD3467"/>
    <w:rsid w:val="00AD3B91"/>
    <w:rsid w:val="00AD5641"/>
    <w:rsid w:val="00AD7252"/>
    <w:rsid w:val="00AE0F9B"/>
    <w:rsid w:val="00AE48B7"/>
    <w:rsid w:val="00AF1698"/>
    <w:rsid w:val="00AF55FF"/>
    <w:rsid w:val="00B032D8"/>
    <w:rsid w:val="00B0792A"/>
    <w:rsid w:val="00B13133"/>
    <w:rsid w:val="00B14E91"/>
    <w:rsid w:val="00B16861"/>
    <w:rsid w:val="00B272AB"/>
    <w:rsid w:val="00B33B3C"/>
    <w:rsid w:val="00B40D74"/>
    <w:rsid w:val="00B52663"/>
    <w:rsid w:val="00B56DCB"/>
    <w:rsid w:val="00B66199"/>
    <w:rsid w:val="00B770D2"/>
    <w:rsid w:val="00B86E5D"/>
    <w:rsid w:val="00B940C0"/>
    <w:rsid w:val="00B978A6"/>
    <w:rsid w:val="00BA47A3"/>
    <w:rsid w:val="00BA5026"/>
    <w:rsid w:val="00BA69DB"/>
    <w:rsid w:val="00BB1131"/>
    <w:rsid w:val="00BB3BA1"/>
    <w:rsid w:val="00BB6E79"/>
    <w:rsid w:val="00BB72A9"/>
    <w:rsid w:val="00BC0AF6"/>
    <w:rsid w:val="00BD30FA"/>
    <w:rsid w:val="00BE3B31"/>
    <w:rsid w:val="00BE719A"/>
    <w:rsid w:val="00BE720A"/>
    <w:rsid w:val="00BF4EC3"/>
    <w:rsid w:val="00BF6650"/>
    <w:rsid w:val="00C006BA"/>
    <w:rsid w:val="00C067E5"/>
    <w:rsid w:val="00C10389"/>
    <w:rsid w:val="00C12BF5"/>
    <w:rsid w:val="00C164CA"/>
    <w:rsid w:val="00C35ACF"/>
    <w:rsid w:val="00C42BF8"/>
    <w:rsid w:val="00C460AE"/>
    <w:rsid w:val="00C50043"/>
    <w:rsid w:val="00C50A0F"/>
    <w:rsid w:val="00C7573B"/>
    <w:rsid w:val="00C76CF3"/>
    <w:rsid w:val="00C83D30"/>
    <w:rsid w:val="00C938BB"/>
    <w:rsid w:val="00CA60C5"/>
    <w:rsid w:val="00CA7844"/>
    <w:rsid w:val="00CB58EF"/>
    <w:rsid w:val="00CD2B1E"/>
    <w:rsid w:val="00CE7D64"/>
    <w:rsid w:val="00CF0BB2"/>
    <w:rsid w:val="00CF3FE1"/>
    <w:rsid w:val="00D047DF"/>
    <w:rsid w:val="00D075BF"/>
    <w:rsid w:val="00D13441"/>
    <w:rsid w:val="00D174ED"/>
    <w:rsid w:val="00D20665"/>
    <w:rsid w:val="00D243A3"/>
    <w:rsid w:val="00D24C4D"/>
    <w:rsid w:val="00D30ED3"/>
    <w:rsid w:val="00D3200B"/>
    <w:rsid w:val="00D33440"/>
    <w:rsid w:val="00D36DA2"/>
    <w:rsid w:val="00D425F1"/>
    <w:rsid w:val="00D43B27"/>
    <w:rsid w:val="00D510F9"/>
    <w:rsid w:val="00D52EFE"/>
    <w:rsid w:val="00D543EB"/>
    <w:rsid w:val="00D56A0D"/>
    <w:rsid w:val="00D60D03"/>
    <w:rsid w:val="00D6195E"/>
    <w:rsid w:val="00D63EF6"/>
    <w:rsid w:val="00D64B3F"/>
    <w:rsid w:val="00D66518"/>
    <w:rsid w:val="00D6705D"/>
    <w:rsid w:val="00D677FC"/>
    <w:rsid w:val="00D70DFB"/>
    <w:rsid w:val="00D71083"/>
    <w:rsid w:val="00D71EEA"/>
    <w:rsid w:val="00D735CD"/>
    <w:rsid w:val="00D766DF"/>
    <w:rsid w:val="00D84475"/>
    <w:rsid w:val="00D85FB6"/>
    <w:rsid w:val="00D95891"/>
    <w:rsid w:val="00DA144F"/>
    <w:rsid w:val="00DA223A"/>
    <w:rsid w:val="00DA5102"/>
    <w:rsid w:val="00DA5EBB"/>
    <w:rsid w:val="00DB3169"/>
    <w:rsid w:val="00DB31F8"/>
    <w:rsid w:val="00DB5CB4"/>
    <w:rsid w:val="00DB6338"/>
    <w:rsid w:val="00DC4F1E"/>
    <w:rsid w:val="00DC70AA"/>
    <w:rsid w:val="00DD7D82"/>
    <w:rsid w:val="00DE149E"/>
    <w:rsid w:val="00DE2014"/>
    <w:rsid w:val="00DE2B75"/>
    <w:rsid w:val="00DE5684"/>
    <w:rsid w:val="00DF1760"/>
    <w:rsid w:val="00DF7204"/>
    <w:rsid w:val="00E05704"/>
    <w:rsid w:val="00E12F1A"/>
    <w:rsid w:val="00E21CFB"/>
    <w:rsid w:val="00E22935"/>
    <w:rsid w:val="00E27336"/>
    <w:rsid w:val="00E35C69"/>
    <w:rsid w:val="00E41DAD"/>
    <w:rsid w:val="00E54292"/>
    <w:rsid w:val="00E576D7"/>
    <w:rsid w:val="00E60191"/>
    <w:rsid w:val="00E66903"/>
    <w:rsid w:val="00E71BEC"/>
    <w:rsid w:val="00E74DC7"/>
    <w:rsid w:val="00E75F24"/>
    <w:rsid w:val="00E7647C"/>
    <w:rsid w:val="00E81866"/>
    <w:rsid w:val="00E83F82"/>
    <w:rsid w:val="00E87699"/>
    <w:rsid w:val="00E92E27"/>
    <w:rsid w:val="00E9586B"/>
    <w:rsid w:val="00E97334"/>
    <w:rsid w:val="00E9748B"/>
    <w:rsid w:val="00E97DF5"/>
    <w:rsid w:val="00EA0D36"/>
    <w:rsid w:val="00EB053B"/>
    <w:rsid w:val="00ED3062"/>
    <w:rsid w:val="00ED4928"/>
    <w:rsid w:val="00EE3749"/>
    <w:rsid w:val="00EE6190"/>
    <w:rsid w:val="00EF22ED"/>
    <w:rsid w:val="00EF2E3A"/>
    <w:rsid w:val="00EF6402"/>
    <w:rsid w:val="00F02362"/>
    <w:rsid w:val="00F025DF"/>
    <w:rsid w:val="00F035E4"/>
    <w:rsid w:val="00F047E2"/>
    <w:rsid w:val="00F04D57"/>
    <w:rsid w:val="00F05173"/>
    <w:rsid w:val="00F078DC"/>
    <w:rsid w:val="00F13E86"/>
    <w:rsid w:val="00F27773"/>
    <w:rsid w:val="00F32FCB"/>
    <w:rsid w:val="00F36694"/>
    <w:rsid w:val="00F41F05"/>
    <w:rsid w:val="00F453E6"/>
    <w:rsid w:val="00F46C5C"/>
    <w:rsid w:val="00F5130A"/>
    <w:rsid w:val="00F60C69"/>
    <w:rsid w:val="00F6709F"/>
    <w:rsid w:val="00F677A9"/>
    <w:rsid w:val="00F723BD"/>
    <w:rsid w:val="00F728BD"/>
    <w:rsid w:val="00F72F6A"/>
    <w:rsid w:val="00F732EA"/>
    <w:rsid w:val="00F75F79"/>
    <w:rsid w:val="00F84CF5"/>
    <w:rsid w:val="00F8612E"/>
    <w:rsid w:val="00FA293D"/>
    <w:rsid w:val="00FA420B"/>
    <w:rsid w:val="00FB2EF5"/>
    <w:rsid w:val="00FC00A7"/>
    <w:rsid w:val="00FC29A8"/>
    <w:rsid w:val="00FD6BE0"/>
    <w:rsid w:val="00FE0781"/>
    <w:rsid w:val="00FE4AF4"/>
    <w:rsid w:val="00FF39DE"/>
    <w:rsid w:val="00FF4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A30"/>
    <w:pPr>
      <w:spacing w:line="260" w:lineRule="atLeast"/>
    </w:pPr>
    <w:rPr>
      <w:sz w:val="22"/>
    </w:rPr>
  </w:style>
  <w:style w:type="paragraph" w:styleId="Heading1">
    <w:name w:val="heading 1"/>
    <w:basedOn w:val="Normal"/>
    <w:next w:val="Normal"/>
    <w:link w:val="Heading1Char"/>
    <w:uiPriority w:val="9"/>
    <w:qFormat/>
    <w:rsid w:val="00B14E9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E9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4E9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4E9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4E9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4E9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4E9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14E9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14E9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367A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7A30"/>
  </w:style>
  <w:style w:type="character" w:customStyle="1" w:styleId="OPCCharBase">
    <w:name w:val="OPCCharBase"/>
    <w:uiPriority w:val="1"/>
    <w:qFormat/>
    <w:rsid w:val="00367A30"/>
  </w:style>
  <w:style w:type="paragraph" w:customStyle="1" w:styleId="OPCParaBase">
    <w:name w:val="OPCParaBase"/>
    <w:qFormat/>
    <w:rsid w:val="00367A30"/>
    <w:pPr>
      <w:spacing w:line="260" w:lineRule="atLeast"/>
    </w:pPr>
    <w:rPr>
      <w:rFonts w:eastAsia="Times New Roman" w:cs="Times New Roman"/>
      <w:sz w:val="22"/>
      <w:lang w:eastAsia="en-AU"/>
    </w:rPr>
  </w:style>
  <w:style w:type="paragraph" w:customStyle="1" w:styleId="ShortT">
    <w:name w:val="ShortT"/>
    <w:basedOn w:val="OPCParaBase"/>
    <w:next w:val="Normal"/>
    <w:qFormat/>
    <w:rsid w:val="00367A30"/>
    <w:pPr>
      <w:spacing w:line="240" w:lineRule="auto"/>
    </w:pPr>
    <w:rPr>
      <w:b/>
      <w:sz w:val="40"/>
    </w:rPr>
  </w:style>
  <w:style w:type="paragraph" w:customStyle="1" w:styleId="ActHead1">
    <w:name w:val="ActHead 1"/>
    <w:aliases w:val="c"/>
    <w:basedOn w:val="OPCParaBase"/>
    <w:next w:val="Normal"/>
    <w:qFormat/>
    <w:rsid w:val="00367A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7A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7A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7A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67A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7A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7A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7A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7A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7A30"/>
  </w:style>
  <w:style w:type="paragraph" w:customStyle="1" w:styleId="Blocks">
    <w:name w:val="Blocks"/>
    <w:aliases w:val="bb"/>
    <w:basedOn w:val="OPCParaBase"/>
    <w:qFormat/>
    <w:rsid w:val="00367A30"/>
    <w:pPr>
      <w:spacing w:line="240" w:lineRule="auto"/>
    </w:pPr>
    <w:rPr>
      <w:sz w:val="24"/>
    </w:rPr>
  </w:style>
  <w:style w:type="paragraph" w:customStyle="1" w:styleId="BoxText">
    <w:name w:val="BoxText"/>
    <w:aliases w:val="bt"/>
    <w:basedOn w:val="OPCParaBase"/>
    <w:qFormat/>
    <w:rsid w:val="00367A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7A30"/>
    <w:rPr>
      <w:b/>
    </w:rPr>
  </w:style>
  <w:style w:type="paragraph" w:customStyle="1" w:styleId="BoxHeadItalic">
    <w:name w:val="BoxHeadItalic"/>
    <w:aliases w:val="bhi"/>
    <w:basedOn w:val="BoxText"/>
    <w:next w:val="BoxStep"/>
    <w:qFormat/>
    <w:rsid w:val="00367A30"/>
    <w:rPr>
      <w:i/>
    </w:rPr>
  </w:style>
  <w:style w:type="paragraph" w:customStyle="1" w:styleId="BoxList">
    <w:name w:val="BoxList"/>
    <w:aliases w:val="bl"/>
    <w:basedOn w:val="BoxText"/>
    <w:qFormat/>
    <w:rsid w:val="00367A30"/>
    <w:pPr>
      <w:ind w:left="1559" w:hanging="425"/>
    </w:pPr>
  </w:style>
  <w:style w:type="paragraph" w:customStyle="1" w:styleId="BoxNote">
    <w:name w:val="BoxNote"/>
    <w:aliases w:val="bn"/>
    <w:basedOn w:val="BoxText"/>
    <w:qFormat/>
    <w:rsid w:val="00367A30"/>
    <w:pPr>
      <w:tabs>
        <w:tab w:val="left" w:pos="1985"/>
      </w:tabs>
      <w:spacing w:before="122" w:line="198" w:lineRule="exact"/>
      <w:ind w:left="2948" w:hanging="1814"/>
    </w:pPr>
    <w:rPr>
      <w:sz w:val="18"/>
    </w:rPr>
  </w:style>
  <w:style w:type="paragraph" w:customStyle="1" w:styleId="BoxPara">
    <w:name w:val="BoxPara"/>
    <w:aliases w:val="bp"/>
    <w:basedOn w:val="BoxText"/>
    <w:qFormat/>
    <w:rsid w:val="00367A30"/>
    <w:pPr>
      <w:tabs>
        <w:tab w:val="right" w:pos="2268"/>
      </w:tabs>
      <w:ind w:left="2552" w:hanging="1418"/>
    </w:pPr>
  </w:style>
  <w:style w:type="paragraph" w:customStyle="1" w:styleId="BoxStep">
    <w:name w:val="BoxStep"/>
    <w:aliases w:val="bs"/>
    <w:basedOn w:val="BoxText"/>
    <w:qFormat/>
    <w:rsid w:val="00367A30"/>
    <w:pPr>
      <w:ind w:left="1985" w:hanging="851"/>
    </w:pPr>
  </w:style>
  <w:style w:type="character" w:customStyle="1" w:styleId="CharAmPartNo">
    <w:name w:val="CharAmPartNo"/>
    <w:basedOn w:val="OPCCharBase"/>
    <w:qFormat/>
    <w:rsid w:val="00367A30"/>
  </w:style>
  <w:style w:type="character" w:customStyle="1" w:styleId="CharAmPartText">
    <w:name w:val="CharAmPartText"/>
    <w:basedOn w:val="OPCCharBase"/>
    <w:qFormat/>
    <w:rsid w:val="00367A30"/>
  </w:style>
  <w:style w:type="character" w:customStyle="1" w:styleId="CharAmSchNo">
    <w:name w:val="CharAmSchNo"/>
    <w:basedOn w:val="OPCCharBase"/>
    <w:qFormat/>
    <w:rsid w:val="00367A30"/>
  </w:style>
  <w:style w:type="character" w:customStyle="1" w:styleId="CharAmSchText">
    <w:name w:val="CharAmSchText"/>
    <w:basedOn w:val="OPCCharBase"/>
    <w:qFormat/>
    <w:rsid w:val="00367A30"/>
  </w:style>
  <w:style w:type="character" w:customStyle="1" w:styleId="CharBoldItalic">
    <w:name w:val="CharBoldItalic"/>
    <w:basedOn w:val="OPCCharBase"/>
    <w:uiPriority w:val="1"/>
    <w:qFormat/>
    <w:rsid w:val="00367A30"/>
    <w:rPr>
      <w:b/>
      <w:i/>
    </w:rPr>
  </w:style>
  <w:style w:type="character" w:customStyle="1" w:styleId="CharChapNo">
    <w:name w:val="CharChapNo"/>
    <w:basedOn w:val="OPCCharBase"/>
    <w:qFormat/>
    <w:rsid w:val="00367A30"/>
  </w:style>
  <w:style w:type="character" w:customStyle="1" w:styleId="CharChapText">
    <w:name w:val="CharChapText"/>
    <w:basedOn w:val="OPCCharBase"/>
    <w:qFormat/>
    <w:rsid w:val="00367A30"/>
  </w:style>
  <w:style w:type="character" w:customStyle="1" w:styleId="CharDivNo">
    <w:name w:val="CharDivNo"/>
    <w:basedOn w:val="OPCCharBase"/>
    <w:qFormat/>
    <w:rsid w:val="00367A30"/>
  </w:style>
  <w:style w:type="character" w:customStyle="1" w:styleId="CharDivText">
    <w:name w:val="CharDivText"/>
    <w:basedOn w:val="OPCCharBase"/>
    <w:qFormat/>
    <w:rsid w:val="00367A30"/>
  </w:style>
  <w:style w:type="character" w:customStyle="1" w:styleId="CharItalic">
    <w:name w:val="CharItalic"/>
    <w:basedOn w:val="OPCCharBase"/>
    <w:uiPriority w:val="1"/>
    <w:qFormat/>
    <w:rsid w:val="00367A30"/>
    <w:rPr>
      <w:i/>
    </w:rPr>
  </w:style>
  <w:style w:type="character" w:customStyle="1" w:styleId="CharPartNo">
    <w:name w:val="CharPartNo"/>
    <w:basedOn w:val="OPCCharBase"/>
    <w:qFormat/>
    <w:rsid w:val="00367A30"/>
  </w:style>
  <w:style w:type="character" w:customStyle="1" w:styleId="CharPartText">
    <w:name w:val="CharPartText"/>
    <w:basedOn w:val="OPCCharBase"/>
    <w:qFormat/>
    <w:rsid w:val="00367A30"/>
  </w:style>
  <w:style w:type="character" w:customStyle="1" w:styleId="CharSectno">
    <w:name w:val="CharSectno"/>
    <w:basedOn w:val="OPCCharBase"/>
    <w:qFormat/>
    <w:rsid w:val="00367A30"/>
  </w:style>
  <w:style w:type="character" w:customStyle="1" w:styleId="CharSubdNo">
    <w:name w:val="CharSubdNo"/>
    <w:basedOn w:val="OPCCharBase"/>
    <w:uiPriority w:val="1"/>
    <w:qFormat/>
    <w:rsid w:val="00367A30"/>
  </w:style>
  <w:style w:type="character" w:customStyle="1" w:styleId="CharSubdText">
    <w:name w:val="CharSubdText"/>
    <w:basedOn w:val="OPCCharBase"/>
    <w:uiPriority w:val="1"/>
    <w:qFormat/>
    <w:rsid w:val="00367A30"/>
  </w:style>
  <w:style w:type="paragraph" w:customStyle="1" w:styleId="CTA--">
    <w:name w:val="CTA --"/>
    <w:basedOn w:val="OPCParaBase"/>
    <w:next w:val="Normal"/>
    <w:rsid w:val="00367A30"/>
    <w:pPr>
      <w:spacing w:before="60" w:line="240" w:lineRule="atLeast"/>
      <w:ind w:left="142" w:hanging="142"/>
    </w:pPr>
    <w:rPr>
      <w:sz w:val="20"/>
    </w:rPr>
  </w:style>
  <w:style w:type="paragraph" w:customStyle="1" w:styleId="CTA-">
    <w:name w:val="CTA -"/>
    <w:basedOn w:val="OPCParaBase"/>
    <w:rsid w:val="00367A30"/>
    <w:pPr>
      <w:spacing w:before="60" w:line="240" w:lineRule="atLeast"/>
      <w:ind w:left="85" w:hanging="85"/>
    </w:pPr>
    <w:rPr>
      <w:sz w:val="20"/>
    </w:rPr>
  </w:style>
  <w:style w:type="paragraph" w:customStyle="1" w:styleId="CTA---">
    <w:name w:val="CTA ---"/>
    <w:basedOn w:val="OPCParaBase"/>
    <w:next w:val="Normal"/>
    <w:rsid w:val="00367A30"/>
    <w:pPr>
      <w:spacing w:before="60" w:line="240" w:lineRule="atLeast"/>
      <w:ind w:left="198" w:hanging="198"/>
    </w:pPr>
    <w:rPr>
      <w:sz w:val="20"/>
    </w:rPr>
  </w:style>
  <w:style w:type="paragraph" w:customStyle="1" w:styleId="CTA----">
    <w:name w:val="CTA ----"/>
    <w:basedOn w:val="OPCParaBase"/>
    <w:next w:val="Normal"/>
    <w:rsid w:val="00367A30"/>
    <w:pPr>
      <w:spacing w:before="60" w:line="240" w:lineRule="atLeast"/>
      <w:ind w:left="255" w:hanging="255"/>
    </w:pPr>
    <w:rPr>
      <w:sz w:val="20"/>
    </w:rPr>
  </w:style>
  <w:style w:type="paragraph" w:customStyle="1" w:styleId="CTA1a">
    <w:name w:val="CTA 1(a)"/>
    <w:basedOn w:val="OPCParaBase"/>
    <w:rsid w:val="00367A30"/>
    <w:pPr>
      <w:tabs>
        <w:tab w:val="right" w:pos="414"/>
      </w:tabs>
      <w:spacing w:before="40" w:line="240" w:lineRule="atLeast"/>
      <w:ind w:left="675" w:hanging="675"/>
    </w:pPr>
    <w:rPr>
      <w:sz w:val="20"/>
    </w:rPr>
  </w:style>
  <w:style w:type="paragraph" w:customStyle="1" w:styleId="CTA1ai">
    <w:name w:val="CTA 1(a)(i)"/>
    <w:basedOn w:val="OPCParaBase"/>
    <w:rsid w:val="00367A30"/>
    <w:pPr>
      <w:tabs>
        <w:tab w:val="right" w:pos="1004"/>
      </w:tabs>
      <w:spacing w:before="40" w:line="240" w:lineRule="atLeast"/>
      <w:ind w:left="1253" w:hanging="1253"/>
    </w:pPr>
    <w:rPr>
      <w:sz w:val="20"/>
    </w:rPr>
  </w:style>
  <w:style w:type="paragraph" w:customStyle="1" w:styleId="CTA2a">
    <w:name w:val="CTA 2(a)"/>
    <w:basedOn w:val="OPCParaBase"/>
    <w:rsid w:val="00367A30"/>
    <w:pPr>
      <w:tabs>
        <w:tab w:val="right" w:pos="482"/>
      </w:tabs>
      <w:spacing w:before="40" w:line="240" w:lineRule="atLeast"/>
      <w:ind w:left="748" w:hanging="748"/>
    </w:pPr>
    <w:rPr>
      <w:sz w:val="20"/>
    </w:rPr>
  </w:style>
  <w:style w:type="paragraph" w:customStyle="1" w:styleId="CTA2ai">
    <w:name w:val="CTA 2(a)(i)"/>
    <w:basedOn w:val="OPCParaBase"/>
    <w:rsid w:val="00367A30"/>
    <w:pPr>
      <w:tabs>
        <w:tab w:val="right" w:pos="1089"/>
      </w:tabs>
      <w:spacing w:before="40" w:line="240" w:lineRule="atLeast"/>
      <w:ind w:left="1327" w:hanging="1327"/>
    </w:pPr>
    <w:rPr>
      <w:sz w:val="20"/>
    </w:rPr>
  </w:style>
  <w:style w:type="paragraph" w:customStyle="1" w:styleId="CTA3a">
    <w:name w:val="CTA 3(a)"/>
    <w:basedOn w:val="OPCParaBase"/>
    <w:rsid w:val="00367A30"/>
    <w:pPr>
      <w:tabs>
        <w:tab w:val="right" w:pos="556"/>
      </w:tabs>
      <w:spacing w:before="40" w:line="240" w:lineRule="atLeast"/>
      <w:ind w:left="805" w:hanging="805"/>
    </w:pPr>
    <w:rPr>
      <w:sz w:val="20"/>
    </w:rPr>
  </w:style>
  <w:style w:type="paragraph" w:customStyle="1" w:styleId="CTA3ai">
    <w:name w:val="CTA 3(a)(i)"/>
    <w:basedOn w:val="OPCParaBase"/>
    <w:rsid w:val="00367A30"/>
    <w:pPr>
      <w:tabs>
        <w:tab w:val="right" w:pos="1140"/>
      </w:tabs>
      <w:spacing w:before="40" w:line="240" w:lineRule="atLeast"/>
      <w:ind w:left="1361" w:hanging="1361"/>
    </w:pPr>
    <w:rPr>
      <w:sz w:val="20"/>
    </w:rPr>
  </w:style>
  <w:style w:type="paragraph" w:customStyle="1" w:styleId="CTA4a">
    <w:name w:val="CTA 4(a)"/>
    <w:basedOn w:val="OPCParaBase"/>
    <w:rsid w:val="00367A30"/>
    <w:pPr>
      <w:tabs>
        <w:tab w:val="right" w:pos="624"/>
      </w:tabs>
      <w:spacing w:before="40" w:line="240" w:lineRule="atLeast"/>
      <w:ind w:left="873" w:hanging="873"/>
    </w:pPr>
    <w:rPr>
      <w:sz w:val="20"/>
    </w:rPr>
  </w:style>
  <w:style w:type="paragraph" w:customStyle="1" w:styleId="CTA4ai">
    <w:name w:val="CTA 4(a)(i)"/>
    <w:basedOn w:val="OPCParaBase"/>
    <w:rsid w:val="00367A30"/>
    <w:pPr>
      <w:tabs>
        <w:tab w:val="right" w:pos="1213"/>
      </w:tabs>
      <w:spacing w:before="40" w:line="240" w:lineRule="atLeast"/>
      <w:ind w:left="1452" w:hanging="1452"/>
    </w:pPr>
    <w:rPr>
      <w:sz w:val="20"/>
    </w:rPr>
  </w:style>
  <w:style w:type="paragraph" w:customStyle="1" w:styleId="CTACAPS">
    <w:name w:val="CTA CAPS"/>
    <w:basedOn w:val="OPCParaBase"/>
    <w:rsid w:val="00367A30"/>
    <w:pPr>
      <w:spacing w:before="60" w:line="240" w:lineRule="atLeast"/>
    </w:pPr>
    <w:rPr>
      <w:sz w:val="20"/>
    </w:rPr>
  </w:style>
  <w:style w:type="paragraph" w:customStyle="1" w:styleId="CTAright">
    <w:name w:val="CTA right"/>
    <w:basedOn w:val="OPCParaBase"/>
    <w:rsid w:val="00367A30"/>
    <w:pPr>
      <w:spacing w:before="60" w:line="240" w:lineRule="auto"/>
      <w:jc w:val="right"/>
    </w:pPr>
    <w:rPr>
      <w:sz w:val="20"/>
    </w:rPr>
  </w:style>
  <w:style w:type="paragraph" w:customStyle="1" w:styleId="subsection">
    <w:name w:val="subsection"/>
    <w:aliases w:val="ss"/>
    <w:basedOn w:val="OPCParaBase"/>
    <w:link w:val="subsectionChar"/>
    <w:rsid w:val="00367A30"/>
    <w:pPr>
      <w:tabs>
        <w:tab w:val="right" w:pos="1021"/>
      </w:tabs>
      <w:spacing w:before="180" w:line="240" w:lineRule="auto"/>
      <w:ind w:left="1134" w:hanging="1134"/>
    </w:pPr>
  </w:style>
  <w:style w:type="paragraph" w:customStyle="1" w:styleId="Definition">
    <w:name w:val="Definition"/>
    <w:aliases w:val="dd"/>
    <w:basedOn w:val="OPCParaBase"/>
    <w:rsid w:val="00367A30"/>
    <w:pPr>
      <w:spacing w:before="180" w:line="240" w:lineRule="auto"/>
      <w:ind w:left="1134"/>
    </w:pPr>
  </w:style>
  <w:style w:type="paragraph" w:customStyle="1" w:styleId="ETAsubitem">
    <w:name w:val="ETA(subitem)"/>
    <w:basedOn w:val="OPCParaBase"/>
    <w:rsid w:val="00367A30"/>
    <w:pPr>
      <w:tabs>
        <w:tab w:val="right" w:pos="340"/>
      </w:tabs>
      <w:spacing w:before="60" w:line="240" w:lineRule="auto"/>
      <w:ind w:left="454" w:hanging="454"/>
    </w:pPr>
    <w:rPr>
      <w:sz w:val="20"/>
    </w:rPr>
  </w:style>
  <w:style w:type="paragraph" w:customStyle="1" w:styleId="ETApara">
    <w:name w:val="ETA(para)"/>
    <w:basedOn w:val="OPCParaBase"/>
    <w:rsid w:val="00367A30"/>
    <w:pPr>
      <w:tabs>
        <w:tab w:val="right" w:pos="754"/>
      </w:tabs>
      <w:spacing w:before="60" w:line="240" w:lineRule="auto"/>
      <w:ind w:left="828" w:hanging="828"/>
    </w:pPr>
    <w:rPr>
      <w:sz w:val="20"/>
    </w:rPr>
  </w:style>
  <w:style w:type="paragraph" w:customStyle="1" w:styleId="ETAsubpara">
    <w:name w:val="ETA(subpara)"/>
    <w:basedOn w:val="OPCParaBase"/>
    <w:rsid w:val="00367A30"/>
    <w:pPr>
      <w:tabs>
        <w:tab w:val="right" w:pos="1083"/>
      </w:tabs>
      <w:spacing w:before="60" w:line="240" w:lineRule="auto"/>
      <w:ind w:left="1191" w:hanging="1191"/>
    </w:pPr>
    <w:rPr>
      <w:sz w:val="20"/>
    </w:rPr>
  </w:style>
  <w:style w:type="paragraph" w:customStyle="1" w:styleId="ETAsub-subpara">
    <w:name w:val="ETA(sub-subpara)"/>
    <w:basedOn w:val="OPCParaBase"/>
    <w:rsid w:val="00367A30"/>
    <w:pPr>
      <w:tabs>
        <w:tab w:val="right" w:pos="1412"/>
      </w:tabs>
      <w:spacing w:before="60" w:line="240" w:lineRule="auto"/>
      <w:ind w:left="1525" w:hanging="1525"/>
    </w:pPr>
    <w:rPr>
      <w:sz w:val="20"/>
    </w:rPr>
  </w:style>
  <w:style w:type="paragraph" w:customStyle="1" w:styleId="Formula">
    <w:name w:val="Formula"/>
    <w:basedOn w:val="OPCParaBase"/>
    <w:rsid w:val="00367A30"/>
    <w:pPr>
      <w:spacing w:line="240" w:lineRule="auto"/>
      <w:ind w:left="1134"/>
    </w:pPr>
    <w:rPr>
      <w:sz w:val="20"/>
    </w:rPr>
  </w:style>
  <w:style w:type="paragraph" w:styleId="Header">
    <w:name w:val="header"/>
    <w:basedOn w:val="OPCParaBase"/>
    <w:link w:val="HeaderChar"/>
    <w:unhideWhenUsed/>
    <w:rsid w:val="00367A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7A30"/>
    <w:rPr>
      <w:rFonts w:eastAsia="Times New Roman" w:cs="Times New Roman"/>
      <w:sz w:val="16"/>
      <w:lang w:eastAsia="en-AU"/>
    </w:rPr>
  </w:style>
  <w:style w:type="paragraph" w:customStyle="1" w:styleId="House">
    <w:name w:val="House"/>
    <w:basedOn w:val="OPCParaBase"/>
    <w:rsid w:val="00367A30"/>
    <w:pPr>
      <w:spacing w:line="240" w:lineRule="auto"/>
    </w:pPr>
    <w:rPr>
      <w:sz w:val="28"/>
    </w:rPr>
  </w:style>
  <w:style w:type="paragraph" w:customStyle="1" w:styleId="Item">
    <w:name w:val="Item"/>
    <w:aliases w:val="i"/>
    <w:basedOn w:val="OPCParaBase"/>
    <w:next w:val="ItemHead"/>
    <w:rsid w:val="00367A30"/>
    <w:pPr>
      <w:keepLines/>
      <w:spacing w:before="80" w:line="240" w:lineRule="auto"/>
      <w:ind w:left="709"/>
    </w:pPr>
  </w:style>
  <w:style w:type="paragraph" w:customStyle="1" w:styleId="ItemHead">
    <w:name w:val="ItemHead"/>
    <w:aliases w:val="ih"/>
    <w:basedOn w:val="OPCParaBase"/>
    <w:next w:val="Item"/>
    <w:rsid w:val="00367A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7A30"/>
    <w:pPr>
      <w:spacing w:line="240" w:lineRule="auto"/>
    </w:pPr>
    <w:rPr>
      <w:b/>
      <w:sz w:val="32"/>
    </w:rPr>
  </w:style>
  <w:style w:type="paragraph" w:customStyle="1" w:styleId="notedraft">
    <w:name w:val="note(draft)"/>
    <w:aliases w:val="nd"/>
    <w:basedOn w:val="OPCParaBase"/>
    <w:rsid w:val="00367A30"/>
    <w:pPr>
      <w:spacing w:before="240" w:line="240" w:lineRule="auto"/>
      <w:ind w:left="284" w:hanging="284"/>
    </w:pPr>
    <w:rPr>
      <w:i/>
      <w:sz w:val="24"/>
    </w:rPr>
  </w:style>
  <w:style w:type="paragraph" w:customStyle="1" w:styleId="notemargin">
    <w:name w:val="note(margin)"/>
    <w:aliases w:val="nm"/>
    <w:basedOn w:val="OPCParaBase"/>
    <w:rsid w:val="00367A30"/>
    <w:pPr>
      <w:tabs>
        <w:tab w:val="left" w:pos="709"/>
      </w:tabs>
      <w:spacing w:before="122" w:line="198" w:lineRule="exact"/>
      <w:ind w:left="709" w:hanging="709"/>
    </w:pPr>
    <w:rPr>
      <w:sz w:val="18"/>
    </w:rPr>
  </w:style>
  <w:style w:type="paragraph" w:customStyle="1" w:styleId="noteToPara">
    <w:name w:val="noteToPara"/>
    <w:aliases w:val="ntp"/>
    <w:basedOn w:val="OPCParaBase"/>
    <w:rsid w:val="00367A30"/>
    <w:pPr>
      <w:spacing w:before="122" w:line="198" w:lineRule="exact"/>
      <w:ind w:left="2353" w:hanging="709"/>
    </w:pPr>
    <w:rPr>
      <w:sz w:val="18"/>
    </w:rPr>
  </w:style>
  <w:style w:type="paragraph" w:customStyle="1" w:styleId="noteParlAmend">
    <w:name w:val="note(ParlAmend)"/>
    <w:aliases w:val="npp"/>
    <w:basedOn w:val="OPCParaBase"/>
    <w:next w:val="ParlAmend"/>
    <w:rsid w:val="00367A30"/>
    <w:pPr>
      <w:spacing w:line="240" w:lineRule="auto"/>
      <w:jc w:val="right"/>
    </w:pPr>
    <w:rPr>
      <w:rFonts w:ascii="Arial" w:hAnsi="Arial"/>
      <w:b/>
      <w:i/>
    </w:rPr>
  </w:style>
  <w:style w:type="paragraph" w:customStyle="1" w:styleId="Page1">
    <w:name w:val="Page1"/>
    <w:basedOn w:val="OPCParaBase"/>
    <w:rsid w:val="00367A30"/>
    <w:pPr>
      <w:spacing w:before="5600" w:line="240" w:lineRule="auto"/>
    </w:pPr>
    <w:rPr>
      <w:b/>
      <w:sz w:val="32"/>
    </w:rPr>
  </w:style>
  <w:style w:type="paragraph" w:customStyle="1" w:styleId="PageBreak">
    <w:name w:val="PageBreak"/>
    <w:aliases w:val="pb"/>
    <w:basedOn w:val="OPCParaBase"/>
    <w:rsid w:val="00367A30"/>
    <w:pPr>
      <w:spacing w:line="240" w:lineRule="auto"/>
    </w:pPr>
    <w:rPr>
      <w:sz w:val="20"/>
    </w:rPr>
  </w:style>
  <w:style w:type="paragraph" w:customStyle="1" w:styleId="paragraphsub">
    <w:name w:val="paragraph(sub)"/>
    <w:aliases w:val="aa"/>
    <w:basedOn w:val="OPCParaBase"/>
    <w:rsid w:val="00367A30"/>
    <w:pPr>
      <w:tabs>
        <w:tab w:val="right" w:pos="1985"/>
      </w:tabs>
      <w:spacing w:before="40" w:line="240" w:lineRule="auto"/>
      <w:ind w:left="2098" w:hanging="2098"/>
    </w:pPr>
  </w:style>
  <w:style w:type="paragraph" w:customStyle="1" w:styleId="paragraphsub-sub">
    <w:name w:val="paragraph(sub-sub)"/>
    <w:aliases w:val="aaa"/>
    <w:basedOn w:val="OPCParaBase"/>
    <w:rsid w:val="00367A30"/>
    <w:pPr>
      <w:tabs>
        <w:tab w:val="right" w:pos="2722"/>
      </w:tabs>
      <w:spacing w:before="40" w:line="240" w:lineRule="auto"/>
      <w:ind w:left="2835" w:hanging="2835"/>
    </w:pPr>
  </w:style>
  <w:style w:type="paragraph" w:customStyle="1" w:styleId="paragraph">
    <w:name w:val="paragraph"/>
    <w:aliases w:val="a"/>
    <w:basedOn w:val="OPCParaBase"/>
    <w:link w:val="paragraphChar"/>
    <w:rsid w:val="00367A30"/>
    <w:pPr>
      <w:tabs>
        <w:tab w:val="right" w:pos="1531"/>
      </w:tabs>
      <w:spacing w:before="40" w:line="240" w:lineRule="auto"/>
      <w:ind w:left="1644" w:hanging="1644"/>
    </w:pPr>
  </w:style>
  <w:style w:type="paragraph" w:customStyle="1" w:styleId="ParlAmend">
    <w:name w:val="ParlAmend"/>
    <w:aliases w:val="pp"/>
    <w:basedOn w:val="OPCParaBase"/>
    <w:rsid w:val="00367A30"/>
    <w:pPr>
      <w:spacing w:before="240" w:line="240" w:lineRule="atLeast"/>
      <w:ind w:hanging="567"/>
    </w:pPr>
    <w:rPr>
      <w:sz w:val="24"/>
    </w:rPr>
  </w:style>
  <w:style w:type="paragraph" w:customStyle="1" w:styleId="Penalty">
    <w:name w:val="Penalty"/>
    <w:basedOn w:val="OPCParaBase"/>
    <w:rsid w:val="00367A30"/>
    <w:pPr>
      <w:tabs>
        <w:tab w:val="left" w:pos="2977"/>
      </w:tabs>
      <w:spacing w:before="180" w:line="240" w:lineRule="auto"/>
      <w:ind w:left="1985" w:hanging="851"/>
    </w:pPr>
  </w:style>
  <w:style w:type="paragraph" w:customStyle="1" w:styleId="Portfolio">
    <w:name w:val="Portfolio"/>
    <w:basedOn w:val="OPCParaBase"/>
    <w:rsid w:val="00367A30"/>
    <w:pPr>
      <w:spacing w:line="240" w:lineRule="auto"/>
    </w:pPr>
    <w:rPr>
      <w:i/>
      <w:sz w:val="20"/>
    </w:rPr>
  </w:style>
  <w:style w:type="paragraph" w:customStyle="1" w:styleId="Preamble">
    <w:name w:val="Preamble"/>
    <w:basedOn w:val="OPCParaBase"/>
    <w:next w:val="Normal"/>
    <w:rsid w:val="00367A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7A30"/>
    <w:pPr>
      <w:spacing w:line="240" w:lineRule="auto"/>
    </w:pPr>
    <w:rPr>
      <w:i/>
      <w:sz w:val="20"/>
    </w:rPr>
  </w:style>
  <w:style w:type="paragraph" w:customStyle="1" w:styleId="Session">
    <w:name w:val="Session"/>
    <w:basedOn w:val="OPCParaBase"/>
    <w:rsid w:val="00367A30"/>
    <w:pPr>
      <w:spacing w:line="240" w:lineRule="auto"/>
    </w:pPr>
    <w:rPr>
      <w:sz w:val="28"/>
    </w:rPr>
  </w:style>
  <w:style w:type="paragraph" w:customStyle="1" w:styleId="Sponsor">
    <w:name w:val="Sponsor"/>
    <w:basedOn w:val="OPCParaBase"/>
    <w:rsid w:val="00367A30"/>
    <w:pPr>
      <w:spacing w:line="240" w:lineRule="auto"/>
    </w:pPr>
    <w:rPr>
      <w:i/>
    </w:rPr>
  </w:style>
  <w:style w:type="paragraph" w:customStyle="1" w:styleId="Subitem">
    <w:name w:val="Subitem"/>
    <w:aliases w:val="iss"/>
    <w:basedOn w:val="OPCParaBase"/>
    <w:rsid w:val="00367A30"/>
    <w:pPr>
      <w:spacing w:before="180" w:line="240" w:lineRule="auto"/>
      <w:ind w:left="709" w:hanging="709"/>
    </w:pPr>
  </w:style>
  <w:style w:type="paragraph" w:customStyle="1" w:styleId="SubitemHead">
    <w:name w:val="SubitemHead"/>
    <w:aliases w:val="issh"/>
    <w:basedOn w:val="OPCParaBase"/>
    <w:rsid w:val="00367A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7A30"/>
    <w:pPr>
      <w:spacing w:before="40" w:line="240" w:lineRule="auto"/>
      <w:ind w:left="1134"/>
    </w:pPr>
  </w:style>
  <w:style w:type="paragraph" w:customStyle="1" w:styleId="SubsectionHead">
    <w:name w:val="SubsectionHead"/>
    <w:aliases w:val="ssh"/>
    <w:basedOn w:val="OPCParaBase"/>
    <w:next w:val="subsection"/>
    <w:rsid w:val="00367A30"/>
    <w:pPr>
      <w:keepNext/>
      <w:keepLines/>
      <w:spacing w:before="240" w:line="240" w:lineRule="auto"/>
      <w:ind w:left="1134"/>
    </w:pPr>
    <w:rPr>
      <w:i/>
    </w:rPr>
  </w:style>
  <w:style w:type="paragraph" w:customStyle="1" w:styleId="Tablea">
    <w:name w:val="Table(a)"/>
    <w:aliases w:val="ta"/>
    <w:basedOn w:val="OPCParaBase"/>
    <w:rsid w:val="00367A30"/>
    <w:pPr>
      <w:spacing w:before="60" w:line="240" w:lineRule="auto"/>
      <w:ind w:left="284" w:hanging="284"/>
    </w:pPr>
    <w:rPr>
      <w:sz w:val="20"/>
    </w:rPr>
  </w:style>
  <w:style w:type="paragraph" w:customStyle="1" w:styleId="TableAA">
    <w:name w:val="Table(AA)"/>
    <w:aliases w:val="taaa"/>
    <w:basedOn w:val="OPCParaBase"/>
    <w:rsid w:val="00367A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7A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7A30"/>
    <w:pPr>
      <w:spacing w:before="60" w:line="240" w:lineRule="atLeast"/>
    </w:pPr>
    <w:rPr>
      <w:sz w:val="20"/>
    </w:rPr>
  </w:style>
  <w:style w:type="paragraph" w:customStyle="1" w:styleId="TLPBoxTextnote">
    <w:name w:val="TLPBoxText(note"/>
    <w:aliases w:val="right)"/>
    <w:basedOn w:val="OPCParaBase"/>
    <w:rsid w:val="00367A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7A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7A30"/>
    <w:pPr>
      <w:spacing w:before="122" w:line="198" w:lineRule="exact"/>
      <w:ind w:left="1985" w:hanging="851"/>
      <w:jc w:val="right"/>
    </w:pPr>
    <w:rPr>
      <w:sz w:val="18"/>
    </w:rPr>
  </w:style>
  <w:style w:type="paragraph" w:customStyle="1" w:styleId="TLPTableBullet">
    <w:name w:val="TLPTableBullet"/>
    <w:aliases w:val="ttb"/>
    <w:basedOn w:val="OPCParaBase"/>
    <w:rsid w:val="00367A30"/>
    <w:pPr>
      <w:spacing w:line="240" w:lineRule="exact"/>
      <w:ind w:left="284" w:hanging="284"/>
    </w:pPr>
    <w:rPr>
      <w:sz w:val="20"/>
    </w:rPr>
  </w:style>
  <w:style w:type="paragraph" w:styleId="TOC1">
    <w:name w:val="toc 1"/>
    <w:basedOn w:val="OPCParaBase"/>
    <w:next w:val="Normal"/>
    <w:uiPriority w:val="39"/>
    <w:unhideWhenUsed/>
    <w:rsid w:val="00367A3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7A3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67A3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67A3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67A3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67A3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7A3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67A3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67A3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7A30"/>
    <w:pPr>
      <w:keepLines/>
      <w:spacing w:before="240" w:after="120" w:line="240" w:lineRule="auto"/>
      <w:ind w:left="794"/>
    </w:pPr>
    <w:rPr>
      <w:b/>
      <w:kern w:val="28"/>
      <w:sz w:val="20"/>
    </w:rPr>
  </w:style>
  <w:style w:type="paragraph" w:customStyle="1" w:styleId="TofSectsHeading">
    <w:name w:val="TofSects(Heading)"/>
    <w:basedOn w:val="OPCParaBase"/>
    <w:rsid w:val="00367A30"/>
    <w:pPr>
      <w:spacing w:before="240" w:after="120" w:line="240" w:lineRule="auto"/>
    </w:pPr>
    <w:rPr>
      <w:b/>
      <w:sz w:val="24"/>
    </w:rPr>
  </w:style>
  <w:style w:type="paragraph" w:customStyle="1" w:styleId="TofSectsSection">
    <w:name w:val="TofSects(Section)"/>
    <w:basedOn w:val="OPCParaBase"/>
    <w:rsid w:val="00367A30"/>
    <w:pPr>
      <w:keepLines/>
      <w:spacing w:before="40" w:line="240" w:lineRule="auto"/>
      <w:ind w:left="1588" w:hanging="794"/>
    </w:pPr>
    <w:rPr>
      <w:kern w:val="28"/>
      <w:sz w:val="18"/>
    </w:rPr>
  </w:style>
  <w:style w:type="paragraph" w:customStyle="1" w:styleId="TofSectsSubdiv">
    <w:name w:val="TofSects(Subdiv)"/>
    <w:basedOn w:val="OPCParaBase"/>
    <w:rsid w:val="00367A30"/>
    <w:pPr>
      <w:keepLines/>
      <w:spacing w:before="80" w:line="240" w:lineRule="auto"/>
      <w:ind w:left="1588" w:hanging="794"/>
    </w:pPr>
    <w:rPr>
      <w:kern w:val="28"/>
    </w:rPr>
  </w:style>
  <w:style w:type="paragraph" w:customStyle="1" w:styleId="WRStyle">
    <w:name w:val="WR Style"/>
    <w:aliases w:val="WR"/>
    <w:basedOn w:val="OPCParaBase"/>
    <w:rsid w:val="00367A30"/>
    <w:pPr>
      <w:spacing w:before="240" w:line="240" w:lineRule="auto"/>
      <w:ind w:left="284" w:hanging="284"/>
    </w:pPr>
    <w:rPr>
      <w:b/>
      <w:i/>
      <w:kern w:val="28"/>
      <w:sz w:val="24"/>
    </w:rPr>
  </w:style>
  <w:style w:type="paragraph" w:customStyle="1" w:styleId="notepara">
    <w:name w:val="note(para)"/>
    <w:aliases w:val="na"/>
    <w:basedOn w:val="OPCParaBase"/>
    <w:rsid w:val="00367A30"/>
    <w:pPr>
      <w:spacing w:before="40" w:line="198" w:lineRule="exact"/>
      <w:ind w:left="2354" w:hanging="369"/>
    </w:pPr>
    <w:rPr>
      <w:sz w:val="18"/>
    </w:rPr>
  </w:style>
  <w:style w:type="paragraph" w:styleId="Footer">
    <w:name w:val="footer"/>
    <w:link w:val="FooterChar"/>
    <w:rsid w:val="00367A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7A30"/>
    <w:rPr>
      <w:rFonts w:eastAsia="Times New Roman" w:cs="Times New Roman"/>
      <w:sz w:val="22"/>
      <w:szCs w:val="24"/>
      <w:lang w:eastAsia="en-AU"/>
    </w:rPr>
  </w:style>
  <w:style w:type="character" w:styleId="LineNumber">
    <w:name w:val="line number"/>
    <w:basedOn w:val="OPCCharBase"/>
    <w:uiPriority w:val="99"/>
    <w:unhideWhenUsed/>
    <w:rsid w:val="00367A30"/>
    <w:rPr>
      <w:sz w:val="16"/>
    </w:rPr>
  </w:style>
  <w:style w:type="table" w:customStyle="1" w:styleId="CFlag">
    <w:name w:val="CFlag"/>
    <w:basedOn w:val="TableNormal"/>
    <w:uiPriority w:val="99"/>
    <w:rsid w:val="00367A30"/>
    <w:rPr>
      <w:rFonts w:eastAsia="Times New Roman" w:cs="Times New Roman"/>
      <w:lang w:eastAsia="en-AU"/>
    </w:rPr>
    <w:tblPr/>
  </w:style>
  <w:style w:type="paragraph" w:styleId="BalloonText">
    <w:name w:val="Balloon Text"/>
    <w:basedOn w:val="Normal"/>
    <w:link w:val="BalloonTextChar"/>
    <w:uiPriority w:val="99"/>
    <w:unhideWhenUsed/>
    <w:rsid w:val="00367A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7A30"/>
    <w:rPr>
      <w:rFonts w:ascii="Tahoma" w:hAnsi="Tahoma" w:cs="Tahoma"/>
      <w:sz w:val="16"/>
      <w:szCs w:val="16"/>
    </w:rPr>
  </w:style>
  <w:style w:type="table" w:styleId="TableGrid">
    <w:name w:val="Table Grid"/>
    <w:basedOn w:val="TableNormal"/>
    <w:uiPriority w:val="59"/>
    <w:rsid w:val="0036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67A30"/>
    <w:rPr>
      <w:b/>
      <w:sz w:val="28"/>
      <w:szCs w:val="32"/>
    </w:rPr>
  </w:style>
  <w:style w:type="paragraph" w:customStyle="1" w:styleId="LegislationMadeUnder">
    <w:name w:val="LegislationMadeUnder"/>
    <w:basedOn w:val="OPCParaBase"/>
    <w:next w:val="Normal"/>
    <w:rsid w:val="00367A30"/>
    <w:rPr>
      <w:i/>
      <w:sz w:val="32"/>
      <w:szCs w:val="32"/>
    </w:rPr>
  </w:style>
  <w:style w:type="paragraph" w:customStyle="1" w:styleId="SignCoverPageEnd">
    <w:name w:val="SignCoverPageEnd"/>
    <w:basedOn w:val="OPCParaBase"/>
    <w:next w:val="Normal"/>
    <w:rsid w:val="00367A3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67A30"/>
    <w:pPr>
      <w:pBdr>
        <w:top w:val="single" w:sz="4" w:space="1" w:color="auto"/>
      </w:pBdr>
      <w:spacing w:before="360"/>
      <w:ind w:right="397"/>
      <w:jc w:val="both"/>
    </w:pPr>
  </w:style>
  <w:style w:type="paragraph" w:customStyle="1" w:styleId="NotesHeading1">
    <w:name w:val="NotesHeading 1"/>
    <w:basedOn w:val="OPCParaBase"/>
    <w:next w:val="Normal"/>
    <w:rsid w:val="00367A30"/>
    <w:rPr>
      <w:b/>
      <w:sz w:val="28"/>
      <w:szCs w:val="28"/>
    </w:rPr>
  </w:style>
  <w:style w:type="paragraph" w:customStyle="1" w:styleId="NotesHeading2">
    <w:name w:val="NotesHeading 2"/>
    <w:basedOn w:val="OPCParaBase"/>
    <w:next w:val="Normal"/>
    <w:rsid w:val="00367A30"/>
    <w:rPr>
      <w:b/>
      <w:sz w:val="28"/>
      <w:szCs w:val="28"/>
    </w:rPr>
  </w:style>
  <w:style w:type="paragraph" w:customStyle="1" w:styleId="ENotesText">
    <w:name w:val="ENotesText"/>
    <w:aliases w:val="Ent"/>
    <w:basedOn w:val="OPCParaBase"/>
    <w:next w:val="Normal"/>
    <w:rsid w:val="00367A30"/>
    <w:pPr>
      <w:spacing w:before="120"/>
    </w:pPr>
  </w:style>
  <w:style w:type="paragraph" w:customStyle="1" w:styleId="CompiledActNo">
    <w:name w:val="CompiledActNo"/>
    <w:basedOn w:val="OPCParaBase"/>
    <w:next w:val="Normal"/>
    <w:rsid w:val="00367A30"/>
    <w:rPr>
      <w:b/>
      <w:sz w:val="24"/>
      <w:szCs w:val="24"/>
    </w:rPr>
  </w:style>
  <w:style w:type="paragraph" w:customStyle="1" w:styleId="CompiledMadeUnder">
    <w:name w:val="CompiledMadeUnder"/>
    <w:basedOn w:val="OPCParaBase"/>
    <w:next w:val="Normal"/>
    <w:rsid w:val="00367A30"/>
    <w:rPr>
      <w:i/>
      <w:sz w:val="24"/>
      <w:szCs w:val="24"/>
    </w:rPr>
  </w:style>
  <w:style w:type="paragraph" w:customStyle="1" w:styleId="Paragraphsub-sub-sub">
    <w:name w:val="Paragraph(sub-sub-sub)"/>
    <w:aliases w:val="aaaa"/>
    <w:basedOn w:val="OPCParaBase"/>
    <w:rsid w:val="00367A30"/>
    <w:pPr>
      <w:tabs>
        <w:tab w:val="right" w:pos="3402"/>
      </w:tabs>
      <w:spacing w:before="40" w:line="240" w:lineRule="auto"/>
      <w:ind w:left="3402" w:hanging="3402"/>
    </w:pPr>
  </w:style>
  <w:style w:type="paragraph" w:customStyle="1" w:styleId="EndNotespara">
    <w:name w:val="EndNotes(para)"/>
    <w:aliases w:val="eta"/>
    <w:basedOn w:val="OPCParaBase"/>
    <w:next w:val="Normal"/>
    <w:rsid w:val="00367A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7A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67A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7A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67A30"/>
    <w:pPr>
      <w:spacing w:before="60" w:line="240" w:lineRule="auto"/>
    </w:pPr>
    <w:rPr>
      <w:rFonts w:cs="Arial"/>
      <w:sz w:val="20"/>
      <w:szCs w:val="22"/>
    </w:rPr>
  </w:style>
  <w:style w:type="paragraph" w:customStyle="1" w:styleId="NoteToSubpara">
    <w:name w:val="NoteToSubpara"/>
    <w:aliases w:val="nts"/>
    <w:basedOn w:val="OPCParaBase"/>
    <w:rsid w:val="00367A30"/>
    <w:pPr>
      <w:spacing w:before="40" w:line="198" w:lineRule="exact"/>
      <w:ind w:left="2835" w:hanging="709"/>
    </w:pPr>
    <w:rPr>
      <w:sz w:val="18"/>
    </w:rPr>
  </w:style>
  <w:style w:type="paragraph" w:customStyle="1" w:styleId="ENoteTableHeading">
    <w:name w:val="ENoteTableHeading"/>
    <w:aliases w:val="enth"/>
    <w:basedOn w:val="OPCParaBase"/>
    <w:rsid w:val="00367A30"/>
    <w:pPr>
      <w:keepNext/>
      <w:spacing w:before="60" w:line="240" w:lineRule="atLeast"/>
    </w:pPr>
    <w:rPr>
      <w:rFonts w:ascii="Arial" w:hAnsi="Arial"/>
      <w:b/>
      <w:sz w:val="16"/>
    </w:rPr>
  </w:style>
  <w:style w:type="paragraph" w:customStyle="1" w:styleId="ENoteTTi">
    <w:name w:val="ENoteTTi"/>
    <w:aliases w:val="entti"/>
    <w:basedOn w:val="OPCParaBase"/>
    <w:rsid w:val="00367A30"/>
    <w:pPr>
      <w:keepNext/>
      <w:spacing w:before="60" w:line="240" w:lineRule="atLeast"/>
      <w:ind w:left="170"/>
    </w:pPr>
    <w:rPr>
      <w:sz w:val="16"/>
    </w:rPr>
  </w:style>
  <w:style w:type="paragraph" w:customStyle="1" w:styleId="ENotesHeading1">
    <w:name w:val="ENotesHeading 1"/>
    <w:aliases w:val="Enh1,ENh1"/>
    <w:basedOn w:val="OPCParaBase"/>
    <w:next w:val="Normal"/>
    <w:rsid w:val="00367A30"/>
    <w:pPr>
      <w:spacing w:before="120"/>
      <w:outlineLvl w:val="1"/>
    </w:pPr>
    <w:rPr>
      <w:b/>
      <w:sz w:val="28"/>
      <w:szCs w:val="28"/>
    </w:rPr>
  </w:style>
  <w:style w:type="paragraph" w:customStyle="1" w:styleId="ENotesHeading2">
    <w:name w:val="ENotesHeading 2"/>
    <w:aliases w:val="Enh2,ENh2"/>
    <w:basedOn w:val="OPCParaBase"/>
    <w:next w:val="Normal"/>
    <w:rsid w:val="00367A30"/>
    <w:pPr>
      <w:spacing w:before="120" w:after="120"/>
      <w:outlineLvl w:val="2"/>
    </w:pPr>
    <w:rPr>
      <w:b/>
      <w:sz w:val="24"/>
      <w:szCs w:val="28"/>
    </w:rPr>
  </w:style>
  <w:style w:type="paragraph" w:customStyle="1" w:styleId="ENoteTTIndentHeading">
    <w:name w:val="ENoteTTIndentHeading"/>
    <w:aliases w:val="enTTHi"/>
    <w:basedOn w:val="OPCParaBase"/>
    <w:rsid w:val="00367A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7A30"/>
    <w:pPr>
      <w:spacing w:before="60" w:line="240" w:lineRule="atLeast"/>
    </w:pPr>
    <w:rPr>
      <w:sz w:val="16"/>
    </w:rPr>
  </w:style>
  <w:style w:type="paragraph" w:customStyle="1" w:styleId="MadeunderText">
    <w:name w:val="MadeunderText"/>
    <w:basedOn w:val="OPCParaBase"/>
    <w:next w:val="CompiledMadeUnder"/>
    <w:rsid w:val="00367A30"/>
    <w:pPr>
      <w:spacing w:before="240"/>
    </w:pPr>
    <w:rPr>
      <w:sz w:val="24"/>
      <w:szCs w:val="24"/>
    </w:rPr>
  </w:style>
  <w:style w:type="paragraph" w:customStyle="1" w:styleId="ENotesHeading3">
    <w:name w:val="ENotesHeading 3"/>
    <w:aliases w:val="Enh3"/>
    <w:basedOn w:val="OPCParaBase"/>
    <w:next w:val="Normal"/>
    <w:rsid w:val="00367A30"/>
    <w:pPr>
      <w:keepNext/>
      <w:spacing w:before="120" w:line="240" w:lineRule="auto"/>
      <w:outlineLvl w:val="4"/>
    </w:pPr>
    <w:rPr>
      <w:b/>
      <w:szCs w:val="24"/>
    </w:rPr>
  </w:style>
  <w:style w:type="character" w:customStyle="1" w:styleId="CharSubPartTextCASA">
    <w:name w:val="CharSubPartText(CASA)"/>
    <w:basedOn w:val="OPCCharBase"/>
    <w:uiPriority w:val="1"/>
    <w:rsid w:val="00367A30"/>
  </w:style>
  <w:style w:type="character" w:customStyle="1" w:styleId="CharSubPartNoCASA">
    <w:name w:val="CharSubPartNo(CASA)"/>
    <w:basedOn w:val="OPCCharBase"/>
    <w:uiPriority w:val="1"/>
    <w:rsid w:val="00367A30"/>
  </w:style>
  <w:style w:type="paragraph" w:customStyle="1" w:styleId="ENoteTTIndentHeadingSub">
    <w:name w:val="ENoteTTIndentHeadingSub"/>
    <w:aliases w:val="enTTHis"/>
    <w:basedOn w:val="OPCParaBase"/>
    <w:rsid w:val="00367A30"/>
    <w:pPr>
      <w:keepNext/>
      <w:spacing w:before="60" w:line="240" w:lineRule="atLeast"/>
      <w:ind w:left="340"/>
    </w:pPr>
    <w:rPr>
      <w:b/>
      <w:sz w:val="16"/>
    </w:rPr>
  </w:style>
  <w:style w:type="paragraph" w:customStyle="1" w:styleId="ENoteTTiSub">
    <w:name w:val="ENoteTTiSub"/>
    <w:aliases w:val="enttis"/>
    <w:basedOn w:val="OPCParaBase"/>
    <w:rsid w:val="00367A30"/>
    <w:pPr>
      <w:keepNext/>
      <w:spacing w:before="60" w:line="240" w:lineRule="atLeast"/>
      <w:ind w:left="340"/>
    </w:pPr>
    <w:rPr>
      <w:sz w:val="16"/>
    </w:rPr>
  </w:style>
  <w:style w:type="paragraph" w:customStyle="1" w:styleId="SubDivisionMigration">
    <w:name w:val="SubDivisionMigration"/>
    <w:aliases w:val="sdm"/>
    <w:basedOn w:val="OPCParaBase"/>
    <w:rsid w:val="00367A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7A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7A30"/>
    <w:pPr>
      <w:spacing w:before="122" w:line="240" w:lineRule="auto"/>
      <w:ind w:left="1985" w:hanging="851"/>
    </w:pPr>
    <w:rPr>
      <w:sz w:val="18"/>
    </w:rPr>
  </w:style>
  <w:style w:type="paragraph" w:customStyle="1" w:styleId="FreeForm">
    <w:name w:val="FreeForm"/>
    <w:rsid w:val="00367A30"/>
    <w:rPr>
      <w:rFonts w:ascii="Arial" w:hAnsi="Arial"/>
      <w:sz w:val="22"/>
    </w:rPr>
  </w:style>
  <w:style w:type="paragraph" w:customStyle="1" w:styleId="SOText">
    <w:name w:val="SO Text"/>
    <w:aliases w:val="sot"/>
    <w:link w:val="SOTextChar"/>
    <w:rsid w:val="00367A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7A30"/>
    <w:rPr>
      <w:sz w:val="22"/>
    </w:rPr>
  </w:style>
  <w:style w:type="paragraph" w:customStyle="1" w:styleId="SOTextNote">
    <w:name w:val="SO TextNote"/>
    <w:aliases w:val="sont"/>
    <w:basedOn w:val="SOText"/>
    <w:qFormat/>
    <w:rsid w:val="00367A30"/>
    <w:pPr>
      <w:spacing w:before="122" w:line="198" w:lineRule="exact"/>
      <w:ind w:left="1843" w:hanging="709"/>
    </w:pPr>
    <w:rPr>
      <w:sz w:val="18"/>
    </w:rPr>
  </w:style>
  <w:style w:type="paragraph" w:customStyle="1" w:styleId="SOPara">
    <w:name w:val="SO Para"/>
    <w:aliases w:val="soa"/>
    <w:basedOn w:val="SOText"/>
    <w:link w:val="SOParaChar"/>
    <w:qFormat/>
    <w:rsid w:val="00367A30"/>
    <w:pPr>
      <w:tabs>
        <w:tab w:val="right" w:pos="1786"/>
      </w:tabs>
      <w:spacing w:before="40"/>
      <w:ind w:left="2070" w:hanging="936"/>
    </w:pPr>
  </w:style>
  <w:style w:type="character" w:customStyle="1" w:styleId="SOParaChar">
    <w:name w:val="SO Para Char"/>
    <w:aliases w:val="soa Char"/>
    <w:basedOn w:val="DefaultParagraphFont"/>
    <w:link w:val="SOPara"/>
    <w:rsid w:val="00367A30"/>
    <w:rPr>
      <w:sz w:val="22"/>
    </w:rPr>
  </w:style>
  <w:style w:type="paragraph" w:customStyle="1" w:styleId="FileName">
    <w:name w:val="FileName"/>
    <w:basedOn w:val="Normal"/>
    <w:rsid w:val="00367A30"/>
  </w:style>
  <w:style w:type="paragraph" w:customStyle="1" w:styleId="TableHeading">
    <w:name w:val="TableHeading"/>
    <w:aliases w:val="th"/>
    <w:basedOn w:val="OPCParaBase"/>
    <w:next w:val="Tabletext"/>
    <w:rsid w:val="00367A30"/>
    <w:pPr>
      <w:keepNext/>
      <w:spacing w:before="60" w:line="240" w:lineRule="atLeast"/>
    </w:pPr>
    <w:rPr>
      <w:b/>
      <w:sz w:val="20"/>
    </w:rPr>
  </w:style>
  <w:style w:type="paragraph" w:customStyle="1" w:styleId="SOHeadBold">
    <w:name w:val="SO HeadBold"/>
    <w:aliases w:val="sohb"/>
    <w:basedOn w:val="SOText"/>
    <w:next w:val="SOText"/>
    <w:link w:val="SOHeadBoldChar"/>
    <w:qFormat/>
    <w:rsid w:val="00367A30"/>
    <w:rPr>
      <w:b/>
    </w:rPr>
  </w:style>
  <w:style w:type="character" w:customStyle="1" w:styleId="SOHeadBoldChar">
    <w:name w:val="SO HeadBold Char"/>
    <w:aliases w:val="sohb Char"/>
    <w:basedOn w:val="DefaultParagraphFont"/>
    <w:link w:val="SOHeadBold"/>
    <w:rsid w:val="00367A30"/>
    <w:rPr>
      <w:b/>
      <w:sz w:val="22"/>
    </w:rPr>
  </w:style>
  <w:style w:type="paragraph" w:customStyle="1" w:styleId="SOHeadItalic">
    <w:name w:val="SO HeadItalic"/>
    <w:aliases w:val="sohi"/>
    <w:basedOn w:val="SOText"/>
    <w:next w:val="SOText"/>
    <w:link w:val="SOHeadItalicChar"/>
    <w:qFormat/>
    <w:rsid w:val="00367A30"/>
    <w:rPr>
      <w:i/>
    </w:rPr>
  </w:style>
  <w:style w:type="character" w:customStyle="1" w:styleId="SOHeadItalicChar">
    <w:name w:val="SO HeadItalic Char"/>
    <w:aliases w:val="sohi Char"/>
    <w:basedOn w:val="DefaultParagraphFont"/>
    <w:link w:val="SOHeadItalic"/>
    <w:rsid w:val="00367A30"/>
    <w:rPr>
      <w:i/>
      <w:sz w:val="22"/>
    </w:rPr>
  </w:style>
  <w:style w:type="paragraph" w:customStyle="1" w:styleId="SOBullet">
    <w:name w:val="SO Bullet"/>
    <w:aliases w:val="sotb"/>
    <w:basedOn w:val="SOText"/>
    <w:link w:val="SOBulletChar"/>
    <w:qFormat/>
    <w:rsid w:val="00367A30"/>
    <w:pPr>
      <w:ind w:left="1559" w:hanging="425"/>
    </w:pPr>
  </w:style>
  <w:style w:type="character" w:customStyle="1" w:styleId="SOBulletChar">
    <w:name w:val="SO Bullet Char"/>
    <w:aliases w:val="sotb Char"/>
    <w:basedOn w:val="DefaultParagraphFont"/>
    <w:link w:val="SOBullet"/>
    <w:rsid w:val="00367A30"/>
    <w:rPr>
      <w:sz w:val="22"/>
    </w:rPr>
  </w:style>
  <w:style w:type="paragraph" w:customStyle="1" w:styleId="SOBulletNote">
    <w:name w:val="SO BulletNote"/>
    <w:aliases w:val="sonb"/>
    <w:basedOn w:val="SOTextNote"/>
    <w:link w:val="SOBulletNoteChar"/>
    <w:qFormat/>
    <w:rsid w:val="00367A30"/>
    <w:pPr>
      <w:tabs>
        <w:tab w:val="left" w:pos="1560"/>
      </w:tabs>
      <w:ind w:left="2268" w:hanging="1134"/>
    </w:pPr>
  </w:style>
  <w:style w:type="character" w:customStyle="1" w:styleId="SOBulletNoteChar">
    <w:name w:val="SO BulletNote Char"/>
    <w:aliases w:val="sonb Char"/>
    <w:basedOn w:val="DefaultParagraphFont"/>
    <w:link w:val="SOBulletNote"/>
    <w:rsid w:val="00367A30"/>
    <w:rPr>
      <w:sz w:val="18"/>
    </w:rPr>
  </w:style>
  <w:style w:type="paragraph" w:customStyle="1" w:styleId="SOText2">
    <w:name w:val="SO Text2"/>
    <w:aliases w:val="sot2"/>
    <w:basedOn w:val="Normal"/>
    <w:next w:val="SOText"/>
    <w:link w:val="SOText2Char"/>
    <w:rsid w:val="00B14E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4E91"/>
    <w:rPr>
      <w:sz w:val="22"/>
    </w:rPr>
  </w:style>
  <w:style w:type="paragraph" w:customStyle="1" w:styleId="SubPartCASA">
    <w:name w:val="SubPart(CASA)"/>
    <w:aliases w:val="csp"/>
    <w:basedOn w:val="OPCParaBase"/>
    <w:next w:val="ActHead3"/>
    <w:rsid w:val="00367A3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14E91"/>
    <w:rPr>
      <w:rFonts w:eastAsia="Times New Roman" w:cs="Times New Roman"/>
      <w:sz w:val="22"/>
      <w:lang w:eastAsia="en-AU"/>
    </w:rPr>
  </w:style>
  <w:style w:type="character" w:customStyle="1" w:styleId="notetextChar">
    <w:name w:val="note(text) Char"/>
    <w:aliases w:val="n Char"/>
    <w:basedOn w:val="DefaultParagraphFont"/>
    <w:link w:val="notetext"/>
    <w:rsid w:val="00B14E91"/>
    <w:rPr>
      <w:rFonts w:eastAsia="Times New Roman" w:cs="Times New Roman"/>
      <w:sz w:val="18"/>
      <w:lang w:eastAsia="en-AU"/>
    </w:rPr>
  </w:style>
  <w:style w:type="character" w:customStyle="1" w:styleId="Heading1Char">
    <w:name w:val="Heading 1 Char"/>
    <w:basedOn w:val="DefaultParagraphFont"/>
    <w:link w:val="Heading1"/>
    <w:uiPriority w:val="9"/>
    <w:rsid w:val="00B14E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4E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E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14E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14E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14E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14E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14E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14E9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367A3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B14E91"/>
    <w:rPr>
      <w:rFonts w:ascii="Arial" w:hAnsi="Arial" w:cs="Arial" w:hint="default"/>
      <w:b/>
      <w:bCs/>
      <w:sz w:val="28"/>
      <w:szCs w:val="28"/>
    </w:rPr>
  </w:style>
  <w:style w:type="paragraph" w:styleId="Index1">
    <w:name w:val="index 1"/>
    <w:basedOn w:val="Normal"/>
    <w:next w:val="Normal"/>
    <w:autoRedefine/>
    <w:rsid w:val="00B14E91"/>
    <w:pPr>
      <w:ind w:left="240" w:hanging="240"/>
    </w:pPr>
  </w:style>
  <w:style w:type="paragraph" w:styleId="Index2">
    <w:name w:val="index 2"/>
    <w:basedOn w:val="Normal"/>
    <w:next w:val="Normal"/>
    <w:autoRedefine/>
    <w:rsid w:val="00B14E91"/>
    <w:pPr>
      <w:ind w:left="480" w:hanging="240"/>
    </w:pPr>
  </w:style>
  <w:style w:type="paragraph" w:styleId="Index3">
    <w:name w:val="index 3"/>
    <w:basedOn w:val="Normal"/>
    <w:next w:val="Normal"/>
    <w:autoRedefine/>
    <w:rsid w:val="00B14E91"/>
    <w:pPr>
      <w:ind w:left="720" w:hanging="240"/>
    </w:pPr>
  </w:style>
  <w:style w:type="paragraph" w:styleId="Index4">
    <w:name w:val="index 4"/>
    <w:basedOn w:val="Normal"/>
    <w:next w:val="Normal"/>
    <w:autoRedefine/>
    <w:rsid w:val="00B14E91"/>
    <w:pPr>
      <w:ind w:left="960" w:hanging="240"/>
    </w:pPr>
  </w:style>
  <w:style w:type="paragraph" w:styleId="Index5">
    <w:name w:val="index 5"/>
    <w:basedOn w:val="Normal"/>
    <w:next w:val="Normal"/>
    <w:autoRedefine/>
    <w:rsid w:val="00B14E91"/>
    <w:pPr>
      <w:ind w:left="1200" w:hanging="240"/>
    </w:pPr>
  </w:style>
  <w:style w:type="paragraph" w:styleId="Index6">
    <w:name w:val="index 6"/>
    <w:basedOn w:val="Normal"/>
    <w:next w:val="Normal"/>
    <w:autoRedefine/>
    <w:rsid w:val="00B14E91"/>
    <w:pPr>
      <w:ind w:left="1440" w:hanging="240"/>
    </w:pPr>
  </w:style>
  <w:style w:type="paragraph" w:styleId="Index7">
    <w:name w:val="index 7"/>
    <w:basedOn w:val="Normal"/>
    <w:next w:val="Normal"/>
    <w:autoRedefine/>
    <w:rsid w:val="00B14E91"/>
    <w:pPr>
      <w:ind w:left="1680" w:hanging="240"/>
    </w:pPr>
  </w:style>
  <w:style w:type="paragraph" w:styleId="Index8">
    <w:name w:val="index 8"/>
    <w:basedOn w:val="Normal"/>
    <w:next w:val="Normal"/>
    <w:autoRedefine/>
    <w:rsid w:val="00B14E91"/>
    <w:pPr>
      <w:ind w:left="1920" w:hanging="240"/>
    </w:pPr>
  </w:style>
  <w:style w:type="paragraph" w:styleId="Index9">
    <w:name w:val="index 9"/>
    <w:basedOn w:val="Normal"/>
    <w:next w:val="Normal"/>
    <w:autoRedefine/>
    <w:rsid w:val="00B14E91"/>
    <w:pPr>
      <w:ind w:left="2160" w:hanging="240"/>
    </w:pPr>
  </w:style>
  <w:style w:type="paragraph" w:styleId="NormalIndent">
    <w:name w:val="Normal Indent"/>
    <w:basedOn w:val="Normal"/>
    <w:rsid w:val="00B14E91"/>
    <w:pPr>
      <w:ind w:left="720"/>
    </w:pPr>
  </w:style>
  <w:style w:type="paragraph" w:styleId="FootnoteText">
    <w:name w:val="footnote text"/>
    <w:basedOn w:val="Normal"/>
    <w:link w:val="FootnoteTextChar"/>
    <w:rsid w:val="00B14E91"/>
    <w:rPr>
      <w:sz w:val="20"/>
    </w:rPr>
  </w:style>
  <w:style w:type="character" w:customStyle="1" w:styleId="FootnoteTextChar">
    <w:name w:val="Footnote Text Char"/>
    <w:basedOn w:val="DefaultParagraphFont"/>
    <w:link w:val="FootnoteText"/>
    <w:rsid w:val="00B14E91"/>
  </w:style>
  <w:style w:type="paragraph" w:styleId="CommentText">
    <w:name w:val="annotation text"/>
    <w:basedOn w:val="Normal"/>
    <w:link w:val="CommentTextChar"/>
    <w:rsid w:val="00B14E91"/>
    <w:rPr>
      <w:sz w:val="20"/>
    </w:rPr>
  </w:style>
  <w:style w:type="character" w:customStyle="1" w:styleId="CommentTextChar">
    <w:name w:val="Comment Text Char"/>
    <w:basedOn w:val="DefaultParagraphFont"/>
    <w:link w:val="CommentText"/>
    <w:rsid w:val="00B14E91"/>
  </w:style>
  <w:style w:type="paragraph" w:styleId="IndexHeading">
    <w:name w:val="index heading"/>
    <w:basedOn w:val="Normal"/>
    <w:next w:val="Index1"/>
    <w:rsid w:val="00B14E91"/>
    <w:rPr>
      <w:rFonts w:ascii="Arial" w:hAnsi="Arial" w:cs="Arial"/>
      <w:b/>
      <w:bCs/>
    </w:rPr>
  </w:style>
  <w:style w:type="paragraph" w:styleId="Caption">
    <w:name w:val="caption"/>
    <w:basedOn w:val="Normal"/>
    <w:next w:val="Normal"/>
    <w:qFormat/>
    <w:rsid w:val="00B14E91"/>
    <w:pPr>
      <w:spacing w:before="120" w:after="120"/>
    </w:pPr>
    <w:rPr>
      <w:b/>
      <w:bCs/>
      <w:sz w:val="20"/>
    </w:rPr>
  </w:style>
  <w:style w:type="paragraph" w:styleId="TableofFigures">
    <w:name w:val="table of figures"/>
    <w:basedOn w:val="Normal"/>
    <w:next w:val="Normal"/>
    <w:rsid w:val="00B14E91"/>
    <w:pPr>
      <w:ind w:left="480" w:hanging="480"/>
    </w:pPr>
  </w:style>
  <w:style w:type="paragraph" w:styleId="EnvelopeAddress">
    <w:name w:val="envelope address"/>
    <w:basedOn w:val="Normal"/>
    <w:rsid w:val="00B14E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14E91"/>
    <w:rPr>
      <w:rFonts w:ascii="Arial" w:hAnsi="Arial" w:cs="Arial"/>
      <w:sz w:val="20"/>
    </w:rPr>
  </w:style>
  <w:style w:type="character" w:styleId="FootnoteReference">
    <w:name w:val="footnote reference"/>
    <w:basedOn w:val="DefaultParagraphFont"/>
    <w:rsid w:val="00B14E91"/>
    <w:rPr>
      <w:rFonts w:ascii="Times New Roman" w:hAnsi="Times New Roman"/>
      <w:sz w:val="20"/>
      <w:vertAlign w:val="superscript"/>
    </w:rPr>
  </w:style>
  <w:style w:type="character" w:styleId="CommentReference">
    <w:name w:val="annotation reference"/>
    <w:basedOn w:val="DefaultParagraphFont"/>
    <w:rsid w:val="00B14E91"/>
    <w:rPr>
      <w:sz w:val="16"/>
      <w:szCs w:val="16"/>
    </w:rPr>
  </w:style>
  <w:style w:type="character" w:styleId="PageNumber">
    <w:name w:val="page number"/>
    <w:basedOn w:val="DefaultParagraphFont"/>
    <w:rsid w:val="00B14E91"/>
  </w:style>
  <w:style w:type="character" w:styleId="EndnoteReference">
    <w:name w:val="endnote reference"/>
    <w:basedOn w:val="DefaultParagraphFont"/>
    <w:rsid w:val="00B14E91"/>
    <w:rPr>
      <w:vertAlign w:val="superscript"/>
    </w:rPr>
  </w:style>
  <w:style w:type="paragraph" w:styleId="EndnoteText">
    <w:name w:val="endnote text"/>
    <w:basedOn w:val="Normal"/>
    <w:link w:val="EndnoteTextChar"/>
    <w:rsid w:val="00B14E91"/>
    <w:rPr>
      <w:sz w:val="20"/>
    </w:rPr>
  </w:style>
  <w:style w:type="character" w:customStyle="1" w:styleId="EndnoteTextChar">
    <w:name w:val="Endnote Text Char"/>
    <w:basedOn w:val="DefaultParagraphFont"/>
    <w:link w:val="EndnoteText"/>
    <w:rsid w:val="00B14E91"/>
  </w:style>
  <w:style w:type="paragraph" w:styleId="TableofAuthorities">
    <w:name w:val="table of authorities"/>
    <w:basedOn w:val="Normal"/>
    <w:next w:val="Normal"/>
    <w:rsid w:val="00B14E91"/>
    <w:pPr>
      <w:ind w:left="240" w:hanging="240"/>
    </w:pPr>
  </w:style>
  <w:style w:type="paragraph" w:styleId="MacroText">
    <w:name w:val="macro"/>
    <w:link w:val="MacroTextChar"/>
    <w:rsid w:val="00B14E9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14E91"/>
    <w:rPr>
      <w:rFonts w:ascii="Courier New" w:eastAsia="Times New Roman" w:hAnsi="Courier New" w:cs="Courier New"/>
      <w:lang w:eastAsia="en-AU"/>
    </w:rPr>
  </w:style>
  <w:style w:type="paragraph" w:styleId="TOAHeading">
    <w:name w:val="toa heading"/>
    <w:basedOn w:val="Normal"/>
    <w:next w:val="Normal"/>
    <w:rsid w:val="00B14E91"/>
    <w:pPr>
      <w:spacing w:before="120"/>
    </w:pPr>
    <w:rPr>
      <w:rFonts w:ascii="Arial" w:hAnsi="Arial" w:cs="Arial"/>
      <w:b/>
      <w:bCs/>
    </w:rPr>
  </w:style>
  <w:style w:type="paragraph" w:styleId="List">
    <w:name w:val="List"/>
    <w:basedOn w:val="Normal"/>
    <w:rsid w:val="00B14E91"/>
    <w:pPr>
      <w:ind w:left="283" w:hanging="283"/>
    </w:pPr>
  </w:style>
  <w:style w:type="paragraph" w:styleId="ListBullet">
    <w:name w:val="List Bullet"/>
    <w:basedOn w:val="Normal"/>
    <w:autoRedefine/>
    <w:rsid w:val="00B14E91"/>
    <w:pPr>
      <w:tabs>
        <w:tab w:val="num" w:pos="360"/>
      </w:tabs>
      <w:ind w:left="360" w:hanging="360"/>
    </w:pPr>
  </w:style>
  <w:style w:type="paragraph" w:styleId="ListNumber">
    <w:name w:val="List Number"/>
    <w:basedOn w:val="Normal"/>
    <w:rsid w:val="00B14E91"/>
    <w:pPr>
      <w:tabs>
        <w:tab w:val="num" w:pos="360"/>
      </w:tabs>
      <w:ind w:left="360" w:hanging="360"/>
    </w:pPr>
  </w:style>
  <w:style w:type="paragraph" w:styleId="List2">
    <w:name w:val="List 2"/>
    <w:basedOn w:val="Normal"/>
    <w:rsid w:val="00B14E91"/>
    <w:pPr>
      <w:ind w:left="566" w:hanging="283"/>
    </w:pPr>
  </w:style>
  <w:style w:type="paragraph" w:styleId="List3">
    <w:name w:val="List 3"/>
    <w:basedOn w:val="Normal"/>
    <w:rsid w:val="00B14E91"/>
    <w:pPr>
      <w:ind w:left="849" w:hanging="283"/>
    </w:pPr>
  </w:style>
  <w:style w:type="paragraph" w:styleId="List4">
    <w:name w:val="List 4"/>
    <w:basedOn w:val="Normal"/>
    <w:rsid w:val="00B14E91"/>
    <w:pPr>
      <w:ind w:left="1132" w:hanging="283"/>
    </w:pPr>
  </w:style>
  <w:style w:type="paragraph" w:styleId="List5">
    <w:name w:val="List 5"/>
    <w:basedOn w:val="Normal"/>
    <w:rsid w:val="00B14E91"/>
    <w:pPr>
      <w:ind w:left="1415" w:hanging="283"/>
    </w:pPr>
  </w:style>
  <w:style w:type="paragraph" w:styleId="ListBullet2">
    <w:name w:val="List Bullet 2"/>
    <w:basedOn w:val="Normal"/>
    <w:autoRedefine/>
    <w:rsid w:val="00B14E91"/>
    <w:pPr>
      <w:tabs>
        <w:tab w:val="num" w:pos="360"/>
      </w:tabs>
    </w:pPr>
  </w:style>
  <w:style w:type="paragraph" w:styleId="ListBullet3">
    <w:name w:val="List Bullet 3"/>
    <w:basedOn w:val="Normal"/>
    <w:autoRedefine/>
    <w:rsid w:val="00B14E91"/>
    <w:pPr>
      <w:tabs>
        <w:tab w:val="num" w:pos="926"/>
      </w:tabs>
      <w:ind w:left="926" w:hanging="360"/>
    </w:pPr>
  </w:style>
  <w:style w:type="paragraph" w:styleId="ListBullet4">
    <w:name w:val="List Bullet 4"/>
    <w:basedOn w:val="Normal"/>
    <w:autoRedefine/>
    <w:rsid w:val="00B14E91"/>
    <w:pPr>
      <w:tabs>
        <w:tab w:val="num" w:pos="1209"/>
      </w:tabs>
      <w:ind w:left="1209" w:hanging="360"/>
    </w:pPr>
  </w:style>
  <w:style w:type="paragraph" w:styleId="ListBullet5">
    <w:name w:val="List Bullet 5"/>
    <w:basedOn w:val="Normal"/>
    <w:autoRedefine/>
    <w:rsid w:val="00B14E91"/>
    <w:pPr>
      <w:tabs>
        <w:tab w:val="num" w:pos="1492"/>
      </w:tabs>
      <w:ind w:left="1492" w:hanging="360"/>
    </w:pPr>
  </w:style>
  <w:style w:type="paragraph" w:styleId="ListNumber2">
    <w:name w:val="List Number 2"/>
    <w:basedOn w:val="Normal"/>
    <w:rsid w:val="00B14E91"/>
    <w:pPr>
      <w:tabs>
        <w:tab w:val="num" w:pos="643"/>
      </w:tabs>
      <w:ind w:left="643" w:hanging="360"/>
    </w:pPr>
  </w:style>
  <w:style w:type="paragraph" w:styleId="ListNumber3">
    <w:name w:val="List Number 3"/>
    <w:basedOn w:val="Normal"/>
    <w:rsid w:val="00B14E91"/>
    <w:pPr>
      <w:tabs>
        <w:tab w:val="num" w:pos="926"/>
      </w:tabs>
      <w:ind w:left="926" w:hanging="360"/>
    </w:pPr>
  </w:style>
  <w:style w:type="paragraph" w:styleId="ListNumber4">
    <w:name w:val="List Number 4"/>
    <w:basedOn w:val="Normal"/>
    <w:rsid w:val="00B14E91"/>
    <w:pPr>
      <w:tabs>
        <w:tab w:val="num" w:pos="1209"/>
      </w:tabs>
      <w:ind w:left="1209" w:hanging="360"/>
    </w:pPr>
  </w:style>
  <w:style w:type="paragraph" w:styleId="ListNumber5">
    <w:name w:val="List Number 5"/>
    <w:basedOn w:val="Normal"/>
    <w:rsid w:val="00B14E91"/>
    <w:pPr>
      <w:tabs>
        <w:tab w:val="num" w:pos="1492"/>
      </w:tabs>
      <w:ind w:left="1492" w:hanging="360"/>
    </w:pPr>
  </w:style>
  <w:style w:type="paragraph" w:styleId="Title">
    <w:name w:val="Title"/>
    <w:basedOn w:val="Normal"/>
    <w:link w:val="TitleChar"/>
    <w:qFormat/>
    <w:rsid w:val="00B14E91"/>
    <w:pPr>
      <w:spacing w:before="240" w:after="60"/>
    </w:pPr>
    <w:rPr>
      <w:rFonts w:ascii="Arial" w:hAnsi="Arial" w:cs="Arial"/>
      <w:b/>
      <w:bCs/>
      <w:sz w:val="40"/>
      <w:szCs w:val="40"/>
    </w:rPr>
  </w:style>
  <w:style w:type="character" w:customStyle="1" w:styleId="TitleChar">
    <w:name w:val="Title Char"/>
    <w:basedOn w:val="DefaultParagraphFont"/>
    <w:link w:val="Title"/>
    <w:rsid w:val="00B14E91"/>
    <w:rPr>
      <w:rFonts w:ascii="Arial" w:hAnsi="Arial" w:cs="Arial"/>
      <w:b/>
      <w:bCs/>
      <w:sz w:val="40"/>
      <w:szCs w:val="40"/>
    </w:rPr>
  </w:style>
  <w:style w:type="paragraph" w:styleId="Closing">
    <w:name w:val="Closing"/>
    <w:basedOn w:val="Normal"/>
    <w:link w:val="ClosingChar"/>
    <w:rsid w:val="00B14E91"/>
    <w:pPr>
      <w:ind w:left="4252"/>
    </w:pPr>
  </w:style>
  <w:style w:type="character" w:customStyle="1" w:styleId="ClosingChar">
    <w:name w:val="Closing Char"/>
    <w:basedOn w:val="DefaultParagraphFont"/>
    <w:link w:val="Closing"/>
    <w:rsid w:val="00B14E91"/>
    <w:rPr>
      <w:sz w:val="22"/>
    </w:rPr>
  </w:style>
  <w:style w:type="paragraph" w:styleId="Signature">
    <w:name w:val="Signature"/>
    <w:basedOn w:val="Normal"/>
    <w:link w:val="SignatureChar"/>
    <w:rsid w:val="00B14E91"/>
    <w:pPr>
      <w:ind w:left="4252"/>
    </w:pPr>
  </w:style>
  <w:style w:type="character" w:customStyle="1" w:styleId="SignatureChar">
    <w:name w:val="Signature Char"/>
    <w:basedOn w:val="DefaultParagraphFont"/>
    <w:link w:val="Signature"/>
    <w:rsid w:val="00B14E91"/>
    <w:rPr>
      <w:sz w:val="22"/>
    </w:rPr>
  </w:style>
  <w:style w:type="paragraph" w:styleId="BodyText">
    <w:name w:val="Body Text"/>
    <w:basedOn w:val="Normal"/>
    <w:link w:val="BodyTextChar"/>
    <w:rsid w:val="00B14E91"/>
    <w:pPr>
      <w:spacing w:after="120"/>
    </w:pPr>
  </w:style>
  <w:style w:type="character" w:customStyle="1" w:styleId="BodyTextChar">
    <w:name w:val="Body Text Char"/>
    <w:basedOn w:val="DefaultParagraphFont"/>
    <w:link w:val="BodyText"/>
    <w:rsid w:val="00B14E91"/>
    <w:rPr>
      <w:sz w:val="22"/>
    </w:rPr>
  </w:style>
  <w:style w:type="paragraph" w:styleId="BodyTextIndent">
    <w:name w:val="Body Text Indent"/>
    <w:basedOn w:val="Normal"/>
    <w:link w:val="BodyTextIndentChar"/>
    <w:rsid w:val="00B14E91"/>
    <w:pPr>
      <w:spacing w:after="120"/>
      <w:ind w:left="283"/>
    </w:pPr>
  </w:style>
  <w:style w:type="character" w:customStyle="1" w:styleId="BodyTextIndentChar">
    <w:name w:val="Body Text Indent Char"/>
    <w:basedOn w:val="DefaultParagraphFont"/>
    <w:link w:val="BodyTextIndent"/>
    <w:rsid w:val="00B14E91"/>
    <w:rPr>
      <w:sz w:val="22"/>
    </w:rPr>
  </w:style>
  <w:style w:type="paragraph" w:styleId="ListContinue">
    <w:name w:val="List Continue"/>
    <w:basedOn w:val="Normal"/>
    <w:rsid w:val="00B14E91"/>
    <w:pPr>
      <w:spacing w:after="120"/>
      <w:ind w:left="283"/>
    </w:pPr>
  </w:style>
  <w:style w:type="paragraph" w:styleId="ListContinue2">
    <w:name w:val="List Continue 2"/>
    <w:basedOn w:val="Normal"/>
    <w:rsid w:val="00B14E91"/>
    <w:pPr>
      <w:spacing w:after="120"/>
      <w:ind w:left="566"/>
    </w:pPr>
  </w:style>
  <w:style w:type="paragraph" w:styleId="ListContinue3">
    <w:name w:val="List Continue 3"/>
    <w:basedOn w:val="Normal"/>
    <w:rsid w:val="00B14E91"/>
    <w:pPr>
      <w:spacing w:after="120"/>
      <w:ind w:left="849"/>
    </w:pPr>
  </w:style>
  <w:style w:type="paragraph" w:styleId="ListContinue4">
    <w:name w:val="List Continue 4"/>
    <w:basedOn w:val="Normal"/>
    <w:rsid w:val="00B14E91"/>
    <w:pPr>
      <w:spacing w:after="120"/>
      <w:ind w:left="1132"/>
    </w:pPr>
  </w:style>
  <w:style w:type="paragraph" w:styleId="ListContinue5">
    <w:name w:val="List Continue 5"/>
    <w:basedOn w:val="Normal"/>
    <w:rsid w:val="00B14E91"/>
    <w:pPr>
      <w:spacing w:after="120"/>
      <w:ind w:left="1415"/>
    </w:pPr>
  </w:style>
  <w:style w:type="paragraph" w:styleId="MessageHeader">
    <w:name w:val="Message Header"/>
    <w:basedOn w:val="Normal"/>
    <w:link w:val="MessageHeaderChar"/>
    <w:rsid w:val="00B14E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14E91"/>
    <w:rPr>
      <w:rFonts w:ascii="Arial" w:hAnsi="Arial" w:cs="Arial"/>
      <w:sz w:val="22"/>
      <w:shd w:val="pct20" w:color="auto" w:fill="auto"/>
    </w:rPr>
  </w:style>
  <w:style w:type="paragraph" w:styleId="Subtitle">
    <w:name w:val="Subtitle"/>
    <w:basedOn w:val="Normal"/>
    <w:link w:val="SubtitleChar"/>
    <w:qFormat/>
    <w:rsid w:val="00B14E91"/>
    <w:pPr>
      <w:spacing w:after="60"/>
      <w:jc w:val="center"/>
      <w:outlineLvl w:val="1"/>
    </w:pPr>
    <w:rPr>
      <w:rFonts w:ascii="Arial" w:hAnsi="Arial" w:cs="Arial"/>
    </w:rPr>
  </w:style>
  <w:style w:type="character" w:customStyle="1" w:styleId="SubtitleChar">
    <w:name w:val="Subtitle Char"/>
    <w:basedOn w:val="DefaultParagraphFont"/>
    <w:link w:val="Subtitle"/>
    <w:rsid w:val="00B14E91"/>
    <w:rPr>
      <w:rFonts w:ascii="Arial" w:hAnsi="Arial" w:cs="Arial"/>
      <w:sz w:val="22"/>
    </w:rPr>
  </w:style>
  <w:style w:type="paragraph" w:styleId="Salutation">
    <w:name w:val="Salutation"/>
    <w:basedOn w:val="Normal"/>
    <w:next w:val="Normal"/>
    <w:link w:val="SalutationChar"/>
    <w:rsid w:val="00B14E91"/>
  </w:style>
  <w:style w:type="character" w:customStyle="1" w:styleId="SalutationChar">
    <w:name w:val="Salutation Char"/>
    <w:basedOn w:val="DefaultParagraphFont"/>
    <w:link w:val="Salutation"/>
    <w:rsid w:val="00B14E91"/>
    <w:rPr>
      <w:sz w:val="22"/>
    </w:rPr>
  </w:style>
  <w:style w:type="paragraph" w:styleId="Date">
    <w:name w:val="Date"/>
    <w:basedOn w:val="Normal"/>
    <w:next w:val="Normal"/>
    <w:link w:val="DateChar"/>
    <w:rsid w:val="00B14E91"/>
  </w:style>
  <w:style w:type="character" w:customStyle="1" w:styleId="DateChar">
    <w:name w:val="Date Char"/>
    <w:basedOn w:val="DefaultParagraphFont"/>
    <w:link w:val="Date"/>
    <w:rsid w:val="00B14E91"/>
    <w:rPr>
      <w:sz w:val="22"/>
    </w:rPr>
  </w:style>
  <w:style w:type="paragraph" w:styleId="BodyTextFirstIndent">
    <w:name w:val="Body Text First Indent"/>
    <w:basedOn w:val="BodyText"/>
    <w:link w:val="BodyTextFirstIndentChar"/>
    <w:rsid w:val="00B14E91"/>
    <w:pPr>
      <w:ind w:firstLine="210"/>
    </w:pPr>
  </w:style>
  <w:style w:type="character" w:customStyle="1" w:styleId="BodyTextFirstIndentChar">
    <w:name w:val="Body Text First Indent Char"/>
    <w:basedOn w:val="BodyTextChar"/>
    <w:link w:val="BodyTextFirstIndent"/>
    <w:rsid w:val="00B14E91"/>
    <w:rPr>
      <w:sz w:val="22"/>
    </w:rPr>
  </w:style>
  <w:style w:type="paragraph" w:styleId="BodyTextFirstIndent2">
    <w:name w:val="Body Text First Indent 2"/>
    <w:basedOn w:val="BodyTextIndent"/>
    <w:link w:val="BodyTextFirstIndent2Char"/>
    <w:rsid w:val="00B14E91"/>
    <w:pPr>
      <w:ind w:firstLine="210"/>
    </w:pPr>
  </w:style>
  <w:style w:type="character" w:customStyle="1" w:styleId="BodyTextFirstIndent2Char">
    <w:name w:val="Body Text First Indent 2 Char"/>
    <w:basedOn w:val="BodyTextIndentChar"/>
    <w:link w:val="BodyTextFirstIndent2"/>
    <w:rsid w:val="00B14E91"/>
    <w:rPr>
      <w:sz w:val="22"/>
    </w:rPr>
  </w:style>
  <w:style w:type="paragraph" w:styleId="BodyText2">
    <w:name w:val="Body Text 2"/>
    <w:basedOn w:val="Normal"/>
    <w:link w:val="BodyText2Char"/>
    <w:rsid w:val="00B14E91"/>
    <w:pPr>
      <w:spacing w:after="120" w:line="480" w:lineRule="auto"/>
    </w:pPr>
  </w:style>
  <w:style w:type="character" w:customStyle="1" w:styleId="BodyText2Char">
    <w:name w:val="Body Text 2 Char"/>
    <w:basedOn w:val="DefaultParagraphFont"/>
    <w:link w:val="BodyText2"/>
    <w:rsid w:val="00B14E91"/>
    <w:rPr>
      <w:sz w:val="22"/>
    </w:rPr>
  </w:style>
  <w:style w:type="paragraph" w:styleId="BodyText3">
    <w:name w:val="Body Text 3"/>
    <w:basedOn w:val="Normal"/>
    <w:link w:val="BodyText3Char"/>
    <w:rsid w:val="00B14E91"/>
    <w:pPr>
      <w:spacing w:after="120"/>
    </w:pPr>
    <w:rPr>
      <w:sz w:val="16"/>
      <w:szCs w:val="16"/>
    </w:rPr>
  </w:style>
  <w:style w:type="character" w:customStyle="1" w:styleId="BodyText3Char">
    <w:name w:val="Body Text 3 Char"/>
    <w:basedOn w:val="DefaultParagraphFont"/>
    <w:link w:val="BodyText3"/>
    <w:rsid w:val="00B14E91"/>
    <w:rPr>
      <w:sz w:val="16"/>
      <w:szCs w:val="16"/>
    </w:rPr>
  </w:style>
  <w:style w:type="paragraph" w:styleId="BodyTextIndent2">
    <w:name w:val="Body Text Indent 2"/>
    <w:basedOn w:val="Normal"/>
    <w:link w:val="BodyTextIndent2Char"/>
    <w:rsid w:val="00B14E91"/>
    <w:pPr>
      <w:spacing w:after="120" w:line="480" w:lineRule="auto"/>
      <w:ind w:left="283"/>
    </w:pPr>
  </w:style>
  <w:style w:type="character" w:customStyle="1" w:styleId="BodyTextIndent2Char">
    <w:name w:val="Body Text Indent 2 Char"/>
    <w:basedOn w:val="DefaultParagraphFont"/>
    <w:link w:val="BodyTextIndent2"/>
    <w:rsid w:val="00B14E91"/>
    <w:rPr>
      <w:sz w:val="22"/>
    </w:rPr>
  </w:style>
  <w:style w:type="paragraph" w:styleId="BodyTextIndent3">
    <w:name w:val="Body Text Indent 3"/>
    <w:basedOn w:val="Normal"/>
    <w:link w:val="BodyTextIndent3Char"/>
    <w:rsid w:val="00B14E91"/>
    <w:pPr>
      <w:spacing w:after="120"/>
      <w:ind w:left="283"/>
    </w:pPr>
    <w:rPr>
      <w:sz w:val="16"/>
      <w:szCs w:val="16"/>
    </w:rPr>
  </w:style>
  <w:style w:type="character" w:customStyle="1" w:styleId="BodyTextIndent3Char">
    <w:name w:val="Body Text Indent 3 Char"/>
    <w:basedOn w:val="DefaultParagraphFont"/>
    <w:link w:val="BodyTextIndent3"/>
    <w:rsid w:val="00B14E91"/>
    <w:rPr>
      <w:sz w:val="16"/>
      <w:szCs w:val="16"/>
    </w:rPr>
  </w:style>
  <w:style w:type="paragraph" w:styleId="BlockText">
    <w:name w:val="Block Text"/>
    <w:basedOn w:val="Normal"/>
    <w:rsid w:val="00B14E91"/>
    <w:pPr>
      <w:spacing w:after="120"/>
      <w:ind w:left="1440" w:right="1440"/>
    </w:pPr>
  </w:style>
  <w:style w:type="character" w:styleId="Hyperlink">
    <w:name w:val="Hyperlink"/>
    <w:basedOn w:val="DefaultParagraphFont"/>
    <w:rsid w:val="00B14E91"/>
    <w:rPr>
      <w:color w:val="0000FF"/>
      <w:u w:val="single"/>
    </w:rPr>
  </w:style>
  <w:style w:type="character" w:styleId="FollowedHyperlink">
    <w:name w:val="FollowedHyperlink"/>
    <w:basedOn w:val="DefaultParagraphFont"/>
    <w:rsid w:val="00B14E91"/>
    <w:rPr>
      <w:color w:val="800080"/>
      <w:u w:val="single"/>
    </w:rPr>
  </w:style>
  <w:style w:type="character" w:styleId="Strong">
    <w:name w:val="Strong"/>
    <w:basedOn w:val="DefaultParagraphFont"/>
    <w:qFormat/>
    <w:rsid w:val="00B14E91"/>
    <w:rPr>
      <w:b/>
      <w:bCs/>
    </w:rPr>
  </w:style>
  <w:style w:type="character" w:styleId="Emphasis">
    <w:name w:val="Emphasis"/>
    <w:basedOn w:val="DefaultParagraphFont"/>
    <w:qFormat/>
    <w:rsid w:val="00B14E91"/>
    <w:rPr>
      <w:i/>
      <w:iCs/>
    </w:rPr>
  </w:style>
  <w:style w:type="paragraph" w:styleId="DocumentMap">
    <w:name w:val="Document Map"/>
    <w:basedOn w:val="Normal"/>
    <w:link w:val="DocumentMapChar"/>
    <w:rsid w:val="00B14E91"/>
    <w:pPr>
      <w:shd w:val="clear" w:color="auto" w:fill="000080"/>
    </w:pPr>
    <w:rPr>
      <w:rFonts w:ascii="Tahoma" w:hAnsi="Tahoma" w:cs="Tahoma"/>
    </w:rPr>
  </w:style>
  <w:style w:type="character" w:customStyle="1" w:styleId="DocumentMapChar">
    <w:name w:val="Document Map Char"/>
    <w:basedOn w:val="DefaultParagraphFont"/>
    <w:link w:val="DocumentMap"/>
    <w:rsid w:val="00B14E91"/>
    <w:rPr>
      <w:rFonts w:ascii="Tahoma" w:hAnsi="Tahoma" w:cs="Tahoma"/>
      <w:sz w:val="22"/>
      <w:shd w:val="clear" w:color="auto" w:fill="000080"/>
    </w:rPr>
  </w:style>
  <w:style w:type="paragraph" w:styleId="PlainText">
    <w:name w:val="Plain Text"/>
    <w:basedOn w:val="Normal"/>
    <w:link w:val="PlainTextChar"/>
    <w:rsid w:val="00B14E91"/>
    <w:rPr>
      <w:rFonts w:ascii="Courier New" w:hAnsi="Courier New" w:cs="Courier New"/>
      <w:sz w:val="20"/>
    </w:rPr>
  </w:style>
  <w:style w:type="character" w:customStyle="1" w:styleId="PlainTextChar">
    <w:name w:val="Plain Text Char"/>
    <w:basedOn w:val="DefaultParagraphFont"/>
    <w:link w:val="PlainText"/>
    <w:rsid w:val="00B14E91"/>
    <w:rPr>
      <w:rFonts w:ascii="Courier New" w:hAnsi="Courier New" w:cs="Courier New"/>
    </w:rPr>
  </w:style>
  <w:style w:type="paragraph" w:styleId="E-mailSignature">
    <w:name w:val="E-mail Signature"/>
    <w:basedOn w:val="Normal"/>
    <w:link w:val="E-mailSignatureChar"/>
    <w:rsid w:val="00B14E91"/>
  </w:style>
  <w:style w:type="character" w:customStyle="1" w:styleId="E-mailSignatureChar">
    <w:name w:val="E-mail Signature Char"/>
    <w:basedOn w:val="DefaultParagraphFont"/>
    <w:link w:val="E-mailSignature"/>
    <w:rsid w:val="00B14E91"/>
    <w:rPr>
      <w:sz w:val="22"/>
    </w:rPr>
  </w:style>
  <w:style w:type="paragraph" w:styleId="NormalWeb">
    <w:name w:val="Normal (Web)"/>
    <w:basedOn w:val="Normal"/>
    <w:rsid w:val="00B14E91"/>
  </w:style>
  <w:style w:type="character" w:styleId="HTMLAcronym">
    <w:name w:val="HTML Acronym"/>
    <w:basedOn w:val="DefaultParagraphFont"/>
    <w:rsid w:val="00B14E91"/>
  </w:style>
  <w:style w:type="paragraph" w:styleId="HTMLAddress">
    <w:name w:val="HTML Address"/>
    <w:basedOn w:val="Normal"/>
    <w:link w:val="HTMLAddressChar"/>
    <w:rsid w:val="00B14E91"/>
    <w:rPr>
      <w:i/>
      <w:iCs/>
    </w:rPr>
  </w:style>
  <w:style w:type="character" w:customStyle="1" w:styleId="HTMLAddressChar">
    <w:name w:val="HTML Address Char"/>
    <w:basedOn w:val="DefaultParagraphFont"/>
    <w:link w:val="HTMLAddress"/>
    <w:rsid w:val="00B14E91"/>
    <w:rPr>
      <w:i/>
      <w:iCs/>
      <w:sz w:val="22"/>
    </w:rPr>
  </w:style>
  <w:style w:type="character" w:styleId="HTMLCite">
    <w:name w:val="HTML Cite"/>
    <w:basedOn w:val="DefaultParagraphFont"/>
    <w:rsid w:val="00B14E91"/>
    <w:rPr>
      <w:i/>
      <w:iCs/>
    </w:rPr>
  </w:style>
  <w:style w:type="character" w:styleId="HTMLCode">
    <w:name w:val="HTML Code"/>
    <w:basedOn w:val="DefaultParagraphFont"/>
    <w:rsid w:val="00B14E91"/>
    <w:rPr>
      <w:rFonts w:ascii="Courier New" w:hAnsi="Courier New" w:cs="Courier New"/>
      <w:sz w:val="20"/>
      <w:szCs w:val="20"/>
    </w:rPr>
  </w:style>
  <w:style w:type="character" w:styleId="HTMLDefinition">
    <w:name w:val="HTML Definition"/>
    <w:basedOn w:val="DefaultParagraphFont"/>
    <w:rsid w:val="00B14E91"/>
    <w:rPr>
      <w:i/>
      <w:iCs/>
    </w:rPr>
  </w:style>
  <w:style w:type="character" w:styleId="HTMLKeyboard">
    <w:name w:val="HTML Keyboard"/>
    <w:basedOn w:val="DefaultParagraphFont"/>
    <w:rsid w:val="00B14E91"/>
    <w:rPr>
      <w:rFonts w:ascii="Courier New" w:hAnsi="Courier New" w:cs="Courier New"/>
      <w:sz w:val="20"/>
      <w:szCs w:val="20"/>
    </w:rPr>
  </w:style>
  <w:style w:type="paragraph" w:styleId="HTMLPreformatted">
    <w:name w:val="HTML Preformatted"/>
    <w:basedOn w:val="Normal"/>
    <w:link w:val="HTMLPreformattedChar"/>
    <w:rsid w:val="00B14E91"/>
    <w:rPr>
      <w:rFonts w:ascii="Courier New" w:hAnsi="Courier New" w:cs="Courier New"/>
      <w:sz w:val="20"/>
    </w:rPr>
  </w:style>
  <w:style w:type="character" w:customStyle="1" w:styleId="HTMLPreformattedChar">
    <w:name w:val="HTML Preformatted Char"/>
    <w:basedOn w:val="DefaultParagraphFont"/>
    <w:link w:val="HTMLPreformatted"/>
    <w:rsid w:val="00B14E91"/>
    <w:rPr>
      <w:rFonts w:ascii="Courier New" w:hAnsi="Courier New" w:cs="Courier New"/>
    </w:rPr>
  </w:style>
  <w:style w:type="character" w:styleId="HTMLSample">
    <w:name w:val="HTML Sample"/>
    <w:basedOn w:val="DefaultParagraphFont"/>
    <w:rsid w:val="00B14E91"/>
    <w:rPr>
      <w:rFonts w:ascii="Courier New" w:hAnsi="Courier New" w:cs="Courier New"/>
    </w:rPr>
  </w:style>
  <w:style w:type="character" w:styleId="HTMLTypewriter">
    <w:name w:val="HTML Typewriter"/>
    <w:basedOn w:val="DefaultParagraphFont"/>
    <w:rsid w:val="00B14E91"/>
    <w:rPr>
      <w:rFonts w:ascii="Courier New" w:hAnsi="Courier New" w:cs="Courier New"/>
      <w:sz w:val="20"/>
      <w:szCs w:val="20"/>
    </w:rPr>
  </w:style>
  <w:style w:type="character" w:styleId="HTMLVariable">
    <w:name w:val="HTML Variable"/>
    <w:basedOn w:val="DefaultParagraphFont"/>
    <w:rsid w:val="00B14E91"/>
    <w:rPr>
      <w:i/>
      <w:iCs/>
    </w:rPr>
  </w:style>
  <w:style w:type="paragraph" w:styleId="CommentSubject">
    <w:name w:val="annotation subject"/>
    <w:basedOn w:val="CommentText"/>
    <w:next w:val="CommentText"/>
    <w:link w:val="CommentSubjectChar"/>
    <w:rsid w:val="00B14E91"/>
    <w:rPr>
      <w:b/>
      <w:bCs/>
    </w:rPr>
  </w:style>
  <w:style w:type="character" w:customStyle="1" w:styleId="CommentSubjectChar">
    <w:name w:val="Comment Subject Char"/>
    <w:basedOn w:val="CommentTextChar"/>
    <w:link w:val="CommentSubject"/>
    <w:rsid w:val="00B14E91"/>
    <w:rPr>
      <w:b/>
      <w:bCs/>
    </w:rPr>
  </w:style>
  <w:style w:type="numbering" w:styleId="1ai">
    <w:name w:val="Outline List 1"/>
    <w:basedOn w:val="NoList"/>
    <w:rsid w:val="00B14E91"/>
    <w:pPr>
      <w:numPr>
        <w:numId w:val="14"/>
      </w:numPr>
    </w:pPr>
  </w:style>
  <w:style w:type="numbering" w:styleId="111111">
    <w:name w:val="Outline List 2"/>
    <w:basedOn w:val="NoList"/>
    <w:rsid w:val="00B14E91"/>
    <w:pPr>
      <w:numPr>
        <w:numId w:val="15"/>
      </w:numPr>
    </w:pPr>
  </w:style>
  <w:style w:type="numbering" w:styleId="ArticleSection">
    <w:name w:val="Outline List 3"/>
    <w:basedOn w:val="NoList"/>
    <w:rsid w:val="00B14E91"/>
    <w:pPr>
      <w:numPr>
        <w:numId w:val="17"/>
      </w:numPr>
    </w:pPr>
  </w:style>
  <w:style w:type="table" w:styleId="TableSimple1">
    <w:name w:val="Table Simple 1"/>
    <w:basedOn w:val="TableNormal"/>
    <w:rsid w:val="00B14E9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4E9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14E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4E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4E9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4E9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4E9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4E9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4E9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4E9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4E9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4E9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4E9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4E9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14E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4E9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4E9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4E9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4E9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4E9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4E9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4E9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4E9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4E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4E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4E9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4E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14E9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4E9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4E9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14E9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4E9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14E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4E9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4E9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14E9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4E9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4E9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14E9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14E91"/>
    <w:rPr>
      <w:rFonts w:eastAsia="Times New Roman" w:cs="Times New Roman"/>
      <w:b/>
      <w:kern w:val="28"/>
      <w:sz w:val="24"/>
      <w:lang w:eastAsia="en-AU"/>
    </w:rPr>
  </w:style>
  <w:style w:type="character" w:customStyle="1" w:styleId="paragraphChar">
    <w:name w:val="paragraph Char"/>
    <w:aliases w:val="a Char"/>
    <w:link w:val="paragraph"/>
    <w:locked/>
    <w:rsid w:val="00E7647C"/>
    <w:rPr>
      <w:rFonts w:eastAsia="Times New Roman" w:cs="Times New Roman"/>
      <w:sz w:val="22"/>
      <w:lang w:eastAsia="en-AU"/>
    </w:rPr>
  </w:style>
  <w:style w:type="paragraph" w:customStyle="1" w:styleId="EnStatement">
    <w:name w:val="EnStatement"/>
    <w:basedOn w:val="Normal"/>
    <w:rsid w:val="00367A30"/>
    <w:pPr>
      <w:numPr>
        <w:numId w:val="19"/>
      </w:numPr>
    </w:pPr>
    <w:rPr>
      <w:rFonts w:eastAsia="Times New Roman" w:cs="Times New Roman"/>
      <w:lang w:eastAsia="en-AU"/>
    </w:rPr>
  </w:style>
  <w:style w:type="paragraph" w:customStyle="1" w:styleId="EnStatementHeading">
    <w:name w:val="EnStatementHeading"/>
    <w:basedOn w:val="Normal"/>
    <w:rsid w:val="00367A30"/>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A30"/>
    <w:pPr>
      <w:spacing w:line="260" w:lineRule="atLeast"/>
    </w:pPr>
    <w:rPr>
      <w:sz w:val="22"/>
    </w:rPr>
  </w:style>
  <w:style w:type="paragraph" w:styleId="Heading1">
    <w:name w:val="heading 1"/>
    <w:basedOn w:val="Normal"/>
    <w:next w:val="Normal"/>
    <w:link w:val="Heading1Char"/>
    <w:uiPriority w:val="9"/>
    <w:qFormat/>
    <w:rsid w:val="00B14E9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E9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4E9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4E9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4E9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4E9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4E9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14E9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14E9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367A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7A30"/>
  </w:style>
  <w:style w:type="character" w:customStyle="1" w:styleId="OPCCharBase">
    <w:name w:val="OPCCharBase"/>
    <w:uiPriority w:val="1"/>
    <w:qFormat/>
    <w:rsid w:val="00367A30"/>
  </w:style>
  <w:style w:type="paragraph" w:customStyle="1" w:styleId="OPCParaBase">
    <w:name w:val="OPCParaBase"/>
    <w:qFormat/>
    <w:rsid w:val="00367A30"/>
    <w:pPr>
      <w:spacing w:line="260" w:lineRule="atLeast"/>
    </w:pPr>
    <w:rPr>
      <w:rFonts w:eastAsia="Times New Roman" w:cs="Times New Roman"/>
      <w:sz w:val="22"/>
      <w:lang w:eastAsia="en-AU"/>
    </w:rPr>
  </w:style>
  <w:style w:type="paragraph" w:customStyle="1" w:styleId="ShortT">
    <w:name w:val="ShortT"/>
    <w:basedOn w:val="OPCParaBase"/>
    <w:next w:val="Normal"/>
    <w:qFormat/>
    <w:rsid w:val="00367A30"/>
    <w:pPr>
      <w:spacing w:line="240" w:lineRule="auto"/>
    </w:pPr>
    <w:rPr>
      <w:b/>
      <w:sz w:val="40"/>
    </w:rPr>
  </w:style>
  <w:style w:type="paragraph" w:customStyle="1" w:styleId="ActHead1">
    <w:name w:val="ActHead 1"/>
    <w:aliases w:val="c"/>
    <w:basedOn w:val="OPCParaBase"/>
    <w:next w:val="Normal"/>
    <w:qFormat/>
    <w:rsid w:val="00367A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7A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7A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7A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67A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7A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7A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7A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7A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7A30"/>
  </w:style>
  <w:style w:type="paragraph" w:customStyle="1" w:styleId="Blocks">
    <w:name w:val="Blocks"/>
    <w:aliases w:val="bb"/>
    <w:basedOn w:val="OPCParaBase"/>
    <w:qFormat/>
    <w:rsid w:val="00367A30"/>
    <w:pPr>
      <w:spacing w:line="240" w:lineRule="auto"/>
    </w:pPr>
    <w:rPr>
      <w:sz w:val="24"/>
    </w:rPr>
  </w:style>
  <w:style w:type="paragraph" w:customStyle="1" w:styleId="BoxText">
    <w:name w:val="BoxText"/>
    <w:aliases w:val="bt"/>
    <w:basedOn w:val="OPCParaBase"/>
    <w:qFormat/>
    <w:rsid w:val="00367A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7A30"/>
    <w:rPr>
      <w:b/>
    </w:rPr>
  </w:style>
  <w:style w:type="paragraph" w:customStyle="1" w:styleId="BoxHeadItalic">
    <w:name w:val="BoxHeadItalic"/>
    <w:aliases w:val="bhi"/>
    <w:basedOn w:val="BoxText"/>
    <w:next w:val="BoxStep"/>
    <w:qFormat/>
    <w:rsid w:val="00367A30"/>
    <w:rPr>
      <w:i/>
    </w:rPr>
  </w:style>
  <w:style w:type="paragraph" w:customStyle="1" w:styleId="BoxList">
    <w:name w:val="BoxList"/>
    <w:aliases w:val="bl"/>
    <w:basedOn w:val="BoxText"/>
    <w:qFormat/>
    <w:rsid w:val="00367A30"/>
    <w:pPr>
      <w:ind w:left="1559" w:hanging="425"/>
    </w:pPr>
  </w:style>
  <w:style w:type="paragraph" w:customStyle="1" w:styleId="BoxNote">
    <w:name w:val="BoxNote"/>
    <w:aliases w:val="bn"/>
    <w:basedOn w:val="BoxText"/>
    <w:qFormat/>
    <w:rsid w:val="00367A30"/>
    <w:pPr>
      <w:tabs>
        <w:tab w:val="left" w:pos="1985"/>
      </w:tabs>
      <w:spacing w:before="122" w:line="198" w:lineRule="exact"/>
      <w:ind w:left="2948" w:hanging="1814"/>
    </w:pPr>
    <w:rPr>
      <w:sz w:val="18"/>
    </w:rPr>
  </w:style>
  <w:style w:type="paragraph" w:customStyle="1" w:styleId="BoxPara">
    <w:name w:val="BoxPara"/>
    <w:aliases w:val="bp"/>
    <w:basedOn w:val="BoxText"/>
    <w:qFormat/>
    <w:rsid w:val="00367A30"/>
    <w:pPr>
      <w:tabs>
        <w:tab w:val="right" w:pos="2268"/>
      </w:tabs>
      <w:ind w:left="2552" w:hanging="1418"/>
    </w:pPr>
  </w:style>
  <w:style w:type="paragraph" w:customStyle="1" w:styleId="BoxStep">
    <w:name w:val="BoxStep"/>
    <w:aliases w:val="bs"/>
    <w:basedOn w:val="BoxText"/>
    <w:qFormat/>
    <w:rsid w:val="00367A30"/>
    <w:pPr>
      <w:ind w:left="1985" w:hanging="851"/>
    </w:pPr>
  </w:style>
  <w:style w:type="character" w:customStyle="1" w:styleId="CharAmPartNo">
    <w:name w:val="CharAmPartNo"/>
    <w:basedOn w:val="OPCCharBase"/>
    <w:qFormat/>
    <w:rsid w:val="00367A30"/>
  </w:style>
  <w:style w:type="character" w:customStyle="1" w:styleId="CharAmPartText">
    <w:name w:val="CharAmPartText"/>
    <w:basedOn w:val="OPCCharBase"/>
    <w:qFormat/>
    <w:rsid w:val="00367A30"/>
  </w:style>
  <w:style w:type="character" w:customStyle="1" w:styleId="CharAmSchNo">
    <w:name w:val="CharAmSchNo"/>
    <w:basedOn w:val="OPCCharBase"/>
    <w:qFormat/>
    <w:rsid w:val="00367A30"/>
  </w:style>
  <w:style w:type="character" w:customStyle="1" w:styleId="CharAmSchText">
    <w:name w:val="CharAmSchText"/>
    <w:basedOn w:val="OPCCharBase"/>
    <w:qFormat/>
    <w:rsid w:val="00367A30"/>
  </w:style>
  <w:style w:type="character" w:customStyle="1" w:styleId="CharBoldItalic">
    <w:name w:val="CharBoldItalic"/>
    <w:basedOn w:val="OPCCharBase"/>
    <w:uiPriority w:val="1"/>
    <w:qFormat/>
    <w:rsid w:val="00367A30"/>
    <w:rPr>
      <w:b/>
      <w:i/>
    </w:rPr>
  </w:style>
  <w:style w:type="character" w:customStyle="1" w:styleId="CharChapNo">
    <w:name w:val="CharChapNo"/>
    <w:basedOn w:val="OPCCharBase"/>
    <w:qFormat/>
    <w:rsid w:val="00367A30"/>
  </w:style>
  <w:style w:type="character" w:customStyle="1" w:styleId="CharChapText">
    <w:name w:val="CharChapText"/>
    <w:basedOn w:val="OPCCharBase"/>
    <w:qFormat/>
    <w:rsid w:val="00367A30"/>
  </w:style>
  <w:style w:type="character" w:customStyle="1" w:styleId="CharDivNo">
    <w:name w:val="CharDivNo"/>
    <w:basedOn w:val="OPCCharBase"/>
    <w:qFormat/>
    <w:rsid w:val="00367A30"/>
  </w:style>
  <w:style w:type="character" w:customStyle="1" w:styleId="CharDivText">
    <w:name w:val="CharDivText"/>
    <w:basedOn w:val="OPCCharBase"/>
    <w:qFormat/>
    <w:rsid w:val="00367A30"/>
  </w:style>
  <w:style w:type="character" w:customStyle="1" w:styleId="CharItalic">
    <w:name w:val="CharItalic"/>
    <w:basedOn w:val="OPCCharBase"/>
    <w:uiPriority w:val="1"/>
    <w:qFormat/>
    <w:rsid w:val="00367A30"/>
    <w:rPr>
      <w:i/>
    </w:rPr>
  </w:style>
  <w:style w:type="character" w:customStyle="1" w:styleId="CharPartNo">
    <w:name w:val="CharPartNo"/>
    <w:basedOn w:val="OPCCharBase"/>
    <w:qFormat/>
    <w:rsid w:val="00367A30"/>
  </w:style>
  <w:style w:type="character" w:customStyle="1" w:styleId="CharPartText">
    <w:name w:val="CharPartText"/>
    <w:basedOn w:val="OPCCharBase"/>
    <w:qFormat/>
    <w:rsid w:val="00367A30"/>
  </w:style>
  <w:style w:type="character" w:customStyle="1" w:styleId="CharSectno">
    <w:name w:val="CharSectno"/>
    <w:basedOn w:val="OPCCharBase"/>
    <w:qFormat/>
    <w:rsid w:val="00367A30"/>
  </w:style>
  <w:style w:type="character" w:customStyle="1" w:styleId="CharSubdNo">
    <w:name w:val="CharSubdNo"/>
    <w:basedOn w:val="OPCCharBase"/>
    <w:uiPriority w:val="1"/>
    <w:qFormat/>
    <w:rsid w:val="00367A30"/>
  </w:style>
  <w:style w:type="character" w:customStyle="1" w:styleId="CharSubdText">
    <w:name w:val="CharSubdText"/>
    <w:basedOn w:val="OPCCharBase"/>
    <w:uiPriority w:val="1"/>
    <w:qFormat/>
    <w:rsid w:val="00367A30"/>
  </w:style>
  <w:style w:type="paragraph" w:customStyle="1" w:styleId="CTA--">
    <w:name w:val="CTA --"/>
    <w:basedOn w:val="OPCParaBase"/>
    <w:next w:val="Normal"/>
    <w:rsid w:val="00367A30"/>
    <w:pPr>
      <w:spacing w:before="60" w:line="240" w:lineRule="atLeast"/>
      <w:ind w:left="142" w:hanging="142"/>
    </w:pPr>
    <w:rPr>
      <w:sz w:val="20"/>
    </w:rPr>
  </w:style>
  <w:style w:type="paragraph" w:customStyle="1" w:styleId="CTA-">
    <w:name w:val="CTA -"/>
    <w:basedOn w:val="OPCParaBase"/>
    <w:rsid w:val="00367A30"/>
    <w:pPr>
      <w:spacing w:before="60" w:line="240" w:lineRule="atLeast"/>
      <w:ind w:left="85" w:hanging="85"/>
    </w:pPr>
    <w:rPr>
      <w:sz w:val="20"/>
    </w:rPr>
  </w:style>
  <w:style w:type="paragraph" w:customStyle="1" w:styleId="CTA---">
    <w:name w:val="CTA ---"/>
    <w:basedOn w:val="OPCParaBase"/>
    <w:next w:val="Normal"/>
    <w:rsid w:val="00367A30"/>
    <w:pPr>
      <w:spacing w:before="60" w:line="240" w:lineRule="atLeast"/>
      <w:ind w:left="198" w:hanging="198"/>
    </w:pPr>
    <w:rPr>
      <w:sz w:val="20"/>
    </w:rPr>
  </w:style>
  <w:style w:type="paragraph" w:customStyle="1" w:styleId="CTA----">
    <w:name w:val="CTA ----"/>
    <w:basedOn w:val="OPCParaBase"/>
    <w:next w:val="Normal"/>
    <w:rsid w:val="00367A30"/>
    <w:pPr>
      <w:spacing w:before="60" w:line="240" w:lineRule="atLeast"/>
      <w:ind w:left="255" w:hanging="255"/>
    </w:pPr>
    <w:rPr>
      <w:sz w:val="20"/>
    </w:rPr>
  </w:style>
  <w:style w:type="paragraph" w:customStyle="1" w:styleId="CTA1a">
    <w:name w:val="CTA 1(a)"/>
    <w:basedOn w:val="OPCParaBase"/>
    <w:rsid w:val="00367A30"/>
    <w:pPr>
      <w:tabs>
        <w:tab w:val="right" w:pos="414"/>
      </w:tabs>
      <w:spacing w:before="40" w:line="240" w:lineRule="atLeast"/>
      <w:ind w:left="675" w:hanging="675"/>
    </w:pPr>
    <w:rPr>
      <w:sz w:val="20"/>
    </w:rPr>
  </w:style>
  <w:style w:type="paragraph" w:customStyle="1" w:styleId="CTA1ai">
    <w:name w:val="CTA 1(a)(i)"/>
    <w:basedOn w:val="OPCParaBase"/>
    <w:rsid w:val="00367A30"/>
    <w:pPr>
      <w:tabs>
        <w:tab w:val="right" w:pos="1004"/>
      </w:tabs>
      <w:spacing w:before="40" w:line="240" w:lineRule="atLeast"/>
      <w:ind w:left="1253" w:hanging="1253"/>
    </w:pPr>
    <w:rPr>
      <w:sz w:val="20"/>
    </w:rPr>
  </w:style>
  <w:style w:type="paragraph" w:customStyle="1" w:styleId="CTA2a">
    <w:name w:val="CTA 2(a)"/>
    <w:basedOn w:val="OPCParaBase"/>
    <w:rsid w:val="00367A30"/>
    <w:pPr>
      <w:tabs>
        <w:tab w:val="right" w:pos="482"/>
      </w:tabs>
      <w:spacing w:before="40" w:line="240" w:lineRule="atLeast"/>
      <w:ind w:left="748" w:hanging="748"/>
    </w:pPr>
    <w:rPr>
      <w:sz w:val="20"/>
    </w:rPr>
  </w:style>
  <w:style w:type="paragraph" w:customStyle="1" w:styleId="CTA2ai">
    <w:name w:val="CTA 2(a)(i)"/>
    <w:basedOn w:val="OPCParaBase"/>
    <w:rsid w:val="00367A30"/>
    <w:pPr>
      <w:tabs>
        <w:tab w:val="right" w:pos="1089"/>
      </w:tabs>
      <w:spacing w:before="40" w:line="240" w:lineRule="atLeast"/>
      <w:ind w:left="1327" w:hanging="1327"/>
    </w:pPr>
    <w:rPr>
      <w:sz w:val="20"/>
    </w:rPr>
  </w:style>
  <w:style w:type="paragraph" w:customStyle="1" w:styleId="CTA3a">
    <w:name w:val="CTA 3(a)"/>
    <w:basedOn w:val="OPCParaBase"/>
    <w:rsid w:val="00367A30"/>
    <w:pPr>
      <w:tabs>
        <w:tab w:val="right" w:pos="556"/>
      </w:tabs>
      <w:spacing w:before="40" w:line="240" w:lineRule="atLeast"/>
      <w:ind w:left="805" w:hanging="805"/>
    </w:pPr>
    <w:rPr>
      <w:sz w:val="20"/>
    </w:rPr>
  </w:style>
  <w:style w:type="paragraph" w:customStyle="1" w:styleId="CTA3ai">
    <w:name w:val="CTA 3(a)(i)"/>
    <w:basedOn w:val="OPCParaBase"/>
    <w:rsid w:val="00367A30"/>
    <w:pPr>
      <w:tabs>
        <w:tab w:val="right" w:pos="1140"/>
      </w:tabs>
      <w:spacing w:before="40" w:line="240" w:lineRule="atLeast"/>
      <w:ind w:left="1361" w:hanging="1361"/>
    </w:pPr>
    <w:rPr>
      <w:sz w:val="20"/>
    </w:rPr>
  </w:style>
  <w:style w:type="paragraph" w:customStyle="1" w:styleId="CTA4a">
    <w:name w:val="CTA 4(a)"/>
    <w:basedOn w:val="OPCParaBase"/>
    <w:rsid w:val="00367A30"/>
    <w:pPr>
      <w:tabs>
        <w:tab w:val="right" w:pos="624"/>
      </w:tabs>
      <w:spacing w:before="40" w:line="240" w:lineRule="atLeast"/>
      <w:ind w:left="873" w:hanging="873"/>
    </w:pPr>
    <w:rPr>
      <w:sz w:val="20"/>
    </w:rPr>
  </w:style>
  <w:style w:type="paragraph" w:customStyle="1" w:styleId="CTA4ai">
    <w:name w:val="CTA 4(a)(i)"/>
    <w:basedOn w:val="OPCParaBase"/>
    <w:rsid w:val="00367A30"/>
    <w:pPr>
      <w:tabs>
        <w:tab w:val="right" w:pos="1213"/>
      </w:tabs>
      <w:spacing w:before="40" w:line="240" w:lineRule="atLeast"/>
      <w:ind w:left="1452" w:hanging="1452"/>
    </w:pPr>
    <w:rPr>
      <w:sz w:val="20"/>
    </w:rPr>
  </w:style>
  <w:style w:type="paragraph" w:customStyle="1" w:styleId="CTACAPS">
    <w:name w:val="CTA CAPS"/>
    <w:basedOn w:val="OPCParaBase"/>
    <w:rsid w:val="00367A30"/>
    <w:pPr>
      <w:spacing w:before="60" w:line="240" w:lineRule="atLeast"/>
    </w:pPr>
    <w:rPr>
      <w:sz w:val="20"/>
    </w:rPr>
  </w:style>
  <w:style w:type="paragraph" w:customStyle="1" w:styleId="CTAright">
    <w:name w:val="CTA right"/>
    <w:basedOn w:val="OPCParaBase"/>
    <w:rsid w:val="00367A30"/>
    <w:pPr>
      <w:spacing w:before="60" w:line="240" w:lineRule="auto"/>
      <w:jc w:val="right"/>
    </w:pPr>
    <w:rPr>
      <w:sz w:val="20"/>
    </w:rPr>
  </w:style>
  <w:style w:type="paragraph" w:customStyle="1" w:styleId="subsection">
    <w:name w:val="subsection"/>
    <w:aliases w:val="ss"/>
    <w:basedOn w:val="OPCParaBase"/>
    <w:link w:val="subsectionChar"/>
    <w:rsid w:val="00367A30"/>
    <w:pPr>
      <w:tabs>
        <w:tab w:val="right" w:pos="1021"/>
      </w:tabs>
      <w:spacing w:before="180" w:line="240" w:lineRule="auto"/>
      <w:ind w:left="1134" w:hanging="1134"/>
    </w:pPr>
  </w:style>
  <w:style w:type="paragraph" w:customStyle="1" w:styleId="Definition">
    <w:name w:val="Definition"/>
    <w:aliases w:val="dd"/>
    <w:basedOn w:val="OPCParaBase"/>
    <w:rsid w:val="00367A30"/>
    <w:pPr>
      <w:spacing w:before="180" w:line="240" w:lineRule="auto"/>
      <w:ind w:left="1134"/>
    </w:pPr>
  </w:style>
  <w:style w:type="paragraph" w:customStyle="1" w:styleId="ETAsubitem">
    <w:name w:val="ETA(subitem)"/>
    <w:basedOn w:val="OPCParaBase"/>
    <w:rsid w:val="00367A30"/>
    <w:pPr>
      <w:tabs>
        <w:tab w:val="right" w:pos="340"/>
      </w:tabs>
      <w:spacing w:before="60" w:line="240" w:lineRule="auto"/>
      <w:ind w:left="454" w:hanging="454"/>
    </w:pPr>
    <w:rPr>
      <w:sz w:val="20"/>
    </w:rPr>
  </w:style>
  <w:style w:type="paragraph" w:customStyle="1" w:styleId="ETApara">
    <w:name w:val="ETA(para)"/>
    <w:basedOn w:val="OPCParaBase"/>
    <w:rsid w:val="00367A30"/>
    <w:pPr>
      <w:tabs>
        <w:tab w:val="right" w:pos="754"/>
      </w:tabs>
      <w:spacing w:before="60" w:line="240" w:lineRule="auto"/>
      <w:ind w:left="828" w:hanging="828"/>
    </w:pPr>
    <w:rPr>
      <w:sz w:val="20"/>
    </w:rPr>
  </w:style>
  <w:style w:type="paragraph" w:customStyle="1" w:styleId="ETAsubpara">
    <w:name w:val="ETA(subpara)"/>
    <w:basedOn w:val="OPCParaBase"/>
    <w:rsid w:val="00367A30"/>
    <w:pPr>
      <w:tabs>
        <w:tab w:val="right" w:pos="1083"/>
      </w:tabs>
      <w:spacing w:before="60" w:line="240" w:lineRule="auto"/>
      <w:ind w:left="1191" w:hanging="1191"/>
    </w:pPr>
    <w:rPr>
      <w:sz w:val="20"/>
    </w:rPr>
  </w:style>
  <w:style w:type="paragraph" w:customStyle="1" w:styleId="ETAsub-subpara">
    <w:name w:val="ETA(sub-subpara)"/>
    <w:basedOn w:val="OPCParaBase"/>
    <w:rsid w:val="00367A30"/>
    <w:pPr>
      <w:tabs>
        <w:tab w:val="right" w:pos="1412"/>
      </w:tabs>
      <w:spacing w:before="60" w:line="240" w:lineRule="auto"/>
      <w:ind w:left="1525" w:hanging="1525"/>
    </w:pPr>
    <w:rPr>
      <w:sz w:val="20"/>
    </w:rPr>
  </w:style>
  <w:style w:type="paragraph" w:customStyle="1" w:styleId="Formula">
    <w:name w:val="Formula"/>
    <w:basedOn w:val="OPCParaBase"/>
    <w:rsid w:val="00367A30"/>
    <w:pPr>
      <w:spacing w:line="240" w:lineRule="auto"/>
      <w:ind w:left="1134"/>
    </w:pPr>
    <w:rPr>
      <w:sz w:val="20"/>
    </w:rPr>
  </w:style>
  <w:style w:type="paragraph" w:styleId="Header">
    <w:name w:val="header"/>
    <w:basedOn w:val="OPCParaBase"/>
    <w:link w:val="HeaderChar"/>
    <w:unhideWhenUsed/>
    <w:rsid w:val="00367A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7A30"/>
    <w:rPr>
      <w:rFonts w:eastAsia="Times New Roman" w:cs="Times New Roman"/>
      <w:sz w:val="16"/>
      <w:lang w:eastAsia="en-AU"/>
    </w:rPr>
  </w:style>
  <w:style w:type="paragraph" w:customStyle="1" w:styleId="House">
    <w:name w:val="House"/>
    <w:basedOn w:val="OPCParaBase"/>
    <w:rsid w:val="00367A30"/>
    <w:pPr>
      <w:spacing w:line="240" w:lineRule="auto"/>
    </w:pPr>
    <w:rPr>
      <w:sz w:val="28"/>
    </w:rPr>
  </w:style>
  <w:style w:type="paragraph" w:customStyle="1" w:styleId="Item">
    <w:name w:val="Item"/>
    <w:aliases w:val="i"/>
    <w:basedOn w:val="OPCParaBase"/>
    <w:next w:val="ItemHead"/>
    <w:rsid w:val="00367A30"/>
    <w:pPr>
      <w:keepLines/>
      <w:spacing w:before="80" w:line="240" w:lineRule="auto"/>
      <w:ind w:left="709"/>
    </w:pPr>
  </w:style>
  <w:style w:type="paragraph" w:customStyle="1" w:styleId="ItemHead">
    <w:name w:val="ItemHead"/>
    <w:aliases w:val="ih"/>
    <w:basedOn w:val="OPCParaBase"/>
    <w:next w:val="Item"/>
    <w:rsid w:val="00367A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7A30"/>
    <w:pPr>
      <w:spacing w:line="240" w:lineRule="auto"/>
    </w:pPr>
    <w:rPr>
      <w:b/>
      <w:sz w:val="32"/>
    </w:rPr>
  </w:style>
  <w:style w:type="paragraph" w:customStyle="1" w:styleId="notedraft">
    <w:name w:val="note(draft)"/>
    <w:aliases w:val="nd"/>
    <w:basedOn w:val="OPCParaBase"/>
    <w:rsid w:val="00367A30"/>
    <w:pPr>
      <w:spacing w:before="240" w:line="240" w:lineRule="auto"/>
      <w:ind w:left="284" w:hanging="284"/>
    </w:pPr>
    <w:rPr>
      <w:i/>
      <w:sz w:val="24"/>
    </w:rPr>
  </w:style>
  <w:style w:type="paragraph" w:customStyle="1" w:styleId="notemargin">
    <w:name w:val="note(margin)"/>
    <w:aliases w:val="nm"/>
    <w:basedOn w:val="OPCParaBase"/>
    <w:rsid w:val="00367A30"/>
    <w:pPr>
      <w:tabs>
        <w:tab w:val="left" w:pos="709"/>
      </w:tabs>
      <w:spacing w:before="122" w:line="198" w:lineRule="exact"/>
      <w:ind w:left="709" w:hanging="709"/>
    </w:pPr>
    <w:rPr>
      <w:sz w:val="18"/>
    </w:rPr>
  </w:style>
  <w:style w:type="paragraph" w:customStyle="1" w:styleId="noteToPara">
    <w:name w:val="noteToPara"/>
    <w:aliases w:val="ntp"/>
    <w:basedOn w:val="OPCParaBase"/>
    <w:rsid w:val="00367A30"/>
    <w:pPr>
      <w:spacing w:before="122" w:line="198" w:lineRule="exact"/>
      <w:ind w:left="2353" w:hanging="709"/>
    </w:pPr>
    <w:rPr>
      <w:sz w:val="18"/>
    </w:rPr>
  </w:style>
  <w:style w:type="paragraph" w:customStyle="1" w:styleId="noteParlAmend">
    <w:name w:val="note(ParlAmend)"/>
    <w:aliases w:val="npp"/>
    <w:basedOn w:val="OPCParaBase"/>
    <w:next w:val="ParlAmend"/>
    <w:rsid w:val="00367A30"/>
    <w:pPr>
      <w:spacing w:line="240" w:lineRule="auto"/>
      <w:jc w:val="right"/>
    </w:pPr>
    <w:rPr>
      <w:rFonts w:ascii="Arial" w:hAnsi="Arial"/>
      <w:b/>
      <w:i/>
    </w:rPr>
  </w:style>
  <w:style w:type="paragraph" w:customStyle="1" w:styleId="Page1">
    <w:name w:val="Page1"/>
    <w:basedOn w:val="OPCParaBase"/>
    <w:rsid w:val="00367A30"/>
    <w:pPr>
      <w:spacing w:before="5600" w:line="240" w:lineRule="auto"/>
    </w:pPr>
    <w:rPr>
      <w:b/>
      <w:sz w:val="32"/>
    </w:rPr>
  </w:style>
  <w:style w:type="paragraph" w:customStyle="1" w:styleId="PageBreak">
    <w:name w:val="PageBreak"/>
    <w:aliases w:val="pb"/>
    <w:basedOn w:val="OPCParaBase"/>
    <w:rsid w:val="00367A30"/>
    <w:pPr>
      <w:spacing w:line="240" w:lineRule="auto"/>
    </w:pPr>
    <w:rPr>
      <w:sz w:val="20"/>
    </w:rPr>
  </w:style>
  <w:style w:type="paragraph" w:customStyle="1" w:styleId="paragraphsub">
    <w:name w:val="paragraph(sub)"/>
    <w:aliases w:val="aa"/>
    <w:basedOn w:val="OPCParaBase"/>
    <w:rsid w:val="00367A30"/>
    <w:pPr>
      <w:tabs>
        <w:tab w:val="right" w:pos="1985"/>
      </w:tabs>
      <w:spacing w:before="40" w:line="240" w:lineRule="auto"/>
      <w:ind w:left="2098" w:hanging="2098"/>
    </w:pPr>
  </w:style>
  <w:style w:type="paragraph" w:customStyle="1" w:styleId="paragraphsub-sub">
    <w:name w:val="paragraph(sub-sub)"/>
    <w:aliases w:val="aaa"/>
    <w:basedOn w:val="OPCParaBase"/>
    <w:rsid w:val="00367A30"/>
    <w:pPr>
      <w:tabs>
        <w:tab w:val="right" w:pos="2722"/>
      </w:tabs>
      <w:spacing w:before="40" w:line="240" w:lineRule="auto"/>
      <w:ind w:left="2835" w:hanging="2835"/>
    </w:pPr>
  </w:style>
  <w:style w:type="paragraph" w:customStyle="1" w:styleId="paragraph">
    <w:name w:val="paragraph"/>
    <w:aliases w:val="a"/>
    <w:basedOn w:val="OPCParaBase"/>
    <w:link w:val="paragraphChar"/>
    <w:rsid w:val="00367A30"/>
    <w:pPr>
      <w:tabs>
        <w:tab w:val="right" w:pos="1531"/>
      </w:tabs>
      <w:spacing w:before="40" w:line="240" w:lineRule="auto"/>
      <w:ind w:left="1644" w:hanging="1644"/>
    </w:pPr>
  </w:style>
  <w:style w:type="paragraph" w:customStyle="1" w:styleId="ParlAmend">
    <w:name w:val="ParlAmend"/>
    <w:aliases w:val="pp"/>
    <w:basedOn w:val="OPCParaBase"/>
    <w:rsid w:val="00367A30"/>
    <w:pPr>
      <w:spacing w:before="240" w:line="240" w:lineRule="atLeast"/>
      <w:ind w:hanging="567"/>
    </w:pPr>
    <w:rPr>
      <w:sz w:val="24"/>
    </w:rPr>
  </w:style>
  <w:style w:type="paragraph" w:customStyle="1" w:styleId="Penalty">
    <w:name w:val="Penalty"/>
    <w:basedOn w:val="OPCParaBase"/>
    <w:rsid w:val="00367A30"/>
    <w:pPr>
      <w:tabs>
        <w:tab w:val="left" w:pos="2977"/>
      </w:tabs>
      <w:spacing w:before="180" w:line="240" w:lineRule="auto"/>
      <w:ind w:left="1985" w:hanging="851"/>
    </w:pPr>
  </w:style>
  <w:style w:type="paragraph" w:customStyle="1" w:styleId="Portfolio">
    <w:name w:val="Portfolio"/>
    <w:basedOn w:val="OPCParaBase"/>
    <w:rsid w:val="00367A30"/>
    <w:pPr>
      <w:spacing w:line="240" w:lineRule="auto"/>
    </w:pPr>
    <w:rPr>
      <w:i/>
      <w:sz w:val="20"/>
    </w:rPr>
  </w:style>
  <w:style w:type="paragraph" w:customStyle="1" w:styleId="Preamble">
    <w:name w:val="Preamble"/>
    <w:basedOn w:val="OPCParaBase"/>
    <w:next w:val="Normal"/>
    <w:rsid w:val="00367A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7A30"/>
    <w:pPr>
      <w:spacing w:line="240" w:lineRule="auto"/>
    </w:pPr>
    <w:rPr>
      <w:i/>
      <w:sz w:val="20"/>
    </w:rPr>
  </w:style>
  <w:style w:type="paragraph" w:customStyle="1" w:styleId="Session">
    <w:name w:val="Session"/>
    <w:basedOn w:val="OPCParaBase"/>
    <w:rsid w:val="00367A30"/>
    <w:pPr>
      <w:spacing w:line="240" w:lineRule="auto"/>
    </w:pPr>
    <w:rPr>
      <w:sz w:val="28"/>
    </w:rPr>
  </w:style>
  <w:style w:type="paragraph" w:customStyle="1" w:styleId="Sponsor">
    <w:name w:val="Sponsor"/>
    <w:basedOn w:val="OPCParaBase"/>
    <w:rsid w:val="00367A30"/>
    <w:pPr>
      <w:spacing w:line="240" w:lineRule="auto"/>
    </w:pPr>
    <w:rPr>
      <w:i/>
    </w:rPr>
  </w:style>
  <w:style w:type="paragraph" w:customStyle="1" w:styleId="Subitem">
    <w:name w:val="Subitem"/>
    <w:aliases w:val="iss"/>
    <w:basedOn w:val="OPCParaBase"/>
    <w:rsid w:val="00367A30"/>
    <w:pPr>
      <w:spacing w:before="180" w:line="240" w:lineRule="auto"/>
      <w:ind w:left="709" w:hanging="709"/>
    </w:pPr>
  </w:style>
  <w:style w:type="paragraph" w:customStyle="1" w:styleId="SubitemHead">
    <w:name w:val="SubitemHead"/>
    <w:aliases w:val="issh"/>
    <w:basedOn w:val="OPCParaBase"/>
    <w:rsid w:val="00367A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7A30"/>
    <w:pPr>
      <w:spacing w:before="40" w:line="240" w:lineRule="auto"/>
      <w:ind w:left="1134"/>
    </w:pPr>
  </w:style>
  <w:style w:type="paragraph" w:customStyle="1" w:styleId="SubsectionHead">
    <w:name w:val="SubsectionHead"/>
    <w:aliases w:val="ssh"/>
    <w:basedOn w:val="OPCParaBase"/>
    <w:next w:val="subsection"/>
    <w:rsid w:val="00367A30"/>
    <w:pPr>
      <w:keepNext/>
      <w:keepLines/>
      <w:spacing w:before="240" w:line="240" w:lineRule="auto"/>
      <w:ind w:left="1134"/>
    </w:pPr>
    <w:rPr>
      <w:i/>
    </w:rPr>
  </w:style>
  <w:style w:type="paragraph" w:customStyle="1" w:styleId="Tablea">
    <w:name w:val="Table(a)"/>
    <w:aliases w:val="ta"/>
    <w:basedOn w:val="OPCParaBase"/>
    <w:rsid w:val="00367A30"/>
    <w:pPr>
      <w:spacing w:before="60" w:line="240" w:lineRule="auto"/>
      <w:ind w:left="284" w:hanging="284"/>
    </w:pPr>
    <w:rPr>
      <w:sz w:val="20"/>
    </w:rPr>
  </w:style>
  <w:style w:type="paragraph" w:customStyle="1" w:styleId="TableAA">
    <w:name w:val="Table(AA)"/>
    <w:aliases w:val="taaa"/>
    <w:basedOn w:val="OPCParaBase"/>
    <w:rsid w:val="00367A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7A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7A30"/>
    <w:pPr>
      <w:spacing w:before="60" w:line="240" w:lineRule="atLeast"/>
    </w:pPr>
    <w:rPr>
      <w:sz w:val="20"/>
    </w:rPr>
  </w:style>
  <w:style w:type="paragraph" w:customStyle="1" w:styleId="TLPBoxTextnote">
    <w:name w:val="TLPBoxText(note"/>
    <w:aliases w:val="right)"/>
    <w:basedOn w:val="OPCParaBase"/>
    <w:rsid w:val="00367A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7A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7A30"/>
    <w:pPr>
      <w:spacing w:before="122" w:line="198" w:lineRule="exact"/>
      <w:ind w:left="1985" w:hanging="851"/>
      <w:jc w:val="right"/>
    </w:pPr>
    <w:rPr>
      <w:sz w:val="18"/>
    </w:rPr>
  </w:style>
  <w:style w:type="paragraph" w:customStyle="1" w:styleId="TLPTableBullet">
    <w:name w:val="TLPTableBullet"/>
    <w:aliases w:val="ttb"/>
    <w:basedOn w:val="OPCParaBase"/>
    <w:rsid w:val="00367A30"/>
    <w:pPr>
      <w:spacing w:line="240" w:lineRule="exact"/>
      <w:ind w:left="284" w:hanging="284"/>
    </w:pPr>
    <w:rPr>
      <w:sz w:val="20"/>
    </w:rPr>
  </w:style>
  <w:style w:type="paragraph" w:styleId="TOC1">
    <w:name w:val="toc 1"/>
    <w:basedOn w:val="OPCParaBase"/>
    <w:next w:val="Normal"/>
    <w:uiPriority w:val="39"/>
    <w:unhideWhenUsed/>
    <w:rsid w:val="00367A3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7A3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67A3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67A3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67A3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67A3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7A3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67A3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67A3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7A30"/>
    <w:pPr>
      <w:keepLines/>
      <w:spacing w:before="240" w:after="120" w:line="240" w:lineRule="auto"/>
      <w:ind w:left="794"/>
    </w:pPr>
    <w:rPr>
      <w:b/>
      <w:kern w:val="28"/>
      <w:sz w:val="20"/>
    </w:rPr>
  </w:style>
  <w:style w:type="paragraph" w:customStyle="1" w:styleId="TofSectsHeading">
    <w:name w:val="TofSects(Heading)"/>
    <w:basedOn w:val="OPCParaBase"/>
    <w:rsid w:val="00367A30"/>
    <w:pPr>
      <w:spacing w:before="240" w:after="120" w:line="240" w:lineRule="auto"/>
    </w:pPr>
    <w:rPr>
      <w:b/>
      <w:sz w:val="24"/>
    </w:rPr>
  </w:style>
  <w:style w:type="paragraph" w:customStyle="1" w:styleId="TofSectsSection">
    <w:name w:val="TofSects(Section)"/>
    <w:basedOn w:val="OPCParaBase"/>
    <w:rsid w:val="00367A30"/>
    <w:pPr>
      <w:keepLines/>
      <w:spacing w:before="40" w:line="240" w:lineRule="auto"/>
      <w:ind w:left="1588" w:hanging="794"/>
    </w:pPr>
    <w:rPr>
      <w:kern w:val="28"/>
      <w:sz w:val="18"/>
    </w:rPr>
  </w:style>
  <w:style w:type="paragraph" w:customStyle="1" w:styleId="TofSectsSubdiv">
    <w:name w:val="TofSects(Subdiv)"/>
    <w:basedOn w:val="OPCParaBase"/>
    <w:rsid w:val="00367A30"/>
    <w:pPr>
      <w:keepLines/>
      <w:spacing w:before="80" w:line="240" w:lineRule="auto"/>
      <w:ind w:left="1588" w:hanging="794"/>
    </w:pPr>
    <w:rPr>
      <w:kern w:val="28"/>
    </w:rPr>
  </w:style>
  <w:style w:type="paragraph" w:customStyle="1" w:styleId="WRStyle">
    <w:name w:val="WR Style"/>
    <w:aliases w:val="WR"/>
    <w:basedOn w:val="OPCParaBase"/>
    <w:rsid w:val="00367A30"/>
    <w:pPr>
      <w:spacing w:before="240" w:line="240" w:lineRule="auto"/>
      <w:ind w:left="284" w:hanging="284"/>
    </w:pPr>
    <w:rPr>
      <w:b/>
      <w:i/>
      <w:kern w:val="28"/>
      <w:sz w:val="24"/>
    </w:rPr>
  </w:style>
  <w:style w:type="paragraph" w:customStyle="1" w:styleId="notepara">
    <w:name w:val="note(para)"/>
    <w:aliases w:val="na"/>
    <w:basedOn w:val="OPCParaBase"/>
    <w:rsid w:val="00367A30"/>
    <w:pPr>
      <w:spacing w:before="40" w:line="198" w:lineRule="exact"/>
      <w:ind w:left="2354" w:hanging="369"/>
    </w:pPr>
    <w:rPr>
      <w:sz w:val="18"/>
    </w:rPr>
  </w:style>
  <w:style w:type="paragraph" w:styleId="Footer">
    <w:name w:val="footer"/>
    <w:link w:val="FooterChar"/>
    <w:rsid w:val="00367A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7A30"/>
    <w:rPr>
      <w:rFonts w:eastAsia="Times New Roman" w:cs="Times New Roman"/>
      <w:sz w:val="22"/>
      <w:szCs w:val="24"/>
      <w:lang w:eastAsia="en-AU"/>
    </w:rPr>
  </w:style>
  <w:style w:type="character" w:styleId="LineNumber">
    <w:name w:val="line number"/>
    <w:basedOn w:val="OPCCharBase"/>
    <w:uiPriority w:val="99"/>
    <w:unhideWhenUsed/>
    <w:rsid w:val="00367A30"/>
    <w:rPr>
      <w:sz w:val="16"/>
    </w:rPr>
  </w:style>
  <w:style w:type="table" w:customStyle="1" w:styleId="CFlag">
    <w:name w:val="CFlag"/>
    <w:basedOn w:val="TableNormal"/>
    <w:uiPriority w:val="99"/>
    <w:rsid w:val="00367A30"/>
    <w:rPr>
      <w:rFonts w:eastAsia="Times New Roman" w:cs="Times New Roman"/>
      <w:lang w:eastAsia="en-AU"/>
    </w:rPr>
    <w:tblPr/>
  </w:style>
  <w:style w:type="paragraph" w:styleId="BalloonText">
    <w:name w:val="Balloon Text"/>
    <w:basedOn w:val="Normal"/>
    <w:link w:val="BalloonTextChar"/>
    <w:uiPriority w:val="99"/>
    <w:unhideWhenUsed/>
    <w:rsid w:val="00367A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7A30"/>
    <w:rPr>
      <w:rFonts w:ascii="Tahoma" w:hAnsi="Tahoma" w:cs="Tahoma"/>
      <w:sz w:val="16"/>
      <w:szCs w:val="16"/>
    </w:rPr>
  </w:style>
  <w:style w:type="table" w:styleId="TableGrid">
    <w:name w:val="Table Grid"/>
    <w:basedOn w:val="TableNormal"/>
    <w:uiPriority w:val="59"/>
    <w:rsid w:val="0036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67A30"/>
    <w:rPr>
      <w:b/>
      <w:sz w:val="28"/>
      <w:szCs w:val="32"/>
    </w:rPr>
  </w:style>
  <w:style w:type="paragraph" w:customStyle="1" w:styleId="LegislationMadeUnder">
    <w:name w:val="LegislationMadeUnder"/>
    <w:basedOn w:val="OPCParaBase"/>
    <w:next w:val="Normal"/>
    <w:rsid w:val="00367A30"/>
    <w:rPr>
      <w:i/>
      <w:sz w:val="32"/>
      <w:szCs w:val="32"/>
    </w:rPr>
  </w:style>
  <w:style w:type="paragraph" w:customStyle="1" w:styleId="SignCoverPageEnd">
    <w:name w:val="SignCoverPageEnd"/>
    <w:basedOn w:val="OPCParaBase"/>
    <w:next w:val="Normal"/>
    <w:rsid w:val="00367A3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67A30"/>
    <w:pPr>
      <w:pBdr>
        <w:top w:val="single" w:sz="4" w:space="1" w:color="auto"/>
      </w:pBdr>
      <w:spacing w:before="360"/>
      <w:ind w:right="397"/>
      <w:jc w:val="both"/>
    </w:pPr>
  </w:style>
  <w:style w:type="paragraph" w:customStyle="1" w:styleId="NotesHeading1">
    <w:name w:val="NotesHeading 1"/>
    <w:basedOn w:val="OPCParaBase"/>
    <w:next w:val="Normal"/>
    <w:rsid w:val="00367A30"/>
    <w:rPr>
      <w:b/>
      <w:sz w:val="28"/>
      <w:szCs w:val="28"/>
    </w:rPr>
  </w:style>
  <w:style w:type="paragraph" w:customStyle="1" w:styleId="NotesHeading2">
    <w:name w:val="NotesHeading 2"/>
    <w:basedOn w:val="OPCParaBase"/>
    <w:next w:val="Normal"/>
    <w:rsid w:val="00367A30"/>
    <w:rPr>
      <w:b/>
      <w:sz w:val="28"/>
      <w:szCs w:val="28"/>
    </w:rPr>
  </w:style>
  <w:style w:type="paragraph" w:customStyle="1" w:styleId="ENotesText">
    <w:name w:val="ENotesText"/>
    <w:aliases w:val="Ent"/>
    <w:basedOn w:val="OPCParaBase"/>
    <w:next w:val="Normal"/>
    <w:rsid w:val="00367A30"/>
    <w:pPr>
      <w:spacing w:before="120"/>
    </w:pPr>
  </w:style>
  <w:style w:type="paragraph" w:customStyle="1" w:styleId="CompiledActNo">
    <w:name w:val="CompiledActNo"/>
    <w:basedOn w:val="OPCParaBase"/>
    <w:next w:val="Normal"/>
    <w:rsid w:val="00367A30"/>
    <w:rPr>
      <w:b/>
      <w:sz w:val="24"/>
      <w:szCs w:val="24"/>
    </w:rPr>
  </w:style>
  <w:style w:type="paragraph" w:customStyle="1" w:styleId="CompiledMadeUnder">
    <w:name w:val="CompiledMadeUnder"/>
    <w:basedOn w:val="OPCParaBase"/>
    <w:next w:val="Normal"/>
    <w:rsid w:val="00367A30"/>
    <w:rPr>
      <w:i/>
      <w:sz w:val="24"/>
      <w:szCs w:val="24"/>
    </w:rPr>
  </w:style>
  <w:style w:type="paragraph" w:customStyle="1" w:styleId="Paragraphsub-sub-sub">
    <w:name w:val="Paragraph(sub-sub-sub)"/>
    <w:aliases w:val="aaaa"/>
    <w:basedOn w:val="OPCParaBase"/>
    <w:rsid w:val="00367A30"/>
    <w:pPr>
      <w:tabs>
        <w:tab w:val="right" w:pos="3402"/>
      </w:tabs>
      <w:spacing w:before="40" w:line="240" w:lineRule="auto"/>
      <w:ind w:left="3402" w:hanging="3402"/>
    </w:pPr>
  </w:style>
  <w:style w:type="paragraph" w:customStyle="1" w:styleId="EndNotespara">
    <w:name w:val="EndNotes(para)"/>
    <w:aliases w:val="eta"/>
    <w:basedOn w:val="OPCParaBase"/>
    <w:next w:val="Normal"/>
    <w:rsid w:val="00367A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7A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67A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7A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67A30"/>
    <w:pPr>
      <w:spacing w:before="60" w:line="240" w:lineRule="auto"/>
    </w:pPr>
    <w:rPr>
      <w:rFonts w:cs="Arial"/>
      <w:sz w:val="20"/>
      <w:szCs w:val="22"/>
    </w:rPr>
  </w:style>
  <w:style w:type="paragraph" w:customStyle="1" w:styleId="NoteToSubpara">
    <w:name w:val="NoteToSubpara"/>
    <w:aliases w:val="nts"/>
    <w:basedOn w:val="OPCParaBase"/>
    <w:rsid w:val="00367A30"/>
    <w:pPr>
      <w:spacing w:before="40" w:line="198" w:lineRule="exact"/>
      <w:ind w:left="2835" w:hanging="709"/>
    </w:pPr>
    <w:rPr>
      <w:sz w:val="18"/>
    </w:rPr>
  </w:style>
  <w:style w:type="paragraph" w:customStyle="1" w:styleId="ENoteTableHeading">
    <w:name w:val="ENoteTableHeading"/>
    <w:aliases w:val="enth"/>
    <w:basedOn w:val="OPCParaBase"/>
    <w:rsid w:val="00367A30"/>
    <w:pPr>
      <w:keepNext/>
      <w:spacing w:before="60" w:line="240" w:lineRule="atLeast"/>
    </w:pPr>
    <w:rPr>
      <w:rFonts w:ascii="Arial" w:hAnsi="Arial"/>
      <w:b/>
      <w:sz w:val="16"/>
    </w:rPr>
  </w:style>
  <w:style w:type="paragraph" w:customStyle="1" w:styleId="ENoteTTi">
    <w:name w:val="ENoteTTi"/>
    <w:aliases w:val="entti"/>
    <w:basedOn w:val="OPCParaBase"/>
    <w:rsid w:val="00367A30"/>
    <w:pPr>
      <w:keepNext/>
      <w:spacing w:before="60" w:line="240" w:lineRule="atLeast"/>
      <w:ind w:left="170"/>
    </w:pPr>
    <w:rPr>
      <w:sz w:val="16"/>
    </w:rPr>
  </w:style>
  <w:style w:type="paragraph" w:customStyle="1" w:styleId="ENotesHeading1">
    <w:name w:val="ENotesHeading 1"/>
    <w:aliases w:val="Enh1,ENh1"/>
    <w:basedOn w:val="OPCParaBase"/>
    <w:next w:val="Normal"/>
    <w:rsid w:val="00367A30"/>
    <w:pPr>
      <w:spacing w:before="120"/>
      <w:outlineLvl w:val="1"/>
    </w:pPr>
    <w:rPr>
      <w:b/>
      <w:sz w:val="28"/>
      <w:szCs w:val="28"/>
    </w:rPr>
  </w:style>
  <w:style w:type="paragraph" w:customStyle="1" w:styleId="ENotesHeading2">
    <w:name w:val="ENotesHeading 2"/>
    <w:aliases w:val="Enh2,ENh2"/>
    <w:basedOn w:val="OPCParaBase"/>
    <w:next w:val="Normal"/>
    <w:rsid w:val="00367A30"/>
    <w:pPr>
      <w:spacing w:before="120" w:after="120"/>
      <w:outlineLvl w:val="2"/>
    </w:pPr>
    <w:rPr>
      <w:b/>
      <w:sz w:val="24"/>
      <w:szCs w:val="28"/>
    </w:rPr>
  </w:style>
  <w:style w:type="paragraph" w:customStyle="1" w:styleId="ENoteTTIndentHeading">
    <w:name w:val="ENoteTTIndentHeading"/>
    <w:aliases w:val="enTTHi"/>
    <w:basedOn w:val="OPCParaBase"/>
    <w:rsid w:val="00367A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7A30"/>
    <w:pPr>
      <w:spacing w:before="60" w:line="240" w:lineRule="atLeast"/>
    </w:pPr>
    <w:rPr>
      <w:sz w:val="16"/>
    </w:rPr>
  </w:style>
  <w:style w:type="paragraph" w:customStyle="1" w:styleId="MadeunderText">
    <w:name w:val="MadeunderText"/>
    <w:basedOn w:val="OPCParaBase"/>
    <w:next w:val="CompiledMadeUnder"/>
    <w:rsid w:val="00367A30"/>
    <w:pPr>
      <w:spacing w:before="240"/>
    </w:pPr>
    <w:rPr>
      <w:sz w:val="24"/>
      <w:szCs w:val="24"/>
    </w:rPr>
  </w:style>
  <w:style w:type="paragraph" w:customStyle="1" w:styleId="ENotesHeading3">
    <w:name w:val="ENotesHeading 3"/>
    <w:aliases w:val="Enh3"/>
    <w:basedOn w:val="OPCParaBase"/>
    <w:next w:val="Normal"/>
    <w:rsid w:val="00367A30"/>
    <w:pPr>
      <w:keepNext/>
      <w:spacing w:before="120" w:line="240" w:lineRule="auto"/>
      <w:outlineLvl w:val="4"/>
    </w:pPr>
    <w:rPr>
      <w:b/>
      <w:szCs w:val="24"/>
    </w:rPr>
  </w:style>
  <w:style w:type="character" w:customStyle="1" w:styleId="CharSubPartTextCASA">
    <w:name w:val="CharSubPartText(CASA)"/>
    <w:basedOn w:val="OPCCharBase"/>
    <w:uiPriority w:val="1"/>
    <w:rsid w:val="00367A30"/>
  </w:style>
  <w:style w:type="character" w:customStyle="1" w:styleId="CharSubPartNoCASA">
    <w:name w:val="CharSubPartNo(CASA)"/>
    <w:basedOn w:val="OPCCharBase"/>
    <w:uiPriority w:val="1"/>
    <w:rsid w:val="00367A30"/>
  </w:style>
  <w:style w:type="paragraph" w:customStyle="1" w:styleId="ENoteTTIndentHeadingSub">
    <w:name w:val="ENoteTTIndentHeadingSub"/>
    <w:aliases w:val="enTTHis"/>
    <w:basedOn w:val="OPCParaBase"/>
    <w:rsid w:val="00367A30"/>
    <w:pPr>
      <w:keepNext/>
      <w:spacing w:before="60" w:line="240" w:lineRule="atLeast"/>
      <w:ind w:left="340"/>
    </w:pPr>
    <w:rPr>
      <w:b/>
      <w:sz w:val="16"/>
    </w:rPr>
  </w:style>
  <w:style w:type="paragraph" w:customStyle="1" w:styleId="ENoteTTiSub">
    <w:name w:val="ENoteTTiSub"/>
    <w:aliases w:val="enttis"/>
    <w:basedOn w:val="OPCParaBase"/>
    <w:rsid w:val="00367A30"/>
    <w:pPr>
      <w:keepNext/>
      <w:spacing w:before="60" w:line="240" w:lineRule="atLeast"/>
      <w:ind w:left="340"/>
    </w:pPr>
    <w:rPr>
      <w:sz w:val="16"/>
    </w:rPr>
  </w:style>
  <w:style w:type="paragraph" w:customStyle="1" w:styleId="SubDivisionMigration">
    <w:name w:val="SubDivisionMigration"/>
    <w:aliases w:val="sdm"/>
    <w:basedOn w:val="OPCParaBase"/>
    <w:rsid w:val="00367A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7A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7A30"/>
    <w:pPr>
      <w:spacing w:before="122" w:line="240" w:lineRule="auto"/>
      <w:ind w:left="1985" w:hanging="851"/>
    </w:pPr>
    <w:rPr>
      <w:sz w:val="18"/>
    </w:rPr>
  </w:style>
  <w:style w:type="paragraph" w:customStyle="1" w:styleId="FreeForm">
    <w:name w:val="FreeForm"/>
    <w:rsid w:val="00367A30"/>
    <w:rPr>
      <w:rFonts w:ascii="Arial" w:hAnsi="Arial"/>
      <w:sz w:val="22"/>
    </w:rPr>
  </w:style>
  <w:style w:type="paragraph" w:customStyle="1" w:styleId="SOText">
    <w:name w:val="SO Text"/>
    <w:aliases w:val="sot"/>
    <w:link w:val="SOTextChar"/>
    <w:rsid w:val="00367A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7A30"/>
    <w:rPr>
      <w:sz w:val="22"/>
    </w:rPr>
  </w:style>
  <w:style w:type="paragraph" w:customStyle="1" w:styleId="SOTextNote">
    <w:name w:val="SO TextNote"/>
    <w:aliases w:val="sont"/>
    <w:basedOn w:val="SOText"/>
    <w:qFormat/>
    <w:rsid w:val="00367A30"/>
    <w:pPr>
      <w:spacing w:before="122" w:line="198" w:lineRule="exact"/>
      <w:ind w:left="1843" w:hanging="709"/>
    </w:pPr>
    <w:rPr>
      <w:sz w:val="18"/>
    </w:rPr>
  </w:style>
  <w:style w:type="paragraph" w:customStyle="1" w:styleId="SOPara">
    <w:name w:val="SO Para"/>
    <w:aliases w:val="soa"/>
    <w:basedOn w:val="SOText"/>
    <w:link w:val="SOParaChar"/>
    <w:qFormat/>
    <w:rsid w:val="00367A30"/>
    <w:pPr>
      <w:tabs>
        <w:tab w:val="right" w:pos="1786"/>
      </w:tabs>
      <w:spacing w:before="40"/>
      <w:ind w:left="2070" w:hanging="936"/>
    </w:pPr>
  </w:style>
  <w:style w:type="character" w:customStyle="1" w:styleId="SOParaChar">
    <w:name w:val="SO Para Char"/>
    <w:aliases w:val="soa Char"/>
    <w:basedOn w:val="DefaultParagraphFont"/>
    <w:link w:val="SOPara"/>
    <w:rsid w:val="00367A30"/>
    <w:rPr>
      <w:sz w:val="22"/>
    </w:rPr>
  </w:style>
  <w:style w:type="paragraph" w:customStyle="1" w:styleId="FileName">
    <w:name w:val="FileName"/>
    <w:basedOn w:val="Normal"/>
    <w:rsid w:val="00367A30"/>
  </w:style>
  <w:style w:type="paragraph" w:customStyle="1" w:styleId="TableHeading">
    <w:name w:val="TableHeading"/>
    <w:aliases w:val="th"/>
    <w:basedOn w:val="OPCParaBase"/>
    <w:next w:val="Tabletext"/>
    <w:rsid w:val="00367A30"/>
    <w:pPr>
      <w:keepNext/>
      <w:spacing w:before="60" w:line="240" w:lineRule="atLeast"/>
    </w:pPr>
    <w:rPr>
      <w:b/>
      <w:sz w:val="20"/>
    </w:rPr>
  </w:style>
  <w:style w:type="paragraph" w:customStyle="1" w:styleId="SOHeadBold">
    <w:name w:val="SO HeadBold"/>
    <w:aliases w:val="sohb"/>
    <w:basedOn w:val="SOText"/>
    <w:next w:val="SOText"/>
    <w:link w:val="SOHeadBoldChar"/>
    <w:qFormat/>
    <w:rsid w:val="00367A30"/>
    <w:rPr>
      <w:b/>
    </w:rPr>
  </w:style>
  <w:style w:type="character" w:customStyle="1" w:styleId="SOHeadBoldChar">
    <w:name w:val="SO HeadBold Char"/>
    <w:aliases w:val="sohb Char"/>
    <w:basedOn w:val="DefaultParagraphFont"/>
    <w:link w:val="SOHeadBold"/>
    <w:rsid w:val="00367A30"/>
    <w:rPr>
      <w:b/>
      <w:sz w:val="22"/>
    </w:rPr>
  </w:style>
  <w:style w:type="paragraph" w:customStyle="1" w:styleId="SOHeadItalic">
    <w:name w:val="SO HeadItalic"/>
    <w:aliases w:val="sohi"/>
    <w:basedOn w:val="SOText"/>
    <w:next w:val="SOText"/>
    <w:link w:val="SOHeadItalicChar"/>
    <w:qFormat/>
    <w:rsid w:val="00367A30"/>
    <w:rPr>
      <w:i/>
    </w:rPr>
  </w:style>
  <w:style w:type="character" w:customStyle="1" w:styleId="SOHeadItalicChar">
    <w:name w:val="SO HeadItalic Char"/>
    <w:aliases w:val="sohi Char"/>
    <w:basedOn w:val="DefaultParagraphFont"/>
    <w:link w:val="SOHeadItalic"/>
    <w:rsid w:val="00367A30"/>
    <w:rPr>
      <w:i/>
      <w:sz w:val="22"/>
    </w:rPr>
  </w:style>
  <w:style w:type="paragraph" w:customStyle="1" w:styleId="SOBullet">
    <w:name w:val="SO Bullet"/>
    <w:aliases w:val="sotb"/>
    <w:basedOn w:val="SOText"/>
    <w:link w:val="SOBulletChar"/>
    <w:qFormat/>
    <w:rsid w:val="00367A30"/>
    <w:pPr>
      <w:ind w:left="1559" w:hanging="425"/>
    </w:pPr>
  </w:style>
  <w:style w:type="character" w:customStyle="1" w:styleId="SOBulletChar">
    <w:name w:val="SO Bullet Char"/>
    <w:aliases w:val="sotb Char"/>
    <w:basedOn w:val="DefaultParagraphFont"/>
    <w:link w:val="SOBullet"/>
    <w:rsid w:val="00367A30"/>
    <w:rPr>
      <w:sz w:val="22"/>
    </w:rPr>
  </w:style>
  <w:style w:type="paragraph" w:customStyle="1" w:styleId="SOBulletNote">
    <w:name w:val="SO BulletNote"/>
    <w:aliases w:val="sonb"/>
    <w:basedOn w:val="SOTextNote"/>
    <w:link w:val="SOBulletNoteChar"/>
    <w:qFormat/>
    <w:rsid w:val="00367A30"/>
    <w:pPr>
      <w:tabs>
        <w:tab w:val="left" w:pos="1560"/>
      </w:tabs>
      <w:ind w:left="2268" w:hanging="1134"/>
    </w:pPr>
  </w:style>
  <w:style w:type="character" w:customStyle="1" w:styleId="SOBulletNoteChar">
    <w:name w:val="SO BulletNote Char"/>
    <w:aliases w:val="sonb Char"/>
    <w:basedOn w:val="DefaultParagraphFont"/>
    <w:link w:val="SOBulletNote"/>
    <w:rsid w:val="00367A30"/>
    <w:rPr>
      <w:sz w:val="18"/>
    </w:rPr>
  </w:style>
  <w:style w:type="paragraph" w:customStyle="1" w:styleId="SOText2">
    <w:name w:val="SO Text2"/>
    <w:aliases w:val="sot2"/>
    <w:basedOn w:val="Normal"/>
    <w:next w:val="SOText"/>
    <w:link w:val="SOText2Char"/>
    <w:rsid w:val="00B14E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4E91"/>
    <w:rPr>
      <w:sz w:val="22"/>
    </w:rPr>
  </w:style>
  <w:style w:type="paragraph" w:customStyle="1" w:styleId="SubPartCASA">
    <w:name w:val="SubPart(CASA)"/>
    <w:aliases w:val="csp"/>
    <w:basedOn w:val="OPCParaBase"/>
    <w:next w:val="ActHead3"/>
    <w:rsid w:val="00367A3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14E91"/>
    <w:rPr>
      <w:rFonts w:eastAsia="Times New Roman" w:cs="Times New Roman"/>
      <w:sz w:val="22"/>
      <w:lang w:eastAsia="en-AU"/>
    </w:rPr>
  </w:style>
  <w:style w:type="character" w:customStyle="1" w:styleId="notetextChar">
    <w:name w:val="note(text) Char"/>
    <w:aliases w:val="n Char"/>
    <w:basedOn w:val="DefaultParagraphFont"/>
    <w:link w:val="notetext"/>
    <w:rsid w:val="00B14E91"/>
    <w:rPr>
      <w:rFonts w:eastAsia="Times New Roman" w:cs="Times New Roman"/>
      <w:sz w:val="18"/>
      <w:lang w:eastAsia="en-AU"/>
    </w:rPr>
  </w:style>
  <w:style w:type="character" w:customStyle="1" w:styleId="Heading1Char">
    <w:name w:val="Heading 1 Char"/>
    <w:basedOn w:val="DefaultParagraphFont"/>
    <w:link w:val="Heading1"/>
    <w:uiPriority w:val="9"/>
    <w:rsid w:val="00B14E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4E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E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14E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14E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14E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14E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14E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14E9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367A3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B14E91"/>
    <w:rPr>
      <w:rFonts w:ascii="Arial" w:hAnsi="Arial" w:cs="Arial" w:hint="default"/>
      <w:b/>
      <w:bCs/>
      <w:sz w:val="28"/>
      <w:szCs w:val="28"/>
    </w:rPr>
  </w:style>
  <w:style w:type="paragraph" w:styleId="Index1">
    <w:name w:val="index 1"/>
    <w:basedOn w:val="Normal"/>
    <w:next w:val="Normal"/>
    <w:autoRedefine/>
    <w:rsid w:val="00B14E91"/>
    <w:pPr>
      <w:ind w:left="240" w:hanging="240"/>
    </w:pPr>
  </w:style>
  <w:style w:type="paragraph" w:styleId="Index2">
    <w:name w:val="index 2"/>
    <w:basedOn w:val="Normal"/>
    <w:next w:val="Normal"/>
    <w:autoRedefine/>
    <w:rsid w:val="00B14E91"/>
    <w:pPr>
      <w:ind w:left="480" w:hanging="240"/>
    </w:pPr>
  </w:style>
  <w:style w:type="paragraph" w:styleId="Index3">
    <w:name w:val="index 3"/>
    <w:basedOn w:val="Normal"/>
    <w:next w:val="Normal"/>
    <w:autoRedefine/>
    <w:rsid w:val="00B14E91"/>
    <w:pPr>
      <w:ind w:left="720" w:hanging="240"/>
    </w:pPr>
  </w:style>
  <w:style w:type="paragraph" w:styleId="Index4">
    <w:name w:val="index 4"/>
    <w:basedOn w:val="Normal"/>
    <w:next w:val="Normal"/>
    <w:autoRedefine/>
    <w:rsid w:val="00B14E91"/>
    <w:pPr>
      <w:ind w:left="960" w:hanging="240"/>
    </w:pPr>
  </w:style>
  <w:style w:type="paragraph" w:styleId="Index5">
    <w:name w:val="index 5"/>
    <w:basedOn w:val="Normal"/>
    <w:next w:val="Normal"/>
    <w:autoRedefine/>
    <w:rsid w:val="00B14E91"/>
    <w:pPr>
      <w:ind w:left="1200" w:hanging="240"/>
    </w:pPr>
  </w:style>
  <w:style w:type="paragraph" w:styleId="Index6">
    <w:name w:val="index 6"/>
    <w:basedOn w:val="Normal"/>
    <w:next w:val="Normal"/>
    <w:autoRedefine/>
    <w:rsid w:val="00B14E91"/>
    <w:pPr>
      <w:ind w:left="1440" w:hanging="240"/>
    </w:pPr>
  </w:style>
  <w:style w:type="paragraph" w:styleId="Index7">
    <w:name w:val="index 7"/>
    <w:basedOn w:val="Normal"/>
    <w:next w:val="Normal"/>
    <w:autoRedefine/>
    <w:rsid w:val="00B14E91"/>
    <w:pPr>
      <w:ind w:left="1680" w:hanging="240"/>
    </w:pPr>
  </w:style>
  <w:style w:type="paragraph" w:styleId="Index8">
    <w:name w:val="index 8"/>
    <w:basedOn w:val="Normal"/>
    <w:next w:val="Normal"/>
    <w:autoRedefine/>
    <w:rsid w:val="00B14E91"/>
    <w:pPr>
      <w:ind w:left="1920" w:hanging="240"/>
    </w:pPr>
  </w:style>
  <w:style w:type="paragraph" w:styleId="Index9">
    <w:name w:val="index 9"/>
    <w:basedOn w:val="Normal"/>
    <w:next w:val="Normal"/>
    <w:autoRedefine/>
    <w:rsid w:val="00B14E91"/>
    <w:pPr>
      <w:ind w:left="2160" w:hanging="240"/>
    </w:pPr>
  </w:style>
  <w:style w:type="paragraph" w:styleId="NormalIndent">
    <w:name w:val="Normal Indent"/>
    <w:basedOn w:val="Normal"/>
    <w:rsid w:val="00B14E91"/>
    <w:pPr>
      <w:ind w:left="720"/>
    </w:pPr>
  </w:style>
  <w:style w:type="paragraph" w:styleId="FootnoteText">
    <w:name w:val="footnote text"/>
    <w:basedOn w:val="Normal"/>
    <w:link w:val="FootnoteTextChar"/>
    <w:rsid w:val="00B14E91"/>
    <w:rPr>
      <w:sz w:val="20"/>
    </w:rPr>
  </w:style>
  <w:style w:type="character" w:customStyle="1" w:styleId="FootnoteTextChar">
    <w:name w:val="Footnote Text Char"/>
    <w:basedOn w:val="DefaultParagraphFont"/>
    <w:link w:val="FootnoteText"/>
    <w:rsid w:val="00B14E91"/>
  </w:style>
  <w:style w:type="paragraph" w:styleId="CommentText">
    <w:name w:val="annotation text"/>
    <w:basedOn w:val="Normal"/>
    <w:link w:val="CommentTextChar"/>
    <w:rsid w:val="00B14E91"/>
    <w:rPr>
      <w:sz w:val="20"/>
    </w:rPr>
  </w:style>
  <w:style w:type="character" w:customStyle="1" w:styleId="CommentTextChar">
    <w:name w:val="Comment Text Char"/>
    <w:basedOn w:val="DefaultParagraphFont"/>
    <w:link w:val="CommentText"/>
    <w:rsid w:val="00B14E91"/>
  </w:style>
  <w:style w:type="paragraph" w:styleId="IndexHeading">
    <w:name w:val="index heading"/>
    <w:basedOn w:val="Normal"/>
    <w:next w:val="Index1"/>
    <w:rsid w:val="00B14E91"/>
    <w:rPr>
      <w:rFonts w:ascii="Arial" w:hAnsi="Arial" w:cs="Arial"/>
      <w:b/>
      <w:bCs/>
    </w:rPr>
  </w:style>
  <w:style w:type="paragraph" w:styleId="Caption">
    <w:name w:val="caption"/>
    <w:basedOn w:val="Normal"/>
    <w:next w:val="Normal"/>
    <w:qFormat/>
    <w:rsid w:val="00B14E91"/>
    <w:pPr>
      <w:spacing w:before="120" w:after="120"/>
    </w:pPr>
    <w:rPr>
      <w:b/>
      <w:bCs/>
      <w:sz w:val="20"/>
    </w:rPr>
  </w:style>
  <w:style w:type="paragraph" w:styleId="TableofFigures">
    <w:name w:val="table of figures"/>
    <w:basedOn w:val="Normal"/>
    <w:next w:val="Normal"/>
    <w:rsid w:val="00B14E91"/>
    <w:pPr>
      <w:ind w:left="480" w:hanging="480"/>
    </w:pPr>
  </w:style>
  <w:style w:type="paragraph" w:styleId="EnvelopeAddress">
    <w:name w:val="envelope address"/>
    <w:basedOn w:val="Normal"/>
    <w:rsid w:val="00B14E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14E91"/>
    <w:rPr>
      <w:rFonts w:ascii="Arial" w:hAnsi="Arial" w:cs="Arial"/>
      <w:sz w:val="20"/>
    </w:rPr>
  </w:style>
  <w:style w:type="character" w:styleId="FootnoteReference">
    <w:name w:val="footnote reference"/>
    <w:basedOn w:val="DefaultParagraphFont"/>
    <w:rsid w:val="00B14E91"/>
    <w:rPr>
      <w:rFonts w:ascii="Times New Roman" w:hAnsi="Times New Roman"/>
      <w:sz w:val="20"/>
      <w:vertAlign w:val="superscript"/>
    </w:rPr>
  </w:style>
  <w:style w:type="character" w:styleId="CommentReference">
    <w:name w:val="annotation reference"/>
    <w:basedOn w:val="DefaultParagraphFont"/>
    <w:rsid w:val="00B14E91"/>
    <w:rPr>
      <w:sz w:val="16"/>
      <w:szCs w:val="16"/>
    </w:rPr>
  </w:style>
  <w:style w:type="character" w:styleId="PageNumber">
    <w:name w:val="page number"/>
    <w:basedOn w:val="DefaultParagraphFont"/>
    <w:rsid w:val="00B14E91"/>
  </w:style>
  <w:style w:type="character" w:styleId="EndnoteReference">
    <w:name w:val="endnote reference"/>
    <w:basedOn w:val="DefaultParagraphFont"/>
    <w:rsid w:val="00B14E91"/>
    <w:rPr>
      <w:vertAlign w:val="superscript"/>
    </w:rPr>
  </w:style>
  <w:style w:type="paragraph" w:styleId="EndnoteText">
    <w:name w:val="endnote text"/>
    <w:basedOn w:val="Normal"/>
    <w:link w:val="EndnoteTextChar"/>
    <w:rsid w:val="00B14E91"/>
    <w:rPr>
      <w:sz w:val="20"/>
    </w:rPr>
  </w:style>
  <w:style w:type="character" w:customStyle="1" w:styleId="EndnoteTextChar">
    <w:name w:val="Endnote Text Char"/>
    <w:basedOn w:val="DefaultParagraphFont"/>
    <w:link w:val="EndnoteText"/>
    <w:rsid w:val="00B14E91"/>
  </w:style>
  <w:style w:type="paragraph" w:styleId="TableofAuthorities">
    <w:name w:val="table of authorities"/>
    <w:basedOn w:val="Normal"/>
    <w:next w:val="Normal"/>
    <w:rsid w:val="00B14E91"/>
    <w:pPr>
      <w:ind w:left="240" w:hanging="240"/>
    </w:pPr>
  </w:style>
  <w:style w:type="paragraph" w:styleId="MacroText">
    <w:name w:val="macro"/>
    <w:link w:val="MacroTextChar"/>
    <w:rsid w:val="00B14E9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14E91"/>
    <w:rPr>
      <w:rFonts w:ascii="Courier New" w:eastAsia="Times New Roman" w:hAnsi="Courier New" w:cs="Courier New"/>
      <w:lang w:eastAsia="en-AU"/>
    </w:rPr>
  </w:style>
  <w:style w:type="paragraph" w:styleId="TOAHeading">
    <w:name w:val="toa heading"/>
    <w:basedOn w:val="Normal"/>
    <w:next w:val="Normal"/>
    <w:rsid w:val="00B14E91"/>
    <w:pPr>
      <w:spacing w:before="120"/>
    </w:pPr>
    <w:rPr>
      <w:rFonts w:ascii="Arial" w:hAnsi="Arial" w:cs="Arial"/>
      <w:b/>
      <w:bCs/>
    </w:rPr>
  </w:style>
  <w:style w:type="paragraph" w:styleId="List">
    <w:name w:val="List"/>
    <w:basedOn w:val="Normal"/>
    <w:rsid w:val="00B14E91"/>
    <w:pPr>
      <w:ind w:left="283" w:hanging="283"/>
    </w:pPr>
  </w:style>
  <w:style w:type="paragraph" w:styleId="ListBullet">
    <w:name w:val="List Bullet"/>
    <w:basedOn w:val="Normal"/>
    <w:autoRedefine/>
    <w:rsid w:val="00B14E91"/>
    <w:pPr>
      <w:tabs>
        <w:tab w:val="num" w:pos="360"/>
      </w:tabs>
      <w:ind w:left="360" w:hanging="360"/>
    </w:pPr>
  </w:style>
  <w:style w:type="paragraph" w:styleId="ListNumber">
    <w:name w:val="List Number"/>
    <w:basedOn w:val="Normal"/>
    <w:rsid w:val="00B14E91"/>
    <w:pPr>
      <w:tabs>
        <w:tab w:val="num" w:pos="360"/>
      </w:tabs>
      <w:ind w:left="360" w:hanging="360"/>
    </w:pPr>
  </w:style>
  <w:style w:type="paragraph" w:styleId="List2">
    <w:name w:val="List 2"/>
    <w:basedOn w:val="Normal"/>
    <w:rsid w:val="00B14E91"/>
    <w:pPr>
      <w:ind w:left="566" w:hanging="283"/>
    </w:pPr>
  </w:style>
  <w:style w:type="paragraph" w:styleId="List3">
    <w:name w:val="List 3"/>
    <w:basedOn w:val="Normal"/>
    <w:rsid w:val="00B14E91"/>
    <w:pPr>
      <w:ind w:left="849" w:hanging="283"/>
    </w:pPr>
  </w:style>
  <w:style w:type="paragraph" w:styleId="List4">
    <w:name w:val="List 4"/>
    <w:basedOn w:val="Normal"/>
    <w:rsid w:val="00B14E91"/>
    <w:pPr>
      <w:ind w:left="1132" w:hanging="283"/>
    </w:pPr>
  </w:style>
  <w:style w:type="paragraph" w:styleId="List5">
    <w:name w:val="List 5"/>
    <w:basedOn w:val="Normal"/>
    <w:rsid w:val="00B14E91"/>
    <w:pPr>
      <w:ind w:left="1415" w:hanging="283"/>
    </w:pPr>
  </w:style>
  <w:style w:type="paragraph" w:styleId="ListBullet2">
    <w:name w:val="List Bullet 2"/>
    <w:basedOn w:val="Normal"/>
    <w:autoRedefine/>
    <w:rsid w:val="00B14E91"/>
    <w:pPr>
      <w:tabs>
        <w:tab w:val="num" w:pos="360"/>
      </w:tabs>
    </w:pPr>
  </w:style>
  <w:style w:type="paragraph" w:styleId="ListBullet3">
    <w:name w:val="List Bullet 3"/>
    <w:basedOn w:val="Normal"/>
    <w:autoRedefine/>
    <w:rsid w:val="00B14E91"/>
    <w:pPr>
      <w:tabs>
        <w:tab w:val="num" w:pos="926"/>
      </w:tabs>
      <w:ind w:left="926" w:hanging="360"/>
    </w:pPr>
  </w:style>
  <w:style w:type="paragraph" w:styleId="ListBullet4">
    <w:name w:val="List Bullet 4"/>
    <w:basedOn w:val="Normal"/>
    <w:autoRedefine/>
    <w:rsid w:val="00B14E91"/>
    <w:pPr>
      <w:tabs>
        <w:tab w:val="num" w:pos="1209"/>
      </w:tabs>
      <w:ind w:left="1209" w:hanging="360"/>
    </w:pPr>
  </w:style>
  <w:style w:type="paragraph" w:styleId="ListBullet5">
    <w:name w:val="List Bullet 5"/>
    <w:basedOn w:val="Normal"/>
    <w:autoRedefine/>
    <w:rsid w:val="00B14E91"/>
    <w:pPr>
      <w:tabs>
        <w:tab w:val="num" w:pos="1492"/>
      </w:tabs>
      <w:ind w:left="1492" w:hanging="360"/>
    </w:pPr>
  </w:style>
  <w:style w:type="paragraph" w:styleId="ListNumber2">
    <w:name w:val="List Number 2"/>
    <w:basedOn w:val="Normal"/>
    <w:rsid w:val="00B14E91"/>
    <w:pPr>
      <w:tabs>
        <w:tab w:val="num" w:pos="643"/>
      </w:tabs>
      <w:ind w:left="643" w:hanging="360"/>
    </w:pPr>
  </w:style>
  <w:style w:type="paragraph" w:styleId="ListNumber3">
    <w:name w:val="List Number 3"/>
    <w:basedOn w:val="Normal"/>
    <w:rsid w:val="00B14E91"/>
    <w:pPr>
      <w:tabs>
        <w:tab w:val="num" w:pos="926"/>
      </w:tabs>
      <w:ind w:left="926" w:hanging="360"/>
    </w:pPr>
  </w:style>
  <w:style w:type="paragraph" w:styleId="ListNumber4">
    <w:name w:val="List Number 4"/>
    <w:basedOn w:val="Normal"/>
    <w:rsid w:val="00B14E91"/>
    <w:pPr>
      <w:tabs>
        <w:tab w:val="num" w:pos="1209"/>
      </w:tabs>
      <w:ind w:left="1209" w:hanging="360"/>
    </w:pPr>
  </w:style>
  <w:style w:type="paragraph" w:styleId="ListNumber5">
    <w:name w:val="List Number 5"/>
    <w:basedOn w:val="Normal"/>
    <w:rsid w:val="00B14E91"/>
    <w:pPr>
      <w:tabs>
        <w:tab w:val="num" w:pos="1492"/>
      </w:tabs>
      <w:ind w:left="1492" w:hanging="360"/>
    </w:pPr>
  </w:style>
  <w:style w:type="paragraph" w:styleId="Title">
    <w:name w:val="Title"/>
    <w:basedOn w:val="Normal"/>
    <w:link w:val="TitleChar"/>
    <w:qFormat/>
    <w:rsid w:val="00B14E91"/>
    <w:pPr>
      <w:spacing w:before="240" w:after="60"/>
    </w:pPr>
    <w:rPr>
      <w:rFonts w:ascii="Arial" w:hAnsi="Arial" w:cs="Arial"/>
      <w:b/>
      <w:bCs/>
      <w:sz w:val="40"/>
      <w:szCs w:val="40"/>
    </w:rPr>
  </w:style>
  <w:style w:type="character" w:customStyle="1" w:styleId="TitleChar">
    <w:name w:val="Title Char"/>
    <w:basedOn w:val="DefaultParagraphFont"/>
    <w:link w:val="Title"/>
    <w:rsid w:val="00B14E91"/>
    <w:rPr>
      <w:rFonts w:ascii="Arial" w:hAnsi="Arial" w:cs="Arial"/>
      <w:b/>
      <w:bCs/>
      <w:sz w:val="40"/>
      <w:szCs w:val="40"/>
    </w:rPr>
  </w:style>
  <w:style w:type="paragraph" w:styleId="Closing">
    <w:name w:val="Closing"/>
    <w:basedOn w:val="Normal"/>
    <w:link w:val="ClosingChar"/>
    <w:rsid w:val="00B14E91"/>
    <w:pPr>
      <w:ind w:left="4252"/>
    </w:pPr>
  </w:style>
  <w:style w:type="character" w:customStyle="1" w:styleId="ClosingChar">
    <w:name w:val="Closing Char"/>
    <w:basedOn w:val="DefaultParagraphFont"/>
    <w:link w:val="Closing"/>
    <w:rsid w:val="00B14E91"/>
    <w:rPr>
      <w:sz w:val="22"/>
    </w:rPr>
  </w:style>
  <w:style w:type="paragraph" w:styleId="Signature">
    <w:name w:val="Signature"/>
    <w:basedOn w:val="Normal"/>
    <w:link w:val="SignatureChar"/>
    <w:rsid w:val="00B14E91"/>
    <w:pPr>
      <w:ind w:left="4252"/>
    </w:pPr>
  </w:style>
  <w:style w:type="character" w:customStyle="1" w:styleId="SignatureChar">
    <w:name w:val="Signature Char"/>
    <w:basedOn w:val="DefaultParagraphFont"/>
    <w:link w:val="Signature"/>
    <w:rsid w:val="00B14E91"/>
    <w:rPr>
      <w:sz w:val="22"/>
    </w:rPr>
  </w:style>
  <w:style w:type="paragraph" w:styleId="BodyText">
    <w:name w:val="Body Text"/>
    <w:basedOn w:val="Normal"/>
    <w:link w:val="BodyTextChar"/>
    <w:rsid w:val="00B14E91"/>
    <w:pPr>
      <w:spacing w:after="120"/>
    </w:pPr>
  </w:style>
  <w:style w:type="character" w:customStyle="1" w:styleId="BodyTextChar">
    <w:name w:val="Body Text Char"/>
    <w:basedOn w:val="DefaultParagraphFont"/>
    <w:link w:val="BodyText"/>
    <w:rsid w:val="00B14E91"/>
    <w:rPr>
      <w:sz w:val="22"/>
    </w:rPr>
  </w:style>
  <w:style w:type="paragraph" w:styleId="BodyTextIndent">
    <w:name w:val="Body Text Indent"/>
    <w:basedOn w:val="Normal"/>
    <w:link w:val="BodyTextIndentChar"/>
    <w:rsid w:val="00B14E91"/>
    <w:pPr>
      <w:spacing w:after="120"/>
      <w:ind w:left="283"/>
    </w:pPr>
  </w:style>
  <w:style w:type="character" w:customStyle="1" w:styleId="BodyTextIndentChar">
    <w:name w:val="Body Text Indent Char"/>
    <w:basedOn w:val="DefaultParagraphFont"/>
    <w:link w:val="BodyTextIndent"/>
    <w:rsid w:val="00B14E91"/>
    <w:rPr>
      <w:sz w:val="22"/>
    </w:rPr>
  </w:style>
  <w:style w:type="paragraph" w:styleId="ListContinue">
    <w:name w:val="List Continue"/>
    <w:basedOn w:val="Normal"/>
    <w:rsid w:val="00B14E91"/>
    <w:pPr>
      <w:spacing w:after="120"/>
      <w:ind w:left="283"/>
    </w:pPr>
  </w:style>
  <w:style w:type="paragraph" w:styleId="ListContinue2">
    <w:name w:val="List Continue 2"/>
    <w:basedOn w:val="Normal"/>
    <w:rsid w:val="00B14E91"/>
    <w:pPr>
      <w:spacing w:after="120"/>
      <w:ind w:left="566"/>
    </w:pPr>
  </w:style>
  <w:style w:type="paragraph" w:styleId="ListContinue3">
    <w:name w:val="List Continue 3"/>
    <w:basedOn w:val="Normal"/>
    <w:rsid w:val="00B14E91"/>
    <w:pPr>
      <w:spacing w:after="120"/>
      <w:ind w:left="849"/>
    </w:pPr>
  </w:style>
  <w:style w:type="paragraph" w:styleId="ListContinue4">
    <w:name w:val="List Continue 4"/>
    <w:basedOn w:val="Normal"/>
    <w:rsid w:val="00B14E91"/>
    <w:pPr>
      <w:spacing w:after="120"/>
      <w:ind w:left="1132"/>
    </w:pPr>
  </w:style>
  <w:style w:type="paragraph" w:styleId="ListContinue5">
    <w:name w:val="List Continue 5"/>
    <w:basedOn w:val="Normal"/>
    <w:rsid w:val="00B14E91"/>
    <w:pPr>
      <w:spacing w:after="120"/>
      <w:ind w:left="1415"/>
    </w:pPr>
  </w:style>
  <w:style w:type="paragraph" w:styleId="MessageHeader">
    <w:name w:val="Message Header"/>
    <w:basedOn w:val="Normal"/>
    <w:link w:val="MessageHeaderChar"/>
    <w:rsid w:val="00B14E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14E91"/>
    <w:rPr>
      <w:rFonts w:ascii="Arial" w:hAnsi="Arial" w:cs="Arial"/>
      <w:sz w:val="22"/>
      <w:shd w:val="pct20" w:color="auto" w:fill="auto"/>
    </w:rPr>
  </w:style>
  <w:style w:type="paragraph" w:styleId="Subtitle">
    <w:name w:val="Subtitle"/>
    <w:basedOn w:val="Normal"/>
    <w:link w:val="SubtitleChar"/>
    <w:qFormat/>
    <w:rsid w:val="00B14E91"/>
    <w:pPr>
      <w:spacing w:after="60"/>
      <w:jc w:val="center"/>
      <w:outlineLvl w:val="1"/>
    </w:pPr>
    <w:rPr>
      <w:rFonts w:ascii="Arial" w:hAnsi="Arial" w:cs="Arial"/>
    </w:rPr>
  </w:style>
  <w:style w:type="character" w:customStyle="1" w:styleId="SubtitleChar">
    <w:name w:val="Subtitle Char"/>
    <w:basedOn w:val="DefaultParagraphFont"/>
    <w:link w:val="Subtitle"/>
    <w:rsid w:val="00B14E91"/>
    <w:rPr>
      <w:rFonts w:ascii="Arial" w:hAnsi="Arial" w:cs="Arial"/>
      <w:sz w:val="22"/>
    </w:rPr>
  </w:style>
  <w:style w:type="paragraph" w:styleId="Salutation">
    <w:name w:val="Salutation"/>
    <w:basedOn w:val="Normal"/>
    <w:next w:val="Normal"/>
    <w:link w:val="SalutationChar"/>
    <w:rsid w:val="00B14E91"/>
  </w:style>
  <w:style w:type="character" w:customStyle="1" w:styleId="SalutationChar">
    <w:name w:val="Salutation Char"/>
    <w:basedOn w:val="DefaultParagraphFont"/>
    <w:link w:val="Salutation"/>
    <w:rsid w:val="00B14E91"/>
    <w:rPr>
      <w:sz w:val="22"/>
    </w:rPr>
  </w:style>
  <w:style w:type="paragraph" w:styleId="Date">
    <w:name w:val="Date"/>
    <w:basedOn w:val="Normal"/>
    <w:next w:val="Normal"/>
    <w:link w:val="DateChar"/>
    <w:rsid w:val="00B14E91"/>
  </w:style>
  <w:style w:type="character" w:customStyle="1" w:styleId="DateChar">
    <w:name w:val="Date Char"/>
    <w:basedOn w:val="DefaultParagraphFont"/>
    <w:link w:val="Date"/>
    <w:rsid w:val="00B14E91"/>
    <w:rPr>
      <w:sz w:val="22"/>
    </w:rPr>
  </w:style>
  <w:style w:type="paragraph" w:styleId="BodyTextFirstIndent">
    <w:name w:val="Body Text First Indent"/>
    <w:basedOn w:val="BodyText"/>
    <w:link w:val="BodyTextFirstIndentChar"/>
    <w:rsid w:val="00B14E91"/>
    <w:pPr>
      <w:ind w:firstLine="210"/>
    </w:pPr>
  </w:style>
  <w:style w:type="character" w:customStyle="1" w:styleId="BodyTextFirstIndentChar">
    <w:name w:val="Body Text First Indent Char"/>
    <w:basedOn w:val="BodyTextChar"/>
    <w:link w:val="BodyTextFirstIndent"/>
    <w:rsid w:val="00B14E91"/>
    <w:rPr>
      <w:sz w:val="22"/>
    </w:rPr>
  </w:style>
  <w:style w:type="paragraph" w:styleId="BodyTextFirstIndent2">
    <w:name w:val="Body Text First Indent 2"/>
    <w:basedOn w:val="BodyTextIndent"/>
    <w:link w:val="BodyTextFirstIndent2Char"/>
    <w:rsid w:val="00B14E91"/>
    <w:pPr>
      <w:ind w:firstLine="210"/>
    </w:pPr>
  </w:style>
  <w:style w:type="character" w:customStyle="1" w:styleId="BodyTextFirstIndent2Char">
    <w:name w:val="Body Text First Indent 2 Char"/>
    <w:basedOn w:val="BodyTextIndentChar"/>
    <w:link w:val="BodyTextFirstIndent2"/>
    <w:rsid w:val="00B14E91"/>
    <w:rPr>
      <w:sz w:val="22"/>
    </w:rPr>
  </w:style>
  <w:style w:type="paragraph" w:styleId="BodyText2">
    <w:name w:val="Body Text 2"/>
    <w:basedOn w:val="Normal"/>
    <w:link w:val="BodyText2Char"/>
    <w:rsid w:val="00B14E91"/>
    <w:pPr>
      <w:spacing w:after="120" w:line="480" w:lineRule="auto"/>
    </w:pPr>
  </w:style>
  <w:style w:type="character" w:customStyle="1" w:styleId="BodyText2Char">
    <w:name w:val="Body Text 2 Char"/>
    <w:basedOn w:val="DefaultParagraphFont"/>
    <w:link w:val="BodyText2"/>
    <w:rsid w:val="00B14E91"/>
    <w:rPr>
      <w:sz w:val="22"/>
    </w:rPr>
  </w:style>
  <w:style w:type="paragraph" w:styleId="BodyText3">
    <w:name w:val="Body Text 3"/>
    <w:basedOn w:val="Normal"/>
    <w:link w:val="BodyText3Char"/>
    <w:rsid w:val="00B14E91"/>
    <w:pPr>
      <w:spacing w:after="120"/>
    </w:pPr>
    <w:rPr>
      <w:sz w:val="16"/>
      <w:szCs w:val="16"/>
    </w:rPr>
  </w:style>
  <w:style w:type="character" w:customStyle="1" w:styleId="BodyText3Char">
    <w:name w:val="Body Text 3 Char"/>
    <w:basedOn w:val="DefaultParagraphFont"/>
    <w:link w:val="BodyText3"/>
    <w:rsid w:val="00B14E91"/>
    <w:rPr>
      <w:sz w:val="16"/>
      <w:szCs w:val="16"/>
    </w:rPr>
  </w:style>
  <w:style w:type="paragraph" w:styleId="BodyTextIndent2">
    <w:name w:val="Body Text Indent 2"/>
    <w:basedOn w:val="Normal"/>
    <w:link w:val="BodyTextIndent2Char"/>
    <w:rsid w:val="00B14E91"/>
    <w:pPr>
      <w:spacing w:after="120" w:line="480" w:lineRule="auto"/>
      <w:ind w:left="283"/>
    </w:pPr>
  </w:style>
  <w:style w:type="character" w:customStyle="1" w:styleId="BodyTextIndent2Char">
    <w:name w:val="Body Text Indent 2 Char"/>
    <w:basedOn w:val="DefaultParagraphFont"/>
    <w:link w:val="BodyTextIndent2"/>
    <w:rsid w:val="00B14E91"/>
    <w:rPr>
      <w:sz w:val="22"/>
    </w:rPr>
  </w:style>
  <w:style w:type="paragraph" w:styleId="BodyTextIndent3">
    <w:name w:val="Body Text Indent 3"/>
    <w:basedOn w:val="Normal"/>
    <w:link w:val="BodyTextIndent3Char"/>
    <w:rsid w:val="00B14E91"/>
    <w:pPr>
      <w:spacing w:after="120"/>
      <w:ind w:left="283"/>
    </w:pPr>
    <w:rPr>
      <w:sz w:val="16"/>
      <w:szCs w:val="16"/>
    </w:rPr>
  </w:style>
  <w:style w:type="character" w:customStyle="1" w:styleId="BodyTextIndent3Char">
    <w:name w:val="Body Text Indent 3 Char"/>
    <w:basedOn w:val="DefaultParagraphFont"/>
    <w:link w:val="BodyTextIndent3"/>
    <w:rsid w:val="00B14E91"/>
    <w:rPr>
      <w:sz w:val="16"/>
      <w:szCs w:val="16"/>
    </w:rPr>
  </w:style>
  <w:style w:type="paragraph" w:styleId="BlockText">
    <w:name w:val="Block Text"/>
    <w:basedOn w:val="Normal"/>
    <w:rsid w:val="00B14E91"/>
    <w:pPr>
      <w:spacing w:after="120"/>
      <w:ind w:left="1440" w:right="1440"/>
    </w:pPr>
  </w:style>
  <w:style w:type="character" w:styleId="Hyperlink">
    <w:name w:val="Hyperlink"/>
    <w:basedOn w:val="DefaultParagraphFont"/>
    <w:rsid w:val="00B14E91"/>
    <w:rPr>
      <w:color w:val="0000FF"/>
      <w:u w:val="single"/>
    </w:rPr>
  </w:style>
  <w:style w:type="character" w:styleId="FollowedHyperlink">
    <w:name w:val="FollowedHyperlink"/>
    <w:basedOn w:val="DefaultParagraphFont"/>
    <w:rsid w:val="00B14E91"/>
    <w:rPr>
      <w:color w:val="800080"/>
      <w:u w:val="single"/>
    </w:rPr>
  </w:style>
  <w:style w:type="character" w:styleId="Strong">
    <w:name w:val="Strong"/>
    <w:basedOn w:val="DefaultParagraphFont"/>
    <w:qFormat/>
    <w:rsid w:val="00B14E91"/>
    <w:rPr>
      <w:b/>
      <w:bCs/>
    </w:rPr>
  </w:style>
  <w:style w:type="character" w:styleId="Emphasis">
    <w:name w:val="Emphasis"/>
    <w:basedOn w:val="DefaultParagraphFont"/>
    <w:qFormat/>
    <w:rsid w:val="00B14E91"/>
    <w:rPr>
      <w:i/>
      <w:iCs/>
    </w:rPr>
  </w:style>
  <w:style w:type="paragraph" w:styleId="DocumentMap">
    <w:name w:val="Document Map"/>
    <w:basedOn w:val="Normal"/>
    <w:link w:val="DocumentMapChar"/>
    <w:rsid w:val="00B14E91"/>
    <w:pPr>
      <w:shd w:val="clear" w:color="auto" w:fill="000080"/>
    </w:pPr>
    <w:rPr>
      <w:rFonts w:ascii="Tahoma" w:hAnsi="Tahoma" w:cs="Tahoma"/>
    </w:rPr>
  </w:style>
  <w:style w:type="character" w:customStyle="1" w:styleId="DocumentMapChar">
    <w:name w:val="Document Map Char"/>
    <w:basedOn w:val="DefaultParagraphFont"/>
    <w:link w:val="DocumentMap"/>
    <w:rsid w:val="00B14E91"/>
    <w:rPr>
      <w:rFonts w:ascii="Tahoma" w:hAnsi="Tahoma" w:cs="Tahoma"/>
      <w:sz w:val="22"/>
      <w:shd w:val="clear" w:color="auto" w:fill="000080"/>
    </w:rPr>
  </w:style>
  <w:style w:type="paragraph" w:styleId="PlainText">
    <w:name w:val="Plain Text"/>
    <w:basedOn w:val="Normal"/>
    <w:link w:val="PlainTextChar"/>
    <w:rsid w:val="00B14E91"/>
    <w:rPr>
      <w:rFonts w:ascii="Courier New" w:hAnsi="Courier New" w:cs="Courier New"/>
      <w:sz w:val="20"/>
    </w:rPr>
  </w:style>
  <w:style w:type="character" w:customStyle="1" w:styleId="PlainTextChar">
    <w:name w:val="Plain Text Char"/>
    <w:basedOn w:val="DefaultParagraphFont"/>
    <w:link w:val="PlainText"/>
    <w:rsid w:val="00B14E91"/>
    <w:rPr>
      <w:rFonts w:ascii="Courier New" w:hAnsi="Courier New" w:cs="Courier New"/>
    </w:rPr>
  </w:style>
  <w:style w:type="paragraph" w:styleId="E-mailSignature">
    <w:name w:val="E-mail Signature"/>
    <w:basedOn w:val="Normal"/>
    <w:link w:val="E-mailSignatureChar"/>
    <w:rsid w:val="00B14E91"/>
  </w:style>
  <w:style w:type="character" w:customStyle="1" w:styleId="E-mailSignatureChar">
    <w:name w:val="E-mail Signature Char"/>
    <w:basedOn w:val="DefaultParagraphFont"/>
    <w:link w:val="E-mailSignature"/>
    <w:rsid w:val="00B14E91"/>
    <w:rPr>
      <w:sz w:val="22"/>
    </w:rPr>
  </w:style>
  <w:style w:type="paragraph" w:styleId="NormalWeb">
    <w:name w:val="Normal (Web)"/>
    <w:basedOn w:val="Normal"/>
    <w:rsid w:val="00B14E91"/>
  </w:style>
  <w:style w:type="character" w:styleId="HTMLAcronym">
    <w:name w:val="HTML Acronym"/>
    <w:basedOn w:val="DefaultParagraphFont"/>
    <w:rsid w:val="00B14E91"/>
  </w:style>
  <w:style w:type="paragraph" w:styleId="HTMLAddress">
    <w:name w:val="HTML Address"/>
    <w:basedOn w:val="Normal"/>
    <w:link w:val="HTMLAddressChar"/>
    <w:rsid w:val="00B14E91"/>
    <w:rPr>
      <w:i/>
      <w:iCs/>
    </w:rPr>
  </w:style>
  <w:style w:type="character" w:customStyle="1" w:styleId="HTMLAddressChar">
    <w:name w:val="HTML Address Char"/>
    <w:basedOn w:val="DefaultParagraphFont"/>
    <w:link w:val="HTMLAddress"/>
    <w:rsid w:val="00B14E91"/>
    <w:rPr>
      <w:i/>
      <w:iCs/>
      <w:sz w:val="22"/>
    </w:rPr>
  </w:style>
  <w:style w:type="character" w:styleId="HTMLCite">
    <w:name w:val="HTML Cite"/>
    <w:basedOn w:val="DefaultParagraphFont"/>
    <w:rsid w:val="00B14E91"/>
    <w:rPr>
      <w:i/>
      <w:iCs/>
    </w:rPr>
  </w:style>
  <w:style w:type="character" w:styleId="HTMLCode">
    <w:name w:val="HTML Code"/>
    <w:basedOn w:val="DefaultParagraphFont"/>
    <w:rsid w:val="00B14E91"/>
    <w:rPr>
      <w:rFonts w:ascii="Courier New" w:hAnsi="Courier New" w:cs="Courier New"/>
      <w:sz w:val="20"/>
      <w:szCs w:val="20"/>
    </w:rPr>
  </w:style>
  <w:style w:type="character" w:styleId="HTMLDefinition">
    <w:name w:val="HTML Definition"/>
    <w:basedOn w:val="DefaultParagraphFont"/>
    <w:rsid w:val="00B14E91"/>
    <w:rPr>
      <w:i/>
      <w:iCs/>
    </w:rPr>
  </w:style>
  <w:style w:type="character" w:styleId="HTMLKeyboard">
    <w:name w:val="HTML Keyboard"/>
    <w:basedOn w:val="DefaultParagraphFont"/>
    <w:rsid w:val="00B14E91"/>
    <w:rPr>
      <w:rFonts w:ascii="Courier New" w:hAnsi="Courier New" w:cs="Courier New"/>
      <w:sz w:val="20"/>
      <w:szCs w:val="20"/>
    </w:rPr>
  </w:style>
  <w:style w:type="paragraph" w:styleId="HTMLPreformatted">
    <w:name w:val="HTML Preformatted"/>
    <w:basedOn w:val="Normal"/>
    <w:link w:val="HTMLPreformattedChar"/>
    <w:rsid w:val="00B14E91"/>
    <w:rPr>
      <w:rFonts w:ascii="Courier New" w:hAnsi="Courier New" w:cs="Courier New"/>
      <w:sz w:val="20"/>
    </w:rPr>
  </w:style>
  <w:style w:type="character" w:customStyle="1" w:styleId="HTMLPreformattedChar">
    <w:name w:val="HTML Preformatted Char"/>
    <w:basedOn w:val="DefaultParagraphFont"/>
    <w:link w:val="HTMLPreformatted"/>
    <w:rsid w:val="00B14E91"/>
    <w:rPr>
      <w:rFonts w:ascii="Courier New" w:hAnsi="Courier New" w:cs="Courier New"/>
    </w:rPr>
  </w:style>
  <w:style w:type="character" w:styleId="HTMLSample">
    <w:name w:val="HTML Sample"/>
    <w:basedOn w:val="DefaultParagraphFont"/>
    <w:rsid w:val="00B14E91"/>
    <w:rPr>
      <w:rFonts w:ascii="Courier New" w:hAnsi="Courier New" w:cs="Courier New"/>
    </w:rPr>
  </w:style>
  <w:style w:type="character" w:styleId="HTMLTypewriter">
    <w:name w:val="HTML Typewriter"/>
    <w:basedOn w:val="DefaultParagraphFont"/>
    <w:rsid w:val="00B14E91"/>
    <w:rPr>
      <w:rFonts w:ascii="Courier New" w:hAnsi="Courier New" w:cs="Courier New"/>
      <w:sz w:val="20"/>
      <w:szCs w:val="20"/>
    </w:rPr>
  </w:style>
  <w:style w:type="character" w:styleId="HTMLVariable">
    <w:name w:val="HTML Variable"/>
    <w:basedOn w:val="DefaultParagraphFont"/>
    <w:rsid w:val="00B14E91"/>
    <w:rPr>
      <w:i/>
      <w:iCs/>
    </w:rPr>
  </w:style>
  <w:style w:type="paragraph" w:styleId="CommentSubject">
    <w:name w:val="annotation subject"/>
    <w:basedOn w:val="CommentText"/>
    <w:next w:val="CommentText"/>
    <w:link w:val="CommentSubjectChar"/>
    <w:rsid w:val="00B14E91"/>
    <w:rPr>
      <w:b/>
      <w:bCs/>
    </w:rPr>
  </w:style>
  <w:style w:type="character" w:customStyle="1" w:styleId="CommentSubjectChar">
    <w:name w:val="Comment Subject Char"/>
    <w:basedOn w:val="CommentTextChar"/>
    <w:link w:val="CommentSubject"/>
    <w:rsid w:val="00B14E91"/>
    <w:rPr>
      <w:b/>
      <w:bCs/>
    </w:rPr>
  </w:style>
  <w:style w:type="numbering" w:styleId="1ai">
    <w:name w:val="Outline List 1"/>
    <w:basedOn w:val="NoList"/>
    <w:rsid w:val="00B14E91"/>
    <w:pPr>
      <w:numPr>
        <w:numId w:val="14"/>
      </w:numPr>
    </w:pPr>
  </w:style>
  <w:style w:type="numbering" w:styleId="111111">
    <w:name w:val="Outline List 2"/>
    <w:basedOn w:val="NoList"/>
    <w:rsid w:val="00B14E91"/>
    <w:pPr>
      <w:numPr>
        <w:numId w:val="15"/>
      </w:numPr>
    </w:pPr>
  </w:style>
  <w:style w:type="numbering" w:styleId="ArticleSection">
    <w:name w:val="Outline List 3"/>
    <w:basedOn w:val="NoList"/>
    <w:rsid w:val="00B14E91"/>
    <w:pPr>
      <w:numPr>
        <w:numId w:val="17"/>
      </w:numPr>
    </w:pPr>
  </w:style>
  <w:style w:type="table" w:styleId="TableSimple1">
    <w:name w:val="Table Simple 1"/>
    <w:basedOn w:val="TableNormal"/>
    <w:rsid w:val="00B14E9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4E9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14E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4E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4E9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4E9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4E9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4E9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4E9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4E9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4E9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4E9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4E9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4E9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14E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4E9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4E9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4E9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4E9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4E9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4E9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4E9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4E9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4E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4E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4E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4E9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4E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14E9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4E9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4E9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14E9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4E9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14E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4E9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4E9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14E9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4E9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4E9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14E9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14E91"/>
    <w:rPr>
      <w:rFonts w:eastAsia="Times New Roman" w:cs="Times New Roman"/>
      <w:b/>
      <w:kern w:val="28"/>
      <w:sz w:val="24"/>
      <w:lang w:eastAsia="en-AU"/>
    </w:rPr>
  </w:style>
  <w:style w:type="character" w:customStyle="1" w:styleId="paragraphChar">
    <w:name w:val="paragraph Char"/>
    <w:aliases w:val="a Char"/>
    <w:link w:val="paragraph"/>
    <w:locked/>
    <w:rsid w:val="00E7647C"/>
    <w:rPr>
      <w:rFonts w:eastAsia="Times New Roman" w:cs="Times New Roman"/>
      <w:sz w:val="22"/>
      <w:lang w:eastAsia="en-AU"/>
    </w:rPr>
  </w:style>
  <w:style w:type="paragraph" w:customStyle="1" w:styleId="EnStatement">
    <w:name w:val="EnStatement"/>
    <w:basedOn w:val="Normal"/>
    <w:rsid w:val="00367A30"/>
    <w:pPr>
      <w:numPr>
        <w:numId w:val="19"/>
      </w:numPr>
    </w:pPr>
    <w:rPr>
      <w:rFonts w:eastAsia="Times New Roman" w:cs="Times New Roman"/>
      <w:lang w:eastAsia="en-AU"/>
    </w:rPr>
  </w:style>
  <w:style w:type="paragraph" w:customStyle="1" w:styleId="EnStatementHeading">
    <w:name w:val="EnStatementHeading"/>
    <w:basedOn w:val="Normal"/>
    <w:rsid w:val="00367A30"/>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8479">
      <w:bodyDiv w:val="1"/>
      <w:marLeft w:val="0"/>
      <w:marRight w:val="0"/>
      <w:marTop w:val="0"/>
      <w:marBottom w:val="0"/>
      <w:divBdr>
        <w:top w:val="none" w:sz="0" w:space="0" w:color="auto"/>
        <w:left w:val="none" w:sz="0" w:space="0" w:color="auto"/>
        <w:bottom w:val="none" w:sz="0" w:space="0" w:color="auto"/>
        <w:right w:val="none" w:sz="0" w:space="0" w:color="auto"/>
      </w:divBdr>
    </w:div>
    <w:div w:id="398600745">
      <w:bodyDiv w:val="1"/>
      <w:marLeft w:val="0"/>
      <w:marRight w:val="0"/>
      <w:marTop w:val="0"/>
      <w:marBottom w:val="0"/>
      <w:divBdr>
        <w:top w:val="none" w:sz="0" w:space="0" w:color="auto"/>
        <w:left w:val="none" w:sz="0" w:space="0" w:color="auto"/>
        <w:bottom w:val="none" w:sz="0" w:space="0" w:color="auto"/>
        <w:right w:val="none" w:sz="0" w:space="0" w:color="auto"/>
      </w:divBdr>
    </w:div>
    <w:div w:id="492915458">
      <w:bodyDiv w:val="1"/>
      <w:marLeft w:val="0"/>
      <w:marRight w:val="0"/>
      <w:marTop w:val="0"/>
      <w:marBottom w:val="0"/>
      <w:divBdr>
        <w:top w:val="none" w:sz="0" w:space="0" w:color="auto"/>
        <w:left w:val="none" w:sz="0" w:space="0" w:color="auto"/>
        <w:bottom w:val="none" w:sz="0" w:space="0" w:color="auto"/>
        <w:right w:val="none" w:sz="0" w:space="0" w:color="auto"/>
      </w:divBdr>
    </w:div>
    <w:div w:id="12478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CONSOLINST_AMD.DOTX</Template>
  <TotalTime>0</TotalTime>
  <Pages>62</Pages>
  <Words>15358</Words>
  <Characters>78525</Characters>
  <Application>Microsoft Office Word</Application>
  <DocSecurity>0</DocSecurity>
  <PresentationFormat/>
  <Lines>1993</Lines>
  <Paragraphs>1257</Paragraphs>
  <ScaleCrop>false</ScaleCrop>
  <HeadingPairs>
    <vt:vector size="2" baseType="variant">
      <vt:variant>
        <vt:lpstr>Title</vt:lpstr>
      </vt:variant>
      <vt:variant>
        <vt:i4>1</vt:i4>
      </vt:variant>
    </vt:vector>
  </HeadingPairs>
  <TitlesOfParts>
    <vt:vector size="1" baseType="lpstr">
      <vt:lpstr>Therapeutic Goods Legislation Amendment (2019 Measures No. 1) Regulations 2019</vt:lpstr>
    </vt:vector>
  </TitlesOfParts>
  <Manager/>
  <Company/>
  <LinksUpToDate>false</LinksUpToDate>
  <CharactersWithSpaces>93204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Legislation Amendment (2019 Measures No. 1) Regulations 2019</dc:title>
  <dc:subject/>
  <dc:creator/>
  <cp:keywords/>
  <dc:description/>
  <cp:lastModifiedBy/>
  <cp:revision>1</cp:revision>
  <cp:lastPrinted>2019-10-17T22:30:00Z</cp:lastPrinted>
  <dcterms:created xsi:type="dcterms:W3CDTF">2020-08-17T04:12:00Z</dcterms:created>
  <dcterms:modified xsi:type="dcterms:W3CDTF">2020-08-17T04:12:00Z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(2019 Measures No. 1) Regulations 2019</vt:lpwstr>
  </property>
  <property fmtid="{D5CDD505-2E9C-101B-9397-08002B2CF9AE}" pid="4" name="Class">
    <vt:lpwstr>Regulations</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12 December 2019</vt:lpwstr>
  </property>
  <property fmtid="{D5CDD505-2E9C-101B-9397-08002B2CF9AE}" pid="10" name="ID">
    <vt:lpwstr>OPC64043</vt:lpwstr>
  </property>
  <property fmtid="{D5CDD505-2E9C-101B-9397-08002B2CF9AE}" pid="11" name="Classification">
    <vt:lpwstr>UNCLASSIFIED</vt:lpwstr>
  </property>
  <property fmtid="{D5CDD505-2E9C-101B-9397-08002B2CF9AE}" pid="12" name="DLM">
    <vt:lpwstr>No DLM</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12 December 2019</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1</vt:lpwstr>
  </property>
  <property fmtid="{D5CDD505-2E9C-101B-9397-08002B2CF9AE}" pid="21" name="StartDate">
    <vt:lpwstr>24 July 2020</vt:lpwstr>
  </property>
  <property fmtid="{D5CDD505-2E9C-101B-9397-08002B2CF9AE}" pid="22" name="IncludesUpTo">
    <vt:lpwstr>F2020L00946</vt:lpwstr>
  </property>
  <property fmtid="{D5CDD505-2E9C-101B-9397-08002B2CF9AE}" pid="23" name="RegisteredDate">
    <vt:lpwstr>17 August 2020</vt:lpwstr>
  </property>
  <property fmtid="{D5CDD505-2E9C-101B-9397-08002B2CF9AE}" pid="24" name="CompilationVersion">
    <vt:i4>3</vt:i4>
  </property>
</Properties>
</file>