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bookmarkStart w:id="0" w:name="_GoBack"/>
      <w:bookmarkEnd w:id="0"/>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0672E813" w14:textId="5D9F118C" w:rsidR="001B7F67" w:rsidRDefault="00A83285" w:rsidP="007F21C2">
      <w:pPr>
        <w:ind w:right="-483"/>
        <w:jc w:val="center"/>
        <w:rPr>
          <w:b/>
          <w:bCs/>
          <w:i/>
          <w:szCs w:val="24"/>
        </w:rPr>
      </w:pPr>
      <w:r w:rsidRPr="008D07BF">
        <w:rPr>
          <w:i/>
        </w:rPr>
        <w:t>Health Insurance (Section 3C Diagnostic Imaging – Nuclear Medicine Services) Amendment</w:t>
      </w:r>
      <w:r>
        <w:rPr>
          <w:i/>
        </w:rPr>
        <w:t xml:space="preserve"> (No. 2)</w:t>
      </w:r>
      <w:r w:rsidRPr="008D07BF">
        <w:rPr>
          <w:i/>
        </w:rPr>
        <w:t xml:space="preserve"> Determination 20</w:t>
      </w:r>
      <w:r>
        <w:rPr>
          <w:i/>
        </w:rPr>
        <w:t>19</w:t>
      </w:r>
    </w:p>
    <w:p w14:paraId="4C964DC9" w14:textId="77777777" w:rsidR="007F21C2" w:rsidRPr="00EB601D" w:rsidRDefault="007F21C2" w:rsidP="007F21C2">
      <w:pPr>
        <w:ind w:right="-483"/>
        <w:jc w:val="center"/>
        <w:rPr>
          <w:szCs w:val="24"/>
          <w:highlight w:val="yellow"/>
        </w:rPr>
      </w:pPr>
    </w:p>
    <w:p w14:paraId="3D32FAC7" w14:textId="384BDDA6"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legislative instrument, determine that a health service not specified in an item in the </w:t>
      </w:r>
      <w:r w:rsidR="00F3606B">
        <w:rPr>
          <w:color w:val="000000"/>
          <w:shd w:val="clear" w:color="auto" w:fill="FFFFFF"/>
        </w:rPr>
        <w:t xml:space="preserve">diagnostic imaging </w:t>
      </w:r>
      <w:r w:rsidRPr="00D87426">
        <w:rPr>
          <w:color w:val="000000"/>
          <w:shd w:val="clear" w:color="auto" w:fill="FFFFFF"/>
        </w:rPr>
        <w:t>services table</w:t>
      </w:r>
      <w:r>
        <w:rPr>
          <w:color w:val="000000"/>
          <w:shd w:val="clear" w:color="auto" w:fill="FFFFFF"/>
        </w:rPr>
        <w:t xml:space="preserve"> (the Table)</w:t>
      </w:r>
      <w:r w:rsidRPr="00D87426">
        <w:rPr>
          <w:color w:val="000000"/>
          <w:shd w:val="clear" w:color="auto" w:fill="FFFFFF"/>
        </w:rPr>
        <w:t xml:space="preserve"> shall, in specified circumstances and for specified statutory provisions, be treated as if it were specified in the </w:t>
      </w:r>
      <w:r>
        <w:rPr>
          <w:color w:val="000000"/>
          <w:shd w:val="clear" w:color="auto" w:fill="FFFFFF"/>
        </w:rPr>
        <w:t>Table</w:t>
      </w:r>
      <w:r w:rsidRPr="00D87426">
        <w:rPr>
          <w:color w:val="000000"/>
          <w:shd w:val="clear" w:color="auto" w:fill="FFFFFF"/>
        </w:rPr>
        <w:t>.</w:t>
      </w:r>
    </w:p>
    <w:p w14:paraId="67CB6734" w14:textId="77777777"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143179A" w14:textId="4B072E22" w:rsidR="007F21C2" w:rsidRPr="0033464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r>
        <w:t>The Table is set out in the regulations made under subsection 4</w:t>
      </w:r>
      <w:r w:rsidR="00A83285">
        <w:t>AA</w:t>
      </w:r>
      <w:r>
        <w:t xml:space="preserve">(1) of the Act, which </w:t>
      </w:r>
      <w:r w:rsidR="00A327DD">
        <w:t>ceases to be in force after 12 months and must be</w:t>
      </w:r>
      <w:r>
        <w:t xml:space="preserve"> re-made each year.</w:t>
      </w:r>
      <w:r w:rsidR="00D4759D">
        <w:t xml:space="preserve"> </w:t>
      </w:r>
      <w:r>
        <w:t xml:space="preserve">The most recent version of the regulations is the </w:t>
      </w:r>
      <w:r>
        <w:rPr>
          <w:i/>
          <w:iCs/>
        </w:rPr>
        <w:t>Health Insurance (</w:t>
      </w:r>
      <w:r w:rsidR="00A83285">
        <w:rPr>
          <w:i/>
          <w:iCs/>
        </w:rPr>
        <w:t>Diagnostic Imaging</w:t>
      </w:r>
      <w:r>
        <w:rPr>
          <w:i/>
          <w:iCs/>
        </w:rPr>
        <w:t xml:space="preserve"> Services Table) Regulations 2019</w:t>
      </w:r>
      <w:r>
        <w:t>.</w:t>
      </w:r>
    </w:p>
    <w:p w14:paraId="05ED1D08" w14:textId="77777777" w:rsidR="007F21C2"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47F6437" w14:textId="77777777" w:rsidR="007F21C2" w:rsidRPr="0092616B"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Subsection 33(3) of the </w:t>
      </w:r>
      <w:r>
        <w:rPr>
          <w:i/>
        </w:rPr>
        <w:t xml:space="preserve">Acts Interpretation Act 1901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5634930A" w14:textId="77777777" w:rsidR="007F21C2" w:rsidRPr="00EB601D" w:rsidRDefault="007F21C2" w:rsidP="007F21C2">
      <w:pPr>
        <w:autoSpaceDE w:val="0"/>
        <w:autoSpaceDN w:val="0"/>
        <w:adjustRightInd w:val="0"/>
        <w:ind w:right="-483"/>
        <w:rPr>
          <w:szCs w:val="24"/>
          <w:highlight w:val="yellow"/>
        </w:rPr>
      </w:pPr>
    </w:p>
    <w:p w14:paraId="39F9C75E" w14:textId="77777777" w:rsidR="007F21C2" w:rsidRPr="00CD4A21" w:rsidRDefault="007F21C2" w:rsidP="007F21C2">
      <w:pPr>
        <w:rPr>
          <w:b/>
          <w:szCs w:val="24"/>
          <w:lang w:val="en-US" w:eastAsia="en-US"/>
        </w:rPr>
      </w:pPr>
      <w:r w:rsidRPr="00CD4A21">
        <w:rPr>
          <w:b/>
          <w:szCs w:val="24"/>
          <w:lang w:val="en-US" w:eastAsia="en-US"/>
        </w:rPr>
        <w:t>Purpose</w:t>
      </w:r>
    </w:p>
    <w:p w14:paraId="3E6227BB" w14:textId="6C124C59" w:rsidR="007F21C2" w:rsidRDefault="007F21C2" w:rsidP="007F21C2">
      <w:pPr>
        <w:rPr>
          <w:szCs w:val="24"/>
        </w:rPr>
      </w:pPr>
      <w:r>
        <w:rPr>
          <w:szCs w:val="24"/>
        </w:rPr>
        <w:t xml:space="preserve">The purpose of the </w:t>
      </w:r>
      <w:r w:rsidR="00A83285" w:rsidRPr="008D07BF">
        <w:rPr>
          <w:i/>
        </w:rPr>
        <w:t>Health Insurance (Section 3C Diagnostic Imaging – Nuclear Medicine Services) Amendment</w:t>
      </w:r>
      <w:r w:rsidR="00A83285">
        <w:rPr>
          <w:i/>
        </w:rPr>
        <w:t xml:space="preserve"> (No. 2)</w:t>
      </w:r>
      <w:r w:rsidR="00A83285" w:rsidRPr="008D07BF">
        <w:rPr>
          <w:i/>
        </w:rPr>
        <w:t xml:space="preserve"> Determination 20</w:t>
      </w:r>
      <w:r w:rsidR="00A83285">
        <w:rPr>
          <w:i/>
        </w:rPr>
        <w:t>19</w:t>
      </w:r>
      <w:r w:rsidR="00A83285">
        <w:rPr>
          <w:szCs w:val="24"/>
        </w:rPr>
        <w:t xml:space="preserve"> </w:t>
      </w:r>
      <w:r>
        <w:rPr>
          <w:szCs w:val="24"/>
        </w:rPr>
        <w:t xml:space="preserve">(the Determination) is to </w:t>
      </w:r>
      <w:r w:rsidR="00A83285">
        <w:rPr>
          <w:szCs w:val="24"/>
        </w:rPr>
        <w:t xml:space="preserve">amend the </w:t>
      </w:r>
      <w:r w:rsidR="00A83285" w:rsidRPr="008D07BF">
        <w:rPr>
          <w:i/>
        </w:rPr>
        <w:t>Health Insurance (Section 3C Diagnostic Imaging – Nuclear Medicine Services)</w:t>
      </w:r>
      <w:r w:rsidR="00A83285">
        <w:rPr>
          <w:i/>
        </w:rPr>
        <w:t xml:space="preserve"> Determination 2019 </w:t>
      </w:r>
      <w:r w:rsidR="00A83285" w:rsidRPr="00A83285">
        <w:t>(the principal determination)</w:t>
      </w:r>
      <w:r w:rsidR="00A83285">
        <w:rPr>
          <w:i/>
        </w:rPr>
        <w:t xml:space="preserve"> </w:t>
      </w:r>
      <w:r w:rsidR="00A83285" w:rsidRPr="00A83285">
        <w:t>which was made to provide</w:t>
      </w:r>
      <w:r w:rsidR="00A83285">
        <w:t xml:space="preserve"> substitute items, due to a shortage of nuclear medicine isotopes following a manufacturing breakdown.</w:t>
      </w:r>
      <w:r w:rsidR="00D4759D">
        <w:t xml:space="preserve"> </w:t>
      </w:r>
      <w:r w:rsidR="00960968">
        <w:t xml:space="preserve">As the supply of nuclear medicine isotopes has stabilised, the </w:t>
      </w:r>
      <w:r w:rsidR="00A83285">
        <w:t xml:space="preserve">substitute items </w:t>
      </w:r>
      <w:r w:rsidR="00CF0F37">
        <w:t>are</w:t>
      </w:r>
      <w:r w:rsidR="00960968">
        <w:t xml:space="preserve"> no longer required. </w:t>
      </w:r>
      <w:r w:rsidR="00A83285">
        <w:t>It is</w:t>
      </w:r>
      <w:r w:rsidR="00960968">
        <w:t xml:space="preserve"> </w:t>
      </w:r>
      <w:r w:rsidR="00A83285">
        <w:t xml:space="preserve">preferable to </w:t>
      </w:r>
      <w:r w:rsidR="003B24B0">
        <w:t>keep these substituted items suspended rather than removed.</w:t>
      </w:r>
      <w:r w:rsidR="00D4759D">
        <w:t xml:space="preserve"> </w:t>
      </w:r>
      <w:r w:rsidR="003B24B0">
        <w:t xml:space="preserve">This will allow these substituted items to be </w:t>
      </w:r>
      <w:r w:rsidR="00692945">
        <w:t xml:space="preserve">quickly </w:t>
      </w:r>
      <w:r w:rsidR="003B24B0">
        <w:t xml:space="preserve">reinstated by a further amendment to the principal determination in the event of another </w:t>
      </w:r>
      <w:r w:rsidR="00960968">
        <w:t>shortage</w:t>
      </w:r>
      <w:r w:rsidR="003B24B0">
        <w:t xml:space="preserve"> of </w:t>
      </w:r>
      <w:r w:rsidR="00960968">
        <w:t>nuclear medicine isotopes</w:t>
      </w:r>
      <w:r w:rsidR="003B24B0">
        <w:t>.</w:t>
      </w:r>
    </w:p>
    <w:p w14:paraId="67EB326B" w14:textId="77777777" w:rsidR="007F21C2" w:rsidRDefault="007F21C2" w:rsidP="007F21C2">
      <w:pPr>
        <w:rPr>
          <w:szCs w:val="24"/>
        </w:rPr>
      </w:pPr>
    </w:p>
    <w:p w14:paraId="44FA3300" w14:textId="77777777" w:rsidR="007F21C2" w:rsidRDefault="007F21C2" w:rsidP="007F21C2">
      <w:pPr>
        <w:rPr>
          <w:b/>
        </w:rPr>
      </w:pPr>
      <w:r w:rsidRPr="00A853D1">
        <w:rPr>
          <w:b/>
        </w:rPr>
        <w:t>Consultation</w:t>
      </w:r>
    </w:p>
    <w:p w14:paraId="761B5B53" w14:textId="3611D7D5" w:rsidR="008F6326" w:rsidRPr="008F6326" w:rsidRDefault="008F6326" w:rsidP="008F6326">
      <w:pPr>
        <w:rPr>
          <w:rFonts w:eastAsia="Calibri"/>
          <w:szCs w:val="24"/>
          <w:lang w:eastAsia="en-US"/>
        </w:rPr>
      </w:pPr>
      <w:r w:rsidRPr="008F6326">
        <w:rPr>
          <w:rFonts w:eastAsia="Calibri"/>
          <w:szCs w:val="24"/>
          <w:lang w:eastAsia="en-US"/>
        </w:rPr>
        <w:t>The Australasian Association of Nuclear Medicine Specialists (AANMS), the Royal Australian and New Zealand College of Radiologists (RANZCR) and the Australian Diagnostic Imaging Association (ADIA) were consulted in the development of the temporary items. At the time the temporary items came into effect, stakeholders were informed that the purpose of the temporary items was to allow patients to have continued access to common nuclear medicine imaging services during the shortage in supply of Technetium</w:t>
      </w:r>
      <w:r w:rsidRPr="008F6326">
        <w:rPr>
          <w:rFonts w:eastAsia="Calibri"/>
          <w:szCs w:val="24"/>
          <w:lang w:eastAsia="en-US"/>
        </w:rPr>
        <w:noBreakHyphen/>
        <w:t>99m and that the items would be available for an initial period of three months commencing from 1</w:t>
      </w:r>
      <w:r w:rsidR="00DF603C">
        <w:rPr>
          <w:rFonts w:eastAsia="Calibri"/>
          <w:szCs w:val="24"/>
          <w:lang w:eastAsia="en-US"/>
        </w:rPr>
        <w:t xml:space="preserve">4 </w:t>
      </w:r>
      <w:r w:rsidRPr="008F6326">
        <w:rPr>
          <w:rFonts w:eastAsia="Calibri"/>
          <w:szCs w:val="24"/>
          <w:lang w:eastAsia="en-US"/>
        </w:rPr>
        <w:t>September 2019.</w:t>
      </w:r>
    </w:p>
    <w:p w14:paraId="128B6CA0" w14:textId="77777777" w:rsidR="008F6326" w:rsidRPr="008F6326" w:rsidRDefault="008F6326" w:rsidP="008F6326">
      <w:pPr>
        <w:rPr>
          <w:rFonts w:eastAsia="Calibri"/>
          <w:szCs w:val="24"/>
          <w:lang w:eastAsia="en-US"/>
        </w:rPr>
      </w:pPr>
    </w:p>
    <w:p w14:paraId="09D2F824" w14:textId="1EB26F5D" w:rsidR="008F6326" w:rsidRPr="008F6326" w:rsidRDefault="008F6326" w:rsidP="008F6326">
      <w:pPr>
        <w:rPr>
          <w:rFonts w:eastAsia="Calibri"/>
          <w:szCs w:val="24"/>
          <w:lang w:eastAsia="en-US"/>
        </w:rPr>
      </w:pPr>
      <w:r w:rsidRPr="008F6326">
        <w:rPr>
          <w:rFonts w:eastAsia="Calibri"/>
          <w:szCs w:val="24"/>
          <w:lang w:eastAsia="en-US"/>
        </w:rPr>
        <w:t>Following advice from the Department of Industry, Innovation</w:t>
      </w:r>
      <w:r w:rsidR="00DF603C">
        <w:rPr>
          <w:rFonts w:eastAsia="Calibri"/>
          <w:szCs w:val="24"/>
          <w:lang w:eastAsia="en-US"/>
        </w:rPr>
        <w:t xml:space="preserve"> and Science</w:t>
      </w:r>
      <w:r w:rsidRPr="008F6326">
        <w:rPr>
          <w:rFonts w:eastAsia="Calibri"/>
          <w:szCs w:val="24"/>
          <w:lang w:eastAsia="en-US"/>
        </w:rPr>
        <w:t xml:space="preserve"> </w:t>
      </w:r>
      <w:r w:rsidR="00531FC2">
        <w:rPr>
          <w:rFonts w:eastAsia="Calibri"/>
          <w:szCs w:val="24"/>
          <w:lang w:eastAsia="en-US"/>
        </w:rPr>
        <w:t>o</w:t>
      </w:r>
      <w:r w:rsidRPr="008F6326">
        <w:rPr>
          <w:rFonts w:eastAsia="Calibri"/>
          <w:szCs w:val="24"/>
          <w:lang w:eastAsia="en-US"/>
        </w:rPr>
        <w:t>n</w:t>
      </w:r>
      <w:r w:rsidR="00531FC2">
        <w:rPr>
          <w:rFonts w:eastAsia="Calibri"/>
          <w:szCs w:val="24"/>
          <w:lang w:eastAsia="en-US"/>
        </w:rPr>
        <w:t xml:space="preserve"> 10</w:t>
      </w:r>
      <w:r w:rsidRPr="008F6326">
        <w:rPr>
          <w:rFonts w:eastAsia="Calibri"/>
          <w:szCs w:val="24"/>
          <w:lang w:eastAsia="en-US"/>
        </w:rPr>
        <w:t xml:space="preserve"> December 2019, the Department of Health advised AANMS, RANZCR and ADIA that full production of technetium at the Australian Nuclear Science and Technology Organisation (ANSTO) had resumed and stabilised, and that the temporary items would be withdrawn because they were no longer required. With supplies of technetium back to usual levels, requestors and providers were </w:t>
      </w:r>
      <w:r w:rsidRPr="008F6326">
        <w:rPr>
          <w:rFonts w:eastAsia="Calibri"/>
          <w:szCs w:val="24"/>
          <w:lang w:eastAsia="en-US"/>
        </w:rPr>
        <w:lastRenderedPageBreak/>
        <w:t>also advised to revert to using the technetium based nuclear medicine imaging services on which the temporary items are based.  </w:t>
      </w:r>
    </w:p>
    <w:p w14:paraId="0DF92471" w14:textId="77777777" w:rsidR="00960968" w:rsidRDefault="00960968" w:rsidP="007F21C2">
      <w:pPr>
        <w:rPr>
          <w:rFonts w:eastAsiaTheme="minorHAnsi"/>
          <w:szCs w:val="24"/>
          <w:lang w:eastAsia="en-US"/>
        </w:rPr>
      </w:pPr>
    </w:p>
    <w:p w14:paraId="5EC4BF33" w14:textId="77777777" w:rsidR="007F21C2" w:rsidRPr="00A853D1" w:rsidRDefault="007F21C2" w:rsidP="007F21C2">
      <w:pPr>
        <w:rPr>
          <w:szCs w:val="24"/>
        </w:rPr>
      </w:pPr>
      <w:r w:rsidRPr="00A853D1">
        <w:rPr>
          <w:szCs w:val="24"/>
        </w:rPr>
        <w:t xml:space="preserve">Details of the Determination are set out in the </w:t>
      </w:r>
      <w:r w:rsidRPr="00A853D1">
        <w:rPr>
          <w:szCs w:val="24"/>
          <w:u w:val="single"/>
        </w:rPr>
        <w:t>Attachment</w:t>
      </w:r>
      <w:r w:rsidRPr="00A853D1">
        <w:rPr>
          <w:szCs w:val="24"/>
        </w:rPr>
        <w:t>.</w:t>
      </w:r>
    </w:p>
    <w:p w14:paraId="3CE7FD17" w14:textId="37E8A0E2" w:rsidR="007F21C2" w:rsidRPr="00A853D1" w:rsidRDefault="007F21C2" w:rsidP="007F21C2">
      <w:pPr>
        <w:tabs>
          <w:tab w:val="left" w:pos="567"/>
        </w:tabs>
        <w:spacing w:before="240"/>
        <w:rPr>
          <w:szCs w:val="24"/>
        </w:rPr>
      </w:pPr>
      <w:r w:rsidRPr="00A853D1">
        <w:rPr>
          <w:szCs w:val="24"/>
        </w:rPr>
        <w:t xml:space="preserve">The Determination commences </w:t>
      </w:r>
      <w:r w:rsidR="00A83285">
        <w:rPr>
          <w:szCs w:val="24"/>
        </w:rPr>
        <w:t>on the day after it is registered.</w:t>
      </w:r>
    </w:p>
    <w:p w14:paraId="2AE534F9" w14:textId="77777777" w:rsidR="007F21C2" w:rsidRPr="00A853D1" w:rsidRDefault="007F21C2" w:rsidP="007F21C2">
      <w:pPr>
        <w:rPr>
          <w:szCs w:val="24"/>
        </w:rPr>
      </w:pPr>
    </w:p>
    <w:p w14:paraId="362DF13A" w14:textId="3FFD02F3" w:rsidR="007F21C2" w:rsidRPr="00A853D1" w:rsidRDefault="007F21C2" w:rsidP="007F21C2">
      <w:pPr>
        <w:spacing w:after="200" w:line="276" w:lineRule="auto"/>
        <w:rPr>
          <w:szCs w:val="24"/>
        </w:rPr>
      </w:pPr>
      <w:r>
        <w:rPr>
          <w:szCs w:val="24"/>
        </w:rPr>
        <w:t>T</w:t>
      </w:r>
      <w:r w:rsidRPr="00A853D1">
        <w:rPr>
          <w:szCs w:val="24"/>
        </w:rPr>
        <w:t xml:space="preserve">he Determination is a legislative instrument for the purposes of the </w:t>
      </w:r>
      <w:r w:rsidRPr="00A853D1">
        <w:rPr>
          <w:i/>
        </w:rPr>
        <w:t>Legislation Act 2003</w:t>
      </w:r>
      <w:r w:rsidRPr="00A853D1">
        <w:rPr>
          <w:szCs w:val="24"/>
        </w:rPr>
        <w:t>.</w:t>
      </w:r>
    </w:p>
    <w:p w14:paraId="2412D13A" w14:textId="04DE888F" w:rsidR="00A1739A" w:rsidRPr="00A853D1" w:rsidRDefault="00A1739A" w:rsidP="000337CB">
      <w:pPr>
        <w:ind w:left="6663" w:hanging="3119"/>
        <w:rPr>
          <w:szCs w:val="24"/>
        </w:rPr>
      </w:pPr>
      <w:r w:rsidRPr="00A853D1">
        <w:rPr>
          <w:szCs w:val="24"/>
          <w:u w:val="single"/>
        </w:rPr>
        <w:t>Authority</w:t>
      </w:r>
      <w:r w:rsidR="00967E51" w:rsidRPr="00A853D1">
        <w:rPr>
          <w:szCs w:val="24"/>
        </w:rPr>
        <w:t>:</w:t>
      </w:r>
      <w:r w:rsidR="00D4759D">
        <w:rPr>
          <w:szCs w:val="24"/>
        </w:rPr>
        <w:t xml:space="preserve">  </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15A63A27" w14:textId="77777777" w:rsidR="00AE7239" w:rsidRDefault="00A1739A" w:rsidP="000337CB">
      <w:pPr>
        <w:tabs>
          <w:tab w:val="left" w:pos="4820"/>
        </w:tabs>
        <w:rPr>
          <w:i/>
          <w:szCs w:val="24"/>
        </w:rPr>
        <w:sectPr w:rsidR="00AE7239" w:rsidSect="005C2A0E">
          <w:headerReference w:type="even" r:id="rId11"/>
          <w:headerReference w:type="default" r:id="rId12"/>
          <w:footerReference w:type="default" r:id="rId13"/>
          <w:headerReference w:type="first" r:id="rId14"/>
          <w:footerReference w:type="first" r:id="rId15"/>
          <w:pgSz w:w="11906" w:h="16838"/>
          <w:pgMar w:top="1276" w:right="1133" w:bottom="1440" w:left="1440" w:header="720" w:footer="720" w:gutter="0"/>
          <w:paperSrc w:first="7" w:other="7"/>
          <w:pgNumType w:start="1"/>
          <w:cols w:space="720"/>
          <w:titlePg/>
          <w:docGrid w:linePitch="326"/>
        </w:sectPr>
      </w:pPr>
      <w:r w:rsidRPr="00A853D1">
        <w:rPr>
          <w:i/>
          <w:szCs w:val="24"/>
        </w:rPr>
        <w:tab/>
        <w:t>Health Insurance Act 1973</w:t>
      </w:r>
    </w:p>
    <w:p w14:paraId="2412D13B" w14:textId="2AD7034C" w:rsidR="00A1739A" w:rsidRDefault="00A1739A" w:rsidP="000337CB">
      <w:pPr>
        <w:tabs>
          <w:tab w:val="left" w:pos="4820"/>
        </w:tabs>
        <w:rPr>
          <w:i/>
          <w:szCs w:val="24"/>
        </w:rPr>
      </w:pPr>
    </w:p>
    <w:p w14:paraId="44848EAA" w14:textId="77777777" w:rsidR="00AE7239" w:rsidRPr="009C0610" w:rsidRDefault="00AE7239" w:rsidP="00AE7239">
      <w:pPr>
        <w:spacing w:after="200" w:line="276" w:lineRule="auto"/>
        <w:jc w:val="right"/>
        <w:rPr>
          <w:b/>
          <w:szCs w:val="24"/>
        </w:rPr>
      </w:pPr>
      <w:r w:rsidRPr="009C0610">
        <w:rPr>
          <w:b/>
          <w:szCs w:val="24"/>
        </w:rPr>
        <w:t>ATTACHMENT</w:t>
      </w:r>
    </w:p>
    <w:p w14:paraId="6AF32ABC" w14:textId="57A2B2B0" w:rsidR="007F21C2" w:rsidRPr="00215191" w:rsidRDefault="00AE7239" w:rsidP="007F21C2">
      <w:pPr>
        <w:pStyle w:val="BodyText"/>
        <w:rPr>
          <w:i/>
          <w:szCs w:val="24"/>
        </w:rPr>
      </w:pPr>
      <w:r w:rsidRPr="00215191">
        <w:rPr>
          <w:szCs w:val="24"/>
        </w:rPr>
        <w:t xml:space="preserve">Details of the </w:t>
      </w:r>
      <w:r w:rsidR="003B24B0" w:rsidRPr="008D07BF">
        <w:rPr>
          <w:i/>
        </w:rPr>
        <w:t>Health Insurance (Section 3C Diagnostic Imaging – Nuclear Medicine Services) Amendment</w:t>
      </w:r>
      <w:r w:rsidR="003B24B0">
        <w:rPr>
          <w:i/>
        </w:rPr>
        <w:t xml:space="preserve"> (No. 2)</w:t>
      </w:r>
      <w:r w:rsidR="003B24B0" w:rsidRPr="008D07BF">
        <w:rPr>
          <w:i/>
        </w:rPr>
        <w:t xml:space="preserve"> Determination 20</w:t>
      </w:r>
      <w:r w:rsidR="003B24B0">
        <w:rPr>
          <w:i/>
        </w:rPr>
        <w:t>19</w:t>
      </w:r>
    </w:p>
    <w:p w14:paraId="3A8422E0" w14:textId="310BD7EC" w:rsidR="00AE7239" w:rsidRDefault="00AE7239" w:rsidP="00AE7239">
      <w:pPr>
        <w:pStyle w:val="BodyText"/>
        <w:rPr>
          <w:b w:val="0"/>
          <w:i/>
          <w:szCs w:val="24"/>
        </w:rPr>
      </w:pPr>
    </w:p>
    <w:p w14:paraId="6FA10D68" w14:textId="77777777" w:rsidR="007F21C2" w:rsidRPr="00215191" w:rsidRDefault="007F21C2" w:rsidP="007F21C2">
      <w:pPr>
        <w:pStyle w:val="BodyText"/>
        <w:rPr>
          <w:b w:val="0"/>
          <w:szCs w:val="24"/>
          <w:u w:val="single"/>
        </w:rPr>
      </w:pPr>
      <w:r w:rsidRPr="00215191">
        <w:rPr>
          <w:b w:val="0"/>
          <w:szCs w:val="24"/>
          <w:u w:val="single"/>
        </w:rPr>
        <w:t xml:space="preserve">Section 1 – Name </w:t>
      </w:r>
    </w:p>
    <w:p w14:paraId="108C44CC" w14:textId="77777777" w:rsidR="007F21C2" w:rsidRPr="00215191" w:rsidRDefault="007F21C2" w:rsidP="007F21C2">
      <w:pPr>
        <w:pStyle w:val="BodyText"/>
        <w:rPr>
          <w:b w:val="0"/>
          <w:szCs w:val="24"/>
          <w:u w:val="single"/>
        </w:rPr>
      </w:pPr>
    </w:p>
    <w:p w14:paraId="55DD07EA" w14:textId="4B387F30" w:rsidR="001B7F67" w:rsidRPr="001B7F67" w:rsidRDefault="007F21C2" w:rsidP="001B7F67">
      <w:pPr>
        <w:pStyle w:val="BodyText"/>
        <w:rPr>
          <w:i/>
          <w:szCs w:val="24"/>
        </w:rPr>
      </w:pPr>
      <w:r w:rsidRPr="00215191">
        <w:rPr>
          <w:b w:val="0"/>
          <w:szCs w:val="24"/>
        </w:rPr>
        <w:t xml:space="preserve">Section 1 provides for the Determination to be referred to as </w:t>
      </w:r>
      <w:r w:rsidRPr="003B24B0">
        <w:rPr>
          <w:b w:val="0"/>
          <w:szCs w:val="24"/>
        </w:rPr>
        <w:t xml:space="preserve">the </w:t>
      </w:r>
      <w:r w:rsidR="003B24B0" w:rsidRPr="003B24B0">
        <w:rPr>
          <w:b w:val="0"/>
          <w:i/>
        </w:rPr>
        <w:t>Health Insurance (Section 3C Diagnostic Imaging – Nuclear Medicine Services) Amendment (No. 2) Determination 2019</w:t>
      </w:r>
      <w:r w:rsidR="001B7F67">
        <w:rPr>
          <w:b w:val="0"/>
          <w:bCs/>
          <w:i/>
          <w:szCs w:val="24"/>
        </w:rPr>
        <w:t xml:space="preserve"> </w:t>
      </w:r>
      <w:r w:rsidR="001B7F67">
        <w:rPr>
          <w:b w:val="0"/>
          <w:bCs/>
          <w:szCs w:val="24"/>
        </w:rPr>
        <w:t>(the Determination).</w:t>
      </w:r>
      <w:r w:rsidR="001B7F67" w:rsidRPr="00A166DD">
        <w:rPr>
          <w:b w:val="0"/>
          <w:bCs/>
          <w:szCs w:val="24"/>
        </w:rPr>
        <w:t xml:space="preserve"> </w:t>
      </w:r>
    </w:p>
    <w:p w14:paraId="2EED3B7A" w14:textId="77777777" w:rsidR="007F21C2" w:rsidRPr="00241E6B" w:rsidRDefault="007F21C2" w:rsidP="00A166DD">
      <w:pPr>
        <w:pStyle w:val="Heading1"/>
        <w:jc w:val="left"/>
      </w:pPr>
    </w:p>
    <w:p w14:paraId="5E0F74FC" w14:textId="77777777" w:rsidR="007F21C2" w:rsidRPr="00215191" w:rsidRDefault="007F21C2" w:rsidP="007F21C2">
      <w:pPr>
        <w:pStyle w:val="BodyText"/>
        <w:rPr>
          <w:b w:val="0"/>
          <w:szCs w:val="24"/>
          <w:u w:val="single"/>
        </w:rPr>
      </w:pPr>
      <w:r w:rsidRPr="00215191">
        <w:rPr>
          <w:b w:val="0"/>
          <w:szCs w:val="24"/>
          <w:u w:val="single"/>
        </w:rPr>
        <w:t xml:space="preserve">Section 2 – Commencement </w:t>
      </w:r>
    </w:p>
    <w:p w14:paraId="1207D432" w14:textId="77777777" w:rsidR="007F21C2" w:rsidRPr="00215191" w:rsidRDefault="007F21C2" w:rsidP="007F21C2">
      <w:pPr>
        <w:pStyle w:val="BodyText"/>
        <w:rPr>
          <w:b w:val="0"/>
          <w:szCs w:val="24"/>
          <w:u w:val="single"/>
        </w:rPr>
      </w:pPr>
    </w:p>
    <w:p w14:paraId="5164442D" w14:textId="758FF084" w:rsidR="007F21C2" w:rsidRPr="00215191" w:rsidRDefault="007F21C2" w:rsidP="007F21C2">
      <w:pPr>
        <w:pStyle w:val="BodyText"/>
        <w:rPr>
          <w:b w:val="0"/>
          <w:szCs w:val="24"/>
        </w:rPr>
      </w:pPr>
      <w:r w:rsidRPr="00215191">
        <w:rPr>
          <w:b w:val="0"/>
          <w:szCs w:val="24"/>
        </w:rPr>
        <w:t xml:space="preserve">Section 2 provides that the Determination commences </w:t>
      </w:r>
      <w:r>
        <w:rPr>
          <w:b w:val="0"/>
          <w:szCs w:val="24"/>
        </w:rPr>
        <w:t xml:space="preserve">on </w:t>
      </w:r>
      <w:r w:rsidR="003B24B0">
        <w:rPr>
          <w:b w:val="0"/>
          <w:szCs w:val="24"/>
        </w:rPr>
        <w:t>the day after it is registered on the Federal Register of Legislation</w:t>
      </w:r>
      <w:r w:rsidR="000D16EC">
        <w:rPr>
          <w:b w:val="0"/>
          <w:szCs w:val="24"/>
        </w:rPr>
        <w:t>.</w:t>
      </w:r>
    </w:p>
    <w:p w14:paraId="0E984D2A" w14:textId="77777777" w:rsidR="007F21C2" w:rsidRPr="00215191" w:rsidRDefault="007F21C2" w:rsidP="007F21C2">
      <w:pPr>
        <w:pStyle w:val="BodyText"/>
        <w:rPr>
          <w:b w:val="0"/>
          <w:szCs w:val="24"/>
        </w:rPr>
      </w:pPr>
    </w:p>
    <w:p w14:paraId="03D4FD6F" w14:textId="77777777" w:rsidR="007F21C2" w:rsidRPr="00215191" w:rsidRDefault="007F21C2" w:rsidP="007F21C2">
      <w:pPr>
        <w:pStyle w:val="BodyText"/>
        <w:rPr>
          <w:b w:val="0"/>
          <w:szCs w:val="24"/>
          <w:u w:val="single"/>
        </w:rPr>
      </w:pPr>
      <w:r w:rsidRPr="00215191">
        <w:rPr>
          <w:b w:val="0"/>
          <w:szCs w:val="24"/>
          <w:u w:val="single"/>
        </w:rPr>
        <w:t>Section 3 – Authority</w:t>
      </w:r>
    </w:p>
    <w:p w14:paraId="1D0B2F24" w14:textId="77777777" w:rsidR="007F21C2" w:rsidRPr="00215191" w:rsidRDefault="007F21C2" w:rsidP="007F21C2">
      <w:pPr>
        <w:pStyle w:val="BodyText"/>
        <w:rPr>
          <w:b w:val="0"/>
          <w:szCs w:val="24"/>
          <w:u w:val="single"/>
        </w:rPr>
      </w:pPr>
    </w:p>
    <w:p w14:paraId="511C4B2C" w14:textId="77777777" w:rsidR="007F21C2" w:rsidRPr="00215191" w:rsidRDefault="007F21C2" w:rsidP="007F21C2">
      <w:pPr>
        <w:pStyle w:val="BodyText"/>
        <w:rPr>
          <w:b w:val="0"/>
        </w:rPr>
      </w:pPr>
      <w:r w:rsidRPr="00215191">
        <w:rPr>
          <w:b w:val="0"/>
        </w:rPr>
        <w:t xml:space="preserve">Section 3 provides that the Determination is made under subsection 3C(1) of the </w:t>
      </w:r>
      <w:r w:rsidRPr="00215191">
        <w:rPr>
          <w:b w:val="0"/>
          <w:i/>
        </w:rPr>
        <w:t>Health Insurance Act 1973</w:t>
      </w:r>
      <w:r w:rsidRPr="00215191">
        <w:rPr>
          <w:b w:val="0"/>
        </w:rPr>
        <w:t>.</w:t>
      </w:r>
    </w:p>
    <w:p w14:paraId="457CC1AF" w14:textId="77777777" w:rsidR="007F21C2" w:rsidRPr="00215191" w:rsidRDefault="007F21C2" w:rsidP="007F21C2">
      <w:pPr>
        <w:pStyle w:val="BodyText"/>
        <w:rPr>
          <w:b w:val="0"/>
        </w:rPr>
      </w:pPr>
    </w:p>
    <w:p w14:paraId="5E1F2339" w14:textId="77777777" w:rsidR="007F21C2" w:rsidRPr="00627FDA" w:rsidRDefault="007F21C2" w:rsidP="007F21C2">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6B973AF0" w14:textId="77777777" w:rsidR="007F21C2" w:rsidRPr="00627FDA" w:rsidRDefault="007F21C2" w:rsidP="007F21C2">
      <w:pPr>
        <w:pStyle w:val="BodyText"/>
        <w:rPr>
          <w:b w:val="0"/>
          <w:szCs w:val="24"/>
          <w:highlight w:val="yellow"/>
          <w:u w:val="single"/>
        </w:rPr>
      </w:pPr>
    </w:p>
    <w:p w14:paraId="23BD0559" w14:textId="77777777" w:rsidR="007F21C2" w:rsidRDefault="007F21C2" w:rsidP="007F21C2">
      <w:pPr>
        <w:pStyle w:val="BodyText"/>
        <w:rPr>
          <w:b w:val="0"/>
          <w:szCs w:val="24"/>
        </w:rPr>
      </w:pPr>
      <w:r w:rsidRPr="00D21765">
        <w:rPr>
          <w:b w:val="0"/>
          <w:szCs w:val="24"/>
        </w:rPr>
        <w:t xml:space="preserve">Section 4 provides that that each instrument that is specified in a Schedule to this </w:t>
      </w:r>
      <w:r>
        <w:rPr>
          <w:b w:val="0"/>
          <w:szCs w:val="24"/>
        </w:rPr>
        <w:t>Determination</w:t>
      </w:r>
      <w:r w:rsidRPr="00D21765">
        <w:rPr>
          <w:b w:val="0"/>
          <w:szCs w:val="24"/>
        </w:rPr>
        <w:t xml:space="preserve"> is amended or repealed as set out in the applicable items in the Schedule concerned, and any other item in a Schedule to this </w:t>
      </w:r>
      <w:r>
        <w:rPr>
          <w:b w:val="0"/>
          <w:szCs w:val="24"/>
        </w:rPr>
        <w:t>Determination</w:t>
      </w:r>
      <w:r w:rsidRPr="00D21765">
        <w:rPr>
          <w:b w:val="0"/>
          <w:szCs w:val="24"/>
        </w:rPr>
        <w:t xml:space="preserve"> has effect according to its terms.</w:t>
      </w:r>
    </w:p>
    <w:p w14:paraId="2582DA0F" w14:textId="77777777" w:rsidR="007F21C2" w:rsidRDefault="007F21C2" w:rsidP="007F21C2">
      <w:pPr>
        <w:pStyle w:val="BodyText"/>
        <w:rPr>
          <w:b w:val="0"/>
          <w:szCs w:val="24"/>
          <w:u w:val="single"/>
        </w:rPr>
      </w:pPr>
    </w:p>
    <w:p w14:paraId="27F44A2B" w14:textId="15ED2313" w:rsidR="007F21C2" w:rsidRDefault="007F21C2" w:rsidP="007F21C2">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61CE097E" w14:textId="77777777" w:rsidR="007F21C2" w:rsidRDefault="007F21C2" w:rsidP="007F21C2">
      <w:pPr>
        <w:pStyle w:val="Header"/>
        <w:tabs>
          <w:tab w:val="num" w:pos="1080"/>
        </w:tabs>
        <w:rPr>
          <w:szCs w:val="24"/>
          <w:u w:val="single"/>
        </w:rPr>
      </w:pPr>
    </w:p>
    <w:p w14:paraId="384F179E" w14:textId="4234E0D0" w:rsidR="007F21C2" w:rsidRPr="004C73A9" w:rsidRDefault="003B24B0" w:rsidP="007F21C2">
      <w:pPr>
        <w:pStyle w:val="Header"/>
        <w:tabs>
          <w:tab w:val="num" w:pos="1080"/>
        </w:tabs>
        <w:rPr>
          <w:szCs w:val="24"/>
        </w:rPr>
      </w:pPr>
      <w:bookmarkStart w:id="1" w:name="_Toc20996832"/>
      <w:bookmarkStart w:id="2" w:name="_Toc26530497"/>
      <w:r w:rsidRPr="003B24B0">
        <w:rPr>
          <w:bCs/>
          <w:i/>
          <w:szCs w:val="24"/>
        </w:rPr>
        <w:t>Health Insurance (Section 3C Diagnostic Imaging – Nuclear Medicine Services) Determination 2019</w:t>
      </w:r>
      <w:bookmarkEnd w:id="1"/>
      <w:bookmarkEnd w:id="2"/>
      <w:r w:rsidR="000D16EC">
        <w:rPr>
          <w:bCs/>
          <w:i/>
          <w:szCs w:val="24"/>
        </w:rPr>
        <w:t>.</w:t>
      </w:r>
    </w:p>
    <w:p w14:paraId="4D49D101" w14:textId="77777777" w:rsidR="007F21C2" w:rsidRDefault="007F21C2" w:rsidP="007F21C2">
      <w:pPr>
        <w:pStyle w:val="Header"/>
        <w:tabs>
          <w:tab w:val="num" w:pos="1080"/>
        </w:tabs>
        <w:rPr>
          <w:i/>
          <w:szCs w:val="24"/>
        </w:rPr>
      </w:pPr>
    </w:p>
    <w:p w14:paraId="3576D1AB" w14:textId="08B946D3" w:rsidR="000112B0" w:rsidRDefault="00B3435C" w:rsidP="003B24B0">
      <w:pPr>
        <w:pStyle w:val="Header"/>
        <w:tabs>
          <w:tab w:val="num" w:pos="1080"/>
        </w:tabs>
        <w:rPr>
          <w:b/>
          <w:szCs w:val="24"/>
        </w:rPr>
      </w:pPr>
      <w:r>
        <w:rPr>
          <w:b/>
          <w:szCs w:val="24"/>
        </w:rPr>
        <w:t>Item</w:t>
      </w:r>
      <w:r w:rsidR="00397DFA">
        <w:rPr>
          <w:b/>
          <w:szCs w:val="24"/>
        </w:rPr>
        <w:t xml:space="preserve"> 1</w:t>
      </w:r>
      <w:r w:rsidR="007F21C2">
        <w:rPr>
          <w:b/>
          <w:szCs w:val="24"/>
        </w:rPr>
        <w:t xml:space="preserve"> –</w:t>
      </w:r>
      <w:r w:rsidR="00DF7D7E">
        <w:rPr>
          <w:b/>
          <w:szCs w:val="24"/>
        </w:rPr>
        <w:t xml:space="preserve"> </w:t>
      </w:r>
      <w:r w:rsidR="00DF7D7E" w:rsidRPr="00DF7D7E">
        <w:rPr>
          <w:szCs w:val="24"/>
        </w:rPr>
        <w:t>Provides for a new Schedule 2 to the principal determination to apply dates for the application of the items under that determination.</w:t>
      </w:r>
    </w:p>
    <w:p w14:paraId="0055F241" w14:textId="77777777" w:rsidR="003B24B0" w:rsidRPr="004E5799" w:rsidRDefault="003B24B0" w:rsidP="003B24B0">
      <w:pPr>
        <w:pStyle w:val="Header"/>
        <w:tabs>
          <w:tab w:val="num" w:pos="1080"/>
        </w:tabs>
        <w:rPr>
          <w:szCs w:val="24"/>
        </w:rPr>
      </w:pPr>
    </w:p>
    <w:p w14:paraId="17F73F5E" w14:textId="58499B20" w:rsidR="00DF7D7E" w:rsidRDefault="00DF7D7E" w:rsidP="00DF7D7E">
      <w:pPr>
        <w:pStyle w:val="Header"/>
        <w:tabs>
          <w:tab w:val="num" w:pos="1080"/>
        </w:tabs>
        <w:rPr>
          <w:b/>
          <w:szCs w:val="24"/>
        </w:rPr>
      </w:pPr>
      <w:r>
        <w:rPr>
          <w:b/>
          <w:szCs w:val="24"/>
        </w:rPr>
        <w:t xml:space="preserve">Item 2 – </w:t>
      </w:r>
      <w:r w:rsidRPr="00DF7D7E">
        <w:rPr>
          <w:szCs w:val="24"/>
        </w:rPr>
        <w:t xml:space="preserve">Inserts a new Schedule 2 to the principal </w:t>
      </w:r>
      <w:r>
        <w:rPr>
          <w:szCs w:val="24"/>
        </w:rPr>
        <w:t>d</w:t>
      </w:r>
      <w:r w:rsidRPr="00DF7D7E">
        <w:rPr>
          <w:szCs w:val="24"/>
        </w:rPr>
        <w:t xml:space="preserve">etermination a table for dates between which the substituted items in Schedule 1 of the principal </w:t>
      </w:r>
      <w:r w:rsidR="000D16EC">
        <w:rPr>
          <w:szCs w:val="24"/>
        </w:rPr>
        <w:t>determination</w:t>
      </w:r>
      <w:r w:rsidRPr="00DF7D7E">
        <w:rPr>
          <w:szCs w:val="24"/>
        </w:rPr>
        <w:t xml:space="preserve"> will apply</w:t>
      </w:r>
      <w:r>
        <w:rPr>
          <w:szCs w:val="24"/>
        </w:rPr>
        <w:t>.</w:t>
      </w:r>
      <w:r w:rsidR="00D4759D">
        <w:rPr>
          <w:szCs w:val="24"/>
        </w:rPr>
        <w:t xml:space="preserve"> </w:t>
      </w:r>
      <w:r>
        <w:rPr>
          <w:szCs w:val="24"/>
        </w:rPr>
        <w:t xml:space="preserve">This amendment closes the recent period during which the substituted items can be used on </w:t>
      </w:r>
      <w:r w:rsidR="00DF603C">
        <w:rPr>
          <w:szCs w:val="24"/>
        </w:rPr>
        <w:t>20 December 2019</w:t>
      </w:r>
      <w:r>
        <w:rPr>
          <w:szCs w:val="24"/>
        </w:rPr>
        <w:t>. A note indicates a further period may be inserted, by further amendment of the principal determination, to reopen the availability of these items.</w:t>
      </w:r>
    </w:p>
    <w:p w14:paraId="72AE3B42" w14:textId="77777777" w:rsidR="000112B0" w:rsidRPr="004E5799" w:rsidRDefault="000112B0" w:rsidP="007F21C2">
      <w:pPr>
        <w:pStyle w:val="Header"/>
        <w:tabs>
          <w:tab w:val="num" w:pos="1080"/>
        </w:tabs>
        <w:rPr>
          <w:szCs w:val="24"/>
        </w:rPr>
      </w:pPr>
    </w:p>
    <w:p w14:paraId="370D4C02" w14:textId="6DB15B99" w:rsidR="007F21C2" w:rsidRPr="0092180D" w:rsidRDefault="007F21C2" w:rsidP="007F21C2">
      <w:pPr>
        <w:pStyle w:val="Header"/>
        <w:tabs>
          <w:tab w:val="num" w:pos="1080"/>
        </w:tabs>
        <w:rPr>
          <w:szCs w:val="24"/>
        </w:rPr>
      </w:pPr>
    </w:p>
    <w:p w14:paraId="0CD864D1" w14:textId="1DE818F4" w:rsidR="00AE7239" w:rsidRDefault="00AE7239" w:rsidP="00AE7239">
      <w:pPr>
        <w:shd w:val="clear" w:color="auto" w:fill="FFFFFF"/>
        <w:contextualSpacing/>
        <w:rPr>
          <w:szCs w:val="24"/>
        </w:rPr>
        <w:sectPr w:rsidR="00AE7239" w:rsidSect="00B41A5A">
          <w:pgSz w:w="11906" w:h="16838"/>
          <w:pgMar w:top="1276" w:right="1133" w:bottom="1440" w:left="1440" w:header="720" w:footer="720" w:gutter="0"/>
          <w:paperSrc w:first="7" w:other="7"/>
          <w:cols w:space="720"/>
          <w:titlePg/>
          <w:docGrid w:linePitch="326"/>
        </w:sectPr>
      </w:pPr>
    </w:p>
    <w:p w14:paraId="359DE4BE" w14:textId="22010F32" w:rsidR="00AE7239" w:rsidRPr="00B86A9F" w:rsidRDefault="00AE7239" w:rsidP="00AE7239">
      <w:pPr>
        <w:spacing w:before="360" w:after="120"/>
        <w:jc w:val="center"/>
        <w:rPr>
          <w:b/>
          <w:sz w:val="28"/>
          <w:szCs w:val="28"/>
        </w:rPr>
      </w:pPr>
      <w:r w:rsidRPr="00B86A9F">
        <w:rPr>
          <w:b/>
          <w:sz w:val="28"/>
          <w:szCs w:val="28"/>
        </w:rPr>
        <w:lastRenderedPageBreak/>
        <w:t>Statement of Compatibility with Human Rights</w:t>
      </w:r>
    </w:p>
    <w:p w14:paraId="055D1CE7" w14:textId="77777777" w:rsidR="00AE7239" w:rsidRPr="00B86A9F" w:rsidRDefault="00AE7239" w:rsidP="00AE7239">
      <w:pPr>
        <w:spacing w:before="120" w:after="120"/>
        <w:jc w:val="center"/>
        <w:rPr>
          <w:szCs w:val="24"/>
        </w:rPr>
      </w:pPr>
      <w:r w:rsidRPr="00B86A9F">
        <w:rPr>
          <w:i/>
          <w:szCs w:val="24"/>
        </w:rPr>
        <w:t>Prepared in accordance with Part 3 of the Human Rights (Parliamentary Scrutiny) Act 2011</w:t>
      </w:r>
    </w:p>
    <w:p w14:paraId="602A6F28" w14:textId="77777777" w:rsidR="00AE7239" w:rsidRPr="00B86A9F" w:rsidRDefault="00AE7239" w:rsidP="00AE7239">
      <w:pPr>
        <w:spacing w:before="120" w:after="120"/>
        <w:jc w:val="center"/>
        <w:rPr>
          <w:szCs w:val="24"/>
        </w:rPr>
      </w:pPr>
    </w:p>
    <w:p w14:paraId="56F735EF" w14:textId="1351D27C" w:rsidR="00AE7239" w:rsidRPr="00DF7D7E" w:rsidRDefault="00DF7D7E" w:rsidP="00AE7239">
      <w:pPr>
        <w:jc w:val="center"/>
        <w:rPr>
          <w:b/>
          <w:i/>
          <w:szCs w:val="24"/>
        </w:rPr>
      </w:pPr>
      <w:r w:rsidRPr="00DF7D7E">
        <w:rPr>
          <w:b/>
          <w:i/>
        </w:rPr>
        <w:t>Health Insurance (Section 3C Diagnostic Imaging – Nuclear Medicine Services) Amendment (No. 2) Determination 2019</w:t>
      </w:r>
      <w:r w:rsidR="00AE7239" w:rsidRPr="00DF7D7E">
        <w:rPr>
          <w:b/>
          <w:i/>
          <w:szCs w:val="24"/>
        </w:rPr>
        <w:br/>
      </w:r>
    </w:p>
    <w:p w14:paraId="64DCFAF2" w14:textId="77777777" w:rsidR="00AE7239" w:rsidRPr="00B86A9F" w:rsidRDefault="00AE7239" w:rsidP="00AE7239">
      <w:pPr>
        <w:jc w:val="center"/>
        <w:rPr>
          <w:szCs w:val="24"/>
        </w:rPr>
      </w:pPr>
      <w:r w:rsidRPr="00B86A9F">
        <w:rPr>
          <w:szCs w:val="24"/>
        </w:rPr>
        <w:t xml:space="preserve">This </w:t>
      </w:r>
      <w:r>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0C94100D" w14:textId="77777777" w:rsidR="00AE7239" w:rsidRPr="00EB601D" w:rsidRDefault="00AE7239" w:rsidP="00AE7239">
      <w:pPr>
        <w:jc w:val="center"/>
        <w:rPr>
          <w:szCs w:val="24"/>
          <w:highlight w:val="yellow"/>
        </w:rPr>
      </w:pPr>
    </w:p>
    <w:p w14:paraId="2738790C" w14:textId="77777777" w:rsidR="00AE7239" w:rsidRPr="00B86A9F" w:rsidRDefault="00AE7239" w:rsidP="00AE7239">
      <w:pPr>
        <w:spacing w:before="120" w:after="120"/>
        <w:rPr>
          <w:b/>
          <w:szCs w:val="24"/>
        </w:rPr>
      </w:pPr>
      <w:r w:rsidRPr="00B86A9F">
        <w:rPr>
          <w:b/>
          <w:szCs w:val="24"/>
        </w:rPr>
        <w:t>Overview of the Determination</w:t>
      </w:r>
    </w:p>
    <w:p w14:paraId="6EA8FA30" w14:textId="70538F95" w:rsidR="007F21C2" w:rsidRPr="00A166DD" w:rsidRDefault="007F21C2" w:rsidP="007F21C2">
      <w:pPr>
        <w:rPr>
          <w:b/>
          <w:i/>
          <w:szCs w:val="24"/>
        </w:rPr>
      </w:pPr>
      <w:r>
        <w:rPr>
          <w:szCs w:val="24"/>
        </w:rPr>
        <w:t xml:space="preserve">The purpose of the </w:t>
      </w:r>
      <w:r w:rsidR="00DF7D7E" w:rsidRPr="00DF7D7E">
        <w:rPr>
          <w:i/>
        </w:rPr>
        <w:t>Health Insurance (Section 3C Diagnostic Imaging – Nuclear Medicine Services) Amendment (No. 2) Determination 2019</w:t>
      </w:r>
      <w:r w:rsidR="001B7F67" w:rsidRPr="001B7F67">
        <w:rPr>
          <w:b/>
          <w:bCs/>
          <w:szCs w:val="24"/>
        </w:rPr>
        <w:t xml:space="preserve"> </w:t>
      </w:r>
      <w:r>
        <w:rPr>
          <w:szCs w:val="24"/>
        </w:rPr>
        <w:t xml:space="preserve">(the Determination) is to </w:t>
      </w:r>
      <w:r w:rsidR="00747651">
        <w:rPr>
          <w:szCs w:val="24"/>
        </w:rPr>
        <w:t xml:space="preserve">suspend the application of substituted diagnostic imaging nuclear medicine items following the restoration of availability of the usual table items. The new </w:t>
      </w:r>
      <w:r w:rsidR="000D16EC">
        <w:rPr>
          <w:szCs w:val="24"/>
        </w:rPr>
        <w:t>S</w:t>
      </w:r>
      <w:r w:rsidR="00747651">
        <w:rPr>
          <w:szCs w:val="24"/>
        </w:rPr>
        <w:t>chedule 2 will, however, permit a further period to be determined should another shortage of essential resources occur such that the usual nuclear medicine diagnostic imaging items become unavailable again.</w:t>
      </w:r>
    </w:p>
    <w:p w14:paraId="6392E72A" w14:textId="77777777" w:rsidR="007F21C2" w:rsidRDefault="007F21C2" w:rsidP="007F21C2">
      <w:pPr>
        <w:rPr>
          <w:szCs w:val="24"/>
        </w:rPr>
      </w:pPr>
    </w:p>
    <w:p w14:paraId="00BB4B5C" w14:textId="77777777" w:rsidR="00AE7239" w:rsidRPr="00B86A9F" w:rsidRDefault="00AE7239" w:rsidP="00AE7239">
      <w:pPr>
        <w:spacing w:before="120" w:after="120"/>
        <w:rPr>
          <w:b/>
          <w:szCs w:val="24"/>
        </w:rPr>
      </w:pPr>
      <w:r w:rsidRPr="00B86A9F">
        <w:rPr>
          <w:b/>
          <w:szCs w:val="24"/>
        </w:rPr>
        <w:t>Human rights implications</w:t>
      </w:r>
    </w:p>
    <w:p w14:paraId="2C46C4AA" w14:textId="77777777" w:rsidR="00AE7239" w:rsidRPr="00B86A9F" w:rsidRDefault="00AE7239" w:rsidP="00AE7239">
      <w:pPr>
        <w:spacing w:before="120" w:after="120"/>
        <w:rPr>
          <w:szCs w:val="24"/>
        </w:rPr>
      </w:pPr>
      <w:r w:rsidRPr="00B86A9F">
        <w:rPr>
          <w:szCs w:val="24"/>
        </w:rPr>
        <w:t>Th</w:t>
      </w:r>
      <w:r>
        <w:rPr>
          <w:szCs w:val="24"/>
        </w:rPr>
        <w:t>is</w:t>
      </w:r>
      <w:r w:rsidRPr="00B86A9F">
        <w:rPr>
          <w:szCs w:val="24"/>
        </w:rPr>
        <w:t xml:space="preserve"> </w:t>
      </w:r>
      <w:r>
        <w:rPr>
          <w:szCs w:val="24"/>
        </w:rPr>
        <w:t>instrument</w:t>
      </w:r>
      <w:r w:rsidRPr="00B86A9F">
        <w:rPr>
          <w:szCs w:val="24"/>
        </w:rPr>
        <w:t xml:space="preserve"> engages Articles 9 and 12 of the International Covenant on Economic Social and Cultural Rights (ICESCR), specifically the rights to health and social security. </w:t>
      </w:r>
    </w:p>
    <w:p w14:paraId="31F38919" w14:textId="77777777" w:rsidR="00AE7239" w:rsidRPr="00B86A9F" w:rsidRDefault="00AE7239" w:rsidP="00AE7239">
      <w:pPr>
        <w:spacing w:before="120" w:after="120"/>
        <w:rPr>
          <w:i/>
          <w:szCs w:val="24"/>
        </w:rPr>
      </w:pPr>
      <w:r w:rsidRPr="00B86A9F">
        <w:rPr>
          <w:i/>
          <w:szCs w:val="24"/>
        </w:rPr>
        <w:t>The Right to Health</w:t>
      </w:r>
    </w:p>
    <w:p w14:paraId="66DF532B" w14:textId="77777777" w:rsidR="00AE7239" w:rsidRPr="00B86A9F" w:rsidRDefault="00AE7239" w:rsidP="00AE7239">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0867AF7" w14:textId="30016D25" w:rsidR="00AE7239" w:rsidRPr="00B86A9F" w:rsidRDefault="00AE7239" w:rsidP="00AE7239">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B86A9F" w:rsidRDefault="00AE7239" w:rsidP="00AE7239">
      <w:pPr>
        <w:spacing w:before="120" w:after="120"/>
        <w:rPr>
          <w:i/>
          <w:szCs w:val="24"/>
        </w:rPr>
      </w:pPr>
      <w:r w:rsidRPr="00B86A9F">
        <w:rPr>
          <w:i/>
          <w:szCs w:val="24"/>
        </w:rPr>
        <w:t xml:space="preserve">The Right to Social Security </w:t>
      </w:r>
    </w:p>
    <w:p w14:paraId="3A28EC0C" w14:textId="77777777" w:rsidR="00AE7239" w:rsidRPr="00B86A9F" w:rsidRDefault="00AE7239" w:rsidP="00AE7239">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77777777" w:rsidR="00AE7239" w:rsidRPr="00B86A9F" w:rsidRDefault="00AE7239" w:rsidP="00AE7239">
      <w:pPr>
        <w:spacing w:before="120" w:after="120"/>
        <w:rPr>
          <w:szCs w:val="24"/>
        </w:rPr>
      </w:pPr>
      <w:r w:rsidRPr="00B86A9F">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w:t>
      </w:r>
      <w:r w:rsidRPr="00B86A9F">
        <w:rPr>
          <w:szCs w:val="24"/>
        </w:rPr>
        <w:lastRenderedPageBreak/>
        <w:t>resources in ways that it considers to be more effective at meeting the general health needs of all society, particularly the needs of the more disadvantaged members of society.</w:t>
      </w:r>
    </w:p>
    <w:p w14:paraId="11DADF85" w14:textId="77777777" w:rsidR="00AE7239" w:rsidRPr="00B86A9F" w:rsidRDefault="00AE7239" w:rsidP="00AE7239">
      <w:pPr>
        <w:spacing w:before="120" w:after="120"/>
        <w:rPr>
          <w:szCs w:val="24"/>
          <w:u w:val="single"/>
        </w:rPr>
      </w:pPr>
      <w:r w:rsidRPr="00B86A9F">
        <w:rPr>
          <w:szCs w:val="24"/>
          <w:u w:val="single"/>
        </w:rPr>
        <w:t xml:space="preserve">Analysis </w:t>
      </w:r>
    </w:p>
    <w:p w14:paraId="7A68A5B5" w14:textId="612BAA6B" w:rsidR="007F21C2" w:rsidRDefault="007F21C2" w:rsidP="007F21C2">
      <w:pPr>
        <w:rPr>
          <w:szCs w:val="24"/>
        </w:rPr>
      </w:pPr>
      <w:r w:rsidRPr="00457744">
        <w:rPr>
          <w:szCs w:val="24"/>
        </w:rPr>
        <w:t xml:space="preserve">This </w:t>
      </w:r>
      <w:r w:rsidR="000D16EC">
        <w:rPr>
          <w:szCs w:val="24"/>
        </w:rPr>
        <w:t>I</w:t>
      </w:r>
      <w:r>
        <w:rPr>
          <w:szCs w:val="24"/>
        </w:rPr>
        <w:t>nstrument</w:t>
      </w:r>
      <w:r w:rsidRPr="00457744">
        <w:rPr>
          <w:szCs w:val="24"/>
        </w:rPr>
        <w:t xml:space="preserve"> maintain</w:t>
      </w:r>
      <w:r w:rsidR="00F3781E">
        <w:rPr>
          <w:szCs w:val="24"/>
        </w:rPr>
        <w:t>s</w:t>
      </w:r>
      <w:r w:rsidRPr="00457744">
        <w:rPr>
          <w:szCs w:val="24"/>
        </w:rPr>
        <w:t xml:space="preserve"> the right to health and the right to social security.</w:t>
      </w:r>
      <w:r w:rsidR="001B7F67">
        <w:rPr>
          <w:szCs w:val="24"/>
        </w:rPr>
        <w:t xml:space="preserve"> </w:t>
      </w:r>
      <w:r w:rsidR="00CD3416">
        <w:rPr>
          <w:szCs w:val="24"/>
        </w:rPr>
        <w:t xml:space="preserve">The Instrument </w:t>
      </w:r>
      <w:r w:rsidR="00747651">
        <w:rPr>
          <w:szCs w:val="24"/>
        </w:rPr>
        <w:t>provides an ongoing mechanism for providing</w:t>
      </w:r>
      <w:r w:rsidR="00076001">
        <w:rPr>
          <w:szCs w:val="24"/>
        </w:rPr>
        <w:t xml:space="preserve"> and funding appropriate</w:t>
      </w:r>
      <w:r w:rsidR="00747651">
        <w:rPr>
          <w:szCs w:val="24"/>
        </w:rPr>
        <w:t xml:space="preserve"> substitute services</w:t>
      </w:r>
      <w:r w:rsidR="00076001">
        <w:rPr>
          <w:szCs w:val="24"/>
        </w:rPr>
        <w:t xml:space="preserve"> and benefits</w:t>
      </w:r>
      <w:r w:rsidR="00747651">
        <w:rPr>
          <w:szCs w:val="24"/>
        </w:rPr>
        <w:t xml:space="preserve"> for </w:t>
      </w:r>
      <w:r w:rsidR="00076001">
        <w:rPr>
          <w:szCs w:val="24"/>
        </w:rPr>
        <w:t xml:space="preserve">all </w:t>
      </w:r>
      <w:r w:rsidR="00747651">
        <w:rPr>
          <w:szCs w:val="24"/>
        </w:rPr>
        <w:t xml:space="preserve">patients in the event of a </w:t>
      </w:r>
      <w:r w:rsidR="00DF603C">
        <w:rPr>
          <w:szCs w:val="24"/>
        </w:rPr>
        <w:t>national shortage in the supply</w:t>
      </w:r>
      <w:r w:rsidR="00747651">
        <w:rPr>
          <w:szCs w:val="24"/>
        </w:rPr>
        <w:t xml:space="preserve"> of the essential </w:t>
      </w:r>
      <w:r w:rsidR="000D16EC">
        <w:rPr>
          <w:szCs w:val="24"/>
        </w:rPr>
        <w:t>resources</w:t>
      </w:r>
      <w:r w:rsidR="00747651">
        <w:rPr>
          <w:szCs w:val="24"/>
        </w:rPr>
        <w:t xml:space="preserve"> for </w:t>
      </w:r>
      <w:r w:rsidR="00076001">
        <w:rPr>
          <w:szCs w:val="24"/>
        </w:rPr>
        <w:t>undertaking</w:t>
      </w:r>
      <w:r w:rsidR="00747651">
        <w:rPr>
          <w:szCs w:val="24"/>
        </w:rPr>
        <w:t xml:space="preserve"> the usual nuclear medicine diagnostic imaging services</w:t>
      </w:r>
      <w:r w:rsidR="00076001">
        <w:rPr>
          <w:szCs w:val="24"/>
        </w:rPr>
        <w:t>.</w:t>
      </w:r>
    </w:p>
    <w:p w14:paraId="4B2868C1" w14:textId="77777777" w:rsidR="00AE7239" w:rsidRPr="00B86A9F" w:rsidRDefault="00AE7239" w:rsidP="00AE7239">
      <w:pPr>
        <w:spacing w:before="120" w:after="120" w:line="276" w:lineRule="auto"/>
        <w:rPr>
          <w:rFonts w:eastAsia="Calibri"/>
          <w:b/>
          <w:szCs w:val="24"/>
          <w:lang w:eastAsia="en-US"/>
        </w:rPr>
      </w:pPr>
      <w:r w:rsidRPr="00B86A9F">
        <w:rPr>
          <w:rFonts w:eastAsia="Calibri"/>
          <w:b/>
          <w:szCs w:val="24"/>
          <w:lang w:eastAsia="en-US"/>
        </w:rPr>
        <w:t xml:space="preserve">Conclusion </w:t>
      </w:r>
    </w:p>
    <w:p w14:paraId="684785EF" w14:textId="450073D2" w:rsidR="00AE7239" w:rsidRPr="00B86A9F" w:rsidRDefault="00AE7239" w:rsidP="00AE7239">
      <w:pPr>
        <w:rPr>
          <w:szCs w:val="24"/>
        </w:rPr>
      </w:pPr>
      <w:r w:rsidRPr="00B86A9F">
        <w:rPr>
          <w:szCs w:val="24"/>
        </w:rPr>
        <w:t xml:space="preserve">This </w:t>
      </w:r>
      <w:r w:rsidR="000D16EC">
        <w:rPr>
          <w:szCs w:val="24"/>
        </w:rPr>
        <w:t>I</w:t>
      </w:r>
      <w:r>
        <w:rPr>
          <w:szCs w:val="24"/>
        </w:rPr>
        <w:t>nstrument</w:t>
      </w:r>
      <w:r w:rsidRPr="00B86A9F">
        <w:rPr>
          <w:szCs w:val="24"/>
        </w:rPr>
        <w:t xml:space="preserve"> is compatible with human rights as it </w:t>
      </w:r>
      <w:r w:rsidR="001B7F67">
        <w:rPr>
          <w:szCs w:val="24"/>
        </w:rPr>
        <w:t xml:space="preserve">maintains </w:t>
      </w:r>
      <w:r>
        <w:rPr>
          <w:szCs w:val="24"/>
        </w:rPr>
        <w:t xml:space="preserve">the right to health and the right to social security. </w:t>
      </w:r>
    </w:p>
    <w:p w14:paraId="2DD4846E" w14:textId="77777777" w:rsidR="004E57AC" w:rsidRPr="004E57AC" w:rsidRDefault="004E57AC" w:rsidP="004E57AC">
      <w:pPr>
        <w:jc w:val="center"/>
        <w:rPr>
          <w:rFonts w:eastAsia="Calibri"/>
          <w:b/>
          <w:szCs w:val="24"/>
          <w:lang w:eastAsia="en-US"/>
        </w:rPr>
      </w:pPr>
      <w:r w:rsidRPr="004E57AC">
        <w:rPr>
          <w:rFonts w:eastAsia="Calibri"/>
          <w:b/>
          <w:szCs w:val="24"/>
          <w:lang w:eastAsia="en-US"/>
        </w:rPr>
        <w:t>Renaye Lucchese</w:t>
      </w:r>
    </w:p>
    <w:p w14:paraId="4CE94EAB" w14:textId="08805CDA" w:rsidR="004E57AC" w:rsidRPr="004E57AC" w:rsidRDefault="004E57AC" w:rsidP="004E57AC">
      <w:pPr>
        <w:jc w:val="center"/>
        <w:rPr>
          <w:rFonts w:eastAsia="Calibri"/>
          <w:b/>
          <w:szCs w:val="24"/>
          <w:lang w:eastAsia="en-US"/>
        </w:rPr>
      </w:pPr>
      <w:r w:rsidRPr="004E57AC">
        <w:rPr>
          <w:rFonts w:eastAsia="Calibri"/>
          <w:b/>
          <w:szCs w:val="24"/>
          <w:lang w:eastAsia="en-US"/>
        </w:rPr>
        <w:t>Acting Assistant Secretary</w:t>
      </w:r>
    </w:p>
    <w:p w14:paraId="2D7BE6BD" w14:textId="77777777" w:rsidR="004E57AC" w:rsidRPr="004E57AC" w:rsidRDefault="004E57AC" w:rsidP="004E57AC">
      <w:pPr>
        <w:jc w:val="center"/>
        <w:rPr>
          <w:rFonts w:eastAsia="Calibri"/>
          <w:b/>
          <w:szCs w:val="24"/>
          <w:lang w:eastAsia="en-US"/>
        </w:rPr>
      </w:pPr>
      <w:r w:rsidRPr="004E57AC">
        <w:rPr>
          <w:rFonts w:eastAsia="Calibri"/>
          <w:b/>
          <w:szCs w:val="24"/>
          <w:lang w:eastAsia="en-US"/>
        </w:rPr>
        <w:t>Diagnostic Imaging and Pathology Branch</w:t>
      </w:r>
    </w:p>
    <w:p w14:paraId="054FBABA" w14:textId="77777777" w:rsidR="004E57AC" w:rsidRPr="004E57AC" w:rsidRDefault="004E57AC" w:rsidP="004E57AC">
      <w:pPr>
        <w:jc w:val="center"/>
        <w:rPr>
          <w:rFonts w:eastAsia="Calibri"/>
          <w:b/>
          <w:szCs w:val="24"/>
          <w:lang w:eastAsia="en-US"/>
        </w:rPr>
      </w:pPr>
      <w:r w:rsidRPr="004E57AC">
        <w:rPr>
          <w:rFonts w:eastAsia="Calibri"/>
          <w:b/>
          <w:szCs w:val="24"/>
          <w:lang w:eastAsia="en-US"/>
        </w:rPr>
        <w:t>Medical Benefits Division</w:t>
      </w:r>
    </w:p>
    <w:p w14:paraId="5EBB31C8" w14:textId="77777777" w:rsidR="004E57AC" w:rsidRPr="004E57AC" w:rsidRDefault="004E57AC" w:rsidP="004E57AC">
      <w:pPr>
        <w:jc w:val="center"/>
        <w:rPr>
          <w:rFonts w:eastAsia="Calibri"/>
          <w:b/>
          <w:szCs w:val="24"/>
          <w:lang w:eastAsia="en-US"/>
        </w:rPr>
      </w:pPr>
      <w:r w:rsidRPr="004E57AC">
        <w:rPr>
          <w:rFonts w:eastAsia="Calibri"/>
          <w:b/>
          <w:szCs w:val="24"/>
          <w:lang w:eastAsia="en-US"/>
        </w:rPr>
        <w:t>Health Financing Group</w:t>
      </w:r>
    </w:p>
    <w:p w14:paraId="4E71B90C" w14:textId="77777777" w:rsidR="004E57AC" w:rsidRPr="004E57AC" w:rsidRDefault="004E57AC" w:rsidP="004E57AC">
      <w:pPr>
        <w:jc w:val="center"/>
        <w:rPr>
          <w:rFonts w:eastAsia="Calibri"/>
          <w:b/>
          <w:szCs w:val="24"/>
          <w:lang w:eastAsia="en-US"/>
        </w:rPr>
      </w:pPr>
      <w:r w:rsidRPr="004E57AC">
        <w:rPr>
          <w:rFonts w:eastAsia="Calibri"/>
          <w:b/>
          <w:szCs w:val="24"/>
          <w:lang w:eastAsia="en-US"/>
        </w:rPr>
        <w:t>Department of Health</w:t>
      </w:r>
    </w:p>
    <w:p w14:paraId="1AEA0927" w14:textId="77777777" w:rsidR="00AE7239" w:rsidRPr="004E57AC" w:rsidRDefault="00AE7239" w:rsidP="004E57AC">
      <w:pPr>
        <w:jc w:val="center"/>
        <w:rPr>
          <w:rFonts w:eastAsia="Calibri"/>
          <w:b/>
          <w:szCs w:val="24"/>
          <w:lang w:eastAsia="en-US"/>
        </w:rPr>
      </w:pPr>
    </w:p>
    <w:sectPr w:rsidR="00AE7239" w:rsidRPr="004E57AC" w:rsidSect="00B41A5A">
      <w:pgSz w:w="11906" w:h="16838"/>
      <w:pgMar w:top="1276"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677FBB" w:rsidRDefault="00677FBB">
      <w:r>
        <w:separator/>
      </w:r>
    </w:p>
  </w:endnote>
  <w:endnote w:type="continuationSeparator" w:id="0">
    <w:p w14:paraId="20718AEE" w14:textId="77777777" w:rsidR="00677FBB" w:rsidRDefault="006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935937"/>
      <w:docPartObj>
        <w:docPartGallery w:val="Page Numbers (Bottom of Page)"/>
        <w:docPartUnique/>
      </w:docPartObj>
    </w:sdtPr>
    <w:sdtEndPr>
      <w:rPr>
        <w:noProof/>
      </w:rPr>
    </w:sdtEndPr>
    <w:sdtContent>
      <w:p w14:paraId="399756EF" w14:textId="372A42B9" w:rsidR="00677FBB" w:rsidRDefault="00677FBB">
        <w:pPr>
          <w:pStyle w:val="Footer"/>
          <w:jc w:val="center"/>
        </w:pPr>
        <w:r>
          <w:fldChar w:fldCharType="begin"/>
        </w:r>
        <w:r>
          <w:instrText xml:space="preserve"> PAGE   \* MERGEFORMAT </w:instrText>
        </w:r>
        <w:r>
          <w:fldChar w:fldCharType="separate"/>
        </w:r>
        <w:r w:rsidR="00FB664B">
          <w:rPr>
            <w:noProof/>
          </w:rPr>
          <w:t>5</w:t>
        </w:r>
        <w:r>
          <w:rPr>
            <w:noProof/>
          </w:rPr>
          <w:fldChar w:fldCharType="end"/>
        </w:r>
      </w:p>
    </w:sdtContent>
  </w:sdt>
  <w:p w14:paraId="6285C3B5" w14:textId="77777777" w:rsidR="00677FBB" w:rsidRDefault="0067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343859"/>
      <w:docPartObj>
        <w:docPartGallery w:val="Page Numbers (Bottom of Page)"/>
        <w:docPartUnique/>
      </w:docPartObj>
    </w:sdtPr>
    <w:sdtEndPr>
      <w:rPr>
        <w:noProof/>
      </w:rPr>
    </w:sdtEndPr>
    <w:sdtContent>
      <w:p w14:paraId="5ED65879" w14:textId="3FD65369" w:rsidR="00677FBB" w:rsidRDefault="00677FBB">
        <w:pPr>
          <w:pStyle w:val="Footer"/>
          <w:jc w:val="center"/>
        </w:pPr>
        <w:r>
          <w:fldChar w:fldCharType="begin"/>
        </w:r>
        <w:r>
          <w:instrText xml:space="preserve"> PAGE   \* MERGEFORMAT </w:instrText>
        </w:r>
        <w:r>
          <w:fldChar w:fldCharType="separate"/>
        </w:r>
        <w:r w:rsidR="00FB664B">
          <w:rPr>
            <w:noProof/>
          </w:rPr>
          <w:t>1</w:t>
        </w:r>
        <w:r>
          <w:rPr>
            <w:noProof/>
          </w:rPr>
          <w:fldChar w:fldCharType="end"/>
        </w:r>
      </w:p>
    </w:sdtContent>
  </w:sdt>
  <w:p w14:paraId="04733CAA" w14:textId="77777777" w:rsidR="00677FBB" w:rsidRDefault="0067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677FBB" w:rsidRDefault="00677FBB">
      <w:r>
        <w:separator/>
      </w:r>
    </w:p>
  </w:footnote>
  <w:footnote w:type="continuationSeparator" w:id="0">
    <w:p w14:paraId="5F92F2AF" w14:textId="77777777" w:rsidR="00677FBB" w:rsidRDefault="0067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677FBB" w:rsidRDefault="00677FBB"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677FBB" w:rsidRDefault="00677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A" w14:textId="7217CEA3" w:rsidR="00677FBB" w:rsidRDefault="00677FBB">
    <w:pPr>
      <w:pStyle w:val="Header"/>
      <w:jc w:val="center"/>
    </w:pPr>
  </w:p>
  <w:p w14:paraId="2412D17B" w14:textId="77777777" w:rsidR="00677FBB" w:rsidRDefault="00677FBB"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35B755B0" w:rsidR="00677FBB" w:rsidRDefault="00FB664B">
        <w:pPr>
          <w:pStyle w:val="Header"/>
          <w:jc w:val="center"/>
        </w:pPr>
      </w:p>
    </w:sdtContent>
  </w:sdt>
  <w:p w14:paraId="2412D17D" w14:textId="77777777" w:rsidR="00677FBB" w:rsidRDefault="0067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62938"/>
    <w:multiLevelType w:val="hybridMultilevel"/>
    <w:tmpl w:val="62466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7B1CF1"/>
    <w:multiLevelType w:val="hybridMultilevel"/>
    <w:tmpl w:val="2E3409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7"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1"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4"/>
  </w:num>
  <w:num w:numId="4">
    <w:abstractNumId w:val="16"/>
  </w:num>
  <w:num w:numId="5">
    <w:abstractNumId w:val="20"/>
  </w:num>
  <w:num w:numId="6">
    <w:abstractNumId w:val="13"/>
  </w:num>
  <w:num w:numId="7">
    <w:abstractNumId w:val="33"/>
  </w:num>
  <w:num w:numId="8">
    <w:abstractNumId w:val="10"/>
  </w:num>
  <w:num w:numId="9">
    <w:abstractNumId w:val="7"/>
  </w:num>
  <w:num w:numId="10">
    <w:abstractNumId w:val="35"/>
  </w:num>
  <w:num w:numId="11">
    <w:abstractNumId w:val="32"/>
  </w:num>
  <w:num w:numId="12">
    <w:abstractNumId w:val="18"/>
  </w:num>
  <w:num w:numId="13">
    <w:abstractNumId w:val="19"/>
  </w:num>
  <w:num w:numId="14">
    <w:abstractNumId w:val="30"/>
  </w:num>
  <w:num w:numId="15">
    <w:abstractNumId w:val="11"/>
  </w:num>
  <w:num w:numId="16">
    <w:abstractNumId w:val="22"/>
  </w:num>
  <w:num w:numId="17">
    <w:abstractNumId w:val="25"/>
  </w:num>
  <w:num w:numId="18">
    <w:abstractNumId w:val="23"/>
  </w:num>
  <w:num w:numId="19">
    <w:abstractNumId w:val="6"/>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2"/>
  </w:num>
  <w:num w:numId="26">
    <w:abstractNumId w:val="1"/>
  </w:num>
  <w:num w:numId="27">
    <w:abstractNumId w:val="5"/>
  </w:num>
  <w:num w:numId="28">
    <w:abstractNumId w:val="9"/>
  </w:num>
  <w:num w:numId="29">
    <w:abstractNumId w:val="31"/>
  </w:num>
  <w:num w:numId="30">
    <w:abstractNumId w:val="3"/>
  </w:num>
  <w:num w:numId="31">
    <w:abstractNumId w:val="28"/>
  </w:num>
  <w:num w:numId="32">
    <w:abstractNumId w:val="26"/>
  </w:num>
  <w:num w:numId="33">
    <w:abstractNumId w:val="34"/>
  </w:num>
  <w:num w:numId="34">
    <w:abstractNumId w:val="8"/>
  </w:num>
  <w:num w:numId="35">
    <w:abstractNumId w:val="27"/>
  </w:num>
  <w:num w:numId="36">
    <w:abstractNumId w:val="14"/>
  </w:num>
  <w:num w:numId="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12B0"/>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3034"/>
    <w:rsid w:val="000337CB"/>
    <w:rsid w:val="00034E86"/>
    <w:rsid w:val="0003591F"/>
    <w:rsid w:val="00035D27"/>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001"/>
    <w:rsid w:val="00076C34"/>
    <w:rsid w:val="00076FE3"/>
    <w:rsid w:val="00080116"/>
    <w:rsid w:val="00081188"/>
    <w:rsid w:val="00081C37"/>
    <w:rsid w:val="0009514A"/>
    <w:rsid w:val="000969EF"/>
    <w:rsid w:val="000A199B"/>
    <w:rsid w:val="000A31F2"/>
    <w:rsid w:val="000A424E"/>
    <w:rsid w:val="000A45BE"/>
    <w:rsid w:val="000A467F"/>
    <w:rsid w:val="000A6D18"/>
    <w:rsid w:val="000A6FB3"/>
    <w:rsid w:val="000A7B9B"/>
    <w:rsid w:val="000B0C6E"/>
    <w:rsid w:val="000B25E0"/>
    <w:rsid w:val="000B3452"/>
    <w:rsid w:val="000B36DF"/>
    <w:rsid w:val="000B500D"/>
    <w:rsid w:val="000C04B2"/>
    <w:rsid w:val="000C1226"/>
    <w:rsid w:val="000C12EE"/>
    <w:rsid w:val="000C20EF"/>
    <w:rsid w:val="000C3D8A"/>
    <w:rsid w:val="000C46E6"/>
    <w:rsid w:val="000C4B3D"/>
    <w:rsid w:val="000C4E9E"/>
    <w:rsid w:val="000C5BA2"/>
    <w:rsid w:val="000C6797"/>
    <w:rsid w:val="000C6FF8"/>
    <w:rsid w:val="000C7FE1"/>
    <w:rsid w:val="000D1325"/>
    <w:rsid w:val="000D16EC"/>
    <w:rsid w:val="000D1A87"/>
    <w:rsid w:val="000D2300"/>
    <w:rsid w:val="000D3B79"/>
    <w:rsid w:val="000D7803"/>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68B6"/>
    <w:rsid w:val="00107F36"/>
    <w:rsid w:val="0011066E"/>
    <w:rsid w:val="00113B2E"/>
    <w:rsid w:val="00120766"/>
    <w:rsid w:val="00121189"/>
    <w:rsid w:val="00121A66"/>
    <w:rsid w:val="00130BF2"/>
    <w:rsid w:val="001310D8"/>
    <w:rsid w:val="00132087"/>
    <w:rsid w:val="00134B27"/>
    <w:rsid w:val="00135D0D"/>
    <w:rsid w:val="001400C4"/>
    <w:rsid w:val="00141323"/>
    <w:rsid w:val="00141E8C"/>
    <w:rsid w:val="00143943"/>
    <w:rsid w:val="00145918"/>
    <w:rsid w:val="00145D25"/>
    <w:rsid w:val="00145DED"/>
    <w:rsid w:val="001519E4"/>
    <w:rsid w:val="00152304"/>
    <w:rsid w:val="00153D99"/>
    <w:rsid w:val="00154FC4"/>
    <w:rsid w:val="0015521F"/>
    <w:rsid w:val="00161063"/>
    <w:rsid w:val="001641C0"/>
    <w:rsid w:val="0016646C"/>
    <w:rsid w:val="00167DA1"/>
    <w:rsid w:val="00167EC6"/>
    <w:rsid w:val="0017187F"/>
    <w:rsid w:val="001734C9"/>
    <w:rsid w:val="00174E96"/>
    <w:rsid w:val="001770D9"/>
    <w:rsid w:val="0017759F"/>
    <w:rsid w:val="0018012F"/>
    <w:rsid w:val="00180742"/>
    <w:rsid w:val="00181B3E"/>
    <w:rsid w:val="00181F74"/>
    <w:rsid w:val="00182F72"/>
    <w:rsid w:val="00183C10"/>
    <w:rsid w:val="0018422D"/>
    <w:rsid w:val="0018451D"/>
    <w:rsid w:val="001865F8"/>
    <w:rsid w:val="001867EA"/>
    <w:rsid w:val="00187EE5"/>
    <w:rsid w:val="00190FC9"/>
    <w:rsid w:val="0019289B"/>
    <w:rsid w:val="001929C3"/>
    <w:rsid w:val="0019464A"/>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1B86"/>
    <w:rsid w:val="001C261D"/>
    <w:rsid w:val="001C35BC"/>
    <w:rsid w:val="001C5FC1"/>
    <w:rsid w:val="001C6713"/>
    <w:rsid w:val="001D1417"/>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179"/>
    <w:rsid w:val="00225B50"/>
    <w:rsid w:val="00225D8E"/>
    <w:rsid w:val="002264F4"/>
    <w:rsid w:val="002322A8"/>
    <w:rsid w:val="0023311C"/>
    <w:rsid w:val="00233348"/>
    <w:rsid w:val="0023337A"/>
    <w:rsid w:val="00233BEB"/>
    <w:rsid w:val="00236DF2"/>
    <w:rsid w:val="0024152E"/>
    <w:rsid w:val="00242974"/>
    <w:rsid w:val="00244D84"/>
    <w:rsid w:val="00247818"/>
    <w:rsid w:val="00250061"/>
    <w:rsid w:val="00250414"/>
    <w:rsid w:val="00250642"/>
    <w:rsid w:val="00251E4A"/>
    <w:rsid w:val="00251F50"/>
    <w:rsid w:val="00253E30"/>
    <w:rsid w:val="0025493F"/>
    <w:rsid w:val="00254E5D"/>
    <w:rsid w:val="00257E4D"/>
    <w:rsid w:val="00262865"/>
    <w:rsid w:val="00263279"/>
    <w:rsid w:val="002643FC"/>
    <w:rsid w:val="002671DA"/>
    <w:rsid w:val="00270055"/>
    <w:rsid w:val="00273BB7"/>
    <w:rsid w:val="00274073"/>
    <w:rsid w:val="0027545F"/>
    <w:rsid w:val="0027610D"/>
    <w:rsid w:val="00281918"/>
    <w:rsid w:val="00282B79"/>
    <w:rsid w:val="00282C2A"/>
    <w:rsid w:val="00284483"/>
    <w:rsid w:val="00285256"/>
    <w:rsid w:val="00287AEF"/>
    <w:rsid w:val="00287B08"/>
    <w:rsid w:val="00290B98"/>
    <w:rsid w:val="00293C47"/>
    <w:rsid w:val="002944D4"/>
    <w:rsid w:val="00296763"/>
    <w:rsid w:val="00296E1C"/>
    <w:rsid w:val="0029737E"/>
    <w:rsid w:val="00297AD0"/>
    <w:rsid w:val="002A0CC8"/>
    <w:rsid w:val="002A3243"/>
    <w:rsid w:val="002A5CDF"/>
    <w:rsid w:val="002A68B3"/>
    <w:rsid w:val="002A6B78"/>
    <w:rsid w:val="002B0A52"/>
    <w:rsid w:val="002B2AC5"/>
    <w:rsid w:val="002B2E78"/>
    <w:rsid w:val="002B49DE"/>
    <w:rsid w:val="002B4E4D"/>
    <w:rsid w:val="002B5085"/>
    <w:rsid w:val="002B53D3"/>
    <w:rsid w:val="002B6D15"/>
    <w:rsid w:val="002B7177"/>
    <w:rsid w:val="002C4F5B"/>
    <w:rsid w:val="002C54A1"/>
    <w:rsid w:val="002C59F8"/>
    <w:rsid w:val="002C5DCD"/>
    <w:rsid w:val="002D03AB"/>
    <w:rsid w:val="002D2A4E"/>
    <w:rsid w:val="002D5294"/>
    <w:rsid w:val="002D5DFC"/>
    <w:rsid w:val="002D5E92"/>
    <w:rsid w:val="002D6269"/>
    <w:rsid w:val="002D629A"/>
    <w:rsid w:val="002E0751"/>
    <w:rsid w:val="002E12C3"/>
    <w:rsid w:val="002E13E2"/>
    <w:rsid w:val="002E3493"/>
    <w:rsid w:val="002E35BF"/>
    <w:rsid w:val="002E5F5C"/>
    <w:rsid w:val="002E6FD5"/>
    <w:rsid w:val="002E7D88"/>
    <w:rsid w:val="002F0434"/>
    <w:rsid w:val="002F1707"/>
    <w:rsid w:val="002F2F33"/>
    <w:rsid w:val="002F3A26"/>
    <w:rsid w:val="002F3C7E"/>
    <w:rsid w:val="002F449C"/>
    <w:rsid w:val="002F4CD2"/>
    <w:rsid w:val="002F6069"/>
    <w:rsid w:val="002F7549"/>
    <w:rsid w:val="00300EFB"/>
    <w:rsid w:val="00301D49"/>
    <w:rsid w:val="00302114"/>
    <w:rsid w:val="003025C7"/>
    <w:rsid w:val="00302F5C"/>
    <w:rsid w:val="00304080"/>
    <w:rsid w:val="0031124D"/>
    <w:rsid w:val="00312ED1"/>
    <w:rsid w:val="00313554"/>
    <w:rsid w:val="00317B55"/>
    <w:rsid w:val="0032155B"/>
    <w:rsid w:val="003239D0"/>
    <w:rsid w:val="00324908"/>
    <w:rsid w:val="0033493D"/>
    <w:rsid w:val="00335AE6"/>
    <w:rsid w:val="00337DE1"/>
    <w:rsid w:val="00340BDB"/>
    <w:rsid w:val="00340E39"/>
    <w:rsid w:val="00341145"/>
    <w:rsid w:val="003412CB"/>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1AFA"/>
    <w:rsid w:val="00392BAF"/>
    <w:rsid w:val="003937EF"/>
    <w:rsid w:val="00393E9B"/>
    <w:rsid w:val="00395942"/>
    <w:rsid w:val="00397A97"/>
    <w:rsid w:val="00397DFA"/>
    <w:rsid w:val="003A280D"/>
    <w:rsid w:val="003A5A70"/>
    <w:rsid w:val="003A6230"/>
    <w:rsid w:val="003A6299"/>
    <w:rsid w:val="003B1976"/>
    <w:rsid w:val="003B24B0"/>
    <w:rsid w:val="003B27BA"/>
    <w:rsid w:val="003B366C"/>
    <w:rsid w:val="003B38C1"/>
    <w:rsid w:val="003B59A9"/>
    <w:rsid w:val="003B6B63"/>
    <w:rsid w:val="003B7C31"/>
    <w:rsid w:val="003C02D4"/>
    <w:rsid w:val="003C37E3"/>
    <w:rsid w:val="003C4CBD"/>
    <w:rsid w:val="003C546B"/>
    <w:rsid w:val="003C7719"/>
    <w:rsid w:val="003D08EF"/>
    <w:rsid w:val="003D0FBD"/>
    <w:rsid w:val="003D2A6D"/>
    <w:rsid w:val="003E005B"/>
    <w:rsid w:val="003E04DA"/>
    <w:rsid w:val="003E1249"/>
    <w:rsid w:val="003E1D75"/>
    <w:rsid w:val="003E3544"/>
    <w:rsid w:val="003E35A8"/>
    <w:rsid w:val="003E77CB"/>
    <w:rsid w:val="003F47FD"/>
    <w:rsid w:val="003F4B52"/>
    <w:rsid w:val="003F718C"/>
    <w:rsid w:val="003F73BA"/>
    <w:rsid w:val="003F73F0"/>
    <w:rsid w:val="00401423"/>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1D5F"/>
    <w:rsid w:val="00422831"/>
    <w:rsid w:val="00424197"/>
    <w:rsid w:val="00425F40"/>
    <w:rsid w:val="004265AA"/>
    <w:rsid w:val="00426A8D"/>
    <w:rsid w:val="00430861"/>
    <w:rsid w:val="00432D4D"/>
    <w:rsid w:val="00433DCE"/>
    <w:rsid w:val="0043405A"/>
    <w:rsid w:val="004378BD"/>
    <w:rsid w:val="00437B1B"/>
    <w:rsid w:val="004405B8"/>
    <w:rsid w:val="00441339"/>
    <w:rsid w:val="004417A2"/>
    <w:rsid w:val="00442F9D"/>
    <w:rsid w:val="00444EDF"/>
    <w:rsid w:val="004456A4"/>
    <w:rsid w:val="00445A6D"/>
    <w:rsid w:val="00446A6B"/>
    <w:rsid w:val="0045189C"/>
    <w:rsid w:val="004636B4"/>
    <w:rsid w:val="00464099"/>
    <w:rsid w:val="004641DC"/>
    <w:rsid w:val="00464AC7"/>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62CC"/>
    <w:rsid w:val="00497023"/>
    <w:rsid w:val="00497EC1"/>
    <w:rsid w:val="004A0313"/>
    <w:rsid w:val="004A0A89"/>
    <w:rsid w:val="004A0BE6"/>
    <w:rsid w:val="004A2249"/>
    <w:rsid w:val="004A26E0"/>
    <w:rsid w:val="004A4A2C"/>
    <w:rsid w:val="004A524A"/>
    <w:rsid w:val="004A56D3"/>
    <w:rsid w:val="004A6B0F"/>
    <w:rsid w:val="004B1ECE"/>
    <w:rsid w:val="004B27F3"/>
    <w:rsid w:val="004B38C8"/>
    <w:rsid w:val="004B3C12"/>
    <w:rsid w:val="004B5C2E"/>
    <w:rsid w:val="004B7CB9"/>
    <w:rsid w:val="004C10BA"/>
    <w:rsid w:val="004C1122"/>
    <w:rsid w:val="004C27EB"/>
    <w:rsid w:val="004C357A"/>
    <w:rsid w:val="004C37D3"/>
    <w:rsid w:val="004C405B"/>
    <w:rsid w:val="004C5B35"/>
    <w:rsid w:val="004C68D1"/>
    <w:rsid w:val="004C6AE7"/>
    <w:rsid w:val="004C72E8"/>
    <w:rsid w:val="004C75DE"/>
    <w:rsid w:val="004D03E3"/>
    <w:rsid w:val="004D04DF"/>
    <w:rsid w:val="004D1BF4"/>
    <w:rsid w:val="004D2ECB"/>
    <w:rsid w:val="004D480B"/>
    <w:rsid w:val="004D6074"/>
    <w:rsid w:val="004D7821"/>
    <w:rsid w:val="004E10C5"/>
    <w:rsid w:val="004E22A7"/>
    <w:rsid w:val="004E39E6"/>
    <w:rsid w:val="004E5799"/>
    <w:rsid w:val="004E57AC"/>
    <w:rsid w:val="004E71DC"/>
    <w:rsid w:val="004E7F97"/>
    <w:rsid w:val="004F1563"/>
    <w:rsid w:val="004F20B0"/>
    <w:rsid w:val="004F60F0"/>
    <w:rsid w:val="004F7682"/>
    <w:rsid w:val="005012BC"/>
    <w:rsid w:val="00502156"/>
    <w:rsid w:val="00502277"/>
    <w:rsid w:val="005042B5"/>
    <w:rsid w:val="00505C67"/>
    <w:rsid w:val="00510A4F"/>
    <w:rsid w:val="005119E9"/>
    <w:rsid w:val="00512A65"/>
    <w:rsid w:val="005130BE"/>
    <w:rsid w:val="005140F2"/>
    <w:rsid w:val="00516787"/>
    <w:rsid w:val="0051709B"/>
    <w:rsid w:val="0052165A"/>
    <w:rsid w:val="00521802"/>
    <w:rsid w:val="0052430B"/>
    <w:rsid w:val="00525D51"/>
    <w:rsid w:val="00531FC2"/>
    <w:rsid w:val="00532CD3"/>
    <w:rsid w:val="00533867"/>
    <w:rsid w:val="005345A9"/>
    <w:rsid w:val="00534D8A"/>
    <w:rsid w:val="00535742"/>
    <w:rsid w:val="00536AC6"/>
    <w:rsid w:val="00537502"/>
    <w:rsid w:val="0054004F"/>
    <w:rsid w:val="00542913"/>
    <w:rsid w:val="00542ABE"/>
    <w:rsid w:val="005440E4"/>
    <w:rsid w:val="005444FD"/>
    <w:rsid w:val="005452CD"/>
    <w:rsid w:val="00545434"/>
    <w:rsid w:val="00546DB4"/>
    <w:rsid w:val="005474A5"/>
    <w:rsid w:val="00547D82"/>
    <w:rsid w:val="005504B4"/>
    <w:rsid w:val="00550DAB"/>
    <w:rsid w:val="00552105"/>
    <w:rsid w:val="0055354D"/>
    <w:rsid w:val="00554543"/>
    <w:rsid w:val="005555B8"/>
    <w:rsid w:val="00563642"/>
    <w:rsid w:val="005642D9"/>
    <w:rsid w:val="00564C2B"/>
    <w:rsid w:val="00564C37"/>
    <w:rsid w:val="00564D84"/>
    <w:rsid w:val="00570F2B"/>
    <w:rsid w:val="0057258C"/>
    <w:rsid w:val="00573651"/>
    <w:rsid w:val="00573C5B"/>
    <w:rsid w:val="00574E71"/>
    <w:rsid w:val="00580AA6"/>
    <w:rsid w:val="005811D8"/>
    <w:rsid w:val="00581904"/>
    <w:rsid w:val="00582B3F"/>
    <w:rsid w:val="00583643"/>
    <w:rsid w:val="00585309"/>
    <w:rsid w:val="005857E8"/>
    <w:rsid w:val="005858CB"/>
    <w:rsid w:val="00585B1F"/>
    <w:rsid w:val="0058699E"/>
    <w:rsid w:val="00586CE9"/>
    <w:rsid w:val="00590B04"/>
    <w:rsid w:val="00592F78"/>
    <w:rsid w:val="00594EB6"/>
    <w:rsid w:val="005960D0"/>
    <w:rsid w:val="0059798F"/>
    <w:rsid w:val="00597EC9"/>
    <w:rsid w:val="005A0300"/>
    <w:rsid w:val="005A0557"/>
    <w:rsid w:val="005A163F"/>
    <w:rsid w:val="005A3D73"/>
    <w:rsid w:val="005A3D8D"/>
    <w:rsid w:val="005A445D"/>
    <w:rsid w:val="005B00DC"/>
    <w:rsid w:val="005B0EA3"/>
    <w:rsid w:val="005B1B0A"/>
    <w:rsid w:val="005B453E"/>
    <w:rsid w:val="005B5062"/>
    <w:rsid w:val="005B5F95"/>
    <w:rsid w:val="005B6234"/>
    <w:rsid w:val="005B7596"/>
    <w:rsid w:val="005C21EA"/>
    <w:rsid w:val="005C2A0E"/>
    <w:rsid w:val="005C4A91"/>
    <w:rsid w:val="005C5824"/>
    <w:rsid w:val="005C6118"/>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1F44"/>
    <w:rsid w:val="00601165"/>
    <w:rsid w:val="00607971"/>
    <w:rsid w:val="00611A4E"/>
    <w:rsid w:val="006122C0"/>
    <w:rsid w:val="0061281D"/>
    <w:rsid w:val="00613C46"/>
    <w:rsid w:val="00616889"/>
    <w:rsid w:val="00617F77"/>
    <w:rsid w:val="0062186B"/>
    <w:rsid w:val="00622FC8"/>
    <w:rsid w:val="00623004"/>
    <w:rsid w:val="00627C91"/>
    <w:rsid w:val="00635031"/>
    <w:rsid w:val="006369D4"/>
    <w:rsid w:val="00636C51"/>
    <w:rsid w:val="006407FA"/>
    <w:rsid w:val="006427B2"/>
    <w:rsid w:val="00642BEB"/>
    <w:rsid w:val="00647426"/>
    <w:rsid w:val="00647590"/>
    <w:rsid w:val="006479C8"/>
    <w:rsid w:val="006526F5"/>
    <w:rsid w:val="0065701A"/>
    <w:rsid w:val="00657702"/>
    <w:rsid w:val="006619F5"/>
    <w:rsid w:val="00661A76"/>
    <w:rsid w:val="006629F9"/>
    <w:rsid w:val="006639F0"/>
    <w:rsid w:val="0066562D"/>
    <w:rsid w:val="00670998"/>
    <w:rsid w:val="00672050"/>
    <w:rsid w:val="00673872"/>
    <w:rsid w:val="00674A34"/>
    <w:rsid w:val="00677FBB"/>
    <w:rsid w:val="006854CC"/>
    <w:rsid w:val="00685515"/>
    <w:rsid w:val="0068642A"/>
    <w:rsid w:val="00692945"/>
    <w:rsid w:val="00694C76"/>
    <w:rsid w:val="00694F4A"/>
    <w:rsid w:val="00695DBD"/>
    <w:rsid w:val="006A029B"/>
    <w:rsid w:val="006A17A1"/>
    <w:rsid w:val="006A34FB"/>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1C87"/>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5D6"/>
    <w:rsid w:val="006F2E4F"/>
    <w:rsid w:val="006F4CA1"/>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2047"/>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7E6"/>
    <w:rsid w:val="00746970"/>
    <w:rsid w:val="00747651"/>
    <w:rsid w:val="00750378"/>
    <w:rsid w:val="007505FB"/>
    <w:rsid w:val="007524B0"/>
    <w:rsid w:val="00752997"/>
    <w:rsid w:val="007533EC"/>
    <w:rsid w:val="00755723"/>
    <w:rsid w:val="0075625A"/>
    <w:rsid w:val="00757618"/>
    <w:rsid w:val="00762606"/>
    <w:rsid w:val="00762B45"/>
    <w:rsid w:val="0076544A"/>
    <w:rsid w:val="00767402"/>
    <w:rsid w:val="0077044D"/>
    <w:rsid w:val="0077194F"/>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A0403"/>
    <w:rsid w:val="007A1248"/>
    <w:rsid w:val="007A12F5"/>
    <w:rsid w:val="007A4089"/>
    <w:rsid w:val="007A4CE4"/>
    <w:rsid w:val="007A5936"/>
    <w:rsid w:val="007A5B55"/>
    <w:rsid w:val="007A5F41"/>
    <w:rsid w:val="007A5FEC"/>
    <w:rsid w:val="007B08D1"/>
    <w:rsid w:val="007B161A"/>
    <w:rsid w:val="007B18A9"/>
    <w:rsid w:val="007B29C6"/>
    <w:rsid w:val="007B37E0"/>
    <w:rsid w:val="007B4EAA"/>
    <w:rsid w:val="007B790F"/>
    <w:rsid w:val="007C0532"/>
    <w:rsid w:val="007C20FA"/>
    <w:rsid w:val="007C27D3"/>
    <w:rsid w:val="007C2C95"/>
    <w:rsid w:val="007C30F6"/>
    <w:rsid w:val="007C767F"/>
    <w:rsid w:val="007C79FB"/>
    <w:rsid w:val="007D3891"/>
    <w:rsid w:val="007D4584"/>
    <w:rsid w:val="007D4A14"/>
    <w:rsid w:val="007D5365"/>
    <w:rsid w:val="007E0017"/>
    <w:rsid w:val="007E0D9D"/>
    <w:rsid w:val="007E1F01"/>
    <w:rsid w:val="007E4B14"/>
    <w:rsid w:val="007E4B4C"/>
    <w:rsid w:val="007E7ABF"/>
    <w:rsid w:val="007F0907"/>
    <w:rsid w:val="007F0D24"/>
    <w:rsid w:val="007F10B5"/>
    <w:rsid w:val="007F1C81"/>
    <w:rsid w:val="007F21C2"/>
    <w:rsid w:val="007F6ABA"/>
    <w:rsid w:val="0080144C"/>
    <w:rsid w:val="00804A98"/>
    <w:rsid w:val="00805995"/>
    <w:rsid w:val="00805C3A"/>
    <w:rsid w:val="008061B8"/>
    <w:rsid w:val="00806B13"/>
    <w:rsid w:val="008129B1"/>
    <w:rsid w:val="00817A12"/>
    <w:rsid w:val="00822092"/>
    <w:rsid w:val="0082437E"/>
    <w:rsid w:val="008259FD"/>
    <w:rsid w:val="00825B2C"/>
    <w:rsid w:val="00825D67"/>
    <w:rsid w:val="00826C1C"/>
    <w:rsid w:val="0083200D"/>
    <w:rsid w:val="00832902"/>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578DC"/>
    <w:rsid w:val="008604B1"/>
    <w:rsid w:val="008609B1"/>
    <w:rsid w:val="008645C4"/>
    <w:rsid w:val="00867884"/>
    <w:rsid w:val="00867AC8"/>
    <w:rsid w:val="008734F5"/>
    <w:rsid w:val="00875104"/>
    <w:rsid w:val="008774D2"/>
    <w:rsid w:val="00880E40"/>
    <w:rsid w:val="00880F49"/>
    <w:rsid w:val="00883771"/>
    <w:rsid w:val="00883C9D"/>
    <w:rsid w:val="00883EFE"/>
    <w:rsid w:val="008869CA"/>
    <w:rsid w:val="008905BA"/>
    <w:rsid w:val="0089513F"/>
    <w:rsid w:val="00895699"/>
    <w:rsid w:val="008977A0"/>
    <w:rsid w:val="008A153F"/>
    <w:rsid w:val="008A2B90"/>
    <w:rsid w:val="008A54A9"/>
    <w:rsid w:val="008A6188"/>
    <w:rsid w:val="008A7735"/>
    <w:rsid w:val="008A79C6"/>
    <w:rsid w:val="008B28F2"/>
    <w:rsid w:val="008B3A89"/>
    <w:rsid w:val="008B444F"/>
    <w:rsid w:val="008B5103"/>
    <w:rsid w:val="008B683E"/>
    <w:rsid w:val="008C0EF7"/>
    <w:rsid w:val="008C11A2"/>
    <w:rsid w:val="008C20F7"/>
    <w:rsid w:val="008C5F1C"/>
    <w:rsid w:val="008D06D8"/>
    <w:rsid w:val="008D1B01"/>
    <w:rsid w:val="008D25D7"/>
    <w:rsid w:val="008D2A83"/>
    <w:rsid w:val="008D2D7B"/>
    <w:rsid w:val="008D2D98"/>
    <w:rsid w:val="008D44EB"/>
    <w:rsid w:val="008D6F0F"/>
    <w:rsid w:val="008E3E1A"/>
    <w:rsid w:val="008E4039"/>
    <w:rsid w:val="008F1AA9"/>
    <w:rsid w:val="008F6326"/>
    <w:rsid w:val="008F7C5B"/>
    <w:rsid w:val="00901635"/>
    <w:rsid w:val="009049C0"/>
    <w:rsid w:val="00906257"/>
    <w:rsid w:val="009069D6"/>
    <w:rsid w:val="00910EF6"/>
    <w:rsid w:val="00912380"/>
    <w:rsid w:val="009124F6"/>
    <w:rsid w:val="00912BC1"/>
    <w:rsid w:val="00913B67"/>
    <w:rsid w:val="00915B08"/>
    <w:rsid w:val="00916953"/>
    <w:rsid w:val="0092164E"/>
    <w:rsid w:val="00921856"/>
    <w:rsid w:val="00921DD1"/>
    <w:rsid w:val="009225FE"/>
    <w:rsid w:val="00923D31"/>
    <w:rsid w:val="00923F94"/>
    <w:rsid w:val="00926DD3"/>
    <w:rsid w:val="0092705D"/>
    <w:rsid w:val="00931ADA"/>
    <w:rsid w:val="00932C51"/>
    <w:rsid w:val="00935308"/>
    <w:rsid w:val="009361FD"/>
    <w:rsid w:val="009406D2"/>
    <w:rsid w:val="00940F17"/>
    <w:rsid w:val="009414C5"/>
    <w:rsid w:val="009427F2"/>
    <w:rsid w:val="00944F64"/>
    <w:rsid w:val="00945CE1"/>
    <w:rsid w:val="009462C7"/>
    <w:rsid w:val="009467A8"/>
    <w:rsid w:val="00951A0B"/>
    <w:rsid w:val="00953383"/>
    <w:rsid w:val="00955683"/>
    <w:rsid w:val="009574A8"/>
    <w:rsid w:val="0096096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DC9"/>
    <w:rsid w:val="00985FA9"/>
    <w:rsid w:val="00987A99"/>
    <w:rsid w:val="009902F7"/>
    <w:rsid w:val="0099448D"/>
    <w:rsid w:val="00995A06"/>
    <w:rsid w:val="00995C33"/>
    <w:rsid w:val="009A222A"/>
    <w:rsid w:val="009A26CA"/>
    <w:rsid w:val="009A6FE7"/>
    <w:rsid w:val="009B0285"/>
    <w:rsid w:val="009B1FD2"/>
    <w:rsid w:val="009B3AEB"/>
    <w:rsid w:val="009B7AE2"/>
    <w:rsid w:val="009C0610"/>
    <w:rsid w:val="009C20ED"/>
    <w:rsid w:val="009C210D"/>
    <w:rsid w:val="009C2D83"/>
    <w:rsid w:val="009C3EB5"/>
    <w:rsid w:val="009C42BD"/>
    <w:rsid w:val="009C444B"/>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0745A"/>
    <w:rsid w:val="00A14878"/>
    <w:rsid w:val="00A166DD"/>
    <w:rsid w:val="00A1707B"/>
    <w:rsid w:val="00A1739A"/>
    <w:rsid w:val="00A17694"/>
    <w:rsid w:val="00A17F2C"/>
    <w:rsid w:val="00A232B9"/>
    <w:rsid w:val="00A327DD"/>
    <w:rsid w:val="00A33893"/>
    <w:rsid w:val="00A34C9A"/>
    <w:rsid w:val="00A34D89"/>
    <w:rsid w:val="00A41364"/>
    <w:rsid w:val="00A41F72"/>
    <w:rsid w:val="00A42C74"/>
    <w:rsid w:val="00A44708"/>
    <w:rsid w:val="00A44A25"/>
    <w:rsid w:val="00A54891"/>
    <w:rsid w:val="00A54CA1"/>
    <w:rsid w:val="00A56516"/>
    <w:rsid w:val="00A62031"/>
    <w:rsid w:val="00A65D80"/>
    <w:rsid w:val="00A672A7"/>
    <w:rsid w:val="00A714DD"/>
    <w:rsid w:val="00A73044"/>
    <w:rsid w:val="00A7379C"/>
    <w:rsid w:val="00A73CF1"/>
    <w:rsid w:val="00A75C9A"/>
    <w:rsid w:val="00A76AC8"/>
    <w:rsid w:val="00A83285"/>
    <w:rsid w:val="00A835D4"/>
    <w:rsid w:val="00A853D1"/>
    <w:rsid w:val="00A85AA3"/>
    <w:rsid w:val="00A86302"/>
    <w:rsid w:val="00A90EE0"/>
    <w:rsid w:val="00A9123D"/>
    <w:rsid w:val="00A918D2"/>
    <w:rsid w:val="00A91DC0"/>
    <w:rsid w:val="00A91EEC"/>
    <w:rsid w:val="00A923D8"/>
    <w:rsid w:val="00A92534"/>
    <w:rsid w:val="00A927C4"/>
    <w:rsid w:val="00A92BCA"/>
    <w:rsid w:val="00A93B9E"/>
    <w:rsid w:val="00AA0F9E"/>
    <w:rsid w:val="00AA2734"/>
    <w:rsid w:val="00AA3015"/>
    <w:rsid w:val="00AA3E46"/>
    <w:rsid w:val="00AA401A"/>
    <w:rsid w:val="00AA4399"/>
    <w:rsid w:val="00AA4D97"/>
    <w:rsid w:val="00AA59AF"/>
    <w:rsid w:val="00AB04F6"/>
    <w:rsid w:val="00AB05D5"/>
    <w:rsid w:val="00AB0E8F"/>
    <w:rsid w:val="00AB2611"/>
    <w:rsid w:val="00AB35DC"/>
    <w:rsid w:val="00AB419D"/>
    <w:rsid w:val="00AB52D0"/>
    <w:rsid w:val="00AC046B"/>
    <w:rsid w:val="00AC1E16"/>
    <w:rsid w:val="00AC1EDB"/>
    <w:rsid w:val="00AC2E11"/>
    <w:rsid w:val="00AC3A0C"/>
    <w:rsid w:val="00AC3EEC"/>
    <w:rsid w:val="00AC50EE"/>
    <w:rsid w:val="00AC54F8"/>
    <w:rsid w:val="00AC57A5"/>
    <w:rsid w:val="00AC5D4C"/>
    <w:rsid w:val="00AC681D"/>
    <w:rsid w:val="00AC6FF1"/>
    <w:rsid w:val="00AD0F67"/>
    <w:rsid w:val="00AD1A30"/>
    <w:rsid w:val="00AD3565"/>
    <w:rsid w:val="00AD700A"/>
    <w:rsid w:val="00AD7E8E"/>
    <w:rsid w:val="00AE0F81"/>
    <w:rsid w:val="00AE136A"/>
    <w:rsid w:val="00AE330D"/>
    <w:rsid w:val="00AE7239"/>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1FF9"/>
    <w:rsid w:val="00B14C3A"/>
    <w:rsid w:val="00B167A2"/>
    <w:rsid w:val="00B174E3"/>
    <w:rsid w:val="00B2772E"/>
    <w:rsid w:val="00B27A5B"/>
    <w:rsid w:val="00B316E7"/>
    <w:rsid w:val="00B32A4E"/>
    <w:rsid w:val="00B3398C"/>
    <w:rsid w:val="00B3435C"/>
    <w:rsid w:val="00B34BDE"/>
    <w:rsid w:val="00B34EF9"/>
    <w:rsid w:val="00B3578F"/>
    <w:rsid w:val="00B35DAD"/>
    <w:rsid w:val="00B36D34"/>
    <w:rsid w:val="00B36EB3"/>
    <w:rsid w:val="00B41A5A"/>
    <w:rsid w:val="00B41AE8"/>
    <w:rsid w:val="00B445D0"/>
    <w:rsid w:val="00B45C4D"/>
    <w:rsid w:val="00B53FF2"/>
    <w:rsid w:val="00B54620"/>
    <w:rsid w:val="00B5466C"/>
    <w:rsid w:val="00B55CDD"/>
    <w:rsid w:val="00B56E4F"/>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4D4F"/>
    <w:rsid w:val="00B85F0D"/>
    <w:rsid w:val="00B86A9F"/>
    <w:rsid w:val="00B910E8"/>
    <w:rsid w:val="00B93137"/>
    <w:rsid w:val="00B9328C"/>
    <w:rsid w:val="00B94CD8"/>
    <w:rsid w:val="00B9595D"/>
    <w:rsid w:val="00B96F16"/>
    <w:rsid w:val="00B97A54"/>
    <w:rsid w:val="00BA0974"/>
    <w:rsid w:val="00BA3D73"/>
    <w:rsid w:val="00BA58AC"/>
    <w:rsid w:val="00BA5D5A"/>
    <w:rsid w:val="00BA67DC"/>
    <w:rsid w:val="00BA69CB"/>
    <w:rsid w:val="00BA7C49"/>
    <w:rsid w:val="00BB00BA"/>
    <w:rsid w:val="00BB112B"/>
    <w:rsid w:val="00BB14DD"/>
    <w:rsid w:val="00BB1B81"/>
    <w:rsid w:val="00BB1CDA"/>
    <w:rsid w:val="00BB25B1"/>
    <w:rsid w:val="00BB2CD8"/>
    <w:rsid w:val="00BB4114"/>
    <w:rsid w:val="00BB49CB"/>
    <w:rsid w:val="00BB5D4D"/>
    <w:rsid w:val="00BB6375"/>
    <w:rsid w:val="00BC09D8"/>
    <w:rsid w:val="00BC459E"/>
    <w:rsid w:val="00BC4AAE"/>
    <w:rsid w:val="00BC5DCD"/>
    <w:rsid w:val="00BC626B"/>
    <w:rsid w:val="00BC7397"/>
    <w:rsid w:val="00BD0628"/>
    <w:rsid w:val="00BD304A"/>
    <w:rsid w:val="00BD7FD9"/>
    <w:rsid w:val="00BE1022"/>
    <w:rsid w:val="00BE283F"/>
    <w:rsid w:val="00BE2ECA"/>
    <w:rsid w:val="00BE2EFA"/>
    <w:rsid w:val="00BE3768"/>
    <w:rsid w:val="00BE5947"/>
    <w:rsid w:val="00BE597C"/>
    <w:rsid w:val="00BE6870"/>
    <w:rsid w:val="00BE71FD"/>
    <w:rsid w:val="00BE7B19"/>
    <w:rsid w:val="00BF23A6"/>
    <w:rsid w:val="00BF3B3D"/>
    <w:rsid w:val="00BF564D"/>
    <w:rsid w:val="00BF591D"/>
    <w:rsid w:val="00BF5A87"/>
    <w:rsid w:val="00BF6341"/>
    <w:rsid w:val="00BF65F3"/>
    <w:rsid w:val="00C0045E"/>
    <w:rsid w:val="00C00FC7"/>
    <w:rsid w:val="00C00FD8"/>
    <w:rsid w:val="00C05E84"/>
    <w:rsid w:val="00C073E4"/>
    <w:rsid w:val="00C07C34"/>
    <w:rsid w:val="00C13962"/>
    <w:rsid w:val="00C154E6"/>
    <w:rsid w:val="00C158B5"/>
    <w:rsid w:val="00C16A92"/>
    <w:rsid w:val="00C16E23"/>
    <w:rsid w:val="00C2082B"/>
    <w:rsid w:val="00C20DBA"/>
    <w:rsid w:val="00C21605"/>
    <w:rsid w:val="00C2670D"/>
    <w:rsid w:val="00C27213"/>
    <w:rsid w:val="00C30ED2"/>
    <w:rsid w:val="00C32EFA"/>
    <w:rsid w:val="00C33771"/>
    <w:rsid w:val="00C3394C"/>
    <w:rsid w:val="00C3411B"/>
    <w:rsid w:val="00C34230"/>
    <w:rsid w:val="00C3661B"/>
    <w:rsid w:val="00C42112"/>
    <w:rsid w:val="00C435EB"/>
    <w:rsid w:val="00C44B76"/>
    <w:rsid w:val="00C44D13"/>
    <w:rsid w:val="00C45768"/>
    <w:rsid w:val="00C4692B"/>
    <w:rsid w:val="00C46A0C"/>
    <w:rsid w:val="00C473F7"/>
    <w:rsid w:val="00C501E5"/>
    <w:rsid w:val="00C5100A"/>
    <w:rsid w:val="00C51884"/>
    <w:rsid w:val="00C549BC"/>
    <w:rsid w:val="00C56251"/>
    <w:rsid w:val="00C5667B"/>
    <w:rsid w:val="00C56A65"/>
    <w:rsid w:val="00C56FE0"/>
    <w:rsid w:val="00C6072B"/>
    <w:rsid w:val="00C6094D"/>
    <w:rsid w:val="00C61B33"/>
    <w:rsid w:val="00C62733"/>
    <w:rsid w:val="00C62FDC"/>
    <w:rsid w:val="00C67460"/>
    <w:rsid w:val="00C724F5"/>
    <w:rsid w:val="00C73066"/>
    <w:rsid w:val="00C73399"/>
    <w:rsid w:val="00C743D2"/>
    <w:rsid w:val="00C77A1F"/>
    <w:rsid w:val="00C80647"/>
    <w:rsid w:val="00C80836"/>
    <w:rsid w:val="00C8277B"/>
    <w:rsid w:val="00C83772"/>
    <w:rsid w:val="00C84DDE"/>
    <w:rsid w:val="00C85162"/>
    <w:rsid w:val="00C870F0"/>
    <w:rsid w:val="00C874E5"/>
    <w:rsid w:val="00C87864"/>
    <w:rsid w:val="00C90EAC"/>
    <w:rsid w:val="00C917FD"/>
    <w:rsid w:val="00C93D01"/>
    <w:rsid w:val="00C958FA"/>
    <w:rsid w:val="00C96958"/>
    <w:rsid w:val="00C96A6B"/>
    <w:rsid w:val="00CA1F34"/>
    <w:rsid w:val="00CA62C0"/>
    <w:rsid w:val="00CA73CB"/>
    <w:rsid w:val="00CA7980"/>
    <w:rsid w:val="00CA79BB"/>
    <w:rsid w:val="00CB4161"/>
    <w:rsid w:val="00CB43A2"/>
    <w:rsid w:val="00CB6DE1"/>
    <w:rsid w:val="00CB759F"/>
    <w:rsid w:val="00CB7730"/>
    <w:rsid w:val="00CC12A0"/>
    <w:rsid w:val="00CC26A8"/>
    <w:rsid w:val="00CC2D16"/>
    <w:rsid w:val="00CC3E30"/>
    <w:rsid w:val="00CC4CED"/>
    <w:rsid w:val="00CC6EBB"/>
    <w:rsid w:val="00CD3416"/>
    <w:rsid w:val="00CD4A21"/>
    <w:rsid w:val="00CE1A40"/>
    <w:rsid w:val="00CE3A6F"/>
    <w:rsid w:val="00CE63F9"/>
    <w:rsid w:val="00CF0A31"/>
    <w:rsid w:val="00CF0F37"/>
    <w:rsid w:val="00CF1E87"/>
    <w:rsid w:val="00CF240F"/>
    <w:rsid w:val="00CF34FA"/>
    <w:rsid w:val="00CF4B5F"/>
    <w:rsid w:val="00CF4FAD"/>
    <w:rsid w:val="00CF5C15"/>
    <w:rsid w:val="00CF6201"/>
    <w:rsid w:val="00CF6B2F"/>
    <w:rsid w:val="00D05CAA"/>
    <w:rsid w:val="00D06129"/>
    <w:rsid w:val="00D114E6"/>
    <w:rsid w:val="00D1198D"/>
    <w:rsid w:val="00D14302"/>
    <w:rsid w:val="00D15F17"/>
    <w:rsid w:val="00D161BE"/>
    <w:rsid w:val="00D162D9"/>
    <w:rsid w:val="00D259FD"/>
    <w:rsid w:val="00D273FE"/>
    <w:rsid w:val="00D30F03"/>
    <w:rsid w:val="00D33180"/>
    <w:rsid w:val="00D34E5E"/>
    <w:rsid w:val="00D35495"/>
    <w:rsid w:val="00D4044B"/>
    <w:rsid w:val="00D4046C"/>
    <w:rsid w:val="00D41D2D"/>
    <w:rsid w:val="00D42638"/>
    <w:rsid w:val="00D44316"/>
    <w:rsid w:val="00D448E6"/>
    <w:rsid w:val="00D44EB2"/>
    <w:rsid w:val="00D4743F"/>
    <w:rsid w:val="00D4759D"/>
    <w:rsid w:val="00D5065B"/>
    <w:rsid w:val="00D51CBC"/>
    <w:rsid w:val="00D5274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566A"/>
    <w:rsid w:val="00D85008"/>
    <w:rsid w:val="00D869A8"/>
    <w:rsid w:val="00D87426"/>
    <w:rsid w:val="00D8754D"/>
    <w:rsid w:val="00D909CB"/>
    <w:rsid w:val="00D92717"/>
    <w:rsid w:val="00D9347A"/>
    <w:rsid w:val="00D93E05"/>
    <w:rsid w:val="00D9515D"/>
    <w:rsid w:val="00DA1252"/>
    <w:rsid w:val="00DA3A08"/>
    <w:rsid w:val="00DA4715"/>
    <w:rsid w:val="00DA62DF"/>
    <w:rsid w:val="00DA7439"/>
    <w:rsid w:val="00DB0DA9"/>
    <w:rsid w:val="00DB108A"/>
    <w:rsid w:val="00DC1776"/>
    <w:rsid w:val="00DC33A5"/>
    <w:rsid w:val="00DC4340"/>
    <w:rsid w:val="00DC6F5E"/>
    <w:rsid w:val="00DC7898"/>
    <w:rsid w:val="00DD19F8"/>
    <w:rsid w:val="00DD1C70"/>
    <w:rsid w:val="00DD3239"/>
    <w:rsid w:val="00DE07E4"/>
    <w:rsid w:val="00DE0877"/>
    <w:rsid w:val="00DE0FF8"/>
    <w:rsid w:val="00DE3EBF"/>
    <w:rsid w:val="00DE6D39"/>
    <w:rsid w:val="00DE7345"/>
    <w:rsid w:val="00DF51CA"/>
    <w:rsid w:val="00DF5581"/>
    <w:rsid w:val="00DF603C"/>
    <w:rsid w:val="00DF7501"/>
    <w:rsid w:val="00DF7622"/>
    <w:rsid w:val="00DF7936"/>
    <w:rsid w:val="00DF7D7E"/>
    <w:rsid w:val="00E04B6F"/>
    <w:rsid w:val="00E13833"/>
    <w:rsid w:val="00E17001"/>
    <w:rsid w:val="00E17406"/>
    <w:rsid w:val="00E20AE5"/>
    <w:rsid w:val="00E20F00"/>
    <w:rsid w:val="00E21297"/>
    <w:rsid w:val="00E23A38"/>
    <w:rsid w:val="00E23B6B"/>
    <w:rsid w:val="00E265A0"/>
    <w:rsid w:val="00E266DE"/>
    <w:rsid w:val="00E311F5"/>
    <w:rsid w:val="00E31262"/>
    <w:rsid w:val="00E34BF8"/>
    <w:rsid w:val="00E35B1E"/>
    <w:rsid w:val="00E40C5A"/>
    <w:rsid w:val="00E4250F"/>
    <w:rsid w:val="00E44A7E"/>
    <w:rsid w:val="00E46A7E"/>
    <w:rsid w:val="00E46CE8"/>
    <w:rsid w:val="00E51559"/>
    <w:rsid w:val="00E548DB"/>
    <w:rsid w:val="00E552BD"/>
    <w:rsid w:val="00E55649"/>
    <w:rsid w:val="00E56A50"/>
    <w:rsid w:val="00E5798A"/>
    <w:rsid w:val="00E57A3E"/>
    <w:rsid w:val="00E605A2"/>
    <w:rsid w:val="00E628D9"/>
    <w:rsid w:val="00E63ADA"/>
    <w:rsid w:val="00E640E0"/>
    <w:rsid w:val="00E645F6"/>
    <w:rsid w:val="00E64C5F"/>
    <w:rsid w:val="00E664F4"/>
    <w:rsid w:val="00E70355"/>
    <w:rsid w:val="00E72037"/>
    <w:rsid w:val="00E72855"/>
    <w:rsid w:val="00E73636"/>
    <w:rsid w:val="00E7377F"/>
    <w:rsid w:val="00E738C6"/>
    <w:rsid w:val="00E74710"/>
    <w:rsid w:val="00E74C1D"/>
    <w:rsid w:val="00E80439"/>
    <w:rsid w:val="00E81B2F"/>
    <w:rsid w:val="00E844ED"/>
    <w:rsid w:val="00E85810"/>
    <w:rsid w:val="00E85B0A"/>
    <w:rsid w:val="00E85F9D"/>
    <w:rsid w:val="00E90558"/>
    <w:rsid w:val="00E909CD"/>
    <w:rsid w:val="00E92248"/>
    <w:rsid w:val="00E92BD1"/>
    <w:rsid w:val="00E935A1"/>
    <w:rsid w:val="00E93FB6"/>
    <w:rsid w:val="00E94FAA"/>
    <w:rsid w:val="00E95832"/>
    <w:rsid w:val="00EA1715"/>
    <w:rsid w:val="00EA31FD"/>
    <w:rsid w:val="00EA4349"/>
    <w:rsid w:val="00EA4EE4"/>
    <w:rsid w:val="00EA5A32"/>
    <w:rsid w:val="00EB2F51"/>
    <w:rsid w:val="00EB3BF0"/>
    <w:rsid w:val="00EB601D"/>
    <w:rsid w:val="00EB6CCD"/>
    <w:rsid w:val="00EC0273"/>
    <w:rsid w:val="00EC25BA"/>
    <w:rsid w:val="00EC35E3"/>
    <w:rsid w:val="00EC362E"/>
    <w:rsid w:val="00ED0AD5"/>
    <w:rsid w:val="00ED1DE2"/>
    <w:rsid w:val="00ED1F31"/>
    <w:rsid w:val="00ED3630"/>
    <w:rsid w:val="00ED42ED"/>
    <w:rsid w:val="00ED7140"/>
    <w:rsid w:val="00ED77E5"/>
    <w:rsid w:val="00ED78F5"/>
    <w:rsid w:val="00EE026E"/>
    <w:rsid w:val="00EE3C59"/>
    <w:rsid w:val="00EE5B70"/>
    <w:rsid w:val="00EE66B6"/>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361"/>
    <w:rsid w:val="00F35509"/>
    <w:rsid w:val="00F358C3"/>
    <w:rsid w:val="00F3606B"/>
    <w:rsid w:val="00F3781E"/>
    <w:rsid w:val="00F413D8"/>
    <w:rsid w:val="00F42100"/>
    <w:rsid w:val="00F42A9B"/>
    <w:rsid w:val="00F45470"/>
    <w:rsid w:val="00F464FE"/>
    <w:rsid w:val="00F465F9"/>
    <w:rsid w:val="00F47621"/>
    <w:rsid w:val="00F52CF2"/>
    <w:rsid w:val="00F570AB"/>
    <w:rsid w:val="00F57A71"/>
    <w:rsid w:val="00F60A1A"/>
    <w:rsid w:val="00F61C28"/>
    <w:rsid w:val="00F61E69"/>
    <w:rsid w:val="00F633B7"/>
    <w:rsid w:val="00F645F1"/>
    <w:rsid w:val="00F6591A"/>
    <w:rsid w:val="00F65C51"/>
    <w:rsid w:val="00F70D35"/>
    <w:rsid w:val="00F71BF0"/>
    <w:rsid w:val="00F7546C"/>
    <w:rsid w:val="00F76EC7"/>
    <w:rsid w:val="00F77B00"/>
    <w:rsid w:val="00F80C9D"/>
    <w:rsid w:val="00F83B6F"/>
    <w:rsid w:val="00F84470"/>
    <w:rsid w:val="00F857BC"/>
    <w:rsid w:val="00F90273"/>
    <w:rsid w:val="00F90BD0"/>
    <w:rsid w:val="00F92F25"/>
    <w:rsid w:val="00F93ACB"/>
    <w:rsid w:val="00F93C4F"/>
    <w:rsid w:val="00F95994"/>
    <w:rsid w:val="00F973ED"/>
    <w:rsid w:val="00FA03C0"/>
    <w:rsid w:val="00FA49C5"/>
    <w:rsid w:val="00FA5BD2"/>
    <w:rsid w:val="00FA6175"/>
    <w:rsid w:val="00FA6784"/>
    <w:rsid w:val="00FA7E00"/>
    <w:rsid w:val="00FB1780"/>
    <w:rsid w:val="00FB35C6"/>
    <w:rsid w:val="00FB4C5A"/>
    <w:rsid w:val="00FB56A1"/>
    <w:rsid w:val="00FB5BFA"/>
    <w:rsid w:val="00FB664B"/>
    <w:rsid w:val="00FB6F79"/>
    <w:rsid w:val="00FC10F6"/>
    <w:rsid w:val="00FC4892"/>
    <w:rsid w:val="00FC61D1"/>
    <w:rsid w:val="00FC7C25"/>
    <w:rsid w:val="00FD0C2F"/>
    <w:rsid w:val="00FD1C2E"/>
    <w:rsid w:val="00FD3574"/>
    <w:rsid w:val="00FD602D"/>
    <w:rsid w:val="00FD60D2"/>
    <w:rsid w:val="00FD6A7D"/>
    <w:rsid w:val="00FD6FC9"/>
    <w:rsid w:val="00FE02C2"/>
    <w:rsid w:val="00FE2D34"/>
    <w:rsid w:val="00FE3222"/>
    <w:rsid w:val="00FF1262"/>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183337">
      <w:bodyDiv w:val="1"/>
      <w:marLeft w:val="0"/>
      <w:marRight w:val="0"/>
      <w:marTop w:val="0"/>
      <w:marBottom w:val="0"/>
      <w:divBdr>
        <w:top w:val="none" w:sz="0" w:space="0" w:color="auto"/>
        <w:left w:val="none" w:sz="0" w:space="0" w:color="auto"/>
        <w:bottom w:val="none" w:sz="0" w:space="0" w:color="auto"/>
        <w:right w:val="none" w:sz="0" w:space="0" w:color="auto"/>
      </w:divBdr>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18F934CE-8289-49FA-814F-71AAF60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KILDEA, Brian</cp:lastModifiedBy>
  <cp:revision>2</cp:revision>
  <cp:lastPrinted>2019-12-16T23:48:00Z</cp:lastPrinted>
  <dcterms:created xsi:type="dcterms:W3CDTF">2019-12-17T22:59:00Z</dcterms:created>
  <dcterms:modified xsi:type="dcterms:W3CDTF">2019-12-17T22:59:00Z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