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C7342" w14:textId="77777777" w:rsidR="00CC63E1" w:rsidRPr="00A24240" w:rsidRDefault="00CC63E1" w:rsidP="00CC63E1">
      <w:pPr>
        <w:pStyle w:val="Default"/>
        <w:spacing w:after="240" w:line="276" w:lineRule="auto"/>
        <w:jc w:val="center"/>
        <w:rPr>
          <w:sz w:val="28"/>
          <w:szCs w:val="28"/>
          <w:u w:val="single"/>
        </w:rPr>
      </w:pPr>
      <w:bookmarkStart w:id="0" w:name="_GoBack"/>
      <w:bookmarkEnd w:id="0"/>
      <w:r w:rsidRPr="00A24240">
        <w:rPr>
          <w:b/>
          <w:bCs/>
          <w:sz w:val="28"/>
          <w:szCs w:val="28"/>
          <w:u w:val="single"/>
        </w:rPr>
        <w:t xml:space="preserve">EXPLANATORY </w:t>
      </w:r>
      <w:r>
        <w:rPr>
          <w:b/>
          <w:bCs/>
          <w:sz w:val="28"/>
          <w:szCs w:val="28"/>
          <w:u w:val="single"/>
        </w:rPr>
        <w:t>STATEMENT</w:t>
      </w:r>
    </w:p>
    <w:p w14:paraId="25DE850B" w14:textId="77777777" w:rsidR="00CC63E1" w:rsidRPr="00A04EBE" w:rsidRDefault="00CC63E1" w:rsidP="00CC63E1">
      <w:pPr>
        <w:spacing w:line="276" w:lineRule="auto"/>
        <w:ind w:left="993" w:hanging="993"/>
        <w:jc w:val="center"/>
        <w:rPr>
          <w:rFonts w:ascii="Times New Roman" w:hAnsi="Times New Roman"/>
          <w:i/>
          <w:sz w:val="24"/>
          <w:szCs w:val="24"/>
        </w:rPr>
      </w:pPr>
      <w:r w:rsidRPr="00A04EBE">
        <w:rPr>
          <w:rFonts w:ascii="Times New Roman" w:hAnsi="Times New Roman"/>
          <w:i/>
          <w:sz w:val="24"/>
          <w:szCs w:val="24"/>
        </w:rPr>
        <w:t>Ozone Protection and Synthetic Greenhouse Gas Management Act 1989</w:t>
      </w:r>
    </w:p>
    <w:p w14:paraId="64A2B735" w14:textId="77777777" w:rsidR="00CC63E1" w:rsidRPr="00992ED9" w:rsidRDefault="00CC63E1" w:rsidP="00CC63E1">
      <w:pPr>
        <w:pStyle w:val="subsection"/>
        <w:spacing w:after="240" w:line="276" w:lineRule="auto"/>
        <w:jc w:val="center"/>
        <w:rPr>
          <w:rFonts w:ascii="Times New Roman" w:hAnsi="Times New Roman" w:cs="Times New Roman"/>
          <w:i/>
          <w:sz w:val="24"/>
          <w:szCs w:val="24"/>
          <w:lang w:eastAsia="en-AU"/>
        </w:rPr>
      </w:pPr>
      <w:r w:rsidRPr="00992ED9">
        <w:rPr>
          <w:rFonts w:ascii="Times New Roman" w:hAnsi="Times New Roman" w:cs="Times New Roman"/>
          <w:i/>
          <w:sz w:val="24"/>
          <w:szCs w:val="24"/>
          <w:lang w:eastAsia="en-AU"/>
        </w:rPr>
        <w:t>Ozone Protection and Synthetic Greenhouse Gas Management Amendment (2019</w:t>
      </w:r>
      <w:r>
        <w:rPr>
          <w:rFonts w:ascii="Times New Roman" w:hAnsi="Times New Roman" w:cs="Times New Roman"/>
          <w:i/>
          <w:sz w:val="24"/>
          <w:szCs w:val="24"/>
          <w:lang w:eastAsia="en-AU"/>
        </w:rPr>
        <w:t> </w:t>
      </w:r>
      <w:r w:rsidRPr="00992ED9">
        <w:rPr>
          <w:rFonts w:ascii="Times New Roman" w:hAnsi="Times New Roman" w:cs="Times New Roman"/>
          <w:i/>
          <w:sz w:val="24"/>
          <w:szCs w:val="24"/>
          <w:lang w:eastAsia="en-AU"/>
        </w:rPr>
        <w:t>Measures</w:t>
      </w:r>
      <w:r>
        <w:rPr>
          <w:rFonts w:ascii="Times New Roman" w:hAnsi="Times New Roman" w:cs="Times New Roman"/>
          <w:i/>
          <w:sz w:val="24"/>
          <w:szCs w:val="24"/>
          <w:lang w:eastAsia="en-AU"/>
        </w:rPr>
        <w:t> </w:t>
      </w:r>
      <w:r w:rsidRPr="00992ED9">
        <w:rPr>
          <w:rFonts w:ascii="Times New Roman" w:hAnsi="Times New Roman" w:cs="Times New Roman"/>
          <w:i/>
          <w:sz w:val="24"/>
          <w:szCs w:val="24"/>
          <w:lang w:eastAsia="en-AU"/>
        </w:rPr>
        <w:t>No. 1) Regulations 2019.</w:t>
      </w:r>
    </w:p>
    <w:p w14:paraId="515B5FA5" w14:textId="77777777" w:rsidR="00CC63E1" w:rsidRDefault="00CC63E1" w:rsidP="00CC63E1">
      <w:pPr>
        <w:shd w:val="clear" w:color="auto" w:fill="FFFFFF"/>
        <w:spacing w:after="240" w:line="276" w:lineRule="auto"/>
        <w:jc w:val="center"/>
        <w:rPr>
          <w:rFonts w:ascii="Times New Roman" w:eastAsia="Times New Roman" w:hAnsi="Times New Roman"/>
          <w:sz w:val="24"/>
          <w:szCs w:val="24"/>
        </w:rPr>
      </w:pPr>
      <w:r>
        <w:rPr>
          <w:rFonts w:ascii="Times New Roman" w:eastAsia="Times New Roman" w:hAnsi="Times New Roman"/>
          <w:sz w:val="24"/>
          <w:szCs w:val="24"/>
        </w:rPr>
        <w:t>Issued by authority of the Minister for the Environment</w:t>
      </w:r>
    </w:p>
    <w:p w14:paraId="39710C4B" w14:textId="77777777" w:rsidR="00CC63E1" w:rsidRPr="00BF560B" w:rsidRDefault="00CC63E1" w:rsidP="00CC63E1">
      <w:pPr>
        <w:shd w:val="clear" w:color="auto" w:fill="FFFFFF"/>
        <w:spacing w:after="240" w:line="276" w:lineRule="auto"/>
        <w:rPr>
          <w:rFonts w:ascii="Times New Roman" w:eastAsia="Times New Roman" w:hAnsi="Times New Roman"/>
          <w:b/>
          <w:sz w:val="24"/>
          <w:szCs w:val="24"/>
        </w:rPr>
      </w:pPr>
      <w:r w:rsidRPr="00BF560B">
        <w:rPr>
          <w:rFonts w:ascii="Times New Roman" w:eastAsia="Times New Roman" w:hAnsi="Times New Roman"/>
          <w:b/>
          <w:sz w:val="24"/>
          <w:szCs w:val="24"/>
        </w:rPr>
        <w:t>Purpose and operation</w:t>
      </w:r>
    </w:p>
    <w:p w14:paraId="40F15A6F" w14:textId="77777777" w:rsidR="00CC63E1" w:rsidRPr="00A04EBE" w:rsidRDefault="00CC63E1" w:rsidP="00CC63E1">
      <w:pPr>
        <w:shd w:val="clear" w:color="auto" w:fill="FFFFFF"/>
        <w:spacing w:after="240" w:line="276" w:lineRule="auto"/>
        <w:rPr>
          <w:rFonts w:ascii="Times New Roman" w:eastAsia="Times New Roman" w:hAnsi="Times New Roman"/>
          <w:sz w:val="24"/>
          <w:szCs w:val="24"/>
        </w:rPr>
      </w:pPr>
      <w:r w:rsidRPr="00A04EBE">
        <w:rPr>
          <w:rFonts w:ascii="Times New Roman" w:eastAsia="Times New Roman" w:hAnsi="Times New Roman"/>
          <w:sz w:val="24"/>
          <w:szCs w:val="24"/>
        </w:rPr>
        <w:t xml:space="preserve">The </w:t>
      </w:r>
      <w:r w:rsidRPr="00A04EBE">
        <w:rPr>
          <w:rFonts w:ascii="Times New Roman" w:hAnsi="Times New Roman"/>
          <w:i/>
          <w:sz w:val="24"/>
          <w:szCs w:val="24"/>
        </w:rPr>
        <w:t>Ozone Protection and Synthetic Greenhouse Gas Management Act 1989</w:t>
      </w:r>
      <w:r w:rsidRPr="00A04EBE">
        <w:rPr>
          <w:rFonts w:ascii="Times New Roman" w:eastAsia="Times New Roman" w:hAnsi="Times New Roman"/>
          <w:sz w:val="24"/>
          <w:szCs w:val="24"/>
        </w:rPr>
        <w:t xml:space="preserve"> (the Act) implements Australia’s obligations under the Vienna Convention for the Protection of the Ozone Layer and its associated Montreal Protocol on Substances that Deplete the Ozone Layer</w:t>
      </w:r>
      <w:r>
        <w:rPr>
          <w:rFonts w:ascii="Times New Roman" w:eastAsia="Times New Roman" w:hAnsi="Times New Roman"/>
          <w:sz w:val="24"/>
          <w:szCs w:val="24"/>
        </w:rPr>
        <w:t xml:space="preserve"> (the Montreal Protocol)</w:t>
      </w:r>
      <w:r w:rsidRPr="00A04EBE">
        <w:rPr>
          <w:rFonts w:ascii="Times New Roman" w:eastAsia="Times New Roman" w:hAnsi="Times New Roman"/>
          <w:sz w:val="24"/>
          <w:szCs w:val="24"/>
        </w:rPr>
        <w:t xml:space="preserve">, as well as the United Nations Framework Convention on Climate Change and its </w:t>
      </w:r>
      <w:r>
        <w:rPr>
          <w:rFonts w:ascii="Times New Roman" w:eastAsia="Times New Roman" w:hAnsi="Times New Roman"/>
          <w:sz w:val="24"/>
          <w:szCs w:val="24"/>
        </w:rPr>
        <w:t xml:space="preserve">associated </w:t>
      </w:r>
      <w:r w:rsidRPr="00A04EBE">
        <w:rPr>
          <w:rFonts w:ascii="Times New Roman" w:eastAsia="Times New Roman" w:hAnsi="Times New Roman"/>
          <w:sz w:val="24"/>
          <w:szCs w:val="24"/>
        </w:rPr>
        <w:t xml:space="preserve">Kyoto Protocol. </w:t>
      </w:r>
    </w:p>
    <w:p w14:paraId="06272F37" w14:textId="77777777" w:rsidR="00CC63E1" w:rsidRDefault="00CC63E1" w:rsidP="00CC63E1">
      <w:pPr>
        <w:tabs>
          <w:tab w:val="left" w:pos="4536"/>
        </w:tabs>
        <w:spacing w:after="240" w:line="276" w:lineRule="auto"/>
        <w:rPr>
          <w:rFonts w:ascii="Times New Roman" w:hAnsi="Times New Roman"/>
          <w:sz w:val="24"/>
          <w:szCs w:val="24"/>
        </w:rPr>
      </w:pPr>
      <w:r w:rsidRPr="00A04EBE">
        <w:rPr>
          <w:rFonts w:ascii="Times New Roman" w:hAnsi="Times New Roman"/>
          <w:sz w:val="24"/>
          <w:szCs w:val="24"/>
        </w:rPr>
        <w:t>Section 70 of the Act provides that the Governor-General may make regulations required or permitted by the Act or that are necessary or convenient to be prescribed for carrying out or giving effect to the Act.</w:t>
      </w:r>
    </w:p>
    <w:p w14:paraId="284B111F" w14:textId="77777777" w:rsidR="00CC63E1" w:rsidRPr="00603A42" w:rsidRDefault="00CC63E1" w:rsidP="00CC63E1">
      <w:pPr>
        <w:shd w:val="clear" w:color="auto" w:fill="FFFFFF"/>
        <w:spacing w:after="240" w:line="276" w:lineRule="auto"/>
        <w:rPr>
          <w:rFonts w:ascii="Times New Roman" w:eastAsia="Times New Roman" w:hAnsi="Times New Roman"/>
          <w:sz w:val="24"/>
          <w:szCs w:val="24"/>
        </w:rPr>
      </w:pPr>
      <w:r w:rsidRPr="00A04EBE">
        <w:rPr>
          <w:rFonts w:ascii="Times New Roman" w:eastAsia="Times New Roman" w:hAnsi="Times New Roman"/>
          <w:sz w:val="24"/>
          <w:szCs w:val="24"/>
        </w:rPr>
        <w:t xml:space="preserve">The </w:t>
      </w:r>
      <w:r>
        <w:rPr>
          <w:rFonts w:ascii="Times New Roman" w:eastAsia="Times New Roman" w:hAnsi="Times New Roman"/>
          <w:sz w:val="24"/>
          <w:szCs w:val="24"/>
        </w:rPr>
        <w:t>R</w:t>
      </w:r>
      <w:r w:rsidRPr="00A04EBE">
        <w:rPr>
          <w:rFonts w:ascii="Times New Roman" w:eastAsia="Times New Roman" w:hAnsi="Times New Roman"/>
          <w:sz w:val="24"/>
          <w:szCs w:val="24"/>
        </w:rPr>
        <w:t xml:space="preserve">eview </w:t>
      </w:r>
      <w:r>
        <w:rPr>
          <w:rFonts w:ascii="Times New Roman" w:eastAsia="Times New Roman" w:hAnsi="Times New Roman"/>
          <w:sz w:val="24"/>
          <w:szCs w:val="24"/>
        </w:rPr>
        <w:t xml:space="preserve">of the Ozone Protection and Synthetic Greenhouse Gas legislation (the Review) completed in 2016, </w:t>
      </w:r>
      <w:r w:rsidRPr="00A04EBE">
        <w:rPr>
          <w:rFonts w:ascii="Times New Roman" w:hAnsi="Times New Roman"/>
          <w:sz w:val="24"/>
          <w:szCs w:val="24"/>
          <w:lang w:val="en"/>
        </w:rPr>
        <w:t xml:space="preserve">identified </w:t>
      </w:r>
      <w:r>
        <w:rPr>
          <w:rFonts w:ascii="Times New Roman" w:hAnsi="Times New Roman"/>
          <w:sz w:val="24"/>
          <w:szCs w:val="24"/>
          <w:lang w:val="en"/>
        </w:rPr>
        <w:t>measures</w:t>
      </w:r>
      <w:r w:rsidRPr="00A04EBE">
        <w:rPr>
          <w:rFonts w:ascii="Times New Roman" w:hAnsi="Times New Roman"/>
          <w:sz w:val="24"/>
          <w:szCs w:val="24"/>
          <w:lang w:val="en"/>
        </w:rPr>
        <w:t xml:space="preserve"> to</w:t>
      </w:r>
      <w:r w:rsidRPr="00A04EBE">
        <w:rPr>
          <w:rFonts w:ascii="Times New Roman" w:eastAsia="Times New Roman" w:hAnsi="Times New Roman"/>
          <w:sz w:val="24"/>
          <w:szCs w:val="24"/>
        </w:rPr>
        <w:t xml:space="preserve"> further reduce emissions of ozone depleting substances and synthetic greenhouse gases and</w:t>
      </w:r>
      <w:r w:rsidRPr="00A04EBE">
        <w:rPr>
          <w:rFonts w:ascii="Times New Roman" w:hAnsi="Times New Roman"/>
          <w:sz w:val="24"/>
          <w:szCs w:val="24"/>
          <w:lang w:val="en"/>
        </w:rPr>
        <w:t xml:space="preserve"> improve and streamline the operation of the </w:t>
      </w:r>
      <w:r>
        <w:rPr>
          <w:rFonts w:ascii="Times New Roman" w:hAnsi="Times New Roman"/>
          <w:sz w:val="24"/>
          <w:szCs w:val="24"/>
          <w:lang w:val="en"/>
        </w:rPr>
        <w:t>legislation</w:t>
      </w:r>
      <w:r w:rsidRPr="00A04EBE">
        <w:rPr>
          <w:rFonts w:ascii="Times New Roman" w:hAnsi="Times New Roman"/>
          <w:sz w:val="24"/>
          <w:szCs w:val="24"/>
          <w:lang w:val="en"/>
        </w:rPr>
        <w:t>, including reducing regulatory compliance costs and burden on business.</w:t>
      </w:r>
      <w:r w:rsidRPr="00A04EBE">
        <w:rPr>
          <w:rFonts w:ascii="Times New Roman" w:eastAsia="Times New Roman" w:hAnsi="Times New Roman"/>
          <w:sz w:val="24"/>
          <w:szCs w:val="24"/>
        </w:rPr>
        <w:t xml:space="preserve"> The Australian Government agreed to </w:t>
      </w:r>
      <w:r>
        <w:rPr>
          <w:rFonts w:ascii="Times New Roman" w:eastAsia="Times New Roman" w:hAnsi="Times New Roman"/>
          <w:sz w:val="24"/>
          <w:szCs w:val="24"/>
        </w:rPr>
        <w:t xml:space="preserve">all </w:t>
      </w:r>
      <w:r w:rsidRPr="00A04EBE">
        <w:rPr>
          <w:rFonts w:ascii="Times New Roman" w:eastAsia="Times New Roman" w:hAnsi="Times New Roman"/>
          <w:sz w:val="24"/>
          <w:szCs w:val="24"/>
        </w:rPr>
        <w:t xml:space="preserve">the </w:t>
      </w:r>
      <w:r>
        <w:rPr>
          <w:rFonts w:ascii="Times New Roman" w:eastAsia="Times New Roman" w:hAnsi="Times New Roman"/>
          <w:sz w:val="24"/>
          <w:szCs w:val="24"/>
        </w:rPr>
        <w:t>measures recommended by the Review on 5 May </w:t>
      </w:r>
      <w:r w:rsidRPr="00754F20">
        <w:rPr>
          <w:rFonts w:ascii="Times New Roman" w:eastAsia="Times New Roman" w:hAnsi="Times New Roman"/>
          <w:sz w:val="24"/>
          <w:szCs w:val="24"/>
        </w:rPr>
        <w:t>2016. The Minister for the Environment agreed to</w:t>
      </w:r>
      <w:r>
        <w:rPr>
          <w:rFonts w:ascii="Times New Roman" w:eastAsia="Times New Roman" w:hAnsi="Times New Roman"/>
          <w:sz w:val="24"/>
          <w:szCs w:val="24"/>
        </w:rPr>
        <w:t xml:space="preserve"> </w:t>
      </w:r>
      <w:r w:rsidRPr="00754F20">
        <w:rPr>
          <w:rFonts w:ascii="Times New Roman" w:eastAsia="Times New Roman" w:hAnsi="Times New Roman"/>
          <w:sz w:val="24"/>
          <w:szCs w:val="24"/>
        </w:rPr>
        <w:t xml:space="preserve">additional minor </w:t>
      </w:r>
      <w:r>
        <w:rPr>
          <w:rFonts w:ascii="Times New Roman" w:eastAsia="Times New Roman" w:hAnsi="Times New Roman"/>
          <w:sz w:val="24"/>
          <w:szCs w:val="24"/>
        </w:rPr>
        <w:t>amendments on 19 September </w:t>
      </w:r>
      <w:r w:rsidRPr="00754F20">
        <w:rPr>
          <w:rFonts w:ascii="Times New Roman" w:eastAsia="Times New Roman" w:hAnsi="Times New Roman"/>
          <w:sz w:val="24"/>
          <w:szCs w:val="24"/>
        </w:rPr>
        <w:t>2019.</w:t>
      </w:r>
    </w:p>
    <w:p w14:paraId="62DC9851" w14:textId="77777777" w:rsidR="00CC63E1" w:rsidRPr="00433211" w:rsidRDefault="00CC63E1" w:rsidP="00CC63E1">
      <w:pPr>
        <w:tabs>
          <w:tab w:val="left" w:pos="4536"/>
        </w:tabs>
        <w:spacing w:after="240" w:line="276" w:lineRule="auto"/>
        <w:rPr>
          <w:rFonts w:ascii="Times New Roman" w:hAnsi="Times New Roman"/>
          <w:sz w:val="24"/>
          <w:szCs w:val="24"/>
        </w:rPr>
      </w:pPr>
      <w:r w:rsidRPr="00A04EBE">
        <w:rPr>
          <w:rFonts w:ascii="Times New Roman" w:hAnsi="Times New Roman"/>
          <w:sz w:val="24"/>
          <w:szCs w:val="24"/>
        </w:rPr>
        <w:t xml:space="preserve">The </w:t>
      </w:r>
      <w:r w:rsidRPr="00992ED9">
        <w:rPr>
          <w:rFonts w:ascii="Times New Roman" w:hAnsi="Times New Roman"/>
          <w:i/>
          <w:sz w:val="24"/>
          <w:szCs w:val="24"/>
        </w:rPr>
        <w:t>Ozone Protection and Synthetic Greenhouse Gas Management Amendment</w:t>
      </w:r>
      <w:r>
        <w:rPr>
          <w:rFonts w:ascii="Times New Roman" w:hAnsi="Times New Roman"/>
          <w:i/>
          <w:sz w:val="24"/>
          <w:szCs w:val="24"/>
        </w:rPr>
        <w:t xml:space="preserve"> </w:t>
      </w:r>
      <w:r w:rsidRPr="00992ED9">
        <w:rPr>
          <w:rFonts w:ascii="Times New Roman" w:hAnsi="Times New Roman"/>
          <w:i/>
          <w:sz w:val="24"/>
          <w:szCs w:val="24"/>
        </w:rPr>
        <w:t>(2019</w:t>
      </w:r>
      <w:r>
        <w:rPr>
          <w:rFonts w:ascii="Times New Roman" w:hAnsi="Times New Roman"/>
          <w:i/>
          <w:sz w:val="24"/>
          <w:szCs w:val="24"/>
        </w:rPr>
        <w:t> </w:t>
      </w:r>
      <w:r w:rsidRPr="00992ED9">
        <w:rPr>
          <w:rFonts w:ascii="Times New Roman" w:hAnsi="Times New Roman"/>
          <w:i/>
          <w:sz w:val="24"/>
          <w:szCs w:val="24"/>
        </w:rPr>
        <w:t>Measures</w:t>
      </w:r>
      <w:r>
        <w:rPr>
          <w:rFonts w:ascii="Times New Roman" w:hAnsi="Times New Roman"/>
          <w:i/>
          <w:sz w:val="24"/>
          <w:szCs w:val="24"/>
        </w:rPr>
        <w:t> No. </w:t>
      </w:r>
      <w:r w:rsidRPr="00992ED9">
        <w:rPr>
          <w:rFonts w:ascii="Times New Roman" w:hAnsi="Times New Roman"/>
          <w:i/>
          <w:sz w:val="24"/>
          <w:szCs w:val="24"/>
        </w:rPr>
        <w:t>1) Regulations 2019</w:t>
      </w:r>
      <w:r w:rsidRPr="00A04EBE">
        <w:rPr>
          <w:rFonts w:ascii="Times New Roman" w:hAnsi="Times New Roman"/>
          <w:sz w:val="24"/>
          <w:szCs w:val="24"/>
        </w:rPr>
        <w:t xml:space="preserve"> (the </w:t>
      </w:r>
      <w:r>
        <w:rPr>
          <w:rFonts w:ascii="Times New Roman" w:hAnsi="Times New Roman"/>
          <w:sz w:val="24"/>
          <w:szCs w:val="24"/>
        </w:rPr>
        <w:t>Amendment</w:t>
      </w:r>
      <w:r w:rsidRPr="00A04EBE">
        <w:rPr>
          <w:rFonts w:ascii="Times New Roman" w:hAnsi="Times New Roman"/>
          <w:sz w:val="24"/>
          <w:szCs w:val="24"/>
        </w:rPr>
        <w:t xml:space="preserve"> Regulations) amend the </w:t>
      </w:r>
      <w:r w:rsidRPr="00A04EBE">
        <w:rPr>
          <w:rFonts w:ascii="Times New Roman" w:hAnsi="Times New Roman"/>
          <w:i/>
          <w:sz w:val="24"/>
          <w:szCs w:val="24"/>
        </w:rPr>
        <w:t>Ozone Protection and Synthetic Greenhouse Gas Management Regulations 1995</w:t>
      </w:r>
      <w:r w:rsidRPr="00A04EBE">
        <w:rPr>
          <w:rFonts w:ascii="Times New Roman" w:hAnsi="Times New Roman"/>
          <w:sz w:val="24"/>
          <w:szCs w:val="24"/>
        </w:rPr>
        <w:t xml:space="preserve"> (the Principal Regulations) to</w:t>
      </w:r>
      <w:r>
        <w:rPr>
          <w:rFonts w:ascii="Times New Roman" w:hAnsi="Times New Roman"/>
          <w:sz w:val="24"/>
          <w:szCs w:val="24"/>
        </w:rPr>
        <w:t xml:space="preserve"> </w:t>
      </w:r>
      <w:r w:rsidRPr="00433211">
        <w:rPr>
          <w:rFonts w:ascii="Times New Roman" w:hAnsi="Times New Roman"/>
          <w:sz w:val="24"/>
          <w:szCs w:val="24"/>
        </w:rPr>
        <w:t xml:space="preserve">implement recommendations </w:t>
      </w:r>
      <w:r>
        <w:rPr>
          <w:rFonts w:ascii="Times New Roman" w:hAnsi="Times New Roman"/>
          <w:sz w:val="24"/>
          <w:szCs w:val="24"/>
        </w:rPr>
        <w:t>of</w:t>
      </w:r>
      <w:r w:rsidRPr="00433211">
        <w:rPr>
          <w:rFonts w:ascii="Times New Roman" w:hAnsi="Times New Roman"/>
          <w:sz w:val="24"/>
          <w:szCs w:val="24"/>
        </w:rPr>
        <w:t xml:space="preserve"> the R</w:t>
      </w:r>
      <w:r>
        <w:rPr>
          <w:rFonts w:ascii="Times New Roman" w:hAnsi="Times New Roman"/>
          <w:sz w:val="24"/>
          <w:szCs w:val="24"/>
        </w:rPr>
        <w:t>eview and make minor amendments to:</w:t>
      </w:r>
    </w:p>
    <w:p w14:paraId="43CC5542" w14:textId="77777777" w:rsidR="00CC63E1" w:rsidRPr="00F906DE" w:rsidRDefault="00CC63E1" w:rsidP="00F45E4F">
      <w:pPr>
        <w:pStyle w:val="ListNumber"/>
        <w:numPr>
          <w:ilvl w:val="0"/>
          <w:numId w:val="8"/>
        </w:numPr>
        <w:spacing w:line="276" w:lineRule="auto"/>
        <w:rPr>
          <w:rFonts w:ascii="Times New Roman" w:hAnsi="Times New Roman"/>
          <w:sz w:val="24"/>
          <w:szCs w:val="24"/>
        </w:rPr>
      </w:pPr>
      <w:r>
        <w:rPr>
          <w:rFonts w:ascii="Times New Roman" w:hAnsi="Times New Roman"/>
          <w:sz w:val="24"/>
          <w:szCs w:val="24"/>
        </w:rPr>
        <w:t>A</w:t>
      </w:r>
      <w:r w:rsidRPr="00F906DE">
        <w:rPr>
          <w:rFonts w:ascii="Times New Roman" w:hAnsi="Times New Roman"/>
          <w:sz w:val="24"/>
          <w:szCs w:val="24"/>
        </w:rPr>
        <w:t>llow refund</w:t>
      </w:r>
      <w:r>
        <w:rPr>
          <w:rFonts w:ascii="Times New Roman" w:hAnsi="Times New Roman"/>
          <w:sz w:val="24"/>
          <w:szCs w:val="24"/>
        </w:rPr>
        <w:t xml:space="preserve"> of application fees for the refrigeration and air conditioning industry and fire protection</w:t>
      </w:r>
      <w:r w:rsidRPr="00F906DE">
        <w:rPr>
          <w:rFonts w:ascii="Times New Roman" w:hAnsi="Times New Roman"/>
          <w:sz w:val="24"/>
          <w:szCs w:val="24"/>
        </w:rPr>
        <w:t xml:space="preserve"> </w:t>
      </w:r>
      <w:r>
        <w:rPr>
          <w:rFonts w:ascii="Times New Roman" w:hAnsi="Times New Roman"/>
          <w:sz w:val="24"/>
          <w:szCs w:val="24"/>
        </w:rPr>
        <w:t xml:space="preserve">industry </w:t>
      </w:r>
      <w:r w:rsidRPr="00F906DE">
        <w:rPr>
          <w:rFonts w:ascii="Times New Roman" w:hAnsi="Times New Roman"/>
          <w:sz w:val="24"/>
          <w:szCs w:val="24"/>
        </w:rPr>
        <w:t>permit schemes;</w:t>
      </w:r>
    </w:p>
    <w:p w14:paraId="10EFAC28" w14:textId="77777777" w:rsidR="00CC63E1" w:rsidRPr="00F906DE" w:rsidRDefault="00CC63E1" w:rsidP="00F45E4F">
      <w:pPr>
        <w:pStyle w:val="ListNumber"/>
        <w:numPr>
          <w:ilvl w:val="0"/>
          <w:numId w:val="8"/>
        </w:numPr>
        <w:spacing w:line="276" w:lineRule="auto"/>
        <w:rPr>
          <w:rFonts w:ascii="Times New Roman" w:hAnsi="Times New Roman"/>
          <w:sz w:val="24"/>
          <w:szCs w:val="24"/>
        </w:rPr>
      </w:pPr>
      <w:r>
        <w:rPr>
          <w:rFonts w:ascii="Times New Roman" w:hAnsi="Times New Roman"/>
          <w:sz w:val="24"/>
          <w:szCs w:val="24"/>
        </w:rPr>
        <w:t>A</w:t>
      </w:r>
      <w:r w:rsidRPr="00F906DE">
        <w:rPr>
          <w:rFonts w:ascii="Times New Roman" w:hAnsi="Times New Roman"/>
          <w:sz w:val="24"/>
          <w:szCs w:val="24"/>
        </w:rPr>
        <w:t>llow the c</w:t>
      </w:r>
      <w:r>
        <w:rPr>
          <w:rFonts w:ascii="Times New Roman" w:hAnsi="Times New Roman"/>
          <w:sz w:val="24"/>
          <w:szCs w:val="24"/>
        </w:rPr>
        <w:t xml:space="preserve">ancellation or suspension of a fire protection industry permit </w:t>
      </w:r>
      <w:r w:rsidRPr="00F906DE">
        <w:rPr>
          <w:rFonts w:ascii="Times New Roman" w:hAnsi="Times New Roman"/>
          <w:sz w:val="24"/>
          <w:szCs w:val="24"/>
        </w:rPr>
        <w:t xml:space="preserve">where a </w:t>
      </w:r>
      <w:r>
        <w:rPr>
          <w:rFonts w:ascii="Times New Roman" w:hAnsi="Times New Roman"/>
          <w:sz w:val="24"/>
          <w:szCs w:val="24"/>
        </w:rPr>
        <w:t>permit holder</w:t>
      </w:r>
      <w:r w:rsidRPr="00F906DE">
        <w:rPr>
          <w:rFonts w:ascii="Times New Roman" w:hAnsi="Times New Roman"/>
          <w:sz w:val="24"/>
          <w:szCs w:val="24"/>
        </w:rPr>
        <w:t xml:space="preserve"> does not have the necessary knowledge, ability and experience to competently carry out work;</w:t>
      </w:r>
    </w:p>
    <w:p w14:paraId="55AC3294" w14:textId="77777777" w:rsidR="00CC63E1" w:rsidRPr="000D7CDE" w:rsidRDefault="00CC63E1" w:rsidP="00F45E4F">
      <w:pPr>
        <w:pStyle w:val="ListNumber"/>
        <w:numPr>
          <w:ilvl w:val="0"/>
          <w:numId w:val="8"/>
        </w:numPr>
        <w:spacing w:line="276" w:lineRule="auto"/>
        <w:rPr>
          <w:rFonts w:ascii="Times New Roman" w:hAnsi="Times New Roman"/>
          <w:sz w:val="24"/>
          <w:szCs w:val="24"/>
        </w:rPr>
      </w:pPr>
      <w:r>
        <w:rPr>
          <w:rFonts w:ascii="Times New Roman" w:hAnsi="Times New Roman"/>
          <w:sz w:val="24"/>
          <w:szCs w:val="24"/>
        </w:rPr>
        <w:t>P</w:t>
      </w:r>
      <w:r w:rsidRPr="00F906DE">
        <w:rPr>
          <w:rFonts w:ascii="Times New Roman" w:hAnsi="Times New Roman"/>
          <w:sz w:val="24"/>
          <w:szCs w:val="24"/>
        </w:rPr>
        <w:t xml:space="preserve">rohibit the use of a scheduled substance in fire protection equipment </w:t>
      </w:r>
      <w:r w:rsidRPr="00971353">
        <w:rPr>
          <w:rFonts w:ascii="Times New Roman" w:hAnsi="Times New Roman"/>
          <w:sz w:val="24"/>
          <w:szCs w:val="24"/>
        </w:rPr>
        <w:t>or</w:t>
      </w:r>
      <w:r w:rsidRPr="00F906DE">
        <w:rPr>
          <w:rFonts w:ascii="Times New Roman" w:hAnsi="Times New Roman"/>
          <w:sz w:val="24"/>
          <w:szCs w:val="24"/>
        </w:rPr>
        <w:t xml:space="preserve"> </w:t>
      </w:r>
      <w:r>
        <w:rPr>
          <w:rFonts w:ascii="Times New Roman" w:hAnsi="Times New Roman"/>
          <w:sz w:val="24"/>
          <w:szCs w:val="24"/>
        </w:rPr>
        <w:t>refrigeration and air conditioning</w:t>
      </w:r>
      <w:r w:rsidRPr="00F906DE">
        <w:rPr>
          <w:rFonts w:ascii="Times New Roman" w:hAnsi="Times New Roman"/>
          <w:sz w:val="24"/>
          <w:szCs w:val="24"/>
        </w:rPr>
        <w:t xml:space="preserve"> equipment that has a higher global warming potential than the substance the equipment was designed </w:t>
      </w:r>
      <w:r>
        <w:rPr>
          <w:rFonts w:ascii="Times New Roman" w:hAnsi="Times New Roman"/>
          <w:sz w:val="24"/>
          <w:szCs w:val="24"/>
        </w:rPr>
        <w:t>to use</w:t>
      </w:r>
      <w:r w:rsidRPr="00F906DE">
        <w:rPr>
          <w:rFonts w:ascii="Times New Roman" w:hAnsi="Times New Roman"/>
          <w:sz w:val="24"/>
          <w:szCs w:val="24"/>
        </w:rPr>
        <w:t>;</w:t>
      </w:r>
    </w:p>
    <w:p w14:paraId="4A1D2C82" w14:textId="77777777" w:rsidR="00CC63E1" w:rsidRPr="00957D9C" w:rsidRDefault="00CC63E1" w:rsidP="00F45E4F">
      <w:pPr>
        <w:pStyle w:val="ListNumber"/>
        <w:numPr>
          <w:ilvl w:val="0"/>
          <w:numId w:val="8"/>
        </w:numPr>
        <w:spacing w:line="276" w:lineRule="auto"/>
        <w:rPr>
          <w:rFonts w:ascii="Times New Roman" w:hAnsi="Times New Roman"/>
          <w:sz w:val="24"/>
          <w:szCs w:val="24"/>
        </w:rPr>
      </w:pPr>
      <w:r w:rsidRPr="00957D9C">
        <w:rPr>
          <w:rFonts w:ascii="Times New Roman" w:hAnsi="Times New Roman"/>
          <w:sz w:val="24"/>
          <w:szCs w:val="24"/>
        </w:rPr>
        <w:t xml:space="preserve">Facilitate the implementation of the ban commencing </w:t>
      </w:r>
      <w:r>
        <w:rPr>
          <w:rFonts w:ascii="Times New Roman" w:hAnsi="Times New Roman"/>
          <w:sz w:val="24"/>
          <w:szCs w:val="24"/>
        </w:rPr>
        <w:t xml:space="preserve">under the Act </w:t>
      </w:r>
      <w:r w:rsidRPr="00957D9C">
        <w:rPr>
          <w:rFonts w:ascii="Times New Roman" w:hAnsi="Times New Roman"/>
          <w:sz w:val="24"/>
          <w:szCs w:val="24"/>
        </w:rPr>
        <w:t xml:space="preserve">on 1 January 2020 </w:t>
      </w:r>
      <w:r>
        <w:rPr>
          <w:rFonts w:ascii="Times New Roman" w:hAnsi="Times New Roman"/>
          <w:sz w:val="24"/>
          <w:szCs w:val="24"/>
        </w:rPr>
        <w:t>on</w:t>
      </w:r>
      <w:r w:rsidRPr="00957D9C">
        <w:rPr>
          <w:rFonts w:ascii="Times New Roman" w:hAnsi="Times New Roman"/>
          <w:sz w:val="24"/>
          <w:szCs w:val="24"/>
        </w:rPr>
        <w:t xml:space="preserve"> the import and manufacture of bulk </w:t>
      </w:r>
      <w:proofErr w:type="spellStart"/>
      <w:r w:rsidRPr="00F906DE">
        <w:rPr>
          <w:rFonts w:ascii="Times New Roman" w:hAnsi="Times New Roman"/>
          <w:sz w:val="24"/>
          <w:szCs w:val="24"/>
        </w:rPr>
        <w:t>hydrochlorofluorocarbon</w:t>
      </w:r>
      <w:proofErr w:type="spellEnd"/>
      <w:r w:rsidRPr="00F906DE">
        <w:rPr>
          <w:rFonts w:ascii="Times New Roman" w:hAnsi="Times New Roman"/>
          <w:sz w:val="24"/>
          <w:szCs w:val="24"/>
        </w:rPr>
        <w:t xml:space="preserve"> (HCFC) </w:t>
      </w:r>
      <w:r w:rsidRPr="00957D9C">
        <w:rPr>
          <w:rFonts w:ascii="Times New Roman" w:hAnsi="Times New Roman"/>
          <w:sz w:val="24"/>
          <w:szCs w:val="24"/>
        </w:rPr>
        <w:t>and equipme</w:t>
      </w:r>
      <w:r>
        <w:rPr>
          <w:rFonts w:ascii="Times New Roman" w:hAnsi="Times New Roman"/>
          <w:sz w:val="24"/>
          <w:szCs w:val="24"/>
        </w:rPr>
        <w:t>nt containing or using HCFCs by:</w:t>
      </w:r>
    </w:p>
    <w:p w14:paraId="5C4161C6" w14:textId="77777777" w:rsidR="00CC63E1" w:rsidRDefault="00CC63E1" w:rsidP="00F45E4F">
      <w:pPr>
        <w:pStyle w:val="ListNumber"/>
        <w:numPr>
          <w:ilvl w:val="0"/>
          <w:numId w:val="9"/>
        </w:numPr>
        <w:spacing w:line="276" w:lineRule="auto"/>
        <w:rPr>
          <w:rFonts w:ascii="Times New Roman" w:hAnsi="Times New Roman"/>
          <w:sz w:val="24"/>
          <w:szCs w:val="24"/>
        </w:rPr>
      </w:pPr>
      <w:r w:rsidRPr="00957D9C">
        <w:rPr>
          <w:rFonts w:ascii="Times New Roman" w:hAnsi="Times New Roman"/>
          <w:sz w:val="24"/>
          <w:szCs w:val="24"/>
        </w:rPr>
        <w:t>Allowing</w:t>
      </w:r>
      <w:r w:rsidRPr="00F906DE">
        <w:rPr>
          <w:rFonts w:ascii="Times New Roman" w:hAnsi="Times New Roman"/>
          <w:sz w:val="24"/>
          <w:szCs w:val="24"/>
        </w:rPr>
        <w:t xml:space="preserve"> for a licence to be granted to import equipment using HCFC</w:t>
      </w:r>
      <w:r>
        <w:rPr>
          <w:rFonts w:ascii="Times New Roman" w:hAnsi="Times New Roman"/>
          <w:sz w:val="24"/>
          <w:szCs w:val="24"/>
        </w:rPr>
        <w:t>s</w:t>
      </w:r>
      <w:r w:rsidRPr="00F906DE">
        <w:rPr>
          <w:rFonts w:ascii="Times New Roman" w:hAnsi="Times New Roman"/>
          <w:sz w:val="24"/>
          <w:szCs w:val="24"/>
        </w:rPr>
        <w:t xml:space="preserve"> for test, monitoring, laboratory and analytical purposes</w:t>
      </w:r>
      <w:r w:rsidRPr="00957D9C">
        <w:rPr>
          <w:rFonts w:ascii="Times New Roman" w:hAnsi="Times New Roman"/>
          <w:sz w:val="24"/>
          <w:szCs w:val="24"/>
        </w:rPr>
        <w:t xml:space="preserve"> where </w:t>
      </w:r>
      <w:r>
        <w:rPr>
          <w:rFonts w:ascii="Times New Roman" w:hAnsi="Times New Roman"/>
          <w:sz w:val="24"/>
          <w:szCs w:val="24"/>
        </w:rPr>
        <w:t>no practical alternative exists;</w:t>
      </w:r>
    </w:p>
    <w:p w14:paraId="5350CE02" w14:textId="77777777" w:rsidR="00CC63E1" w:rsidRPr="00F906DE" w:rsidRDefault="00CC63E1" w:rsidP="00F45E4F">
      <w:pPr>
        <w:pStyle w:val="ListNumber"/>
        <w:numPr>
          <w:ilvl w:val="0"/>
          <w:numId w:val="9"/>
        </w:numPr>
        <w:spacing w:line="276" w:lineRule="auto"/>
        <w:rPr>
          <w:rFonts w:ascii="Times New Roman" w:hAnsi="Times New Roman"/>
          <w:sz w:val="24"/>
          <w:szCs w:val="24"/>
        </w:rPr>
      </w:pPr>
      <w:r w:rsidRPr="00957D9C">
        <w:rPr>
          <w:rFonts w:ascii="Times New Roman" w:hAnsi="Times New Roman"/>
          <w:sz w:val="24"/>
          <w:szCs w:val="24"/>
        </w:rPr>
        <w:lastRenderedPageBreak/>
        <w:t>Allowing</w:t>
      </w:r>
      <w:r>
        <w:rPr>
          <w:rFonts w:ascii="Times New Roman" w:hAnsi="Times New Roman"/>
          <w:sz w:val="24"/>
          <w:szCs w:val="24"/>
        </w:rPr>
        <w:t xml:space="preserve"> for bulk</w:t>
      </w:r>
      <w:r w:rsidRPr="00103384">
        <w:rPr>
          <w:rFonts w:ascii="Times New Roman" w:hAnsi="Times New Roman"/>
          <w:sz w:val="24"/>
          <w:szCs w:val="24"/>
        </w:rPr>
        <w:t xml:space="preserve"> HCFC manufactured or imported on or after 1 </w:t>
      </w:r>
      <w:r>
        <w:rPr>
          <w:rFonts w:ascii="Times New Roman" w:hAnsi="Times New Roman"/>
          <w:sz w:val="24"/>
          <w:szCs w:val="24"/>
        </w:rPr>
        <w:t>January </w:t>
      </w:r>
      <w:r w:rsidRPr="00103384">
        <w:rPr>
          <w:rFonts w:ascii="Times New Roman" w:hAnsi="Times New Roman"/>
          <w:sz w:val="24"/>
          <w:szCs w:val="24"/>
        </w:rPr>
        <w:t xml:space="preserve">2020 to be used for servicing </w:t>
      </w:r>
      <w:r>
        <w:rPr>
          <w:rFonts w:ascii="Times New Roman" w:hAnsi="Times New Roman"/>
          <w:sz w:val="24"/>
          <w:szCs w:val="24"/>
        </w:rPr>
        <w:t>existing refrigeration and air conditioning</w:t>
      </w:r>
      <w:r w:rsidRPr="00103384">
        <w:rPr>
          <w:rFonts w:ascii="Times New Roman" w:hAnsi="Times New Roman"/>
          <w:sz w:val="24"/>
          <w:szCs w:val="24"/>
        </w:rPr>
        <w:t xml:space="preserve"> equipment, or maintaining </w:t>
      </w:r>
      <w:r>
        <w:rPr>
          <w:rFonts w:ascii="Times New Roman" w:hAnsi="Times New Roman"/>
          <w:sz w:val="24"/>
          <w:szCs w:val="24"/>
        </w:rPr>
        <w:t xml:space="preserve">existing </w:t>
      </w:r>
      <w:r w:rsidRPr="00103384">
        <w:rPr>
          <w:rFonts w:ascii="Times New Roman" w:hAnsi="Times New Roman"/>
          <w:sz w:val="24"/>
          <w:szCs w:val="24"/>
        </w:rPr>
        <w:t>fire protection equipment</w:t>
      </w:r>
      <w:r w:rsidRPr="00957D9C">
        <w:rPr>
          <w:rFonts w:ascii="Times New Roman" w:hAnsi="Times New Roman"/>
          <w:sz w:val="24"/>
          <w:szCs w:val="24"/>
        </w:rPr>
        <w:t>, in line with the Montreal Protocol</w:t>
      </w:r>
      <w:r>
        <w:rPr>
          <w:rFonts w:ascii="Times New Roman" w:hAnsi="Times New Roman"/>
          <w:sz w:val="24"/>
          <w:szCs w:val="24"/>
        </w:rPr>
        <w:t>;</w:t>
      </w:r>
    </w:p>
    <w:p w14:paraId="5DFBFDD6" w14:textId="77777777" w:rsidR="00CC63E1" w:rsidRPr="00957D9C" w:rsidRDefault="00CC63E1" w:rsidP="00F45E4F">
      <w:pPr>
        <w:pStyle w:val="ListNumber"/>
        <w:numPr>
          <w:ilvl w:val="0"/>
          <w:numId w:val="5"/>
        </w:numPr>
        <w:spacing w:line="276" w:lineRule="auto"/>
        <w:rPr>
          <w:rFonts w:ascii="Times New Roman" w:hAnsi="Times New Roman"/>
          <w:sz w:val="24"/>
          <w:szCs w:val="24"/>
        </w:rPr>
      </w:pPr>
      <w:r w:rsidRPr="00957D9C">
        <w:rPr>
          <w:rFonts w:ascii="Times New Roman" w:hAnsi="Times New Roman"/>
          <w:sz w:val="24"/>
          <w:szCs w:val="24"/>
        </w:rPr>
        <w:t>Extend the circumstances where licence application fees can be waived by;</w:t>
      </w:r>
    </w:p>
    <w:p w14:paraId="2745F627" w14:textId="77777777" w:rsidR="00CC63E1" w:rsidRPr="00F906DE" w:rsidRDefault="00CC63E1" w:rsidP="00F45E4F">
      <w:pPr>
        <w:pStyle w:val="ListNumber"/>
        <w:numPr>
          <w:ilvl w:val="0"/>
          <w:numId w:val="10"/>
        </w:numPr>
        <w:spacing w:line="276" w:lineRule="auto"/>
        <w:rPr>
          <w:rFonts w:ascii="Times New Roman" w:hAnsi="Times New Roman"/>
          <w:sz w:val="24"/>
          <w:szCs w:val="24"/>
        </w:rPr>
      </w:pPr>
      <w:r w:rsidRPr="00957D9C">
        <w:rPr>
          <w:rFonts w:ascii="Times New Roman" w:hAnsi="Times New Roman"/>
          <w:sz w:val="24"/>
          <w:szCs w:val="24"/>
        </w:rPr>
        <w:t>Allowing</w:t>
      </w:r>
      <w:r w:rsidRPr="00F906DE">
        <w:rPr>
          <w:rFonts w:ascii="Times New Roman" w:hAnsi="Times New Roman"/>
          <w:sz w:val="24"/>
          <w:szCs w:val="24"/>
        </w:rPr>
        <w:t xml:space="preserve"> for the waiver of an </w:t>
      </w:r>
      <w:r>
        <w:rPr>
          <w:rFonts w:ascii="Times New Roman" w:hAnsi="Times New Roman"/>
          <w:sz w:val="24"/>
          <w:szCs w:val="24"/>
        </w:rPr>
        <w:t xml:space="preserve">HCFC </w:t>
      </w:r>
      <w:r w:rsidRPr="00F906DE">
        <w:rPr>
          <w:rFonts w:ascii="Times New Roman" w:hAnsi="Times New Roman"/>
          <w:sz w:val="24"/>
          <w:szCs w:val="24"/>
        </w:rPr>
        <w:t>equipment import licence application fee;</w:t>
      </w:r>
    </w:p>
    <w:p w14:paraId="4200EFDD" w14:textId="77777777" w:rsidR="00CC63E1" w:rsidRPr="00F906DE" w:rsidRDefault="00CC63E1" w:rsidP="00F45E4F">
      <w:pPr>
        <w:pStyle w:val="ListNumber"/>
        <w:numPr>
          <w:ilvl w:val="0"/>
          <w:numId w:val="10"/>
        </w:numPr>
        <w:spacing w:line="276" w:lineRule="auto"/>
        <w:rPr>
          <w:rFonts w:ascii="Times New Roman" w:hAnsi="Times New Roman"/>
          <w:sz w:val="24"/>
          <w:szCs w:val="24"/>
        </w:rPr>
      </w:pPr>
      <w:r w:rsidRPr="00957D9C">
        <w:rPr>
          <w:rFonts w:ascii="Times New Roman" w:hAnsi="Times New Roman"/>
          <w:sz w:val="24"/>
          <w:szCs w:val="24"/>
        </w:rPr>
        <w:t>Allowing</w:t>
      </w:r>
      <w:r w:rsidRPr="00F906DE">
        <w:rPr>
          <w:rFonts w:ascii="Times New Roman" w:hAnsi="Times New Roman"/>
          <w:sz w:val="24"/>
          <w:szCs w:val="24"/>
        </w:rPr>
        <w:t xml:space="preserve"> for the waiver of controlled substances and used substances licence application fees where the manufacture, import or export is for monitoring, laboratory or analytical purposes;</w:t>
      </w:r>
    </w:p>
    <w:p w14:paraId="38FEC5E1" w14:textId="77777777" w:rsidR="00CC63E1" w:rsidRDefault="00CC63E1" w:rsidP="00F45E4F">
      <w:pPr>
        <w:pStyle w:val="ListBullet"/>
        <w:numPr>
          <w:ilvl w:val="0"/>
          <w:numId w:val="5"/>
        </w:numPr>
        <w:spacing w:after="0"/>
        <w:rPr>
          <w:rFonts w:ascii="Times New Roman" w:eastAsiaTheme="minorHAnsi" w:hAnsi="Times New Roman"/>
          <w:sz w:val="24"/>
          <w:szCs w:val="24"/>
          <w:lang w:eastAsia="en-AU"/>
        </w:rPr>
      </w:pPr>
      <w:r w:rsidRPr="00957D9C">
        <w:rPr>
          <w:rFonts w:ascii="Times New Roman" w:eastAsiaTheme="minorHAnsi" w:hAnsi="Times New Roman"/>
          <w:sz w:val="24"/>
          <w:szCs w:val="24"/>
          <w:lang w:eastAsia="en-AU"/>
        </w:rPr>
        <w:t xml:space="preserve">Reduce the </w:t>
      </w:r>
      <w:r>
        <w:rPr>
          <w:rFonts w:ascii="Times New Roman" w:eastAsiaTheme="minorHAnsi" w:hAnsi="Times New Roman"/>
          <w:sz w:val="24"/>
          <w:szCs w:val="24"/>
          <w:lang w:eastAsia="en-AU"/>
        </w:rPr>
        <w:t xml:space="preserve">reporting requirements for </w:t>
      </w:r>
      <w:r w:rsidRPr="00957D9C">
        <w:rPr>
          <w:rFonts w:ascii="Times New Roman" w:eastAsiaTheme="minorHAnsi" w:hAnsi="Times New Roman"/>
          <w:sz w:val="24"/>
          <w:szCs w:val="24"/>
          <w:lang w:eastAsia="en-AU"/>
        </w:rPr>
        <w:t xml:space="preserve">suppliers of methyl bromide </w:t>
      </w:r>
      <w:r>
        <w:rPr>
          <w:rFonts w:ascii="Times New Roman" w:eastAsiaTheme="minorHAnsi" w:hAnsi="Times New Roman"/>
          <w:sz w:val="24"/>
          <w:szCs w:val="24"/>
          <w:lang w:eastAsia="en-AU"/>
        </w:rPr>
        <w:t>by;</w:t>
      </w:r>
    </w:p>
    <w:p w14:paraId="20FA255A" w14:textId="77777777" w:rsidR="00CC63E1" w:rsidRPr="00957D9C" w:rsidRDefault="00CC63E1" w:rsidP="00F45E4F">
      <w:pPr>
        <w:pStyle w:val="ListNumber"/>
        <w:numPr>
          <w:ilvl w:val="0"/>
          <w:numId w:val="11"/>
        </w:numPr>
        <w:spacing w:line="276" w:lineRule="auto"/>
        <w:rPr>
          <w:rFonts w:ascii="Times New Roman" w:hAnsi="Times New Roman"/>
          <w:sz w:val="24"/>
          <w:szCs w:val="24"/>
        </w:rPr>
      </w:pPr>
      <w:r>
        <w:rPr>
          <w:rFonts w:ascii="Times New Roman" w:hAnsi="Times New Roman"/>
          <w:sz w:val="24"/>
          <w:szCs w:val="24"/>
        </w:rPr>
        <w:t>Reducing reporting frequency from quarterly to twice yearly;</w:t>
      </w:r>
    </w:p>
    <w:p w14:paraId="3777B4A7" w14:textId="77777777" w:rsidR="00CC63E1" w:rsidRPr="00460500" w:rsidRDefault="00CC63E1" w:rsidP="00F45E4F">
      <w:pPr>
        <w:pStyle w:val="ListNumber"/>
        <w:numPr>
          <w:ilvl w:val="0"/>
          <w:numId w:val="11"/>
        </w:numPr>
        <w:spacing w:line="276" w:lineRule="auto"/>
        <w:rPr>
          <w:rFonts w:ascii="Times New Roman" w:hAnsi="Times New Roman"/>
          <w:sz w:val="24"/>
          <w:szCs w:val="24"/>
        </w:rPr>
      </w:pPr>
      <w:r w:rsidRPr="00957D9C">
        <w:rPr>
          <w:rFonts w:ascii="Times New Roman" w:hAnsi="Times New Roman"/>
          <w:sz w:val="24"/>
          <w:szCs w:val="24"/>
        </w:rPr>
        <w:t>R</w:t>
      </w:r>
      <w:r>
        <w:rPr>
          <w:rFonts w:ascii="Times New Roman" w:hAnsi="Times New Roman"/>
          <w:sz w:val="24"/>
          <w:szCs w:val="24"/>
        </w:rPr>
        <w:t>emoving</w:t>
      </w:r>
      <w:r w:rsidRPr="00957D9C">
        <w:rPr>
          <w:rFonts w:ascii="Times New Roman" w:hAnsi="Times New Roman"/>
          <w:sz w:val="24"/>
          <w:szCs w:val="24"/>
        </w:rPr>
        <w:t xml:space="preserve"> the requirement to report on sales where the whole amount of methyl bromide sold is for quarantine and pre-shipment (QPS) uses, or where no methyl bromid</w:t>
      </w:r>
      <w:r>
        <w:rPr>
          <w:rFonts w:ascii="Times New Roman" w:hAnsi="Times New Roman"/>
          <w:sz w:val="24"/>
          <w:szCs w:val="24"/>
        </w:rPr>
        <w:t>e is sold in a reporting period;</w:t>
      </w:r>
      <w:r w:rsidRPr="00957D9C">
        <w:rPr>
          <w:rFonts w:ascii="Times New Roman" w:hAnsi="Times New Roman"/>
          <w:sz w:val="24"/>
          <w:szCs w:val="24"/>
        </w:rPr>
        <w:t xml:space="preserve"> and</w:t>
      </w:r>
    </w:p>
    <w:p w14:paraId="065A4509" w14:textId="77777777" w:rsidR="00CC63E1" w:rsidRPr="00957D9C" w:rsidRDefault="00CC63E1" w:rsidP="00F45E4F">
      <w:pPr>
        <w:pStyle w:val="ListBullet"/>
        <w:numPr>
          <w:ilvl w:val="0"/>
          <w:numId w:val="5"/>
        </w:numPr>
        <w:rPr>
          <w:rFonts w:ascii="Times New Roman" w:eastAsiaTheme="minorHAnsi" w:hAnsi="Times New Roman"/>
          <w:sz w:val="24"/>
          <w:szCs w:val="24"/>
          <w:lang w:eastAsia="en-AU"/>
        </w:rPr>
      </w:pPr>
      <w:r w:rsidRPr="00957D9C">
        <w:rPr>
          <w:rFonts w:ascii="Times New Roman" w:eastAsiaTheme="minorHAnsi" w:hAnsi="Times New Roman"/>
          <w:sz w:val="24"/>
          <w:szCs w:val="24"/>
          <w:lang w:eastAsia="en-AU"/>
        </w:rPr>
        <w:t xml:space="preserve">Establish a process to enable non-quarantine and pre-shipment (non-QPS) permits to be granted for use </w:t>
      </w:r>
      <w:r>
        <w:rPr>
          <w:rFonts w:ascii="Times New Roman" w:eastAsiaTheme="minorHAnsi" w:hAnsi="Times New Roman"/>
          <w:sz w:val="24"/>
          <w:szCs w:val="24"/>
          <w:lang w:eastAsia="en-AU"/>
        </w:rPr>
        <w:t xml:space="preserve">of methyl bromide in </w:t>
      </w:r>
      <w:r w:rsidRPr="00957D9C">
        <w:rPr>
          <w:rFonts w:ascii="Times New Roman" w:eastAsiaTheme="minorHAnsi" w:hAnsi="Times New Roman"/>
          <w:sz w:val="24"/>
          <w:szCs w:val="24"/>
          <w:lang w:eastAsia="en-AU"/>
        </w:rPr>
        <w:t>emergency circumstances, for example, use in an unusual disease outbreak in a crop or production facility where no other fumigant is suitable, consistent with the Montreal Protocol, and an associated reporting regime.</w:t>
      </w:r>
    </w:p>
    <w:p w14:paraId="50171FFE" w14:textId="77777777" w:rsidR="00CC63E1" w:rsidRPr="00855CA2" w:rsidRDefault="00CC63E1" w:rsidP="00CC63E1">
      <w:pPr>
        <w:spacing w:before="240" w:after="240" w:line="276" w:lineRule="auto"/>
        <w:rPr>
          <w:rFonts w:ascii="Times New Roman" w:hAnsi="Times New Roman"/>
          <w:b/>
          <w:sz w:val="24"/>
          <w:szCs w:val="24"/>
          <w:lang w:val="en"/>
        </w:rPr>
      </w:pPr>
      <w:r w:rsidRPr="00855CA2">
        <w:rPr>
          <w:rFonts w:ascii="Times New Roman" w:hAnsi="Times New Roman"/>
          <w:b/>
          <w:sz w:val="24"/>
          <w:szCs w:val="24"/>
          <w:lang w:val="en"/>
        </w:rPr>
        <w:t>Consultation</w:t>
      </w:r>
    </w:p>
    <w:p w14:paraId="45F04493" w14:textId="5AC705E6" w:rsidR="003049A3" w:rsidRDefault="00CC63E1" w:rsidP="00CC63E1">
      <w:pPr>
        <w:spacing w:before="240" w:after="240" w:line="276" w:lineRule="auto"/>
        <w:rPr>
          <w:rFonts w:ascii="Times New Roman" w:hAnsi="Times New Roman"/>
          <w:sz w:val="24"/>
          <w:szCs w:val="24"/>
        </w:rPr>
      </w:pPr>
      <w:r>
        <w:rPr>
          <w:rFonts w:ascii="Times New Roman" w:hAnsi="Times New Roman"/>
          <w:sz w:val="24"/>
          <w:szCs w:val="24"/>
          <w:lang w:val="en"/>
        </w:rPr>
        <w:t xml:space="preserve">Consultation on the </w:t>
      </w:r>
      <w:r w:rsidRPr="00F906DE">
        <w:rPr>
          <w:rFonts w:ascii="Times New Roman" w:hAnsi="Times New Roman"/>
          <w:sz w:val="24"/>
          <w:szCs w:val="24"/>
        </w:rPr>
        <w:t>prohibi</w:t>
      </w:r>
      <w:r>
        <w:rPr>
          <w:rFonts w:ascii="Times New Roman" w:hAnsi="Times New Roman"/>
          <w:sz w:val="24"/>
          <w:szCs w:val="24"/>
        </w:rPr>
        <w:t>tion</w:t>
      </w:r>
      <w:r w:rsidRPr="00F906DE">
        <w:rPr>
          <w:rFonts w:ascii="Times New Roman" w:hAnsi="Times New Roman"/>
          <w:sz w:val="24"/>
          <w:szCs w:val="24"/>
        </w:rPr>
        <w:t xml:space="preserve"> </w:t>
      </w:r>
      <w:r>
        <w:rPr>
          <w:rFonts w:ascii="Times New Roman" w:hAnsi="Times New Roman"/>
          <w:sz w:val="24"/>
          <w:szCs w:val="24"/>
        </w:rPr>
        <w:t xml:space="preserve">of </w:t>
      </w:r>
      <w:r w:rsidRPr="00F906DE">
        <w:rPr>
          <w:rFonts w:ascii="Times New Roman" w:hAnsi="Times New Roman"/>
          <w:sz w:val="24"/>
          <w:szCs w:val="24"/>
        </w:rPr>
        <w:t>the use of a scheduled substance</w:t>
      </w:r>
      <w:r>
        <w:rPr>
          <w:rFonts w:ascii="Times New Roman" w:hAnsi="Times New Roman"/>
          <w:sz w:val="24"/>
          <w:szCs w:val="24"/>
        </w:rPr>
        <w:t xml:space="preserve"> with a higher GWP</w:t>
      </w:r>
      <w:r w:rsidRPr="00F906DE">
        <w:rPr>
          <w:rFonts w:ascii="Times New Roman" w:hAnsi="Times New Roman"/>
          <w:sz w:val="24"/>
          <w:szCs w:val="24"/>
        </w:rPr>
        <w:t xml:space="preserve"> in </w:t>
      </w:r>
      <w:r>
        <w:rPr>
          <w:rFonts w:ascii="Times New Roman" w:hAnsi="Times New Roman"/>
          <w:sz w:val="24"/>
          <w:szCs w:val="24"/>
        </w:rPr>
        <w:t>refrigeration, air conditioning and fire protection</w:t>
      </w:r>
      <w:r w:rsidRPr="00F906DE">
        <w:rPr>
          <w:rFonts w:ascii="Times New Roman" w:hAnsi="Times New Roman"/>
          <w:sz w:val="24"/>
          <w:szCs w:val="24"/>
        </w:rPr>
        <w:t xml:space="preserve"> equipment</w:t>
      </w:r>
      <w:r>
        <w:rPr>
          <w:rFonts w:ascii="Times New Roman" w:hAnsi="Times New Roman"/>
          <w:sz w:val="24"/>
          <w:szCs w:val="24"/>
        </w:rPr>
        <w:t>,</w:t>
      </w:r>
      <w:r w:rsidRPr="00F906DE">
        <w:rPr>
          <w:rFonts w:ascii="Times New Roman" w:hAnsi="Times New Roman"/>
          <w:sz w:val="24"/>
          <w:szCs w:val="24"/>
        </w:rPr>
        <w:t xml:space="preserve"> </w:t>
      </w:r>
      <w:r>
        <w:rPr>
          <w:rFonts w:ascii="Times New Roman" w:hAnsi="Times New Roman"/>
          <w:sz w:val="24"/>
          <w:szCs w:val="24"/>
        </w:rPr>
        <w:t>was undertaken as part of the</w:t>
      </w:r>
      <w:r>
        <w:rPr>
          <w:rFonts w:ascii="Times New Roman" w:hAnsi="Times New Roman"/>
          <w:sz w:val="24"/>
          <w:szCs w:val="24"/>
          <w:lang w:val="en"/>
        </w:rPr>
        <w:t xml:space="preserve"> R</w:t>
      </w:r>
      <w:r w:rsidRPr="00A04EBE">
        <w:rPr>
          <w:rFonts w:ascii="Times New Roman" w:hAnsi="Times New Roman"/>
          <w:sz w:val="24"/>
          <w:szCs w:val="24"/>
          <w:lang w:val="en"/>
        </w:rPr>
        <w:t>eview.</w:t>
      </w:r>
      <w:r>
        <w:rPr>
          <w:rFonts w:ascii="Times New Roman" w:hAnsi="Times New Roman"/>
          <w:sz w:val="24"/>
          <w:szCs w:val="24"/>
          <w:lang w:val="en"/>
        </w:rPr>
        <w:t xml:space="preserve"> Review </w:t>
      </w:r>
      <w:r w:rsidRPr="005A4DD2">
        <w:rPr>
          <w:rFonts w:ascii="Times New Roman" w:hAnsi="Times New Roman"/>
          <w:sz w:val="24"/>
          <w:szCs w:val="24"/>
        </w:rPr>
        <w:t xml:space="preserve">consultation </w:t>
      </w:r>
      <w:r>
        <w:rPr>
          <w:rFonts w:ascii="Times New Roman" w:hAnsi="Times New Roman"/>
          <w:sz w:val="24"/>
          <w:szCs w:val="24"/>
        </w:rPr>
        <w:t>involved</w:t>
      </w:r>
      <w:r w:rsidRPr="005A4DD2">
        <w:rPr>
          <w:rFonts w:ascii="Times New Roman" w:hAnsi="Times New Roman"/>
          <w:sz w:val="24"/>
          <w:szCs w:val="24"/>
        </w:rPr>
        <w:t xml:space="preserve"> public meetings, invitations for public comment, a technical working group of stakeholders, and meetings with importers, equipmen</w:t>
      </w:r>
      <w:r>
        <w:rPr>
          <w:rFonts w:ascii="Times New Roman" w:hAnsi="Times New Roman"/>
          <w:sz w:val="24"/>
          <w:szCs w:val="24"/>
        </w:rPr>
        <w:t>t manufacturers, and end users.</w:t>
      </w:r>
      <w:r w:rsidR="00E407B2">
        <w:rPr>
          <w:rFonts w:ascii="Times New Roman" w:hAnsi="Times New Roman"/>
          <w:sz w:val="24"/>
          <w:szCs w:val="24"/>
        </w:rPr>
        <w:t xml:space="preserve"> Industry was supportive of the measure as it supports the transition to new technology and provides business certainty.</w:t>
      </w:r>
      <w:r w:rsidR="003049A3" w:rsidRPr="003049A3">
        <w:rPr>
          <w:rFonts w:ascii="Times New Roman" w:hAnsi="Times New Roman"/>
          <w:sz w:val="24"/>
          <w:szCs w:val="24"/>
        </w:rPr>
        <w:t xml:space="preserve"> </w:t>
      </w:r>
    </w:p>
    <w:p w14:paraId="2233362E" w14:textId="1EB77C9D" w:rsidR="00CC63E1" w:rsidRDefault="003049A3" w:rsidP="003049A3">
      <w:pPr>
        <w:tabs>
          <w:tab w:val="left" w:pos="993"/>
        </w:tabs>
        <w:spacing w:after="240" w:line="276" w:lineRule="auto"/>
        <w:rPr>
          <w:rFonts w:ascii="Times New Roman" w:hAnsi="Times New Roman"/>
          <w:sz w:val="24"/>
          <w:szCs w:val="24"/>
        </w:rPr>
      </w:pPr>
      <w:r>
        <w:rPr>
          <w:rFonts w:ascii="Times New Roman" w:hAnsi="Times New Roman"/>
          <w:sz w:val="24"/>
          <w:szCs w:val="24"/>
        </w:rPr>
        <w:t>Consultation on the amendment to allow bulk</w:t>
      </w:r>
      <w:r w:rsidRPr="00103384">
        <w:rPr>
          <w:rFonts w:ascii="Times New Roman" w:hAnsi="Times New Roman"/>
          <w:sz w:val="24"/>
          <w:szCs w:val="24"/>
        </w:rPr>
        <w:t xml:space="preserve"> HCFC manufactured or imported </w:t>
      </w:r>
      <w:r>
        <w:rPr>
          <w:rFonts w:ascii="Times New Roman" w:hAnsi="Times New Roman"/>
          <w:sz w:val="24"/>
          <w:szCs w:val="24"/>
        </w:rPr>
        <w:t>from</w:t>
      </w:r>
      <w:r w:rsidRPr="00103384">
        <w:rPr>
          <w:rFonts w:ascii="Times New Roman" w:hAnsi="Times New Roman"/>
          <w:sz w:val="24"/>
          <w:szCs w:val="24"/>
        </w:rPr>
        <w:t xml:space="preserve"> 1 </w:t>
      </w:r>
      <w:r>
        <w:rPr>
          <w:rFonts w:ascii="Times New Roman" w:hAnsi="Times New Roman"/>
          <w:sz w:val="24"/>
          <w:szCs w:val="24"/>
        </w:rPr>
        <w:t>January </w:t>
      </w:r>
      <w:r w:rsidRPr="00103384">
        <w:rPr>
          <w:rFonts w:ascii="Times New Roman" w:hAnsi="Times New Roman"/>
          <w:sz w:val="24"/>
          <w:szCs w:val="24"/>
        </w:rPr>
        <w:t xml:space="preserve">2020 to be used for servicing </w:t>
      </w:r>
      <w:r>
        <w:rPr>
          <w:rFonts w:ascii="Times New Roman" w:hAnsi="Times New Roman"/>
          <w:sz w:val="24"/>
          <w:szCs w:val="24"/>
        </w:rPr>
        <w:t>refrigeration, air conditioning</w:t>
      </w:r>
      <w:r w:rsidRPr="00103384">
        <w:rPr>
          <w:rFonts w:ascii="Times New Roman" w:hAnsi="Times New Roman"/>
          <w:sz w:val="24"/>
          <w:szCs w:val="24"/>
        </w:rPr>
        <w:t xml:space="preserve"> or fire protection equipment</w:t>
      </w:r>
      <w:r w:rsidRPr="00957D9C">
        <w:rPr>
          <w:rFonts w:ascii="Times New Roman" w:hAnsi="Times New Roman"/>
          <w:sz w:val="24"/>
          <w:szCs w:val="24"/>
        </w:rPr>
        <w:t>,</w:t>
      </w:r>
      <w:r>
        <w:rPr>
          <w:rFonts w:ascii="Times New Roman" w:hAnsi="Times New Roman"/>
          <w:sz w:val="24"/>
          <w:szCs w:val="24"/>
        </w:rPr>
        <w:t xml:space="preserve"> was also undertaken during the review. Industry was supportive of this amendment as it will ensure that </w:t>
      </w:r>
      <w:proofErr w:type="gramStart"/>
      <w:r>
        <w:rPr>
          <w:rFonts w:ascii="Times New Roman" w:hAnsi="Times New Roman"/>
          <w:sz w:val="24"/>
          <w:szCs w:val="24"/>
        </w:rPr>
        <w:t>equipment</w:t>
      </w:r>
      <w:proofErr w:type="gramEnd"/>
      <w:r>
        <w:rPr>
          <w:rFonts w:ascii="Times New Roman" w:hAnsi="Times New Roman"/>
          <w:sz w:val="24"/>
          <w:szCs w:val="24"/>
        </w:rPr>
        <w:t xml:space="preserve"> already in use in Australia can be maintained through its normal operating lifespan.</w:t>
      </w:r>
    </w:p>
    <w:p w14:paraId="21B25390" w14:textId="66A75681" w:rsidR="00CC63E1" w:rsidRPr="00805C41" w:rsidRDefault="00CC63E1" w:rsidP="00CC63E1">
      <w:pPr>
        <w:tabs>
          <w:tab w:val="left" w:pos="993"/>
        </w:tabs>
        <w:spacing w:after="240" w:line="276" w:lineRule="auto"/>
        <w:rPr>
          <w:rFonts w:ascii="Times New Roman" w:hAnsi="Times New Roman"/>
          <w:sz w:val="24"/>
          <w:szCs w:val="24"/>
        </w:rPr>
      </w:pPr>
      <w:r>
        <w:rPr>
          <w:rFonts w:ascii="Times New Roman" w:hAnsi="Times New Roman"/>
          <w:sz w:val="24"/>
          <w:szCs w:val="24"/>
        </w:rPr>
        <w:t>Targeted consultation was conducted with the fire protection industry through the Fire Protection Industry (ODS and SGG) Board</w:t>
      </w:r>
      <w:r w:rsidR="003049A3">
        <w:rPr>
          <w:rFonts w:ascii="Times New Roman" w:hAnsi="Times New Roman"/>
          <w:sz w:val="24"/>
          <w:szCs w:val="24"/>
        </w:rPr>
        <w:t>,</w:t>
      </w:r>
      <w:r>
        <w:rPr>
          <w:rFonts w:ascii="Times New Roman" w:hAnsi="Times New Roman"/>
          <w:sz w:val="24"/>
          <w:szCs w:val="24"/>
        </w:rPr>
        <w:t xml:space="preserve"> and directly with industry experts, in relation to suspending or cancelling a fire protection industry permit </w:t>
      </w:r>
      <w:r w:rsidRPr="00F906DE">
        <w:rPr>
          <w:rFonts w:ascii="Times New Roman" w:hAnsi="Times New Roman"/>
          <w:sz w:val="24"/>
          <w:szCs w:val="24"/>
        </w:rPr>
        <w:t xml:space="preserve">where a </w:t>
      </w:r>
      <w:r>
        <w:rPr>
          <w:rFonts w:ascii="Times New Roman" w:hAnsi="Times New Roman"/>
          <w:sz w:val="24"/>
          <w:szCs w:val="24"/>
        </w:rPr>
        <w:t>permit holder</w:t>
      </w:r>
      <w:r w:rsidRPr="00F906DE">
        <w:rPr>
          <w:rFonts w:ascii="Times New Roman" w:hAnsi="Times New Roman"/>
          <w:sz w:val="24"/>
          <w:szCs w:val="24"/>
        </w:rPr>
        <w:t xml:space="preserve"> does not have the necessary knowledge, ability and experience to competently carry out work</w:t>
      </w:r>
      <w:r>
        <w:rPr>
          <w:rFonts w:ascii="Times New Roman" w:hAnsi="Times New Roman"/>
          <w:sz w:val="24"/>
          <w:szCs w:val="24"/>
        </w:rPr>
        <w:t>.</w:t>
      </w:r>
      <w:r w:rsidR="00A964F7">
        <w:rPr>
          <w:rFonts w:ascii="Times New Roman" w:hAnsi="Times New Roman"/>
          <w:sz w:val="24"/>
          <w:szCs w:val="24"/>
        </w:rPr>
        <w:t xml:space="preserve"> Industry acknowledged this as a potential </w:t>
      </w:r>
      <w:r w:rsidR="006F7AD5">
        <w:rPr>
          <w:rFonts w:ascii="Times New Roman" w:hAnsi="Times New Roman"/>
          <w:sz w:val="24"/>
          <w:szCs w:val="24"/>
        </w:rPr>
        <w:t xml:space="preserve">regulatory </w:t>
      </w:r>
      <w:r w:rsidR="00A964F7">
        <w:rPr>
          <w:rFonts w:ascii="Times New Roman" w:hAnsi="Times New Roman"/>
          <w:sz w:val="24"/>
          <w:szCs w:val="24"/>
        </w:rPr>
        <w:t xml:space="preserve">gap and supported the measure </w:t>
      </w:r>
      <w:r w:rsidR="006F7AD5">
        <w:rPr>
          <w:rFonts w:ascii="Times New Roman" w:hAnsi="Times New Roman"/>
          <w:sz w:val="24"/>
          <w:szCs w:val="24"/>
        </w:rPr>
        <w:t>which aims to</w:t>
      </w:r>
      <w:r w:rsidR="00A964F7">
        <w:rPr>
          <w:rFonts w:ascii="Times New Roman" w:hAnsi="Times New Roman"/>
          <w:sz w:val="24"/>
          <w:szCs w:val="24"/>
        </w:rPr>
        <w:t xml:space="preserve"> ensure that only competent persons handle ozone depleting substances and synthetic greenhouse gases.</w:t>
      </w:r>
    </w:p>
    <w:p w14:paraId="564F02CB" w14:textId="374B6E0C" w:rsidR="00DE3ADB" w:rsidRDefault="00CC63E1" w:rsidP="00CC63E1">
      <w:pPr>
        <w:tabs>
          <w:tab w:val="left" w:pos="993"/>
        </w:tabs>
        <w:spacing w:line="276" w:lineRule="auto"/>
        <w:rPr>
          <w:rFonts w:ascii="Times New Roman" w:hAnsi="Times New Roman"/>
          <w:sz w:val="24"/>
          <w:szCs w:val="24"/>
        </w:rPr>
      </w:pPr>
      <w:r>
        <w:rPr>
          <w:rFonts w:ascii="Times New Roman" w:hAnsi="Times New Roman"/>
          <w:sz w:val="24"/>
          <w:szCs w:val="24"/>
        </w:rPr>
        <w:t>Consultation on the changes to a</w:t>
      </w:r>
      <w:r w:rsidRPr="00F906DE">
        <w:rPr>
          <w:rFonts w:ascii="Times New Roman" w:hAnsi="Times New Roman"/>
          <w:sz w:val="24"/>
          <w:szCs w:val="24"/>
        </w:rPr>
        <w:t>llow refund</w:t>
      </w:r>
      <w:r>
        <w:rPr>
          <w:rFonts w:ascii="Times New Roman" w:hAnsi="Times New Roman"/>
          <w:sz w:val="24"/>
          <w:szCs w:val="24"/>
        </w:rPr>
        <w:t xml:space="preserve"> of application fees for the refrigeration, air conditioning and fire protection</w:t>
      </w:r>
      <w:r w:rsidRPr="00F906DE">
        <w:rPr>
          <w:rFonts w:ascii="Times New Roman" w:hAnsi="Times New Roman"/>
          <w:sz w:val="24"/>
          <w:szCs w:val="24"/>
        </w:rPr>
        <w:t xml:space="preserve"> </w:t>
      </w:r>
      <w:r>
        <w:rPr>
          <w:rFonts w:ascii="Times New Roman" w:hAnsi="Times New Roman"/>
          <w:sz w:val="24"/>
          <w:szCs w:val="24"/>
        </w:rPr>
        <w:t xml:space="preserve">industry </w:t>
      </w:r>
      <w:r w:rsidRPr="00F906DE">
        <w:rPr>
          <w:rFonts w:ascii="Times New Roman" w:hAnsi="Times New Roman"/>
          <w:sz w:val="24"/>
          <w:szCs w:val="24"/>
        </w:rPr>
        <w:t>permit schemes</w:t>
      </w:r>
      <w:r>
        <w:rPr>
          <w:rFonts w:ascii="Times New Roman" w:hAnsi="Times New Roman"/>
          <w:sz w:val="24"/>
          <w:szCs w:val="24"/>
        </w:rPr>
        <w:t xml:space="preserve"> was undertaken with two Industry Boards who administer the schemes, and directly with refund applicants.</w:t>
      </w:r>
      <w:r w:rsidRPr="00231688">
        <w:rPr>
          <w:rFonts w:ascii="Times New Roman" w:hAnsi="Times New Roman"/>
          <w:sz w:val="24"/>
          <w:szCs w:val="24"/>
        </w:rPr>
        <w:t xml:space="preserve"> A refund policy was adopted </w:t>
      </w:r>
      <w:r>
        <w:rPr>
          <w:rFonts w:ascii="Times New Roman" w:hAnsi="Times New Roman"/>
          <w:sz w:val="24"/>
          <w:szCs w:val="24"/>
        </w:rPr>
        <w:t xml:space="preserve">in </w:t>
      </w:r>
      <w:r w:rsidRPr="00231688">
        <w:rPr>
          <w:rFonts w:ascii="Times New Roman" w:hAnsi="Times New Roman"/>
          <w:sz w:val="24"/>
          <w:szCs w:val="24"/>
        </w:rPr>
        <w:t xml:space="preserve">July 2019, </w:t>
      </w:r>
      <w:r>
        <w:rPr>
          <w:rFonts w:ascii="Times New Roman" w:hAnsi="Times New Roman"/>
          <w:sz w:val="24"/>
          <w:szCs w:val="24"/>
        </w:rPr>
        <w:t>and</w:t>
      </w:r>
      <w:r w:rsidRPr="00231688">
        <w:rPr>
          <w:rFonts w:ascii="Times New Roman" w:hAnsi="Times New Roman"/>
          <w:sz w:val="24"/>
          <w:szCs w:val="24"/>
        </w:rPr>
        <w:t xml:space="preserve"> communicated directly to refund applicants</w:t>
      </w:r>
      <w:r>
        <w:rPr>
          <w:rFonts w:ascii="Times New Roman" w:hAnsi="Times New Roman"/>
          <w:sz w:val="24"/>
          <w:szCs w:val="24"/>
        </w:rPr>
        <w:t xml:space="preserve"> and on the </w:t>
      </w:r>
      <w:r w:rsidRPr="00231688">
        <w:rPr>
          <w:rFonts w:ascii="Times New Roman" w:hAnsi="Times New Roman"/>
          <w:sz w:val="24"/>
          <w:szCs w:val="24"/>
        </w:rPr>
        <w:t>Industry Boards’ websites</w:t>
      </w:r>
      <w:r>
        <w:rPr>
          <w:rFonts w:ascii="Times New Roman" w:hAnsi="Times New Roman"/>
          <w:sz w:val="24"/>
          <w:szCs w:val="24"/>
        </w:rPr>
        <w:t>.</w:t>
      </w:r>
      <w:r w:rsidR="00867452">
        <w:rPr>
          <w:rFonts w:ascii="Times New Roman" w:hAnsi="Times New Roman"/>
          <w:sz w:val="24"/>
          <w:szCs w:val="24"/>
        </w:rPr>
        <w:t xml:space="preserve"> Stakeholders were supportive of the changes as</w:t>
      </w:r>
      <w:r w:rsidR="006F7AD5">
        <w:rPr>
          <w:rFonts w:ascii="Times New Roman" w:hAnsi="Times New Roman"/>
          <w:sz w:val="24"/>
          <w:szCs w:val="24"/>
        </w:rPr>
        <w:t xml:space="preserve">, consistent with the administrative policy, </w:t>
      </w:r>
      <w:r w:rsidR="00867452">
        <w:rPr>
          <w:rFonts w:ascii="Times New Roman" w:hAnsi="Times New Roman"/>
          <w:sz w:val="24"/>
          <w:szCs w:val="24"/>
        </w:rPr>
        <w:t xml:space="preserve">they </w:t>
      </w:r>
      <w:r w:rsidR="00A964F7">
        <w:rPr>
          <w:rFonts w:ascii="Times New Roman" w:hAnsi="Times New Roman"/>
          <w:sz w:val="24"/>
          <w:szCs w:val="24"/>
        </w:rPr>
        <w:t xml:space="preserve">clarify </w:t>
      </w:r>
      <w:r w:rsidR="00085249">
        <w:rPr>
          <w:rFonts w:ascii="Times New Roman" w:hAnsi="Times New Roman"/>
          <w:sz w:val="24"/>
          <w:szCs w:val="24"/>
        </w:rPr>
        <w:t xml:space="preserve">the circumstances </w:t>
      </w:r>
      <w:r w:rsidR="009D2AEC">
        <w:rPr>
          <w:rFonts w:ascii="Times New Roman" w:hAnsi="Times New Roman"/>
          <w:sz w:val="24"/>
          <w:szCs w:val="24"/>
        </w:rPr>
        <w:t>where refunds are</w:t>
      </w:r>
      <w:r w:rsidR="00016B2D">
        <w:rPr>
          <w:rFonts w:ascii="Times New Roman" w:hAnsi="Times New Roman"/>
          <w:sz w:val="24"/>
          <w:szCs w:val="24"/>
        </w:rPr>
        <w:t xml:space="preserve"> </w:t>
      </w:r>
      <w:r w:rsidR="009D2AEC">
        <w:rPr>
          <w:rFonts w:ascii="Times New Roman" w:hAnsi="Times New Roman"/>
          <w:sz w:val="24"/>
          <w:szCs w:val="24"/>
        </w:rPr>
        <w:t xml:space="preserve">permitted. </w:t>
      </w:r>
    </w:p>
    <w:p w14:paraId="1664ADB4" w14:textId="77777777" w:rsidR="00CC63E1" w:rsidRPr="00805C41" w:rsidRDefault="00CC63E1" w:rsidP="00CC63E1">
      <w:pPr>
        <w:tabs>
          <w:tab w:val="left" w:pos="993"/>
        </w:tabs>
        <w:spacing w:line="276" w:lineRule="auto"/>
        <w:rPr>
          <w:rFonts w:ascii="Times New Roman" w:hAnsi="Times New Roman"/>
          <w:sz w:val="24"/>
          <w:szCs w:val="24"/>
        </w:rPr>
      </w:pPr>
    </w:p>
    <w:p w14:paraId="14E70B20" w14:textId="77777777" w:rsidR="00B9342A" w:rsidRDefault="00CC63E1" w:rsidP="00CC63E1">
      <w:pPr>
        <w:tabs>
          <w:tab w:val="left" w:pos="993"/>
        </w:tabs>
        <w:spacing w:after="240" w:line="276" w:lineRule="auto"/>
        <w:rPr>
          <w:rFonts w:ascii="Times New Roman" w:hAnsi="Times New Roman"/>
          <w:sz w:val="24"/>
          <w:szCs w:val="24"/>
        </w:rPr>
      </w:pPr>
      <w:r>
        <w:rPr>
          <w:rFonts w:ascii="Times New Roman" w:hAnsi="Times New Roman"/>
          <w:sz w:val="24"/>
          <w:szCs w:val="24"/>
        </w:rPr>
        <w:t>The changes to the import, export and ma</w:t>
      </w:r>
      <w:r w:rsidR="003049A3">
        <w:rPr>
          <w:rFonts w:ascii="Times New Roman" w:hAnsi="Times New Roman"/>
          <w:sz w:val="24"/>
          <w:szCs w:val="24"/>
        </w:rPr>
        <w:t>nufacture licensing regulations</w:t>
      </w:r>
      <w:r>
        <w:rPr>
          <w:rFonts w:ascii="Times New Roman" w:hAnsi="Times New Roman"/>
          <w:sz w:val="24"/>
          <w:szCs w:val="24"/>
        </w:rPr>
        <w:t xml:space="preserve"> were developed with regard to direct communication from industry on their needs.</w:t>
      </w:r>
      <w:r w:rsidR="005F7A40">
        <w:rPr>
          <w:rFonts w:ascii="Times New Roman" w:hAnsi="Times New Roman"/>
          <w:sz w:val="24"/>
          <w:szCs w:val="24"/>
        </w:rPr>
        <w:t xml:space="preserve"> Importers and users of specialised HCFC equipment have advised of their </w:t>
      </w:r>
      <w:r w:rsidR="00B9342A">
        <w:rPr>
          <w:rFonts w:ascii="Times New Roman" w:hAnsi="Times New Roman"/>
          <w:sz w:val="24"/>
          <w:szCs w:val="24"/>
        </w:rPr>
        <w:t xml:space="preserve">continuing </w:t>
      </w:r>
      <w:r w:rsidR="005F7A40">
        <w:rPr>
          <w:rFonts w:ascii="Times New Roman" w:hAnsi="Times New Roman"/>
          <w:sz w:val="24"/>
          <w:szCs w:val="24"/>
        </w:rPr>
        <w:t xml:space="preserve">need to access this type of equipment </w:t>
      </w:r>
      <w:r w:rsidR="00B9342A">
        <w:rPr>
          <w:rFonts w:ascii="Times New Roman" w:hAnsi="Times New Roman"/>
          <w:sz w:val="24"/>
          <w:szCs w:val="24"/>
        </w:rPr>
        <w:t xml:space="preserve">in Australia </w:t>
      </w:r>
      <w:r w:rsidR="005F7A40">
        <w:rPr>
          <w:rFonts w:ascii="Times New Roman" w:hAnsi="Times New Roman"/>
          <w:sz w:val="24"/>
          <w:szCs w:val="24"/>
        </w:rPr>
        <w:t>as equipment using other, non-ozone depleting substances, is not always</w:t>
      </w:r>
      <w:r w:rsidR="00B9342A">
        <w:rPr>
          <w:rFonts w:ascii="Times New Roman" w:hAnsi="Times New Roman"/>
          <w:sz w:val="24"/>
          <w:szCs w:val="24"/>
        </w:rPr>
        <w:t xml:space="preserve"> available for specialised uses</w:t>
      </w:r>
      <w:r w:rsidR="005F7A40">
        <w:rPr>
          <w:rFonts w:ascii="Times New Roman" w:hAnsi="Times New Roman"/>
          <w:sz w:val="24"/>
          <w:szCs w:val="24"/>
        </w:rPr>
        <w:t>. The ability to licence import of this equipment, along with the ability to waive equipment licence fees for small scale or one-off imports containing smaller amounts of HCFC</w:t>
      </w:r>
      <w:r w:rsidR="00B9342A">
        <w:rPr>
          <w:rFonts w:ascii="Times New Roman" w:hAnsi="Times New Roman"/>
          <w:sz w:val="24"/>
          <w:szCs w:val="24"/>
        </w:rPr>
        <w:t>,</w:t>
      </w:r>
      <w:r w:rsidR="005F7A40">
        <w:rPr>
          <w:rFonts w:ascii="Times New Roman" w:hAnsi="Times New Roman"/>
          <w:sz w:val="24"/>
          <w:szCs w:val="24"/>
        </w:rPr>
        <w:t xml:space="preserve"> provides a cost effective mechanism for </w:t>
      </w:r>
      <w:r w:rsidR="00B9342A">
        <w:rPr>
          <w:rFonts w:ascii="Times New Roman" w:hAnsi="Times New Roman"/>
          <w:sz w:val="24"/>
          <w:szCs w:val="24"/>
        </w:rPr>
        <w:t xml:space="preserve">industry to continue to import </w:t>
      </w:r>
      <w:r w:rsidR="005F7A40">
        <w:rPr>
          <w:rFonts w:ascii="Times New Roman" w:hAnsi="Times New Roman"/>
          <w:sz w:val="24"/>
          <w:szCs w:val="24"/>
        </w:rPr>
        <w:t>specialised and essential equipment</w:t>
      </w:r>
      <w:r w:rsidR="00B9342A">
        <w:rPr>
          <w:rFonts w:ascii="Times New Roman" w:hAnsi="Times New Roman"/>
          <w:sz w:val="24"/>
          <w:szCs w:val="24"/>
        </w:rPr>
        <w:t xml:space="preserve"> during the final stages of the HCFC phase out</w:t>
      </w:r>
      <w:r w:rsidR="005F7A40">
        <w:rPr>
          <w:rFonts w:ascii="Times New Roman" w:hAnsi="Times New Roman"/>
          <w:sz w:val="24"/>
          <w:szCs w:val="24"/>
        </w:rPr>
        <w:t>.</w:t>
      </w:r>
    </w:p>
    <w:p w14:paraId="2A829148" w14:textId="287C9E2C" w:rsidR="005F7A40" w:rsidRDefault="00B9342A" w:rsidP="00CC63E1">
      <w:pPr>
        <w:tabs>
          <w:tab w:val="left" w:pos="993"/>
        </w:tabs>
        <w:spacing w:after="240" w:line="276" w:lineRule="auto"/>
        <w:rPr>
          <w:rFonts w:ascii="Times New Roman" w:hAnsi="Times New Roman"/>
          <w:sz w:val="24"/>
          <w:szCs w:val="24"/>
        </w:rPr>
      </w:pPr>
      <w:r>
        <w:rPr>
          <w:rFonts w:ascii="Times New Roman" w:hAnsi="Times New Roman"/>
          <w:sz w:val="24"/>
          <w:szCs w:val="24"/>
        </w:rPr>
        <w:t xml:space="preserve">Similarly, the amendment to allow </w:t>
      </w:r>
      <w:r w:rsidR="005F7A40" w:rsidRPr="00F906DE">
        <w:rPr>
          <w:rFonts w:ascii="Times New Roman" w:hAnsi="Times New Roman"/>
          <w:sz w:val="24"/>
          <w:szCs w:val="24"/>
        </w:rPr>
        <w:t>for the waiver of controlled substances and used substances licence application fees where the manufacture, import or export is for monitoring, laboratory or analytical purposes</w:t>
      </w:r>
      <w:r>
        <w:rPr>
          <w:rFonts w:ascii="Times New Roman" w:hAnsi="Times New Roman"/>
          <w:sz w:val="24"/>
          <w:szCs w:val="24"/>
        </w:rPr>
        <w:t xml:space="preserve">, meets a communicated industry need to </w:t>
      </w:r>
      <w:r w:rsidR="00ED7B3B">
        <w:rPr>
          <w:rFonts w:ascii="Times New Roman" w:hAnsi="Times New Roman"/>
          <w:sz w:val="24"/>
          <w:szCs w:val="24"/>
        </w:rPr>
        <w:t>import</w:t>
      </w:r>
      <w:r>
        <w:rPr>
          <w:rFonts w:ascii="Times New Roman" w:hAnsi="Times New Roman"/>
          <w:sz w:val="24"/>
          <w:szCs w:val="24"/>
        </w:rPr>
        <w:t xml:space="preserve"> small quantities of particular types of scheduled substances, for example, of very high purity or uncommonly used blends, </w:t>
      </w:r>
      <w:r w:rsidR="00ED7B3B">
        <w:rPr>
          <w:rFonts w:ascii="Times New Roman" w:hAnsi="Times New Roman"/>
          <w:sz w:val="24"/>
          <w:szCs w:val="24"/>
        </w:rPr>
        <w:t>for these purposes, as they may not be available within Australia</w:t>
      </w:r>
      <w:r>
        <w:rPr>
          <w:rFonts w:ascii="Times New Roman" w:hAnsi="Times New Roman"/>
          <w:sz w:val="24"/>
          <w:szCs w:val="24"/>
        </w:rPr>
        <w:t>.</w:t>
      </w:r>
    </w:p>
    <w:p w14:paraId="6E3C2FF0" w14:textId="66F17FC3" w:rsidR="00ED7B3B" w:rsidRDefault="00ED7B3B" w:rsidP="003049A3">
      <w:pPr>
        <w:tabs>
          <w:tab w:val="left" w:pos="993"/>
        </w:tabs>
        <w:spacing w:after="240" w:line="276" w:lineRule="auto"/>
        <w:rPr>
          <w:rFonts w:ascii="Times New Roman" w:hAnsi="Times New Roman"/>
          <w:sz w:val="24"/>
          <w:szCs w:val="24"/>
        </w:rPr>
      </w:pPr>
      <w:r>
        <w:rPr>
          <w:rFonts w:ascii="Times New Roman" w:hAnsi="Times New Roman"/>
          <w:sz w:val="24"/>
          <w:szCs w:val="24"/>
        </w:rPr>
        <w:t xml:space="preserve">The amendment </w:t>
      </w:r>
      <w:r w:rsidRPr="00957D9C">
        <w:rPr>
          <w:rFonts w:ascii="Times New Roman" w:hAnsi="Times New Roman"/>
          <w:sz w:val="24"/>
          <w:szCs w:val="24"/>
        </w:rPr>
        <w:t xml:space="preserve">to enable non-quarantine and pre-shipment (non-QPS) permits to be granted for use </w:t>
      </w:r>
      <w:r>
        <w:rPr>
          <w:rFonts w:ascii="Times New Roman" w:hAnsi="Times New Roman"/>
          <w:sz w:val="24"/>
          <w:szCs w:val="24"/>
        </w:rPr>
        <w:t xml:space="preserve">of methyl bromide in </w:t>
      </w:r>
      <w:r w:rsidRPr="00957D9C">
        <w:rPr>
          <w:rFonts w:ascii="Times New Roman" w:hAnsi="Times New Roman"/>
          <w:sz w:val="24"/>
          <w:szCs w:val="24"/>
        </w:rPr>
        <w:t>emergency circumstances</w:t>
      </w:r>
      <w:r w:rsidR="00360A59">
        <w:rPr>
          <w:rFonts w:ascii="Times New Roman" w:hAnsi="Times New Roman"/>
          <w:sz w:val="24"/>
          <w:szCs w:val="24"/>
        </w:rPr>
        <w:t xml:space="preserve"> establishes a clear process for stakeholders.</w:t>
      </w:r>
      <w:r>
        <w:rPr>
          <w:rFonts w:ascii="Times New Roman" w:hAnsi="Times New Roman"/>
          <w:sz w:val="24"/>
          <w:szCs w:val="24"/>
        </w:rPr>
        <w:t xml:space="preserve"> The restrictive conditions set by the Montreal Protocol for this use make such circumstances rare, however it is important to provide a clear process for industry stakeholders who may need to apply for such a permit</w:t>
      </w:r>
      <w:r w:rsidR="00360A59">
        <w:rPr>
          <w:rFonts w:ascii="Times New Roman" w:hAnsi="Times New Roman"/>
          <w:sz w:val="24"/>
          <w:szCs w:val="24"/>
        </w:rPr>
        <w:t xml:space="preserve">. The process is </w:t>
      </w:r>
      <w:r w:rsidR="00A64D86">
        <w:rPr>
          <w:rFonts w:ascii="Times New Roman" w:hAnsi="Times New Roman"/>
          <w:sz w:val="24"/>
          <w:szCs w:val="24"/>
        </w:rPr>
        <w:t>based</w:t>
      </w:r>
      <w:r w:rsidR="00360A59">
        <w:rPr>
          <w:rFonts w:ascii="Times New Roman" w:hAnsi="Times New Roman"/>
          <w:sz w:val="24"/>
          <w:szCs w:val="24"/>
        </w:rPr>
        <w:t xml:space="preserve"> on that for </w:t>
      </w:r>
      <w:r w:rsidR="00A64D86">
        <w:rPr>
          <w:rFonts w:ascii="Times New Roman" w:hAnsi="Times New Roman"/>
          <w:sz w:val="24"/>
          <w:szCs w:val="24"/>
        </w:rPr>
        <w:t>regular non-QPS permit</w:t>
      </w:r>
      <w:r w:rsidR="00360A59">
        <w:rPr>
          <w:rFonts w:ascii="Times New Roman" w:hAnsi="Times New Roman"/>
          <w:sz w:val="24"/>
          <w:szCs w:val="24"/>
        </w:rPr>
        <w:t xml:space="preserve"> use applications which was developed with close stakeholder consultation.</w:t>
      </w:r>
    </w:p>
    <w:p w14:paraId="01817EDB" w14:textId="48C84AF7" w:rsidR="003049A3" w:rsidRDefault="003049A3" w:rsidP="003049A3">
      <w:pPr>
        <w:tabs>
          <w:tab w:val="left" w:pos="993"/>
        </w:tabs>
        <w:spacing w:after="240" w:line="276" w:lineRule="auto"/>
        <w:rPr>
          <w:rFonts w:ascii="Times New Roman" w:hAnsi="Times New Roman"/>
          <w:sz w:val="24"/>
          <w:szCs w:val="24"/>
        </w:rPr>
      </w:pPr>
      <w:r>
        <w:rPr>
          <w:rFonts w:ascii="Times New Roman" w:hAnsi="Times New Roman"/>
          <w:sz w:val="24"/>
          <w:szCs w:val="24"/>
        </w:rPr>
        <w:t xml:space="preserve">The </w:t>
      </w:r>
      <w:r w:rsidR="00B9342A">
        <w:rPr>
          <w:rFonts w:ascii="Times New Roman" w:hAnsi="Times New Roman"/>
          <w:sz w:val="24"/>
          <w:szCs w:val="24"/>
        </w:rPr>
        <w:t xml:space="preserve">changes </w:t>
      </w:r>
      <w:r>
        <w:rPr>
          <w:rFonts w:ascii="Times New Roman" w:hAnsi="Times New Roman"/>
          <w:sz w:val="24"/>
          <w:szCs w:val="24"/>
        </w:rPr>
        <w:t xml:space="preserve">to methyl bromide reporting </w:t>
      </w:r>
      <w:r w:rsidR="00ED7B3B">
        <w:rPr>
          <w:rFonts w:ascii="Times New Roman" w:hAnsi="Times New Roman"/>
          <w:sz w:val="24"/>
          <w:szCs w:val="24"/>
        </w:rPr>
        <w:t>were identified as</w:t>
      </w:r>
      <w:r>
        <w:rPr>
          <w:rFonts w:ascii="Times New Roman" w:hAnsi="Times New Roman"/>
          <w:sz w:val="24"/>
          <w:szCs w:val="24"/>
        </w:rPr>
        <w:t xml:space="preserve"> opportunities to reduce the burden of reporting.</w:t>
      </w:r>
      <w:r w:rsidR="00ED7B3B">
        <w:rPr>
          <w:rFonts w:ascii="Times New Roman" w:hAnsi="Times New Roman"/>
          <w:sz w:val="24"/>
          <w:szCs w:val="24"/>
        </w:rPr>
        <w:t xml:space="preserve"> Industry has communicated their preference for flexibility to report either quarterly or six monthly to suit their business purposes and this is allowed for in the amended reporting regulations.</w:t>
      </w:r>
    </w:p>
    <w:p w14:paraId="5AE9A488" w14:textId="77777777" w:rsidR="00CC63E1" w:rsidRPr="00BF560B" w:rsidRDefault="00CC63E1" w:rsidP="00CC63E1">
      <w:pPr>
        <w:tabs>
          <w:tab w:val="left" w:pos="993"/>
        </w:tabs>
        <w:spacing w:after="240" w:line="276" w:lineRule="auto"/>
        <w:rPr>
          <w:rFonts w:ascii="Times New Roman" w:hAnsi="Times New Roman"/>
          <w:b/>
          <w:sz w:val="24"/>
          <w:szCs w:val="24"/>
        </w:rPr>
      </w:pPr>
      <w:r w:rsidRPr="00BF560B">
        <w:rPr>
          <w:rFonts w:ascii="Times New Roman" w:hAnsi="Times New Roman"/>
          <w:b/>
          <w:sz w:val="24"/>
          <w:szCs w:val="24"/>
        </w:rPr>
        <w:t>Regulatory impact analysis</w:t>
      </w:r>
    </w:p>
    <w:p w14:paraId="5059D2C4" w14:textId="77777777" w:rsidR="00CC63E1" w:rsidRDefault="00CC63E1" w:rsidP="00CC63E1">
      <w:pPr>
        <w:spacing w:line="276" w:lineRule="auto"/>
        <w:rPr>
          <w:rFonts w:ascii="Times New Roman" w:hAnsi="Times New Roman"/>
          <w:sz w:val="24"/>
          <w:szCs w:val="24"/>
          <w:lang w:val="en"/>
        </w:rPr>
      </w:pPr>
      <w:r>
        <w:rPr>
          <w:rFonts w:ascii="Times New Roman" w:hAnsi="Times New Roman"/>
          <w:sz w:val="24"/>
          <w:szCs w:val="24"/>
          <w:lang w:val="en"/>
        </w:rPr>
        <w:t>At the time of the Review the Office of Best Practice Regulation advised that a Regulatory Impact Statement was not required for the minor program changes covered by these Amendment Regulations.</w:t>
      </w:r>
    </w:p>
    <w:p w14:paraId="1B654391" w14:textId="77777777" w:rsidR="00CC63E1" w:rsidRDefault="00CC63E1" w:rsidP="00CC63E1">
      <w:pPr>
        <w:spacing w:line="276" w:lineRule="auto"/>
        <w:rPr>
          <w:rFonts w:ascii="Times New Roman" w:hAnsi="Times New Roman"/>
          <w:sz w:val="24"/>
          <w:szCs w:val="24"/>
          <w:lang w:val="en"/>
        </w:rPr>
      </w:pPr>
    </w:p>
    <w:p w14:paraId="16DDCA8D" w14:textId="77777777" w:rsidR="00CC63E1" w:rsidRDefault="00CC63E1" w:rsidP="00CC63E1">
      <w:pPr>
        <w:spacing w:line="276" w:lineRule="auto"/>
        <w:rPr>
          <w:rFonts w:ascii="Times New Roman" w:hAnsi="Times New Roman"/>
          <w:sz w:val="24"/>
          <w:szCs w:val="24"/>
        </w:rPr>
      </w:pPr>
      <w:r>
        <w:rPr>
          <w:rFonts w:ascii="Times New Roman" w:hAnsi="Times New Roman"/>
          <w:sz w:val="24"/>
          <w:szCs w:val="24"/>
        </w:rPr>
        <w:t>T</w:t>
      </w:r>
      <w:r w:rsidRPr="00D41597">
        <w:rPr>
          <w:rFonts w:ascii="Times New Roman" w:hAnsi="Times New Roman"/>
          <w:sz w:val="24"/>
          <w:szCs w:val="24"/>
        </w:rPr>
        <w:t>he Office of Best Practice Regulation advise</w:t>
      </w:r>
      <w:r>
        <w:rPr>
          <w:rFonts w:ascii="Times New Roman" w:hAnsi="Times New Roman"/>
          <w:sz w:val="24"/>
          <w:szCs w:val="24"/>
        </w:rPr>
        <w:t>d</w:t>
      </w:r>
      <w:r w:rsidRPr="00D41597">
        <w:rPr>
          <w:rFonts w:ascii="Times New Roman" w:hAnsi="Times New Roman"/>
          <w:sz w:val="24"/>
          <w:szCs w:val="24"/>
        </w:rPr>
        <w:t xml:space="preserve"> that </w:t>
      </w:r>
      <w:r>
        <w:rPr>
          <w:rFonts w:ascii="Times New Roman" w:hAnsi="Times New Roman"/>
          <w:sz w:val="24"/>
          <w:szCs w:val="24"/>
        </w:rPr>
        <w:t xml:space="preserve">the rest of the </w:t>
      </w:r>
      <w:r w:rsidRPr="00D41597">
        <w:rPr>
          <w:rFonts w:ascii="Times New Roman" w:hAnsi="Times New Roman"/>
          <w:sz w:val="24"/>
          <w:szCs w:val="24"/>
        </w:rPr>
        <w:t xml:space="preserve">regulatory amendments </w:t>
      </w:r>
      <w:r>
        <w:rPr>
          <w:rFonts w:ascii="Times New Roman" w:hAnsi="Times New Roman"/>
          <w:sz w:val="24"/>
          <w:szCs w:val="24"/>
        </w:rPr>
        <w:t>are</w:t>
      </w:r>
      <w:r w:rsidRPr="00D41597">
        <w:rPr>
          <w:rFonts w:ascii="Times New Roman" w:hAnsi="Times New Roman"/>
          <w:sz w:val="24"/>
          <w:szCs w:val="24"/>
        </w:rPr>
        <w:t xml:space="preserve"> likely to have a minor regulatory impact and that a Regulatory Impact Statement is not required.</w:t>
      </w:r>
    </w:p>
    <w:p w14:paraId="55B03187" w14:textId="77777777" w:rsidR="00CC63E1" w:rsidRDefault="00CC63E1" w:rsidP="00CC63E1">
      <w:pPr>
        <w:spacing w:line="276" w:lineRule="auto"/>
        <w:rPr>
          <w:rFonts w:ascii="Times New Roman" w:hAnsi="Times New Roman"/>
          <w:sz w:val="24"/>
          <w:szCs w:val="24"/>
        </w:rPr>
      </w:pPr>
    </w:p>
    <w:p w14:paraId="6368EB9F" w14:textId="77777777" w:rsidR="00CC63E1" w:rsidRPr="008460B4" w:rsidRDefault="00CC63E1" w:rsidP="00CC63E1">
      <w:pPr>
        <w:spacing w:after="240" w:line="276" w:lineRule="auto"/>
        <w:rPr>
          <w:rFonts w:ascii="Times New Roman" w:hAnsi="Times New Roman"/>
          <w:b/>
          <w:sz w:val="24"/>
          <w:szCs w:val="24"/>
          <w:shd w:val="clear" w:color="auto" w:fill="FFFFFF"/>
        </w:rPr>
      </w:pPr>
      <w:r>
        <w:rPr>
          <w:rFonts w:ascii="Times New Roman" w:hAnsi="Times New Roman"/>
          <w:b/>
          <w:sz w:val="24"/>
          <w:szCs w:val="24"/>
          <w:shd w:val="clear" w:color="auto" w:fill="FFFFFF"/>
        </w:rPr>
        <w:t>Other Matters</w:t>
      </w:r>
    </w:p>
    <w:p w14:paraId="4B241BF6" w14:textId="77777777" w:rsidR="00CC63E1" w:rsidRDefault="00CC63E1" w:rsidP="00CC63E1">
      <w:pPr>
        <w:spacing w:line="276" w:lineRule="auto"/>
        <w:rPr>
          <w:rFonts w:ascii="Times New Roman" w:hAnsi="Times New Roman"/>
          <w:sz w:val="24"/>
          <w:szCs w:val="24"/>
        </w:rPr>
      </w:pPr>
      <w:r>
        <w:rPr>
          <w:rFonts w:ascii="Times New Roman" w:hAnsi="Times New Roman"/>
          <w:sz w:val="24"/>
          <w:szCs w:val="24"/>
        </w:rPr>
        <w:t>The Amendment Regulations do not include any incorporations by reference.</w:t>
      </w:r>
    </w:p>
    <w:p w14:paraId="4351871B" w14:textId="77777777" w:rsidR="00CC63E1" w:rsidRDefault="00CC63E1" w:rsidP="00CC63E1">
      <w:pPr>
        <w:spacing w:line="276" w:lineRule="auto"/>
        <w:rPr>
          <w:rFonts w:ascii="Times New Roman" w:hAnsi="Times New Roman"/>
          <w:b/>
          <w:sz w:val="24"/>
          <w:szCs w:val="24"/>
        </w:rPr>
      </w:pPr>
    </w:p>
    <w:p w14:paraId="29B8EF60" w14:textId="77777777" w:rsidR="00CC63E1" w:rsidRDefault="00CC63E1" w:rsidP="00CC63E1">
      <w:pPr>
        <w:spacing w:line="276" w:lineRule="auto"/>
        <w:rPr>
          <w:rFonts w:ascii="Times New Roman" w:hAnsi="Times New Roman"/>
          <w:sz w:val="24"/>
          <w:szCs w:val="24"/>
        </w:rPr>
      </w:pPr>
      <w:r w:rsidRPr="00891894">
        <w:rPr>
          <w:rFonts w:ascii="Times New Roman" w:hAnsi="Times New Roman"/>
          <w:sz w:val="24"/>
          <w:szCs w:val="24"/>
        </w:rPr>
        <w:t xml:space="preserve">Details of the Amendment Regulations are set out in </w:t>
      </w:r>
      <w:r w:rsidRPr="00891894">
        <w:rPr>
          <w:rFonts w:ascii="Times New Roman" w:hAnsi="Times New Roman"/>
          <w:sz w:val="24"/>
          <w:szCs w:val="24"/>
          <w:u w:val="single"/>
        </w:rPr>
        <w:t>Attachment A</w:t>
      </w:r>
      <w:r w:rsidRPr="00891894">
        <w:rPr>
          <w:rFonts w:ascii="Times New Roman" w:hAnsi="Times New Roman"/>
          <w:sz w:val="24"/>
          <w:szCs w:val="24"/>
        </w:rPr>
        <w:t xml:space="preserve">. A Statement of Compatibility with Human Rights has been completed and is at </w:t>
      </w:r>
      <w:r w:rsidRPr="00891894">
        <w:rPr>
          <w:rFonts w:ascii="Times New Roman" w:hAnsi="Times New Roman"/>
          <w:sz w:val="24"/>
          <w:szCs w:val="24"/>
          <w:u w:val="single"/>
        </w:rPr>
        <w:t>Attachment B</w:t>
      </w:r>
      <w:r w:rsidRPr="00891894">
        <w:rPr>
          <w:rFonts w:ascii="Times New Roman" w:hAnsi="Times New Roman"/>
          <w:sz w:val="24"/>
          <w:szCs w:val="24"/>
        </w:rPr>
        <w:t>.</w:t>
      </w:r>
    </w:p>
    <w:p w14:paraId="36C4042D" w14:textId="77777777" w:rsidR="00CC63E1" w:rsidRDefault="00CC63E1" w:rsidP="00CC63E1">
      <w:pPr>
        <w:spacing w:line="276" w:lineRule="auto"/>
        <w:rPr>
          <w:rFonts w:ascii="Times New Roman" w:hAnsi="Times New Roman"/>
          <w:sz w:val="24"/>
          <w:szCs w:val="24"/>
        </w:rPr>
      </w:pPr>
    </w:p>
    <w:p w14:paraId="18E10512" w14:textId="77777777" w:rsidR="00CC63E1" w:rsidRDefault="00CC63E1" w:rsidP="00CC63E1">
      <w:pPr>
        <w:spacing w:line="276" w:lineRule="auto"/>
        <w:rPr>
          <w:rFonts w:ascii="Times New Roman" w:hAnsi="Times New Roman"/>
          <w:sz w:val="24"/>
          <w:szCs w:val="24"/>
        </w:rPr>
      </w:pPr>
      <w:r>
        <w:rPr>
          <w:rFonts w:ascii="Times New Roman" w:hAnsi="Times New Roman"/>
          <w:sz w:val="24"/>
          <w:szCs w:val="24"/>
        </w:rPr>
        <w:t>The Act specifies no conditions that need to be satisfied before the power to make the Regulations may be exercised.</w:t>
      </w:r>
    </w:p>
    <w:p w14:paraId="0B8C4B66" w14:textId="77777777" w:rsidR="00CC63E1" w:rsidRDefault="00CC63E1" w:rsidP="00CC63E1">
      <w:pPr>
        <w:spacing w:line="276" w:lineRule="auto"/>
        <w:rPr>
          <w:rFonts w:ascii="Times New Roman" w:hAnsi="Times New Roman"/>
          <w:sz w:val="24"/>
          <w:szCs w:val="24"/>
        </w:rPr>
      </w:pPr>
    </w:p>
    <w:p w14:paraId="203542F3" w14:textId="77777777" w:rsidR="00CC63E1" w:rsidRDefault="00CC63E1" w:rsidP="00CC63E1">
      <w:pPr>
        <w:spacing w:line="276" w:lineRule="auto"/>
        <w:rPr>
          <w:rFonts w:ascii="Times New Roman" w:hAnsi="Times New Roman"/>
          <w:sz w:val="24"/>
          <w:szCs w:val="24"/>
        </w:rPr>
      </w:pPr>
      <w:r>
        <w:rPr>
          <w:rFonts w:ascii="Times New Roman" w:hAnsi="Times New Roman"/>
          <w:sz w:val="24"/>
          <w:szCs w:val="24"/>
        </w:rPr>
        <w:t xml:space="preserve">The Amendment Regulations are a legislative instrument for the purposes of the </w:t>
      </w:r>
      <w:r>
        <w:rPr>
          <w:rFonts w:ascii="Times New Roman" w:hAnsi="Times New Roman"/>
          <w:i/>
          <w:sz w:val="24"/>
          <w:szCs w:val="24"/>
        </w:rPr>
        <w:t>Legislation Act 2003.</w:t>
      </w:r>
    </w:p>
    <w:p w14:paraId="36563547" w14:textId="77777777" w:rsidR="00CC63E1" w:rsidRDefault="00CC63E1" w:rsidP="00CC63E1">
      <w:pPr>
        <w:spacing w:line="276" w:lineRule="auto"/>
        <w:rPr>
          <w:rFonts w:ascii="Times New Roman" w:hAnsi="Times New Roman"/>
          <w:sz w:val="24"/>
          <w:szCs w:val="24"/>
        </w:rPr>
      </w:pPr>
    </w:p>
    <w:p w14:paraId="2446A5D5" w14:textId="77777777" w:rsidR="00CC63E1" w:rsidRPr="004279BA" w:rsidRDefault="00CC63E1" w:rsidP="00CC63E1">
      <w:pPr>
        <w:spacing w:line="276" w:lineRule="auto"/>
        <w:rPr>
          <w:rFonts w:ascii="Times New Roman" w:hAnsi="Times New Roman"/>
          <w:sz w:val="24"/>
          <w:szCs w:val="24"/>
        </w:rPr>
      </w:pPr>
      <w:r>
        <w:rPr>
          <w:rFonts w:ascii="Times New Roman" w:hAnsi="Times New Roman"/>
          <w:sz w:val="24"/>
          <w:szCs w:val="24"/>
        </w:rPr>
        <w:t xml:space="preserve">The Amendment Regulations commence on 1 January 2020. </w:t>
      </w:r>
    </w:p>
    <w:p w14:paraId="2456AB94" w14:textId="77777777" w:rsidR="00BF560B" w:rsidRDefault="00BF560B" w:rsidP="00814991">
      <w:pPr>
        <w:tabs>
          <w:tab w:val="left" w:pos="993"/>
        </w:tabs>
        <w:spacing w:after="240" w:line="276" w:lineRule="auto"/>
        <w:rPr>
          <w:rFonts w:ascii="Times New Roman" w:hAnsi="Times New Roman"/>
          <w:sz w:val="24"/>
          <w:szCs w:val="24"/>
        </w:rPr>
      </w:pPr>
    </w:p>
    <w:p w14:paraId="1AF5CCF3" w14:textId="77777777" w:rsidR="00907713" w:rsidRPr="00A04EBE" w:rsidRDefault="00907713" w:rsidP="00814991">
      <w:pPr>
        <w:tabs>
          <w:tab w:val="left" w:pos="993"/>
        </w:tabs>
        <w:spacing w:line="276" w:lineRule="auto"/>
        <w:rPr>
          <w:rFonts w:ascii="Times New Roman" w:hAnsi="Times New Roman"/>
          <w:b/>
          <w:sz w:val="24"/>
          <w:szCs w:val="24"/>
          <w:u w:val="single"/>
        </w:rPr>
        <w:sectPr w:rsidR="00907713" w:rsidRPr="00A04EBE" w:rsidSect="00A43B39">
          <w:headerReference w:type="even" r:id="rId7"/>
          <w:headerReference w:type="default" r:id="rId8"/>
          <w:footerReference w:type="even" r:id="rId9"/>
          <w:footerReference w:type="default" r:id="rId10"/>
          <w:headerReference w:type="first" r:id="rId11"/>
          <w:footerReference w:type="first" r:id="rId12"/>
          <w:pgSz w:w="11906" w:h="16838" w:code="9"/>
          <w:pgMar w:top="1440" w:right="1021" w:bottom="1440" w:left="1134" w:header="567" w:footer="567" w:gutter="0"/>
          <w:cols w:space="708"/>
          <w:docGrid w:linePitch="360"/>
        </w:sectPr>
      </w:pPr>
    </w:p>
    <w:p w14:paraId="21915D1E" w14:textId="5A5BA35B" w:rsidR="00381322" w:rsidRPr="00A52610" w:rsidRDefault="00B9342A" w:rsidP="00814991">
      <w:pPr>
        <w:spacing w:line="276" w:lineRule="auto"/>
        <w:jc w:val="right"/>
        <w:rPr>
          <w:rFonts w:ascii="Times New Roman" w:hAnsi="Times New Roman"/>
          <w:b/>
          <w:sz w:val="24"/>
          <w:szCs w:val="24"/>
          <w:u w:val="single"/>
        </w:rPr>
      </w:pPr>
      <w:r>
        <w:rPr>
          <w:rFonts w:ascii="Times New Roman" w:hAnsi="Times New Roman"/>
          <w:b/>
          <w:sz w:val="24"/>
          <w:szCs w:val="24"/>
          <w:u w:val="single"/>
        </w:rPr>
        <w:lastRenderedPageBreak/>
        <w:t>ATTACHMENT A</w:t>
      </w:r>
    </w:p>
    <w:p w14:paraId="60AE0B08" w14:textId="01177B95" w:rsidR="005D072E" w:rsidRPr="00855CA2" w:rsidRDefault="00381322" w:rsidP="00B9342A">
      <w:pPr>
        <w:tabs>
          <w:tab w:val="left" w:pos="993"/>
          <w:tab w:val="left" w:pos="4536"/>
          <w:tab w:val="left" w:pos="5670"/>
        </w:tabs>
        <w:spacing w:before="240" w:line="276" w:lineRule="auto"/>
        <w:rPr>
          <w:rFonts w:ascii="Times New Roman" w:hAnsi="Times New Roman"/>
          <w:b/>
          <w:i/>
          <w:sz w:val="24"/>
          <w:szCs w:val="24"/>
        </w:rPr>
      </w:pPr>
      <w:r w:rsidRPr="00855CA2">
        <w:rPr>
          <w:rFonts w:ascii="Times New Roman" w:hAnsi="Times New Roman"/>
          <w:b/>
          <w:sz w:val="24"/>
          <w:szCs w:val="24"/>
        </w:rPr>
        <w:t xml:space="preserve">Details of the </w:t>
      </w:r>
      <w:r w:rsidR="000B4280" w:rsidRPr="00B9342A">
        <w:rPr>
          <w:rFonts w:ascii="Times New Roman" w:hAnsi="Times New Roman"/>
          <w:b/>
          <w:i/>
          <w:sz w:val="24"/>
          <w:szCs w:val="24"/>
        </w:rPr>
        <w:t>Ozone Protection and Synthetic Greenhouse Gas Management Amendment (2019 Measures No. 1) Regulations 2019</w:t>
      </w:r>
    </w:p>
    <w:p w14:paraId="07639EDB" w14:textId="77777777" w:rsidR="00381322" w:rsidRPr="00A52610" w:rsidRDefault="00381322" w:rsidP="00814991">
      <w:pPr>
        <w:tabs>
          <w:tab w:val="left" w:pos="993"/>
          <w:tab w:val="left" w:pos="4536"/>
          <w:tab w:val="left" w:pos="5670"/>
        </w:tabs>
        <w:spacing w:line="276" w:lineRule="auto"/>
        <w:rPr>
          <w:rFonts w:ascii="Times New Roman" w:hAnsi="Times New Roman"/>
          <w:sz w:val="24"/>
          <w:szCs w:val="24"/>
          <w:u w:val="single"/>
        </w:rPr>
      </w:pPr>
    </w:p>
    <w:p w14:paraId="13D1FC32" w14:textId="77777777" w:rsidR="00381322" w:rsidRDefault="00381322" w:rsidP="00814991">
      <w:pPr>
        <w:tabs>
          <w:tab w:val="left" w:pos="993"/>
          <w:tab w:val="left" w:pos="4536"/>
          <w:tab w:val="left" w:pos="5670"/>
        </w:tabs>
        <w:spacing w:after="200" w:line="276" w:lineRule="auto"/>
        <w:rPr>
          <w:rFonts w:ascii="Times New Roman" w:hAnsi="Times New Roman"/>
          <w:sz w:val="24"/>
          <w:szCs w:val="24"/>
          <w:u w:val="single"/>
        </w:rPr>
      </w:pPr>
      <w:r w:rsidRPr="00A52610">
        <w:rPr>
          <w:rFonts w:ascii="Times New Roman" w:hAnsi="Times New Roman"/>
          <w:sz w:val="24"/>
          <w:szCs w:val="24"/>
          <w:u w:val="single"/>
        </w:rPr>
        <w:t xml:space="preserve">Section 1 – Name </w:t>
      </w:r>
    </w:p>
    <w:p w14:paraId="0DDF74E8" w14:textId="42CDAE28" w:rsidR="00381322" w:rsidRPr="004F2E8A" w:rsidRDefault="00381322" w:rsidP="00F45E4F">
      <w:pPr>
        <w:pStyle w:val="ListNumber"/>
        <w:numPr>
          <w:ilvl w:val="0"/>
          <w:numId w:val="2"/>
        </w:numPr>
        <w:spacing w:after="240" w:line="276" w:lineRule="auto"/>
        <w:ind w:left="567" w:hanging="567"/>
        <w:rPr>
          <w:rFonts w:ascii="Times New Roman" w:hAnsi="Times New Roman"/>
          <w:sz w:val="24"/>
          <w:szCs w:val="24"/>
        </w:rPr>
      </w:pPr>
      <w:r w:rsidRPr="004F2E8A">
        <w:rPr>
          <w:rFonts w:ascii="Times New Roman" w:hAnsi="Times New Roman"/>
          <w:sz w:val="24"/>
          <w:szCs w:val="24"/>
        </w:rPr>
        <w:t xml:space="preserve">This section </w:t>
      </w:r>
      <w:r w:rsidR="00BF560B">
        <w:rPr>
          <w:rFonts w:ascii="Times New Roman" w:hAnsi="Times New Roman"/>
          <w:sz w:val="24"/>
          <w:szCs w:val="24"/>
        </w:rPr>
        <w:t>specifies</w:t>
      </w:r>
      <w:r w:rsidRPr="004F2E8A">
        <w:rPr>
          <w:rFonts w:ascii="Times New Roman" w:hAnsi="Times New Roman"/>
          <w:sz w:val="24"/>
          <w:szCs w:val="24"/>
        </w:rPr>
        <w:t xml:space="preserve"> that the title of the Regulations is the </w:t>
      </w:r>
      <w:r w:rsidR="000B4280" w:rsidRPr="00145DA7">
        <w:rPr>
          <w:rFonts w:ascii="Times New Roman" w:hAnsi="Times New Roman"/>
          <w:i/>
          <w:sz w:val="24"/>
          <w:szCs w:val="24"/>
        </w:rPr>
        <w:t>Ozone Protection and Synthetic Greenhouse Gas Management Amendment (2019 Measures No. 1) Regulations 2019</w:t>
      </w:r>
      <w:r w:rsidRPr="004F2E8A">
        <w:rPr>
          <w:rFonts w:ascii="Times New Roman" w:hAnsi="Times New Roman"/>
          <w:sz w:val="24"/>
          <w:szCs w:val="24"/>
        </w:rPr>
        <w:t>.</w:t>
      </w:r>
    </w:p>
    <w:p w14:paraId="5094995C" w14:textId="77777777" w:rsidR="00381322" w:rsidRPr="004F2E8A" w:rsidRDefault="00381322" w:rsidP="00814991">
      <w:pPr>
        <w:tabs>
          <w:tab w:val="left" w:pos="993"/>
          <w:tab w:val="left" w:pos="4536"/>
          <w:tab w:val="left" w:pos="5670"/>
        </w:tabs>
        <w:spacing w:after="200" w:line="276" w:lineRule="auto"/>
        <w:rPr>
          <w:rFonts w:ascii="Times New Roman" w:hAnsi="Times New Roman"/>
          <w:sz w:val="24"/>
          <w:szCs w:val="24"/>
          <w:u w:val="single"/>
        </w:rPr>
      </w:pPr>
      <w:r w:rsidRPr="004F2E8A">
        <w:rPr>
          <w:rFonts w:ascii="Times New Roman" w:hAnsi="Times New Roman"/>
          <w:sz w:val="24"/>
          <w:szCs w:val="24"/>
          <w:u w:val="single"/>
        </w:rPr>
        <w:t>Section 2 – Commencement</w:t>
      </w:r>
    </w:p>
    <w:p w14:paraId="0871D5B2" w14:textId="1E807CED" w:rsidR="00381322" w:rsidRPr="004F2E8A" w:rsidRDefault="00381322" w:rsidP="00F45E4F">
      <w:pPr>
        <w:pStyle w:val="ListNumber"/>
        <w:numPr>
          <w:ilvl w:val="0"/>
          <w:numId w:val="2"/>
        </w:numPr>
        <w:spacing w:after="240" w:line="276" w:lineRule="auto"/>
        <w:ind w:left="567" w:hanging="567"/>
        <w:rPr>
          <w:rFonts w:ascii="Times New Roman" w:hAnsi="Times New Roman"/>
          <w:sz w:val="24"/>
          <w:szCs w:val="24"/>
        </w:rPr>
      </w:pPr>
      <w:r w:rsidRPr="004F2E8A">
        <w:rPr>
          <w:rFonts w:ascii="Times New Roman" w:hAnsi="Times New Roman"/>
          <w:sz w:val="24"/>
          <w:szCs w:val="24"/>
        </w:rPr>
        <w:t>The table in this section provide</w:t>
      </w:r>
      <w:r w:rsidR="00BF560B">
        <w:rPr>
          <w:rFonts w:ascii="Times New Roman" w:hAnsi="Times New Roman"/>
          <w:sz w:val="24"/>
          <w:szCs w:val="24"/>
        </w:rPr>
        <w:t>s</w:t>
      </w:r>
      <w:r w:rsidRPr="004F2E8A">
        <w:rPr>
          <w:rFonts w:ascii="Times New Roman" w:hAnsi="Times New Roman"/>
          <w:sz w:val="24"/>
          <w:szCs w:val="24"/>
        </w:rPr>
        <w:t xml:space="preserve"> </w:t>
      </w:r>
      <w:r w:rsidR="00950D29">
        <w:rPr>
          <w:rFonts w:ascii="Times New Roman" w:hAnsi="Times New Roman"/>
          <w:sz w:val="24"/>
          <w:szCs w:val="24"/>
        </w:rPr>
        <w:t xml:space="preserve">that </w:t>
      </w:r>
      <w:r w:rsidRPr="004F2E8A">
        <w:rPr>
          <w:rFonts w:ascii="Times New Roman" w:hAnsi="Times New Roman"/>
          <w:sz w:val="24"/>
          <w:szCs w:val="24"/>
        </w:rPr>
        <w:t xml:space="preserve">the </w:t>
      </w:r>
      <w:r w:rsidR="00145DA7" w:rsidRPr="00145DA7">
        <w:rPr>
          <w:rFonts w:ascii="Times New Roman" w:hAnsi="Times New Roman"/>
          <w:i/>
          <w:sz w:val="24"/>
          <w:szCs w:val="24"/>
        </w:rPr>
        <w:t>Ozone Protection and Synthetic Greenhouse Gas Management Amendment (2019 Measures No. 1) Regulations 2019</w:t>
      </w:r>
      <w:r w:rsidR="00950D29">
        <w:rPr>
          <w:rFonts w:ascii="Times New Roman" w:hAnsi="Times New Roman"/>
          <w:sz w:val="24"/>
          <w:szCs w:val="24"/>
        </w:rPr>
        <w:t xml:space="preserve">, including all Schedules, commence </w:t>
      </w:r>
      <w:r w:rsidR="0008272B">
        <w:rPr>
          <w:rFonts w:ascii="Times New Roman" w:hAnsi="Times New Roman"/>
          <w:sz w:val="24"/>
          <w:szCs w:val="24"/>
        </w:rPr>
        <w:t xml:space="preserve">immediately after the commencement of Schedule 3 of the </w:t>
      </w:r>
      <w:r w:rsidR="0008272B" w:rsidRPr="0008272B">
        <w:rPr>
          <w:rFonts w:ascii="Times New Roman" w:hAnsi="Times New Roman"/>
          <w:i/>
          <w:sz w:val="24"/>
          <w:szCs w:val="24"/>
        </w:rPr>
        <w:t>Ozone Protection and Synthetic Greenhouse Gas Management Legislation Amendment (2017 Measures No. 1) Regulations 2017</w:t>
      </w:r>
      <w:r w:rsidR="0008272B" w:rsidRPr="0008272B">
        <w:rPr>
          <w:rFonts w:ascii="Times New Roman" w:hAnsi="Times New Roman"/>
          <w:sz w:val="24"/>
          <w:szCs w:val="24"/>
        </w:rPr>
        <w:t>.</w:t>
      </w:r>
    </w:p>
    <w:p w14:paraId="121FCFFB" w14:textId="77777777" w:rsidR="00381322" w:rsidRPr="004F2E8A" w:rsidRDefault="00381322" w:rsidP="00814991">
      <w:pPr>
        <w:tabs>
          <w:tab w:val="left" w:pos="993"/>
          <w:tab w:val="left" w:pos="4536"/>
          <w:tab w:val="left" w:pos="5670"/>
        </w:tabs>
        <w:spacing w:after="200" w:line="276" w:lineRule="auto"/>
        <w:rPr>
          <w:rFonts w:ascii="Times New Roman" w:hAnsi="Times New Roman"/>
          <w:sz w:val="24"/>
          <w:szCs w:val="24"/>
          <w:u w:val="single"/>
        </w:rPr>
      </w:pPr>
      <w:r w:rsidRPr="004F2E8A">
        <w:rPr>
          <w:rFonts w:ascii="Times New Roman" w:hAnsi="Times New Roman"/>
          <w:sz w:val="24"/>
          <w:szCs w:val="24"/>
          <w:u w:val="single"/>
        </w:rPr>
        <w:t>Section 3 – Authority</w:t>
      </w:r>
    </w:p>
    <w:p w14:paraId="1AACAC7E" w14:textId="5297D6E1" w:rsidR="00381322" w:rsidRPr="004F2E8A" w:rsidRDefault="00381322" w:rsidP="00F45E4F">
      <w:pPr>
        <w:pStyle w:val="ListNumber"/>
        <w:numPr>
          <w:ilvl w:val="0"/>
          <w:numId w:val="2"/>
        </w:numPr>
        <w:spacing w:after="240" w:line="276" w:lineRule="auto"/>
        <w:ind w:left="567" w:hanging="567"/>
        <w:rPr>
          <w:rFonts w:ascii="Times New Roman" w:hAnsi="Times New Roman"/>
          <w:sz w:val="24"/>
          <w:szCs w:val="24"/>
        </w:rPr>
      </w:pPr>
      <w:r w:rsidRPr="004F2E8A">
        <w:rPr>
          <w:rFonts w:ascii="Times New Roman" w:hAnsi="Times New Roman"/>
          <w:sz w:val="24"/>
          <w:szCs w:val="24"/>
        </w:rPr>
        <w:t>This section provide</w:t>
      </w:r>
      <w:r w:rsidR="00145DA7">
        <w:rPr>
          <w:rFonts w:ascii="Times New Roman" w:hAnsi="Times New Roman"/>
          <w:sz w:val="24"/>
          <w:szCs w:val="24"/>
        </w:rPr>
        <w:t>s</w:t>
      </w:r>
      <w:r w:rsidRPr="004F2E8A">
        <w:rPr>
          <w:rFonts w:ascii="Times New Roman" w:hAnsi="Times New Roman"/>
          <w:sz w:val="24"/>
          <w:szCs w:val="24"/>
        </w:rPr>
        <w:t xml:space="preserve"> that </w:t>
      </w:r>
      <w:r w:rsidR="00145DA7" w:rsidRPr="00145DA7">
        <w:rPr>
          <w:rFonts w:ascii="Times New Roman" w:hAnsi="Times New Roman"/>
          <w:i/>
          <w:sz w:val="24"/>
          <w:szCs w:val="24"/>
        </w:rPr>
        <w:t>Ozone Protection and Synthetic Greenhouse Gas Management Amendment (2019 Measures No. 1) Regulations 2019</w:t>
      </w:r>
      <w:r w:rsidR="00145DA7">
        <w:rPr>
          <w:rFonts w:ascii="Times New Roman" w:hAnsi="Times New Roman"/>
          <w:i/>
          <w:sz w:val="24"/>
          <w:szCs w:val="24"/>
        </w:rPr>
        <w:t xml:space="preserve"> </w:t>
      </w:r>
      <w:r w:rsidRPr="004F2E8A">
        <w:rPr>
          <w:rFonts w:ascii="Times New Roman" w:hAnsi="Times New Roman"/>
          <w:sz w:val="24"/>
          <w:szCs w:val="24"/>
        </w:rPr>
        <w:t xml:space="preserve">are made under the </w:t>
      </w:r>
      <w:r w:rsidRPr="004F2E8A">
        <w:rPr>
          <w:rFonts w:ascii="Times New Roman" w:hAnsi="Times New Roman"/>
          <w:i/>
          <w:sz w:val="24"/>
          <w:szCs w:val="24"/>
        </w:rPr>
        <w:t>Ozone Protection and Synthetic Greenhouse Gas Management Act 1989</w:t>
      </w:r>
      <w:r w:rsidR="00012C6C">
        <w:rPr>
          <w:rFonts w:ascii="Times New Roman" w:hAnsi="Times New Roman"/>
          <w:sz w:val="24"/>
          <w:szCs w:val="24"/>
        </w:rPr>
        <w:t xml:space="preserve"> (the Act).</w:t>
      </w:r>
    </w:p>
    <w:p w14:paraId="6D622973" w14:textId="77777777" w:rsidR="00381322" w:rsidRPr="004F2E8A" w:rsidRDefault="00381322" w:rsidP="00814991">
      <w:pPr>
        <w:tabs>
          <w:tab w:val="left" w:pos="993"/>
          <w:tab w:val="left" w:pos="4536"/>
          <w:tab w:val="left" w:pos="5670"/>
        </w:tabs>
        <w:spacing w:after="200" w:line="276" w:lineRule="auto"/>
        <w:rPr>
          <w:rFonts w:ascii="Times New Roman" w:hAnsi="Times New Roman"/>
          <w:sz w:val="24"/>
          <w:szCs w:val="24"/>
          <w:u w:val="single"/>
        </w:rPr>
      </w:pPr>
      <w:r w:rsidRPr="004F2E8A">
        <w:rPr>
          <w:rFonts w:ascii="Times New Roman" w:hAnsi="Times New Roman"/>
          <w:sz w:val="24"/>
          <w:szCs w:val="24"/>
          <w:u w:val="single"/>
        </w:rPr>
        <w:t>Section 4 – Schedules</w:t>
      </w:r>
    </w:p>
    <w:p w14:paraId="6027F2E2" w14:textId="428254D3" w:rsidR="009403CF" w:rsidRPr="00012C6C" w:rsidRDefault="00381322" w:rsidP="00F45E4F">
      <w:pPr>
        <w:pStyle w:val="ListNumber"/>
        <w:numPr>
          <w:ilvl w:val="0"/>
          <w:numId w:val="2"/>
        </w:numPr>
        <w:spacing w:after="240" w:line="276" w:lineRule="auto"/>
        <w:ind w:left="567" w:hanging="567"/>
        <w:rPr>
          <w:rFonts w:ascii="Times New Roman" w:hAnsi="Times New Roman"/>
          <w:sz w:val="24"/>
          <w:szCs w:val="24"/>
        </w:rPr>
      </w:pPr>
      <w:r w:rsidRPr="004F2E8A">
        <w:rPr>
          <w:rFonts w:ascii="Times New Roman" w:hAnsi="Times New Roman"/>
          <w:sz w:val="24"/>
          <w:szCs w:val="24"/>
        </w:rPr>
        <w:t>This section provide</w:t>
      </w:r>
      <w:r w:rsidR="00145DA7">
        <w:rPr>
          <w:rFonts w:ascii="Times New Roman" w:hAnsi="Times New Roman"/>
          <w:sz w:val="24"/>
          <w:szCs w:val="24"/>
        </w:rPr>
        <w:t>s</w:t>
      </w:r>
      <w:r w:rsidRPr="004F2E8A">
        <w:rPr>
          <w:rFonts w:ascii="Times New Roman" w:hAnsi="Times New Roman"/>
          <w:sz w:val="24"/>
          <w:szCs w:val="24"/>
        </w:rPr>
        <w:t xml:space="preserve"> that </w:t>
      </w:r>
      <w:r w:rsidR="00012C6C">
        <w:rPr>
          <w:rFonts w:ascii="Times New Roman" w:hAnsi="Times New Roman"/>
          <w:sz w:val="24"/>
          <w:szCs w:val="24"/>
        </w:rPr>
        <w:t>e</w:t>
      </w:r>
      <w:r w:rsidR="00012C6C" w:rsidRPr="00012C6C">
        <w:rPr>
          <w:rFonts w:ascii="Times New Roman" w:hAnsi="Times New Roman"/>
          <w:sz w:val="24"/>
          <w:szCs w:val="24"/>
        </w:rPr>
        <w:t>ach instrument that is specified in a Schedule to this instrument is amended or repealed as set out in the applicable items in the Schedule concerned, and any other item in a Schedule to this instrument has effect according to its terms</w:t>
      </w:r>
      <w:r w:rsidR="009310EE">
        <w:rPr>
          <w:rFonts w:ascii="Times New Roman" w:hAnsi="Times New Roman"/>
          <w:sz w:val="24"/>
          <w:szCs w:val="24"/>
        </w:rPr>
        <w:t>.</w:t>
      </w:r>
    </w:p>
    <w:p w14:paraId="779DA336" w14:textId="77777777" w:rsidR="00381322" w:rsidRDefault="00381322" w:rsidP="00814991">
      <w:pPr>
        <w:pStyle w:val="ListNumber"/>
        <w:spacing w:after="200" w:line="276" w:lineRule="auto"/>
        <w:ind w:left="0" w:firstLine="0"/>
        <w:rPr>
          <w:rFonts w:ascii="Times New Roman" w:hAnsi="Times New Roman"/>
          <w:b/>
          <w:sz w:val="24"/>
          <w:szCs w:val="24"/>
        </w:rPr>
      </w:pPr>
      <w:r w:rsidRPr="004F2E8A">
        <w:rPr>
          <w:rFonts w:ascii="Times New Roman" w:hAnsi="Times New Roman"/>
          <w:b/>
          <w:sz w:val="24"/>
          <w:szCs w:val="24"/>
        </w:rPr>
        <w:t xml:space="preserve">Schedule 1 – </w:t>
      </w:r>
      <w:r>
        <w:rPr>
          <w:rFonts w:ascii="Times New Roman" w:hAnsi="Times New Roman"/>
          <w:b/>
          <w:sz w:val="24"/>
          <w:szCs w:val="24"/>
        </w:rPr>
        <w:t>Amendments</w:t>
      </w:r>
    </w:p>
    <w:p w14:paraId="2A1AB454" w14:textId="26D00205" w:rsidR="004333EE" w:rsidRPr="004333EE" w:rsidRDefault="004333EE" w:rsidP="00814991">
      <w:pPr>
        <w:pStyle w:val="ListNumber"/>
        <w:spacing w:after="200" w:line="276" w:lineRule="auto"/>
        <w:ind w:left="0" w:firstLine="0"/>
        <w:rPr>
          <w:rFonts w:ascii="Times New Roman" w:hAnsi="Times New Roman"/>
          <w:b/>
          <w:sz w:val="24"/>
          <w:szCs w:val="24"/>
        </w:rPr>
      </w:pPr>
      <w:r w:rsidRPr="004333EE">
        <w:rPr>
          <w:rFonts w:ascii="Times New Roman" w:hAnsi="Times New Roman"/>
          <w:b/>
          <w:sz w:val="24"/>
          <w:szCs w:val="24"/>
        </w:rPr>
        <w:t>Part 1</w:t>
      </w:r>
      <w:r w:rsidR="00A324B6">
        <w:rPr>
          <w:rFonts w:ascii="Times New Roman" w:hAnsi="Times New Roman"/>
          <w:b/>
          <w:sz w:val="24"/>
          <w:szCs w:val="24"/>
        </w:rPr>
        <w:t xml:space="preserve"> – Refrigeration and air conditioning equipment and fire protection equipment</w:t>
      </w:r>
    </w:p>
    <w:p w14:paraId="7EE88607" w14:textId="77777777" w:rsidR="008D7F10" w:rsidRDefault="008D7F10" w:rsidP="00814991">
      <w:pPr>
        <w:spacing w:line="276" w:lineRule="auto"/>
        <w:rPr>
          <w:rFonts w:ascii="Times New Roman" w:hAnsi="Times New Roman"/>
          <w:b/>
          <w:sz w:val="24"/>
          <w:szCs w:val="24"/>
        </w:rPr>
      </w:pPr>
      <w:r>
        <w:rPr>
          <w:rFonts w:ascii="Times New Roman" w:hAnsi="Times New Roman"/>
          <w:b/>
          <w:sz w:val="24"/>
          <w:szCs w:val="24"/>
        </w:rPr>
        <w:t>Division 1 – Prohibited refrigerant and charging and prohibited extinguishing agent charging</w:t>
      </w:r>
    </w:p>
    <w:p w14:paraId="396AAA30" w14:textId="77777777" w:rsidR="008D7F10" w:rsidRDefault="008D7F10" w:rsidP="00814991">
      <w:pPr>
        <w:spacing w:line="276" w:lineRule="auto"/>
        <w:rPr>
          <w:rFonts w:ascii="Times New Roman" w:hAnsi="Times New Roman"/>
          <w:sz w:val="24"/>
          <w:szCs w:val="24"/>
        </w:rPr>
      </w:pPr>
    </w:p>
    <w:p w14:paraId="4C0FBFCA" w14:textId="1566A63F" w:rsidR="008D7F10" w:rsidRDefault="008D7F10" w:rsidP="00814991">
      <w:pPr>
        <w:spacing w:after="200" w:line="276" w:lineRule="auto"/>
        <w:rPr>
          <w:rFonts w:ascii="Times New Roman" w:eastAsia="Calibri" w:hAnsi="Times New Roman"/>
          <w:sz w:val="24"/>
          <w:szCs w:val="24"/>
          <w:lang w:eastAsia="en-US"/>
        </w:rPr>
      </w:pPr>
      <w:r w:rsidRPr="00286999">
        <w:rPr>
          <w:rFonts w:ascii="Times New Roman" w:eastAsia="Calibri" w:hAnsi="Times New Roman"/>
          <w:sz w:val="24"/>
          <w:szCs w:val="24"/>
          <w:lang w:eastAsia="en-US"/>
        </w:rPr>
        <w:t xml:space="preserve">During maintenance or repair of refrigeration and air conditioning equipment or fire protection equipment </w:t>
      </w:r>
      <w:r w:rsidR="00D006D7">
        <w:rPr>
          <w:rFonts w:ascii="Times New Roman" w:eastAsia="Calibri" w:hAnsi="Times New Roman"/>
          <w:sz w:val="24"/>
          <w:szCs w:val="24"/>
          <w:lang w:eastAsia="en-US"/>
        </w:rPr>
        <w:t xml:space="preserve">some technicians might consider using a </w:t>
      </w:r>
      <w:r w:rsidRPr="00286999">
        <w:rPr>
          <w:rFonts w:ascii="Times New Roman" w:eastAsia="Calibri" w:hAnsi="Times New Roman"/>
          <w:sz w:val="24"/>
          <w:szCs w:val="24"/>
          <w:lang w:eastAsia="en-US"/>
        </w:rPr>
        <w:t xml:space="preserve">refrigerant or extinguishing agent </w:t>
      </w:r>
      <w:r w:rsidR="00D006D7">
        <w:rPr>
          <w:rFonts w:ascii="Times New Roman" w:eastAsia="Calibri" w:hAnsi="Times New Roman"/>
          <w:sz w:val="24"/>
          <w:szCs w:val="24"/>
          <w:lang w:eastAsia="en-US"/>
        </w:rPr>
        <w:t xml:space="preserve">with a higher global warming potential (GWP) than that used when the equipment was manufactured. </w:t>
      </w:r>
      <w:r w:rsidRPr="00286999">
        <w:rPr>
          <w:rFonts w:ascii="Times New Roman" w:eastAsia="Calibri" w:hAnsi="Times New Roman"/>
          <w:sz w:val="24"/>
          <w:szCs w:val="24"/>
          <w:lang w:eastAsia="en-US"/>
        </w:rPr>
        <w:t>For instance</w:t>
      </w:r>
      <w:r w:rsidR="00B32088">
        <w:rPr>
          <w:rFonts w:ascii="Times New Roman" w:eastAsia="Calibri" w:hAnsi="Times New Roman"/>
          <w:sz w:val="24"/>
          <w:szCs w:val="24"/>
          <w:lang w:eastAsia="en-US"/>
        </w:rPr>
        <w:t>,</w:t>
      </w:r>
      <w:r w:rsidRPr="00286999">
        <w:rPr>
          <w:rFonts w:ascii="Times New Roman" w:eastAsia="Calibri" w:hAnsi="Times New Roman"/>
          <w:sz w:val="24"/>
          <w:szCs w:val="24"/>
          <w:lang w:eastAsia="en-US"/>
        </w:rPr>
        <w:t xml:space="preserve"> because of price, availability or the equipment owner or technician’s familiarity with the higher GWP substance. This is undesirable as it means unnecessary </w:t>
      </w:r>
      <w:r w:rsidR="00B32088" w:rsidRPr="00286999">
        <w:rPr>
          <w:rFonts w:ascii="Times New Roman" w:eastAsia="Calibri" w:hAnsi="Times New Roman"/>
          <w:sz w:val="24"/>
          <w:szCs w:val="24"/>
          <w:lang w:eastAsia="en-US"/>
        </w:rPr>
        <w:t xml:space="preserve">additional </w:t>
      </w:r>
      <w:r w:rsidRPr="00286999">
        <w:rPr>
          <w:rFonts w:ascii="Times New Roman" w:eastAsia="Calibri" w:hAnsi="Times New Roman"/>
          <w:sz w:val="24"/>
          <w:szCs w:val="24"/>
          <w:lang w:eastAsia="en-US"/>
        </w:rPr>
        <w:t xml:space="preserve">use and emissions of the higher GWP substances that are </w:t>
      </w:r>
      <w:r w:rsidRPr="00286999" w:rsidDel="00D006D7">
        <w:rPr>
          <w:rFonts w:ascii="Times New Roman" w:eastAsia="Calibri" w:hAnsi="Times New Roman"/>
          <w:sz w:val="24"/>
          <w:szCs w:val="24"/>
          <w:lang w:eastAsia="en-US"/>
        </w:rPr>
        <w:t xml:space="preserve">being phased out or </w:t>
      </w:r>
      <w:r w:rsidRPr="00286999">
        <w:rPr>
          <w:rFonts w:ascii="Times New Roman" w:eastAsia="Calibri" w:hAnsi="Times New Roman"/>
          <w:sz w:val="24"/>
          <w:szCs w:val="24"/>
          <w:lang w:eastAsia="en-US"/>
        </w:rPr>
        <w:t>phased down in Australia. It is also undesirable for refrigeration and air conditioning equipment because it may lead to inefficient equipment operation and resulting increased electricity use</w:t>
      </w:r>
      <w:r w:rsidR="00D006D7">
        <w:rPr>
          <w:rFonts w:ascii="Times New Roman" w:eastAsia="Calibri" w:hAnsi="Times New Roman"/>
          <w:sz w:val="24"/>
          <w:szCs w:val="24"/>
          <w:lang w:eastAsia="en-US"/>
        </w:rPr>
        <w:t>, reduced equipment life</w:t>
      </w:r>
      <w:r w:rsidRPr="00286999">
        <w:rPr>
          <w:rFonts w:ascii="Times New Roman" w:eastAsia="Calibri" w:hAnsi="Times New Roman"/>
          <w:sz w:val="24"/>
          <w:szCs w:val="24"/>
          <w:lang w:eastAsia="en-US"/>
        </w:rPr>
        <w:t xml:space="preserve"> and </w:t>
      </w:r>
      <w:r w:rsidR="00D006D7">
        <w:rPr>
          <w:rFonts w:ascii="Times New Roman" w:eastAsia="Calibri" w:hAnsi="Times New Roman"/>
          <w:sz w:val="24"/>
          <w:szCs w:val="24"/>
          <w:lang w:eastAsia="en-US"/>
        </w:rPr>
        <w:t>higher</w:t>
      </w:r>
      <w:r w:rsidRPr="00286999">
        <w:rPr>
          <w:rFonts w:ascii="Times New Roman" w:eastAsia="Calibri" w:hAnsi="Times New Roman"/>
          <w:sz w:val="24"/>
          <w:szCs w:val="24"/>
          <w:lang w:eastAsia="en-US"/>
        </w:rPr>
        <w:t xml:space="preserve"> indirect emissions of greenhouse gases from electricity generation.</w:t>
      </w:r>
    </w:p>
    <w:p w14:paraId="2AB22EA9" w14:textId="2652DB43" w:rsidR="00351D3C" w:rsidRDefault="008D7F10" w:rsidP="00814991">
      <w:pPr>
        <w:spacing w:after="200" w:line="276" w:lineRule="auto"/>
        <w:rPr>
          <w:rFonts w:ascii="Times New Roman" w:eastAsia="Calibri" w:hAnsi="Times New Roman"/>
          <w:i/>
          <w:sz w:val="24"/>
          <w:szCs w:val="24"/>
          <w:lang w:eastAsia="en-US"/>
        </w:rPr>
      </w:pPr>
      <w:r>
        <w:rPr>
          <w:rFonts w:ascii="Times New Roman" w:eastAsia="Calibri" w:hAnsi="Times New Roman"/>
          <w:sz w:val="24"/>
          <w:szCs w:val="24"/>
          <w:lang w:eastAsia="en-US"/>
        </w:rPr>
        <w:lastRenderedPageBreak/>
        <w:t>To address these concerns, Item 4 and 7 insert new strict liability offences into the Principal Regulations for a person to engage in prohibited refrigerant charging (regulation 111A inserted by Item 4) or for a person to engage in prohibited extinguishing agent charging (regulation 303A inserted by Item 7).</w:t>
      </w:r>
    </w:p>
    <w:p w14:paraId="3A40B04D" w14:textId="77777777" w:rsidR="008D7F10" w:rsidRPr="00FE17D4" w:rsidRDefault="008D7F10" w:rsidP="00814991">
      <w:pPr>
        <w:spacing w:after="200" w:line="276" w:lineRule="auto"/>
        <w:rPr>
          <w:rFonts w:ascii="Times New Roman" w:eastAsia="Calibri" w:hAnsi="Times New Roman"/>
          <w:i/>
          <w:sz w:val="24"/>
          <w:szCs w:val="24"/>
          <w:lang w:eastAsia="en-US"/>
        </w:rPr>
      </w:pPr>
      <w:r w:rsidRPr="00FE17D4">
        <w:rPr>
          <w:rFonts w:ascii="Times New Roman" w:eastAsia="Calibri" w:hAnsi="Times New Roman"/>
          <w:i/>
          <w:sz w:val="24"/>
          <w:szCs w:val="24"/>
          <w:lang w:eastAsia="en-US"/>
        </w:rPr>
        <w:t>Prohibited refrigerant charging</w:t>
      </w:r>
    </w:p>
    <w:p w14:paraId="5EB8517D" w14:textId="1794AECE" w:rsidR="008D7F10" w:rsidRDefault="008D7F10" w:rsidP="00814991">
      <w:pPr>
        <w:spacing w:after="200"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Item 3 insert</w:t>
      </w:r>
      <w:r w:rsidR="00145DA7">
        <w:rPr>
          <w:rFonts w:ascii="Times New Roman" w:eastAsia="Calibri" w:hAnsi="Times New Roman"/>
          <w:sz w:val="24"/>
          <w:szCs w:val="24"/>
          <w:lang w:eastAsia="en-US"/>
        </w:rPr>
        <w:t>s</w:t>
      </w:r>
      <w:r>
        <w:rPr>
          <w:rFonts w:ascii="Times New Roman" w:eastAsia="Calibri" w:hAnsi="Times New Roman"/>
          <w:sz w:val="24"/>
          <w:szCs w:val="24"/>
          <w:lang w:eastAsia="en-US"/>
        </w:rPr>
        <w:t xml:space="preserve"> new regulation 2AAA which defines the term </w:t>
      </w:r>
      <w:r>
        <w:rPr>
          <w:rFonts w:ascii="Times New Roman" w:eastAsia="Calibri" w:hAnsi="Times New Roman"/>
          <w:b/>
          <w:i/>
          <w:sz w:val="24"/>
          <w:szCs w:val="24"/>
          <w:lang w:eastAsia="en-US"/>
        </w:rPr>
        <w:t>prohibited refrigerant charging</w:t>
      </w:r>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Subregulation</w:t>
      </w:r>
      <w:proofErr w:type="spellEnd"/>
      <w:r>
        <w:rPr>
          <w:rFonts w:ascii="Times New Roman" w:eastAsia="Calibri" w:hAnsi="Times New Roman"/>
          <w:sz w:val="24"/>
          <w:szCs w:val="24"/>
          <w:lang w:eastAsia="en-US"/>
        </w:rPr>
        <w:t xml:space="preserve"> </w:t>
      </w:r>
      <w:proofErr w:type="gramStart"/>
      <w:r>
        <w:rPr>
          <w:rFonts w:ascii="Times New Roman" w:eastAsia="Calibri" w:hAnsi="Times New Roman"/>
          <w:sz w:val="24"/>
          <w:szCs w:val="24"/>
          <w:lang w:eastAsia="en-US"/>
        </w:rPr>
        <w:t>2AAA(</w:t>
      </w:r>
      <w:proofErr w:type="gramEnd"/>
      <w:r>
        <w:rPr>
          <w:rFonts w:ascii="Times New Roman" w:eastAsia="Calibri" w:hAnsi="Times New Roman"/>
          <w:sz w:val="24"/>
          <w:szCs w:val="24"/>
          <w:lang w:eastAsia="en-US"/>
        </w:rPr>
        <w:t xml:space="preserve">1) clarifies that new regulation 2AAA applies in relation to equipment that is designed to be used for the heating or cooling of anything (paragraph 2AAA(1)(a)) and to operate solely by using a particular refrigerant (the </w:t>
      </w:r>
      <w:r>
        <w:rPr>
          <w:rFonts w:ascii="Times New Roman" w:eastAsia="Calibri" w:hAnsi="Times New Roman"/>
          <w:b/>
          <w:i/>
          <w:sz w:val="24"/>
          <w:szCs w:val="24"/>
          <w:lang w:eastAsia="en-US"/>
        </w:rPr>
        <w:t xml:space="preserve">design </w:t>
      </w:r>
      <w:r w:rsidRPr="0036672B">
        <w:rPr>
          <w:rFonts w:ascii="Times New Roman" w:eastAsia="Calibri" w:hAnsi="Times New Roman"/>
          <w:b/>
          <w:i/>
          <w:sz w:val="24"/>
          <w:szCs w:val="24"/>
          <w:lang w:eastAsia="en-US"/>
        </w:rPr>
        <w:t>refrigerant</w:t>
      </w:r>
      <w:r>
        <w:rPr>
          <w:rFonts w:ascii="Times New Roman" w:eastAsia="Calibri" w:hAnsi="Times New Roman"/>
          <w:sz w:val="24"/>
          <w:szCs w:val="24"/>
          <w:lang w:eastAsia="en-US"/>
        </w:rPr>
        <w:t>) other than an HCFC refrigerant (paragraph 2AAA(1)(b)).</w:t>
      </w:r>
      <w:r w:rsidR="00A34E9D">
        <w:rPr>
          <w:rFonts w:ascii="Times New Roman" w:eastAsia="Calibri" w:hAnsi="Times New Roman"/>
          <w:sz w:val="24"/>
          <w:szCs w:val="24"/>
          <w:lang w:eastAsia="en-US"/>
        </w:rPr>
        <w:t xml:space="preserve"> </w:t>
      </w:r>
      <w:r w:rsidR="00A34E9D">
        <w:rPr>
          <w:rFonts w:ascii="Times New Roman" w:hAnsi="Times New Roman"/>
          <w:sz w:val="24"/>
          <w:szCs w:val="24"/>
        </w:rPr>
        <w:t xml:space="preserve">HCFCs are ozone depleting substances and are being phased out </w:t>
      </w:r>
      <w:r w:rsidR="00D006D7">
        <w:rPr>
          <w:rFonts w:ascii="Times New Roman" w:hAnsi="Times New Roman"/>
          <w:sz w:val="24"/>
          <w:szCs w:val="24"/>
        </w:rPr>
        <w:t>globally</w:t>
      </w:r>
      <w:r w:rsidR="00A34E9D">
        <w:rPr>
          <w:rFonts w:ascii="Times New Roman" w:hAnsi="Times New Roman"/>
          <w:sz w:val="24"/>
          <w:szCs w:val="24"/>
        </w:rPr>
        <w:t xml:space="preserve">. Refrigeration and air conditioning equipment </w:t>
      </w:r>
      <w:r w:rsidR="00984017">
        <w:rPr>
          <w:rFonts w:ascii="Times New Roman" w:hAnsi="Times New Roman"/>
          <w:sz w:val="24"/>
          <w:szCs w:val="24"/>
        </w:rPr>
        <w:t>designed to operate</w:t>
      </w:r>
      <w:r w:rsidR="00A34E9D">
        <w:rPr>
          <w:rFonts w:ascii="Times New Roman" w:hAnsi="Times New Roman"/>
          <w:sz w:val="24"/>
          <w:szCs w:val="24"/>
        </w:rPr>
        <w:t xml:space="preserve"> using an HCFC refrigerant is exempt from prohibited </w:t>
      </w:r>
      <w:r w:rsidR="00F2682A">
        <w:rPr>
          <w:rFonts w:ascii="Times New Roman" w:hAnsi="Times New Roman"/>
          <w:sz w:val="24"/>
          <w:szCs w:val="24"/>
        </w:rPr>
        <w:t>refrigerant</w:t>
      </w:r>
      <w:r w:rsidR="00A34E9D">
        <w:rPr>
          <w:rFonts w:ascii="Times New Roman" w:hAnsi="Times New Roman"/>
          <w:sz w:val="24"/>
          <w:szCs w:val="24"/>
        </w:rPr>
        <w:t xml:space="preserve"> charging </w:t>
      </w:r>
      <w:r w:rsidR="00984017">
        <w:rPr>
          <w:rFonts w:ascii="Times New Roman" w:hAnsi="Times New Roman"/>
          <w:sz w:val="24"/>
          <w:szCs w:val="24"/>
        </w:rPr>
        <w:t>because of the importance of</w:t>
      </w:r>
      <w:r w:rsidR="00A34E9D">
        <w:rPr>
          <w:rFonts w:ascii="Times New Roman" w:hAnsi="Times New Roman"/>
          <w:sz w:val="24"/>
          <w:szCs w:val="24"/>
        </w:rPr>
        <w:t xml:space="preserve"> </w:t>
      </w:r>
      <w:r w:rsidR="00984017">
        <w:rPr>
          <w:rFonts w:ascii="Times New Roman" w:hAnsi="Times New Roman"/>
          <w:sz w:val="24"/>
          <w:szCs w:val="24"/>
        </w:rPr>
        <w:t>eliminating</w:t>
      </w:r>
      <w:r w:rsidR="00A34E9D">
        <w:rPr>
          <w:rFonts w:ascii="Times New Roman" w:hAnsi="Times New Roman"/>
          <w:sz w:val="24"/>
          <w:szCs w:val="24"/>
        </w:rPr>
        <w:t xml:space="preserve"> the use of ozone depleting substances. </w:t>
      </w:r>
      <w:r w:rsidR="00984017">
        <w:rPr>
          <w:rFonts w:ascii="Times New Roman" w:hAnsi="Times New Roman"/>
          <w:sz w:val="24"/>
          <w:szCs w:val="24"/>
        </w:rPr>
        <w:t>It is necessary to allow for scenarios where equipment designed to operate using an HCFC is modified to operate on a newer type GWP refrigerant that is a synthetic greenhouse gas but does not damage the ozone layer, so as not</w:t>
      </w:r>
      <w:r w:rsidR="00A34E9D">
        <w:rPr>
          <w:rFonts w:ascii="Times New Roman" w:hAnsi="Times New Roman"/>
          <w:sz w:val="24"/>
          <w:szCs w:val="24"/>
        </w:rPr>
        <w:t xml:space="preserve"> to impede Australia’s transition away from the use of HCFCs.</w:t>
      </w:r>
    </w:p>
    <w:p w14:paraId="601B083E" w14:textId="7A89959E" w:rsidR="008D7F10" w:rsidRDefault="008D7F10" w:rsidP="00814991">
      <w:pPr>
        <w:spacing w:after="200" w:line="276" w:lineRule="auto"/>
        <w:rPr>
          <w:rFonts w:ascii="Times New Roman" w:hAnsi="Times New Roman"/>
          <w:sz w:val="24"/>
          <w:szCs w:val="24"/>
        </w:rPr>
      </w:pPr>
      <w:r>
        <w:rPr>
          <w:rFonts w:ascii="Times New Roman" w:eastAsia="Calibri" w:hAnsi="Times New Roman"/>
          <w:sz w:val="24"/>
          <w:szCs w:val="24"/>
          <w:lang w:eastAsia="en-US"/>
        </w:rPr>
        <w:t xml:space="preserve">The reference to equipment that is designed for the heating or cooling of </w:t>
      </w:r>
      <w:r>
        <w:rPr>
          <w:rFonts w:ascii="Times New Roman" w:eastAsia="Calibri" w:hAnsi="Times New Roman"/>
          <w:i/>
          <w:sz w:val="24"/>
          <w:szCs w:val="24"/>
          <w:lang w:eastAsia="en-US"/>
        </w:rPr>
        <w:t>anything</w:t>
      </w:r>
      <w:r>
        <w:rPr>
          <w:rFonts w:ascii="Times New Roman" w:eastAsia="Calibri" w:hAnsi="Times New Roman"/>
          <w:sz w:val="24"/>
          <w:szCs w:val="24"/>
          <w:lang w:eastAsia="en-US"/>
        </w:rPr>
        <w:t xml:space="preserve"> in paragraph 2AAA(1)(a) is intended </w:t>
      </w:r>
      <w:r w:rsidR="009353EB">
        <w:rPr>
          <w:rFonts w:ascii="Times New Roman" w:eastAsia="Calibri" w:hAnsi="Times New Roman"/>
          <w:sz w:val="24"/>
          <w:szCs w:val="24"/>
          <w:lang w:eastAsia="en-US"/>
        </w:rPr>
        <w:t xml:space="preserve">to </w:t>
      </w:r>
      <w:r>
        <w:rPr>
          <w:rFonts w:ascii="Times New Roman" w:eastAsia="Calibri" w:hAnsi="Times New Roman"/>
          <w:sz w:val="24"/>
          <w:szCs w:val="24"/>
          <w:lang w:eastAsia="en-US"/>
        </w:rPr>
        <w:t>capture</w:t>
      </w:r>
      <w:r>
        <w:rPr>
          <w:rFonts w:ascii="Times New Roman" w:hAnsi="Times New Roman"/>
          <w:sz w:val="24"/>
          <w:szCs w:val="24"/>
        </w:rPr>
        <w:t xml:space="preserve"> the full range of heating and cooling equipment that uses the relevant refrigerants in its operation, not only to more traditional refrigeration and air conditioning equipment. For example, the measure is intended to cover heat-pump</w:t>
      </w:r>
      <w:r w:rsidR="00851592">
        <w:rPr>
          <w:rFonts w:ascii="Times New Roman" w:hAnsi="Times New Roman"/>
          <w:sz w:val="24"/>
          <w:szCs w:val="24"/>
        </w:rPr>
        <w:t xml:space="preserve"> hot water heater</w:t>
      </w:r>
      <w:r>
        <w:rPr>
          <w:rFonts w:ascii="Times New Roman" w:hAnsi="Times New Roman"/>
          <w:sz w:val="24"/>
          <w:szCs w:val="24"/>
        </w:rPr>
        <w:t>s.</w:t>
      </w:r>
    </w:p>
    <w:p w14:paraId="08181894" w14:textId="15D49E26" w:rsidR="008D7F10" w:rsidRDefault="003824F6" w:rsidP="00814991">
      <w:pPr>
        <w:spacing w:after="200" w:line="276" w:lineRule="auto"/>
        <w:rPr>
          <w:rFonts w:ascii="Times New Roman" w:hAnsi="Times New Roman"/>
          <w:sz w:val="24"/>
          <w:szCs w:val="24"/>
        </w:rPr>
      </w:pPr>
      <w:proofErr w:type="spellStart"/>
      <w:r>
        <w:rPr>
          <w:rFonts w:ascii="Times New Roman" w:hAnsi="Times New Roman"/>
          <w:sz w:val="24"/>
          <w:szCs w:val="24"/>
        </w:rPr>
        <w:t>Subregu</w:t>
      </w:r>
      <w:r w:rsidR="008D7F10">
        <w:rPr>
          <w:rFonts w:ascii="Times New Roman" w:hAnsi="Times New Roman"/>
          <w:sz w:val="24"/>
          <w:szCs w:val="24"/>
        </w:rPr>
        <w:t>l</w:t>
      </w:r>
      <w:r>
        <w:rPr>
          <w:rFonts w:ascii="Times New Roman" w:hAnsi="Times New Roman"/>
          <w:sz w:val="24"/>
          <w:szCs w:val="24"/>
        </w:rPr>
        <w:t>a</w:t>
      </w:r>
      <w:r w:rsidR="008D7F10">
        <w:rPr>
          <w:rFonts w:ascii="Times New Roman" w:hAnsi="Times New Roman"/>
          <w:sz w:val="24"/>
          <w:szCs w:val="24"/>
        </w:rPr>
        <w:t>tion</w:t>
      </w:r>
      <w:proofErr w:type="spellEnd"/>
      <w:r w:rsidR="008D7F10">
        <w:rPr>
          <w:rFonts w:ascii="Times New Roman" w:hAnsi="Times New Roman"/>
          <w:sz w:val="24"/>
          <w:szCs w:val="24"/>
        </w:rPr>
        <w:t xml:space="preserve"> </w:t>
      </w:r>
      <w:proofErr w:type="gramStart"/>
      <w:r w:rsidR="008D7F10">
        <w:rPr>
          <w:rFonts w:ascii="Times New Roman" w:hAnsi="Times New Roman"/>
          <w:sz w:val="24"/>
          <w:szCs w:val="24"/>
        </w:rPr>
        <w:t>2AAA(</w:t>
      </w:r>
      <w:proofErr w:type="gramEnd"/>
      <w:r w:rsidR="008D7F10">
        <w:rPr>
          <w:rFonts w:ascii="Times New Roman" w:hAnsi="Times New Roman"/>
          <w:sz w:val="24"/>
          <w:szCs w:val="24"/>
        </w:rPr>
        <w:t>2) clarifies the circumstances in which equipment is designed to operate solely by using a particular refrigerant for the purposes of paragraph 2AAA(1)(b). These circumstances include where the equipment has a compliance plate that specifies a particular refrigerant or, if there is no compliance plate that specifies any particular refrigerant, a manual issued by the manufacturer relating to the equipment states that the equipment is designed to operate solely by using that particular refrigerant.</w:t>
      </w:r>
    </w:p>
    <w:p w14:paraId="1F73A861" w14:textId="3FD9CDEB" w:rsidR="008D7F10" w:rsidRDefault="008D7F10" w:rsidP="00814991">
      <w:pPr>
        <w:spacing w:after="200" w:line="276" w:lineRule="auto"/>
        <w:rPr>
          <w:rFonts w:ascii="Times New Roman" w:hAnsi="Times New Roman"/>
          <w:sz w:val="24"/>
          <w:szCs w:val="24"/>
        </w:rPr>
      </w:pPr>
      <w:proofErr w:type="spellStart"/>
      <w:r>
        <w:rPr>
          <w:rFonts w:ascii="Times New Roman" w:hAnsi="Times New Roman"/>
          <w:sz w:val="24"/>
          <w:szCs w:val="24"/>
        </w:rPr>
        <w:t>Subregulation</w:t>
      </w:r>
      <w:proofErr w:type="spellEnd"/>
      <w:r>
        <w:rPr>
          <w:rFonts w:ascii="Times New Roman" w:hAnsi="Times New Roman"/>
          <w:sz w:val="24"/>
          <w:szCs w:val="24"/>
        </w:rPr>
        <w:t xml:space="preserve"> </w:t>
      </w:r>
      <w:proofErr w:type="gramStart"/>
      <w:r>
        <w:rPr>
          <w:rFonts w:ascii="Times New Roman" w:hAnsi="Times New Roman"/>
          <w:sz w:val="24"/>
          <w:szCs w:val="24"/>
        </w:rPr>
        <w:t>2AAA(</w:t>
      </w:r>
      <w:proofErr w:type="gramEnd"/>
      <w:r>
        <w:rPr>
          <w:rFonts w:ascii="Times New Roman" w:hAnsi="Times New Roman"/>
          <w:sz w:val="24"/>
          <w:szCs w:val="24"/>
        </w:rPr>
        <w:t xml:space="preserve">3) also specifies the circumstances in which a person engages in </w:t>
      </w:r>
      <w:r>
        <w:rPr>
          <w:rFonts w:ascii="Times New Roman" w:hAnsi="Times New Roman"/>
          <w:b/>
          <w:i/>
          <w:sz w:val="24"/>
          <w:szCs w:val="24"/>
        </w:rPr>
        <w:t>prohibited refrigerant charging</w:t>
      </w:r>
      <w:r>
        <w:rPr>
          <w:rFonts w:ascii="Times New Roman" w:hAnsi="Times New Roman"/>
          <w:sz w:val="24"/>
          <w:szCs w:val="24"/>
        </w:rPr>
        <w:t>. This includes where a person charges equipment</w:t>
      </w:r>
      <w:r w:rsidR="00505AE7">
        <w:rPr>
          <w:rFonts w:ascii="Times New Roman" w:hAnsi="Times New Roman"/>
          <w:sz w:val="24"/>
          <w:szCs w:val="24"/>
        </w:rPr>
        <w:t xml:space="preserve">, either by complete replacement or topping up, </w:t>
      </w:r>
      <w:r>
        <w:rPr>
          <w:rFonts w:ascii="Times New Roman" w:hAnsi="Times New Roman"/>
          <w:sz w:val="24"/>
          <w:szCs w:val="24"/>
        </w:rPr>
        <w:t xml:space="preserve">with a GWP refrigerant (defined in </w:t>
      </w:r>
      <w:proofErr w:type="spellStart"/>
      <w:r>
        <w:rPr>
          <w:rFonts w:ascii="Times New Roman" w:hAnsi="Times New Roman"/>
          <w:sz w:val="24"/>
          <w:szCs w:val="24"/>
        </w:rPr>
        <w:t>subregulation</w:t>
      </w:r>
      <w:proofErr w:type="spellEnd"/>
      <w:r>
        <w:rPr>
          <w:rFonts w:ascii="Times New Roman" w:hAnsi="Times New Roman"/>
          <w:sz w:val="24"/>
          <w:szCs w:val="24"/>
        </w:rPr>
        <w:t xml:space="preserve"> </w:t>
      </w:r>
      <w:proofErr w:type="gramStart"/>
      <w:r>
        <w:rPr>
          <w:rFonts w:ascii="Times New Roman" w:hAnsi="Times New Roman"/>
          <w:sz w:val="24"/>
          <w:szCs w:val="24"/>
        </w:rPr>
        <w:t>2AAA(</w:t>
      </w:r>
      <w:proofErr w:type="gramEnd"/>
      <w:r>
        <w:rPr>
          <w:rFonts w:ascii="Times New Roman" w:hAnsi="Times New Roman"/>
          <w:sz w:val="24"/>
          <w:szCs w:val="24"/>
        </w:rPr>
        <w:t xml:space="preserve">5)) other than the design refrigerant and the design refrigerant is not a scheduled substance or the design refrigerant is a GWP refrigerant and the new refrigerant has a higher 100-year global warming potential than the design refrigerant. A person does not engage in prohibited refrigerant charging if subsection </w:t>
      </w:r>
      <w:proofErr w:type="gramStart"/>
      <w:r w:rsidR="003824F6">
        <w:rPr>
          <w:rFonts w:ascii="Times New Roman" w:hAnsi="Times New Roman"/>
          <w:sz w:val="24"/>
          <w:szCs w:val="24"/>
        </w:rPr>
        <w:t>2AAA(</w:t>
      </w:r>
      <w:proofErr w:type="gramEnd"/>
      <w:r w:rsidR="003824F6">
        <w:rPr>
          <w:rFonts w:ascii="Times New Roman" w:hAnsi="Times New Roman"/>
          <w:sz w:val="24"/>
          <w:szCs w:val="24"/>
        </w:rPr>
        <w:t xml:space="preserve">4) </w:t>
      </w:r>
      <w:r w:rsidR="0034111A">
        <w:rPr>
          <w:rFonts w:ascii="Times New Roman" w:hAnsi="Times New Roman"/>
          <w:sz w:val="24"/>
          <w:szCs w:val="24"/>
        </w:rPr>
        <w:t>applies</w:t>
      </w:r>
      <w:r w:rsidR="003824F6">
        <w:rPr>
          <w:rFonts w:ascii="Times New Roman" w:hAnsi="Times New Roman"/>
          <w:sz w:val="24"/>
          <w:szCs w:val="24"/>
        </w:rPr>
        <w:t xml:space="preserve">. </w:t>
      </w:r>
      <w:proofErr w:type="spellStart"/>
      <w:r w:rsidR="003824F6">
        <w:rPr>
          <w:rFonts w:ascii="Times New Roman" w:hAnsi="Times New Roman"/>
          <w:sz w:val="24"/>
          <w:szCs w:val="24"/>
        </w:rPr>
        <w:t>Subregu</w:t>
      </w:r>
      <w:r>
        <w:rPr>
          <w:rFonts w:ascii="Times New Roman" w:hAnsi="Times New Roman"/>
          <w:sz w:val="24"/>
          <w:szCs w:val="24"/>
        </w:rPr>
        <w:t>l</w:t>
      </w:r>
      <w:r w:rsidR="003824F6">
        <w:rPr>
          <w:rFonts w:ascii="Times New Roman" w:hAnsi="Times New Roman"/>
          <w:sz w:val="24"/>
          <w:szCs w:val="24"/>
        </w:rPr>
        <w:t>a</w:t>
      </w:r>
      <w:r>
        <w:rPr>
          <w:rFonts w:ascii="Times New Roman" w:hAnsi="Times New Roman"/>
          <w:sz w:val="24"/>
          <w:szCs w:val="24"/>
        </w:rPr>
        <w:t>tion</w:t>
      </w:r>
      <w:proofErr w:type="spellEnd"/>
      <w:r>
        <w:rPr>
          <w:rFonts w:ascii="Times New Roman" w:hAnsi="Times New Roman"/>
          <w:sz w:val="24"/>
          <w:szCs w:val="24"/>
        </w:rPr>
        <w:t xml:space="preserve"> 2AAA(4) allow</w:t>
      </w:r>
      <w:r w:rsidR="008444EA">
        <w:rPr>
          <w:rFonts w:ascii="Times New Roman" w:hAnsi="Times New Roman"/>
          <w:sz w:val="24"/>
          <w:szCs w:val="24"/>
        </w:rPr>
        <w:t>s</w:t>
      </w:r>
      <w:r>
        <w:rPr>
          <w:rFonts w:ascii="Times New Roman" w:hAnsi="Times New Roman"/>
          <w:sz w:val="24"/>
          <w:szCs w:val="24"/>
        </w:rPr>
        <w:t xml:space="preserve"> for an exception where the continued functioning of the equipment is essential for health or public safety purposes, and no refrigerant that is the design refrigerant, a lower GWP refrigerant or a refrigerant that is not a GWP refrigerant, is available. In these circumstances, prohibited refrigerant charging </w:t>
      </w:r>
      <w:r w:rsidR="00CE4168">
        <w:rPr>
          <w:rFonts w:ascii="Times New Roman" w:hAnsi="Times New Roman"/>
          <w:sz w:val="24"/>
          <w:szCs w:val="24"/>
        </w:rPr>
        <w:t>will</w:t>
      </w:r>
      <w:r>
        <w:rPr>
          <w:rFonts w:ascii="Times New Roman" w:hAnsi="Times New Roman"/>
          <w:sz w:val="24"/>
          <w:szCs w:val="24"/>
        </w:rPr>
        <w:t xml:space="preserve"> be taken not to have occurred.</w:t>
      </w:r>
    </w:p>
    <w:p w14:paraId="330F5713" w14:textId="77777777" w:rsidR="008D7F10" w:rsidRDefault="008D7F10" w:rsidP="00814991">
      <w:pPr>
        <w:spacing w:after="200" w:line="276" w:lineRule="auto"/>
        <w:rPr>
          <w:rFonts w:ascii="Times New Roman" w:hAnsi="Times New Roman"/>
          <w:sz w:val="24"/>
          <w:szCs w:val="24"/>
        </w:rPr>
      </w:pPr>
      <w:r>
        <w:rPr>
          <w:rFonts w:ascii="Times New Roman" w:hAnsi="Times New Roman"/>
          <w:sz w:val="24"/>
          <w:szCs w:val="24"/>
        </w:rPr>
        <w:t xml:space="preserve">Item 2 inserts references to the terms </w:t>
      </w:r>
      <w:r>
        <w:rPr>
          <w:rFonts w:ascii="Times New Roman" w:hAnsi="Times New Roman"/>
          <w:b/>
          <w:i/>
          <w:sz w:val="24"/>
          <w:szCs w:val="24"/>
        </w:rPr>
        <w:t>GWP refrigerant</w:t>
      </w:r>
      <w:r>
        <w:rPr>
          <w:rFonts w:ascii="Times New Roman" w:hAnsi="Times New Roman"/>
          <w:sz w:val="24"/>
          <w:szCs w:val="24"/>
        </w:rPr>
        <w:t xml:space="preserve"> and </w:t>
      </w:r>
      <w:r>
        <w:rPr>
          <w:rFonts w:ascii="Times New Roman" w:hAnsi="Times New Roman"/>
          <w:b/>
          <w:i/>
          <w:sz w:val="24"/>
          <w:szCs w:val="24"/>
        </w:rPr>
        <w:t xml:space="preserve">prohibited refrigerant charging </w:t>
      </w:r>
      <w:r>
        <w:rPr>
          <w:rFonts w:ascii="Times New Roman" w:hAnsi="Times New Roman"/>
          <w:sz w:val="24"/>
          <w:szCs w:val="24"/>
        </w:rPr>
        <w:t>in regulation 2 of the Principal Regulations. These references direct readers to the definition of these terms elsewhere in the Principal Regulations.</w:t>
      </w:r>
    </w:p>
    <w:p w14:paraId="6E8C3277" w14:textId="25AFA076" w:rsidR="008D7F10" w:rsidRDefault="008D7F10" w:rsidP="00814991">
      <w:pPr>
        <w:spacing w:after="200" w:line="276" w:lineRule="auto"/>
        <w:rPr>
          <w:rFonts w:ascii="Times New Roman" w:hAnsi="Times New Roman"/>
          <w:sz w:val="24"/>
          <w:szCs w:val="24"/>
        </w:rPr>
      </w:pPr>
      <w:r>
        <w:rPr>
          <w:rFonts w:ascii="Times New Roman" w:hAnsi="Times New Roman"/>
          <w:sz w:val="24"/>
          <w:szCs w:val="24"/>
        </w:rPr>
        <w:lastRenderedPageBreak/>
        <w:t>As stated above, Item 4 insert</w:t>
      </w:r>
      <w:r w:rsidR="00145DA7">
        <w:rPr>
          <w:rFonts w:ascii="Times New Roman" w:hAnsi="Times New Roman"/>
          <w:sz w:val="24"/>
          <w:szCs w:val="24"/>
        </w:rPr>
        <w:t>s</w:t>
      </w:r>
      <w:r>
        <w:rPr>
          <w:rFonts w:ascii="Times New Roman" w:hAnsi="Times New Roman"/>
          <w:sz w:val="24"/>
          <w:szCs w:val="24"/>
        </w:rPr>
        <w:t xml:space="preserve"> a new strict liability offence into the Principal Regulation if a person engages in prohibited refrigerant charging (see new </w:t>
      </w:r>
      <w:proofErr w:type="spellStart"/>
      <w:r>
        <w:rPr>
          <w:rFonts w:ascii="Times New Roman" w:hAnsi="Times New Roman"/>
          <w:sz w:val="24"/>
          <w:szCs w:val="24"/>
        </w:rPr>
        <w:t>subregulation</w:t>
      </w:r>
      <w:proofErr w:type="spellEnd"/>
      <w:r>
        <w:rPr>
          <w:rFonts w:ascii="Times New Roman" w:hAnsi="Times New Roman"/>
          <w:sz w:val="24"/>
          <w:szCs w:val="24"/>
        </w:rPr>
        <w:t xml:space="preserve"> 111A(1)). A contravention of this offence has a maximum penalty of 10 penalty units for an individual or 50 penalty units for a body corporate. Application of strict liability to this offence has been set with consideration given to the guidelines regarding the circumstances in which strict liability is appropriate set out in </w:t>
      </w:r>
      <w:r w:rsidRPr="008D4C60">
        <w:rPr>
          <w:rFonts w:ascii="Times New Roman" w:hAnsi="Times New Roman"/>
          <w:i/>
          <w:sz w:val="24"/>
          <w:szCs w:val="24"/>
        </w:rPr>
        <w:t>A Guide to Framing Commonwealth Offences, Civil Penalties and Enforcement Powers</w:t>
      </w:r>
      <w:r w:rsidRPr="008D4C60">
        <w:rPr>
          <w:rFonts w:ascii="Times New Roman" w:hAnsi="Times New Roman"/>
          <w:sz w:val="24"/>
          <w:szCs w:val="24"/>
        </w:rPr>
        <w:t xml:space="preserve">. </w:t>
      </w:r>
      <w:r>
        <w:rPr>
          <w:rFonts w:ascii="Times New Roman" w:hAnsi="Times New Roman"/>
          <w:sz w:val="24"/>
          <w:szCs w:val="24"/>
        </w:rPr>
        <w:t>This offence is necessary to ensure compliance with Australia’s obligations under the Montreal Protocol</w:t>
      </w:r>
      <w:r w:rsidR="00AF3E31">
        <w:rPr>
          <w:rFonts w:ascii="Times New Roman" w:hAnsi="Times New Roman"/>
          <w:sz w:val="24"/>
          <w:szCs w:val="24"/>
        </w:rPr>
        <w:t xml:space="preserve"> </w:t>
      </w:r>
      <w:r w:rsidR="00AF3E31" w:rsidRPr="00A04EBE">
        <w:rPr>
          <w:rFonts w:ascii="Times New Roman" w:eastAsia="Times New Roman" w:hAnsi="Times New Roman"/>
          <w:sz w:val="24"/>
          <w:szCs w:val="24"/>
        </w:rPr>
        <w:t>on Substances that Deplete the Ozone Layer</w:t>
      </w:r>
      <w:r w:rsidR="00AF3E31">
        <w:rPr>
          <w:rFonts w:ascii="Times New Roman" w:eastAsia="Times New Roman" w:hAnsi="Times New Roman"/>
          <w:sz w:val="24"/>
          <w:szCs w:val="24"/>
        </w:rPr>
        <w:t xml:space="preserve"> (the Montreal Protocol)</w:t>
      </w:r>
      <w:r>
        <w:rPr>
          <w:rFonts w:ascii="Times New Roman" w:hAnsi="Times New Roman"/>
          <w:sz w:val="24"/>
          <w:szCs w:val="24"/>
        </w:rPr>
        <w:t>. The use of strict liability for this offence is necessary to ensure the integrity of the established regulatory regime to prevent environmental harm.</w:t>
      </w:r>
    </w:p>
    <w:p w14:paraId="1378F2C6" w14:textId="6EBE5AF2" w:rsidR="008D7F10" w:rsidRDefault="00145DA7" w:rsidP="00814991">
      <w:pPr>
        <w:spacing w:after="200" w:line="276" w:lineRule="auto"/>
        <w:rPr>
          <w:rFonts w:ascii="Times New Roman" w:hAnsi="Times New Roman"/>
          <w:sz w:val="24"/>
          <w:szCs w:val="24"/>
        </w:rPr>
      </w:pPr>
      <w:proofErr w:type="spellStart"/>
      <w:r>
        <w:rPr>
          <w:rFonts w:ascii="Times New Roman" w:hAnsi="Times New Roman"/>
          <w:sz w:val="24"/>
          <w:szCs w:val="24"/>
        </w:rPr>
        <w:t>S</w:t>
      </w:r>
      <w:r w:rsidR="008D7F10">
        <w:rPr>
          <w:rFonts w:ascii="Times New Roman" w:hAnsi="Times New Roman"/>
          <w:sz w:val="24"/>
          <w:szCs w:val="24"/>
        </w:rPr>
        <w:t>ubregulation</w:t>
      </w:r>
      <w:proofErr w:type="spellEnd"/>
      <w:r w:rsidR="008D7F10">
        <w:rPr>
          <w:rFonts w:ascii="Times New Roman" w:hAnsi="Times New Roman"/>
          <w:sz w:val="24"/>
          <w:szCs w:val="24"/>
        </w:rPr>
        <w:t xml:space="preserve"> 111A(2) </w:t>
      </w:r>
      <w:r>
        <w:rPr>
          <w:rFonts w:ascii="Times New Roman" w:hAnsi="Times New Roman"/>
          <w:sz w:val="24"/>
          <w:szCs w:val="24"/>
        </w:rPr>
        <w:t>clarifies</w:t>
      </w:r>
      <w:r w:rsidR="008D7F10">
        <w:rPr>
          <w:rFonts w:ascii="Times New Roman" w:hAnsi="Times New Roman"/>
          <w:sz w:val="24"/>
          <w:szCs w:val="24"/>
        </w:rPr>
        <w:t xml:space="preserve"> that, for the purposes of the offence in </w:t>
      </w:r>
      <w:proofErr w:type="spellStart"/>
      <w:r w:rsidR="008D7F10">
        <w:rPr>
          <w:rFonts w:ascii="Times New Roman" w:hAnsi="Times New Roman"/>
          <w:sz w:val="24"/>
          <w:szCs w:val="24"/>
        </w:rPr>
        <w:t>subregulation</w:t>
      </w:r>
      <w:proofErr w:type="spellEnd"/>
      <w:r w:rsidR="008D7F10">
        <w:rPr>
          <w:rFonts w:ascii="Times New Roman" w:hAnsi="Times New Roman"/>
          <w:sz w:val="24"/>
          <w:szCs w:val="24"/>
        </w:rPr>
        <w:t xml:space="preserve"> 111A(1), the exception outlined in </w:t>
      </w:r>
      <w:proofErr w:type="spellStart"/>
      <w:r w:rsidR="008D7F10">
        <w:rPr>
          <w:rFonts w:ascii="Times New Roman" w:hAnsi="Times New Roman"/>
          <w:sz w:val="24"/>
          <w:szCs w:val="24"/>
        </w:rPr>
        <w:t>subregulation</w:t>
      </w:r>
      <w:proofErr w:type="spellEnd"/>
      <w:r w:rsidR="008D7F10">
        <w:rPr>
          <w:rFonts w:ascii="Times New Roman" w:hAnsi="Times New Roman"/>
          <w:sz w:val="24"/>
          <w:szCs w:val="24"/>
        </w:rPr>
        <w:t xml:space="preserve"> 2AAA(4), where the continued functioning of equipment is essential for health or public safety purposes, </w:t>
      </w:r>
      <w:r w:rsidR="00CE4168">
        <w:rPr>
          <w:rFonts w:ascii="Times New Roman" w:hAnsi="Times New Roman"/>
          <w:sz w:val="24"/>
          <w:szCs w:val="24"/>
        </w:rPr>
        <w:t>will</w:t>
      </w:r>
      <w:r w:rsidR="008D7F10">
        <w:rPr>
          <w:rFonts w:ascii="Times New Roman" w:hAnsi="Times New Roman"/>
          <w:sz w:val="24"/>
          <w:szCs w:val="24"/>
        </w:rPr>
        <w:t xml:space="preserve"> not be taken to apply unless the evidence is adduced to the contrary.</w:t>
      </w:r>
    </w:p>
    <w:p w14:paraId="22064D01" w14:textId="0F009BF6" w:rsidR="008D7F10" w:rsidRDefault="008D7F10" w:rsidP="00814991">
      <w:pPr>
        <w:spacing w:after="200" w:line="276" w:lineRule="auto"/>
        <w:rPr>
          <w:rFonts w:ascii="Times New Roman" w:hAnsi="Times New Roman"/>
          <w:sz w:val="24"/>
          <w:szCs w:val="24"/>
        </w:rPr>
      </w:pPr>
      <w:r>
        <w:rPr>
          <w:rFonts w:ascii="Times New Roman" w:eastAsia="Calibri" w:hAnsi="Times New Roman"/>
          <w:sz w:val="24"/>
          <w:szCs w:val="24"/>
          <w:lang w:eastAsia="en-US"/>
        </w:rPr>
        <w:t xml:space="preserve">Items 5, 6 and 10 are required as a consequence of Item 4. </w:t>
      </w:r>
      <w:proofErr w:type="spellStart"/>
      <w:r>
        <w:rPr>
          <w:rFonts w:ascii="Times New Roman" w:eastAsia="Calibri" w:hAnsi="Times New Roman"/>
          <w:sz w:val="24"/>
          <w:szCs w:val="24"/>
          <w:lang w:eastAsia="en-US"/>
        </w:rPr>
        <w:t>Subregulation</w:t>
      </w:r>
      <w:proofErr w:type="spellEnd"/>
      <w:r>
        <w:rPr>
          <w:rFonts w:ascii="Times New Roman" w:eastAsia="Calibri" w:hAnsi="Times New Roman"/>
          <w:sz w:val="24"/>
          <w:szCs w:val="24"/>
          <w:lang w:eastAsia="en-US"/>
        </w:rPr>
        <w:t xml:space="preserve"> 135(1) and </w:t>
      </w:r>
      <w:proofErr w:type="spellStart"/>
      <w:r>
        <w:rPr>
          <w:rFonts w:ascii="Times New Roman" w:eastAsia="Calibri" w:hAnsi="Times New Roman"/>
          <w:sz w:val="24"/>
          <w:szCs w:val="24"/>
          <w:lang w:eastAsia="en-US"/>
        </w:rPr>
        <w:t>subregulation</w:t>
      </w:r>
      <w:proofErr w:type="spellEnd"/>
      <w:r>
        <w:rPr>
          <w:rFonts w:ascii="Times New Roman" w:eastAsia="Calibri" w:hAnsi="Times New Roman"/>
          <w:sz w:val="24"/>
          <w:szCs w:val="24"/>
          <w:lang w:eastAsia="en-US"/>
        </w:rPr>
        <w:t xml:space="preserve"> 141(1) set out a number of conditions which the holder of a refrigerant handling licence or a refrigerant trading authorisation must not contravene. Items 5 and 6 amend those subsections to impose an additional condition that the licensee or holder of the authorisation does not engage in prohibited refrigerant charging. </w:t>
      </w:r>
      <w:r>
        <w:rPr>
          <w:rFonts w:ascii="Times New Roman" w:hAnsi="Times New Roman"/>
          <w:sz w:val="24"/>
          <w:szCs w:val="24"/>
        </w:rPr>
        <w:t xml:space="preserve">A refrigerant trading authorisation holder </w:t>
      </w:r>
      <w:r w:rsidR="00145DA7">
        <w:rPr>
          <w:rFonts w:ascii="Times New Roman" w:hAnsi="Times New Roman"/>
          <w:sz w:val="24"/>
          <w:szCs w:val="24"/>
        </w:rPr>
        <w:t>will</w:t>
      </w:r>
      <w:r>
        <w:rPr>
          <w:rFonts w:ascii="Times New Roman" w:hAnsi="Times New Roman"/>
          <w:sz w:val="24"/>
          <w:szCs w:val="24"/>
        </w:rPr>
        <w:t xml:space="preserve"> be considered to have engaged in prohibited refrigerant charging if they directed a contractor or employee (whether or not that person holds a refrigerant handling licence) working under the refrigerant trading authorisation to perform prohibited refrigerant charging.</w:t>
      </w:r>
    </w:p>
    <w:p w14:paraId="66C4E63E" w14:textId="04D79AE1" w:rsidR="008D7F10" w:rsidRPr="00476C09" w:rsidRDefault="008D7F10" w:rsidP="00814991">
      <w:pPr>
        <w:spacing w:after="200" w:line="276" w:lineRule="auto"/>
        <w:rPr>
          <w:rFonts w:ascii="Times New Roman" w:eastAsia="Calibri" w:hAnsi="Times New Roman"/>
          <w:sz w:val="24"/>
          <w:szCs w:val="24"/>
          <w:lang w:eastAsia="en-US"/>
        </w:rPr>
      </w:pPr>
      <w:r>
        <w:rPr>
          <w:rFonts w:ascii="Times New Roman" w:hAnsi="Times New Roman"/>
          <w:sz w:val="24"/>
          <w:szCs w:val="24"/>
        </w:rPr>
        <w:t>Item 10 amend</w:t>
      </w:r>
      <w:r w:rsidR="00145DA7">
        <w:rPr>
          <w:rFonts w:ascii="Times New Roman" w:hAnsi="Times New Roman"/>
          <w:sz w:val="24"/>
          <w:szCs w:val="24"/>
        </w:rPr>
        <w:t>s</w:t>
      </w:r>
      <w:r>
        <w:rPr>
          <w:rFonts w:ascii="Times New Roman" w:hAnsi="Times New Roman"/>
          <w:sz w:val="24"/>
          <w:szCs w:val="24"/>
        </w:rPr>
        <w:t xml:space="preserve"> regulation 906A to specify the new offence at </w:t>
      </w:r>
      <w:proofErr w:type="spellStart"/>
      <w:r>
        <w:rPr>
          <w:rFonts w:ascii="Times New Roman" w:hAnsi="Times New Roman"/>
          <w:sz w:val="24"/>
          <w:szCs w:val="24"/>
        </w:rPr>
        <w:t>subregulation</w:t>
      </w:r>
      <w:proofErr w:type="spellEnd"/>
      <w:r>
        <w:rPr>
          <w:rFonts w:ascii="Times New Roman" w:hAnsi="Times New Roman"/>
          <w:sz w:val="24"/>
          <w:szCs w:val="24"/>
        </w:rPr>
        <w:t xml:space="preserve"> </w:t>
      </w:r>
      <w:proofErr w:type="gramStart"/>
      <w:r>
        <w:rPr>
          <w:rFonts w:ascii="Times New Roman" w:hAnsi="Times New Roman"/>
          <w:sz w:val="24"/>
          <w:szCs w:val="24"/>
        </w:rPr>
        <w:t>111A(</w:t>
      </w:r>
      <w:proofErr w:type="gramEnd"/>
      <w:r>
        <w:rPr>
          <w:rFonts w:ascii="Times New Roman" w:hAnsi="Times New Roman"/>
          <w:sz w:val="24"/>
          <w:szCs w:val="24"/>
        </w:rPr>
        <w:t>1) as an infringement notice offence.</w:t>
      </w:r>
    </w:p>
    <w:p w14:paraId="45AFF09D" w14:textId="77777777" w:rsidR="001B5AA4" w:rsidRDefault="001B5AA4" w:rsidP="00814991">
      <w:pPr>
        <w:spacing w:line="276" w:lineRule="auto"/>
        <w:rPr>
          <w:rFonts w:ascii="Times New Roman" w:eastAsia="Calibri" w:hAnsi="Times New Roman"/>
          <w:i/>
          <w:sz w:val="24"/>
          <w:szCs w:val="24"/>
          <w:lang w:eastAsia="en-US"/>
        </w:rPr>
      </w:pPr>
      <w:r>
        <w:rPr>
          <w:rFonts w:ascii="Times New Roman" w:eastAsia="Calibri" w:hAnsi="Times New Roman"/>
          <w:i/>
          <w:sz w:val="24"/>
          <w:szCs w:val="24"/>
          <w:lang w:eastAsia="en-US"/>
        </w:rPr>
        <w:t>Prohibited extinguishing agent charging</w:t>
      </w:r>
    </w:p>
    <w:p w14:paraId="09AE8ACF" w14:textId="77777777" w:rsidR="001B5AA4" w:rsidRDefault="001B5AA4" w:rsidP="00814991">
      <w:pPr>
        <w:spacing w:line="276" w:lineRule="auto"/>
        <w:rPr>
          <w:rFonts w:ascii="Times New Roman" w:eastAsia="Calibri" w:hAnsi="Times New Roman"/>
          <w:i/>
          <w:sz w:val="24"/>
          <w:szCs w:val="24"/>
          <w:lang w:eastAsia="en-US"/>
        </w:rPr>
      </w:pPr>
    </w:p>
    <w:p w14:paraId="080FDD87" w14:textId="376048E7" w:rsidR="001B5AA4" w:rsidRDefault="0044014C" w:rsidP="00814991">
      <w:pPr>
        <w:spacing w:after="200"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Item 3 </w:t>
      </w:r>
      <w:r w:rsidR="001B5AA4">
        <w:rPr>
          <w:rFonts w:ascii="Times New Roman" w:eastAsia="Calibri" w:hAnsi="Times New Roman"/>
          <w:sz w:val="24"/>
          <w:szCs w:val="24"/>
          <w:lang w:eastAsia="en-US"/>
        </w:rPr>
        <w:t>insert</w:t>
      </w:r>
      <w:r w:rsidR="00145DA7">
        <w:rPr>
          <w:rFonts w:ascii="Times New Roman" w:eastAsia="Calibri" w:hAnsi="Times New Roman"/>
          <w:sz w:val="24"/>
          <w:szCs w:val="24"/>
          <w:lang w:eastAsia="en-US"/>
        </w:rPr>
        <w:t>s</w:t>
      </w:r>
      <w:r w:rsidR="001B5AA4">
        <w:rPr>
          <w:rFonts w:ascii="Times New Roman" w:eastAsia="Calibri" w:hAnsi="Times New Roman"/>
          <w:sz w:val="24"/>
          <w:szCs w:val="24"/>
          <w:lang w:eastAsia="en-US"/>
        </w:rPr>
        <w:t xml:space="preserve"> new regulation 2AAB which defines the term </w:t>
      </w:r>
      <w:r w:rsidR="001B5AA4">
        <w:rPr>
          <w:rFonts w:ascii="Times New Roman" w:eastAsia="Calibri" w:hAnsi="Times New Roman"/>
          <w:b/>
          <w:i/>
          <w:sz w:val="24"/>
          <w:szCs w:val="24"/>
          <w:lang w:eastAsia="en-US"/>
        </w:rPr>
        <w:t>prohibited extinguishing agent charging</w:t>
      </w:r>
      <w:r w:rsidR="001B5AA4">
        <w:rPr>
          <w:rFonts w:ascii="Times New Roman" w:eastAsia="Calibri" w:hAnsi="Times New Roman"/>
          <w:sz w:val="24"/>
          <w:szCs w:val="24"/>
          <w:lang w:eastAsia="en-US"/>
        </w:rPr>
        <w:t xml:space="preserve">. </w:t>
      </w:r>
      <w:proofErr w:type="spellStart"/>
      <w:r w:rsidR="001B5AA4">
        <w:rPr>
          <w:rFonts w:ascii="Times New Roman" w:eastAsia="Calibri" w:hAnsi="Times New Roman"/>
          <w:sz w:val="24"/>
          <w:szCs w:val="24"/>
          <w:lang w:eastAsia="en-US"/>
        </w:rPr>
        <w:t>Subregulation</w:t>
      </w:r>
      <w:proofErr w:type="spellEnd"/>
      <w:r w:rsidR="001B5AA4">
        <w:rPr>
          <w:rFonts w:ascii="Times New Roman" w:eastAsia="Calibri" w:hAnsi="Times New Roman"/>
          <w:sz w:val="24"/>
          <w:szCs w:val="24"/>
          <w:lang w:eastAsia="en-US"/>
        </w:rPr>
        <w:t xml:space="preserve"> 2AAB(1) clarifies that new regulation 2AAB applies in relation to fire protection equipment that is designed to operate solely by using a particular </w:t>
      </w:r>
      <w:r w:rsidR="001B5AA4" w:rsidRPr="0044014C">
        <w:rPr>
          <w:rFonts w:ascii="Times New Roman" w:eastAsia="Calibri" w:hAnsi="Times New Roman"/>
          <w:sz w:val="24"/>
          <w:szCs w:val="24"/>
          <w:lang w:eastAsia="en-US"/>
        </w:rPr>
        <w:t xml:space="preserve">extinguishing agent (the </w:t>
      </w:r>
      <w:r w:rsidR="001B5AA4" w:rsidRPr="0044014C">
        <w:rPr>
          <w:rFonts w:ascii="Times New Roman" w:eastAsia="Calibri" w:hAnsi="Times New Roman"/>
          <w:b/>
          <w:i/>
          <w:sz w:val="24"/>
          <w:szCs w:val="24"/>
          <w:lang w:eastAsia="en-US"/>
        </w:rPr>
        <w:t>design extinguishing agent</w:t>
      </w:r>
      <w:r w:rsidR="001B5AA4" w:rsidRPr="0044014C">
        <w:rPr>
          <w:rFonts w:ascii="Times New Roman" w:eastAsia="Calibri" w:hAnsi="Times New Roman"/>
          <w:sz w:val="24"/>
          <w:szCs w:val="24"/>
          <w:lang w:eastAsia="en-US"/>
        </w:rPr>
        <w:t>)</w:t>
      </w:r>
      <w:r w:rsidR="00A34E9D">
        <w:rPr>
          <w:rFonts w:ascii="Times New Roman" w:eastAsia="Calibri" w:hAnsi="Times New Roman"/>
          <w:sz w:val="24"/>
          <w:szCs w:val="24"/>
          <w:lang w:eastAsia="en-US"/>
        </w:rPr>
        <w:t>,</w:t>
      </w:r>
      <w:r w:rsidR="001B5AA4" w:rsidRPr="0044014C">
        <w:rPr>
          <w:rFonts w:ascii="Times New Roman" w:eastAsia="Calibri" w:hAnsi="Times New Roman"/>
          <w:sz w:val="24"/>
          <w:szCs w:val="24"/>
          <w:lang w:eastAsia="en-US"/>
        </w:rPr>
        <w:t xml:space="preserve"> other than an HCFC extinguishing agent</w:t>
      </w:r>
      <w:r w:rsidR="001B5AA4">
        <w:rPr>
          <w:rFonts w:ascii="Times New Roman" w:eastAsia="Calibri" w:hAnsi="Times New Roman"/>
          <w:sz w:val="24"/>
          <w:szCs w:val="24"/>
          <w:lang w:eastAsia="en-US"/>
        </w:rPr>
        <w:t xml:space="preserve">. </w:t>
      </w:r>
      <w:r w:rsidR="001B5AA4">
        <w:rPr>
          <w:rFonts w:ascii="Times New Roman" w:hAnsi="Times New Roman"/>
          <w:sz w:val="24"/>
          <w:szCs w:val="24"/>
        </w:rPr>
        <w:t xml:space="preserve">HCFCs are ozone depleting substances and are being phased out </w:t>
      </w:r>
      <w:r w:rsidR="00F8539F">
        <w:rPr>
          <w:rFonts w:ascii="Times New Roman" w:hAnsi="Times New Roman"/>
          <w:sz w:val="24"/>
          <w:szCs w:val="24"/>
        </w:rPr>
        <w:t>globally</w:t>
      </w:r>
      <w:r w:rsidR="00CC0502">
        <w:rPr>
          <w:rFonts w:ascii="Times New Roman" w:hAnsi="Times New Roman"/>
          <w:sz w:val="24"/>
          <w:szCs w:val="24"/>
        </w:rPr>
        <w:t>.</w:t>
      </w:r>
      <w:r w:rsidR="001B5AA4">
        <w:rPr>
          <w:rFonts w:ascii="Times New Roman" w:hAnsi="Times New Roman"/>
          <w:sz w:val="24"/>
          <w:szCs w:val="24"/>
        </w:rPr>
        <w:t xml:space="preserve"> </w:t>
      </w:r>
      <w:r w:rsidR="00A50B3B">
        <w:rPr>
          <w:rFonts w:ascii="Times New Roman" w:hAnsi="Times New Roman"/>
          <w:sz w:val="24"/>
          <w:szCs w:val="24"/>
        </w:rPr>
        <w:t xml:space="preserve">Fire protection equipment </w:t>
      </w:r>
      <w:r w:rsidR="00CC0502">
        <w:rPr>
          <w:rFonts w:ascii="Times New Roman" w:hAnsi="Times New Roman"/>
          <w:sz w:val="24"/>
          <w:szCs w:val="24"/>
        </w:rPr>
        <w:t>designed to operate</w:t>
      </w:r>
      <w:r w:rsidR="00A50B3B">
        <w:rPr>
          <w:rFonts w:ascii="Times New Roman" w:hAnsi="Times New Roman"/>
          <w:sz w:val="24"/>
          <w:szCs w:val="24"/>
        </w:rPr>
        <w:t xml:space="preserve"> using an HCFC extingui</w:t>
      </w:r>
      <w:r w:rsidR="002C3F5E">
        <w:rPr>
          <w:rFonts w:ascii="Times New Roman" w:hAnsi="Times New Roman"/>
          <w:sz w:val="24"/>
          <w:szCs w:val="24"/>
        </w:rPr>
        <w:t>shing agent is exempt from prohibited extinguishing agent charging</w:t>
      </w:r>
      <w:r w:rsidR="00CC0502">
        <w:rPr>
          <w:rFonts w:ascii="Times New Roman" w:hAnsi="Times New Roman"/>
          <w:sz w:val="24"/>
          <w:szCs w:val="24"/>
        </w:rPr>
        <w:t xml:space="preserve"> because of </w:t>
      </w:r>
      <w:r w:rsidR="002C3F5E">
        <w:rPr>
          <w:rFonts w:ascii="Times New Roman" w:hAnsi="Times New Roman"/>
          <w:sz w:val="24"/>
          <w:szCs w:val="24"/>
        </w:rPr>
        <w:t xml:space="preserve">the </w:t>
      </w:r>
      <w:r w:rsidR="00CC0502">
        <w:rPr>
          <w:rFonts w:ascii="Times New Roman" w:hAnsi="Times New Roman"/>
          <w:sz w:val="24"/>
          <w:szCs w:val="24"/>
        </w:rPr>
        <w:t>importance of eliminating</w:t>
      </w:r>
      <w:r w:rsidR="002C3F5E">
        <w:rPr>
          <w:rFonts w:ascii="Times New Roman" w:hAnsi="Times New Roman"/>
          <w:sz w:val="24"/>
          <w:szCs w:val="24"/>
        </w:rPr>
        <w:t xml:space="preserve"> the use of ozone depleting substances. </w:t>
      </w:r>
      <w:r w:rsidR="00CC0502">
        <w:rPr>
          <w:rFonts w:ascii="Times New Roman" w:hAnsi="Times New Roman"/>
          <w:sz w:val="24"/>
          <w:szCs w:val="24"/>
        </w:rPr>
        <w:t xml:space="preserve">It is necessary to allow for scenarios where equipment designed to operate using an HCFC is modified to </w:t>
      </w:r>
      <w:r w:rsidR="002C07C1">
        <w:rPr>
          <w:rFonts w:ascii="Times New Roman" w:hAnsi="Times New Roman"/>
          <w:sz w:val="24"/>
          <w:szCs w:val="24"/>
        </w:rPr>
        <w:t>use</w:t>
      </w:r>
      <w:r w:rsidR="00CC0502">
        <w:rPr>
          <w:rFonts w:ascii="Times New Roman" w:hAnsi="Times New Roman"/>
          <w:sz w:val="24"/>
          <w:szCs w:val="24"/>
        </w:rPr>
        <w:t xml:space="preserve"> a newer type GWP extinguishing agent that is a synthetic greenhouse gas but does not damage the ozone layer, so as not to impede Australia’s transition away from the use of HCFCs. </w:t>
      </w:r>
      <w:r w:rsidR="00CC0502">
        <w:rPr>
          <w:rFonts w:ascii="Times New Roman" w:eastAsia="Calibri" w:hAnsi="Times New Roman"/>
          <w:sz w:val="24"/>
          <w:szCs w:val="24"/>
          <w:lang w:eastAsia="en-US"/>
        </w:rPr>
        <w:t xml:space="preserve"> </w:t>
      </w:r>
    </w:p>
    <w:p w14:paraId="63B22B9A" w14:textId="346ED402" w:rsidR="001B5AA4" w:rsidRDefault="003824F6" w:rsidP="00814991">
      <w:pPr>
        <w:spacing w:after="200" w:line="276" w:lineRule="auto"/>
        <w:rPr>
          <w:rFonts w:ascii="Times New Roman" w:hAnsi="Times New Roman"/>
          <w:sz w:val="24"/>
          <w:szCs w:val="24"/>
        </w:rPr>
      </w:pPr>
      <w:proofErr w:type="spellStart"/>
      <w:r w:rsidRPr="0044014C">
        <w:rPr>
          <w:rFonts w:ascii="Times New Roman" w:eastAsia="Calibri" w:hAnsi="Times New Roman"/>
          <w:sz w:val="24"/>
          <w:szCs w:val="24"/>
        </w:rPr>
        <w:t>Subregu</w:t>
      </w:r>
      <w:r w:rsidR="001B5AA4" w:rsidRPr="0044014C">
        <w:rPr>
          <w:rFonts w:ascii="Times New Roman" w:eastAsia="Calibri" w:hAnsi="Times New Roman"/>
          <w:sz w:val="24"/>
          <w:szCs w:val="24"/>
        </w:rPr>
        <w:t>l</w:t>
      </w:r>
      <w:r w:rsidRPr="0044014C">
        <w:rPr>
          <w:rFonts w:ascii="Times New Roman" w:eastAsia="Calibri" w:hAnsi="Times New Roman"/>
          <w:sz w:val="24"/>
          <w:szCs w:val="24"/>
        </w:rPr>
        <w:t>a</w:t>
      </w:r>
      <w:r w:rsidR="001B5AA4" w:rsidRPr="0044014C">
        <w:rPr>
          <w:rFonts w:ascii="Times New Roman" w:eastAsia="Calibri" w:hAnsi="Times New Roman"/>
          <w:sz w:val="24"/>
          <w:szCs w:val="24"/>
        </w:rPr>
        <w:t>tion</w:t>
      </w:r>
      <w:proofErr w:type="spellEnd"/>
      <w:r w:rsidR="001B5AA4" w:rsidRPr="0044014C">
        <w:rPr>
          <w:rFonts w:ascii="Times New Roman" w:eastAsia="Calibri" w:hAnsi="Times New Roman"/>
          <w:sz w:val="24"/>
          <w:szCs w:val="24"/>
        </w:rPr>
        <w:t xml:space="preserve"> </w:t>
      </w:r>
      <w:proofErr w:type="gramStart"/>
      <w:r w:rsidR="001B5AA4" w:rsidRPr="0044014C">
        <w:rPr>
          <w:rFonts w:ascii="Times New Roman" w:eastAsia="Calibri" w:hAnsi="Times New Roman"/>
          <w:sz w:val="24"/>
          <w:szCs w:val="24"/>
        </w:rPr>
        <w:t>2AA</w:t>
      </w:r>
      <w:r w:rsidR="002C69AB">
        <w:rPr>
          <w:rFonts w:ascii="Times New Roman" w:eastAsia="Calibri" w:hAnsi="Times New Roman"/>
          <w:sz w:val="24"/>
          <w:szCs w:val="24"/>
        </w:rPr>
        <w:t>B(</w:t>
      </w:r>
      <w:proofErr w:type="gramEnd"/>
      <w:r w:rsidR="002C69AB">
        <w:rPr>
          <w:rFonts w:ascii="Times New Roman" w:eastAsia="Calibri" w:hAnsi="Times New Roman"/>
          <w:sz w:val="24"/>
          <w:szCs w:val="24"/>
        </w:rPr>
        <w:t xml:space="preserve">2) clarifies the circumstance in which equipment </w:t>
      </w:r>
      <w:r w:rsidR="00145DA7">
        <w:rPr>
          <w:rFonts w:ascii="Times New Roman" w:eastAsia="Calibri" w:hAnsi="Times New Roman"/>
          <w:sz w:val="24"/>
          <w:szCs w:val="24"/>
        </w:rPr>
        <w:t>will</w:t>
      </w:r>
      <w:r w:rsidR="002C69AB">
        <w:rPr>
          <w:rFonts w:ascii="Times New Roman" w:eastAsia="Calibri" w:hAnsi="Times New Roman"/>
          <w:sz w:val="24"/>
          <w:szCs w:val="24"/>
        </w:rPr>
        <w:t xml:space="preserve"> be deemed to be </w:t>
      </w:r>
      <w:r w:rsidR="001B5AA4" w:rsidRPr="0044014C">
        <w:rPr>
          <w:rFonts w:ascii="Times New Roman" w:eastAsia="Calibri" w:hAnsi="Times New Roman"/>
          <w:sz w:val="24"/>
          <w:szCs w:val="24"/>
        </w:rPr>
        <w:t xml:space="preserve">designed to operate </w:t>
      </w:r>
      <w:r w:rsidR="001B5AA4" w:rsidRPr="0044014C">
        <w:rPr>
          <w:rFonts w:ascii="Times New Roman" w:hAnsi="Times New Roman"/>
          <w:sz w:val="24"/>
          <w:szCs w:val="24"/>
        </w:rPr>
        <w:t>solely by using a particular extinguishing agent for the purposes</w:t>
      </w:r>
      <w:r w:rsidR="002C69AB">
        <w:rPr>
          <w:rFonts w:ascii="Times New Roman" w:hAnsi="Times New Roman"/>
          <w:sz w:val="24"/>
          <w:szCs w:val="24"/>
        </w:rPr>
        <w:t xml:space="preserve"> of </w:t>
      </w:r>
      <w:proofErr w:type="spellStart"/>
      <w:r w:rsidR="002C69AB">
        <w:rPr>
          <w:rFonts w:ascii="Times New Roman" w:hAnsi="Times New Roman"/>
          <w:sz w:val="24"/>
          <w:szCs w:val="24"/>
        </w:rPr>
        <w:t>subregulation</w:t>
      </w:r>
      <w:proofErr w:type="spellEnd"/>
      <w:r w:rsidR="002C69AB">
        <w:rPr>
          <w:rFonts w:ascii="Times New Roman" w:hAnsi="Times New Roman"/>
          <w:sz w:val="24"/>
          <w:szCs w:val="24"/>
        </w:rPr>
        <w:t xml:space="preserve"> 2AAB(1). This</w:t>
      </w:r>
      <w:r w:rsidR="001B5AA4" w:rsidRPr="0044014C">
        <w:rPr>
          <w:rFonts w:ascii="Times New Roman" w:hAnsi="Times New Roman"/>
          <w:sz w:val="24"/>
          <w:szCs w:val="24"/>
        </w:rPr>
        <w:t xml:space="preserve"> </w:t>
      </w:r>
      <w:r w:rsidR="002C69AB">
        <w:rPr>
          <w:rFonts w:ascii="Times New Roman" w:hAnsi="Times New Roman"/>
          <w:sz w:val="24"/>
          <w:szCs w:val="24"/>
        </w:rPr>
        <w:t>include</w:t>
      </w:r>
      <w:r w:rsidR="00145DA7">
        <w:rPr>
          <w:rFonts w:ascii="Times New Roman" w:hAnsi="Times New Roman"/>
          <w:sz w:val="24"/>
          <w:szCs w:val="24"/>
        </w:rPr>
        <w:t>s</w:t>
      </w:r>
      <w:r w:rsidR="001B5AA4" w:rsidRPr="0044014C">
        <w:rPr>
          <w:rFonts w:ascii="Times New Roman" w:hAnsi="Times New Roman"/>
          <w:sz w:val="24"/>
          <w:szCs w:val="24"/>
        </w:rPr>
        <w:t xml:space="preserve"> where </w:t>
      </w:r>
      <w:r w:rsidR="0044014C" w:rsidRPr="0044014C">
        <w:rPr>
          <w:rFonts w:ascii="Times New Roman" w:hAnsi="Times New Roman"/>
          <w:sz w:val="24"/>
          <w:szCs w:val="24"/>
        </w:rPr>
        <w:t>documentation, issued by the manufacturer, that relates to the operation of the equipment states that the equipment is desig</w:t>
      </w:r>
      <w:r w:rsidR="00872080">
        <w:rPr>
          <w:rFonts w:ascii="Times New Roman" w:hAnsi="Times New Roman"/>
          <w:sz w:val="24"/>
          <w:szCs w:val="24"/>
        </w:rPr>
        <w:t>ned to operate solely by using a</w:t>
      </w:r>
      <w:r w:rsidR="0044014C" w:rsidRPr="0044014C">
        <w:rPr>
          <w:rFonts w:ascii="Times New Roman" w:hAnsi="Times New Roman"/>
          <w:sz w:val="24"/>
          <w:szCs w:val="24"/>
        </w:rPr>
        <w:t xml:space="preserve"> particular extinguishing agent.</w:t>
      </w:r>
    </w:p>
    <w:p w14:paraId="559361CB" w14:textId="0B74EA92" w:rsidR="002C69AB" w:rsidRDefault="002C69AB" w:rsidP="00814991">
      <w:pPr>
        <w:spacing w:after="200" w:line="276" w:lineRule="auto"/>
        <w:rPr>
          <w:rFonts w:ascii="Times New Roman" w:hAnsi="Times New Roman"/>
          <w:sz w:val="24"/>
          <w:szCs w:val="24"/>
        </w:rPr>
      </w:pPr>
      <w:proofErr w:type="spellStart"/>
      <w:r>
        <w:rPr>
          <w:rFonts w:ascii="Times New Roman" w:hAnsi="Times New Roman"/>
          <w:sz w:val="24"/>
          <w:szCs w:val="24"/>
        </w:rPr>
        <w:lastRenderedPageBreak/>
        <w:t>Subregulation</w:t>
      </w:r>
      <w:proofErr w:type="spellEnd"/>
      <w:r>
        <w:rPr>
          <w:rFonts w:ascii="Times New Roman" w:hAnsi="Times New Roman"/>
          <w:sz w:val="24"/>
          <w:szCs w:val="24"/>
        </w:rPr>
        <w:t xml:space="preserve"> </w:t>
      </w:r>
      <w:proofErr w:type="gramStart"/>
      <w:r>
        <w:rPr>
          <w:rFonts w:ascii="Times New Roman" w:hAnsi="Times New Roman"/>
          <w:sz w:val="24"/>
          <w:szCs w:val="24"/>
        </w:rPr>
        <w:t>2AAB(</w:t>
      </w:r>
      <w:proofErr w:type="gramEnd"/>
      <w:r>
        <w:rPr>
          <w:rFonts w:ascii="Times New Roman" w:hAnsi="Times New Roman"/>
          <w:sz w:val="24"/>
          <w:szCs w:val="24"/>
        </w:rPr>
        <w:t xml:space="preserve">3) </w:t>
      </w:r>
      <w:r w:rsidR="00145DA7">
        <w:rPr>
          <w:rFonts w:ascii="Times New Roman" w:hAnsi="Times New Roman"/>
          <w:sz w:val="24"/>
          <w:szCs w:val="24"/>
        </w:rPr>
        <w:t>specifies</w:t>
      </w:r>
      <w:r w:rsidR="001B5AA4">
        <w:rPr>
          <w:rFonts w:ascii="Times New Roman" w:hAnsi="Times New Roman"/>
          <w:sz w:val="24"/>
          <w:szCs w:val="24"/>
        </w:rPr>
        <w:t xml:space="preserve"> the circumstances in which a person engages in </w:t>
      </w:r>
      <w:r w:rsidR="001B5AA4">
        <w:rPr>
          <w:rFonts w:ascii="Times New Roman" w:hAnsi="Times New Roman"/>
          <w:b/>
          <w:i/>
          <w:sz w:val="24"/>
          <w:szCs w:val="24"/>
        </w:rPr>
        <w:t>prohibited extinguishing agent charging</w:t>
      </w:r>
      <w:r w:rsidR="001B5AA4">
        <w:rPr>
          <w:rFonts w:ascii="Times New Roman" w:hAnsi="Times New Roman"/>
          <w:sz w:val="24"/>
          <w:szCs w:val="24"/>
        </w:rPr>
        <w:t>. This includes where a person charges equipment</w:t>
      </w:r>
      <w:r w:rsidR="00523B33">
        <w:rPr>
          <w:rFonts w:ascii="Times New Roman" w:hAnsi="Times New Roman"/>
          <w:sz w:val="24"/>
          <w:szCs w:val="24"/>
        </w:rPr>
        <w:t>, either by complete replacement or topping up,</w:t>
      </w:r>
      <w:r w:rsidR="001B5AA4">
        <w:rPr>
          <w:rFonts w:ascii="Times New Roman" w:hAnsi="Times New Roman"/>
          <w:sz w:val="24"/>
          <w:szCs w:val="24"/>
        </w:rPr>
        <w:t xml:space="preserve"> with a GWP extinguishing agent (defined in new </w:t>
      </w:r>
      <w:proofErr w:type="spellStart"/>
      <w:r w:rsidR="001B5AA4">
        <w:rPr>
          <w:rFonts w:ascii="Times New Roman" w:hAnsi="Times New Roman"/>
          <w:sz w:val="24"/>
          <w:szCs w:val="24"/>
        </w:rPr>
        <w:t>subregulation</w:t>
      </w:r>
      <w:proofErr w:type="spellEnd"/>
      <w:r w:rsidR="001B5AA4">
        <w:rPr>
          <w:rFonts w:ascii="Times New Roman" w:hAnsi="Times New Roman"/>
          <w:sz w:val="24"/>
          <w:szCs w:val="24"/>
        </w:rPr>
        <w:t xml:space="preserve"> </w:t>
      </w:r>
      <w:proofErr w:type="gramStart"/>
      <w:r w:rsidR="001B5AA4">
        <w:rPr>
          <w:rFonts w:ascii="Times New Roman" w:hAnsi="Times New Roman"/>
          <w:sz w:val="24"/>
          <w:szCs w:val="24"/>
        </w:rPr>
        <w:t>2AAB(</w:t>
      </w:r>
      <w:proofErr w:type="gramEnd"/>
      <w:r w:rsidR="001B5AA4">
        <w:rPr>
          <w:rFonts w:ascii="Times New Roman" w:hAnsi="Times New Roman"/>
          <w:sz w:val="24"/>
          <w:szCs w:val="24"/>
        </w:rPr>
        <w:t>5)) other than the design extinguishing agent and the design extinguishing agent is not a scheduled substance or the design extingui</w:t>
      </w:r>
      <w:r>
        <w:rPr>
          <w:rFonts w:ascii="Times New Roman" w:hAnsi="Times New Roman"/>
          <w:sz w:val="24"/>
          <w:szCs w:val="24"/>
        </w:rPr>
        <w:t>shing agent is a GWP extinguishing agent and the new extinguishing agent</w:t>
      </w:r>
      <w:r w:rsidR="001B5AA4">
        <w:rPr>
          <w:rFonts w:ascii="Times New Roman" w:hAnsi="Times New Roman"/>
          <w:sz w:val="24"/>
          <w:szCs w:val="24"/>
        </w:rPr>
        <w:t xml:space="preserve"> has a higher 100-year global warming potenti</w:t>
      </w:r>
      <w:r>
        <w:rPr>
          <w:rFonts w:ascii="Times New Roman" w:hAnsi="Times New Roman"/>
          <w:sz w:val="24"/>
          <w:szCs w:val="24"/>
        </w:rPr>
        <w:t>al than the design extinguishing</w:t>
      </w:r>
      <w:r w:rsidR="001B5AA4">
        <w:rPr>
          <w:rFonts w:ascii="Times New Roman" w:hAnsi="Times New Roman"/>
          <w:sz w:val="24"/>
          <w:szCs w:val="24"/>
        </w:rPr>
        <w:t xml:space="preserve"> agent. A person does not engage in prohibited extinguishing agent charging if subsection </w:t>
      </w:r>
      <w:proofErr w:type="gramStart"/>
      <w:r w:rsidR="001B5AA4">
        <w:rPr>
          <w:rFonts w:ascii="Times New Roman" w:hAnsi="Times New Roman"/>
          <w:sz w:val="24"/>
          <w:szCs w:val="24"/>
        </w:rPr>
        <w:t>2AAB(</w:t>
      </w:r>
      <w:proofErr w:type="gramEnd"/>
      <w:r w:rsidR="001B5AA4">
        <w:rPr>
          <w:rFonts w:ascii="Times New Roman" w:hAnsi="Times New Roman"/>
          <w:sz w:val="24"/>
          <w:szCs w:val="24"/>
        </w:rPr>
        <w:t xml:space="preserve">4) </w:t>
      </w:r>
      <w:r w:rsidR="00F2682A">
        <w:rPr>
          <w:rFonts w:ascii="Times New Roman" w:hAnsi="Times New Roman"/>
          <w:sz w:val="24"/>
          <w:szCs w:val="24"/>
        </w:rPr>
        <w:t>applies</w:t>
      </w:r>
      <w:r w:rsidR="001B5AA4">
        <w:rPr>
          <w:rFonts w:ascii="Times New Roman" w:hAnsi="Times New Roman"/>
          <w:sz w:val="24"/>
          <w:szCs w:val="24"/>
        </w:rPr>
        <w:t xml:space="preserve">. </w:t>
      </w:r>
    </w:p>
    <w:p w14:paraId="453FAF8D" w14:textId="7BFC2DC1" w:rsidR="001B5AA4" w:rsidRPr="00094898" w:rsidRDefault="001B5AA4" w:rsidP="00814991">
      <w:pPr>
        <w:spacing w:after="200" w:line="276" w:lineRule="auto"/>
        <w:rPr>
          <w:rFonts w:ascii="Times New Roman" w:hAnsi="Times New Roman"/>
          <w:sz w:val="24"/>
          <w:szCs w:val="24"/>
        </w:rPr>
      </w:pPr>
      <w:proofErr w:type="spellStart"/>
      <w:r>
        <w:rPr>
          <w:rFonts w:ascii="Times New Roman" w:hAnsi="Times New Roman"/>
          <w:sz w:val="24"/>
          <w:szCs w:val="24"/>
        </w:rPr>
        <w:t>Subregu</w:t>
      </w:r>
      <w:r w:rsidR="003824F6">
        <w:rPr>
          <w:rFonts w:ascii="Times New Roman" w:hAnsi="Times New Roman"/>
          <w:sz w:val="24"/>
          <w:szCs w:val="24"/>
        </w:rPr>
        <w:t>la</w:t>
      </w:r>
      <w:r>
        <w:rPr>
          <w:rFonts w:ascii="Times New Roman" w:hAnsi="Times New Roman"/>
          <w:sz w:val="24"/>
          <w:szCs w:val="24"/>
        </w:rPr>
        <w:t>tion</w:t>
      </w:r>
      <w:proofErr w:type="spellEnd"/>
      <w:r>
        <w:rPr>
          <w:rFonts w:ascii="Times New Roman" w:hAnsi="Times New Roman"/>
          <w:sz w:val="24"/>
          <w:szCs w:val="24"/>
        </w:rPr>
        <w:t xml:space="preserve"> </w:t>
      </w:r>
      <w:proofErr w:type="gramStart"/>
      <w:r>
        <w:rPr>
          <w:rFonts w:ascii="Times New Roman" w:hAnsi="Times New Roman"/>
          <w:sz w:val="24"/>
          <w:szCs w:val="24"/>
        </w:rPr>
        <w:t>2AAB(</w:t>
      </w:r>
      <w:proofErr w:type="gramEnd"/>
      <w:r>
        <w:rPr>
          <w:rFonts w:ascii="Times New Roman" w:hAnsi="Times New Roman"/>
          <w:sz w:val="24"/>
          <w:szCs w:val="24"/>
        </w:rPr>
        <w:t>4) allow</w:t>
      </w:r>
      <w:r w:rsidR="00145DA7">
        <w:rPr>
          <w:rFonts w:ascii="Times New Roman" w:hAnsi="Times New Roman"/>
          <w:sz w:val="24"/>
          <w:szCs w:val="24"/>
        </w:rPr>
        <w:t>s</w:t>
      </w:r>
      <w:r>
        <w:rPr>
          <w:rFonts w:ascii="Times New Roman" w:hAnsi="Times New Roman"/>
          <w:sz w:val="24"/>
          <w:szCs w:val="24"/>
        </w:rPr>
        <w:t xml:space="preserve"> for an exception where the continued functioning of the equi</w:t>
      </w:r>
      <w:r w:rsidR="002C69AB">
        <w:rPr>
          <w:rFonts w:ascii="Times New Roman" w:hAnsi="Times New Roman"/>
          <w:sz w:val="24"/>
          <w:szCs w:val="24"/>
        </w:rPr>
        <w:t>pment is essential for</w:t>
      </w:r>
      <w:r>
        <w:rPr>
          <w:rFonts w:ascii="Times New Roman" w:hAnsi="Times New Roman"/>
          <w:sz w:val="24"/>
          <w:szCs w:val="24"/>
        </w:rPr>
        <w:t xml:space="preserve"> public safety purposes</w:t>
      </w:r>
      <w:r w:rsidR="002C69AB">
        <w:rPr>
          <w:rFonts w:ascii="Times New Roman" w:hAnsi="Times New Roman"/>
          <w:sz w:val="24"/>
          <w:szCs w:val="24"/>
        </w:rPr>
        <w:t xml:space="preserve"> or to protect critical data or infrastructure that primarily serves the public good</w:t>
      </w:r>
      <w:r>
        <w:rPr>
          <w:rFonts w:ascii="Times New Roman" w:hAnsi="Times New Roman"/>
          <w:sz w:val="24"/>
          <w:szCs w:val="24"/>
        </w:rPr>
        <w:t>, and no extinguishing age</w:t>
      </w:r>
      <w:r w:rsidR="002C69AB">
        <w:rPr>
          <w:rFonts w:ascii="Times New Roman" w:hAnsi="Times New Roman"/>
          <w:sz w:val="24"/>
          <w:szCs w:val="24"/>
        </w:rPr>
        <w:t>nt that is the design extinguishing agent</w:t>
      </w:r>
      <w:r>
        <w:rPr>
          <w:rFonts w:ascii="Times New Roman" w:hAnsi="Times New Roman"/>
          <w:sz w:val="24"/>
          <w:szCs w:val="24"/>
        </w:rPr>
        <w:t xml:space="preserve">, a lower GWP extinguishing agent or an extinguishing agent that is not a GWP extinguishing agent, is available. In these circumstances, prohibited extinguishing agent charging </w:t>
      </w:r>
      <w:r w:rsidR="00145DA7">
        <w:rPr>
          <w:rFonts w:ascii="Times New Roman" w:hAnsi="Times New Roman"/>
          <w:sz w:val="24"/>
          <w:szCs w:val="24"/>
        </w:rPr>
        <w:t>will</w:t>
      </w:r>
      <w:r>
        <w:rPr>
          <w:rFonts w:ascii="Times New Roman" w:hAnsi="Times New Roman"/>
          <w:sz w:val="24"/>
          <w:szCs w:val="24"/>
        </w:rPr>
        <w:t xml:space="preserve"> be taken not to have occurred.</w:t>
      </w:r>
    </w:p>
    <w:p w14:paraId="373E90AF" w14:textId="77777777" w:rsidR="001B5AA4" w:rsidRDefault="001B5AA4" w:rsidP="00814991">
      <w:pPr>
        <w:spacing w:after="200" w:line="276" w:lineRule="auto"/>
        <w:rPr>
          <w:rFonts w:ascii="Times New Roman" w:hAnsi="Times New Roman"/>
          <w:sz w:val="24"/>
          <w:szCs w:val="24"/>
        </w:rPr>
      </w:pPr>
      <w:r>
        <w:rPr>
          <w:rFonts w:ascii="Times New Roman" w:hAnsi="Times New Roman"/>
          <w:sz w:val="24"/>
          <w:szCs w:val="24"/>
        </w:rPr>
        <w:t xml:space="preserve">Item 2 inserts references to the terms </w:t>
      </w:r>
      <w:r>
        <w:rPr>
          <w:rFonts w:ascii="Times New Roman" w:hAnsi="Times New Roman"/>
          <w:b/>
          <w:i/>
          <w:sz w:val="24"/>
          <w:szCs w:val="24"/>
        </w:rPr>
        <w:t>GWP extinguishing agent</w:t>
      </w:r>
      <w:r>
        <w:rPr>
          <w:rFonts w:ascii="Times New Roman" w:hAnsi="Times New Roman"/>
          <w:sz w:val="24"/>
          <w:szCs w:val="24"/>
        </w:rPr>
        <w:t xml:space="preserve"> and </w:t>
      </w:r>
      <w:r>
        <w:rPr>
          <w:rFonts w:ascii="Times New Roman" w:hAnsi="Times New Roman"/>
          <w:b/>
          <w:i/>
          <w:sz w:val="24"/>
          <w:szCs w:val="24"/>
        </w:rPr>
        <w:t xml:space="preserve">prohibited extinguishing agent charging </w:t>
      </w:r>
      <w:r>
        <w:rPr>
          <w:rFonts w:ascii="Times New Roman" w:hAnsi="Times New Roman"/>
          <w:sz w:val="24"/>
          <w:szCs w:val="24"/>
        </w:rPr>
        <w:t>in regulation 2 of the Principal Regulations. These references direct readers to the definition of these terms elsewhere in the Principal Regulations.</w:t>
      </w:r>
    </w:p>
    <w:p w14:paraId="764168F4" w14:textId="5D89E9DF" w:rsidR="001B5AA4" w:rsidRDefault="001B5AA4" w:rsidP="00814991">
      <w:pPr>
        <w:spacing w:after="200" w:line="276" w:lineRule="auto"/>
        <w:rPr>
          <w:rFonts w:ascii="Times New Roman" w:hAnsi="Times New Roman"/>
          <w:sz w:val="24"/>
          <w:szCs w:val="24"/>
        </w:rPr>
      </w:pPr>
      <w:r>
        <w:rPr>
          <w:rFonts w:ascii="Times New Roman" w:hAnsi="Times New Roman"/>
          <w:sz w:val="24"/>
          <w:szCs w:val="24"/>
        </w:rPr>
        <w:t>As stated above, Item 7 insert</w:t>
      </w:r>
      <w:r w:rsidR="00145DA7">
        <w:rPr>
          <w:rFonts w:ascii="Times New Roman" w:hAnsi="Times New Roman"/>
          <w:sz w:val="24"/>
          <w:szCs w:val="24"/>
        </w:rPr>
        <w:t>s</w:t>
      </w:r>
      <w:r>
        <w:rPr>
          <w:rFonts w:ascii="Times New Roman" w:hAnsi="Times New Roman"/>
          <w:sz w:val="24"/>
          <w:szCs w:val="24"/>
        </w:rPr>
        <w:t xml:space="preserve"> a new strict liability offence into the Principal Regulation if a person engages in prohibited extinguishing agent charging (see new </w:t>
      </w:r>
      <w:proofErr w:type="spellStart"/>
      <w:r>
        <w:rPr>
          <w:rFonts w:ascii="Times New Roman" w:hAnsi="Times New Roman"/>
          <w:sz w:val="24"/>
          <w:szCs w:val="24"/>
        </w:rPr>
        <w:t>subregulation</w:t>
      </w:r>
      <w:proofErr w:type="spellEnd"/>
      <w:r>
        <w:rPr>
          <w:rFonts w:ascii="Times New Roman" w:hAnsi="Times New Roman"/>
          <w:sz w:val="24"/>
          <w:szCs w:val="24"/>
        </w:rPr>
        <w:t xml:space="preserve"> 303A(1)). A contravention of this offence has a maximum penalty of 10 penalty units for an individual or 50 penalty units for a body corporate. Application of strict liability to this offence has been set with consideration given to the guidelines regarding the circumstances in which strict liability is appropriate set out in </w:t>
      </w:r>
      <w:r w:rsidRPr="008D4C60">
        <w:rPr>
          <w:rFonts w:ascii="Times New Roman" w:hAnsi="Times New Roman"/>
          <w:i/>
          <w:sz w:val="24"/>
          <w:szCs w:val="24"/>
        </w:rPr>
        <w:t>A Guide to Framing Commonwealth Offences, Civil Penalties and Enforcement Powers</w:t>
      </w:r>
      <w:r w:rsidRPr="008D4C60">
        <w:rPr>
          <w:rFonts w:ascii="Times New Roman" w:hAnsi="Times New Roman"/>
          <w:sz w:val="24"/>
          <w:szCs w:val="24"/>
        </w:rPr>
        <w:t xml:space="preserve">. </w:t>
      </w:r>
      <w:r>
        <w:rPr>
          <w:rFonts w:ascii="Times New Roman" w:hAnsi="Times New Roman"/>
          <w:sz w:val="24"/>
          <w:szCs w:val="24"/>
        </w:rPr>
        <w:t>This offence is necessary to ensure compliance with Australia’s obligations under the Montreal Protocol. The use of strict liability for this offence is necessary to ensure the integrity of the established regulatory regime to prevent environmental harm.</w:t>
      </w:r>
    </w:p>
    <w:p w14:paraId="4664619C" w14:textId="54872357" w:rsidR="001B5AA4" w:rsidRDefault="001B5AA4" w:rsidP="00814991">
      <w:pPr>
        <w:spacing w:after="200" w:line="276" w:lineRule="auto"/>
        <w:rPr>
          <w:rFonts w:ascii="Times New Roman" w:hAnsi="Times New Roman"/>
          <w:sz w:val="24"/>
          <w:szCs w:val="24"/>
        </w:rPr>
      </w:pPr>
      <w:r>
        <w:rPr>
          <w:rFonts w:ascii="Times New Roman" w:hAnsi="Times New Roman"/>
          <w:sz w:val="24"/>
          <w:szCs w:val="24"/>
        </w:rPr>
        <w:t xml:space="preserve">New </w:t>
      </w:r>
      <w:proofErr w:type="spellStart"/>
      <w:r>
        <w:rPr>
          <w:rFonts w:ascii="Times New Roman" w:hAnsi="Times New Roman"/>
          <w:sz w:val="24"/>
          <w:szCs w:val="24"/>
        </w:rPr>
        <w:t>subregulation</w:t>
      </w:r>
      <w:proofErr w:type="spellEnd"/>
      <w:r>
        <w:rPr>
          <w:rFonts w:ascii="Times New Roman" w:hAnsi="Times New Roman"/>
          <w:sz w:val="24"/>
          <w:szCs w:val="24"/>
        </w:rPr>
        <w:t xml:space="preserve"> </w:t>
      </w:r>
      <w:proofErr w:type="gramStart"/>
      <w:r>
        <w:rPr>
          <w:rFonts w:ascii="Times New Roman" w:hAnsi="Times New Roman"/>
          <w:sz w:val="24"/>
          <w:szCs w:val="24"/>
        </w:rPr>
        <w:t>303A(</w:t>
      </w:r>
      <w:proofErr w:type="gramEnd"/>
      <w:r>
        <w:rPr>
          <w:rFonts w:ascii="Times New Roman" w:hAnsi="Times New Roman"/>
          <w:sz w:val="24"/>
          <w:szCs w:val="24"/>
        </w:rPr>
        <w:t xml:space="preserve">2) </w:t>
      </w:r>
      <w:r w:rsidR="00145DA7">
        <w:rPr>
          <w:rFonts w:ascii="Times New Roman" w:hAnsi="Times New Roman"/>
          <w:sz w:val="24"/>
          <w:szCs w:val="24"/>
        </w:rPr>
        <w:t>clarifies</w:t>
      </w:r>
      <w:r>
        <w:rPr>
          <w:rFonts w:ascii="Times New Roman" w:hAnsi="Times New Roman"/>
          <w:sz w:val="24"/>
          <w:szCs w:val="24"/>
        </w:rPr>
        <w:t xml:space="preserve"> that, for the purposes of the offence in </w:t>
      </w:r>
      <w:proofErr w:type="spellStart"/>
      <w:r>
        <w:rPr>
          <w:rFonts w:ascii="Times New Roman" w:hAnsi="Times New Roman"/>
          <w:sz w:val="24"/>
          <w:szCs w:val="24"/>
        </w:rPr>
        <w:t>subregulation</w:t>
      </w:r>
      <w:proofErr w:type="spellEnd"/>
      <w:r>
        <w:rPr>
          <w:rFonts w:ascii="Times New Roman" w:hAnsi="Times New Roman"/>
          <w:sz w:val="24"/>
          <w:szCs w:val="24"/>
        </w:rPr>
        <w:t xml:space="preserve"> 303A(1), the exceptio</w:t>
      </w:r>
      <w:r w:rsidR="002C69AB">
        <w:rPr>
          <w:rFonts w:ascii="Times New Roman" w:hAnsi="Times New Roman"/>
          <w:sz w:val="24"/>
          <w:szCs w:val="24"/>
        </w:rPr>
        <w:t xml:space="preserve">n outlined in </w:t>
      </w:r>
      <w:proofErr w:type="spellStart"/>
      <w:r w:rsidR="002C69AB">
        <w:rPr>
          <w:rFonts w:ascii="Times New Roman" w:hAnsi="Times New Roman"/>
          <w:sz w:val="24"/>
          <w:szCs w:val="24"/>
        </w:rPr>
        <w:t>subregulation</w:t>
      </w:r>
      <w:proofErr w:type="spellEnd"/>
      <w:r w:rsidR="002C69AB">
        <w:rPr>
          <w:rFonts w:ascii="Times New Roman" w:hAnsi="Times New Roman"/>
          <w:sz w:val="24"/>
          <w:szCs w:val="24"/>
        </w:rPr>
        <w:t xml:space="preserve"> 2AAB</w:t>
      </w:r>
      <w:r>
        <w:rPr>
          <w:rFonts w:ascii="Times New Roman" w:hAnsi="Times New Roman"/>
          <w:sz w:val="24"/>
          <w:szCs w:val="24"/>
        </w:rPr>
        <w:t>(4), where the continued functionin</w:t>
      </w:r>
      <w:r w:rsidR="002C69AB">
        <w:rPr>
          <w:rFonts w:ascii="Times New Roman" w:hAnsi="Times New Roman"/>
          <w:sz w:val="24"/>
          <w:szCs w:val="24"/>
        </w:rPr>
        <w:t>g of equipment is essential for</w:t>
      </w:r>
      <w:r>
        <w:rPr>
          <w:rFonts w:ascii="Times New Roman" w:hAnsi="Times New Roman"/>
          <w:sz w:val="24"/>
          <w:szCs w:val="24"/>
        </w:rPr>
        <w:t xml:space="preserve"> public safety purposes</w:t>
      </w:r>
      <w:r w:rsidR="002C69AB">
        <w:rPr>
          <w:rFonts w:ascii="Times New Roman" w:hAnsi="Times New Roman"/>
          <w:sz w:val="24"/>
          <w:szCs w:val="24"/>
        </w:rPr>
        <w:t xml:space="preserve"> or to protect critical data or infrastructure that primarily serves the public good</w:t>
      </w:r>
      <w:r>
        <w:rPr>
          <w:rFonts w:ascii="Times New Roman" w:hAnsi="Times New Roman"/>
          <w:sz w:val="24"/>
          <w:szCs w:val="24"/>
        </w:rPr>
        <w:t xml:space="preserve">, </w:t>
      </w:r>
      <w:r w:rsidR="00145DA7">
        <w:rPr>
          <w:rFonts w:ascii="Times New Roman" w:hAnsi="Times New Roman"/>
          <w:sz w:val="24"/>
          <w:szCs w:val="24"/>
        </w:rPr>
        <w:t>will</w:t>
      </w:r>
      <w:r>
        <w:rPr>
          <w:rFonts w:ascii="Times New Roman" w:hAnsi="Times New Roman"/>
          <w:sz w:val="24"/>
          <w:szCs w:val="24"/>
        </w:rPr>
        <w:t xml:space="preserve"> not be taken to apply unless the evidence is adduced to the contrary.</w:t>
      </w:r>
    </w:p>
    <w:p w14:paraId="14017903" w14:textId="31256BCD" w:rsidR="001B5AA4" w:rsidRPr="004E745F" w:rsidRDefault="001B5AA4" w:rsidP="00814991">
      <w:pPr>
        <w:spacing w:after="200" w:line="276" w:lineRule="auto"/>
        <w:rPr>
          <w:rFonts w:ascii="Times New Roman" w:hAnsi="Times New Roman"/>
          <w:sz w:val="24"/>
          <w:szCs w:val="24"/>
        </w:rPr>
      </w:pPr>
      <w:r>
        <w:rPr>
          <w:rFonts w:ascii="Times New Roman" w:eastAsia="Calibri" w:hAnsi="Times New Roman"/>
          <w:sz w:val="24"/>
          <w:szCs w:val="24"/>
          <w:lang w:eastAsia="en-US"/>
        </w:rPr>
        <w:t xml:space="preserve">Items 8, 9 and 11 are required as a consequence of Item 4. </w:t>
      </w:r>
      <w:proofErr w:type="spellStart"/>
      <w:r>
        <w:rPr>
          <w:rFonts w:ascii="Times New Roman" w:hAnsi="Times New Roman"/>
          <w:sz w:val="24"/>
          <w:szCs w:val="24"/>
        </w:rPr>
        <w:t>Subregulation</w:t>
      </w:r>
      <w:proofErr w:type="spellEnd"/>
      <w:r>
        <w:rPr>
          <w:rFonts w:ascii="Times New Roman" w:hAnsi="Times New Roman"/>
          <w:sz w:val="24"/>
          <w:szCs w:val="24"/>
        </w:rPr>
        <w:t xml:space="preserve"> 326(1) and </w:t>
      </w:r>
      <w:proofErr w:type="spellStart"/>
      <w:r>
        <w:rPr>
          <w:rFonts w:ascii="Times New Roman" w:hAnsi="Times New Roman"/>
          <w:sz w:val="24"/>
          <w:szCs w:val="24"/>
        </w:rPr>
        <w:t>subregulation</w:t>
      </w:r>
      <w:proofErr w:type="spellEnd"/>
      <w:r>
        <w:rPr>
          <w:rFonts w:ascii="Times New Roman" w:hAnsi="Times New Roman"/>
          <w:sz w:val="24"/>
          <w:szCs w:val="24"/>
        </w:rPr>
        <w:t xml:space="preserve"> 332(1) of the Principal Regulations set out a number of conditions which the holder of an extinguishing agent handling licence or an extinguishing agent trading authorisation, respectively, must not contravene. Items 8 and 9 amend those subsections to impose an additional condition that the licensee or holder of the autho</w:t>
      </w:r>
      <w:r w:rsidR="00F2682A">
        <w:rPr>
          <w:rFonts w:ascii="Times New Roman" w:hAnsi="Times New Roman"/>
          <w:sz w:val="24"/>
          <w:szCs w:val="24"/>
        </w:rPr>
        <w:t>risation does not engage in pro</w:t>
      </w:r>
      <w:r>
        <w:rPr>
          <w:rFonts w:ascii="Times New Roman" w:hAnsi="Times New Roman"/>
          <w:sz w:val="24"/>
          <w:szCs w:val="24"/>
        </w:rPr>
        <w:t>hi</w:t>
      </w:r>
      <w:r w:rsidR="00F2682A">
        <w:rPr>
          <w:rFonts w:ascii="Times New Roman" w:hAnsi="Times New Roman"/>
          <w:sz w:val="24"/>
          <w:szCs w:val="24"/>
        </w:rPr>
        <w:t>bi</w:t>
      </w:r>
      <w:r>
        <w:rPr>
          <w:rFonts w:ascii="Times New Roman" w:hAnsi="Times New Roman"/>
          <w:sz w:val="24"/>
          <w:szCs w:val="24"/>
        </w:rPr>
        <w:t>te</w:t>
      </w:r>
      <w:r w:rsidR="00F2682A">
        <w:rPr>
          <w:rFonts w:ascii="Times New Roman" w:hAnsi="Times New Roman"/>
          <w:sz w:val="24"/>
          <w:szCs w:val="24"/>
        </w:rPr>
        <w:t xml:space="preserve">d extinguishing agent charging. </w:t>
      </w:r>
      <w:r>
        <w:rPr>
          <w:rFonts w:ascii="Times New Roman" w:hAnsi="Times New Roman"/>
          <w:sz w:val="24"/>
          <w:szCs w:val="24"/>
        </w:rPr>
        <w:t xml:space="preserve">An extinguishing agent trading authorisation holder </w:t>
      </w:r>
      <w:r w:rsidR="00145DA7">
        <w:rPr>
          <w:rFonts w:ascii="Times New Roman" w:hAnsi="Times New Roman"/>
          <w:sz w:val="24"/>
          <w:szCs w:val="24"/>
        </w:rPr>
        <w:t>will</w:t>
      </w:r>
      <w:r>
        <w:rPr>
          <w:rFonts w:ascii="Times New Roman" w:hAnsi="Times New Roman"/>
          <w:sz w:val="24"/>
          <w:szCs w:val="24"/>
        </w:rPr>
        <w:t xml:space="preserve"> be considered to have engaged in prohibited extinguishing agent charging if they directed a contractor or employee (whether or not that person holds an extinguishing agent handling licence) working under the extinguishing agent trading authorisation to perform prohibited extinguishing agent charging.</w:t>
      </w:r>
    </w:p>
    <w:p w14:paraId="178C2BAE" w14:textId="6660CC0F" w:rsidR="001B5AA4" w:rsidRPr="00476C09" w:rsidRDefault="001B5AA4" w:rsidP="00814991">
      <w:pPr>
        <w:spacing w:after="200" w:line="276" w:lineRule="auto"/>
        <w:rPr>
          <w:rFonts w:ascii="Times New Roman" w:eastAsia="Calibri" w:hAnsi="Times New Roman"/>
          <w:sz w:val="24"/>
          <w:szCs w:val="24"/>
          <w:lang w:eastAsia="en-US"/>
        </w:rPr>
      </w:pPr>
      <w:r>
        <w:rPr>
          <w:rFonts w:ascii="Times New Roman" w:hAnsi="Times New Roman"/>
          <w:sz w:val="24"/>
          <w:szCs w:val="24"/>
        </w:rPr>
        <w:t>Item 11 amend</w:t>
      </w:r>
      <w:r w:rsidR="00145DA7">
        <w:rPr>
          <w:rFonts w:ascii="Times New Roman" w:hAnsi="Times New Roman"/>
          <w:sz w:val="24"/>
          <w:szCs w:val="24"/>
        </w:rPr>
        <w:t>s</w:t>
      </w:r>
      <w:r>
        <w:rPr>
          <w:rFonts w:ascii="Times New Roman" w:hAnsi="Times New Roman"/>
          <w:sz w:val="24"/>
          <w:szCs w:val="24"/>
        </w:rPr>
        <w:t xml:space="preserve"> regulation 906A to specify the new offence at </w:t>
      </w:r>
      <w:proofErr w:type="spellStart"/>
      <w:r>
        <w:rPr>
          <w:rFonts w:ascii="Times New Roman" w:hAnsi="Times New Roman"/>
          <w:sz w:val="24"/>
          <w:szCs w:val="24"/>
        </w:rPr>
        <w:t>subregulation</w:t>
      </w:r>
      <w:proofErr w:type="spellEnd"/>
      <w:r>
        <w:rPr>
          <w:rFonts w:ascii="Times New Roman" w:hAnsi="Times New Roman"/>
          <w:sz w:val="24"/>
          <w:szCs w:val="24"/>
        </w:rPr>
        <w:t xml:space="preserve"> </w:t>
      </w:r>
      <w:proofErr w:type="gramStart"/>
      <w:r>
        <w:rPr>
          <w:rFonts w:ascii="Times New Roman" w:hAnsi="Times New Roman"/>
          <w:sz w:val="24"/>
          <w:szCs w:val="24"/>
        </w:rPr>
        <w:t>303A(</w:t>
      </w:r>
      <w:proofErr w:type="gramEnd"/>
      <w:r>
        <w:rPr>
          <w:rFonts w:ascii="Times New Roman" w:hAnsi="Times New Roman"/>
          <w:sz w:val="24"/>
          <w:szCs w:val="24"/>
        </w:rPr>
        <w:t>1) as an infringement notice offence.</w:t>
      </w:r>
    </w:p>
    <w:p w14:paraId="77745F8A" w14:textId="3A19D88E" w:rsidR="001B5AA4" w:rsidRDefault="001B5AA4" w:rsidP="00814991">
      <w:pPr>
        <w:spacing w:after="200" w:line="276" w:lineRule="auto"/>
        <w:rPr>
          <w:rFonts w:ascii="Times New Roman" w:hAnsi="Times New Roman"/>
          <w:sz w:val="24"/>
          <w:szCs w:val="24"/>
        </w:rPr>
      </w:pPr>
      <w:r>
        <w:rPr>
          <w:rFonts w:ascii="Times New Roman" w:hAnsi="Times New Roman"/>
          <w:sz w:val="24"/>
          <w:szCs w:val="24"/>
        </w:rPr>
        <w:lastRenderedPageBreak/>
        <w:t>Item 1 insert</w:t>
      </w:r>
      <w:r w:rsidR="00145DA7">
        <w:rPr>
          <w:rFonts w:ascii="Times New Roman" w:hAnsi="Times New Roman"/>
          <w:sz w:val="24"/>
          <w:szCs w:val="24"/>
        </w:rPr>
        <w:t>s</w:t>
      </w:r>
      <w:r>
        <w:rPr>
          <w:rFonts w:ascii="Times New Roman" w:hAnsi="Times New Roman"/>
          <w:sz w:val="24"/>
          <w:szCs w:val="24"/>
        </w:rPr>
        <w:t xml:space="preserve"> a note after the heading to regulation 2 to clarify that a number of expressions used in the Regulations are defined in the Act, including 100-year global warming potential.</w:t>
      </w:r>
    </w:p>
    <w:p w14:paraId="46822D37" w14:textId="6110F141" w:rsidR="001B5AA4" w:rsidRPr="004E745F" w:rsidRDefault="001B5AA4" w:rsidP="00814991">
      <w:pPr>
        <w:spacing w:after="200" w:line="276" w:lineRule="auto"/>
        <w:rPr>
          <w:rFonts w:ascii="Times New Roman" w:hAnsi="Times New Roman"/>
          <w:sz w:val="24"/>
          <w:szCs w:val="24"/>
        </w:rPr>
      </w:pPr>
      <w:r>
        <w:rPr>
          <w:rFonts w:ascii="Times New Roman" w:hAnsi="Times New Roman"/>
          <w:sz w:val="24"/>
          <w:szCs w:val="24"/>
        </w:rPr>
        <w:t>Item 2 also include</w:t>
      </w:r>
      <w:r w:rsidR="00145DA7">
        <w:rPr>
          <w:rFonts w:ascii="Times New Roman" w:hAnsi="Times New Roman"/>
          <w:sz w:val="24"/>
          <w:szCs w:val="24"/>
        </w:rPr>
        <w:t>s</w:t>
      </w:r>
      <w:r>
        <w:rPr>
          <w:rFonts w:ascii="Times New Roman" w:hAnsi="Times New Roman"/>
          <w:sz w:val="24"/>
          <w:szCs w:val="24"/>
        </w:rPr>
        <w:t xml:space="preserve"> references to the terms </w:t>
      </w:r>
      <w:r>
        <w:rPr>
          <w:rFonts w:ascii="Times New Roman" w:hAnsi="Times New Roman"/>
          <w:b/>
          <w:i/>
          <w:sz w:val="24"/>
          <w:szCs w:val="24"/>
        </w:rPr>
        <w:t xml:space="preserve">extinguishing agent </w:t>
      </w:r>
      <w:r>
        <w:rPr>
          <w:rFonts w:ascii="Times New Roman" w:hAnsi="Times New Roman"/>
          <w:sz w:val="24"/>
          <w:szCs w:val="24"/>
        </w:rPr>
        <w:t xml:space="preserve">and </w:t>
      </w:r>
      <w:r>
        <w:rPr>
          <w:rFonts w:ascii="Times New Roman" w:hAnsi="Times New Roman"/>
          <w:b/>
          <w:i/>
          <w:sz w:val="24"/>
          <w:szCs w:val="24"/>
        </w:rPr>
        <w:t xml:space="preserve">fire protection equipment </w:t>
      </w:r>
      <w:r>
        <w:rPr>
          <w:rFonts w:ascii="Times New Roman" w:hAnsi="Times New Roman"/>
          <w:sz w:val="24"/>
          <w:szCs w:val="24"/>
        </w:rPr>
        <w:t>in regulation 2 of the Principal Regulations. These references direct readers to the definition of these terms elsewhere in the Principal Regulations.</w:t>
      </w:r>
    </w:p>
    <w:p w14:paraId="1103D1D9" w14:textId="77777777" w:rsidR="001B5AA4" w:rsidRDefault="001B5AA4" w:rsidP="00814991">
      <w:pPr>
        <w:spacing w:after="240" w:line="276" w:lineRule="auto"/>
        <w:rPr>
          <w:rFonts w:ascii="Times New Roman" w:hAnsi="Times New Roman"/>
          <w:b/>
          <w:sz w:val="24"/>
          <w:szCs w:val="24"/>
        </w:rPr>
      </w:pPr>
      <w:r>
        <w:rPr>
          <w:rFonts w:ascii="Times New Roman" w:hAnsi="Times New Roman"/>
          <w:b/>
          <w:sz w:val="24"/>
          <w:szCs w:val="24"/>
        </w:rPr>
        <w:t>Division 2 – Other amendments</w:t>
      </w:r>
    </w:p>
    <w:p w14:paraId="4DD73139" w14:textId="0305EA84" w:rsidR="001B5AA4" w:rsidRDefault="00145DA7" w:rsidP="00814991">
      <w:pPr>
        <w:spacing w:after="200"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Item 12</w:t>
      </w:r>
      <w:r w:rsidR="001B5AA4" w:rsidRPr="00921AC3">
        <w:rPr>
          <w:rFonts w:ascii="Times New Roman" w:eastAsia="Calibri" w:hAnsi="Times New Roman"/>
          <w:sz w:val="24"/>
          <w:szCs w:val="24"/>
          <w:lang w:eastAsia="en-US"/>
        </w:rPr>
        <w:t xml:space="preserve"> amend</w:t>
      </w:r>
      <w:r>
        <w:rPr>
          <w:rFonts w:ascii="Times New Roman" w:eastAsia="Calibri" w:hAnsi="Times New Roman"/>
          <w:sz w:val="24"/>
          <w:szCs w:val="24"/>
          <w:lang w:eastAsia="en-US"/>
        </w:rPr>
        <w:t>s</w:t>
      </w:r>
      <w:r w:rsidR="001B5AA4" w:rsidRPr="00921AC3">
        <w:rPr>
          <w:rFonts w:ascii="Times New Roman" w:eastAsia="Calibri" w:hAnsi="Times New Roman"/>
          <w:sz w:val="24"/>
          <w:szCs w:val="24"/>
          <w:lang w:eastAsia="en-US"/>
        </w:rPr>
        <w:t xml:space="preserve"> the definition of RAC equipment </w:t>
      </w:r>
      <w:r w:rsidR="004F30DB">
        <w:rPr>
          <w:rFonts w:ascii="Times New Roman" w:eastAsia="Calibri" w:hAnsi="Times New Roman"/>
          <w:sz w:val="24"/>
          <w:szCs w:val="24"/>
          <w:lang w:eastAsia="en-US"/>
        </w:rPr>
        <w:t>(or refrigeration and air conditioning equipment)</w:t>
      </w:r>
      <w:r w:rsidR="00B83E71">
        <w:rPr>
          <w:rFonts w:ascii="Times New Roman" w:eastAsia="Calibri" w:hAnsi="Times New Roman"/>
          <w:sz w:val="24"/>
          <w:szCs w:val="24"/>
          <w:lang w:eastAsia="en-US"/>
        </w:rPr>
        <w:t xml:space="preserve"> </w:t>
      </w:r>
      <w:r w:rsidR="001B5AA4" w:rsidRPr="00921AC3">
        <w:rPr>
          <w:rFonts w:ascii="Times New Roman" w:eastAsia="Calibri" w:hAnsi="Times New Roman"/>
          <w:sz w:val="24"/>
          <w:szCs w:val="24"/>
          <w:lang w:eastAsia="en-US"/>
        </w:rPr>
        <w:t xml:space="preserve">in regulation 110 of the Principal Regulations to make it clear that references in Division 6A.2 of the Principal Regulations to RAC equipment includes references to equipment that uses any or all of CFC, HCFC, HFC, PFC and halon. This </w:t>
      </w:r>
      <w:r>
        <w:rPr>
          <w:rFonts w:ascii="Times New Roman" w:eastAsia="Calibri" w:hAnsi="Times New Roman"/>
          <w:sz w:val="24"/>
          <w:szCs w:val="24"/>
          <w:lang w:eastAsia="en-US"/>
        </w:rPr>
        <w:t>will</w:t>
      </w:r>
      <w:r w:rsidR="001B5AA4" w:rsidRPr="00921AC3">
        <w:rPr>
          <w:rFonts w:ascii="Times New Roman" w:eastAsia="Calibri" w:hAnsi="Times New Roman"/>
          <w:sz w:val="24"/>
          <w:szCs w:val="24"/>
          <w:lang w:eastAsia="en-US"/>
        </w:rPr>
        <w:t xml:space="preserve"> make i</w:t>
      </w:r>
      <w:r w:rsidR="00F2682A">
        <w:rPr>
          <w:rFonts w:ascii="Times New Roman" w:eastAsia="Calibri" w:hAnsi="Times New Roman"/>
          <w:sz w:val="24"/>
          <w:szCs w:val="24"/>
          <w:lang w:eastAsia="en-US"/>
        </w:rPr>
        <w:t>t clear that Division 6A.2 applies</w:t>
      </w:r>
      <w:r w:rsidR="001B5AA4" w:rsidRPr="00921AC3">
        <w:rPr>
          <w:rFonts w:ascii="Times New Roman" w:eastAsia="Calibri" w:hAnsi="Times New Roman"/>
          <w:sz w:val="24"/>
          <w:szCs w:val="24"/>
          <w:lang w:eastAsia="en-US"/>
        </w:rPr>
        <w:t xml:space="preserve"> only to equipment that contain</w:t>
      </w:r>
      <w:r w:rsidR="00F2682A">
        <w:rPr>
          <w:rFonts w:ascii="Times New Roman" w:eastAsia="Calibri" w:hAnsi="Times New Roman"/>
          <w:sz w:val="24"/>
          <w:szCs w:val="24"/>
          <w:lang w:eastAsia="en-US"/>
        </w:rPr>
        <w:t>s</w:t>
      </w:r>
      <w:r w:rsidR="001B5AA4" w:rsidRPr="00921AC3">
        <w:rPr>
          <w:rFonts w:ascii="Times New Roman" w:eastAsia="Calibri" w:hAnsi="Times New Roman"/>
          <w:sz w:val="24"/>
          <w:szCs w:val="24"/>
          <w:lang w:eastAsia="en-US"/>
        </w:rPr>
        <w:t xml:space="preserve"> or use</w:t>
      </w:r>
      <w:r w:rsidR="00F2682A">
        <w:rPr>
          <w:rFonts w:ascii="Times New Roman" w:eastAsia="Calibri" w:hAnsi="Times New Roman"/>
          <w:sz w:val="24"/>
          <w:szCs w:val="24"/>
          <w:lang w:eastAsia="en-US"/>
        </w:rPr>
        <w:t>s</w:t>
      </w:r>
      <w:r w:rsidR="001B5AA4" w:rsidRPr="00921AC3">
        <w:rPr>
          <w:rFonts w:ascii="Times New Roman" w:eastAsia="Calibri" w:hAnsi="Times New Roman"/>
          <w:sz w:val="24"/>
          <w:szCs w:val="24"/>
          <w:lang w:eastAsia="en-US"/>
        </w:rPr>
        <w:t xml:space="preserve"> those particular scheduled substances, and that equipment that does not contain </w:t>
      </w:r>
      <w:r w:rsidR="00F2682A">
        <w:rPr>
          <w:rFonts w:ascii="Times New Roman" w:eastAsia="Calibri" w:hAnsi="Times New Roman"/>
          <w:sz w:val="24"/>
          <w:szCs w:val="24"/>
          <w:lang w:eastAsia="en-US"/>
        </w:rPr>
        <w:t xml:space="preserve">or use </w:t>
      </w:r>
      <w:r w:rsidR="001B5AA4" w:rsidRPr="00921AC3">
        <w:rPr>
          <w:rFonts w:ascii="Times New Roman" w:eastAsia="Calibri" w:hAnsi="Times New Roman"/>
          <w:sz w:val="24"/>
          <w:szCs w:val="24"/>
          <w:lang w:eastAsia="en-US"/>
        </w:rPr>
        <w:t>those scheduled substances is not considered to be RAC equipment for the purposes of Division 6A.2.</w:t>
      </w:r>
    </w:p>
    <w:p w14:paraId="3BF61605" w14:textId="6917F090" w:rsidR="00A16073" w:rsidRDefault="00A16073" w:rsidP="00814991">
      <w:pPr>
        <w:pStyle w:val="CommentText"/>
        <w:spacing w:after="200" w:line="276" w:lineRule="auto"/>
        <w:rPr>
          <w:rFonts w:ascii="Times New Roman" w:hAnsi="Times New Roman"/>
          <w:sz w:val="24"/>
          <w:szCs w:val="24"/>
        </w:rPr>
      </w:pPr>
      <w:r>
        <w:rPr>
          <w:rFonts w:ascii="Times New Roman" w:hAnsi="Times New Roman"/>
          <w:sz w:val="24"/>
          <w:szCs w:val="24"/>
        </w:rPr>
        <w:t xml:space="preserve">Item </w:t>
      </w:r>
      <w:r w:rsidR="00351D3C">
        <w:rPr>
          <w:rFonts w:ascii="Times New Roman" w:hAnsi="Times New Roman"/>
          <w:sz w:val="24"/>
          <w:szCs w:val="24"/>
        </w:rPr>
        <w:t>13</w:t>
      </w:r>
      <w:r>
        <w:rPr>
          <w:rFonts w:ascii="Times New Roman" w:hAnsi="Times New Roman"/>
          <w:sz w:val="24"/>
          <w:szCs w:val="24"/>
        </w:rPr>
        <w:t xml:space="preserve"> </w:t>
      </w:r>
      <w:r w:rsidR="00145DA7">
        <w:rPr>
          <w:rFonts w:ascii="Times New Roman" w:hAnsi="Times New Roman"/>
          <w:sz w:val="24"/>
          <w:szCs w:val="24"/>
        </w:rPr>
        <w:t>corrects</w:t>
      </w:r>
      <w:r>
        <w:rPr>
          <w:rFonts w:ascii="Times New Roman" w:hAnsi="Times New Roman"/>
          <w:sz w:val="24"/>
          <w:szCs w:val="24"/>
        </w:rPr>
        <w:t xml:space="preserve"> the reference in subparagraph 123(a</w:t>
      </w:r>
      <w:proofErr w:type="gramStart"/>
      <w:r>
        <w:rPr>
          <w:rFonts w:ascii="Times New Roman" w:hAnsi="Times New Roman"/>
          <w:sz w:val="24"/>
          <w:szCs w:val="24"/>
        </w:rPr>
        <w:t>)(</w:t>
      </w:r>
      <w:proofErr w:type="gramEnd"/>
      <w:r>
        <w:rPr>
          <w:rFonts w:ascii="Times New Roman" w:hAnsi="Times New Roman"/>
          <w:sz w:val="24"/>
          <w:szCs w:val="24"/>
        </w:rPr>
        <w:t>c) to refer to work covered by the “permit” rather than work covered by the “licence”.</w:t>
      </w:r>
    </w:p>
    <w:p w14:paraId="2C266AEB" w14:textId="5A81BA37" w:rsidR="001B5AA4" w:rsidRPr="00921AC3" w:rsidRDefault="001B5AA4" w:rsidP="00814991">
      <w:pPr>
        <w:spacing w:after="200" w:line="276" w:lineRule="auto"/>
        <w:rPr>
          <w:rFonts w:ascii="Times New Roman" w:eastAsia="Calibri" w:hAnsi="Times New Roman"/>
          <w:sz w:val="24"/>
          <w:szCs w:val="24"/>
          <w:lang w:eastAsia="en-US"/>
        </w:rPr>
      </w:pPr>
      <w:r w:rsidRPr="00921AC3">
        <w:rPr>
          <w:rFonts w:ascii="Times New Roman" w:eastAsia="Calibri" w:hAnsi="Times New Roman"/>
          <w:sz w:val="24"/>
          <w:szCs w:val="24"/>
          <w:lang w:eastAsia="en-US"/>
        </w:rPr>
        <w:t xml:space="preserve">Item </w:t>
      </w:r>
      <w:r w:rsidR="00351D3C">
        <w:rPr>
          <w:rFonts w:ascii="Times New Roman" w:eastAsia="Calibri" w:hAnsi="Times New Roman"/>
          <w:sz w:val="24"/>
          <w:szCs w:val="24"/>
          <w:lang w:eastAsia="en-US"/>
        </w:rPr>
        <w:t>14</w:t>
      </w:r>
      <w:r w:rsidRPr="00921AC3">
        <w:rPr>
          <w:rFonts w:ascii="Times New Roman" w:eastAsia="Calibri" w:hAnsi="Times New Roman"/>
          <w:sz w:val="24"/>
          <w:szCs w:val="24"/>
          <w:lang w:eastAsia="en-US"/>
        </w:rPr>
        <w:t xml:space="preserve"> amend</w:t>
      </w:r>
      <w:r w:rsidR="00145DA7">
        <w:rPr>
          <w:rFonts w:ascii="Times New Roman" w:eastAsia="Calibri" w:hAnsi="Times New Roman"/>
          <w:sz w:val="24"/>
          <w:szCs w:val="24"/>
          <w:lang w:eastAsia="en-US"/>
        </w:rPr>
        <w:t>s</w:t>
      </w:r>
      <w:r w:rsidRPr="00921AC3">
        <w:rPr>
          <w:rFonts w:ascii="Times New Roman" w:eastAsia="Calibri" w:hAnsi="Times New Roman"/>
          <w:sz w:val="24"/>
          <w:szCs w:val="24"/>
          <w:lang w:eastAsia="en-US"/>
        </w:rPr>
        <w:t xml:space="preserve"> paragraphs 140(3</w:t>
      </w:r>
      <w:proofErr w:type="gramStart"/>
      <w:r w:rsidRPr="00921AC3">
        <w:rPr>
          <w:rFonts w:ascii="Times New Roman" w:eastAsia="Calibri" w:hAnsi="Times New Roman"/>
          <w:sz w:val="24"/>
          <w:szCs w:val="24"/>
          <w:lang w:eastAsia="en-US"/>
        </w:rPr>
        <w:t>)(</w:t>
      </w:r>
      <w:proofErr w:type="gramEnd"/>
      <w:r w:rsidRPr="00921AC3">
        <w:rPr>
          <w:rFonts w:ascii="Times New Roman" w:eastAsia="Calibri" w:hAnsi="Times New Roman"/>
          <w:sz w:val="24"/>
          <w:szCs w:val="24"/>
          <w:lang w:eastAsia="en-US"/>
        </w:rPr>
        <w:t>b)(ii) and 141(1)(</w:t>
      </w:r>
      <w:proofErr w:type="spellStart"/>
      <w:r w:rsidRPr="00921AC3">
        <w:rPr>
          <w:rFonts w:ascii="Times New Roman" w:eastAsia="Calibri" w:hAnsi="Times New Roman"/>
          <w:sz w:val="24"/>
          <w:szCs w:val="24"/>
          <w:lang w:eastAsia="en-US"/>
        </w:rPr>
        <w:t>i</w:t>
      </w:r>
      <w:proofErr w:type="spellEnd"/>
      <w:r w:rsidRPr="00921AC3">
        <w:rPr>
          <w:rFonts w:ascii="Times New Roman" w:eastAsia="Calibri" w:hAnsi="Times New Roman"/>
          <w:sz w:val="24"/>
          <w:szCs w:val="24"/>
          <w:lang w:eastAsia="en-US"/>
        </w:rPr>
        <w:t xml:space="preserve">)(ii) to reflect updated drafting practices. </w:t>
      </w:r>
    </w:p>
    <w:p w14:paraId="4A3BBF20" w14:textId="48DD5D63" w:rsidR="002F5879" w:rsidRPr="004333EE" w:rsidRDefault="002F5879" w:rsidP="00814991">
      <w:pPr>
        <w:pStyle w:val="ListNumber"/>
        <w:spacing w:after="200" w:line="276" w:lineRule="auto"/>
        <w:ind w:left="0" w:firstLine="0"/>
        <w:rPr>
          <w:rFonts w:ascii="Times New Roman" w:hAnsi="Times New Roman"/>
          <w:b/>
          <w:sz w:val="24"/>
          <w:szCs w:val="24"/>
        </w:rPr>
      </w:pPr>
      <w:r>
        <w:rPr>
          <w:rFonts w:ascii="Times New Roman" w:hAnsi="Times New Roman"/>
          <w:b/>
          <w:sz w:val="24"/>
          <w:szCs w:val="24"/>
        </w:rPr>
        <w:t>Part 2</w:t>
      </w:r>
      <w:r w:rsidR="00E304FD">
        <w:rPr>
          <w:rFonts w:ascii="Times New Roman" w:hAnsi="Times New Roman"/>
          <w:b/>
          <w:sz w:val="24"/>
          <w:szCs w:val="24"/>
        </w:rPr>
        <w:t xml:space="preserve"> – Use of HCFC manufactured or imported on or after 1 January 2020</w:t>
      </w:r>
    </w:p>
    <w:p w14:paraId="71200610" w14:textId="73429974" w:rsidR="002F5879" w:rsidRDefault="002F5879" w:rsidP="00814991">
      <w:pPr>
        <w:spacing w:after="240" w:line="276" w:lineRule="auto"/>
        <w:rPr>
          <w:rFonts w:ascii="Times New Roman" w:hAnsi="Times New Roman"/>
          <w:sz w:val="24"/>
          <w:szCs w:val="24"/>
        </w:rPr>
      </w:pPr>
      <w:r w:rsidRPr="004333EE">
        <w:rPr>
          <w:rFonts w:ascii="Times New Roman" w:hAnsi="Times New Roman"/>
          <w:sz w:val="24"/>
          <w:szCs w:val="24"/>
        </w:rPr>
        <w:t xml:space="preserve">Part </w:t>
      </w:r>
      <w:r>
        <w:rPr>
          <w:rFonts w:ascii="Times New Roman" w:hAnsi="Times New Roman"/>
          <w:sz w:val="24"/>
          <w:szCs w:val="24"/>
        </w:rPr>
        <w:t>2</w:t>
      </w:r>
      <w:r w:rsidRPr="004333EE">
        <w:rPr>
          <w:rFonts w:ascii="Times New Roman" w:hAnsi="Times New Roman"/>
          <w:sz w:val="24"/>
          <w:szCs w:val="24"/>
        </w:rPr>
        <w:t xml:space="preserve"> make</w:t>
      </w:r>
      <w:r w:rsidR="00145DA7">
        <w:rPr>
          <w:rFonts w:ascii="Times New Roman" w:hAnsi="Times New Roman"/>
          <w:sz w:val="24"/>
          <w:szCs w:val="24"/>
        </w:rPr>
        <w:t>s</w:t>
      </w:r>
      <w:r w:rsidRPr="004333EE">
        <w:rPr>
          <w:rFonts w:ascii="Times New Roman" w:hAnsi="Times New Roman"/>
          <w:sz w:val="24"/>
          <w:szCs w:val="24"/>
        </w:rPr>
        <w:t xml:space="preserve"> a number of amendments to the Principal Regulations in relation to </w:t>
      </w:r>
      <w:r>
        <w:rPr>
          <w:rFonts w:ascii="Times New Roman" w:hAnsi="Times New Roman"/>
          <w:sz w:val="24"/>
          <w:szCs w:val="24"/>
        </w:rPr>
        <w:t>the use of HCFC manufactured or imported on or after 1 January 2020.</w:t>
      </w:r>
    </w:p>
    <w:p w14:paraId="32AD0136" w14:textId="00C242EC" w:rsidR="00C46846" w:rsidRPr="00C46846" w:rsidRDefault="00C46846" w:rsidP="00814991">
      <w:pPr>
        <w:spacing w:after="240" w:line="276" w:lineRule="auto"/>
        <w:rPr>
          <w:rFonts w:ascii="Times New Roman" w:hAnsi="Times New Roman"/>
          <w:i/>
          <w:sz w:val="24"/>
          <w:szCs w:val="24"/>
        </w:rPr>
      </w:pPr>
      <w:r w:rsidRPr="00C46846">
        <w:rPr>
          <w:rFonts w:ascii="Times New Roman" w:hAnsi="Times New Roman"/>
          <w:i/>
          <w:sz w:val="24"/>
          <w:szCs w:val="24"/>
        </w:rPr>
        <w:t>Use of HCFC manufactured or imported on or after 1 January 2020</w:t>
      </w:r>
    </w:p>
    <w:p w14:paraId="45D4DE93" w14:textId="1C6F2FAB" w:rsidR="00912065" w:rsidRDefault="00912065" w:rsidP="00814991">
      <w:pPr>
        <w:spacing w:after="200" w:line="276" w:lineRule="auto"/>
        <w:rPr>
          <w:rFonts w:ascii="Times New Roman" w:hAnsi="Times New Roman"/>
          <w:sz w:val="24"/>
          <w:szCs w:val="24"/>
        </w:rPr>
      </w:pPr>
      <w:r>
        <w:rPr>
          <w:rFonts w:ascii="Times New Roman" w:hAnsi="Times New Roman"/>
          <w:sz w:val="24"/>
          <w:szCs w:val="24"/>
        </w:rPr>
        <w:t>From 1 January 2020, the Montreal Protocol restrict</w:t>
      </w:r>
      <w:r w:rsidR="00F8539F">
        <w:rPr>
          <w:rFonts w:ascii="Times New Roman" w:hAnsi="Times New Roman"/>
          <w:sz w:val="24"/>
          <w:szCs w:val="24"/>
        </w:rPr>
        <w:t>s</w:t>
      </w:r>
      <w:r>
        <w:rPr>
          <w:rFonts w:ascii="Times New Roman" w:hAnsi="Times New Roman"/>
          <w:sz w:val="24"/>
          <w:szCs w:val="24"/>
        </w:rPr>
        <w:t xml:space="preserve"> the use of new </w:t>
      </w:r>
      <w:proofErr w:type="spellStart"/>
      <w:r>
        <w:rPr>
          <w:rFonts w:ascii="Times New Roman" w:hAnsi="Times New Roman"/>
          <w:sz w:val="24"/>
          <w:szCs w:val="24"/>
        </w:rPr>
        <w:t>hydrochlorofluorocarbons</w:t>
      </w:r>
      <w:proofErr w:type="spellEnd"/>
      <w:r>
        <w:rPr>
          <w:rFonts w:ascii="Times New Roman" w:hAnsi="Times New Roman"/>
          <w:sz w:val="24"/>
          <w:szCs w:val="24"/>
        </w:rPr>
        <w:t xml:space="preserve"> (HCFCs). Article 2F paragraph 6 of the Montreal Protocol allows HCFCs imported or manufactured from 1 January 2020 to be used for the servicing of refrigeration and air conditioning equipment and fire protection equipment</w:t>
      </w:r>
      <w:r w:rsidR="00F8539F">
        <w:rPr>
          <w:rFonts w:ascii="Times New Roman" w:hAnsi="Times New Roman"/>
          <w:sz w:val="24"/>
          <w:szCs w:val="24"/>
        </w:rPr>
        <w:t>, existing before 1</w:t>
      </w:r>
      <w:r w:rsidR="004F30DB">
        <w:rPr>
          <w:rFonts w:ascii="Times New Roman" w:hAnsi="Times New Roman"/>
          <w:sz w:val="24"/>
          <w:szCs w:val="24"/>
        </w:rPr>
        <w:t> </w:t>
      </w:r>
      <w:r w:rsidR="00F8539F">
        <w:rPr>
          <w:rFonts w:ascii="Times New Roman" w:hAnsi="Times New Roman"/>
          <w:sz w:val="24"/>
          <w:szCs w:val="24"/>
        </w:rPr>
        <w:t>January</w:t>
      </w:r>
      <w:r w:rsidR="004F30DB">
        <w:rPr>
          <w:rFonts w:ascii="Times New Roman" w:hAnsi="Times New Roman"/>
          <w:sz w:val="24"/>
          <w:szCs w:val="24"/>
        </w:rPr>
        <w:t> </w:t>
      </w:r>
      <w:r w:rsidR="00F8539F">
        <w:rPr>
          <w:rFonts w:ascii="Times New Roman" w:hAnsi="Times New Roman"/>
          <w:sz w:val="24"/>
          <w:szCs w:val="24"/>
        </w:rPr>
        <w:t>2020</w:t>
      </w:r>
      <w:r>
        <w:rPr>
          <w:rFonts w:ascii="Times New Roman" w:hAnsi="Times New Roman"/>
          <w:sz w:val="24"/>
          <w:szCs w:val="24"/>
        </w:rPr>
        <w:t>.</w:t>
      </w:r>
    </w:p>
    <w:p w14:paraId="46E70136" w14:textId="2709B796" w:rsidR="00912065" w:rsidRDefault="00912065" w:rsidP="00814991">
      <w:pPr>
        <w:spacing w:after="200" w:line="276" w:lineRule="auto"/>
        <w:rPr>
          <w:rFonts w:ascii="Times New Roman" w:hAnsi="Times New Roman"/>
          <w:sz w:val="24"/>
          <w:szCs w:val="24"/>
        </w:rPr>
      </w:pPr>
      <w:r>
        <w:rPr>
          <w:rFonts w:ascii="Times New Roman" w:hAnsi="Times New Roman"/>
          <w:sz w:val="24"/>
          <w:szCs w:val="24"/>
        </w:rPr>
        <w:t>Section 45C of the Act, which will commence on 1</w:t>
      </w:r>
      <w:r w:rsidR="004F30DB">
        <w:rPr>
          <w:rFonts w:ascii="Times New Roman" w:hAnsi="Times New Roman"/>
          <w:sz w:val="24"/>
          <w:szCs w:val="24"/>
        </w:rPr>
        <w:t> </w:t>
      </w:r>
      <w:r>
        <w:rPr>
          <w:rFonts w:ascii="Times New Roman" w:hAnsi="Times New Roman"/>
          <w:sz w:val="24"/>
          <w:szCs w:val="24"/>
        </w:rPr>
        <w:t>January</w:t>
      </w:r>
      <w:r w:rsidR="004F30DB">
        <w:rPr>
          <w:rFonts w:ascii="Times New Roman" w:hAnsi="Times New Roman"/>
          <w:sz w:val="24"/>
          <w:szCs w:val="24"/>
        </w:rPr>
        <w:t> </w:t>
      </w:r>
      <w:r>
        <w:rPr>
          <w:rFonts w:ascii="Times New Roman" w:hAnsi="Times New Roman"/>
          <w:sz w:val="24"/>
          <w:szCs w:val="24"/>
        </w:rPr>
        <w:t>2020, will implement Australia’s obligations under the Montreal Protocol by prohibiting the use of HCFCs that are manufactured or imported on or after 1 January 2020. Subsection 45C(2) provides an exemption to this prohibition if the use of the HCFC manufactured or imported after 1 January 2020 is for a purpose prescribed in the Regulations.</w:t>
      </w:r>
    </w:p>
    <w:p w14:paraId="12C85968" w14:textId="0DBEA89C" w:rsidR="00912065" w:rsidRDefault="00912065" w:rsidP="00814991">
      <w:pPr>
        <w:spacing w:after="200" w:line="276" w:lineRule="auto"/>
        <w:rPr>
          <w:rFonts w:ascii="Times New Roman" w:hAnsi="Times New Roman"/>
          <w:sz w:val="24"/>
          <w:szCs w:val="24"/>
        </w:rPr>
      </w:pPr>
      <w:r>
        <w:rPr>
          <w:rFonts w:ascii="Times New Roman" w:hAnsi="Times New Roman"/>
          <w:sz w:val="24"/>
          <w:szCs w:val="24"/>
        </w:rPr>
        <w:t xml:space="preserve">Allowing HCFCs </w:t>
      </w:r>
      <w:r w:rsidR="005A6027">
        <w:rPr>
          <w:rFonts w:ascii="Times New Roman" w:hAnsi="Times New Roman"/>
          <w:sz w:val="24"/>
          <w:szCs w:val="24"/>
        </w:rPr>
        <w:t>imported or manufactured from 1 January 2020 to be used to</w:t>
      </w:r>
      <w:r>
        <w:rPr>
          <w:rFonts w:ascii="Times New Roman" w:hAnsi="Times New Roman"/>
          <w:sz w:val="24"/>
          <w:szCs w:val="24"/>
        </w:rPr>
        <w:t xml:space="preserve"> service existing refrigeration and air conditioning equipment and existing fire protection equipment is necessary to ensure that equipment already in use in Australia </w:t>
      </w:r>
      <w:r w:rsidR="00F8539F">
        <w:rPr>
          <w:rFonts w:ascii="Times New Roman" w:hAnsi="Times New Roman"/>
          <w:sz w:val="24"/>
          <w:szCs w:val="24"/>
        </w:rPr>
        <w:t>can</w:t>
      </w:r>
      <w:r>
        <w:rPr>
          <w:rFonts w:ascii="Times New Roman" w:hAnsi="Times New Roman"/>
          <w:sz w:val="24"/>
          <w:szCs w:val="24"/>
        </w:rPr>
        <w:t xml:space="preserve"> be maintained through its normal operating lifespan.</w:t>
      </w:r>
    </w:p>
    <w:p w14:paraId="0FCA0A5D" w14:textId="5E32E8EF" w:rsidR="00A6032F" w:rsidRPr="002334D9" w:rsidRDefault="00492D02" w:rsidP="00814991">
      <w:pPr>
        <w:spacing w:after="200" w:line="276" w:lineRule="auto"/>
        <w:rPr>
          <w:rFonts w:ascii="Times New Roman" w:hAnsi="Times New Roman"/>
          <w:sz w:val="24"/>
          <w:szCs w:val="24"/>
          <w:u w:val="single"/>
        </w:rPr>
      </w:pPr>
      <w:r>
        <w:rPr>
          <w:rFonts w:ascii="Times New Roman" w:hAnsi="Times New Roman"/>
          <w:sz w:val="24"/>
          <w:szCs w:val="24"/>
          <w:u w:val="single"/>
        </w:rPr>
        <w:t xml:space="preserve">Item </w:t>
      </w:r>
      <w:r w:rsidR="00351D3C">
        <w:rPr>
          <w:rFonts w:ascii="Times New Roman" w:hAnsi="Times New Roman"/>
          <w:sz w:val="24"/>
          <w:szCs w:val="24"/>
          <w:u w:val="single"/>
        </w:rPr>
        <w:t>15</w:t>
      </w:r>
      <w:r>
        <w:rPr>
          <w:rFonts w:ascii="Times New Roman" w:hAnsi="Times New Roman"/>
          <w:sz w:val="24"/>
          <w:szCs w:val="24"/>
          <w:u w:val="single"/>
        </w:rPr>
        <w:t xml:space="preserve"> and </w:t>
      </w:r>
      <w:r w:rsidR="0058630A">
        <w:rPr>
          <w:rFonts w:ascii="Times New Roman" w:hAnsi="Times New Roman"/>
          <w:sz w:val="24"/>
          <w:szCs w:val="24"/>
          <w:u w:val="single"/>
        </w:rPr>
        <w:t>1</w:t>
      </w:r>
      <w:r w:rsidR="00351D3C">
        <w:rPr>
          <w:rFonts w:ascii="Times New Roman" w:hAnsi="Times New Roman"/>
          <w:sz w:val="24"/>
          <w:szCs w:val="24"/>
          <w:u w:val="single"/>
        </w:rPr>
        <w:t>6</w:t>
      </w:r>
    </w:p>
    <w:p w14:paraId="69B83FDD" w14:textId="5A1D3119" w:rsidR="00492D02" w:rsidRDefault="00492D02" w:rsidP="00814991">
      <w:pPr>
        <w:spacing w:after="240" w:line="276" w:lineRule="auto"/>
        <w:rPr>
          <w:rFonts w:ascii="Times New Roman" w:hAnsi="Times New Roman"/>
          <w:sz w:val="24"/>
          <w:szCs w:val="24"/>
        </w:rPr>
      </w:pPr>
      <w:r>
        <w:rPr>
          <w:rFonts w:ascii="Times New Roman" w:hAnsi="Times New Roman"/>
          <w:sz w:val="24"/>
          <w:szCs w:val="24"/>
        </w:rPr>
        <w:t xml:space="preserve">Items </w:t>
      </w:r>
      <w:r w:rsidR="00351D3C">
        <w:rPr>
          <w:rFonts w:ascii="Times New Roman" w:hAnsi="Times New Roman"/>
          <w:sz w:val="24"/>
          <w:szCs w:val="24"/>
        </w:rPr>
        <w:t>15</w:t>
      </w:r>
      <w:r w:rsidRPr="00492D02">
        <w:rPr>
          <w:rFonts w:ascii="Times New Roman" w:hAnsi="Times New Roman"/>
          <w:sz w:val="24"/>
          <w:szCs w:val="24"/>
        </w:rPr>
        <w:t xml:space="preserve"> and </w:t>
      </w:r>
      <w:r w:rsidR="00351D3C">
        <w:rPr>
          <w:rFonts w:ascii="Times New Roman" w:hAnsi="Times New Roman"/>
          <w:sz w:val="24"/>
          <w:szCs w:val="24"/>
        </w:rPr>
        <w:t>16</w:t>
      </w:r>
      <w:r>
        <w:rPr>
          <w:rFonts w:ascii="Times New Roman" w:hAnsi="Times New Roman"/>
          <w:sz w:val="24"/>
          <w:szCs w:val="24"/>
        </w:rPr>
        <w:t xml:space="preserve"> prescribe, for the purpose of subsection </w:t>
      </w:r>
      <w:proofErr w:type="gramStart"/>
      <w:r>
        <w:rPr>
          <w:rFonts w:ascii="Times New Roman" w:hAnsi="Times New Roman"/>
          <w:sz w:val="24"/>
          <w:szCs w:val="24"/>
        </w:rPr>
        <w:t>45C(</w:t>
      </w:r>
      <w:proofErr w:type="gramEnd"/>
      <w:r>
        <w:rPr>
          <w:rFonts w:ascii="Times New Roman" w:hAnsi="Times New Roman"/>
          <w:sz w:val="24"/>
          <w:szCs w:val="24"/>
        </w:rPr>
        <w:t>2) of the Act, the purposes for which a HCFC manufactured or imported on or after 1</w:t>
      </w:r>
      <w:r w:rsidR="00DD14FE">
        <w:rPr>
          <w:rFonts w:ascii="Times New Roman" w:hAnsi="Times New Roman"/>
          <w:sz w:val="24"/>
          <w:szCs w:val="24"/>
        </w:rPr>
        <w:t> </w:t>
      </w:r>
      <w:r>
        <w:rPr>
          <w:rFonts w:ascii="Times New Roman" w:hAnsi="Times New Roman"/>
          <w:sz w:val="24"/>
          <w:szCs w:val="24"/>
        </w:rPr>
        <w:t>January</w:t>
      </w:r>
      <w:r w:rsidR="00DD14FE">
        <w:rPr>
          <w:rFonts w:ascii="Times New Roman" w:hAnsi="Times New Roman"/>
          <w:sz w:val="24"/>
          <w:szCs w:val="24"/>
        </w:rPr>
        <w:t> </w:t>
      </w:r>
      <w:r>
        <w:rPr>
          <w:rFonts w:ascii="Times New Roman" w:hAnsi="Times New Roman"/>
          <w:sz w:val="24"/>
          <w:szCs w:val="24"/>
        </w:rPr>
        <w:t xml:space="preserve">2020 may be used. HCFC’s </w:t>
      </w:r>
      <w:r>
        <w:rPr>
          <w:rFonts w:ascii="Times New Roman" w:hAnsi="Times New Roman"/>
          <w:sz w:val="24"/>
          <w:szCs w:val="24"/>
        </w:rPr>
        <w:lastRenderedPageBreak/>
        <w:t>manufactured or imported on or after 1</w:t>
      </w:r>
      <w:r w:rsidR="00DD14FE">
        <w:rPr>
          <w:rFonts w:ascii="Times New Roman" w:hAnsi="Times New Roman"/>
          <w:sz w:val="24"/>
          <w:szCs w:val="24"/>
        </w:rPr>
        <w:t> </w:t>
      </w:r>
      <w:r>
        <w:rPr>
          <w:rFonts w:ascii="Times New Roman" w:hAnsi="Times New Roman"/>
          <w:sz w:val="24"/>
          <w:szCs w:val="24"/>
        </w:rPr>
        <w:t>January</w:t>
      </w:r>
      <w:r w:rsidR="00DD14FE">
        <w:rPr>
          <w:rFonts w:ascii="Times New Roman" w:hAnsi="Times New Roman"/>
          <w:sz w:val="24"/>
          <w:szCs w:val="24"/>
        </w:rPr>
        <w:t> </w:t>
      </w:r>
      <w:r>
        <w:rPr>
          <w:rFonts w:ascii="Times New Roman" w:hAnsi="Times New Roman"/>
          <w:sz w:val="24"/>
          <w:szCs w:val="24"/>
        </w:rPr>
        <w:t>2020 may be used for the purpose of maintaining RAC equipment (</w:t>
      </w:r>
      <w:proofErr w:type="spellStart"/>
      <w:r>
        <w:rPr>
          <w:rFonts w:ascii="Times New Roman" w:hAnsi="Times New Roman"/>
          <w:sz w:val="24"/>
          <w:szCs w:val="24"/>
        </w:rPr>
        <w:t>subregulation</w:t>
      </w:r>
      <w:proofErr w:type="spellEnd"/>
      <w:r>
        <w:rPr>
          <w:rFonts w:ascii="Times New Roman" w:hAnsi="Times New Roman"/>
          <w:sz w:val="24"/>
          <w:szCs w:val="24"/>
        </w:rPr>
        <w:t xml:space="preserve"> </w:t>
      </w:r>
      <w:proofErr w:type="gramStart"/>
      <w:r>
        <w:rPr>
          <w:rFonts w:ascii="Times New Roman" w:hAnsi="Times New Roman"/>
          <w:sz w:val="24"/>
          <w:szCs w:val="24"/>
        </w:rPr>
        <w:t>113B(</w:t>
      </w:r>
      <w:proofErr w:type="gramEnd"/>
      <w:r>
        <w:rPr>
          <w:rFonts w:ascii="Times New Roman" w:hAnsi="Times New Roman"/>
          <w:sz w:val="24"/>
          <w:szCs w:val="24"/>
        </w:rPr>
        <w:t>1)) or for the purpose of maintaining fire protection equipment (</w:t>
      </w:r>
      <w:proofErr w:type="spellStart"/>
      <w:r w:rsidR="00974B5E">
        <w:rPr>
          <w:rFonts w:ascii="Times New Roman" w:hAnsi="Times New Roman"/>
          <w:sz w:val="24"/>
          <w:szCs w:val="24"/>
        </w:rPr>
        <w:t>subregulation</w:t>
      </w:r>
      <w:proofErr w:type="spellEnd"/>
      <w:r w:rsidR="00974B5E">
        <w:rPr>
          <w:rFonts w:ascii="Times New Roman" w:hAnsi="Times New Roman"/>
          <w:sz w:val="24"/>
          <w:szCs w:val="24"/>
        </w:rPr>
        <w:t xml:space="preserve"> 305A(1)).</w:t>
      </w:r>
    </w:p>
    <w:p w14:paraId="5B085B06" w14:textId="2CF1761B" w:rsidR="00492D02" w:rsidRDefault="00492D02" w:rsidP="00814991">
      <w:pPr>
        <w:spacing w:after="240" w:line="276" w:lineRule="auto"/>
        <w:rPr>
          <w:rFonts w:ascii="Times New Roman" w:hAnsi="Times New Roman"/>
          <w:sz w:val="24"/>
          <w:szCs w:val="24"/>
        </w:rPr>
      </w:pPr>
      <w:r>
        <w:rPr>
          <w:rFonts w:ascii="Times New Roman" w:hAnsi="Times New Roman"/>
          <w:sz w:val="24"/>
          <w:szCs w:val="24"/>
        </w:rPr>
        <w:t xml:space="preserve">To ensure HCFC’s are used to maintain </w:t>
      </w:r>
      <w:r w:rsidR="002C3210">
        <w:rPr>
          <w:rFonts w:ascii="Times New Roman" w:hAnsi="Times New Roman"/>
          <w:sz w:val="24"/>
          <w:szCs w:val="24"/>
        </w:rPr>
        <w:t xml:space="preserve">only </w:t>
      </w:r>
      <w:r>
        <w:rPr>
          <w:rFonts w:ascii="Times New Roman" w:hAnsi="Times New Roman"/>
          <w:sz w:val="24"/>
          <w:szCs w:val="24"/>
        </w:rPr>
        <w:t>existing RAC equipment or fire protection equipment, the prescribed use only applies in relation to RAC equipment or fire protection equipment manufactured or imported before 1</w:t>
      </w:r>
      <w:r w:rsidR="00DD14FE">
        <w:rPr>
          <w:rFonts w:ascii="Times New Roman" w:hAnsi="Times New Roman"/>
          <w:sz w:val="24"/>
          <w:szCs w:val="24"/>
        </w:rPr>
        <w:t> </w:t>
      </w:r>
      <w:r>
        <w:rPr>
          <w:rFonts w:ascii="Times New Roman" w:hAnsi="Times New Roman"/>
          <w:sz w:val="24"/>
          <w:szCs w:val="24"/>
        </w:rPr>
        <w:t>January</w:t>
      </w:r>
      <w:r w:rsidR="00DD14FE">
        <w:rPr>
          <w:rFonts w:ascii="Times New Roman" w:hAnsi="Times New Roman"/>
          <w:sz w:val="24"/>
          <w:szCs w:val="24"/>
        </w:rPr>
        <w:t> </w:t>
      </w:r>
      <w:r>
        <w:rPr>
          <w:rFonts w:ascii="Times New Roman" w:hAnsi="Times New Roman"/>
          <w:sz w:val="24"/>
          <w:szCs w:val="24"/>
        </w:rPr>
        <w:t>2020 (subsections 113B(2) and 305A(2)).</w:t>
      </w:r>
    </w:p>
    <w:p w14:paraId="21752A04" w14:textId="77777777" w:rsidR="00974B5E" w:rsidRDefault="00974B5E" w:rsidP="00814991">
      <w:pPr>
        <w:spacing w:after="240" w:line="276" w:lineRule="auto"/>
        <w:rPr>
          <w:rFonts w:ascii="Times New Roman" w:hAnsi="Times New Roman"/>
          <w:b/>
          <w:sz w:val="24"/>
          <w:szCs w:val="24"/>
        </w:rPr>
      </w:pPr>
      <w:r>
        <w:rPr>
          <w:rFonts w:ascii="Times New Roman" w:hAnsi="Times New Roman"/>
          <w:b/>
          <w:sz w:val="24"/>
          <w:szCs w:val="24"/>
        </w:rPr>
        <w:t>Part 3 – Methyl bromide</w:t>
      </w:r>
    </w:p>
    <w:p w14:paraId="26D99513" w14:textId="1C93819A" w:rsidR="00974B5E" w:rsidRDefault="00974B5E" w:rsidP="00814991">
      <w:pPr>
        <w:spacing w:after="240" w:line="276" w:lineRule="auto"/>
        <w:rPr>
          <w:rFonts w:ascii="Times New Roman" w:hAnsi="Times New Roman"/>
          <w:sz w:val="24"/>
          <w:szCs w:val="24"/>
        </w:rPr>
      </w:pPr>
      <w:r>
        <w:rPr>
          <w:rFonts w:ascii="Times New Roman" w:hAnsi="Times New Roman"/>
          <w:sz w:val="24"/>
          <w:szCs w:val="24"/>
        </w:rPr>
        <w:t xml:space="preserve">Methyl bromide is a controlled substance listed in Part VII of Schedule 1 to the Act. Methyl bromide contributes to the depletion of the ozone layer when released into the atmosphere, and </w:t>
      </w:r>
      <w:r w:rsidR="00EB7CC2">
        <w:rPr>
          <w:rFonts w:ascii="Times New Roman" w:hAnsi="Times New Roman"/>
          <w:sz w:val="24"/>
          <w:szCs w:val="24"/>
        </w:rPr>
        <w:t xml:space="preserve">as methyl bromide is primarily used as a fumigant, </w:t>
      </w:r>
      <w:r>
        <w:rPr>
          <w:rFonts w:ascii="Times New Roman" w:hAnsi="Times New Roman"/>
          <w:sz w:val="24"/>
          <w:szCs w:val="24"/>
        </w:rPr>
        <w:t xml:space="preserve">most uses are emissive by nature. </w:t>
      </w:r>
      <w:r w:rsidR="003902F3">
        <w:rPr>
          <w:rFonts w:ascii="Times New Roman" w:hAnsi="Times New Roman"/>
          <w:sz w:val="24"/>
          <w:szCs w:val="24"/>
        </w:rPr>
        <w:t xml:space="preserve">The Principal Regulations </w:t>
      </w:r>
      <w:r w:rsidR="00034F9B">
        <w:rPr>
          <w:rFonts w:ascii="Times New Roman" w:hAnsi="Times New Roman"/>
          <w:sz w:val="24"/>
          <w:szCs w:val="24"/>
        </w:rPr>
        <w:t>regulate</w:t>
      </w:r>
      <w:r w:rsidR="003902F3">
        <w:rPr>
          <w:rFonts w:ascii="Times New Roman" w:hAnsi="Times New Roman"/>
          <w:sz w:val="24"/>
          <w:szCs w:val="24"/>
        </w:rPr>
        <w:t xml:space="preserve"> the supply and use of methyl bromide through record keeping and reporting requirements</w:t>
      </w:r>
      <w:r w:rsidR="00034F9B">
        <w:rPr>
          <w:rFonts w:ascii="Times New Roman" w:hAnsi="Times New Roman"/>
          <w:sz w:val="24"/>
          <w:szCs w:val="24"/>
        </w:rPr>
        <w:t xml:space="preserve"> and </w:t>
      </w:r>
      <w:r>
        <w:rPr>
          <w:rFonts w:ascii="Times New Roman" w:hAnsi="Times New Roman"/>
          <w:sz w:val="24"/>
          <w:szCs w:val="24"/>
        </w:rPr>
        <w:t xml:space="preserve">regulate the use of </w:t>
      </w:r>
      <w:r w:rsidR="003902F3">
        <w:rPr>
          <w:rFonts w:ascii="Times New Roman" w:hAnsi="Times New Roman"/>
          <w:sz w:val="24"/>
          <w:szCs w:val="24"/>
        </w:rPr>
        <w:t xml:space="preserve">methyl bromide for </w:t>
      </w:r>
      <w:r>
        <w:rPr>
          <w:rFonts w:ascii="Times New Roman" w:hAnsi="Times New Roman"/>
          <w:sz w:val="24"/>
          <w:szCs w:val="24"/>
        </w:rPr>
        <w:t>non-quarantine and pre-shipment (</w:t>
      </w:r>
      <w:r w:rsidR="00034F9B">
        <w:rPr>
          <w:rFonts w:ascii="Times New Roman" w:hAnsi="Times New Roman"/>
          <w:sz w:val="24"/>
          <w:szCs w:val="24"/>
        </w:rPr>
        <w:t>non-</w:t>
      </w:r>
      <w:r>
        <w:rPr>
          <w:rFonts w:ascii="Times New Roman" w:hAnsi="Times New Roman"/>
          <w:sz w:val="24"/>
          <w:szCs w:val="24"/>
        </w:rPr>
        <w:t xml:space="preserve">QPS) </w:t>
      </w:r>
      <w:r w:rsidR="003902F3">
        <w:rPr>
          <w:rFonts w:ascii="Times New Roman" w:hAnsi="Times New Roman"/>
          <w:sz w:val="24"/>
          <w:szCs w:val="24"/>
        </w:rPr>
        <w:t>purposes</w:t>
      </w:r>
      <w:r w:rsidR="00EB7CC2">
        <w:rPr>
          <w:rFonts w:ascii="Times New Roman" w:hAnsi="Times New Roman"/>
          <w:sz w:val="24"/>
          <w:szCs w:val="24"/>
        </w:rPr>
        <w:t xml:space="preserve"> </w:t>
      </w:r>
      <w:r w:rsidR="00034F9B">
        <w:rPr>
          <w:rFonts w:ascii="Times New Roman" w:hAnsi="Times New Roman"/>
          <w:sz w:val="24"/>
          <w:szCs w:val="24"/>
        </w:rPr>
        <w:t xml:space="preserve">in particular </w:t>
      </w:r>
      <w:r>
        <w:rPr>
          <w:rFonts w:ascii="Times New Roman" w:hAnsi="Times New Roman"/>
          <w:sz w:val="24"/>
          <w:szCs w:val="24"/>
        </w:rPr>
        <w:t xml:space="preserve">through </w:t>
      </w:r>
      <w:r w:rsidR="003902F3">
        <w:rPr>
          <w:rFonts w:ascii="Times New Roman" w:hAnsi="Times New Roman"/>
          <w:sz w:val="24"/>
          <w:szCs w:val="24"/>
        </w:rPr>
        <w:t>a permit process</w:t>
      </w:r>
      <w:r>
        <w:rPr>
          <w:rFonts w:ascii="Times New Roman" w:hAnsi="Times New Roman"/>
          <w:sz w:val="24"/>
          <w:szCs w:val="24"/>
        </w:rPr>
        <w:t>.</w:t>
      </w:r>
    </w:p>
    <w:p w14:paraId="0438C788" w14:textId="0D8818CA" w:rsidR="00974B5E" w:rsidRPr="00351D3C" w:rsidRDefault="00034F9B" w:rsidP="00814991">
      <w:pPr>
        <w:spacing w:after="240" w:line="276" w:lineRule="auto"/>
        <w:rPr>
          <w:rFonts w:ascii="Times New Roman" w:hAnsi="Times New Roman"/>
          <w:i/>
          <w:sz w:val="24"/>
          <w:szCs w:val="24"/>
        </w:rPr>
      </w:pPr>
      <w:r w:rsidRPr="00351D3C">
        <w:rPr>
          <w:rFonts w:ascii="Times New Roman" w:hAnsi="Times New Roman"/>
          <w:i/>
          <w:sz w:val="24"/>
          <w:szCs w:val="24"/>
        </w:rPr>
        <w:t>Reducing reporting requirements for suppliers of methyl b</w:t>
      </w:r>
      <w:r w:rsidR="00974B5E" w:rsidRPr="00351D3C">
        <w:rPr>
          <w:rFonts w:ascii="Times New Roman" w:hAnsi="Times New Roman"/>
          <w:i/>
          <w:sz w:val="24"/>
          <w:szCs w:val="24"/>
        </w:rPr>
        <w:t xml:space="preserve">romide </w:t>
      </w:r>
    </w:p>
    <w:p w14:paraId="114B66C7" w14:textId="00F4EDA1" w:rsidR="00974B5E" w:rsidRDefault="00974B5E" w:rsidP="00814991">
      <w:pPr>
        <w:spacing w:after="240" w:line="276" w:lineRule="auto"/>
        <w:rPr>
          <w:rFonts w:ascii="Times New Roman" w:hAnsi="Times New Roman"/>
          <w:sz w:val="24"/>
          <w:szCs w:val="24"/>
        </w:rPr>
      </w:pPr>
      <w:r>
        <w:rPr>
          <w:rFonts w:ascii="Times New Roman" w:hAnsi="Times New Roman"/>
          <w:sz w:val="24"/>
          <w:szCs w:val="24"/>
        </w:rPr>
        <w:t xml:space="preserve">Regulation 230 of the Principal Regulations requires suppliers of methyl bromide to provide quarterly reports on their sales of methyl bromide, specifying how much methyl bromide was sold for each type of allowed use (regulation 201 sets out the uses of methyl bromide as QPS </w:t>
      </w:r>
      <w:r w:rsidR="00F8539F">
        <w:rPr>
          <w:rFonts w:ascii="Times New Roman" w:hAnsi="Times New Roman"/>
          <w:sz w:val="24"/>
          <w:szCs w:val="24"/>
        </w:rPr>
        <w:t xml:space="preserve">(quarantine and pre-shipment) </w:t>
      </w:r>
      <w:r>
        <w:rPr>
          <w:rFonts w:ascii="Times New Roman" w:hAnsi="Times New Roman"/>
          <w:sz w:val="24"/>
          <w:szCs w:val="24"/>
        </w:rPr>
        <w:t xml:space="preserve">uses, non-QPS uses, feedstock uses and for laboratory and analytical uses). </w:t>
      </w:r>
    </w:p>
    <w:p w14:paraId="14B2A6E1" w14:textId="71FB64AA" w:rsidR="00974B5E" w:rsidRPr="00A82F45" w:rsidRDefault="00974B5E" w:rsidP="00814991">
      <w:pPr>
        <w:spacing w:after="240" w:line="276" w:lineRule="auto"/>
        <w:rPr>
          <w:rFonts w:ascii="Times New Roman" w:hAnsi="Times New Roman"/>
          <w:sz w:val="24"/>
          <w:szCs w:val="24"/>
        </w:rPr>
      </w:pPr>
      <w:r>
        <w:rPr>
          <w:rFonts w:ascii="Times New Roman" w:hAnsi="Times New Roman"/>
          <w:sz w:val="24"/>
          <w:szCs w:val="24"/>
        </w:rPr>
        <w:t xml:space="preserve">To reduce the reporting burden on suppliers and permit holders, Items </w:t>
      </w:r>
      <w:r w:rsidR="00DD14FE">
        <w:rPr>
          <w:rFonts w:ascii="Times New Roman" w:hAnsi="Times New Roman"/>
          <w:sz w:val="24"/>
          <w:szCs w:val="24"/>
        </w:rPr>
        <w:t>19 – 21</w:t>
      </w:r>
      <w:r>
        <w:rPr>
          <w:rFonts w:ascii="Times New Roman" w:hAnsi="Times New Roman"/>
          <w:sz w:val="24"/>
          <w:szCs w:val="24"/>
        </w:rPr>
        <w:t xml:space="preserve"> replace the references to “a quarter” and instead insert a reference to the “reporting period” or “period”. The term </w:t>
      </w:r>
      <w:r>
        <w:rPr>
          <w:rFonts w:ascii="Times New Roman" w:hAnsi="Times New Roman"/>
          <w:b/>
          <w:i/>
          <w:sz w:val="24"/>
          <w:szCs w:val="24"/>
        </w:rPr>
        <w:t xml:space="preserve">reporting period </w:t>
      </w:r>
      <w:r>
        <w:rPr>
          <w:rFonts w:ascii="Times New Roman" w:hAnsi="Times New Roman"/>
          <w:sz w:val="24"/>
          <w:szCs w:val="24"/>
        </w:rPr>
        <w:t>is defined in section 7 of the Act to mean a period of 6 months starti</w:t>
      </w:r>
      <w:r w:rsidR="00231C5A">
        <w:rPr>
          <w:rFonts w:ascii="Times New Roman" w:hAnsi="Times New Roman"/>
          <w:sz w:val="24"/>
          <w:szCs w:val="24"/>
        </w:rPr>
        <w:t>ng on 1 January or 1 July. Item</w:t>
      </w:r>
      <w:r>
        <w:rPr>
          <w:rFonts w:ascii="Times New Roman" w:hAnsi="Times New Roman"/>
          <w:sz w:val="24"/>
          <w:szCs w:val="24"/>
        </w:rPr>
        <w:t xml:space="preserve"> </w:t>
      </w:r>
      <w:r w:rsidR="00DD14FE">
        <w:rPr>
          <w:rFonts w:ascii="Times New Roman" w:hAnsi="Times New Roman"/>
          <w:sz w:val="24"/>
          <w:szCs w:val="24"/>
        </w:rPr>
        <w:t>24</w:t>
      </w:r>
      <w:r>
        <w:rPr>
          <w:rFonts w:ascii="Times New Roman" w:hAnsi="Times New Roman"/>
          <w:sz w:val="24"/>
          <w:szCs w:val="24"/>
        </w:rPr>
        <w:t xml:space="preserve"> insert</w:t>
      </w:r>
      <w:r w:rsidR="00145DA7">
        <w:rPr>
          <w:rFonts w:ascii="Times New Roman" w:hAnsi="Times New Roman"/>
          <w:sz w:val="24"/>
          <w:szCs w:val="24"/>
        </w:rPr>
        <w:t>s</w:t>
      </w:r>
      <w:r>
        <w:rPr>
          <w:rFonts w:ascii="Times New Roman" w:hAnsi="Times New Roman"/>
          <w:sz w:val="24"/>
          <w:szCs w:val="24"/>
        </w:rPr>
        <w:t xml:space="preserve"> a note into </w:t>
      </w:r>
      <w:proofErr w:type="spellStart"/>
      <w:r>
        <w:rPr>
          <w:rFonts w:ascii="Times New Roman" w:hAnsi="Times New Roman"/>
          <w:sz w:val="24"/>
          <w:szCs w:val="24"/>
        </w:rPr>
        <w:t>subregulation</w:t>
      </w:r>
      <w:proofErr w:type="spellEnd"/>
      <w:r>
        <w:rPr>
          <w:rFonts w:ascii="Times New Roman" w:hAnsi="Times New Roman"/>
          <w:sz w:val="24"/>
          <w:szCs w:val="24"/>
        </w:rPr>
        <w:t xml:space="preserve"> 230(1) to cross</w:t>
      </w:r>
      <w:r w:rsidR="00DD14FE">
        <w:rPr>
          <w:rFonts w:ascii="Times New Roman" w:hAnsi="Times New Roman"/>
          <w:sz w:val="24"/>
          <w:szCs w:val="24"/>
        </w:rPr>
        <w:noBreakHyphen/>
      </w:r>
      <w:r>
        <w:rPr>
          <w:rFonts w:ascii="Times New Roman" w:hAnsi="Times New Roman"/>
          <w:sz w:val="24"/>
          <w:szCs w:val="24"/>
        </w:rPr>
        <w:t xml:space="preserve">reference this definition. Item </w:t>
      </w:r>
      <w:r w:rsidR="00DD14FE">
        <w:rPr>
          <w:rFonts w:ascii="Times New Roman" w:hAnsi="Times New Roman"/>
          <w:sz w:val="24"/>
          <w:szCs w:val="24"/>
        </w:rPr>
        <w:t>25</w:t>
      </w:r>
      <w:r>
        <w:rPr>
          <w:rFonts w:ascii="Times New Roman" w:hAnsi="Times New Roman"/>
          <w:sz w:val="24"/>
          <w:szCs w:val="24"/>
        </w:rPr>
        <w:t xml:space="preserve"> is requi</w:t>
      </w:r>
      <w:r w:rsidR="00231C5A">
        <w:rPr>
          <w:rFonts w:ascii="Times New Roman" w:hAnsi="Times New Roman"/>
          <w:sz w:val="24"/>
          <w:szCs w:val="24"/>
        </w:rPr>
        <w:t xml:space="preserve">red as a consequence of Item </w:t>
      </w:r>
      <w:r w:rsidR="00DD14FE">
        <w:rPr>
          <w:rFonts w:ascii="Times New Roman" w:hAnsi="Times New Roman"/>
          <w:sz w:val="24"/>
          <w:szCs w:val="24"/>
        </w:rPr>
        <w:t>24</w:t>
      </w:r>
      <w:r>
        <w:rPr>
          <w:rFonts w:ascii="Times New Roman" w:hAnsi="Times New Roman"/>
          <w:sz w:val="24"/>
          <w:szCs w:val="24"/>
        </w:rPr>
        <w:t>.</w:t>
      </w:r>
    </w:p>
    <w:p w14:paraId="24B8BD43" w14:textId="693C01FE" w:rsidR="00974B5E" w:rsidRDefault="00145DA7" w:rsidP="00814991">
      <w:pPr>
        <w:spacing w:after="240" w:line="276" w:lineRule="auto"/>
        <w:rPr>
          <w:rFonts w:ascii="Times New Roman" w:hAnsi="Times New Roman"/>
          <w:sz w:val="24"/>
          <w:szCs w:val="24"/>
        </w:rPr>
      </w:pPr>
      <w:r>
        <w:rPr>
          <w:rFonts w:ascii="Times New Roman" w:hAnsi="Times New Roman"/>
          <w:sz w:val="24"/>
          <w:szCs w:val="24"/>
        </w:rPr>
        <w:t>The amendments</w:t>
      </w:r>
      <w:r w:rsidR="00974B5E">
        <w:rPr>
          <w:rFonts w:ascii="Times New Roman" w:hAnsi="Times New Roman"/>
          <w:sz w:val="24"/>
          <w:szCs w:val="24"/>
        </w:rPr>
        <w:t xml:space="preserve"> also provide suppliers of methyl bromide with the flexibility to continue to provide quarterly reports to align with other reporting requirements (such as business activity statements for the Australian Taxation Office). </w:t>
      </w:r>
      <w:proofErr w:type="spellStart"/>
      <w:r w:rsidR="00894BBC">
        <w:rPr>
          <w:rFonts w:ascii="Times New Roman" w:hAnsi="Times New Roman"/>
          <w:sz w:val="24"/>
          <w:szCs w:val="24"/>
        </w:rPr>
        <w:t>S</w:t>
      </w:r>
      <w:r w:rsidR="00974B5E">
        <w:rPr>
          <w:rFonts w:ascii="Times New Roman" w:hAnsi="Times New Roman"/>
          <w:sz w:val="24"/>
          <w:szCs w:val="24"/>
        </w:rPr>
        <w:t>ubregulation</w:t>
      </w:r>
      <w:proofErr w:type="spellEnd"/>
      <w:r w:rsidR="00974B5E">
        <w:rPr>
          <w:rFonts w:ascii="Times New Roman" w:hAnsi="Times New Roman"/>
          <w:sz w:val="24"/>
          <w:szCs w:val="24"/>
        </w:rPr>
        <w:t xml:space="preserve"> 230(1B), inserted by Item </w:t>
      </w:r>
      <w:r w:rsidR="00DD14FE">
        <w:rPr>
          <w:rFonts w:ascii="Times New Roman" w:hAnsi="Times New Roman"/>
          <w:sz w:val="24"/>
          <w:szCs w:val="24"/>
        </w:rPr>
        <w:t>26</w:t>
      </w:r>
      <w:r w:rsidR="00974B5E">
        <w:rPr>
          <w:rFonts w:ascii="Times New Roman" w:hAnsi="Times New Roman"/>
          <w:sz w:val="24"/>
          <w:szCs w:val="24"/>
        </w:rPr>
        <w:t>, allow</w:t>
      </w:r>
      <w:r w:rsidR="00894BBC">
        <w:rPr>
          <w:rFonts w:ascii="Times New Roman" w:hAnsi="Times New Roman"/>
          <w:sz w:val="24"/>
          <w:szCs w:val="24"/>
        </w:rPr>
        <w:t>s</w:t>
      </w:r>
      <w:r w:rsidR="00974B5E">
        <w:rPr>
          <w:rFonts w:ascii="Times New Roman" w:hAnsi="Times New Roman"/>
          <w:sz w:val="24"/>
          <w:szCs w:val="24"/>
        </w:rPr>
        <w:t xml:space="preserve"> suppliers of methyl bromide to continue to provide quarterly reports, by giving a separate report for each half of the reporting period.</w:t>
      </w:r>
    </w:p>
    <w:p w14:paraId="5E417DAB" w14:textId="07D26A95" w:rsidR="00974B5E" w:rsidRDefault="00974B5E" w:rsidP="00814991">
      <w:pPr>
        <w:spacing w:after="240" w:line="276" w:lineRule="auto"/>
        <w:rPr>
          <w:rFonts w:ascii="Times New Roman" w:hAnsi="Times New Roman"/>
          <w:sz w:val="24"/>
          <w:szCs w:val="24"/>
        </w:rPr>
      </w:pPr>
      <w:r>
        <w:rPr>
          <w:rFonts w:ascii="Times New Roman" w:hAnsi="Times New Roman"/>
          <w:sz w:val="24"/>
          <w:szCs w:val="24"/>
        </w:rPr>
        <w:t xml:space="preserve">If a supplier of methyl bromide sold no methyl bromide in a quarter, paragraph 230(1)(c) of the Principal Regulations requires a supplier to include a statement to that effect in their report. Item </w:t>
      </w:r>
      <w:r w:rsidR="00DD14FE">
        <w:rPr>
          <w:rFonts w:ascii="Times New Roman" w:hAnsi="Times New Roman"/>
          <w:sz w:val="24"/>
          <w:szCs w:val="24"/>
        </w:rPr>
        <w:t>23</w:t>
      </w:r>
      <w:r>
        <w:rPr>
          <w:rFonts w:ascii="Times New Roman" w:hAnsi="Times New Roman"/>
          <w:sz w:val="24"/>
          <w:szCs w:val="24"/>
        </w:rPr>
        <w:t xml:space="preserve"> remove</w:t>
      </w:r>
      <w:r w:rsidR="00894BBC">
        <w:rPr>
          <w:rFonts w:ascii="Times New Roman" w:hAnsi="Times New Roman"/>
          <w:sz w:val="24"/>
          <w:szCs w:val="24"/>
        </w:rPr>
        <w:t>s</w:t>
      </w:r>
      <w:r>
        <w:rPr>
          <w:rFonts w:ascii="Times New Roman" w:hAnsi="Times New Roman"/>
          <w:sz w:val="24"/>
          <w:szCs w:val="24"/>
        </w:rPr>
        <w:t xml:space="preserve"> this requirement</w:t>
      </w:r>
      <w:r w:rsidR="00231C5A">
        <w:rPr>
          <w:rFonts w:ascii="Times New Roman" w:hAnsi="Times New Roman"/>
          <w:sz w:val="24"/>
          <w:szCs w:val="24"/>
        </w:rPr>
        <w:t>.</w:t>
      </w:r>
      <w:r>
        <w:rPr>
          <w:rFonts w:ascii="Times New Roman" w:hAnsi="Times New Roman"/>
          <w:sz w:val="24"/>
          <w:szCs w:val="24"/>
        </w:rPr>
        <w:t xml:space="preserve"> Item 2</w:t>
      </w:r>
      <w:r w:rsidR="00DD14FE">
        <w:rPr>
          <w:rFonts w:ascii="Times New Roman" w:hAnsi="Times New Roman"/>
          <w:sz w:val="24"/>
          <w:szCs w:val="24"/>
        </w:rPr>
        <w:t>2</w:t>
      </w:r>
      <w:r>
        <w:rPr>
          <w:rFonts w:ascii="Times New Roman" w:hAnsi="Times New Roman"/>
          <w:sz w:val="24"/>
          <w:szCs w:val="24"/>
        </w:rPr>
        <w:t xml:space="preserve"> is required as a consequence of Item </w:t>
      </w:r>
      <w:r w:rsidR="00DD14FE">
        <w:rPr>
          <w:rFonts w:ascii="Times New Roman" w:hAnsi="Times New Roman"/>
          <w:sz w:val="24"/>
          <w:szCs w:val="24"/>
        </w:rPr>
        <w:t>23</w:t>
      </w:r>
      <w:r>
        <w:rPr>
          <w:rFonts w:ascii="Times New Roman" w:hAnsi="Times New Roman"/>
          <w:sz w:val="24"/>
          <w:szCs w:val="24"/>
        </w:rPr>
        <w:t xml:space="preserve">. </w:t>
      </w:r>
    </w:p>
    <w:p w14:paraId="117EEA28" w14:textId="2C6AD593" w:rsidR="00974B5E" w:rsidRDefault="00894BBC" w:rsidP="00814991">
      <w:pPr>
        <w:spacing w:after="240" w:line="276" w:lineRule="auto"/>
        <w:rPr>
          <w:rFonts w:ascii="Times New Roman" w:hAnsi="Times New Roman"/>
          <w:sz w:val="24"/>
          <w:szCs w:val="24"/>
        </w:rPr>
      </w:pPr>
      <w:proofErr w:type="spellStart"/>
      <w:r>
        <w:rPr>
          <w:rFonts w:ascii="Times New Roman" w:hAnsi="Times New Roman"/>
          <w:sz w:val="24"/>
          <w:szCs w:val="24"/>
        </w:rPr>
        <w:t>S</w:t>
      </w:r>
      <w:r w:rsidR="00974B5E">
        <w:rPr>
          <w:rFonts w:ascii="Times New Roman" w:hAnsi="Times New Roman"/>
          <w:sz w:val="24"/>
          <w:szCs w:val="24"/>
        </w:rPr>
        <w:t>ubregulation</w:t>
      </w:r>
      <w:proofErr w:type="spellEnd"/>
      <w:r w:rsidR="00974B5E">
        <w:rPr>
          <w:rFonts w:ascii="Times New Roman" w:hAnsi="Times New Roman"/>
          <w:sz w:val="24"/>
          <w:szCs w:val="24"/>
        </w:rPr>
        <w:t xml:space="preserve"> 230(1A), inserted by Item </w:t>
      </w:r>
      <w:r w:rsidR="00DD14FE">
        <w:rPr>
          <w:rFonts w:ascii="Times New Roman" w:hAnsi="Times New Roman"/>
          <w:sz w:val="24"/>
          <w:szCs w:val="24"/>
        </w:rPr>
        <w:t>26</w:t>
      </w:r>
      <w:r w:rsidR="00974B5E">
        <w:rPr>
          <w:rFonts w:ascii="Times New Roman" w:hAnsi="Times New Roman"/>
          <w:sz w:val="24"/>
          <w:szCs w:val="24"/>
        </w:rPr>
        <w:t>, remove</w:t>
      </w:r>
      <w:r>
        <w:rPr>
          <w:rFonts w:ascii="Times New Roman" w:hAnsi="Times New Roman"/>
          <w:sz w:val="24"/>
          <w:szCs w:val="24"/>
        </w:rPr>
        <w:t>s</w:t>
      </w:r>
      <w:r w:rsidR="00974B5E">
        <w:rPr>
          <w:rFonts w:ascii="Times New Roman" w:hAnsi="Times New Roman"/>
          <w:sz w:val="24"/>
          <w:szCs w:val="24"/>
        </w:rPr>
        <w:t xml:space="preserve"> a requirement for a supplier of methyl bromide</w:t>
      </w:r>
      <w:r w:rsidR="00974B5E" w:rsidRPr="005A13DB">
        <w:rPr>
          <w:rFonts w:ascii="Times New Roman" w:hAnsi="Times New Roman"/>
          <w:sz w:val="24"/>
          <w:szCs w:val="24"/>
        </w:rPr>
        <w:t xml:space="preserve"> </w:t>
      </w:r>
      <w:r w:rsidR="00974B5E">
        <w:rPr>
          <w:rFonts w:ascii="Times New Roman" w:hAnsi="Times New Roman"/>
          <w:sz w:val="24"/>
          <w:szCs w:val="24"/>
        </w:rPr>
        <w:t xml:space="preserve">to provide a report on sales where the whole amount of </w:t>
      </w:r>
      <w:r w:rsidR="00974B5E" w:rsidRPr="00CC1F40">
        <w:rPr>
          <w:rFonts w:ascii="Times New Roman" w:hAnsi="Times New Roman"/>
          <w:sz w:val="24"/>
          <w:szCs w:val="24"/>
        </w:rPr>
        <w:t>methyl bromide sold is for QPS uses</w:t>
      </w:r>
      <w:r w:rsidR="00974B5E">
        <w:rPr>
          <w:rFonts w:ascii="Times New Roman" w:hAnsi="Times New Roman"/>
          <w:sz w:val="24"/>
          <w:szCs w:val="24"/>
        </w:rPr>
        <w:t xml:space="preserve">. The requirement to provide these reports is considered duplicative and no longer necessary. Regulation 220 already imposes a requirement on suppliers to keep and maintain records of the amount of methyl bromide sold for QPS uses, and provide copies of those records to the Minister when requested. </w:t>
      </w:r>
    </w:p>
    <w:p w14:paraId="198D3038" w14:textId="286C4502" w:rsidR="00260596" w:rsidRDefault="00231C5A" w:rsidP="00814991">
      <w:pPr>
        <w:spacing w:line="276" w:lineRule="auto"/>
        <w:rPr>
          <w:rFonts w:ascii="Times New Roman" w:hAnsi="Times New Roman"/>
          <w:sz w:val="24"/>
          <w:szCs w:val="24"/>
        </w:rPr>
      </w:pPr>
      <w:r>
        <w:rPr>
          <w:rFonts w:ascii="Times New Roman" w:hAnsi="Times New Roman"/>
          <w:sz w:val="24"/>
          <w:szCs w:val="24"/>
        </w:rPr>
        <w:lastRenderedPageBreak/>
        <w:t>Similarly to the reporting obligations on suppliers of methyl bromide imposed by regulation</w:t>
      </w:r>
      <w:r w:rsidR="00DD14FE">
        <w:rPr>
          <w:rFonts w:ascii="Times New Roman" w:hAnsi="Times New Roman"/>
          <w:sz w:val="24"/>
          <w:szCs w:val="24"/>
        </w:rPr>
        <w:t> </w:t>
      </w:r>
      <w:r>
        <w:rPr>
          <w:rFonts w:ascii="Times New Roman" w:hAnsi="Times New Roman"/>
          <w:sz w:val="24"/>
          <w:szCs w:val="24"/>
        </w:rPr>
        <w:t xml:space="preserve">230, regulation 231 </w:t>
      </w:r>
      <w:r w:rsidR="007D2575">
        <w:rPr>
          <w:rFonts w:ascii="Times New Roman" w:hAnsi="Times New Roman"/>
          <w:sz w:val="24"/>
          <w:szCs w:val="24"/>
        </w:rPr>
        <w:t xml:space="preserve">of the Principal Regulations </w:t>
      </w:r>
      <w:r>
        <w:rPr>
          <w:rFonts w:ascii="Times New Roman" w:hAnsi="Times New Roman"/>
          <w:sz w:val="24"/>
          <w:szCs w:val="24"/>
        </w:rPr>
        <w:t>imposes an obligation on a non</w:t>
      </w:r>
      <w:r w:rsidR="00DD14FE">
        <w:rPr>
          <w:rFonts w:ascii="Times New Roman" w:hAnsi="Times New Roman"/>
          <w:sz w:val="24"/>
          <w:szCs w:val="24"/>
        </w:rPr>
        <w:noBreakHyphen/>
      </w:r>
      <w:r>
        <w:rPr>
          <w:rFonts w:ascii="Times New Roman" w:hAnsi="Times New Roman"/>
          <w:sz w:val="24"/>
          <w:szCs w:val="24"/>
        </w:rPr>
        <w:t xml:space="preserve">QPS permit holder to provide six monthly reports </w:t>
      </w:r>
      <w:r w:rsidR="00997959">
        <w:rPr>
          <w:rFonts w:ascii="Times New Roman" w:hAnsi="Times New Roman"/>
          <w:sz w:val="24"/>
          <w:szCs w:val="24"/>
        </w:rPr>
        <w:t>on</w:t>
      </w:r>
      <w:r>
        <w:rPr>
          <w:rFonts w:ascii="Times New Roman" w:hAnsi="Times New Roman"/>
          <w:sz w:val="24"/>
          <w:szCs w:val="24"/>
        </w:rPr>
        <w:t xml:space="preserve"> the use of methyl bromide by, or on behalf of, the non</w:t>
      </w:r>
      <w:r w:rsidR="00DD14FE">
        <w:rPr>
          <w:rFonts w:ascii="Times New Roman" w:hAnsi="Times New Roman"/>
          <w:sz w:val="24"/>
          <w:szCs w:val="24"/>
        </w:rPr>
        <w:noBreakHyphen/>
      </w:r>
      <w:r>
        <w:rPr>
          <w:rFonts w:ascii="Times New Roman" w:hAnsi="Times New Roman"/>
          <w:sz w:val="24"/>
          <w:szCs w:val="24"/>
        </w:rPr>
        <w:t xml:space="preserve">QPS permit holder. Items </w:t>
      </w:r>
      <w:r w:rsidR="00DD14FE">
        <w:rPr>
          <w:rFonts w:ascii="Times New Roman" w:hAnsi="Times New Roman"/>
          <w:sz w:val="24"/>
          <w:szCs w:val="24"/>
        </w:rPr>
        <w:t>27 – 31</w:t>
      </w:r>
      <w:r>
        <w:rPr>
          <w:rFonts w:ascii="Times New Roman" w:hAnsi="Times New Roman"/>
          <w:sz w:val="24"/>
          <w:szCs w:val="24"/>
        </w:rPr>
        <w:t xml:space="preserve"> remove references to ‘report period’ in regulation 231 and insert references to ‘reporting period’ for consistency with the use and definition in the amendments to regulation 230.</w:t>
      </w:r>
      <w:r w:rsidR="00260596">
        <w:rPr>
          <w:rFonts w:ascii="Times New Roman" w:hAnsi="Times New Roman"/>
          <w:sz w:val="24"/>
          <w:szCs w:val="24"/>
        </w:rPr>
        <w:t xml:space="preserve"> There </w:t>
      </w:r>
      <w:r w:rsidR="00894BBC">
        <w:rPr>
          <w:rFonts w:ascii="Times New Roman" w:hAnsi="Times New Roman"/>
          <w:sz w:val="24"/>
          <w:szCs w:val="24"/>
        </w:rPr>
        <w:t xml:space="preserve">is </w:t>
      </w:r>
      <w:r w:rsidR="00260596">
        <w:rPr>
          <w:rFonts w:ascii="Times New Roman" w:hAnsi="Times New Roman"/>
          <w:sz w:val="24"/>
          <w:szCs w:val="24"/>
        </w:rPr>
        <w:t xml:space="preserve">no change to the length of the reporting period used in existing regulation 231 as this is already a </w:t>
      </w:r>
      <w:r w:rsidR="00DD14FE">
        <w:rPr>
          <w:rFonts w:ascii="Times New Roman" w:hAnsi="Times New Roman"/>
          <w:sz w:val="24"/>
          <w:szCs w:val="24"/>
        </w:rPr>
        <w:t>6 </w:t>
      </w:r>
      <w:r w:rsidR="00260596">
        <w:rPr>
          <w:rFonts w:ascii="Times New Roman" w:hAnsi="Times New Roman"/>
          <w:sz w:val="24"/>
          <w:szCs w:val="24"/>
        </w:rPr>
        <w:t>month period.</w:t>
      </w:r>
    </w:p>
    <w:p w14:paraId="1681EF71" w14:textId="587F8D5D" w:rsidR="00231C5A" w:rsidRPr="00A9509B" w:rsidRDefault="00231C5A" w:rsidP="00814991">
      <w:pPr>
        <w:spacing w:line="276" w:lineRule="auto"/>
        <w:rPr>
          <w:rFonts w:ascii="Times New Roman" w:hAnsi="Times New Roman"/>
          <w:sz w:val="24"/>
          <w:szCs w:val="24"/>
        </w:rPr>
      </w:pPr>
      <w:r>
        <w:rPr>
          <w:rFonts w:ascii="Times New Roman" w:hAnsi="Times New Roman"/>
          <w:sz w:val="24"/>
          <w:szCs w:val="24"/>
        </w:rPr>
        <w:t xml:space="preserve"> </w:t>
      </w:r>
    </w:p>
    <w:p w14:paraId="4CE9BCA0" w14:textId="0862931C" w:rsidR="00974B5E" w:rsidRDefault="00974B5E" w:rsidP="00814991">
      <w:pPr>
        <w:spacing w:after="240" w:line="276" w:lineRule="auto"/>
        <w:rPr>
          <w:rFonts w:ascii="Times New Roman" w:hAnsi="Times New Roman"/>
          <w:sz w:val="24"/>
          <w:szCs w:val="24"/>
        </w:rPr>
      </w:pPr>
      <w:r>
        <w:rPr>
          <w:rFonts w:ascii="Times New Roman" w:hAnsi="Times New Roman"/>
          <w:sz w:val="24"/>
          <w:szCs w:val="24"/>
        </w:rPr>
        <w:t xml:space="preserve">It is a requirement for a report provided under regulation 230 </w:t>
      </w:r>
      <w:r w:rsidR="007D2575">
        <w:rPr>
          <w:rFonts w:ascii="Times New Roman" w:hAnsi="Times New Roman"/>
          <w:sz w:val="24"/>
          <w:szCs w:val="24"/>
        </w:rPr>
        <w:t xml:space="preserve">and 231 </w:t>
      </w:r>
      <w:r>
        <w:rPr>
          <w:rFonts w:ascii="Times New Roman" w:hAnsi="Times New Roman"/>
          <w:sz w:val="24"/>
          <w:szCs w:val="24"/>
        </w:rPr>
        <w:t>to include, amongst other things, the name and ABN (if any) of the supplier (paragraph</w:t>
      </w:r>
      <w:r w:rsidR="007D2575">
        <w:rPr>
          <w:rFonts w:ascii="Times New Roman" w:hAnsi="Times New Roman"/>
          <w:sz w:val="24"/>
          <w:szCs w:val="24"/>
        </w:rPr>
        <w:t>s</w:t>
      </w:r>
      <w:r>
        <w:rPr>
          <w:rFonts w:ascii="Times New Roman" w:hAnsi="Times New Roman"/>
          <w:sz w:val="24"/>
          <w:szCs w:val="24"/>
        </w:rPr>
        <w:t xml:space="preserve"> 230(1</w:t>
      </w:r>
      <w:proofErr w:type="gramStart"/>
      <w:r>
        <w:rPr>
          <w:rFonts w:ascii="Times New Roman" w:hAnsi="Times New Roman"/>
          <w:sz w:val="24"/>
          <w:szCs w:val="24"/>
        </w:rPr>
        <w:t>)(</w:t>
      </w:r>
      <w:proofErr w:type="gramEnd"/>
      <w:r>
        <w:rPr>
          <w:rFonts w:ascii="Times New Roman" w:hAnsi="Times New Roman"/>
          <w:sz w:val="24"/>
          <w:szCs w:val="24"/>
        </w:rPr>
        <w:t>a)</w:t>
      </w:r>
      <w:r w:rsidR="007D2575">
        <w:rPr>
          <w:rFonts w:ascii="Times New Roman" w:hAnsi="Times New Roman"/>
          <w:sz w:val="24"/>
          <w:szCs w:val="24"/>
        </w:rPr>
        <w:t xml:space="preserve"> and 231(2)(a)</w:t>
      </w:r>
      <w:r w:rsidR="00894BBC">
        <w:rPr>
          <w:rFonts w:ascii="Times New Roman" w:hAnsi="Times New Roman"/>
          <w:sz w:val="24"/>
          <w:szCs w:val="24"/>
        </w:rPr>
        <w:t>). The term ABN wa</w:t>
      </w:r>
      <w:r>
        <w:rPr>
          <w:rFonts w:ascii="Times New Roman" w:hAnsi="Times New Roman"/>
          <w:sz w:val="24"/>
          <w:szCs w:val="24"/>
        </w:rPr>
        <w:t>s not defined in t</w:t>
      </w:r>
      <w:r w:rsidR="00034F9B">
        <w:rPr>
          <w:rFonts w:ascii="Times New Roman" w:hAnsi="Times New Roman"/>
          <w:sz w:val="24"/>
          <w:szCs w:val="24"/>
        </w:rPr>
        <w:t xml:space="preserve">he Principal Regulations. Item </w:t>
      </w:r>
      <w:r w:rsidR="00DD14FE">
        <w:rPr>
          <w:rFonts w:ascii="Times New Roman" w:hAnsi="Times New Roman"/>
          <w:sz w:val="24"/>
          <w:szCs w:val="24"/>
        </w:rPr>
        <w:t>17</w:t>
      </w:r>
      <w:r>
        <w:rPr>
          <w:rFonts w:ascii="Times New Roman" w:hAnsi="Times New Roman"/>
          <w:sz w:val="24"/>
          <w:szCs w:val="24"/>
        </w:rPr>
        <w:t xml:space="preserve"> insert</w:t>
      </w:r>
      <w:r w:rsidR="00894BBC">
        <w:rPr>
          <w:rFonts w:ascii="Times New Roman" w:hAnsi="Times New Roman"/>
          <w:sz w:val="24"/>
          <w:szCs w:val="24"/>
        </w:rPr>
        <w:t>s</w:t>
      </w:r>
      <w:r>
        <w:rPr>
          <w:rFonts w:ascii="Times New Roman" w:hAnsi="Times New Roman"/>
          <w:sz w:val="24"/>
          <w:szCs w:val="24"/>
        </w:rPr>
        <w:t xml:space="preserve"> a definition of the term </w:t>
      </w:r>
      <w:r>
        <w:rPr>
          <w:rFonts w:ascii="Times New Roman" w:hAnsi="Times New Roman"/>
          <w:b/>
          <w:i/>
          <w:sz w:val="24"/>
          <w:szCs w:val="24"/>
        </w:rPr>
        <w:t xml:space="preserve">ABN </w:t>
      </w:r>
      <w:r>
        <w:rPr>
          <w:rFonts w:ascii="Times New Roman" w:hAnsi="Times New Roman"/>
          <w:sz w:val="24"/>
          <w:szCs w:val="24"/>
        </w:rPr>
        <w:t>(short for Australian Business Number) into regulation 2.</w:t>
      </w:r>
    </w:p>
    <w:p w14:paraId="3DF61387" w14:textId="3E627315" w:rsidR="00974B5E" w:rsidRPr="00DD14FE" w:rsidRDefault="00D75358" w:rsidP="00814991">
      <w:pPr>
        <w:spacing w:after="240" w:line="276" w:lineRule="auto"/>
        <w:rPr>
          <w:rFonts w:ascii="Times New Roman" w:hAnsi="Times New Roman"/>
          <w:i/>
          <w:sz w:val="24"/>
          <w:szCs w:val="24"/>
        </w:rPr>
      </w:pPr>
      <w:r>
        <w:rPr>
          <w:rFonts w:ascii="Times New Roman" w:hAnsi="Times New Roman"/>
          <w:i/>
          <w:sz w:val="24"/>
          <w:szCs w:val="24"/>
        </w:rPr>
        <w:t>Emergency use of m</w:t>
      </w:r>
      <w:r w:rsidR="00974B5E" w:rsidRPr="00DD14FE">
        <w:rPr>
          <w:rFonts w:ascii="Times New Roman" w:hAnsi="Times New Roman"/>
          <w:i/>
          <w:sz w:val="24"/>
          <w:szCs w:val="24"/>
        </w:rPr>
        <w:t xml:space="preserve">ethyl </w:t>
      </w:r>
      <w:r>
        <w:rPr>
          <w:rFonts w:ascii="Times New Roman" w:hAnsi="Times New Roman"/>
          <w:i/>
          <w:sz w:val="24"/>
          <w:szCs w:val="24"/>
        </w:rPr>
        <w:t>b</w:t>
      </w:r>
      <w:r w:rsidR="00974B5E" w:rsidRPr="00DD14FE">
        <w:rPr>
          <w:rFonts w:ascii="Times New Roman" w:hAnsi="Times New Roman"/>
          <w:i/>
          <w:sz w:val="24"/>
          <w:szCs w:val="24"/>
        </w:rPr>
        <w:t>romide</w:t>
      </w:r>
    </w:p>
    <w:p w14:paraId="2457EDDF" w14:textId="3BAE2E1B" w:rsidR="00974B5E" w:rsidRPr="00B50D30" w:rsidRDefault="00974B5E" w:rsidP="00814991">
      <w:pPr>
        <w:spacing w:after="240" w:line="276" w:lineRule="auto"/>
        <w:rPr>
          <w:rFonts w:ascii="Times New Roman" w:hAnsi="Times New Roman"/>
          <w:sz w:val="24"/>
          <w:szCs w:val="24"/>
        </w:rPr>
      </w:pPr>
      <w:r>
        <w:rPr>
          <w:rFonts w:ascii="Times New Roman" w:hAnsi="Times New Roman"/>
          <w:sz w:val="24"/>
          <w:szCs w:val="24"/>
        </w:rPr>
        <w:t>Subdivision 6A.3.4A of the Principal</w:t>
      </w:r>
      <w:r w:rsidRPr="0079146E">
        <w:rPr>
          <w:rFonts w:ascii="Times New Roman" w:hAnsi="Times New Roman"/>
          <w:sz w:val="24"/>
          <w:szCs w:val="24"/>
        </w:rPr>
        <w:t xml:space="preserve"> </w:t>
      </w:r>
      <w:r>
        <w:rPr>
          <w:rFonts w:ascii="Times New Roman" w:hAnsi="Times New Roman"/>
          <w:sz w:val="24"/>
          <w:szCs w:val="24"/>
        </w:rPr>
        <w:t>R</w:t>
      </w:r>
      <w:r w:rsidRPr="0079146E">
        <w:rPr>
          <w:rFonts w:ascii="Times New Roman" w:hAnsi="Times New Roman"/>
          <w:sz w:val="24"/>
          <w:szCs w:val="24"/>
        </w:rPr>
        <w:t>egulations allow</w:t>
      </w:r>
      <w:r>
        <w:rPr>
          <w:rFonts w:ascii="Times New Roman" w:hAnsi="Times New Roman"/>
          <w:sz w:val="24"/>
          <w:szCs w:val="24"/>
        </w:rPr>
        <w:t>s</w:t>
      </w:r>
      <w:r w:rsidRPr="0079146E">
        <w:rPr>
          <w:rFonts w:ascii="Times New Roman" w:hAnsi="Times New Roman"/>
          <w:sz w:val="24"/>
          <w:szCs w:val="24"/>
        </w:rPr>
        <w:t xml:space="preserve"> for granting of non-QPS permits. </w:t>
      </w:r>
      <w:r>
        <w:rPr>
          <w:rFonts w:ascii="Times New Roman" w:hAnsi="Times New Roman"/>
          <w:sz w:val="24"/>
          <w:szCs w:val="24"/>
        </w:rPr>
        <w:t xml:space="preserve">Item </w:t>
      </w:r>
      <w:r w:rsidR="00DD14FE">
        <w:rPr>
          <w:rFonts w:ascii="Times New Roman" w:hAnsi="Times New Roman"/>
          <w:sz w:val="24"/>
          <w:szCs w:val="24"/>
        </w:rPr>
        <w:t>18</w:t>
      </w:r>
      <w:r>
        <w:rPr>
          <w:rFonts w:ascii="Times New Roman" w:hAnsi="Times New Roman"/>
          <w:sz w:val="24"/>
          <w:szCs w:val="24"/>
        </w:rPr>
        <w:t xml:space="preserve"> define</w:t>
      </w:r>
      <w:r w:rsidR="00894BBC">
        <w:rPr>
          <w:rFonts w:ascii="Times New Roman" w:hAnsi="Times New Roman"/>
          <w:sz w:val="24"/>
          <w:szCs w:val="24"/>
        </w:rPr>
        <w:t>s</w:t>
      </w:r>
      <w:r>
        <w:rPr>
          <w:rFonts w:ascii="Times New Roman" w:hAnsi="Times New Roman"/>
          <w:sz w:val="24"/>
          <w:szCs w:val="24"/>
        </w:rPr>
        <w:t xml:space="preserve"> the term </w:t>
      </w:r>
      <w:r>
        <w:rPr>
          <w:rFonts w:ascii="Times New Roman" w:hAnsi="Times New Roman"/>
          <w:b/>
          <w:i/>
          <w:sz w:val="24"/>
          <w:szCs w:val="24"/>
        </w:rPr>
        <w:t xml:space="preserve">non-QPS permit </w:t>
      </w:r>
      <w:r>
        <w:rPr>
          <w:rFonts w:ascii="Times New Roman" w:hAnsi="Times New Roman"/>
          <w:sz w:val="24"/>
          <w:szCs w:val="24"/>
        </w:rPr>
        <w:t xml:space="preserve">as a permit granted under </w:t>
      </w:r>
      <w:proofErr w:type="spellStart"/>
      <w:r>
        <w:rPr>
          <w:rFonts w:ascii="Times New Roman" w:hAnsi="Times New Roman"/>
          <w:sz w:val="24"/>
          <w:szCs w:val="24"/>
        </w:rPr>
        <w:t>subregulation</w:t>
      </w:r>
      <w:proofErr w:type="spellEnd"/>
      <w:r w:rsidR="00DD14FE">
        <w:rPr>
          <w:rFonts w:ascii="Times New Roman" w:hAnsi="Times New Roman"/>
          <w:sz w:val="24"/>
          <w:szCs w:val="24"/>
        </w:rPr>
        <w:t> </w:t>
      </w:r>
      <w:r>
        <w:rPr>
          <w:rFonts w:ascii="Times New Roman" w:hAnsi="Times New Roman"/>
          <w:sz w:val="24"/>
          <w:szCs w:val="24"/>
        </w:rPr>
        <w:t xml:space="preserve">235(1). </w:t>
      </w:r>
    </w:p>
    <w:p w14:paraId="5C4D56F5" w14:textId="7633DE4B" w:rsidR="00974B5E" w:rsidRPr="0047264C" w:rsidRDefault="00974B5E" w:rsidP="00814991">
      <w:pPr>
        <w:spacing w:after="240" w:line="276" w:lineRule="auto"/>
        <w:rPr>
          <w:rFonts w:ascii="Times New Roman" w:hAnsi="Times New Roman"/>
          <w:sz w:val="24"/>
          <w:szCs w:val="24"/>
        </w:rPr>
      </w:pPr>
      <w:r>
        <w:rPr>
          <w:rFonts w:ascii="Times New Roman" w:hAnsi="Times New Roman"/>
          <w:sz w:val="24"/>
          <w:szCs w:val="24"/>
        </w:rPr>
        <w:t>Before granting a non-QPS permit, the Minister must be satisfied that it is appropriate to do so after consulting with the parties to the Montreal Protocol and having regard to any advice received (</w:t>
      </w:r>
      <w:proofErr w:type="spellStart"/>
      <w:r>
        <w:rPr>
          <w:rFonts w:ascii="Times New Roman" w:hAnsi="Times New Roman"/>
          <w:sz w:val="24"/>
          <w:szCs w:val="24"/>
        </w:rPr>
        <w:t>subregulation</w:t>
      </w:r>
      <w:proofErr w:type="spellEnd"/>
      <w:r>
        <w:rPr>
          <w:rFonts w:ascii="Times New Roman" w:hAnsi="Times New Roman"/>
          <w:sz w:val="24"/>
          <w:szCs w:val="24"/>
        </w:rPr>
        <w:t xml:space="preserve"> 235(2)). As a result, t</w:t>
      </w:r>
      <w:r w:rsidRPr="0079146E">
        <w:rPr>
          <w:rFonts w:ascii="Times New Roman" w:hAnsi="Times New Roman"/>
          <w:sz w:val="24"/>
          <w:szCs w:val="24"/>
        </w:rPr>
        <w:t xml:space="preserve">he application and </w:t>
      </w:r>
      <w:r>
        <w:rPr>
          <w:rFonts w:ascii="Times New Roman" w:hAnsi="Times New Roman"/>
          <w:sz w:val="24"/>
          <w:szCs w:val="24"/>
        </w:rPr>
        <w:t>assessment</w:t>
      </w:r>
      <w:r w:rsidRPr="0079146E">
        <w:rPr>
          <w:rFonts w:ascii="Times New Roman" w:hAnsi="Times New Roman"/>
          <w:sz w:val="24"/>
          <w:szCs w:val="24"/>
        </w:rPr>
        <w:t xml:space="preserve"> process for non</w:t>
      </w:r>
      <w:r w:rsidR="00DD14FE">
        <w:rPr>
          <w:rFonts w:ascii="Times New Roman" w:hAnsi="Times New Roman"/>
          <w:sz w:val="24"/>
          <w:szCs w:val="24"/>
        </w:rPr>
        <w:noBreakHyphen/>
      </w:r>
      <w:r w:rsidRPr="0079146E">
        <w:rPr>
          <w:rFonts w:ascii="Times New Roman" w:hAnsi="Times New Roman"/>
          <w:sz w:val="24"/>
          <w:szCs w:val="24"/>
        </w:rPr>
        <w:t xml:space="preserve">QPS permits normally takes around 18 months. </w:t>
      </w:r>
    </w:p>
    <w:p w14:paraId="1E0DD1C4" w14:textId="77777777" w:rsidR="00974B5E" w:rsidRDefault="00974B5E" w:rsidP="00814991">
      <w:pPr>
        <w:spacing w:after="240" w:line="276" w:lineRule="auto"/>
        <w:rPr>
          <w:rFonts w:ascii="Times New Roman" w:hAnsi="Times New Roman"/>
          <w:sz w:val="24"/>
          <w:szCs w:val="24"/>
        </w:rPr>
      </w:pPr>
      <w:r w:rsidRPr="008718C8">
        <w:rPr>
          <w:rFonts w:ascii="Times New Roman" w:hAnsi="Times New Roman"/>
          <w:sz w:val="24"/>
          <w:szCs w:val="24"/>
        </w:rPr>
        <w:t>The Montreal Protocol allow</w:t>
      </w:r>
      <w:r>
        <w:rPr>
          <w:rFonts w:ascii="Times New Roman" w:hAnsi="Times New Roman"/>
          <w:sz w:val="24"/>
          <w:szCs w:val="24"/>
        </w:rPr>
        <w:t>s</w:t>
      </w:r>
      <w:r w:rsidRPr="008718C8">
        <w:rPr>
          <w:rFonts w:ascii="Times New Roman" w:hAnsi="Times New Roman"/>
          <w:sz w:val="24"/>
          <w:szCs w:val="24"/>
        </w:rPr>
        <w:t xml:space="preserve"> for </w:t>
      </w:r>
      <w:r>
        <w:rPr>
          <w:rFonts w:ascii="Times New Roman" w:hAnsi="Times New Roman"/>
          <w:sz w:val="24"/>
          <w:szCs w:val="24"/>
        </w:rPr>
        <w:t>non-QPS use of methyl bromide</w:t>
      </w:r>
      <w:r w:rsidRPr="008718C8">
        <w:rPr>
          <w:rFonts w:ascii="Times New Roman" w:hAnsi="Times New Roman"/>
          <w:sz w:val="24"/>
          <w:szCs w:val="24"/>
        </w:rPr>
        <w:t xml:space="preserve"> without fi</w:t>
      </w:r>
      <w:r>
        <w:rPr>
          <w:rFonts w:ascii="Times New Roman" w:hAnsi="Times New Roman"/>
          <w:sz w:val="24"/>
          <w:szCs w:val="24"/>
        </w:rPr>
        <w:t>rst consulting with the parties</w:t>
      </w:r>
      <w:r w:rsidRPr="008718C8">
        <w:rPr>
          <w:rFonts w:ascii="Times New Roman" w:hAnsi="Times New Roman"/>
          <w:sz w:val="24"/>
          <w:szCs w:val="24"/>
        </w:rPr>
        <w:t xml:space="preserve"> in very limited </w:t>
      </w:r>
      <w:r>
        <w:rPr>
          <w:rFonts w:ascii="Times New Roman" w:hAnsi="Times New Roman"/>
          <w:sz w:val="24"/>
          <w:szCs w:val="24"/>
        </w:rPr>
        <w:t xml:space="preserve">emergency </w:t>
      </w:r>
      <w:r w:rsidRPr="008718C8">
        <w:rPr>
          <w:rFonts w:ascii="Times New Roman" w:hAnsi="Times New Roman"/>
          <w:sz w:val="24"/>
          <w:szCs w:val="24"/>
        </w:rPr>
        <w:t>circumstances</w:t>
      </w:r>
      <w:r>
        <w:rPr>
          <w:rFonts w:ascii="Times New Roman" w:hAnsi="Times New Roman"/>
          <w:sz w:val="24"/>
          <w:szCs w:val="24"/>
        </w:rPr>
        <w:t>, such as</w:t>
      </w:r>
      <w:r w:rsidRPr="008718C8">
        <w:rPr>
          <w:rFonts w:ascii="Times New Roman" w:hAnsi="Times New Roman"/>
          <w:sz w:val="24"/>
          <w:szCs w:val="24"/>
        </w:rPr>
        <w:t xml:space="preserve"> an unusual disease outbreak in a crop </w:t>
      </w:r>
      <w:r>
        <w:rPr>
          <w:rFonts w:ascii="Times New Roman" w:hAnsi="Times New Roman"/>
          <w:sz w:val="24"/>
          <w:szCs w:val="24"/>
        </w:rPr>
        <w:t xml:space="preserve">or production facility </w:t>
      </w:r>
      <w:r w:rsidRPr="008718C8">
        <w:rPr>
          <w:rFonts w:ascii="Times New Roman" w:hAnsi="Times New Roman"/>
          <w:sz w:val="24"/>
          <w:szCs w:val="24"/>
        </w:rPr>
        <w:t>where no other fumigant is suitable.</w:t>
      </w:r>
      <w:r>
        <w:rPr>
          <w:rFonts w:ascii="Times New Roman" w:hAnsi="Times New Roman"/>
          <w:sz w:val="24"/>
          <w:szCs w:val="24"/>
        </w:rPr>
        <w:t xml:space="preserve"> These circumstances are not currently provided for in the Principal Regulations. </w:t>
      </w:r>
    </w:p>
    <w:p w14:paraId="1335211A" w14:textId="1A08DCB8" w:rsidR="00974B5E" w:rsidRDefault="00974B5E" w:rsidP="00814991">
      <w:pPr>
        <w:spacing w:after="240" w:line="276" w:lineRule="auto"/>
        <w:rPr>
          <w:rFonts w:ascii="Times New Roman" w:hAnsi="Times New Roman"/>
          <w:sz w:val="24"/>
          <w:szCs w:val="24"/>
        </w:rPr>
      </w:pPr>
      <w:r>
        <w:rPr>
          <w:rFonts w:ascii="Times New Roman" w:hAnsi="Times New Roman"/>
          <w:sz w:val="24"/>
          <w:szCs w:val="24"/>
        </w:rPr>
        <w:t>To enable a person to apply for a non-QPS permit in the emergency circumstances provided for i</w:t>
      </w:r>
      <w:r w:rsidR="007D2575">
        <w:rPr>
          <w:rFonts w:ascii="Times New Roman" w:hAnsi="Times New Roman"/>
          <w:sz w:val="24"/>
          <w:szCs w:val="24"/>
        </w:rPr>
        <w:t xml:space="preserve">n the Montreal Protocol, Item </w:t>
      </w:r>
      <w:r w:rsidR="00DD14FE">
        <w:rPr>
          <w:rFonts w:ascii="Times New Roman" w:hAnsi="Times New Roman"/>
          <w:sz w:val="24"/>
          <w:szCs w:val="24"/>
        </w:rPr>
        <w:t>33</w:t>
      </w:r>
      <w:r>
        <w:rPr>
          <w:rFonts w:ascii="Times New Roman" w:hAnsi="Times New Roman"/>
          <w:sz w:val="24"/>
          <w:szCs w:val="24"/>
        </w:rPr>
        <w:t xml:space="preserve"> amend</w:t>
      </w:r>
      <w:r w:rsidR="00894BBC">
        <w:rPr>
          <w:rFonts w:ascii="Times New Roman" w:hAnsi="Times New Roman"/>
          <w:sz w:val="24"/>
          <w:szCs w:val="24"/>
        </w:rPr>
        <w:t>s</w:t>
      </w:r>
      <w:r>
        <w:rPr>
          <w:rFonts w:ascii="Times New Roman" w:hAnsi="Times New Roman"/>
          <w:sz w:val="24"/>
          <w:szCs w:val="24"/>
        </w:rPr>
        <w:t xml:space="preserve"> </w:t>
      </w:r>
      <w:proofErr w:type="spellStart"/>
      <w:r>
        <w:rPr>
          <w:rFonts w:ascii="Times New Roman" w:hAnsi="Times New Roman"/>
          <w:sz w:val="24"/>
          <w:szCs w:val="24"/>
        </w:rPr>
        <w:t>subregulation</w:t>
      </w:r>
      <w:proofErr w:type="spellEnd"/>
      <w:r>
        <w:rPr>
          <w:rFonts w:ascii="Times New Roman" w:hAnsi="Times New Roman"/>
          <w:sz w:val="24"/>
          <w:szCs w:val="24"/>
        </w:rPr>
        <w:t xml:space="preserve"> 235(2) to enable the Minister to grant a non-QPS permit if the Minister is satisfied that an emergency situation exists and it is appropriate to grant the permit to deal with the emergency situation. Under existing </w:t>
      </w:r>
      <w:proofErr w:type="spellStart"/>
      <w:r>
        <w:rPr>
          <w:rFonts w:ascii="Times New Roman" w:hAnsi="Times New Roman"/>
          <w:sz w:val="24"/>
          <w:szCs w:val="24"/>
        </w:rPr>
        <w:t>subregulation</w:t>
      </w:r>
      <w:proofErr w:type="spellEnd"/>
      <w:r>
        <w:rPr>
          <w:rFonts w:ascii="Times New Roman" w:hAnsi="Times New Roman"/>
          <w:sz w:val="24"/>
          <w:szCs w:val="24"/>
        </w:rPr>
        <w:t xml:space="preserve"> 235(3), the Minister cannot grant the permit if the Minister is satisfied that to do so would be inconsistent with Australia’s obligations under the Montreal Protocol. </w:t>
      </w:r>
    </w:p>
    <w:p w14:paraId="78438E33" w14:textId="07A5355B" w:rsidR="00974B5E" w:rsidRDefault="00974B5E" w:rsidP="00814991">
      <w:pPr>
        <w:spacing w:after="240" w:line="276" w:lineRule="auto"/>
        <w:rPr>
          <w:rFonts w:ascii="Times New Roman" w:hAnsi="Times New Roman"/>
          <w:sz w:val="24"/>
          <w:szCs w:val="24"/>
        </w:rPr>
      </w:pPr>
      <w:r>
        <w:rPr>
          <w:rFonts w:ascii="Times New Roman" w:hAnsi="Times New Roman"/>
          <w:sz w:val="24"/>
          <w:szCs w:val="24"/>
        </w:rPr>
        <w:t xml:space="preserve">To ensure the grant of a non-QPS permit for emergency circumstances (referred to as an emergency non-QPS permit) is consistent with the Montreal Protocol, Item </w:t>
      </w:r>
      <w:r w:rsidR="00DD14FE">
        <w:rPr>
          <w:rFonts w:ascii="Times New Roman" w:hAnsi="Times New Roman"/>
          <w:sz w:val="24"/>
          <w:szCs w:val="24"/>
        </w:rPr>
        <w:t>34</w:t>
      </w:r>
      <w:r>
        <w:rPr>
          <w:rFonts w:ascii="Times New Roman" w:hAnsi="Times New Roman"/>
          <w:sz w:val="24"/>
          <w:szCs w:val="24"/>
        </w:rPr>
        <w:t xml:space="preserve"> insert</w:t>
      </w:r>
      <w:r w:rsidR="00894BBC">
        <w:rPr>
          <w:rFonts w:ascii="Times New Roman" w:hAnsi="Times New Roman"/>
          <w:sz w:val="24"/>
          <w:szCs w:val="24"/>
        </w:rPr>
        <w:t xml:space="preserve">s </w:t>
      </w:r>
      <w:proofErr w:type="spellStart"/>
      <w:r>
        <w:rPr>
          <w:rFonts w:ascii="Times New Roman" w:hAnsi="Times New Roman"/>
          <w:sz w:val="24"/>
          <w:szCs w:val="24"/>
        </w:rPr>
        <w:t>subregu</w:t>
      </w:r>
      <w:r w:rsidR="003824F6">
        <w:rPr>
          <w:rFonts w:ascii="Times New Roman" w:hAnsi="Times New Roman"/>
          <w:sz w:val="24"/>
          <w:szCs w:val="24"/>
        </w:rPr>
        <w:t>la</w:t>
      </w:r>
      <w:r>
        <w:rPr>
          <w:rFonts w:ascii="Times New Roman" w:hAnsi="Times New Roman"/>
          <w:sz w:val="24"/>
          <w:szCs w:val="24"/>
        </w:rPr>
        <w:t>tion</w:t>
      </w:r>
      <w:proofErr w:type="spellEnd"/>
      <w:r>
        <w:rPr>
          <w:rFonts w:ascii="Times New Roman" w:hAnsi="Times New Roman"/>
          <w:sz w:val="24"/>
          <w:szCs w:val="24"/>
        </w:rPr>
        <w:t xml:space="preserve"> 235(3A) clarifying that such a permit must not permit the use of more than 20</w:t>
      </w:r>
      <w:r w:rsidR="00DD14FE">
        <w:rPr>
          <w:rFonts w:ascii="Times New Roman" w:hAnsi="Times New Roman"/>
          <w:sz w:val="24"/>
          <w:szCs w:val="24"/>
        </w:rPr>
        <w:t> </w:t>
      </w:r>
      <w:r>
        <w:rPr>
          <w:rFonts w:ascii="Times New Roman" w:hAnsi="Times New Roman"/>
          <w:sz w:val="24"/>
          <w:szCs w:val="24"/>
        </w:rPr>
        <w:t xml:space="preserve">tonnes of methyl bromide. This is in line with </w:t>
      </w:r>
      <w:r w:rsidRPr="00C021D1">
        <w:rPr>
          <w:rFonts w:ascii="Times New Roman" w:hAnsi="Times New Roman"/>
          <w:sz w:val="24"/>
          <w:szCs w:val="24"/>
        </w:rPr>
        <w:t>Decision IX/7 of the Montreal Protocol</w:t>
      </w:r>
      <w:r>
        <w:rPr>
          <w:rFonts w:ascii="Times New Roman" w:hAnsi="Times New Roman"/>
          <w:sz w:val="24"/>
          <w:szCs w:val="24"/>
        </w:rPr>
        <w:t>.</w:t>
      </w:r>
    </w:p>
    <w:p w14:paraId="11802689" w14:textId="4DB8ADEC" w:rsidR="006A0CD2" w:rsidRDefault="006A0CD2" w:rsidP="00814991">
      <w:pPr>
        <w:spacing w:after="240" w:line="276" w:lineRule="auto"/>
        <w:rPr>
          <w:rFonts w:ascii="Times New Roman" w:hAnsi="Times New Roman"/>
          <w:sz w:val="24"/>
          <w:szCs w:val="24"/>
        </w:rPr>
      </w:pPr>
      <w:r>
        <w:rPr>
          <w:rFonts w:ascii="Times New Roman" w:hAnsi="Times New Roman"/>
          <w:sz w:val="24"/>
          <w:szCs w:val="24"/>
        </w:rPr>
        <w:t xml:space="preserve">Item </w:t>
      </w:r>
      <w:r w:rsidR="00DD14FE">
        <w:rPr>
          <w:rFonts w:ascii="Times New Roman" w:hAnsi="Times New Roman"/>
          <w:sz w:val="24"/>
          <w:szCs w:val="24"/>
        </w:rPr>
        <w:t>35</w:t>
      </w:r>
      <w:r>
        <w:rPr>
          <w:rFonts w:ascii="Times New Roman" w:hAnsi="Times New Roman"/>
          <w:sz w:val="24"/>
          <w:szCs w:val="24"/>
        </w:rPr>
        <w:t xml:space="preserve"> amend</w:t>
      </w:r>
      <w:r w:rsidR="00894BBC">
        <w:rPr>
          <w:rFonts w:ascii="Times New Roman" w:hAnsi="Times New Roman"/>
          <w:sz w:val="24"/>
          <w:szCs w:val="24"/>
        </w:rPr>
        <w:t>s</w:t>
      </w:r>
      <w:r>
        <w:rPr>
          <w:rFonts w:ascii="Times New Roman" w:hAnsi="Times New Roman"/>
          <w:sz w:val="24"/>
          <w:szCs w:val="24"/>
        </w:rPr>
        <w:t xml:space="preserve"> subparagraph</w:t>
      </w:r>
      <w:r w:rsidRPr="00CC2521">
        <w:rPr>
          <w:rFonts w:ascii="Times New Roman" w:hAnsi="Times New Roman"/>
          <w:sz w:val="24"/>
          <w:szCs w:val="24"/>
        </w:rPr>
        <w:t xml:space="preserve"> 235(</w:t>
      </w:r>
      <w:r>
        <w:rPr>
          <w:rFonts w:ascii="Times New Roman" w:hAnsi="Times New Roman"/>
          <w:sz w:val="24"/>
          <w:szCs w:val="24"/>
        </w:rPr>
        <w:t>5</w:t>
      </w:r>
      <w:r w:rsidRPr="00CC2521">
        <w:rPr>
          <w:rFonts w:ascii="Times New Roman" w:hAnsi="Times New Roman"/>
          <w:sz w:val="24"/>
          <w:szCs w:val="24"/>
        </w:rPr>
        <w:t>)(</w:t>
      </w:r>
      <w:r>
        <w:rPr>
          <w:rFonts w:ascii="Times New Roman" w:hAnsi="Times New Roman"/>
          <w:sz w:val="24"/>
          <w:szCs w:val="24"/>
        </w:rPr>
        <w:t>b</w:t>
      </w:r>
      <w:r w:rsidRPr="00CC2521">
        <w:rPr>
          <w:rFonts w:ascii="Times New Roman" w:hAnsi="Times New Roman"/>
          <w:sz w:val="24"/>
          <w:szCs w:val="24"/>
        </w:rPr>
        <w:t>)</w:t>
      </w:r>
      <w:r>
        <w:rPr>
          <w:rFonts w:ascii="Times New Roman" w:hAnsi="Times New Roman"/>
          <w:sz w:val="24"/>
          <w:szCs w:val="24"/>
        </w:rPr>
        <w:t>(ii) to clarify an existing condition on non</w:t>
      </w:r>
      <w:r w:rsidR="00DD14FE">
        <w:rPr>
          <w:rFonts w:ascii="Times New Roman" w:hAnsi="Times New Roman"/>
          <w:sz w:val="24"/>
          <w:szCs w:val="24"/>
        </w:rPr>
        <w:noBreakHyphen/>
      </w:r>
      <w:r>
        <w:rPr>
          <w:rFonts w:ascii="Times New Roman" w:hAnsi="Times New Roman"/>
          <w:sz w:val="24"/>
          <w:szCs w:val="24"/>
        </w:rPr>
        <w:t>QPS permits, making it clearer that the methyl bromide specified in the permit may only be used at the geographic location specified in the permit.</w:t>
      </w:r>
      <w:r w:rsidR="00F03932">
        <w:rPr>
          <w:rFonts w:ascii="Times New Roman" w:hAnsi="Times New Roman"/>
          <w:sz w:val="24"/>
          <w:szCs w:val="24"/>
        </w:rPr>
        <w:t xml:space="preserve"> The existing wording ‘the use is to treat a geographic location specified in the permit’ may unnecessarily restrict the use to treating the ground at a location. The Explanatory Statement for the </w:t>
      </w:r>
      <w:r w:rsidR="00F03932" w:rsidRPr="00A04EBE">
        <w:rPr>
          <w:rFonts w:ascii="Times New Roman" w:hAnsi="Times New Roman"/>
          <w:i/>
          <w:sz w:val="24"/>
          <w:szCs w:val="24"/>
        </w:rPr>
        <w:t>Ozone Protection and Synthetic Greenhouse Gas Management Amendment (Methyl Bromide, Fire Protection and Other Measures) Regulations 2018</w:t>
      </w:r>
      <w:r w:rsidR="00F03932">
        <w:rPr>
          <w:rFonts w:ascii="Times New Roman" w:hAnsi="Times New Roman"/>
          <w:i/>
          <w:sz w:val="24"/>
          <w:szCs w:val="24"/>
        </w:rPr>
        <w:t xml:space="preserve">, </w:t>
      </w:r>
      <w:r w:rsidR="00F03932" w:rsidRPr="00F03932">
        <w:rPr>
          <w:rFonts w:ascii="Times New Roman" w:hAnsi="Times New Roman"/>
          <w:sz w:val="24"/>
          <w:szCs w:val="24"/>
        </w:rPr>
        <w:t xml:space="preserve">which introduced the process </w:t>
      </w:r>
      <w:r w:rsidR="00F03932">
        <w:rPr>
          <w:rFonts w:ascii="Times New Roman" w:hAnsi="Times New Roman"/>
          <w:sz w:val="24"/>
          <w:szCs w:val="24"/>
        </w:rPr>
        <w:t xml:space="preserve">at regulation 235 </w:t>
      </w:r>
      <w:r w:rsidR="00F03932" w:rsidRPr="00F03932">
        <w:rPr>
          <w:rFonts w:ascii="Times New Roman" w:hAnsi="Times New Roman"/>
          <w:sz w:val="24"/>
          <w:szCs w:val="24"/>
        </w:rPr>
        <w:t>for granting of non-QPS permits</w:t>
      </w:r>
      <w:r w:rsidR="00F03932">
        <w:rPr>
          <w:rFonts w:ascii="Times New Roman" w:hAnsi="Times New Roman"/>
          <w:sz w:val="24"/>
          <w:szCs w:val="24"/>
        </w:rPr>
        <w:t>,</w:t>
      </w:r>
      <w:r w:rsidR="00F03932" w:rsidRPr="00F03932">
        <w:rPr>
          <w:rFonts w:ascii="Times New Roman" w:hAnsi="Times New Roman"/>
          <w:sz w:val="24"/>
          <w:szCs w:val="24"/>
        </w:rPr>
        <w:t xml:space="preserve"> made clear that</w:t>
      </w:r>
      <w:r w:rsidR="00F03932">
        <w:rPr>
          <w:rFonts w:ascii="Times New Roman" w:hAnsi="Times New Roman"/>
          <w:i/>
          <w:sz w:val="24"/>
          <w:szCs w:val="24"/>
        </w:rPr>
        <w:t xml:space="preserve"> </w:t>
      </w:r>
      <w:r w:rsidR="00F03932" w:rsidRPr="00F03932">
        <w:rPr>
          <w:rFonts w:ascii="Times New Roman" w:hAnsi="Times New Roman"/>
          <w:sz w:val="24"/>
          <w:szCs w:val="24"/>
        </w:rPr>
        <w:t>“the permit holder</w:t>
      </w:r>
      <w:r w:rsidR="00F03932">
        <w:rPr>
          <w:rFonts w:ascii="Times New Roman" w:hAnsi="Times New Roman"/>
          <w:i/>
          <w:sz w:val="24"/>
          <w:szCs w:val="24"/>
        </w:rPr>
        <w:t xml:space="preserve"> </w:t>
      </w:r>
      <w:r w:rsidR="00F03932">
        <w:rPr>
          <w:rFonts w:ascii="Times New Roman" w:hAnsi="Times New Roman"/>
          <w:sz w:val="24"/>
          <w:szCs w:val="24"/>
        </w:rPr>
        <w:t xml:space="preserve">will be prohibited from using … methyl </w:t>
      </w:r>
      <w:r w:rsidR="00F03932">
        <w:rPr>
          <w:rFonts w:ascii="Times New Roman" w:hAnsi="Times New Roman"/>
          <w:sz w:val="24"/>
          <w:szCs w:val="24"/>
        </w:rPr>
        <w:lastRenderedPageBreak/>
        <w:t>bromide for either a use not specified in the permit or in a different geographical location from that specified in the permit.”.</w:t>
      </w:r>
    </w:p>
    <w:p w14:paraId="4153E482" w14:textId="14291854" w:rsidR="00974B5E" w:rsidRDefault="00974B5E" w:rsidP="00814991">
      <w:pPr>
        <w:spacing w:after="240" w:line="276" w:lineRule="auto"/>
        <w:rPr>
          <w:rFonts w:ascii="Times New Roman" w:hAnsi="Times New Roman"/>
          <w:sz w:val="24"/>
          <w:szCs w:val="24"/>
        </w:rPr>
      </w:pPr>
      <w:r>
        <w:rPr>
          <w:rFonts w:ascii="Times New Roman" w:hAnsi="Times New Roman"/>
          <w:sz w:val="24"/>
          <w:szCs w:val="24"/>
        </w:rPr>
        <w:t xml:space="preserve">As the Minister is not required to consult the parties of the Montreal Protocol before granting an emergency non-QPS permit, Item </w:t>
      </w:r>
      <w:r w:rsidR="00DD14FE">
        <w:rPr>
          <w:rFonts w:ascii="Times New Roman" w:hAnsi="Times New Roman"/>
          <w:sz w:val="24"/>
          <w:szCs w:val="24"/>
        </w:rPr>
        <w:t>36</w:t>
      </w:r>
      <w:r>
        <w:rPr>
          <w:rFonts w:ascii="Times New Roman" w:hAnsi="Times New Roman"/>
          <w:sz w:val="24"/>
          <w:szCs w:val="24"/>
        </w:rPr>
        <w:t xml:space="preserve"> insert</w:t>
      </w:r>
      <w:r w:rsidR="00894BBC">
        <w:rPr>
          <w:rFonts w:ascii="Times New Roman" w:hAnsi="Times New Roman"/>
          <w:sz w:val="24"/>
          <w:szCs w:val="24"/>
        </w:rPr>
        <w:t>s</w:t>
      </w:r>
      <w:r>
        <w:rPr>
          <w:rFonts w:ascii="Times New Roman" w:hAnsi="Times New Roman"/>
          <w:sz w:val="24"/>
          <w:szCs w:val="24"/>
        </w:rPr>
        <w:t xml:space="preserve"> a new subsection 235(7A) which require</w:t>
      </w:r>
      <w:r w:rsidR="00894BBC">
        <w:rPr>
          <w:rFonts w:ascii="Times New Roman" w:hAnsi="Times New Roman"/>
          <w:sz w:val="24"/>
          <w:szCs w:val="24"/>
        </w:rPr>
        <w:t>s</w:t>
      </w:r>
      <w:r>
        <w:rPr>
          <w:rFonts w:ascii="Times New Roman" w:hAnsi="Times New Roman"/>
          <w:sz w:val="24"/>
          <w:szCs w:val="24"/>
        </w:rPr>
        <w:t xml:space="preserve"> the Minister to notify the parties to the Montreal Protocol as soon as practicable after the methyl bromide has been used. The notification must incl</w:t>
      </w:r>
      <w:r w:rsidR="00A44591">
        <w:rPr>
          <w:rFonts w:ascii="Times New Roman" w:hAnsi="Times New Roman"/>
          <w:sz w:val="24"/>
          <w:szCs w:val="24"/>
        </w:rPr>
        <w:t>ude the following information: t</w:t>
      </w:r>
      <w:r>
        <w:rPr>
          <w:rFonts w:ascii="Times New Roman" w:hAnsi="Times New Roman"/>
          <w:sz w:val="24"/>
          <w:szCs w:val="24"/>
        </w:rPr>
        <w:t xml:space="preserve">he amount of methyl bromide used; the purpose for which the methyl bromide was used; the kind of produce the methyl bromide was applied to or for; details of the emergency situation that required the use of the methyl bromide; and, </w:t>
      </w:r>
      <w:r w:rsidRPr="009E5ACF">
        <w:rPr>
          <w:rFonts w:ascii="Times New Roman" w:hAnsi="Times New Roman"/>
          <w:sz w:val="24"/>
          <w:szCs w:val="24"/>
        </w:rPr>
        <w:t>the reasons why alternative treatments were not suitable to deal with the emergency situation.</w:t>
      </w:r>
      <w:r>
        <w:rPr>
          <w:rFonts w:ascii="Times New Roman" w:hAnsi="Times New Roman"/>
          <w:sz w:val="24"/>
          <w:szCs w:val="24"/>
        </w:rPr>
        <w:t xml:space="preserve"> </w:t>
      </w:r>
    </w:p>
    <w:p w14:paraId="4A722432" w14:textId="62BC8C69" w:rsidR="00974B5E" w:rsidRDefault="00974B5E" w:rsidP="00814991">
      <w:pPr>
        <w:spacing w:after="240" w:line="276" w:lineRule="auto"/>
        <w:rPr>
          <w:rFonts w:ascii="Times New Roman" w:hAnsi="Times New Roman"/>
          <w:sz w:val="24"/>
          <w:szCs w:val="24"/>
        </w:rPr>
      </w:pPr>
      <w:r>
        <w:rPr>
          <w:rFonts w:ascii="Times New Roman" w:hAnsi="Times New Roman"/>
          <w:sz w:val="24"/>
          <w:szCs w:val="24"/>
        </w:rPr>
        <w:t xml:space="preserve">The information provided </w:t>
      </w:r>
      <w:r w:rsidR="00894BBC">
        <w:rPr>
          <w:rFonts w:ascii="Times New Roman" w:hAnsi="Times New Roman"/>
          <w:sz w:val="24"/>
          <w:szCs w:val="24"/>
        </w:rPr>
        <w:t>will</w:t>
      </w:r>
      <w:r>
        <w:rPr>
          <w:rFonts w:ascii="Times New Roman" w:hAnsi="Times New Roman"/>
          <w:sz w:val="24"/>
          <w:szCs w:val="24"/>
        </w:rPr>
        <w:t xml:space="preserve"> need to be sufficient to show that allowing the emergency use was in accordance with the Montreal Protocol. The notification </w:t>
      </w:r>
      <w:r w:rsidR="00894BBC">
        <w:rPr>
          <w:rFonts w:ascii="Times New Roman" w:hAnsi="Times New Roman"/>
          <w:sz w:val="24"/>
          <w:szCs w:val="24"/>
        </w:rPr>
        <w:t>will</w:t>
      </w:r>
      <w:r>
        <w:rPr>
          <w:rFonts w:ascii="Times New Roman" w:hAnsi="Times New Roman"/>
          <w:sz w:val="24"/>
          <w:szCs w:val="24"/>
        </w:rPr>
        <w:t xml:space="preserve"> be made through the Secretariat to the Montreal Protocol.</w:t>
      </w:r>
    </w:p>
    <w:p w14:paraId="17E36B42" w14:textId="5E410D4D" w:rsidR="00974B5E" w:rsidRDefault="00974B5E" w:rsidP="00814991">
      <w:pPr>
        <w:spacing w:after="240" w:line="276" w:lineRule="auto"/>
        <w:rPr>
          <w:rFonts w:ascii="Times New Roman" w:hAnsi="Times New Roman"/>
          <w:sz w:val="24"/>
          <w:szCs w:val="24"/>
        </w:rPr>
      </w:pPr>
      <w:r>
        <w:rPr>
          <w:rFonts w:ascii="Times New Roman" w:hAnsi="Times New Roman"/>
          <w:sz w:val="24"/>
          <w:szCs w:val="24"/>
        </w:rPr>
        <w:t xml:space="preserve">Item </w:t>
      </w:r>
      <w:r w:rsidR="00DD14FE">
        <w:rPr>
          <w:rFonts w:ascii="Times New Roman" w:hAnsi="Times New Roman"/>
          <w:sz w:val="24"/>
          <w:szCs w:val="24"/>
        </w:rPr>
        <w:t>37</w:t>
      </w:r>
      <w:r>
        <w:rPr>
          <w:rFonts w:ascii="Times New Roman" w:hAnsi="Times New Roman"/>
          <w:sz w:val="24"/>
          <w:szCs w:val="24"/>
        </w:rPr>
        <w:t xml:space="preserve"> inserts a new </w:t>
      </w:r>
      <w:proofErr w:type="spellStart"/>
      <w:r>
        <w:rPr>
          <w:rFonts w:ascii="Times New Roman" w:hAnsi="Times New Roman"/>
          <w:sz w:val="24"/>
          <w:szCs w:val="24"/>
        </w:rPr>
        <w:t>subregulation</w:t>
      </w:r>
      <w:proofErr w:type="spellEnd"/>
      <w:r>
        <w:rPr>
          <w:rFonts w:ascii="Times New Roman" w:hAnsi="Times New Roman"/>
          <w:sz w:val="24"/>
          <w:szCs w:val="24"/>
        </w:rPr>
        <w:t xml:space="preserve"> 237(1A) into the Principal Regulations to clarify that that an emergency non-QPS permit may not be transferred. The transfer provision is not applicable in emergency use circumstances which would all</w:t>
      </w:r>
      <w:r w:rsidR="00A44591">
        <w:rPr>
          <w:rFonts w:ascii="Times New Roman" w:hAnsi="Times New Roman"/>
          <w:sz w:val="24"/>
          <w:szCs w:val="24"/>
        </w:rPr>
        <w:t>ow</w:t>
      </w:r>
      <w:r>
        <w:rPr>
          <w:rFonts w:ascii="Times New Roman" w:hAnsi="Times New Roman"/>
          <w:sz w:val="24"/>
          <w:szCs w:val="24"/>
        </w:rPr>
        <w:t xml:space="preserve"> methyl bromide use </w:t>
      </w:r>
      <w:r w:rsidR="00CE4168">
        <w:rPr>
          <w:rFonts w:ascii="Times New Roman" w:hAnsi="Times New Roman"/>
          <w:sz w:val="24"/>
          <w:szCs w:val="24"/>
        </w:rPr>
        <w:t xml:space="preserve">only </w:t>
      </w:r>
      <w:r>
        <w:rPr>
          <w:rFonts w:ascii="Times New Roman" w:hAnsi="Times New Roman"/>
          <w:sz w:val="24"/>
          <w:szCs w:val="24"/>
        </w:rPr>
        <w:t xml:space="preserve">for a very short timeframe. Item </w:t>
      </w:r>
      <w:r w:rsidR="00DD14FE">
        <w:rPr>
          <w:rFonts w:ascii="Times New Roman" w:hAnsi="Times New Roman"/>
          <w:sz w:val="24"/>
          <w:szCs w:val="24"/>
        </w:rPr>
        <w:t>38</w:t>
      </w:r>
      <w:r>
        <w:rPr>
          <w:rFonts w:ascii="Times New Roman" w:hAnsi="Times New Roman"/>
          <w:sz w:val="24"/>
          <w:szCs w:val="24"/>
        </w:rPr>
        <w:t xml:space="preserve"> is required as a consequence of Item </w:t>
      </w:r>
      <w:r w:rsidR="00DD14FE">
        <w:rPr>
          <w:rFonts w:ascii="Times New Roman" w:hAnsi="Times New Roman"/>
          <w:sz w:val="24"/>
          <w:szCs w:val="24"/>
        </w:rPr>
        <w:t>37</w:t>
      </w:r>
      <w:r>
        <w:rPr>
          <w:rFonts w:ascii="Times New Roman" w:hAnsi="Times New Roman"/>
          <w:sz w:val="24"/>
          <w:szCs w:val="24"/>
        </w:rPr>
        <w:t xml:space="preserve"> to clarify that as an emergency non</w:t>
      </w:r>
      <w:r w:rsidR="00DD14FE">
        <w:rPr>
          <w:rFonts w:ascii="Times New Roman" w:hAnsi="Times New Roman"/>
          <w:sz w:val="24"/>
          <w:szCs w:val="24"/>
        </w:rPr>
        <w:noBreakHyphen/>
      </w:r>
      <w:r>
        <w:rPr>
          <w:rFonts w:ascii="Times New Roman" w:hAnsi="Times New Roman"/>
          <w:sz w:val="24"/>
          <w:szCs w:val="24"/>
        </w:rPr>
        <w:t xml:space="preserve">QPS </w:t>
      </w:r>
      <w:r w:rsidR="00DD14FE">
        <w:rPr>
          <w:rFonts w:ascii="Times New Roman" w:hAnsi="Times New Roman"/>
          <w:sz w:val="24"/>
          <w:szCs w:val="24"/>
        </w:rPr>
        <w:t>permit</w:t>
      </w:r>
      <w:r>
        <w:rPr>
          <w:rFonts w:ascii="Times New Roman" w:hAnsi="Times New Roman"/>
          <w:sz w:val="24"/>
          <w:szCs w:val="24"/>
        </w:rPr>
        <w:t xml:space="preserve"> cannot be transferred, review of a transfer decision by the Administrative Appeals Tribunal is not applicable.</w:t>
      </w:r>
    </w:p>
    <w:p w14:paraId="0A967555" w14:textId="01ED073B" w:rsidR="00974B5E" w:rsidRDefault="00974B5E" w:rsidP="00814991">
      <w:pPr>
        <w:spacing w:after="240" w:line="276" w:lineRule="auto"/>
        <w:rPr>
          <w:rFonts w:ascii="Times New Roman" w:hAnsi="Times New Roman"/>
          <w:sz w:val="24"/>
          <w:szCs w:val="24"/>
        </w:rPr>
      </w:pPr>
      <w:r>
        <w:rPr>
          <w:rFonts w:ascii="Times New Roman" w:hAnsi="Times New Roman"/>
          <w:sz w:val="24"/>
          <w:szCs w:val="24"/>
        </w:rPr>
        <w:t xml:space="preserve">Item </w:t>
      </w:r>
      <w:r w:rsidR="00DD14FE">
        <w:rPr>
          <w:rFonts w:ascii="Times New Roman" w:hAnsi="Times New Roman"/>
          <w:sz w:val="24"/>
          <w:szCs w:val="24"/>
        </w:rPr>
        <w:t>32</w:t>
      </w:r>
      <w:r>
        <w:rPr>
          <w:rFonts w:ascii="Times New Roman" w:hAnsi="Times New Roman"/>
          <w:sz w:val="24"/>
          <w:szCs w:val="24"/>
        </w:rPr>
        <w:t xml:space="preserve"> insert</w:t>
      </w:r>
      <w:r w:rsidR="00894BBC">
        <w:rPr>
          <w:rFonts w:ascii="Times New Roman" w:hAnsi="Times New Roman"/>
          <w:sz w:val="24"/>
          <w:szCs w:val="24"/>
        </w:rPr>
        <w:t>s</w:t>
      </w:r>
      <w:r>
        <w:rPr>
          <w:rFonts w:ascii="Times New Roman" w:hAnsi="Times New Roman"/>
          <w:sz w:val="24"/>
          <w:szCs w:val="24"/>
        </w:rPr>
        <w:t xml:space="preserve"> regulation 232 into the Principal Regulations to set out the reporting requirements imposed on a person who is granted an emergency non-QPS permit. As the Minister </w:t>
      </w:r>
      <w:r w:rsidR="00894BBC">
        <w:rPr>
          <w:rFonts w:ascii="Times New Roman" w:hAnsi="Times New Roman"/>
          <w:sz w:val="24"/>
          <w:szCs w:val="24"/>
        </w:rPr>
        <w:t>will</w:t>
      </w:r>
      <w:r>
        <w:rPr>
          <w:rFonts w:ascii="Times New Roman" w:hAnsi="Times New Roman"/>
          <w:sz w:val="24"/>
          <w:szCs w:val="24"/>
        </w:rPr>
        <w:t xml:space="preserve"> be required to report to the parties of the Montreal Protocol when a permit is granted to allow emergency non-QPS use of methyl bromide, including the date and amount of use, the permit holder </w:t>
      </w:r>
      <w:r w:rsidR="00894BBC">
        <w:rPr>
          <w:rFonts w:ascii="Times New Roman" w:hAnsi="Times New Roman"/>
          <w:sz w:val="24"/>
          <w:szCs w:val="24"/>
        </w:rPr>
        <w:t>will</w:t>
      </w:r>
      <w:r>
        <w:rPr>
          <w:rFonts w:ascii="Times New Roman" w:hAnsi="Times New Roman"/>
          <w:sz w:val="24"/>
          <w:szCs w:val="24"/>
        </w:rPr>
        <w:t xml:space="preserve"> be required to provide a report to the Minister within 14 days after using the methyl bromide.</w:t>
      </w:r>
    </w:p>
    <w:p w14:paraId="491FF3C1" w14:textId="716F0EF2" w:rsidR="00974B5E" w:rsidRPr="00220623" w:rsidRDefault="00894BBC" w:rsidP="00814991">
      <w:pPr>
        <w:spacing w:after="240" w:line="276" w:lineRule="auto"/>
        <w:rPr>
          <w:rFonts w:ascii="Times New Roman" w:hAnsi="Times New Roman"/>
          <w:sz w:val="24"/>
          <w:szCs w:val="24"/>
        </w:rPr>
      </w:pPr>
      <w:proofErr w:type="spellStart"/>
      <w:r>
        <w:rPr>
          <w:rFonts w:ascii="Times New Roman" w:hAnsi="Times New Roman"/>
          <w:sz w:val="24"/>
          <w:szCs w:val="24"/>
        </w:rPr>
        <w:t>S</w:t>
      </w:r>
      <w:r w:rsidR="003824F6">
        <w:rPr>
          <w:rFonts w:ascii="Times New Roman" w:hAnsi="Times New Roman"/>
          <w:sz w:val="24"/>
          <w:szCs w:val="24"/>
        </w:rPr>
        <w:t>ubregula</w:t>
      </w:r>
      <w:r w:rsidR="00974B5E">
        <w:rPr>
          <w:rFonts w:ascii="Times New Roman" w:hAnsi="Times New Roman"/>
          <w:sz w:val="24"/>
          <w:szCs w:val="24"/>
        </w:rPr>
        <w:t>tion</w:t>
      </w:r>
      <w:proofErr w:type="spellEnd"/>
      <w:r w:rsidR="00974B5E">
        <w:rPr>
          <w:rFonts w:ascii="Times New Roman" w:hAnsi="Times New Roman"/>
          <w:sz w:val="24"/>
          <w:szCs w:val="24"/>
        </w:rPr>
        <w:t xml:space="preserve"> 232(1) requires the report to be in an approved form, set out information listed in </w:t>
      </w:r>
      <w:proofErr w:type="spellStart"/>
      <w:r w:rsidR="00974B5E">
        <w:rPr>
          <w:rFonts w:ascii="Times New Roman" w:hAnsi="Times New Roman"/>
          <w:sz w:val="24"/>
          <w:szCs w:val="24"/>
        </w:rPr>
        <w:t>subregulation</w:t>
      </w:r>
      <w:proofErr w:type="spellEnd"/>
      <w:r w:rsidR="00974B5E">
        <w:rPr>
          <w:rFonts w:ascii="Times New Roman" w:hAnsi="Times New Roman"/>
          <w:sz w:val="24"/>
          <w:szCs w:val="24"/>
        </w:rPr>
        <w:t xml:space="preserve"> 232(2), be signed by </w:t>
      </w:r>
      <w:r w:rsidR="00974B5E" w:rsidRPr="007A719D">
        <w:rPr>
          <w:rFonts w:ascii="Times New Roman" w:hAnsi="Times New Roman"/>
          <w:sz w:val="24"/>
          <w:szCs w:val="24"/>
        </w:rPr>
        <w:t>the permit holder and by any contractor who carried out a fumigation under the emergency permit</w:t>
      </w:r>
      <w:r w:rsidR="00974B5E">
        <w:rPr>
          <w:rFonts w:ascii="Times New Roman" w:hAnsi="Times New Roman"/>
          <w:sz w:val="24"/>
          <w:szCs w:val="24"/>
        </w:rPr>
        <w:t>, and be provided to the Minister within 14 days after using the methyl bromide under the emergency non-QPS permit</w:t>
      </w:r>
      <w:r w:rsidR="00974B5E" w:rsidRPr="007A719D">
        <w:rPr>
          <w:rFonts w:ascii="Times New Roman" w:hAnsi="Times New Roman"/>
          <w:sz w:val="24"/>
          <w:szCs w:val="24"/>
        </w:rPr>
        <w:t>.</w:t>
      </w:r>
    </w:p>
    <w:p w14:paraId="69D6FD97" w14:textId="6C79DDCB" w:rsidR="00974B5E" w:rsidRDefault="00894BBC" w:rsidP="00814991">
      <w:pPr>
        <w:spacing w:after="240" w:line="276" w:lineRule="auto"/>
        <w:rPr>
          <w:rFonts w:ascii="Times New Roman" w:hAnsi="Times New Roman"/>
          <w:sz w:val="24"/>
          <w:szCs w:val="24"/>
          <w:u w:val="single"/>
        </w:rPr>
      </w:pPr>
      <w:r>
        <w:rPr>
          <w:rFonts w:ascii="Times New Roman" w:hAnsi="Times New Roman"/>
          <w:sz w:val="24"/>
          <w:szCs w:val="24"/>
        </w:rPr>
        <w:t>R</w:t>
      </w:r>
      <w:r w:rsidR="00974B5E" w:rsidRPr="00890069">
        <w:rPr>
          <w:rFonts w:ascii="Times New Roman" w:hAnsi="Times New Roman"/>
          <w:sz w:val="24"/>
          <w:szCs w:val="24"/>
        </w:rPr>
        <w:t>egulation</w:t>
      </w:r>
      <w:r w:rsidR="00974B5E">
        <w:rPr>
          <w:rFonts w:ascii="Times New Roman" w:hAnsi="Times New Roman"/>
          <w:sz w:val="24"/>
          <w:szCs w:val="24"/>
        </w:rPr>
        <w:t xml:space="preserve"> 232(2) list</w:t>
      </w:r>
      <w:r>
        <w:rPr>
          <w:rFonts w:ascii="Times New Roman" w:hAnsi="Times New Roman"/>
          <w:sz w:val="24"/>
          <w:szCs w:val="24"/>
        </w:rPr>
        <w:t>s</w:t>
      </w:r>
      <w:r w:rsidR="00974B5E">
        <w:rPr>
          <w:rFonts w:ascii="Times New Roman" w:hAnsi="Times New Roman"/>
          <w:sz w:val="24"/>
          <w:szCs w:val="24"/>
        </w:rPr>
        <w:t xml:space="preserve"> the information to be provided in the report on the emergency use, including date of use, amount of methyl bromide used, the type of produce the use was for, application rates, the number of hectares or the number and volume or containers fumigated, and details of contractors, if any, who carried out the fumigation.</w:t>
      </w:r>
    </w:p>
    <w:p w14:paraId="51E9EBD5" w14:textId="692E99C4" w:rsidR="00421FD3" w:rsidRDefault="00974B5E" w:rsidP="00814991">
      <w:pPr>
        <w:spacing w:after="240" w:line="276" w:lineRule="auto"/>
        <w:rPr>
          <w:rFonts w:ascii="Times New Roman" w:hAnsi="Times New Roman"/>
          <w:sz w:val="24"/>
          <w:szCs w:val="24"/>
        </w:rPr>
      </w:pPr>
      <w:r>
        <w:rPr>
          <w:rFonts w:ascii="Times New Roman" w:hAnsi="Times New Roman"/>
          <w:sz w:val="24"/>
          <w:szCs w:val="24"/>
        </w:rPr>
        <w:t xml:space="preserve">A contravention of </w:t>
      </w:r>
      <w:proofErr w:type="spellStart"/>
      <w:r>
        <w:rPr>
          <w:rFonts w:ascii="Times New Roman" w:hAnsi="Times New Roman"/>
          <w:sz w:val="24"/>
          <w:szCs w:val="24"/>
        </w:rPr>
        <w:t>subregulation</w:t>
      </w:r>
      <w:proofErr w:type="spellEnd"/>
      <w:r>
        <w:rPr>
          <w:rFonts w:ascii="Times New Roman" w:hAnsi="Times New Roman"/>
          <w:sz w:val="24"/>
          <w:szCs w:val="24"/>
        </w:rPr>
        <w:t xml:space="preserve"> 232(1) </w:t>
      </w:r>
      <w:r w:rsidR="00894BBC">
        <w:rPr>
          <w:rFonts w:ascii="Times New Roman" w:hAnsi="Times New Roman"/>
          <w:sz w:val="24"/>
          <w:szCs w:val="24"/>
        </w:rPr>
        <w:t>is</w:t>
      </w:r>
      <w:r>
        <w:rPr>
          <w:rFonts w:ascii="Times New Roman" w:hAnsi="Times New Roman"/>
          <w:sz w:val="24"/>
          <w:szCs w:val="24"/>
        </w:rPr>
        <w:t xml:space="preserve"> an offence of strict liability (</w:t>
      </w:r>
      <w:proofErr w:type="spellStart"/>
      <w:r>
        <w:rPr>
          <w:rFonts w:ascii="Times New Roman" w:hAnsi="Times New Roman"/>
          <w:sz w:val="24"/>
          <w:szCs w:val="24"/>
        </w:rPr>
        <w:t>subregulation</w:t>
      </w:r>
      <w:proofErr w:type="spellEnd"/>
      <w:r w:rsidR="00DD14FE">
        <w:rPr>
          <w:rFonts w:ascii="Times New Roman" w:hAnsi="Times New Roman"/>
          <w:sz w:val="24"/>
          <w:szCs w:val="24"/>
        </w:rPr>
        <w:t> </w:t>
      </w:r>
      <w:r>
        <w:rPr>
          <w:rFonts w:ascii="Times New Roman" w:hAnsi="Times New Roman"/>
          <w:sz w:val="24"/>
          <w:szCs w:val="24"/>
        </w:rPr>
        <w:t xml:space="preserve">232(3)) with a maximum penalty of 10 penalty units for an individual or 50 penalty units for a body corporate. The provision of these reports is important as it enables Australia to meet its obligations under the Montreal </w:t>
      </w:r>
      <w:r w:rsidR="00997959">
        <w:rPr>
          <w:rFonts w:ascii="Times New Roman" w:hAnsi="Times New Roman"/>
          <w:sz w:val="24"/>
          <w:szCs w:val="24"/>
        </w:rPr>
        <w:t>P</w:t>
      </w:r>
      <w:r>
        <w:rPr>
          <w:rFonts w:ascii="Times New Roman" w:hAnsi="Times New Roman"/>
          <w:sz w:val="24"/>
          <w:szCs w:val="24"/>
        </w:rPr>
        <w:t>rotocol. The penalty align</w:t>
      </w:r>
      <w:r w:rsidR="00894BBC">
        <w:rPr>
          <w:rFonts w:ascii="Times New Roman" w:hAnsi="Times New Roman"/>
          <w:sz w:val="24"/>
          <w:szCs w:val="24"/>
        </w:rPr>
        <w:t>s</w:t>
      </w:r>
      <w:r>
        <w:rPr>
          <w:rFonts w:ascii="Times New Roman" w:hAnsi="Times New Roman"/>
          <w:sz w:val="24"/>
          <w:szCs w:val="24"/>
        </w:rPr>
        <w:t xml:space="preserve"> with existing penalties for comparable offences (a contravention of regulation 231, which imposes a requirement for a non-QPS permit holder to provide a report, is also an offence of strict liability with a maximum penalty of 10 penalty units). Application of strict liability to this offence has been set with consideration given to the guidelines regarding the circumstances in which strict </w:t>
      </w:r>
      <w:r>
        <w:rPr>
          <w:rFonts w:ascii="Times New Roman" w:hAnsi="Times New Roman"/>
          <w:sz w:val="24"/>
          <w:szCs w:val="24"/>
        </w:rPr>
        <w:lastRenderedPageBreak/>
        <w:t xml:space="preserve">liability is appropriate set out in </w:t>
      </w:r>
      <w:r>
        <w:rPr>
          <w:rFonts w:ascii="Times New Roman" w:hAnsi="Times New Roman"/>
          <w:i/>
          <w:sz w:val="24"/>
          <w:szCs w:val="24"/>
        </w:rPr>
        <w:t xml:space="preserve">A Guide to Framing Commonwealth Offences, Civil Penalties and Enforcement Powers. </w:t>
      </w:r>
      <w:r>
        <w:rPr>
          <w:rFonts w:ascii="Times New Roman" w:hAnsi="Times New Roman"/>
          <w:sz w:val="24"/>
          <w:szCs w:val="24"/>
        </w:rPr>
        <w:t>As methyl bromide contributes to the depletion of the ozone layer when released into the atmosphere, and given that most uses of methyl bromide are emissive in nature, it is important that the reports of its use are accurate, up to date and given as soon as possible after its release. The use of strict liability for this offence is necessary to ensure the integrity of the established regulatory regime to prevent environmental harm.</w:t>
      </w:r>
    </w:p>
    <w:p w14:paraId="2AD8C26B" w14:textId="1DADAF14" w:rsidR="002A5152" w:rsidRDefault="000C576E" w:rsidP="00814991">
      <w:pPr>
        <w:pStyle w:val="ListNumber"/>
        <w:spacing w:after="200" w:line="276" w:lineRule="auto"/>
        <w:ind w:left="0" w:firstLine="0"/>
        <w:rPr>
          <w:rFonts w:ascii="Times New Roman" w:hAnsi="Times New Roman"/>
          <w:b/>
          <w:sz w:val="24"/>
          <w:szCs w:val="24"/>
        </w:rPr>
      </w:pPr>
      <w:r>
        <w:rPr>
          <w:rFonts w:ascii="Times New Roman" w:hAnsi="Times New Roman"/>
          <w:b/>
          <w:sz w:val="24"/>
          <w:szCs w:val="24"/>
        </w:rPr>
        <w:t>Part 4</w:t>
      </w:r>
      <w:r w:rsidR="003061B5">
        <w:rPr>
          <w:rFonts w:ascii="Times New Roman" w:hAnsi="Times New Roman"/>
          <w:b/>
          <w:sz w:val="24"/>
          <w:szCs w:val="24"/>
        </w:rPr>
        <w:t xml:space="preserve"> </w:t>
      </w:r>
      <w:r w:rsidR="000179F8">
        <w:rPr>
          <w:rFonts w:ascii="Times New Roman" w:hAnsi="Times New Roman"/>
          <w:b/>
          <w:sz w:val="24"/>
          <w:szCs w:val="24"/>
        </w:rPr>
        <w:t>–</w:t>
      </w:r>
      <w:r w:rsidR="003061B5">
        <w:rPr>
          <w:rFonts w:ascii="Times New Roman" w:hAnsi="Times New Roman"/>
          <w:b/>
          <w:sz w:val="24"/>
          <w:szCs w:val="24"/>
        </w:rPr>
        <w:t xml:space="preserve"> Licences</w:t>
      </w:r>
    </w:p>
    <w:p w14:paraId="23320C90" w14:textId="1D1D5CDF" w:rsidR="002140D0" w:rsidRPr="00FF6DE5" w:rsidRDefault="002140D0" w:rsidP="00814991">
      <w:pPr>
        <w:spacing w:after="240" w:line="276" w:lineRule="auto"/>
        <w:rPr>
          <w:rFonts w:ascii="Times New Roman" w:hAnsi="Times New Roman"/>
          <w:b/>
          <w:sz w:val="24"/>
          <w:szCs w:val="24"/>
        </w:rPr>
      </w:pPr>
      <w:r w:rsidRPr="00FF6DE5">
        <w:rPr>
          <w:rFonts w:ascii="Times New Roman" w:hAnsi="Times New Roman"/>
          <w:b/>
          <w:sz w:val="24"/>
          <w:szCs w:val="24"/>
        </w:rPr>
        <w:t xml:space="preserve">Division 1 – Equipment </w:t>
      </w:r>
      <w:r w:rsidR="00D75358">
        <w:rPr>
          <w:rFonts w:ascii="Times New Roman" w:hAnsi="Times New Roman"/>
          <w:b/>
          <w:sz w:val="24"/>
          <w:szCs w:val="24"/>
        </w:rPr>
        <w:t>l</w:t>
      </w:r>
      <w:r w:rsidRPr="00FF6DE5">
        <w:rPr>
          <w:rFonts w:ascii="Times New Roman" w:hAnsi="Times New Roman"/>
          <w:b/>
          <w:sz w:val="24"/>
          <w:szCs w:val="24"/>
        </w:rPr>
        <w:t>icences</w:t>
      </w:r>
    </w:p>
    <w:p w14:paraId="5218B013" w14:textId="5E0B5320" w:rsidR="002140D0" w:rsidRDefault="002140D0" w:rsidP="00814991">
      <w:pPr>
        <w:spacing w:after="240" w:line="276" w:lineRule="auto"/>
        <w:rPr>
          <w:rFonts w:ascii="Times New Roman" w:hAnsi="Times New Roman"/>
          <w:sz w:val="24"/>
          <w:szCs w:val="24"/>
        </w:rPr>
      </w:pPr>
      <w:r>
        <w:rPr>
          <w:rFonts w:ascii="Times New Roman" w:hAnsi="Times New Roman"/>
          <w:sz w:val="24"/>
          <w:szCs w:val="24"/>
        </w:rPr>
        <w:t>HCFCs are ozone depleting substances that are being phased out globally under the Montreal Protocol.</w:t>
      </w:r>
      <w:r w:rsidRPr="00DA2F72">
        <w:rPr>
          <w:rFonts w:ascii="Times New Roman" w:hAnsi="Times New Roman"/>
          <w:sz w:val="24"/>
          <w:szCs w:val="24"/>
        </w:rPr>
        <w:t xml:space="preserve"> </w:t>
      </w:r>
      <w:r w:rsidRPr="00477315">
        <w:rPr>
          <w:rFonts w:ascii="Times New Roman" w:hAnsi="Times New Roman"/>
          <w:sz w:val="24"/>
          <w:szCs w:val="24"/>
        </w:rPr>
        <w:t xml:space="preserve">To complement the phase out of </w:t>
      </w:r>
      <w:r>
        <w:rPr>
          <w:rFonts w:ascii="Times New Roman" w:hAnsi="Times New Roman"/>
          <w:sz w:val="24"/>
          <w:szCs w:val="24"/>
        </w:rPr>
        <w:t xml:space="preserve">the production of </w:t>
      </w:r>
      <w:r w:rsidRPr="00477315">
        <w:rPr>
          <w:rFonts w:ascii="Times New Roman" w:hAnsi="Times New Roman"/>
          <w:sz w:val="24"/>
          <w:szCs w:val="24"/>
        </w:rPr>
        <w:t xml:space="preserve">bulk gases, </w:t>
      </w:r>
      <w:r>
        <w:rPr>
          <w:rFonts w:ascii="Times New Roman" w:hAnsi="Times New Roman"/>
          <w:sz w:val="24"/>
          <w:szCs w:val="24"/>
        </w:rPr>
        <w:t xml:space="preserve">manufacture or import of all HCFC equipment </w:t>
      </w:r>
      <w:r w:rsidR="00B83E71">
        <w:rPr>
          <w:rFonts w:ascii="Times New Roman" w:hAnsi="Times New Roman"/>
          <w:sz w:val="24"/>
          <w:szCs w:val="24"/>
        </w:rPr>
        <w:t xml:space="preserve">(equipment that </w:t>
      </w:r>
      <w:r w:rsidR="007E7E67">
        <w:rPr>
          <w:rFonts w:ascii="Times New Roman" w:hAnsi="Times New Roman"/>
          <w:sz w:val="24"/>
          <w:szCs w:val="24"/>
        </w:rPr>
        <w:t>contain</w:t>
      </w:r>
      <w:r w:rsidR="00B83E71">
        <w:rPr>
          <w:rFonts w:ascii="Times New Roman" w:hAnsi="Times New Roman"/>
          <w:sz w:val="24"/>
          <w:szCs w:val="24"/>
        </w:rPr>
        <w:t>s</w:t>
      </w:r>
      <w:r w:rsidR="007E7E67">
        <w:rPr>
          <w:rFonts w:ascii="Times New Roman" w:hAnsi="Times New Roman"/>
          <w:sz w:val="24"/>
          <w:szCs w:val="24"/>
        </w:rPr>
        <w:t xml:space="preserve"> HCFCs</w:t>
      </w:r>
      <w:r w:rsidR="00B83E71">
        <w:rPr>
          <w:rFonts w:ascii="Times New Roman" w:hAnsi="Times New Roman"/>
          <w:sz w:val="24"/>
          <w:szCs w:val="24"/>
        </w:rPr>
        <w:t xml:space="preserve"> or uses HCFCs in its operation)</w:t>
      </w:r>
      <w:r w:rsidR="007E7E67">
        <w:rPr>
          <w:rFonts w:ascii="Times New Roman" w:hAnsi="Times New Roman"/>
          <w:sz w:val="24"/>
          <w:szCs w:val="24"/>
        </w:rPr>
        <w:t xml:space="preserve"> </w:t>
      </w:r>
      <w:r>
        <w:rPr>
          <w:rFonts w:ascii="Times New Roman" w:hAnsi="Times New Roman"/>
          <w:sz w:val="24"/>
          <w:szCs w:val="24"/>
        </w:rPr>
        <w:t>will be banned under Schedule 4 of the Act</w:t>
      </w:r>
      <w:r w:rsidRPr="000A057D">
        <w:rPr>
          <w:rFonts w:ascii="Times New Roman" w:hAnsi="Times New Roman"/>
          <w:sz w:val="24"/>
          <w:szCs w:val="24"/>
        </w:rPr>
        <w:t xml:space="preserve"> </w:t>
      </w:r>
      <w:r>
        <w:rPr>
          <w:rFonts w:ascii="Times New Roman" w:hAnsi="Times New Roman"/>
          <w:sz w:val="24"/>
          <w:szCs w:val="24"/>
        </w:rPr>
        <w:t xml:space="preserve">from 1 January 2020, except in certain specific circumstances when an equipment licence may be granted to allow the activity. </w:t>
      </w:r>
    </w:p>
    <w:p w14:paraId="1827B8D9" w14:textId="452EFB0A" w:rsidR="002140D0" w:rsidRDefault="002140D0" w:rsidP="00814991">
      <w:pPr>
        <w:spacing w:after="240" w:line="276" w:lineRule="auto"/>
        <w:rPr>
          <w:rFonts w:ascii="Times New Roman" w:hAnsi="Times New Roman"/>
          <w:sz w:val="24"/>
          <w:szCs w:val="24"/>
        </w:rPr>
      </w:pPr>
      <w:r>
        <w:rPr>
          <w:rFonts w:ascii="Times New Roman" w:hAnsi="Times New Roman"/>
          <w:sz w:val="24"/>
          <w:szCs w:val="24"/>
        </w:rPr>
        <w:t xml:space="preserve">Under section 13 of the Act, it is an offence to import ODS </w:t>
      </w:r>
      <w:r w:rsidR="007E7E67">
        <w:rPr>
          <w:rFonts w:ascii="Times New Roman" w:hAnsi="Times New Roman"/>
          <w:sz w:val="24"/>
          <w:szCs w:val="24"/>
        </w:rPr>
        <w:t>(</w:t>
      </w:r>
      <w:r w:rsidR="00B83E71">
        <w:rPr>
          <w:rFonts w:ascii="Times New Roman" w:hAnsi="Times New Roman"/>
          <w:sz w:val="24"/>
          <w:szCs w:val="24"/>
        </w:rPr>
        <w:t>o</w:t>
      </w:r>
      <w:r w:rsidR="007E7E67">
        <w:rPr>
          <w:rFonts w:ascii="Times New Roman" w:hAnsi="Times New Roman"/>
          <w:sz w:val="24"/>
          <w:szCs w:val="24"/>
        </w:rPr>
        <w:t xml:space="preserve">zone </w:t>
      </w:r>
      <w:r w:rsidR="00B83E71">
        <w:rPr>
          <w:rFonts w:ascii="Times New Roman" w:hAnsi="Times New Roman"/>
          <w:sz w:val="24"/>
          <w:szCs w:val="24"/>
        </w:rPr>
        <w:t>d</w:t>
      </w:r>
      <w:r w:rsidR="007E7E67">
        <w:rPr>
          <w:rFonts w:ascii="Times New Roman" w:hAnsi="Times New Roman"/>
          <w:sz w:val="24"/>
          <w:szCs w:val="24"/>
        </w:rPr>
        <w:t xml:space="preserve">epleting </w:t>
      </w:r>
      <w:r w:rsidR="00B83E71">
        <w:rPr>
          <w:rFonts w:ascii="Times New Roman" w:hAnsi="Times New Roman"/>
          <w:sz w:val="24"/>
          <w:szCs w:val="24"/>
        </w:rPr>
        <w:t>s</w:t>
      </w:r>
      <w:r w:rsidR="007E7E67">
        <w:rPr>
          <w:rFonts w:ascii="Times New Roman" w:hAnsi="Times New Roman"/>
          <w:sz w:val="24"/>
          <w:szCs w:val="24"/>
        </w:rPr>
        <w:t xml:space="preserve">ubstance) </w:t>
      </w:r>
      <w:r>
        <w:rPr>
          <w:rFonts w:ascii="Times New Roman" w:hAnsi="Times New Roman"/>
          <w:sz w:val="24"/>
          <w:szCs w:val="24"/>
        </w:rPr>
        <w:t xml:space="preserve">equipment </w:t>
      </w:r>
      <w:r w:rsidR="00A44591">
        <w:rPr>
          <w:rFonts w:ascii="Times New Roman" w:hAnsi="Times New Roman"/>
          <w:sz w:val="24"/>
          <w:szCs w:val="24"/>
        </w:rPr>
        <w:t xml:space="preserve">(which includes HCFC equipment) </w:t>
      </w:r>
      <w:r>
        <w:rPr>
          <w:rFonts w:ascii="Times New Roman" w:hAnsi="Times New Roman"/>
          <w:sz w:val="24"/>
          <w:szCs w:val="24"/>
        </w:rPr>
        <w:t xml:space="preserve">or SGG </w:t>
      </w:r>
      <w:r w:rsidR="007E7E67">
        <w:rPr>
          <w:rFonts w:ascii="Times New Roman" w:hAnsi="Times New Roman"/>
          <w:sz w:val="24"/>
          <w:szCs w:val="24"/>
        </w:rPr>
        <w:t>(</w:t>
      </w:r>
      <w:r w:rsidR="00B83E71">
        <w:rPr>
          <w:rFonts w:ascii="Times New Roman" w:hAnsi="Times New Roman"/>
          <w:sz w:val="24"/>
          <w:szCs w:val="24"/>
        </w:rPr>
        <w:t>s</w:t>
      </w:r>
      <w:r w:rsidR="007E7E67">
        <w:rPr>
          <w:rFonts w:ascii="Times New Roman" w:hAnsi="Times New Roman"/>
          <w:sz w:val="24"/>
          <w:szCs w:val="24"/>
        </w:rPr>
        <w:t xml:space="preserve">ynthetic </w:t>
      </w:r>
      <w:r w:rsidR="00B83E71">
        <w:rPr>
          <w:rFonts w:ascii="Times New Roman" w:hAnsi="Times New Roman"/>
          <w:sz w:val="24"/>
          <w:szCs w:val="24"/>
        </w:rPr>
        <w:t>g</w:t>
      </w:r>
      <w:r w:rsidR="007E7E67">
        <w:rPr>
          <w:rFonts w:ascii="Times New Roman" w:hAnsi="Times New Roman"/>
          <w:sz w:val="24"/>
          <w:szCs w:val="24"/>
        </w:rPr>
        <w:t xml:space="preserve">reenhouse </w:t>
      </w:r>
      <w:r w:rsidR="00B83E71">
        <w:rPr>
          <w:rFonts w:ascii="Times New Roman" w:hAnsi="Times New Roman"/>
          <w:sz w:val="24"/>
          <w:szCs w:val="24"/>
        </w:rPr>
        <w:t>g</w:t>
      </w:r>
      <w:r w:rsidR="007E7E67">
        <w:rPr>
          <w:rFonts w:ascii="Times New Roman" w:hAnsi="Times New Roman"/>
          <w:sz w:val="24"/>
          <w:szCs w:val="24"/>
        </w:rPr>
        <w:t xml:space="preserve">as) </w:t>
      </w:r>
      <w:r>
        <w:rPr>
          <w:rFonts w:ascii="Times New Roman" w:hAnsi="Times New Roman"/>
          <w:sz w:val="24"/>
          <w:szCs w:val="24"/>
        </w:rPr>
        <w:t xml:space="preserve">equipment (other than by carrying out a Schedule 4 activity or a section 69G activity) or carry out a Schedule 4 activity unless the person holds a licence. </w:t>
      </w:r>
    </w:p>
    <w:p w14:paraId="46EB1E8B" w14:textId="77777777" w:rsidR="002140D0" w:rsidRDefault="002140D0" w:rsidP="00814991">
      <w:pPr>
        <w:spacing w:after="240" w:line="276" w:lineRule="auto"/>
        <w:rPr>
          <w:rFonts w:ascii="Times New Roman" w:hAnsi="Times New Roman"/>
          <w:sz w:val="24"/>
          <w:szCs w:val="24"/>
        </w:rPr>
      </w:pPr>
      <w:r>
        <w:rPr>
          <w:rFonts w:ascii="Times New Roman" w:hAnsi="Times New Roman"/>
          <w:sz w:val="24"/>
          <w:szCs w:val="24"/>
        </w:rPr>
        <w:t xml:space="preserve">Subsection 13A(5) of the Act provides that an equipment licence allows the licensee to import ODS equipment or SGG equipment (other than by carrying out a Schedule 4 activity or section 69G activity) and any Schedule 4 activities or section 69G activities specified in the licence. A </w:t>
      </w:r>
      <w:r>
        <w:rPr>
          <w:rFonts w:ascii="Times New Roman" w:hAnsi="Times New Roman"/>
          <w:b/>
          <w:i/>
          <w:sz w:val="24"/>
          <w:szCs w:val="24"/>
        </w:rPr>
        <w:t xml:space="preserve">Schedule 4 activity </w:t>
      </w:r>
      <w:r>
        <w:rPr>
          <w:rFonts w:ascii="Times New Roman" w:hAnsi="Times New Roman"/>
          <w:sz w:val="24"/>
          <w:szCs w:val="24"/>
        </w:rPr>
        <w:t xml:space="preserve">is defined in section 7 of the Act as the manufacturing or importing of equipment if the equipment contains scheduled substances, or uses scheduled substances in its operation and the manufacturing or importing contravenes Schedule 4 (disregarding subsection 13(2) and (5)). A </w:t>
      </w:r>
      <w:r>
        <w:rPr>
          <w:rFonts w:ascii="Times New Roman" w:hAnsi="Times New Roman"/>
          <w:b/>
          <w:i/>
          <w:sz w:val="24"/>
          <w:szCs w:val="24"/>
        </w:rPr>
        <w:t xml:space="preserve">section 69G activity </w:t>
      </w:r>
      <w:r>
        <w:rPr>
          <w:rFonts w:ascii="Times New Roman" w:hAnsi="Times New Roman"/>
          <w:sz w:val="24"/>
          <w:szCs w:val="24"/>
        </w:rPr>
        <w:t>is defined as the manufacturing or importing of equipment in contravention of regulations made for the purposes of section 69G (disregarding subsection 69G(4) and (5)).</w:t>
      </w:r>
    </w:p>
    <w:p w14:paraId="0CE0F1D1" w14:textId="79BB83F5" w:rsidR="002140D0" w:rsidRPr="00DD14FE" w:rsidRDefault="002140D0" w:rsidP="00814991">
      <w:pPr>
        <w:spacing w:after="240" w:line="276" w:lineRule="auto"/>
        <w:rPr>
          <w:rFonts w:ascii="Times New Roman" w:hAnsi="Times New Roman"/>
          <w:i/>
          <w:sz w:val="24"/>
          <w:szCs w:val="24"/>
        </w:rPr>
      </w:pPr>
      <w:r w:rsidRPr="00DD14FE">
        <w:rPr>
          <w:rFonts w:ascii="Times New Roman" w:hAnsi="Times New Roman"/>
          <w:i/>
          <w:sz w:val="24"/>
          <w:szCs w:val="24"/>
        </w:rPr>
        <w:t>Equipment licence application fee waivers</w:t>
      </w:r>
    </w:p>
    <w:p w14:paraId="2CA9A3B6" w14:textId="6BD1C9F8" w:rsidR="002140D0" w:rsidRDefault="00A44591" w:rsidP="00814991">
      <w:pPr>
        <w:spacing w:after="240" w:line="276" w:lineRule="auto"/>
        <w:rPr>
          <w:rFonts w:ascii="Times New Roman" w:hAnsi="Times New Roman"/>
          <w:sz w:val="24"/>
          <w:szCs w:val="24"/>
        </w:rPr>
      </w:pPr>
      <w:r>
        <w:rPr>
          <w:rFonts w:ascii="Times New Roman" w:hAnsi="Times New Roman"/>
          <w:sz w:val="24"/>
          <w:szCs w:val="24"/>
        </w:rPr>
        <w:t>Under p</w:t>
      </w:r>
      <w:r w:rsidR="002140D0">
        <w:rPr>
          <w:rFonts w:ascii="Times New Roman" w:hAnsi="Times New Roman"/>
          <w:sz w:val="24"/>
          <w:szCs w:val="24"/>
        </w:rPr>
        <w:t>aragraph 14(1</w:t>
      </w:r>
      <w:proofErr w:type="gramStart"/>
      <w:r w:rsidR="002140D0">
        <w:rPr>
          <w:rFonts w:ascii="Times New Roman" w:hAnsi="Times New Roman"/>
          <w:sz w:val="24"/>
          <w:szCs w:val="24"/>
        </w:rPr>
        <w:t>)(</w:t>
      </w:r>
      <w:proofErr w:type="gramEnd"/>
      <w:r w:rsidR="002140D0">
        <w:rPr>
          <w:rFonts w:ascii="Times New Roman" w:hAnsi="Times New Roman"/>
          <w:sz w:val="24"/>
          <w:szCs w:val="24"/>
        </w:rPr>
        <w:t xml:space="preserve">d) </w:t>
      </w:r>
      <w:r>
        <w:rPr>
          <w:rFonts w:ascii="Times New Roman" w:hAnsi="Times New Roman"/>
          <w:sz w:val="24"/>
          <w:szCs w:val="24"/>
        </w:rPr>
        <w:t xml:space="preserve">of the Act </w:t>
      </w:r>
      <w:r w:rsidR="002140D0">
        <w:rPr>
          <w:rFonts w:ascii="Times New Roman" w:hAnsi="Times New Roman"/>
          <w:sz w:val="24"/>
          <w:szCs w:val="24"/>
        </w:rPr>
        <w:t>a person may apply to the Minister for an equipment licence. The application must be accompanied by the prescribed application fee, unless the fee has been waived in accordance with the regulations (paragraph 14(2</w:t>
      </w:r>
      <w:proofErr w:type="gramStart"/>
      <w:r w:rsidR="002140D0">
        <w:rPr>
          <w:rFonts w:ascii="Times New Roman" w:hAnsi="Times New Roman"/>
          <w:sz w:val="24"/>
          <w:szCs w:val="24"/>
        </w:rPr>
        <w:t>)(</w:t>
      </w:r>
      <w:proofErr w:type="gramEnd"/>
      <w:r w:rsidR="002140D0">
        <w:rPr>
          <w:rFonts w:ascii="Times New Roman" w:hAnsi="Times New Roman"/>
          <w:sz w:val="24"/>
          <w:szCs w:val="24"/>
        </w:rPr>
        <w:t xml:space="preserve">aa)). Regulation 3C of the Principal Regulations prescribes, for the purposes of paragraph 14(2)(aa) of the Act, the application fee for each of the licence types referred to in subsection 14(1) of the Act and the circumstances in which an application fee may be waived. </w:t>
      </w:r>
    </w:p>
    <w:p w14:paraId="02FA4D38" w14:textId="7C020CF9" w:rsidR="002140D0" w:rsidRDefault="002140D0" w:rsidP="00814991">
      <w:pPr>
        <w:spacing w:after="240" w:line="276" w:lineRule="auto"/>
        <w:rPr>
          <w:rFonts w:ascii="Times New Roman" w:hAnsi="Times New Roman"/>
          <w:sz w:val="24"/>
          <w:szCs w:val="24"/>
        </w:rPr>
      </w:pPr>
      <w:r>
        <w:rPr>
          <w:rFonts w:ascii="Times New Roman" w:hAnsi="Times New Roman"/>
          <w:sz w:val="24"/>
          <w:szCs w:val="24"/>
        </w:rPr>
        <w:t xml:space="preserve">Item </w:t>
      </w:r>
      <w:r w:rsidR="00DD14FE">
        <w:rPr>
          <w:rFonts w:ascii="Times New Roman" w:hAnsi="Times New Roman"/>
          <w:sz w:val="24"/>
          <w:szCs w:val="24"/>
        </w:rPr>
        <w:t>39</w:t>
      </w:r>
      <w:r>
        <w:rPr>
          <w:rFonts w:ascii="Times New Roman" w:hAnsi="Times New Roman"/>
          <w:sz w:val="24"/>
          <w:szCs w:val="24"/>
        </w:rPr>
        <w:t xml:space="preserve"> insert</w:t>
      </w:r>
      <w:r w:rsidR="00894BBC">
        <w:rPr>
          <w:rFonts w:ascii="Times New Roman" w:hAnsi="Times New Roman"/>
          <w:sz w:val="24"/>
          <w:szCs w:val="24"/>
        </w:rPr>
        <w:t xml:space="preserve">s </w:t>
      </w:r>
      <w:proofErr w:type="spellStart"/>
      <w:r>
        <w:rPr>
          <w:rFonts w:ascii="Times New Roman" w:hAnsi="Times New Roman"/>
          <w:sz w:val="24"/>
          <w:szCs w:val="24"/>
        </w:rPr>
        <w:t>subregulation</w:t>
      </w:r>
      <w:proofErr w:type="spellEnd"/>
      <w:r>
        <w:rPr>
          <w:rFonts w:ascii="Times New Roman" w:hAnsi="Times New Roman"/>
          <w:sz w:val="24"/>
          <w:szCs w:val="24"/>
        </w:rPr>
        <w:t xml:space="preserve"> </w:t>
      </w:r>
      <w:proofErr w:type="gramStart"/>
      <w:r>
        <w:rPr>
          <w:rFonts w:ascii="Times New Roman" w:hAnsi="Times New Roman"/>
          <w:sz w:val="24"/>
          <w:szCs w:val="24"/>
        </w:rPr>
        <w:t>3C(</w:t>
      </w:r>
      <w:proofErr w:type="gramEnd"/>
      <w:r>
        <w:rPr>
          <w:rFonts w:ascii="Times New Roman" w:hAnsi="Times New Roman"/>
          <w:sz w:val="24"/>
          <w:szCs w:val="24"/>
        </w:rPr>
        <w:t>5) into the Principal Regulations to allow the Minister</w:t>
      </w:r>
      <w:r w:rsidRPr="00D83869">
        <w:rPr>
          <w:rFonts w:ascii="Times New Roman" w:hAnsi="Times New Roman"/>
          <w:sz w:val="24"/>
          <w:szCs w:val="24"/>
        </w:rPr>
        <w:t xml:space="preserve"> </w:t>
      </w:r>
      <w:r>
        <w:rPr>
          <w:rFonts w:ascii="Times New Roman" w:hAnsi="Times New Roman"/>
          <w:sz w:val="24"/>
          <w:szCs w:val="24"/>
        </w:rPr>
        <w:t xml:space="preserve">to waive the application fee for an equipment licence if the purpose of the licence is to allow the import of equipment containing 25 kilograms or less of HCFC and the Minister is satisfied that either paragraph 16(6B) of the Act or </w:t>
      </w:r>
      <w:proofErr w:type="spellStart"/>
      <w:r>
        <w:rPr>
          <w:rFonts w:ascii="Times New Roman" w:hAnsi="Times New Roman"/>
          <w:sz w:val="24"/>
          <w:szCs w:val="24"/>
        </w:rPr>
        <w:t>subregulation</w:t>
      </w:r>
      <w:proofErr w:type="spellEnd"/>
      <w:r>
        <w:rPr>
          <w:rFonts w:ascii="Times New Roman" w:hAnsi="Times New Roman"/>
          <w:sz w:val="24"/>
          <w:szCs w:val="24"/>
        </w:rPr>
        <w:t xml:space="preserve"> 3E(1)(a) applies. This allow</w:t>
      </w:r>
      <w:r w:rsidR="00894BBC">
        <w:rPr>
          <w:rFonts w:ascii="Times New Roman" w:hAnsi="Times New Roman"/>
          <w:sz w:val="24"/>
          <w:szCs w:val="24"/>
        </w:rPr>
        <w:t>s</w:t>
      </w:r>
      <w:r>
        <w:rPr>
          <w:rFonts w:ascii="Times New Roman" w:hAnsi="Times New Roman"/>
          <w:sz w:val="24"/>
          <w:szCs w:val="24"/>
        </w:rPr>
        <w:t xml:space="preserve"> for an equipment licence application fee to be waived for HCFC equipment to be imported for test, monitoring, laboratory and analytical, medical, veterinary, defence, industrial safety, or public safety purposes, where no practical alternative exists. Item </w:t>
      </w:r>
      <w:r w:rsidR="00D75358">
        <w:rPr>
          <w:rFonts w:ascii="Times New Roman" w:hAnsi="Times New Roman"/>
          <w:sz w:val="24"/>
          <w:szCs w:val="24"/>
        </w:rPr>
        <w:t>40</w:t>
      </w:r>
      <w:r>
        <w:rPr>
          <w:rFonts w:ascii="Times New Roman" w:hAnsi="Times New Roman"/>
          <w:sz w:val="24"/>
          <w:szCs w:val="24"/>
        </w:rPr>
        <w:t xml:space="preserve"> is required as a consequence of Item </w:t>
      </w:r>
      <w:r w:rsidR="00D75358">
        <w:rPr>
          <w:rFonts w:ascii="Times New Roman" w:hAnsi="Times New Roman"/>
          <w:sz w:val="24"/>
          <w:szCs w:val="24"/>
        </w:rPr>
        <w:t>39</w:t>
      </w:r>
      <w:r>
        <w:rPr>
          <w:rFonts w:ascii="Times New Roman" w:hAnsi="Times New Roman"/>
          <w:sz w:val="24"/>
          <w:szCs w:val="24"/>
        </w:rPr>
        <w:t>.</w:t>
      </w:r>
    </w:p>
    <w:p w14:paraId="5771177D" w14:textId="57AAF0D4" w:rsidR="002140D0" w:rsidRDefault="002140D0" w:rsidP="00814991">
      <w:pPr>
        <w:spacing w:after="240" w:line="276" w:lineRule="auto"/>
        <w:rPr>
          <w:rFonts w:ascii="Times New Roman" w:hAnsi="Times New Roman"/>
          <w:sz w:val="24"/>
          <w:szCs w:val="24"/>
        </w:rPr>
      </w:pPr>
      <w:r>
        <w:rPr>
          <w:rFonts w:ascii="Times New Roman" w:hAnsi="Times New Roman"/>
          <w:sz w:val="24"/>
          <w:szCs w:val="24"/>
        </w:rPr>
        <w:lastRenderedPageBreak/>
        <w:t xml:space="preserve">Item </w:t>
      </w:r>
      <w:r w:rsidR="00D75358">
        <w:rPr>
          <w:rFonts w:ascii="Times New Roman" w:hAnsi="Times New Roman"/>
          <w:sz w:val="24"/>
          <w:szCs w:val="24"/>
        </w:rPr>
        <w:t>42</w:t>
      </w:r>
      <w:r>
        <w:rPr>
          <w:rFonts w:ascii="Times New Roman" w:hAnsi="Times New Roman"/>
          <w:sz w:val="24"/>
          <w:szCs w:val="24"/>
        </w:rPr>
        <w:t xml:space="preserve"> amend</w:t>
      </w:r>
      <w:r w:rsidR="00894BBC">
        <w:rPr>
          <w:rFonts w:ascii="Times New Roman" w:hAnsi="Times New Roman"/>
          <w:sz w:val="24"/>
          <w:szCs w:val="24"/>
        </w:rPr>
        <w:t>s</w:t>
      </w:r>
      <w:r>
        <w:rPr>
          <w:rFonts w:ascii="Times New Roman" w:hAnsi="Times New Roman"/>
          <w:sz w:val="24"/>
          <w:szCs w:val="24"/>
        </w:rPr>
        <w:t xml:space="preserve"> </w:t>
      </w:r>
      <w:proofErr w:type="spellStart"/>
      <w:r>
        <w:rPr>
          <w:rFonts w:ascii="Times New Roman" w:hAnsi="Times New Roman"/>
          <w:sz w:val="24"/>
          <w:szCs w:val="24"/>
        </w:rPr>
        <w:t>subregulation</w:t>
      </w:r>
      <w:proofErr w:type="spellEnd"/>
      <w:r>
        <w:rPr>
          <w:rFonts w:ascii="Times New Roman" w:hAnsi="Times New Roman"/>
          <w:sz w:val="24"/>
          <w:szCs w:val="24"/>
        </w:rPr>
        <w:t xml:space="preserve"> 6A to </w:t>
      </w:r>
      <w:r w:rsidR="00CE2838">
        <w:rPr>
          <w:rFonts w:ascii="Times New Roman" w:hAnsi="Times New Roman"/>
          <w:sz w:val="24"/>
          <w:szCs w:val="24"/>
        </w:rPr>
        <w:t>allow for</w:t>
      </w:r>
      <w:r>
        <w:rPr>
          <w:rFonts w:ascii="Times New Roman" w:hAnsi="Times New Roman"/>
          <w:sz w:val="24"/>
          <w:szCs w:val="24"/>
        </w:rPr>
        <w:t xml:space="preserve"> an application </w:t>
      </w:r>
      <w:r w:rsidR="00CE2838">
        <w:rPr>
          <w:rFonts w:ascii="Times New Roman" w:hAnsi="Times New Roman"/>
          <w:sz w:val="24"/>
          <w:szCs w:val="24"/>
        </w:rPr>
        <w:t>to</w:t>
      </w:r>
      <w:r>
        <w:rPr>
          <w:rFonts w:ascii="Times New Roman" w:hAnsi="Times New Roman"/>
          <w:sz w:val="24"/>
          <w:szCs w:val="24"/>
        </w:rPr>
        <w:t xml:space="preserve"> be made to the Administrative Appeals Tribunal to review a decision under new </w:t>
      </w:r>
      <w:proofErr w:type="spellStart"/>
      <w:r>
        <w:rPr>
          <w:rFonts w:ascii="Times New Roman" w:hAnsi="Times New Roman"/>
          <w:sz w:val="24"/>
          <w:szCs w:val="24"/>
        </w:rPr>
        <w:t>subregulation</w:t>
      </w:r>
      <w:proofErr w:type="spellEnd"/>
      <w:r>
        <w:rPr>
          <w:rFonts w:ascii="Times New Roman" w:hAnsi="Times New Roman"/>
          <w:sz w:val="24"/>
          <w:szCs w:val="24"/>
        </w:rPr>
        <w:t xml:space="preserve"> 3C(5) to refuse to waive the fee for an equipment licence. This ensure</w:t>
      </w:r>
      <w:r w:rsidR="00894BBC">
        <w:rPr>
          <w:rFonts w:ascii="Times New Roman" w:hAnsi="Times New Roman"/>
          <w:sz w:val="24"/>
          <w:szCs w:val="24"/>
        </w:rPr>
        <w:t>s</w:t>
      </w:r>
      <w:r>
        <w:rPr>
          <w:rFonts w:ascii="Times New Roman" w:hAnsi="Times New Roman"/>
          <w:sz w:val="24"/>
          <w:szCs w:val="24"/>
        </w:rPr>
        <w:t xml:space="preserve"> these decisions are treated in a similar way to other fee waiver decisions under regulation 3C.</w:t>
      </w:r>
    </w:p>
    <w:p w14:paraId="0212C647" w14:textId="639FEC59" w:rsidR="002140D0" w:rsidRPr="00D75358" w:rsidRDefault="002140D0" w:rsidP="00814991">
      <w:pPr>
        <w:spacing w:after="240" w:line="276" w:lineRule="auto"/>
        <w:rPr>
          <w:rFonts w:ascii="Times New Roman" w:hAnsi="Times New Roman"/>
          <w:sz w:val="24"/>
          <w:szCs w:val="24"/>
        </w:rPr>
      </w:pPr>
      <w:r w:rsidRPr="00D75358">
        <w:rPr>
          <w:rFonts w:ascii="Times New Roman" w:hAnsi="Times New Roman"/>
          <w:i/>
          <w:sz w:val="24"/>
          <w:szCs w:val="24"/>
        </w:rPr>
        <w:t>Circumstances in which the Minister may grant equipment licences that allow section 69G activities</w:t>
      </w:r>
    </w:p>
    <w:p w14:paraId="254D4785" w14:textId="77777777" w:rsidR="002140D0" w:rsidRDefault="002140D0" w:rsidP="00814991">
      <w:pPr>
        <w:spacing w:after="240" w:line="276" w:lineRule="auto"/>
        <w:rPr>
          <w:rFonts w:ascii="Times New Roman" w:hAnsi="Times New Roman"/>
          <w:sz w:val="24"/>
          <w:szCs w:val="24"/>
        </w:rPr>
      </w:pPr>
      <w:r>
        <w:rPr>
          <w:rFonts w:ascii="Times New Roman" w:hAnsi="Times New Roman"/>
          <w:sz w:val="24"/>
          <w:szCs w:val="24"/>
        </w:rPr>
        <w:t>Subsection 16(6A) of the Act provides that the Minister must not grant an equipment licence that allows a Schedule 4 activity or section 69G activity in relation to equipment unless the activity is prescribed by the regulations for the purposes of subparagraph 16(6A)(a)(ii) of the Act.</w:t>
      </w:r>
    </w:p>
    <w:p w14:paraId="20BD75DD" w14:textId="77777777" w:rsidR="002140D0" w:rsidRDefault="002140D0" w:rsidP="00814991">
      <w:pPr>
        <w:spacing w:after="240" w:line="276" w:lineRule="auto"/>
        <w:rPr>
          <w:rFonts w:ascii="Times New Roman" w:hAnsi="Times New Roman"/>
          <w:sz w:val="24"/>
          <w:szCs w:val="24"/>
        </w:rPr>
      </w:pPr>
      <w:r w:rsidRPr="00C029BB">
        <w:rPr>
          <w:rFonts w:ascii="Times New Roman" w:hAnsi="Times New Roman"/>
          <w:sz w:val="24"/>
          <w:szCs w:val="24"/>
        </w:rPr>
        <w:t>Regulation 3E prescribes, for the purposes of subparagraph 16(6A)(a)(ii) of the Act, the imp</w:t>
      </w:r>
      <w:r>
        <w:rPr>
          <w:rFonts w:ascii="Times New Roman" w:hAnsi="Times New Roman"/>
          <w:sz w:val="24"/>
          <w:szCs w:val="24"/>
        </w:rPr>
        <w:t>ort of HCFC</w:t>
      </w:r>
      <w:r w:rsidRPr="00C029BB">
        <w:rPr>
          <w:rFonts w:ascii="Times New Roman" w:hAnsi="Times New Roman"/>
          <w:sz w:val="24"/>
          <w:szCs w:val="24"/>
        </w:rPr>
        <w:t xml:space="preserve"> pre-charged air conditioning and refrigeration equipment if the importation of the equipment satisfies the conditions mention in subsection 13(6) of the Act. </w:t>
      </w:r>
    </w:p>
    <w:p w14:paraId="1F5F60C6" w14:textId="2434AE34" w:rsidR="002140D0" w:rsidRDefault="002140D0" w:rsidP="00814991">
      <w:pPr>
        <w:spacing w:after="240" w:line="276" w:lineRule="auto"/>
        <w:rPr>
          <w:rFonts w:ascii="Times New Roman" w:hAnsi="Times New Roman"/>
          <w:sz w:val="24"/>
          <w:szCs w:val="24"/>
        </w:rPr>
      </w:pPr>
      <w:r w:rsidRPr="00B67B13">
        <w:rPr>
          <w:rFonts w:ascii="Times New Roman" w:hAnsi="Times New Roman"/>
          <w:sz w:val="24"/>
          <w:szCs w:val="24"/>
        </w:rPr>
        <w:t>Item 4</w:t>
      </w:r>
      <w:r w:rsidR="00D75358">
        <w:rPr>
          <w:rFonts w:ascii="Times New Roman" w:hAnsi="Times New Roman"/>
          <w:sz w:val="24"/>
          <w:szCs w:val="24"/>
        </w:rPr>
        <w:t>1</w:t>
      </w:r>
      <w:r>
        <w:rPr>
          <w:rFonts w:ascii="Times New Roman" w:hAnsi="Times New Roman"/>
          <w:sz w:val="24"/>
          <w:szCs w:val="24"/>
        </w:rPr>
        <w:t xml:space="preserve"> repeal</w:t>
      </w:r>
      <w:r w:rsidR="00894BBC">
        <w:rPr>
          <w:rFonts w:ascii="Times New Roman" w:hAnsi="Times New Roman"/>
          <w:sz w:val="24"/>
          <w:szCs w:val="24"/>
        </w:rPr>
        <w:t>s</w:t>
      </w:r>
      <w:r>
        <w:rPr>
          <w:rFonts w:ascii="Times New Roman" w:hAnsi="Times New Roman"/>
          <w:sz w:val="24"/>
          <w:szCs w:val="24"/>
        </w:rPr>
        <w:t xml:space="preserve"> and replace</w:t>
      </w:r>
      <w:r w:rsidR="00894BBC">
        <w:rPr>
          <w:rFonts w:ascii="Times New Roman" w:hAnsi="Times New Roman"/>
          <w:sz w:val="24"/>
          <w:szCs w:val="24"/>
        </w:rPr>
        <w:t>s</w:t>
      </w:r>
      <w:r>
        <w:rPr>
          <w:rFonts w:ascii="Times New Roman" w:hAnsi="Times New Roman"/>
          <w:sz w:val="24"/>
          <w:szCs w:val="24"/>
        </w:rPr>
        <w:t xml:space="preserve"> </w:t>
      </w:r>
      <w:proofErr w:type="spellStart"/>
      <w:r>
        <w:rPr>
          <w:rFonts w:ascii="Times New Roman" w:hAnsi="Times New Roman"/>
          <w:sz w:val="24"/>
          <w:szCs w:val="24"/>
        </w:rPr>
        <w:t>subregulation</w:t>
      </w:r>
      <w:proofErr w:type="spellEnd"/>
      <w:r>
        <w:rPr>
          <w:rFonts w:ascii="Times New Roman" w:hAnsi="Times New Roman"/>
          <w:sz w:val="24"/>
          <w:szCs w:val="24"/>
        </w:rPr>
        <w:t xml:space="preserve"> 3E. New regulation 3E prescribes, for the purposes of subparagraph 16(6A</w:t>
      </w:r>
      <w:proofErr w:type="gramStart"/>
      <w:r>
        <w:rPr>
          <w:rFonts w:ascii="Times New Roman" w:hAnsi="Times New Roman"/>
          <w:sz w:val="24"/>
          <w:szCs w:val="24"/>
        </w:rPr>
        <w:t>)(</w:t>
      </w:r>
      <w:proofErr w:type="gramEnd"/>
      <w:r>
        <w:rPr>
          <w:rFonts w:ascii="Times New Roman" w:hAnsi="Times New Roman"/>
          <w:sz w:val="24"/>
          <w:szCs w:val="24"/>
        </w:rPr>
        <w:t xml:space="preserve">a)(ii) of the Act, the following section 69G activities: </w:t>
      </w:r>
    </w:p>
    <w:p w14:paraId="29105C54" w14:textId="02C7A998" w:rsidR="002140D0" w:rsidRDefault="002140D0" w:rsidP="00814991">
      <w:pPr>
        <w:pStyle w:val="ListBullet"/>
        <w:spacing w:after="240"/>
        <w:rPr>
          <w:rFonts w:ascii="Times New Roman" w:hAnsi="Times New Roman"/>
          <w:sz w:val="24"/>
          <w:szCs w:val="24"/>
        </w:rPr>
      </w:pPr>
      <w:r>
        <w:rPr>
          <w:rFonts w:ascii="Times New Roman" w:hAnsi="Times New Roman"/>
          <w:sz w:val="24"/>
          <w:szCs w:val="24"/>
        </w:rPr>
        <w:t xml:space="preserve">Manufacturing or importing equipment that contains HCFCs or uses HCFCs in its operation for test, monitoring or laboratory and analytical purpose where no practical alternative equipment exists to the use of HCFC in the equipment (paragraph 3E(1)(a) and </w:t>
      </w:r>
      <w:proofErr w:type="spellStart"/>
      <w:r>
        <w:rPr>
          <w:rFonts w:ascii="Times New Roman" w:hAnsi="Times New Roman"/>
          <w:sz w:val="24"/>
          <w:szCs w:val="24"/>
        </w:rPr>
        <w:t>su</w:t>
      </w:r>
      <w:r w:rsidR="00CE2838">
        <w:rPr>
          <w:rFonts w:ascii="Times New Roman" w:hAnsi="Times New Roman"/>
          <w:sz w:val="24"/>
          <w:szCs w:val="24"/>
        </w:rPr>
        <w:t>bregulation</w:t>
      </w:r>
      <w:proofErr w:type="spellEnd"/>
      <w:r w:rsidR="00CE2838">
        <w:rPr>
          <w:rFonts w:ascii="Times New Roman" w:hAnsi="Times New Roman"/>
          <w:sz w:val="24"/>
          <w:szCs w:val="24"/>
        </w:rPr>
        <w:t xml:space="preserve"> 3E</w:t>
      </w:r>
      <w:r>
        <w:rPr>
          <w:rFonts w:ascii="Times New Roman" w:hAnsi="Times New Roman"/>
          <w:sz w:val="24"/>
          <w:szCs w:val="24"/>
        </w:rPr>
        <w:t>(2));</w:t>
      </w:r>
    </w:p>
    <w:p w14:paraId="73B2D888" w14:textId="77777777" w:rsidR="002140D0" w:rsidRPr="00C029BB" w:rsidRDefault="002140D0" w:rsidP="00814991">
      <w:pPr>
        <w:pStyle w:val="ListBullet"/>
        <w:spacing w:after="240"/>
        <w:rPr>
          <w:rFonts w:ascii="Times New Roman" w:hAnsi="Times New Roman"/>
          <w:sz w:val="24"/>
          <w:szCs w:val="24"/>
        </w:rPr>
      </w:pPr>
      <w:r w:rsidRPr="00C029BB">
        <w:rPr>
          <w:rFonts w:ascii="Times New Roman" w:hAnsi="Times New Roman"/>
          <w:sz w:val="24"/>
          <w:szCs w:val="24"/>
        </w:rPr>
        <w:t>Importing replacement parts for existing HCFC refrigeration or air conditioning equipment (paragraph 3E(1)(b));</w:t>
      </w:r>
    </w:p>
    <w:p w14:paraId="2F29C754" w14:textId="77777777" w:rsidR="002140D0" w:rsidRPr="00C029BB" w:rsidRDefault="002140D0" w:rsidP="00814991">
      <w:pPr>
        <w:pStyle w:val="ListBullet"/>
        <w:spacing w:after="240"/>
        <w:rPr>
          <w:rFonts w:ascii="Times New Roman" w:hAnsi="Times New Roman"/>
          <w:sz w:val="24"/>
          <w:szCs w:val="24"/>
        </w:rPr>
      </w:pPr>
      <w:r w:rsidRPr="00C029BB">
        <w:rPr>
          <w:rFonts w:ascii="Times New Roman" w:hAnsi="Times New Roman"/>
          <w:sz w:val="24"/>
          <w:szCs w:val="24"/>
        </w:rPr>
        <w:t xml:space="preserve">Importing equipment insulated with foam manufactured with HCFC (paragraph 3E(1)(c)); </w:t>
      </w:r>
    </w:p>
    <w:p w14:paraId="70D0A6F9" w14:textId="01A5F723" w:rsidR="002140D0" w:rsidRPr="00C029BB" w:rsidRDefault="00CE2838" w:rsidP="00814991">
      <w:pPr>
        <w:pStyle w:val="ListBullet"/>
        <w:spacing w:after="240"/>
        <w:rPr>
          <w:rFonts w:ascii="Times New Roman" w:hAnsi="Times New Roman"/>
          <w:sz w:val="24"/>
          <w:szCs w:val="24"/>
        </w:rPr>
      </w:pPr>
      <w:r>
        <w:rPr>
          <w:rFonts w:ascii="Times New Roman" w:hAnsi="Times New Roman"/>
          <w:sz w:val="24"/>
          <w:szCs w:val="24"/>
        </w:rPr>
        <w:t>Importing equipment i</w:t>
      </w:r>
      <w:r w:rsidR="002140D0" w:rsidRPr="00C029BB">
        <w:rPr>
          <w:rFonts w:ascii="Times New Roman" w:hAnsi="Times New Roman"/>
          <w:sz w:val="24"/>
          <w:szCs w:val="24"/>
        </w:rPr>
        <w:t>f the Minister considers that it would be impracticable for the importer to comply with subsection 13(1) of the Act in relation to importing the equipment and it would be impracticable to remove or retrofit the equipment because it is incidental to other equipment that is being imported</w:t>
      </w:r>
      <w:r w:rsidR="002140D0">
        <w:rPr>
          <w:rFonts w:ascii="Times New Roman" w:hAnsi="Times New Roman"/>
          <w:sz w:val="24"/>
          <w:szCs w:val="24"/>
        </w:rPr>
        <w:t xml:space="preserve"> (or example, air conditioning equipment incorporated into a large boat)</w:t>
      </w:r>
      <w:r w:rsidR="002140D0" w:rsidRPr="00C029BB">
        <w:rPr>
          <w:rFonts w:ascii="Times New Roman" w:hAnsi="Times New Roman"/>
          <w:sz w:val="24"/>
          <w:szCs w:val="24"/>
        </w:rPr>
        <w:t xml:space="preserve"> (paragraph </w:t>
      </w:r>
      <w:proofErr w:type="gramStart"/>
      <w:r w:rsidR="002140D0" w:rsidRPr="00C029BB">
        <w:rPr>
          <w:rFonts w:ascii="Times New Roman" w:hAnsi="Times New Roman"/>
          <w:sz w:val="24"/>
          <w:szCs w:val="24"/>
        </w:rPr>
        <w:t>3E(</w:t>
      </w:r>
      <w:proofErr w:type="gramEnd"/>
      <w:r w:rsidR="002140D0" w:rsidRPr="00C029BB">
        <w:rPr>
          <w:rFonts w:ascii="Times New Roman" w:hAnsi="Times New Roman"/>
          <w:sz w:val="24"/>
          <w:szCs w:val="24"/>
        </w:rPr>
        <w:t>1)(d)).</w:t>
      </w:r>
    </w:p>
    <w:p w14:paraId="30BD3B17" w14:textId="18AC7999" w:rsidR="002140D0" w:rsidRPr="00D75358" w:rsidRDefault="002140D0" w:rsidP="00814991">
      <w:pPr>
        <w:spacing w:after="240" w:line="276" w:lineRule="auto"/>
        <w:rPr>
          <w:rFonts w:ascii="Times New Roman" w:hAnsi="Times New Roman"/>
          <w:i/>
          <w:sz w:val="24"/>
          <w:szCs w:val="24"/>
        </w:rPr>
      </w:pPr>
      <w:r w:rsidRPr="00D75358">
        <w:rPr>
          <w:rFonts w:ascii="Times New Roman" w:hAnsi="Times New Roman"/>
          <w:i/>
          <w:sz w:val="24"/>
          <w:szCs w:val="24"/>
        </w:rPr>
        <w:t>Prohibiting or regulating the manufacture, import, export, distribution or use of equipment</w:t>
      </w:r>
    </w:p>
    <w:p w14:paraId="66909CD9" w14:textId="77777777" w:rsidR="002140D0" w:rsidRDefault="002140D0" w:rsidP="00814991">
      <w:pPr>
        <w:spacing w:after="240" w:line="276" w:lineRule="auto"/>
        <w:rPr>
          <w:rFonts w:ascii="Times New Roman" w:hAnsi="Times New Roman"/>
          <w:sz w:val="24"/>
          <w:szCs w:val="24"/>
        </w:rPr>
      </w:pPr>
      <w:r>
        <w:rPr>
          <w:rFonts w:ascii="Times New Roman" w:hAnsi="Times New Roman"/>
          <w:sz w:val="24"/>
          <w:szCs w:val="24"/>
        </w:rPr>
        <w:t xml:space="preserve">Subsection 69G(1) of the Act provides that the regulations may include provisions prohibiting or regulating the manufacture, import, export, distribution or use of equipment that contains scheduled substances or uses scheduled substances in its operation. Provisions that may be made for the regulations include, but are not limited to, provisions prohibiting or regulating the import of ODS equipment or SGG equipment (subsection </w:t>
      </w:r>
      <w:proofErr w:type="gramStart"/>
      <w:r>
        <w:rPr>
          <w:rFonts w:ascii="Times New Roman" w:hAnsi="Times New Roman"/>
          <w:sz w:val="24"/>
          <w:szCs w:val="24"/>
        </w:rPr>
        <w:t>69G(</w:t>
      </w:r>
      <w:proofErr w:type="gramEnd"/>
      <w:r>
        <w:rPr>
          <w:rFonts w:ascii="Times New Roman" w:hAnsi="Times New Roman"/>
          <w:sz w:val="24"/>
          <w:szCs w:val="24"/>
        </w:rPr>
        <w:t xml:space="preserve">3)). Subsection </w:t>
      </w:r>
      <w:proofErr w:type="gramStart"/>
      <w:r>
        <w:rPr>
          <w:rFonts w:ascii="Times New Roman" w:hAnsi="Times New Roman"/>
          <w:sz w:val="24"/>
          <w:szCs w:val="24"/>
        </w:rPr>
        <w:t>69G(</w:t>
      </w:r>
      <w:proofErr w:type="gramEnd"/>
      <w:r>
        <w:rPr>
          <w:rFonts w:ascii="Times New Roman" w:hAnsi="Times New Roman"/>
          <w:sz w:val="24"/>
          <w:szCs w:val="24"/>
        </w:rPr>
        <w:t>4) clarifies that a person does not contravene a regulation made for the purposes section 69G if the person holds an equipment licence that allows the activity. Subsection 69G(5) clarifies that subsection 13(5), which exempts the import of personal or household effects from the requirement to hold a licence, also applies in relation to a regulation made for the purposes of section 69G.</w:t>
      </w:r>
    </w:p>
    <w:p w14:paraId="54DE1336" w14:textId="1C05B46E" w:rsidR="002140D0" w:rsidRDefault="002140D0" w:rsidP="00814991">
      <w:pPr>
        <w:spacing w:after="240" w:line="276" w:lineRule="auto"/>
        <w:rPr>
          <w:rFonts w:ascii="Times New Roman" w:hAnsi="Times New Roman"/>
          <w:sz w:val="24"/>
          <w:szCs w:val="24"/>
        </w:rPr>
      </w:pPr>
      <w:r>
        <w:rPr>
          <w:rFonts w:ascii="Times New Roman" w:hAnsi="Times New Roman"/>
          <w:sz w:val="24"/>
          <w:szCs w:val="24"/>
        </w:rPr>
        <w:lastRenderedPageBreak/>
        <w:t xml:space="preserve">Item </w:t>
      </w:r>
      <w:r w:rsidR="00D75358">
        <w:rPr>
          <w:rFonts w:ascii="Times New Roman" w:hAnsi="Times New Roman"/>
          <w:sz w:val="24"/>
          <w:szCs w:val="24"/>
        </w:rPr>
        <w:t>43</w:t>
      </w:r>
      <w:r>
        <w:rPr>
          <w:rFonts w:ascii="Times New Roman" w:hAnsi="Times New Roman"/>
          <w:sz w:val="24"/>
          <w:szCs w:val="24"/>
        </w:rPr>
        <w:t xml:space="preserve"> insert</w:t>
      </w:r>
      <w:r w:rsidR="00894BBC">
        <w:rPr>
          <w:rFonts w:ascii="Times New Roman" w:hAnsi="Times New Roman"/>
          <w:sz w:val="24"/>
          <w:szCs w:val="24"/>
        </w:rPr>
        <w:t>s</w:t>
      </w:r>
      <w:r>
        <w:rPr>
          <w:rFonts w:ascii="Times New Roman" w:hAnsi="Times New Roman"/>
          <w:sz w:val="24"/>
          <w:szCs w:val="24"/>
        </w:rPr>
        <w:t xml:space="preserve"> a new Division 9.1 (Control of manufacture etc. of equipment containing or using scheduled substances) into the Principal Regulations, and insert</w:t>
      </w:r>
      <w:r w:rsidR="00894BBC">
        <w:rPr>
          <w:rFonts w:ascii="Times New Roman" w:hAnsi="Times New Roman"/>
          <w:sz w:val="24"/>
          <w:szCs w:val="24"/>
        </w:rPr>
        <w:t>s</w:t>
      </w:r>
      <w:r>
        <w:rPr>
          <w:rFonts w:ascii="Times New Roman" w:hAnsi="Times New Roman"/>
          <w:sz w:val="24"/>
          <w:szCs w:val="24"/>
        </w:rPr>
        <w:t xml:space="preserve"> new regulations 913, 914 and 915. </w:t>
      </w:r>
    </w:p>
    <w:p w14:paraId="6693EB69" w14:textId="5062E5F9" w:rsidR="002140D0" w:rsidRDefault="00894BBC" w:rsidP="00814991">
      <w:pPr>
        <w:spacing w:after="240" w:line="276" w:lineRule="auto"/>
        <w:rPr>
          <w:rFonts w:ascii="Times New Roman" w:hAnsi="Times New Roman"/>
          <w:sz w:val="24"/>
          <w:szCs w:val="24"/>
        </w:rPr>
      </w:pPr>
      <w:r>
        <w:rPr>
          <w:rFonts w:ascii="Times New Roman" w:hAnsi="Times New Roman"/>
          <w:sz w:val="24"/>
          <w:szCs w:val="24"/>
        </w:rPr>
        <w:t>R</w:t>
      </w:r>
      <w:r w:rsidR="002140D0">
        <w:rPr>
          <w:rFonts w:ascii="Times New Roman" w:hAnsi="Times New Roman"/>
          <w:sz w:val="24"/>
          <w:szCs w:val="24"/>
        </w:rPr>
        <w:t>egulation 913 state</w:t>
      </w:r>
      <w:r>
        <w:rPr>
          <w:rFonts w:ascii="Times New Roman" w:hAnsi="Times New Roman"/>
          <w:sz w:val="24"/>
          <w:szCs w:val="24"/>
        </w:rPr>
        <w:t>s</w:t>
      </w:r>
      <w:r w:rsidR="002140D0">
        <w:rPr>
          <w:rFonts w:ascii="Times New Roman" w:hAnsi="Times New Roman"/>
          <w:sz w:val="24"/>
          <w:szCs w:val="24"/>
        </w:rPr>
        <w:t xml:space="preserve"> the purpose of Division 9.1 is to prohibit or restrict the manufacture</w:t>
      </w:r>
      <w:r w:rsidR="002140D0" w:rsidRPr="00001F71">
        <w:rPr>
          <w:rFonts w:ascii="Times New Roman" w:hAnsi="Times New Roman"/>
          <w:sz w:val="24"/>
          <w:szCs w:val="24"/>
        </w:rPr>
        <w:t xml:space="preserve">, import, export, distribution or use of </w:t>
      </w:r>
      <w:r w:rsidR="002140D0">
        <w:rPr>
          <w:rFonts w:ascii="Times New Roman" w:hAnsi="Times New Roman"/>
          <w:sz w:val="24"/>
          <w:szCs w:val="24"/>
        </w:rPr>
        <w:t>equipment that contains scheduled substances, or uses scheduled substances in its operation, for the purposes of section 69G of the Act.</w:t>
      </w:r>
    </w:p>
    <w:p w14:paraId="53BB1175" w14:textId="0754E8EA" w:rsidR="002140D0" w:rsidRDefault="00894BBC" w:rsidP="00814991">
      <w:pPr>
        <w:spacing w:after="240" w:line="276" w:lineRule="auto"/>
        <w:rPr>
          <w:rFonts w:ascii="Times New Roman" w:hAnsi="Times New Roman"/>
          <w:sz w:val="24"/>
          <w:szCs w:val="24"/>
        </w:rPr>
      </w:pPr>
      <w:r>
        <w:rPr>
          <w:rFonts w:ascii="Times New Roman" w:hAnsi="Times New Roman"/>
          <w:sz w:val="24"/>
          <w:szCs w:val="24"/>
        </w:rPr>
        <w:t>R</w:t>
      </w:r>
      <w:r w:rsidR="00CE2838">
        <w:rPr>
          <w:rFonts w:ascii="Times New Roman" w:hAnsi="Times New Roman"/>
          <w:sz w:val="24"/>
          <w:szCs w:val="24"/>
        </w:rPr>
        <w:t>egulation 9</w:t>
      </w:r>
      <w:r w:rsidR="002140D0">
        <w:rPr>
          <w:rFonts w:ascii="Times New Roman" w:hAnsi="Times New Roman"/>
          <w:sz w:val="24"/>
          <w:szCs w:val="24"/>
        </w:rPr>
        <w:t xml:space="preserve">15 in Subdivision 9.1.2 (Section 69G activities) </w:t>
      </w:r>
      <w:r w:rsidR="00CE2838">
        <w:rPr>
          <w:rFonts w:ascii="Times New Roman" w:hAnsi="Times New Roman"/>
          <w:sz w:val="24"/>
          <w:szCs w:val="24"/>
        </w:rPr>
        <w:t>prohibit</w:t>
      </w:r>
      <w:r>
        <w:rPr>
          <w:rFonts w:ascii="Times New Roman" w:hAnsi="Times New Roman"/>
          <w:sz w:val="24"/>
          <w:szCs w:val="24"/>
        </w:rPr>
        <w:t>s</w:t>
      </w:r>
      <w:r w:rsidR="002140D0">
        <w:rPr>
          <w:rFonts w:ascii="Times New Roman" w:hAnsi="Times New Roman"/>
          <w:sz w:val="24"/>
          <w:szCs w:val="24"/>
        </w:rPr>
        <w:t xml:space="preserve"> the manufacture or import of equipment that contains HCFCs or uses HCFCs in its operation. </w:t>
      </w:r>
      <w:r>
        <w:rPr>
          <w:rFonts w:ascii="Times New Roman" w:hAnsi="Times New Roman"/>
          <w:sz w:val="24"/>
          <w:szCs w:val="24"/>
        </w:rPr>
        <w:t>R</w:t>
      </w:r>
      <w:r w:rsidR="002140D0">
        <w:rPr>
          <w:rFonts w:ascii="Times New Roman" w:hAnsi="Times New Roman"/>
          <w:sz w:val="24"/>
          <w:szCs w:val="24"/>
        </w:rPr>
        <w:t>egulation 914 make</w:t>
      </w:r>
      <w:r>
        <w:rPr>
          <w:rFonts w:ascii="Times New Roman" w:hAnsi="Times New Roman"/>
          <w:sz w:val="24"/>
          <w:szCs w:val="24"/>
        </w:rPr>
        <w:t>s</w:t>
      </w:r>
      <w:r w:rsidR="002140D0">
        <w:rPr>
          <w:rFonts w:ascii="Times New Roman" w:hAnsi="Times New Roman"/>
          <w:sz w:val="24"/>
          <w:szCs w:val="24"/>
        </w:rPr>
        <w:t xml:space="preserve"> it an offence of strict liability for a person to carry out an activity that contravenes Subdivision 9.1.2. A contravention of this offence has a maximum penalty of 50 penalty units for an individual. Application of strict liability to this offence has been set with consideration given to the guidelines regarding the circumstances in which strict liability is appropriate set out in </w:t>
      </w:r>
      <w:r w:rsidR="002140D0">
        <w:rPr>
          <w:rFonts w:ascii="Times New Roman" w:hAnsi="Times New Roman"/>
          <w:i/>
          <w:sz w:val="24"/>
          <w:szCs w:val="24"/>
        </w:rPr>
        <w:t xml:space="preserve">A Guide to Framing Commonwealth Offences, Civil Penalties and Enforcement Powers. </w:t>
      </w:r>
      <w:r w:rsidR="002140D0">
        <w:rPr>
          <w:rFonts w:ascii="Times New Roman" w:hAnsi="Times New Roman"/>
          <w:sz w:val="24"/>
          <w:szCs w:val="24"/>
        </w:rPr>
        <w:t>This offence is necessary to ensure compliance with Australia’s obligations under the Montreal Protocol. The use of strict liability for this offence is necessary to ensure the integrity of the established regulatory regime to prevent environmental harm.</w:t>
      </w:r>
    </w:p>
    <w:p w14:paraId="4A998813" w14:textId="3208144F" w:rsidR="002140D0" w:rsidRDefault="002140D0" w:rsidP="00814991">
      <w:pPr>
        <w:spacing w:after="240" w:line="276" w:lineRule="auto"/>
        <w:rPr>
          <w:rFonts w:ascii="Times New Roman" w:hAnsi="Times New Roman"/>
          <w:sz w:val="24"/>
          <w:szCs w:val="24"/>
        </w:rPr>
      </w:pPr>
      <w:r>
        <w:rPr>
          <w:rFonts w:ascii="Times New Roman" w:hAnsi="Times New Roman"/>
          <w:sz w:val="24"/>
          <w:szCs w:val="24"/>
        </w:rPr>
        <w:t>Note 1 to new regulation 914 make</w:t>
      </w:r>
      <w:r w:rsidR="00894BBC">
        <w:rPr>
          <w:rFonts w:ascii="Times New Roman" w:hAnsi="Times New Roman"/>
          <w:sz w:val="24"/>
          <w:szCs w:val="24"/>
        </w:rPr>
        <w:t>s it</w:t>
      </w:r>
      <w:r>
        <w:rPr>
          <w:rFonts w:ascii="Times New Roman" w:hAnsi="Times New Roman"/>
          <w:sz w:val="24"/>
          <w:szCs w:val="24"/>
        </w:rPr>
        <w:t xml:space="preserve"> clear a person does not contravene Subdivision</w:t>
      </w:r>
      <w:r w:rsidR="00D75358">
        <w:rPr>
          <w:rFonts w:ascii="Times New Roman" w:hAnsi="Times New Roman"/>
          <w:sz w:val="24"/>
          <w:szCs w:val="24"/>
        </w:rPr>
        <w:t> </w:t>
      </w:r>
      <w:r>
        <w:rPr>
          <w:rFonts w:ascii="Times New Roman" w:hAnsi="Times New Roman"/>
          <w:sz w:val="24"/>
          <w:szCs w:val="24"/>
        </w:rPr>
        <w:t>9.1</w:t>
      </w:r>
      <w:r w:rsidR="00B54F12">
        <w:rPr>
          <w:rFonts w:ascii="Times New Roman" w:hAnsi="Times New Roman"/>
          <w:sz w:val="24"/>
          <w:szCs w:val="24"/>
        </w:rPr>
        <w:t>.</w:t>
      </w:r>
      <w:r>
        <w:rPr>
          <w:rFonts w:ascii="Times New Roman" w:hAnsi="Times New Roman"/>
          <w:sz w:val="24"/>
          <w:szCs w:val="24"/>
        </w:rPr>
        <w:t xml:space="preserve">2 if the person holds an equipment licence that allows the activity, in accordance with the exemption in subsection 69G(4) of the Act. Note 2 directs readers to subsection </w:t>
      </w:r>
      <w:proofErr w:type="gramStart"/>
      <w:r>
        <w:rPr>
          <w:rFonts w:ascii="Times New Roman" w:hAnsi="Times New Roman"/>
          <w:sz w:val="24"/>
          <w:szCs w:val="24"/>
        </w:rPr>
        <w:t>69G(</w:t>
      </w:r>
      <w:proofErr w:type="gramEnd"/>
      <w:r>
        <w:rPr>
          <w:rFonts w:ascii="Times New Roman" w:hAnsi="Times New Roman"/>
          <w:sz w:val="24"/>
          <w:szCs w:val="24"/>
        </w:rPr>
        <w:t xml:space="preserve">5), which applies subsection 13(5) to exempt the import of certain personal or household effects from the requirement to hold an equipment licence. </w:t>
      </w:r>
    </w:p>
    <w:p w14:paraId="7F06212F" w14:textId="6E78C5D7" w:rsidR="002140D0" w:rsidRDefault="002140D0" w:rsidP="00814991">
      <w:pPr>
        <w:spacing w:after="240" w:line="276" w:lineRule="auto"/>
        <w:rPr>
          <w:rFonts w:ascii="Times New Roman" w:hAnsi="Times New Roman"/>
          <w:sz w:val="24"/>
          <w:szCs w:val="24"/>
        </w:rPr>
      </w:pPr>
      <w:r>
        <w:rPr>
          <w:rFonts w:ascii="Times New Roman" w:hAnsi="Times New Roman"/>
          <w:sz w:val="24"/>
          <w:szCs w:val="24"/>
        </w:rPr>
        <w:t xml:space="preserve">Item </w:t>
      </w:r>
      <w:r w:rsidR="00D75358">
        <w:rPr>
          <w:rFonts w:ascii="Times New Roman" w:hAnsi="Times New Roman"/>
          <w:sz w:val="24"/>
          <w:szCs w:val="24"/>
        </w:rPr>
        <w:t>43</w:t>
      </w:r>
      <w:r>
        <w:rPr>
          <w:rFonts w:ascii="Times New Roman" w:hAnsi="Times New Roman"/>
          <w:sz w:val="24"/>
          <w:szCs w:val="24"/>
        </w:rPr>
        <w:t xml:space="preserve"> also inserts a new heading Division 9.2 (Miscellaneous) before regulation 916 of the Principal Regulations.</w:t>
      </w:r>
    </w:p>
    <w:p w14:paraId="5E486B3F" w14:textId="77777777" w:rsidR="002140D0" w:rsidRPr="00D75358" w:rsidRDefault="002140D0" w:rsidP="00814991">
      <w:pPr>
        <w:spacing w:after="240" w:line="276" w:lineRule="auto"/>
        <w:rPr>
          <w:rFonts w:ascii="Times New Roman" w:hAnsi="Times New Roman"/>
          <w:b/>
          <w:sz w:val="24"/>
          <w:szCs w:val="24"/>
        </w:rPr>
      </w:pPr>
      <w:r w:rsidRPr="00D75358">
        <w:rPr>
          <w:rFonts w:ascii="Times New Roman" w:hAnsi="Times New Roman"/>
          <w:b/>
          <w:sz w:val="24"/>
          <w:szCs w:val="24"/>
        </w:rPr>
        <w:t>Division 2 – Other amendments</w:t>
      </w:r>
    </w:p>
    <w:p w14:paraId="1B473CB0" w14:textId="32E3598A" w:rsidR="002140D0" w:rsidRDefault="002140D0" w:rsidP="00814991">
      <w:pPr>
        <w:spacing w:after="240" w:line="276" w:lineRule="auto"/>
        <w:rPr>
          <w:rFonts w:ascii="Times New Roman" w:hAnsi="Times New Roman"/>
          <w:sz w:val="24"/>
          <w:szCs w:val="24"/>
        </w:rPr>
      </w:pPr>
      <w:r>
        <w:rPr>
          <w:rFonts w:ascii="Times New Roman" w:hAnsi="Times New Roman"/>
          <w:sz w:val="24"/>
          <w:szCs w:val="24"/>
        </w:rPr>
        <w:t xml:space="preserve">Currently, </w:t>
      </w:r>
      <w:proofErr w:type="spellStart"/>
      <w:r>
        <w:rPr>
          <w:rFonts w:ascii="Times New Roman" w:hAnsi="Times New Roman"/>
          <w:sz w:val="24"/>
          <w:szCs w:val="24"/>
        </w:rPr>
        <w:t>subregulation</w:t>
      </w:r>
      <w:proofErr w:type="spellEnd"/>
      <w:r>
        <w:rPr>
          <w:rFonts w:ascii="Times New Roman" w:hAnsi="Times New Roman"/>
          <w:sz w:val="24"/>
          <w:szCs w:val="24"/>
        </w:rPr>
        <w:t xml:space="preserve"> </w:t>
      </w:r>
      <w:proofErr w:type="gramStart"/>
      <w:r>
        <w:rPr>
          <w:rFonts w:ascii="Times New Roman" w:hAnsi="Times New Roman"/>
          <w:sz w:val="24"/>
          <w:szCs w:val="24"/>
        </w:rPr>
        <w:t>3C(</w:t>
      </w:r>
      <w:proofErr w:type="gramEnd"/>
      <w:r>
        <w:rPr>
          <w:rFonts w:ascii="Times New Roman" w:hAnsi="Times New Roman"/>
          <w:sz w:val="24"/>
          <w:szCs w:val="24"/>
        </w:rPr>
        <w:t xml:space="preserve">2) enables the Minister to waive an application fee for a controlled substances licence or a used substances licence if the licence allows the manufacture, import or export of less than half a tonne of scheduled substances and the Minister is satisfied that the manufacture, import or export is for test purposes. Item </w:t>
      </w:r>
      <w:r w:rsidR="00D75358">
        <w:rPr>
          <w:rFonts w:ascii="Times New Roman" w:hAnsi="Times New Roman"/>
          <w:sz w:val="24"/>
          <w:szCs w:val="24"/>
        </w:rPr>
        <w:t>45</w:t>
      </w:r>
      <w:r>
        <w:rPr>
          <w:rFonts w:ascii="Times New Roman" w:hAnsi="Times New Roman"/>
          <w:sz w:val="24"/>
          <w:szCs w:val="24"/>
        </w:rPr>
        <w:t xml:space="preserve"> expand</w:t>
      </w:r>
      <w:r w:rsidR="00894BBC">
        <w:rPr>
          <w:rFonts w:ascii="Times New Roman" w:hAnsi="Times New Roman"/>
          <w:sz w:val="24"/>
          <w:szCs w:val="24"/>
        </w:rPr>
        <w:t>s</w:t>
      </w:r>
      <w:r>
        <w:rPr>
          <w:rFonts w:ascii="Times New Roman" w:hAnsi="Times New Roman"/>
          <w:sz w:val="24"/>
          <w:szCs w:val="24"/>
        </w:rPr>
        <w:t xml:space="preserve"> the circumstances in which an application for a controlled substances licence or a used substances licence </w:t>
      </w:r>
      <w:r w:rsidR="00894BBC">
        <w:rPr>
          <w:rFonts w:ascii="Times New Roman" w:hAnsi="Times New Roman"/>
          <w:sz w:val="24"/>
          <w:szCs w:val="24"/>
        </w:rPr>
        <w:t>may</w:t>
      </w:r>
      <w:r>
        <w:rPr>
          <w:rFonts w:ascii="Times New Roman" w:hAnsi="Times New Roman"/>
          <w:sz w:val="24"/>
          <w:szCs w:val="24"/>
        </w:rPr>
        <w:t xml:space="preserve"> be waived to also include monitoring purposes or laboratory and analytical purposes. This provide</w:t>
      </w:r>
      <w:r w:rsidR="00894BBC">
        <w:rPr>
          <w:rFonts w:ascii="Times New Roman" w:hAnsi="Times New Roman"/>
          <w:sz w:val="24"/>
          <w:szCs w:val="24"/>
        </w:rPr>
        <w:t>s</w:t>
      </w:r>
      <w:r>
        <w:rPr>
          <w:rFonts w:ascii="Times New Roman" w:hAnsi="Times New Roman"/>
          <w:sz w:val="24"/>
          <w:szCs w:val="24"/>
        </w:rPr>
        <w:t xml:space="preserve"> a cost effective import mechanism or importers of bulk substances for specialist laboratory and analytical purposes, or monitoring purposes. </w:t>
      </w:r>
    </w:p>
    <w:p w14:paraId="16EFEC87" w14:textId="68D023DA" w:rsidR="002140D0" w:rsidRDefault="002140D0" w:rsidP="00814991">
      <w:pPr>
        <w:spacing w:after="240" w:line="276" w:lineRule="auto"/>
        <w:rPr>
          <w:rFonts w:ascii="Times New Roman" w:hAnsi="Times New Roman"/>
          <w:sz w:val="24"/>
          <w:szCs w:val="24"/>
        </w:rPr>
      </w:pPr>
      <w:r>
        <w:rPr>
          <w:rFonts w:ascii="Times New Roman" w:hAnsi="Times New Roman"/>
          <w:sz w:val="24"/>
          <w:szCs w:val="24"/>
        </w:rPr>
        <w:t>Item 4</w:t>
      </w:r>
      <w:r w:rsidR="00D75358">
        <w:rPr>
          <w:rFonts w:ascii="Times New Roman" w:hAnsi="Times New Roman"/>
          <w:sz w:val="24"/>
          <w:szCs w:val="24"/>
        </w:rPr>
        <w:t>4</w:t>
      </w:r>
      <w:r>
        <w:rPr>
          <w:rFonts w:ascii="Times New Roman" w:hAnsi="Times New Roman"/>
          <w:sz w:val="24"/>
          <w:szCs w:val="24"/>
        </w:rPr>
        <w:t xml:space="preserve"> ensure</w:t>
      </w:r>
      <w:r w:rsidR="00894BBC">
        <w:rPr>
          <w:rFonts w:ascii="Times New Roman" w:hAnsi="Times New Roman"/>
          <w:sz w:val="24"/>
          <w:szCs w:val="24"/>
        </w:rPr>
        <w:t>s</w:t>
      </w:r>
      <w:r>
        <w:rPr>
          <w:rFonts w:ascii="Times New Roman" w:hAnsi="Times New Roman"/>
          <w:sz w:val="24"/>
          <w:szCs w:val="24"/>
        </w:rPr>
        <w:t xml:space="preserve"> that </w:t>
      </w:r>
      <w:proofErr w:type="spellStart"/>
      <w:r>
        <w:rPr>
          <w:rFonts w:ascii="Times New Roman" w:hAnsi="Times New Roman"/>
          <w:sz w:val="24"/>
          <w:szCs w:val="24"/>
        </w:rPr>
        <w:t>subregulation</w:t>
      </w:r>
      <w:proofErr w:type="spellEnd"/>
      <w:r>
        <w:rPr>
          <w:rFonts w:ascii="Times New Roman" w:hAnsi="Times New Roman"/>
          <w:sz w:val="24"/>
          <w:szCs w:val="24"/>
        </w:rPr>
        <w:t xml:space="preserve"> </w:t>
      </w:r>
      <w:proofErr w:type="gramStart"/>
      <w:r>
        <w:rPr>
          <w:rFonts w:ascii="Times New Roman" w:hAnsi="Times New Roman"/>
          <w:sz w:val="24"/>
          <w:szCs w:val="24"/>
        </w:rPr>
        <w:t>3C(</w:t>
      </w:r>
      <w:proofErr w:type="gramEnd"/>
      <w:r>
        <w:rPr>
          <w:rFonts w:ascii="Times New Roman" w:hAnsi="Times New Roman"/>
          <w:sz w:val="24"/>
          <w:szCs w:val="24"/>
        </w:rPr>
        <w:t xml:space="preserve">1) refers to the provision in the Act which enables the application fees to be prescribed. </w:t>
      </w:r>
    </w:p>
    <w:p w14:paraId="00A6CB14" w14:textId="77777777" w:rsidR="00D75358" w:rsidRDefault="00D75358" w:rsidP="00814991">
      <w:pPr>
        <w:spacing w:after="200" w:line="276" w:lineRule="auto"/>
        <w:rPr>
          <w:rFonts w:ascii="Times New Roman" w:hAnsi="Times New Roman"/>
          <w:i/>
          <w:sz w:val="24"/>
          <w:szCs w:val="24"/>
        </w:rPr>
      </w:pPr>
      <w:r>
        <w:rPr>
          <w:rFonts w:ascii="Times New Roman" w:hAnsi="Times New Roman"/>
          <w:i/>
          <w:sz w:val="24"/>
          <w:szCs w:val="24"/>
        </w:rPr>
        <w:br w:type="page"/>
      </w:r>
    </w:p>
    <w:p w14:paraId="1AA23E6F" w14:textId="56996F7D" w:rsidR="0012212A" w:rsidRPr="0012212A" w:rsidRDefault="0012212A" w:rsidP="00814991">
      <w:pPr>
        <w:spacing w:after="200" w:line="276" w:lineRule="auto"/>
        <w:rPr>
          <w:rFonts w:ascii="Times New Roman" w:hAnsi="Times New Roman"/>
          <w:i/>
          <w:sz w:val="24"/>
          <w:szCs w:val="24"/>
        </w:rPr>
      </w:pPr>
      <w:r w:rsidRPr="0012212A">
        <w:rPr>
          <w:rFonts w:ascii="Times New Roman" w:hAnsi="Times New Roman"/>
          <w:i/>
          <w:sz w:val="24"/>
          <w:szCs w:val="24"/>
        </w:rPr>
        <w:lastRenderedPageBreak/>
        <w:t>Fee waiver of licence application fees for controlled substances and used substances licences</w:t>
      </w:r>
    </w:p>
    <w:p w14:paraId="1002DC69" w14:textId="7B039C00" w:rsidR="0012212A" w:rsidRDefault="0012212A" w:rsidP="00814991">
      <w:pPr>
        <w:spacing w:after="240" w:line="276" w:lineRule="auto"/>
        <w:rPr>
          <w:rFonts w:ascii="Times New Roman" w:hAnsi="Times New Roman"/>
          <w:sz w:val="24"/>
          <w:szCs w:val="24"/>
        </w:rPr>
      </w:pPr>
      <w:r w:rsidRPr="0012212A">
        <w:rPr>
          <w:rFonts w:ascii="Times New Roman" w:hAnsi="Times New Roman"/>
          <w:sz w:val="24"/>
          <w:szCs w:val="24"/>
        </w:rPr>
        <w:t xml:space="preserve">The amendment expands the existing fee waiver provisions to include circumstances where the Minister or delegate is satisfied that the manufacture, import or export is for laboratory and analytical purposes, or monitoring purposes. </w:t>
      </w:r>
      <w:r w:rsidR="00AF2CB4">
        <w:rPr>
          <w:rFonts w:ascii="Times New Roman" w:hAnsi="Times New Roman"/>
          <w:sz w:val="24"/>
          <w:szCs w:val="24"/>
        </w:rPr>
        <w:t xml:space="preserve">Regulation 3C(2)(a) </w:t>
      </w:r>
      <w:r w:rsidR="00894BBC">
        <w:rPr>
          <w:rFonts w:ascii="Times New Roman" w:hAnsi="Times New Roman"/>
          <w:sz w:val="24"/>
          <w:szCs w:val="24"/>
        </w:rPr>
        <w:t>will</w:t>
      </w:r>
      <w:r w:rsidR="00AF2CB4">
        <w:rPr>
          <w:rFonts w:ascii="Times New Roman" w:hAnsi="Times New Roman"/>
          <w:sz w:val="24"/>
          <w:szCs w:val="24"/>
        </w:rPr>
        <w:t xml:space="preserve"> apply so that </w:t>
      </w:r>
      <w:r w:rsidRPr="0012212A">
        <w:rPr>
          <w:rFonts w:ascii="Times New Roman" w:hAnsi="Times New Roman"/>
          <w:sz w:val="24"/>
          <w:szCs w:val="24"/>
        </w:rPr>
        <w:t xml:space="preserve">the </w:t>
      </w:r>
      <w:r w:rsidR="00AF2CB4">
        <w:rPr>
          <w:rFonts w:ascii="Times New Roman" w:hAnsi="Times New Roman"/>
          <w:sz w:val="24"/>
          <w:szCs w:val="24"/>
        </w:rPr>
        <w:t xml:space="preserve">fee waiver </w:t>
      </w:r>
      <w:r w:rsidR="00CE4168">
        <w:rPr>
          <w:rFonts w:ascii="Times New Roman" w:hAnsi="Times New Roman"/>
          <w:sz w:val="24"/>
          <w:szCs w:val="24"/>
        </w:rPr>
        <w:t>will</w:t>
      </w:r>
      <w:r w:rsidR="00AF2CB4">
        <w:rPr>
          <w:rFonts w:ascii="Times New Roman" w:hAnsi="Times New Roman"/>
          <w:sz w:val="24"/>
          <w:szCs w:val="24"/>
        </w:rPr>
        <w:t xml:space="preserve"> be available for these new purposes if the licence is to allow manufacture, import or export of </w:t>
      </w:r>
      <w:r w:rsidRPr="0012212A">
        <w:rPr>
          <w:rFonts w:ascii="Times New Roman" w:hAnsi="Times New Roman"/>
          <w:sz w:val="24"/>
          <w:szCs w:val="24"/>
        </w:rPr>
        <w:t>less than half a tonne</w:t>
      </w:r>
      <w:r w:rsidR="00AF2CB4">
        <w:rPr>
          <w:rFonts w:ascii="Times New Roman" w:hAnsi="Times New Roman"/>
          <w:sz w:val="24"/>
          <w:szCs w:val="24"/>
        </w:rPr>
        <w:t xml:space="preserve"> of scheduled substances</w:t>
      </w:r>
      <w:r w:rsidRPr="0012212A">
        <w:rPr>
          <w:rFonts w:ascii="Times New Roman" w:hAnsi="Times New Roman"/>
          <w:sz w:val="24"/>
          <w:szCs w:val="24"/>
        </w:rPr>
        <w:t>. The Minister or delegate retain</w:t>
      </w:r>
      <w:r w:rsidR="00894BBC">
        <w:rPr>
          <w:rFonts w:ascii="Times New Roman" w:hAnsi="Times New Roman"/>
          <w:sz w:val="24"/>
          <w:szCs w:val="24"/>
        </w:rPr>
        <w:t>s</w:t>
      </w:r>
      <w:r w:rsidRPr="0012212A">
        <w:rPr>
          <w:rFonts w:ascii="Times New Roman" w:hAnsi="Times New Roman"/>
          <w:sz w:val="24"/>
          <w:szCs w:val="24"/>
        </w:rPr>
        <w:t xml:space="preserve"> discretion in whether to grant the licence application fee waiver.</w:t>
      </w:r>
    </w:p>
    <w:p w14:paraId="19B4208D" w14:textId="65FDD526" w:rsidR="0012212A" w:rsidRPr="0012212A" w:rsidRDefault="0012212A" w:rsidP="00814991">
      <w:pPr>
        <w:spacing w:after="240" w:line="276" w:lineRule="auto"/>
        <w:rPr>
          <w:rFonts w:ascii="Times New Roman" w:hAnsi="Times New Roman"/>
          <w:sz w:val="24"/>
          <w:szCs w:val="24"/>
        </w:rPr>
      </w:pPr>
      <w:r w:rsidRPr="0012212A">
        <w:rPr>
          <w:rFonts w:ascii="Times New Roman" w:hAnsi="Times New Roman"/>
          <w:sz w:val="24"/>
          <w:szCs w:val="24"/>
        </w:rPr>
        <w:t>T</w:t>
      </w:r>
      <w:r>
        <w:rPr>
          <w:rFonts w:ascii="Times New Roman" w:hAnsi="Times New Roman"/>
          <w:sz w:val="24"/>
          <w:szCs w:val="24"/>
        </w:rPr>
        <w:t>he intention is to</w:t>
      </w:r>
      <w:r w:rsidRPr="0012212A">
        <w:rPr>
          <w:rFonts w:ascii="Times New Roman" w:hAnsi="Times New Roman"/>
          <w:sz w:val="24"/>
          <w:szCs w:val="24"/>
        </w:rPr>
        <w:t xml:space="preserve"> provide, through the capacity to waive licence fees, a cost effective import mechanism for importers of bulk</w:t>
      </w:r>
      <w:r w:rsidR="00AF2CB4">
        <w:rPr>
          <w:rFonts w:ascii="Times New Roman" w:hAnsi="Times New Roman"/>
          <w:sz w:val="24"/>
          <w:szCs w:val="24"/>
        </w:rPr>
        <w:t xml:space="preserve"> substances for specialist</w:t>
      </w:r>
      <w:r w:rsidRPr="0012212A">
        <w:rPr>
          <w:rFonts w:ascii="Times New Roman" w:hAnsi="Times New Roman"/>
          <w:sz w:val="24"/>
          <w:szCs w:val="24"/>
        </w:rPr>
        <w:t xml:space="preserve"> laboratory and analytical purposes, or monitoring purposes. This </w:t>
      </w:r>
      <w:r w:rsidR="00894BBC">
        <w:rPr>
          <w:rFonts w:ascii="Times New Roman" w:hAnsi="Times New Roman"/>
          <w:sz w:val="24"/>
          <w:szCs w:val="24"/>
        </w:rPr>
        <w:t>will</w:t>
      </w:r>
      <w:r w:rsidR="00AF2CB4">
        <w:rPr>
          <w:rFonts w:ascii="Times New Roman" w:hAnsi="Times New Roman"/>
          <w:sz w:val="24"/>
          <w:szCs w:val="24"/>
        </w:rPr>
        <w:t xml:space="preserve"> align</w:t>
      </w:r>
      <w:r w:rsidRPr="0012212A">
        <w:rPr>
          <w:rFonts w:ascii="Times New Roman" w:hAnsi="Times New Roman"/>
          <w:sz w:val="24"/>
          <w:szCs w:val="24"/>
        </w:rPr>
        <w:t xml:space="preserve"> with the current capacity to waive licence fees for test purposes.</w:t>
      </w:r>
    </w:p>
    <w:p w14:paraId="3FC937E7" w14:textId="1CF1BAA2" w:rsidR="0012212A" w:rsidRPr="00436874" w:rsidRDefault="001A01BC" w:rsidP="00814991">
      <w:pPr>
        <w:spacing w:after="200" w:line="276" w:lineRule="auto"/>
        <w:rPr>
          <w:rFonts w:ascii="Times New Roman" w:hAnsi="Times New Roman"/>
          <w:sz w:val="24"/>
          <w:szCs w:val="24"/>
          <w:u w:val="single"/>
        </w:rPr>
      </w:pPr>
      <w:r>
        <w:rPr>
          <w:rFonts w:ascii="Times New Roman" w:hAnsi="Times New Roman"/>
          <w:sz w:val="24"/>
          <w:szCs w:val="24"/>
          <w:u w:val="single"/>
        </w:rPr>
        <w:t xml:space="preserve">Item </w:t>
      </w:r>
      <w:r w:rsidR="00D75358">
        <w:rPr>
          <w:rFonts w:ascii="Times New Roman" w:hAnsi="Times New Roman"/>
          <w:sz w:val="24"/>
          <w:szCs w:val="24"/>
          <w:u w:val="single"/>
        </w:rPr>
        <w:t>45</w:t>
      </w:r>
    </w:p>
    <w:p w14:paraId="287D1196" w14:textId="77777777" w:rsidR="009917A8" w:rsidRDefault="00893EE7" w:rsidP="00814991">
      <w:pPr>
        <w:spacing w:after="240" w:line="276" w:lineRule="auto"/>
        <w:rPr>
          <w:rFonts w:ascii="Times New Roman" w:hAnsi="Times New Roman"/>
          <w:sz w:val="24"/>
          <w:szCs w:val="24"/>
        </w:rPr>
      </w:pPr>
      <w:r>
        <w:rPr>
          <w:rFonts w:ascii="Times New Roman" w:hAnsi="Times New Roman"/>
          <w:sz w:val="24"/>
          <w:szCs w:val="24"/>
        </w:rPr>
        <w:t xml:space="preserve">Regulation 3C </w:t>
      </w:r>
      <w:r w:rsidR="00AF2CB4">
        <w:rPr>
          <w:rFonts w:ascii="Times New Roman" w:hAnsi="Times New Roman"/>
          <w:sz w:val="24"/>
          <w:szCs w:val="24"/>
        </w:rPr>
        <w:t xml:space="preserve">of the Principal Regulations </w:t>
      </w:r>
      <w:r>
        <w:rPr>
          <w:rFonts w:ascii="Times New Roman" w:hAnsi="Times New Roman"/>
          <w:sz w:val="24"/>
          <w:szCs w:val="24"/>
        </w:rPr>
        <w:t xml:space="preserve">sets out application fees for licences, and provides circumstances where the Minister may waive those application fees. </w:t>
      </w:r>
    </w:p>
    <w:p w14:paraId="36475062" w14:textId="101519FE" w:rsidR="001A01BC" w:rsidRPr="00A023D4" w:rsidRDefault="009917A8" w:rsidP="00814991">
      <w:pPr>
        <w:spacing w:after="240" w:line="276" w:lineRule="auto"/>
        <w:rPr>
          <w:rFonts w:ascii="Times New Roman" w:hAnsi="Times New Roman"/>
          <w:sz w:val="24"/>
          <w:szCs w:val="24"/>
        </w:rPr>
      </w:pPr>
      <w:r>
        <w:rPr>
          <w:rFonts w:ascii="Times New Roman" w:hAnsi="Times New Roman"/>
          <w:sz w:val="24"/>
          <w:szCs w:val="24"/>
        </w:rPr>
        <w:t xml:space="preserve">Existing </w:t>
      </w:r>
      <w:proofErr w:type="spellStart"/>
      <w:r>
        <w:rPr>
          <w:rFonts w:ascii="Times New Roman" w:hAnsi="Times New Roman"/>
          <w:sz w:val="24"/>
          <w:szCs w:val="24"/>
        </w:rPr>
        <w:t>sub</w:t>
      </w:r>
      <w:r w:rsidR="00893EE7">
        <w:rPr>
          <w:rFonts w:ascii="Times New Roman" w:hAnsi="Times New Roman"/>
          <w:sz w:val="24"/>
          <w:szCs w:val="24"/>
        </w:rPr>
        <w:t>regulation</w:t>
      </w:r>
      <w:proofErr w:type="spellEnd"/>
      <w:r>
        <w:rPr>
          <w:rFonts w:ascii="Times New Roman" w:hAnsi="Times New Roman"/>
          <w:sz w:val="24"/>
          <w:szCs w:val="24"/>
        </w:rPr>
        <w:t> </w:t>
      </w:r>
      <w:proofErr w:type="gramStart"/>
      <w:r>
        <w:rPr>
          <w:rFonts w:ascii="Times New Roman" w:hAnsi="Times New Roman"/>
          <w:sz w:val="24"/>
          <w:szCs w:val="24"/>
        </w:rPr>
        <w:t>3C(</w:t>
      </w:r>
      <w:proofErr w:type="gramEnd"/>
      <w:r>
        <w:rPr>
          <w:rFonts w:ascii="Times New Roman" w:hAnsi="Times New Roman"/>
          <w:sz w:val="24"/>
          <w:szCs w:val="24"/>
        </w:rPr>
        <w:t>2)(b)</w:t>
      </w:r>
      <w:r w:rsidR="00893EE7">
        <w:rPr>
          <w:rFonts w:ascii="Times New Roman" w:hAnsi="Times New Roman"/>
          <w:sz w:val="24"/>
          <w:szCs w:val="24"/>
        </w:rPr>
        <w:t xml:space="preserve"> </w:t>
      </w:r>
      <w:r w:rsidR="00AF2CB4">
        <w:rPr>
          <w:rFonts w:ascii="Times New Roman" w:hAnsi="Times New Roman"/>
          <w:sz w:val="24"/>
          <w:szCs w:val="24"/>
        </w:rPr>
        <w:t>specifies</w:t>
      </w:r>
      <w:r w:rsidR="00893EE7">
        <w:rPr>
          <w:rFonts w:ascii="Times New Roman" w:hAnsi="Times New Roman"/>
          <w:sz w:val="24"/>
          <w:szCs w:val="24"/>
        </w:rPr>
        <w:t xml:space="preserve"> that the Minister may waive the application fee for a controlled substance licence or a used substances licence if the manufacture, import or export is for test purposes.</w:t>
      </w:r>
      <w:r>
        <w:rPr>
          <w:rFonts w:ascii="Times New Roman" w:hAnsi="Times New Roman"/>
          <w:sz w:val="24"/>
          <w:szCs w:val="24"/>
        </w:rPr>
        <w:t xml:space="preserve"> </w:t>
      </w:r>
      <w:r w:rsidR="00893EE7" w:rsidRPr="00A023D4">
        <w:rPr>
          <w:rFonts w:ascii="Times New Roman" w:hAnsi="Times New Roman"/>
          <w:sz w:val="24"/>
          <w:szCs w:val="24"/>
        </w:rPr>
        <w:t xml:space="preserve">Item </w:t>
      </w:r>
      <w:r w:rsidR="00D75358">
        <w:rPr>
          <w:rFonts w:ascii="Times New Roman" w:hAnsi="Times New Roman"/>
          <w:sz w:val="24"/>
          <w:szCs w:val="24"/>
        </w:rPr>
        <w:t>45</w:t>
      </w:r>
      <w:r w:rsidR="00893EE7">
        <w:rPr>
          <w:rFonts w:ascii="Times New Roman" w:hAnsi="Times New Roman"/>
          <w:sz w:val="24"/>
          <w:szCs w:val="24"/>
        </w:rPr>
        <w:t xml:space="preserve"> </w:t>
      </w:r>
      <w:r w:rsidR="00AF2CB4">
        <w:rPr>
          <w:rFonts w:ascii="Times New Roman" w:hAnsi="Times New Roman"/>
          <w:sz w:val="24"/>
          <w:szCs w:val="24"/>
        </w:rPr>
        <w:t>repeal</w:t>
      </w:r>
      <w:r w:rsidR="00894BBC">
        <w:rPr>
          <w:rFonts w:ascii="Times New Roman" w:hAnsi="Times New Roman"/>
          <w:sz w:val="24"/>
          <w:szCs w:val="24"/>
        </w:rPr>
        <w:t>s</w:t>
      </w:r>
      <w:r w:rsidR="00AF2CB4">
        <w:rPr>
          <w:rFonts w:ascii="Times New Roman" w:hAnsi="Times New Roman"/>
          <w:sz w:val="24"/>
          <w:szCs w:val="24"/>
        </w:rPr>
        <w:t xml:space="preserve"> and replace</w:t>
      </w:r>
      <w:r w:rsidR="00894BBC">
        <w:rPr>
          <w:rFonts w:ascii="Times New Roman" w:hAnsi="Times New Roman"/>
          <w:sz w:val="24"/>
          <w:szCs w:val="24"/>
        </w:rPr>
        <w:t>s</w:t>
      </w:r>
      <w:r w:rsidR="00AF2CB4">
        <w:rPr>
          <w:rFonts w:ascii="Times New Roman" w:hAnsi="Times New Roman"/>
          <w:sz w:val="24"/>
          <w:szCs w:val="24"/>
        </w:rPr>
        <w:t xml:space="preserve"> </w:t>
      </w:r>
      <w:proofErr w:type="spellStart"/>
      <w:r w:rsidR="00AF2CB4">
        <w:rPr>
          <w:rFonts w:ascii="Times New Roman" w:hAnsi="Times New Roman"/>
          <w:sz w:val="24"/>
          <w:szCs w:val="24"/>
        </w:rPr>
        <w:t>subregulation</w:t>
      </w:r>
      <w:proofErr w:type="spellEnd"/>
      <w:r w:rsidR="00AF2CB4">
        <w:rPr>
          <w:rFonts w:ascii="Times New Roman" w:hAnsi="Times New Roman"/>
          <w:sz w:val="24"/>
          <w:szCs w:val="24"/>
        </w:rPr>
        <w:t xml:space="preserve"> </w:t>
      </w:r>
      <w:proofErr w:type="gramStart"/>
      <w:r w:rsidR="00AF2CB4">
        <w:rPr>
          <w:rFonts w:ascii="Times New Roman" w:hAnsi="Times New Roman"/>
          <w:sz w:val="24"/>
          <w:szCs w:val="24"/>
        </w:rPr>
        <w:t>3C(</w:t>
      </w:r>
      <w:proofErr w:type="gramEnd"/>
      <w:r w:rsidR="00AF2CB4">
        <w:rPr>
          <w:rFonts w:ascii="Times New Roman" w:hAnsi="Times New Roman"/>
          <w:sz w:val="24"/>
          <w:szCs w:val="24"/>
        </w:rPr>
        <w:t>2)(b) to add</w:t>
      </w:r>
      <w:r w:rsidR="00893EE7">
        <w:rPr>
          <w:rFonts w:ascii="Times New Roman" w:hAnsi="Times New Roman"/>
          <w:sz w:val="24"/>
          <w:szCs w:val="24"/>
        </w:rPr>
        <w:t xml:space="preserve"> </w:t>
      </w:r>
      <w:r w:rsidR="00AF2CB4">
        <w:rPr>
          <w:rFonts w:ascii="Times New Roman" w:hAnsi="Times New Roman"/>
          <w:sz w:val="24"/>
          <w:szCs w:val="24"/>
        </w:rPr>
        <w:t xml:space="preserve">monitoring purposes and laboratory and analytical purposes to the purposes for which </w:t>
      </w:r>
      <w:r w:rsidR="00893EE7">
        <w:rPr>
          <w:rFonts w:ascii="Times New Roman" w:hAnsi="Times New Roman"/>
          <w:sz w:val="24"/>
          <w:szCs w:val="24"/>
        </w:rPr>
        <w:t>the Minister may waive the application fee.</w:t>
      </w:r>
    </w:p>
    <w:p w14:paraId="09BD4C81" w14:textId="7AF57527" w:rsidR="000C576E" w:rsidRDefault="000C576E" w:rsidP="00814991">
      <w:pPr>
        <w:pStyle w:val="ListNumber"/>
        <w:spacing w:after="200" w:line="276" w:lineRule="auto"/>
        <w:ind w:left="0" w:firstLine="0"/>
        <w:rPr>
          <w:rFonts w:ascii="Times New Roman" w:hAnsi="Times New Roman"/>
          <w:b/>
          <w:sz w:val="24"/>
          <w:szCs w:val="24"/>
        </w:rPr>
      </w:pPr>
      <w:r>
        <w:rPr>
          <w:rFonts w:ascii="Times New Roman" w:hAnsi="Times New Roman"/>
          <w:b/>
          <w:sz w:val="24"/>
          <w:szCs w:val="24"/>
        </w:rPr>
        <w:t>Part 5</w:t>
      </w:r>
      <w:r w:rsidR="001A01BC">
        <w:rPr>
          <w:rFonts w:ascii="Times New Roman" w:hAnsi="Times New Roman"/>
          <w:b/>
          <w:sz w:val="24"/>
          <w:szCs w:val="24"/>
        </w:rPr>
        <w:t xml:space="preserve"> – Cancellation and suspension of fire protection permits</w:t>
      </w:r>
    </w:p>
    <w:p w14:paraId="17EDADD7" w14:textId="6AC59BD6" w:rsidR="001A01BC" w:rsidRPr="00042368" w:rsidRDefault="00C741B4" w:rsidP="00814991">
      <w:pPr>
        <w:pStyle w:val="CommentText"/>
        <w:spacing w:after="200" w:line="276" w:lineRule="auto"/>
        <w:rPr>
          <w:rFonts w:ascii="Times New Roman" w:hAnsi="Times New Roman"/>
          <w:sz w:val="24"/>
          <w:szCs w:val="24"/>
        </w:rPr>
      </w:pPr>
      <w:r>
        <w:rPr>
          <w:rFonts w:ascii="Times New Roman" w:hAnsi="Times New Roman"/>
          <w:sz w:val="24"/>
          <w:szCs w:val="24"/>
        </w:rPr>
        <w:t xml:space="preserve">Subdivision 6A.4.2 of the Regulations sets out the process for the application, issuing and administration of fire protection permits. </w:t>
      </w:r>
      <w:r w:rsidR="001A01BC" w:rsidRPr="00042368">
        <w:rPr>
          <w:rFonts w:ascii="Times New Roman" w:hAnsi="Times New Roman"/>
          <w:sz w:val="24"/>
          <w:szCs w:val="24"/>
        </w:rPr>
        <w:t xml:space="preserve">The award </w:t>
      </w:r>
      <w:r>
        <w:rPr>
          <w:rFonts w:ascii="Times New Roman" w:hAnsi="Times New Roman"/>
          <w:sz w:val="24"/>
          <w:szCs w:val="24"/>
        </w:rPr>
        <w:t>of permits under the fire protection permit scheme</w:t>
      </w:r>
      <w:r w:rsidR="001A01BC" w:rsidRPr="00042368">
        <w:rPr>
          <w:rFonts w:ascii="Times New Roman" w:hAnsi="Times New Roman"/>
          <w:sz w:val="24"/>
          <w:szCs w:val="24"/>
        </w:rPr>
        <w:t xml:space="preserve"> is, in large part, based on an assessment of competency, to ensure individuals handling scheduled substances do so with the lea</w:t>
      </w:r>
      <w:r>
        <w:rPr>
          <w:rFonts w:ascii="Times New Roman" w:hAnsi="Times New Roman"/>
          <w:sz w:val="24"/>
          <w:szCs w:val="24"/>
        </w:rPr>
        <w:t>st risk of emission. The scheme relies</w:t>
      </w:r>
      <w:r w:rsidR="001A01BC" w:rsidRPr="00042368">
        <w:rPr>
          <w:rFonts w:ascii="Times New Roman" w:hAnsi="Times New Roman"/>
          <w:sz w:val="24"/>
          <w:szCs w:val="24"/>
        </w:rPr>
        <w:t xml:space="preserve"> on the vocational education and training (VET) system to provide individuals with the knowledge, ability and experience necessary to carry out work in a way that minimises the risk of emission.</w:t>
      </w:r>
    </w:p>
    <w:p w14:paraId="1432BDC4" w14:textId="0A0649C4" w:rsidR="001A01BC" w:rsidRPr="00042368" w:rsidRDefault="001A01BC" w:rsidP="00814991">
      <w:pPr>
        <w:pStyle w:val="CommentText"/>
        <w:spacing w:after="200" w:line="276" w:lineRule="auto"/>
        <w:rPr>
          <w:rFonts w:ascii="Times New Roman" w:hAnsi="Times New Roman"/>
          <w:sz w:val="24"/>
          <w:szCs w:val="24"/>
        </w:rPr>
      </w:pPr>
      <w:r w:rsidRPr="00042368">
        <w:rPr>
          <w:rFonts w:ascii="Times New Roman" w:hAnsi="Times New Roman"/>
          <w:sz w:val="24"/>
          <w:szCs w:val="24"/>
        </w:rPr>
        <w:t xml:space="preserve">It is possible </w:t>
      </w:r>
      <w:r w:rsidR="006B40BD">
        <w:rPr>
          <w:rFonts w:ascii="Times New Roman" w:hAnsi="Times New Roman"/>
          <w:sz w:val="24"/>
          <w:szCs w:val="24"/>
        </w:rPr>
        <w:t>that</w:t>
      </w:r>
      <w:r w:rsidRPr="00042368">
        <w:rPr>
          <w:rFonts w:ascii="Times New Roman" w:hAnsi="Times New Roman"/>
          <w:sz w:val="24"/>
          <w:szCs w:val="24"/>
        </w:rPr>
        <w:t xml:space="preserve"> </w:t>
      </w:r>
      <w:r w:rsidR="006B40BD">
        <w:rPr>
          <w:rFonts w:ascii="Times New Roman" w:hAnsi="Times New Roman"/>
          <w:sz w:val="24"/>
          <w:szCs w:val="24"/>
        </w:rPr>
        <w:t xml:space="preserve">a </w:t>
      </w:r>
      <w:r w:rsidR="00C741B4">
        <w:rPr>
          <w:rFonts w:ascii="Times New Roman" w:hAnsi="Times New Roman"/>
          <w:sz w:val="24"/>
          <w:szCs w:val="24"/>
        </w:rPr>
        <w:t xml:space="preserve">fire protection </w:t>
      </w:r>
      <w:r w:rsidR="006B40BD">
        <w:rPr>
          <w:rFonts w:ascii="Times New Roman" w:hAnsi="Times New Roman"/>
          <w:sz w:val="24"/>
          <w:szCs w:val="24"/>
        </w:rPr>
        <w:t>permit holder</w:t>
      </w:r>
      <w:r w:rsidRPr="00042368">
        <w:rPr>
          <w:rFonts w:ascii="Times New Roman" w:hAnsi="Times New Roman"/>
          <w:sz w:val="24"/>
          <w:szCs w:val="24"/>
        </w:rPr>
        <w:t xml:space="preserve"> </w:t>
      </w:r>
      <w:r w:rsidR="006B40BD">
        <w:rPr>
          <w:rFonts w:ascii="Times New Roman" w:hAnsi="Times New Roman"/>
          <w:sz w:val="24"/>
          <w:szCs w:val="24"/>
        </w:rPr>
        <w:t>me</w:t>
      </w:r>
      <w:r w:rsidR="00C741B4">
        <w:rPr>
          <w:rFonts w:ascii="Times New Roman" w:hAnsi="Times New Roman"/>
          <w:sz w:val="24"/>
          <w:szCs w:val="24"/>
        </w:rPr>
        <w:t>e</w:t>
      </w:r>
      <w:r w:rsidR="006B40BD">
        <w:rPr>
          <w:rFonts w:ascii="Times New Roman" w:hAnsi="Times New Roman"/>
          <w:sz w:val="24"/>
          <w:szCs w:val="24"/>
        </w:rPr>
        <w:t>t</w:t>
      </w:r>
      <w:r w:rsidR="00C741B4">
        <w:rPr>
          <w:rFonts w:ascii="Times New Roman" w:hAnsi="Times New Roman"/>
          <w:sz w:val="24"/>
          <w:szCs w:val="24"/>
        </w:rPr>
        <w:t>s</w:t>
      </w:r>
      <w:r w:rsidRPr="00042368">
        <w:rPr>
          <w:rFonts w:ascii="Times New Roman" w:hAnsi="Times New Roman"/>
          <w:sz w:val="24"/>
          <w:szCs w:val="24"/>
        </w:rPr>
        <w:t xml:space="preserve"> the requirements necessary to be granted a </w:t>
      </w:r>
      <w:r w:rsidR="006B40BD">
        <w:rPr>
          <w:rFonts w:ascii="Times New Roman" w:hAnsi="Times New Roman"/>
          <w:sz w:val="24"/>
          <w:szCs w:val="24"/>
        </w:rPr>
        <w:t>permit</w:t>
      </w:r>
      <w:r w:rsidRPr="00042368">
        <w:rPr>
          <w:rFonts w:ascii="Times New Roman" w:hAnsi="Times New Roman"/>
          <w:sz w:val="24"/>
          <w:szCs w:val="24"/>
        </w:rPr>
        <w:t xml:space="preserve"> </w:t>
      </w:r>
      <w:r w:rsidR="00C741B4">
        <w:rPr>
          <w:rFonts w:ascii="Times New Roman" w:hAnsi="Times New Roman"/>
          <w:sz w:val="24"/>
          <w:szCs w:val="24"/>
        </w:rPr>
        <w:t>(</w:t>
      </w:r>
      <w:r w:rsidRPr="00042368">
        <w:rPr>
          <w:rFonts w:ascii="Times New Roman" w:hAnsi="Times New Roman"/>
          <w:sz w:val="24"/>
          <w:szCs w:val="24"/>
        </w:rPr>
        <w:t>i.e. they successfully completed the required units of competency delivered through the VET sector (</w:t>
      </w:r>
      <w:r w:rsidR="00C741B4">
        <w:rPr>
          <w:rFonts w:ascii="Times New Roman" w:hAnsi="Times New Roman"/>
          <w:sz w:val="24"/>
          <w:szCs w:val="24"/>
        </w:rPr>
        <w:t xml:space="preserve">see </w:t>
      </w:r>
      <w:r w:rsidRPr="00042368">
        <w:rPr>
          <w:rFonts w:ascii="Times New Roman" w:hAnsi="Times New Roman"/>
          <w:sz w:val="24"/>
          <w:szCs w:val="24"/>
        </w:rPr>
        <w:t>regula</w:t>
      </w:r>
      <w:r w:rsidR="00C741B4">
        <w:rPr>
          <w:rFonts w:ascii="Times New Roman" w:hAnsi="Times New Roman"/>
          <w:sz w:val="24"/>
          <w:szCs w:val="24"/>
        </w:rPr>
        <w:t>tion 322</w:t>
      </w:r>
      <w:r w:rsidR="006B40BD">
        <w:rPr>
          <w:rFonts w:ascii="Times New Roman" w:hAnsi="Times New Roman"/>
          <w:sz w:val="24"/>
          <w:szCs w:val="24"/>
        </w:rPr>
        <w:t>)</w:t>
      </w:r>
      <w:r w:rsidR="00C741B4">
        <w:rPr>
          <w:rFonts w:ascii="Times New Roman" w:hAnsi="Times New Roman"/>
          <w:sz w:val="24"/>
          <w:szCs w:val="24"/>
        </w:rPr>
        <w:t>)</w:t>
      </w:r>
      <w:r w:rsidR="006B40BD">
        <w:rPr>
          <w:rFonts w:ascii="Times New Roman" w:hAnsi="Times New Roman"/>
          <w:sz w:val="24"/>
          <w:szCs w:val="24"/>
        </w:rPr>
        <w:t xml:space="preserve"> and yet</w:t>
      </w:r>
      <w:r w:rsidRPr="00042368">
        <w:rPr>
          <w:rFonts w:ascii="Times New Roman" w:hAnsi="Times New Roman"/>
          <w:sz w:val="24"/>
          <w:szCs w:val="24"/>
        </w:rPr>
        <w:t xml:space="preserve"> while holding that</w:t>
      </w:r>
      <w:r>
        <w:rPr>
          <w:rFonts w:ascii="Times New Roman" w:hAnsi="Times New Roman"/>
          <w:sz w:val="24"/>
          <w:szCs w:val="24"/>
        </w:rPr>
        <w:t xml:space="preserve"> </w:t>
      </w:r>
      <w:r w:rsidR="006B40BD">
        <w:rPr>
          <w:rFonts w:ascii="Times New Roman" w:hAnsi="Times New Roman"/>
          <w:sz w:val="24"/>
          <w:szCs w:val="24"/>
        </w:rPr>
        <w:t>permit</w:t>
      </w:r>
      <w:r>
        <w:rPr>
          <w:rFonts w:ascii="Times New Roman" w:hAnsi="Times New Roman"/>
          <w:sz w:val="24"/>
          <w:szCs w:val="24"/>
        </w:rPr>
        <w:t xml:space="preserve"> their competency is</w:t>
      </w:r>
      <w:r w:rsidRPr="00042368">
        <w:rPr>
          <w:rFonts w:ascii="Times New Roman" w:hAnsi="Times New Roman"/>
          <w:sz w:val="24"/>
          <w:szCs w:val="24"/>
        </w:rPr>
        <w:t xml:space="preserve"> called into question; </w:t>
      </w:r>
      <w:r w:rsidR="00B270CA">
        <w:rPr>
          <w:rFonts w:ascii="Times New Roman" w:hAnsi="Times New Roman"/>
          <w:sz w:val="24"/>
          <w:szCs w:val="24"/>
        </w:rPr>
        <w:t>for example</w:t>
      </w:r>
      <w:r w:rsidRPr="00042368">
        <w:rPr>
          <w:rFonts w:ascii="Times New Roman" w:hAnsi="Times New Roman"/>
          <w:sz w:val="24"/>
          <w:szCs w:val="24"/>
        </w:rPr>
        <w:t xml:space="preserve"> because the quality of the training used to support their application is found to be inadequate, </w:t>
      </w:r>
      <w:r w:rsidR="006B40BD">
        <w:rPr>
          <w:rFonts w:ascii="Times New Roman" w:hAnsi="Times New Roman"/>
          <w:sz w:val="24"/>
          <w:szCs w:val="24"/>
        </w:rPr>
        <w:t xml:space="preserve">or because their work practices or </w:t>
      </w:r>
      <w:r w:rsidRPr="00042368">
        <w:rPr>
          <w:rFonts w:ascii="Times New Roman" w:hAnsi="Times New Roman"/>
          <w:sz w:val="24"/>
          <w:szCs w:val="24"/>
        </w:rPr>
        <w:t>workmanship calls into question their knowledge, ability and experience.</w:t>
      </w:r>
    </w:p>
    <w:p w14:paraId="79A6C591" w14:textId="77777777" w:rsidR="001A01BC" w:rsidRPr="00042368" w:rsidRDefault="001A01BC" w:rsidP="00814991">
      <w:pPr>
        <w:pStyle w:val="CommentText"/>
        <w:spacing w:after="200" w:line="276" w:lineRule="auto"/>
        <w:rPr>
          <w:rFonts w:ascii="Times New Roman" w:hAnsi="Times New Roman"/>
          <w:sz w:val="24"/>
          <w:szCs w:val="24"/>
        </w:rPr>
      </w:pPr>
      <w:r w:rsidRPr="00042368">
        <w:rPr>
          <w:rFonts w:ascii="Times New Roman" w:hAnsi="Times New Roman"/>
          <w:sz w:val="24"/>
          <w:szCs w:val="24"/>
        </w:rPr>
        <w:t>There are a number of scenarios where a licence holder’s competency may be questioned and subsequently the licensee found to not possess the relevant knowledge, ability and experience to competently carry out the work covered by one or more handling licences. These include</w:t>
      </w:r>
      <w:r>
        <w:rPr>
          <w:rFonts w:ascii="Times New Roman" w:hAnsi="Times New Roman"/>
          <w:sz w:val="24"/>
          <w:szCs w:val="24"/>
        </w:rPr>
        <w:t xml:space="preserve"> but are not limited to</w:t>
      </w:r>
      <w:r w:rsidRPr="00042368">
        <w:rPr>
          <w:rFonts w:ascii="Times New Roman" w:hAnsi="Times New Roman"/>
          <w:sz w:val="24"/>
          <w:szCs w:val="24"/>
        </w:rPr>
        <w:t>:</w:t>
      </w:r>
    </w:p>
    <w:p w14:paraId="0DF642D1" w14:textId="77777777" w:rsidR="001A01BC" w:rsidRPr="00042368" w:rsidRDefault="001A01BC" w:rsidP="00F45E4F">
      <w:pPr>
        <w:pStyle w:val="ListNumber"/>
        <w:numPr>
          <w:ilvl w:val="0"/>
          <w:numId w:val="7"/>
        </w:numPr>
        <w:spacing w:after="200" w:line="276" w:lineRule="auto"/>
        <w:ind w:left="1276" w:hanging="567"/>
        <w:rPr>
          <w:rFonts w:ascii="Times New Roman" w:hAnsi="Times New Roman"/>
          <w:sz w:val="24"/>
          <w:szCs w:val="24"/>
        </w:rPr>
      </w:pPr>
      <w:r w:rsidRPr="00042368">
        <w:rPr>
          <w:rFonts w:ascii="Times New Roman" w:hAnsi="Times New Roman"/>
          <w:sz w:val="24"/>
          <w:szCs w:val="24"/>
        </w:rPr>
        <w:t xml:space="preserve">Where the Australian Skills Quality Authority (ASQA), or other relevant state-based training quality authority, determines that a unit of competency, qualification or recognition of prior learning process, used to obtain a licence </w:t>
      </w:r>
      <w:r w:rsidRPr="00042368">
        <w:rPr>
          <w:rFonts w:ascii="Times New Roman" w:hAnsi="Times New Roman"/>
          <w:sz w:val="24"/>
          <w:szCs w:val="24"/>
        </w:rPr>
        <w:lastRenderedPageBreak/>
        <w:t xml:space="preserve">under the fire protection permit scheme has not been delivered to required standards. </w:t>
      </w:r>
    </w:p>
    <w:p w14:paraId="3B6DF836" w14:textId="1EC286D5" w:rsidR="001A01BC" w:rsidRPr="00042368" w:rsidRDefault="001A01BC" w:rsidP="00F45E4F">
      <w:pPr>
        <w:pStyle w:val="ListNumber"/>
        <w:numPr>
          <w:ilvl w:val="0"/>
          <w:numId w:val="7"/>
        </w:numPr>
        <w:spacing w:after="200" w:line="276" w:lineRule="auto"/>
        <w:ind w:left="1276" w:hanging="567"/>
        <w:rPr>
          <w:rFonts w:ascii="Times New Roman" w:hAnsi="Times New Roman"/>
          <w:sz w:val="24"/>
          <w:szCs w:val="24"/>
        </w:rPr>
      </w:pPr>
      <w:r w:rsidRPr="00042368">
        <w:rPr>
          <w:rFonts w:ascii="Times New Roman" w:hAnsi="Times New Roman"/>
          <w:sz w:val="24"/>
          <w:szCs w:val="24"/>
        </w:rPr>
        <w:t xml:space="preserve">Where </w:t>
      </w:r>
      <w:r w:rsidR="00DA5A10" w:rsidRPr="00042368">
        <w:rPr>
          <w:rFonts w:ascii="Times New Roman" w:hAnsi="Times New Roman"/>
          <w:sz w:val="24"/>
          <w:szCs w:val="24"/>
        </w:rPr>
        <w:t xml:space="preserve">ASQA or </w:t>
      </w:r>
      <w:r w:rsidR="00DA5A10">
        <w:rPr>
          <w:rFonts w:ascii="Times New Roman" w:hAnsi="Times New Roman"/>
          <w:sz w:val="24"/>
          <w:szCs w:val="24"/>
        </w:rPr>
        <w:t xml:space="preserve">other relevant </w:t>
      </w:r>
      <w:r w:rsidR="00DA5A10" w:rsidRPr="00042368">
        <w:rPr>
          <w:rFonts w:ascii="Times New Roman" w:hAnsi="Times New Roman"/>
          <w:sz w:val="24"/>
          <w:szCs w:val="24"/>
        </w:rPr>
        <w:t>state-ba</w:t>
      </w:r>
      <w:r w:rsidR="00DA5A10">
        <w:rPr>
          <w:rFonts w:ascii="Times New Roman" w:hAnsi="Times New Roman"/>
          <w:sz w:val="24"/>
          <w:szCs w:val="24"/>
        </w:rPr>
        <w:t>sed training quality authority</w:t>
      </w:r>
      <w:r w:rsidR="00DA5A10" w:rsidRPr="00042368">
        <w:rPr>
          <w:rFonts w:ascii="Times New Roman" w:hAnsi="Times New Roman"/>
          <w:sz w:val="24"/>
          <w:szCs w:val="24"/>
        </w:rPr>
        <w:t xml:space="preserve"> has received complaints about </w:t>
      </w:r>
      <w:r w:rsidRPr="00042368" w:rsidDel="00DA5A10">
        <w:rPr>
          <w:rFonts w:ascii="Times New Roman" w:hAnsi="Times New Roman"/>
          <w:sz w:val="24"/>
          <w:szCs w:val="24"/>
        </w:rPr>
        <w:t xml:space="preserve">a </w:t>
      </w:r>
      <w:r w:rsidRPr="00042368">
        <w:rPr>
          <w:rFonts w:ascii="Times New Roman" w:hAnsi="Times New Roman"/>
          <w:sz w:val="24"/>
          <w:szCs w:val="24"/>
        </w:rPr>
        <w:t xml:space="preserve">unit of competency, qualification or recognition of prior learning process </w:t>
      </w:r>
      <w:r w:rsidR="00DA5A10" w:rsidRPr="00042368">
        <w:rPr>
          <w:rFonts w:ascii="Times New Roman" w:hAnsi="Times New Roman"/>
          <w:sz w:val="24"/>
          <w:szCs w:val="24"/>
        </w:rPr>
        <w:t xml:space="preserve">a licensee has </w:t>
      </w:r>
      <w:r w:rsidR="00DA5A10">
        <w:rPr>
          <w:rFonts w:ascii="Times New Roman" w:hAnsi="Times New Roman"/>
          <w:sz w:val="24"/>
          <w:szCs w:val="24"/>
        </w:rPr>
        <w:t>relied upon</w:t>
      </w:r>
      <w:r w:rsidR="00DA5A10" w:rsidRPr="00042368">
        <w:rPr>
          <w:rFonts w:ascii="Times New Roman" w:hAnsi="Times New Roman"/>
          <w:sz w:val="24"/>
          <w:szCs w:val="24"/>
        </w:rPr>
        <w:t xml:space="preserve"> </w:t>
      </w:r>
      <w:r w:rsidRPr="00042368">
        <w:rPr>
          <w:rFonts w:ascii="Times New Roman" w:hAnsi="Times New Roman"/>
          <w:sz w:val="24"/>
          <w:szCs w:val="24"/>
        </w:rPr>
        <w:t xml:space="preserve">to obtain a licence under the fire protection permit scheme. </w:t>
      </w:r>
    </w:p>
    <w:p w14:paraId="04D7F082" w14:textId="04F8F809" w:rsidR="001A01BC" w:rsidRPr="00042368" w:rsidRDefault="007C3FD9" w:rsidP="00F45E4F">
      <w:pPr>
        <w:pStyle w:val="ListNumber"/>
        <w:numPr>
          <w:ilvl w:val="0"/>
          <w:numId w:val="7"/>
        </w:numPr>
        <w:spacing w:after="200" w:line="276" w:lineRule="auto"/>
        <w:ind w:left="1276" w:hanging="567"/>
        <w:rPr>
          <w:rFonts w:ascii="Times New Roman" w:hAnsi="Times New Roman"/>
          <w:sz w:val="24"/>
          <w:szCs w:val="24"/>
        </w:rPr>
      </w:pPr>
      <w:r>
        <w:rPr>
          <w:rFonts w:ascii="Times New Roman" w:hAnsi="Times New Roman"/>
          <w:sz w:val="24"/>
          <w:szCs w:val="24"/>
        </w:rPr>
        <w:t>Where there is a c</w:t>
      </w:r>
      <w:r w:rsidR="001A01BC" w:rsidRPr="00042368">
        <w:rPr>
          <w:rFonts w:ascii="Times New Roman" w:hAnsi="Times New Roman"/>
          <w:sz w:val="24"/>
          <w:szCs w:val="24"/>
        </w:rPr>
        <w:t>re</w:t>
      </w:r>
      <w:r>
        <w:rPr>
          <w:rFonts w:ascii="Times New Roman" w:hAnsi="Times New Roman"/>
          <w:sz w:val="24"/>
          <w:szCs w:val="24"/>
        </w:rPr>
        <w:t>dible claim from industry</w:t>
      </w:r>
      <w:r w:rsidR="001A01BC" w:rsidRPr="00042368">
        <w:rPr>
          <w:rFonts w:ascii="Times New Roman" w:hAnsi="Times New Roman"/>
          <w:sz w:val="24"/>
          <w:szCs w:val="24"/>
        </w:rPr>
        <w:t xml:space="preserve"> concerning the quality or content of a unit of competency, qualification or recognition of prior learning process, delivered through a training organisation to obtain a licence under the fire protection permit scheme.</w:t>
      </w:r>
    </w:p>
    <w:p w14:paraId="6B326A3D" w14:textId="670FA13B" w:rsidR="001A01BC" w:rsidRPr="00042368" w:rsidRDefault="007C3FD9" w:rsidP="00F45E4F">
      <w:pPr>
        <w:pStyle w:val="ListNumber"/>
        <w:numPr>
          <w:ilvl w:val="0"/>
          <w:numId w:val="7"/>
        </w:numPr>
        <w:spacing w:after="200" w:line="276" w:lineRule="auto"/>
        <w:ind w:left="1276" w:hanging="567"/>
        <w:rPr>
          <w:rFonts w:ascii="Times New Roman" w:hAnsi="Times New Roman"/>
          <w:sz w:val="24"/>
          <w:szCs w:val="24"/>
        </w:rPr>
      </w:pPr>
      <w:r>
        <w:rPr>
          <w:rFonts w:ascii="Times New Roman" w:hAnsi="Times New Roman"/>
          <w:sz w:val="24"/>
          <w:szCs w:val="24"/>
        </w:rPr>
        <w:t>Where c</w:t>
      </w:r>
      <w:r w:rsidR="001A01BC" w:rsidRPr="00042368">
        <w:rPr>
          <w:rFonts w:ascii="Times New Roman" w:hAnsi="Times New Roman"/>
          <w:sz w:val="24"/>
          <w:szCs w:val="24"/>
        </w:rPr>
        <w:t xml:space="preserve">ompelling evidence </w:t>
      </w:r>
      <w:r w:rsidR="001A01BC">
        <w:rPr>
          <w:rFonts w:ascii="Times New Roman" w:hAnsi="Times New Roman"/>
          <w:sz w:val="24"/>
          <w:szCs w:val="24"/>
        </w:rPr>
        <w:t xml:space="preserve">emerges to indicate </w:t>
      </w:r>
      <w:r w:rsidR="001A01BC" w:rsidRPr="00042368">
        <w:rPr>
          <w:rFonts w:ascii="Times New Roman" w:hAnsi="Times New Roman"/>
          <w:sz w:val="24"/>
          <w:szCs w:val="24"/>
        </w:rPr>
        <w:t>a licensee does not have the knowledge, ability and experience needed to competently carry out the work covered by the licence.</w:t>
      </w:r>
    </w:p>
    <w:p w14:paraId="08229D26" w14:textId="19895510" w:rsidR="001A01BC" w:rsidRPr="00042368" w:rsidRDefault="007C3FD9" w:rsidP="00F45E4F">
      <w:pPr>
        <w:pStyle w:val="ListNumber"/>
        <w:numPr>
          <w:ilvl w:val="0"/>
          <w:numId w:val="7"/>
        </w:numPr>
        <w:spacing w:after="200" w:line="276" w:lineRule="auto"/>
        <w:ind w:left="1276" w:hanging="567"/>
        <w:rPr>
          <w:rFonts w:ascii="Times New Roman" w:hAnsi="Times New Roman"/>
          <w:sz w:val="24"/>
          <w:szCs w:val="24"/>
        </w:rPr>
      </w:pPr>
      <w:r>
        <w:rPr>
          <w:rFonts w:ascii="Times New Roman" w:hAnsi="Times New Roman"/>
          <w:sz w:val="24"/>
          <w:szCs w:val="24"/>
        </w:rPr>
        <w:t>Where a</w:t>
      </w:r>
      <w:r w:rsidR="001A01BC" w:rsidRPr="00042368">
        <w:rPr>
          <w:rFonts w:ascii="Times New Roman" w:hAnsi="Times New Roman"/>
          <w:sz w:val="24"/>
          <w:szCs w:val="24"/>
        </w:rPr>
        <w:t xml:space="preserve"> licensee has been the subject of substantiated complaints about his/her work and/or it is suspected he/she has caused avoidable emissions.</w:t>
      </w:r>
    </w:p>
    <w:p w14:paraId="32F37F5D" w14:textId="645E8788" w:rsidR="001A01BC" w:rsidRPr="00042368" w:rsidRDefault="001A01BC" w:rsidP="00814991">
      <w:pPr>
        <w:pStyle w:val="CommentText"/>
        <w:spacing w:after="200" w:line="276" w:lineRule="auto"/>
        <w:rPr>
          <w:rFonts w:ascii="Times New Roman" w:hAnsi="Times New Roman"/>
          <w:sz w:val="24"/>
          <w:szCs w:val="24"/>
        </w:rPr>
      </w:pPr>
      <w:r w:rsidRPr="00042368">
        <w:rPr>
          <w:rFonts w:ascii="Times New Roman" w:hAnsi="Times New Roman"/>
          <w:sz w:val="24"/>
          <w:szCs w:val="24"/>
        </w:rPr>
        <w:t xml:space="preserve">In these circumstances it may be appropriate for the Minister to suspend the fire protection </w:t>
      </w:r>
      <w:r w:rsidR="006B40BD">
        <w:rPr>
          <w:rFonts w:ascii="Times New Roman" w:hAnsi="Times New Roman"/>
          <w:sz w:val="24"/>
          <w:szCs w:val="24"/>
        </w:rPr>
        <w:t>permit</w:t>
      </w:r>
      <w:r w:rsidRPr="00042368">
        <w:rPr>
          <w:rFonts w:ascii="Times New Roman" w:hAnsi="Times New Roman"/>
          <w:sz w:val="24"/>
          <w:szCs w:val="24"/>
        </w:rPr>
        <w:t xml:space="preserve"> while the </w:t>
      </w:r>
      <w:r w:rsidR="006B40BD">
        <w:rPr>
          <w:rFonts w:ascii="Times New Roman" w:hAnsi="Times New Roman"/>
          <w:sz w:val="24"/>
          <w:szCs w:val="24"/>
        </w:rPr>
        <w:t>permit holder</w:t>
      </w:r>
      <w:r w:rsidRPr="00042368">
        <w:rPr>
          <w:rFonts w:ascii="Times New Roman" w:hAnsi="Times New Roman"/>
          <w:sz w:val="24"/>
          <w:szCs w:val="24"/>
        </w:rPr>
        <w:t xml:space="preserve"> </w:t>
      </w:r>
      <w:r w:rsidR="00C741B4">
        <w:rPr>
          <w:rFonts w:ascii="Times New Roman" w:hAnsi="Times New Roman"/>
          <w:sz w:val="24"/>
          <w:szCs w:val="24"/>
        </w:rPr>
        <w:t xml:space="preserve">undertakes further training </w:t>
      </w:r>
      <w:r w:rsidRPr="00042368">
        <w:rPr>
          <w:rFonts w:ascii="Times New Roman" w:hAnsi="Times New Roman"/>
          <w:sz w:val="24"/>
          <w:szCs w:val="24"/>
        </w:rPr>
        <w:t>or assessment. Where the Minister or relevant authority is not satisfied that the relevant skills, knowledge and experience has been obtained, the permit may be cancelled.</w:t>
      </w:r>
    </w:p>
    <w:p w14:paraId="3866113D" w14:textId="77777777" w:rsidR="001A01BC" w:rsidRPr="00427E84" w:rsidRDefault="001A01BC" w:rsidP="00814991">
      <w:pPr>
        <w:spacing w:after="240" w:line="276" w:lineRule="auto"/>
        <w:rPr>
          <w:rFonts w:ascii="Times New Roman" w:hAnsi="Times New Roman"/>
          <w:sz w:val="24"/>
          <w:szCs w:val="24"/>
          <w:u w:val="single"/>
        </w:rPr>
      </w:pPr>
      <w:r w:rsidRPr="00427E84">
        <w:rPr>
          <w:rFonts w:ascii="Times New Roman" w:hAnsi="Times New Roman"/>
          <w:sz w:val="24"/>
          <w:szCs w:val="24"/>
          <w:u w:val="single"/>
        </w:rPr>
        <w:t>Item 46</w:t>
      </w:r>
    </w:p>
    <w:p w14:paraId="05B98455" w14:textId="4E7AB307" w:rsidR="001A01BC" w:rsidRDefault="001A01BC" w:rsidP="00814991">
      <w:pPr>
        <w:spacing w:after="240" w:line="276" w:lineRule="auto"/>
        <w:rPr>
          <w:rFonts w:ascii="Times New Roman" w:hAnsi="Times New Roman"/>
          <w:sz w:val="24"/>
          <w:szCs w:val="24"/>
        </w:rPr>
      </w:pPr>
      <w:r>
        <w:rPr>
          <w:rFonts w:ascii="Times New Roman" w:hAnsi="Times New Roman"/>
          <w:sz w:val="24"/>
          <w:szCs w:val="24"/>
        </w:rPr>
        <w:t xml:space="preserve">Item 46 </w:t>
      </w:r>
      <w:r w:rsidR="006B40BD">
        <w:rPr>
          <w:rFonts w:ascii="Times New Roman" w:hAnsi="Times New Roman"/>
          <w:sz w:val="24"/>
          <w:szCs w:val="24"/>
        </w:rPr>
        <w:t>insert</w:t>
      </w:r>
      <w:r w:rsidR="00BD747D">
        <w:rPr>
          <w:rFonts w:ascii="Times New Roman" w:hAnsi="Times New Roman"/>
          <w:sz w:val="24"/>
          <w:szCs w:val="24"/>
        </w:rPr>
        <w:t>s</w:t>
      </w:r>
      <w:r w:rsidR="006B40BD">
        <w:rPr>
          <w:rFonts w:ascii="Times New Roman" w:hAnsi="Times New Roman"/>
          <w:sz w:val="24"/>
          <w:szCs w:val="24"/>
        </w:rPr>
        <w:t xml:space="preserve"> </w:t>
      </w:r>
      <w:r w:rsidR="00C741B4">
        <w:rPr>
          <w:rFonts w:ascii="Times New Roman" w:hAnsi="Times New Roman"/>
          <w:sz w:val="24"/>
          <w:szCs w:val="24"/>
        </w:rPr>
        <w:t>paragraph</w:t>
      </w:r>
      <w:r>
        <w:rPr>
          <w:rFonts w:ascii="Times New Roman" w:hAnsi="Times New Roman"/>
          <w:sz w:val="24"/>
          <w:szCs w:val="24"/>
        </w:rPr>
        <w:t xml:space="preserve"> 315(1)(</w:t>
      </w:r>
      <w:proofErr w:type="spellStart"/>
      <w:r>
        <w:rPr>
          <w:rFonts w:ascii="Times New Roman" w:hAnsi="Times New Roman"/>
          <w:sz w:val="24"/>
          <w:szCs w:val="24"/>
        </w:rPr>
        <w:t>ba</w:t>
      </w:r>
      <w:proofErr w:type="spellEnd"/>
      <w:r>
        <w:rPr>
          <w:rFonts w:ascii="Times New Roman" w:hAnsi="Times New Roman"/>
          <w:sz w:val="24"/>
          <w:szCs w:val="24"/>
        </w:rPr>
        <w:t xml:space="preserve">) to provide for the suspension or cancellation of a </w:t>
      </w:r>
      <w:r w:rsidR="00C741B4">
        <w:rPr>
          <w:rFonts w:ascii="Times New Roman" w:hAnsi="Times New Roman"/>
          <w:sz w:val="24"/>
          <w:szCs w:val="24"/>
        </w:rPr>
        <w:t xml:space="preserve">fire protection </w:t>
      </w:r>
      <w:r>
        <w:rPr>
          <w:rFonts w:ascii="Times New Roman" w:hAnsi="Times New Roman"/>
          <w:sz w:val="24"/>
          <w:szCs w:val="24"/>
        </w:rPr>
        <w:t xml:space="preserve">permit by the Minister </w:t>
      </w:r>
      <w:r w:rsidR="00C741B4">
        <w:rPr>
          <w:rFonts w:ascii="Times New Roman" w:hAnsi="Times New Roman"/>
          <w:sz w:val="24"/>
          <w:szCs w:val="24"/>
        </w:rPr>
        <w:t xml:space="preserve">if the Minister is satisfied </w:t>
      </w:r>
      <w:r>
        <w:rPr>
          <w:rFonts w:ascii="Times New Roman" w:hAnsi="Times New Roman"/>
          <w:sz w:val="24"/>
          <w:szCs w:val="24"/>
        </w:rPr>
        <w:t xml:space="preserve">that a </w:t>
      </w:r>
      <w:r w:rsidR="00C741B4">
        <w:rPr>
          <w:rFonts w:ascii="Times New Roman" w:hAnsi="Times New Roman"/>
          <w:sz w:val="24"/>
          <w:szCs w:val="24"/>
        </w:rPr>
        <w:t>permit holder</w:t>
      </w:r>
      <w:r>
        <w:rPr>
          <w:rFonts w:ascii="Times New Roman" w:hAnsi="Times New Roman"/>
          <w:sz w:val="24"/>
          <w:szCs w:val="24"/>
        </w:rPr>
        <w:t xml:space="preserve"> does not have the knowledge, ability and experience necessary to competently carry out th</w:t>
      </w:r>
      <w:r w:rsidR="006B40BD">
        <w:rPr>
          <w:rFonts w:ascii="Times New Roman" w:hAnsi="Times New Roman"/>
          <w:sz w:val="24"/>
          <w:szCs w:val="24"/>
        </w:rPr>
        <w:t>e work covered by the permit.</w:t>
      </w:r>
    </w:p>
    <w:p w14:paraId="77F947C7" w14:textId="78112A7D" w:rsidR="001A01BC" w:rsidRPr="006B40BD" w:rsidRDefault="006B40BD" w:rsidP="00814991">
      <w:pPr>
        <w:spacing w:after="240" w:line="276" w:lineRule="auto"/>
        <w:rPr>
          <w:rFonts w:ascii="Times New Roman" w:hAnsi="Times New Roman"/>
          <w:b/>
          <w:sz w:val="24"/>
          <w:szCs w:val="24"/>
        </w:rPr>
      </w:pPr>
      <w:r w:rsidRPr="006B40BD">
        <w:rPr>
          <w:rFonts w:ascii="Times New Roman" w:hAnsi="Times New Roman"/>
          <w:b/>
          <w:sz w:val="24"/>
          <w:szCs w:val="24"/>
        </w:rPr>
        <w:t>Part 6 – Refund of fees</w:t>
      </w:r>
    </w:p>
    <w:p w14:paraId="360A3359" w14:textId="43CF2461" w:rsidR="006B40BD" w:rsidRDefault="006B40BD" w:rsidP="00814991">
      <w:pPr>
        <w:spacing w:after="240" w:line="276" w:lineRule="auto"/>
        <w:rPr>
          <w:rFonts w:ascii="Times New Roman" w:hAnsi="Times New Roman"/>
          <w:sz w:val="24"/>
          <w:szCs w:val="24"/>
        </w:rPr>
      </w:pPr>
      <w:r w:rsidRPr="00CD02C1">
        <w:rPr>
          <w:rFonts w:ascii="Times New Roman" w:hAnsi="Times New Roman"/>
          <w:sz w:val="24"/>
          <w:szCs w:val="24"/>
        </w:rPr>
        <w:t xml:space="preserve">Application fees for </w:t>
      </w:r>
      <w:r>
        <w:rPr>
          <w:rFonts w:ascii="Times New Roman" w:hAnsi="Times New Roman"/>
          <w:sz w:val="24"/>
          <w:szCs w:val="24"/>
        </w:rPr>
        <w:t>refrigeration and air conditioning (</w:t>
      </w:r>
      <w:r w:rsidRPr="00CD02C1">
        <w:rPr>
          <w:rFonts w:ascii="Times New Roman" w:hAnsi="Times New Roman"/>
          <w:sz w:val="24"/>
          <w:szCs w:val="24"/>
        </w:rPr>
        <w:t>RAC</w:t>
      </w:r>
      <w:r>
        <w:rPr>
          <w:rFonts w:ascii="Times New Roman" w:hAnsi="Times New Roman"/>
          <w:sz w:val="24"/>
          <w:szCs w:val="24"/>
        </w:rPr>
        <w:t>)</w:t>
      </w:r>
      <w:r w:rsidRPr="00CD02C1">
        <w:rPr>
          <w:rFonts w:ascii="Times New Roman" w:hAnsi="Times New Roman"/>
          <w:sz w:val="24"/>
          <w:szCs w:val="24"/>
        </w:rPr>
        <w:t xml:space="preserve"> and fire protection permits are set in the Regulations under regulations 343 and 344, respectively. Application fees are determined on a cost-recovery basis and are intended to address (among other things) the administrative cost of assessing applications. Application fees also cover costs of administering the permit over its duration, including monitoring, engagement and communication activities.</w:t>
      </w:r>
    </w:p>
    <w:p w14:paraId="4797339F" w14:textId="0D683042" w:rsidR="00F54015" w:rsidRDefault="006B40BD" w:rsidP="00814991">
      <w:pPr>
        <w:spacing w:after="240" w:line="276" w:lineRule="auto"/>
        <w:rPr>
          <w:rFonts w:ascii="Times New Roman" w:hAnsi="Times New Roman"/>
          <w:sz w:val="24"/>
          <w:szCs w:val="24"/>
        </w:rPr>
      </w:pPr>
      <w:r>
        <w:rPr>
          <w:rFonts w:ascii="Times New Roman" w:hAnsi="Times New Roman"/>
          <w:sz w:val="24"/>
          <w:szCs w:val="24"/>
        </w:rPr>
        <w:t>Applicants request application fee refunds for a range of reasons. In most cases it relates to the applicant making a mistake when submitting an online application and payment. The amendment</w:t>
      </w:r>
      <w:r w:rsidR="00952D27">
        <w:rPr>
          <w:rFonts w:ascii="Times New Roman" w:hAnsi="Times New Roman"/>
          <w:sz w:val="24"/>
          <w:szCs w:val="24"/>
        </w:rPr>
        <w:t>s</w:t>
      </w:r>
      <w:r>
        <w:rPr>
          <w:rFonts w:ascii="Times New Roman" w:hAnsi="Times New Roman"/>
          <w:sz w:val="24"/>
          <w:szCs w:val="24"/>
        </w:rPr>
        <w:t xml:space="preserve"> </w:t>
      </w:r>
      <w:r w:rsidR="008825E4">
        <w:rPr>
          <w:rFonts w:ascii="Times New Roman" w:hAnsi="Times New Roman"/>
          <w:sz w:val="24"/>
          <w:szCs w:val="24"/>
        </w:rPr>
        <w:t>to Part 6</w:t>
      </w:r>
      <w:r>
        <w:rPr>
          <w:rFonts w:ascii="Times New Roman" w:hAnsi="Times New Roman"/>
          <w:sz w:val="24"/>
          <w:szCs w:val="24"/>
        </w:rPr>
        <w:t xml:space="preserve"> </w:t>
      </w:r>
      <w:r w:rsidR="00BD747D">
        <w:rPr>
          <w:rFonts w:ascii="Times New Roman" w:hAnsi="Times New Roman"/>
          <w:sz w:val="24"/>
          <w:szCs w:val="24"/>
        </w:rPr>
        <w:t>will</w:t>
      </w:r>
      <w:r w:rsidRPr="00B138A3">
        <w:rPr>
          <w:rFonts w:ascii="Times New Roman" w:hAnsi="Times New Roman"/>
          <w:sz w:val="24"/>
          <w:szCs w:val="24"/>
        </w:rPr>
        <w:t xml:space="preserve"> </w:t>
      </w:r>
      <w:r>
        <w:rPr>
          <w:rFonts w:ascii="Times New Roman" w:hAnsi="Times New Roman"/>
          <w:sz w:val="24"/>
          <w:szCs w:val="24"/>
        </w:rPr>
        <w:t xml:space="preserve">allow the Minister to refund application fees </w:t>
      </w:r>
      <w:r w:rsidR="00F54015">
        <w:rPr>
          <w:rFonts w:ascii="Times New Roman" w:hAnsi="Times New Roman"/>
          <w:sz w:val="24"/>
          <w:szCs w:val="24"/>
        </w:rPr>
        <w:t xml:space="preserve">paid in error </w:t>
      </w:r>
      <w:r w:rsidR="00CB6C90">
        <w:rPr>
          <w:rFonts w:ascii="Times New Roman" w:hAnsi="Times New Roman"/>
          <w:sz w:val="24"/>
          <w:szCs w:val="24"/>
        </w:rPr>
        <w:t xml:space="preserve">by applicants </w:t>
      </w:r>
      <w:r w:rsidR="000935B9">
        <w:rPr>
          <w:rFonts w:ascii="Times New Roman" w:hAnsi="Times New Roman"/>
          <w:sz w:val="24"/>
          <w:szCs w:val="24"/>
        </w:rPr>
        <w:t>under</w:t>
      </w:r>
      <w:r>
        <w:rPr>
          <w:rFonts w:ascii="Times New Roman" w:hAnsi="Times New Roman"/>
          <w:sz w:val="24"/>
          <w:szCs w:val="24"/>
        </w:rPr>
        <w:t xml:space="preserve"> the RAC and fire protection permit schemes</w:t>
      </w:r>
      <w:r w:rsidR="00BC3DA2">
        <w:rPr>
          <w:rFonts w:ascii="Times New Roman" w:hAnsi="Times New Roman"/>
          <w:sz w:val="24"/>
          <w:szCs w:val="24"/>
        </w:rPr>
        <w:t>.</w:t>
      </w:r>
      <w:r>
        <w:rPr>
          <w:rFonts w:ascii="Times New Roman" w:hAnsi="Times New Roman"/>
          <w:sz w:val="24"/>
          <w:szCs w:val="24"/>
        </w:rPr>
        <w:t xml:space="preserve"> </w:t>
      </w:r>
    </w:p>
    <w:p w14:paraId="3335137C" w14:textId="168686E1" w:rsidR="00D75358" w:rsidRDefault="00F54015" w:rsidP="00814991">
      <w:pPr>
        <w:spacing w:after="240" w:line="276" w:lineRule="auto"/>
        <w:rPr>
          <w:rFonts w:ascii="Times New Roman" w:hAnsi="Times New Roman"/>
          <w:i/>
          <w:sz w:val="24"/>
          <w:szCs w:val="24"/>
        </w:rPr>
      </w:pPr>
      <w:r>
        <w:rPr>
          <w:rFonts w:ascii="Times New Roman" w:hAnsi="Times New Roman"/>
          <w:sz w:val="24"/>
          <w:szCs w:val="24"/>
        </w:rPr>
        <w:t>Part 6</w:t>
      </w:r>
      <w:r w:rsidR="006B40BD">
        <w:rPr>
          <w:rFonts w:ascii="Times New Roman" w:hAnsi="Times New Roman"/>
          <w:sz w:val="24"/>
          <w:szCs w:val="24"/>
        </w:rPr>
        <w:t xml:space="preserve"> </w:t>
      </w:r>
      <w:r>
        <w:rPr>
          <w:rFonts w:ascii="Times New Roman" w:hAnsi="Times New Roman"/>
          <w:sz w:val="24"/>
          <w:szCs w:val="24"/>
        </w:rPr>
        <w:t>also streamline</w:t>
      </w:r>
      <w:r w:rsidR="00BD747D">
        <w:rPr>
          <w:rFonts w:ascii="Times New Roman" w:hAnsi="Times New Roman"/>
          <w:sz w:val="24"/>
          <w:szCs w:val="24"/>
        </w:rPr>
        <w:t>s</w:t>
      </w:r>
      <w:r>
        <w:rPr>
          <w:rFonts w:ascii="Times New Roman" w:hAnsi="Times New Roman"/>
          <w:sz w:val="24"/>
          <w:szCs w:val="24"/>
        </w:rPr>
        <w:t xml:space="preserve"> processes relating to the administration of the RAC and fire protection permits to ensure</w:t>
      </w:r>
      <w:r w:rsidR="0009002A">
        <w:rPr>
          <w:rFonts w:ascii="Times New Roman" w:hAnsi="Times New Roman"/>
          <w:sz w:val="24"/>
          <w:szCs w:val="24"/>
        </w:rPr>
        <w:t xml:space="preserve"> both schemes operate consistently</w:t>
      </w:r>
      <w:r w:rsidR="006B40BD">
        <w:rPr>
          <w:rFonts w:ascii="Times New Roman" w:hAnsi="Times New Roman"/>
          <w:sz w:val="24"/>
          <w:szCs w:val="24"/>
        </w:rPr>
        <w:t>.</w:t>
      </w:r>
      <w:r w:rsidR="00D75358">
        <w:rPr>
          <w:rFonts w:ascii="Times New Roman" w:hAnsi="Times New Roman"/>
          <w:i/>
          <w:sz w:val="24"/>
          <w:szCs w:val="24"/>
        </w:rPr>
        <w:br w:type="page"/>
      </w:r>
    </w:p>
    <w:p w14:paraId="7BAC52B1" w14:textId="10EDA59F" w:rsidR="006B40BD" w:rsidRPr="00D75358" w:rsidRDefault="00D75358" w:rsidP="00814991">
      <w:pPr>
        <w:spacing w:after="240" w:line="276" w:lineRule="auto"/>
        <w:rPr>
          <w:rFonts w:ascii="Times New Roman" w:hAnsi="Times New Roman"/>
          <w:i/>
          <w:sz w:val="24"/>
          <w:szCs w:val="24"/>
        </w:rPr>
      </w:pPr>
      <w:r>
        <w:rPr>
          <w:rFonts w:ascii="Times New Roman" w:hAnsi="Times New Roman"/>
          <w:i/>
          <w:sz w:val="24"/>
          <w:szCs w:val="24"/>
        </w:rPr>
        <w:lastRenderedPageBreak/>
        <w:t>Refunding of application f</w:t>
      </w:r>
      <w:r w:rsidR="00302DCA" w:rsidRPr="00D75358">
        <w:rPr>
          <w:rFonts w:ascii="Times New Roman" w:hAnsi="Times New Roman"/>
          <w:i/>
          <w:sz w:val="24"/>
          <w:szCs w:val="24"/>
        </w:rPr>
        <w:t>ees</w:t>
      </w:r>
    </w:p>
    <w:p w14:paraId="36EF2995" w14:textId="41F119D0" w:rsidR="006B40BD" w:rsidRDefault="0096013D" w:rsidP="00814991">
      <w:pPr>
        <w:spacing w:after="240" w:line="276" w:lineRule="auto"/>
        <w:rPr>
          <w:rFonts w:ascii="Times New Roman" w:hAnsi="Times New Roman"/>
          <w:sz w:val="24"/>
          <w:szCs w:val="24"/>
        </w:rPr>
      </w:pPr>
      <w:r>
        <w:rPr>
          <w:rFonts w:ascii="Times New Roman" w:hAnsi="Times New Roman"/>
          <w:sz w:val="24"/>
          <w:szCs w:val="24"/>
        </w:rPr>
        <w:t>T</w:t>
      </w:r>
      <w:r w:rsidR="006B40BD">
        <w:rPr>
          <w:rFonts w:ascii="Times New Roman" w:hAnsi="Times New Roman"/>
          <w:sz w:val="24"/>
          <w:szCs w:val="24"/>
        </w:rPr>
        <w:t xml:space="preserve">he </w:t>
      </w:r>
      <w:r w:rsidR="00EC4D8A">
        <w:rPr>
          <w:rFonts w:ascii="Times New Roman" w:hAnsi="Times New Roman"/>
          <w:sz w:val="24"/>
          <w:szCs w:val="24"/>
        </w:rPr>
        <w:t xml:space="preserve">Principal Regulations set out the </w:t>
      </w:r>
      <w:r w:rsidR="00FE4B47">
        <w:rPr>
          <w:rFonts w:ascii="Times New Roman" w:hAnsi="Times New Roman"/>
          <w:sz w:val="24"/>
          <w:szCs w:val="24"/>
        </w:rPr>
        <w:t>Minister</w:t>
      </w:r>
      <w:r w:rsidR="00EC4D8A">
        <w:rPr>
          <w:rFonts w:ascii="Times New Roman" w:hAnsi="Times New Roman"/>
          <w:sz w:val="24"/>
          <w:szCs w:val="24"/>
        </w:rPr>
        <w:t>’s</w:t>
      </w:r>
      <w:r>
        <w:rPr>
          <w:rFonts w:ascii="Times New Roman" w:hAnsi="Times New Roman"/>
          <w:sz w:val="24"/>
          <w:szCs w:val="24"/>
        </w:rPr>
        <w:t xml:space="preserve"> </w:t>
      </w:r>
      <w:r w:rsidR="006B40BD">
        <w:rPr>
          <w:rFonts w:ascii="Times New Roman" w:hAnsi="Times New Roman"/>
          <w:sz w:val="24"/>
          <w:szCs w:val="24"/>
        </w:rPr>
        <w:t>powers and functions in relation to RAC and fi</w:t>
      </w:r>
      <w:r w:rsidR="00EC4D8A">
        <w:rPr>
          <w:rFonts w:ascii="Times New Roman" w:hAnsi="Times New Roman"/>
          <w:sz w:val="24"/>
          <w:szCs w:val="24"/>
        </w:rPr>
        <w:t xml:space="preserve">re protection industry permits (regulations </w:t>
      </w:r>
      <w:r>
        <w:rPr>
          <w:rFonts w:ascii="Times New Roman" w:hAnsi="Times New Roman"/>
          <w:sz w:val="24"/>
          <w:szCs w:val="24"/>
        </w:rPr>
        <w:t>120 and 311</w:t>
      </w:r>
      <w:r w:rsidR="00EC4D8A">
        <w:rPr>
          <w:rFonts w:ascii="Times New Roman" w:hAnsi="Times New Roman"/>
          <w:sz w:val="24"/>
          <w:szCs w:val="24"/>
        </w:rPr>
        <w:t>)</w:t>
      </w:r>
      <w:r w:rsidR="006B40BD">
        <w:rPr>
          <w:rFonts w:ascii="Times New Roman" w:hAnsi="Times New Roman"/>
          <w:sz w:val="24"/>
          <w:szCs w:val="24"/>
        </w:rPr>
        <w:t>.</w:t>
      </w:r>
      <w:r>
        <w:rPr>
          <w:rFonts w:ascii="Times New Roman" w:hAnsi="Times New Roman"/>
          <w:sz w:val="24"/>
          <w:szCs w:val="24"/>
        </w:rPr>
        <w:t xml:space="preserve"> </w:t>
      </w:r>
      <w:r w:rsidR="006B40BD">
        <w:rPr>
          <w:rFonts w:ascii="Times New Roman" w:hAnsi="Times New Roman"/>
          <w:sz w:val="24"/>
          <w:szCs w:val="24"/>
        </w:rPr>
        <w:t>Items 47 and 52</w:t>
      </w:r>
      <w:r w:rsidR="006B40BD" w:rsidRPr="00802676">
        <w:rPr>
          <w:rFonts w:ascii="Times New Roman" w:hAnsi="Times New Roman"/>
          <w:sz w:val="24"/>
          <w:szCs w:val="24"/>
        </w:rPr>
        <w:t xml:space="preserve"> </w:t>
      </w:r>
      <w:r>
        <w:rPr>
          <w:rFonts w:ascii="Times New Roman" w:hAnsi="Times New Roman"/>
          <w:sz w:val="24"/>
          <w:szCs w:val="24"/>
        </w:rPr>
        <w:t>add an additional power to</w:t>
      </w:r>
      <w:r w:rsidR="002A1E97">
        <w:rPr>
          <w:rFonts w:ascii="Times New Roman" w:hAnsi="Times New Roman"/>
          <w:sz w:val="24"/>
          <w:szCs w:val="24"/>
        </w:rPr>
        <w:t xml:space="preserve"> these existing regulations to</w:t>
      </w:r>
      <w:r>
        <w:rPr>
          <w:rFonts w:ascii="Times New Roman" w:hAnsi="Times New Roman"/>
          <w:sz w:val="24"/>
          <w:szCs w:val="24"/>
        </w:rPr>
        <w:t xml:space="preserve"> </w:t>
      </w:r>
      <w:r w:rsidR="006B40BD">
        <w:rPr>
          <w:rFonts w:ascii="Times New Roman" w:hAnsi="Times New Roman"/>
          <w:sz w:val="24"/>
          <w:szCs w:val="24"/>
        </w:rPr>
        <w:t xml:space="preserve">allow the </w:t>
      </w:r>
      <w:r w:rsidR="001D7D1A">
        <w:rPr>
          <w:rFonts w:ascii="Times New Roman" w:hAnsi="Times New Roman"/>
          <w:sz w:val="24"/>
          <w:szCs w:val="24"/>
        </w:rPr>
        <w:t>Minister</w:t>
      </w:r>
      <w:r w:rsidR="006B40BD">
        <w:rPr>
          <w:rFonts w:ascii="Times New Roman" w:hAnsi="Times New Roman"/>
          <w:sz w:val="24"/>
          <w:szCs w:val="24"/>
        </w:rPr>
        <w:t xml:space="preserve"> to refund application fees for the RAC and fire protection permit schemes.</w:t>
      </w:r>
    </w:p>
    <w:p w14:paraId="19943069" w14:textId="0744869A" w:rsidR="006B40BD" w:rsidRDefault="006B40BD" w:rsidP="00814991">
      <w:pPr>
        <w:spacing w:after="240" w:line="276" w:lineRule="auto"/>
        <w:rPr>
          <w:rFonts w:ascii="Times New Roman" w:hAnsi="Times New Roman"/>
          <w:sz w:val="24"/>
          <w:szCs w:val="24"/>
        </w:rPr>
      </w:pPr>
      <w:r>
        <w:rPr>
          <w:rFonts w:ascii="Times New Roman" w:hAnsi="Times New Roman"/>
          <w:sz w:val="24"/>
          <w:szCs w:val="24"/>
        </w:rPr>
        <w:t>Items 49 and 54</w:t>
      </w:r>
      <w:r w:rsidR="00554FC3">
        <w:rPr>
          <w:rFonts w:ascii="Times New Roman" w:hAnsi="Times New Roman"/>
          <w:sz w:val="24"/>
          <w:szCs w:val="24"/>
        </w:rPr>
        <w:t xml:space="preserve"> </w:t>
      </w:r>
      <w:r w:rsidR="001B59F0">
        <w:rPr>
          <w:rFonts w:ascii="Times New Roman" w:hAnsi="Times New Roman"/>
          <w:sz w:val="24"/>
          <w:szCs w:val="24"/>
        </w:rPr>
        <w:t xml:space="preserve">insert regulations 121B and 313A to specify the circumstances in which </w:t>
      </w:r>
      <w:r>
        <w:rPr>
          <w:rFonts w:ascii="Times New Roman" w:hAnsi="Times New Roman"/>
          <w:sz w:val="24"/>
          <w:szCs w:val="24"/>
        </w:rPr>
        <w:t>the Minister may refund whole or part of an application fee for the RAC and fire prot</w:t>
      </w:r>
      <w:r w:rsidR="00F61789">
        <w:rPr>
          <w:rFonts w:ascii="Times New Roman" w:hAnsi="Times New Roman"/>
          <w:sz w:val="24"/>
          <w:szCs w:val="24"/>
        </w:rPr>
        <w:t xml:space="preserve">ection </w:t>
      </w:r>
      <w:r>
        <w:rPr>
          <w:rFonts w:ascii="Times New Roman" w:hAnsi="Times New Roman"/>
          <w:sz w:val="24"/>
          <w:szCs w:val="24"/>
        </w:rPr>
        <w:t>permit schemes.</w:t>
      </w:r>
      <w:r w:rsidR="00F7487C">
        <w:rPr>
          <w:rFonts w:ascii="Times New Roman" w:hAnsi="Times New Roman"/>
          <w:sz w:val="24"/>
          <w:szCs w:val="24"/>
        </w:rPr>
        <w:t xml:space="preserve"> </w:t>
      </w:r>
      <w:r w:rsidR="00E27637">
        <w:rPr>
          <w:rFonts w:ascii="Times New Roman" w:hAnsi="Times New Roman"/>
          <w:sz w:val="24"/>
          <w:szCs w:val="24"/>
        </w:rPr>
        <w:t>Th</w:t>
      </w:r>
      <w:r w:rsidR="00EC4D8A">
        <w:rPr>
          <w:rFonts w:ascii="Times New Roman" w:hAnsi="Times New Roman"/>
          <w:sz w:val="24"/>
          <w:szCs w:val="24"/>
        </w:rPr>
        <w:t xml:space="preserve">ese circumstances </w:t>
      </w:r>
      <w:r w:rsidR="00BD747D">
        <w:rPr>
          <w:rFonts w:ascii="Times New Roman" w:hAnsi="Times New Roman"/>
          <w:sz w:val="24"/>
          <w:szCs w:val="24"/>
        </w:rPr>
        <w:t>will</w:t>
      </w:r>
      <w:r w:rsidR="00EC4D8A">
        <w:rPr>
          <w:rFonts w:ascii="Times New Roman" w:hAnsi="Times New Roman"/>
          <w:sz w:val="24"/>
          <w:szCs w:val="24"/>
        </w:rPr>
        <w:t xml:space="preserve"> be when</w:t>
      </w:r>
      <w:r>
        <w:rPr>
          <w:rFonts w:ascii="Times New Roman" w:hAnsi="Times New Roman"/>
          <w:sz w:val="24"/>
          <w:szCs w:val="24"/>
        </w:rPr>
        <w:t>:</w:t>
      </w:r>
    </w:p>
    <w:p w14:paraId="6511DE0B" w14:textId="1B380F57" w:rsidR="006B40BD" w:rsidRPr="00AB4C62" w:rsidRDefault="009B7D2F" w:rsidP="00F45E4F">
      <w:pPr>
        <w:pStyle w:val="ListParagraph"/>
        <w:numPr>
          <w:ilvl w:val="0"/>
          <w:numId w:val="6"/>
        </w:numPr>
        <w:spacing w:after="120" w:line="276" w:lineRule="auto"/>
        <w:contextualSpacing w:val="0"/>
        <w:rPr>
          <w:rFonts w:ascii="Times New Roman" w:hAnsi="Times New Roman"/>
          <w:sz w:val="24"/>
          <w:szCs w:val="24"/>
        </w:rPr>
      </w:pPr>
      <w:r>
        <w:rPr>
          <w:rFonts w:ascii="Times New Roman" w:hAnsi="Times New Roman"/>
          <w:sz w:val="24"/>
          <w:szCs w:val="24"/>
        </w:rPr>
        <w:t xml:space="preserve">The </w:t>
      </w:r>
      <w:r w:rsidR="006B40BD" w:rsidRPr="00AB4C62">
        <w:rPr>
          <w:rFonts w:ascii="Times New Roman" w:hAnsi="Times New Roman"/>
          <w:sz w:val="24"/>
          <w:szCs w:val="24"/>
        </w:rPr>
        <w:t>application fee</w:t>
      </w:r>
      <w:r>
        <w:rPr>
          <w:rFonts w:ascii="Times New Roman" w:hAnsi="Times New Roman"/>
          <w:sz w:val="24"/>
          <w:szCs w:val="24"/>
        </w:rPr>
        <w:t xml:space="preserve"> i</w:t>
      </w:r>
      <w:r w:rsidR="006B40BD" w:rsidRPr="00AB4C62">
        <w:rPr>
          <w:rFonts w:ascii="Times New Roman" w:hAnsi="Times New Roman"/>
          <w:sz w:val="24"/>
          <w:szCs w:val="24"/>
        </w:rPr>
        <w:t xml:space="preserve">s paid </w:t>
      </w:r>
      <w:r w:rsidR="006B40BD">
        <w:rPr>
          <w:rFonts w:ascii="Times New Roman" w:hAnsi="Times New Roman"/>
          <w:sz w:val="24"/>
          <w:szCs w:val="24"/>
        </w:rPr>
        <w:t>more than once. For example, an application (and payment) is duplicated by</w:t>
      </w:r>
      <w:r w:rsidR="004568A4">
        <w:rPr>
          <w:rFonts w:ascii="Times New Roman" w:hAnsi="Times New Roman"/>
          <w:sz w:val="24"/>
          <w:szCs w:val="24"/>
        </w:rPr>
        <w:t xml:space="preserve"> the applicant or</w:t>
      </w:r>
      <w:r w:rsidR="006B40BD">
        <w:rPr>
          <w:rFonts w:ascii="Times New Roman" w:hAnsi="Times New Roman"/>
          <w:sz w:val="24"/>
          <w:szCs w:val="24"/>
        </w:rPr>
        <w:t xml:space="preserve"> </w:t>
      </w:r>
      <w:r w:rsidR="001C52DC">
        <w:rPr>
          <w:rFonts w:ascii="Times New Roman" w:hAnsi="Times New Roman"/>
          <w:sz w:val="24"/>
          <w:szCs w:val="24"/>
        </w:rPr>
        <w:t xml:space="preserve">by </w:t>
      </w:r>
      <w:r w:rsidR="006B40BD">
        <w:rPr>
          <w:rFonts w:ascii="Times New Roman" w:hAnsi="Times New Roman"/>
          <w:sz w:val="24"/>
          <w:szCs w:val="24"/>
        </w:rPr>
        <w:t xml:space="preserve">another individual on behalf of the applicant, such as </w:t>
      </w:r>
      <w:r w:rsidR="005C09FC">
        <w:rPr>
          <w:rFonts w:ascii="Times New Roman" w:hAnsi="Times New Roman"/>
          <w:sz w:val="24"/>
          <w:szCs w:val="24"/>
        </w:rPr>
        <w:t>a</w:t>
      </w:r>
      <w:r w:rsidR="006B40BD">
        <w:rPr>
          <w:rFonts w:ascii="Times New Roman" w:hAnsi="Times New Roman"/>
          <w:sz w:val="24"/>
          <w:szCs w:val="24"/>
        </w:rPr>
        <w:t xml:space="preserve"> part</w:t>
      </w:r>
      <w:r w:rsidR="00DA5A10">
        <w:rPr>
          <w:rFonts w:ascii="Times New Roman" w:hAnsi="Times New Roman"/>
          <w:sz w:val="24"/>
          <w:szCs w:val="24"/>
        </w:rPr>
        <w:t>ner, employer, office assistant</w:t>
      </w:r>
      <w:r w:rsidR="006B40BD">
        <w:rPr>
          <w:rFonts w:ascii="Times New Roman" w:hAnsi="Times New Roman"/>
          <w:sz w:val="24"/>
          <w:szCs w:val="24"/>
        </w:rPr>
        <w:t xml:space="preserve">, or someone else, and consequently </w:t>
      </w:r>
      <w:r w:rsidR="00DA5A10">
        <w:rPr>
          <w:rFonts w:ascii="Times New Roman" w:hAnsi="Times New Roman"/>
          <w:sz w:val="24"/>
          <w:szCs w:val="24"/>
        </w:rPr>
        <w:t xml:space="preserve">the applicant </w:t>
      </w:r>
      <w:r w:rsidR="006B40BD">
        <w:rPr>
          <w:rFonts w:ascii="Times New Roman" w:hAnsi="Times New Roman"/>
          <w:sz w:val="24"/>
          <w:szCs w:val="24"/>
        </w:rPr>
        <w:t>requests a refund of the duplicate payment.</w:t>
      </w:r>
    </w:p>
    <w:p w14:paraId="79804B25" w14:textId="3106BD48" w:rsidR="006B40BD" w:rsidRDefault="00800A73" w:rsidP="00F45E4F">
      <w:pPr>
        <w:pStyle w:val="ListParagraph"/>
        <w:numPr>
          <w:ilvl w:val="0"/>
          <w:numId w:val="6"/>
        </w:numPr>
        <w:spacing w:after="120" w:line="276" w:lineRule="auto"/>
        <w:contextualSpacing w:val="0"/>
        <w:rPr>
          <w:rFonts w:ascii="Times New Roman" w:hAnsi="Times New Roman"/>
          <w:sz w:val="24"/>
          <w:szCs w:val="24"/>
        </w:rPr>
      </w:pPr>
      <w:r>
        <w:rPr>
          <w:rFonts w:ascii="Times New Roman" w:hAnsi="Times New Roman"/>
          <w:sz w:val="24"/>
          <w:szCs w:val="24"/>
        </w:rPr>
        <w:t>P</w:t>
      </w:r>
      <w:r w:rsidR="006B40BD" w:rsidRPr="00AB4C62">
        <w:rPr>
          <w:rFonts w:ascii="Times New Roman" w:hAnsi="Times New Roman"/>
          <w:sz w:val="24"/>
          <w:szCs w:val="24"/>
        </w:rPr>
        <w:t xml:space="preserve">ayment </w:t>
      </w:r>
      <w:r w:rsidR="00AA7E8B">
        <w:rPr>
          <w:rFonts w:ascii="Times New Roman" w:hAnsi="Times New Roman"/>
          <w:sz w:val="24"/>
          <w:szCs w:val="24"/>
        </w:rPr>
        <w:t>was</w:t>
      </w:r>
      <w:r w:rsidR="006B40BD" w:rsidRPr="00AB4C62">
        <w:rPr>
          <w:rFonts w:ascii="Times New Roman" w:hAnsi="Times New Roman"/>
          <w:sz w:val="24"/>
          <w:szCs w:val="24"/>
        </w:rPr>
        <w:t xml:space="preserve"> made for more than the fee required for the p</w:t>
      </w:r>
      <w:r w:rsidR="006B40BD">
        <w:rPr>
          <w:rFonts w:ascii="Times New Roman" w:hAnsi="Times New Roman"/>
          <w:sz w:val="24"/>
          <w:szCs w:val="24"/>
        </w:rPr>
        <w:t>ermit. For example, where an applicant pays more than the relevant application fee and consequently requests a refund of the excess amount.</w:t>
      </w:r>
    </w:p>
    <w:p w14:paraId="49CFD402" w14:textId="64375CE3" w:rsidR="006B40BD" w:rsidRDefault="005C09FC" w:rsidP="00F45E4F">
      <w:pPr>
        <w:pStyle w:val="ListParagraph"/>
        <w:numPr>
          <w:ilvl w:val="0"/>
          <w:numId w:val="6"/>
        </w:numPr>
        <w:spacing w:after="120" w:line="276" w:lineRule="auto"/>
        <w:contextualSpacing w:val="0"/>
        <w:rPr>
          <w:rFonts w:ascii="Times New Roman" w:hAnsi="Times New Roman"/>
          <w:sz w:val="24"/>
          <w:szCs w:val="24"/>
        </w:rPr>
      </w:pPr>
      <w:r>
        <w:rPr>
          <w:rFonts w:ascii="Times New Roman" w:hAnsi="Times New Roman"/>
          <w:sz w:val="24"/>
          <w:szCs w:val="24"/>
        </w:rPr>
        <w:t xml:space="preserve">The </w:t>
      </w:r>
      <w:r w:rsidR="006B40BD" w:rsidRPr="00AB4C62" w:rsidDel="00C26CC7">
        <w:rPr>
          <w:rFonts w:ascii="Times New Roman" w:hAnsi="Times New Roman"/>
          <w:sz w:val="24"/>
          <w:szCs w:val="24"/>
        </w:rPr>
        <w:t>p</w:t>
      </w:r>
      <w:r>
        <w:rPr>
          <w:rFonts w:ascii="Times New Roman" w:hAnsi="Times New Roman"/>
          <w:sz w:val="24"/>
          <w:szCs w:val="24"/>
        </w:rPr>
        <w:t>ayment</w:t>
      </w:r>
      <w:r w:rsidR="00C26CC7">
        <w:rPr>
          <w:rFonts w:ascii="Times New Roman" w:hAnsi="Times New Roman"/>
          <w:sz w:val="24"/>
          <w:szCs w:val="24"/>
        </w:rPr>
        <w:t xml:space="preserve"> </w:t>
      </w:r>
      <w:r>
        <w:rPr>
          <w:rFonts w:ascii="Times New Roman" w:hAnsi="Times New Roman"/>
          <w:sz w:val="24"/>
          <w:szCs w:val="24"/>
        </w:rPr>
        <w:t>was</w:t>
      </w:r>
      <w:r w:rsidR="006B40BD" w:rsidRPr="00AB4C62">
        <w:rPr>
          <w:rFonts w:ascii="Times New Roman" w:hAnsi="Times New Roman"/>
          <w:sz w:val="24"/>
          <w:szCs w:val="24"/>
        </w:rPr>
        <w:t xml:space="preserve"> m</w:t>
      </w:r>
      <w:r w:rsidR="006B40BD">
        <w:rPr>
          <w:rFonts w:ascii="Times New Roman" w:hAnsi="Times New Roman"/>
          <w:sz w:val="24"/>
          <w:szCs w:val="24"/>
        </w:rPr>
        <w:t>ade for the wrong permit type.</w:t>
      </w:r>
      <w:r w:rsidR="00C81BEC">
        <w:rPr>
          <w:rFonts w:ascii="Times New Roman" w:hAnsi="Times New Roman"/>
          <w:sz w:val="24"/>
          <w:szCs w:val="24"/>
        </w:rPr>
        <w:t xml:space="preserve"> In this circumstance, the person </w:t>
      </w:r>
      <w:r w:rsidR="00AB33F6">
        <w:rPr>
          <w:rFonts w:ascii="Times New Roman" w:hAnsi="Times New Roman"/>
          <w:sz w:val="24"/>
          <w:szCs w:val="24"/>
        </w:rPr>
        <w:t>must</w:t>
      </w:r>
      <w:r w:rsidR="00C81BEC">
        <w:rPr>
          <w:rFonts w:ascii="Times New Roman" w:hAnsi="Times New Roman"/>
          <w:sz w:val="24"/>
          <w:szCs w:val="24"/>
        </w:rPr>
        <w:t xml:space="preserve"> have also applied and paid the application fee for the correct type of permit.</w:t>
      </w:r>
      <w:r w:rsidR="00620E6C">
        <w:rPr>
          <w:rFonts w:ascii="Times New Roman" w:hAnsi="Times New Roman"/>
          <w:sz w:val="24"/>
          <w:szCs w:val="24"/>
        </w:rPr>
        <w:t xml:space="preserve"> </w:t>
      </w:r>
    </w:p>
    <w:p w14:paraId="45053D73" w14:textId="5832EE71" w:rsidR="006B40BD" w:rsidRDefault="005C09FC" w:rsidP="00F45E4F">
      <w:pPr>
        <w:pStyle w:val="ListParagraph"/>
        <w:numPr>
          <w:ilvl w:val="0"/>
          <w:numId w:val="6"/>
        </w:numPr>
        <w:spacing w:after="120" w:line="276" w:lineRule="auto"/>
        <w:contextualSpacing w:val="0"/>
        <w:rPr>
          <w:rFonts w:ascii="Times New Roman" w:hAnsi="Times New Roman"/>
          <w:sz w:val="24"/>
          <w:szCs w:val="24"/>
        </w:rPr>
      </w:pPr>
      <w:r>
        <w:rPr>
          <w:rFonts w:ascii="Times New Roman" w:hAnsi="Times New Roman"/>
          <w:sz w:val="24"/>
          <w:szCs w:val="24"/>
        </w:rPr>
        <w:t xml:space="preserve">The </w:t>
      </w:r>
      <w:r w:rsidR="006B40BD" w:rsidRPr="00AB4C62" w:rsidDel="00C26CC7">
        <w:rPr>
          <w:rFonts w:ascii="Times New Roman" w:hAnsi="Times New Roman"/>
          <w:sz w:val="24"/>
          <w:szCs w:val="24"/>
        </w:rPr>
        <w:t>p</w:t>
      </w:r>
      <w:r>
        <w:rPr>
          <w:rFonts w:ascii="Times New Roman" w:hAnsi="Times New Roman"/>
          <w:sz w:val="24"/>
          <w:szCs w:val="24"/>
        </w:rPr>
        <w:t>ayment was</w:t>
      </w:r>
      <w:r w:rsidR="006B40BD" w:rsidRPr="00AB4C62">
        <w:rPr>
          <w:rFonts w:ascii="Times New Roman" w:hAnsi="Times New Roman"/>
          <w:sz w:val="24"/>
          <w:szCs w:val="24"/>
        </w:rPr>
        <w:t xml:space="preserve"> made for the renewal of a permit more than 6</w:t>
      </w:r>
      <w:r w:rsidR="004A3A44">
        <w:rPr>
          <w:rFonts w:ascii="Times New Roman" w:hAnsi="Times New Roman"/>
          <w:sz w:val="24"/>
          <w:szCs w:val="24"/>
        </w:rPr>
        <w:t> </w:t>
      </w:r>
      <w:r w:rsidR="006B40BD" w:rsidRPr="00AB4C62">
        <w:rPr>
          <w:rFonts w:ascii="Times New Roman" w:hAnsi="Times New Roman"/>
          <w:sz w:val="24"/>
          <w:szCs w:val="24"/>
        </w:rPr>
        <w:t xml:space="preserve">months </w:t>
      </w:r>
      <w:r w:rsidR="006B40BD">
        <w:rPr>
          <w:rFonts w:ascii="Times New Roman" w:hAnsi="Times New Roman"/>
          <w:sz w:val="24"/>
          <w:szCs w:val="24"/>
        </w:rPr>
        <w:t xml:space="preserve">prior </w:t>
      </w:r>
      <w:r w:rsidR="006B40BD" w:rsidRPr="00AB4C62">
        <w:rPr>
          <w:rFonts w:ascii="Times New Roman" w:hAnsi="Times New Roman"/>
          <w:sz w:val="24"/>
          <w:szCs w:val="24"/>
        </w:rPr>
        <w:t>than the permit’s expiry date</w:t>
      </w:r>
      <w:r w:rsidR="00C81BEC">
        <w:rPr>
          <w:rFonts w:ascii="Times New Roman" w:hAnsi="Times New Roman"/>
          <w:sz w:val="24"/>
          <w:szCs w:val="24"/>
        </w:rPr>
        <w:t xml:space="preserve"> and the application has not yet been decided</w:t>
      </w:r>
      <w:r w:rsidR="004E79CB">
        <w:rPr>
          <w:rFonts w:ascii="Times New Roman" w:hAnsi="Times New Roman"/>
          <w:sz w:val="24"/>
          <w:szCs w:val="24"/>
        </w:rPr>
        <w:t xml:space="preserve">. </w:t>
      </w:r>
      <w:r w:rsidR="00AB33F6">
        <w:rPr>
          <w:rFonts w:ascii="Times New Roman" w:hAnsi="Times New Roman"/>
          <w:sz w:val="24"/>
          <w:szCs w:val="24"/>
        </w:rPr>
        <w:t xml:space="preserve">A </w:t>
      </w:r>
      <w:r w:rsidR="006A5109">
        <w:rPr>
          <w:rFonts w:ascii="Times New Roman" w:hAnsi="Times New Roman"/>
          <w:sz w:val="24"/>
          <w:szCs w:val="24"/>
        </w:rPr>
        <w:t>6</w:t>
      </w:r>
      <w:r w:rsidR="003E1327">
        <w:rPr>
          <w:rFonts w:ascii="Times New Roman" w:hAnsi="Times New Roman"/>
          <w:sz w:val="24"/>
          <w:szCs w:val="24"/>
        </w:rPr>
        <w:t> </w:t>
      </w:r>
      <w:r w:rsidR="006A5109">
        <w:rPr>
          <w:rFonts w:ascii="Times New Roman" w:hAnsi="Times New Roman"/>
          <w:sz w:val="24"/>
          <w:szCs w:val="24"/>
        </w:rPr>
        <w:t>month renewal timeframe reduces the practical risks of assessing</w:t>
      </w:r>
      <w:r w:rsidR="006B40BD">
        <w:rPr>
          <w:rFonts w:ascii="Times New Roman" w:hAnsi="Times New Roman"/>
          <w:sz w:val="24"/>
          <w:szCs w:val="24"/>
        </w:rPr>
        <w:t xml:space="preserve"> and</w:t>
      </w:r>
      <w:r w:rsidR="006A5109">
        <w:rPr>
          <w:rFonts w:ascii="Times New Roman" w:hAnsi="Times New Roman"/>
          <w:sz w:val="24"/>
          <w:szCs w:val="24"/>
        </w:rPr>
        <w:t xml:space="preserve"> deciding applications submitted </w:t>
      </w:r>
      <w:r>
        <w:rPr>
          <w:rFonts w:ascii="Times New Roman" w:hAnsi="Times New Roman"/>
          <w:sz w:val="24"/>
          <w:szCs w:val="24"/>
        </w:rPr>
        <w:t>far in advance of the permit expiry date</w:t>
      </w:r>
      <w:r w:rsidR="00AB33F6">
        <w:rPr>
          <w:rFonts w:ascii="Times New Roman" w:hAnsi="Times New Roman"/>
          <w:sz w:val="24"/>
          <w:szCs w:val="24"/>
        </w:rPr>
        <w:t>. F</w:t>
      </w:r>
      <w:r>
        <w:rPr>
          <w:rFonts w:ascii="Times New Roman" w:hAnsi="Times New Roman"/>
          <w:sz w:val="24"/>
          <w:szCs w:val="24"/>
        </w:rPr>
        <w:t xml:space="preserve">or instance, an </w:t>
      </w:r>
      <w:r w:rsidR="006A5109">
        <w:rPr>
          <w:rFonts w:ascii="Times New Roman" w:hAnsi="Times New Roman"/>
          <w:sz w:val="24"/>
          <w:szCs w:val="24"/>
        </w:rPr>
        <w:t>a</w:t>
      </w:r>
      <w:r w:rsidR="00BA5A1F">
        <w:rPr>
          <w:rFonts w:ascii="Times New Roman" w:hAnsi="Times New Roman"/>
          <w:sz w:val="24"/>
          <w:szCs w:val="24"/>
        </w:rPr>
        <w:t xml:space="preserve">pplicant might pay the incorrect fee </w:t>
      </w:r>
      <w:r w:rsidR="006A5109">
        <w:rPr>
          <w:rFonts w:ascii="Times New Roman" w:hAnsi="Times New Roman"/>
          <w:sz w:val="24"/>
          <w:szCs w:val="24"/>
        </w:rPr>
        <w:t>(</w:t>
      </w:r>
      <w:r w:rsidR="00BA5A1F">
        <w:rPr>
          <w:rFonts w:ascii="Times New Roman" w:hAnsi="Times New Roman"/>
          <w:sz w:val="24"/>
          <w:szCs w:val="24"/>
        </w:rPr>
        <w:t>as fees increase by CPI each calendar year</w:t>
      </w:r>
      <w:r w:rsidR="006A5109">
        <w:rPr>
          <w:rFonts w:ascii="Times New Roman" w:hAnsi="Times New Roman"/>
          <w:sz w:val="24"/>
          <w:szCs w:val="24"/>
        </w:rPr>
        <w:t>)</w:t>
      </w:r>
      <w:r w:rsidR="00FF173D">
        <w:rPr>
          <w:rFonts w:ascii="Times New Roman" w:hAnsi="Times New Roman"/>
          <w:sz w:val="24"/>
          <w:szCs w:val="24"/>
        </w:rPr>
        <w:t xml:space="preserve"> or </w:t>
      </w:r>
      <w:r w:rsidR="00326671">
        <w:rPr>
          <w:rFonts w:ascii="Times New Roman" w:hAnsi="Times New Roman"/>
          <w:sz w:val="24"/>
          <w:szCs w:val="24"/>
        </w:rPr>
        <w:t xml:space="preserve">be found to breach permit conditions in the period prior to the </w:t>
      </w:r>
      <w:r>
        <w:rPr>
          <w:rFonts w:ascii="Times New Roman" w:hAnsi="Times New Roman"/>
          <w:sz w:val="24"/>
          <w:szCs w:val="24"/>
        </w:rPr>
        <w:t xml:space="preserve">renewed </w:t>
      </w:r>
      <w:r w:rsidR="00326671">
        <w:rPr>
          <w:rFonts w:ascii="Times New Roman" w:hAnsi="Times New Roman"/>
          <w:sz w:val="24"/>
          <w:szCs w:val="24"/>
        </w:rPr>
        <w:t>permit coming into effect</w:t>
      </w:r>
      <w:r w:rsidR="00155E46">
        <w:rPr>
          <w:rFonts w:ascii="Times New Roman" w:hAnsi="Times New Roman"/>
          <w:sz w:val="24"/>
          <w:szCs w:val="24"/>
        </w:rPr>
        <w:t>.</w:t>
      </w:r>
      <w:r w:rsidR="00C81BEC">
        <w:rPr>
          <w:rFonts w:ascii="Times New Roman" w:hAnsi="Times New Roman"/>
          <w:sz w:val="24"/>
          <w:szCs w:val="24"/>
        </w:rPr>
        <w:t xml:space="preserve"> </w:t>
      </w:r>
    </w:p>
    <w:p w14:paraId="75132DC1" w14:textId="7438A3DF" w:rsidR="006B40BD" w:rsidRPr="00AB4C62" w:rsidRDefault="00C26CC7" w:rsidP="00F45E4F">
      <w:pPr>
        <w:pStyle w:val="ListParagraph"/>
        <w:numPr>
          <w:ilvl w:val="0"/>
          <w:numId w:val="6"/>
        </w:numPr>
        <w:spacing w:after="240" w:line="276" w:lineRule="auto"/>
        <w:contextualSpacing w:val="0"/>
        <w:rPr>
          <w:rFonts w:ascii="Times New Roman" w:hAnsi="Times New Roman"/>
          <w:sz w:val="24"/>
          <w:szCs w:val="24"/>
        </w:rPr>
      </w:pPr>
      <w:r>
        <w:rPr>
          <w:rFonts w:ascii="Times New Roman" w:hAnsi="Times New Roman"/>
          <w:sz w:val="24"/>
          <w:szCs w:val="24"/>
        </w:rPr>
        <w:t>A</w:t>
      </w:r>
      <w:r w:rsidR="006B40BD" w:rsidRPr="00AB4C62">
        <w:rPr>
          <w:rFonts w:ascii="Times New Roman" w:hAnsi="Times New Roman"/>
          <w:sz w:val="24"/>
          <w:szCs w:val="24"/>
        </w:rPr>
        <w:t>ny</w:t>
      </w:r>
      <w:r w:rsidR="006B40BD" w:rsidRPr="00AB4C62" w:rsidDel="00BD4F09">
        <w:rPr>
          <w:rFonts w:ascii="Times New Roman" w:hAnsi="Times New Roman"/>
          <w:sz w:val="24"/>
          <w:szCs w:val="24"/>
        </w:rPr>
        <w:t xml:space="preserve"> other circumstances that </w:t>
      </w:r>
      <w:r w:rsidR="006B40BD" w:rsidRPr="00AB4C62">
        <w:rPr>
          <w:rFonts w:ascii="Times New Roman" w:hAnsi="Times New Roman"/>
          <w:sz w:val="24"/>
          <w:szCs w:val="24"/>
        </w:rPr>
        <w:t xml:space="preserve">the Minister </w:t>
      </w:r>
      <w:r w:rsidR="006B40BD" w:rsidRPr="00AB4C62" w:rsidDel="00BD4F09">
        <w:rPr>
          <w:rFonts w:ascii="Times New Roman" w:hAnsi="Times New Roman"/>
          <w:sz w:val="24"/>
          <w:szCs w:val="24"/>
        </w:rPr>
        <w:t xml:space="preserve">deems </w:t>
      </w:r>
      <w:r w:rsidR="006B40BD" w:rsidRPr="00AB4C62">
        <w:rPr>
          <w:rFonts w:ascii="Times New Roman" w:hAnsi="Times New Roman"/>
          <w:sz w:val="24"/>
          <w:szCs w:val="24"/>
        </w:rPr>
        <w:t>appropriate</w:t>
      </w:r>
      <w:r w:rsidR="007F3627">
        <w:rPr>
          <w:rFonts w:ascii="Times New Roman" w:hAnsi="Times New Roman"/>
          <w:sz w:val="24"/>
          <w:szCs w:val="24"/>
        </w:rPr>
        <w:t xml:space="preserve"> to </w:t>
      </w:r>
      <w:r w:rsidR="00CD70F0">
        <w:rPr>
          <w:rFonts w:ascii="Times New Roman" w:hAnsi="Times New Roman"/>
          <w:sz w:val="24"/>
          <w:szCs w:val="24"/>
        </w:rPr>
        <w:t>refund</w:t>
      </w:r>
      <w:r w:rsidR="007F3627">
        <w:rPr>
          <w:rFonts w:ascii="Times New Roman" w:hAnsi="Times New Roman"/>
          <w:sz w:val="24"/>
          <w:szCs w:val="24"/>
        </w:rPr>
        <w:t xml:space="preserve"> an application fee</w:t>
      </w:r>
      <w:r w:rsidR="006B40BD" w:rsidRPr="00AB4C62">
        <w:rPr>
          <w:rFonts w:ascii="Times New Roman" w:hAnsi="Times New Roman"/>
          <w:sz w:val="24"/>
          <w:szCs w:val="24"/>
        </w:rPr>
        <w:t xml:space="preserve">. For example, </w:t>
      </w:r>
      <w:r w:rsidR="006B40BD">
        <w:rPr>
          <w:rFonts w:ascii="Times New Roman" w:hAnsi="Times New Roman"/>
          <w:sz w:val="24"/>
          <w:szCs w:val="24"/>
        </w:rPr>
        <w:t>where an applicant has died in the period between the submission of their application and the relevant authority’s decision, and therefore would not benefit from the permit application being considered.</w:t>
      </w:r>
    </w:p>
    <w:p w14:paraId="0ED2BEBB" w14:textId="3FF8B9B0" w:rsidR="0084594C" w:rsidRDefault="0084594C" w:rsidP="00814991">
      <w:pPr>
        <w:spacing w:after="240" w:line="276" w:lineRule="auto"/>
        <w:rPr>
          <w:rFonts w:ascii="Times New Roman" w:hAnsi="Times New Roman"/>
          <w:sz w:val="24"/>
          <w:szCs w:val="24"/>
        </w:rPr>
      </w:pPr>
      <w:r>
        <w:rPr>
          <w:rFonts w:ascii="Times New Roman" w:hAnsi="Times New Roman"/>
          <w:sz w:val="24"/>
          <w:szCs w:val="24"/>
        </w:rPr>
        <w:t xml:space="preserve">In these circumstances, the Minister may refund the whole or part of an application fee paid under the RAC and fire protection permit schemes. </w:t>
      </w:r>
      <w:r w:rsidR="00EC4D8A">
        <w:rPr>
          <w:rFonts w:ascii="Times New Roman" w:hAnsi="Times New Roman"/>
          <w:sz w:val="24"/>
          <w:szCs w:val="24"/>
        </w:rPr>
        <w:t>T</w:t>
      </w:r>
      <w:r>
        <w:rPr>
          <w:rFonts w:ascii="Times New Roman" w:hAnsi="Times New Roman"/>
          <w:sz w:val="24"/>
          <w:szCs w:val="24"/>
        </w:rPr>
        <w:t xml:space="preserve">he Minister </w:t>
      </w:r>
      <w:r w:rsidR="00BD747D">
        <w:rPr>
          <w:rFonts w:ascii="Times New Roman" w:hAnsi="Times New Roman"/>
          <w:sz w:val="24"/>
          <w:szCs w:val="24"/>
        </w:rPr>
        <w:t>will</w:t>
      </w:r>
      <w:r>
        <w:rPr>
          <w:rFonts w:ascii="Times New Roman" w:hAnsi="Times New Roman"/>
          <w:sz w:val="24"/>
          <w:szCs w:val="24"/>
        </w:rPr>
        <w:t xml:space="preserve"> be able to refund an </w:t>
      </w:r>
      <w:r w:rsidR="00F001C8">
        <w:rPr>
          <w:rFonts w:ascii="Times New Roman" w:hAnsi="Times New Roman"/>
          <w:sz w:val="24"/>
          <w:szCs w:val="24"/>
        </w:rPr>
        <w:t>application fee on their own initiative or upon receiving a written application by the person who paid the fee in error. For clarity, the person who paid the fee could be the applicant or someone else who paid the fee on behalf of the applicant.</w:t>
      </w:r>
    </w:p>
    <w:p w14:paraId="593262A4" w14:textId="31062A53" w:rsidR="00F001C8" w:rsidRDefault="00F36EC8" w:rsidP="00814991">
      <w:pPr>
        <w:spacing w:after="240" w:line="276" w:lineRule="auto"/>
        <w:rPr>
          <w:rFonts w:ascii="Times New Roman" w:hAnsi="Times New Roman"/>
          <w:sz w:val="24"/>
          <w:szCs w:val="24"/>
        </w:rPr>
      </w:pPr>
      <w:r>
        <w:rPr>
          <w:rFonts w:ascii="Times New Roman" w:hAnsi="Times New Roman"/>
          <w:sz w:val="24"/>
          <w:szCs w:val="24"/>
        </w:rPr>
        <w:t>Regulations 124(1) and 316</w:t>
      </w:r>
      <w:r w:rsidR="00505AF9">
        <w:rPr>
          <w:rFonts w:ascii="Times New Roman" w:hAnsi="Times New Roman"/>
          <w:sz w:val="24"/>
          <w:szCs w:val="24"/>
        </w:rPr>
        <w:t>(1)</w:t>
      </w:r>
      <w:r>
        <w:rPr>
          <w:rFonts w:ascii="Times New Roman" w:hAnsi="Times New Roman"/>
          <w:sz w:val="24"/>
          <w:szCs w:val="24"/>
        </w:rPr>
        <w:t xml:space="preserve"> of the Principal Regulations allow for </w:t>
      </w:r>
      <w:r w:rsidR="00505AF9">
        <w:rPr>
          <w:rFonts w:ascii="Times New Roman" w:hAnsi="Times New Roman"/>
          <w:sz w:val="24"/>
          <w:szCs w:val="24"/>
        </w:rPr>
        <w:t xml:space="preserve">applications to be made to a relevant authority for </w:t>
      </w:r>
      <w:r>
        <w:rPr>
          <w:rFonts w:ascii="Times New Roman" w:hAnsi="Times New Roman"/>
          <w:sz w:val="24"/>
          <w:szCs w:val="24"/>
        </w:rPr>
        <w:t>reconsideration of decisions on RAC and fire protecti</w:t>
      </w:r>
      <w:r w:rsidR="00505AF9">
        <w:rPr>
          <w:rFonts w:ascii="Times New Roman" w:hAnsi="Times New Roman"/>
          <w:sz w:val="24"/>
          <w:szCs w:val="24"/>
        </w:rPr>
        <w:t>on permits</w:t>
      </w:r>
      <w:r w:rsidR="00D06D5E">
        <w:rPr>
          <w:rFonts w:ascii="Times New Roman" w:hAnsi="Times New Roman"/>
          <w:sz w:val="24"/>
          <w:szCs w:val="24"/>
        </w:rPr>
        <w:t>,</w:t>
      </w:r>
      <w:r>
        <w:rPr>
          <w:rFonts w:ascii="Times New Roman" w:hAnsi="Times New Roman"/>
          <w:sz w:val="24"/>
          <w:szCs w:val="24"/>
        </w:rPr>
        <w:t xml:space="preserve"> respectively. I</w:t>
      </w:r>
      <w:r w:rsidR="00F001C8">
        <w:rPr>
          <w:rFonts w:ascii="Times New Roman" w:hAnsi="Times New Roman"/>
          <w:sz w:val="24"/>
          <w:szCs w:val="24"/>
        </w:rPr>
        <w:t xml:space="preserve">tems 51 and 56 </w:t>
      </w:r>
      <w:r w:rsidR="00505AF9">
        <w:rPr>
          <w:rFonts w:ascii="Times New Roman" w:hAnsi="Times New Roman"/>
          <w:sz w:val="24"/>
          <w:szCs w:val="24"/>
        </w:rPr>
        <w:t>add to</w:t>
      </w:r>
      <w:r>
        <w:rPr>
          <w:rFonts w:ascii="Times New Roman" w:hAnsi="Times New Roman"/>
          <w:sz w:val="24"/>
          <w:szCs w:val="24"/>
        </w:rPr>
        <w:t xml:space="preserve"> these regulations to </w:t>
      </w:r>
      <w:r w:rsidR="00F001C8">
        <w:rPr>
          <w:rFonts w:ascii="Times New Roman" w:hAnsi="Times New Roman"/>
          <w:sz w:val="24"/>
          <w:szCs w:val="24"/>
        </w:rPr>
        <w:t xml:space="preserve">allow </w:t>
      </w:r>
      <w:r w:rsidR="00505AF9">
        <w:rPr>
          <w:rFonts w:ascii="Times New Roman" w:hAnsi="Times New Roman"/>
          <w:sz w:val="24"/>
          <w:szCs w:val="24"/>
        </w:rPr>
        <w:t>for an</w:t>
      </w:r>
      <w:r w:rsidR="00F001C8">
        <w:rPr>
          <w:rFonts w:ascii="Times New Roman" w:hAnsi="Times New Roman"/>
          <w:sz w:val="24"/>
          <w:szCs w:val="24"/>
        </w:rPr>
        <w:t xml:space="preserve"> appl</w:t>
      </w:r>
      <w:r w:rsidR="00505AF9">
        <w:rPr>
          <w:rFonts w:ascii="Times New Roman" w:hAnsi="Times New Roman"/>
          <w:sz w:val="24"/>
          <w:szCs w:val="24"/>
        </w:rPr>
        <w:t>ication to be made</w:t>
      </w:r>
      <w:r w:rsidR="00F001C8">
        <w:rPr>
          <w:rFonts w:ascii="Times New Roman" w:hAnsi="Times New Roman"/>
          <w:sz w:val="24"/>
          <w:szCs w:val="24"/>
        </w:rPr>
        <w:t xml:space="preserve"> for a reconsideration of </w:t>
      </w:r>
      <w:r w:rsidR="00505AF9">
        <w:rPr>
          <w:rFonts w:ascii="Times New Roman" w:hAnsi="Times New Roman"/>
          <w:sz w:val="24"/>
          <w:szCs w:val="24"/>
        </w:rPr>
        <w:t>a</w:t>
      </w:r>
      <w:r w:rsidR="00F001C8">
        <w:rPr>
          <w:rFonts w:ascii="Times New Roman" w:hAnsi="Times New Roman"/>
          <w:sz w:val="24"/>
          <w:szCs w:val="24"/>
        </w:rPr>
        <w:t xml:space="preserve"> </w:t>
      </w:r>
      <w:r w:rsidR="00505AF9">
        <w:rPr>
          <w:rFonts w:ascii="Times New Roman" w:hAnsi="Times New Roman"/>
          <w:sz w:val="24"/>
          <w:szCs w:val="24"/>
        </w:rPr>
        <w:t xml:space="preserve">refusal to refund the whole or part of a fee paid for a permit. </w:t>
      </w:r>
      <w:r>
        <w:rPr>
          <w:rFonts w:ascii="Times New Roman" w:hAnsi="Times New Roman"/>
          <w:sz w:val="24"/>
          <w:szCs w:val="24"/>
        </w:rPr>
        <w:t xml:space="preserve">This </w:t>
      </w:r>
      <w:r w:rsidR="00BD747D">
        <w:rPr>
          <w:rFonts w:ascii="Times New Roman" w:hAnsi="Times New Roman"/>
          <w:sz w:val="24"/>
          <w:szCs w:val="24"/>
        </w:rPr>
        <w:t>will</w:t>
      </w:r>
      <w:r>
        <w:rPr>
          <w:rFonts w:ascii="Times New Roman" w:hAnsi="Times New Roman"/>
          <w:sz w:val="24"/>
          <w:szCs w:val="24"/>
        </w:rPr>
        <w:t xml:space="preserve"> ensure these decisions are treated in a similar way to other </w:t>
      </w:r>
      <w:r w:rsidR="00505AF9">
        <w:rPr>
          <w:rFonts w:ascii="Times New Roman" w:hAnsi="Times New Roman"/>
          <w:sz w:val="24"/>
          <w:szCs w:val="24"/>
        </w:rPr>
        <w:t>permit</w:t>
      </w:r>
      <w:r>
        <w:rPr>
          <w:rFonts w:ascii="Times New Roman" w:hAnsi="Times New Roman"/>
          <w:sz w:val="24"/>
          <w:szCs w:val="24"/>
        </w:rPr>
        <w:t xml:space="preserve"> decisions under regulation</w:t>
      </w:r>
      <w:r w:rsidR="00505AF9">
        <w:rPr>
          <w:rFonts w:ascii="Times New Roman" w:hAnsi="Times New Roman"/>
          <w:sz w:val="24"/>
          <w:szCs w:val="24"/>
        </w:rPr>
        <w:t>s</w:t>
      </w:r>
      <w:r>
        <w:rPr>
          <w:rFonts w:ascii="Times New Roman" w:hAnsi="Times New Roman"/>
          <w:sz w:val="24"/>
          <w:szCs w:val="24"/>
        </w:rPr>
        <w:t xml:space="preserve"> </w:t>
      </w:r>
      <w:r w:rsidR="00505AF9">
        <w:rPr>
          <w:rFonts w:ascii="Times New Roman" w:hAnsi="Times New Roman"/>
          <w:sz w:val="24"/>
          <w:szCs w:val="24"/>
        </w:rPr>
        <w:t>124 and 316</w:t>
      </w:r>
      <w:r>
        <w:rPr>
          <w:rFonts w:ascii="Times New Roman" w:hAnsi="Times New Roman"/>
          <w:sz w:val="24"/>
          <w:szCs w:val="24"/>
        </w:rPr>
        <w:t>.</w:t>
      </w:r>
      <w:r w:rsidR="00EC4D8A">
        <w:rPr>
          <w:rFonts w:ascii="Times New Roman" w:hAnsi="Times New Roman"/>
          <w:sz w:val="24"/>
          <w:szCs w:val="24"/>
        </w:rPr>
        <w:t xml:space="preserve"> Items 50 and 55</w:t>
      </w:r>
      <w:r w:rsidR="00EC4D8A">
        <w:rPr>
          <w:rFonts w:ascii="Times New Roman" w:eastAsia="Calibri" w:hAnsi="Times New Roman"/>
          <w:sz w:val="24"/>
          <w:szCs w:val="24"/>
          <w:lang w:eastAsia="en-US"/>
        </w:rPr>
        <w:t xml:space="preserve"> are required as a consequence of items 51 and 56.</w:t>
      </w:r>
    </w:p>
    <w:p w14:paraId="1DAEA820" w14:textId="77777777" w:rsidR="007645EF" w:rsidRDefault="007645EF" w:rsidP="00814991">
      <w:pPr>
        <w:spacing w:after="200" w:line="276" w:lineRule="auto"/>
        <w:rPr>
          <w:rFonts w:ascii="Times New Roman" w:hAnsi="Times New Roman"/>
          <w:i/>
          <w:sz w:val="24"/>
          <w:szCs w:val="24"/>
        </w:rPr>
      </w:pPr>
      <w:r>
        <w:rPr>
          <w:rFonts w:ascii="Times New Roman" w:hAnsi="Times New Roman"/>
          <w:i/>
          <w:sz w:val="24"/>
          <w:szCs w:val="24"/>
        </w:rPr>
        <w:br w:type="page"/>
      </w:r>
    </w:p>
    <w:p w14:paraId="223DB170" w14:textId="1B3364CC" w:rsidR="00955E5F" w:rsidRPr="00D75358" w:rsidRDefault="00955E5F" w:rsidP="00814991">
      <w:pPr>
        <w:spacing w:after="240" w:line="276" w:lineRule="auto"/>
        <w:rPr>
          <w:rFonts w:ascii="Times New Roman" w:hAnsi="Times New Roman"/>
          <w:i/>
          <w:sz w:val="24"/>
          <w:szCs w:val="24"/>
        </w:rPr>
      </w:pPr>
      <w:r w:rsidRPr="00D75358">
        <w:rPr>
          <w:rFonts w:ascii="Times New Roman" w:hAnsi="Times New Roman"/>
          <w:i/>
          <w:sz w:val="24"/>
          <w:szCs w:val="24"/>
        </w:rPr>
        <w:lastRenderedPageBreak/>
        <w:t>Withdrawal of applications</w:t>
      </w:r>
    </w:p>
    <w:p w14:paraId="658BD229" w14:textId="0F53DDA9" w:rsidR="00920A1F" w:rsidRDefault="007645EF" w:rsidP="00814991">
      <w:pPr>
        <w:spacing w:after="240" w:line="276" w:lineRule="auto"/>
        <w:rPr>
          <w:rFonts w:ascii="Times New Roman" w:hAnsi="Times New Roman"/>
          <w:sz w:val="24"/>
          <w:szCs w:val="24"/>
        </w:rPr>
      </w:pPr>
      <w:r>
        <w:rPr>
          <w:rFonts w:ascii="Times New Roman" w:hAnsi="Times New Roman"/>
          <w:sz w:val="24"/>
          <w:szCs w:val="24"/>
        </w:rPr>
        <w:t xml:space="preserve">Regulation 121A of the Principal Regulations sets out, inter alia, when an application fee for a RAC industry permit may be withdrawn or be considered to be withdrawn, and </w:t>
      </w:r>
      <w:r w:rsidR="00920A1F">
        <w:rPr>
          <w:rFonts w:ascii="Times New Roman" w:hAnsi="Times New Roman"/>
          <w:sz w:val="24"/>
          <w:szCs w:val="24"/>
        </w:rPr>
        <w:t xml:space="preserve">that fees are not refundable for a withdrawn application. The amendments clarify that a withdrawn application for a RAC industry permit may be eligible for a refund if the circumstances at regulation 121B apply. </w:t>
      </w:r>
    </w:p>
    <w:p w14:paraId="533A0CDB" w14:textId="165C1E9E" w:rsidR="00D06D5E" w:rsidRDefault="00920A1F" w:rsidP="00814991">
      <w:pPr>
        <w:spacing w:after="240" w:line="276" w:lineRule="auto"/>
        <w:rPr>
          <w:rFonts w:ascii="Times New Roman" w:hAnsi="Times New Roman"/>
          <w:sz w:val="24"/>
          <w:szCs w:val="24"/>
        </w:rPr>
      </w:pPr>
      <w:r>
        <w:rPr>
          <w:rFonts w:ascii="Times New Roman" w:hAnsi="Times New Roman"/>
          <w:sz w:val="24"/>
          <w:szCs w:val="24"/>
        </w:rPr>
        <w:t xml:space="preserve">The Principal Regulations do not currently contain withdrawal provisions for applications for fire </w:t>
      </w:r>
      <w:r w:rsidR="00EC0B61">
        <w:rPr>
          <w:rFonts w:ascii="Times New Roman" w:hAnsi="Times New Roman"/>
          <w:sz w:val="24"/>
          <w:szCs w:val="24"/>
        </w:rPr>
        <w:t xml:space="preserve">protection </w:t>
      </w:r>
      <w:r>
        <w:rPr>
          <w:rFonts w:ascii="Times New Roman" w:hAnsi="Times New Roman"/>
          <w:sz w:val="24"/>
          <w:szCs w:val="24"/>
        </w:rPr>
        <w:t xml:space="preserve">industry permits. The amendments </w:t>
      </w:r>
      <w:r w:rsidR="007645EF">
        <w:rPr>
          <w:rFonts w:ascii="Times New Roman" w:hAnsi="Times New Roman"/>
          <w:sz w:val="24"/>
          <w:szCs w:val="24"/>
        </w:rPr>
        <w:t xml:space="preserve">add </w:t>
      </w:r>
      <w:r w:rsidR="00EC0B61">
        <w:rPr>
          <w:rFonts w:ascii="Times New Roman" w:hAnsi="Times New Roman"/>
          <w:sz w:val="24"/>
          <w:szCs w:val="24"/>
        </w:rPr>
        <w:t>to Subdivision 6A.4.2 (Fire protection industry permits) regulations governing</w:t>
      </w:r>
      <w:r w:rsidR="007645EF">
        <w:rPr>
          <w:rFonts w:ascii="Times New Roman" w:hAnsi="Times New Roman"/>
          <w:sz w:val="24"/>
          <w:szCs w:val="24"/>
        </w:rPr>
        <w:t xml:space="preserve"> </w:t>
      </w:r>
      <w:r w:rsidR="00EC0B61">
        <w:rPr>
          <w:rFonts w:ascii="Times New Roman" w:hAnsi="Times New Roman"/>
          <w:sz w:val="24"/>
          <w:szCs w:val="24"/>
        </w:rPr>
        <w:t xml:space="preserve">when </w:t>
      </w:r>
      <w:r w:rsidR="007645EF">
        <w:rPr>
          <w:rFonts w:ascii="Times New Roman" w:hAnsi="Times New Roman"/>
          <w:sz w:val="24"/>
          <w:szCs w:val="24"/>
        </w:rPr>
        <w:t xml:space="preserve">an applicant </w:t>
      </w:r>
      <w:r w:rsidR="00EC0B61">
        <w:rPr>
          <w:rFonts w:ascii="Times New Roman" w:hAnsi="Times New Roman"/>
          <w:sz w:val="24"/>
          <w:szCs w:val="24"/>
        </w:rPr>
        <w:t>may</w:t>
      </w:r>
      <w:r w:rsidR="007645EF">
        <w:rPr>
          <w:rFonts w:ascii="Times New Roman" w:hAnsi="Times New Roman"/>
          <w:sz w:val="24"/>
          <w:szCs w:val="24"/>
        </w:rPr>
        <w:t xml:space="preserve"> withdraw an</w:t>
      </w:r>
      <w:r w:rsidR="00E93F0A">
        <w:rPr>
          <w:rFonts w:ascii="Times New Roman" w:hAnsi="Times New Roman"/>
          <w:sz w:val="24"/>
          <w:szCs w:val="24"/>
        </w:rPr>
        <w:t xml:space="preserve"> application, </w:t>
      </w:r>
      <w:r w:rsidR="00EC0B61">
        <w:rPr>
          <w:rFonts w:ascii="Times New Roman" w:hAnsi="Times New Roman"/>
          <w:sz w:val="24"/>
          <w:szCs w:val="24"/>
        </w:rPr>
        <w:t>the</w:t>
      </w:r>
      <w:r w:rsidR="007645EF">
        <w:rPr>
          <w:rFonts w:ascii="Times New Roman" w:hAnsi="Times New Roman"/>
          <w:sz w:val="24"/>
          <w:szCs w:val="24"/>
        </w:rPr>
        <w:t xml:space="preserve"> circumstances for when an application is taken to be withdrawn</w:t>
      </w:r>
      <w:r w:rsidR="00E93F0A">
        <w:rPr>
          <w:rFonts w:ascii="Times New Roman" w:hAnsi="Times New Roman"/>
          <w:sz w:val="24"/>
          <w:szCs w:val="24"/>
        </w:rPr>
        <w:t xml:space="preserve"> and that a withdrawn application for a fire protection industry permit may only be eligible for a refund if the circumstances at regulation 313A apply.</w:t>
      </w:r>
      <w:r w:rsidR="007645EF" w:rsidDel="0040617C">
        <w:rPr>
          <w:rFonts w:ascii="Times New Roman" w:hAnsi="Times New Roman"/>
          <w:sz w:val="24"/>
          <w:szCs w:val="24"/>
        </w:rPr>
        <w:t xml:space="preserve"> </w:t>
      </w:r>
      <w:r w:rsidR="007645EF">
        <w:rPr>
          <w:rFonts w:ascii="Times New Roman" w:hAnsi="Times New Roman"/>
          <w:sz w:val="24"/>
          <w:szCs w:val="24"/>
        </w:rPr>
        <w:t xml:space="preserve">This </w:t>
      </w:r>
      <w:r w:rsidR="00BD747D">
        <w:rPr>
          <w:rFonts w:ascii="Times New Roman" w:hAnsi="Times New Roman"/>
          <w:sz w:val="24"/>
          <w:szCs w:val="24"/>
        </w:rPr>
        <w:t>will</w:t>
      </w:r>
      <w:r w:rsidR="007645EF">
        <w:rPr>
          <w:rFonts w:ascii="Times New Roman" w:hAnsi="Times New Roman"/>
          <w:sz w:val="24"/>
          <w:szCs w:val="24"/>
        </w:rPr>
        <w:t xml:space="preserve"> ensure consistency of operation between the RAC and fire protection permit schemes.</w:t>
      </w:r>
    </w:p>
    <w:p w14:paraId="0686DC8E" w14:textId="15157E3F" w:rsidR="00D06D5E" w:rsidRPr="00683D7F" w:rsidRDefault="00D06D5E" w:rsidP="00814991">
      <w:pPr>
        <w:spacing w:after="240" w:line="276" w:lineRule="auto"/>
        <w:rPr>
          <w:rFonts w:ascii="Times New Roman" w:hAnsi="Times New Roman"/>
          <w:sz w:val="24"/>
          <w:szCs w:val="24"/>
          <w:u w:val="single"/>
        </w:rPr>
      </w:pPr>
      <w:r w:rsidRPr="00683D7F">
        <w:rPr>
          <w:rFonts w:ascii="Times New Roman" w:hAnsi="Times New Roman"/>
          <w:sz w:val="24"/>
          <w:szCs w:val="24"/>
          <w:u w:val="single"/>
        </w:rPr>
        <w:t>Item 48</w:t>
      </w:r>
    </w:p>
    <w:p w14:paraId="7EC7EC14" w14:textId="46DEC1A8" w:rsidR="00D06D5E" w:rsidRDefault="00982FC5" w:rsidP="00814991">
      <w:pPr>
        <w:spacing w:after="240" w:line="276" w:lineRule="auto"/>
        <w:rPr>
          <w:rFonts w:ascii="Times New Roman" w:hAnsi="Times New Roman"/>
          <w:sz w:val="24"/>
          <w:szCs w:val="24"/>
        </w:rPr>
      </w:pPr>
      <w:r>
        <w:rPr>
          <w:rFonts w:ascii="Times New Roman" w:hAnsi="Times New Roman"/>
          <w:sz w:val="24"/>
          <w:szCs w:val="24"/>
        </w:rPr>
        <w:t>Regulation 121A of the Principal Regulations sets out when an applicant is taken to have withdrawn an application (</w:t>
      </w:r>
      <w:proofErr w:type="gramStart"/>
      <w:r>
        <w:rPr>
          <w:rFonts w:ascii="Times New Roman" w:hAnsi="Times New Roman"/>
          <w:sz w:val="24"/>
          <w:szCs w:val="24"/>
        </w:rPr>
        <w:t>121A(</w:t>
      </w:r>
      <w:proofErr w:type="gramEnd"/>
      <w:r>
        <w:rPr>
          <w:rFonts w:ascii="Times New Roman" w:hAnsi="Times New Roman"/>
          <w:sz w:val="24"/>
          <w:szCs w:val="24"/>
        </w:rPr>
        <w:t xml:space="preserve">4)), that an applicant may withdraw an application at any time before the relevant authority decides the application (121A(5)) and that the application fee is not refundable if the applicant withdraws the application or the application is taken to be withdrawn (121A(6)). </w:t>
      </w:r>
      <w:r w:rsidR="00D06D5E">
        <w:rPr>
          <w:rFonts w:ascii="Times New Roman" w:hAnsi="Times New Roman"/>
          <w:sz w:val="24"/>
          <w:szCs w:val="24"/>
        </w:rPr>
        <w:t xml:space="preserve">Item 48 </w:t>
      </w:r>
      <w:r>
        <w:rPr>
          <w:rFonts w:ascii="Times New Roman" w:hAnsi="Times New Roman"/>
          <w:sz w:val="24"/>
          <w:szCs w:val="24"/>
        </w:rPr>
        <w:t>amend</w:t>
      </w:r>
      <w:r w:rsidR="00BD747D">
        <w:rPr>
          <w:rFonts w:ascii="Times New Roman" w:hAnsi="Times New Roman"/>
          <w:sz w:val="24"/>
          <w:szCs w:val="24"/>
        </w:rPr>
        <w:t>s</w:t>
      </w:r>
      <w:r>
        <w:rPr>
          <w:rFonts w:ascii="Times New Roman" w:hAnsi="Times New Roman"/>
          <w:sz w:val="24"/>
          <w:szCs w:val="24"/>
        </w:rPr>
        <w:t xml:space="preserve"> regulation </w:t>
      </w:r>
      <w:proofErr w:type="gramStart"/>
      <w:r>
        <w:rPr>
          <w:rFonts w:ascii="Times New Roman" w:hAnsi="Times New Roman"/>
          <w:sz w:val="24"/>
          <w:szCs w:val="24"/>
        </w:rPr>
        <w:t>121A(</w:t>
      </w:r>
      <w:proofErr w:type="gramEnd"/>
      <w:r>
        <w:rPr>
          <w:rFonts w:ascii="Times New Roman" w:hAnsi="Times New Roman"/>
          <w:sz w:val="24"/>
          <w:szCs w:val="24"/>
        </w:rPr>
        <w:t>6) to allow for an</w:t>
      </w:r>
      <w:r w:rsidR="00D06D5E">
        <w:rPr>
          <w:rFonts w:ascii="Times New Roman" w:hAnsi="Times New Roman"/>
          <w:sz w:val="24"/>
          <w:szCs w:val="24"/>
        </w:rPr>
        <w:t xml:space="preserve"> application fee </w:t>
      </w:r>
      <w:r>
        <w:rPr>
          <w:rFonts w:ascii="Times New Roman" w:hAnsi="Times New Roman"/>
          <w:sz w:val="24"/>
          <w:szCs w:val="24"/>
        </w:rPr>
        <w:t>to be</w:t>
      </w:r>
      <w:r w:rsidR="00D06D5E">
        <w:rPr>
          <w:rFonts w:ascii="Times New Roman" w:hAnsi="Times New Roman"/>
          <w:sz w:val="24"/>
          <w:szCs w:val="24"/>
        </w:rPr>
        <w:t xml:space="preserve"> refundable </w:t>
      </w:r>
      <w:r>
        <w:rPr>
          <w:rFonts w:ascii="Times New Roman" w:hAnsi="Times New Roman"/>
          <w:sz w:val="24"/>
          <w:szCs w:val="24"/>
        </w:rPr>
        <w:t>if</w:t>
      </w:r>
      <w:r w:rsidR="00D06D5E">
        <w:rPr>
          <w:rFonts w:ascii="Times New Roman" w:hAnsi="Times New Roman"/>
          <w:sz w:val="24"/>
          <w:szCs w:val="24"/>
        </w:rPr>
        <w:t xml:space="preserve"> the circumstances in item 49 apply.</w:t>
      </w:r>
    </w:p>
    <w:p w14:paraId="1E6515E7" w14:textId="77777777" w:rsidR="006B40BD" w:rsidRPr="00292E7E" w:rsidRDefault="006B40BD" w:rsidP="00814991">
      <w:pPr>
        <w:spacing w:after="240" w:line="276" w:lineRule="auto"/>
        <w:rPr>
          <w:rFonts w:ascii="Times New Roman" w:hAnsi="Times New Roman"/>
          <w:sz w:val="24"/>
          <w:szCs w:val="24"/>
          <w:u w:val="single"/>
        </w:rPr>
      </w:pPr>
      <w:r w:rsidRPr="001B6076">
        <w:rPr>
          <w:rFonts w:ascii="Times New Roman" w:hAnsi="Times New Roman"/>
          <w:sz w:val="24"/>
          <w:szCs w:val="24"/>
          <w:u w:val="single"/>
        </w:rPr>
        <w:t xml:space="preserve">Item </w:t>
      </w:r>
      <w:r>
        <w:rPr>
          <w:rFonts w:ascii="Times New Roman" w:hAnsi="Times New Roman"/>
          <w:sz w:val="24"/>
          <w:szCs w:val="24"/>
          <w:u w:val="single"/>
        </w:rPr>
        <w:t>53</w:t>
      </w:r>
    </w:p>
    <w:p w14:paraId="2705FC10" w14:textId="3565CDCC" w:rsidR="006B40BD" w:rsidRDefault="006B40BD" w:rsidP="00814991">
      <w:pPr>
        <w:spacing w:after="240" w:line="276" w:lineRule="auto"/>
        <w:rPr>
          <w:rFonts w:ascii="Times New Roman" w:hAnsi="Times New Roman"/>
          <w:sz w:val="24"/>
          <w:szCs w:val="24"/>
        </w:rPr>
      </w:pPr>
      <w:r>
        <w:rPr>
          <w:rFonts w:ascii="Times New Roman" w:hAnsi="Times New Roman"/>
          <w:sz w:val="24"/>
          <w:szCs w:val="24"/>
        </w:rPr>
        <w:t xml:space="preserve">Regulation 313 </w:t>
      </w:r>
      <w:r w:rsidR="00F61789">
        <w:rPr>
          <w:rFonts w:ascii="Times New Roman" w:hAnsi="Times New Roman"/>
          <w:sz w:val="24"/>
          <w:szCs w:val="24"/>
        </w:rPr>
        <w:t xml:space="preserve">of the Principal Regulations </w:t>
      </w:r>
      <w:r>
        <w:rPr>
          <w:rFonts w:ascii="Times New Roman" w:hAnsi="Times New Roman"/>
          <w:sz w:val="24"/>
          <w:szCs w:val="24"/>
        </w:rPr>
        <w:t xml:space="preserve">sets out the general </w:t>
      </w:r>
      <w:r w:rsidR="008E4248">
        <w:rPr>
          <w:rFonts w:ascii="Times New Roman" w:hAnsi="Times New Roman"/>
          <w:sz w:val="24"/>
          <w:szCs w:val="24"/>
        </w:rPr>
        <w:t xml:space="preserve">process and </w:t>
      </w:r>
      <w:r>
        <w:rPr>
          <w:rFonts w:ascii="Times New Roman" w:hAnsi="Times New Roman"/>
          <w:sz w:val="24"/>
          <w:szCs w:val="24"/>
        </w:rPr>
        <w:t>requirements for a fire protection industry permit application</w:t>
      </w:r>
      <w:r w:rsidR="005723D9">
        <w:rPr>
          <w:rFonts w:ascii="Times New Roman" w:hAnsi="Times New Roman"/>
          <w:sz w:val="24"/>
          <w:szCs w:val="24"/>
        </w:rPr>
        <w:t>,</w:t>
      </w:r>
      <w:r w:rsidR="007A64FF">
        <w:rPr>
          <w:rFonts w:ascii="Times New Roman" w:hAnsi="Times New Roman"/>
          <w:sz w:val="24"/>
          <w:szCs w:val="24"/>
        </w:rPr>
        <w:t xml:space="preserve"> which currently makes</w:t>
      </w:r>
      <w:r w:rsidR="005723D9">
        <w:rPr>
          <w:rFonts w:ascii="Times New Roman" w:hAnsi="Times New Roman"/>
          <w:sz w:val="24"/>
          <w:szCs w:val="24"/>
        </w:rPr>
        <w:t xml:space="preserve"> no</w:t>
      </w:r>
      <w:r w:rsidR="0040617C">
        <w:rPr>
          <w:rFonts w:ascii="Times New Roman" w:hAnsi="Times New Roman"/>
          <w:sz w:val="24"/>
          <w:szCs w:val="24"/>
        </w:rPr>
        <w:t xml:space="preserve"> allowance for an application to be withdrawn or be taken to be withdrawn. </w:t>
      </w:r>
      <w:r w:rsidR="008E4248">
        <w:rPr>
          <w:rFonts w:ascii="Times New Roman" w:hAnsi="Times New Roman"/>
          <w:sz w:val="24"/>
          <w:szCs w:val="24"/>
        </w:rPr>
        <w:t xml:space="preserve">Item 53 </w:t>
      </w:r>
      <w:r w:rsidR="00BD747D">
        <w:rPr>
          <w:rFonts w:ascii="Times New Roman" w:hAnsi="Times New Roman"/>
          <w:sz w:val="24"/>
          <w:szCs w:val="24"/>
        </w:rPr>
        <w:t>a</w:t>
      </w:r>
      <w:r w:rsidR="0040617C">
        <w:rPr>
          <w:rFonts w:ascii="Times New Roman" w:hAnsi="Times New Roman"/>
          <w:sz w:val="24"/>
          <w:szCs w:val="24"/>
        </w:rPr>
        <w:t>dd</w:t>
      </w:r>
      <w:r w:rsidR="00BD747D">
        <w:rPr>
          <w:rFonts w:ascii="Times New Roman" w:hAnsi="Times New Roman"/>
          <w:sz w:val="24"/>
          <w:szCs w:val="24"/>
        </w:rPr>
        <w:t>s</w:t>
      </w:r>
      <w:r w:rsidR="0040617C">
        <w:rPr>
          <w:rFonts w:ascii="Times New Roman" w:hAnsi="Times New Roman"/>
          <w:sz w:val="24"/>
          <w:szCs w:val="24"/>
        </w:rPr>
        <w:t xml:space="preserve"> the ability for an applicant to withdraw</w:t>
      </w:r>
      <w:r w:rsidR="008E4248">
        <w:rPr>
          <w:rFonts w:ascii="Times New Roman" w:hAnsi="Times New Roman"/>
          <w:sz w:val="24"/>
          <w:szCs w:val="24"/>
        </w:rPr>
        <w:t xml:space="preserve"> </w:t>
      </w:r>
      <w:r w:rsidR="0040617C">
        <w:rPr>
          <w:rFonts w:ascii="Times New Roman" w:hAnsi="Times New Roman"/>
          <w:sz w:val="24"/>
          <w:szCs w:val="24"/>
        </w:rPr>
        <w:t>an</w:t>
      </w:r>
      <w:r w:rsidR="008E4248">
        <w:rPr>
          <w:rFonts w:ascii="Times New Roman" w:hAnsi="Times New Roman"/>
          <w:sz w:val="24"/>
          <w:szCs w:val="24"/>
        </w:rPr>
        <w:t xml:space="preserve"> application </w:t>
      </w:r>
      <w:r w:rsidR="0040617C">
        <w:rPr>
          <w:rFonts w:ascii="Times New Roman" w:hAnsi="Times New Roman"/>
          <w:sz w:val="24"/>
          <w:szCs w:val="24"/>
        </w:rPr>
        <w:t xml:space="preserve">and </w:t>
      </w:r>
      <w:r w:rsidR="00767CCD">
        <w:rPr>
          <w:rFonts w:ascii="Times New Roman" w:hAnsi="Times New Roman"/>
          <w:sz w:val="24"/>
          <w:szCs w:val="24"/>
        </w:rPr>
        <w:t xml:space="preserve">clarify </w:t>
      </w:r>
      <w:r w:rsidR="0040617C">
        <w:rPr>
          <w:rFonts w:ascii="Times New Roman" w:hAnsi="Times New Roman"/>
          <w:sz w:val="24"/>
          <w:szCs w:val="24"/>
        </w:rPr>
        <w:t>circumstances for when an application is taken to be withdrawn</w:t>
      </w:r>
      <w:r w:rsidR="005654A1">
        <w:rPr>
          <w:rFonts w:ascii="Times New Roman" w:hAnsi="Times New Roman"/>
          <w:sz w:val="24"/>
          <w:szCs w:val="24"/>
        </w:rPr>
        <w:t>.</w:t>
      </w:r>
      <w:r w:rsidR="00CB00CD" w:rsidDel="0040617C">
        <w:rPr>
          <w:rFonts w:ascii="Times New Roman" w:hAnsi="Times New Roman"/>
          <w:sz w:val="24"/>
          <w:szCs w:val="24"/>
        </w:rPr>
        <w:t xml:space="preserve"> </w:t>
      </w:r>
      <w:r w:rsidR="0040617C">
        <w:rPr>
          <w:rFonts w:ascii="Times New Roman" w:hAnsi="Times New Roman"/>
          <w:sz w:val="24"/>
          <w:szCs w:val="24"/>
        </w:rPr>
        <w:t xml:space="preserve">This </w:t>
      </w:r>
      <w:r w:rsidR="005654A1">
        <w:rPr>
          <w:rFonts w:ascii="Times New Roman" w:hAnsi="Times New Roman"/>
          <w:sz w:val="24"/>
          <w:szCs w:val="24"/>
        </w:rPr>
        <w:t>ensure</w:t>
      </w:r>
      <w:r w:rsidR="00BD747D">
        <w:rPr>
          <w:rFonts w:ascii="Times New Roman" w:hAnsi="Times New Roman"/>
          <w:sz w:val="24"/>
          <w:szCs w:val="24"/>
        </w:rPr>
        <w:t>s</w:t>
      </w:r>
      <w:r w:rsidR="005654A1">
        <w:rPr>
          <w:rFonts w:ascii="Times New Roman" w:hAnsi="Times New Roman"/>
          <w:sz w:val="24"/>
          <w:szCs w:val="24"/>
        </w:rPr>
        <w:t xml:space="preserve"> consistency </w:t>
      </w:r>
      <w:r w:rsidR="0040617C">
        <w:rPr>
          <w:rFonts w:ascii="Times New Roman" w:hAnsi="Times New Roman"/>
          <w:sz w:val="24"/>
          <w:szCs w:val="24"/>
        </w:rPr>
        <w:t xml:space="preserve">of operation </w:t>
      </w:r>
      <w:r w:rsidR="00767CCD">
        <w:rPr>
          <w:rFonts w:ascii="Times New Roman" w:hAnsi="Times New Roman"/>
          <w:sz w:val="24"/>
          <w:szCs w:val="24"/>
        </w:rPr>
        <w:t>between</w:t>
      </w:r>
      <w:r w:rsidR="005654A1">
        <w:rPr>
          <w:rFonts w:ascii="Times New Roman" w:hAnsi="Times New Roman"/>
          <w:sz w:val="24"/>
          <w:szCs w:val="24"/>
        </w:rPr>
        <w:t xml:space="preserve"> </w:t>
      </w:r>
      <w:r w:rsidR="00CB00CD">
        <w:rPr>
          <w:rFonts w:ascii="Times New Roman" w:hAnsi="Times New Roman"/>
          <w:sz w:val="24"/>
          <w:szCs w:val="24"/>
        </w:rPr>
        <w:t xml:space="preserve">the RAC </w:t>
      </w:r>
      <w:r w:rsidR="00767CCD">
        <w:rPr>
          <w:rFonts w:ascii="Times New Roman" w:hAnsi="Times New Roman"/>
          <w:sz w:val="24"/>
          <w:szCs w:val="24"/>
        </w:rPr>
        <w:t xml:space="preserve">and fire protection </w:t>
      </w:r>
      <w:r w:rsidR="005654A1">
        <w:rPr>
          <w:rFonts w:ascii="Times New Roman" w:hAnsi="Times New Roman"/>
          <w:sz w:val="24"/>
          <w:szCs w:val="24"/>
        </w:rPr>
        <w:t xml:space="preserve">permit </w:t>
      </w:r>
      <w:r w:rsidR="00CB00CD">
        <w:rPr>
          <w:rFonts w:ascii="Times New Roman" w:hAnsi="Times New Roman"/>
          <w:sz w:val="24"/>
          <w:szCs w:val="24"/>
        </w:rPr>
        <w:t>scheme</w:t>
      </w:r>
      <w:r w:rsidR="00767CCD">
        <w:rPr>
          <w:rFonts w:ascii="Times New Roman" w:hAnsi="Times New Roman"/>
          <w:sz w:val="24"/>
          <w:szCs w:val="24"/>
        </w:rPr>
        <w:t>s</w:t>
      </w:r>
      <w:r w:rsidR="00CB00CD">
        <w:rPr>
          <w:rFonts w:ascii="Times New Roman" w:hAnsi="Times New Roman"/>
          <w:sz w:val="24"/>
          <w:szCs w:val="24"/>
        </w:rPr>
        <w:t>.</w:t>
      </w:r>
    </w:p>
    <w:p w14:paraId="414ACB12" w14:textId="670F4F57" w:rsidR="006B40BD" w:rsidRDefault="003B3D86" w:rsidP="00814991">
      <w:pPr>
        <w:spacing w:after="240" w:line="276" w:lineRule="auto"/>
        <w:rPr>
          <w:rFonts w:ascii="Times New Roman" w:hAnsi="Times New Roman"/>
          <w:sz w:val="24"/>
          <w:szCs w:val="24"/>
        </w:rPr>
      </w:pPr>
      <w:r>
        <w:rPr>
          <w:rFonts w:ascii="Times New Roman" w:hAnsi="Times New Roman"/>
          <w:sz w:val="24"/>
          <w:szCs w:val="24"/>
        </w:rPr>
        <w:t>An</w:t>
      </w:r>
      <w:r w:rsidR="006B40BD">
        <w:rPr>
          <w:rFonts w:ascii="Times New Roman" w:hAnsi="Times New Roman"/>
          <w:sz w:val="24"/>
          <w:szCs w:val="24"/>
        </w:rPr>
        <w:t xml:space="preserve"> applicant</w:t>
      </w:r>
      <w:r>
        <w:rPr>
          <w:rFonts w:ascii="Times New Roman" w:hAnsi="Times New Roman"/>
          <w:sz w:val="24"/>
          <w:szCs w:val="24"/>
        </w:rPr>
        <w:t xml:space="preserve"> </w:t>
      </w:r>
      <w:r w:rsidR="00BD747D">
        <w:rPr>
          <w:rFonts w:ascii="Times New Roman" w:hAnsi="Times New Roman"/>
          <w:sz w:val="24"/>
          <w:szCs w:val="24"/>
        </w:rPr>
        <w:t>will</w:t>
      </w:r>
      <w:r>
        <w:rPr>
          <w:rFonts w:ascii="Times New Roman" w:hAnsi="Times New Roman"/>
          <w:sz w:val="24"/>
          <w:szCs w:val="24"/>
        </w:rPr>
        <w:t xml:space="preserve"> be able to</w:t>
      </w:r>
      <w:r w:rsidR="006B40BD">
        <w:rPr>
          <w:rFonts w:ascii="Times New Roman" w:hAnsi="Times New Roman"/>
          <w:sz w:val="24"/>
          <w:szCs w:val="24"/>
        </w:rPr>
        <w:t xml:space="preserve"> withdraw an application under the fire protection permit scheme at any time before the relevant authority decides the application</w:t>
      </w:r>
      <w:r w:rsidR="0040617C">
        <w:rPr>
          <w:rFonts w:ascii="Times New Roman" w:hAnsi="Times New Roman"/>
          <w:sz w:val="24"/>
          <w:szCs w:val="24"/>
        </w:rPr>
        <w:t xml:space="preserve"> (</w:t>
      </w:r>
      <w:proofErr w:type="spellStart"/>
      <w:r w:rsidR="0040617C">
        <w:rPr>
          <w:rFonts w:ascii="Times New Roman" w:hAnsi="Times New Roman"/>
          <w:sz w:val="24"/>
          <w:szCs w:val="24"/>
        </w:rPr>
        <w:t>subregulation</w:t>
      </w:r>
      <w:proofErr w:type="spellEnd"/>
      <w:r w:rsidR="0040617C">
        <w:rPr>
          <w:rFonts w:ascii="Times New Roman" w:hAnsi="Times New Roman"/>
          <w:sz w:val="24"/>
          <w:szCs w:val="24"/>
        </w:rPr>
        <w:t xml:space="preserve"> 313(4))</w:t>
      </w:r>
      <w:r w:rsidR="006B40BD">
        <w:rPr>
          <w:rFonts w:ascii="Times New Roman" w:hAnsi="Times New Roman"/>
          <w:sz w:val="24"/>
          <w:szCs w:val="24"/>
        </w:rPr>
        <w:t xml:space="preserve">. </w:t>
      </w:r>
      <w:r w:rsidR="00196DB4">
        <w:rPr>
          <w:rFonts w:ascii="Times New Roman" w:hAnsi="Times New Roman"/>
          <w:sz w:val="24"/>
          <w:szCs w:val="24"/>
        </w:rPr>
        <w:t>A</w:t>
      </w:r>
      <w:r w:rsidR="006B40BD">
        <w:rPr>
          <w:rFonts w:ascii="Times New Roman" w:hAnsi="Times New Roman"/>
          <w:sz w:val="24"/>
          <w:szCs w:val="24"/>
        </w:rPr>
        <w:t xml:space="preserve">n application </w:t>
      </w:r>
      <w:r w:rsidR="00BD747D">
        <w:rPr>
          <w:rFonts w:ascii="Times New Roman" w:hAnsi="Times New Roman"/>
          <w:sz w:val="24"/>
          <w:szCs w:val="24"/>
        </w:rPr>
        <w:t>will</w:t>
      </w:r>
      <w:r w:rsidR="006B40BD">
        <w:rPr>
          <w:rFonts w:ascii="Times New Roman" w:hAnsi="Times New Roman"/>
          <w:sz w:val="24"/>
          <w:szCs w:val="24"/>
        </w:rPr>
        <w:t xml:space="preserve"> be considered to have been decided by the relevant authority once the authority issues the instrument for the permit.</w:t>
      </w:r>
    </w:p>
    <w:p w14:paraId="2EE25CC2" w14:textId="282804E4" w:rsidR="006B40BD" w:rsidRDefault="003B3D86" w:rsidP="00814991">
      <w:pPr>
        <w:spacing w:after="240" w:line="276" w:lineRule="auto"/>
        <w:rPr>
          <w:rFonts w:ascii="Times New Roman" w:hAnsi="Times New Roman"/>
          <w:sz w:val="24"/>
          <w:szCs w:val="24"/>
        </w:rPr>
      </w:pPr>
      <w:r>
        <w:rPr>
          <w:rFonts w:ascii="Times New Roman" w:hAnsi="Times New Roman"/>
          <w:sz w:val="24"/>
          <w:szCs w:val="24"/>
        </w:rPr>
        <w:t>An</w:t>
      </w:r>
      <w:r w:rsidR="006B40BD">
        <w:rPr>
          <w:rFonts w:ascii="Times New Roman" w:hAnsi="Times New Roman"/>
          <w:sz w:val="24"/>
          <w:szCs w:val="24"/>
        </w:rPr>
        <w:t xml:space="preserve"> application </w:t>
      </w:r>
      <w:r w:rsidR="00BD747D">
        <w:rPr>
          <w:rFonts w:ascii="Times New Roman" w:hAnsi="Times New Roman"/>
          <w:sz w:val="24"/>
          <w:szCs w:val="24"/>
        </w:rPr>
        <w:t>will</w:t>
      </w:r>
      <w:r>
        <w:rPr>
          <w:rFonts w:ascii="Times New Roman" w:hAnsi="Times New Roman"/>
          <w:sz w:val="24"/>
          <w:szCs w:val="24"/>
        </w:rPr>
        <w:t xml:space="preserve"> be </w:t>
      </w:r>
      <w:r w:rsidR="006B40BD">
        <w:rPr>
          <w:rFonts w:ascii="Times New Roman" w:hAnsi="Times New Roman"/>
          <w:sz w:val="24"/>
          <w:szCs w:val="24"/>
        </w:rPr>
        <w:t xml:space="preserve">taken to </w:t>
      </w:r>
      <w:r w:rsidR="00683D7F">
        <w:rPr>
          <w:rFonts w:ascii="Times New Roman" w:hAnsi="Times New Roman"/>
          <w:sz w:val="24"/>
          <w:szCs w:val="24"/>
        </w:rPr>
        <w:t>be</w:t>
      </w:r>
      <w:r w:rsidR="006B40BD">
        <w:rPr>
          <w:rFonts w:ascii="Times New Roman" w:hAnsi="Times New Roman"/>
          <w:sz w:val="24"/>
          <w:szCs w:val="24"/>
        </w:rPr>
        <w:t xml:space="preserve"> withdrawn by the applicant if the relevant authority asks the applicant for information or consent, and the application does not provide the information or consent within six months of the authority’s request</w:t>
      </w:r>
      <w:r w:rsidR="0040617C">
        <w:rPr>
          <w:rFonts w:ascii="Times New Roman" w:hAnsi="Times New Roman"/>
          <w:sz w:val="24"/>
          <w:szCs w:val="24"/>
        </w:rPr>
        <w:t xml:space="preserve"> (</w:t>
      </w:r>
      <w:proofErr w:type="spellStart"/>
      <w:r w:rsidR="0040617C">
        <w:rPr>
          <w:rFonts w:ascii="Times New Roman" w:hAnsi="Times New Roman"/>
          <w:sz w:val="24"/>
          <w:szCs w:val="24"/>
        </w:rPr>
        <w:t>subregulation</w:t>
      </w:r>
      <w:proofErr w:type="spellEnd"/>
      <w:r w:rsidR="0040617C">
        <w:rPr>
          <w:rFonts w:ascii="Times New Roman" w:hAnsi="Times New Roman"/>
          <w:sz w:val="24"/>
          <w:szCs w:val="24"/>
        </w:rPr>
        <w:t xml:space="preserve"> 313(5))</w:t>
      </w:r>
      <w:r w:rsidR="006B40BD">
        <w:rPr>
          <w:rFonts w:ascii="Times New Roman" w:hAnsi="Times New Roman"/>
          <w:sz w:val="24"/>
          <w:szCs w:val="24"/>
        </w:rPr>
        <w:t>.</w:t>
      </w:r>
    </w:p>
    <w:p w14:paraId="40479809" w14:textId="29DF301E" w:rsidR="006B40BD" w:rsidRPr="0030326B" w:rsidRDefault="00BD747D" w:rsidP="00814991">
      <w:pPr>
        <w:spacing w:after="240" w:line="276" w:lineRule="auto"/>
        <w:rPr>
          <w:rFonts w:ascii="Times New Roman" w:hAnsi="Times New Roman"/>
          <w:sz w:val="24"/>
          <w:szCs w:val="24"/>
        </w:rPr>
      </w:pPr>
      <w:proofErr w:type="spellStart"/>
      <w:r>
        <w:rPr>
          <w:rFonts w:ascii="Times New Roman" w:hAnsi="Times New Roman"/>
          <w:sz w:val="24"/>
          <w:szCs w:val="24"/>
        </w:rPr>
        <w:t>S</w:t>
      </w:r>
      <w:r w:rsidR="006B40BD">
        <w:rPr>
          <w:rFonts w:ascii="Times New Roman" w:hAnsi="Times New Roman"/>
          <w:sz w:val="24"/>
          <w:szCs w:val="24"/>
        </w:rPr>
        <w:t>ubregulation</w:t>
      </w:r>
      <w:proofErr w:type="spellEnd"/>
      <w:r w:rsidR="006B40BD">
        <w:rPr>
          <w:rFonts w:ascii="Times New Roman" w:hAnsi="Times New Roman"/>
          <w:sz w:val="24"/>
          <w:szCs w:val="24"/>
        </w:rPr>
        <w:t xml:space="preserve"> 313(6) </w:t>
      </w:r>
      <w:r>
        <w:rPr>
          <w:rFonts w:ascii="Times New Roman" w:hAnsi="Times New Roman"/>
          <w:sz w:val="24"/>
          <w:szCs w:val="24"/>
        </w:rPr>
        <w:t>clarifies</w:t>
      </w:r>
      <w:r w:rsidR="0092404D">
        <w:rPr>
          <w:rFonts w:ascii="Times New Roman" w:hAnsi="Times New Roman"/>
          <w:sz w:val="24"/>
          <w:szCs w:val="24"/>
        </w:rPr>
        <w:t xml:space="preserve"> </w:t>
      </w:r>
      <w:r w:rsidR="006B40BD">
        <w:rPr>
          <w:rFonts w:ascii="Times New Roman" w:hAnsi="Times New Roman"/>
          <w:sz w:val="24"/>
          <w:szCs w:val="24"/>
        </w:rPr>
        <w:t>that an application fee is not refundable if the applicant withdraws the application, or the application is taken to have been withdrawn</w:t>
      </w:r>
      <w:r w:rsidR="00683D7F">
        <w:rPr>
          <w:rFonts w:ascii="Times New Roman" w:hAnsi="Times New Roman"/>
          <w:sz w:val="24"/>
          <w:szCs w:val="24"/>
        </w:rPr>
        <w:t>, unless the circumstances outlined in item 54 apply</w:t>
      </w:r>
      <w:r w:rsidR="006B40BD">
        <w:rPr>
          <w:rFonts w:ascii="Times New Roman" w:hAnsi="Times New Roman"/>
          <w:sz w:val="24"/>
          <w:szCs w:val="24"/>
        </w:rPr>
        <w:t>.</w:t>
      </w:r>
    </w:p>
    <w:p w14:paraId="7FEC0554" w14:textId="5B8EC9CD" w:rsidR="008D0474" w:rsidRDefault="0040617C" w:rsidP="00814991">
      <w:pPr>
        <w:spacing w:after="240" w:line="276" w:lineRule="auto"/>
        <w:rPr>
          <w:rFonts w:ascii="Times New Roman" w:hAnsi="Times New Roman"/>
          <w:sz w:val="24"/>
          <w:szCs w:val="24"/>
        </w:rPr>
      </w:pPr>
      <w:r>
        <w:rPr>
          <w:rFonts w:ascii="Times New Roman" w:hAnsi="Times New Roman"/>
          <w:sz w:val="24"/>
          <w:szCs w:val="24"/>
        </w:rPr>
        <w:lastRenderedPageBreak/>
        <w:t xml:space="preserve">The provisions in Item 53 </w:t>
      </w:r>
      <w:r w:rsidR="008D0474">
        <w:rPr>
          <w:rFonts w:ascii="Times New Roman" w:hAnsi="Times New Roman"/>
          <w:sz w:val="24"/>
          <w:szCs w:val="24"/>
        </w:rPr>
        <w:t>are equivalent to</w:t>
      </w:r>
      <w:r w:rsidR="002E0D5E">
        <w:rPr>
          <w:rFonts w:ascii="Times New Roman" w:hAnsi="Times New Roman"/>
          <w:sz w:val="24"/>
          <w:szCs w:val="24"/>
        </w:rPr>
        <w:t xml:space="preserve"> </w:t>
      </w:r>
      <w:r w:rsidR="00316301">
        <w:rPr>
          <w:rFonts w:ascii="Times New Roman" w:hAnsi="Times New Roman"/>
          <w:sz w:val="24"/>
          <w:szCs w:val="24"/>
        </w:rPr>
        <w:t xml:space="preserve">those </w:t>
      </w:r>
      <w:r w:rsidR="00E93F0A">
        <w:rPr>
          <w:rFonts w:ascii="Times New Roman" w:hAnsi="Times New Roman"/>
          <w:sz w:val="24"/>
          <w:szCs w:val="24"/>
        </w:rPr>
        <w:t xml:space="preserve">existing and </w:t>
      </w:r>
      <w:r w:rsidR="00BD747D">
        <w:rPr>
          <w:rFonts w:ascii="Times New Roman" w:hAnsi="Times New Roman"/>
          <w:sz w:val="24"/>
          <w:szCs w:val="24"/>
        </w:rPr>
        <w:t>amended</w:t>
      </w:r>
      <w:r w:rsidR="00E93F0A">
        <w:rPr>
          <w:rFonts w:ascii="Times New Roman" w:hAnsi="Times New Roman"/>
          <w:sz w:val="24"/>
          <w:szCs w:val="24"/>
        </w:rPr>
        <w:t xml:space="preserve"> </w:t>
      </w:r>
      <w:r w:rsidR="00316301">
        <w:rPr>
          <w:rFonts w:ascii="Times New Roman" w:hAnsi="Times New Roman"/>
          <w:sz w:val="24"/>
          <w:szCs w:val="24"/>
        </w:rPr>
        <w:t xml:space="preserve">under </w:t>
      </w:r>
      <w:r w:rsidR="00FD2822">
        <w:rPr>
          <w:rFonts w:ascii="Times New Roman" w:hAnsi="Times New Roman"/>
          <w:sz w:val="24"/>
          <w:szCs w:val="24"/>
        </w:rPr>
        <w:t xml:space="preserve">regulation 121A, and </w:t>
      </w:r>
      <w:r w:rsidR="00BD747D">
        <w:rPr>
          <w:rFonts w:ascii="Times New Roman" w:hAnsi="Times New Roman"/>
          <w:sz w:val="24"/>
          <w:szCs w:val="24"/>
        </w:rPr>
        <w:t>will</w:t>
      </w:r>
      <w:r w:rsidR="008D0474">
        <w:rPr>
          <w:rFonts w:ascii="Times New Roman" w:hAnsi="Times New Roman"/>
          <w:sz w:val="24"/>
          <w:szCs w:val="24"/>
        </w:rPr>
        <w:t xml:space="preserve"> </w:t>
      </w:r>
      <w:r w:rsidR="00FD2822">
        <w:rPr>
          <w:rFonts w:ascii="Times New Roman" w:hAnsi="Times New Roman"/>
          <w:sz w:val="24"/>
          <w:szCs w:val="24"/>
        </w:rPr>
        <w:t>allow the fire protection</w:t>
      </w:r>
      <w:r w:rsidR="008D0474">
        <w:rPr>
          <w:rFonts w:ascii="Times New Roman" w:hAnsi="Times New Roman"/>
          <w:sz w:val="24"/>
          <w:szCs w:val="24"/>
        </w:rPr>
        <w:t xml:space="preserve"> </w:t>
      </w:r>
      <w:r w:rsidR="00FD2822">
        <w:rPr>
          <w:rFonts w:ascii="Times New Roman" w:hAnsi="Times New Roman"/>
          <w:sz w:val="24"/>
          <w:szCs w:val="24"/>
        </w:rPr>
        <w:t xml:space="preserve">permit </w:t>
      </w:r>
      <w:r w:rsidR="008D0474">
        <w:rPr>
          <w:rFonts w:ascii="Times New Roman" w:hAnsi="Times New Roman"/>
          <w:sz w:val="24"/>
          <w:szCs w:val="24"/>
        </w:rPr>
        <w:t>s</w:t>
      </w:r>
      <w:r w:rsidR="00FD2822">
        <w:rPr>
          <w:rFonts w:ascii="Times New Roman" w:hAnsi="Times New Roman"/>
          <w:sz w:val="24"/>
          <w:szCs w:val="24"/>
        </w:rPr>
        <w:t>cheme</w:t>
      </w:r>
      <w:r w:rsidR="008D0474">
        <w:rPr>
          <w:rFonts w:ascii="Times New Roman" w:hAnsi="Times New Roman"/>
          <w:sz w:val="24"/>
          <w:szCs w:val="24"/>
        </w:rPr>
        <w:t xml:space="preserve"> to operate consistently</w:t>
      </w:r>
      <w:r w:rsidR="00FD2822">
        <w:rPr>
          <w:rFonts w:ascii="Times New Roman" w:hAnsi="Times New Roman"/>
          <w:sz w:val="24"/>
          <w:szCs w:val="24"/>
        </w:rPr>
        <w:t xml:space="preserve"> with the RAC permit scheme</w:t>
      </w:r>
      <w:r w:rsidR="008D0474">
        <w:rPr>
          <w:rFonts w:ascii="Times New Roman" w:hAnsi="Times New Roman"/>
          <w:sz w:val="24"/>
          <w:szCs w:val="24"/>
        </w:rPr>
        <w:t>.</w:t>
      </w:r>
    </w:p>
    <w:p w14:paraId="443A39DD" w14:textId="22B376CA" w:rsidR="006B40BD" w:rsidRPr="00F61789" w:rsidRDefault="00F61789" w:rsidP="00814991">
      <w:pPr>
        <w:spacing w:after="240" w:line="276" w:lineRule="auto"/>
        <w:rPr>
          <w:rFonts w:ascii="Times New Roman" w:hAnsi="Times New Roman"/>
          <w:b/>
          <w:sz w:val="24"/>
          <w:szCs w:val="24"/>
        </w:rPr>
      </w:pPr>
      <w:r w:rsidRPr="00F61789">
        <w:rPr>
          <w:rFonts w:ascii="Times New Roman" w:hAnsi="Times New Roman"/>
          <w:b/>
          <w:sz w:val="24"/>
          <w:szCs w:val="24"/>
        </w:rPr>
        <w:t>Part 7 – Application and transitional provisions</w:t>
      </w:r>
    </w:p>
    <w:p w14:paraId="5178BAF4" w14:textId="7090910D" w:rsidR="000C576E" w:rsidRDefault="00F61789" w:rsidP="00814991">
      <w:pPr>
        <w:spacing w:after="240" w:line="276" w:lineRule="auto"/>
        <w:rPr>
          <w:rFonts w:ascii="Times New Roman" w:hAnsi="Times New Roman"/>
          <w:sz w:val="24"/>
          <w:szCs w:val="24"/>
        </w:rPr>
      </w:pPr>
      <w:r w:rsidRPr="00F61789">
        <w:rPr>
          <w:rFonts w:ascii="Times New Roman" w:hAnsi="Times New Roman"/>
          <w:sz w:val="24"/>
          <w:szCs w:val="24"/>
        </w:rPr>
        <w:t>Part 7</w:t>
      </w:r>
      <w:r w:rsidR="000C576E">
        <w:rPr>
          <w:rFonts w:ascii="Times New Roman" w:hAnsi="Times New Roman"/>
          <w:sz w:val="24"/>
          <w:szCs w:val="24"/>
        </w:rPr>
        <w:t xml:space="preserve"> insert</w:t>
      </w:r>
      <w:r w:rsidR="00BD747D">
        <w:rPr>
          <w:rFonts w:ascii="Times New Roman" w:hAnsi="Times New Roman"/>
          <w:sz w:val="24"/>
          <w:szCs w:val="24"/>
        </w:rPr>
        <w:t>s</w:t>
      </w:r>
      <w:r w:rsidR="000C576E">
        <w:rPr>
          <w:rFonts w:ascii="Times New Roman" w:hAnsi="Times New Roman"/>
          <w:sz w:val="24"/>
          <w:szCs w:val="24"/>
        </w:rPr>
        <w:t xml:space="preserve"> application and transitional provisions.</w:t>
      </w:r>
    </w:p>
    <w:p w14:paraId="4BD9D98B" w14:textId="77777777" w:rsidR="00F61789" w:rsidRDefault="00F61789" w:rsidP="00814991">
      <w:pPr>
        <w:spacing w:after="240" w:line="276" w:lineRule="auto"/>
        <w:rPr>
          <w:rFonts w:ascii="Times New Roman" w:hAnsi="Times New Roman"/>
          <w:sz w:val="24"/>
          <w:szCs w:val="24"/>
        </w:rPr>
      </w:pPr>
      <w:r>
        <w:rPr>
          <w:rFonts w:ascii="Times New Roman" w:hAnsi="Times New Roman"/>
          <w:sz w:val="24"/>
          <w:szCs w:val="24"/>
          <w:u w:val="single"/>
        </w:rPr>
        <w:t>Item 57</w:t>
      </w:r>
      <w:r w:rsidR="000C576E" w:rsidRPr="000C576E">
        <w:rPr>
          <w:rFonts w:ascii="Times New Roman" w:hAnsi="Times New Roman"/>
          <w:sz w:val="24"/>
          <w:szCs w:val="24"/>
        </w:rPr>
        <w:t xml:space="preserve"> </w:t>
      </w:r>
    </w:p>
    <w:p w14:paraId="1AC858F6" w14:textId="3C2EE723" w:rsidR="000C576E" w:rsidRPr="000C576E" w:rsidRDefault="00F61789" w:rsidP="00814991">
      <w:pPr>
        <w:spacing w:after="240" w:line="276" w:lineRule="auto"/>
        <w:rPr>
          <w:rFonts w:ascii="Times New Roman" w:hAnsi="Times New Roman"/>
          <w:sz w:val="24"/>
          <w:szCs w:val="24"/>
        </w:rPr>
      </w:pPr>
      <w:r>
        <w:rPr>
          <w:rFonts w:ascii="Times New Roman" w:hAnsi="Times New Roman"/>
          <w:sz w:val="24"/>
          <w:szCs w:val="24"/>
        </w:rPr>
        <w:t xml:space="preserve">Item 57 </w:t>
      </w:r>
      <w:r w:rsidR="000C576E" w:rsidRPr="000C576E">
        <w:rPr>
          <w:rFonts w:ascii="Times New Roman" w:hAnsi="Times New Roman"/>
          <w:sz w:val="24"/>
          <w:szCs w:val="24"/>
        </w:rPr>
        <w:t>insert</w:t>
      </w:r>
      <w:r w:rsidR="00BD747D">
        <w:rPr>
          <w:rFonts w:ascii="Times New Roman" w:hAnsi="Times New Roman"/>
          <w:sz w:val="24"/>
          <w:szCs w:val="24"/>
        </w:rPr>
        <w:t>s</w:t>
      </w:r>
      <w:r w:rsidR="000C576E" w:rsidRPr="000C576E">
        <w:rPr>
          <w:rFonts w:ascii="Times New Roman" w:hAnsi="Times New Roman"/>
          <w:sz w:val="24"/>
          <w:szCs w:val="24"/>
        </w:rPr>
        <w:t xml:space="preserve"> </w:t>
      </w:r>
      <w:bookmarkStart w:id="1" w:name="_Toc22546587"/>
      <w:r w:rsidR="009917A8">
        <w:rPr>
          <w:rFonts w:ascii="Times New Roman" w:hAnsi="Times New Roman"/>
          <w:sz w:val="24"/>
          <w:szCs w:val="24"/>
        </w:rPr>
        <w:t>a new division -</w:t>
      </w:r>
      <w:r w:rsidR="000C576E">
        <w:rPr>
          <w:rFonts w:ascii="Times New Roman" w:hAnsi="Times New Roman"/>
          <w:sz w:val="24"/>
          <w:szCs w:val="24"/>
        </w:rPr>
        <w:t>‘</w:t>
      </w:r>
      <w:r w:rsidR="000C576E" w:rsidRPr="000C576E">
        <w:rPr>
          <w:rFonts w:ascii="Times New Roman" w:hAnsi="Times New Roman"/>
          <w:sz w:val="24"/>
          <w:szCs w:val="24"/>
        </w:rPr>
        <w:t>Division 6—Amendments made by the Ozone Protection and Synthetic Greenhouse Gas Management Amendment (2019 Measures No. 1) Regulations 2019</w:t>
      </w:r>
      <w:bookmarkEnd w:id="1"/>
      <w:r w:rsidR="000C576E">
        <w:rPr>
          <w:rFonts w:ascii="Times New Roman" w:hAnsi="Times New Roman"/>
          <w:sz w:val="24"/>
          <w:szCs w:val="24"/>
        </w:rPr>
        <w:t>’</w:t>
      </w:r>
    </w:p>
    <w:p w14:paraId="71789F74" w14:textId="3AB62F77" w:rsidR="000C576E" w:rsidRDefault="00BD747D" w:rsidP="00814991">
      <w:pPr>
        <w:spacing w:after="240" w:line="276" w:lineRule="auto"/>
        <w:rPr>
          <w:rFonts w:ascii="Times New Roman" w:hAnsi="Times New Roman"/>
          <w:sz w:val="24"/>
          <w:szCs w:val="24"/>
        </w:rPr>
      </w:pPr>
      <w:r>
        <w:rPr>
          <w:rFonts w:ascii="Times New Roman" w:hAnsi="Times New Roman"/>
          <w:sz w:val="24"/>
          <w:szCs w:val="24"/>
        </w:rPr>
        <w:t>R</w:t>
      </w:r>
      <w:r w:rsidR="000C576E">
        <w:rPr>
          <w:rFonts w:ascii="Times New Roman" w:hAnsi="Times New Roman"/>
          <w:sz w:val="24"/>
          <w:szCs w:val="24"/>
        </w:rPr>
        <w:t xml:space="preserve">egulation 968 </w:t>
      </w:r>
      <w:r w:rsidR="009917A8">
        <w:rPr>
          <w:rFonts w:ascii="Times New Roman" w:hAnsi="Times New Roman"/>
          <w:sz w:val="24"/>
          <w:szCs w:val="24"/>
        </w:rPr>
        <w:t>set</w:t>
      </w:r>
      <w:r>
        <w:rPr>
          <w:rFonts w:ascii="Times New Roman" w:hAnsi="Times New Roman"/>
          <w:sz w:val="24"/>
          <w:szCs w:val="24"/>
        </w:rPr>
        <w:t>s</w:t>
      </w:r>
      <w:r w:rsidR="009917A8">
        <w:rPr>
          <w:rFonts w:ascii="Times New Roman" w:hAnsi="Times New Roman"/>
          <w:sz w:val="24"/>
          <w:szCs w:val="24"/>
        </w:rPr>
        <w:t xml:space="preserve"> out</w:t>
      </w:r>
      <w:r w:rsidR="000C576E">
        <w:rPr>
          <w:rFonts w:ascii="Times New Roman" w:hAnsi="Times New Roman"/>
          <w:sz w:val="24"/>
          <w:szCs w:val="24"/>
        </w:rPr>
        <w:t xml:space="preserve"> a definition of ‘</w:t>
      </w:r>
      <w:r w:rsidR="000C576E" w:rsidRPr="009917A8">
        <w:rPr>
          <w:rFonts w:ascii="Times New Roman" w:hAnsi="Times New Roman"/>
          <w:b/>
          <w:i/>
          <w:sz w:val="24"/>
          <w:szCs w:val="24"/>
        </w:rPr>
        <w:t>amending regulations</w:t>
      </w:r>
      <w:r w:rsidR="000C576E" w:rsidRPr="009917A8">
        <w:rPr>
          <w:rFonts w:ascii="Times New Roman" w:hAnsi="Times New Roman"/>
          <w:sz w:val="24"/>
          <w:szCs w:val="24"/>
        </w:rPr>
        <w:t>’</w:t>
      </w:r>
      <w:r w:rsidR="000C576E">
        <w:rPr>
          <w:rFonts w:ascii="Times New Roman" w:hAnsi="Times New Roman"/>
          <w:sz w:val="24"/>
          <w:szCs w:val="24"/>
        </w:rPr>
        <w:t xml:space="preserve"> for the purposes of the </w:t>
      </w:r>
      <w:r w:rsidR="00733CFF">
        <w:rPr>
          <w:rFonts w:ascii="Times New Roman" w:hAnsi="Times New Roman"/>
          <w:sz w:val="24"/>
          <w:szCs w:val="24"/>
        </w:rPr>
        <w:t>D</w:t>
      </w:r>
      <w:r w:rsidR="000C576E">
        <w:rPr>
          <w:rFonts w:ascii="Times New Roman" w:hAnsi="Times New Roman"/>
          <w:sz w:val="24"/>
          <w:szCs w:val="24"/>
        </w:rPr>
        <w:t>ivision</w:t>
      </w:r>
      <w:r w:rsidR="00733CFF">
        <w:rPr>
          <w:rFonts w:ascii="Times New Roman" w:hAnsi="Times New Roman"/>
          <w:sz w:val="24"/>
          <w:szCs w:val="24"/>
        </w:rPr>
        <w:t xml:space="preserve"> 6</w:t>
      </w:r>
      <w:r w:rsidR="00840B84">
        <w:rPr>
          <w:rFonts w:ascii="Times New Roman" w:hAnsi="Times New Roman"/>
          <w:sz w:val="24"/>
          <w:szCs w:val="24"/>
        </w:rPr>
        <w:t>.</w:t>
      </w:r>
    </w:p>
    <w:p w14:paraId="7924DF1D" w14:textId="46767E31" w:rsidR="007052DE" w:rsidRPr="007052DE" w:rsidRDefault="007052DE" w:rsidP="00814991">
      <w:pPr>
        <w:spacing w:after="240" w:line="276" w:lineRule="auto"/>
        <w:rPr>
          <w:rFonts w:ascii="Times New Roman" w:hAnsi="Times New Roman"/>
          <w:i/>
          <w:sz w:val="24"/>
          <w:szCs w:val="24"/>
        </w:rPr>
      </w:pPr>
      <w:r w:rsidRPr="007052DE">
        <w:rPr>
          <w:rFonts w:ascii="Times New Roman" w:hAnsi="Times New Roman"/>
          <w:i/>
          <w:sz w:val="24"/>
          <w:szCs w:val="24"/>
        </w:rPr>
        <w:t>Prohibited refrigerant charging</w:t>
      </w:r>
    </w:p>
    <w:p w14:paraId="0710BE29" w14:textId="331FBC5A" w:rsidR="000C576E" w:rsidRDefault="00BD747D" w:rsidP="00814991">
      <w:pPr>
        <w:spacing w:after="240" w:line="276" w:lineRule="auto"/>
        <w:rPr>
          <w:rFonts w:ascii="Times New Roman" w:hAnsi="Times New Roman"/>
          <w:sz w:val="24"/>
          <w:szCs w:val="24"/>
        </w:rPr>
      </w:pPr>
      <w:r>
        <w:rPr>
          <w:rFonts w:ascii="Times New Roman" w:hAnsi="Times New Roman"/>
          <w:sz w:val="24"/>
          <w:szCs w:val="24"/>
        </w:rPr>
        <w:t>R</w:t>
      </w:r>
      <w:r w:rsidR="007052DE">
        <w:rPr>
          <w:rFonts w:ascii="Times New Roman" w:hAnsi="Times New Roman"/>
          <w:sz w:val="24"/>
          <w:szCs w:val="24"/>
        </w:rPr>
        <w:t>egulation 969</w:t>
      </w:r>
      <w:r w:rsidR="00A64E5C">
        <w:rPr>
          <w:rFonts w:ascii="Times New Roman" w:hAnsi="Times New Roman"/>
          <w:sz w:val="24"/>
          <w:szCs w:val="24"/>
        </w:rPr>
        <w:t>(1)</w:t>
      </w:r>
      <w:r w:rsidR="007052DE">
        <w:rPr>
          <w:rFonts w:ascii="Times New Roman" w:hAnsi="Times New Roman"/>
          <w:sz w:val="24"/>
          <w:szCs w:val="24"/>
        </w:rPr>
        <w:t xml:space="preserve"> </w:t>
      </w:r>
      <w:r w:rsidR="00733CFF">
        <w:rPr>
          <w:rFonts w:ascii="Times New Roman" w:hAnsi="Times New Roman"/>
          <w:sz w:val="24"/>
          <w:szCs w:val="24"/>
        </w:rPr>
        <w:t>make</w:t>
      </w:r>
      <w:r>
        <w:rPr>
          <w:rFonts w:ascii="Times New Roman" w:hAnsi="Times New Roman"/>
          <w:sz w:val="24"/>
          <w:szCs w:val="24"/>
        </w:rPr>
        <w:t>s</w:t>
      </w:r>
      <w:r w:rsidR="00733CFF">
        <w:rPr>
          <w:rFonts w:ascii="Times New Roman" w:hAnsi="Times New Roman"/>
          <w:sz w:val="24"/>
          <w:szCs w:val="24"/>
        </w:rPr>
        <w:t xml:space="preserve"> clear</w:t>
      </w:r>
      <w:r w:rsidR="007052DE">
        <w:rPr>
          <w:rFonts w:ascii="Times New Roman" w:hAnsi="Times New Roman"/>
          <w:sz w:val="24"/>
          <w:szCs w:val="24"/>
        </w:rPr>
        <w:t xml:space="preserve"> that regulation 111A (prohibited refrigerant charging) applies to prohibited refrigerant charging on or after 1 January 2020, irrespective of whether the equipment was manufactured before, on or after 1 January 2020. That is, </w:t>
      </w:r>
      <w:r w:rsidR="005244A9">
        <w:rPr>
          <w:rFonts w:ascii="Times New Roman" w:hAnsi="Times New Roman"/>
          <w:sz w:val="24"/>
          <w:szCs w:val="24"/>
        </w:rPr>
        <w:t xml:space="preserve">the </w:t>
      </w:r>
      <w:r w:rsidR="007052DE">
        <w:rPr>
          <w:rFonts w:ascii="Times New Roman" w:hAnsi="Times New Roman"/>
          <w:sz w:val="24"/>
          <w:szCs w:val="24"/>
        </w:rPr>
        <w:t xml:space="preserve">prohibited refrigerant charging </w:t>
      </w:r>
      <w:r w:rsidR="005244A9">
        <w:rPr>
          <w:rFonts w:ascii="Times New Roman" w:hAnsi="Times New Roman"/>
          <w:sz w:val="24"/>
          <w:szCs w:val="24"/>
        </w:rPr>
        <w:t xml:space="preserve">offence </w:t>
      </w:r>
      <w:r>
        <w:rPr>
          <w:rFonts w:ascii="Times New Roman" w:hAnsi="Times New Roman"/>
          <w:sz w:val="24"/>
          <w:szCs w:val="24"/>
        </w:rPr>
        <w:t>applies</w:t>
      </w:r>
      <w:r w:rsidR="007052DE">
        <w:rPr>
          <w:rFonts w:ascii="Times New Roman" w:hAnsi="Times New Roman"/>
          <w:sz w:val="24"/>
          <w:szCs w:val="24"/>
        </w:rPr>
        <w:t xml:space="preserve"> to new or </w:t>
      </w:r>
      <w:r w:rsidR="00733CFF">
        <w:rPr>
          <w:rFonts w:ascii="Times New Roman" w:hAnsi="Times New Roman"/>
          <w:sz w:val="24"/>
          <w:szCs w:val="24"/>
        </w:rPr>
        <w:t>existing</w:t>
      </w:r>
      <w:r w:rsidR="007052DE">
        <w:rPr>
          <w:rFonts w:ascii="Times New Roman" w:hAnsi="Times New Roman"/>
          <w:sz w:val="24"/>
          <w:szCs w:val="24"/>
        </w:rPr>
        <w:t xml:space="preserve"> equipment.</w:t>
      </w:r>
    </w:p>
    <w:p w14:paraId="115C6292" w14:textId="0F724B5D" w:rsidR="00A64E5C" w:rsidRDefault="00CE4168" w:rsidP="00814991">
      <w:pPr>
        <w:spacing w:after="240" w:line="276" w:lineRule="auto"/>
        <w:rPr>
          <w:rFonts w:ascii="Times New Roman" w:hAnsi="Times New Roman"/>
          <w:sz w:val="24"/>
          <w:szCs w:val="24"/>
        </w:rPr>
      </w:pPr>
      <w:r>
        <w:rPr>
          <w:rFonts w:ascii="Times New Roman" w:hAnsi="Times New Roman"/>
          <w:sz w:val="24"/>
          <w:szCs w:val="24"/>
        </w:rPr>
        <w:t>R</w:t>
      </w:r>
      <w:r w:rsidR="00D874DC">
        <w:rPr>
          <w:rFonts w:ascii="Times New Roman" w:hAnsi="Times New Roman"/>
          <w:sz w:val="24"/>
          <w:szCs w:val="24"/>
        </w:rPr>
        <w:t>egulation 969(2)</w:t>
      </w:r>
      <w:r w:rsidR="00733CFF">
        <w:rPr>
          <w:rFonts w:ascii="Times New Roman" w:hAnsi="Times New Roman"/>
          <w:sz w:val="24"/>
          <w:szCs w:val="24"/>
        </w:rPr>
        <w:t xml:space="preserve"> make</w:t>
      </w:r>
      <w:r w:rsidR="00BD747D">
        <w:rPr>
          <w:rFonts w:ascii="Times New Roman" w:hAnsi="Times New Roman"/>
          <w:sz w:val="24"/>
          <w:szCs w:val="24"/>
        </w:rPr>
        <w:t>s</w:t>
      </w:r>
      <w:r w:rsidR="00733CFF">
        <w:rPr>
          <w:rFonts w:ascii="Times New Roman" w:hAnsi="Times New Roman"/>
          <w:sz w:val="24"/>
          <w:szCs w:val="24"/>
        </w:rPr>
        <w:t xml:space="preserve"> clear that the new condition on a refrigerant handling licence added by </w:t>
      </w:r>
      <w:proofErr w:type="spellStart"/>
      <w:r w:rsidR="00733CFF">
        <w:rPr>
          <w:rFonts w:ascii="Times New Roman" w:hAnsi="Times New Roman"/>
          <w:sz w:val="24"/>
          <w:szCs w:val="24"/>
        </w:rPr>
        <w:t>subregulation</w:t>
      </w:r>
      <w:proofErr w:type="spellEnd"/>
      <w:r w:rsidR="00733CFF">
        <w:rPr>
          <w:rFonts w:ascii="Times New Roman" w:hAnsi="Times New Roman"/>
          <w:sz w:val="24"/>
          <w:szCs w:val="24"/>
        </w:rPr>
        <w:t xml:space="preserve"> 135(1</w:t>
      </w:r>
      <w:proofErr w:type="gramStart"/>
      <w:r w:rsidR="00733CFF">
        <w:rPr>
          <w:rFonts w:ascii="Times New Roman" w:hAnsi="Times New Roman"/>
          <w:sz w:val="24"/>
          <w:szCs w:val="24"/>
        </w:rPr>
        <w:t>)(</w:t>
      </w:r>
      <w:proofErr w:type="spellStart"/>
      <w:proofErr w:type="gramEnd"/>
      <w:r w:rsidR="00733CFF">
        <w:rPr>
          <w:rFonts w:ascii="Times New Roman" w:hAnsi="Times New Roman"/>
          <w:sz w:val="24"/>
          <w:szCs w:val="24"/>
        </w:rPr>
        <w:t>ba</w:t>
      </w:r>
      <w:proofErr w:type="spellEnd"/>
      <w:r w:rsidR="00733CFF">
        <w:rPr>
          <w:rFonts w:ascii="Times New Roman" w:hAnsi="Times New Roman"/>
          <w:sz w:val="24"/>
          <w:szCs w:val="24"/>
        </w:rPr>
        <w:t>),</w:t>
      </w:r>
      <w:r w:rsidR="00A64E5C">
        <w:rPr>
          <w:rFonts w:ascii="Times New Roman" w:hAnsi="Times New Roman"/>
          <w:sz w:val="24"/>
          <w:szCs w:val="24"/>
        </w:rPr>
        <w:t xml:space="preserve"> that the licensee does not engage in prohibited refrigerant charging</w:t>
      </w:r>
      <w:r w:rsidR="00733CFF">
        <w:rPr>
          <w:rFonts w:ascii="Times New Roman" w:hAnsi="Times New Roman"/>
          <w:sz w:val="24"/>
          <w:szCs w:val="24"/>
        </w:rPr>
        <w:t>, applies</w:t>
      </w:r>
      <w:r w:rsidR="00D874DC">
        <w:rPr>
          <w:rFonts w:ascii="Times New Roman" w:hAnsi="Times New Roman"/>
          <w:sz w:val="24"/>
          <w:szCs w:val="24"/>
        </w:rPr>
        <w:t xml:space="preserve"> on or after 1 January 2020</w:t>
      </w:r>
      <w:r w:rsidR="00A64E5C">
        <w:rPr>
          <w:rFonts w:ascii="Times New Roman" w:hAnsi="Times New Roman"/>
          <w:sz w:val="24"/>
          <w:szCs w:val="24"/>
        </w:rPr>
        <w:t xml:space="preserve"> </w:t>
      </w:r>
      <w:r w:rsidR="00D874DC">
        <w:rPr>
          <w:rFonts w:ascii="Times New Roman" w:hAnsi="Times New Roman"/>
          <w:sz w:val="24"/>
          <w:szCs w:val="24"/>
        </w:rPr>
        <w:t xml:space="preserve">irrespective of whether the equipment was manufactured before, on or after 1 January 2020, or the relevant licence was granted before, on or after 1 January 2020. That is, the prohibited refrigerant charging licence condition </w:t>
      </w:r>
      <w:r w:rsidR="00BD747D">
        <w:rPr>
          <w:rFonts w:ascii="Times New Roman" w:hAnsi="Times New Roman"/>
          <w:sz w:val="24"/>
          <w:szCs w:val="24"/>
        </w:rPr>
        <w:t>applies</w:t>
      </w:r>
      <w:r w:rsidR="00D874DC">
        <w:rPr>
          <w:rFonts w:ascii="Times New Roman" w:hAnsi="Times New Roman"/>
          <w:sz w:val="24"/>
          <w:szCs w:val="24"/>
        </w:rPr>
        <w:t xml:space="preserve"> to new or </w:t>
      </w:r>
      <w:r w:rsidR="00733CFF">
        <w:rPr>
          <w:rFonts w:ascii="Times New Roman" w:hAnsi="Times New Roman"/>
          <w:sz w:val="24"/>
          <w:szCs w:val="24"/>
        </w:rPr>
        <w:t>existing</w:t>
      </w:r>
      <w:r w:rsidR="00D874DC">
        <w:rPr>
          <w:rFonts w:ascii="Times New Roman" w:hAnsi="Times New Roman"/>
          <w:sz w:val="24"/>
          <w:szCs w:val="24"/>
        </w:rPr>
        <w:t xml:space="preserve"> equipment and new or </w:t>
      </w:r>
      <w:r w:rsidR="00733CFF">
        <w:rPr>
          <w:rFonts w:ascii="Times New Roman" w:hAnsi="Times New Roman"/>
          <w:sz w:val="24"/>
          <w:szCs w:val="24"/>
        </w:rPr>
        <w:t>existing</w:t>
      </w:r>
      <w:r w:rsidR="00D874DC">
        <w:rPr>
          <w:rFonts w:ascii="Times New Roman" w:hAnsi="Times New Roman"/>
          <w:sz w:val="24"/>
          <w:szCs w:val="24"/>
        </w:rPr>
        <w:t xml:space="preserve"> licences.</w:t>
      </w:r>
    </w:p>
    <w:p w14:paraId="4210E02A" w14:textId="099C9FA7" w:rsidR="00D874DC" w:rsidRDefault="00BD747D" w:rsidP="00814991">
      <w:pPr>
        <w:spacing w:after="240" w:line="276" w:lineRule="auto"/>
        <w:rPr>
          <w:rFonts w:ascii="Times New Roman" w:hAnsi="Times New Roman"/>
          <w:sz w:val="24"/>
          <w:szCs w:val="24"/>
        </w:rPr>
      </w:pPr>
      <w:r>
        <w:rPr>
          <w:rFonts w:ascii="Times New Roman" w:hAnsi="Times New Roman"/>
          <w:sz w:val="24"/>
          <w:szCs w:val="24"/>
        </w:rPr>
        <w:t>R</w:t>
      </w:r>
      <w:r w:rsidR="00733CFF">
        <w:rPr>
          <w:rFonts w:ascii="Times New Roman" w:hAnsi="Times New Roman"/>
          <w:sz w:val="24"/>
          <w:szCs w:val="24"/>
        </w:rPr>
        <w:t>egulation 969(3) make</w:t>
      </w:r>
      <w:r>
        <w:rPr>
          <w:rFonts w:ascii="Times New Roman" w:hAnsi="Times New Roman"/>
          <w:sz w:val="24"/>
          <w:szCs w:val="24"/>
        </w:rPr>
        <w:t>s</w:t>
      </w:r>
      <w:r w:rsidR="00733CFF">
        <w:rPr>
          <w:rFonts w:ascii="Times New Roman" w:hAnsi="Times New Roman"/>
          <w:sz w:val="24"/>
          <w:szCs w:val="24"/>
        </w:rPr>
        <w:t xml:space="preserve"> clear that the new condition on a refri</w:t>
      </w:r>
      <w:r>
        <w:rPr>
          <w:rFonts w:ascii="Times New Roman" w:hAnsi="Times New Roman"/>
          <w:sz w:val="24"/>
          <w:szCs w:val="24"/>
        </w:rPr>
        <w:t xml:space="preserve">gerant trading authorisation </w:t>
      </w:r>
      <w:r w:rsidR="00733CFF">
        <w:rPr>
          <w:rFonts w:ascii="Times New Roman" w:hAnsi="Times New Roman"/>
          <w:sz w:val="24"/>
          <w:szCs w:val="24"/>
        </w:rPr>
        <w:t xml:space="preserve">added by </w:t>
      </w:r>
      <w:proofErr w:type="spellStart"/>
      <w:r w:rsidR="00733CFF">
        <w:rPr>
          <w:rFonts w:ascii="Times New Roman" w:hAnsi="Times New Roman"/>
          <w:sz w:val="24"/>
          <w:szCs w:val="24"/>
        </w:rPr>
        <w:t>subregulation</w:t>
      </w:r>
      <w:proofErr w:type="spellEnd"/>
      <w:r w:rsidR="00733CFF">
        <w:rPr>
          <w:rFonts w:ascii="Times New Roman" w:hAnsi="Times New Roman"/>
          <w:sz w:val="24"/>
          <w:szCs w:val="24"/>
        </w:rPr>
        <w:t xml:space="preserve"> 141(1</w:t>
      </w:r>
      <w:proofErr w:type="gramStart"/>
      <w:r w:rsidR="00733CFF">
        <w:rPr>
          <w:rFonts w:ascii="Times New Roman" w:hAnsi="Times New Roman"/>
          <w:sz w:val="24"/>
          <w:szCs w:val="24"/>
        </w:rPr>
        <w:t>)(</w:t>
      </w:r>
      <w:proofErr w:type="spellStart"/>
      <w:proofErr w:type="gramEnd"/>
      <w:r w:rsidR="00733CFF">
        <w:rPr>
          <w:rFonts w:ascii="Times New Roman" w:hAnsi="Times New Roman"/>
          <w:sz w:val="24"/>
          <w:szCs w:val="24"/>
        </w:rPr>
        <w:t>ba</w:t>
      </w:r>
      <w:proofErr w:type="spellEnd"/>
      <w:r w:rsidR="00733CFF">
        <w:rPr>
          <w:rFonts w:ascii="Times New Roman" w:hAnsi="Times New Roman"/>
          <w:sz w:val="24"/>
          <w:szCs w:val="24"/>
        </w:rPr>
        <w:t xml:space="preserve">), that the authorisation holder does not engage in prohibited refrigerant charging, applies </w:t>
      </w:r>
      <w:r w:rsidR="00D874DC">
        <w:rPr>
          <w:rFonts w:ascii="Times New Roman" w:hAnsi="Times New Roman"/>
          <w:sz w:val="24"/>
          <w:szCs w:val="24"/>
        </w:rPr>
        <w:t>on or after 1 January 2020 irrespective of whether the equipment was man</w:t>
      </w:r>
      <w:r w:rsidR="00404BAF">
        <w:rPr>
          <w:rFonts w:ascii="Times New Roman" w:hAnsi="Times New Roman"/>
          <w:sz w:val="24"/>
          <w:szCs w:val="24"/>
        </w:rPr>
        <w:t>ufactured before, on or after 1 </w:t>
      </w:r>
      <w:r w:rsidR="00D874DC">
        <w:rPr>
          <w:rFonts w:ascii="Times New Roman" w:hAnsi="Times New Roman"/>
          <w:sz w:val="24"/>
          <w:szCs w:val="24"/>
        </w:rPr>
        <w:t>January</w:t>
      </w:r>
      <w:r w:rsidR="00404BAF">
        <w:rPr>
          <w:rFonts w:ascii="Times New Roman" w:hAnsi="Times New Roman"/>
          <w:sz w:val="24"/>
          <w:szCs w:val="24"/>
        </w:rPr>
        <w:t> </w:t>
      </w:r>
      <w:r w:rsidR="00D874DC">
        <w:rPr>
          <w:rFonts w:ascii="Times New Roman" w:hAnsi="Times New Roman"/>
          <w:sz w:val="24"/>
          <w:szCs w:val="24"/>
        </w:rPr>
        <w:t xml:space="preserve">2020, or the relevant authorisation was granted before, on or after 1 January 2020. That is, the prohibited refrigerant charging authorisation condition </w:t>
      </w:r>
      <w:r>
        <w:rPr>
          <w:rFonts w:ascii="Times New Roman" w:hAnsi="Times New Roman"/>
          <w:sz w:val="24"/>
          <w:szCs w:val="24"/>
        </w:rPr>
        <w:t>applies</w:t>
      </w:r>
      <w:r w:rsidR="00D874DC">
        <w:rPr>
          <w:rFonts w:ascii="Times New Roman" w:hAnsi="Times New Roman"/>
          <w:sz w:val="24"/>
          <w:szCs w:val="24"/>
        </w:rPr>
        <w:t xml:space="preserve"> to new or </w:t>
      </w:r>
      <w:r w:rsidR="00733CFF">
        <w:rPr>
          <w:rFonts w:ascii="Times New Roman" w:hAnsi="Times New Roman"/>
          <w:sz w:val="24"/>
          <w:szCs w:val="24"/>
        </w:rPr>
        <w:t>existing</w:t>
      </w:r>
      <w:r w:rsidR="00D874DC">
        <w:rPr>
          <w:rFonts w:ascii="Times New Roman" w:hAnsi="Times New Roman"/>
          <w:sz w:val="24"/>
          <w:szCs w:val="24"/>
        </w:rPr>
        <w:t xml:space="preserve"> equipment and new or </w:t>
      </w:r>
      <w:r w:rsidR="00733CFF">
        <w:rPr>
          <w:rFonts w:ascii="Times New Roman" w:hAnsi="Times New Roman"/>
          <w:sz w:val="24"/>
          <w:szCs w:val="24"/>
        </w:rPr>
        <w:t>existing</w:t>
      </w:r>
      <w:r w:rsidR="00D874DC">
        <w:rPr>
          <w:rFonts w:ascii="Times New Roman" w:hAnsi="Times New Roman"/>
          <w:sz w:val="24"/>
          <w:szCs w:val="24"/>
        </w:rPr>
        <w:t xml:space="preserve"> authorisations.</w:t>
      </w:r>
    </w:p>
    <w:p w14:paraId="1D0C925D" w14:textId="42B9FF65" w:rsidR="00E93F0A" w:rsidRDefault="00F81CE3" w:rsidP="00814991">
      <w:pPr>
        <w:spacing w:after="240" w:line="276" w:lineRule="auto"/>
        <w:rPr>
          <w:rFonts w:ascii="Times New Roman" w:hAnsi="Times New Roman"/>
          <w:sz w:val="24"/>
          <w:szCs w:val="24"/>
        </w:rPr>
      </w:pPr>
      <w:r>
        <w:rPr>
          <w:rFonts w:ascii="Times New Roman" w:hAnsi="Times New Roman"/>
          <w:sz w:val="24"/>
          <w:szCs w:val="24"/>
        </w:rPr>
        <w:t>P</w:t>
      </w:r>
      <w:r w:rsidR="00535295">
        <w:rPr>
          <w:rFonts w:ascii="Times New Roman" w:hAnsi="Times New Roman"/>
          <w:sz w:val="24"/>
          <w:szCs w:val="24"/>
        </w:rPr>
        <w:t xml:space="preserve">rohibited refrigerant charging </w:t>
      </w:r>
      <w:r w:rsidR="00BD747D">
        <w:rPr>
          <w:rFonts w:ascii="Times New Roman" w:hAnsi="Times New Roman"/>
          <w:sz w:val="24"/>
          <w:szCs w:val="24"/>
        </w:rPr>
        <w:t>will</w:t>
      </w:r>
      <w:r w:rsidR="00535295">
        <w:rPr>
          <w:rFonts w:ascii="Times New Roman" w:hAnsi="Times New Roman"/>
          <w:sz w:val="24"/>
          <w:szCs w:val="24"/>
        </w:rPr>
        <w:t xml:space="preserve"> apply to existing equipment </w:t>
      </w:r>
      <w:r>
        <w:rPr>
          <w:rFonts w:ascii="Times New Roman" w:hAnsi="Times New Roman"/>
          <w:sz w:val="24"/>
          <w:szCs w:val="24"/>
        </w:rPr>
        <w:t>as this type of equipment may have a life span of 20 years or more and application to existing equipment is necessary to protect the environment. T</w:t>
      </w:r>
      <w:r w:rsidR="00535295">
        <w:rPr>
          <w:rFonts w:ascii="Times New Roman" w:hAnsi="Times New Roman"/>
          <w:sz w:val="24"/>
          <w:szCs w:val="24"/>
        </w:rPr>
        <w:t>his prohibition will assist to protect equipment owners from poor maintenance practices as well as protecting the environment</w:t>
      </w:r>
      <w:r w:rsidR="00476A63">
        <w:rPr>
          <w:rFonts w:ascii="Times New Roman" w:hAnsi="Times New Roman"/>
          <w:sz w:val="24"/>
          <w:szCs w:val="24"/>
        </w:rPr>
        <w:t>, as</w:t>
      </w:r>
      <w:r w:rsidR="00535295">
        <w:rPr>
          <w:rFonts w:ascii="Times New Roman" w:hAnsi="Times New Roman"/>
          <w:sz w:val="24"/>
          <w:szCs w:val="24"/>
        </w:rPr>
        <w:t xml:space="preserve"> </w:t>
      </w:r>
      <w:r w:rsidR="00476A63">
        <w:rPr>
          <w:rFonts w:ascii="Times New Roman" w:hAnsi="Times New Roman"/>
          <w:sz w:val="24"/>
          <w:szCs w:val="24"/>
        </w:rPr>
        <w:t>c</w:t>
      </w:r>
      <w:r w:rsidR="00535295">
        <w:rPr>
          <w:rFonts w:ascii="Times New Roman" w:hAnsi="Times New Roman"/>
          <w:sz w:val="24"/>
          <w:szCs w:val="24"/>
        </w:rPr>
        <w:t>harging refrigeration and air conditioning equipment with refrigerant other than the design refrigerant may lead to inefficient operation and the equipment not lasting its full design life.</w:t>
      </w:r>
      <w:r w:rsidR="00C66B67">
        <w:rPr>
          <w:rFonts w:ascii="Times New Roman" w:hAnsi="Times New Roman"/>
          <w:sz w:val="24"/>
          <w:szCs w:val="24"/>
        </w:rPr>
        <w:t xml:space="preserve"> Existing refrigerant handling licence holders and refrigerant trading authorisation holders </w:t>
      </w:r>
      <w:r w:rsidR="00BD747D">
        <w:rPr>
          <w:rFonts w:ascii="Times New Roman" w:hAnsi="Times New Roman"/>
          <w:sz w:val="24"/>
          <w:szCs w:val="24"/>
        </w:rPr>
        <w:t>will</w:t>
      </w:r>
      <w:r w:rsidR="00C66B67">
        <w:rPr>
          <w:rFonts w:ascii="Times New Roman" w:hAnsi="Times New Roman"/>
          <w:sz w:val="24"/>
          <w:szCs w:val="24"/>
        </w:rPr>
        <w:t xml:space="preserve"> be advised of this new prohibited conduct and change to the licence and trading authorisation conditions as required by the Principal Regulations. Licence and trading authorisation holders are required </w:t>
      </w:r>
      <w:r w:rsidR="00C66B67">
        <w:rPr>
          <w:rFonts w:ascii="Times New Roman" w:hAnsi="Times New Roman"/>
          <w:sz w:val="24"/>
          <w:szCs w:val="24"/>
        </w:rPr>
        <w:lastRenderedPageBreak/>
        <w:t>to adhere to the relevant Australian Standards and best practice under these standards already largely excludes the type of charging covered by this prohibition.</w:t>
      </w:r>
    </w:p>
    <w:p w14:paraId="1A9189F6" w14:textId="0657CBB0" w:rsidR="00196DB4" w:rsidRPr="007052DE" w:rsidRDefault="00196DB4" w:rsidP="00814991">
      <w:pPr>
        <w:spacing w:after="240" w:line="276" w:lineRule="auto"/>
        <w:rPr>
          <w:rFonts w:ascii="Times New Roman" w:hAnsi="Times New Roman"/>
          <w:i/>
          <w:sz w:val="24"/>
          <w:szCs w:val="24"/>
        </w:rPr>
      </w:pPr>
      <w:r w:rsidRPr="007052DE">
        <w:rPr>
          <w:rFonts w:ascii="Times New Roman" w:hAnsi="Times New Roman"/>
          <w:i/>
          <w:sz w:val="24"/>
          <w:szCs w:val="24"/>
        </w:rPr>
        <w:t xml:space="preserve">Prohibited </w:t>
      </w:r>
      <w:r>
        <w:rPr>
          <w:rFonts w:ascii="Times New Roman" w:hAnsi="Times New Roman"/>
          <w:i/>
          <w:sz w:val="24"/>
          <w:szCs w:val="24"/>
        </w:rPr>
        <w:t>extinguishing agent</w:t>
      </w:r>
      <w:r w:rsidRPr="007052DE">
        <w:rPr>
          <w:rFonts w:ascii="Times New Roman" w:hAnsi="Times New Roman"/>
          <w:i/>
          <w:sz w:val="24"/>
          <w:szCs w:val="24"/>
        </w:rPr>
        <w:t xml:space="preserve"> charging</w:t>
      </w:r>
    </w:p>
    <w:p w14:paraId="5C666F2B" w14:textId="285228B1" w:rsidR="00196DB4" w:rsidRDefault="00BD747D" w:rsidP="00814991">
      <w:pPr>
        <w:spacing w:after="240" w:line="276" w:lineRule="auto"/>
        <w:rPr>
          <w:rFonts w:ascii="Times New Roman" w:hAnsi="Times New Roman"/>
          <w:sz w:val="24"/>
          <w:szCs w:val="24"/>
        </w:rPr>
      </w:pPr>
      <w:r>
        <w:rPr>
          <w:rFonts w:ascii="Times New Roman" w:hAnsi="Times New Roman"/>
          <w:sz w:val="24"/>
          <w:szCs w:val="24"/>
        </w:rPr>
        <w:t>R</w:t>
      </w:r>
      <w:r w:rsidR="00196DB4">
        <w:rPr>
          <w:rFonts w:ascii="Times New Roman" w:hAnsi="Times New Roman"/>
          <w:sz w:val="24"/>
          <w:szCs w:val="24"/>
        </w:rPr>
        <w:t>egulation 970(1) make</w:t>
      </w:r>
      <w:r>
        <w:rPr>
          <w:rFonts w:ascii="Times New Roman" w:hAnsi="Times New Roman"/>
          <w:sz w:val="24"/>
          <w:szCs w:val="24"/>
        </w:rPr>
        <w:t>s</w:t>
      </w:r>
      <w:r w:rsidR="00196DB4">
        <w:rPr>
          <w:rFonts w:ascii="Times New Roman" w:hAnsi="Times New Roman"/>
          <w:sz w:val="24"/>
          <w:szCs w:val="24"/>
        </w:rPr>
        <w:t xml:space="preserve"> clear that regulation 303A (prohibited refrigerant charging) applies to prohibited extinguishing agent charging on or after 1 January 2020, irrespective of whether the equipment was manufactured before, on or after 1 January 2020. That is, the prohibited extinguishing agent charging offence </w:t>
      </w:r>
      <w:r>
        <w:rPr>
          <w:rFonts w:ascii="Times New Roman" w:hAnsi="Times New Roman"/>
          <w:sz w:val="24"/>
          <w:szCs w:val="24"/>
        </w:rPr>
        <w:t>applies</w:t>
      </w:r>
      <w:r w:rsidR="00196DB4">
        <w:rPr>
          <w:rFonts w:ascii="Times New Roman" w:hAnsi="Times New Roman"/>
          <w:sz w:val="24"/>
          <w:szCs w:val="24"/>
        </w:rPr>
        <w:t xml:space="preserve"> to new or existing equipment.</w:t>
      </w:r>
    </w:p>
    <w:p w14:paraId="60C3B0EE" w14:textId="290747E4" w:rsidR="00196DB4" w:rsidRDefault="00BD747D" w:rsidP="00814991">
      <w:pPr>
        <w:spacing w:after="240" w:line="276" w:lineRule="auto"/>
        <w:rPr>
          <w:rFonts w:ascii="Times New Roman" w:hAnsi="Times New Roman"/>
          <w:sz w:val="24"/>
          <w:szCs w:val="24"/>
        </w:rPr>
      </w:pPr>
      <w:r>
        <w:rPr>
          <w:rFonts w:ascii="Times New Roman" w:hAnsi="Times New Roman"/>
          <w:sz w:val="24"/>
          <w:szCs w:val="24"/>
        </w:rPr>
        <w:t>R</w:t>
      </w:r>
      <w:r w:rsidR="00196DB4">
        <w:rPr>
          <w:rFonts w:ascii="Times New Roman" w:hAnsi="Times New Roman"/>
          <w:sz w:val="24"/>
          <w:szCs w:val="24"/>
        </w:rPr>
        <w:t>egulation 970(2) make</w:t>
      </w:r>
      <w:r>
        <w:rPr>
          <w:rFonts w:ascii="Times New Roman" w:hAnsi="Times New Roman"/>
          <w:sz w:val="24"/>
          <w:szCs w:val="24"/>
        </w:rPr>
        <w:t>s</w:t>
      </w:r>
      <w:r w:rsidR="00196DB4">
        <w:rPr>
          <w:rFonts w:ascii="Times New Roman" w:hAnsi="Times New Roman"/>
          <w:sz w:val="24"/>
          <w:szCs w:val="24"/>
        </w:rPr>
        <w:t xml:space="preserve"> clear that the new condition on a extinguishing agent handling licence added by </w:t>
      </w:r>
      <w:proofErr w:type="spellStart"/>
      <w:r w:rsidR="00196DB4">
        <w:rPr>
          <w:rFonts w:ascii="Times New Roman" w:hAnsi="Times New Roman"/>
          <w:sz w:val="24"/>
          <w:szCs w:val="24"/>
        </w:rPr>
        <w:t>subregulation</w:t>
      </w:r>
      <w:proofErr w:type="spellEnd"/>
      <w:r w:rsidR="00196DB4">
        <w:rPr>
          <w:rFonts w:ascii="Times New Roman" w:hAnsi="Times New Roman"/>
          <w:sz w:val="24"/>
          <w:szCs w:val="24"/>
        </w:rPr>
        <w:t xml:space="preserve"> 326(1</w:t>
      </w:r>
      <w:proofErr w:type="gramStart"/>
      <w:r w:rsidR="00196DB4">
        <w:rPr>
          <w:rFonts w:ascii="Times New Roman" w:hAnsi="Times New Roman"/>
          <w:sz w:val="24"/>
          <w:szCs w:val="24"/>
        </w:rPr>
        <w:t>)(</w:t>
      </w:r>
      <w:proofErr w:type="gramEnd"/>
      <w:r w:rsidR="00196DB4">
        <w:rPr>
          <w:rFonts w:ascii="Times New Roman" w:hAnsi="Times New Roman"/>
          <w:sz w:val="24"/>
          <w:szCs w:val="24"/>
        </w:rPr>
        <w:t xml:space="preserve">aa), that the licensee does not engage in prohibited extinguishing agent charging, applies on or after 1 January 2020 irrespective of whether the equipment was manufactured before, on or after 1 January 2020, or the relevant licence was granted before, on or after 1 January 2020. That is, the prohibited extinguishing agent charging licence condition </w:t>
      </w:r>
      <w:r>
        <w:rPr>
          <w:rFonts w:ascii="Times New Roman" w:hAnsi="Times New Roman"/>
          <w:sz w:val="24"/>
          <w:szCs w:val="24"/>
        </w:rPr>
        <w:t>applies</w:t>
      </w:r>
      <w:r w:rsidR="00196DB4">
        <w:rPr>
          <w:rFonts w:ascii="Times New Roman" w:hAnsi="Times New Roman"/>
          <w:sz w:val="24"/>
          <w:szCs w:val="24"/>
        </w:rPr>
        <w:t xml:space="preserve"> to new or existing equipment and new or existing licences.</w:t>
      </w:r>
    </w:p>
    <w:p w14:paraId="4E67769F" w14:textId="2E547595" w:rsidR="00196DB4" w:rsidRDefault="00BD747D" w:rsidP="00814991">
      <w:pPr>
        <w:spacing w:after="240" w:line="276" w:lineRule="auto"/>
        <w:rPr>
          <w:rFonts w:ascii="Times New Roman" w:hAnsi="Times New Roman"/>
          <w:sz w:val="24"/>
          <w:szCs w:val="24"/>
        </w:rPr>
      </w:pPr>
      <w:r>
        <w:rPr>
          <w:rFonts w:ascii="Times New Roman" w:hAnsi="Times New Roman"/>
          <w:sz w:val="24"/>
          <w:szCs w:val="24"/>
        </w:rPr>
        <w:t>R</w:t>
      </w:r>
      <w:r w:rsidR="00196DB4">
        <w:rPr>
          <w:rFonts w:ascii="Times New Roman" w:hAnsi="Times New Roman"/>
          <w:sz w:val="24"/>
          <w:szCs w:val="24"/>
        </w:rPr>
        <w:t>egulation 970(3) make</w:t>
      </w:r>
      <w:r>
        <w:rPr>
          <w:rFonts w:ascii="Times New Roman" w:hAnsi="Times New Roman"/>
          <w:sz w:val="24"/>
          <w:szCs w:val="24"/>
        </w:rPr>
        <w:t>s</w:t>
      </w:r>
      <w:r w:rsidR="00196DB4">
        <w:rPr>
          <w:rFonts w:ascii="Times New Roman" w:hAnsi="Times New Roman"/>
          <w:sz w:val="24"/>
          <w:szCs w:val="24"/>
        </w:rPr>
        <w:t xml:space="preserve"> clear that the new condition on a extinguishing agent trading authorisation added by </w:t>
      </w:r>
      <w:proofErr w:type="spellStart"/>
      <w:r w:rsidR="00196DB4">
        <w:rPr>
          <w:rFonts w:ascii="Times New Roman" w:hAnsi="Times New Roman"/>
          <w:sz w:val="24"/>
          <w:szCs w:val="24"/>
        </w:rPr>
        <w:t>subregulation</w:t>
      </w:r>
      <w:proofErr w:type="spellEnd"/>
      <w:r w:rsidR="00196DB4">
        <w:rPr>
          <w:rFonts w:ascii="Times New Roman" w:hAnsi="Times New Roman"/>
          <w:sz w:val="24"/>
          <w:szCs w:val="24"/>
        </w:rPr>
        <w:t xml:space="preserve"> 332(1</w:t>
      </w:r>
      <w:proofErr w:type="gramStart"/>
      <w:r w:rsidR="00196DB4">
        <w:rPr>
          <w:rFonts w:ascii="Times New Roman" w:hAnsi="Times New Roman"/>
          <w:sz w:val="24"/>
          <w:szCs w:val="24"/>
        </w:rPr>
        <w:t>)(</w:t>
      </w:r>
      <w:proofErr w:type="spellStart"/>
      <w:proofErr w:type="gramEnd"/>
      <w:r w:rsidR="00196DB4">
        <w:rPr>
          <w:rFonts w:ascii="Times New Roman" w:hAnsi="Times New Roman"/>
          <w:sz w:val="24"/>
          <w:szCs w:val="24"/>
        </w:rPr>
        <w:t>ba</w:t>
      </w:r>
      <w:proofErr w:type="spellEnd"/>
      <w:r w:rsidR="00196DB4">
        <w:rPr>
          <w:rFonts w:ascii="Times New Roman" w:hAnsi="Times New Roman"/>
          <w:sz w:val="24"/>
          <w:szCs w:val="24"/>
        </w:rPr>
        <w:t>), that the authorisation holder does not engage in prohibited extinguishing agent charging, applies on or after 1 January 2020 irrespective of whether the equipment was manufactured before, on or after 1 January 2020, or the relevant authorisation wa</w:t>
      </w:r>
      <w:r w:rsidR="00535295">
        <w:rPr>
          <w:rFonts w:ascii="Times New Roman" w:hAnsi="Times New Roman"/>
          <w:sz w:val="24"/>
          <w:szCs w:val="24"/>
        </w:rPr>
        <w:t>s granted before, on or after 1 January 2</w:t>
      </w:r>
      <w:r w:rsidR="00196DB4">
        <w:rPr>
          <w:rFonts w:ascii="Times New Roman" w:hAnsi="Times New Roman"/>
          <w:sz w:val="24"/>
          <w:szCs w:val="24"/>
        </w:rPr>
        <w:t xml:space="preserve">020. That is, the prohibited extinguishing agent charging authorisation condition </w:t>
      </w:r>
      <w:r>
        <w:rPr>
          <w:rFonts w:ascii="Times New Roman" w:hAnsi="Times New Roman"/>
          <w:sz w:val="24"/>
          <w:szCs w:val="24"/>
        </w:rPr>
        <w:t>applies</w:t>
      </w:r>
      <w:r w:rsidR="00196DB4">
        <w:rPr>
          <w:rFonts w:ascii="Times New Roman" w:hAnsi="Times New Roman"/>
          <w:sz w:val="24"/>
          <w:szCs w:val="24"/>
        </w:rPr>
        <w:t xml:space="preserve"> to new or existing equipment and new or existing authorisations.</w:t>
      </w:r>
    </w:p>
    <w:p w14:paraId="0DE35D3B" w14:textId="6DCACF92" w:rsidR="00194279" w:rsidRDefault="00A67E3E" w:rsidP="00814991">
      <w:pPr>
        <w:spacing w:after="240" w:line="276" w:lineRule="auto"/>
        <w:rPr>
          <w:rFonts w:ascii="Times New Roman" w:hAnsi="Times New Roman"/>
          <w:sz w:val="24"/>
          <w:szCs w:val="24"/>
        </w:rPr>
      </w:pPr>
      <w:r>
        <w:rPr>
          <w:rFonts w:ascii="Times New Roman" w:hAnsi="Times New Roman"/>
          <w:sz w:val="24"/>
          <w:szCs w:val="24"/>
        </w:rPr>
        <w:t>P</w:t>
      </w:r>
      <w:r w:rsidR="00194279">
        <w:rPr>
          <w:rFonts w:ascii="Times New Roman" w:hAnsi="Times New Roman"/>
          <w:sz w:val="24"/>
          <w:szCs w:val="24"/>
        </w:rPr>
        <w:t xml:space="preserve">rohibited extinguishing agent charging </w:t>
      </w:r>
      <w:r w:rsidR="00BD747D">
        <w:rPr>
          <w:rFonts w:ascii="Times New Roman" w:hAnsi="Times New Roman"/>
          <w:sz w:val="24"/>
          <w:szCs w:val="24"/>
        </w:rPr>
        <w:t>will</w:t>
      </w:r>
      <w:r w:rsidR="00194279">
        <w:rPr>
          <w:rFonts w:ascii="Times New Roman" w:hAnsi="Times New Roman"/>
          <w:sz w:val="24"/>
          <w:szCs w:val="24"/>
        </w:rPr>
        <w:t xml:space="preserve"> apply to existing equipment </w:t>
      </w:r>
      <w:r>
        <w:rPr>
          <w:rFonts w:ascii="Times New Roman" w:hAnsi="Times New Roman"/>
          <w:sz w:val="24"/>
          <w:szCs w:val="24"/>
        </w:rPr>
        <w:t>as fire protec</w:t>
      </w:r>
      <w:r w:rsidR="00585BB8">
        <w:rPr>
          <w:rFonts w:ascii="Times New Roman" w:hAnsi="Times New Roman"/>
          <w:sz w:val="24"/>
          <w:szCs w:val="24"/>
        </w:rPr>
        <w:t xml:space="preserve">tion equipment typically </w:t>
      </w:r>
      <w:r>
        <w:rPr>
          <w:rFonts w:ascii="Times New Roman" w:hAnsi="Times New Roman"/>
          <w:sz w:val="24"/>
          <w:szCs w:val="24"/>
        </w:rPr>
        <w:t xml:space="preserve">has an operational life of 20 years or more. </w:t>
      </w:r>
      <w:r w:rsidR="00585BB8">
        <w:rPr>
          <w:rFonts w:ascii="Times New Roman" w:hAnsi="Times New Roman"/>
          <w:sz w:val="24"/>
          <w:szCs w:val="24"/>
        </w:rPr>
        <w:t>Application of this prohibition to the existing fleet of equipment is necessary to p</w:t>
      </w:r>
      <w:r>
        <w:rPr>
          <w:rFonts w:ascii="Times New Roman" w:hAnsi="Times New Roman"/>
          <w:sz w:val="24"/>
          <w:szCs w:val="24"/>
        </w:rPr>
        <w:t>rotect the environmen</w:t>
      </w:r>
      <w:r w:rsidR="00585BB8">
        <w:rPr>
          <w:rFonts w:ascii="Times New Roman" w:hAnsi="Times New Roman"/>
          <w:sz w:val="24"/>
          <w:szCs w:val="24"/>
        </w:rPr>
        <w:t>t</w:t>
      </w:r>
      <w:r w:rsidR="009341A4">
        <w:rPr>
          <w:rFonts w:ascii="Times New Roman" w:hAnsi="Times New Roman"/>
          <w:sz w:val="24"/>
          <w:szCs w:val="24"/>
        </w:rPr>
        <w:t xml:space="preserve"> from this long-term emissions risk.</w:t>
      </w:r>
      <w:r w:rsidR="00585BB8">
        <w:rPr>
          <w:rFonts w:ascii="Times New Roman" w:hAnsi="Times New Roman"/>
          <w:sz w:val="24"/>
          <w:szCs w:val="24"/>
        </w:rPr>
        <w:t xml:space="preserve"> The application of this prohib</w:t>
      </w:r>
      <w:r w:rsidR="00424A6B">
        <w:rPr>
          <w:rFonts w:ascii="Times New Roman" w:hAnsi="Times New Roman"/>
          <w:sz w:val="24"/>
          <w:szCs w:val="24"/>
        </w:rPr>
        <w:t>ition to existing equipment</w:t>
      </w:r>
      <w:r w:rsidR="00585BB8">
        <w:rPr>
          <w:rFonts w:ascii="Times New Roman" w:hAnsi="Times New Roman"/>
          <w:sz w:val="24"/>
          <w:szCs w:val="24"/>
        </w:rPr>
        <w:t xml:space="preserve"> also </w:t>
      </w:r>
      <w:r w:rsidR="009D15C6">
        <w:rPr>
          <w:rFonts w:ascii="Times New Roman" w:hAnsi="Times New Roman"/>
          <w:sz w:val="24"/>
          <w:szCs w:val="24"/>
        </w:rPr>
        <w:t>reduces</w:t>
      </w:r>
      <w:r w:rsidR="00585BB8">
        <w:rPr>
          <w:rFonts w:ascii="Times New Roman" w:hAnsi="Times New Roman"/>
          <w:sz w:val="24"/>
          <w:szCs w:val="24"/>
        </w:rPr>
        <w:t xml:space="preserve"> incentive to delay or avoid the transition away from HFCs</w:t>
      </w:r>
      <w:r w:rsidR="009D15C6">
        <w:rPr>
          <w:rFonts w:ascii="Times New Roman" w:hAnsi="Times New Roman"/>
          <w:sz w:val="24"/>
          <w:szCs w:val="24"/>
        </w:rPr>
        <w:t>,</w:t>
      </w:r>
      <w:r w:rsidR="00E96B42">
        <w:rPr>
          <w:rFonts w:ascii="Times New Roman" w:hAnsi="Times New Roman"/>
          <w:sz w:val="24"/>
          <w:szCs w:val="24"/>
        </w:rPr>
        <w:t xml:space="preserve"> or to continue to operate </w:t>
      </w:r>
      <w:r w:rsidR="00F11C4B">
        <w:rPr>
          <w:rFonts w:ascii="Times New Roman" w:hAnsi="Times New Roman"/>
          <w:sz w:val="24"/>
          <w:szCs w:val="24"/>
        </w:rPr>
        <w:t xml:space="preserve">old, </w:t>
      </w:r>
      <w:r w:rsidR="00E96B42">
        <w:rPr>
          <w:rFonts w:ascii="Times New Roman" w:hAnsi="Times New Roman"/>
          <w:sz w:val="24"/>
          <w:szCs w:val="24"/>
        </w:rPr>
        <w:t xml:space="preserve">inefficient equipment which </w:t>
      </w:r>
      <w:r w:rsidR="008F692F">
        <w:rPr>
          <w:rFonts w:ascii="Times New Roman" w:hAnsi="Times New Roman"/>
          <w:sz w:val="24"/>
          <w:szCs w:val="24"/>
        </w:rPr>
        <w:t xml:space="preserve">could </w:t>
      </w:r>
      <w:r w:rsidR="00E96B42">
        <w:rPr>
          <w:rFonts w:ascii="Times New Roman" w:hAnsi="Times New Roman"/>
          <w:sz w:val="24"/>
          <w:szCs w:val="24"/>
        </w:rPr>
        <w:t>pose an increased risk of em</w:t>
      </w:r>
      <w:r w:rsidR="00A55DBD">
        <w:rPr>
          <w:rFonts w:ascii="Times New Roman" w:hAnsi="Times New Roman"/>
          <w:sz w:val="24"/>
          <w:szCs w:val="24"/>
        </w:rPr>
        <w:t>ission</w:t>
      </w:r>
      <w:r w:rsidR="00585BB8">
        <w:rPr>
          <w:rFonts w:ascii="Times New Roman" w:hAnsi="Times New Roman"/>
          <w:sz w:val="24"/>
          <w:szCs w:val="24"/>
        </w:rPr>
        <w:t xml:space="preserve">. </w:t>
      </w:r>
      <w:r>
        <w:rPr>
          <w:rFonts w:ascii="Times New Roman" w:hAnsi="Times New Roman"/>
          <w:sz w:val="24"/>
          <w:szCs w:val="24"/>
        </w:rPr>
        <w:t>Existing extinguishing agent</w:t>
      </w:r>
      <w:r w:rsidR="00194279">
        <w:rPr>
          <w:rFonts w:ascii="Times New Roman" w:hAnsi="Times New Roman"/>
          <w:sz w:val="24"/>
          <w:szCs w:val="24"/>
        </w:rPr>
        <w:t xml:space="preserve"> handling licence holders and </w:t>
      </w:r>
      <w:r>
        <w:rPr>
          <w:rFonts w:ascii="Times New Roman" w:hAnsi="Times New Roman"/>
          <w:sz w:val="24"/>
          <w:szCs w:val="24"/>
        </w:rPr>
        <w:t xml:space="preserve">extinguishing agent </w:t>
      </w:r>
      <w:r w:rsidR="00194279">
        <w:rPr>
          <w:rFonts w:ascii="Times New Roman" w:hAnsi="Times New Roman"/>
          <w:sz w:val="24"/>
          <w:szCs w:val="24"/>
        </w:rPr>
        <w:t xml:space="preserve">trading authorisation holders </w:t>
      </w:r>
      <w:r w:rsidR="00BD747D">
        <w:rPr>
          <w:rFonts w:ascii="Times New Roman" w:hAnsi="Times New Roman"/>
          <w:sz w:val="24"/>
          <w:szCs w:val="24"/>
        </w:rPr>
        <w:t>will</w:t>
      </w:r>
      <w:r w:rsidR="00194279">
        <w:rPr>
          <w:rFonts w:ascii="Times New Roman" w:hAnsi="Times New Roman"/>
          <w:sz w:val="24"/>
          <w:szCs w:val="24"/>
        </w:rPr>
        <w:t xml:space="preserve"> be advised of this new prohibited conduct and change to the licence and trading authorisation conditions as required by the Principal Regulations.</w:t>
      </w:r>
    </w:p>
    <w:p w14:paraId="07CA5596" w14:textId="070056E7" w:rsidR="00114328" w:rsidRPr="006A3D9B" w:rsidRDefault="006A3D9B" w:rsidP="00814991">
      <w:pPr>
        <w:spacing w:after="240" w:line="276" w:lineRule="auto"/>
        <w:rPr>
          <w:rFonts w:ascii="Times New Roman" w:hAnsi="Times New Roman"/>
          <w:i/>
          <w:sz w:val="24"/>
          <w:szCs w:val="24"/>
        </w:rPr>
      </w:pPr>
      <w:r w:rsidRPr="006A3D9B">
        <w:rPr>
          <w:rFonts w:ascii="Times New Roman" w:hAnsi="Times New Roman"/>
          <w:i/>
          <w:sz w:val="24"/>
          <w:szCs w:val="24"/>
        </w:rPr>
        <w:t>Reporting sales of methyl bromide</w:t>
      </w:r>
    </w:p>
    <w:p w14:paraId="03D8EA08" w14:textId="158D78EA" w:rsidR="002C3210" w:rsidRDefault="00BD747D" w:rsidP="00814991">
      <w:pPr>
        <w:spacing w:after="240" w:line="276" w:lineRule="auto"/>
        <w:rPr>
          <w:rFonts w:ascii="Times New Roman" w:hAnsi="Times New Roman"/>
          <w:i/>
          <w:sz w:val="24"/>
          <w:szCs w:val="24"/>
        </w:rPr>
      </w:pPr>
      <w:r>
        <w:rPr>
          <w:rFonts w:ascii="Times New Roman" w:hAnsi="Times New Roman"/>
          <w:sz w:val="24"/>
          <w:szCs w:val="24"/>
        </w:rPr>
        <w:t>R</w:t>
      </w:r>
      <w:r w:rsidR="00C66B67">
        <w:rPr>
          <w:rFonts w:ascii="Times New Roman" w:hAnsi="Times New Roman"/>
          <w:sz w:val="24"/>
          <w:szCs w:val="24"/>
        </w:rPr>
        <w:t xml:space="preserve">egulation 971 </w:t>
      </w:r>
      <w:r w:rsidR="000D1A89">
        <w:rPr>
          <w:rFonts w:ascii="Times New Roman" w:hAnsi="Times New Roman"/>
          <w:sz w:val="24"/>
          <w:szCs w:val="24"/>
        </w:rPr>
        <w:t>provide</w:t>
      </w:r>
      <w:r>
        <w:rPr>
          <w:rFonts w:ascii="Times New Roman" w:hAnsi="Times New Roman"/>
          <w:sz w:val="24"/>
          <w:szCs w:val="24"/>
        </w:rPr>
        <w:t>s</w:t>
      </w:r>
      <w:r w:rsidR="000D1A89">
        <w:rPr>
          <w:rFonts w:ascii="Times New Roman" w:hAnsi="Times New Roman"/>
          <w:sz w:val="24"/>
          <w:szCs w:val="24"/>
        </w:rPr>
        <w:t xml:space="preserve"> that the amendments </w:t>
      </w:r>
      <w:r w:rsidR="00733CFF">
        <w:rPr>
          <w:rFonts w:ascii="Times New Roman" w:hAnsi="Times New Roman"/>
          <w:sz w:val="24"/>
          <w:szCs w:val="24"/>
        </w:rPr>
        <w:t>to</w:t>
      </w:r>
      <w:r w:rsidR="000D1A89">
        <w:rPr>
          <w:rFonts w:ascii="Times New Roman" w:hAnsi="Times New Roman"/>
          <w:sz w:val="24"/>
          <w:szCs w:val="24"/>
        </w:rPr>
        <w:t xml:space="preserve"> regulation 230 apply only in relation to reporting periods starting on or after 1 January 2020. That is, </w:t>
      </w:r>
      <w:r w:rsidR="0029155A">
        <w:rPr>
          <w:rFonts w:ascii="Times New Roman" w:hAnsi="Times New Roman"/>
          <w:sz w:val="24"/>
          <w:szCs w:val="24"/>
        </w:rPr>
        <w:t>the reporting requirements in existing regulation 230 apply to sales made by methyl bromide suppliers until the end of the last quarter of 2019 and within 14 days after the end of that quarter, a supplier must provide a report in accordance with the requirements of existing regulation 230.</w:t>
      </w:r>
      <w:r w:rsidR="002C3210">
        <w:rPr>
          <w:rFonts w:ascii="Times New Roman" w:hAnsi="Times New Roman"/>
          <w:i/>
          <w:sz w:val="24"/>
          <w:szCs w:val="24"/>
        </w:rPr>
        <w:br w:type="page"/>
      </w:r>
    </w:p>
    <w:p w14:paraId="1AB11214" w14:textId="684A5F7F" w:rsidR="000D1A89" w:rsidRPr="00017F45" w:rsidRDefault="0029155A" w:rsidP="00814991">
      <w:pPr>
        <w:spacing w:after="240" w:line="276" w:lineRule="auto"/>
        <w:rPr>
          <w:rFonts w:ascii="Times New Roman" w:hAnsi="Times New Roman"/>
          <w:i/>
          <w:sz w:val="24"/>
          <w:szCs w:val="24"/>
        </w:rPr>
      </w:pPr>
      <w:r>
        <w:rPr>
          <w:rFonts w:ascii="Times New Roman" w:hAnsi="Times New Roman"/>
          <w:i/>
          <w:sz w:val="24"/>
          <w:szCs w:val="24"/>
        </w:rPr>
        <w:lastRenderedPageBreak/>
        <w:t>Equipment l</w:t>
      </w:r>
      <w:r w:rsidR="00017F45" w:rsidRPr="00017F45">
        <w:rPr>
          <w:rFonts w:ascii="Times New Roman" w:hAnsi="Times New Roman"/>
          <w:i/>
          <w:sz w:val="24"/>
          <w:szCs w:val="24"/>
        </w:rPr>
        <w:t>icences</w:t>
      </w:r>
    </w:p>
    <w:p w14:paraId="00A31970" w14:textId="1B00BCF9" w:rsidR="00017F45" w:rsidRDefault="00BD747D" w:rsidP="00814991">
      <w:pPr>
        <w:spacing w:after="240" w:line="276" w:lineRule="auto"/>
        <w:rPr>
          <w:rFonts w:ascii="Times New Roman" w:hAnsi="Times New Roman"/>
          <w:sz w:val="24"/>
          <w:szCs w:val="24"/>
        </w:rPr>
      </w:pPr>
      <w:r>
        <w:rPr>
          <w:rFonts w:ascii="Times New Roman" w:hAnsi="Times New Roman"/>
          <w:sz w:val="24"/>
          <w:szCs w:val="24"/>
        </w:rPr>
        <w:t>R</w:t>
      </w:r>
      <w:r w:rsidR="00C66B67">
        <w:rPr>
          <w:rFonts w:ascii="Times New Roman" w:hAnsi="Times New Roman"/>
          <w:sz w:val="24"/>
          <w:szCs w:val="24"/>
        </w:rPr>
        <w:t>egulation 972</w:t>
      </w:r>
      <w:r w:rsidR="00017F45">
        <w:rPr>
          <w:rFonts w:ascii="Times New Roman" w:hAnsi="Times New Roman"/>
          <w:sz w:val="24"/>
          <w:szCs w:val="24"/>
        </w:rPr>
        <w:t>(1) provide</w:t>
      </w:r>
      <w:r>
        <w:rPr>
          <w:rFonts w:ascii="Times New Roman" w:hAnsi="Times New Roman"/>
          <w:sz w:val="24"/>
          <w:szCs w:val="24"/>
        </w:rPr>
        <w:t>s</w:t>
      </w:r>
      <w:r w:rsidR="00017F45">
        <w:rPr>
          <w:rFonts w:ascii="Times New Roman" w:hAnsi="Times New Roman"/>
          <w:sz w:val="24"/>
          <w:szCs w:val="24"/>
        </w:rPr>
        <w:t xml:space="preserve"> that </w:t>
      </w:r>
      <w:proofErr w:type="spellStart"/>
      <w:r w:rsidR="00017F45">
        <w:rPr>
          <w:rFonts w:ascii="Times New Roman" w:hAnsi="Times New Roman"/>
          <w:sz w:val="24"/>
          <w:szCs w:val="24"/>
        </w:rPr>
        <w:t>subregulation</w:t>
      </w:r>
      <w:proofErr w:type="spellEnd"/>
      <w:r w:rsidR="00017F45">
        <w:rPr>
          <w:rFonts w:ascii="Times New Roman" w:hAnsi="Times New Roman"/>
          <w:sz w:val="24"/>
          <w:szCs w:val="24"/>
        </w:rPr>
        <w:t> </w:t>
      </w:r>
      <w:proofErr w:type="gramStart"/>
      <w:r w:rsidR="00017F45">
        <w:rPr>
          <w:rFonts w:ascii="Times New Roman" w:hAnsi="Times New Roman"/>
          <w:sz w:val="24"/>
          <w:szCs w:val="24"/>
        </w:rPr>
        <w:t>3C(</w:t>
      </w:r>
      <w:proofErr w:type="gramEnd"/>
      <w:r w:rsidR="00017F45">
        <w:rPr>
          <w:rFonts w:ascii="Times New Roman" w:hAnsi="Times New Roman"/>
          <w:sz w:val="24"/>
          <w:szCs w:val="24"/>
        </w:rPr>
        <w:t>5) applies to waiving an equipment licence application fee on or after 1 January 2020, whether the</w:t>
      </w:r>
      <w:r w:rsidR="00404BAF">
        <w:rPr>
          <w:rFonts w:ascii="Times New Roman" w:hAnsi="Times New Roman"/>
          <w:sz w:val="24"/>
          <w:szCs w:val="24"/>
        </w:rPr>
        <w:t xml:space="preserve"> </w:t>
      </w:r>
      <w:r w:rsidR="00017F45">
        <w:rPr>
          <w:rFonts w:ascii="Times New Roman" w:hAnsi="Times New Roman"/>
          <w:sz w:val="24"/>
          <w:szCs w:val="24"/>
        </w:rPr>
        <w:t xml:space="preserve">application was made </w:t>
      </w:r>
      <w:r w:rsidR="00404BAF">
        <w:rPr>
          <w:rFonts w:ascii="Times New Roman" w:hAnsi="Times New Roman"/>
          <w:sz w:val="24"/>
          <w:szCs w:val="24"/>
        </w:rPr>
        <w:t>before, on or after 1 January 2020</w:t>
      </w:r>
      <w:r w:rsidR="006262DA">
        <w:rPr>
          <w:rFonts w:ascii="Times New Roman" w:hAnsi="Times New Roman"/>
          <w:sz w:val="24"/>
          <w:szCs w:val="24"/>
        </w:rPr>
        <w:t>.</w:t>
      </w:r>
    </w:p>
    <w:p w14:paraId="7BB5CF75" w14:textId="065E4B37" w:rsidR="006262DA" w:rsidRDefault="00BD747D" w:rsidP="00814991">
      <w:pPr>
        <w:spacing w:after="240" w:line="276" w:lineRule="auto"/>
        <w:rPr>
          <w:rFonts w:ascii="Times New Roman" w:hAnsi="Times New Roman"/>
          <w:sz w:val="24"/>
          <w:szCs w:val="24"/>
        </w:rPr>
      </w:pPr>
      <w:r>
        <w:rPr>
          <w:rFonts w:ascii="Times New Roman" w:hAnsi="Times New Roman"/>
          <w:sz w:val="24"/>
          <w:szCs w:val="24"/>
        </w:rPr>
        <w:t>R</w:t>
      </w:r>
      <w:r w:rsidR="00C66B67">
        <w:rPr>
          <w:rFonts w:ascii="Times New Roman" w:hAnsi="Times New Roman"/>
          <w:sz w:val="24"/>
          <w:szCs w:val="24"/>
        </w:rPr>
        <w:t>egulation 972</w:t>
      </w:r>
      <w:r w:rsidR="006262DA">
        <w:rPr>
          <w:rFonts w:ascii="Times New Roman" w:hAnsi="Times New Roman"/>
          <w:sz w:val="24"/>
          <w:szCs w:val="24"/>
        </w:rPr>
        <w:t>(2) provide</w:t>
      </w:r>
      <w:r>
        <w:rPr>
          <w:rFonts w:ascii="Times New Roman" w:hAnsi="Times New Roman"/>
          <w:sz w:val="24"/>
          <w:szCs w:val="24"/>
        </w:rPr>
        <w:t>s</w:t>
      </w:r>
      <w:r w:rsidR="006262DA">
        <w:rPr>
          <w:rFonts w:ascii="Times New Roman" w:hAnsi="Times New Roman"/>
          <w:sz w:val="24"/>
          <w:szCs w:val="24"/>
        </w:rPr>
        <w:t xml:space="preserve"> that </w:t>
      </w:r>
      <w:r w:rsidR="0029155A">
        <w:rPr>
          <w:rFonts w:ascii="Times New Roman" w:hAnsi="Times New Roman"/>
          <w:sz w:val="24"/>
          <w:szCs w:val="24"/>
        </w:rPr>
        <w:t>amendments to regulation 3E</w:t>
      </w:r>
      <w:r w:rsidR="006262DA">
        <w:rPr>
          <w:rFonts w:ascii="Times New Roman" w:hAnsi="Times New Roman"/>
          <w:sz w:val="24"/>
          <w:szCs w:val="24"/>
        </w:rPr>
        <w:t xml:space="preserve"> apply in relation to equipment licence applications made on or after 1 January 2020, or to an equipment licence application made earlier but </w:t>
      </w:r>
      <w:r w:rsidR="0029155A">
        <w:rPr>
          <w:rFonts w:ascii="Times New Roman" w:hAnsi="Times New Roman"/>
          <w:sz w:val="24"/>
          <w:szCs w:val="24"/>
        </w:rPr>
        <w:t>where a determination on the licence has not been made by</w:t>
      </w:r>
      <w:r w:rsidR="006262DA">
        <w:rPr>
          <w:rFonts w:ascii="Times New Roman" w:hAnsi="Times New Roman"/>
          <w:sz w:val="24"/>
          <w:szCs w:val="24"/>
        </w:rPr>
        <w:t xml:space="preserve"> 1 January 2020.</w:t>
      </w:r>
    </w:p>
    <w:p w14:paraId="43D556E4" w14:textId="4A50F413" w:rsidR="006262DA" w:rsidRPr="00B6118E" w:rsidRDefault="0029155A" w:rsidP="00814991">
      <w:pPr>
        <w:spacing w:after="240" w:line="276" w:lineRule="auto"/>
        <w:rPr>
          <w:rFonts w:ascii="Times New Roman" w:hAnsi="Times New Roman"/>
          <w:i/>
          <w:sz w:val="24"/>
          <w:szCs w:val="24"/>
        </w:rPr>
      </w:pPr>
      <w:r>
        <w:rPr>
          <w:rFonts w:ascii="Times New Roman" w:hAnsi="Times New Roman"/>
          <w:i/>
          <w:sz w:val="24"/>
          <w:szCs w:val="24"/>
        </w:rPr>
        <w:t>Miscellaneous - c</w:t>
      </w:r>
      <w:r w:rsidR="00B6118E" w:rsidRPr="00B6118E">
        <w:rPr>
          <w:rFonts w:ascii="Times New Roman" w:hAnsi="Times New Roman"/>
          <w:i/>
          <w:sz w:val="24"/>
          <w:szCs w:val="24"/>
        </w:rPr>
        <w:t>ontrolled substance or used substance licence</w:t>
      </w:r>
    </w:p>
    <w:p w14:paraId="61325380" w14:textId="1F166114" w:rsidR="00AE7DE6" w:rsidRDefault="00BD747D" w:rsidP="00814991">
      <w:pPr>
        <w:spacing w:after="240" w:line="276" w:lineRule="auto"/>
        <w:rPr>
          <w:rFonts w:ascii="Times New Roman" w:hAnsi="Times New Roman"/>
          <w:sz w:val="24"/>
          <w:szCs w:val="24"/>
        </w:rPr>
      </w:pPr>
      <w:r>
        <w:rPr>
          <w:rFonts w:ascii="Times New Roman" w:hAnsi="Times New Roman"/>
          <w:sz w:val="24"/>
          <w:szCs w:val="24"/>
        </w:rPr>
        <w:t>R</w:t>
      </w:r>
      <w:r w:rsidR="00C66B67">
        <w:rPr>
          <w:rFonts w:ascii="Times New Roman" w:hAnsi="Times New Roman"/>
          <w:sz w:val="24"/>
          <w:szCs w:val="24"/>
        </w:rPr>
        <w:t>egulation 972</w:t>
      </w:r>
      <w:r w:rsidR="00B6118E">
        <w:rPr>
          <w:rFonts w:ascii="Times New Roman" w:hAnsi="Times New Roman"/>
          <w:sz w:val="24"/>
          <w:szCs w:val="24"/>
        </w:rPr>
        <w:t>(3) provide</w:t>
      </w:r>
      <w:r>
        <w:rPr>
          <w:rFonts w:ascii="Times New Roman" w:hAnsi="Times New Roman"/>
          <w:sz w:val="24"/>
          <w:szCs w:val="24"/>
        </w:rPr>
        <w:t>s</w:t>
      </w:r>
      <w:r w:rsidR="00B6118E">
        <w:rPr>
          <w:rFonts w:ascii="Times New Roman" w:hAnsi="Times New Roman"/>
          <w:sz w:val="24"/>
          <w:szCs w:val="24"/>
        </w:rPr>
        <w:t xml:space="preserve"> that </w:t>
      </w:r>
      <w:proofErr w:type="spellStart"/>
      <w:r w:rsidR="00B6118E">
        <w:rPr>
          <w:rFonts w:ascii="Times New Roman" w:hAnsi="Times New Roman"/>
          <w:sz w:val="24"/>
          <w:szCs w:val="24"/>
        </w:rPr>
        <w:t>subregulation</w:t>
      </w:r>
      <w:proofErr w:type="spellEnd"/>
      <w:r w:rsidR="00B6118E">
        <w:rPr>
          <w:rFonts w:ascii="Times New Roman" w:hAnsi="Times New Roman"/>
          <w:sz w:val="24"/>
          <w:szCs w:val="24"/>
        </w:rPr>
        <w:t xml:space="preserve"> 3C(2)(b) applies to waiving application fees for </w:t>
      </w:r>
      <w:r w:rsidR="00B6118E" w:rsidRPr="00B6118E">
        <w:rPr>
          <w:rFonts w:ascii="Times New Roman" w:hAnsi="Times New Roman"/>
          <w:sz w:val="24"/>
          <w:szCs w:val="24"/>
        </w:rPr>
        <w:t>controlled substance or used substance licences</w:t>
      </w:r>
      <w:r w:rsidR="00B6118E">
        <w:rPr>
          <w:rFonts w:ascii="Times New Roman" w:hAnsi="Times New Roman"/>
          <w:sz w:val="24"/>
          <w:szCs w:val="24"/>
        </w:rPr>
        <w:t xml:space="preserve"> </w:t>
      </w:r>
      <w:r w:rsidR="00B6118E" w:rsidRPr="00B6118E">
        <w:rPr>
          <w:rFonts w:ascii="Times New Roman" w:hAnsi="Times New Roman"/>
          <w:sz w:val="24"/>
          <w:szCs w:val="24"/>
        </w:rPr>
        <w:t xml:space="preserve">or after </w:t>
      </w:r>
      <w:r w:rsidR="00B6118E">
        <w:rPr>
          <w:rFonts w:ascii="Times New Roman" w:hAnsi="Times New Roman"/>
          <w:sz w:val="24"/>
          <w:szCs w:val="24"/>
        </w:rPr>
        <w:t>1 January </w:t>
      </w:r>
      <w:r w:rsidR="00B6118E" w:rsidRPr="00B6118E">
        <w:rPr>
          <w:rFonts w:ascii="Times New Roman" w:hAnsi="Times New Roman"/>
          <w:sz w:val="24"/>
          <w:szCs w:val="24"/>
        </w:rPr>
        <w:t xml:space="preserve">2020, whether the application was made before, on or after </w:t>
      </w:r>
      <w:r w:rsidR="00B6118E">
        <w:rPr>
          <w:rFonts w:ascii="Times New Roman" w:hAnsi="Times New Roman"/>
          <w:sz w:val="24"/>
          <w:szCs w:val="24"/>
        </w:rPr>
        <w:t>1 January </w:t>
      </w:r>
      <w:r w:rsidR="00B6118E" w:rsidRPr="00B6118E">
        <w:rPr>
          <w:rFonts w:ascii="Times New Roman" w:hAnsi="Times New Roman"/>
          <w:sz w:val="24"/>
          <w:szCs w:val="24"/>
        </w:rPr>
        <w:t>2020.</w:t>
      </w:r>
    </w:p>
    <w:p w14:paraId="115737B9" w14:textId="77777777" w:rsidR="00B9342A" w:rsidRDefault="00AE7DE6" w:rsidP="00814991">
      <w:pPr>
        <w:spacing w:after="200" w:line="276" w:lineRule="auto"/>
        <w:rPr>
          <w:rFonts w:ascii="Times New Roman" w:hAnsi="Times New Roman"/>
          <w:sz w:val="24"/>
          <w:szCs w:val="24"/>
        </w:rPr>
        <w:sectPr w:rsidR="00B9342A" w:rsidSect="00994F6B">
          <w:pgSz w:w="11906" w:h="16838" w:code="9"/>
          <w:pgMar w:top="1134" w:right="1418" w:bottom="567" w:left="1418" w:header="567" w:footer="567" w:gutter="0"/>
          <w:cols w:space="708"/>
          <w:docGrid w:linePitch="360"/>
        </w:sectPr>
      </w:pPr>
      <w:r>
        <w:rPr>
          <w:rFonts w:ascii="Times New Roman" w:hAnsi="Times New Roman"/>
          <w:sz w:val="24"/>
          <w:szCs w:val="24"/>
        </w:rPr>
        <w:br w:type="page"/>
      </w:r>
    </w:p>
    <w:p w14:paraId="3896FDD4" w14:textId="2701F66B" w:rsidR="00AE7DE6" w:rsidRDefault="00AE7DE6" w:rsidP="00814991">
      <w:pPr>
        <w:spacing w:after="200" w:line="276" w:lineRule="auto"/>
        <w:rPr>
          <w:rFonts w:ascii="Times New Roman" w:hAnsi="Times New Roman"/>
          <w:sz w:val="24"/>
          <w:szCs w:val="24"/>
        </w:rPr>
      </w:pPr>
    </w:p>
    <w:p w14:paraId="67413F09" w14:textId="1B6BA101" w:rsidR="00F45E4F" w:rsidRPr="00603A42" w:rsidRDefault="00B9342A" w:rsidP="00F45E4F">
      <w:pPr>
        <w:spacing w:after="240" w:line="276" w:lineRule="auto"/>
        <w:jc w:val="right"/>
        <w:rPr>
          <w:rFonts w:ascii="Times New Roman" w:hAnsi="Times New Roman"/>
          <w:b/>
          <w:iCs/>
          <w:sz w:val="24"/>
          <w:szCs w:val="24"/>
          <w:u w:val="single"/>
        </w:rPr>
      </w:pPr>
      <w:r w:rsidRPr="00B9342A">
        <w:rPr>
          <w:rFonts w:ascii="Times New Roman" w:hAnsi="Times New Roman"/>
          <w:b/>
          <w:iCs/>
          <w:sz w:val="24"/>
          <w:szCs w:val="24"/>
          <w:u w:val="single"/>
        </w:rPr>
        <w:t>ATTACHMENT B</w:t>
      </w:r>
    </w:p>
    <w:p w14:paraId="4D1C1A14" w14:textId="77777777" w:rsidR="00F45E4F" w:rsidRPr="00BF4B37" w:rsidRDefault="00F45E4F" w:rsidP="00F45E4F">
      <w:pPr>
        <w:spacing w:after="240" w:line="276" w:lineRule="auto"/>
        <w:jc w:val="center"/>
        <w:rPr>
          <w:rFonts w:ascii="Times New Roman" w:hAnsi="Times New Roman"/>
          <w:b/>
          <w:sz w:val="24"/>
          <w:szCs w:val="24"/>
        </w:rPr>
      </w:pPr>
      <w:r w:rsidRPr="00BF4B37">
        <w:rPr>
          <w:rFonts w:ascii="Times New Roman" w:hAnsi="Times New Roman"/>
          <w:b/>
          <w:iCs/>
          <w:sz w:val="24"/>
          <w:szCs w:val="24"/>
        </w:rPr>
        <w:t>Statement of Compatibility with Human Rights</w:t>
      </w:r>
    </w:p>
    <w:p w14:paraId="4A215AFD" w14:textId="77777777" w:rsidR="00F45E4F" w:rsidRPr="00BF4B37" w:rsidRDefault="00F45E4F" w:rsidP="00F45E4F">
      <w:pPr>
        <w:spacing w:after="240" w:line="276" w:lineRule="auto"/>
        <w:rPr>
          <w:rFonts w:ascii="Times New Roman" w:hAnsi="Times New Roman"/>
          <w:i/>
          <w:sz w:val="24"/>
          <w:szCs w:val="24"/>
        </w:rPr>
      </w:pPr>
      <w:r w:rsidRPr="00BF4B37">
        <w:rPr>
          <w:rFonts w:ascii="Times New Roman" w:hAnsi="Times New Roman"/>
          <w:i/>
          <w:sz w:val="24"/>
          <w:szCs w:val="24"/>
        </w:rPr>
        <w:t>Prepared in accordance with Part 3 of the Human Rights (Parliamentary Scrutiny) Act 2011</w:t>
      </w:r>
    </w:p>
    <w:p w14:paraId="7CAC810F" w14:textId="77777777" w:rsidR="00F45E4F" w:rsidRPr="00BF4B37" w:rsidRDefault="00F45E4F" w:rsidP="00F45E4F">
      <w:pPr>
        <w:spacing w:after="240" w:line="276" w:lineRule="auto"/>
        <w:jc w:val="center"/>
        <w:rPr>
          <w:rFonts w:ascii="Times New Roman" w:hAnsi="Times New Roman"/>
          <w:b/>
          <w:i/>
          <w:sz w:val="24"/>
          <w:szCs w:val="24"/>
        </w:rPr>
      </w:pPr>
      <w:r w:rsidRPr="00BF4B37">
        <w:rPr>
          <w:rFonts w:ascii="Times New Roman" w:hAnsi="Times New Roman"/>
          <w:b/>
          <w:i/>
          <w:sz w:val="24"/>
          <w:szCs w:val="24"/>
        </w:rPr>
        <w:t>Ozone Protection and Synthetic Greenhouse Gas Management Amendment (2019 Measures No. 1) Regulations 2019</w:t>
      </w:r>
    </w:p>
    <w:p w14:paraId="00E024E6" w14:textId="77777777" w:rsidR="00F45E4F" w:rsidRPr="00BF4B37" w:rsidRDefault="00F45E4F" w:rsidP="00F45E4F">
      <w:pPr>
        <w:spacing w:after="240" w:line="276" w:lineRule="auto"/>
        <w:jc w:val="center"/>
        <w:rPr>
          <w:rFonts w:ascii="Times New Roman" w:hAnsi="Times New Roman"/>
          <w:sz w:val="24"/>
          <w:szCs w:val="24"/>
        </w:rPr>
      </w:pPr>
      <w:r w:rsidRPr="00BF4B37">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BF4B37">
        <w:rPr>
          <w:rFonts w:ascii="Times New Roman" w:hAnsi="Times New Roman"/>
          <w:i/>
          <w:sz w:val="24"/>
          <w:szCs w:val="24"/>
        </w:rPr>
        <w:t>Human Rights (Parliamentary Scrutiny) Act 2011</w:t>
      </w:r>
      <w:r w:rsidRPr="00BF4B37">
        <w:rPr>
          <w:rFonts w:ascii="Times New Roman" w:hAnsi="Times New Roman"/>
          <w:sz w:val="24"/>
          <w:szCs w:val="24"/>
        </w:rPr>
        <w:t>.</w:t>
      </w:r>
    </w:p>
    <w:p w14:paraId="31F43631" w14:textId="77777777" w:rsidR="00F45E4F" w:rsidRPr="00BF4B37" w:rsidRDefault="00F45E4F" w:rsidP="00F45E4F">
      <w:pPr>
        <w:spacing w:after="240" w:line="276" w:lineRule="auto"/>
        <w:rPr>
          <w:rFonts w:ascii="Times New Roman" w:hAnsi="Times New Roman"/>
          <w:b/>
          <w:sz w:val="24"/>
          <w:szCs w:val="24"/>
        </w:rPr>
      </w:pPr>
      <w:r w:rsidRPr="00BF4B37">
        <w:rPr>
          <w:rFonts w:ascii="Times New Roman" w:hAnsi="Times New Roman"/>
          <w:b/>
          <w:sz w:val="24"/>
          <w:szCs w:val="24"/>
        </w:rPr>
        <w:t>Overview of the Legislative Instrument</w:t>
      </w:r>
    </w:p>
    <w:p w14:paraId="00CFB6D8" w14:textId="77777777" w:rsidR="00F45E4F" w:rsidRDefault="00F45E4F" w:rsidP="00F45E4F">
      <w:pPr>
        <w:shd w:val="clear" w:color="auto" w:fill="FFFFFF"/>
        <w:spacing w:line="276" w:lineRule="auto"/>
        <w:rPr>
          <w:rFonts w:ascii="Times New Roman" w:eastAsia="Times New Roman" w:hAnsi="Times New Roman"/>
          <w:sz w:val="24"/>
          <w:szCs w:val="24"/>
        </w:rPr>
      </w:pPr>
      <w:r w:rsidRPr="00BF4B37">
        <w:rPr>
          <w:rFonts w:ascii="Times New Roman" w:eastAsia="Times New Roman" w:hAnsi="Times New Roman"/>
          <w:sz w:val="24"/>
          <w:szCs w:val="24"/>
        </w:rPr>
        <w:t xml:space="preserve">The </w:t>
      </w:r>
      <w:r w:rsidRPr="00BF4B37">
        <w:rPr>
          <w:rFonts w:ascii="Times New Roman" w:hAnsi="Times New Roman"/>
          <w:i/>
          <w:sz w:val="24"/>
          <w:szCs w:val="24"/>
        </w:rPr>
        <w:t>Ozone Protection and Synthetic Greenhouse Gas Management Act 1989</w:t>
      </w:r>
      <w:r w:rsidRPr="00BF4B37">
        <w:rPr>
          <w:rFonts w:ascii="Times New Roman" w:eastAsia="Times New Roman" w:hAnsi="Times New Roman"/>
          <w:sz w:val="24"/>
          <w:szCs w:val="24"/>
        </w:rPr>
        <w:t xml:space="preserve"> (the Act) implements Australia’s obligations under the Vienna Convention for the Protection of the Ozone Layer and its Montreal Protocol on Substances that Deplete the Ozone Layer and the United Nations Framework Convention on Climate Change and its Kyoto Protocol.</w:t>
      </w:r>
    </w:p>
    <w:p w14:paraId="3BA62E8F" w14:textId="77777777" w:rsidR="00F45E4F" w:rsidRPr="00BF4B37" w:rsidRDefault="00F45E4F" w:rsidP="00F45E4F">
      <w:pPr>
        <w:shd w:val="clear" w:color="auto" w:fill="FFFFFF"/>
        <w:spacing w:line="276" w:lineRule="auto"/>
        <w:rPr>
          <w:rFonts w:ascii="Times New Roman" w:eastAsia="Times New Roman" w:hAnsi="Times New Roman"/>
          <w:sz w:val="24"/>
          <w:szCs w:val="24"/>
        </w:rPr>
      </w:pPr>
    </w:p>
    <w:p w14:paraId="7154FAFA" w14:textId="77777777" w:rsidR="00F45E4F" w:rsidRPr="00D2405D" w:rsidRDefault="00F45E4F" w:rsidP="00F45E4F">
      <w:pPr>
        <w:shd w:val="clear" w:color="auto" w:fill="FFFFFF"/>
        <w:spacing w:after="240" w:line="276" w:lineRule="auto"/>
        <w:rPr>
          <w:rFonts w:ascii="Times New Roman" w:eastAsia="Times New Roman" w:hAnsi="Times New Roman"/>
          <w:sz w:val="24"/>
          <w:szCs w:val="24"/>
        </w:rPr>
      </w:pPr>
      <w:r w:rsidRPr="00A04EBE">
        <w:rPr>
          <w:rFonts w:ascii="Times New Roman" w:eastAsia="Times New Roman" w:hAnsi="Times New Roman"/>
          <w:sz w:val="24"/>
          <w:szCs w:val="24"/>
        </w:rPr>
        <w:t xml:space="preserve">The </w:t>
      </w:r>
      <w:r>
        <w:rPr>
          <w:rFonts w:ascii="Times New Roman" w:eastAsia="Times New Roman" w:hAnsi="Times New Roman"/>
          <w:sz w:val="24"/>
          <w:szCs w:val="24"/>
        </w:rPr>
        <w:t>R</w:t>
      </w:r>
      <w:r w:rsidRPr="00A04EBE">
        <w:rPr>
          <w:rFonts w:ascii="Times New Roman" w:eastAsia="Times New Roman" w:hAnsi="Times New Roman"/>
          <w:sz w:val="24"/>
          <w:szCs w:val="24"/>
        </w:rPr>
        <w:t xml:space="preserve">eview </w:t>
      </w:r>
      <w:r>
        <w:rPr>
          <w:rFonts w:ascii="Times New Roman" w:eastAsia="Times New Roman" w:hAnsi="Times New Roman"/>
          <w:sz w:val="24"/>
          <w:szCs w:val="24"/>
        </w:rPr>
        <w:t xml:space="preserve">of the Ozone Protection and Synthetic Greenhouse Gas legislation (the Review) completed in 2016, </w:t>
      </w:r>
      <w:r w:rsidRPr="00A04EBE">
        <w:rPr>
          <w:rFonts w:ascii="Times New Roman" w:hAnsi="Times New Roman"/>
          <w:sz w:val="24"/>
          <w:szCs w:val="24"/>
          <w:lang w:val="en"/>
        </w:rPr>
        <w:t xml:space="preserve">identified </w:t>
      </w:r>
      <w:r>
        <w:rPr>
          <w:rFonts w:ascii="Times New Roman" w:hAnsi="Times New Roman"/>
          <w:sz w:val="24"/>
          <w:szCs w:val="24"/>
          <w:lang w:val="en"/>
        </w:rPr>
        <w:t>measures</w:t>
      </w:r>
      <w:r w:rsidRPr="00A04EBE">
        <w:rPr>
          <w:rFonts w:ascii="Times New Roman" w:hAnsi="Times New Roman"/>
          <w:sz w:val="24"/>
          <w:szCs w:val="24"/>
          <w:lang w:val="en"/>
        </w:rPr>
        <w:t xml:space="preserve"> to</w:t>
      </w:r>
      <w:r w:rsidRPr="00A04EBE">
        <w:rPr>
          <w:rFonts w:ascii="Times New Roman" w:eastAsia="Times New Roman" w:hAnsi="Times New Roman"/>
          <w:sz w:val="24"/>
          <w:szCs w:val="24"/>
        </w:rPr>
        <w:t xml:space="preserve"> further reduce emissions of ozone depleting substances and synthetic greenhouse gases and</w:t>
      </w:r>
      <w:r w:rsidRPr="00A04EBE">
        <w:rPr>
          <w:rFonts w:ascii="Times New Roman" w:hAnsi="Times New Roman"/>
          <w:sz w:val="24"/>
          <w:szCs w:val="24"/>
          <w:lang w:val="en"/>
        </w:rPr>
        <w:t xml:space="preserve"> improve and streamline the operation of the </w:t>
      </w:r>
      <w:r>
        <w:rPr>
          <w:rFonts w:ascii="Times New Roman" w:hAnsi="Times New Roman"/>
          <w:sz w:val="24"/>
          <w:szCs w:val="24"/>
          <w:lang w:val="en"/>
        </w:rPr>
        <w:t>legislation</w:t>
      </w:r>
      <w:r w:rsidRPr="00A04EBE">
        <w:rPr>
          <w:rFonts w:ascii="Times New Roman" w:hAnsi="Times New Roman"/>
          <w:sz w:val="24"/>
          <w:szCs w:val="24"/>
          <w:lang w:val="en"/>
        </w:rPr>
        <w:t>, including reducing regulatory compliance costs and burden on business.</w:t>
      </w:r>
      <w:r w:rsidRPr="00A04EBE">
        <w:rPr>
          <w:rFonts w:ascii="Times New Roman" w:eastAsia="Times New Roman" w:hAnsi="Times New Roman"/>
          <w:sz w:val="24"/>
          <w:szCs w:val="24"/>
        </w:rPr>
        <w:t xml:space="preserve"> The Australian Government agreed to </w:t>
      </w:r>
      <w:r>
        <w:rPr>
          <w:rFonts w:ascii="Times New Roman" w:eastAsia="Times New Roman" w:hAnsi="Times New Roman"/>
          <w:sz w:val="24"/>
          <w:szCs w:val="24"/>
        </w:rPr>
        <w:t xml:space="preserve">all </w:t>
      </w:r>
      <w:r w:rsidRPr="00A04EBE">
        <w:rPr>
          <w:rFonts w:ascii="Times New Roman" w:eastAsia="Times New Roman" w:hAnsi="Times New Roman"/>
          <w:sz w:val="24"/>
          <w:szCs w:val="24"/>
        </w:rPr>
        <w:t xml:space="preserve">the </w:t>
      </w:r>
      <w:r>
        <w:rPr>
          <w:rFonts w:ascii="Times New Roman" w:eastAsia="Times New Roman" w:hAnsi="Times New Roman"/>
          <w:sz w:val="24"/>
          <w:szCs w:val="24"/>
        </w:rPr>
        <w:t>measures recommended by the Review on 5 May </w:t>
      </w:r>
      <w:r w:rsidRPr="00754F20">
        <w:rPr>
          <w:rFonts w:ascii="Times New Roman" w:eastAsia="Times New Roman" w:hAnsi="Times New Roman"/>
          <w:sz w:val="24"/>
          <w:szCs w:val="24"/>
        </w:rPr>
        <w:t xml:space="preserve">2016. The Minister for the Environment agreed to the additional minor </w:t>
      </w:r>
      <w:r>
        <w:rPr>
          <w:rFonts w:ascii="Times New Roman" w:eastAsia="Times New Roman" w:hAnsi="Times New Roman"/>
          <w:sz w:val="24"/>
          <w:szCs w:val="24"/>
        </w:rPr>
        <w:t>amendments on 19 September </w:t>
      </w:r>
      <w:r w:rsidRPr="00754F20">
        <w:rPr>
          <w:rFonts w:ascii="Times New Roman" w:eastAsia="Times New Roman" w:hAnsi="Times New Roman"/>
          <w:sz w:val="24"/>
          <w:szCs w:val="24"/>
        </w:rPr>
        <w:t>2019.</w:t>
      </w:r>
    </w:p>
    <w:p w14:paraId="642D4067" w14:textId="77777777" w:rsidR="00F45E4F" w:rsidRPr="00433211" w:rsidRDefault="00F45E4F" w:rsidP="00F45E4F">
      <w:pPr>
        <w:tabs>
          <w:tab w:val="left" w:pos="4536"/>
        </w:tabs>
        <w:spacing w:after="240" w:line="276" w:lineRule="auto"/>
        <w:rPr>
          <w:rFonts w:ascii="Times New Roman" w:hAnsi="Times New Roman"/>
          <w:sz w:val="24"/>
          <w:szCs w:val="24"/>
        </w:rPr>
      </w:pPr>
      <w:r w:rsidRPr="00A04EBE">
        <w:rPr>
          <w:rFonts w:ascii="Times New Roman" w:hAnsi="Times New Roman"/>
          <w:sz w:val="24"/>
          <w:szCs w:val="24"/>
        </w:rPr>
        <w:t xml:space="preserve">The </w:t>
      </w:r>
      <w:r w:rsidRPr="00992ED9">
        <w:rPr>
          <w:rFonts w:ascii="Times New Roman" w:hAnsi="Times New Roman"/>
          <w:i/>
          <w:sz w:val="24"/>
          <w:szCs w:val="24"/>
        </w:rPr>
        <w:t>Ozone Protection and Synthetic Greenhouse Gas Management Amendment</w:t>
      </w:r>
      <w:r>
        <w:rPr>
          <w:rFonts w:ascii="Times New Roman" w:hAnsi="Times New Roman"/>
          <w:i/>
          <w:sz w:val="24"/>
          <w:szCs w:val="24"/>
        </w:rPr>
        <w:t xml:space="preserve"> </w:t>
      </w:r>
      <w:r w:rsidRPr="00992ED9">
        <w:rPr>
          <w:rFonts w:ascii="Times New Roman" w:hAnsi="Times New Roman"/>
          <w:i/>
          <w:sz w:val="24"/>
          <w:szCs w:val="24"/>
        </w:rPr>
        <w:t>(2019</w:t>
      </w:r>
      <w:r>
        <w:rPr>
          <w:rFonts w:ascii="Times New Roman" w:hAnsi="Times New Roman"/>
          <w:i/>
          <w:sz w:val="24"/>
          <w:szCs w:val="24"/>
        </w:rPr>
        <w:t> </w:t>
      </w:r>
      <w:r w:rsidRPr="00992ED9">
        <w:rPr>
          <w:rFonts w:ascii="Times New Roman" w:hAnsi="Times New Roman"/>
          <w:i/>
          <w:sz w:val="24"/>
          <w:szCs w:val="24"/>
        </w:rPr>
        <w:t>Measures</w:t>
      </w:r>
      <w:r>
        <w:rPr>
          <w:rFonts w:ascii="Times New Roman" w:hAnsi="Times New Roman"/>
          <w:i/>
          <w:sz w:val="24"/>
          <w:szCs w:val="24"/>
        </w:rPr>
        <w:t> No. </w:t>
      </w:r>
      <w:r w:rsidRPr="00992ED9">
        <w:rPr>
          <w:rFonts w:ascii="Times New Roman" w:hAnsi="Times New Roman"/>
          <w:i/>
          <w:sz w:val="24"/>
          <w:szCs w:val="24"/>
        </w:rPr>
        <w:t>1) Regulations 2019</w:t>
      </w:r>
      <w:r w:rsidRPr="00A04EBE">
        <w:rPr>
          <w:rFonts w:ascii="Times New Roman" w:hAnsi="Times New Roman"/>
          <w:sz w:val="24"/>
          <w:szCs w:val="24"/>
        </w:rPr>
        <w:t xml:space="preserve"> (the </w:t>
      </w:r>
      <w:r>
        <w:rPr>
          <w:rFonts w:ascii="Times New Roman" w:hAnsi="Times New Roman"/>
          <w:sz w:val="24"/>
          <w:szCs w:val="24"/>
        </w:rPr>
        <w:t>Amendment</w:t>
      </w:r>
      <w:r w:rsidRPr="00A04EBE">
        <w:rPr>
          <w:rFonts w:ascii="Times New Roman" w:hAnsi="Times New Roman"/>
          <w:sz w:val="24"/>
          <w:szCs w:val="24"/>
        </w:rPr>
        <w:t xml:space="preserve"> Regulations) amend the </w:t>
      </w:r>
      <w:r w:rsidRPr="00A04EBE">
        <w:rPr>
          <w:rFonts w:ascii="Times New Roman" w:hAnsi="Times New Roman"/>
          <w:i/>
          <w:sz w:val="24"/>
          <w:szCs w:val="24"/>
        </w:rPr>
        <w:t>Ozone Protection and Synthetic Greenhouse Gas Management Regulations 1995</w:t>
      </w:r>
      <w:r w:rsidRPr="00A04EBE">
        <w:rPr>
          <w:rFonts w:ascii="Times New Roman" w:hAnsi="Times New Roman"/>
          <w:sz w:val="24"/>
          <w:szCs w:val="24"/>
        </w:rPr>
        <w:t xml:space="preserve"> (the Principal Regulations) to</w:t>
      </w:r>
      <w:r>
        <w:rPr>
          <w:rFonts w:ascii="Times New Roman" w:hAnsi="Times New Roman"/>
          <w:sz w:val="24"/>
          <w:szCs w:val="24"/>
        </w:rPr>
        <w:t xml:space="preserve"> </w:t>
      </w:r>
      <w:r w:rsidRPr="00433211">
        <w:rPr>
          <w:rFonts w:ascii="Times New Roman" w:hAnsi="Times New Roman"/>
          <w:sz w:val="24"/>
          <w:szCs w:val="24"/>
        </w:rPr>
        <w:t xml:space="preserve">implement recommendations </w:t>
      </w:r>
      <w:r>
        <w:rPr>
          <w:rFonts w:ascii="Times New Roman" w:hAnsi="Times New Roman"/>
          <w:sz w:val="24"/>
          <w:szCs w:val="24"/>
        </w:rPr>
        <w:t>of</w:t>
      </w:r>
      <w:r w:rsidRPr="00433211">
        <w:rPr>
          <w:rFonts w:ascii="Times New Roman" w:hAnsi="Times New Roman"/>
          <w:sz w:val="24"/>
          <w:szCs w:val="24"/>
        </w:rPr>
        <w:t xml:space="preserve"> the R</w:t>
      </w:r>
      <w:r>
        <w:rPr>
          <w:rFonts w:ascii="Times New Roman" w:hAnsi="Times New Roman"/>
          <w:sz w:val="24"/>
          <w:szCs w:val="24"/>
        </w:rPr>
        <w:t>eview and make minor amendments to:</w:t>
      </w:r>
    </w:p>
    <w:p w14:paraId="370CABBA" w14:textId="77777777" w:rsidR="00F45E4F" w:rsidRPr="00F906DE" w:rsidRDefault="00F45E4F" w:rsidP="00F45E4F">
      <w:pPr>
        <w:pStyle w:val="ListNumber"/>
        <w:numPr>
          <w:ilvl w:val="0"/>
          <w:numId w:val="8"/>
        </w:numPr>
        <w:spacing w:line="276" w:lineRule="auto"/>
        <w:rPr>
          <w:rFonts w:ascii="Times New Roman" w:hAnsi="Times New Roman"/>
          <w:sz w:val="24"/>
          <w:szCs w:val="24"/>
        </w:rPr>
      </w:pPr>
      <w:r>
        <w:rPr>
          <w:rFonts w:ascii="Times New Roman" w:hAnsi="Times New Roman"/>
          <w:sz w:val="24"/>
          <w:szCs w:val="24"/>
        </w:rPr>
        <w:t>A</w:t>
      </w:r>
      <w:r w:rsidRPr="00F906DE">
        <w:rPr>
          <w:rFonts w:ascii="Times New Roman" w:hAnsi="Times New Roman"/>
          <w:sz w:val="24"/>
          <w:szCs w:val="24"/>
        </w:rPr>
        <w:t>llow refund</w:t>
      </w:r>
      <w:r>
        <w:rPr>
          <w:rFonts w:ascii="Times New Roman" w:hAnsi="Times New Roman"/>
          <w:sz w:val="24"/>
          <w:szCs w:val="24"/>
        </w:rPr>
        <w:t xml:space="preserve"> of application fees for the refrigeration and air conditioning industry and fire protection</w:t>
      </w:r>
      <w:r w:rsidRPr="00F906DE">
        <w:rPr>
          <w:rFonts w:ascii="Times New Roman" w:hAnsi="Times New Roman"/>
          <w:sz w:val="24"/>
          <w:szCs w:val="24"/>
        </w:rPr>
        <w:t xml:space="preserve"> </w:t>
      </w:r>
      <w:r>
        <w:rPr>
          <w:rFonts w:ascii="Times New Roman" w:hAnsi="Times New Roman"/>
          <w:sz w:val="24"/>
          <w:szCs w:val="24"/>
        </w:rPr>
        <w:t xml:space="preserve">industry </w:t>
      </w:r>
      <w:r w:rsidRPr="00F906DE">
        <w:rPr>
          <w:rFonts w:ascii="Times New Roman" w:hAnsi="Times New Roman"/>
          <w:sz w:val="24"/>
          <w:szCs w:val="24"/>
        </w:rPr>
        <w:t>permit schemes;</w:t>
      </w:r>
    </w:p>
    <w:p w14:paraId="7C24BF28" w14:textId="77777777" w:rsidR="00F45E4F" w:rsidRPr="00F906DE" w:rsidRDefault="00F45E4F" w:rsidP="00F45E4F">
      <w:pPr>
        <w:pStyle w:val="ListNumber"/>
        <w:numPr>
          <w:ilvl w:val="0"/>
          <w:numId w:val="8"/>
        </w:numPr>
        <w:spacing w:line="276" w:lineRule="auto"/>
        <w:rPr>
          <w:rFonts w:ascii="Times New Roman" w:hAnsi="Times New Roman"/>
          <w:sz w:val="24"/>
          <w:szCs w:val="24"/>
        </w:rPr>
      </w:pPr>
      <w:r>
        <w:rPr>
          <w:rFonts w:ascii="Times New Roman" w:hAnsi="Times New Roman"/>
          <w:sz w:val="24"/>
          <w:szCs w:val="24"/>
        </w:rPr>
        <w:t>A</w:t>
      </w:r>
      <w:r w:rsidRPr="00F906DE">
        <w:rPr>
          <w:rFonts w:ascii="Times New Roman" w:hAnsi="Times New Roman"/>
          <w:sz w:val="24"/>
          <w:szCs w:val="24"/>
        </w:rPr>
        <w:t>llow the c</w:t>
      </w:r>
      <w:r>
        <w:rPr>
          <w:rFonts w:ascii="Times New Roman" w:hAnsi="Times New Roman"/>
          <w:sz w:val="24"/>
          <w:szCs w:val="24"/>
        </w:rPr>
        <w:t xml:space="preserve">ancellation or suspension of a fire protection industry permit </w:t>
      </w:r>
      <w:r w:rsidRPr="00F906DE">
        <w:rPr>
          <w:rFonts w:ascii="Times New Roman" w:hAnsi="Times New Roman"/>
          <w:sz w:val="24"/>
          <w:szCs w:val="24"/>
        </w:rPr>
        <w:t xml:space="preserve">where a </w:t>
      </w:r>
      <w:r>
        <w:rPr>
          <w:rFonts w:ascii="Times New Roman" w:hAnsi="Times New Roman"/>
          <w:sz w:val="24"/>
          <w:szCs w:val="24"/>
        </w:rPr>
        <w:t>permit holder</w:t>
      </w:r>
      <w:r w:rsidRPr="00F906DE">
        <w:rPr>
          <w:rFonts w:ascii="Times New Roman" w:hAnsi="Times New Roman"/>
          <w:sz w:val="24"/>
          <w:szCs w:val="24"/>
        </w:rPr>
        <w:t xml:space="preserve"> does not have the necessary knowledge, ability and experience to competently carry out work;</w:t>
      </w:r>
    </w:p>
    <w:p w14:paraId="28C65167" w14:textId="77777777" w:rsidR="00F45E4F" w:rsidRPr="000D7CDE" w:rsidRDefault="00F45E4F" w:rsidP="00F45E4F">
      <w:pPr>
        <w:pStyle w:val="ListNumber"/>
        <w:numPr>
          <w:ilvl w:val="0"/>
          <w:numId w:val="8"/>
        </w:numPr>
        <w:spacing w:line="276" w:lineRule="auto"/>
        <w:rPr>
          <w:rFonts w:ascii="Times New Roman" w:hAnsi="Times New Roman"/>
          <w:sz w:val="24"/>
          <w:szCs w:val="24"/>
        </w:rPr>
      </w:pPr>
      <w:r>
        <w:rPr>
          <w:rFonts w:ascii="Times New Roman" w:hAnsi="Times New Roman"/>
          <w:sz w:val="24"/>
          <w:szCs w:val="24"/>
        </w:rPr>
        <w:t>P</w:t>
      </w:r>
      <w:r w:rsidRPr="00F906DE">
        <w:rPr>
          <w:rFonts w:ascii="Times New Roman" w:hAnsi="Times New Roman"/>
          <w:sz w:val="24"/>
          <w:szCs w:val="24"/>
        </w:rPr>
        <w:t xml:space="preserve">rohibit the use of a scheduled substance in fire protection equipment </w:t>
      </w:r>
      <w:r w:rsidRPr="00971353">
        <w:rPr>
          <w:rFonts w:ascii="Times New Roman" w:hAnsi="Times New Roman"/>
          <w:sz w:val="24"/>
          <w:szCs w:val="24"/>
        </w:rPr>
        <w:t>or</w:t>
      </w:r>
      <w:r w:rsidRPr="00F906DE">
        <w:rPr>
          <w:rFonts w:ascii="Times New Roman" w:hAnsi="Times New Roman"/>
          <w:sz w:val="24"/>
          <w:szCs w:val="24"/>
        </w:rPr>
        <w:t xml:space="preserve"> </w:t>
      </w:r>
      <w:r>
        <w:rPr>
          <w:rFonts w:ascii="Times New Roman" w:hAnsi="Times New Roman"/>
          <w:sz w:val="24"/>
          <w:szCs w:val="24"/>
        </w:rPr>
        <w:t>refrigeration and air conditioning</w:t>
      </w:r>
      <w:r w:rsidRPr="00F906DE">
        <w:rPr>
          <w:rFonts w:ascii="Times New Roman" w:hAnsi="Times New Roman"/>
          <w:sz w:val="24"/>
          <w:szCs w:val="24"/>
        </w:rPr>
        <w:t xml:space="preserve"> equipment that has a higher global warming potential than the substance the equipment was designed </w:t>
      </w:r>
      <w:r>
        <w:rPr>
          <w:rFonts w:ascii="Times New Roman" w:hAnsi="Times New Roman"/>
          <w:sz w:val="24"/>
          <w:szCs w:val="24"/>
        </w:rPr>
        <w:t>to use</w:t>
      </w:r>
      <w:r w:rsidRPr="00F906DE">
        <w:rPr>
          <w:rFonts w:ascii="Times New Roman" w:hAnsi="Times New Roman"/>
          <w:sz w:val="24"/>
          <w:szCs w:val="24"/>
        </w:rPr>
        <w:t>;</w:t>
      </w:r>
    </w:p>
    <w:p w14:paraId="5B2D973C" w14:textId="77777777" w:rsidR="00F45E4F" w:rsidRPr="00957D9C" w:rsidRDefault="00F45E4F" w:rsidP="00F45E4F">
      <w:pPr>
        <w:pStyle w:val="ListNumber"/>
        <w:numPr>
          <w:ilvl w:val="0"/>
          <w:numId w:val="8"/>
        </w:numPr>
        <w:spacing w:line="276" w:lineRule="auto"/>
        <w:rPr>
          <w:rFonts w:ascii="Times New Roman" w:hAnsi="Times New Roman"/>
          <w:sz w:val="24"/>
          <w:szCs w:val="24"/>
        </w:rPr>
      </w:pPr>
      <w:r w:rsidRPr="00957D9C">
        <w:rPr>
          <w:rFonts w:ascii="Times New Roman" w:hAnsi="Times New Roman"/>
          <w:sz w:val="24"/>
          <w:szCs w:val="24"/>
        </w:rPr>
        <w:t xml:space="preserve">Facilitate the implementation of the ban commencing </w:t>
      </w:r>
      <w:r>
        <w:rPr>
          <w:rFonts w:ascii="Times New Roman" w:hAnsi="Times New Roman"/>
          <w:sz w:val="24"/>
          <w:szCs w:val="24"/>
        </w:rPr>
        <w:t xml:space="preserve">under the Act </w:t>
      </w:r>
      <w:r w:rsidRPr="00957D9C">
        <w:rPr>
          <w:rFonts w:ascii="Times New Roman" w:hAnsi="Times New Roman"/>
          <w:sz w:val="24"/>
          <w:szCs w:val="24"/>
        </w:rPr>
        <w:t xml:space="preserve">on 1 January 2020 </w:t>
      </w:r>
      <w:r>
        <w:rPr>
          <w:rFonts w:ascii="Times New Roman" w:hAnsi="Times New Roman"/>
          <w:sz w:val="24"/>
          <w:szCs w:val="24"/>
        </w:rPr>
        <w:t>on</w:t>
      </w:r>
      <w:r w:rsidRPr="00957D9C">
        <w:rPr>
          <w:rFonts w:ascii="Times New Roman" w:hAnsi="Times New Roman"/>
          <w:sz w:val="24"/>
          <w:szCs w:val="24"/>
        </w:rPr>
        <w:t xml:space="preserve"> the import and manufacture of bulk </w:t>
      </w:r>
      <w:proofErr w:type="spellStart"/>
      <w:r w:rsidRPr="00F906DE">
        <w:rPr>
          <w:rFonts w:ascii="Times New Roman" w:hAnsi="Times New Roman"/>
          <w:sz w:val="24"/>
          <w:szCs w:val="24"/>
        </w:rPr>
        <w:t>hydrochlorofluorocarbon</w:t>
      </w:r>
      <w:proofErr w:type="spellEnd"/>
      <w:r w:rsidRPr="00F906DE">
        <w:rPr>
          <w:rFonts w:ascii="Times New Roman" w:hAnsi="Times New Roman"/>
          <w:sz w:val="24"/>
          <w:szCs w:val="24"/>
        </w:rPr>
        <w:t xml:space="preserve"> (HCFC) </w:t>
      </w:r>
      <w:r w:rsidRPr="00957D9C">
        <w:rPr>
          <w:rFonts w:ascii="Times New Roman" w:hAnsi="Times New Roman"/>
          <w:sz w:val="24"/>
          <w:szCs w:val="24"/>
        </w:rPr>
        <w:t>and equipme</w:t>
      </w:r>
      <w:r>
        <w:rPr>
          <w:rFonts w:ascii="Times New Roman" w:hAnsi="Times New Roman"/>
          <w:sz w:val="24"/>
          <w:szCs w:val="24"/>
        </w:rPr>
        <w:t>nt containing or using HCFCs by:</w:t>
      </w:r>
    </w:p>
    <w:p w14:paraId="7F0FC930" w14:textId="77777777" w:rsidR="00F45E4F" w:rsidRDefault="00F45E4F" w:rsidP="00F45E4F">
      <w:pPr>
        <w:pStyle w:val="ListNumber"/>
        <w:numPr>
          <w:ilvl w:val="0"/>
          <w:numId w:val="9"/>
        </w:numPr>
        <w:spacing w:line="276" w:lineRule="auto"/>
        <w:rPr>
          <w:rFonts w:ascii="Times New Roman" w:hAnsi="Times New Roman"/>
          <w:sz w:val="24"/>
          <w:szCs w:val="24"/>
        </w:rPr>
      </w:pPr>
      <w:r w:rsidRPr="00957D9C">
        <w:rPr>
          <w:rFonts w:ascii="Times New Roman" w:hAnsi="Times New Roman"/>
          <w:sz w:val="24"/>
          <w:szCs w:val="24"/>
        </w:rPr>
        <w:t>Allowing</w:t>
      </w:r>
      <w:r w:rsidRPr="00F906DE">
        <w:rPr>
          <w:rFonts w:ascii="Times New Roman" w:hAnsi="Times New Roman"/>
          <w:sz w:val="24"/>
          <w:szCs w:val="24"/>
        </w:rPr>
        <w:t xml:space="preserve"> for a licence to be granted to import equipment using HCFC</w:t>
      </w:r>
      <w:r>
        <w:rPr>
          <w:rFonts w:ascii="Times New Roman" w:hAnsi="Times New Roman"/>
          <w:sz w:val="24"/>
          <w:szCs w:val="24"/>
        </w:rPr>
        <w:t>s</w:t>
      </w:r>
      <w:r w:rsidRPr="00F906DE">
        <w:rPr>
          <w:rFonts w:ascii="Times New Roman" w:hAnsi="Times New Roman"/>
          <w:sz w:val="24"/>
          <w:szCs w:val="24"/>
        </w:rPr>
        <w:t xml:space="preserve"> for test, monitoring, laboratory and analytical purposes</w:t>
      </w:r>
      <w:r w:rsidRPr="00957D9C">
        <w:rPr>
          <w:rFonts w:ascii="Times New Roman" w:hAnsi="Times New Roman"/>
          <w:sz w:val="24"/>
          <w:szCs w:val="24"/>
        </w:rPr>
        <w:t xml:space="preserve"> where </w:t>
      </w:r>
      <w:r>
        <w:rPr>
          <w:rFonts w:ascii="Times New Roman" w:hAnsi="Times New Roman"/>
          <w:sz w:val="24"/>
          <w:szCs w:val="24"/>
        </w:rPr>
        <w:t>no practical alternative exists;</w:t>
      </w:r>
    </w:p>
    <w:p w14:paraId="1BA621F6" w14:textId="77777777" w:rsidR="00F45E4F" w:rsidRPr="00F906DE" w:rsidRDefault="00F45E4F" w:rsidP="00F45E4F">
      <w:pPr>
        <w:pStyle w:val="ListNumber"/>
        <w:numPr>
          <w:ilvl w:val="0"/>
          <w:numId w:val="9"/>
        </w:numPr>
        <w:spacing w:line="276" w:lineRule="auto"/>
        <w:rPr>
          <w:rFonts w:ascii="Times New Roman" w:hAnsi="Times New Roman"/>
          <w:sz w:val="24"/>
          <w:szCs w:val="24"/>
        </w:rPr>
      </w:pPr>
      <w:r w:rsidRPr="00957D9C">
        <w:rPr>
          <w:rFonts w:ascii="Times New Roman" w:hAnsi="Times New Roman"/>
          <w:sz w:val="24"/>
          <w:szCs w:val="24"/>
        </w:rPr>
        <w:lastRenderedPageBreak/>
        <w:t>Allowing</w:t>
      </w:r>
      <w:r>
        <w:rPr>
          <w:rFonts w:ascii="Times New Roman" w:hAnsi="Times New Roman"/>
          <w:sz w:val="24"/>
          <w:szCs w:val="24"/>
        </w:rPr>
        <w:t xml:space="preserve"> for bulk</w:t>
      </w:r>
      <w:r w:rsidRPr="00103384">
        <w:rPr>
          <w:rFonts w:ascii="Times New Roman" w:hAnsi="Times New Roman"/>
          <w:sz w:val="24"/>
          <w:szCs w:val="24"/>
        </w:rPr>
        <w:t xml:space="preserve"> HCFC manufactured or imported on or after 1 </w:t>
      </w:r>
      <w:r>
        <w:rPr>
          <w:rFonts w:ascii="Times New Roman" w:hAnsi="Times New Roman"/>
          <w:sz w:val="24"/>
          <w:szCs w:val="24"/>
        </w:rPr>
        <w:t>January </w:t>
      </w:r>
      <w:r w:rsidRPr="00103384">
        <w:rPr>
          <w:rFonts w:ascii="Times New Roman" w:hAnsi="Times New Roman"/>
          <w:sz w:val="24"/>
          <w:szCs w:val="24"/>
        </w:rPr>
        <w:t xml:space="preserve">2020 to be used for servicing </w:t>
      </w:r>
      <w:r>
        <w:rPr>
          <w:rFonts w:ascii="Times New Roman" w:hAnsi="Times New Roman"/>
          <w:sz w:val="24"/>
          <w:szCs w:val="24"/>
        </w:rPr>
        <w:t>existing refrigeration and air conditioning</w:t>
      </w:r>
      <w:r w:rsidRPr="00103384">
        <w:rPr>
          <w:rFonts w:ascii="Times New Roman" w:hAnsi="Times New Roman"/>
          <w:sz w:val="24"/>
          <w:szCs w:val="24"/>
        </w:rPr>
        <w:t xml:space="preserve"> equipment, or maintaining </w:t>
      </w:r>
      <w:r>
        <w:rPr>
          <w:rFonts w:ascii="Times New Roman" w:hAnsi="Times New Roman"/>
          <w:sz w:val="24"/>
          <w:szCs w:val="24"/>
        </w:rPr>
        <w:t xml:space="preserve">existing </w:t>
      </w:r>
      <w:r w:rsidRPr="00103384">
        <w:rPr>
          <w:rFonts w:ascii="Times New Roman" w:hAnsi="Times New Roman"/>
          <w:sz w:val="24"/>
          <w:szCs w:val="24"/>
        </w:rPr>
        <w:t>fire protection equipment</w:t>
      </w:r>
      <w:r w:rsidRPr="00957D9C">
        <w:rPr>
          <w:rFonts w:ascii="Times New Roman" w:hAnsi="Times New Roman"/>
          <w:sz w:val="24"/>
          <w:szCs w:val="24"/>
        </w:rPr>
        <w:t>, in line with the Montreal Protocol</w:t>
      </w:r>
      <w:r>
        <w:rPr>
          <w:rFonts w:ascii="Times New Roman" w:hAnsi="Times New Roman"/>
          <w:sz w:val="24"/>
          <w:szCs w:val="24"/>
        </w:rPr>
        <w:t>;</w:t>
      </w:r>
    </w:p>
    <w:p w14:paraId="4F71A705" w14:textId="77777777" w:rsidR="00F45E4F" w:rsidRPr="00957D9C" w:rsidRDefault="00F45E4F" w:rsidP="00F45E4F">
      <w:pPr>
        <w:pStyle w:val="ListNumber"/>
        <w:numPr>
          <w:ilvl w:val="0"/>
          <w:numId w:val="5"/>
        </w:numPr>
        <w:spacing w:line="276" w:lineRule="auto"/>
        <w:rPr>
          <w:rFonts w:ascii="Times New Roman" w:hAnsi="Times New Roman"/>
          <w:sz w:val="24"/>
          <w:szCs w:val="24"/>
        </w:rPr>
      </w:pPr>
      <w:r w:rsidRPr="00957D9C">
        <w:rPr>
          <w:rFonts w:ascii="Times New Roman" w:hAnsi="Times New Roman"/>
          <w:sz w:val="24"/>
          <w:szCs w:val="24"/>
        </w:rPr>
        <w:t>Extend the circumstances where licence application fees can be waived by;</w:t>
      </w:r>
    </w:p>
    <w:p w14:paraId="56213DB0" w14:textId="77777777" w:rsidR="00F45E4F" w:rsidRPr="00F906DE" w:rsidRDefault="00F45E4F" w:rsidP="00F45E4F">
      <w:pPr>
        <w:pStyle w:val="ListNumber"/>
        <w:numPr>
          <w:ilvl w:val="0"/>
          <w:numId w:val="10"/>
        </w:numPr>
        <w:spacing w:line="276" w:lineRule="auto"/>
        <w:rPr>
          <w:rFonts w:ascii="Times New Roman" w:hAnsi="Times New Roman"/>
          <w:sz w:val="24"/>
          <w:szCs w:val="24"/>
        </w:rPr>
      </w:pPr>
      <w:r w:rsidRPr="00957D9C">
        <w:rPr>
          <w:rFonts w:ascii="Times New Roman" w:hAnsi="Times New Roman"/>
          <w:sz w:val="24"/>
          <w:szCs w:val="24"/>
        </w:rPr>
        <w:t>Allowing</w:t>
      </w:r>
      <w:r w:rsidRPr="00F906DE">
        <w:rPr>
          <w:rFonts w:ascii="Times New Roman" w:hAnsi="Times New Roman"/>
          <w:sz w:val="24"/>
          <w:szCs w:val="24"/>
        </w:rPr>
        <w:t xml:space="preserve"> for the waiver of an </w:t>
      </w:r>
      <w:r>
        <w:rPr>
          <w:rFonts w:ascii="Times New Roman" w:hAnsi="Times New Roman"/>
          <w:sz w:val="24"/>
          <w:szCs w:val="24"/>
        </w:rPr>
        <w:t xml:space="preserve">HCFC </w:t>
      </w:r>
      <w:r w:rsidRPr="00F906DE">
        <w:rPr>
          <w:rFonts w:ascii="Times New Roman" w:hAnsi="Times New Roman"/>
          <w:sz w:val="24"/>
          <w:szCs w:val="24"/>
        </w:rPr>
        <w:t>equipment import licence application fee;</w:t>
      </w:r>
    </w:p>
    <w:p w14:paraId="54485EBB" w14:textId="77777777" w:rsidR="00F45E4F" w:rsidRPr="00F906DE" w:rsidRDefault="00F45E4F" w:rsidP="00F45E4F">
      <w:pPr>
        <w:pStyle w:val="ListNumber"/>
        <w:numPr>
          <w:ilvl w:val="0"/>
          <w:numId w:val="10"/>
        </w:numPr>
        <w:spacing w:line="276" w:lineRule="auto"/>
        <w:rPr>
          <w:rFonts w:ascii="Times New Roman" w:hAnsi="Times New Roman"/>
          <w:sz w:val="24"/>
          <w:szCs w:val="24"/>
        </w:rPr>
      </w:pPr>
      <w:r w:rsidRPr="00957D9C">
        <w:rPr>
          <w:rFonts w:ascii="Times New Roman" w:hAnsi="Times New Roman"/>
          <w:sz w:val="24"/>
          <w:szCs w:val="24"/>
        </w:rPr>
        <w:t>Allowing</w:t>
      </w:r>
      <w:r w:rsidRPr="00F906DE">
        <w:rPr>
          <w:rFonts w:ascii="Times New Roman" w:hAnsi="Times New Roman"/>
          <w:sz w:val="24"/>
          <w:szCs w:val="24"/>
        </w:rPr>
        <w:t xml:space="preserve"> for the waiver of controlled substances and used substances licence application fees where the manufacture, import or export is for monitoring, laboratory or analytical purposes;</w:t>
      </w:r>
    </w:p>
    <w:p w14:paraId="776704F2" w14:textId="77777777" w:rsidR="00F45E4F" w:rsidRDefault="00F45E4F" w:rsidP="00F45E4F">
      <w:pPr>
        <w:pStyle w:val="ListBullet"/>
        <w:numPr>
          <w:ilvl w:val="0"/>
          <w:numId w:val="5"/>
        </w:numPr>
        <w:spacing w:after="0"/>
        <w:rPr>
          <w:rFonts w:ascii="Times New Roman" w:eastAsiaTheme="minorHAnsi" w:hAnsi="Times New Roman"/>
          <w:sz w:val="24"/>
          <w:szCs w:val="24"/>
          <w:lang w:eastAsia="en-AU"/>
        </w:rPr>
      </w:pPr>
      <w:r w:rsidRPr="00957D9C">
        <w:rPr>
          <w:rFonts w:ascii="Times New Roman" w:eastAsiaTheme="minorHAnsi" w:hAnsi="Times New Roman"/>
          <w:sz w:val="24"/>
          <w:szCs w:val="24"/>
          <w:lang w:eastAsia="en-AU"/>
        </w:rPr>
        <w:t xml:space="preserve">Reduce the </w:t>
      </w:r>
      <w:r>
        <w:rPr>
          <w:rFonts w:ascii="Times New Roman" w:eastAsiaTheme="minorHAnsi" w:hAnsi="Times New Roman"/>
          <w:sz w:val="24"/>
          <w:szCs w:val="24"/>
          <w:lang w:eastAsia="en-AU"/>
        </w:rPr>
        <w:t xml:space="preserve">reporting requirements for </w:t>
      </w:r>
      <w:r w:rsidRPr="00957D9C">
        <w:rPr>
          <w:rFonts w:ascii="Times New Roman" w:eastAsiaTheme="minorHAnsi" w:hAnsi="Times New Roman"/>
          <w:sz w:val="24"/>
          <w:szCs w:val="24"/>
          <w:lang w:eastAsia="en-AU"/>
        </w:rPr>
        <w:t xml:space="preserve">suppliers of methyl bromide </w:t>
      </w:r>
      <w:r>
        <w:rPr>
          <w:rFonts w:ascii="Times New Roman" w:eastAsiaTheme="minorHAnsi" w:hAnsi="Times New Roman"/>
          <w:sz w:val="24"/>
          <w:szCs w:val="24"/>
          <w:lang w:eastAsia="en-AU"/>
        </w:rPr>
        <w:t>by;</w:t>
      </w:r>
    </w:p>
    <w:p w14:paraId="4635B006" w14:textId="77777777" w:rsidR="00F45E4F" w:rsidRPr="00957D9C" w:rsidRDefault="00F45E4F" w:rsidP="00F45E4F">
      <w:pPr>
        <w:pStyle w:val="ListNumber"/>
        <w:numPr>
          <w:ilvl w:val="0"/>
          <w:numId w:val="11"/>
        </w:numPr>
        <w:spacing w:line="276" w:lineRule="auto"/>
        <w:rPr>
          <w:rFonts w:ascii="Times New Roman" w:hAnsi="Times New Roman"/>
          <w:sz w:val="24"/>
          <w:szCs w:val="24"/>
        </w:rPr>
      </w:pPr>
      <w:r>
        <w:rPr>
          <w:rFonts w:ascii="Times New Roman" w:hAnsi="Times New Roman"/>
          <w:sz w:val="24"/>
          <w:szCs w:val="24"/>
        </w:rPr>
        <w:t>Reducing reporting frequency from quarterly to twice yearly;</w:t>
      </w:r>
    </w:p>
    <w:p w14:paraId="14AEB69E" w14:textId="77777777" w:rsidR="00F45E4F" w:rsidRPr="00460500" w:rsidRDefault="00F45E4F" w:rsidP="00F45E4F">
      <w:pPr>
        <w:pStyle w:val="ListNumber"/>
        <w:numPr>
          <w:ilvl w:val="0"/>
          <w:numId w:val="11"/>
        </w:numPr>
        <w:spacing w:line="276" w:lineRule="auto"/>
        <w:rPr>
          <w:rFonts w:ascii="Times New Roman" w:hAnsi="Times New Roman"/>
          <w:sz w:val="24"/>
          <w:szCs w:val="24"/>
        </w:rPr>
      </w:pPr>
      <w:r w:rsidRPr="00957D9C">
        <w:rPr>
          <w:rFonts w:ascii="Times New Roman" w:hAnsi="Times New Roman"/>
          <w:sz w:val="24"/>
          <w:szCs w:val="24"/>
        </w:rPr>
        <w:t>R</w:t>
      </w:r>
      <w:r>
        <w:rPr>
          <w:rFonts w:ascii="Times New Roman" w:hAnsi="Times New Roman"/>
          <w:sz w:val="24"/>
          <w:szCs w:val="24"/>
        </w:rPr>
        <w:t>emoving</w:t>
      </w:r>
      <w:r w:rsidRPr="00957D9C">
        <w:rPr>
          <w:rFonts w:ascii="Times New Roman" w:hAnsi="Times New Roman"/>
          <w:sz w:val="24"/>
          <w:szCs w:val="24"/>
        </w:rPr>
        <w:t xml:space="preserve"> the requirement to report on sales where the whole amount of methyl bromide sold is for quarantine and pre-shipment (QPS) uses, or where no methyl bromid</w:t>
      </w:r>
      <w:r>
        <w:rPr>
          <w:rFonts w:ascii="Times New Roman" w:hAnsi="Times New Roman"/>
          <w:sz w:val="24"/>
          <w:szCs w:val="24"/>
        </w:rPr>
        <w:t>e is sold in a reporting period;</w:t>
      </w:r>
      <w:r w:rsidRPr="00957D9C">
        <w:rPr>
          <w:rFonts w:ascii="Times New Roman" w:hAnsi="Times New Roman"/>
          <w:sz w:val="24"/>
          <w:szCs w:val="24"/>
        </w:rPr>
        <w:t xml:space="preserve"> and</w:t>
      </w:r>
    </w:p>
    <w:p w14:paraId="0DA0761C" w14:textId="77777777" w:rsidR="00F45E4F" w:rsidRPr="00957D9C" w:rsidRDefault="00F45E4F" w:rsidP="00F45E4F">
      <w:pPr>
        <w:pStyle w:val="ListBullet"/>
        <w:numPr>
          <w:ilvl w:val="0"/>
          <w:numId w:val="5"/>
        </w:numPr>
        <w:rPr>
          <w:rFonts w:ascii="Times New Roman" w:eastAsiaTheme="minorHAnsi" w:hAnsi="Times New Roman"/>
          <w:sz w:val="24"/>
          <w:szCs w:val="24"/>
          <w:lang w:eastAsia="en-AU"/>
        </w:rPr>
      </w:pPr>
      <w:r w:rsidRPr="00957D9C">
        <w:rPr>
          <w:rFonts w:ascii="Times New Roman" w:eastAsiaTheme="minorHAnsi" w:hAnsi="Times New Roman"/>
          <w:sz w:val="24"/>
          <w:szCs w:val="24"/>
          <w:lang w:eastAsia="en-AU"/>
        </w:rPr>
        <w:t xml:space="preserve">Establish a process to enable non-quarantine and pre-shipment (non-QPS) permits to be granted for use </w:t>
      </w:r>
      <w:r>
        <w:rPr>
          <w:rFonts w:ascii="Times New Roman" w:eastAsiaTheme="minorHAnsi" w:hAnsi="Times New Roman"/>
          <w:sz w:val="24"/>
          <w:szCs w:val="24"/>
          <w:lang w:eastAsia="en-AU"/>
        </w:rPr>
        <w:t xml:space="preserve">of methyl bromide in </w:t>
      </w:r>
      <w:r w:rsidRPr="00957D9C">
        <w:rPr>
          <w:rFonts w:ascii="Times New Roman" w:eastAsiaTheme="minorHAnsi" w:hAnsi="Times New Roman"/>
          <w:sz w:val="24"/>
          <w:szCs w:val="24"/>
          <w:lang w:eastAsia="en-AU"/>
        </w:rPr>
        <w:t>emergency circumstances, for example, use in an unusual disease outbreak in a crop or production facility where no other fumigant is suitable, consistent with the Montreal Protocol, and an associated reporting regime.</w:t>
      </w:r>
    </w:p>
    <w:p w14:paraId="5FDFD82D" w14:textId="77777777" w:rsidR="00F45E4F" w:rsidRPr="00BF4B37" w:rsidRDefault="00F45E4F" w:rsidP="00F45E4F">
      <w:pPr>
        <w:shd w:val="clear" w:color="auto" w:fill="FFFFFF"/>
        <w:spacing w:after="240" w:line="276" w:lineRule="auto"/>
        <w:rPr>
          <w:rFonts w:eastAsia="Times New Roman" w:cs="Arial"/>
          <w:sz w:val="24"/>
          <w:szCs w:val="24"/>
        </w:rPr>
      </w:pPr>
      <w:r w:rsidRPr="00BF4B37">
        <w:rPr>
          <w:rFonts w:ascii="Times New Roman" w:eastAsia="Times New Roman" w:hAnsi="Times New Roman"/>
          <w:b/>
          <w:bCs/>
          <w:sz w:val="24"/>
          <w:szCs w:val="24"/>
        </w:rPr>
        <w:t>Human rights implications</w:t>
      </w:r>
    </w:p>
    <w:p w14:paraId="2975258B" w14:textId="77777777" w:rsidR="00F45E4F" w:rsidRPr="00BF4B37" w:rsidRDefault="00F45E4F" w:rsidP="00F45E4F">
      <w:pPr>
        <w:shd w:val="clear" w:color="auto" w:fill="FFFFFF"/>
        <w:spacing w:after="240" w:line="276" w:lineRule="auto"/>
        <w:rPr>
          <w:rFonts w:eastAsia="Times New Roman" w:cs="Arial"/>
          <w:sz w:val="24"/>
          <w:szCs w:val="24"/>
        </w:rPr>
      </w:pPr>
      <w:r w:rsidRPr="00BF4B37">
        <w:rPr>
          <w:rFonts w:ascii="Times New Roman" w:eastAsia="Times New Roman" w:hAnsi="Times New Roman"/>
          <w:sz w:val="24"/>
          <w:szCs w:val="24"/>
        </w:rPr>
        <w:t xml:space="preserve">The </w:t>
      </w:r>
      <w:r>
        <w:rPr>
          <w:rFonts w:ascii="Times New Roman" w:eastAsia="Times New Roman" w:hAnsi="Times New Roman"/>
          <w:sz w:val="24"/>
          <w:szCs w:val="24"/>
        </w:rPr>
        <w:t>Amendment Regulations</w:t>
      </w:r>
      <w:r w:rsidRPr="00BF4B37">
        <w:rPr>
          <w:rFonts w:ascii="Times New Roman" w:eastAsia="Times New Roman" w:hAnsi="Times New Roman"/>
          <w:sz w:val="24"/>
          <w:szCs w:val="24"/>
        </w:rPr>
        <w:t xml:space="preserve"> engages the following human rights:</w:t>
      </w:r>
    </w:p>
    <w:p w14:paraId="0E2E0E41" w14:textId="77777777" w:rsidR="00F45E4F" w:rsidRPr="00BF4B37" w:rsidRDefault="00F45E4F" w:rsidP="00F45E4F">
      <w:pPr>
        <w:pStyle w:val="ListParagraph"/>
        <w:numPr>
          <w:ilvl w:val="0"/>
          <w:numId w:val="12"/>
        </w:numPr>
        <w:shd w:val="clear" w:color="auto" w:fill="FFFFFF"/>
        <w:spacing w:after="200" w:line="276" w:lineRule="auto"/>
        <w:contextualSpacing w:val="0"/>
        <w:rPr>
          <w:rFonts w:eastAsia="Times New Roman" w:cs="Arial"/>
          <w:sz w:val="24"/>
          <w:szCs w:val="24"/>
        </w:rPr>
      </w:pPr>
      <w:r w:rsidRPr="00BF4B37">
        <w:rPr>
          <w:rFonts w:ascii="Times New Roman" w:eastAsia="Times New Roman" w:hAnsi="Times New Roman"/>
          <w:sz w:val="24"/>
          <w:szCs w:val="24"/>
        </w:rPr>
        <w:t>The right to an effective remedy in Article 2(3) of the International Covenant on Civil and Political Rights (ICCPR);</w:t>
      </w:r>
    </w:p>
    <w:p w14:paraId="17E59567" w14:textId="77777777" w:rsidR="00F45E4F" w:rsidRPr="00BF4B37" w:rsidRDefault="00F45E4F" w:rsidP="00F45E4F">
      <w:pPr>
        <w:pStyle w:val="ListParagraph"/>
        <w:numPr>
          <w:ilvl w:val="0"/>
          <w:numId w:val="12"/>
        </w:numPr>
        <w:shd w:val="clear" w:color="auto" w:fill="FFFFFF"/>
        <w:spacing w:after="200" w:line="276" w:lineRule="auto"/>
        <w:contextualSpacing w:val="0"/>
        <w:rPr>
          <w:rFonts w:eastAsia="Times New Roman" w:cs="Arial"/>
          <w:sz w:val="24"/>
          <w:szCs w:val="24"/>
        </w:rPr>
      </w:pPr>
      <w:r w:rsidRPr="00BF4B37">
        <w:rPr>
          <w:rFonts w:ascii="Times New Roman" w:eastAsia="Times New Roman" w:hAnsi="Times New Roman"/>
          <w:sz w:val="24"/>
          <w:szCs w:val="24"/>
        </w:rPr>
        <w:t>The right to a fair trial in Article 14(1) of the ICCPR;</w:t>
      </w:r>
    </w:p>
    <w:p w14:paraId="5DA15653" w14:textId="77777777" w:rsidR="00F45E4F" w:rsidRPr="00BF4B37" w:rsidRDefault="00F45E4F" w:rsidP="00F45E4F">
      <w:pPr>
        <w:pStyle w:val="ListParagraph"/>
        <w:numPr>
          <w:ilvl w:val="0"/>
          <w:numId w:val="12"/>
        </w:numPr>
        <w:shd w:val="clear" w:color="auto" w:fill="FFFFFF"/>
        <w:spacing w:after="200" w:line="276" w:lineRule="auto"/>
        <w:contextualSpacing w:val="0"/>
        <w:rPr>
          <w:rFonts w:eastAsia="Times New Roman" w:cs="Arial"/>
          <w:sz w:val="24"/>
          <w:szCs w:val="24"/>
        </w:rPr>
      </w:pPr>
      <w:r w:rsidRPr="00BF4B37">
        <w:rPr>
          <w:rFonts w:ascii="Times New Roman" w:eastAsia="Times New Roman" w:hAnsi="Times New Roman"/>
          <w:sz w:val="24"/>
          <w:szCs w:val="24"/>
        </w:rPr>
        <w:t>The right to the presumption of innocence in Article 14(2) of the ICCPR.</w:t>
      </w:r>
    </w:p>
    <w:p w14:paraId="11799A0D" w14:textId="77777777" w:rsidR="00F45E4F" w:rsidRPr="00BF4B37" w:rsidRDefault="00F45E4F" w:rsidP="00F45E4F">
      <w:pPr>
        <w:shd w:val="clear" w:color="auto" w:fill="FFFFFF"/>
        <w:spacing w:after="240" w:line="276" w:lineRule="auto"/>
        <w:rPr>
          <w:rFonts w:ascii="Times New Roman" w:eastAsia="Times New Roman" w:hAnsi="Times New Roman"/>
          <w:sz w:val="24"/>
          <w:szCs w:val="24"/>
        </w:rPr>
      </w:pPr>
      <w:r w:rsidRPr="00BF4B37">
        <w:rPr>
          <w:rFonts w:ascii="Times New Roman" w:eastAsia="Times New Roman" w:hAnsi="Times New Roman"/>
          <w:b/>
          <w:bCs/>
          <w:sz w:val="24"/>
          <w:szCs w:val="24"/>
        </w:rPr>
        <w:t xml:space="preserve">Right to an effective remedy </w:t>
      </w:r>
    </w:p>
    <w:p w14:paraId="0117ADC8" w14:textId="77777777" w:rsidR="00F45E4F" w:rsidRDefault="00F45E4F" w:rsidP="00F45E4F">
      <w:pPr>
        <w:shd w:val="clear" w:color="auto" w:fill="FFFFFF"/>
        <w:spacing w:after="240" w:line="276" w:lineRule="auto"/>
        <w:rPr>
          <w:rFonts w:ascii="Times New Roman" w:eastAsia="Times New Roman" w:hAnsi="Times New Roman"/>
          <w:sz w:val="24"/>
          <w:szCs w:val="24"/>
        </w:rPr>
      </w:pPr>
      <w:r w:rsidRPr="00BF4B37">
        <w:rPr>
          <w:rFonts w:ascii="Times New Roman" w:eastAsia="Times New Roman" w:hAnsi="Times New Roman"/>
          <w:sz w:val="24"/>
          <w:szCs w:val="24"/>
        </w:rPr>
        <w:t>Article 2(3) of the ICCPR ensures that any person whose rights or freedoms are violated shall have an effective remedy, and that a person in claiming such a remedy shall have his rights determined by a competent judicial, administrative or legislative authority.</w:t>
      </w:r>
    </w:p>
    <w:p w14:paraId="7A8D9DA6" w14:textId="58EB6DDA" w:rsidR="00354800" w:rsidRPr="00354800" w:rsidRDefault="00354800" w:rsidP="00F45E4F">
      <w:pPr>
        <w:shd w:val="clear" w:color="auto" w:fill="FFFFFF"/>
        <w:spacing w:after="240" w:line="276" w:lineRule="auto"/>
        <w:rPr>
          <w:rFonts w:ascii="Times New Roman" w:eastAsia="Times New Roman" w:hAnsi="Times New Roman"/>
          <w:sz w:val="24"/>
          <w:szCs w:val="24"/>
          <w:u w:val="single"/>
        </w:rPr>
      </w:pPr>
      <w:r w:rsidRPr="00354800">
        <w:rPr>
          <w:rFonts w:ascii="Times New Roman" w:eastAsia="Times New Roman" w:hAnsi="Times New Roman"/>
          <w:sz w:val="24"/>
          <w:szCs w:val="24"/>
          <w:u w:val="single"/>
        </w:rPr>
        <w:t>Cancellation and suspension of fire protection permits</w:t>
      </w:r>
    </w:p>
    <w:p w14:paraId="11648914" w14:textId="31059C5E" w:rsidR="00354800" w:rsidRDefault="00354800" w:rsidP="00F45E4F">
      <w:pPr>
        <w:shd w:val="clear" w:color="auto" w:fill="FFFFFF"/>
        <w:spacing w:after="240" w:line="276" w:lineRule="auto"/>
        <w:rPr>
          <w:rFonts w:ascii="Times New Roman" w:hAnsi="Times New Roman"/>
          <w:sz w:val="24"/>
          <w:szCs w:val="24"/>
        </w:rPr>
      </w:pPr>
      <w:r>
        <w:rPr>
          <w:rFonts w:ascii="Times New Roman" w:hAnsi="Times New Roman"/>
          <w:sz w:val="24"/>
          <w:szCs w:val="24"/>
        </w:rPr>
        <w:t>Part 5 of the Amendment Regulations allows for the suspension or cancellation of a fire protection industry permit by the Minister if the Minister is satisfied that a permit holder does not have the knowledge, ability and experience necessary to competently carry out the work covered by the permit.</w:t>
      </w:r>
    </w:p>
    <w:p w14:paraId="7A1519FE" w14:textId="33FE921E" w:rsidR="00354800" w:rsidRPr="00BF4B37" w:rsidRDefault="00354800" w:rsidP="00354800">
      <w:pPr>
        <w:shd w:val="clear" w:color="auto" w:fill="FFFFFF"/>
        <w:spacing w:after="240" w:line="276" w:lineRule="auto"/>
        <w:rPr>
          <w:rFonts w:ascii="Times New Roman" w:hAnsi="Times New Roman"/>
          <w:sz w:val="24"/>
          <w:szCs w:val="24"/>
        </w:rPr>
      </w:pPr>
      <w:r>
        <w:rPr>
          <w:rFonts w:ascii="Times New Roman" w:hAnsi="Times New Roman"/>
          <w:sz w:val="24"/>
          <w:szCs w:val="24"/>
        </w:rPr>
        <w:t>The Principal Regulations already provide that a decision to suspend or cancel a fire protection industry permit may be reconsidered upon application to the relevant authority using processes outlined in Regulation 316.</w:t>
      </w:r>
      <w:r>
        <w:rPr>
          <w:rFonts w:ascii="Times New Roman" w:eastAsia="Times New Roman" w:hAnsi="Times New Roman"/>
          <w:sz w:val="24"/>
          <w:szCs w:val="24"/>
        </w:rPr>
        <w:t xml:space="preserve"> </w:t>
      </w:r>
      <w:r w:rsidRPr="00BF4B37">
        <w:rPr>
          <w:rFonts w:ascii="Times New Roman" w:eastAsia="Times New Roman" w:hAnsi="Times New Roman"/>
          <w:sz w:val="24"/>
          <w:szCs w:val="24"/>
        </w:rPr>
        <w:t xml:space="preserve">The process involves the </w:t>
      </w:r>
      <w:r>
        <w:rPr>
          <w:rFonts w:ascii="Times New Roman" w:eastAsia="Times New Roman" w:hAnsi="Times New Roman"/>
          <w:sz w:val="24"/>
          <w:szCs w:val="24"/>
        </w:rPr>
        <w:t xml:space="preserve">affected </w:t>
      </w:r>
      <w:r w:rsidRPr="00BF4B37">
        <w:rPr>
          <w:rFonts w:ascii="Times New Roman" w:eastAsia="Times New Roman" w:hAnsi="Times New Roman"/>
          <w:sz w:val="24"/>
          <w:szCs w:val="24"/>
        </w:rPr>
        <w:t xml:space="preserve">person </w:t>
      </w:r>
      <w:r w:rsidRPr="00BF4B37">
        <w:rPr>
          <w:rFonts w:ascii="Times New Roman" w:hAnsi="Times New Roman"/>
          <w:sz w:val="24"/>
          <w:szCs w:val="24"/>
        </w:rPr>
        <w:t xml:space="preserve">applying directly to the relevant authority for </w:t>
      </w:r>
      <w:r>
        <w:rPr>
          <w:rFonts w:ascii="Times New Roman" w:hAnsi="Times New Roman"/>
          <w:sz w:val="24"/>
          <w:szCs w:val="24"/>
        </w:rPr>
        <w:t>a</w:t>
      </w:r>
      <w:r w:rsidRPr="00BF4B37">
        <w:rPr>
          <w:rFonts w:ascii="Times New Roman" w:hAnsi="Times New Roman"/>
          <w:sz w:val="24"/>
          <w:szCs w:val="24"/>
        </w:rPr>
        <w:t xml:space="preserve"> reconsideration of the decision</w:t>
      </w:r>
      <w:r>
        <w:rPr>
          <w:rFonts w:ascii="Times New Roman" w:hAnsi="Times New Roman"/>
          <w:sz w:val="24"/>
          <w:szCs w:val="24"/>
        </w:rPr>
        <w:t>,</w:t>
      </w:r>
      <w:r w:rsidRPr="00BF4B37">
        <w:rPr>
          <w:rFonts w:ascii="Times New Roman" w:hAnsi="Times New Roman"/>
          <w:sz w:val="24"/>
          <w:szCs w:val="24"/>
        </w:rPr>
        <w:t xml:space="preserve"> within 21 days of the day on which the notice of the decision was issued by the relevant authority.</w:t>
      </w:r>
    </w:p>
    <w:p w14:paraId="53334BC3" w14:textId="0E821FAB" w:rsidR="00354800" w:rsidRPr="00BF4B37" w:rsidRDefault="00354800" w:rsidP="00354800">
      <w:pPr>
        <w:shd w:val="clear" w:color="auto" w:fill="FFFFFF"/>
        <w:spacing w:after="240" w:line="276" w:lineRule="auto"/>
        <w:rPr>
          <w:rFonts w:eastAsia="Times New Roman" w:cs="Arial"/>
          <w:sz w:val="24"/>
          <w:szCs w:val="24"/>
        </w:rPr>
      </w:pPr>
      <w:r w:rsidRPr="00BF4B37">
        <w:rPr>
          <w:rFonts w:ascii="Times New Roman" w:hAnsi="Times New Roman"/>
          <w:sz w:val="24"/>
          <w:szCs w:val="24"/>
        </w:rPr>
        <w:lastRenderedPageBreak/>
        <w:t xml:space="preserve">If the person is not satisfied with the outcome of the </w:t>
      </w:r>
      <w:r>
        <w:rPr>
          <w:rFonts w:ascii="Times New Roman" w:hAnsi="Times New Roman"/>
          <w:sz w:val="24"/>
          <w:szCs w:val="24"/>
        </w:rPr>
        <w:t>reconsidered decision</w:t>
      </w:r>
      <w:r w:rsidRPr="00BF4B37">
        <w:rPr>
          <w:rFonts w:ascii="Times New Roman" w:hAnsi="Times New Roman"/>
          <w:sz w:val="24"/>
          <w:szCs w:val="24"/>
        </w:rPr>
        <w:t xml:space="preserve">, </w:t>
      </w:r>
      <w:r>
        <w:rPr>
          <w:rFonts w:ascii="Times New Roman" w:hAnsi="Times New Roman"/>
          <w:sz w:val="24"/>
          <w:szCs w:val="24"/>
        </w:rPr>
        <w:t>existing Regulation 317 allows the affected person to</w:t>
      </w:r>
      <w:r w:rsidRPr="00BF4B37">
        <w:rPr>
          <w:rFonts w:ascii="Times New Roman" w:hAnsi="Times New Roman"/>
          <w:sz w:val="24"/>
          <w:szCs w:val="24"/>
        </w:rPr>
        <w:t xml:space="preserve"> appl</w:t>
      </w:r>
      <w:r>
        <w:rPr>
          <w:rFonts w:ascii="Times New Roman" w:hAnsi="Times New Roman"/>
          <w:sz w:val="24"/>
          <w:szCs w:val="24"/>
        </w:rPr>
        <w:t>y</w:t>
      </w:r>
      <w:r w:rsidRPr="00BF4B37">
        <w:rPr>
          <w:rFonts w:ascii="Times New Roman" w:hAnsi="Times New Roman"/>
          <w:sz w:val="24"/>
          <w:szCs w:val="24"/>
        </w:rPr>
        <w:t xml:space="preserve"> to the </w:t>
      </w:r>
      <w:r>
        <w:rPr>
          <w:rFonts w:ascii="Times New Roman" w:hAnsi="Times New Roman"/>
          <w:sz w:val="24"/>
          <w:szCs w:val="24"/>
        </w:rPr>
        <w:t>AAT for review of the reconsidered decision. This two-stage process provides two mechanisms for affected persons to seek a review of decisions.</w:t>
      </w:r>
    </w:p>
    <w:p w14:paraId="047288F5" w14:textId="77777777" w:rsidR="00F45E4F" w:rsidRPr="00D2405D" w:rsidRDefault="00F45E4F" w:rsidP="00F45E4F">
      <w:pPr>
        <w:shd w:val="clear" w:color="auto" w:fill="FFFFFF"/>
        <w:spacing w:after="240" w:line="276" w:lineRule="auto"/>
        <w:rPr>
          <w:rFonts w:ascii="Times New Roman" w:eastAsia="Times New Roman" w:hAnsi="Times New Roman"/>
          <w:sz w:val="24"/>
          <w:szCs w:val="24"/>
          <w:u w:val="single"/>
        </w:rPr>
      </w:pPr>
      <w:r w:rsidRPr="00603A42">
        <w:rPr>
          <w:rFonts w:ascii="Times New Roman" w:eastAsia="Times New Roman" w:hAnsi="Times New Roman"/>
          <w:sz w:val="24"/>
          <w:szCs w:val="24"/>
          <w:u w:val="single"/>
        </w:rPr>
        <w:t xml:space="preserve">Granting of </w:t>
      </w:r>
      <w:r>
        <w:rPr>
          <w:rFonts w:ascii="Times New Roman" w:eastAsia="Times New Roman" w:hAnsi="Times New Roman"/>
          <w:sz w:val="24"/>
          <w:szCs w:val="24"/>
          <w:u w:val="single"/>
        </w:rPr>
        <w:t>n</w:t>
      </w:r>
      <w:r w:rsidRPr="00D2405D">
        <w:rPr>
          <w:rFonts w:ascii="Times New Roman" w:eastAsia="Times New Roman" w:hAnsi="Times New Roman"/>
          <w:sz w:val="24"/>
          <w:szCs w:val="24"/>
          <w:u w:val="single"/>
        </w:rPr>
        <w:t xml:space="preserve">on-QPS permits </w:t>
      </w:r>
    </w:p>
    <w:p w14:paraId="38FCD46E" w14:textId="77777777" w:rsidR="00F45E4F" w:rsidRPr="00BF4B37" w:rsidRDefault="00F45E4F" w:rsidP="00F45E4F">
      <w:pPr>
        <w:shd w:val="clear" w:color="auto" w:fill="FFFFFF"/>
        <w:spacing w:after="240" w:line="276" w:lineRule="auto"/>
        <w:rPr>
          <w:rFonts w:ascii="Times New Roman" w:eastAsia="Times New Roman" w:hAnsi="Times New Roman"/>
          <w:sz w:val="24"/>
          <w:szCs w:val="24"/>
        </w:rPr>
      </w:pPr>
      <w:r>
        <w:rPr>
          <w:rFonts w:ascii="Times New Roman" w:eastAsia="Times New Roman" w:hAnsi="Times New Roman"/>
          <w:sz w:val="24"/>
          <w:szCs w:val="24"/>
        </w:rPr>
        <w:t>Part 3 of the Amendment Regulations enables the Minister to grant non-QPS permits for the use of methyl bromide in emergency circumstances. Such emergency circumstances could include an unusual disease outbreak in a crop or production facility where methyl bromide is the only suitable fumigant. To grant a permit, the Minister must be</w:t>
      </w:r>
      <w:r w:rsidRPr="00BF4B37">
        <w:rPr>
          <w:rFonts w:ascii="Times New Roman" w:eastAsia="Times New Roman" w:hAnsi="Times New Roman"/>
          <w:sz w:val="24"/>
          <w:szCs w:val="24"/>
        </w:rPr>
        <w:t xml:space="preserve"> satisfied that an emergency situation exists and it is appropriate to grant the permit to deal with the emergency situation. </w:t>
      </w:r>
    </w:p>
    <w:p w14:paraId="566E527D" w14:textId="1DF5B877" w:rsidR="00F45E4F" w:rsidRDefault="00F45E4F" w:rsidP="00F45E4F">
      <w:pPr>
        <w:shd w:val="clear" w:color="auto" w:fill="FFFFFF"/>
        <w:spacing w:after="240" w:line="276" w:lineRule="auto"/>
        <w:rPr>
          <w:rFonts w:ascii="Times New Roman" w:eastAsia="Times New Roman" w:hAnsi="Times New Roman"/>
          <w:sz w:val="24"/>
          <w:szCs w:val="24"/>
        </w:rPr>
      </w:pPr>
      <w:r w:rsidRPr="00BF4B37">
        <w:rPr>
          <w:rFonts w:ascii="Times New Roman" w:eastAsia="Times New Roman" w:hAnsi="Times New Roman"/>
          <w:sz w:val="24"/>
          <w:szCs w:val="24"/>
        </w:rPr>
        <w:t xml:space="preserve">Regulation 238 </w:t>
      </w:r>
      <w:r w:rsidR="00F5079B">
        <w:rPr>
          <w:rFonts w:ascii="Times New Roman" w:eastAsia="Times New Roman" w:hAnsi="Times New Roman"/>
          <w:sz w:val="24"/>
          <w:szCs w:val="24"/>
        </w:rPr>
        <w:t xml:space="preserve">of the Principal Regulations </w:t>
      </w:r>
      <w:r>
        <w:rPr>
          <w:rFonts w:ascii="Times New Roman" w:eastAsia="Times New Roman" w:hAnsi="Times New Roman"/>
          <w:sz w:val="24"/>
          <w:szCs w:val="24"/>
        </w:rPr>
        <w:t>allows for an affected person to apply</w:t>
      </w:r>
      <w:r w:rsidRPr="00BF4B37">
        <w:rPr>
          <w:rFonts w:ascii="Times New Roman" w:eastAsia="Times New Roman" w:hAnsi="Times New Roman"/>
          <w:sz w:val="24"/>
          <w:szCs w:val="24"/>
        </w:rPr>
        <w:t xml:space="preserve"> to the </w:t>
      </w:r>
      <w:r>
        <w:rPr>
          <w:rFonts w:ascii="Times New Roman" w:eastAsia="Times New Roman" w:hAnsi="Times New Roman"/>
          <w:sz w:val="24"/>
          <w:szCs w:val="24"/>
        </w:rPr>
        <w:t>Administrative Appeals Tribunal (</w:t>
      </w:r>
      <w:r w:rsidRPr="00BF4B37">
        <w:rPr>
          <w:rFonts w:ascii="Times New Roman" w:eastAsia="Times New Roman" w:hAnsi="Times New Roman"/>
          <w:sz w:val="24"/>
          <w:szCs w:val="24"/>
        </w:rPr>
        <w:t>AAT</w:t>
      </w:r>
      <w:r>
        <w:rPr>
          <w:rFonts w:ascii="Times New Roman" w:eastAsia="Times New Roman" w:hAnsi="Times New Roman"/>
          <w:sz w:val="24"/>
          <w:szCs w:val="24"/>
        </w:rPr>
        <w:t>)</w:t>
      </w:r>
      <w:r w:rsidRPr="00BF4B37">
        <w:rPr>
          <w:rFonts w:ascii="Times New Roman" w:eastAsia="Times New Roman" w:hAnsi="Times New Roman"/>
          <w:sz w:val="24"/>
          <w:szCs w:val="24"/>
        </w:rPr>
        <w:t xml:space="preserve"> for review of decisions made </w:t>
      </w:r>
      <w:r>
        <w:rPr>
          <w:rFonts w:ascii="Times New Roman" w:eastAsia="Times New Roman" w:hAnsi="Times New Roman"/>
          <w:sz w:val="24"/>
          <w:szCs w:val="24"/>
        </w:rPr>
        <w:t xml:space="preserve">in relation to non-QPS permits. </w:t>
      </w:r>
      <w:r w:rsidR="00F5079B">
        <w:rPr>
          <w:rFonts w:ascii="Times New Roman" w:eastAsia="Times New Roman" w:hAnsi="Times New Roman"/>
          <w:sz w:val="24"/>
          <w:szCs w:val="24"/>
        </w:rPr>
        <w:t>D</w:t>
      </w:r>
      <w:r w:rsidR="00800124">
        <w:rPr>
          <w:rFonts w:ascii="Times New Roman" w:eastAsia="Times New Roman" w:hAnsi="Times New Roman"/>
          <w:sz w:val="24"/>
          <w:szCs w:val="24"/>
        </w:rPr>
        <w:t xml:space="preserve">ecisions by the Minister to refuse to grant or vary </w:t>
      </w:r>
      <w:r w:rsidR="00800124" w:rsidRPr="00BF4B37">
        <w:rPr>
          <w:rFonts w:ascii="Times New Roman" w:eastAsia="Times New Roman" w:hAnsi="Times New Roman"/>
          <w:sz w:val="24"/>
          <w:szCs w:val="24"/>
        </w:rPr>
        <w:t>a non-QPS permit for emergency use</w:t>
      </w:r>
      <w:r w:rsidR="00800124">
        <w:rPr>
          <w:rFonts w:ascii="Times New Roman" w:eastAsia="Times New Roman" w:hAnsi="Times New Roman"/>
          <w:sz w:val="24"/>
          <w:szCs w:val="24"/>
        </w:rPr>
        <w:t xml:space="preserve"> </w:t>
      </w:r>
      <w:r w:rsidR="00F5079B">
        <w:rPr>
          <w:rFonts w:ascii="Times New Roman" w:eastAsia="Times New Roman" w:hAnsi="Times New Roman"/>
          <w:sz w:val="24"/>
          <w:szCs w:val="24"/>
        </w:rPr>
        <w:t>will be covered by regulation 238 and therefore open to review by the AAT</w:t>
      </w:r>
      <w:r w:rsidR="00800124">
        <w:rPr>
          <w:rFonts w:ascii="Times New Roman" w:eastAsia="Times New Roman" w:hAnsi="Times New Roman"/>
          <w:sz w:val="24"/>
          <w:szCs w:val="24"/>
        </w:rPr>
        <w:t xml:space="preserve">. </w:t>
      </w:r>
    </w:p>
    <w:p w14:paraId="615F6DC9" w14:textId="1515893A" w:rsidR="00F45E4F" w:rsidRPr="00603A42" w:rsidRDefault="00F45E4F" w:rsidP="00F45E4F">
      <w:pPr>
        <w:shd w:val="clear" w:color="auto" w:fill="FFFFFF"/>
        <w:spacing w:after="240" w:line="276" w:lineRule="auto"/>
        <w:rPr>
          <w:rFonts w:ascii="Times New Roman" w:eastAsia="Times New Roman" w:hAnsi="Times New Roman"/>
          <w:sz w:val="24"/>
          <w:szCs w:val="24"/>
          <w:u w:val="single"/>
        </w:rPr>
      </w:pPr>
      <w:r>
        <w:rPr>
          <w:rFonts w:ascii="Times New Roman" w:eastAsia="Times New Roman" w:hAnsi="Times New Roman"/>
          <w:sz w:val="24"/>
          <w:szCs w:val="24"/>
          <w:u w:val="single"/>
        </w:rPr>
        <w:t>Waiver of licence fees</w:t>
      </w:r>
    </w:p>
    <w:p w14:paraId="250392D6" w14:textId="77777777" w:rsidR="00E40C89" w:rsidRPr="00BF4B37" w:rsidRDefault="00F45E4F" w:rsidP="00F45E4F">
      <w:pPr>
        <w:shd w:val="clear" w:color="auto" w:fill="FFFFFF"/>
        <w:spacing w:after="240" w:line="276" w:lineRule="auto"/>
        <w:rPr>
          <w:rFonts w:ascii="Times New Roman" w:eastAsia="Times New Roman" w:hAnsi="Times New Roman"/>
          <w:sz w:val="24"/>
          <w:szCs w:val="24"/>
        </w:rPr>
      </w:pPr>
      <w:r>
        <w:rPr>
          <w:rFonts w:ascii="Times New Roman" w:eastAsia="Times New Roman" w:hAnsi="Times New Roman"/>
          <w:sz w:val="24"/>
          <w:szCs w:val="24"/>
        </w:rPr>
        <w:t xml:space="preserve">Part 4 of the Amendment Regulations </w:t>
      </w:r>
      <w:r w:rsidRPr="00BF4B37">
        <w:rPr>
          <w:rFonts w:ascii="Times New Roman" w:eastAsia="Times New Roman" w:hAnsi="Times New Roman"/>
          <w:sz w:val="24"/>
          <w:szCs w:val="24"/>
        </w:rPr>
        <w:t>enable</w:t>
      </w:r>
      <w:r>
        <w:rPr>
          <w:rFonts w:ascii="Times New Roman" w:eastAsia="Times New Roman" w:hAnsi="Times New Roman"/>
          <w:sz w:val="24"/>
          <w:szCs w:val="24"/>
        </w:rPr>
        <w:t>s</w:t>
      </w:r>
      <w:r w:rsidRPr="00BF4B37">
        <w:rPr>
          <w:rFonts w:ascii="Times New Roman" w:eastAsia="Times New Roman" w:hAnsi="Times New Roman"/>
          <w:sz w:val="24"/>
          <w:szCs w:val="24"/>
        </w:rPr>
        <w:t xml:space="preserve"> the Minister to waive the application fee for an equipment licence in certain circumstances, including when granting an equipment licence that permits manufacture or import of HCFC equipment in certain test, monitoring, or laborato</w:t>
      </w:r>
      <w:r>
        <w:rPr>
          <w:rFonts w:ascii="Times New Roman" w:eastAsia="Times New Roman" w:hAnsi="Times New Roman"/>
          <w:sz w:val="24"/>
          <w:szCs w:val="24"/>
        </w:rPr>
        <w:t>ry and analytical circumstances</w:t>
      </w:r>
      <w:r w:rsidR="00E40C89">
        <w:rPr>
          <w:rFonts w:ascii="Times New Roman" w:eastAsia="Times New Roman" w:hAnsi="Times New Roman"/>
          <w:sz w:val="24"/>
          <w:szCs w:val="24"/>
        </w:rPr>
        <w:t>.</w:t>
      </w:r>
    </w:p>
    <w:p w14:paraId="1524D4EA" w14:textId="713898B3" w:rsidR="00F45E4F" w:rsidRPr="00BF4B37" w:rsidRDefault="00F45E4F" w:rsidP="00F45E4F">
      <w:pPr>
        <w:shd w:val="clear" w:color="auto" w:fill="FFFFFF"/>
        <w:spacing w:after="240" w:line="276" w:lineRule="auto"/>
        <w:rPr>
          <w:rFonts w:ascii="Times New Roman" w:eastAsia="Times New Roman" w:hAnsi="Times New Roman"/>
          <w:sz w:val="24"/>
          <w:szCs w:val="24"/>
        </w:rPr>
      </w:pPr>
      <w:r>
        <w:rPr>
          <w:rFonts w:ascii="Times New Roman" w:eastAsia="Times New Roman" w:hAnsi="Times New Roman"/>
          <w:sz w:val="24"/>
          <w:szCs w:val="24"/>
        </w:rPr>
        <w:t>The amendments prescribe that decisions by the Minister to refuse to waive application fees for an equipment licence, in circumstances described in Part 4 of the Amendment Regulations, may be reviewed by the AAT. This provide</w:t>
      </w:r>
      <w:r w:rsidR="00124FA9">
        <w:rPr>
          <w:rFonts w:ascii="Times New Roman" w:eastAsia="Times New Roman" w:hAnsi="Times New Roman"/>
          <w:sz w:val="24"/>
          <w:szCs w:val="24"/>
        </w:rPr>
        <w:t>s</w:t>
      </w:r>
      <w:r>
        <w:rPr>
          <w:rFonts w:ascii="Times New Roman" w:eastAsia="Times New Roman" w:hAnsi="Times New Roman"/>
          <w:sz w:val="24"/>
          <w:szCs w:val="24"/>
        </w:rPr>
        <w:t xml:space="preserve"> a mechanism for affected persons to seek a review of decisions. </w:t>
      </w:r>
    </w:p>
    <w:p w14:paraId="4108DF30" w14:textId="77777777" w:rsidR="00F45E4F" w:rsidRPr="00603A42" w:rsidRDefault="00F45E4F" w:rsidP="00F45E4F">
      <w:pPr>
        <w:shd w:val="clear" w:color="auto" w:fill="FFFFFF"/>
        <w:spacing w:after="240" w:line="276" w:lineRule="auto"/>
        <w:rPr>
          <w:rFonts w:ascii="Times New Roman" w:eastAsia="Times New Roman" w:hAnsi="Times New Roman"/>
          <w:sz w:val="24"/>
          <w:szCs w:val="24"/>
          <w:u w:val="single"/>
        </w:rPr>
      </w:pPr>
      <w:r w:rsidRPr="00603A42">
        <w:rPr>
          <w:rFonts w:ascii="Times New Roman" w:eastAsia="Times New Roman" w:hAnsi="Times New Roman"/>
          <w:sz w:val="24"/>
          <w:szCs w:val="24"/>
          <w:u w:val="single"/>
        </w:rPr>
        <w:t>Refund of fees</w:t>
      </w:r>
    </w:p>
    <w:p w14:paraId="0C670789" w14:textId="77777777" w:rsidR="00F45E4F" w:rsidRDefault="00F45E4F" w:rsidP="00F45E4F">
      <w:pPr>
        <w:shd w:val="clear" w:color="auto" w:fill="FFFFFF"/>
        <w:spacing w:after="240" w:line="276" w:lineRule="auto"/>
        <w:rPr>
          <w:rFonts w:ascii="Times New Roman" w:hAnsi="Times New Roman"/>
          <w:sz w:val="24"/>
          <w:szCs w:val="24"/>
        </w:rPr>
      </w:pPr>
      <w:r>
        <w:rPr>
          <w:rFonts w:ascii="Times New Roman" w:eastAsia="Times New Roman" w:hAnsi="Times New Roman"/>
          <w:sz w:val="24"/>
          <w:szCs w:val="24"/>
        </w:rPr>
        <w:t xml:space="preserve">Part 6 of the Amendment Regulations sets out the circumstances in which the Minister may decide to refund application fees for </w:t>
      </w:r>
      <w:r w:rsidRPr="00BF4B37">
        <w:rPr>
          <w:rFonts w:ascii="Times New Roman" w:eastAsia="Times New Roman" w:hAnsi="Times New Roman"/>
          <w:sz w:val="24"/>
          <w:szCs w:val="24"/>
        </w:rPr>
        <w:t>refrigeration and air conditioning (RAC) and</w:t>
      </w:r>
      <w:r w:rsidRPr="00BF4B37">
        <w:rPr>
          <w:rFonts w:ascii="Times New Roman" w:hAnsi="Times New Roman"/>
          <w:sz w:val="24"/>
          <w:szCs w:val="24"/>
        </w:rPr>
        <w:t xml:space="preserve"> the fire protection permit</w:t>
      </w:r>
      <w:r>
        <w:rPr>
          <w:rFonts w:ascii="Times New Roman" w:hAnsi="Times New Roman"/>
          <w:sz w:val="24"/>
          <w:szCs w:val="24"/>
        </w:rPr>
        <w:t>s.</w:t>
      </w:r>
      <w:r>
        <w:rPr>
          <w:rFonts w:ascii="Times New Roman" w:eastAsia="Times New Roman" w:hAnsi="Times New Roman"/>
          <w:sz w:val="24"/>
          <w:szCs w:val="24"/>
        </w:rPr>
        <w:t xml:space="preserve"> </w:t>
      </w:r>
    </w:p>
    <w:p w14:paraId="6798D71A" w14:textId="2346F74D" w:rsidR="00F45E4F" w:rsidRPr="00BF4B37" w:rsidRDefault="00F45E4F" w:rsidP="00F45E4F">
      <w:pPr>
        <w:shd w:val="clear" w:color="auto" w:fill="FFFFFF"/>
        <w:spacing w:after="240" w:line="276" w:lineRule="auto"/>
        <w:rPr>
          <w:rFonts w:ascii="Times New Roman" w:hAnsi="Times New Roman"/>
          <w:sz w:val="24"/>
          <w:szCs w:val="24"/>
        </w:rPr>
      </w:pPr>
      <w:r>
        <w:rPr>
          <w:rFonts w:ascii="Times New Roman" w:hAnsi="Times New Roman"/>
          <w:sz w:val="24"/>
          <w:szCs w:val="24"/>
        </w:rPr>
        <w:t>The Amendment Regulations also provide that a refusal to refund application fees for RAC and fire protection permits may be reconsidered upon application to the relevant authority using existing processes outlined in Regulations 124 and 316.</w:t>
      </w:r>
      <w:r>
        <w:rPr>
          <w:rFonts w:ascii="Times New Roman" w:eastAsia="Times New Roman" w:hAnsi="Times New Roman"/>
          <w:sz w:val="24"/>
          <w:szCs w:val="24"/>
        </w:rPr>
        <w:t xml:space="preserve"> </w:t>
      </w:r>
      <w:r w:rsidRPr="00BF4B37">
        <w:rPr>
          <w:rFonts w:ascii="Times New Roman" w:eastAsia="Times New Roman" w:hAnsi="Times New Roman"/>
          <w:sz w:val="24"/>
          <w:szCs w:val="24"/>
        </w:rPr>
        <w:t xml:space="preserve">The process involves the </w:t>
      </w:r>
      <w:r>
        <w:rPr>
          <w:rFonts w:ascii="Times New Roman" w:eastAsia="Times New Roman" w:hAnsi="Times New Roman"/>
          <w:sz w:val="24"/>
          <w:szCs w:val="24"/>
        </w:rPr>
        <w:t xml:space="preserve">affected </w:t>
      </w:r>
      <w:r w:rsidRPr="00BF4B37">
        <w:rPr>
          <w:rFonts w:ascii="Times New Roman" w:eastAsia="Times New Roman" w:hAnsi="Times New Roman"/>
          <w:sz w:val="24"/>
          <w:szCs w:val="24"/>
        </w:rPr>
        <w:t xml:space="preserve">person </w:t>
      </w:r>
      <w:r w:rsidRPr="00BF4B37">
        <w:rPr>
          <w:rFonts w:ascii="Times New Roman" w:hAnsi="Times New Roman"/>
          <w:sz w:val="24"/>
          <w:szCs w:val="24"/>
        </w:rPr>
        <w:t xml:space="preserve">applying directly to the relevant authority for </w:t>
      </w:r>
      <w:r>
        <w:rPr>
          <w:rFonts w:ascii="Times New Roman" w:hAnsi="Times New Roman"/>
          <w:sz w:val="24"/>
          <w:szCs w:val="24"/>
        </w:rPr>
        <w:t>a</w:t>
      </w:r>
      <w:r w:rsidRPr="00BF4B37">
        <w:rPr>
          <w:rFonts w:ascii="Times New Roman" w:hAnsi="Times New Roman"/>
          <w:sz w:val="24"/>
          <w:szCs w:val="24"/>
        </w:rPr>
        <w:t xml:space="preserve"> reconsideration of the decision</w:t>
      </w:r>
      <w:r w:rsidR="00124FA9">
        <w:rPr>
          <w:rFonts w:ascii="Times New Roman" w:hAnsi="Times New Roman"/>
          <w:sz w:val="24"/>
          <w:szCs w:val="24"/>
        </w:rPr>
        <w:t>,</w:t>
      </w:r>
      <w:r w:rsidRPr="00BF4B37">
        <w:rPr>
          <w:rFonts w:ascii="Times New Roman" w:hAnsi="Times New Roman"/>
          <w:sz w:val="24"/>
          <w:szCs w:val="24"/>
        </w:rPr>
        <w:t xml:space="preserve"> within 21 days of the day on which the notice of the decision was issued by the relevant authority.</w:t>
      </w:r>
    </w:p>
    <w:p w14:paraId="6D80F375" w14:textId="0DF29FB6" w:rsidR="00F45E4F" w:rsidRPr="00BF4B37" w:rsidRDefault="00F45E4F" w:rsidP="00F45E4F">
      <w:pPr>
        <w:shd w:val="clear" w:color="auto" w:fill="FFFFFF"/>
        <w:spacing w:after="240" w:line="276" w:lineRule="auto"/>
        <w:rPr>
          <w:rFonts w:ascii="Times New Roman" w:hAnsi="Times New Roman"/>
          <w:sz w:val="24"/>
          <w:szCs w:val="24"/>
        </w:rPr>
      </w:pPr>
      <w:r w:rsidRPr="00BF4B37">
        <w:rPr>
          <w:rFonts w:ascii="Times New Roman" w:hAnsi="Times New Roman"/>
          <w:sz w:val="24"/>
          <w:szCs w:val="24"/>
        </w:rPr>
        <w:t xml:space="preserve">If the person is not satisfied with the outcome of the </w:t>
      </w:r>
      <w:r>
        <w:rPr>
          <w:rFonts w:ascii="Times New Roman" w:hAnsi="Times New Roman"/>
          <w:sz w:val="24"/>
          <w:szCs w:val="24"/>
        </w:rPr>
        <w:t>reconsidered decision</w:t>
      </w:r>
      <w:r w:rsidRPr="00BF4B37">
        <w:rPr>
          <w:rFonts w:ascii="Times New Roman" w:hAnsi="Times New Roman"/>
          <w:sz w:val="24"/>
          <w:szCs w:val="24"/>
        </w:rPr>
        <w:t xml:space="preserve">, </w:t>
      </w:r>
      <w:r>
        <w:rPr>
          <w:rFonts w:ascii="Times New Roman" w:hAnsi="Times New Roman"/>
          <w:sz w:val="24"/>
          <w:szCs w:val="24"/>
        </w:rPr>
        <w:t>already existing Regulations 125 and 317 allows the affected person to</w:t>
      </w:r>
      <w:r w:rsidRPr="00BF4B37">
        <w:rPr>
          <w:rFonts w:ascii="Times New Roman" w:hAnsi="Times New Roman"/>
          <w:sz w:val="24"/>
          <w:szCs w:val="24"/>
        </w:rPr>
        <w:t xml:space="preserve"> appl</w:t>
      </w:r>
      <w:r>
        <w:rPr>
          <w:rFonts w:ascii="Times New Roman" w:hAnsi="Times New Roman"/>
          <w:sz w:val="24"/>
          <w:szCs w:val="24"/>
        </w:rPr>
        <w:t>y</w:t>
      </w:r>
      <w:r w:rsidRPr="00BF4B37">
        <w:rPr>
          <w:rFonts w:ascii="Times New Roman" w:hAnsi="Times New Roman"/>
          <w:sz w:val="24"/>
          <w:szCs w:val="24"/>
        </w:rPr>
        <w:t xml:space="preserve"> to the </w:t>
      </w:r>
      <w:r>
        <w:rPr>
          <w:rFonts w:ascii="Times New Roman" w:hAnsi="Times New Roman"/>
          <w:sz w:val="24"/>
          <w:szCs w:val="24"/>
        </w:rPr>
        <w:t xml:space="preserve">AAT for review of the reconsidered decision. This two-stage process provides two mechanisms for affected persons to seek a review of decisions. </w:t>
      </w:r>
    </w:p>
    <w:p w14:paraId="0708C8BE" w14:textId="77777777" w:rsidR="00F45E4F" w:rsidRPr="00BF4B37" w:rsidRDefault="00F45E4F" w:rsidP="00F45E4F">
      <w:pPr>
        <w:shd w:val="clear" w:color="auto" w:fill="FFFFFF"/>
        <w:spacing w:after="240" w:line="276" w:lineRule="auto"/>
        <w:rPr>
          <w:rFonts w:eastAsia="Times New Roman" w:cs="Arial"/>
          <w:sz w:val="24"/>
          <w:szCs w:val="24"/>
        </w:rPr>
      </w:pPr>
      <w:r w:rsidRPr="00BF4B37">
        <w:rPr>
          <w:rFonts w:ascii="Times New Roman" w:eastAsia="Times New Roman" w:hAnsi="Times New Roman"/>
          <w:b/>
          <w:bCs/>
          <w:sz w:val="24"/>
          <w:szCs w:val="24"/>
        </w:rPr>
        <w:lastRenderedPageBreak/>
        <w:t>Right to a fair trial</w:t>
      </w:r>
    </w:p>
    <w:p w14:paraId="7709D09A" w14:textId="77777777" w:rsidR="00F45E4F" w:rsidRPr="00BF4B37" w:rsidRDefault="00F45E4F" w:rsidP="00F45E4F">
      <w:pPr>
        <w:shd w:val="clear" w:color="auto" w:fill="FFFFFF"/>
        <w:spacing w:after="240" w:line="276" w:lineRule="auto"/>
        <w:rPr>
          <w:rFonts w:eastAsia="Times New Roman" w:cs="Arial"/>
          <w:sz w:val="24"/>
          <w:szCs w:val="24"/>
        </w:rPr>
      </w:pPr>
      <w:r w:rsidRPr="00BF4B37">
        <w:rPr>
          <w:rFonts w:ascii="Times New Roman" w:eastAsia="Times New Roman" w:hAnsi="Times New Roman"/>
          <w:sz w:val="24"/>
          <w:szCs w:val="24"/>
        </w:rPr>
        <w:t>Article 14(1) of the ICCPR guarantees the right to a fair trial and fair hearing in relation to both criminal and civil proceedings.</w:t>
      </w:r>
    </w:p>
    <w:p w14:paraId="4E948AE5" w14:textId="77777777" w:rsidR="00F45E4F" w:rsidRDefault="00F45E4F" w:rsidP="00F45E4F">
      <w:pPr>
        <w:shd w:val="clear" w:color="auto" w:fill="FFFFFF"/>
        <w:spacing w:after="240" w:line="276" w:lineRule="auto"/>
        <w:rPr>
          <w:rFonts w:ascii="Times New Roman" w:eastAsia="Times New Roman" w:hAnsi="Times New Roman"/>
          <w:sz w:val="24"/>
          <w:szCs w:val="24"/>
          <w:u w:val="single"/>
        </w:rPr>
      </w:pPr>
      <w:r>
        <w:rPr>
          <w:rFonts w:ascii="Times New Roman" w:eastAsia="Times New Roman" w:hAnsi="Times New Roman"/>
          <w:sz w:val="24"/>
          <w:szCs w:val="24"/>
          <w:u w:val="single"/>
        </w:rPr>
        <w:t xml:space="preserve">Infringement notices </w:t>
      </w:r>
    </w:p>
    <w:p w14:paraId="33A16336" w14:textId="3F2B7CEA" w:rsidR="00F45E4F" w:rsidRDefault="00F45E4F" w:rsidP="00F45E4F">
      <w:pPr>
        <w:shd w:val="clear" w:color="auto" w:fill="FFFFFF"/>
        <w:spacing w:after="240" w:line="276" w:lineRule="auto"/>
        <w:rPr>
          <w:rFonts w:ascii="Times New Roman" w:eastAsia="Times New Roman" w:hAnsi="Times New Roman"/>
          <w:sz w:val="24"/>
          <w:szCs w:val="24"/>
        </w:rPr>
      </w:pPr>
      <w:r>
        <w:rPr>
          <w:rFonts w:ascii="Times New Roman" w:eastAsia="Times New Roman" w:hAnsi="Times New Roman"/>
          <w:sz w:val="24"/>
          <w:szCs w:val="24"/>
        </w:rPr>
        <w:t xml:space="preserve">Regulation 906A lists offences in the Regulations for which an infringement notice may be issued. </w:t>
      </w:r>
      <w:r w:rsidRPr="00BF4B37">
        <w:rPr>
          <w:rFonts w:ascii="Times New Roman" w:eastAsia="Times New Roman" w:hAnsi="Times New Roman"/>
          <w:sz w:val="24"/>
          <w:szCs w:val="24"/>
        </w:rPr>
        <w:t>The offences of prohibited refrigerant charging and prohibited extinguishing agent charging</w:t>
      </w:r>
      <w:r>
        <w:rPr>
          <w:rFonts w:ascii="Times New Roman" w:eastAsia="Times New Roman" w:hAnsi="Times New Roman"/>
          <w:sz w:val="24"/>
          <w:szCs w:val="24"/>
        </w:rPr>
        <w:t>, created by the Amendment Regulations, have been inc</w:t>
      </w:r>
      <w:r w:rsidR="006122E9">
        <w:rPr>
          <w:rFonts w:ascii="Times New Roman" w:eastAsia="Times New Roman" w:hAnsi="Times New Roman"/>
          <w:sz w:val="24"/>
          <w:szCs w:val="24"/>
        </w:rPr>
        <w:t>luded in the list at regulation </w:t>
      </w:r>
      <w:r>
        <w:rPr>
          <w:rFonts w:ascii="Times New Roman" w:eastAsia="Times New Roman" w:hAnsi="Times New Roman"/>
          <w:sz w:val="24"/>
          <w:szCs w:val="24"/>
        </w:rPr>
        <w:t>906A. These provisions will enable an appointed inspector to issue an infringement notice under Part 8 of the Regulations where the inspector believes, on reasonable grounds, that either offence has been contravened.</w:t>
      </w:r>
    </w:p>
    <w:p w14:paraId="5167D74C" w14:textId="77777777" w:rsidR="00F45E4F" w:rsidRDefault="00F45E4F" w:rsidP="00F45E4F">
      <w:pPr>
        <w:shd w:val="clear" w:color="auto" w:fill="FFFFFF"/>
        <w:spacing w:after="240" w:line="276" w:lineRule="auto"/>
        <w:rPr>
          <w:rFonts w:ascii="Times New Roman" w:eastAsia="Times New Roman" w:hAnsi="Times New Roman"/>
          <w:b/>
          <w:bCs/>
          <w:sz w:val="24"/>
          <w:szCs w:val="24"/>
        </w:rPr>
      </w:pPr>
      <w:r>
        <w:rPr>
          <w:rFonts w:ascii="Times New Roman" w:eastAsia="Times New Roman" w:hAnsi="Times New Roman"/>
          <w:sz w:val="24"/>
          <w:szCs w:val="24"/>
        </w:rPr>
        <w:t xml:space="preserve">An infringement notice issued under Part 8 of the Regulations is a notice of a pecuniary penalty imposed on the person. It sets out the particulars of an alleged contravention the offence. </w:t>
      </w:r>
      <w:r w:rsidRPr="002C174D">
        <w:rPr>
          <w:rFonts w:ascii="Times New Roman" w:eastAsia="Times New Roman" w:hAnsi="Times New Roman"/>
          <w:sz w:val="24"/>
          <w:szCs w:val="24"/>
        </w:rPr>
        <w:t>An infringement notice gives the person to whom the notice is issued the option of</w:t>
      </w:r>
      <w:r>
        <w:rPr>
          <w:rFonts w:ascii="Times New Roman" w:eastAsia="Times New Roman" w:hAnsi="Times New Roman"/>
          <w:sz w:val="24"/>
          <w:szCs w:val="24"/>
        </w:rPr>
        <w:t xml:space="preserve"> </w:t>
      </w:r>
      <w:r w:rsidRPr="002C174D">
        <w:rPr>
          <w:rFonts w:ascii="Times New Roman" w:eastAsia="Times New Roman" w:hAnsi="Times New Roman"/>
          <w:sz w:val="24"/>
          <w:szCs w:val="24"/>
        </w:rPr>
        <w:t xml:space="preserve">paying the penalty set out in the notice, or electing to have the </w:t>
      </w:r>
      <w:r>
        <w:rPr>
          <w:rFonts w:ascii="Times New Roman" w:eastAsia="Times New Roman" w:hAnsi="Times New Roman"/>
          <w:sz w:val="24"/>
          <w:szCs w:val="24"/>
        </w:rPr>
        <w:t xml:space="preserve">matter dealt by a court. If the </w:t>
      </w:r>
      <w:r w:rsidRPr="002C174D">
        <w:rPr>
          <w:rFonts w:ascii="Times New Roman" w:eastAsia="Times New Roman" w:hAnsi="Times New Roman"/>
          <w:sz w:val="24"/>
          <w:szCs w:val="24"/>
        </w:rPr>
        <w:t xml:space="preserve">person does not pay the amount in the notice, they may be prosecuted </w:t>
      </w:r>
      <w:r>
        <w:rPr>
          <w:rFonts w:ascii="Times New Roman" w:eastAsia="Times New Roman" w:hAnsi="Times New Roman"/>
          <w:sz w:val="24"/>
          <w:szCs w:val="24"/>
        </w:rPr>
        <w:t>for the alleged contravention</w:t>
      </w:r>
      <w:r w:rsidRPr="002C174D">
        <w:rPr>
          <w:rFonts w:ascii="Times New Roman" w:eastAsia="Times New Roman" w:hAnsi="Times New Roman"/>
          <w:sz w:val="24"/>
          <w:szCs w:val="24"/>
        </w:rPr>
        <w:t>. This engages the right t</w:t>
      </w:r>
      <w:r>
        <w:rPr>
          <w:rFonts w:ascii="Times New Roman" w:eastAsia="Times New Roman" w:hAnsi="Times New Roman"/>
          <w:sz w:val="24"/>
          <w:szCs w:val="24"/>
        </w:rPr>
        <w:t xml:space="preserve">o a fair and public hearing and </w:t>
      </w:r>
      <w:r w:rsidRPr="002C174D">
        <w:rPr>
          <w:rFonts w:ascii="Times New Roman" w:eastAsia="Times New Roman" w:hAnsi="Times New Roman"/>
          <w:sz w:val="24"/>
          <w:szCs w:val="24"/>
        </w:rPr>
        <w:t xml:space="preserve">the other criminal process rights and minimum guarantees in </w:t>
      </w:r>
      <w:r>
        <w:rPr>
          <w:rFonts w:ascii="Times New Roman" w:eastAsia="Times New Roman" w:hAnsi="Times New Roman"/>
          <w:sz w:val="24"/>
          <w:szCs w:val="24"/>
        </w:rPr>
        <w:t xml:space="preserve">Article 14 of the ICCPR. As the </w:t>
      </w:r>
      <w:r w:rsidRPr="002C174D">
        <w:rPr>
          <w:rFonts w:ascii="Times New Roman" w:eastAsia="Times New Roman" w:hAnsi="Times New Roman"/>
          <w:sz w:val="24"/>
          <w:szCs w:val="24"/>
        </w:rPr>
        <w:t>person may elect to have the matter heard by a court, rather than p</w:t>
      </w:r>
      <w:r>
        <w:rPr>
          <w:rFonts w:ascii="Times New Roman" w:eastAsia="Times New Roman" w:hAnsi="Times New Roman"/>
          <w:sz w:val="24"/>
          <w:szCs w:val="24"/>
        </w:rPr>
        <w:t xml:space="preserve">ay the penalty, the rights to a </w:t>
      </w:r>
      <w:r w:rsidRPr="002C174D">
        <w:rPr>
          <w:rFonts w:ascii="Times New Roman" w:eastAsia="Times New Roman" w:hAnsi="Times New Roman"/>
          <w:sz w:val="24"/>
          <w:szCs w:val="24"/>
        </w:rPr>
        <w:t>fair and public hearing</w:t>
      </w:r>
      <w:r>
        <w:rPr>
          <w:rFonts w:ascii="Times New Roman" w:eastAsia="Times New Roman" w:hAnsi="Times New Roman"/>
          <w:sz w:val="24"/>
          <w:szCs w:val="24"/>
        </w:rPr>
        <w:t xml:space="preserve"> </w:t>
      </w:r>
      <w:r w:rsidRPr="002C174D">
        <w:rPr>
          <w:rFonts w:ascii="Times New Roman" w:eastAsia="Times New Roman" w:hAnsi="Times New Roman"/>
          <w:sz w:val="24"/>
          <w:szCs w:val="24"/>
        </w:rPr>
        <w:t xml:space="preserve">are </w:t>
      </w:r>
      <w:r>
        <w:rPr>
          <w:rFonts w:ascii="Times New Roman" w:eastAsia="Times New Roman" w:hAnsi="Times New Roman"/>
          <w:sz w:val="24"/>
          <w:szCs w:val="24"/>
        </w:rPr>
        <w:t xml:space="preserve">not limited. Therefore, </w:t>
      </w:r>
      <w:r w:rsidRPr="002C174D">
        <w:rPr>
          <w:rFonts w:ascii="Times New Roman" w:eastAsia="Times New Roman" w:hAnsi="Times New Roman"/>
          <w:sz w:val="24"/>
          <w:szCs w:val="24"/>
        </w:rPr>
        <w:t>the minimum guarantees in criminal proceedings or other p</w:t>
      </w:r>
      <w:r>
        <w:rPr>
          <w:rFonts w:ascii="Times New Roman" w:eastAsia="Times New Roman" w:hAnsi="Times New Roman"/>
          <w:sz w:val="24"/>
          <w:szCs w:val="24"/>
        </w:rPr>
        <w:t xml:space="preserve">rocess rights provided for by </w:t>
      </w:r>
      <w:r w:rsidRPr="002C174D">
        <w:rPr>
          <w:rFonts w:ascii="Times New Roman" w:eastAsia="Times New Roman" w:hAnsi="Times New Roman"/>
          <w:sz w:val="24"/>
          <w:szCs w:val="24"/>
        </w:rPr>
        <w:t>Article 14 of the ICCPR</w:t>
      </w:r>
      <w:r>
        <w:rPr>
          <w:rFonts w:ascii="Times New Roman" w:eastAsia="Times New Roman" w:hAnsi="Times New Roman"/>
          <w:sz w:val="24"/>
          <w:szCs w:val="24"/>
        </w:rPr>
        <w:t xml:space="preserve"> are not limited</w:t>
      </w:r>
      <w:r w:rsidRPr="002C174D">
        <w:rPr>
          <w:rFonts w:ascii="Times New Roman" w:eastAsia="Times New Roman" w:hAnsi="Times New Roman"/>
          <w:sz w:val="24"/>
          <w:szCs w:val="24"/>
        </w:rPr>
        <w:t>.</w:t>
      </w:r>
    </w:p>
    <w:p w14:paraId="17BB5FCB" w14:textId="77777777" w:rsidR="00F45E4F" w:rsidRPr="00BF4B37" w:rsidRDefault="00F45E4F" w:rsidP="00F45E4F">
      <w:pPr>
        <w:shd w:val="clear" w:color="auto" w:fill="FFFFFF"/>
        <w:spacing w:after="240" w:line="276" w:lineRule="auto"/>
        <w:rPr>
          <w:rFonts w:eastAsia="Times New Roman" w:cs="Arial"/>
          <w:sz w:val="24"/>
          <w:szCs w:val="24"/>
        </w:rPr>
      </w:pPr>
      <w:r w:rsidRPr="00BF4B37">
        <w:rPr>
          <w:rFonts w:ascii="Times New Roman" w:eastAsia="Times New Roman" w:hAnsi="Times New Roman"/>
          <w:b/>
          <w:bCs/>
          <w:sz w:val="24"/>
          <w:szCs w:val="24"/>
        </w:rPr>
        <w:t>Right to the presumption of innocence</w:t>
      </w:r>
    </w:p>
    <w:p w14:paraId="0A56B8C7" w14:textId="77777777" w:rsidR="00F45E4F" w:rsidRPr="00BF4B37" w:rsidRDefault="00F45E4F" w:rsidP="00F45E4F">
      <w:pPr>
        <w:shd w:val="clear" w:color="auto" w:fill="FFFFFF"/>
        <w:spacing w:after="240" w:line="276" w:lineRule="auto"/>
        <w:rPr>
          <w:rFonts w:ascii="Times New Roman" w:eastAsia="Times New Roman" w:hAnsi="Times New Roman"/>
          <w:sz w:val="24"/>
          <w:szCs w:val="24"/>
        </w:rPr>
      </w:pPr>
      <w:r w:rsidRPr="00BF4B37">
        <w:rPr>
          <w:rFonts w:ascii="Times New Roman" w:eastAsia="Times New Roman" w:hAnsi="Times New Roman"/>
          <w:sz w:val="24"/>
          <w:szCs w:val="24"/>
        </w:rPr>
        <w:t>Article 14(2) of the ICCPR protects the right to be presumed innocent until proven guilty according to law.</w:t>
      </w:r>
    </w:p>
    <w:p w14:paraId="3BFB6F74" w14:textId="77777777" w:rsidR="00F45E4F" w:rsidRPr="00BF4B37" w:rsidRDefault="00F45E4F" w:rsidP="00F45E4F">
      <w:pPr>
        <w:shd w:val="clear" w:color="auto" w:fill="FFFFFF"/>
        <w:spacing w:after="240" w:line="276" w:lineRule="auto"/>
        <w:rPr>
          <w:rFonts w:ascii="Times New Roman" w:eastAsia="Times New Roman" w:hAnsi="Times New Roman"/>
          <w:sz w:val="24"/>
          <w:szCs w:val="24"/>
          <w:u w:val="single"/>
        </w:rPr>
      </w:pPr>
      <w:r w:rsidRPr="00BF4B37">
        <w:rPr>
          <w:rFonts w:ascii="Times New Roman" w:eastAsia="Times New Roman" w:hAnsi="Times New Roman"/>
          <w:sz w:val="24"/>
          <w:szCs w:val="24"/>
          <w:u w:val="single"/>
        </w:rPr>
        <w:t>Strict liability </w:t>
      </w:r>
    </w:p>
    <w:p w14:paraId="37EF81B8" w14:textId="77777777" w:rsidR="00F45E4F" w:rsidRPr="00BF4B37" w:rsidRDefault="00F45E4F" w:rsidP="00F45E4F">
      <w:pPr>
        <w:shd w:val="clear" w:color="auto" w:fill="FFFFFF"/>
        <w:spacing w:after="240" w:line="276" w:lineRule="auto"/>
        <w:rPr>
          <w:rFonts w:ascii="Times New Roman" w:eastAsia="Times New Roman" w:hAnsi="Times New Roman"/>
          <w:sz w:val="24"/>
          <w:szCs w:val="24"/>
        </w:rPr>
      </w:pPr>
      <w:r w:rsidRPr="00BF4B37">
        <w:rPr>
          <w:rFonts w:ascii="Times New Roman" w:eastAsia="Times New Roman" w:hAnsi="Times New Roman"/>
          <w:sz w:val="24"/>
          <w:szCs w:val="24"/>
        </w:rPr>
        <w:t>Strict liability offences engage and limit the presumption of innocence as they allow for the imposition of criminal liability without the need to prove fault. However, the defence of mistake of fact is still available to the defendant. This ensures that a person cannot be held liable if he or she had an honest and reasonable belief that they were complying with relevant obligations.</w:t>
      </w:r>
    </w:p>
    <w:p w14:paraId="7A503BBE" w14:textId="77777777" w:rsidR="00F45E4F" w:rsidRDefault="00F45E4F" w:rsidP="00F45E4F">
      <w:pPr>
        <w:shd w:val="clear" w:color="auto" w:fill="FFFFFF"/>
        <w:spacing w:after="240" w:line="276" w:lineRule="auto"/>
        <w:rPr>
          <w:rFonts w:ascii="Times New Roman" w:eastAsia="Times New Roman" w:hAnsi="Times New Roman"/>
          <w:sz w:val="24"/>
          <w:szCs w:val="24"/>
        </w:rPr>
      </w:pPr>
      <w:r w:rsidRPr="00BF4B37">
        <w:rPr>
          <w:rFonts w:ascii="Times New Roman" w:eastAsia="Times New Roman" w:hAnsi="Times New Roman"/>
          <w:sz w:val="24"/>
          <w:szCs w:val="24"/>
        </w:rPr>
        <w:t xml:space="preserve">The </w:t>
      </w:r>
      <w:r>
        <w:rPr>
          <w:rFonts w:ascii="Times New Roman" w:eastAsia="Times New Roman" w:hAnsi="Times New Roman"/>
          <w:sz w:val="24"/>
          <w:szCs w:val="24"/>
        </w:rPr>
        <w:t>Amendment Regulations</w:t>
      </w:r>
      <w:r w:rsidRPr="00BF4B37">
        <w:rPr>
          <w:rFonts w:ascii="Times New Roman" w:eastAsia="Times New Roman" w:hAnsi="Times New Roman"/>
          <w:sz w:val="24"/>
          <w:szCs w:val="24"/>
        </w:rPr>
        <w:t xml:space="preserve"> appl</w:t>
      </w:r>
      <w:r>
        <w:rPr>
          <w:rFonts w:ascii="Times New Roman" w:eastAsia="Times New Roman" w:hAnsi="Times New Roman"/>
          <w:sz w:val="24"/>
          <w:szCs w:val="24"/>
        </w:rPr>
        <w:t>ies</w:t>
      </w:r>
      <w:r w:rsidRPr="00BF4B37">
        <w:rPr>
          <w:rFonts w:ascii="Times New Roman" w:eastAsia="Times New Roman" w:hAnsi="Times New Roman"/>
          <w:sz w:val="24"/>
          <w:szCs w:val="24"/>
        </w:rPr>
        <w:t xml:space="preserve"> strict liability to </w:t>
      </w:r>
      <w:r>
        <w:rPr>
          <w:rFonts w:ascii="Times New Roman" w:eastAsia="Times New Roman" w:hAnsi="Times New Roman"/>
          <w:sz w:val="24"/>
          <w:szCs w:val="24"/>
        </w:rPr>
        <w:t>a number of</w:t>
      </w:r>
      <w:r w:rsidRPr="00BF4B37">
        <w:rPr>
          <w:rFonts w:ascii="Times New Roman" w:eastAsia="Times New Roman" w:hAnsi="Times New Roman"/>
          <w:sz w:val="24"/>
          <w:szCs w:val="24"/>
        </w:rPr>
        <w:t xml:space="preserve"> new offence provisions</w:t>
      </w:r>
      <w:r>
        <w:rPr>
          <w:rFonts w:ascii="Times New Roman" w:eastAsia="Times New Roman" w:hAnsi="Times New Roman"/>
          <w:sz w:val="24"/>
          <w:szCs w:val="24"/>
        </w:rPr>
        <w:t>:</w:t>
      </w:r>
    </w:p>
    <w:p w14:paraId="7310E84C" w14:textId="77777777" w:rsidR="00F45E4F" w:rsidRPr="00603A42" w:rsidRDefault="00F45E4F" w:rsidP="00F45E4F">
      <w:pPr>
        <w:pStyle w:val="ListParagraph"/>
        <w:numPr>
          <w:ilvl w:val="0"/>
          <w:numId w:val="13"/>
        </w:numPr>
        <w:shd w:val="clear" w:color="auto" w:fill="FFFFFF"/>
        <w:spacing w:after="240" w:line="276" w:lineRule="auto"/>
        <w:rPr>
          <w:rFonts w:ascii="Times New Roman" w:eastAsia="Times New Roman" w:hAnsi="Times New Roman"/>
          <w:sz w:val="24"/>
          <w:szCs w:val="24"/>
        </w:rPr>
      </w:pPr>
      <w:r>
        <w:rPr>
          <w:rFonts w:ascii="Times New Roman" w:eastAsia="Times New Roman" w:hAnsi="Times New Roman"/>
          <w:sz w:val="24"/>
          <w:szCs w:val="24"/>
        </w:rPr>
        <w:t>R</w:t>
      </w:r>
      <w:r w:rsidRPr="00603A42">
        <w:rPr>
          <w:rFonts w:ascii="Times New Roman" w:eastAsia="Times New Roman" w:hAnsi="Times New Roman"/>
          <w:sz w:val="24"/>
          <w:szCs w:val="24"/>
        </w:rPr>
        <w:t>egulations 111A (Offence – prohibited refrigerant charging) and 303A (prohibited extinguishing agent charging)</w:t>
      </w:r>
      <w:r>
        <w:rPr>
          <w:rFonts w:ascii="Times New Roman" w:eastAsia="Times New Roman" w:hAnsi="Times New Roman"/>
          <w:sz w:val="24"/>
          <w:szCs w:val="24"/>
        </w:rPr>
        <w:t>.</w:t>
      </w:r>
      <w:r w:rsidRPr="00603A42">
        <w:rPr>
          <w:rFonts w:ascii="Times New Roman" w:eastAsia="Times New Roman" w:hAnsi="Times New Roman"/>
          <w:sz w:val="24"/>
          <w:szCs w:val="24"/>
        </w:rPr>
        <w:t xml:space="preserve"> </w:t>
      </w:r>
      <w:r>
        <w:rPr>
          <w:rFonts w:ascii="Times New Roman" w:eastAsia="Times New Roman" w:hAnsi="Times New Roman"/>
          <w:sz w:val="24"/>
          <w:szCs w:val="24"/>
        </w:rPr>
        <w:t>A</w:t>
      </w:r>
      <w:r w:rsidRPr="00603A42">
        <w:rPr>
          <w:rFonts w:ascii="Times New Roman" w:eastAsia="Times New Roman" w:hAnsi="Times New Roman"/>
          <w:sz w:val="24"/>
          <w:szCs w:val="24"/>
        </w:rPr>
        <w:t xml:space="preserve">n offence is committed if a person engages in prohibited refrigerant charging or prohibited extinguishing agent charging respectively. Contravention of these regulations attracts a </w:t>
      </w:r>
      <w:r>
        <w:rPr>
          <w:rFonts w:ascii="Times New Roman" w:eastAsia="Times New Roman" w:hAnsi="Times New Roman"/>
          <w:sz w:val="24"/>
          <w:szCs w:val="24"/>
        </w:rPr>
        <w:t xml:space="preserve">maximum </w:t>
      </w:r>
      <w:r w:rsidRPr="00603A42">
        <w:rPr>
          <w:rFonts w:ascii="Times New Roman" w:eastAsia="Times New Roman" w:hAnsi="Times New Roman"/>
          <w:sz w:val="24"/>
          <w:szCs w:val="24"/>
        </w:rPr>
        <w:t xml:space="preserve">penalty of 10 penalty units. </w:t>
      </w:r>
    </w:p>
    <w:p w14:paraId="6AACAA9C" w14:textId="77777777" w:rsidR="00F45E4F" w:rsidRPr="00603A42" w:rsidRDefault="00F45E4F" w:rsidP="00F45E4F">
      <w:pPr>
        <w:pStyle w:val="ListParagraph"/>
        <w:numPr>
          <w:ilvl w:val="0"/>
          <w:numId w:val="13"/>
        </w:numPr>
        <w:shd w:val="clear" w:color="auto" w:fill="FFFFFF"/>
        <w:spacing w:after="240" w:line="276" w:lineRule="auto"/>
        <w:rPr>
          <w:rFonts w:ascii="Times New Roman" w:eastAsia="Times New Roman" w:hAnsi="Times New Roman"/>
          <w:sz w:val="24"/>
          <w:szCs w:val="24"/>
        </w:rPr>
      </w:pPr>
      <w:r>
        <w:rPr>
          <w:rFonts w:ascii="Times New Roman" w:eastAsia="Times New Roman" w:hAnsi="Times New Roman"/>
          <w:sz w:val="24"/>
          <w:szCs w:val="24"/>
        </w:rPr>
        <w:t>R</w:t>
      </w:r>
      <w:r w:rsidRPr="00603A42">
        <w:rPr>
          <w:rFonts w:ascii="Times New Roman" w:eastAsia="Times New Roman" w:hAnsi="Times New Roman"/>
          <w:sz w:val="24"/>
          <w:szCs w:val="24"/>
        </w:rPr>
        <w:t xml:space="preserve">egulation 232 (Reports of use in emergency situations). </w:t>
      </w:r>
      <w:r>
        <w:rPr>
          <w:rFonts w:ascii="Times New Roman" w:eastAsia="Times New Roman" w:hAnsi="Times New Roman"/>
          <w:sz w:val="24"/>
          <w:szCs w:val="24"/>
        </w:rPr>
        <w:t>It</w:t>
      </w:r>
      <w:r w:rsidRPr="00603A42">
        <w:rPr>
          <w:rFonts w:ascii="Times New Roman" w:eastAsia="Times New Roman" w:hAnsi="Times New Roman"/>
          <w:sz w:val="24"/>
          <w:szCs w:val="24"/>
        </w:rPr>
        <w:t xml:space="preserve"> is an offence for a person not to report on the emergency methyl bromide use conducted under their non-QPS emergency use permit. Contravention of this regulation attracts a </w:t>
      </w:r>
      <w:r>
        <w:rPr>
          <w:rFonts w:ascii="Times New Roman" w:eastAsia="Times New Roman" w:hAnsi="Times New Roman"/>
          <w:sz w:val="24"/>
          <w:szCs w:val="24"/>
        </w:rPr>
        <w:t xml:space="preserve">maximum </w:t>
      </w:r>
      <w:r w:rsidRPr="00603A42">
        <w:rPr>
          <w:rFonts w:ascii="Times New Roman" w:eastAsia="Times New Roman" w:hAnsi="Times New Roman"/>
          <w:sz w:val="24"/>
          <w:szCs w:val="24"/>
        </w:rPr>
        <w:t xml:space="preserve">penalty of 10 penalty units. </w:t>
      </w:r>
    </w:p>
    <w:p w14:paraId="7D1A1E60" w14:textId="77777777" w:rsidR="00F45E4F" w:rsidRDefault="00F45E4F" w:rsidP="00F45E4F">
      <w:pPr>
        <w:pStyle w:val="ListParagraph"/>
        <w:numPr>
          <w:ilvl w:val="0"/>
          <w:numId w:val="13"/>
        </w:numPr>
        <w:shd w:val="clear" w:color="auto" w:fill="FFFFFF"/>
        <w:spacing w:after="240" w:line="276" w:lineRule="auto"/>
        <w:rPr>
          <w:rFonts w:ascii="Times New Roman" w:eastAsia="Times New Roman" w:hAnsi="Times New Roman"/>
          <w:sz w:val="24"/>
          <w:szCs w:val="24"/>
        </w:rPr>
      </w:pPr>
      <w:r>
        <w:rPr>
          <w:rFonts w:ascii="Times New Roman" w:eastAsia="Times New Roman" w:hAnsi="Times New Roman"/>
          <w:sz w:val="24"/>
          <w:szCs w:val="24"/>
        </w:rPr>
        <w:lastRenderedPageBreak/>
        <w:t>R</w:t>
      </w:r>
      <w:r w:rsidRPr="00603A42">
        <w:rPr>
          <w:rFonts w:ascii="Times New Roman" w:eastAsia="Times New Roman" w:hAnsi="Times New Roman"/>
          <w:sz w:val="24"/>
          <w:szCs w:val="24"/>
        </w:rPr>
        <w:t xml:space="preserve">egulation 914 (Offence – section 69G activities). </w:t>
      </w:r>
      <w:r>
        <w:rPr>
          <w:rFonts w:ascii="Times New Roman" w:eastAsia="Times New Roman" w:hAnsi="Times New Roman"/>
          <w:sz w:val="24"/>
          <w:szCs w:val="24"/>
        </w:rPr>
        <w:t>It</w:t>
      </w:r>
      <w:r w:rsidRPr="00603A42">
        <w:rPr>
          <w:rFonts w:ascii="Times New Roman" w:eastAsia="Times New Roman" w:hAnsi="Times New Roman"/>
          <w:sz w:val="24"/>
          <w:szCs w:val="24"/>
        </w:rPr>
        <w:t xml:space="preserve"> is an offence for a person to</w:t>
      </w:r>
      <w:r>
        <w:rPr>
          <w:rFonts w:ascii="Times New Roman" w:eastAsia="Times New Roman" w:hAnsi="Times New Roman"/>
          <w:sz w:val="24"/>
          <w:szCs w:val="24"/>
        </w:rPr>
        <w:t xml:space="preserve"> </w:t>
      </w:r>
      <w:r w:rsidRPr="00603A42">
        <w:rPr>
          <w:rFonts w:ascii="Times New Roman" w:eastAsia="Times New Roman" w:hAnsi="Times New Roman"/>
          <w:sz w:val="24"/>
          <w:szCs w:val="24"/>
        </w:rPr>
        <w:t xml:space="preserve">manufacture or import HCFC equipment. Contravention of this regulation attracts a </w:t>
      </w:r>
      <w:r>
        <w:rPr>
          <w:rFonts w:ascii="Times New Roman" w:eastAsia="Times New Roman" w:hAnsi="Times New Roman"/>
          <w:sz w:val="24"/>
          <w:szCs w:val="24"/>
        </w:rPr>
        <w:t xml:space="preserve">maximum </w:t>
      </w:r>
      <w:r w:rsidRPr="00603A42">
        <w:rPr>
          <w:rFonts w:ascii="Times New Roman" w:eastAsia="Times New Roman" w:hAnsi="Times New Roman"/>
          <w:sz w:val="24"/>
          <w:szCs w:val="24"/>
        </w:rPr>
        <w:t xml:space="preserve">penalty of 50 penalty units. </w:t>
      </w:r>
    </w:p>
    <w:p w14:paraId="6E0C44CE" w14:textId="3B027F77" w:rsidR="00F45E4F" w:rsidRPr="00603A42" w:rsidRDefault="00F45E4F" w:rsidP="00F45E4F">
      <w:pPr>
        <w:shd w:val="clear" w:color="auto" w:fill="FFFFFF"/>
        <w:spacing w:after="240" w:line="276" w:lineRule="auto"/>
        <w:rPr>
          <w:rFonts w:ascii="Times New Roman" w:eastAsia="Times New Roman" w:hAnsi="Times New Roman"/>
          <w:sz w:val="24"/>
          <w:szCs w:val="24"/>
        </w:rPr>
      </w:pPr>
      <w:r w:rsidRPr="00603A42">
        <w:rPr>
          <w:rFonts w:ascii="Times New Roman" w:eastAsia="Times New Roman" w:hAnsi="Times New Roman"/>
          <w:sz w:val="24"/>
          <w:szCs w:val="24"/>
        </w:rPr>
        <w:t xml:space="preserve">Application of strict liability to these offences has been set with consideration given to the guidelines regarding the circumstances in which strict liability is appropriate </w:t>
      </w:r>
      <w:r>
        <w:rPr>
          <w:rFonts w:ascii="Times New Roman" w:eastAsia="Times New Roman" w:hAnsi="Times New Roman"/>
          <w:sz w:val="24"/>
          <w:szCs w:val="24"/>
        </w:rPr>
        <w:t xml:space="preserve">as </w:t>
      </w:r>
      <w:r w:rsidRPr="00603A42">
        <w:rPr>
          <w:rFonts w:ascii="Times New Roman" w:eastAsia="Times New Roman" w:hAnsi="Times New Roman"/>
          <w:sz w:val="24"/>
          <w:szCs w:val="24"/>
        </w:rPr>
        <w:t>set out in </w:t>
      </w:r>
      <w:r w:rsidRPr="00603A42">
        <w:rPr>
          <w:rFonts w:ascii="Times New Roman" w:eastAsia="Times New Roman" w:hAnsi="Times New Roman"/>
          <w:i/>
          <w:iCs/>
          <w:sz w:val="24"/>
          <w:szCs w:val="24"/>
        </w:rPr>
        <w:t>A Guide to Framing Commonwealth Offences, Civil Penalties and Enforcement Powers</w:t>
      </w:r>
      <w:r w:rsidRPr="00603A42">
        <w:rPr>
          <w:rFonts w:ascii="Times New Roman" w:eastAsia="Times New Roman" w:hAnsi="Times New Roman"/>
          <w:sz w:val="24"/>
          <w:szCs w:val="24"/>
        </w:rPr>
        <w:t>.</w:t>
      </w:r>
      <w:r>
        <w:rPr>
          <w:rFonts w:ascii="Times New Roman" w:eastAsia="Times New Roman" w:hAnsi="Times New Roman"/>
          <w:sz w:val="24"/>
          <w:szCs w:val="24"/>
        </w:rPr>
        <w:t xml:space="preserve"> The penalties for the strict liability offences do not include </w:t>
      </w:r>
      <w:r w:rsidR="000C1985">
        <w:rPr>
          <w:rFonts w:ascii="Times New Roman" w:eastAsia="Times New Roman" w:hAnsi="Times New Roman"/>
          <w:sz w:val="24"/>
          <w:szCs w:val="24"/>
        </w:rPr>
        <w:t>imprisonment and do not exceed 5</w:t>
      </w:r>
      <w:r>
        <w:rPr>
          <w:rFonts w:ascii="Times New Roman" w:eastAsia="Times New Roman" w:hAnsi="Times New Roman"/>
          <w:sz w:val="24"/>
          <w:szCs w:val="24"/>
        </w:rPr>
        <w:t xml:space="preserve">0 penalty units for an individual. </w:t>
      </w:r>
    </w:p>
    <w:p w14:paraId="67B87D75" w14:textId="77777777" w:rsidR="00F45E4F" w:rsidRPr="00603A42" w:rsidRDefault="00F45E4F" w:rsidP="00F45E4F">
      <w:pPr>
        <w:shd w:val="clear" w:color="auto" w:fill="FFFFFF"/>
        <w:spacing w:after="240" w:line="276" w:lineRule="auto"/>
        <w:rPr>
          <w:rFonts w:ascii="Times New Roman" w:eastAsia="Times New Roman" w:hAnsi="Times New Roman"/>
          <w:sz w:val="24"/>
          <w:szCs w:val="24"/>
        </w:rPr>
      </w:pPr>
      <w:r w:rsidRPr="00BF4B37">
        <w:rPr>
          <w:rFonts w:ascii="Times New Roman" w:eastAsia="Times New Roman" w:hAnsi="Times New Roman"/>
          <w:sz w:val="24"/>
          <w:szCs w:val="24"/>
        </w:rPr>
        <w:t>Strict liability offences are used throughout the Act and Regulations and are necessary to ensure the integrity of the established regulatory regime to prevent environmental harm</w:t>
      </w:r>
      <w:r>
        <w:rPr>
          <w:rFonts w:ascii="Times New Roman" w:eastAsia="Times New Roman" w:hAnsi="Times New Roman"/>
          <w:sz w:val="24"/>
          <w:szCs w:val="24"/>
        </w:rPr>
        <w:t xml:space="preserve"> and to ensure compliance with Australia’s obligations under the Montreal Protocol</w:t>
      </w:r>
      <w:r w:rsidRPr="00BF4B37">
        <w:rPr>
          <w:rFonts w:ascii="Times New Roman" w:eastAsia="Times New Roman" w:hAnsi="Times New Roman"/>
          <w:sz w:val="24"/>
          <w:szCs w:val="24"/>
        </w:rPr>
        <w:t xml:space="preserve">. </w:t>
      </w:r>
    </w:p>
    <w:p w14:paraId="2BB1DDA1" w14:textId="77777777" w:rsidR="00F45E4F" w:rsidRPr="00BF4B37" w:rsidRDefault="00F45E4F" w:rsidP="00F45E4F">
      <w:pPr>
        <w:shd w:val="clear" w:color="auto" w:fill="FFFFFF"/>
        <w:spacing w:after="240" w:line="276" w:lineRule="auto"/>
        <w:rPr>
          <w:rFonts w:eastAsia="Times New Roman" w:cs="Arial"/>
          <w:sz w:val="24"/>
          <w:szCs w:val="24"/>
        </w:rPr>
      </w:pPr>
      <w:r w:rsidRPr="00BF4B37">
        <w:rPr>
          <w:rFonts w:ascii="Times New Roman" w:eastAsia="Times New Roman" w:hAnsi="Times New Roman"/>
          <w:b/>
          <w:bCs/>
          <w:sz w:val="24"/>
          <w:szCs w:val="24"/>
        </w:rPr>
        <w:t>Conclusion</w:t>
      </w:r>
    </w:p>
    <w:p w14:paraId="61902115" w14:textId="77777777" w:rsidR="00F45E4F" w:rsidRDefault="00F45E4F" w:rsidP="00F45E4F">
      <w:pPr>
        <w:shd w:val="clear" w:color="auto" w:fill="FFFFFF"/>
        <w:spacing w:after="240" w:line="276" w:lineRule="auto"/>
        <w:rPr>
          <w:rFonts w:ascii="Times New Roman" w:eastAsia="Times New Roman" w:hAnsi="Times New Roman"/>
          <w:sz w:val="24"/>
          <w:szCs w:val="24"/>
        </w:rPr>
      </w:pPr>
      <w:r w:rsidRPr="00BF4B37">
        <w:rPr>
          <w:rFonts w:ascii="Times New Roman" w:eastAsia="Times New Roman" w:hAnsi="Times New Roman"/>
          <w:sz w:val="24"/>
          <w:szCs w:val="24"/>
        </w:rPr>
        <w:t xml:space="preserve">The </w:t>
      </w:r>
      <w:r>
        <w:rPr>
          <w:rFonts w:ascii="Times New Roman" w:eastAsia="Times New Roman" w:hAnsi="Times New Roman"/>
          <w:sz w:val="24"/>
          <w:szCs w:val="24"/>
        </w:rPr>
        <w:t>Amendment Regulations</w:t>
      </w:r>
      <w:r w:rsidRPr="00BF4B37">
        <w:rPr>
          <w:rFonts w:ascii="Times New Roman" w:eastAsia="Times New Roman" w:hAnsi="Times New Roman"/>
          <w:sz w:val="24"/>
          <w:szCs w:val="24"/>
        </w:rPr>
        <w:t xml:space="preserve"> is compatible with human rights because it promotes the right to an effective remedy under Article 2(3) of the ICCPR. To the extent that it engages and limits other human rights (including Article 14(1) and 14(2)), those limitations are </w:t>
      </w:r>
      <w:r w:rsidRPr="00BF4B37">
        <w:rPr>
          <w:rFonts w:ascii="Times New Roman" w:eastAsia="Times New Roman" w:hAnsi="Times New Roman"/>
          <w:sz w:val="24"/>
          <w:szCs w:val="24"/>
          <w:lang w:val="en-GB"/>
        </w:rPr>
        <w:t>reasonable, necessary and </w:t>
      </w:r>
      <w:r w:rsidRPr="00BF4B37">
        <w:rPr>
          <w:rFonts w:ascii="Times New Roman" w:eastAsia="Times New Roman" w:hAnsi="Times New Roman"/>
          <w:sz w:val="24"/>
          <w:szCs w:val="24"/>
        </w:rPr>
        <w:t>proportionate to achieve the legitimate aims and the ongoing efficient and</w:t>
      </w:r>
      <w:r>
        <w:rPr>
          <w:rFonts w:ascii="Times New Roman" w:eastAsia="Times New Roman" w:hAnsi="Times New Roman"/>
          <w:sz w:val="24"/>
          <w:szCs w:val="24"/>
        </w:rPr>
        <w:t xml:space="preserve"> effective operation of the Regulations. </w:t>
      </w:r>
    </w:p>
    <w:p w14:paraId="71521A49" w14:textId="77777777" w:rsidR="00F45E4F" w:rsidRPr="00603A42" w:rsidRDefault="00F45E4F" w:rsidP="00F45E4F">
      <w:pPr>
        <w:shd w:val="clear" w:color="auto" w:fill="FFFFFF"/>
        <w:spacing w:after="240" w:line="276" w:lineRule="auto"/>
        <w:jc w:val="center"/>
        <w:rPr>
          <w:rFonts w:ascii="Times New Roman" w:eastAsia="Times New Roman" w:hAnsi="Times New Roman"/>
          <w:b/>
          <w:sz w:val="24"/>
          <w:szCs w:val="24"/>
        </w:rPr>
      </w:pPr>
      <w:r w:rsidRPr="00603A42">
        <w:rPr>
          <w:rFonts w:ascii="Times New Roman" w:eastAsia="Times New Roman" w:hAnsi="Times New Roman"/>
          <w:b/>
          <w:sz w:val="24"/>
          <w:szCs w:val="24"/>
        </w:rPr>
        <w:t xml:space="preserve">The Hon </w:t>
      </w:r>
      <w:proofErr w:type="spellStart"/>
      <w:r w:rsidRPr="00603A42">
        <w:rPr>
          <w:rFonts w:ascii="Times New Roman" w:eastAsia="Times New Roman" w:hAnsi="Times New Roman"/>
          <w:b/>
          <w:sz w:val="24"/>
          <w:szCs w:val="24"/>
        </w:rPr>
        <w:t>Sussan</w:t>
      </w:r>
      <w:proofErr w:type="spellEnd"/>
      <w:r w:rsidRPr="00603A42">
        <w:rPr>
          <w:rFonts w:ascii="Times New Roman" w:eastAsia="Times New Roman" w:hAnsi="Times New Roman"/>
          <w:b/>
          <w:sz w:val="24"/>
          <w:szCs w:val="24"/>
        </w:rPr>
        <w:t xml:space="preserve"> Ley MP</w:t>
      </w:r>
    </w:p>
    <w:p w14:paraId="75C765CA" w14:textId="77777777" w:rsidR="00F45E4F" w:rsidRPr="00603A42" w:rsidRDefault="00F45E4F" w:rsidP="00F45E4F">
      <w:pPr>
        <w:shd w:val="clear" w:color="auto" w:fill="FFFFFF"/>
        <w:spacing w:after="240" w:line="276" w:lineRule="auto"/>
        <w:jc w:val="center"/>
        <w:rPr>
          <w:rFonts w:ascii="Times New Roman" w:eastAsia="Times New Roman" w:hAnsi="Times New Roman"/>
          <w:b/>
          <w:sz w:val="24"/>
          <w:szCs w:val="24"/>
        </w:rPr>
      </w:pPr>
      <w:r w:rsidRPr="00603A42">
        <w:rPr>
          <w:rFonts w:ascii="Times New Roman" w:eastAsia="Times New Roman" w:hAnsi="Times New Roman"/>
          <w:b/>
          <w:sz w:val="24"/>
          <w:szCs w:val="24"/>
        </w:rPr>
        <w:t>Minister for the Environment</w:t>
      </w:r>
    </w:p>
    <w:p w14:paraId="3241BDAD" w14:textId="32077DE5" w:rsidR="00B6118E" w:rsidRPr="00B6118E" w:rsidRDefault="00B6118E" w:rsidP="006970A2">
      <w:pPr>
        <w:spacing w:after="240" w:line="276" w:lineRule="auto"/>
        <w:jc w:val="right"/>
        <w:rPr>
          <w:rFonts w:ascii="Times New Roman" w:hAnsi="Times New Roman"/>
          <w:i/>
          <w:sz w:val="24"/>
          <w:szCs w:val="24"/>
        </w:rPr>
      </w:pPr>
    </w:p>
    <w:sectPr w:rsidR="00B6118E" w:rsidRPr="00B6118E" w:rsidSect="00994F6B">
      <w:pgSz w:w="11906" w:h="16838" w:code="9"/>
      <w:pgMar w:top="1134" w:right="1418" w:bottom="567"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EA713" w14:textId="77777777" w:rsidR="00F5079B" w:rsidRDefault="00F5079B" w:rsidP="0069229F">
      <w:r>
        <w:separator/>
      </w:r>
    </w:p>
  </w:endnote>
  <w:endnote w:type="continuationSeparator" w:id="0">
    <w:p w14:paraId="1CCDDA91" w14:textId="77777777" w:rsidR="00F5079B" w:rsidRDefault="00F5079B" w:rsidP="0069229F">
      <w:r>
        <w:continuationSeparator/>
      </w:r>
    </w:p>
  </w:endnote>
  <w:endnote w:type="continuationNotice" w:id="1">
    <w:p w14:paraId="5565D132" w14:textId="77777777" w:rsidR="00F5079B" w:rsidRDefault="00F50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85B1E" w14:textId="77777777" w:rsidR="00566BBF" w:rsidRDefault="00566B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21852995"/>
      <w:docPartObj>
        <w:docPartGallery w:val="Page Numbers (Bottom of Page)"/>
        <w:docPartUnique/>
      </w:docPartObj>
    </w:sdtPr>
    <w:sdtEndPr>
      <w:rPr>
        <w:noProof/>
      </w:rPr>
    </w:sdtEndPr>
    <w:sdtContent>
      <w:p w14:paraId="4E6EBA06" w14:textId="44F7B2C7" w:rsidR="00F5079B" w:rsidRPr="00142F91" w:rsidRDefault="00F5079B" w:rsidP="001B6076">
        <w:pPr>
          <w:pStyle w:val="Footer"/>
          <w:jc w:val="center"/>
          <w:rPr>
            <w:rFonts w:ascii="Times New Roman" w:hAnsi="Times New Roman"/>
          </w:rPr>
        </w:pPr>
        <w:r w:rsidRPr="00142F91">
          <w:rPr>
            <w:rFonts w:ascii="Times New Roman" w:hAnsi="Times New Roman"/>
          </w:rPr>
          <w:fldChar w:fldCharType="begin"/>
        </w:r>
        <w:r w:rsidRPr="00142F91">
          <w:rPr>
            <w:rFonts w:ascii="Times New Roman" w:hAnsi="Times New Roman"/>
          </w:rPr>
          <w:instrText xml:space="preserve"> PAGE   \* MERGEFORMAT </w:instrText>
        </w:r>
        <w:r w:rsidRPr="00142F91">
          <w:rPr>
            <w:rFonts w:ascii="Times New Roman" w:hAnsi="Times New Roman"/>
          </w:rPr>
          <w:fldChar w:fldCharType="separate"/>
        </w:r>
        <w:r w:rsidR="00566BBF">
          <w:rPr>
            <w:rFonts w:ascii="Times New Roman" w:hAnsi="Times New Roman"/>
            <w:noProof/>
          </w:rPr>
          <w:t>4</w:t>
        </w:r>
        <w:r w:rsidRPr="00142F91">
          <w:rPr>
            <w:rFonts w:ascii="Times New Roman" w:hAnsi="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70939" w14:textId="77777777" w:rsidR="00566BBF" w:rsidRDefault="00566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93360" w14:textId="77777777" w:rsidR="00F5079B" w:rsidRDefault="00F5079B" w:rsidP="0069229F">
      <w:r>
        <w:separator/>
      </w:r>
    </w:p>
  </w:footnote>
  <w:footnote w:type="continuationSeparator" w:id="0">
    <w:p w14:paraId="23697050" w14:textId="77777777" w:rsidR="00F5079B" w:rsidRDefault="00F5079B" w:rsidP="0069229F">
      <w:r>
        <w:continuationSeparator/>
      </w:r>
    </w:p>
  </w:footnote>
  <w:footnote w:type="continuationNotice" w:id="1">
    <w:p w14:paraId="55D73B98" w14:textId="77777777" w:rsidR="00F5079B" w:rsidRDefault="00F507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FF07A" w14:textId="77777777" w:rsidR="00566BBF" w:rsidRDefault="00566B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D9712" w14:textId="77777777" w:rsidR="00566BBF" w:rsidRDefault="00566B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FA73D" w14:textId="77777777" w:rsidR="00566BBF" w:rsidRDefault="00566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6AF124F"/>
    <w:multiLevelType w:val="hybridMultilevel"/>
    <w:tmpl w:val="31200412"/>
    <w:lvl w:ilvl="0" w:tplc="BB34568E">
      <w:start w:val="1"/>
      <w:numFmt w:val="bullet"/>
      <w:lvlText w:val=""/>
      <w:lvlJc w:val="left"/>
      <w:pPr>
        <w:ind w:left="360" w:hanging="360"/>
      </w:pPr>
      <w:rPr>
        <w:rFonts w:ascii="Symbol" w:hAnsi="Symbol" w:hint="default"/>
        <w:b w:val="0"/>
        <w:strike w:val="0"/>
        <w:sz w:val="24"/>
        <w:szCs w:val="24"/>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1CB4E52"/>
    <w:multiLevelType w:val="hybridMultilevel"/>
    <w:tmpl w:val="1D6C06A4"/>
    <w:lvl w:ilvl="0" w:tplc="56BCC41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046913"/>
    <w:multiLevelType w:val="hybridMultilevel"/>
    <w:tmpl w:val="A6464298"/>
    <w:lvl w:ilvl="0" w:tplc="7666B19A">
      <w:start w:val="1"/>
      <w:numFmt w:val="bullet"/>
      <w:lvlText w:val=""/>
      <w:lvlJc w:val="left"/>
      <w:pPr>
        <w:ind w:left="720" w:hanging="360"/>
      </w:pPr>
      <w:rPr>
        <w:rFonts w:ascii="Symbol" w:hAnsi="Symbol" w:hint="default"/>
        <w:b w:val="0"/>
        <w:strike w:val="0"/>
        <w:sz w:val="24"/>
        <w:szCs w:val="24"/>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18694E"/>
    <w:multiLevelType w:val="multilevel"/>
    <w:tmpl w:val="4526169A"/>
    <w:lvl w:ilvl="0">
      <w:start w:val="1"/>
      <w:numFmt w:val="decimal"/>
      <w:lvlText w:val="%1."/>
      <w:lvlJc w:val="left"/>
      <w:pPr>
        <w:ind w:left="369" w:hanging="369"/>
      </w:pPr>
      <w:rPr>
        <w:rFonts w:ascii="Times New Roman" w:hAnsi="Times New Roman" w:hint="default"/>
        <w:b w:val="0"/>
        <w:i w:val="0"/>
        <w:sz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 w15:restartNumberingAfterBreak="0">
    <w:nsid w:val="1F745BC2"/>
    <w:multiLevelType w:val="multilevel"/>
    <w:tmpl w:val="E5E89F92"/>
    <w:numStyleLink w:val="BulletList"/>
  </w:abstractNum>
  <w:abstractNum w:abstractNumId="6" w15:restartNumberingAfterBreak="0">
    <w:nsid w:val="2BAB7010"/>
    <w:multiLevelType w:val="hybridMultilevel"/>
    <w:tmpl w:val="B270E7A6"/>
    <w:lvl w:ilvl="0" w:tplc="7666B19A">
      <w:start w:val="1"/>
      <w:numFmt w:val="bullet"/>
      <w:lvlText w:val=""/>
      <w:lvlJc w:val="left"/>
      <w:pPr>
        <w:ind w:left="720" w:hanging="360"/>
      </w:pPr>
      <w:rPr>
        <w:rFonts w:ascii="Symbol" w:hAnsi="Symbol" w:hint="default"/>
        <w:b w:val="0"/>
        <w:strike w:val="0"/>
        <w:sz w:val="24"/>
        <w:szCs w:val="24"/>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8118EB"/>
    <w:multiLevelType w:val="hybridMultilevel"/>
    <w:tmpl w:val="9FE238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483198"/>
    <w:multiLevelType w:val="hybridMultilevel"/>
    <w:tmpl w:val="AB5E9EF0"/>
    <w:lvl w:ilvl="0" w:tplc="4D5AD946">
      <w:start w:val="1"/>
      <w:numFmt w:val="bullet"/>
      <w:lvlText w:val="-"/>
      <w:lvlJc w:val="left"/>
      <w:pPr>
        <w:ind w:left="720" w:hanging="360"/>
      </w:pPr>
      <w:rPr>
        <w:rFonts w:ascii="Agency FB" w:hAnsi="Agency FB"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DE4DBB"/>
    <w:multiLevelType w:val="hybridMultilevel"/>
    <w:tmpl w:val="B456B6A8"/>
    <w:lvl w:ilvl="0" w:tplc="0C090001">
      <w:start w:val="1"/>
      <w:numFmt w:val="bullet"/>
      <w:lvlText w:val=""/>
      <w:lvlJc w:val="left"/>
      <w:pPr>
        <w:ind w:left="360" w:hanging="360"/>
      </w:pPr>
      <w:rPr>
        <w:rFonts w:ascii="Symbol" w:hAnsi="Symbol" w:hint="default"/>
        <w:b w:val="0"/>
        <w:strike w:val="0"/>
        <w:sz w:val="24"/>
        <w:szCs w:val="24"/>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78CD10EB"/>
    <w:multiLevelType w:val="hybridMultilevel"/>
    <w:tmpl w:val="91B8BD54"/>
    <w:lvl w:ilvl="0" w:tplc="7666B19A">
      <w:start w:val="1"/>
      <w:numFmt w:val="bullet"/>
      <w:lvlText w:val=""/>
      <w:lvlJc w:val="left"/>
      <w:pPr>
        <w:ind w:left="720" w:hanging="360"/>
      </w:pPr>
      <w:rPr>
        <w:rFonts w:ascii="Symbol" w:hAnsi="Symbol" w:hint="default"/>
        <w:b w:val="0"/>
        <w:strike w:val="0"/>
        <w:sz w:val="24"/>
        <w:szCs w:val="24"/>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95E66A0"/>
    <w:multiLevelType w:val="hybridMultilevel"/>
    <w:tmpl w:val="B588A6DA"/>
    <w:lvl w:ilvl="0" w:tplc="7024A5DA">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5"/>
  </w:num>
  <w:num w:numId="5">
    <w:abstractNumId w:val="9"/>
  </w:num>
  <w:num w:numId="6">
    <w:abstractNumId w:val="2"/>
  </w:num>
  <w:num w:numId="7">
    <w:abstractNumId w:val="7"/>
  </w:num>
  <w:num w:numId="8">
    <w:abstractNumId w:val="1"/>
  </w:num>
  <w:num w:numId="9">
    <w:abstractNumId w:val="11"/>
  </w:num>
  <w:num w:numId="10">
    <w:abstractNumId w:val="3"/>
  </w:num>
  <w:num w:numId="11">
    <w:abstractNumId w:val="6"/>
  </w:num>
  <w:num w:numId="12">
    <w:abstractNumId w:val="12"/>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EA"/>
    <w:rsid w:val="00001F71"/>
    <w:rsid w:val="00003681"/>
    <w:rsid w:val="000050E0"/>
    <w:rsid w:val="00007AAD"/>
    <w:rsid w:val="0001187C"/>
    <w:rsid w:val="00012C6C"/>
    <w:rsid w:val="00013144"/>
    <w:rsid w:val="0001357D"/>
    <w:rsid w:val="000166EB"/>
    <w:rsid w:val="00016B2D"/>
    <w:rsid w:val="000179F8"/>
    <w:rsid w:val="00017F45"/>
    <w:rsid w:val="000202E4"/>
    <w:rsid w:val="00021EEA"/>
    <w:rsid w:val="0002752C"/>
    <w:rsid w:val="000279AF"/>
    <w:rsid w:val="00030CC3"/>
    <w:rsid w:val="00030E0A"/>
    <w:rsid w:val="00032429"/>
    <w:rsid w:val="0003342C"/>
    <w:rsid w:val="00033BC9"/>
    <w:rsid w:val="00034F9B"/>
    <w:rsid w:val="0003565A"/>
    <w:rsid w:val="00037311"/>
    <w:rsid w:val="00037CD6"/>
    <w:rsid w:val="00040068"/>
    <w:rsid w:val="000408AF"/>
    <w:rsid w:val="000419C0"/>
    <w:rsid w:val="00042443"/>
    <w:rsid w:val="0004275D"/>
    <w:rsid w:val="00042FA8"/>
    <w:rsid w:val="00043579"/>
    <w:rsid w:val="00045822"/>
    <w:rsid w:val="00045E4D"/>
    <w:rsid w:val="000466BD"/>
    <w:rsid w:val="000476AC"/>
    <w:rsid w:val="0005355D"/>
    <w:rsid w:val="0005543F"/>
    <w:rsid w:val="00060792"/>
    <w:rsid w:val="00073283"/>
    <w:rsid w:val="000735D5"/>
    <w:rsid w:val="00074915"/>
    <w:rsid w:val="000758E3"/>
    <w:rsid w:val="00076DAF"/>
    <w:rsid w:val="000776B0"/>
    <w:rsid w:val="0008206F"/>
    <w:rsid w:val="0008272B"/>
    <w:rsid w:val="00083220"/>
    <w:rsid w:val="00083260"/>
    <w:rsid w:val="0008379A"/>
    <w:rsid w:val="00084858"/>
    <w:rsid w:val="00084FB6"/>
    <w:rsid w:val="00085249"/>
    <w:rsid w:val="000862E2"/>
    <w:rsid w:val="0008670D"/>
    <w:rsid w:val="000878C9"/>
    <w:rsid w:val="0009002A"/>
    <w:rsid w:val="00090525"/>
    <w:rsid w:val="00092CD0"/>
    <w:rsid w:val="000935B9"/>
    <w:rsid w:val="00094077"/>
    <w:rsid w:val="000970C8"/>
    <w:rsid w:val="000A057D"/>
    <w:rsid w:val="000A5F30"/>
    <w:rsid w:val="000A76B6"/>
    <w:rsid w:val="000B11D9"/>
    <w:rsid w:val="000B15D4"/>
    <w:rsid w:val="000B3FFB"/>
    <w:rsid w:val="000B4280"/>
    <w:rsid w:val="000B5588"/>
    <w:rsid w:val="000C0616"/>
    <w:rsid w:val="000C0F4C"/>
    <w:rsid w:val="000C1985"/>
    <w:rsid w:val="000C1C3B"/>
    <w:rsid w:val="000C576E"/>
    <w:rsid w:val="000C591D"/>
    <w:rsid w:val="000D1A89"/>
    <w:rsid w:val="000D22D4"/>
    <w:rsid w:val="000D2929"/>
    <w:rsid w:val="000D2B4A"/>
    <w:rsid w:val="000D38F4"/>
    <w:rsid w:val="000D4FD4"/>
    <w:rsid w:val="000D64F6"/>
    <w:rsid w:val="000D7FA6"/>
    <w:rsid w:val="000E003E"/>
    <w:rsid w:val="000E1AB9"/>
    <w:rsid w:val="000E20D6"/>
    <w:rsid w:val="000E4087"/>
    <w:rsid w:val="000E40FA"/>
    <w:rsid w:val="000E53AB"/>
    <w:rsid w:val="000E6707"/>
    <w:rsid w:val="000F0AE7"/>
    <w:rsid w:val="000F2624"/>
    <w:rsid w:val="000F2723"/>
    <w:rsid w:val="000F47BD"/>
    <w:rsid w:val="000F59D5"/>
    <w:rsid w:val="000F6033"/>
    <w:rsid w:val="0010129D"/>
    <w:rsid w:val="00103384"/>
    <w:rsid w:val="00103BFC"/>
    <w:rsid w:val="001112DB"/>
    <w:rsid w:val="00113D53"/>
    <w:rsid w:val="00114328"/>
    <w:rsid w:val="0011492F"/>
    <w:rsid w:val="0011613F"/>
    <w:rsid w:val="00116B31"/>
    <w:rsid w:val="001217CE"/>
    <w:rsid w:val="00121F5D"/>
    <w:rsid w:val="00121F9F"/>
    <w:rsid w:val="00122048"/>
    <w:rsid w:val="0012212A"/>
    <w:rsid w:val="00122C8F"/>
    <w:rsid w:val="00123A04"/>
    <w:rsid w:val="00123DB5"/>
    <w:rsid w:val="00124FA9"/>
    <w:rsid w:val="00125EFF"/>
    <w:rsid w:val="00126227"/>
    <w:rsid w:val="001264D5"/>
    <w:rsid w:val="001310BC"/>
    <w:rsid w:val="0013176F"/>
    <w:rsid w:val="00133FD1"/>
    <w:rsid w:val="00137412"/>
    <w:rsid w:val="001408B6"/>
    <w:rsid w:val="00141B0F"/>
    <w:rsid w:val="00142F91"/>
    <w:rsid w:val="00143CE2"/>
    <w:rsid w:val="00145DA7"/>
    <w:rsid w:val="00146A03"/>
    <w:rsid w:val="00155356"/>
    <w:rsid w:val="00155E46"/>
    <w:rsid w:val="00156F16"/>
    <w:rsid w:val="0015715D"/>
    <w:rsid w:val="0016196F"/>
    <w:rsid w:val="001631D7"/>
    <w:rsid w:val="00163BE0"/>
    <w:rsid w:val="00172E11"/>
    <w:rsid w:val="00173211"/>
    <w:rsid w:val="0017431B"/>
    <w:rsid w:val="00174A5F"/>
    <w:rsid w:val="00176C5A"/>
    <w:rsid w:val="0018024F"/>
    <w:rsid w:val="00186553"/>
    <w:rsid w:val="00187429"/>
    <w:rsid w:val="001903C3"/>
    <w:rsid w:val="0019063E"/>
    <w:rsid w:val="00190720"/>
    <w:rsid w:val="0019092A"/>
    <w:rsid w:val="00194279"/>
    <w:rsid w:val="001951CC"/>
    <w:rsid w:val="00195BD6"/>
    <w:rsid w:val="001961EE"/>
    <w:rsid w:val="00196A26"/>
    <w:rsid w:val="00196DB4"/>
    <w:rsid w:val="00197A8C"/>
    <w:rsid w:val="001A01BC"/>
    <w:rsid w:val="001A0748"/>
    <w:rsid w:val="001A1FED"/>
    <w:rsid w:val="001A2D7B"/>
    <w:rsid w:val="001B08F6"/>
    <w:rsid w:val="001B2D6F"/>
    <w:rsid w:val="001B4C14"/>
    <w:rsid w:val="001B544A"/>
    <w:rsid w:val="001B55BB"/>
    <w:rsid w:val="001B59F0"/>
    <w:rsid w:val="001B5AA4"/>
    <w:rsid w:val="001B5CE0"/>
    <w:rsid w:val="001B6076"/>
    <w:rsid w:val="001B6169"/>
    <w:rsid w:val="001B7CB6"/>
    <w:rsid w:val="001C07AB"/>
    <w:rsid w:val="001C1090"/>
    <w:rsid w:val="001C3BDB"/>
    <w:rsid w:val="001C51C8"/>
    <w:rsid w:val="001C52DC"/>
    <w:rsid w:val="001D1ABC"/>
    <w:rsid w:val="001D1CBD"/>
    <w:rsid w:val="001D383C"/>
    <w:rsid w:val="001D7D1A"/>
    <w:rsid w:val="001D7D8D"/>
    <w:rsid w:val="001E1375"/>
    <w:rsid w:val="001E272D"/>
    <w:rsid w:val="001E2C18"/>
    <w:rsid w:val="001E33C9"/>
    <w:rsid w:val="001E3F54"/>
    <w:rsid w:val="001E5F4F"/>
    <w:rsid w:val="001F13ED"/>
    <w:rsid w:val="001F20FC"/>
    <w:rsid w:val="001F325E"/>
    <w:rsid w:val="001F6337"/>
    <w:rsid w:val="001F6B5E"/>
    <w:rsid w:val="00200A9D"/>
    <w:rsid w:val="00200D56"/>
    <w:rsid w:val="00202977"/>
    <w:rsid w:val="00203D72"/>
    <w:rsid w:val="002044D7"/>
    <w:rsid w:val="002055E0"/>
    <w:rsid w:val="0020784D"/>
    <w:rsid w:val="00210E0F"/>
    <w:rsid w:val="00211957"/>
    <w:rsid w:val="002140D0"/>
    <w:rsid w:val="00215A71"/>
    <w:rsid w:val="002163FF"/>
    <w:rsid w:val="00216597"/>
    <w:rsid w:val="0021696F"/>
    <w:rsid w:val="0021703B"/>
    <w:rsid w:val="0022049D"/>
    <w:rsid w:val="0022088E"/>
    <w:rsid w:val="002243BC"/>
    <w:rsid w:val="00224F55"/>
    <w:rsid w:val="00225875"/>
    <w:rsid w:val="002264BB"/>
    <w:rsid w:val="0022791A"/>
    <w:rsid w:val="00230CB9"/>
    <w:rsid w:val="002313D7"/>
    <w:rsid w:val="00231688"/>
    <w:rsid w:val="00231C5A"/>
    <w:rsid w:val="00231F17"/>
    <w:rsid w:val="00232AED"/>
    <w:rsid w:val="00232C50"/>
    <w:rsid w:val="002334D9"/>
    <w:rsid w:val="00234477"/>
    <w:rsid w:val="00235309"/>
    <w:rsid w:val="00235800"/>
    <w:rsid w:val="00235ED9"/>
    <w:rsid w:val="00236061"/>
    <w:rsid w:val="00237AF1"/>
    <w:rsid w:val="00242E1C"/>
    <w:rsid w:val="00243956"/>
    <w:rsid w:val="00245060"/>
    <w:rsid w:val="0024531D"/>
    <w:rsid w:val="00245DB5"/>
    <w:rsid w:val="0024676D"/>
    <w:rsid w:val="002477A5"/>
    <w:rsid w:val="0025089B"/>
    <w:rsid w:val="00252FDF"/>
    <w:rsid w:val="002545AB"/>
    <w:rsid w:val="002600FA"/>
    <w:rsid w:val="00260596"/>
    <w:rsid w:val="00262E70"/>
    <w:rsid w:val="00263963"/>
    <w:rsid w:val="00264B49"/>
    <w:rsid w:val="00272091"/>
    <w:rsid w:val="002720A8"/>
    <w:rsid w:val="002729F3"/>
    <w:rsid w:val="0027398B"/>
    <w:rsid w:val="00273F9E"/>
    <w:rsid w:val="002754B1"/>
    <w:rsid w:val="00276825"/>
    <w:rsid w:val="0028184B"/>
    <w:rsid w:val="00281924"/>
    <w:rsid w:val="002843AA"/>
    <w:rsid w:val="0028584F"/>
    <w:rsid w:val="00290F1E"/>
    <w:rsid w:val="0029155A"/>
    <w:rsid w:val="00291D32"/>
    <w:rsid w:val="002947D1"/>
    <w:rsid w:val="002A0DD1"/>
    <w:rsid w:val="002A1E97"/>
    <w:rsid w:val="002A5152"/>
    <w:rsid w:val="002B2409"/>
    <w:rsid w:val="002B4EBE"/>
    <w:rsid w:val="002C07C1"/>
    <w:rsid w:val="002C115B"/>
    <w:rsid w:val="002C26D5"/>
    <w:rsid w:val="002C3210"/>
    <w:rsid w:val="002C3697"/>
    <w:rsid w:val="002C3F5E"/>
    <w:rsid w:val="002C57ED"/>
    <w:rsid w:val="002C60A6"/>
    <w:rsid w:val="002C635D"/>
    <w:rsid w:val="002C69AB"/>
    <w:rsid w:val="002C779F"/>
    <w:rsid w:val="002D003E"/>
    <w:rsid w:val="002D06C8"/>
    <w:rsid w:val="002D11E2"/>
    <w:rsid w:val="002D2A05"/>
    <w:rsid w:val="002D3D80"/>
    <w:rsid w:val="002D4046"/>
    <w:rsid w:val="002D4F3C"/>
    <w:rsid w:val="002D5961"/>
    <w:rsid w:val="002D63C2"/>
    <w:rsid w:val="002D7738"/>
    <w:rsid w:val="002E0745"/>
    <w:rsid w:val="002E0D5E"/>
    <w:rsid w:val="002E415C"/>
    <w:rsid w:val="002E7865"/>
    <w:rsid w:val="002F0858"/>
    <w:rsid w:val="002F4329"/>
    <w:rsid w:val="002F5879"/>
    <w:rsid w:val="002F651F"/>
    <w:rsid w:val="002F6A75"/>
    <w:rsid w:val="00301392"/>
    <w:rsid w:val="00301581"/>
    <w:rsid w:val="00302DCA"/>
    <w:rsid w:val="00303ECD"/>
    <w:rsid w:val="003049A3"/>
    <w:rsid w:val="00305926"/>
    <w:rsid w:val="00305CEA"/>
    <w:rsid w:val="003061B5"/>
    <w:rsid w:val="00307601"/>
    <w:rsid w:val="003112E6"/>
    <w:rsid w:val="00313EFE"/>
    <w:rsid w:val="0031496D"/>
    <w:rsid w:val="00315393"/>
    <w:rsid w:val="00315989"/>
    <w:rsid w:val="00316301"/>
    <w:rsid w:val="00320228"/>
    <w:rsid w:val="00321C1D"/>
    <w:rsid w:val="00325746"/>
    <w:rsid w:val="00326671"/>
    <w:rsid w:val="00326D03"/>
    <w:rsid w:val="003333C6"/>
    <w:rsid w:val="00340396"/>
    <w:rsid w:val="0034111A"/>
    <w:rsid w:val="00341E31"/>
    <w:rsid w:val="0034223F"/>
    <w:rsid w:val="00342748"/>
    <w:rsid w:val="0034343F"/>
    <w:rsid w:val="00343963"/>
    <w:rsid w:val="00343B01"/>
    <w:rsid w:val="00345AB9"/>
    <w:rsid w:val="003478FC"/>
    <w:rsid w:val="00351D3C"/>
    <w:rsid w:val="0035359C"/>
    <w:rsid w:val="00353DC1"/>
    <w:rsid w:val="00354800"/>
    <w:rsid w:val="00357E96"/>
    <w:rsid w:val="00360A59"/>
    <w:rsid w:val="00362CF0"/>
    <w:rsid w:val="00363F9A"/>
    <w:rsid w:val="00365240"/>
    <w:rsid w:val="0036551C"/>
    <w:rsid w:val="003724AD"/>
    <w:rsid w:val="00373F01"/>
    <w:rsid w:val="003756FD"/>
    <w:rsid w:val="00377417"/>
    <w:rsid w:val="00377680"/>
    <w:rsid w:val="00381322"/>
    <w:rsid w:val="003824F6"/>
    <w:rsid w:val="0038290D"/>
    <w:rsid w:val="00382E3C"/>
    <w:rsid w:val="00383221"/>
    <w:rsid w:val="00386DE4"/>
    <w:rsid w:val="003902F3"/>
    <w:rsid w:val="003910AD"/>
    <w:rsid w:val="00394994"/>
    <w:rsid w:val="00395CFB"/>
    <w:rsid w:val="003A2791"/>
    <w:rsid w:val="003A2FAC"/>
    <w:rsid w:val="003A3862"/>
    <w:rsid w:val="003A451F"/>
    <w:rsid w:val="003A6A4D"/>
    <w:rsid w:val="003A7A19"/>
    <w:rsid w:val="003B0C08"/>
    <w:rsid w:val="003B29B7"/>
    <w:rsid w:val="003B2DCF"/>
    <w:rsid w:val="003B3D86"/>
    <w:rsid w:val="003B3E97"/>
    <w:rsid w:val="003B7998"/>
    <w:rsid w:val="003C1180"/>
    <w:rsid w:val="003C2AC2"/>
    <w:rsid w:val="003C3009"/>
    <w:rsid w:val="003C31DE"/>
    <w:rsid w:val="003C3B8B"/>
    <w:rsid w:val="003C64FB"/>
    <w:rsid w:val="003C77EF"/>
    <w:rsid w:val="003C7B12"/>
    <w:rsid w:val="003D0927"/>
    <w:rsid w:val="003D09F3"/>
    <w:rsid w:val="003D0AB1"/>
    <w:rsid w:val="003D168C"/>
    <w:rsid w:val="003D1CE2"/>
    <w:rsid w:val="003D1D0F"/>
    <w:rsid w:val="003D3158"/>
    <w:rsid w:val="003D5B4E"/>
    <w:rsid w:val="003D6912"/>
    <w:rsid w:val="003D6A5D"/>
    <w:rsid w:val="003D6DB6"/>
    <w:rsid w:val="003E03D2"/>
    <w:rsid w:val="003E1327"/>
    <w:rsid w:val="003E3E09"/>
    <w:rsid w:val="003E5CA1"/>
    <w:rsid w:val="003E74E4"/>
    <w:rsid w:val="003F188D"/>
    <w:rsid w:val="003F3045"/>
    <w:rsid w:val="003F4CD6"/>
    <w:rsid w:val="003F546D"/>
    <w:rsid w:val="00402467"/>
    <w:rsid w:val="004028C6"/>
    <w:rsid w:val="00402D8E"/>
    <w:rsid w:val="00404BAF"/>
    <w:rsid w:val="00406040"/>
    <w:rsid w:val="0040617C"/>
    <w:rsid w:val="00406D52"/>
    <w:rsid w:val="00407C33"/>
    <w:rsid w:val="00417A5F"/>
    <w:rsid w:val="00420B1D"/>
    <w:rsid w:val="004211DE"/>
    <w:rsid w:val="00421FD3"/>
    <w:rsid w:val="00424A6B"/>
    <w:rsid w:val="00424E2E"/>
    <w:rsid w:val="004307B9"/>
    <w:rsid w:val="00430872"/>
    <w:rsid w:val="00433211"/>
    <w:rsid w:val="004333EE"/>
    <w:rsid w:val="00435F67"/>
    <w:rsid w:val="00436874"/>
    <w:rsid w:val="0043697B"/>
    <w:rsid w:val="00436B12"/>
    <w:rsid w:val="0044014C"/>
    <w:rsid w:val="004422FA"/>
    <w:rsid w:val="00442FA9"/>
    <w:rsid w:val="00446D04"/>
    <w:rsid w:val="00447D3C"/>
    <w:rsid w:val="00451500"/>
    <w:rsid w:val="00453DEC"/>
    <w:rsid w:val="004543D6"/>
    <w:rsid w:val="00454E4F"/>
    <w:rsid w:val="004568A4"/>
    <w:rsid w:val="00456CE8"/>
    <w:rsid w:val="00457045"/>
    <w:rsid w:val="0045746F"/>
    <w:rsid w:val="00460500"/>
    <w:rsid w:val="0046142A"/>
    <w:rsid w:val="00461BE7"/>
    <w:rsid w:val="0046795E"/>
    <w:rsid w:val="004713EE"/>
    <w:rsid w:val="004726F8"/>
    <w:rsid w:val="00475B63"/>
    <w:rsid w:val="00475C6A"/>
    <w:rsid w:val="00476A63"/>
    <w:rsid w:val="00477315"/>
    <w:rsid w:val="00480439"/>
    <w:rsid w:val="004809D3"/>
    <w:rsid w:val="00482108"/>
    <w:rsid w:val="00482253"/>
    <w:rsid w:val="0048279D"/>
    <w:rsid w:val="00483767"/>
    <w:rsid w:val="0049293E"/>
    <w:rsid w:val="00492D02"/>
    <w:rsid w:val="00494E13"/>
    <w:rsid w:val="00495296"/>
    <w:rsid w:val="004A0A62"/>
    <w:rsid w:val="004A0CC5"/>
    <w:rsid w:val="004A246E"/>
    <w:rsid w:val="004A28AD"/>
    <w:rsid w:val="004A2D37"/>
    <w:rsid w:val="004A3A17"/>
    <w:rsid w:val="004A3A44"/>
    <w:rsid w:val="004A4689"/>
    <w:rsid w:val="004A489A"/>
    <w:rsid w:val="004A4BD9"/>
    <w:rsid w:val="004A4D4D"/>
    <w:rsid w:val="004A5509"/>
    <w:rsid w:val="004A61F1"/>
    <w:rsid w:val="004B13E7"/>
    <w:rsid w:val="004B17EF"/>
    <w:rsid w:val="004B2EFB"/>
    <w:rsid w:val="004B4326"/>
    <w:rsid w:val="004B6B50"/>
    <w:rsid w:val="004B6DBB"/>
    <w:rsid w:val="004B7F81"/>
    <w:rsid w:val="004C0A10"/>
    <w:rsid w:val="004C1666"/>
    <w:rsid w:val="004C239C"/>
    <w:rsid w:val="004C2410"/>
    <w:rsid w:val="004C283E"/>
    <w:rsid w:val="004C39F4"/>
    <w:rsid w:val="004C4EB2"/>
    <w:rsid w:val="004D0604"/>
    <w:rsid w:val="004D21AC"/>
    <w:rsid w:val="004D4C62"/>
    <w:rsid w:val="004D5E2F"/>
    <w:rsid w:val="004D6171"/>
    <w:rsid w:val="004E39D9"/>
    <w:rsid w:val="004E43C9"/>
    <w:rsid w:val="004E7806"/>
    <w:rsid w:val="004E79CB"/>
    <w:rsid w:val="004F0E63"/>
    <w:rsid w:val="004F30DB"/>
    <w:rsid w:val="004F345B"/>
    <w:rsid w:val="004F5C49"/>
    <w:rsid w:val="00501B36"/>
    <w:rsid w:val="005042F0"/>
    <w:rsid w:val="00505AE7"/>
    <w:rsid w:val="00505AF9"/>
    <w:rsid w:val="0051018C"/>
    <w:rsid w:val="0051290D"/>
    <w:rsid w:val="00513517"/>
    <w:rsid w:val="00515EFA"/>
    <w:rsid w:val="00517B7C"/>
    <w:rsid w:val="005214A6"/>
    <w:rsid w:val="0052372D"/>
    <w:rsid w:val="00523B33"/>
    <w:rsid w:val="005240BC"/>
    <w:rsid w:val="005244A9"/>
    <w:rsid w:val="00524B85"/>
    <w:rsid w:val="00525A56"/>
    <w:rsid w:val="00526F73"/>
    <w:rsid w:val="005275E6"/>
    <w:rsid w:val="0053006F"/>
    <w:rsid w:val="00530693"/>
    <w:rsid w:val="0053106B"/>
    <w:rsid w:val="00531FF4"/>
    <w:rsid w:val="00533A0B"/>
    <w:rsid w:val="00534568"/>
    <w:rsid w:val="00535295"/>
    <w:rsid w:val="005508FA"/>
    <w:rsid w:val="0055197E"/>
    <w:rsid w:val="00554FC3"/>
    <w:rsid w:val="005557D1"/>
    <w:rsid w:val="0055633E"/>
    <w:rsid w:val="0055724E"/>
    <w:rsid w:val="00560EFE"/>
    <w:rsid w:val="00562DCD"/>
    <w:rsid w:val="005654A1"/>
    <w:rsid w:val="00565ABB"/>
    <w:rsid w:val="00566BBF"/>
    <w:rsid w:val="00570AB5"/>
    <w:rsid w:val="005723D9"/>
    <w:rsid w:val="00572E09"/>
    <w:rsid w:val="0057488F"/>
    <w:rsid w:val="005761EA"/>
    <w:rsid w:val="005806C3"/>
    <w:rsid w:val="0058133F"/>
    <w:rsid w:val="005832E6"/>
    <w:rsid w:val="005836C9"/>
    <w:rsid w:val="005843C0"/>
    <w:rsid w:val="00584F90"/>
    <w:rsid w:val="00585BB8"/>
    <w:rsid w:val="00585DB2"/>
    <w:rsid w:val="0058630A"/>
    <w:rsid w:val="00590886"/>
    <w:rsid w:val="0059170E"/>
    <w:rsid w:val="005947B5"/>
    <w:rsid w:val="0059795B"/>
    <w:rsid w:val="005A1202"/>
    <w:rsid w:val="005A13DB"/>
    <w:rsid w:val="005A3B36"/>
    <w:rsid w:val="005A4DD2"/>
    <w:rsid w:val="005A6027"/>
    <w:rsid w:val="005A68FF"/>
    <w:rsid w:val="005A6CC0"/>
    <w:rsid w:val="005B2375"/>
    <w:rsid w:val="005B2DB7"/>
    <w:rsid w:val="005B3CB6"/>
    <w:rsid w:val="005B4C0A"/>
    <w:rsid w:val="005B7D0A"/>
    <w:rsid w:val="005C09FC"/>
    <w:rsid w:val="005C4493"/>
    <w:rsid w:val="005C7647"/>
    <w:rsid w:val="005D02C5"/>
    <w:rsid w:val="005D072E"/>
    <w:rsid w:val="005D1530"/>
    <w:rsid w:val="005D22EB"/>
    <w:rsid w:val="005D3AFD"/>
    <w:rsid w:val="005D44AE"/>
    <w:rsid w:val="005D7BDC"/>
    <w:rsid w:val="005E1202"/>
    <w:rsid w:val="005E2B83"/>
    <w:rsid w:val="005E41B9"/>
    <w:rsid w:val="005F1CE0"/>
    <w:rsid w:val="005F391D"/>
    <w:rsid w:val="005F4934"/>
    <w:rsid w:val="005F5C2C"/>
    <w:rsid w:val="005F6760"/>
    <w:rsid w:val="005F715C"/>
    <w:rsid w:val="005F7A40"/>
    <w:rsid w:val="005F7A88"/>
    <w:rsid w:val="00604B63"/>
    <w:rsid w:val="00605A63"/>
    <w:rsid w:val="0060710C"/>
    <w:rsid w:val="006101DB"/>
    <w:rsid w:val="006110D1"/>
    <w:rsid w:val="0061153C"/>
    <w:rsid w:val="006122E9"/>
    <w:rsid w:val="006137E8"/>
    <w:rsid w:val="00614817"/>
    <w:rsid w:val="00614A23"/>
    <w:rsid w:val="00617A72"/>
    <w:rsid w:val="00620E6C"/>
    <w:rsid w:val="006262DA"/>
    <w:rsid w:val="00626AA3"/>
    <w:rsid w:val="006271B6"/>
    <w:rsid w:val="00627B58"/>
    <w:rsid w:val="0063185C"/>
    <w:rsid w:val="006408E9"/>
    <w:rsid w:val="00641F1D"/>
    <w:rsid w:val="00643A66"/>
    <w:rsid w:val="00647364"/>
    <w:rsid w:val="00647C39"/>
    <w:rsid w:val="00653FF7"/>
    <w:rsid w:val="006559C1"/>
    <w:rsid w:val="00656708"/>
    <w:rsid w:val="00660D62"/>
    <w:rsid w:val="00663F77"/>
    <w:rsid w:val="0066463B"/>
    <w:rsid w:val="00665DD4"/>
    <w:rsid w:val="006662AB"/>
    <w:rsid w:val="00674BB0"/>
    <w:rsid w:val="00674D93"/>
    <w:rsid w:val="006754B3"/>
    <w:rsid w:val="00676CE8"/>
    <w:rsid w:val="006821DD"/>
    <w:rsid w:val="00683751"/>
    <w:rsid w:val="00683D7F"/>
    <w:rsid w:val="00685012"/>
    <w:rsid w:val="0069020B"/>
    <w:rsid w:val="006903FD"/>
    <w:rsid w:val="00690621"/>
    <w:rsid w:val="00692132"/>
    <w:rsid w:val="0069229F"/>
    <w:rsid w:val="00693CDA"/>
    <w:rsid w:val="00694186"/>
    <w:rsid w:val="006959E6"/>
    <w:rsid w:val="006968A1"/>
    <w:rsid w:val="006970A2"/>
    <w:rsid w:val="006A01BD"/>
    <w:rsid w:val="006A0CD2"/>
    <w:rsid w:val="006A1A92"/>
    <w:rsid w:val="006A3D9B"/>
    <w:rsid w:val="006A407C"/>
    <w:rsid w:val="006A492E"/>
    <w:rsid w:val="006A5109"/>
    <w:rsid w:val="006A56B6"/>
    <w:rsid w:val="006A665B"/>
    <w:rsid w:val="006B395C"/>
    <w:rsid w:val="006B3C57"/>
    <w:rsid w:val="006B40BD"/>
    <w:rsid w:val="006B4739"/>
    <w:rsid w:val="006B6EC3"/>
    <w:rsid w:val="006C074B"/>
    <w:rsid w:val="006C20B7"/>
    <w:rsid w:val="006C2E64"/>
    <w:rsid w:val="006D2531"/>
    <w:rsid w:val="006D31E4"/>
    <w:rsid w:val="006D3E8D"/>
    <w:rsid w:val="006D4A6B"/>
    <w:rsid w:val="006D5628"/>
    <w:rsid w:val="006D7E2C"/>
    <w:rsid w:val="006D7F32"/>
    <w:rsid w:val="006E1AFF"/>
    <w:rsid w:val="006E234E"/>
    <w:rsid w:val="006E596D"/>
    <w:rsid w:val="006F1C73"/>
    <w:rsid w:val="006F1DE5"/>
    <w:rsid w:val="006F2220"/>
    <w:rsid w:val="006F522C"/>
    <w:rsid w:val="006F7883"/>
    <w:rsid w:val="006F7AD5"/>
    <w:rsid w:val="00702337"/>
    <w:rsid w:val="00702F32"/>
    <w:rsid w:val="007052DE"/>
    <w:rsid w:val="0070572D"/>
    <w:rsid w:val="00705E1E"/>
    <w:rsid w:val="00706219"/>
    <w:rsid w:val="00706F08"/>
    <w:rsid w:val="007073E9"/>
    <w:rsid w:val="0071037A"/>
    <w:rsid w:val="00710606"/>
    <w:rsid w:val="00711FF9"/>
    <w:rsid w:val="00715344"/>
    <w:rsid w:val="00721913"/>
    <w:rsid w:val="00724FD4"/>
    <w:rsid w:val="00726632"/>
    <w:rsid w:val="007309D3"/>
    <w:rsid w:val="00733CFF"/>
    <w:rsid w:val="00733F24"/>
    <w:rsid w:val="00734314"/>
    <w:rsid w:val="0073447C"/>
    <w:rsid w:val="00735631"/>
    <w:rsid w:val="0073706C"/>
    <w:rsid w:val="0073782B"/>
    <w:rsid w:val="00741DF0"/>
    <w:rsid w:val="00743C57"/>
    <w:rsid w:val="00743CDD"/>
    <w:rsid w:val="007444DE"/>
    <w:rsid w:val="007458FD"/>
    <w:rsid w:val="00746370"/>
    <w:rsid w:val="00747C8A"/>
    <w:rsid w:val="0075170E"/>
    <w:rsid w:val="00754F20"/>
    <w:rsid w:val="00757CA8"/>
    <w:rsid w:val="00760331"/>
    <w:rsid w:val="00760C0D"/>
    <w:rsid w:val="0076106B"/>
    <w:rsid w:val="00761685"/>
    <w:rsid w:val="00761D5C"/>
    <w:rsid w:val="007624CA"/>
    <w:rsid w:val="00764543"/>
    <w:rsid w:val="007645EF"/>
    <w:rsid w:val="00766662"/>
    <w:rsid w:val="00767CCD"/>
    <w:rsid w:val="00770F4D"/>
    <w:rsid w:val="00773C89"/>
    <w:rsid w:val="00774C01"/>
    <w:rsid w:val="007763CC"/>
    <w:rsid w:val="00776776"/>
    <w:rsid w:val="0077751F"/>
    <w:rsid w:val="00777CA0"/>
    <w:rsid w:val="00781DE0"/>
    <w:rsid w:val="00786EE6"/>
    <w:rsid w:val="0079146E"/>
    <w:rsid w:val="0079196C"/>
    <w:rsid w:val="00793E45"/>
    <w:rsid w:val="0079589B"/>
    <w:rsid w:val="00797F40"/>
    <w:rsid w:val="007A2171"/>
    <w:rsid w:val="007A43C3"/>
    <w:rsid w:val="007A64FF"/>
    <w:rsid w:val="007A719D"/>
    <w:rsid w:val="007A7AC8"/>
    <w:rsid w:val="007B3667"/>
    <w:rsid w:val="007B468B"/>
    <w:rsid w:val="007B639D"/>
    <w:rsid w:val="007C0859"/>
    <w:rsid w:val="007C0A68"/>
    <w:rsid w:val="007C0BA0"/>
    <w:rsid w:val="007C1DE0"/>
    <w:rsid w:val="007C3FD9"/>
    <w:rsid w:val="007C44FF"/>
    <w:rsid w:val="007D2575"/>
    <w:rsid w:val="007D2A27"/>
    <w:rsid w:val="007D3C36"/>
    <w:rsid w:val="007D4D60"/>
    <w:rsid w:val="007D5BF9"/>
    <w:rsid w:val="007D610A"/>
    <w:rsid w:val="007D6597"/>
    <w:rsid w:val="007E2432"/>
    <w:rsid w:val="007E2C66"/>
    <w:rsid w:val="007E4660"/>
    <w:rsid w:val="007E4836"/>
    <w:rsid w:val="007E7E67"/>
    <w:rsid w:val="007F030C"/>
    <w:rsid w:val="007F11F2"/>
    <w:rsid w:val="007F1371"/>
    <w:rsid w:val="007F1E2C"/>
    <w:rsid w:val="007F2996"/>
    <w:rsid w:val="007F3627"/>
    <w:rsid w:val="007F3B40"/>
    <w:rsid w:val="007F4CCE"/>
    <w:rsid w:val="007F56C3"/>
    <w:rsid w:val="007F5CCF"/>
    <w:rsid w:val="007F6DB0"/>
    <w:rsid w:val="007F79D5"/>
    <w:rsid w:val="00800124"/>
    <w:rsid w:val="00800A73"/>
    <w:rsid w:val="0080127C"/>
    <w:rsid w:val="00801333"/>
    <w:rsid w:val="008014D8"/>
    <w:rsid w:val="00802676"/>
    <w:rsid w:val="00804C30"/>
    <w:rsid w:val="008053CE"/>
    <w:rsid w:val="00805C41"/>
    <w:rsid w:val="00806771"/>
    <w:rsid w:val="00810865"/>
    <w:rsid w:val="0081143F"/>
    <w:rsid w:val="00814991"/>
    <w:rsid w:val="00817D9F"/>
    <w:rsid w:val="00821843"/>
    <w:rsid w:val="008251F7"/>
    <w:rsid w:val="00826352"/>
    <w:rsid w:val="0082696D"/>
    <w:rsid w:val="008302B3"/>
    <w:rsid w:val="00830CA8"/>
    <w:rsid w:val="008335E7"/>
    <w:rsid w:val="00834FAE"/>
    <w:rsid w:val="00840B84"/>
    <w:rsid w:val="0084137F"/>
    <w:rsid w:val="008444EA"/>
    <w:rsid w:val="00844D1E"/>
    <w:rsid w:val="0084594C"/>
    <w:rsid w:val="00845FE0"/>
    <w:rsid w:val="00847773"/>
    <w:rsid w:val="00847D4E"/>
    <w:rsid w:val="00847E69"/>
    <w:rsid w:val="00851592"/>
    <w:rsid w:val="0085278C"/>
    <w:rsid w:val="00854B03"/>
    <w:rsid w:val="00855124"/>
    <w:rsid w:val="00855CA2"/>
    <w:rsid w:val="00856B3F"/>
    <w:rsid w:val="00860283"/>
    <w:rsid w:val="008612B8"/>
    <w:rsid w:val="00861817"/>
    <w:rsid w:val="0086216B"/>
    <w:rsid w:val="00867452"/>
    <w:rsid w:val="008678C7"/>
    <w:rsid w:val="00867AB0"/>
    <w:rsid w:val="008718C8"/>
    <w:rsid w:val="00872080"/>
    <w:rsid w:val="008744AB"/>
    <w:rsid w:val="008746A4"/>
    <w:rsid w:val="008757EB"/>
    <w:rsid w:val="00877682"/>
    <w:rsid w:val="008825E4"/>
    <w:rsid w:val="00886353"/>
    <w:rsid w:val="00886E81"/>
    <w:rsid w:val="00890069"/>
    <w:rsid w:val="00891894"/>
    <w:rsid w:val="00893213"/>
    <w:rsid w:val="008932B7"/>
    <w:rsid w:val="00893D50"/>
    <w:rsid w:val="00893EE7"/>
    <w:rsid w:val="008945B3"/>
    <w:rsid w:val="00894BBC"/>
    <w:rsid w:val="00894F83"/>
    <w:rsid w:val="008A0BDB"/>
    <w:rsid w:val="008A0F55"/>
    <w:rsid w:val="008A2123"/>
    <w:rsid w:val="008A23F5"/>
    <w:rsid w:val="008A6B3B"/>
    <w:rsid w:val="008A6DE3"/>
    <w:rsid w:val="008B0150"/>
    <w:rsid w:val="008B1974"/>
    <w:rsid w:val="008B4751"/>
    <w:rsid w:val="008B568D"/>
    <w:rsid w:val="008B5FF4"/>
    <w:rsid w:val="008B6004"/>
    <w:rsid w:val="008B62AF"/>
    <w:rsid w:val="008C0F14"/>
    <w:rsid w:val="008C3F7A"/>
    <w:rsid w:val="008C48EF"/>
    <w:rsid w:val="008C4C02"/>
    <w:rsid w:val="008D0245"/>
    <w:rsid w:val="008D0474"/>
    <w:rsid w:val="008D5012"/>
    <w:rsid w:val="008D7F10"/>
    <w:rsid w:val="008E2094"/>
    <w:rsid w:val="008E4248"/>
    <w:rsid w:val="008E49DF"/>
    <w:rsid w:val="008E654D"/>
    <w:rsid w:val="008E72D1"/>
    <w:rsid w:val="008E7E54"/>
    <w:rsid w:val="008F087C"/>
    <w:rsid w:val="008F21B6"/>
    <w:rsid w:val="008F2A97"/>
    <w:rsid w:val="008F353B"/>
    <w:rsid w:val="008F489F"/>
    <w:rsid w:val="008F5B7E"/>
    <w:rsid w:val="008F6676"/>
    <w:rsid w:val="008F692F"/>
    <w:rsid w:val="00902C6C"/>
    <w:rsid w:val="00903A24"/>
    <w:rsid w:val="0090442E"/>
    <w:rsid w:val="00904FF9"/>
    <w:rsid w:val="00905DEA"/>
    <w:rsid w:val="009070D1"/>
    <w:rsid w:val="00907713"/>
    <w:rsid w:val="009108D6"/>
    <w:rsid w:val="00912065"/>
    <w:rsid w:val="0091216B"/>
    <w:rsid w:val="00912E18"/>
    <w:rsid w:val="00914317"/>
    <w:rsid w:val="00914CE6"/>
    <w:rsid w:val="00916762"/>
    <w:rsid w:val="009178A5"/>
    <w:rsid w:val="00920A1F"/>
    <w:rsid w:val="00921AC3"/>
    <w:rsid w:val="00922193"/>
    <w:rsid w:val="0092361B"/>
    <w:rsid w:val="00923CB9"/>
    <w:rsid w:val="0092404D"/>
    <w:rsid w:val="0092430F"/>
    <w:rsid w:val="00924F51"/>
    <w:rsid w:val="009257C0"/>
    <w:rsid w:val="00930D9B"/>
    <w:rsid w:val="009310EE"/>
    <w:rsid w:val="0093223C"/>
    <w:rsid w:val="00933D31"/>
    <w:rsid w:val="009341A4"/>
    <w:rsid w:val="009343D2"/>
    <w:rsid w:val="00934614"/>
    <w:rsid w:val="00934698"/>
    <w:rsid w:val="00934E8A"/>
    <w:rsid w:val="009353EB"/>
    <w:rsid w:val="00935984"/>
    <w:rsid w:val="00935FBC"/>
    <w:rsid w:val="00937079"/>
    <w:rsid w:val="009403CF"/>
    <w:rsid w:val="00941577"/>
    <w:rsid w:val="009419E1"/>
    <w:rsid w:val="00941CC0"/>
    <w:rsid w:val="00941FDE"/>
    <w:rsid w:val="00942266"/>
    <w:rsid w:val="009444B7"/>
    <w:rsid w:val="0095095F"/>
    <w:rsid w:val="00950D29"/>
    <w:rsid w:val="00952D27"/>
    <w:rsid w:val="00952FE7"/>
    <w:rsid w:val="00953185"/>
    <w:rsid w:val="00955946"/>
    <w:rsid w:val="00955CEB"/>
    <w:rsid w:val="00955E5F"/>
    <w:rsid w:val="00957847"/>
    <w:rsid w:val="00957D9C"/>
    <w:rsid w:val="0096013D"/>
    <w:rsid w:val="00960875"/>
    <w:rsid w:val="00962138"/>
    <w:rsid w:val="00965299"/>
    <w:rsid w:val="00965CAA"/>
    <w:rsid w:val="00965D74"/>
    <w:rsid w:val="00970C40"/>
    <w:rsid w:val="00971353"/>
    <w:rsid w:val="00972ED7"/>
    <w:rsid w:val="009741DE"/>
    <w:rsid w:val="00974B5E"/>
    <w:rsid w:val="00974F9A"/>
    <w:rsid w:val="009802DD"/>
    <w:rsid w:val="0098254F"/>
    <w:rsid w:val="00982FC5"/>
    <w:rsid w:val="00984017"/>
    <w:rsid w:val="00986FC1"/>
    <w:rsid w:val="00987D06"/>
    <w:rsid w:val="009917A8"/>
    <w:rsid w:val="009917EF"/>
    <w:rsid w:val="00992ED9"/>
    <w:rsid w:val="00994F6B"/>
    <w:rsid w:val="0099603F"/>
    <w:rsid w:val="00997959"/>
    <w:rsid w:val="009A3960"/>
    <w:rsid w:val="009A422E"/>
    <w:rsid w:val="009A473B"/>
    <w:rsid w:val="009A4CAF"/>
    <w:rsid w:val="009A5902"/>
    <w:rsid w:val="009B19A2"/>
    <w:rsid w:val="009B24A9"/>
    <w:rsid w:val="009B273F"/>
    <w:rsid w:val="009B4B52"/>
    <w:rsid w:val="009B53F3"/>
    <w:rsid w:val="009B5569"/>
    <w:rsid w:val="009B725E"/>
    <w:rsid w:val="009B7610"/>
    <w:rsid w:val="009B7D2F"/>
    <w:rsid w:val="009C0894"/>
    <w:rsid w:val="009C1F25"/>
    <w:rsid w:val="009C2F53"/>
    <w:rsid w:val="009C3D86"/>
    <w:rsid w:val="009C58DF"/>
    <w:rsid w:val="009C7B86"/>
    <w:rsid w:val="009C7E7A"/>
    <w:rsid w:val="009D11A0"/>
    <w:rsid w:val="009D15C6"/>
    <w:rsid w:val="009D2AEC"/>
    <w:rsid w:val="009D403B"/>
    <w:rsid w:val="009D5046"/>
    <w:rsid w:val="009D73B8"/>
    <w:rsid w:val="009E0682"/>
    <w:rsid w:val="009E1A74"/>
    <w:rsid w:val="009E337A"/>
    <w:rsid w:val="009E5ACF"/>
    <w:rsid w:val="009E64BB"/>
    <w:rsid w:val="009E69E0"/>
    <w:rsid w:val="009E7951"/>
    <w:rsid w:val="009F1885"/>
    <w:rsid w:val="009F2B3F"/>
    <w:rsid w:val="009F34B9"/>
    <w:rsid w:val="009F36F3"/>
    <w:rsid w:val="009F70E9"/>
    <w:rsid w:val="00A004BA"/>
    <w:rsid w:val="00A023D4"/>
    <w:rsid w:val="00A0385D"/>
    <w:rsid w:val="00A04EBE"/>
    <w:rsid w:val="00A05AAA"/>
    <w:rsid w:val="00A06628"/>
    <w:rsid w:val="00A107F8"/>
    <w:rsid w:val="00A10B68"/>
    <w:rsid w:val="00A126A6"/>
    <w:rsid w:val="00A14DF5"/>
    <w:rsid w:val="00A16073"/>
    <w:rsid w:val="00A16E6E"/>
    <w:rsid w:val="00A17BBE"/>
    <w:rsid w:val="00A21209"/>
    <w:rsid w:val="00A2158F"/>
    <w:rsid w:val="00A21A37"/>
    <w:rsid w:val="00A22BCE"/>
    <w:rsid w:val="00A24240"/>
    <w:rsid w:val="00A25C3C"/>
    <w:rsid w:val="00A25F8D"/>
    <w:rsid w:val="00A276F3"/>
    <w:rsid w:val="00A324B6"/>
    <w:rsid w:val="00A33938"/>
    <w:rsid w:val="00A34E9D"/>
    <w:rsid w:val="00A34F61"/>
    <w:rsid w:val="00A37A52"/>
    <w:rsid w:val="00A40A79"/>
    <w:rsid w:val="00A420C1"/>
    <w:rsid w:val="00A4389E"/>
    <w:rsid w:val="00A43B39"/>
    <w:rsid w:val="00A44591"/>
    <w:rsid w:val="00A44AB7"/>
    <w:rsid w:val="00A46A4D"/>
    <w:rsid w:val="00A47A5F"/>
    <w:rsid w:val="00A50688"/>
    <w:rsid w:val="00A50B3B"/>
    <w:rsid w:val="00A50CBC"/>
    <w:rsid w:val="00A51BA1"/>
    <w:rsid w:val="00A51CD6"/>
    <w:rsid w:val="00A52F1F"/>
    <w:rsid w:val="00A535F4"/>
    <w:rsid w:val="00A55DBD"/>
    <w:rsid w:val="00A6032F"/>
    <w:rsid w:val="00A60971"/>
    <w:rsid w:val="00A61883"/>
    <w:rsid w:val="00A6192A"/>
    <w:rsid w:val="00A61A42"/>
    <w:rsid w:val="00A635A7"/>
    <w:rsid w:val="00A63738"/>
    <w:rsid w:val="00A64D86"/>
    <w:rsid w:val="00A64E5C"/>
    <w:rsid w:val="00A660AE"/>
    <w:rsid w:val="00A668EB"/>
    <w:rsid w:val="00A67E3E"/>
    <w:rsid w:val="00A73718"/>
    <w:rsid w:val="00A75E9D"/>
    <w:rsid w:val="00A816E6"/>
    <w:rsid w:val="00A84E6F"/>
    <w:rsid w:val="00A85E24"/>
    <w:rsid w:val="00A8637A"/>
    <w:rsid w:val="00A870AC"/>
    <w:rsid w:val="00A9287D"/>
    <w:rsid w:val="00A964F7"/>
    <w:rsid w:val="00AA0C56"/>
    <w:rsid w:val="00AA4702"/>
    <w:rsid w:val="00AA6253"/>
    <w:rsid w:val="00AA6BA2"/>
    <w:rsid w:val="00AA7B2F"/>
    <w:rsid w:val="00AA7E8B"/>
    <w:rsid w:val="00AB0918"/>
    <w:rsid w:val="00AB17F6"/>
    <w:rsid w:val="00AB33F6"/>
    <w:rsid w:val="00AB3CB9"/>
    <w:rsid w:val="00AB510E"/>
    <w:rsid w:val="00AB6ADC"/>
    <w:rsid w:val="00AB6E1C"/>
    <w:rsid w:val="00AC078C"/>
    <w:rsid w:val="00AC3BD4"/>
    <w:rsid w:val="00AC3C01"/>
    <w:rsid w:val="00AC4BB5"/>
    <w:rsid w:val="00AC56F8"/>
    <w:rsid w:val="00AD1FEE"/>
    <w:rsid w:val="00AD48D0"/>
    <w:rsid w:val="00AD5603"/>
    <w:rsid w:val="00AE0B08"/>
    <w:rsid w:val="00AE1190"/>
    <w:rsid w:val="00AE2114"/>
    <w:rsid w:val="00AE2BEA"/>
    <w:rsid w:val="00AE65BE"/>
    <w:rsid w:val="00AE66B4"/>
    <w:rsid w:val="00AE7B48"/>
    <w:rsid w:val="00AE7DE6"/>
    <w:rsid w:val="00AE7FD8"/>
    <w:rsid w:val="00AF0CB5"/>
    <w:rsid w:val="00AF1630"/>
    <w:rsid w:val="00AF2CB4"/>
    <w:rsid w:val="00AF3E31"/>
    <w:rsid w:val="00AF3E36"/>
    <w:rsid w:val="00AF578B"/>
    <w:rsid w:val="00AF5C92"/>
    <w:rsid w:val="00B00291"/>
    <w:rsid w:val="00B0068B"/>
    <w:rsid w:val="00B016ED"/>
    <w:rsid w:val="00B11270"/>
    <w:rsid w:val="00B118B6"/>
    <w:rsid w:val="00B1254F"/>
    <w:rsid w:val="00B138A3"/>
    <w:rsid w:val="00B15090"/>
    <w:rsid w:val="00B20FAA"/>
    <w:rsid w:val="00B24081"/>
    <w:rsid w:val="00B270CA"/>
    <w:rsid w:val="00B307B7"/>
    <w:rsid w:val="00B32086"/>
    <w:rsid w:val="00B32088"/>
    <w:rsid w:val="00B32992"/>
    <w:rsid w:val="00B32E1E"/>
    <w:rsid w:val="00B33926"/>
    <w:rsid w:val="00B34413"/>
    <w:rsid w:val="00B35178"/>
    <w:rsid w:val="00B3563C"/>
    <w:rsid w:val="00B374AA"/>
    <w:rsid w:val="00B37822"/>
    <w:rsid w:val="00B40212"/>
    <w:rsid w:val="00B404AA"/>
    <w:rsid w:val="00B4089F"/>
    <w:rsid w:val="00B40E65"/>
    <w:rsid w:val="00B41FA0"/>
    <w:rsid w:val="00B4202D"/>
    <w:rsid w:val="00B43310"/>
    <w:rsid w:val="00B471AB"/>
    <w:rsid w:val="00B47FEF"/>
    <w:rsid w:val="00B502E1"/>
    <w:rsid w:val="00B52066"/>
    <w:rsid w:val="00B523EF"/>
    <w:rsid w:val="00B532F8"/>
    <w:rsid w:val="00B54F12"/>
    <w:rsid w:val="00B57421"/>
    <w:rsid w:val="00B57790"/>
    <w:rsid w:val="00B57B4E"/>
    <w:rsid w:val="00B6118E"/>
    <w:rsid w:val="00B61549"/>
    <w:rsid w:val="00B6470E"/>
    <w:rsid w:val="00B66AE5"/>
    <w:rsid w:val="00B67B13"/>
    <w:rsid w:val="00B71ECD"/>
    <w:rsid w:val="00B728CC"/>
    <w:rsid w:val="00B73A58"/>
    <w:rsid w:val="00B7497C"/>
    <w:rsid w:val="00B80685"/>
    <w:rsid w:val="00B8158B"/>
    <w:rsid w:val="00B82928"/>
    <w:rsid w:val="00B83E71"/>
    <w:rsid w:val="00B843CF"/>
    <w:rsid w:val="00B86140"/>
    <w:rsid w:val="00B865A9"/>
    <w:rsid w:val="00B912BF"/>
    <w:rsid w:val="00B92316"/>
    <w:rsid w:val="00B9342A"/>
    <w:rsid w:val="00B94B06"/>
    <w:rsid w:val="00B97C02"/>
    <w:rsid w:val="00BA119E"/>
    <w:rsid w:val="00BA14A1"/>
    <w:rsid w:val="00BA2273"/>
    <w:rsid w:val="00BA49FF"/>
    <w:rsid w:val="00BA50BE"/>
    <w:rsid w:val="00BA5A1F"/>
    <w:rsid w:val="00BA5B95"/>
    <w:rsid w:val="00BB26BC"/>
    <w:rsid w:val="00BB43A9"/>
    <w:rsid w:val="00BB4488"/>
    <w:rsid w:val="00BB682B"/>
    <w:rsid w:val="00BB70B6"/>
    <w:rsid w:val="00BC1479"/>
    <w:rsid w:val="00BC3DA2"/>
    <w:rsid w:val="00BC7764"/>
    <w:rsid w:val="00BD0171"/>
    <w:rsid w:val="00BD2DF4"/>
    <w:rsid w:val="00BD34ED"/>
    <w:rsid w:val="00BD3CDA"/>
    <w:rsid w:val="00BD4F09"/>
    <w:rsid w:val="00BD747D"/>
    <w:rsid w:val="00BE0AD3"/>
    <w:rsid w:val="00BE115C"/>
    <w:rsid w:val="00BE29C6"/>
    <w:rsid w:val="00BE34E3"/>
    <w:rsid w:val="00BE3C08"/>
    <w:rsid w:val="00BE45C5"/>
    <w:rsid w:val="00BE6410"/>
    <w:rsid w:val="00BF2C7D"/>
    <w:rsid w:val="00BF560B"/>
    <w:rsid w:val="00BF651A"/>
    <w:rsid w:val="00BF6F9F"/>
    <w:rsid w:val="00BF7359"/>
    <w:rsid w:val="00BF770F"/>
    <w:rsid w:val="00BF797B"/>
    <w:rsid w:val="00C01AC9"/>
    <w:rsid w:val="00C021D1"/>
    <w:rsid w:val="00C026D9"/>
    <w:rsid w:val="00C04854"/>
    <w:rsid w:val="00C04ADF"/>
    <w:rsid w:val="00C057F6"/>
    <w:rsid w:val="00C15931"/>
    <w:rsid w:val="00C21ED7"/>
    <w:rsid w:val="00C2205A"/>
    <w:rsid w:val="00C225C5"/>
    <w:rsid w:val="00C23EF3"/>
    <w:rsid w:val="00C26CC7"/>
    <w:rsid w:val="00C27F10"/>
    <w:rsid w:val="00C32446"/>
    <w:rsid w:val="00C32BEA"/>
    <w:rsid w:val="00C342C8"/>
    <w:rsid w:val="00C3492F"/>
    <w:rsid w:val="00C352EB"/>
    <w:rsid w:val="00C37085"/>
    <w:rsid w:val="00C401DD"/>
    <w:rsid w:val="00C440A1"/>
    <w:rsid w:val="00C44608"/>
    <w:rsid w:val="00C46846"/>
    <w:rsid w:val="00C51451"/>
    <w:rsid w:val="00C55497"/>
    <w:rsid w:val="00C5703C"/>
    <w:rsid w:val="00C578DB"/>
    <w:rsid w:val="00C6078E"/>
    <w:rsid w:val="00C60FAB"/>
    <w:rsid w:val="00C61504"/>
    <w:rsid w:val="00C61772"/>
    <w:rsid w:val="00C623D8"/>
    <w:rsid w:val="00C667A8"/>
    <w:rsid w:val="00C66B67"/>
    <w:rsid w:val="00C67C61"/>
    <w:rsid w:val="00C67E93"/>
    <w:rsid w:val="00C67E9D"/>
    <w:rsid w:val="00C71E12"/>
    <w:rsid w:val="00C7402F"/>
    <w:rsid w:val="00C741B4"/>
    <w:rsid w:val="00C75689"/>
    <w:rsid w:val="00C76C3A"/>
    <w:rsid w:val="00C81BEC"/>
    <w:rsid w:val="00C839B2"/>
    <w:rsid w:val="00C83BE7"/>
    <w:rsid w:val="00C84B77"/>
    <w:rsid w:val="00C8774E"/>
    <w:rsid w:val="00C90B26"/>
    <w:rsid w:val="00C914F4"/>
    <w:rsid w:val="00C93850"/>
    <w:rsid w:val="00C93DC3"/>
    <w:rsid w:val="00C94741"/>
    <w:rsid w:val="00C94877"/>
    <w:rsid w:val="00C960E3"/>
    <w:rsid w:val="00C97726"/>
    <w:rsid w:val="00CA0362"/>
    <w:rsid w:val="00CA0A9C"/>
    <w:rsid w:val="00CA5944"/>
    <w:rsid w:val="00CA753F"/>
    <w:rsid w:val="00CB00CD"/>
    <w:rsid w:val="00CB4571"/>
    <w:rsid w:val="00CB4D38"/>
    <w:rsid w:val="00CB5526"/>
    <w:rsid w:val="00CB5F80"/>
    <w:rsid w:val="00CB6C90"/>
    <w:rsid w:val="00CC0502"/>
    <w:rsid w:val="00CC2521"/>
    <w:rsid w:val="00CC32F1"/>
    <w:rsid w:val="00CC600F"/>
    <w:rsid w:val="00CC63E1"/>
    <w:rsid w:val="00CC769A"/>
    <w:rsid w:val="00CD04EB"/>
    <w:rsid w:val="00CD2DEB"/>
    <w:rsid w:val="00CD3C57"/>
    <w:rsid w:val="00CD70F0"/>
    <w:rsid w:val="00CD7AD6"/>
    <w:rsid w:val="00CE2838"/>
    <w:rsid w:val="00CE2E61"/>
    <w:rsid w:val="00CE34CE"/>
    <w:rsid w:val="00CE4168"/>
    <w:rsid w:val="00CE5468"/>
    <w:rsid w:val="00CE5803"/>
    <w:rsid w:val="00CE731D"/>
    <w:rsid w:val="00CE7CC4"/>
    <w:rsid w:val="00CF14E0"/>
    <w:rsid w:val="00CF5442"/>
    <w:rsid w:val="00CF56F9"/>
    <w:rsid w:val="00CF6187"/>
    <w:rsid w:val="00CF796C"/>
    <w:rsid w:val="00D000C2"/>
    <w:rsid w:val="00D006D7"/>
    <w:rsid w:val="00D00A1F"/>
    <w:rsid w:val="00D031FB"/>
    <w:rsid w:val="00D0327A"/>
    <w:rsid w:val="00D0417F"/>
    <w:rsid w:val="00D05452"/>
    <w:rsid w:val="00D06D5E"/>
    <w:rsid w:val="00D07E7C"/>
    <w:rsid w:val="00D104B6"/>
    <w:rsid w:val="00D127AA"/>
    <w:rsid w:val="00D129F3"/>
    <w:rsid w:val="00D140FA"/>
    <w:rsid w:val="00D158C0"/>
    <w:rsid w:val="00D15C84"/>
    <w:rsid w:val="00D161A1"/>
    <w:rsid w:val="00D2107D"/>
    <w:rsid w:val="00D25658"/>
    <w:rsid w:val="00D274FE"/>
    <w:rsid w:val="00D2760B"/>
    <w:rsid w:val="00D30594"/>
    <w:rsid w:val="00D3360F"/>
    <w:rsid w:val="00D341B2"/>
    <w:rsid w:val="00D3529E"/>
    <w:rsid w:val="00D3532E"/>
    <w:rsid w:val="00D3546D"/>
    <w:rsid w:val="00D41597"/>
    <w:rsid w:val="00D4208A"/>
    <w:rsid w:val="00D43EF4"/>
    <w:rsid w:val="00D4489A"/>
    <w:rsid w:val="00D52E69"/>
    <w:rsid w:val="00D54632"/>
    <w:rsid w:val="00D578B7"/>
    <w:rsid w:val="00D629C6"/>
    <w:rsid w:val="00D63DB3"/>
    <w:rsid w:val="00D64205"/>
    <w:rsid w:val="00D646EF"/>
    <w:rsid w:val="00D64A90"/>
    <w:rsid w:val="00D75200"/>
    <w:rsid w:val="00D75358"/>
    <w:rsid w:val="00D77E69"/>
    <w:rsid w:val="00D805FC"/>
    <w:rsid w:val="00D81E00"/>
    <w:rsid w:val="00D84A5F"/>
    <w:rsid w:val="00D874DC"/>
    <w:rsid w:val="00D90545"/>
    <w:rsid w:val="00D90B6F"/>
    <w:rsid w:val="00D912FA"/>
    <w:rsid w:val="00D92953"/>
    <w:rsid w:val="00D93720"/>
    <w:rsid w:val="00D94E06"/>
    <w:rsid w:val="00D95314"/>
    <w:rsid w:val="00D96B69"/>
    <w:rsid w:val="00D97061"/>
    <w:rsid w:val="00DA1A47"/>
    <w:rsid w:val="00DA28A3"/>
    <w:rsid w:val="00DA314C"/>
    <w:rsid w:val="00DA33EA"/>
    <w:rsid w:val="00DA5A10"/>
    <w:rsid w:val="00DB0D8D"/>
    <w:rsid w:val="00DB5C79"/>
    <w:rsid w:val="00DB5EA9"/>
    <w:rsid w:val="00DC1753"/>
    <w:rsid w:val="00DC2392"/>
    <w:rsid w:val="00DC31F3"/>
    <w:rsid w:val="00DC3389"/>
    <w:rsid w:val="00DC71E2"/>
    <w:rsid w:val="00DC7F45"/>
    <w:rsid w:val="00DD1007"/>
    <w:rsid w:val="00DD14FE"/>
    <w:rsid w:val="00DD2A59"/>
    <w:rsid w:val="00DD2D2A"/>
    <w:rsid w:val="00DD307B"/>
    <w:rsid w:val="00DD39F5"/>
    <w:rsid w:val="00DD54A1"/>
    <w:rsid w:val="00DD5F2A"/>
    <w:rsid w:val="00DE0588"/>
    <w:rsid w:val="00DE3549"/>
    <w:rsid w:val="00DE3ADB"/>
    <w:rsid w:val="00DE4275"/>
    <w:rsid w:val="00DE4F60"/>
    <w:rsid w:val="00DE537D"/>
    <w:rsid w:val="00DE5DC8"/>
    <w:rsid w:val="00DF3ACB"/>
    <w:rsid w:val="00DF57DC"/>
    <w:rsid w:val="00DF74EB"/>
    <w:rsid w:val="00E00882"/>
    <w:rsid w:val="00E00C36"/>
    <w:rsid w:val="00E0283E"/>
    <w:rsid w:val="00E0437C"/>
    <w:rsid w:val="00E04468"/>
    <w:rsid w:val="00E07748"/>
    <w:rsid w:val="00E11137"/>
    <w:rsid w:val="00E11D1B"/>
    <w:rsid w:val="00E12A23"/>
    <w:rsid w:val="00E12C37"/>
    <w:rsid w:val="00E12C7E"/>
    <w:rsid w:val="00E13AC6"/>
    <w:rsid w:val="00E169CE"/>
    <w:rsid w:val="00E17E53"/>
    <w:rsid w:val="00E20788"/>
    <w:rsid w:val="00E20E6C"/>
    <w:rsid w:val="00E26BAA"/>
    <w:rsid w:val="00E26BE0"/>
    <w:rsid w:val="00E27637"/>
    <w:rsid w:val="00E303FD"/>
    <w:rsid w:val="00E304FD"/>
    <w:rsid w:val="00E31ADD"/>
    <w:rsid w:val="00E343BD"/>
    <w:rsid w:val="00E3562D"/>
    <w:rsid w:val="00E361C2"/>
    <w:rsid w:val="00E37F55"/>
    <w:rsid w:val="00E407B2"/>
    <w:rsid w:val="00E40C89"/>
    <w:rsid w:val="00E41A6D"/>
    <w:rsid w:val="00E42357"/>
    <w:rsid w:val="00E435E6"/>
    <w:rsid w:val="00E438C6"/>
    <w:rsid w:val="00E47667"/>
    <w:rsid w:val="00E5000A"/>
    <w:rsid w:val="00E5241E"/>
    <w:rsid w:val="00E53A63"/>
    <w:rsid w:val="00E557AC"/>
    <w:rsid w:val="00E55B5F"/>
    <w:rsid w:val="00E56480"/>
    <w:rsid w:val="00E57CED"/>
    <w:rsid w:val="00E612E5"/>
    <w:rsid w:val="00E62BDB"/>
    <w:rsid w:val="00E64DBE"/>
    <w:rsid w:val="00E65845"/>
    <w:rsid w:val="00E659C2"/>
    <w:rsid w:val="00E6730E"/>
    <w:rsid w:val="00E67E99"/>
    <w:rsid w:val="00E71F33"/>
    <w:rsid w:val="00E746EF"/>
    <w:rsid w:val="00E74A7C"/>
    <w:rsid w:val="00E801C9"/>
    <w:rsid w:val="00E82F3D"/>
    <w:rsid w:val="00E849C4"/>
    <w:rsid w:val="00E8677C"/>
    <w:rsid w:val="00E9133E"/>
    <w:rsid w:val="00E913F8"/>
    <w:rsid w:val="00E9158E"/>
    <w:rsid w:val="00E91F37"/>
    <w:rsid w:val="00E93F0A"/>
    <w:rsid w:val="00E9572C"/>
    <w:rsid w:val="00E95B0D"/>
    <w:rsid w:val="00E96B42"/>
    <w:rsid w:val="00E96D8B"/>
    <w:rsid w:val="00E9747D"/>
    <w:rsid w:val="00E97B3B"/>
    <w:rsid w:val="00EA126B"/>
    <w:rsid w:val="00EA3383"/>
    <w:rsid w:val="00EA3718"/>
    <w:rsid w:val="00EA5AFA"/>
    <w:rsid w:val="00EA656B"/>
    <w:rsid w:val="00EA6BBC"/>
    <w:rsid w:val="00EA6FA2"/>
    <w:rsid w:val="00EB10DF"/>
    <w:rsid w:val="00EB637A"/>
    <w:rsid w:val="00EB78A9"/>
    <w:rsid w:val="00EB7CC2"/>
    <w:rsid w:val="00EC0B61"/>
    <w:rsid w:val="00EC0BF8"/>
    <w:rsid w:val="00EC102C"/>
    <w:rsid w:val="00EC12C5"/>
    <w:rsid w:val="00EC16D9"/>
    <w:rsid w:val="00EC31AC"/>
    <w:rsid w:val="00EC4D8A"/>
    <w:rsid w:val="00ED0127"/>
    <w:rsid w:val="00ED0703"/>
    <w:rsid w:val="00ED1904"/>
    <w:rsid w:val="00ED1CB1"/>
    <w:rsid w:val="00ED2B6E"/>
    <w:rsid w:val="00ED5801"/>
    <w:rsid w:val="00ED7B3B"/>
    <w:rsid w:val="00ED7EB0"/>
    <w:rsid w:val="00EE0619"/>
    <w:rsid w:val="00EE2053"/>
    <w:rsid w:val="00EE2FB3"/>
    <w:rsid w:val="00EE3B22"/>
    <w:rsid w:val="00EE49CC"/>
    <w:rsid w:val="00EE4C60"/>
    <w:rsid w:val="00EE5E54"/>
    <w:rsid w:val="00EE631A"/>
    <w:rsid w:val="00EE764D"/>
    <w:rsid w:val="00EE7A80"/>
    <w:rsid w:val="00EF1BE5"/>
    <w:rsid w:val="00EF2D64"/>
    <w:rsid w:val="00EF5B31"/>
    <w:rsid w:val="00EF7CD2"/>
    <w:rsid w:val="00F001C8"/>
    <w:rsid w:val="00F0102B"/>
    <w:rsid w:val="00F01F28"/>
    <w:rsid w:val="00F02812"/>
    <w:rsid w:val="00F03932"/>
    <w:rsid w:val="00F03C55"/>
    <w:rsid w:val="00F04BAB"/>
    <w:rsid w:val="00F04DB8"/>
    <w:rsid w:val="00F056D3"/>
    <w:rsid w:val="00F074CD"/>
    <w:rsid w:val="00F11C4B"/>
    <w:rsid w:val="00F11F34"/>
    <w:rsid w:val="00F1210D"/>
    <w:rsid w:val="00F14701"/>
    <w:rsid w:val="00F14E08"/>
    <w:rsid w:val="00F17F26"/>
    <w:rsid w:val="00F23A58"/>
    <w:rsid w:val="00F254B6"/>
    <w:rsid w:val="00F2682A"/>
    <w:rsid w:val="00F26C46"/>
    <w:rsid w:val="00F26E65"/>
    <w:rsid w:val="00F27F3C"/>
    <w:rsid w:val="00F30844"/>
    <w:rsid w:val="00F30A28"/>
    <w:rsid w:val="00F311BE"/>
    <w:rsid w:val="00F33BD7"/>
    <w:rsid w:val="00F359E5"/>
    <w:rsid w:val="00F36EC8"/>
    <w:rsid w:val="00F40D47"/>
    <w:rsid w:val="00F43C66"/>
    <w:rsid w:val="00F45AE4"/>
    <w:rsid w:val="00F45E4F"/>
    <w:rsid w:val="00F47F70"/>
    <w:rsid w:val="00F5011D"/>
    <w:rsid w:val="00F5079B"/>
    <w:rsid w:val="00F52122"/>
    <w:rsid w:val="00F5249E"/>
    <w:rsid w:val="00F54015"/>
    <w:rsid w:val="00F5426D"/>
    <w:rsid w:val="00F5475E"/>
    <w:rsid w:val="00F5637E"/>
    <w:rsid w:val="00F6036B"/>
    <w:rsid w:val="00F61789"/>
    <w:rsid w:val="00F62BB0"/>
    <w:rsid w:val="00F6393E"/>
    <w:rsid w:val="00F6616A"/>
    <w:rsid w:val="00F661AF"/>
    <w:rsid w:val="00F66435"/>
    <w:rsid w:val="00F70D7F"/>
    <w:rsid w:val="00F717DB"/>
    <w:rsid w:val="00F7487C"/>
    <w:rsid w:val="00F74FF3"/>
    <w:rsid w:val="00F76C07"/>
    <w:rsid w:val="00F80A93"/>
    <w:rsid w:val="00F81384"/>
    <w:rsid w:val="00F81CE3"/>
    <w:rsid w:val="00F824ED"/>
    <w:rsid w:val="00F830A5"/>
    <w:rsid w:val="00F8426F"/>
    <w:rsid w:val="00F8539F"/>
    <w:rsid w:val="00F856B0"/>
    <w:rsid w:val="00F864F3"/>
    <w:rsid w:val="00F87CFA"/>
    <w:rsid w:val="00F906DE"/>
    <w:rsid w:val="00F9294F"/>
    <w:rsid w:val="00F93897"/>
    <w:rsid w:val="00F966B4"/>
    <w:rsid w:val="00FA0B9D"/>
    <w:rsid w:val="00FA2128"/>
    <w:rsid w:val="00FA2B88"/>
    <w:rsid w:val="00FA315D"/>
    <w:rsid w:val="00FA4BB0"/>
    <w:rsid w:val="00FA4E25"/>
    <w:rsid w:val="00FA4FAF"/>
    <w:rsid w:val="00FA7BD2"/>
    <w:rsid w:val="00FB0AFC"/>
    <w:rsid w:val="00FB4000"/>
    <w:rsid w:val="00FB50C0"/>
    <w:rsid w:val="00FB62B4"/>
    <w:rsid w:val="00FB6C3A"/>
    <w:rsid w:val="00FB6D63"/>
    <w:rsid w:val="00FC0121"/>
    <w:rsid w:val="00FC09DB"/>
    <w:rsid w:val="00FC1271"/>
    <w:rsid w:val="00FC293D"/>
    <w:rsid w:val="00FC3454"/>
    <w:rsid w:val="00FC3ECB"/>
    <w:rsid w:val="00FC4311"/>
    <w:rsid w:val="00FC4E0B"/>
    <w:rsid w:val="00FC58CD"/>
    <w:rsid w:val="00FC5C70"/>
    <w:rsid w:val="00FC71BF"/>
    <w:rsid w:val="00FD240B"/>
    <w:rsid w:val="00FD2822"/>
    <w:rsid w:val="00FD38A2"/>
    <w:rsid w:val="00FD590E"/>
    <w:rsid w:val="00FD66E5"/>
    <w:rsid w:val="00FE0F23"/>
    <w:rsid w:val="00FE1606"/>
    <w:rsid w:val="00FE1872"/>
    <w:rsid w:val="00FE2A17"/>
    <w:rsid w:val="00FE4B47"/>
    <w:rsid w:val="00FE5FB2"/>
    <w:rsid w:val="00FE6566"/>
    <w:rsid w:val="00FF173D"/>
    <w:rsid w:val="00FF2163"/>
    <w:rsid w:val="00FF4D51"/>
    <w:rsid w:val="00FF5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7C0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140"/>
    <w:pPr>
      <w:spacing w:after="0" w:line="240" w:lineRule="auto"/>
    </w:pPr>
    <w:rPr>
      <w:rFonts w:ascii="Calibri" w:hAnsi="Calibri" w:cs="Times New Roman"/>
      <w:lang w:eastAsia="en-AU"/>
    </w:rPr>
  </w:style>
  <w:style w:type="paragraph" w:styleId="Heading2">
    <w:name w:val="heading 2"/>
    <w:basedOn w:val="Normal"/>
    <w:next w:val="Normal"/>
    <w:link w:val="Heading2Char"/>
    <w:uiPriority w:val="9"/>
    <w:unhideWhenUsed/>
    <w:qFormat/>
    <w:rsid w:val="00021EE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021EE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33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021E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1EEA"/>
    <w:rPr>
      <w:rFonts w:asciiTheme="majorHAnsi" w:eastAsiaTheme="majorEastAsia" w:hAnsiTheme="majorHAnsi" w:cstheme="majorBidi"/>
      <w:color w:val="243F60" w:themeColor="accent1" w:themeShade="7F"/>
      <w:sz w:val="24"/>
      <w:szCs w:val="24"/>
      <w:lang w:eastAsia="en-AU"/>
    </w:rPr>
  </w:style>
  <w:style w:type="paragraph" w:styleId="ListParagraph">
    <w:name w:val="List Paragraph"/>
    <w:basedOn w:val="Normal"/>
    <w:link w:val="ListParagraphChar"/>
    <w:uiPriority w:val="34"/>
    <w:qFormat/>
    <w:rsid w:val="00021EEA"/>
    <w:pPr>
      <w:ind w:left="720"/>
      <w:contextualSpacing/>
    </w:pPr>
  </w:style>
  <w:style w:type="numbering" w:customStyle="1" w:styleId="KeyPoints">
    <w:name w:val="Key Points"/>
    <w:basedOn w:val="NoList"/>
    <w:uiPriority w:val="99"/>
    <w:rsid w:val="00381322"/>
    <w:pPr>
      <w:numPr>
        <w:numId w:val="1"/>
      </w:numPr>
    </w:pPr>
  </w:style>
  <w:style w:type="paragraph" w:styleId="ListNumber">
    <w:name w:val="List Number"/>
    <w:basedOn w:val="Normal"/>
    <w:uiPriority w:val="99"/>
    <w:qFormat/>
    <w:rsid w:val="00381322"/>
    <w:pPr>
      <w:ind w:left="369" w:hanging="369"/>
    </w:pPr>
  </w:style>
  <w:style w:type="paragraph" w:styleId="ListNumber2">
    <w:name w:val="List Number 2"/>
    <w:basedOn w:val="Normal"/>
    <w:uiPriority w:val="99"/>
    <w:rsid w:val="00381322"/>
    <w:pPr>
      <w:ind w:left="738" w:hanging="369"/>
    </w:pPr>
  </w:style>
  <w:style w:type="paragraph" w:styleId="ListNumber3">
    <w:name w:val="List Number 3"/>
    <w:basedOn w:val="Normal"/>
    <w:uiPriority w:val="99"/>
    <w:rsid w:val="00381322"/>
    <w:pPr>
      <w:ind w:left="1107" w:hanging="369"/>
    </w:pPr>
  </w:style>
  <w:style w:type="paragraph" w:styleId="ListNumber4">
    <w:name w:val="List Number 4"/>
    <w:basedOn w:val="Normal"/>
    <w:uiPriority w:val="99"/>
    <w:rsid w:val="00381322"/>
    <w:pPr>
      <w:ind w:left="1476" w:hanging="369"/>
    </w:pPr>
  </w:style>
  <w:style w:type="paragraph" w:styleId="ListNumber5">
    <w:name w:val="List Number 5"/>
    <w:basedOn w:val="Normal"/>
    <w:uiPriority w:val="99"/>
    <w:rsid w:val="00381322"/>
    <w:pPr>
      <w:ind w:left="1845" w:hanging="369"/>
    </w:pPr>
  </w:style>
  <w:style w:type="paragraph" w:styleId="BalloonText">
    <w:name w:val="Balloon Text"/>
    <w:basedOn w:val="Normal"/>
    <w:link w:val="BalloonTextChar"/>
    <w:uiPriority w:val="99"/>
    <w:semiHidden/>
    <w:unhideWhenUsed/>
    <w:rsid w:val="00653F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FF7"/>
    <w:rPr>
      <w:rFonts w:ascii="Segoe UI" w:hAnsi="Segoe UI" w:cs="Segoe UI"/>
      <w:sz w:val="18"/>
      <w:szCs w:val="18"/>
      <w:lang w:eastAsia="en-AU"/>
    </w:rPr>
  </w:style>
  <w:style w:type="paragraph" w:customStyle="1" w:styleId="paragraph">
    <w:name w:val="paragraph"/>
    <w:aliases w:val="a"/>
    <w:basedOn w:val="Normal"/>
    <w:link w:val="paragraphChar"/>
    <w:rsid w:val="00585DB2"/>
    <w:pPr>
      <w:tabs>
        <w:tab w:val="right" w:pos="1531"/>
      </w:tabs>
      <w:spacing w:before="40"/>
      <w:ind w:left="1644" w:hanging="1644"/>
    </w:pPr>
    <w:rPr>
      <w:rFonts w:ascii="Times New Roman" w:eastAsia="Times New Roman" w:hAnsi="Times New Roman"/>
      <w:szCs w:val="20"/>
    </w:rPr>
  </w:style>
  <w:style w:type="paragraph" w:customStyle="1" w:styleId="Subitem">
    <w:name w:val="Subitem"/>
    <w:aliases w:val="iss"/>
    <w:basedOn w:val="Normal"/>
    <w:rsid w:val="00585DB2"/>
    <w:pPr>
      <w:spacing w:before="180"/>
      <w:ind w:left="709" w:hanging="709"/>
    </w:pPr>
    <w:rPr>
      <w:rFonts w:ascii="Times New Roman" w:eastAsia="Times New Roman" w:hAnsi="Times New Roman"/>
      <w:szCs w:val="20"/>
    </w:rPr>
  </w:style>
  <w:style w:type="character" w:customStyle="1" w:styleId="paragraphChar">
    <w:name w:val="paragraph Char"/>
    <w:aliases w:val="a Char"/>
    <w:link w:val="paragraph"/>
    <w:rsid w:val="00585DB2"/>
    <w:rPr>
      <w:rFonts w:ascii="Times New Roman" w:eastAsia="Times New Roman" w:hAnsi="Times New Roman" w:cs="Times New Roman"/>
      <w:szCs w:val="20"/>
      <w:lang w:eastAsia="en-AU"/>
    </w:rPr>
  </w:style>
  <w:style w:type="paragraph" w:customStyle="1" w:styleId="ItemHead">
    <w:name w:val="ItemHead"/>
    <w:aliases w:val="ih"/>
    <w:basedOn w:val="Normal"/>
    <w:next w:val="Normal"/>
    <w:rsid w:val="00585DB2"/>
    <w:pPr>
      <w:keepNext/>
      <w:keepLines/>
      <w:spacing w:before="220"/>
      <w:ind w:left="709" w:hanging="709"/>
    </w:pPr>
    <w:rPr>
      <w:rFonts w:ascii="Arial" w:eastAsia="Times New Roman" w:hAnsi="Arial"/>
      <w:b/>
      <w:kern w:val="28"/>
      <w:sz w:val="24"/>
      <w:szCs w:val="20"/>
    </w:rPr>
  </w:style>
  <w:style w:type="paragraph" w:customStyle="1" w:styleId="SubitemHead">
    <w:name w:val="SubitemHead"/>
    <w:aliases w:val="issh"/>
    <w:basedOn w:val="Normal"/>
    <w:rsid w:val="00585DB2"/>
    <w:pPr>
      <w:keepNext/>
      <w:keepLines/>
      <w:spacing w:before="220"/>
      <w:ind w:left="709"/>
    </w:pPr>
    <w:rPr>
      <w:rFonts w:ascii="Arial" w:eastAsia="Times New Roman" w:hAnsi="Arial"/>
      <w:i/>
      <w:kern w:val="28"/>
      <w:szCs w:val="20"/>
    </w:rPr>
  </w:style>
  <w:style w:type="character" w:styleId="CommentReference">
    <w:name w:val="annotation reference"/>
    <w:basedOn w:val="DefaultParagraphFont"/>
    <w:uiPriority w:val="99"/>
    <w:semiHidden/>
    <w:unhideWhenUsed/>
    <w:rsid w:val="00860283"/>
    <w:rPr>
      <w:sz w:val="16"/>
      <w:szCs w:val="16"/>
    </w:rPr>
  </w:style>
  <w:style w:type="paragraph" w:styleId="CommentText">
    <w:name w:val="annotation text"/>
    <w:basedOn w:val="Normal"/>
    <w:link w:val="CommentTextChar"/>
    <w:uiPriority w:val="99"/>
    <w:unhideWhenUsed/>
    <w:rsid w:val="00860283"/>
    <w:rPr>
      <w:sz w:val="20"/>
      <w:szCs w:val="20"/>
    </w:rPr>
  </w:style>
  <w:style w:type="character" w:customStyle="1" w:styleId="CommentTextChar">
    <w:name w:val="Comment Text Char"/>
    <w:basedOn w:val="DefaultParagraphFont"/>
    <w:link w:val="CommentText"/>
    <w:uiPriority w:val="99"/>
    <w:rsid w:val="00860283"/>
    <w:rPr>
      <w:rFonts w:ascii="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60283"/>
    <w:rPr>
      <w:b/>
      <w:bCs/>
    </w:rPr>
  </w:style>
  <w:style w:type="character" w:customStyle="1" w:styleId="CommentSubjectChar">
    <w:name w:val="Comment Subject Char"/>
    <w:basedOn w:val="CommentTextChar"/>
    <w:link w:val="CommentSubject"/>
    <w:uiPriority w:val="99"/>
    <w:semiHidden/>
    <w:rsid w:val="00860283"/>
    <w:rPr>
      <w:rFonts w:ascii="Calibri" w:hAnsi="Calibri" w:cs="Times New Roman"/>
      <w:b/>
      <w:bCs/>
      <w:sz w:val="20"/>
      <w:szCs w:val="20"/>
      <w:lang w:eastAsia="en-AU"/>
    </w:rPr>
  </w:style>
  <w:style w:type="paragraph" w:styleId="Header">
    <w:name w:val="header"/>
    <w:basedOn w:val="Normal"/>
    <w:link w:val="HeaderChar"/>
    <w:uiPriority w:val="99"/>
    <w:unhideWhenUsed/>
    <w:rsid w:val="00A50CBC"/>
    <w:pPr>
      <w:tabs>
        <w:tab w:val="center" w:pos="4513"/>
        <w:tab w:val="right" w:pos="9026"/>
      </w:tabs>
    </w:pPr>
    <w:rPr>
      <w:rFonts w:ascii="Arial" w:eastAsia="Calibri" w:hAnsi="Arial"/>
      <w:lang w:eastAsia="en-US"/>
    </w:rPr>
  </w:style>
  <w:style w:type="character" w:customStyle="1" w:styleId="HeaderChar">
    <w:name w:val="Header Char"/>
    <w:basedOn w:val="DefaultParagraphFont"/>
    <w:link w:val="Header"/>
    <w:uiPriority w:val="99"/>
    <w:rsid w:val="00A50CBC"/>
    <w:rPr>
      <w:rFonts w:ascii="Arial" w:eastAsia="Calibri" w:hAnsi="Arial" w:cs="Times New Roman"/>
    </w:rPr>
  </w:style>
  <w:style w:type="numbering" w:customStyle="1" w:styleId="BulletList">
    <w:name w:val="Bullet List"/>
    <w:uiPriority w:val="99"/>
    <w:rsid w:val="0022791A"/>
    <w:pPr>
      <w:numPr>
        <w:numId w:val="3"/>
      </w:numPr>
    </w:pPr>
  </w:style>
  <w:style w:type="paragraph" w:styleId="ListBullet">
    <w:name w:val="List Bullet"/>
    <w:basedOn w:val="Normal"/>
    <w:uiPriority w:val="99"/>
    <w:unhideWhenUsed/>
    <w:qFormat/>
    <w:rsid w:val="0022791A"/>
    <w:pPr>
      <w:numPr>
        <w:numId w:val="4"/>
      </w:numPr>
      <w:spacing w:after="200" w:line="276" w:lineRule="auto"/>
    </w:pPr>
    <w:rPr>
      <w:rFonts w:ascii="Arial" w:eastAsia="Calibri" w:hAnsi="Arial"/>
      <w:lang w:eastAsia="en-US"/>
    </w:rPr>
  </w:style>
  <w:style w:type="paragraph" w:styleId="ListBullet2">
    <w:name w:val="List Bullet 2"/>
    <w:basedOn w:val="Normal"/>
    <w:uiPriority w:val="99"/>
    <w:unhideWhenUsed/>
    <w:rsid w:val="0022791A"/>
    <w:pPr>
      <w:numPr>
        <w:ilvl w:val="1"/>
        <w:numId w:val="4"/>
      </w:numPr>
      <w:spacing w:after="200" w:line="276" w:lineRule="auto"/>
    </w:pPr>
    <w:rPr>
      <w:rFonts w:ascii="Arial" w:eastAsia="Calibri" w:hAnsi="Arial"/>
      <w:lang w:eastAsia="en-US"/>
    </w:rPr>
  </w:style>
  <w:style w:type="paragraph" w:styleId="ListBullet3">
    <w:name w:val="List Bullet 3"/>
    <w:basedOn w:val="Normal"/>
    <w:uiPriority w:val="99"/>
    <w:unhideWhenUsed/>
    <w:rsid w:val="0022791A"/>
    <w:pPr>
      <w:numPr>
        <w:ilvl w:val="2"/>
        <w:numId w:val="4"/>
      </w:numPr>
      <w:spacing w:after="200" w:line="276" w:lineRule="auto"/>
    </w:pPr>
    <w:rPr>
      <w:rFonts w:ascii="Arial" w:eastAsia="Calibri" w:hAnsi="Arial"/>
      <w:lang w:eastAsia="en-US"/>
    </w:rPr>
  </w:style>
  <w:style w:type="paragraph" w:styleId="ListBullet4">
    <w:name w:val="List Bullet 4"/>
    <w:basedOn w:val="Normal"/>
    <w:uiPriority w:val="99"/>
    <w:unhideWhenUsed/>
    <w:rsid w:val="0022791A"/>
    <w:pPr>
      <w:numPr>
        <w:ilvl w:val="3"/>
        <w:numId w:val="4"/>
      </w:numPr>
      <w:spacing w:after="200" w:line="276" w:lineRule="auto"/>
    </w:pPr>
    <w:rPr>
      <w:rFonts w:ascii="Arial" w:eastAsia="Calibri" w:hAnsi="Arial"/>
      <w:lang w:eastAsia="en-US"/>
    </w:rPr>
  </w:style>
  <w:style w:type="paragraph" w:styleId="ListBullet5">
    <w:name w:val="List Bullet 5"/>
    <w:basedOn w:val="Normal"/>
    <w:uiPriority w:val="99"/>
    <w:unhideWhenUsed/>
    <w:rsid w:val="0022791A"/>
    <w:pPr>
      <w:numPr>
        <w:ilvl w:val="4"/>
        <w:numId w:val="4"/>
      </w:numPr>
      <w:spacing w:after="200" w:line="276" w:lineRule="auto"/>
    </w:pPr>
    <w:rPr>
      <w:rFonts w:ascii="Arial" w:eastAsia="Calibri" w:hAnsi="Arial"/>
      <w:lang w:eastAsia="en-US"/>
    </w:rPr>
  </w:style>
  <w:style w:type="paragraph" w:styleId="Revision">
    <w:name w:val="Revision"/>
    <w:hidden/>
    <w:uiPriority w:val="99"/>
    <w:semiHidden/>
    <w:rsid w:val="005806C3"/>
    <w:pPr>
      <w:spacing w:after="0" w:line="240" w:lineRule="auto"/>
    </w:pPr>
    <w:rPr>
      <w:rFonts w:ascii="Calibri" w:hAnsi="Calibri" w:cs="Times New Roman"/>
      <w:lang w:eastAsia="en-AU"/>
    </w:rPr>
  </w:style>
  <w:style w:type="paragraph" w:styleId="Footer">
    <w:name w:val="footer"/>
    <w:basedOn w:val="Normal"/>
    <w:link w:val="FooterChar"/>
    <w:uiPriority w:val="99"/>
    <w:unhideWhenUsed/>
    <w:rsid w:val="0069229F"/>
    <w:pPr>
      <w:tabs>
        <w:tab w:val="center" w:pos="4680"/>
        <w:tab w:val="right" w:pos="9360"/>
      </w:tabs>
    </w:pPr>
  </w:style>
  <w:style w:type="character" w:customStyle="1" w:styleId="FooterChar">
    <w:name w:val="Footer Char"/>
    <w:basedOn w:val="DefaultParagraphFont"/>
    <w:link w:val="Footer"/>
    <w:uiPriority w:val="99"/>
    <w:rsid w:val="0069229F"/>
    <w:rPr>
      <w:rFonts w:ascii="Calibri" w:hAnsi="Calibri" w:cs="Times New Roman"/>
      <w:lang w:eastAsia="en-AU"/>
    </w:rPr>
  </w:style>
  <w:style w:type="character" w:customStyle="1" w:styleId="subsectionChar">
    <w:name w:val="subsection Char"/>
    <w:aliases w:val="ss Char"/>
    <w:basedOn w:val="DefaultParagraphFont"/>
    <w:link w:val="subsection"/>
    <w:locked/>
    <w:rsid w:val="00992ED9"/>
  </w:style>
  <w:style w:type="paragraph" w:customStyle="1" w:styleId="subsection">
    <w:name w:val="subsection"/>
    <w:aliases w:val="ss,Subsection"/>
    <w:basedOn w:val="Normal"/>
    <w:link w:val="subsectionChar"/>
    <w:rsid w:val="00992ED9"/>
    <w:pPr>
      <w:spacing w:before="180"/>
      <w:ind w:left="1134" w:hanging="1134"/>
    </w:pPr>
    <w:rPr>
      <w:rFonts w:asciiTheme="minorHAnsi" w:hAnsiTheme="minorHAnsi" w:cstheme="minorBidi"/>
      <w:lang w:eastAsia="en-US"/>
    </w:rPr>
  </w:style>
  <w:style w:type="character" w:customStyle="1" w:styleId="Advisorytext">
    <w:name w:val="Advisory text"/>
    <w:basedOn w:val="DefaultParagraphFont"/>
    <w:uiPriority w:val="99"/>
    <w:rsid w:val="00FB0AFC"/>
    <w:rPr>
      <w:color w:val="FF0000"/>
    </w:rPr>
  </w:style>
  <w:style w:type="paragraph" w:customStyle="1" w:styleId="ActHead3">
    <w:name w:val="ActHead 3"/>
    <w:aliases w:val="d"/>
    <w:basedOn w:val="Normal"/>
    <w:next w:val="Normal"/>
    <w:qFormat/>
    <w:rsid w:val="000C576E"/>
    <w:pPr>
      <w:keepNext/>
      <w:keepLines/>
      <w:spacing w:before="240"/>
      <w:ind w:left="1134" w:hanging="1134"/>
      <w:outlineLvl w:val="2"/>
    </w:pPr>
    <w:rPr>
      <w:rFonts w:ascii="Times New Roman" w:eastAsia="Times New Roman" w:hAnsi="Times New Roman"/>
      <w:b/>
      <w:kern w:val="28"/>
      <w:sz w:val="28"/>
      <w:szCs w:val="20"/>
    </w:rPr>
  </w:style>
  <w:style w:type="character" w:customStyle="1" w:styleId="CharDivNo">
    <w:name w:val="CharDivNo"/>
    <w:basedOn w:val="DefaultParagraphFont"/>
    <w:uiPriority w:val="1"/>
    <w:qFormat/>
    <w:rsid w:val="000C576E"/>
  </w:style>
  <w:style w:type="character" w:customStyle="1" w:styleId="CharDivText">
    <w:name w:val="CharDivText"/>
    <w:basedOn w:val="DefaultParagraphFont"/>
    <w:uiPriority w:val="1"/>
    <w:qFormat/>
    <w:rsid w:val="000C576E"/>
  </w:style>
  <w:style w:type="paragraph" w:customStyle="1" w:styleId="notedraft">
    <w:name w:val="note(draft)"/>
    <w:aliases w:val="nd"/>
    <w:basedOn w:val="Normal"/>
    <w:rsid w:val="00A25F8D"/>
    <w:pPr>
      <w:spacing w:before="240"/>
      <w:ind w:left="284" w:hanging="284"/>
    </w:pPr>
    <w:rPr>
      <w:rFonts w:ascii="Times New Roman" w:eastAsia="Times New Roman" w:hAnsi="Times New Roman"/>
      <w:i/>
      <w:sz w:val="24"/>
      <w:szCs w:val="20"/>
    </w:rPr>
  </w:style>
  <w:style w:type="character" w:customStyle="1" w:styleId="ListParagraphChar">
    <w:name w:val="List Paragraph Char"/>
    <w:basedOn w:val="DefaultParagraphFont"/>
    <w:link w:val="ListParagraph"/>
    <w:uiPriority w:val="34"/>
    <w:locked/>
    <w:rsid w:val="001B6076"/>
    <w:rPr>
      <w:rFonts w:ascii="Calibri" w:hAnsi="Calibri" w:cs="Times New Roman"/>
      <w:lang w:eastAsia="en-AU"/>
    </w:rPr>
  </w:style>
  <w:style w:type="paragraph" w:customStyle="1" w:styleId="ActHead5">
    <w:name w:val="ActHead 5"/>
    <w:aliases w:val="s"/>
    <w:basedOn w:val="Normal"/>
    <w:next w:val="subsection"/>
    <w:link w:val="ActHead5Char"/>
    <w:qFormat/>
    <w:rsid w:val="00290F1E"/>
    <w:pPr>
      <w:keepNext/>
      <w:keepLines/>
      <w:spacing w:before="280"/>
      <w:ind w:left="1134" w:hanging="1134"/>
      <w:outlineLvl w:val="4"/>
    </w:pPr>
    <w:rPr>
      <w:rFonts w:ascii="Times New Roman" w:eastAsia="Times New Roman" w:hAnsi="Times New Roman"/>
      <w:b/>
      <w:kern w:val="28"/>
      <w:sz w:val="24"/>
      <w:szCs w:val="20"/>
    </w:rPr>
  </w:style>
  <w:style w:type="character" w:customStyle="1" w:styleId="ActHead5Char">
    <w:name w:val="ActHead 5 Char"/>
    <w:aliases w:val="s Char"/>
    <w:link w:val="ActHead5"/>
    <w:rsid w:val="00290F1E"/>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6254">
      <w:bodyDiv w:val="1"/>
      <w:marLeft w:val="0"/>
      <w:marRight w:val="0"/>
      <w:marTop w:val="0"/>
      <w:marBottom w:val="0"/>
      <w:divBdr>
        <w:top w:val="none" w:sz="0" w:space="0" w:color="auto"/>
        <w:left w:val="none" w:sz="0" w:space="0" w:color="auto"/>
        <w:bottom w:val="none" w:sz="0" w:space="0" w:color="auto"/>
        <w:right w:val="none" w:sz="0" w:space="0" w:color="auto"/>
      </w:divBdr>
    </w:div>
    <w:div w:id="106199544">
      <w:bodyDiv w:val="1"/>
      <w:marLeft w:val="0"/>
      <w:marRight w:val="0"/>
      <w:marTop w:val="0"/>
      <w:marBottom w:val="0"/>
      <w:divBdr>
        <w:top w:val="none" w:sz="0" w:space="0" w:color="auto"/>
        <w:left w:val="none" w:sz="0" w:space="0" w:color="auto"/>
        <w:bottom w:val="none" w:sz="0" w:space="0" w:color="auto"/>
        <w:right w:val="none" w:sz="0" w:space="0" w:color="auto"/>
      </w:divBdr>
    </w:div>
    <w:div w:id="143473902">
      <w:bodyDiv w:val="1"/>
      <w:marLeft w:val="0"/>
      <w:marRight w:val="0"/>
      <w:marTop w:val="0"/>
      <w:marBottom w:val="0"/>
      <w:divBdr>
        <w:top w:val="none" w:sz="0" w:space="0" w:color="auto"/>
        <w:left w:val="none" w:sz="0" w:space="0" w:color="auto"/>
        <w:bottom w:val="none" w:sz="0" w:space="0" w:color="auto"/>
        <w:right w:val="none" w:sz="0" w:space="0" w:color="auto"/>
      </w:divBdr>
    </w:div>
    <w:div w:id="187178646">
      <w:bodyDiv w:val="1"/>
      <w:marLeft w:val="0"/>
      <w:marRight w:val="0"/>
      <w:marTop w:val="0"/>
      <w:marBottom w:val="0"/>
      <w:divBdr>
        <w:top w:val="none" w:sz="0" w:space="0" w:color="auto"/>
        <w:left w:val="none" w:sz="0" w:space="0" w:color="auto"/>
        <w:bottom w:val="none" w:sz="0" w:space="0" w:color="auto"/>
        <w:right w:val="none" w:sz="0" w:space="0" w:color="auto"/>
      </w:divBdr>
    </w:div>
    <w:div w:id="210729844">
      <w:bodyDiv w:val="1"/>
      <w:marLeft w:val="0"/>
      <w:marRight w:val="0"/>
      <w:marTop w:val="0"/>
      <w:marBottom w:val="0"/>
      <w:divBdr>
        <w:top w:val="none" w:sz="0" w:space="0" w:color="auto"/>
        <w:left w:val="none" w:sz="0" w:space="0" w:color="auto"/>
        <w:bottom w:val="none" w:sz="0" w:space="0" w:color="auto"/>
        <w:right w:val="none" w:sz="0" w:space="0" w:color="auto"/>
      </w:divBdr>
    </w:div>
    <w:div w:id="474225696">
      <w:bodyDiv w:val="1"/>
      <w:marLeft w:val="0"/>
      <w:marRight w:val="0"/>
      <w:marTop w:val="0"/>
      <w:marBottom w:val="0"/>
      <w:divBdr>
        <w:top w:val="none" w:sz="0" w:space="0" w:color="auto"/>
        <w:left w:val="none" w:sz="0" w:space="0" w:color="auto"/>
        <w:bottom w:val="none" w:sz="0" w:space="0" w:color="auto"/>
        <w:right w:val="none" w:sz="0" w:space="0" w:color="auto"/>
      </w:divBdr>
    </w:div>
    <w:div w:id="710958710">
      <w:bodyDiv w:val="1"/>
      <w:marLeft w:val="0"/>
      <w:marRight w:val="0"/>
      <w:marTop w:val="0"/>
      <w:marBottom w:val="0"/>
      <w:divBdr>
        <w:top w:val="none" w:sz="0" w:space="0" w:color="auto"/>
        <w:left w:val="none" w:sz="0" w:space="0" w:color="auto"/>
        <w:bottom w:val="none" w:sz="0" w:space="0" w:color="auto"/>
        <w:right w:val="none" w:sz="0" w:space="0" w:color="auto"/>
      </w:divBdr>
    </w:div>
    <w:div w:id="1006251282">
      <w:bodyDiv w:val="1"/>
      <w:marLeft w:val="0"/>
      <w:marRight w:val="0"/>
      <w:marTop w:val="0"/>
      <w:marBottom w:val="0"/>
      <w:divBdr>
        <w:top w:val="none" w:sz="0" w:space="0" w:color="auto"/>
        <w:left w:val="none" w:sz="0" w:space="0" w:color="auto"/>
        <w:bottom w:val="none" w:sz="0" w:space="0" w:color="auto"/>
        <w:right w:val="none" w:sz="0" w:space="0" w:color="auto"/>
      </w:divBdr>
    </w:div>
    <w:div w:id="1200902004">
      <w:bodyDiv w:val="1"/>
      <w:marLeft w:val="0"/>
      <w:marRight w:val="0"/>
      <w:marTop w:val="0"/>
      <w:marBottom w:val="0"/>
      <w:divBdr>
        <w:top w:val="none" w:sz="0" w:space="0" w:color="auto"/>
        <w:left w:val="none" w:sz="0" w:space="0" w:color="auto"/>
        <w:bottom w:val="none" w:sz="0" w:space="0" w:color="auto"/>
        <w:right w:val="none" w:sz="0" w:space="0" w:color="auto"/>
      </w:divBdr>
    </w:div>
    <w:div w:id="1377438022">
      <w:bodyDiv w:val="1"/>
      <w:marLeft w:val="0"/>
      <w:marRight w:val="0"/>
      <w:marTop w:val="0"/>
      <w:marBottom w:val="0"/>
      <w:divBdr>
        <w:top w:val="none" w:sz="0" w:space="0" w:color="auto"/>
        <w:left w:val="none" w:sz="0" w:space="0" w:color="auto"/>
        <w:bottom w:val="none" w:sz="0" w:space="0" w:color="auto"/>
        <w:right w:val="none" w:sz="0" w:space="0" w:color="auto"/>
      </w:divBdr>
    </w:div>
    <w:div w:id="1638678051">
      <w:bodyDiv w:val="1"/>
      <w:marLeft w:val="0"/>
      <w:marRight w:val="0"/>
      <w:marTop w:val="0"/>
      <w:marBottom w:val="0"/>
      <w:divBdr>
        <w:top w:val="none" w:sz="0" w:space="0" w:color="auto"/>
        <w:left w:val="none" w:sz="0" w:space="0" w:color="auto"/>
        <w:bottom w:val="none" w:sz="0" w:space="0" w:color="auto"/>
        <w:right w:val="none" w:sz="0" w:space="0" w:color="auto"/>
      </w:divBdr>
    </w:div>
    <w:div w:id="1811552684">
      <w:bodyDiv w:val="1"/>
      <w:marLeft w:val="0"/>
      <w:marRight w:val="0"/>
      <w:marTop w:val="0"/>
      <w:marBottom w:val="0"/>
      <w:divBdr>
        <w:top w:val="none" w:sz="0" w:space="0" w:color="auto"/>
        <w:left w:val="none" w:sz="0" w:space="0" w:color="auto"/>
        <w:bottom w:val="none" w:sz="0" w:space="0" w:color="auto"/>
        <w:right w:val="none" w:sz="0" w:space="0" w:color="auto"/>
      </w:divBdr>
    </w:div>
    <w:div w:id="1917745398">
      <w:bodyDiv w:val="1"/>
      <w:marLeft w:val="0"/>
      <w:marRight w:val="0"/>
      <w:marTop w:val="0"/>
      <w:marBottom w:val="0"/>
      <w:divBdr>
        <w:top w:val="none" w:sz="0" w:space="0" w:color="auto"/>
        <w:left w:val="none" w:sz="0" w:space="0" w:color="auto"/>
        <w:bottom w:val="none" w:sz="0" w:space="0" w:color="auto"/>
        <w:right w:val="none" w:sz="0" w:space="0" w:color="auto"/>
      </w:divBdr>
    </w:div>
    <w:div w:id="195436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9A3023C4.dotm</Template>
  <TotalTime>0</TotalTime>
  <Pages>27</Pages>
  <Words>11031</Words>
  <Characters>62880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2019-12-05T23:31:00Z</dcterms:created>
  <dcterms:modified xsi:type="dcterms:W3CDTF">2019-12-05T23:31:00Z</dcterms:modified>
</cp:coreProperties>
</file>