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02F40"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1CC19B8B" w14:textId="0FF238DB"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CD5914" w:rsidRPr="00CD5914">
        <w:rPr>
          <w:rFonts w:eastAsia="Times New Roman"/>
          <w:b/>
          <w:bCs/>
          <w:i/>
          <w:szCs w:val="24"/>
          <w:lang w:eastAsia="en-AU"/>
        </w:rPr>
        <w:t>2</w:t>
      </w:r>
      <w:r w:rsidR="004F0241">
        <w:rPr>
          <w:rFonts w:eastAsia="Times New Roman"/>
          <w:b/>
          <w:bCs/>
          <w:i/>
          <w:szCs w:val="24"/>
          <w:lang w:eastAsia="en-AU"/>
        </w:rPr>
        <w:t>) 2019</w:t>
      </w:r>
    </w:p>
    <w:p w14:paraId="4A78EF8C" w14:textId="77777777" w:rsidR="00D96E4B" w:rsidRDefault="00D96E4B" w:rsidP="009C6520">
      <w:pPr>
        <w:keepNext/>
        <w:keepLines/>
        <w:jc w:val="center"/>
        <w:outlineLvl w:val="0"/>
        <w:rPr>
          <w:rFonts w:eastAsia="Times New Roman"/>
          <w:b/>
          <w:bCs/>
          <w:i/>
          <w:szCs w:val="24"/>
          <w:lang w:eastAsia="en-AU"/>
        </w:rPr>
      </w:pPr>
    </w:p>
    <w:p w14:paraId="1C8AB5B6" w14:textId="0BC49E80" w:rsidR="00D96E4B" w:rsidRPr="007C51B9"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1069D785" w14:textId="77777777" w:rsidR="002A1E02" w:rsidRPr="00BE7DC5" w:rsidRDefault="002A1E02" w:rsidP="00790D7A">
      <w:pPr>
        <w:pStyle w:val="Heading2"/>
        <w:rPr>
          <w:rFonts w:eastAsia="Times New Roman"/>
          <w:lang w:eastAsia="en-AU"/>
        </w:rPr>
      </w:pPr>
      <w:r w:rsidRPr="00BE7DC5">
        <w:rPr>
          <w:rFonts w:eastAsia="Times New Roman"/>
          <w:lang w:eastAsia="en-AU"/>
        </w:rPr>
        <w:t>Background</w:t>
      </w:r>
    </w:p>
    <w:p w14:paraId="26876EAB" w14:textId="411899A6" w:rsidR="000C2AA3" w:rsidRPr="00B65AA5" w:rsidRDefault="000C2AA3" w:rsidP="000C2AA3">
      <w:pPr>
        <w:spacing w:line="276" w:lineRule="auto"/>
        <w:rPr>
          <w:b/>
          <w:i/>
          <w:lang w:eastAsia="en-AU"/>
        </w:rPr>
      </w:pPr>
      <w:r w:rsidRPr="00B65AA5">
        <w:rPr>
          <w:b/>
          <w:i/>
          <w:lang w:eastAsia="en-AU"/>
        </w:rPr>
        <w:t>Education Legislation Amendment (</w:t>
      </w:r>
      <w:r w:rsidR="004228CA">
        <w:rPr>
          <w:b/>
          <w:i/>
          <w:lang w:eastAsia="en-AU"/>
        </w:rPr>
        <w:t>Tuition Protection and Other Measures) Act</w:t>
      </w:r>
      <w:r w:rsidRPr="00B65AA5">
        <w:rPr>
          <w:b/>
          <w:i/>
          <w:lang w:eastAsia="en-AU"/>
        </w:rPr>
        <w:t xml:space="preserve"> </w:t>
      </w:r>
      <w:r w:rsidR="004228CA">
        <w:rPr>
          <w:b/>
          <w:i/>
          <w:lang w:eastAsia="en-AU"/>
        </w:rPr>
        <w:t>2019</w:t>
      </w:r>
    </w:p>
    <w:p w14:paraId="70A230C8" w14:textId="77777777" w:rsidR="00781E08" w:rsidRDefault="00781E08" w:rsidP="000F4411">
      <w:pPr>
        <w:spacing w:line="276" w:lineRule="auto"/>
        <w:rPr>
          <w:lang w:eastAsia="en-AU"/>
        </w:rPr>
      </w:pPr>
    </w:p>
    <w:p w14:paraId="1402B173" w14:textId="263EEC57" w:rsidR="009F1A78" w:rsidRDefault="000F4411" w:rsidP="000F4411">
      <w:pPr>
        <w:spacing w:line="276" w:lineRule="auto"/>
        <w:rPr>
          <w:lang w:eastAsia="en-AU"/>
        </w:rPr>
      </w:pPr>
      <w:r w:rsidRPr="003665B2">
        <w:rPr>
          <w:lang w:eastAsia="en-AU"/>
        </w:rPr>
        <w:t xml:space="preserve">The </w:t>
      </w:r>
      <w:r w:rsidRPr="003665B2">
        <w:rPr>
          <w:i/>
          <w:lang w:eastAsia="en-AU"/>
        </w:rPr>
        <w:t>Education Legislation Amendment (</w:t>
      </w:r>
      <w:r w:rsidR="004228CA">
        <w:rPr>
          <w:i/>
          <w:lang w:eastAsia="en-AU"/>
        </w:rPr>
        <w:t>Tuition Protection and Other Measures) Act 2019</w:t>
      </w:r>
      <w:r w:rsidRPr="003665B2">
        <w:rPr>
          <w:lang w:eastAsia="en-AU"/>
        </w:rPr>
        <w:t xml:space="preserve"> (</w:t>
      </w:r>
      <w:r w:rsidR="004228CA">
        <w:rPr>
          <w:b/>
          <w:lang w:eastAsia="en-AU"/>
        </w:rPr>
        <w:t>Tuition Protection</w:t>
      </w:r>
      <w:r w:rsidRPr="003665B2">
        <w:rPr>
          <w:b/>
          <w:lang w:eastAsia="en-AU"/>
        </w:rPr>
        <w:t xml:space="preserve"> Act</w:t>
      </w:r>
      <w:r w:rsidR="004228CA">
        <w:rPr>
          <w:lang w:eastAsia="en-AU"/>
        </w:rPr>
        <w:t>) implement</w:t>
      </w:r>
      <w:r w:rsidR="00560A31">
        <w:rPr>
          <w:lang w:eastAsia="en-AU"/>
        </w:rPr>
        <w:t>s</w:t>
      </w:r>
      <w:r w:rsidR="004228CA">
        <w:rPr>
          <w:lang w:eastAsia="en-AU"/>
        </w:rPr>
        <w:t xml:space="preserve"> a new tuition protection model for students </w:t>
      </w:r>
      <w:r w:rsidR="002D37BE">
        <w:rPr>
          <w:lang w:eastAsia="en-AU"/>
        </w:rPr>
        <w:t xml:space="preserve">accessing VET Student Loans, FEE-HELP or HECS-HELP </w:t>
      </w:r>
      <w:r w:rsidR="004228CA">
        <w:rPr>
          <w:lang w:eastAsia="en-AU"/>
        </w:rPr>
        <w:t>to provide greater tuition protection to students</w:t>
      </w:r>
      <w:r w:rsidR="00AC4451">
        <w:rPr>
          <w:lang w:eastAsia="en-AU"/>
        </w:rPr>
        <w:t xml:space="preserve"> to commence from 1 January 2020</w:t>
      </w:r>
      <w:r w:rsidR="004228CA">
        <w:rPr>
          <w:lang w:eastAsia="en-AU"/>
        </w:rPr>
        <w:t>.</w:t>
      </w:r>
      <w:r w:rsidR="009F1A78">
        <w:rPr>
          <w:lang w:eastAsia="en-AU"/>
        </w:rPr>
        <w:t xml:space="preserve"> </w:t>
      </w:r>
    </w:p>
    <w:p w14:paraId="5F41A8C8" w14:textId="27D2A8DF" w:rsidR="009F1A78" w:rsidRDefault="009F1A78" w:rsidP="000F4411">
      <w:pPr>
        <w:spacing w:line="276" w:lineRule="auto"/>
        <w:rPr>
          <w:lang w:eastAsia="en-AU"/>
        </w:rPr>
      </w:pPr>
    </w:p>
    <w:p w14:paraId="1AF1638A" w14:textId="77777777" w:rsidR="009F1A78" w:rsidRDefault="009F1A78" w:rsidP="009F1A78">
      <w:r w:rsidRPr="009208B8">
        <w:t>Tuition protection aims to ensure students are protected and supported in the event that their course provider</w:t>
      </w:r>
      <w:r>
        <w:t xml:space="preserve"> defaults – that is, where the student has not withdrawn from the course and either:</w:t>
      </w:r>
    </w:p>
    <w:p w14:paraId="3984663F" w14:textId="77777777" w:rsidR="009F1A78" w:rsidRDefault="009F1A78" w:rsidP="009F1A78">
      <w:pPr>
        <w:pStyle w:val="ListParagraph"/>
        <w:numPr>
          <w:ilvl w:val="0"/>
          <w:numId w:val="41"/>
        </w:numPr>
      </w:pPr>
      <w:r w:rsidRPr="00E23AC1">
        <w:t xml:space="preserve">the provider fails to start to provide a course or a part of a course to the student on the day on which the course or part was scheduled to start; </w:t>
      </w:r>
      <w:r>
        <w:t>or</w:t>
      </w:r>
    </w:p>
    <w:p w14:paraId="275352CF" w14:textId="77777777" w:rsidR="009F1A78" w:rsidRPr="005D24ED" w:rsidRDefault="009F1A78" w:rsidP="009F1A78">
      <w:pPr>
        <w:pStyle w:val="ListParagraph"/>
        <w:numPr>
          <w:ilvl w:val="0"/>
          <w:numId w:val="41"/>
        </w:numPr>
      </w:pPr>
      <w:r w:rsidRPr="00E23AC1">
        <w:t>the provider ceases to provide a course or a part of a course to the student at any time after the course or part starts but before it is completed</w:t>
      </w:r>
      <w:r>
        <w:t>.</w:t>
      </w:r>
    </w:p>
    <w:p w14:paraId="1133E195" w14:textId="3A67AE6C" w:rsidR="009F1A78" w:rsidRDefault="009F1A78" w:rsidP="000F4411">
      <w:pPr>
        <w:spacing w:line="276" w:lineRule="auto"/>
        <w:rPr>
          <w:lang w:eastAsia="en-AU"/>
        </w:rPr>
      </w:pPr>
    </w:p>
    <w:p w14:paraId="3BEA828D" w14:textId="5103E6A5" w:rsidR="00245075" w:rsidRPr="003665B2" w:rsidRDefault="00E37AA3" w:rsidP="000F4411">
      <w:pPr>
        <w:spacing w:line="276" w:lineRule="auto"/>
        <w:rPr>
          <w:lang w:eastAsia="en-AU"/>
        </w:rPr>
      </w:pPr>
      <w:r>
        <w:rPr>
          <w:lang w:eastAsia="en-AU"/>
        </w:rPr>
        <w:t>T</w:t>
      </w:r>
      <w:r w:rsidR="009F1A78">
        <w:rPr>
          <w:lang w:eastAsia="en-AU"/>
        </w:rPr>
        <w:t>he Tuition Protection</w:t>
      </w:r>
      <w:r w:rsidR="00245075" w:rsidRPr="003665B2">
        <w:rPr>
          <w:lang w:eastAsia="en-AU"/>
        </w:rPr>
        <w:t xml:space="preserve"> Act amended the </w:t>
      </w:r>
      <w:r w:rsidR="009F1A78">
        <w:rPr>
          <w:i/>
          <w:lang w:eastAsia="en-AU"/>
        </w:rPr>
        <w:t xml:space="preserve">VET Student Loans Act </w:t>
      </w:r>
      <w:r w:rsidR="009F1A78">
        <w:rPr>
          <w:lang w:eastAsia="en-AU"/>
        </w:rPr>
        <w:t>(</w:t>
      </w:r>
      <w:r w:rsidR="009F1A78" w:rsidRPr="00D241C4">
        <w:rPr>
          <w:b/>
          <w:lang w:eastAsia="en-AU"/>
        </w:rPr>
        <w:t>VSL Act</w:t>
      </w:r>
      <w:r w:rsidR="009F1A78">
        <w:rPr>
          <w:lang w:eastAsia="en-AU"/>
        </w:rPr>
        <w:t xml:space="preserve">) </w:t>
      </w:r>
      <w:r w:rsidR="00245075" w:rsidRPr="003665B2">
        <w:rPr>
          <w:lang w:eastAsia="en-AU"/>
        </w:rPr>
        <w:t>to (among other things):</w:t>
      </w:r>
    </w:p>
    <w:p w14:paraId="0AF8E9F0" w14:textId="43401D83" w:rsidR="00245075" w:rsidRDefault="00F94A39" w:rsidP="00B65AA5">
      <w:pPr>
        <w:pStyle w:val="ListParagraph"/>
        <w:numPr>
          <w:ilvl w:val="0"/>
          <w:numId w:val="33"/>
        </w:numPr>
        <w:spacing w:line="276" w:lineRule="auto"/>
        <w:rPr>
          <w:lang w:eastAsia="en-AU"/>
        </w:rPr>
      </w:pPr>
      <w:r w:rsidRPr="00EF7E22">
        <w:t>require non-exempt providers to contribute annual levies, commensurate with their size and risk</w:t>
      </w:r>
      <w:r w:rsidR="00AC4451">
        <w:t xml:space="preserve"> (which levy is to be imposed by the proposed</w:t>
      </w:r>
      <w:r w:rsidR="00E633FA">
        <w:t xml:space="preserve"> </w:t>
      </w:r>
      <w:r w:rsidRPr="00EF7E22">
        <w:t xml:space="preserve"> </w:t>
      </w:r>
      <w:r w:rsidR="00E633FA">
        <w:rPr>
          <w:rFonts w:eastAsia="Times New Roman"/>
          <w:szCs w:val="24"/>
          <w:lang w:eastAsia="en-AU"/>
        </w:rPr>
        <w:t xml:space="preserve">VET Student Loans (VSL Tuition Protection Levy) </w:t>
      </w:r>
      <w:r w:rsidR="00AC4451">
        <w:rPr>
          <w:rFonts w:eastAsia="Times New Roman"/>
          <w:szCs w:val="24"/>
          <w:lang w:eastAsia="en-AU"/>
        </w:rPr>
        <w:t>Bill 2019 – once enacted)</w:t>
      </w:r>
      <w:r w:rsidRPr="00EF7E22">
        <w:t xml:space="preserve">. The levy system </w:t>
      </w:r>
      <w:r w:rsidR="00E633FA">
        <w:t xml:space="preserve">will </w:t>
      </w:r>
      <w:r w:rsidRPr="00EF7E22">
        <w:t>ensure the new arrangements are sustainable and can respond to sector trends</w:t>
      </w:r>
      <w:r w:rsidR="00D319CB" w:rsidRPr="003665B2">
        <w:rPr>
          <w:lang w:eastAsia="en-AU"/>
        </w:rPr>
        <w:t>;</w:t>
      </w:r>
    </w:p>
    <w:p w14:paraId="4BF64403" w14:textId="61B5D6F0" w:rsidR="00F94A39" w:rsidRPr="003665B2" w:rsidRDefault="00F94A39" w:rsidP="00B65AA5">
      <w:pPr>
        <w:pStyle w:val="ListParagraph"/>
        <w:numPr>
          <w:ilvl w:val="0"/>
          <w:numId w:val="33"/>
        </w:numPr>
        <w:spacing w:line="276" w:lineRule="auto"/>
        <w:rPr>
          <w:lang w:eastAsia="en-AU"/>
        </w:rPr>
      </w:pPr>
      <w:r>
        <w:rPr>
          <w:lang w:eastAsia="en-AU"/>
        </w:rPr>
        <w:t xml:space="preserve">establish the VET Student Loans Tuition Protection Fund </w:t>
      </w:r>
      <w:r w:rsidR="002D37BE">
        <w:rPr>
          <w:lang w:eastAsia="en-AU"/>
        </w:rPr>
        <w:t>(</w:t>
      </w:r>
      <w:r w:rsidR="002D37BE" w:rsidRPr="002D37BE">
        <w:rPr>
          <w:b/>
          <w:lang w:eastAsia="en-AU"/>
        </w:rPr>
        <w:t>the Fund</w:t>
      </w:r>
      <w:r w:rsidR="002D37BE">
        <w:rPr>
          <w:lang w:eastAsia="en-AU"/>
        </w:rPr>
        <w:t xml:space="preserve">) </w:t>
      </w:r>
      <w:r>
        <w:rPr>
          <w:lang w:eastAsia="en-AU"/>
        </w:rPr>
        <w:t>as a special account</w:t>
      </w:r>
      <w:r w:rsidR="002D37BE">
        <w:rPr>
          <w:lang w:eastAsia="en-AU"/>
        </w:rPr>
        <w:t>;</w:t>
      </w:r>
    </w:p>
    <w:p w14:paraId="0A335FB4" w14:textId="3547535B" w:rsidR="00245075" w:rsidRPr="003665B2" w:rsidRDefault="00F94A39" w:rsidP="00B65AA5">
      <w:pPr>
        <w:pStyle w:val="ListParagraph"/>
        <w:numPr>
          <w:ilvl w:val="0"/>
          <w:numId w:val="33"/>
        </w:numPr>
        <w:spacing w:line="276" w:lineRule="auto"/>
        <w:rPr>
          <w:lang w:eastAsia="en-AU"/>
        </w:rPr>
      </w:pPr>
      <w:r>
        <w:rPr>
          <w:lang w:eastAsia="en-AU"/>
        </w:rPr>
        <w:t xml:space="preserve">establish a VSL Tuition Protection Director </w:t>
      </w:r>
      <w:r w:rsidR="002D37BE">
        <w:rPr>
          <w:lang w:eastAsia="en-AU"/>
        </w:rPr>
        <w:t>(</w:t>
      </w:r>
      <w:r w:rsidR="002D37BE" w:rsidRPr="002D37BE">
        <w:rPr>
          <w:b/>
          <w:lang w:eastAsia="en-AU"/>
        </w:rPr>
        <w:t>the Director</w:t>
      </w:r>
      <w:r w:rsidR="002D37BE">
        <w:rPr>
          <w:lang w:eastAsia="en-AU"/>
        </w:rPr>
        <w:t xml:space="preserve">) </w:t>
      </w:r>
      <w:r>
        <w:rPr>
          <w:lang w:eastAsia="en-AU"/>
        </w:rPr>
        <w:t xml:space="preserve">to administer the new </w:t>
      </w:r>
      <w:r w:rsidR="00AC4451">
        <w:rPr>
          <w:lang w:eastAsia="en-AU"/>
        </w:rPr>
        <w:t xml:space="preserve">tuition protection </w:t>
      </w:r>
      <w:r>
        <w:rPr>
          <w:lang w:eastAsia="en-AU"/>
        </w:rPr>
        <w:t xml:space="preserve">arrangements and manage </w:t>
      </w:r>
      <w:r w:rsidR="002D37BE">
        <w:rPr>
          <w:lang w:eastAsia="en-AU"/>
        </w:rPr>
        <w:t xml:space="preserve">the Fund and </w:t>
      </w:r>
      <w:r w:rsidR="00E37AA3">
        <w:rPr>
          <w:lang w:eastAsia="en-AU"/>
        </w:rPr>
        <w:t xml:space="preserve">establish </w:t>
      </w:r>
      <w:r w:rsidR="002D37BE">
        <w:rPr>
          <w:lang w:eastAsia="en-AU"/>
        </w:rPr>
        <w:t>the VSL Tuition Protection Fund Advisory Board to provide advice to the Director</w:t>
      </w:r>
      <w:r w:rsidR="00D319CB" w:rsidRPr="003665B2">
        <w:rPr>
          <w:lang w:eastAsia="en-AU"/>
        </w:rPr>
        <w:t>;</w:t>
      </w:r>
    </w:p>
    <w:p w14:paraId="6FEB22C0" w14:textId="02DDF689" w:rsidR="00245075" w:rsidRPr="003665B2" w:rsidRDefault="003A06F3" w:rsidP="00B65AA5">
      <w:pPr>
        <w:pStyle w:val="ListParagraph"/>
        <w:numPr>
          <w:ilvl w:val="0"/>
          <w:numId w:val="33"/>
        </w:numPr>
        <w:spacing w:line="276" w:lineRule="auto"/>
        <w:rPr>
          <w:lang w:eastAsia="en-AU"/>
        </w:rPr>
      </w:pPr>
      <w:r>
        <w:rPr>
          <w:lang w:eastAsia="en-AU"/>
        </w:rPr>
        <w:t>provide assistance to students to continue their studies in the same or similar course with a replacement provider, and where there is no suitable replacement course, provide a re-credit to students equal to the amount of the VET student loan used to pay tuition fees for the part of their original course which was not completed due to the provider’s default</w:t>
      </w:r>
      <w:r w:rsidR="00D319CB" w:rsidRPr="003665B2">
        <w:rPr>
          <w:lang w:eastAsia="en-AU"/>
        </w:rPr>
        <w:t>;</w:t>
      </w:r>
      <w:r>
        <w:rPr>
          <w:lang w:eastAsia="en-AU"/>
        </w:rPr>
        <w:t xml:space="preserve"> </w:t>
      </w:r>
      <w:r w:rsidR="000C2CF6" w:rsidRPr="003665B2">
        <w:rPr>
          <w:lang w:eastAsia="en-AU"/>
        </w:rPr>
        <w:t xml:space="preserve"> </w:t>
      </w:r>
    </w:p>
    <w:p w14:paraId="2C4399EF" w14:textId="58DCB669" w:rsidR="00245075" w:rsidRDefault="003A06F3" w:rsidP="00B65AA5">
      <w:pPr>
        <w:pStyle w:val="ListParagraph"/>
        <w:numPr>
          <w:ilvl w:val="0"/>
          <w:numId w:val="33"/>
        </w:numPr>
        <w:spacing w:line="276" w:lineRule="auto"/>
        <w:rPr>
          <w:lang w:eastAsia="en-AU"/>
        </w:rPr>
      </w:pPr>
      <w:r>
        <w:t>impose obligations on defaulting providers to notify the Director and students of the default in a timely manner, and cooperate with the Director</w:t>
      </w:r>
      <w:r>
        <w:rPr>
          <w:lang w:eastAsia="en-AU"/>
        </w:rPr>
        <w:t>; and</w:t>
      </w:r>
    </w:p>
    <w:p w14:paraId="264EC55E" w14:textId="5192B65E" w:rsidR="003A06F3" w:rsidRPr="003665B2" w:rsidRDefault="003A06F3" w:rsidP="00B65AA5">
      <w:pPr>
        <w:pStyle w:val="ListParagraph"/>
        <w:numPr>
          <w:ilvl w:val="0"/>
          <w:numId w:val="33"/>
        </w:numPr>
        <w:spacing w:line="276" w:lineRule="auto"/>
        <w:rPr>
          <w:lang w:eastAsia="en-AU"/>
        </w:rPr>
      </w:pPr>
      <w:r>
        <w:t>impose obligations on providers, which accept students in replacement courses, to enrol students as soon as practicable, give the student course credits in recognition of their prior completed studies, as appropriate, and not charge students for the replacement component of the replacement course</w:t>
      </w:r>
      <w:r w:rsidR="00E37AA3">
        <w:t xml:space="preserve"> if tuition fees have been paid for the affected part of the original course</w:t>
      </w:r>
      <w:r>
        <w:t>.</w:t>
      </w:r>
    </w:p>
    <w:p w14:paraId="155919E7" w14:textId="018D5234" w:rsidR="00A85221" w:rsidRDefault="00A85221" w:rsidP="00135DE1">
      <w:pPr>
        <w:spacing w:line="276" w:lineRule="auto"/>
        <w:rPr>
          <w:rFonts w:eastAsia="Times New Roman"/>
          <w:szCs w:val="24"/>
          <w:lang w:eastAsia="en-AU"/>
        </w:rPr>
      </w:pPr>
    </w:p>
    <w:p w14:paraId="5C332FBB" w14:textId="2AD395BC" w:rsidR="007A3726" w:rsidRDefault="00560A31" w:rsidP="00135DE1">
      <w:pPr>
        <w:spacing w:line="276" w:lineRule="auto"/>
        <w:rPr>
          <w:rFonts w:eastAsia="Times New Roman"/>
          <w:szCs w:val="24"/>
          <w:lang w:eastAsia="en-AU"/>
        </w:rPr>
      </w:pPr>
      <w:r>
        <w:rPr>
          <w:rFonts w:eastAsia="Times New Roman"/>
          <w:szCs w:val="24"/>
          <w:lang w:eastAsia="en-AU"/>
        </w:rPr>
        <w:t xml:space="preserve">Once enacted the VET Student Loans (VSL Tuition Protection Levy) Bill 2019 will </w:t>
      </w:r>
      <w:r w:rsidR="007A3726">
        <w:rPr>
          <w:rFonts w:eastAsia="Times New Roman"/>
          <w:szCs w:val="24"/>
          <w:lang w:eastAsia="en-AU"/>
        </w:rPr>
        <w:t xml:space="preserve">impose the VSL tuition protection levy on leviable providers, and establish </w:t>
      </w:r>
      <w:r w:rsidR="003D2268">
        <w:rPr>
          <w:rFonts w:eastAsia="Times New Roman"/>
          <w:szCs w:val="24"/>
          <w:lang w:eastAsia="en-AU"/>
        </w:rPr>
        <w:t>the method for calculating various components of the levy.</w:t>
      </w:r>
    </w:p>
    <w:p w14:paraId="2D2736D8" w14:textId="77777777" w:rsidR="007A3726" w:rsidRDefault="007A3726" w:rsidP="00135DE1">
      <w:pPr>
        <w:spacing w:line="276" w:lineRule="auto"/>
        <w:rPr>
          <w:rFonts w:eastAsia="Times New Roman"/>
          <w:szCs w:val="24"/>
          <w:lang w:eastAsia="en-AU"/>
        </w:rPr>
      </w:pPr>
    </w:p>
    <w:p w14:paraId="499E3630" w14:textId="29372882" w:rsidR="00956677" w:rsidRDefault="000C2CF6" w:rsidP="00135DE1">
      <w:pPr>
        <w:spacing w:line="276" w:lineRule="auto"/>
        <w:rPr>
          <w:rFonts w:eastAsia="Times New Roman"/>
          <w:szCs w:val="24"/>
          <w:lang w:eastAsia="en-AU"/>
        </w:rPr>
      </w:pPr>
      <w:r w:rsidRPr="003665B2">
        <w:rPr>
          <w:rFonts w:eastAsia="Times New Roman"/>
          <w:szCs w:val="24"/>
          <w:lang w:eastAsia="en-AU"/>
        </w:rPr>
        <w:t>As a result of the ame</w:t>
      </w:r>
      <w:r w:rsidR="00A074C0">
        <w:rPr>
          <w:rFonts w:eastAsia="Times New Roman"/>
          <w:szCs w:val="24"/>
          <w:lang w:eastAsia="en-AU"/>
        </w:rPr>
        <w:t>ndments made to the Act by the Tuition Protection Act</w:t>
      </w:r>
      <w:r w:rsidR="00833787" w:rsidRPr="003665B2">
        <w:rPr>
          <w:rFonts w:eastAsia="Times New Roman"/>
          <w:szCs w:val="24"/>
          <w:lang w:eastAsia="en-AU"/>
        </w:rPr>
        <w:t xml:space="preserve">, </w:t>
      </w:r>
      <w:r w:rsidRPr="003665B2">
        <w:rPr>
          <w:rFonts w:eastAsia="Times New Roman"/>
          <w:szCs w:val="24"/>
          <w:lang w:eastAsia="en-AU"/>
        </w:rPr>
        <w:t xml:space="preserve">various </w:t>
      </w:r>
      <w:r w:rsidR="00F06B14" w:rsidRPr="003665B2">
        <w:rPr>
          <w:rFonts w:eastAsia="Times New Roman"/>
          <w:szCs w:val="24"/>
          <w:lang w:eastAsia="en-AU"/>
        </w:rPr>
        <w:t xml:space="preserve">consequential </w:t>
      </w:r>
      <w:r w:rsidRPr="003665B2">
        <w:rPr>
          <w:rFonts w:eastAsia="Times New Roman"/>
          <w:szCs w:val="24"/>
          <w:lang w:eastAsia="en-AU"/>
        </w:rPr>
        <w:t xml:space="preserve">amendments are required to the </w:t>
      </w:r>
      <w:r w:rsidRPr="003665B2">
        <w:rPr>
          <w:rFonts w:eastAsia="Times New Roman"/>
          <w:i/>
          <w:szCs w:val="24"/>
          <w:lang w:eastAsia="en-AU"/>
        </w:rPr>
        <w:t>VET Student Loans Rules 2016</w:t>
      </w:r>
      <w:r w:rsidRPr="003665B2">
        <w:rPr>
          <w:rFonts w:eastAsia="Times New Roman"/>
          <w:szCs w:val="24"/>
          <w:lang w:eastAsia="en-AU"/>
        </w:rPr>
        <w:t xml:space="preserve"> (</w:t>
      </w:r>
      <w:r w:rsidRPr="00E26DE6">
        <w:rPr>
          <w:rFonts w:eastAsia="Times New Roman"/>
          <w:b/>
          <w:szCs w:val="24"/>
          <w:lang w:eastAsia="en-AU"/>
        </w:rPr>
        <w:t>Rules</w:t>
      </w:r>
      <w:r w:rsidRPr="003665B2">
        <w:rPr>
          <w:rFonts w:eastAsia="Times New Roman"/>
          <w:szCs w:val="24"/>
          <w:lang w:eastAsia="en-AU"/>
        </w:rPr>
        <w:t>), made pursuant to section 116 of the Act</w:t>
      </w:r>
      <w:r w:rsidR="003665B2" w:rsidRPr="003665B2">
        <w:rPr>
          <w:rFonts w:eastAsia="Times New Roman"/>
          <w:szCs w:val="24"/>
          <w:lang w:eastAsia="en-AU"/>
        </w:rPr>
        <w:t xml:space="preserve">. </w:t>
      </w:r>
      <w:r w:rsidR="003D2268">
        <w:rPr>
          <w:rFonts w:eastAsia="Times New Roman"/>
          <w:szCs w:val="24"/>
          <w:lang w:eastAsia="en-AU"/>
        </w:rPr>
        <w:t xml:space="preserve">Other changes to the Rules </w:t>
      </w:r>
      <w:r w:rsidR="007A3726">
        <w:rPr>
          <w:rFonts w:eastAsia="Times New Roman"/>
          <w:szCs w:val="24"/>
          <w:lang w:eastAsia="en-AU"/>
        </w:rPr>
        <w:t xml:space="preserve">allow approved course providers to charge fees to establish the suitability of a person for admission into a specialist approved course, </w:t>
      </w:r>
      <w:r w:rsidR="005E397B">
        <w:rPr>
          <w:rFonts w:eastAsia="Times New Roman"/>
          <w:szCs w:val="24"/>
          <w:lang w:eastAsia="en-AU"/>
        </w:rPr>
        <w:t xml:space="preserve">and </w:t>
      </w:r>
      <w:r w:rsidR="007A3726">
        <w:rPr>
          <w:rFonts w:eastAsia="Times New Roman"/>
          <w:szCs w:val="24"/>
          <w:lang w:eastAsia="en-AU"/>
        </w:rPr>
        <w:t>the Commonwealth to recover</w:t>
      </w:r>
      <w:r w:rsidR="005E397B">
        <w:rPr>
          <w:rFonts w:eastAsia="Times New Roman"/>
          <w:szCs w:val="24"/>
          <w:lang w:eastAsia="en-AU"/>
        </w:rPr>
        <w:t xml:space="preserve"> unpaid amounts of the annual </w:t>
      </w:r>
      <w:r w:rsidR="003D2268">
        <w:rPr>
          <w:rFonts w:eastAsia="Times New Roman"/>
          <w:szCs w:val="24"/>
          <w:lang w:eastAsia="en-AU"/>
        </w:rPr>
        <w:t xml:space="preserve">approved course provider </w:t>
      </w:r>
      <w:r w:rsidR="005E397B">
        <w:rPr>
          <w:rFonts w:eastAsia="Times New Roman"/>
          <w:szCs w:val="24"/>
          <w:lang w:eastAsia="en-AU"/>
        </w:rPr>
        <w:t>charge</w:t>
      </w:r>
      <w:r w:rsidR="003D2268">
        <w:rPr>
          <w:rFonts w:eastAsia="Times New Roman"/>
          <w:szCs w:val="24"/>
          <w:lang w:eastAsia="en-AU"/>
        </w:rPr>
        <w:t xml:space="preserve"> from a loan amount that would otherwise be payable to the provider</w:t>
      </w:r>
      <w:r w:rsidR="005E397B">
        <w:rPr>
          <w:rFonts w:eastAsia="Times New Roman"/>
          <w:szCs w:val="24"/>
          <w:lang w:eastAsia="en-AU"/>
        </w:rPr>
        <w:t xml:space="preserve">. </w:t>
      </w:r>
    </w:p>
    <w:p w14:paraId="49C6359C" w14:textId="79458510" w:rsidR="007C51B9" w:rsidRPr="00BE7DC5" w:rsidRDefault="007C51B9">
      <w:pPr>
        <w:pStyle w:val="Heading2"/>
        <w:rPr>
          <w:rFonts w:eastAsia="Times New Roman"/>
          <w:lang w:eastAsia="en-AU"/>
        </w:rPr>
      </w:pPr>
      <w:r w:rsidRPr="00BE7DC5">
        <w:rPr>
          <w:rFonts w:eastAsia="Times New Roman"/>
          <w:lang w:eastAsia="en-AU"/>
        </w:rPr>
        <w:t>Authority</w:t>
      </w:r>
    </w:p>
    <w:p w14:paraId="54037CB5" w14:textId="1337FD45" w:rsidR="007C51B9" w:rsidRDefault="007C51B9" w:rsidP="000E0AFD">
      <w:pPr>
        <w:spacing w:line="276" w:lineRule="auto"/>
        <w:rPr>
          <w:lang w:eastAsia="en-AU"/>
        </w:rPr>
      </w:pPr>
      <w:r w:rsidRPr="00BE7DC5">
        <w:rPr>
          <w:lang w:eastAsia="en-AU"/>
        </w:rPr>
        <w:t xml:space="preserve">The </w:t>
      </w:r>
      <w:r w:rsidR="00E8403E" w:rsidRPr="00E8403E">
        <w:rPr>
          <w:lang w:eastAsia="en-AU"/>
        </w:rPr>
        <w:t xml:space="preserve">Minister for </w:t>
      </w:r>
      <w:r w:rsidR="004F0241">
        <w:rPr>
          <w:rFonts w:eastAsia="Times New Roman"/>
          <w:bCs/>
          <w:szCs w:val="24"/>
          <w:lang w:eastAsia="en-AU"/>
        </w:rPr>
        <w:t xml:space="preserve">Employment, Skills, </w:t>
      </w:r>
      <w:r w:rsidR="004F0241" w:rsidRPr="00806562">
        <w:rPr>
          <w:rFonts w:eastAsia="Times New Roman"/>
          <w:bCs/>
          <w:szCs w:val="24"/>
          <w:lang w:eastAsia="en-AU"/>
        </w:rPr>
        <w:t xml:space="preserve">Small </w:t>
      </w:r>
      <w:r w:rsidR="004F0241">
        <w:rPr>
          <w:rFonts w:eastAsia="Times New Roman"/>
          <w:bCs/>
          <w:szCs w:val="24"/>
          <w:lang w:eastAsia="en-AU"/>
        </w:rPr>
        <w:t>and Family Business</w:t>
      </w:r>
      <w:r w:rsidR="00E8403E" w:rsidRPr="00E8403E">
        <w:rPr>
          <w:lang w:eastAsia="en-AU"/>
        </w:rPr>
        <w:t xml:space="preserve"> </w:t>
      </w:r>
      <w:r w:rsidRPr="00BE7DC5">
        <w:rPr>
          <w:lang w:eastAsia="en-AU"/>
        </w:rPr>
        <w:t>makes this inst</w:t>
      </w:r>
      <w:r w:rsidR="00806562">
        <w:rPr>
          <w:lang w:eastAsia="en-AU"/>
        </w:rPr>
        <w:t xml:space="preserve">rument under section 116 of the </w:t>
      </w:r>
      <w:r w:rsidR="00806562" w:rsidRPr="00806562">
        <w:rPr>
          <w:lang w:eastAsia="en-AU"/>
        </w:rPr>
        <w:t>Act.</w:t>
      </w:r>
    </w:p>
    <w:p w14:paraId="24D42032" w14:textId="77777777" w:rsidR="00050C89" w:rsidRDefault="00050C89" w:rsidP="000E0AFD">
      <w:pPr>
        <w:spacing w:line="276" w:lineRule="auto"/>
        <w:rPr>
          <w:lang w:eastAsia="en-AU"/>
        </w:rPr>
      </w:pPr>
    </w:p>
    <w:p w14:paraId="78E3DBFA" w14:textId="0F3BA14E" w:rsidR="004E513F" w:rsidRPr="00676577" w:rsidRDefault="004E513F" w:rsidP="004E513F">
      <w:pPr>
        <w:spacing w:line="276" w:lineRule="auto"/>
        <w:rPr>
          <w:szCs w:val="24"/>
          <w:lang w:eastAsia="en-AU"/>
        </w:rPr>
      </w:pPr>
      <w:r>
        <w:rPr>
          <w:szCs w:val="24"/>
          <w:lang w:eastAsia="en-AU"/>
        </w:rPr>
        <w:t xml:space="preserve">Subsection 4(2) of the </w:t>
      </w:r>
      <w:r w:rsidRPr="00676577">
        <w:rPr>
          <w:i/>
          <w:szCs w:val="24"/>
          <w:lang w:eastAsia="en-AU"/>
        </w:rPr>
        <w:t>Acts Interpretation Act 1901</w:t>
      </w:r>
      <w:r>
        <w:rPr>
          <w:szCs w:val="24"/>
          <w:lang w:eastAsia="en-AU"/>
        </w:rPr>
        <w:t xml:space="preserve"> (</w:t>
      </w:r>
      <w:r w:rsidRPr="00FD0573">
        <w:rPr>
          <w:b/>
          <w:szCs w:val="24"/>
          <w:lang w:eastAsia="en-AU"/>
        </w:rPr>
        <w:t>AIA</w:t>
      </w:r>
      <w:r>
        <w:rPr>
          <w:szCs w:val="24"/>
          <w:lang w:eastAsia="en-AU"/>
        </w:rPr>
        <w:t xml:space="preserve">) allows a </w:t>
      </w:r>
      <w:r w:rsidRPr="00676577">
        <w:rPr>
          <w:szCs w:val="24"/>
          <w:lang w:eastAsia="en-AU"/>
        </w:rPr>
        <w:t>power</w:t>
      </w:r>
      <w:r>
        <w:rPr>
          <w:szCs w:val="24"/>
          <w:lang w:eastAsia="en-AU"/>
        </w:rPr>
        <w:t xml:space="preserve"> to make a legislative instrument to b</w:t>
      </w:r>
      <w:r w:rsidRPr="00676577">
        <w:rPr>
          <w:szCs w:val="24"/>
          <w:lang w:eastAsia="en-AU"/>
        </w:rPr>
        <w:t xml:space="preserve">e exercised </w:t>
      </w:r>
      <w:r>
        <w:rPr>
          <w:szCs w:val="24"/>
          <w:lang w:eastAsia="en-AU"/>
        </w:rPr>
        <w:t xml:space="preserve">after the enactment of the Act under which the power is conferred, but </w:t>
      </w:r>
      <w:r w:rsidRPr="00676577">
        <w:rPr>
          <w:szCs w:val="24"/>
          <w:lang w:eastAsia="en-AU"/>
        </w:rPr>
        <w:t>before the start time</w:t>
      </w:r>
      <w:r>
        <w:rPr>
          <w:szCs w:val="24"/>
          <w:lang w:eastAsia="en-AU"/>
        </w:rPr>
        <w:t>,</w:t>
      </w:r>
      <w:r w:rsidRPr="00676577">
        <w:rPr>
          <w:szCs w:val="24"/>
          <w:lang w:eastAsia="en-AU"/>
        </w:rPr>
        <w:t xml:space="preserve"> as if the relevant commencement had occurred.</w:t>
      </w:r>
      <w:r>
        <w:rPr>
          <w:szCs w:val="24"/>
          <w:lang w:eastAsia="en-AU"/>
        </w:rPr>
        <w:t xml:space="preserve"> Subsection 4(2) </w:t>
      </w:r>
      <w:r w:rsidR="00EF376A">
        <w:rPr>
          <w:szCs w:val="24"/>
          <w:lang w:eastAsia="en-AU"/>
        </w:rPr>
        <w:t xml:space="preserve">of the AIA </w:t>
      </w:r>
      <w:r>
        <w:rPr>
          <w:szCs w:val="24"/>
          <w:lang w:eastAsia="en-AU"/>
        </w:rPr>
        <w:t xml:space="preserve">is relied on to make the </w:t>
      </w:r>
      <w:r w:rsidR="00407CAA">
        <w:rPr>
          <w:szCs w:val="24"/>
          <w:lang w:eastAsia="en-AU"/>
        </w:rPr>
        <w:t>amendments in Schedule 1</w:t>
      </w:r>
      <w:r>
        <w:rPr>
          <w:szCs w:val="24"/>
          <w:lang w:eastAsia="en-AU"/>
        </w:rPr>
        <w:t xml:space="preserve">. </w:t>
      </w:r>
    </w:p>
    <w:p w14:paraId="587B0067" w14:textId="77777777" w:rsidR="004E513F" w:rsidRDefault="004E513F" w:rsidP="004E513F">
      <w:pPr>
        <w:spacing w:line="276" w:lineRule="auto"/>
        <w:rPr>
          <w:b/>
          <w:szCs w:val="24"/>
          <w:lang w:eastAsia="en-AU"/>
        </w:rPr>
      </w:pPr>
    </w:p>
    <w:p w14:paraId="6FB7AFC8" w14:textId="65FBEB73"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AIA also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AIA</w:t>
      </w:r>
      <w:r>
        <w:rPr>
          <w:szCs w:val="24"/>
          <w:lang w:eastAsia="en-AU"/>
        </w:rPr>
        <w:t xml:space="preserve"> is relied </w:t>
      </w:r>
      <w:r w:rsidR="004F0241">
        <w:rPr>
          <w:szCs w:val="24"/>
          <w:lang w:eastAsia="en-AU"/>
        </w:rPr>
        <w:t xml:space="preserve">on to amend and repeal </w:t>
      </w:r>
      <w:r>
        <w:rPr>
          <w:szCs w:val="24"/>
          <w:lang w:eastAsia="en-AU"/>
        </w:rPr>
        <w:t xml:space="preserve">various provisions in the Rules. </w:t>
      </w:r>
    </w:p>
    <w:p w14:paraId="74DF8A82" w14:textId="77777777" w:rsidR="007C51B9" w:rsidRPr="007C51B9" w:rsidRDefault="007C51B9" w:rsidP="00B44C7A">
      <w:pPr>
        <w:pStyle w:val="Heading2"/>
        <w:rPr>
          <w:lang w:eastAsia="en-AU"/>
        </w:rPr>
      </w:pPr>
      <w:r w:rsidRPr="007C51B9">
        <w:rPr>
          <w:lang w:eastAsia="en-AU"/>
        </w:rPr>
        <w:t>Purpose and operation</w:t>
      </w:r>
    </w:p>
    <w:p w14:paraId="29B728D4" w14:textId="12241455" w:rsidR="00BC1A35" w:rsidRDefault="00050C89" w:rsidP="003665B2">
      <w:pPr>
        <w:spacing w:line="276" w:lineRule="auto"/>
        <w:rPr>
          <w:rFonts w:eastAsia="Times New Roman"/>
          <w:lang w:eastAsia="en-AU"/>
        </w:rPr>
      </w:pPr>
      <w:r w:rsidRPr="00950BF4">
        <w:rPr>
          <w:lang w:eastAsia="en-AU"/>
        </w:rPr>
        <w:t xml:space="preserve">The </w:t>
      </w:r>
      <w:r w:rsidRPr="00950BF4">
        <w:rPr>
          <w:i/>
          <w:lang w:eastAsia="en-AU"/>
        </w:rPr>
        <w:t>VET Student Lo</w:t>
      </w:r>
      <w:r w:rsidR="00782EE4">
        <w:rPr>
          <w:i/>
          <w:lang w:eastAsia="en-AU"/>
        </w:rPr>
        <w:t xml:space="preserve">ans Amendment Rules (No. </w:t>
      </w:r>
      <w:r w:rsidR="00CD5914" w:rsidRPr="00CD5914">
        <w:rPr>
          <w:i/>
          <w:lang w:eastAsia="en-AU"/>
        </w:rPr>
        <w:t>2</w:t>
      </w:r>
      <w:r w:rsidR="004F0241" w:rsidRPr="00950BF4">
        <w:rPr>
          <w:i/>
          <w:lang w:eastAsia="en-AU"/>
        </w:rPr>
        <w:t>) 2019</w:t>
      </w:r>
      <w:r w:rsidRPr="00950BF4">
        <w:rPr>
          <w:lang w:eastAsia="en-AU"/>
        </w:rPr>
        <w:t xml:space="preserve"> (</w:t>
      </w:r>
      <w:r w:rsidRPr="00950BF4">
        <w:rPr>
          <w:b/>
          <w:lang w:eastAsia="en-AU"/>
        </w:rPr>
        <w:t>Amendment Rules</w:t>
      </w:r>
      <w:r w:rsidRPr="00950BF4">
        <w:rPr>
          <w:lang w:eastAsia="en-AU"/>
        </w:rPr>
        <w:t xml:space="preserve">) </w:t>
      </w:r>
      <w:r w:rsidR="00395F82" w:rsidRPr="00950BF4">
        <w:rPr>
          <w:lang w:eastAsia="en-AU"/>
        </w:rPr>
        <w:t xml:space="preserve">make various amendments to the </w:t>
      </w:r>
      <w:r w:rsidRPr="00950BF4">
        <w:rPr>
          <w:lang w:eastAsia="en-AU"/>
        </w:rPr>
        <w:t>Rules</w:t>
      </w:r>
      <w:r w:rsidR="001401FD" w:rsidRPr="00950BF4">
        <w:rPr>
          <w:lang w:eastAsia="en-AU"/>
        </w:rPr>
        <w:t xml:space="preserve"> </w:t>
      </w:r>
      <w:r w:rsidRPr="00950BF4">
        <w:rPr>
          <w:lang w:eastAsia="en-AU"/>
        </w:rPr>
        <w:t>as a result of amendment</w:t>
      </w:r>
      <w:r w:rsidR="001401FD" w:rsidRPr="00950BF4">
        <w:rPr>
          <w:lang w:eastAsia="en-AU"/>
        </w:rPr>
        <w:t>s</w:t>
      </w:r>
      <w:r w:rsidRPr="00950BF4">
        <w:rPr>
          <w:lang w:eastAsia="en-AU"/>
        </w:rPr>
        <w:t xml:space="preserve"> made to the </w:t>
      </w:r>
      <w:r w:rsidR="00782EE4">
        <w:rPr>
          <w:lang w:eastAsia="en-AU"/>
        </w:rPr>
        <w:t xml:space="preserve">VSL </w:t>
      </w:r>
      <w:r w:rsidRPr="00950BF4">
        <w:rPr>
          <w:lang w:eastAsia="en-AU"/>
        </w:rPr>
        <w:t xml:space="preserve">Act by the </w:t>
      </w:r>
      <w:r w:rsidR="00782EE4">
        <w:rPr>
          <w:lang w:eastAsia="en-AU"/>
        </w:rPr>
        <w:t>Tuition Protection Act</w:t>
      </w:r>
      <w:r w:rsidR="003665B2">
        <w:rPr>
          <w:rFonts w:eastAsia="Times New Roman"/>
          <w:lang w:eastAsia="en-AU"/>
        </w:rPr>
        <w:t xml:space="preserve">. These amendments are contained in </w:t>
      </w:r>
      <w:r w:rsidR="00CD5914">
        <w:rPr>
          <w:rFonts w:eastAsia="Times New Roman"/>
          <w:lang w:eastAsia="en-AU"/>
        </w:rPr>
        <w:t>Part 1</w:t>
      </w:r>
      <w:r w:rsidR="00AC4451">
        <w:rPr>
          <w:rFonts w:eastAsia="Times New Roman"/>
          <w:lang w:eastAsia="en-AU"/>
        </w:rPr>
        <w:t xml:space="preserve"> of</w:t>
      </w:r>
      <w:r w:rsidR="00CD5914">
        <w:rPr>
          <w:rFonts w:eastAsia="Times New Roman"/>
          <w:lang w:eastAsia="en-AU"/>
        </w:rPr>
        <w:t xml:space="preserve"> </w:t>
      </w:r>
      <w:r w:rsidR="003665B2">
        <w:rPr>
          <w:rFonts w:eastAsia="Times New Roman"/>
          <w:lang w:eastAsia="en-AU"/>
        </w:rPr>
        <w:t>Schedule 1</w:t>
      </w:r>
      <w:r w:rsidR="00AC4451">
        <w:rPr>
          <w:rFonts w:eastAsia="Times New Roman"/>
          <w:lang w:eastAsia="en-AU"/>
        </w:rPr>
        <w:t xml:space="preserve"> </w:t>
      </w:r>
      <w:r w:rsidR="00782EE4">
        <w:rPr>
          <w:rFonts w:eastAsia="Times New Roman"/>
          <w:lang w:eastAsia="en-AU"/>
        </w:rPr>
        <w:t xml:space="preserve">of the Amendment Rules. </w:t>
      </w:r>
    </w:p>
    <w:p w14:paraId="436D3621" w14:textId="77777777" w:rsidR="00BC1A35" w:rsidRDefault="00BC1A35" w:rsidP="003665B2">
      <w:pPr>
        <w:spacing w:line="276" w:lineRule="auto"/>
        <w:rPr>
          <w:rFonts w:eastAsia="Times New Roman"/>
          <w:lang w:eastAsia="en-AU"/>
        </w:rPr>
      </w:pPr>
    </w:p>
    <w:p w14:paraId="74D0EC9A" w14:textId="77777777" w:rsidR="00C4770B" w:rsidRDefault="00782EE4" w:rsidP="003665B2">
      <w:pPr>
        <w:spacing w:line="276" w:lineRule="auto"/>
        <w:rPr>
          <w:rFonts w:eastAsia="Times New Roman"/>
          <w:lang w:eastAsia="en-AU"/>
        </w:rPr>
      </w:pPr>
      <w:r>
        <w:rPr>
          <w:rFonts w:eastAsia="Times New Roman"/>
          <w:lang w:eastAsia="en-AU"/>
        </w:rPr>
        <w:t xml:space="preserve">The amendments repeal </w:t>
      </w:r>
      <w:r w:rsidR="00AC6FDB">
        <w:rPr>
          <w:rFonts w:eastAsia="Times New Roman"/>
          <w:lang w:eastAsia="en-AU"/>
        </w:rPr>
        <w:t xml:space="preserve">and substitute </w:t>
      </w:r>
      <w:r>
        <w:rPr>
          <w:rFonts w:eastAsia="Times New Roman"/>
          <w:lang w:eastAsia="en-AU"/>
        </w:rPr>
        <w:t xml:space="preserve">Part 6 of the Rules, </w:t>
      </w:r>
      <w:r w:rsidR="00B73C69">
        <w:rPr>
          <w:rFonts w:eastAsia="Times New Roman"/>
          <w:lang w:eastAsia="en-AU"/>
        </w:rPr>
        <w:t>to replace r</w:t>
      </w:r>
      <w:r w:rsidR="00AC6FDB">
        <w:rPr>
          <w:rFonts w:eastAsia="Times New Roman"/>
          <w:lang w:eastAsia="en-AU"/>
        </w:rPr>
        <w:t>ules made for the purposes of the pre-existing tuition a</w:t>
      </w:r>
      <w:r w:rsidR="00B73C69">
        <w:rPr>
          <w:rFonts w:eastAsia="Times New Roman"/>
          <w:lang w:eastAsia="en-AU"/>
        </w:rPr>
        <w:t>ssurance arrangements with new r</w:t>
      </w:r>
      <w:r w:rsidR="00AC6FDB">
        <w:rPr>
          <w:rFonts w:eastAsia="Times New Roman"/>
          <w:lang w:eastAsia="en-AU"/>
        </w:rPr>
        <w:t xml:space="preserve">ules made for the purposes of the new tuition protection model. </w:t>
      </w:r>
      <w:r w:rsidR="0029467A">
        <w:rPr>
          <w:rFonts w:eastAsia="Times New Roman"/>
          <w:lang w:eastAsia="en-AU"/>
        </w:rPr>
        <w:t>Th</w:t>
      </w:r>
      <w:r w:rsidR="00B73C69">
        <w:rPr>
          <w:rFonts w:eastAsia="Times New Roman"/>
          <w:lang w:eastAsia="en-AU"/>
        </w:rPr>
        <w:t>e new r</w:t>
      </w:r>
      <w:r w:rsidR="00956B42">
        <w:rPr>
          <w:rFonts w:eastAsia="Times New Roman"/>
          <w:lang w:eastAsia="en-AU"/>
        </w:rPr>
        <w:t xml:space="preserve">ules </w:t>
      </w:r>
      <w:r w:rsidR="00AC4451">
        <w:rPr>
          <w:rFonts w:eastAsia="Times New Roman"/>
          <w:lang w:eastAsia="en-AU"/>
        </w:rPr>
        <w:t xml:space="preserve">exempt TAFEs and government-owned registered training organisations from the new tuition protection arrangements and </w:t>
      </w:r>
      <w:r w:rsidR="00956B42">
        <w:rPr>
          <w:rFonts w:eastAsia="Times New Roman"/>
          <w:lang w:eastAsia="en-AU"/>
        </w:rPr>
        <w:t>prescribe further details relating to the collection and recovery of the VSL tuition protection levy</w:t>
      </w:r>
      <w:r w:rsidR="00AC4451">
        <w:rPr>
          <w:rFonts w:eastAsia="Times New Roman"/>
          <w:lang w:eastAsia="en-AU"/>
        </w:rPr>
        <w:t>,</w:t>
      </w:r>
      <w:r w:rsidR="00956B42">
        <w:rPr>
          <w:rFonts w:eastAsia="Times New Roman"/>
          <w:lang w:eastAsia="en-AU"/>
        </w:rPr>
        <w:t xml:space="preserve"> </w:t>
      </w:r>
      <w:r w:rsidR="00AC4451">
        <w:rPr>
          <w:rFonts w:eastAsia="Times New Roman"/>
          <w:lang w:eastAsia="en-AU"/>
        </w:rPr>
        <w:t xml:space="preserve">prescribe </w:t>
      </w:r>
      <w:r w:rsidR="00956B42">
        <w:rPr>
          <w:rFonts w:eastAsia="Times New Roman"/>
          <w:lang w:eastAsia="en-AU"/>
        </w:rPr>
        <w:t xml:space="preserve">the information that a provider who defaults must give to </w:t>
      </w:r>
      <w:r w:rsidR="001F69F1">
        <w:rPr>
          <w:rFonts w:eastAsia="Times New Roman"/>
          <w:lang w:eastAsia="en-AU"/>
        </w:rPr>
        <w:t xml:space="preserve">students and the </w:t>
      </w:r>
      <w:r w:rsidR="00E37AA3">
        <w:rPr>
          <w:rFonts w:eastAsia="Times New Roman"/>
          <w:lang w:eastAsia="en-AU"/>
        </w:rPr>
        <w:t>Director</w:t>
      </w:r>
      <w:r w:rsidR="001F69F1">
        <w:rPr>
          <w:rFonts w:eastAsia="Times New Roman"/>
          <w:lang w:eastAsia="en-AU"/>
        </w:rPr>
        <w:t xml:space="preserve"> and the circumstances in which the Director may make a payment to a replacement provider in relation to a student who accepts an offer in a replacement course.</w:t>
      </w:r>
      <w:r w:rsidR="0001756F">
        <w:rPr>
          <w:rFonts w:eastAsia="Times New Roman"/>
          <w:lang w:eastAsia="en-AU"/>
        </w:rPr>
        <w:t xml:space="preserve"> </w:t>
      </w:r>
    </w:p>
    <w:p w14:paraId="766DEB78" w14:textId="70E0A2C2" w:rsidR="005E397B" w:rsidRDefault="0029467A" w:rsidP="003665B2">
      <w:pPr>
        <w:spacing w:line="276" w:lineRule="auto"/>
        <w:rPr>
          <w:rFonts w:eastAsia="Times New Roman"/>
          <w:lang w:eastAsia="en-AU"/>
        </w:rPr>
      </w:pPr>
      <w:r>
        <w:rPr>
          <w:rFonts w:eastAsia="Times New Roman"/>
          <w:lang w:eastAsia="en-AU"/>
        </w:rPr>
        <w:t xml:space="preserve">Similarly, Subdivision J of Division 1, Part 7 of the Rules is also repealed and replaced to </w:t>
      </w:r>
      <w:r w:rsidR="001F69F1">
        <w:rPr>
          <w:rFonts w:eastAsia="Times New Roman"/>
          <w:lang w:eastAsia="en-AU"/>
        </w:rPr>
        <w:t xml:space="preserve">require an approved course provider to have procedures </w:t>
      </w:r>
      <w:r w:rsidR="0001756F">
        <w:rPr>
          <w:rFonts w:eastAsia="Times New Roman"/>
          <w:lang w:eastAsia="en-AU"/>
        </w:rPr>
        <w:t xml:space="preserve">in place </w:t>
      </w:r>
      <w:r w:rsidR="001F69F1">
        <w:rPr>
          <w:rFonts w:eastAsia="Times New Roman"/>
          <w:lang w:eastAsia="en-AU"/>
        </w:rPr>
        <w:t xml:space="preserve">that reflect </w:t>
      </w:r>
      <w:r>
        <w:rPr>
          <w:rFonts w:eastAsia="Times New Roman"/>
          <w:lang w:eastAsia="en-AU"/>
        </w:rPr>
        <w:t>the new tu</w:t>
      </w:r>
      <w:r w:rsidR="001F69F1">
        <w:rPr>
          <w:rFonts w:eastAsia="Times New Roman"/>
          <w:lang w:eastAsia="en-AU"/>
        </w:rPr>
        <w:t>ition protection arrangements</w:t>
      </w:r>
      <w:r>
        <w:rPr>
          <w:rFonts w:eastAsia="Times New Roman"/>
          <w:lang w:eastAsia="en-AU"/>
        </w:rPr>
        <w:t>.</w:t>
      </w:r>
      <w:r w:rsidR="0001756F">
        <w:rPr>
          <w:rFonts w:eastAsia="Times New Roman"/>
          <w:lang w:eastAsia="en-AU"/>
        </w:rPr>
        <w:t xml:space="preserve"> A small number of other provisions, including the definitions of terms used in the Rules</w:t>
      </w:r>
      <w:r w:rsidR="000E447A">
        <w:rPr>
          <w:rFonts w:eastAsia="Times New Roman"/>
          <w:lang w:eastAsia="en-AU"/>
        </w:rPr>
        <w:t>,</w:t>
      </w:r>
      <w:r w:rsidR="0001756F">
        <w:rPr>
          <w:rFonts w:eastAsia="Times New Roman"/>
          <w:lang w:eastAsia="en-AU"/>
        </w:rPr>
        <w:t xml:space="preserve"> have also been amended or repealed </w:t>
      </w:r>
      <w:r w:rsidR="00AC6FDB">
        <w:rPr>
          <w:rFonts w:eastAsia="Times New Roman"/>
          <w:lang w:eastAsia="en-AU"/>
        </w:rPr>
        <w:t>to reflect amendments made by the Tuition Protection Act.</w:t>
      </w:r>
      <w:r w:rsidR="00DE5FBE">
        <w:rPr>
          <w:rFonts w:eastAsia="Times New Roman"/>
          <w:lang w:eastAsia="en-AU"/>
        </w:rPr>
        <w:t xml:space="preserve"> </w:t>
      </w:r>
    </w:p>
    <w:p w14:paraId="6D86DDD8" w14:textId="77777777" w:rsidR="005E397B" w:rsidRDefault="005E397B" w:rsidP="003665B2">
      <w:pPr>
        <w:spacing w:line="276" w:lineRule="auto"/>
        <w:rPr>
          <w:rFonts w:eastAsia="Times New Roman"/>
          <w:lang w:eastAsia="en-AU"/>
        </w:rPr>
      </w:pPr>
    </w:p>
    <w:p w14:paraId="2CB817B6" w14:textId="77777777" w:rsidR="00E37AA3" w:rsidRDefault="005E397B" w:rsidP="003665B2">
      <w:pPr>
        <w:spacing w:line="276" w:lineRule="auto"/>
        <w:rPr>
          <w:rFonts w:eastAsia="Times New Roman"/>
          <w:szCs w:val="24"/>
          <w:lang w:eastAsia="en-AU"/>
        </w:rPr>
      </w:pPr>
      <w:r>
        <w:rPr>
          <w:rFonts w:eastAsia="Times New Roman"/>
          <w:szCs w:val="24"/>
          <w:lang w:eastAsia="en-AU"/>
        </w:rPr>
        <w:t>Part 2, Schedule 1 of the Amendment Rules include</w:t>
      </w:r>
      <w:r w:rsidR="00BC1A35">
        <w:rPr>
          <w:rFonts w:eastAsia="Times New Roman"/>
          <w:szCs w:val="24"/>
          <w:lang w:eastAsia="en-AU"/>
        </w:rPr>
        <w:t>s</w:t>
      </w:r>
      <w:r>
        <w:rPr>
          <w:rFonts w:eastAsia="Times New Roman"/>
          <w:szCs w:val="24"/>
          <w:lang w:eastAsia="en-AU"/>
        </w:rPr>
        <w:t xml:space="preserve"> a number of other changes to the Rules to allow approved course providers to charge fees for a special admissions test, and to allow the Commonwealth to recover amounts of the annual course provider charge owed by a provider from loan amounts that would otherwise be payable to the course provider. </w:t>
      </w:r>
    </w:p>
    <w:p w14:paraId="4E9DBE0E" w14:textId="77777777" w:rsidR="00E37AA3" w:rsidRDefault="00E37AA3" w:rsidP="003665B2">
      <w:pPr>
        <w:spacing w:line="276" w:lineRule="auto"/>
        <w:rPr>
          <w:rFonts w:eastAsia="Times New Roman"/>
          <w:szCs w:val="24"/>
          <w:lang w:eastAsia="en-AU"/>
        </w:rPr>
      </w:pPr>
    </w:p>
    <w:p w14:paraId="4ADD652F" w14:textId="5CFDE3E5" w:rsidR="003665B2" w:rsidRDefault="00DE5FBE" w:rsidP="003665B2">
      <w:pPr>
        <w:spacing w:line="276" w:lineRule="auto"/>
        <w:rPr>
          <w:rFonts w:eastAsia="Times New Roman"/>
          <w:lang w:eastAsia="en-AU"/>
        </w:rPr>
      </w:pPr>
      <w:r>
        <w:rPr>
          <w:rFonts w:eastAsia="Times New Roman"/>
          <w:lang w:eastAsia="en-AU"/>
        </w:rPr>
        <w:t xml:space="preserve">The amendments commence on 1 January 2020, </w:t>
      </w:r>
      <w:r w:rsidR="00407CAA">
        <w:rPr>
          <w:rFonts w:eastAsia="Times New Roman"/>
          <w:lang w:eastAsia="en-AU"/>
        </w:rPr>
        <w:t xml:space="preserve">immediately after the commencement of </w:t>
      </w:r>
      <w:r>
        <w:rPr>
          <w:rFonts w:eastAsia="Times New Roman"/>
          <w:lang w:eastAsia="en-AU"/>
        </w:rPr>
        <w:t>the Tuition Protection Act</w:t>
      </w:r>
      <w:r w:rsidR="00E37AA3">
        <w:rPr>
          <w:rFonts w:eastAsia="Times New Roman"/>
          <w:lang w:eastAsia="en-AU"/>
        </w:rPr>
        <w:t>, except for sections 1 to 4 which commence the day after the Amendment Rules are registered</w:t>
      </w:r>
      <w:r w:rsidR="00E633FA">
        <w:rPr>
          <w:rFonts w:eastAsia="Times New Roman"/>
          <w:lang w:eastAsia="en-AU"/>
        </w:rPr>
        <w:t xml:space="preserve"> and </w:t>
      </w:r>
      <w:r w:rsidR="00AC4451">
        <w:rPr>
          <w:rFonts w:eastAsia="Times New Roman"/>
          <w:lang w:eastAsia="en-AU"/>
        </w:rPr>
        <w:t>Division 1 of Part 6 in</w:t>
      </w:r>
      <w:r w:rsidR="00E633FA">
        <w:rPr>
          <w:rFonts w:eastAsia="Times New Roman"/>
          <w:lang w:eastAsia="en-AU"/>
        </w:rPr>
        <w:t xml:space="preserve"> Item 7 </w:t>
      </w:r>
      <w:r w:rsidR="00AC4451">
        <w:rPr>
          <w:rFonts w:eastAsia="Times New Roman"/>
          <w:lang w:eastAsia="en-AU"/>
        </w:rPr>
        <w:t xml:space="preserve">of Schedule 1 </w:t>
      </w:r>
      <w:r w:rsidR="00E633FA">
        <w:rPr>
          <w:rFonts w:eastAsia="Times New Roman"/>
          <w:lang w:eastAsia="en-AU"/>
        </w:rPr>
        <w:t xml:space="preserve">which commences </w:t>
      </w:r>
      <w:r w:rsidR="00940EB3">
        <w:rPr>
          <w:rFonts w:eastAsia="Times New Roman"/>
          <w:lang w:eastAsia="en-AU"/>
        </w:rPr>
        <w:t xml:space="preserve">immediately after the commencement of </w:t>
      </w:r>
      <w:r w:rsidR="00E633FA">
        <w:rPr>
          <w:rFonts w:eastAsia="Times New Roman"/>
          <w:lang w:eastAsia="en-AU"/>
        </w:rPr>
        <w:t xml:space="preserve">the </w:t>
      </w:r>
      <w:r w:rsidR="00E633FA" w:rsidRPr="00DB19F9">
        <w:rPr>
          <w:rFonts w:eastAsia="Times New Roman"/>
          <w:i/>
          <w:lang w:eastAsia="en-AU"/>
        </w:rPr>
        <w:t>VET Student Loans (VSL Tuition Protection Levy) Act 20</w:t>
      </w:r>
      <w:r w:rsidR="00AC68C8">
        <w:rPr>
          <w:rFonts w:eastAsia="Times New Roman"/>
          <w:i/>
          <w:lang w:eastAsia="en-AU"/>
        </w:rPr>
        <w:t>20</w:t>
      </w:r>
      <w:r w:rsidR="005E397B">
        <w:rPr>
          <w:rFonts w:eastAsia="Times New Roman"/>
          <w:lang w:eastAsia="en-AU"/>
        </w:rPr>
        <w:t xml:space="preserve"> </w:t>
      </w:r>
    </w:p>
    <w:p w14:paraId="0B881BA0" w14:textId="5D14AB3A" w:rsidR="004F0241" w:rsidRPr="00950BF4" w:rsidRDefault="004F0241" w:rsidP="000E0AFD">
      <w:pPr>
        <w:spacing w:line="276" w:lineRule="auto"/>
        <w:rPr>
          <w:lang w:eastAsia="en-AU"/>
        </w:rPr>
      </w:pPr>
    </w:p>
    <w:p w14:paraId="5D822CD4" w14:textId="57893FD1" w:rsidR="004F0241" w:rsidRPr="007F06A4" w:rsidRDefault="004F0241" w:rsidP="000E0AFD">
      <w:pPr>
        <w:spacing w:line="276" w:lineRule="auto"/>
        <w:rPr>
          <w:lang w:eastAsia="en-AU"/>
        </w:rPr>
      </w:pPr>
      <w:r w:rsidRPr="007F06A4">
        <w:rPr>
          <w:lang w:eastAsia="en-AU"/>
        </w:rPr>
        <w:t xml:space="preserve">An explanation of the provisions </w:t>
      </w:r>
      <w:r w:rsidR="007F06A4" w:rsidRPr="007F06A4">
        <w:rPr>
          <w:lang w:eastAsia="en-AU"/>
        </w:rPr>
        <w:t xml:space="preserve">of the Amendment Rules is set out at </w:t>
      </w:r>
      <w:r w:rsidR="007F06A4" w:rsidRPr="007F06A4">
        <w:rPr>
          <w:u w:val="single"/>
          <w:lang w:eastAsia="en-AU"/>
        </w:rPr>
        <w:t>Attachment A</w:t>
      </w:r>
      <w:r w:rsidR="007F06A4" w:rsidRPr="007F06A4">
        <w:rPr>
          <w:lang w:eastAsia="en-AU"/>
        </w:rPr>
        <w:t xml:space="preserve">. </w:t>
      </w:r>
    </w:p>
    <w:p w14:paraId="34CBCE85" w14:textId="78018FCD" w:rsidR="007A0D85" w:rsidRDefault="002A1E02" w:rsidP="00E26DE6">
      <w:pPr>
        <w:pStyle w:val="Heading2"/>
        <w:rPr>
          <w:lang w:eastAsia="en-AU"/>
        </w:rPr>
      </w:pPr>
      <w:r w:rsidRPr="00E26DE6">
        <w:rPr>
          <w:lang w:eastAsia="en-AU"/>
        </w:rPr>
        <w:t>Regulatory Impact Statement</w:t>
      </w:r>
    </w:p>
    <w:p w14:paraId="6EF69545" w14:textId="131C5D6D" w:rsidR="00DE5FBE" w:rsidRPr="00ED6BB5" w:rsidRDefault="00ED6BB5" w:rsidP="00DE5FBE">
      <w:pPr>
        <w:rPr>
          <w:rFonts w:eastAsia="Times New Roman"/>
          <w:lang w:eastAsia="en-AU"/>
        </w:rPr>
      </w:pPr>
      <w:r w:rsidRPr="00ED6BB5">
        <w:rPr>
          <w:rFonts w:eastAsia="Times New Roman"/>
          <w:lang w:eastAsia="en-AU"/>
        </w:rPr>
        <w:t>The Office of Best Practice Regulation assessed that a Regulation Impact Statement was not required for the Amendment Rules because they give operational effect to the Act and the likely impacts of the Act have been assessed as minor in nature (reference #23325).</w:t>
      </w:r>
    </w:p>
    <w:p w14:paraId="5D10B03E" w14:textId="34424C77" w:rsidR="00AC4451" w:rsidRDefault="00AC4451" w:rsidP="00AC4451">
      <w:pPr>
        <w:jc w:val="center"/>
        <w:rPr>
          <w:rFonts w:ascii="Arial" w:hAnsi="Arial" w:cs="Arial"/>
          <w:b/>
          <w:sz w:val="28"/>
          <w:szCs w:val="28"/>
        </w:rPr>
      </w:pPr>
    </w:p>
    <w:p w14:paraId="1D893512" w14:textId="31DA03FC" w:rsidR="00AC4451" w:rsidRDefault="00AC4451" w:rsidP="00AC4451">
      <w:pPr>
        <w:pStyle w:val="Heading2"/>
        <w:rPr>
          <w:lang w:eastAsia="en-AU"/>
        </w:rPr>
      </w:pPr>
      <w:r>
        <w:rPr>
          <w:lang w:eastAsia="en-AU"/>
        </w:rPr>
        <w:t>Financial</w:t>
      </w:r>
      <w:r w:rsidRPr="00E26DE6">
        <w:rPr>
          <w:lang w:eastAsia="en-AU"/>
        </w:rPr>
        <w:t xml:space="preserve"> Impact Statement</w:t>
      </w:r>
    </w:p>
    <w:p w14:paraId="6E7C4BBE" w14:textId="77777777" w:rsidR="00AC4451" w:rsidRPr="00F94BBB" w:rsidRDefault="00AC4451" w:rsidP="00DB19F9">
      <w:pPr>
        <w:rPr>
          <w:rFonts w:ascii="Arial" w:hAnsi="Arial" w:cs="Arial"/>
          <w:b/>
          <w:sz w:val="28"/>
          <w:szCs w:val="28"/>
        </w:rPr>
      </w:pPr>
    </w:p>
    <w:p w14:paraId="64461C4E" w14:textId="51E6DB49" w:rsidR="00AC4451" w:rsidRDefault="00AC4451" w:rsidP="00AC4451">
      <w:pPr>
        <w:rPr>
          <w:szCs w:val="24"/>
        </w:rPr>
      </w:pPr>
      <w:r w:rsidRPr="00DB19F9">
        <w:rPr>
          <w:szCs w:val="24"/>
        </w:rPr>
        <w:t xml:space="preserve">The </w:t>
      </w:r>
      <w:r>
        <w:rPr>
          <w:szCs w:val="24"/>
        </w:rPr>
        <w:t xml:space="preserve">explanatory memorandum accompanying the </w:t>
      </w:r>
      <w:r w:rsidRPr="00DB19F9">
        <w:rPr>
          <w:lang w:eastAsia="en-AU"/>
        </w:rPr>
        <w:t xml:space="preserve">Education Legislation Amendment (Tuition Protection and Other Measures) </w:t>
      </w:r>
      <w:r>
        <w:rPr>
          <w:lang w:eastAsia="en-AU"/>
        </w:rPr>
        <w:t>Bill</w:t>
      </w:r>
      <w:r w:rsidRPr="00DB19F9">
        <w:rPr>
          <w:lang w:eastAsia="en-AU"/>
        </w:rPr>
        <w:t xml:space="preserve"> 2019</w:t>
      </w:r>
      <w:r w:rsidRPr="00AC4451">
        <w:rPr>
          <w:lang w:eastAsia="en-AU"/>
        </w:rPr>
        <w:t xml:space="preserve"> </w:t>
      </w:r>
      <w:r>
        <w:rPr>
          <w:lang w:eastAsia="en-AU"/>
        </w:rPr>
        <w:t>calculated the expected revenue of the new tuition protection arrangements for</w:t>
      </w:r>
      <w:r w:rsidRPr="00DB19F9">
        <w:rPr>
          <w:szCs w:val="24"/>
        </w:rPr>
        <w:t xml:space="preserve"> VSL students, FEE- HELP or HECS-HELP students studying at a </w:t>
      </w:r>
      <w:r w:rsidRPr="00DB19F9">
        <w:rPr>
          <w:i/>
          <w:iCs/>
          <w:szCs w:val="24"/>
        </w:rPr>
        <w:t xml:space="preserve">private education provider or TAFE </w:t>
      </w:r>
      <w:r>
        <w:rPr>
          <w:iCs/>
          <w:szCs w:val="24"/>
        </w:rPr>
        <w:t>as being</w:t>
      </w:r>
      <w:r w:rsidRPr="00DB19F9">
        <w:rPr>
          <w:szCs w:val="24"/>
        </w:rPr>
        <w:t xml:space="preserve"> $3 million over the forward estimates as a result of the revenue </w:t>
      </w:r>
      <w:r>
        <w:rPr>
          <w:szCs w:val="24"/>
        </w:rPr>
        <w:t xml:space="preserve">projected to be </w:t>
      </w:r>
      <w:r w:rsidRPr="00DB19F9">
        <w:rPr>
          <w:szCs w:val="24"/>
        </w:rPr>
        <w:t xml:space="preserve">collected through the levy system. </w:t>
      </w:r>
    </w:p>
    <w:p w14:paraId="682A1BB9" w14:textId="77777777" w:rsidR="00AC4451" w:rsidRPr="00DB19F9" w:rsidRDefault="00AC4451" w:rsidP="00AC4451">
      <w:pPr>
        <w:rPr>
          <w:szCs w:val="24"/>
        </w:rPr>
      </w:pPr>
    </w:p>
    <w:p w14:paraId="70B8B7BF" w14:textId="131CA495" w:rsidR="00AC4451" w:rsidRDefault="00AC4451" w:rsidP="00AC4451">
      <w:pPr>
        <w:rPr>
          <w:szCs w:val="24"/>
        </w:rPr>
      </w:pPr>
      <w:r w:rsidRPr="00DB19F9">
        <w:rPr>
          <w:szCs w:val="24"/>
        </w:rPr>
        <w:t xml:space="preserve">The proposed </w:t>
      </w:r>
      <w:r w:rsidR="008B5772">
        <w:rPr>
          <w:szCs w:val="24"/>
        </w:rPr>
        <w:t>exemption of the</w:t>
      </w:r>
      <w:r w:rsidRPr="00DB19F9">
        <w:rPr>
          <w:szCs w:val="24"/>
        </w:rPr>
        <w:t xml:space="preserve"> TAFEs and </w:t>
      </w:r>
      <w:r w:rsidR="00DB19F9">
        <w:rPr>
          <w:szCs w:val="24"/>
        </w:rPr>
        <w:t>G</w:t>
      </w:r>
      <w:r w:rsidRPr="00DB19F9">
        <w:rPr>
          <w:szCs w:val="24"/>
        </w:rPr>
        <w:t>overnment</w:t>
      </w:r>
      <w:r w:rsidR="00DB19F9">
        <w:rPr>
          <w:szCs w:val="24"/>
        </w:rPr>
        <w:t>-owned</w:t>
      </w:r>
      <w:r w:rsidRPr="00DB19F9">
        <w:rPr>
          <w:szCs w:val="24"/>
        </w:rPr>
        <w:t xml:space="preserve"> providers from the new tuition protection arrangements will reduce </w:t>
      </w:r>
      <w:r w:rsidR="008B5772">
        <w:rPr>
          <w:szCs w:val="24"/>
        </w:rPr>
        <w:t xml:space="preserve">the projected amount of </w:t>
      </w:r>
      <w:r w:rsidRPr="00DB19F9">
        <w:rPr>
          <w:szCs w:val="24"/>
        </w:rPr>
        <w:t xml:space="preserve">levies (revenue) </w:t>
      </w:r>
      <w:r w:rsidR="008B5772">
        <w:rPr>
          <w:szCs w:val="24"/>
        </w:rPr>
        <w:t xml:space="preserve">to be </w:t>
      </w:r>
      <w:r w:rsidRPr="00DB19F9">
        <w:rPr>
          <w:szCs w:val="24"/>
        </w:rPr>
        <w:t>collected under the measure by $0.6 million per year (reflecting $0.55 million for VSL and $0.05 million for FEE-HELP/HECS-HELP).  </w:t>
      </w:r>
    </w:p>
    <w:p w14:paraId="4025D4D3" w14:textId="77777777" w:rsidR="00AC4451" w:rsidRPr="00DB19F9" w:rsidRDefault="00AC4451" w:rsidP="00AC4451">
      <w:pPr>
        <w:rPr>
          <w:szCs w:val="24"/>
        </w:rPr>
      </w:pPr>
    </w:p>
    <w:p w14:paraId="796E0B4D" w14:textId="5923DB04" w:rsidR="00AC4451" w:rsidRDefault="00AC4451" w:rsidP="00AC4451">
      <w:pPr>
        <w:rPr>
          <w:szCs w:val="24"/>
        </w:rPr>
      </w:pPr>
      <w:r w:rsidRPr="00DB19F9">
        <w:rPr>
          <w:szCs w:val="24"/>
        </w:rPr>
        <w:t xml:space="preserve">The measure to introduce new tuition protection arrangements to cover VET Student Loans (VSL) students, FEE-HELP or HECS-HELP students studying at a private education provider will now generate expected revenue of $0.6 million over the forward estimates. </w:t>
      </w:r>
    </w:p>
    <w:p w14:paraId="4F961FE3" w14:textId="7835D77D" w:rsidR="00C4770B" w:rsidRDefault="00C4770B" w:rsidP="00AC4451">
      <w:pPr>
        <w:rPr>
          <w:szCs w:val="24"/>
        </w:rPr>
      </w:pPr>
    </w:p>
    <w:p w14:paraId="4498E06E" w14:textId="01B5A530" w:rsidR="00C4770B" w:rsidRDefault="00C4770B" w:rsidP="00AC4451">
      <w:pPr>
        <w:rPr>
          <w:szCs w:val="24"/>
        </w:rPr>
      </w:pPr>
    </w:p>
    <w:p w14:paraId="308ED132" w14:textId="4C5D9249" w:rsidR="00C4770B" w:rsidRDefault="00C4770B" w:rsidP="00AC4451">
      <w:pPr>
        <w:rPr>
          <w:szCs w:val="24"/>
        </w:rPr>
      </w:pPr>
    </w:p>
    <w:p w14:paraId="3CC1C586" w14:textId="77777777" w:rsidR="00C4770B" w:rsidRPr="00DB19F9" w:rsidRDefault="00C4770B" w:rsidP="00AC4451">
      <w:pPr>
        <w:rPr>
          <w:szCs w:val="24"/>
        </w:rPr>
      </w:pPr>
    </w:p>
    <w:p w14:paraId="0DB47EFD" w14:textId="77777777" w:rsidR="00AC4451" w:rsidRPr="00DB19F9" w:rsidRDefault="00AC4451" w:rsidP="00AC4451">
      <w:pPr>
        <w:rPr>
          <w:szCs w:val="24"/>
        </w:rPr>
      </w:pPr>
    </w:p>
    <w:tbl>
      <w:tblPr>
        <w:tblW w:w="5000" w:type="pct"/>
        <w:tblCellMar>
          <w:left w:w="0" w:type="dxa"/>
          <w:right w:w="0" w:type="dxa"/>
        </w:tblCellMar>
        <w:tblLook w:val="04A0" w:firstRow="1" w:lastRow="0" w:firstColumn="1" w:lastColumn="0" w:noHBand="0" w:noVBand="1"/>
      </w:tblPr>
      <w:tblGrid>
        <w:gridCol w:w="2562"/>
        <w:gridCol w:w="1290"/>
        <w:gridCol w:w="1290"/>
        <w:gridCol w:w="1310"/>
        <w:gridCol w:w="1272"/>
        <w:gridCol w:w="1282"/>
      </w:tblGrid>
      <w:tr w:rsidR="00AC4451" w:rsidRPr="00AC4451" w14:paraId="7FB1DFCA" w14:textId="77777777" w:rsidTr="006F11A0">
        <w:tc>
          <w:tcPr>
            <w:tcW w:w="8728"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66AE" w14:textId="77777777" w:rsidR="00AC4451" w:rsidRPr="00DB19F9" w:rsidRDefault="00AC4451" w:rsidP="006F11A0">
            <w:pPr>
              <w:rPr>
                <w:b/>
                <w:bCs/>
                <w:szCs w:val="24"/>
              </w:rPr>
            </w:pPr>
            <w:r w:rsidRPr="00DB19F9">
              <w:rPr>
                <w:b/>
                <w:bCs/>
                <w:szCs w:val="24"/>
              </w:rPr>
              <w:t>Impact on underlying cash ($ millions)</w:t>
            </w:r>
          </w:p>
          <w:p w14:paraId="060818F3" w14:textId="77777777" w:rsidR="00AC4451" w:rsidRPr="00DB19F9" w:rsidRDefault="00AC4451" w:rsidP="006F11A0">
            <w:pPr>
              <w:rPr>
                <w:b/>
                <w:bCs/>
                <w:szCs w:val="24"/>
              </w:rPr>
            </w:pPr>
            <w:r w:rsidRPr="00DB19F9">
              <w:rPr>
                <w:b/>
                <w:bCs/>
                <w:szCs w:val="24"/>
              </w:rPr>
              <w:t>Amendments to cover private providers only</w:t>
            </w:r>
          </w:p>
        </w:tc>
      </w:tr>
      <w:tr w:rsidR="00AC4451" w:rsidRPr="00AC4451" w14:paraId="4831C8EF" w14:textId="77777777" w:rsidTr="006F11A0">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E34D74" w14:textId="77777777" w:rsidR="00AC4451" w:rsidRPr="00DB19F9" w:rsidRDefault="00AC4451" w:rsidP="006F11A0">
            <w:pPr>
              <w:rPr>
                <w:b/>
                <w:bCs/>
                <w:szCs w:val="24"/>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C1F4BC2" w14:textId="77777777" w:rsidR="00AC4451" w:rsidRPr="00DB19F9" w:rsidRDefault="00AC4451" w:rsidP="006F11A0">
            <w:pPr>
              <w:rPr>
                <w:b/>
                <w:bCs/>
                <w:szCs w:val="24"/>
              </w:rPr>
            </w:pPr>
            <w:r w:rsidRPr="00DB19F9">
              <w:rPr>
                <w:b/>
                <w:bCs/>
                <w:szCs w:val="24"/>
              </w:rPr>
              <w:t>2019–20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7AA2B8B" w14:textId="77777777" w:rsidR="00AC4451" w:rsidRPr="00DB19F9" w:rsidRDefault="00AC4451" w:rsidP="006F11A0">
            <w:pPr>
              <w:rPr>
                <w:b/>
                <w:bCs/>
                <w:szCs w:val="24"/>
              </w:rPr>
            </w:pPr>
            <w:r w:rsidRPr="00DB19F9">
              <w:rPr>
                <w:b/>
                <w:bCs/>
                <w:szCs w:val="24"/>
              </w:rPr>
              <w:t>2020–21</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14:paraId="165533B6" w14:textId="77777777" w:rsidR="00AC4451" w:rsidRPr="00DB19F9" w:rsidRDefault="00AC4451" w:rsidP="006F11A0">
            <w:pPr>
              <w:rPr>
                <w:b/>
                <w:bCs/>
                <w:szCs w:val="24"/>
              </w:rPr>
            </w:pPr>
            <w:r w:rsidRPr="00DB19F9">
              <w:rPr>
                <w:b/>
                <w:bCs/>
                <w:szCs w:val="24"/>
              </w:rPr>
              <w:t>2021–22</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14:paraId="5DAD9A24" w14:textId="77777777" w:rsidR="00AC4451" w:rsidRPr="00DB19F9" w:rsidRDefault="00AC4451" w:rsidP="006F11A0">
            <w:pPr>
              <w:rPr>
                <w:b/>
                <w:bCs/>
                <w:szCs w:val="24"/>
              </w:rPr>
            </w:pPr>
            <w:r w:rsidRPr="00DB19F9">
              <w:rPr>
                <w:b/>
                <w:bCs/>
                <w:szCs w:val="24"/>
              </w:rPr>
              <w:t>2022–23</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14:paraId="67FF4CCA" w14:textId="77777777" w:rsidR="00AC4451" w:rsidRPr="00DB19F9" w:rsidRDefault="00AC4451" w:rsidP="006F11A0">
            <w:pPr>
              <w:rPr>
                <w:b/>
                <w:bCs/>
                <w:szCs w:val="24"/>
              </w:rPr>
            </w:pPr>
            <w:r w:rsidRPr="00DB19F9">
              <w:rPr>
                <w:b/>
                <w:bCs/>
                <w:szCs w:val="24"/>
              </w:rPr>
              <w:t>Total</w:t>
            </w:r>
          </w:p>
        </w:tc>
      </w:tr>
      <w:tr w:rsidR="00AC4451" w:rsidRPr="00AC4451" w14:paraId="610C90CA" w14:textId="77777777" w:rsidTr="006F11A0">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53B7" w14:textId="77777777" w:rsidR="00AC4451" w:rsidRPr="00DB19F9" w:rsidRDefault="00AC4451" w:rsidP="006F11A0">
            <w:pPr>
              <w:rPr>
                <w:szCs w:val="24"/>
              </w:rPr>
            </w:pPr>
            <w:r w:rsidRPr="00DB19F9">
              <w:rPr>
                <w:szCs w:val="24"/>
              </w:rPr>
              <w:t>New tuition protection measures – removal of TAFEs and government providers</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CF6539E" w14:textId="77777777" w:rsidR="00AC4451" w:rsidRPr="00DB19F9" w:rsidRDefault="00AC4451" w:rsidP="006F11A0">
            <w:pPr>
              <w:rPr>
                <w:szCs w:val="24"/>
              </w:rPr>
            </w:pPr>
            <w:r w:rsidRPr="00DB19F9">
              <w:rPr>
                <w:szCs w:val="24"/>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70F2C0D1" w14:textId="77777777" w:rsidR="00AC4451" w:rsidRPr="00DB19F9" w:rsidRDefault="00AC4451" w:rsidP="006F11A0">
            <w:pPr>
              <w:rPr>
                <w:szCs w:val="24"/>
              </w:rPr>
            </w:pPr>
            <w:r w:rsidRPr="00DB19F9">
              <w:rPr>
                <w:szCs w:val="24"/>
              </w:rPr>
              <w:t>-0.4</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14:paraId="2BDC0BC3" w14:textId="77777777" w:rsidR="00AC4451" w:rsidRPr="00DB19F9" w:rsidRDefault="00AC4451" w:rsidP="006F11A0">
            <w:pPr>
              <w:rPr>
                <w:szCs w:val="24"/>
              </w:rPr>
            </w:pPr>
            <w:r w:rsidRPr="00DB19F9">
              <w:rPr>
                <w:szCs w:val="24"/>
              </w:rPr>
              <w:t>+1.0</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14:paraId="33BBF8CE" w14:textId="77777777" w:rsidR="00AC4451" w:rsidRPr="00DB19F9" w:rsidRDefault="00AC4451" w:rsidP="006F11A0">
            <w:pPr>
              <w:rPr>
                <w:szCs w:val="24"/>
              </w:rPr>
            </w:pPr>
            <w:r w:rsidRPr="00DB19F9">
              <w:rPr>
                <w:szCs w:val="24"/>
              </w:rPr>
              <w:t>+1.1</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14:paraId="4D44BCD2" w14:textId="77777777" w:rsidR="00AC4451" w:rsidRPr="00DB19F9" w:rsidRDefault="00AC4451" w:rsidP="006F11A0">
            <w:pPr>
              <w:rPr>
                <w:szCs w:val="24"/>
              </w:rPr>
            </w:pPr>
            <w:r w:rsidRPr="00DB19F9">
              <w:rPr>
                <w:szCs w:val="24"/>
              </w:rPr>
              <w:t>+0.6</w:t>
            </w:r>
          </w:p>
        </w:tc>
      </w:tr>
    </w:tbl>
    <w:p w14:paraId="3A1B80AE" w14:textId="77777777" w:rsidR="00AC4451" w:rsidRPr="00DB19F9" w:rsidRDefault="00AC4451" w:rsidP="00AC4451">
      <w:pPr>
        <w:rPr>
          <w:szCs w:val="24"/>
        </w:rPr>
      </w:pPr>
    </w:p>
    <w:p w14:paraId="29617547" w14:textId="718CFCFC" w:rsidR="004E513F" w:rsidRDefault="004E513F" w:rsidP="00B44C7A">
      <w:pPr>
        <w:pStyle w:val="Heading2"/>
        <w:rPr>
          <w:lang w:eastAsia="en-AU"/>
        </w:rPr>
      </w:pPr>
      <w:r>
        <w:rPr>
          <w:lang w:eastAsia="en-AU"/>
        </w:rPr>
        <w:lastRenderedPageBreak/>
        <w:t>Consultation</w:t>
      </w:r>
    </w:p>
    <w:p w14:paraId="7A6AE969" w14:textId="11783245" w:rsidR="009B185A" w:rsidRDefault="009B185A" w:rsidP="009B185A">
      <w:pPr>
        <w:pStyle w:val="MBPoint"/>
        <w:numPr>
          <w:ilvl w:val="0"/>
          <w:numId w:val="0"/>
        </w:numPr>
        <w:ind w:left="57"/>
      </w:pPr>
      <w:r w:rsidRPr="00DF592A">
        <w:t>A draft version of</w:t>
      </w:r>
      <w:r>
        <w:t xml:space="preserve"> the</w:t>
      </w:r>
      <w:r w:rsidRPr="00DF592A">
        <w:t xml:space="preserve"> </w:t>
      </w:r>
      <w:r w:rsidR="008B5772">
        <w:t xml:space="preserve">Amendment </w:t>
      </w:r>
      <w:r w:rsidRPr="00DF592A">
        <w:t xml:space="preserve">Rules was published on the Department’s website on </w:t>
      </w:r>
      <w:r w:rsidR="00DB19F9">
        <w:br/>
      </w:r>
      <w:r w:rsidRPr="00DF592A">
        <w:t>20 November</w:t>
      </w:r>
      <w:r>
        <w:t> </w:t>
      </w:r>
      <w:r w:rsidRPr="00DF592A">
        <w:t xml:space="preserve">2019, and stakeholder feedback was sought by 27 November 2019. All VSL approved providers were notified of the publication and invited to comment. Four </w:t>
      </w:r>
      <w:r w:rsidR="008B5772">
        <w:t>stakeholders</w:t>
      </w:r>
      <w:r w:rsidRPr="00DF592A">
        <w:t xml:space="preserve"> responded with feedback, the detail of </w:t>
      </w:r>
      <w:r>
        <w:t xml:space="preserve">which was considered </w:t>
      </w:r>
      <w:r w:rsidR="008B5772">
        <w:t>prior to the Amendment Rules being finalised.</w:t>
      </w:r>
      <w:r>
        <w:t xml:space="preserve"> </w:t>
      </w:r>
    </w:p>
    <w:p w14:paraId="64F56058" w14:textId="77777777" w:rsidR="009B185A" w:rsidRDefault="009B185A" w:rsidP="009B185A">
      <w:pPr>
        <w:pStyle w:val="MBPoint"/>
        <w:numPr>
          <w:ilvl w:val="0"/>
          <w:numId w:val="0"/>
        </w:numPr>
        <w:ind w:left="57"/>
      </w:pPr>
    </w:p>
    <w:p w14:paraId="728968FD" w14:textId="3D311228" w:rsidR="009B185A" w:rsidRDefault="008B5772" w:rsidP="009B185A">
      <w:pPr>
        <w:pStyle w:val="MBPoint"/>
        <w:numPr>
          <w:ilvl w:val="0"/>
          <w:numId w:val="0"/>
        </w:numPr>
        <w:ind w:left="57"/>
      </w:pPr>
      <w:r>
        <w:t>Subsequent to publishing the draft Amendment Rules, the decision was made to</w:t>
      </w:r>
      <w:r w:rsidR="009B185A" w:rsidRPr="00FD58DE">
        <w:t xml:space="preserve"> exempt TAFEs and other Government-owned </w:t>
      </w:r>
      <w:r>
        <w:t>registered training organisations</w:t>
      </w:r>
      <w:r w:rsidR="009B185A" w:rsidRPr="00FD58DE">
        <w:t xml:space="preserve"> from </w:t>
      </w:r>
      <w:r>
        <w:t>Part 5A of the new tuition protection arrangements</w:t>
      </w:r>
      <w:r w:rsidR="001729E4">
        <w:t xml:space="preserve">. This means these bodies are not required to pay any component of the VSL tuition protection levy. </w:t>
      </w:r>
      <w:r w:rsidR="009B185A" w:rsidRPr="00FD58DE">
        <w:t xml:space="preserve">This amendment was made </w:t>
      </w:r>
      <w:r w:rsidR="001729E4">
        <w:t xml:space="preserve">following the Government’s consideration of the report from the Senate </w:t>
      </w:r>
      <w:r w:rsidR="009B185A" w:rsidRPr="00FD58DE">
        <w:t>Education and Employment Legislation Committee</w:t>
      </w:r>
      <w:r w:rsidR="001729E4">
        <w:t>, stakeholder submissions to the Committee and public hearings before the Committee</w:t>
      </w:r>
      <w:r w:rsidR="009B185A" w:rsidRPr="00FD58DE">
        <w:t xml:space="preserve">. </w:t>
      </w:r>
      <w:r w:rsidR="001729E4">
        <w:t xml:space="preserve">The decision was also made having regard to these kinds of bodies having the capability and capacity to deal with any defaults without the assistance of the new VSL Director. </w:t>
      </w:r>
    </w:p>
    <w:p w14:paraId="6C94838A" w14:textId="77777777" w:rsidR="009B185A" w:rsidRDefault="009B185A" w:rsidP="009B185A">
      <w:pPr>
        <w:pStyle w:val="MBPoint"/>
        <w:numPr>
          <w:ilvl w:val="0"/>
          <w:numId w:val="0"/>
        </w:numPr>
        <w:ind w:left="57"/>
      </w:pPr>
    </w:p>
    <w:p w14:paraId="1C8D97E4" w14:textId="0977E65F" w:rsidR="009B185A" w:rsidRDefault="009B185A" w:rsidP="009B185A">
      <w:pPr>
        <w:pStyle w:val="MBPoint"/>
        <w:numPr>
          <w:ilvl w:val="0"/>
          <w:numId w:val="0"/>
        </w:numPr>
        <w:ind w:left="57"/>
      </w:pPr>
      <w:r>
        <w:t xml:space="preserve">Providers and sector stakeholders were widely consulted on the new tuition protection arrangements in the Tuition Protection Bills, including through the Senate </w:t>
      </w:r>
      <w:r>
        <w:rPr>
          <w:lang w:val="en"/>
        </w:rPr>
        <w:t xml:space="preserve">Committee for the Scrutiny of Bills, and the </w:t>
      </w:r>
      <w:r w:rsidR="001729E4">
        <w:rPr>
          <w:lang w:val="en"/>
        </w:rPr>
        <w:t xml:space="preserve">Senate </w:t>
      </w:r>
      <w:r>
        <w:rPr>
          <w:lang w:val="en"/>
        </w:rPr>
        <w:t>Education and Employment Legislation Committee</w:t>
      </w:r>
      <w:r w:rsidR="001729E4">
        <w:rPr>
          <w:lang w:val="en"/>
        </w:rPr>
        <w:t>’s</w:t>
      </w:r>
      <w:r>
        <w:rPr>
          <w:lang w:val="en"/>
        </w:rPr>
        <w:t xml:space="preserve"> consideration of the Bills. </w:t>
      </w:r>
    </w:p>
    <w:p w14:paraId="74482900" w14:textId="7C29FB40" w:rsidR="004F0241" w:rsidRPr="00E26DE6" w:rsidRDefault="004F0241" w:rsidP="00772A96">
      <w:pPr>
        <w:pStyle w:val="Heading2"/>
        <w:rPr>
          <w:lang w:eastAsia="en-AU"/>
        </w:rPr>
      </w:pPr>
      <w:r w:rsidRPr="00E26DE6">
        <w:rPr>
          <w:lang w:eastAsia="en-AU"/>
        </w:rPr>
        <w:t>Statement of compatibility of Human Rights</w:t>
      </w:r>
    </w:p>
    <w:p w14:paraId="077D9211" w14:textId="1B8024F1" w:rsidR="007F06A4" w:rsidRDefault="004F0241" w:rsidP="001B466A">
      <w:pPr>
        <w:rPr>
          <w:lang w:eastAsia="en-AU"/>
        </w:rPr>
      </w:pPr>
      <w:r>
        <w:rPr>
          <w:lang w:eastAsia="en-AU"/>
        </w:rPr>
        <w:t xml:space="preserve">The Statement of Compatibility with Human Rights is set out in </w:t>
      </w:r>
      <w:r w:rsidRPr="004F0241">
        <w:rPr>
          <w:u w:val="single"/>
          <w:lang w:eastAsia="en-AU"/>
        </w:rPr>
        <w:t>Attachment B</w:t>
      </w:r>
      <w:r>
        <w:rPr>
          <w:lang w:eastAsia="en-AU"/>
        </w:rPr>
        <w:t xml:space="preserve">. It has been prepared in accordance with </w:t>
      </w:r>
      <w:r w:rsidR="007F06A4">
        <w:rPr>
          <w:lang w:eastAsia="en-AU"/>
        </w:rPr>
        <w:t xml:space="preserve">section 3 of the </w:t>
      </w:r>
      <w:r w:rsidR="007F06A4" w:rsidRPr="007F06A4">
        <w:rPr>
          <w:i/>
          <w:lang w:eastAsia="en-AU"/>
        </w:rPr>
        <w:t>Human Rights (Parliamentary Scrutiny) Act 2011</w:t>
      </w:r>
      <w:r w:rsidR="001B466A">
        <w:rPr>
          <w:lang w:eastAsia="en-AU"/>
        </w:rPr>
        <w:t>.</w:t>
      </w:r>
      <w:r w:rsidR="007F06A4">
        <w:rPr>
          <w:lang w:eastAsia="en-AU"/>
        </w:rPr>
        <w:br w:type="page"/>
      </w:r>
    </w:p>
    <w:p w14:paraId="6B7F1A1C" w14:textId="19B1AA51" w:rsidR="004F0241" w:rsidRPr="007F06A4" w:rsidRDefault="007F06A4" w:rsidP="007F06A4">
      <w:pPr>
        <w:jc w:val="right"/>
        <w:rPr>
          <w:b/>
          <w:u w:val="single"/>
          <w:lang w:eastAsia="en-AU"/>
        </w:rPr>
      </w:pPr>
      <w:r w:rsidRPr="007F06A4">
        <w:rPr>
          <w:b/>
          <w:u w:val="single"/>
          <w:lang w:eastAsia="en-AU"/>
        </w:rPr>
        <w:lastRenderedPageBreak/>
        <w:t xml:space="preserve">Attachment A </w:t>
      </w:r>
    </w:p>
    <w:p w14:paraId="2CCE86E1" w14:textId="18D5CFC4" w:rsidR="002A1E02" w:rsidRPr="007C51B9" w:rsidRDefault="002A1E02" w:rsidP="007C51B9">
      <w:pPr>
        <w:pStyle w:val="Heading2"/>
        <w:pBdr>
          <w:bottom w:val="single" w:sz="4" w:space="1" w:color="auto"/>
        </w:pBdr>
        <w:jc w:val="center"/>
        <w:rPr>
          <w:rFonts w:eastAsia="Times New Roman"/>
          <w:sz w:val="28"/>
          <w:lang w:eastAsia="en-AU"/>
        </w:rPr>
      </w:pPr>
      <w:r w:rsidRPr="007C51B9">
        <w:rPr>
          <w:rFonts w:eastAsia="Times New Roman"/>
          <w:sz w:val="28"/>
          <w:lang w:eastAsia="en-AU"/>
        </w:rPr>
        <w:t>Explanation of Provisions</w:t>
      </w:r>
    </w:p>
    <w:p w14:paraId="0A193B4F" w14:textId="77777777" w:rsidR="00F7554A" w:rsidRPr="002655F5" w:rsidRDefault="00F7554A" w:rsidP="00F7554A">
      <w:pPr>
        <w:keepNext/>
        <w:keepLines/>
        <w:jc w:val="center"/>
        <w:outlineLvl w:val="0"/>
        <w:rPr>
          <w:rFonts w:ascii="Arial" w:eastAsia="Times New Roman" w:hAnsi="Arial" w:cs="Arial"/>
          <w:b/>
          <w:bCs/>
          <w:szCs w:val="24"/>
          <w:lang w:eastAsia="en-AU"/>
        </w:rPr>
      </w:pPr>
    </w:p>
    <w:p w14:paraId="050509D0" w14:textId="4AC4C660" w:rsidR="00F7554A" w:rsidRPr="002655F5" w:rsidRDefault="00F7554A" w:rsidP="00F7554A">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sidR="006750C6" w:rsidRPr="006750C6">
        <w:rPr>
          <w:rFonts w:ascii="Arial" w:eastAsia="Times New Roman" w:hAnsi="Arial" w:cs="Arial"/>
          <w:b/>
          <w:bCs/>
          <w:i/>
          <w:szCs w:val="24"/>
          <w:lang w:eastAsia="en-AU"/>
        </w:rPr>
        <w:t>2</w:t>
      </w:r>
      <w:r w:rsidRPr="002655F5">
        <w:rPr>
          <w:rFonts w:ascii="Arial" w:eastAsia="Times New Roman" w:hAnsi="Arial" w:cs="Arial"/>
          <w:b/>
          <w:bCs/>
          <w:i/>
          <w:szCs w:val="24"/>
          <w:lang w:eastAsia="en-AU"/>
        </w:rPr>
        <w:t>) 201</w:t>
      </w:r>
      <w:r w:rsidR="00246510" w:rsidRPr="002655F5">
        <w:rPr>
          <w:rFonts w:ascii="Arial" w:eastAsia="Times New Roman" w:hAnsi="Arial" w:cs="Arial"/>
          <w:b/>
          <w:bCs/>
          <w:i/>
          <w:szCs w:val="24"/>
          <w:lang w:eastAsia="en-AU"/>
        </w:rPr>
        <w:t>9</w:t>
      </w:r>
    </w:p>
    <w:p w14:paraId="6744BE1D" w14:textId="77777777" w:rsidR="00246510" w:rsidRPr="002655F5" w:rsidRDefault="00246510" w:rsidP="00F7554A">
      <w:pPr>
        <w:keepNext/>
        <w:keepLines/>
        <w:jc w:val="center"/>
        <w:outlineLvl w:val="0"/>
        <w:rPr>
          <w:rFonts w:ascii="Arial" w:eastAsia="Times New Roman" w:hAnsi="Arial" w:cs="Arial"/>
          <w:b/>
          <w:bCs/>
          <w:szCs w:val="24"/>
          <w:lang w:eastAsia="en-AU"/>
        </w:rPr>
      </w:pPr>
    </w:p>
    <w:p w14:paraId="2D562850" w14:textId="77777777" w:rsidR="0026652C" w:rsidRPr="007C51B9" w:rsidRDefault="0026652C" w:rsidP="00E87193">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D553DEE"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w:t>
      </w:r>
      <w:r w:rsidR="00E87193" w:rsidRPr="00E87193">
        <w:rPr>
          <w:rFonts w:eastAsia="Times New Roman"/>
          <w:b/>
          <w:bCs/>
          <w:szCs w:val="24"/>
          <w:lang w:eastAsia="en-AU"/>
        </w:rPr>
        <w:t xml:space="preserve"> 1</w:t>
      </w:r>
      <w:r>
        <w:rPr>
          <w:rFonts w:eastAsia="Times New Roman"/>
          <w:b/>
          <w:bCs/>
          <w:szCs w:val="24"/>
          <w:lang w:eastAsia="en-AU"/>
        </w:rPr>
        <w:t xml:space="preserve"> – Name</w:t>
      </w:r>
    </w:p>
    <w:p w14:paraId="6D3F9B5A" w14:textId="390FC997" w:rsidR="00E5450A" w:rsidRPr="00246510" w:rsidRDefault="0026652C" w:rsidP="00246510">
      <w:pPr>
        <w:keepNext/>
        <w:keepLines/>
        <w:spacing w:before="120" w:line="276" w:lineRule="auto"/>
        <w:outlineLvl w:val="2"/>
        <w:rPr>
          <w:rFonts w:eastAsia="Times New Roman"/>
          <w:bCs/>
          <w:i/>
          <w:szCs w:val="24"/>
          <w:lang w:eastAsia="en-AU"/>
        </w:rPr>
      </w:pPr>
      <w:r w:rsidRPr="0026652C">
        <w:rPr>
          <w:rFonts w:eastAsia="Times New Roman"/>
          <w:bCs/>
          <w:szCs w:val="24"/>
          <w:lang w:eastAsia="en-AU"/>
        </w:rPr>
        <w:t xml:space="preserve">This section provides that the name of the instrument is the </w:t>
      </w:r>
      <w:r w:rsidRPr="0026652C">
        <w:rPr>
          <w:rFonts w:eastAsia="Times New Roman"/>
          <w:bCs/>
          <w:i/>
          <w:szCs w:val="24"/>
          <w:lang w:eastAsia="en-AU"/>
        </w:rPr>
        <w:t xml:space="preserve">VET Student Loans Amendment Rules (No. </w:t>
      </w:r>
      <w:r w:rsidR="006750C6" w:rsidRPr="006750C6">
        <w:rPr>
          <w:rFonts w:eastAsia="Times New Roman"/>
          <w:bCs/>
          <w:i/>
          <w:szCs w:val="24"/>
          <w:lang w:eastAsia="en-AU"/>
        </w:rPr>
        <w:t>2</w:t>
      </w:r>
      <w:r w:rsidRPr="0026652C">
        <w:rPr>
          <w:rFonts w:eastAsia="Times New Roman"/>
          <w:bCs/>
          <w:i/>
          <w:szCs w:val="24"/>
          <w:lang w:eastAsia="en-AU"/>
        </w:rPr>
        <w:t>) 201</w:t>
      </w:r>
      <w:r w:rsidR="00246510">
        <w:rPr>
          <w:rFonts w:eastAsia="Times New Roman"/>
          <w:bCs/>
          <w:i/>
          <w:szCs w:val="24"/>
          <w:lang w:eastAsia="en-AU"/>
        </w:rPr>
        <w:t>9</w:t>
      </w:r>
      <w:r w:rsidR="00EF376A">
        <w:rPr>
          <w:rFonts w:eastAsia="Times New Roman"/>
          <w:bCs/>
          <w:i/>
          <w:szCs w:val="24"/>
          <w:lang w:eastAsia="en-AU"/>
        </w:rPr>
        <w:t xml:space="preserve"> </w:t>
      </w:r>
      <w:r w:rsidR="00EF376A">
        <w:rPr>
          <w:rFonts w:eastAsia="Times New Roman"/>
          <w:bCs/>
          <w:szCs w:val="24"/>
          <w:lang w:eastAsia="en-AU"/>
        </w:rPr>
        <w:t>(</w:t>
      </w:r>
      <w:r w:rsidR="00EF376A" w:rsidRPr="00EF376A">
        <w:rPr>
          <w:rFonts w:eastAsia="Times New Roman"/>
          <w:b/>
          <w:bCs/>
          <w:szCs w:val="24"/>
          <w:lang w:eastAsia="en-AU"/>
        </w:rPr>
        <w:t>Amendment Rules</w:t>
      </w:r>
      <w:r w:rsidR="00EF376A">
        <w:rPr>
          <w:rFonts w:eastAsia="Times New Roman"/>
          <w:bCs/>
          <w:szCs w:val="24"/>
          <w:lang w:eastAsia="en-AU"/>
        </w:rPr>
        <w:t>)</w:t>
      </w:r>
      <w:r w:rsidR="00B62E88">
        <w:rPr>
          <w:rFonts w:eastAsia="Times New Roman"/>
          <w:bCs/>
          <w:szCs w:val="24"/>
          <w:lang w:eastAsia="en-AU"/>
        </w:rPr>
        <w:t xml:space="preserve">. </w:t>
      </w:r>
    </w:p>
    <w:p w14:paraId="3C37B4E5"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40238FEE" w14:textId="72632801" w:rsidR="00A41DCA" w:rsidRDefault="0026652C" w:rsidP="008E47F9">
      <w:pPr>
        <w:keepNext/>
        <w:keepLines/>
        <w:spacing w:before="120" w:line="276" w:lineRule="auto"/>
        <w:outlineLvl w:val="2"/>
        <w:rPr>
          <w:rFonts w:eastAsia="Times New Roman"/>
          <w:bCs/>
          <w:szCs w:val="24"/>
          <w:lang w:eastAsia="en-AU"/>
        </w:rPr>
      </w:pPr>
      <w:r w:rsidRPr="0026652C">
        <w:rPr>
          <w:rFonts w:eastAsia="Times New Roman"/>
          <w:bCs/>
          <w:szCs w:val="24"/>
          <w:lang w:eastAsia="en-AU"/>
        </w:rPr>
        <w:t xml:space="preserve">The table in this section </w:t>
      </w:r>
      <w:r w:rsidR="00A41DCA">
        <w:rPr>
          <w:rFonts w:eastAsia="Times New Roman"/>
          <w:bCs/>
          <w:szCs w:val="24"/>
          <w:lang w:eastAsia="en-AU"/>
        </w:rPr>
        <w:t>sets out when the provisions of the instrument commence</w:t>
      </w:r>
      <w:r w:rsidR="00585606">
        <w:rPr>
          <w:rFonts w:eastAsia="Times New Roman"/>
          <w:bCs/>
          <w:szCs w:val="24"/>
          <w:lang w:eastAsia="en-AU"/>
        </w:rPr>
        <w:t>.</w:t>
      </w:r>
    </w:p>
    <w:p w14:paraId="2F557607" w14:textId="42294AC0" w:rsidR="0026652C" w:rsidRDefault="00BE7DC5" w:rsidP="008E47F9">
      <w:pPr>
        <w:keepNext/>
        <w:keepLines/>
        <w:spacing w:before="120" w:line="276" w:lineRule="auto"/>
        <w:outlineLvl w:val="2"/>
        <w:rPr>
          <w:rFonts w:eastAsia="Times New Roman"/>
          <w:bCs/>
          <w:szCs w:val="24"/>
          <w:lang w:eastAsia="en-AU"/>
        </w:rPr>
      </w:pPr>
      <w:r>
        <w:rPr>
          <w:rFonts w:eastAsia="Times New Roman"/>
          <w:bCs/>
          <w:szCs w:val="24"/>
          <w:lang w:eastAsia="en-AU"/>
        </w:rPr>
        <w:t>Sections</w:t>
      </w:r>
      <w:r w:rsidR="00A41DCA">
        <w:rPr>
          <w:rFonts w:eastAsia="Times New Roman"/>
          <w:bCs/>
          <w:szCs w:val="24"/>
          <w:lang w:eastAsia="en-AU"/>
        </w:rPr>
        <w:t xml:space="preserve"> 1 to 4 and anything in the instrument not covered </w:t>
      </w:r>
      <w:r w:rsidR="00585606">
        <w:rPr>
          <w:rFonts w:eastAsia="Times New Roman"/>
          <w:bCs/>
          <w:szCs w:val="24"/>
          <w:lang w:eastAsia="en-AU"/>
        </w:rPr>
        <w:t xml:space="preserve">elsewhere </w:t>
      </w:r>
      <w:r w:rsidR="00A41DCA">
        <w:rPr>
          <w:rFonts w:eastAsia="Times New Roman"/>
          <w:bCs/>
          <w:szCs w:val="24"/>
          <w:lang w:eastAsia="en-AU"/>
        </w:rPr>
        <w:t xml:space="preserve">by the table commence on the </w:t>
      </w:r>
      <w:r w:rsidR="0026652C">
        <w:rPr>
          <w:rFonts w:eastAsia="Times New Roman"/>
          <w:bCs/>
          <w:szCs w:val="24"/>
          <w:lang w:eastAsia="en-AU"/>
        </w:rPr>
        <w:t xml:space="preserve">day after the instrument is registered on the </w:t>
      </w:r>
      <w:r w:rsidR="001B466A">
        <w:rPr>
          <w:rFonts w:eastAsia="Times New Roman"/>
          <w:bCs/>
          <w:szCs w:val="24"/>
          <w:lang w:eastAsia="en-AU"/>
        </w:rPr>
        <w:t xml:space="preserve">Federal Register of Legislation </w:t>
      </w:r>
      <w:r w:rsidR="003C5186">
        <w:rPr>
          <w:rFonts w:eastAsia="Times New Roman"/>
          <w:bCs/>
          <w:szCs w:val="24"/>
          <w:lang w:eastAsia="en-AU"/>
        </w:rPr>
        <w:t>(</w:t>
      </w:r>
      <w:r w:rsidR="003C5186" w:rsidRPr="003C5186">
        <w:rPr>
          <w:rFonts w:eastAsia="Times New Roman"/>
          <w:b/>
          <w:bCs/>
          <w:szCs w:val="24"/>
          <w:lang w:eastAsia="en-AU"/>
        </w:rPr>
        <w:t>FRL</w:t>
      </w:r>
      <w:r w:rsidR="003C5186">
        <w:rPr>
          <w:rFonts w:eastAsia="Times New Roman"/>
          <w:bCs/>
          <w:szCs w:val="24"/>
          <w:lang w:eastAsia="en-AU"/>
        </w:rPr>
        <w:t>)</w:t>
      </w:r>
      <w:r w:rsidR="0026652C">
        <w:rPr>
          <w:rFonts w:eastAsia="Times New Roman"/>
          <w:bCs/>
          <w:szCs w:val="24"/>
          <w:lang w:eastAsia="en-AU"/>
        </w:rPr>
        <w:t>.</w:t>
      </w:r>
    </w:p>
    <w:p w14:paraId="7F8C6249" w14:textId="0589572F" w:rsidR="00E5450A" w:rsidRDefault="00BE7DC5" w:rsidP="00246510">
      <w:pPr>
        <w:keepNext/>
        <w:keepLines/>
        <w:spacing w:before="120" w:line="276" w:lineRule="auto"/>
        <w:outlineLvl w:val="2"/>
        <w:rPr>
          <w:rFonts w:eastAsia="Times New Roman"/>
          <w:bCs/>
          <w:szCs w:val="24"/>
          <w:lang w:eastAsia="en-AU"/>
        </w:rPr>
      </w:pPr>
      <w:r>
        <w:rPr>
          <w:rFonts w:eastAsia="Times New Roman"/>
          <w:bCs/>
          <w:szCs w:val="24"/>
          <w:lang w:eastAsia="en-AU"/>
        </w:rPr>
        <w:t>Schedule 1</w:t>
      </w:r>
      <w:r w:rsidR="001729E4">
        <w:rPr>
          <w:rFonts w:eastAsia="Times New Roman"/>
          <w:bCs/>
          <w:szCs w:val="24"/>
          <w:lang w:eastAsia="en-AU"/>
        </w:rPr>
        <w:t xml:space="preserve"> of </w:t>
      </w:r>
      <w:r w:rsidR="00560A31">
        <w:rPr>
          <w:rFonts w:eastAsia="Times New Roman"/>
          <w:bCs/>
          <w:szCs w:val="24"/>
          <w:lang w:eastAsia="en-AU"/>
        </w:rPr>
        <w:t xml:space="preserve"> Part 1</w:t>
      </w:r>
      <w:r w:rsidR="001729E4">
        <w:rPr>
          <w:rFonts w:eastAsia="Times New Roman"/>
          <w:bCs/>
          <w:szCs w:val="24"/>
          <w:lang w:eastAsia="en-AU"/>
        </w:rPr>
        <w:t>(</w:t>
      </w:r>
      <w:r w:rsidR="00560A31">
        <w:rPr>
          <w:rFonts w:eastAsia="Times New Roman"/>
          <w:bCs/>
          <w:szCs w:val="24"/>
          <w:lang w:eastAsia="en-AU"/>
        </w:rPr>
        <w:t>other than Division 1</w:t>
      </w:r>
      <w:r w:rsidR="001729E4">
        <w:rPr>
          <w:rFonts w:eastAsia="Times New Roman"/>
          <w:bCs/>
          <w:szCs w:val="24"/>
          <w:lang w:eastAsia="en-AU"/>
        </w:rPr>
        <w:t xml:space="preserve"> of Part 6 in item 7 to Schedule 1)</w:t>
      </w:r>
      <w:r w:rsidR="00560A31">
        <w:rPr>
          <w:rFonts w:eastAsia="Times New Roman"/>
          <w:bCs/>
          <w:szCs w:val="24"/>
          <w:lang w:eastAsia="en-AU"/>
        </w:rPr>
        <w:t xml:space="preserve"> and Schedule 1</w:t>
      </w:r>
      <w:r w:rsidR="001729E4">
        <w:rPr>
          <w:rFonts w:eastAsia="Times New Roman"/>
          <w:bCs/>
          <w:szCs w:val="24"/>
          <w:lang w:eastAsia="en-AU"/>
        </w:rPr>
        <w:t xml:space="preserve"> of</w:t>
      </w:r>
      <w:r w:rsidR="00560A31">
        <w:rPr>
          <w:rFonts w:eastAsia="Times New Roman"/>
          <w:bCs/>
          <w:szCs w:val="24"/>
          <w:lang w:eastAsia="en-AU"/>
        </w:rPr>
        <w:t xml:space="preserve"> Part 2</w:t>
      </w:r>
      <w:r w:rsidR="00407CAA">
        <w:rPr>
          <w:rFonts w:eastAsia="Times New Roman"/>
          <w:bCs/>
          <w:szCs w:val="24"/>
          <w:lang w:eastAsia="en-AU"/>
        </w:rPr>
        <w:t xml:space="preserve"> of the Instrument commences immediately after the commencement of the </w:t>
      </w:r>
      <w:r w:rsidR="00407CAA" w:rsidRPr="00407CAA">
        <w:rPr>
          <w:rFonts w:eastAsia="Times New Roman"/>
          <w:bCs/>
          <w:i/>
          <w:szCs w:val="24"/>
          <w:lang w:eastAsia="en-AU"/>
        </w:rPr>
        <w:t>Education Legislation Amendment (Tuition Protection and Other Measures) Act 2019</w:t>
      </w:r>
      <w:r w:rsidR="00E12F96">
        <w:rPr>
          <w:rFonts w:eastAsia="Times New Roman"/>
          <w:bCs/>
          <w:szCs w:val="24"/>
          <w:lang w:eastAsia="en-AU"/>
        </w:rPr>
        <w:t xml:space="preserve"> (</w:t>
      </w:r>
      <w:r w:rsidR="00E12F96" w:rsidRPr="00E12F96">
        <w:rPr>
          <w:rFonts w:eastAsia="Times New Roman"/>
          <w:b/>
          <w:bCs/>
          <w:szCs w:val="24"/>
          <w:lang w:eastAsia="en-AU"/>
        </w:rPr>
        <w:t>Tuition Protection Act</w:t>
      </w:r>
      <w:r w:rsidR="00E12F96">
        <w:rPr>
          <w:rFonts w:eastAsia="Times New Roman"/>
          <w:bCs/>
          <w:szCs w:val="24"/>
          <w:lang w:eastAsia="en-AU"/>
        </w:rPr>
        <w:t>)</w:t>
      </w:r>
      <w:r w:rsidR="004032C0">
        <w:rPr>
          <w:rFonts w:eastAsia="Times New Roman"/>
          <w:bCs/>
          <w:szCs w:val="24"/>
          <w:lang w:eastAsia="en-AU"/>
        </w:rPr>
        <w:t xml:space="preserve"> which commences on 1 January 2020</w:t>
      </w:r>
      <w:r w:rsidR="00407CAA">
        <w:rPr>
          <w:rFonts w:eastAsia="Times New Roman"/>
          <w:bCs/>
          <w:szCs w:val="24"/>
          <w:lang w:eastAsia="en-AU"/>
        </w:rPr>
        <w:t>.</w:t>
      </w:r>
    </w:p>
    <w:p w14:paraId="031A3D69" w14:textId="1EF84007" w:rsidR="00560A31" w:rsidRPr="00246510" w:rsidRDefault="001729E4" w:rsidP="00246510">
      <w:pPr>
        <w:keepNext/>
        <w:keepLines/>
        <w:spacing w:before="120" w:line="276" w:lineRule="auto"/>
        <w:outlineLvl w:val="2"/>
        <w:rPr>
          <w:rFonts w:eastAsia="Times New Roman"/>
          <w:bCs/>
          <w:szCs w:val="24"/>
          <w:lang w:eastAsia="en-AU"/>
        </w:rPr>
      </w:pPr>
      <w:r>
        <w:rPr>
          <w:rFonts w:eastAsia="Times New Roman"/>
          <w:bCs/>
          <w:szCs w:val="24"/>
          <w:lang w:eastAsia="en-AU"/>
        </w:rPr>
        <w:t xml:space="preserve">Division 1 of Part 6 in item 7 to </w:t>
      </w:r>
      <w:r w:rsidR="00560A31">
        <w:rPr>
          <w:rFonts w:eastAsia="Times New Roman"/>
          <w:bCs/>
          <w:szCs w:val="24"/>
          <w:lang w:eastAsia="en-AU"/>
        </w:rPr>
        <w:t xml:space="preserve">Schedule 1, commences </w:t>
      </w:r>
      <w:r w:rsidR="00940EB3">
        <w:rPr>
          <w:rFonts w:eastAsia="Times New Roman"/>
          <w:bCs/>
          <w:szCs w:val="24"/>
          <w:lang w:eastAsia="en-AU"/>
        </w:rPr>
        <w:t xml:space="preserve">immediately after the commencement of </w:t>
      </w:r>
      <w:r w:rsidR="00560A31">
        <w:rPr>
          <w:rFonts w:eastAsia="Times New Roman"/>
          <w:bCs/>
          <w:szCs w:val="24"/>
          <w:lang w:eastAsia="en-AU"/>
        </w:rPr>
        <w:t xml:space="preserve">the </w:t>
      </w:r>
      <w:r>
        <w:rPr>
          <w:rFonts w:eastAsia="Times New Roman"/>
          <w:bCs/>
          <w:szCs w:val="24"/>
          <w:lang w:eastAsia="en-AU"/>
        </w:rPr>
        <w:t xml:space="preserve">proposed </w:t>
      </w:r>
      <w:r w:rsidR="00560A31" w:rsidRPr="00560A31">
        <w:rPr>
          <w:rFonts w:eastAsia="Times New Roman"/>
          <w:bCs/>
          <w:i/>
          <w:szCs w:val="24"/>
          <w:lang w:eastAsia="en-AU"/>
        </w:rPr>
        <w:t xml:space="preserve">VET Student Loans (VSL Tuition Protection Levy) Act 2020 </w:t>
      </w:r>
      <w:r w:rsidR="00E633FA">
        <w:rPr>
          <w:rFonts w:eastAsia="Times New Roman"/>
          <w:bCs/>
          <w:szCs w:val="24"/>
          <w:lang w:eastAsia="en-AU"/>
        </w:rPr>
        <w:t>(the Levy Act)</w:t>
      </w:r>
      <w:r w:rsidR="00560A31">
        <w:rPr>
          <w:rFonts w:eastAsia="Times New Roman"/>
          <w:bCs/>
          <w:szCs w:val="24"/>
          <w:lang w:eastAsia="en-AU"/>
        </w:rPr>
        <w:t>.</w:t>
      </w:r>
    </w:p>
    <w:p w14:paraId="47A381E1"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167A54BD" w14:textId="370FAEC5" w:rsidR="00C87AF6" w:rsidRPr="00246510" w:rsidRDefault="0026652C" w:rsidP="00246510">
      <w:pPr>
        <w:keepNext/>
        <w:keepLines/>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sidR="00E5450A">
        <w:rPr>
          <w:rFonts w:eastAsia="Times New Roman"/>
          <w:bCs/>
          <w:szCs w:val="24"/>
          <w:lang w:eastAsia="en-AU"/>
        </w:rPr>
        <w:t xml:space="preserve"> </w:t>
      </w:r>
      <w:r w:rsidR="009F2D26" w:rsidRPr="009F2D26">
        <w:rPr>
          <w:rFonts w:eastAsia="Times New Roman"/>
          <w:bCs/>
          <w:i/>
          <w:szCs w:val="24"/>
          <w:lang w:eastAsia="en-AU"/>
        </w:rPr>
        <w:t xml:space="preserve">VET Student Loans </w:t>
      </w:r>
      <w:r w:rsidR="00E5450A" w:rsidRPr="009F2D26">
        <w:rPr>
          <w:rFonts w:eastAsia="Times New Roman"/>
          <w:bCs/>
          <w:i/>
          <w:szCs w:val="24"/>
          <w:lang w:eastAsia="en-AU"/>
        </w:rPr>
        <w:t>Act</w:t>
      </w:r>
      <w:r w:rsidR="009F2D26" w:rsidRPr="009F2D26">
        <w:rPr>
          <w:rFonts w:eastAsia="Times New Roman"/>
          <w:bCs/>
          <w:i/>
          <w:szCs w:val="24"/>
          <w:lang w:eastAsia="en-AU"/>
        </w:rPr>
        <w:t xml:space="preserve"> 2016 </w:t>
      </w:r>
      <w:r w:rsidR="009F2D26">
        <w:rPr>
          <w:rFonts w:eastAsia="Times New Roman"/>
          <w:bCs/>
          <w:szCs w:val="24"/>
          <w:lang w:eastAsia="en-AU"/>
        </w:rPr>
        <w:t>(</w:t>
      </w:r>
      <w:r w:rsidR="009F2D26" w:rsidRPr="009F2D26">
        <w:rPr>
          <w:rFonts w:eastAsia="Times New Roman"/>
          <w:b/>
          <w:bCs/>
          <w:szCs w:val="24"/>
          <w:lang w:eastAsia="en-AU"/>
        </w:rPr>
        <w:t>the Act</w:t>
      </w:r>
      <w:r w:rsidR="009F2D26">
        <w:rPr>
          <w:rFonts w:eastAsia="Times New Roman"/>
          <w:bCs/>
          <w:szCs w:val="24"/>
          <w:lang w:eastAsia="en-AU"/>
        </w:rPr>
        <w:t>)</w:t>
      </w:r>
      <w:r w:rsidR="00E5450A">
        <w:rPr>
          <w:rFonts w:eastAsia="Times New Roman"/>
          <w:bCs/>
          <w:szCs w:val="24"/>
          <w:lang w:eastAsia="en-AU"/>
        </w:rPr>
        <w:t>.</w:t>
      </w:r>
      <w:r w:rsidRPr="0026652C">
        <w:rPr>
          <w:rFonts w:eastAsia="Times New Roman"/>
          <w:bCs/>
          <w:szCs w:val="24"/>
          <w:lang w:eastAsia="en-AU"/>
        </w:rPr>
        <w:t xml:space="preserve"> </w:t>
      </w:r>
    </w:p>
    <w:p w14:paraId="31187BF5" w14:textId="582AFB39" w:rsidR="0026652C" w:rsidRPr="00246510" w:rsidRDefault="00AB7BE2" w:rsidP="00246510">
      <w:pPr>
        <w:keepNext/>
        <w:keepLines/>
        <w:spacing w:before="120"/>
        <w:outlineLvl w:val="2"/>
        <w:rPr>
          <w:rFonts w:eastAsia="Times New Roman"/>
          <w:b/>
          <w:bCs/>
          <w:szCs w:val="24"/>
          <w:lang w:eastAsia="en-AU"/>
        </w:rPr>
      </w:pPr>
      <w:r w:rsidRPr="00246510">
        <w:rPr>
          <w:rFonts w:eastAsia="Times New Roman"/>
          <w:b/>
          <w:bCs/>
          <w:szCs w:val="24"/>
          <w:lang w:eastAsia="en-AU"/>
        </w:rPr>
        <w:t xml:space="preserve">Section 4 </w:t>
      </w:r>
      <w:r w:rsidR="00246510" w:rsidRPr="00246510">
        <w:rPr>
          <w:rFonts w:eastAsia="Times New Roman"/>
          <w:b/>
          <w:bCs/>
          <w:szCs w:val="24"/>
          <w:lang w:eastAsia="en-AU"/>
        </w:rPr>
        <w:t>–</w:t>
      </w:r>
      <w:r w:rsidR="0026652C" w:rsidRPr="00246510">
        <w:rPr>
          <w:rFonts w:eastAsia="Times New Roman"/>
          <w:b/>
          <w:bCs/>
          <w:szCs w:val="24"/>
          <w:lang w:eastAsia="en-AU"/>
        </w:rPr>
        <w:t xml:space="preserve"> Schedule</w:t>
      </w:r>
    </w:p>
    <w:p w14:paraId="3B3A1748" w14:textId="687C5EF0" w:rsidR="00603B9B" w:rsidRPr="00246510" w:rsidRDefault="0026652C" w:rsidP="009702EE">
      <w:pPr>
        <w:spacing w:before="120" w:line="276" w:lineRule="auto"/>
        <w:outlineLvl w:val="2"/>
        <w:rPr>
          <w:rFonts w:eastAsia="Times New Roman"/>
          <w:bCs/>
          <w:szCs w:val="24"/>
          <w:lang w:eastAsia="en-AU"/>
        </w:rPr>
      </w:pPr>
      <w:r w:rsidRPr="00246510">
        <w:rPr>
          <w:rFonts w:eastAsia="Times New Roman"/>
          <w:bCs/>
          <w:szCs w:val="24"/>
          <w:lang w:eastAsia="en-AU"/>
        </w:rPr>
        <w:t xml:space="preserve">This section provides that the </w:t>
      </w:r>
      <w:r w:rsidR="001729E4">
        <w:rPr>
          <w:rFonts w:eastAsia="Times New Roman"/>
          <w:bCs/>
          <w:szCs w:val="24"/>
          <w:lang w:eastAsia="en-AU"/>
        </w:rPr>
        <w:t xml:space="preserve">VET Student Loans </w:t>
      </w:r>
      <w:r w:rsidR="00603B9B" w:rsidRPr="00246510">
        <w:rPr>
          <w:rFonts w:eastAsia="Times New Roman"/>
          <w:bCs/>
          <w:szCs w:val="24"/>
          <w:lang w:eastAsia="en-AU"/>
        </w:rPr>
        <w:t xml:space="preserve">Rules </w:t>
      </w:r>
      <w:r w:rsidR="001729E4">
        <w:rPr>
          <w:rFonts w:eastAsia="Times New Roman"/>
          <w:bCs/>
          <w:szCs w:val="24"/>
          <w:lang w:eastAsia="en-AU"/>
        </w:rPr>
        <w:t>(</w:t>
      </w:r>
      <w:r w:rsidR="001729E4">
        <w:rPr>
          <w:rFonts w:eastAsia="Times New Roman"/>
          <w:b/>
          <w:bCs/>
          <w:szCs w:val="24"/>
          <w:lang w:eastAsia="en-AU"/>
        </w:rPr>
        <w:t>the Rules</w:t>
      </w:r>
      <w:r w:rsidR="001729E4">
        <w:rPr>
          <w:rFonts w:eastAsia="Times New Roman"/>
          <w:bCs/>
          <w:szCs w:val="24"/>
          <w:lang w:eastAsia="en-AU"/>
        </w:rPr>
        <w:t xml:space="preserve">) </w:t>
      </w:r>
      <w:r w:rsidR="00603B9B" w:rsidRPr="00246510">
        <w:rPr>
          <w:rFonts w:eastAsia="Times New Roman"/>
          <w:bCs/>
          <w:szCs w:val="24"/>
          <w:lang w:eastAsia="en-AU"/>
        </w:rPr>
        <w:t xml:space="preserve">are amended as set out in the Schedule to </w:t>
      </w:r>
      <w:r w:rsidR="00483A63">
        <w:rPr>
          <w:rFonts w:eastAsia="Times New Roman"/>
          <w:bCs/>
          <w:szCs w:val="24"/>
          <w:lang w:eastAsia="en-AU"/>
        </w:rPr>
        <w:t>the</w:t>
      </w:r>
      <w:r w:rsidR="00483A63" w:rsidRPr="00246510">
        <w:rPr>
          <w:rFonts w:eastAsia="Times New Roman"/>
          <w:bCs/>
          <w:szCs w:val="24"/>
          <w:lang w:eastAsia="en-AU"/>
        </w:rPr>
        <w:t xml:space="preserve"> </w:t>
      </w:r>
      <w:r w:rsidR="00F7554A" w:rsidRPr="00246510">
        <w:rPr>
          <w:rFonts w:eastAsia="Times New Roman"/>
          <w:bCs/>
          <w:szCs w:val="24"/>
          <w:lang w:eastAsia="en-AU"/>
        </w:rPr>
        <w:t>instrument.</w:t>
      </w:r>
    </w:p>
    <w:p w14:paraId="3E9BE8F7" w14:textId="77777777" w:rsidR="008D2764" w:rsidRDefault="008D2764" w:rsidP="009702EE">
      <w:pPr>
        <w:rPr>
          <w:rFonts w:ascii="Arial" w:hAnsi="Arial" w:cs="Arial"/>
          <w:b/>
        </w:rPr>
      </w:pPr>
    </w:p>
    <w:p w14:paraId="1F7C0C48" w14:textId="0122F5DD" w:rsidR="00246510" w:rsidRDefault="00603B9B" w:rsidP="009702EE">
      <w:pPr>
        <w:rPr>
          <w:rFonts w:ascii="Arial" w:hAnsi="Arial" w:cs="Arial"/>
          <w:b/>
        </w:rPr>
      </w:pPr>
      <w:r w:rsidRPr="007C51B9">
        <w:rPr>
          <w:rFonts w:ascii="Arial" w:hAnsi="Arial" w:cs="Arial"/>
          <w:b/>
        </w:rPr>
        <w:t>Schedule 1—Amendments to the VET Student Loans Rules 2016</w:t>
      </w:r>
    </w:p>
    <w:p w14:paraId="353EBFBB" w14:textId="77777777" w:rsidR="002655F5" w:rsidRPr="00246510" w:rsidRDefault="002655F5" w:rsidP="009702EE">
      <w:pPr>
        <w:rPr>
          <w:rFonts w:ascii="Arial" w:hAnsi="Arial" w:cs="Arial"/>
          <w:b/>
        </w:rPr>
      </w:pPr>
    </w:p>
    <w:p w14:paraId="531000D5" w14:textId="3F0D8128" w:rsidR="00FB07DE" w:rsidRDefault="00FB07DE" w:rsidP="009702EE">
      <w:pPr>
        <w:spacing w:before="120"/>
        <w:outlineLvl w:val="2"/>
        <w:rPr>
          <w:rFonts w:eastAsia="Times New Roman"/>
          <w:b/>
          <w:bCs/>
          <w:szCs w:val="24"/>
          <w:lang w:eastAsia="en-AU"/>
        </w:rPr>
      </w:pPr>
      <w:r w:rsidRPr="00FB07DE">
        <w:rPr>
          <w:rFonts w:eastAsia="Times New Roman"/>
          <w:b/>
          <w:bCs/>
          <w:szCs w:val="24"/>
          <w:lang w:eastAsia="en-AU"/>
        </w:rPr>
        <w:t>Item 1 –</w:t>
      </w:r>
      <w:r w:rsidR="000E23EA">
        <w:rPr>
          <w:rFonts w:eastAsia="Times New Roman"/>
          <w:b/>
          <w:bCs/>
          <w:szCs w:val="24"/>
          <w:lang w:eastAsia="en-AU"/>
        </w:rPr>
        <w:t xml:space="preserve"> </w:t>
      </w:r>
      <w:r w:rsidR="00FF6ADC">
        <w:rPr>
          <w:rFonts w:eastAsia="Times New Roman"/>
          <w:b/>
          <w:bCs/>
          <w:szCs w:val="24"/>
          <w:lang w:eastAsia="en-AU"/>
        </w:rPr>
        <w:t>Section 4 (</w:t>
      </w:r>
      <w:r w:rsidR="000E23EA">
        <w:rPr>
          <w:rFonts w:eastAsia="Times New Roman"/>
          <w:b/>
          <w:bCs/>
          <w:szCs w:val="24"/>
          <w:lang w:eastAsia="en-AU"/>
        </w:rPr>
        <w:t>Definition</w:t>
      </w:r>
      <w:r w:rsidR="00746589">
        <w:rPr>
          <w:rFonts w:eastAsia="Times New Roman"/>
          <w:b/>
          <w:bCs/>
          <w:szCs w:val="24"/>
          <w:lang w:eastAsia="en-AU"/>
        </w:rPr>
        <w:t>s</w:t>
      </w:r>
      <w:r w:rsidR="00FF6ADC">
        <w:rPr>
          <w:rFonts w:eastAsia="Times New Roman"/>
          <w:b/>
          <w:bCs/>
          <w:szCs w:val="24"/>
          <w:lang w:eastAsia="en-AU"/>
        </w:rPr>
        <w:t>)</w:t>
      </w:r>
      <w:r w:rsidR="000E23EA">
        <w:rPr>
          <w:rFonts w:eastAsia="Times New Roman"/>
          <w:b/>
          <w:bCs/>
          <w:szCs w:val="24"/>
          <w:lang w:eastAsia="en-AU"/>
        </w:rPr>
        <w:t xml:space="preserve"> </w:t>
      </w:r>
    </w:p>
    <w:p w14:paraId="6282374F" w14:textId="0907EF03" w:rsidR="009C34AE" w:rsidRDefault="009C34AE" w:rsidP="009C34AE">
      <w:pPr>
        <w:keepNext/>
        <w:keepLines/>
        <w:spacing w:before="120"/>
        <w:outlineLvl w:val="2"/>
        <w:rPr>
          <w:rFonts w:eastAsia="Times New Roman"/>
          <w:b/>
          <w:bCs/>
          <w:szCs w:val="24"/>
          <w:lang w:eastAsia="en-AU"/>
        </w:rPr>
      </w:pPr>
      <w:r>
        <w:rPr>
          <w:rFonts w:eastAsia="Times New Roman"/>
          <w:b/>
          <w:bCs/>
          <w:szCs w:val="24"/>
          <w:lang w:eastAsia="en-AU"/>
        </w:rPr>
        <w:t>Item 2</w:t>
      </w:r>
      <w:r w:rsidR="00FF6ADC">
        <w:rPr>
          <w:rFonts w:eastAsia="Times New Roman"/>
          <w:b/>
          <w:bCs/>
          <w:szCs w:val="24"/>
          <w:lang w:eastAsia="en-AU"/>
        </w:rPr>
        <w:t xml:space="preserve"> </w:t>
      </w:r>
      <w:r>
        <w:rPr>
          <w:rFonts w:eastAsia="Times New Roman"/>
          <w:b/>
          <w:bCs/>
          <w:szCs w:val="24"/>
          <w:lang w:eastAsia="en-AU"/>
        </w:rPr>
        <w:t xml:space="preserve">– </w:t>
      </w:r>
      <w:r w:rsidR="00FF6ADC">
        <w:rPr>
          <w:rFonts w:eastAsia="Times New Roman"/>
          <w:b/>
          <w:bCs/>
          <w:szCs w:val="24"/>
          <w:lang w:eastAsia="en-AU"/>
        </w:rPr>
        <w:t>Section 4 (D</w:t>
      </w:r>
      <w:r>
        <w:rPr>
          <w:rFonts w:eastAsia="Times New Roman"/>
          <w:b/>
          <w:bCs/>
          <w:szCs w:val="24"/>
          <w:lang w:eastAsia="en-AU"/>
        </w:rPr>
        <w:t>efinition of key personnel</w:t>
      </w:r>
      <w:r w:rsidR="00FF6ADC">
        <w:rPr>
          <w:rFonts w:eastAsia="Times New Roman"/>
          <w:b/>
          <w:bCs/>
          <w:szCs w:val="24"/>
          <w:lang w:eastAsia="en-AU"/>
        </w:rPr>
        <w:t>)</w:t>
      </w:r>
    </w:p>
    <w:p w14:paraId="53B5949F" w14:textId="4744A221" w:rsidR="009C34AE" w:rsidRPr="000E23EA" w:rsidRDefault="009C34AE" w:rsidP="009C34AE">
      <w:pPr>
        <w:keepNext/>
        <w:keepLines/>
        <w:spacing w:before="120"/>
        <w:outlineLvl w:val="2"/>
        <w:rPr>
          <w:rFonts w:eastAsia="Times New Roman"/>
          <w:b/>
          <w:bCs/>
          <w:szCs w:val="24"/>
          <w:lang w:eastAsia="en-AU"/>
        </w:rPr>
      </w:pPr>
      <w:r w:rsidRPr="000E23EA">
        <w:rPr>
          <w:rFonts w:eastAsia="Times New Roman"/>
          <w:b/>
          <w:bCs/>
          <w:szCs w:val="24"/>
          <w:lang w:eastAsia="en-AU"/>
        </w:rPr>
        <w:t xml:space="preserve">Item 3 – </w:t>
      </w:r>
      <w:r w:rsidR="00FF6ADC">
        <w:rPr>
          <w:rFonts w:eastAsia="Times New Roman"/>
          <w:b/>
          <w:bCs/>
          <w:szCs w:val="24"/>
          <w:lang w:eastAsia="en-AU"/>
        </w:rPr>
        <w:t xml:space="preserve">Section 4 (Definition </w:t>
      </w:r>
      <w:r w:rsidRPr="000E23EA">
        <w:rPr>
          <w:rFonts w:eastAsia="Times New Roman"/>
          <w:b/>
          <w:bCs/>
          <w:szCs w:val="24"/>
          <w:lang w:eastAsia="en-AU"/>
        </w:rPr>
        <w:t>of National Register</w:t>
      </w:r>
      <w:r w:rsidR="00FF6ADC">
        <w:rPr>
          <w:rFonts w:eastAsia="Times New Roman"/>
          <w:b/>
          <w:bCs/>
          <w:szCs w:val="24"/>
          <w:lang w:eastAsia="en-AU"/>
        </w:rPr>
        <w:t>)</w:t>
      </w:r>
    </w:p>
    <w:p w14:paraId="7D33D9A2" w14:textId="1F8EC26E" w:rsidR="009C34AE" w:rsidRDefault="009C34AE" w:rsidP="009C34AE">
      <w:pPr>
        <w:keepNext/>
        <w:keepLines/>
        <w:spacing w:before="120"/>
        <w:outlineLvl w:val="2"/>
        <w:rPr>
          <w:rFonts w:eastAsia="Times New Roman"/>
          <w:b/>
          <w:bCs/>
          <w:szCs w:val="24"/>
          <w:lang w:eastAsia="en-AU"/>
        </w:rPr>
      </w:pPr>
      <w:r>
        <w:rPr>
          <w:rFonts w:eastAsia="Times New Roman"/>
          <w:b/>
          <w:bCs/>
          <w:szCs w:val="24"/>
          <w:lang w:eastAsia="en-AU"/>
        </w:rPr>
        <w:t xml:space="preserve">Item 4 – </w:t>
      </w:r>
      <w:r w:rsidR="00FF6ADC">
        <w:rPr>
          <w:rFonts w:eastAsia="Times New Roman"/>
          <w:b/>
          <w:bCs/>
          <w:szCs w:val="24"/>
          <w:lang w:eastAsia="en-AU"/>
        </w:rPr>
        <w:t>Section 4 (</w:t>
      </w:r>
      <w:r>
        <w:rPr>
          <w:rFonts w:eastAsia="Times New Roman"/>
          <w:b/>
          <w:bCs/>
          <w:szCs w:val="24"/>
          <w:lang w:eastAsia="en-AU"/>
        </w:rPr>
        <w:t>Definitions</w:t>
      </w:r>
      <w:r w:rsidR="00FF6ADC">
        <w:rPr>
          <w:rFonts w:eastAsia="Times New Roman"/>
          <w:b/>
          <w:bCs/>
          <w:szCs w:val="24"/>
          <w:lang w:eastAsia="en-AU"/>
        </w:rPr>
        <w:t>)</w:t>
      </w:r>
      <w:r>
        <w:rPr>
          <w:rFonts w:eastAsia="Times New Roman"/>
          <w:b/>
          <w:bCs/>
          <w:szCs w:val="24"/>
          <w:lang w:eastAsia="en-AU"/>
        </w:rPr>
        <w:t xml:space="preserve"> </w:t>
      </w:r>
    </w:p>
    <w:p w14:paraId="45ACDAD8" w14:textId="042B4F13" w:rsidR="009C34AE" w:rsidRDefault="009C34AE" w:rsidP="009C34AE">
      <w:pPr>
        <w:spacing w:before="120" w:line="276" w:lineRule="auto"/>
        <w:outlineLvl w:val="2"/>
        <w:rPr>
          <w:rFonts w:eastAsia="Times New Roman"/>
          <w:b/>
          <w:bCs/>
          <w:szCs w:val="24"/>
          <w:lang w:eastAsia="en-AU"/>
        </w:rPr>
      </w:pPr>
      <w:r w:rsidRPr="00746589">
        <w:rPr>
          <w:rFonts w:eastAsia="Times New Roman"/>
          <w:b/>
          <w:bCs/>
          <w:szCs w:val="24"/>
          <w:lang w:eastAsia="en-AU"/>
        </w:rPr>
        <w:t xml:space="preserve">Item 5 – </w:t>
      </w:r>
      <w:r w:rsidR="00FF6ADC">
        <w:rPr>
          <w:rFonts w:eastAsia="Times New Roman"/>
          <w:b/>
          <w:bCs/>
          <w:szCs w:val="24"/>
          <w:lang w:eastAsia="en-AU"/>
        </w:rPr>
        <w:t>Section 4 (</w:t>
      </w:r>
      <w:r w:rsidRPr="00746589">
        <w:rPr>
          <w:rFonts w:eastAsia="Times New Roman"/>
          <w:b/>
          <w:bCs/>
          <w:szCs w:val="24"/>
          <w:lang w:eastAsia="en-AU"/>
        </w:rPr>
        <w:t>Definition of replacement provider</w:t>
      </w:r>
      <w:r w:rsidR="00FF6ADC">
        <w:rPr>
          <w:rFonts w:eastAsia="Times New Roman"/>
          <w:b/>
          <w:bCs/>
          <w:szCs w:val="24"/>
          <w:lang w:eastAsia="en-AU"/>
        </w:rPr>
        <w:t>)</w:t>
      </w:r>
    </w:p>
    <w:p w14:paraId="5D774A00" w14:textId="3192EABC" w:rsidR="009C34AE" w:rsidRDefault="009C34AE" w:rsidP="009C34AE">
      <w:pPr>
        <w:spacing w:before="120" w:line="276" w:lineRule="auto"/>
        <w:outlineLvl w:val="2"/>
        <w:rPr>
          <w:rFonts w:eastAsia="Times New Roman"/>
          <w:b/>
          <w:bCs/>
          <w:szCs w:val="24"/>
          <w:lang w:eastAsia="en-AU"/>
        </w:rPr>
      </w:pPr>
      <w:r>
        <w:rPr>
          <w:rFonts w:eastAsia="Times New Roman"/>
          <w:b/>
          <w:bCs/>
          <w:szCs w:val="24"/>
          <w:lang w:eastAsia="en-AU"/>
        </w:rPr>
        <w:t xml:space="preserve">Item 6 – </w:t>
      </w:r>
      <w:r w:rsidR="00FF6ADC">
        <w:rPr>
          <w:rFonts w:eastAsia="Times New Roman"/>
          <w:b/>
          <w:bCs/>
          <w:szCs w:val="24"/>
          <w:lang w:eastAsia="en-AU"/>
        </w:rPr>
        <w:t>Section 4 (</w:t>
      </w:r>
      <w:r>
        <w:rPr>
          <w:rFonts w:eastAsia="Times New Roman"/>
          <w:b/>
          <w:bCs/>
          <w:szCs w:val="24"/>
          <w:lang w:eastAsia="en-AU"/>
        </w:rPr>
        <w:t>Definition of replacement tuition offer</w:t>
      </w:r>
      <w:r w:rsidR="00FF6ADC">
        <w:rPr>
          <w:rFonts w:eastAsia="Times New Roman"/>
          <w:b/>
          <w:bCs/>
          <w:szCs w:val="24"/>
          <w:lang w:eastAsia="en-AU"/>
        </w:rPr>
        <w:t>)</w:t>
      </w:r>
    </w:p>
    <w:p w14:paraId="2F9B4317" w14:textId="4F36F6BD" w:rsidR="00FF6ADC" w:rsidRDefault="00FB07DE" w:rsidP="009702EE">
      <w:pPr>
        <w:spacing w:before="120" w:line="276" w:lineRule="auto"/>
        <w:outlineLvl w:val="2"/>
        <w:rPr>
          <w:rFonts w:eastAsia="Times New Roman"/>
          <w:bCs/>
          <w:szCs w:val="24"/>
          <w:lang w:eastAsia="en-AU"/>
        </w:rPr>
      </w:pPr>
      <w:r w:rsidRPr="00FB07DE">
        <w:rPr>
          <w:rFonts w:eastAsia="Times New Roman"/>
          <w:bCs/>
          <w:szCs w:val="24"/>
          <w:lang w:eastAsia="en-AU"/>
        </w:rPr>
        <w:lastRenderedPageBreak/>
        <w:t>Se</w:t>
      </w:r>
      <w:r w:rsidR="00A33CD2">
        <w:rPr>
          <w:rFonts w:eastAsia="Times New Roman"/>
          <w:bCs/>
          <w:szCs w:val="24"/>
          <w:lang w:eastAsia="en-AU"/>
        </w:rPr>
        <w:t>ction 4</w:t>
      </w:r>
      <w:r w:rsidR="009702EE">
        <w:rPr>
          <w:rFonts w:eastAsia="Times New Roman"/>
          <w:bCs/>
          <w:szCs w:val="24"/>
          <w:lang w:eastAsia="en-AU"/>
        </w:rPr>
        <w:t xml:space="preserve"> of the Rules </w:t>
      </w:r>
      <w:r w:rsidR="00A33CD2">
        <w:rPr>
          <w:rFonts w:eastAsia="Times New Roman"/>
          <w:bCs/>
          <w:szCs w:val="24"/>
          <w:lang w:eastAsia="en-AU"/>
        </w:rPr>
        <w:t xml:space="preserve">sets out the meaning of a number of terms defined for the purposes of the Rules. </w:t>
      </w:r>
      <w:r w:rsidR="00FF6ADC">
        <w:rPr>
          <w:rFonts w:eastAsia="Times New Roman"/>
          <w:bCs/>
          <w:szCs w:val="24"/>
          <w:lang w:eastAsia="en-AU"/>
        </w:rPr>
        <w:t>Items 1</w:t>
      </w:r>
      <w:r w:rsidR="004032C0">
        <w:rPr>
          <w:rFonts w:eastAsia="Times New Roman"/>
          <w:bCs/>
          <w:szCs w:val="24"/>
          <w:lang w:eastAsia="en-AU"/>
        </w:rPr>
        <w:t>-</w:t>
      </w:r>
      <w:r w:rsidR="00FF6ADC">
        <w:rPr>
          <w:rFonts w:eastAsia="Times New Roman"/>
          <w:bCs/>
          <w:szCs w:val="24"/>
          <w:lang w:eastAsia="en-AU"/>
        </w:rPr>
        <w:t xml:space="preserve">6 repeal and amend a number of existing definitions and insert several new definitions. </w:t>
      </w:r>
    </w:p>
    <w:p w14:paraId="12567B21" w14:textId="77777777" w:rsidR="007614CC" w:rsidRDefault="00FF6ADC" w:rsidP="009702EE">
      <w:pPr>
        <w:spacing w:before="120" w:line="276" w:lineRule="auto"/>
        <w:outlineLvl w:val="2"/>
        <w:rPr>
          <w:rFonts w:eastAsia="Times New Roman"/>
          <w:bCs/>
          <w:szCs w:val="24"/>
          <w:lang w:eastAsia="en-AU"/>
        </w:rPr>
      </w:pPr>
      <w:r>
        <w:rPr>
          <w:rFonts w:eastAsia="Times New Roman"/>
          <w:bCs/>
          <w:szCs w:val="24"/>
          <w:lang w:eastAsia="en-AU"/>
        </w:rPr>
        <w:t>Item 1 repeals t</w:t>
      </w:r>
      <w:r w:rsidR="00A33CD2">
        <w:rPr>
          <w:rFonts w:eastAsia="Times New Roman"/>
          <w:bCs/>
          <w:szCs w:val="24"/>
          <w:lang w:eastAsia="en-AU"/>
        </w:rPr>
        <w:t xml:space="preserve">he definitions </w:t>
      </w:r>
      <w:r>
        <w:rPr>
          <w:rFonts w:eastAsia="Times New Roman"/>
          <w:bCs/>
          <w:szCs w:val="24"/>
          <w:lang w:eastAsia="en-AU"/>
        </w:rPr>
        <w:t>of ‘assurance exempt provider’</w:t>
      </w:r>
      <w:r w:rsidR="000E23EA">
        <w:rPr>
          <w:rFonts w:eastAsia="Times New Roman"/>
          <w:bCs/>
          <w:szCs w:val="24"/>
          <w:lang w:eastAsia="en-AU"/>
        </w:rPr>
        <w:t xml:space="preserve"> and</w:t>
      </w:r>
      <w:r w:rsidR="00A33CD2">
        <w:rPr>
          <w:rFonts w:eastAsia="Times New Roman"/>
          <w:bCs/>
          <w:szCs w:val="24"/>
          <w:lang w:eastAsia="en-AU"/>
        </w:rPr>
        <w:t xml:space="preserve"> </w:t>
      </w:r>
      <w:r>
        <w:rPr>
          <w:rFonts w:eastAsia="Times New Roman"/>
          <w:bCs/>
          <w:szCs w:val="24"/>
          <w:lang w:eastAsia="en-AU"/>
        </w:rPr>
        <w:t>‘</w:t>
      </w:r>
      <w:r w:rsidR="00A33CD2">
        <w:rPr>
          <w:rFonts w:eastAsia="Times New Roman"/>
          <w:bCs/>
          <w:szCs w:val="24"/>
          <w:lang w:eastAsia="en-AU"/>
        </w:rPr>
        <w:t>covered student</w:t>
      </w:r>
      <w:r>
        <w:rPr>
          <w:rFonts w:eastAsia="Times New Roman"/>
          <w:bCs/>
          <w:szCs w:val="24"/>
          <w:lang w:eastAsia="en-AU"/>
        </w:rPr>
        <w:t xml:space="preserve">’, item 4 repeals the definitions </w:t>
      </w:r>
      <w:r w:rsidR="007614CC">
        <w:rPr>
          <w:rFonts w:eastAsia="Times New Roman"/>
          <w:bCs/>
          <w:szCs w:val="24"/>
          <w:lang w:eastAsia="en-AU"/>
        </w:rPr>
        <w:t>of ‘quarter’ and item 6 repeals the definition of ‘replacement tuition offer’. The definitions of each of these terms have been repealed because as a result of other changes made by the Amendment Rules, these terms are no longer included in the Rules.</w:t>
      </w:r>
    </w:p>
    <w:p w14:paraId="35923218" w14:textId="34BD0800" w:rsidR="009702EE" w:rsidRDefault="007614CC" w:rsidP="009702EE">
      <w:pPr>
        <w:spacing w:before="120" w:line="276" w:lineRule="auto"/>
        <w:outlineLvl w:val="2"/>
        <w:rPr>
          <w:rFonts w:eastAsia="Times New Roman"/>
          <w:bCs/>
          <w:szCs w:val="24"/>
          <w:lang w:eastAsia="en-AU"/>
        </w:rPr>
      </w:pPr>
      <w:r>
        <w:rPr>
          <w:rFonts w:eastAsia="Times New Roman"/>
          <w:bCs/>
          <w:szCs w:val="24"/>
          <w:lang w:eastAsia="en-AU"/>
        </w:rPr>
        <w:t>Item 1 also repeals the definition of ‘affected part’</w:t>
      </w:r>
      <w:r w:rsidR="009960FA">
        <w:rPr>
          <w:rFonts w:eastAsia="Times New Roman"/>
          <w:bCs/>
          <w:szCs w:val="24"/>
          <w:lang w:eastAsia="en-AU"/>
        </w:rPr>
        <w:t xml:space="preserve"> and item 4 repeals</w:t>
      </w:r>
      <w:r>
        <w:rPr>
          <w:rFonts w:eastAsia="Times New Roman"/>
          <w:bCs/>
          <w:szCs w:val="24"/>
          <w:lang w:eastAsia="en-AU"/>
        </w:rPr>
        <w:t xml:space="preserve"> the definitions of ‘original course’, ‘replacement component’ and ‘replacement course’. The definitions of each of these terms have been repealed because they are now defined in the Act and in </w:t>
      </w:r>
      <w:r w:rsidR="000E23EA">
        <w:rPr>
          <w:rFonts w:eastAsia="Times New Roman"/>
          <w:bCs/>
          <w:szCs w:val="24"/>
          <w:lang w:eastAsia="en-AU"/>
        </w:rPr>
        <w:t xml:space="preserve">accordance with paragraph 13(1)(b) of the </w:t>
      </w:r>
      <w:r w:rsidR="000E23EA" w:rsidRPr="00A33CD2">
        <w:rPr>
          <w:rFonts w:eastAsia="Times New Roman"/>
          <w:bCs/>
          <w:i/>
          <w:szCs w:val="24"/>
          <w:lang w:eastAsia="en-AU"/>
        </w:rPr>
        <w:t>Legislation Act 2003</w:t>
      </w:r>
      <w:r w:rsidR="000E23EA">
        <w:rPr>
          <w:rFonts w:eastAsia="Times New Roman"/>
          <w:bCs/>
          <w:szCs w:val="24"/>
          <w:lang w:eastAsia="en-AU"/>
        </w:rPr>
        <w:t xml:space="preserve">, </w:t>
      </w:r>
      <w:r>
        <w:rPr>
          <w:rFonts w:eastAsia="Times New Roman"/>
          <w:bCs/>
          <w:szCs w:val="24"/>
          <w:lang w:eastAsia="en-AU"/>
        </w:rPr>
        <w:t xml:space="preserve">they have </w:t>
      </w:r>
      <w:r w:rsidR="000E23EA">
        <w:rPr>
          <w:rFonts w:eastAsia="Times New Roman"/>
          <w:bCs/>
          <w:szCs w:val="24"/>
          <w:lang w:eastAsia="en-AU"/>
        </w:rPr>
        <w:t xml:space="preserve">the same meaning in the Rules as in the Act. </w:t>
      </w:r>
    </w:p>
    <w:p w14:paraId="5DC79A4F" w14:textId="3B653DF3" w:rsidR="00397308" w:rsidRDefault="007614CC" w:rsidP="00A33CD2">
      <w:pPr>
        <w:spacing w:before="120" w:line="276" w:lineRule="auto"/>
        <w:outlineLvl w:val="2"/>
        <w:rPr>
          <w:rFonts w:eastAsia="Times New Roman"/>
          <w:bCs/>
          <w:szCs w:val="24"/>
          <w:lang w:eastAsia="en-AU"/>
        </w:rPr>
      </w:pPr>
      <w:r>
        <w:rPr>
          <w:rFonts w:eastAsia="Times New Roman"/>
          <w:bCs/>
          <w:szCs w:val="24"/>
          <w:lang w:eastAsia="en-AU"/>
        </w:rPr>
        <w:t>Item 2 repeals and substitutes the definition of ‘key personnel</w:t>
      </w:r>
      <w:r w:rsidR="00442F49">
        <w:rPr>
          <w:rFonts w:eastAsia="Times New Roman"/>
          <w:bCs/>
          <w:szCs w:val="24"/>
          <w:lang w:eastAsia="en-AU"/>
        </w:rPr>
        <w:t>’</w:t>
      </w:r>
      <w:r>
        <w:rPr>
          <w:rFonts w:eastAsia="Times New Roman"/>
          <w:bCs/>
          <w:szCs w:val="24"/>
          <w:lang w:eastAsia="en-AU"/>
        </w:rPr>
        <w:t xml:space="preserve"> and item 5 repeals and substitutes the definition of ‘replacement provider’</w:t>
      </w:r>
      <w:r w:rsidR="001729E4">
        <w:rPr>
          <w:rFonts w:eastAsia="Times New Roman"/>
          <w:bCs/>
          <w:szCs w:val="24"/>
          <w:lang w:eastAsia="en-AU"/>
        </w:rPr>
        <w:t>.</w:t>
      </w:r>
      <w:r>
        <w:rPr>
          <w:rFonts w:eastAsia="Times New Roman"/>
          <w:bCs/>
          <w:szCs w:val="24"/>
          <w:lang w:eastAsia="en-AU"/>
        </w:rPr>
        <w:t xml:space="preserve"> </w:t>
      </w:r>
      <w:r w:rsidR="00A33CD2">
        <w:rPr>
          <w:rFonts w:eastAsia="Times New Roman"/>
          <w:bCs/>
          <w:szCs w:val="24"/>
          <w:lang w:eastAsia="en-AU"/>
        </w:rPr>
        <w:t>The</w:t>
      </w:r>
      <w:r w:rsidR="009960FA">
        <w:rPr>
          <w:rFonts w:eastAsia="Times New Roman"/>
          <w:bCs/>
          <w:szCs w:val="24"/>
          <w:lang w:eastAsia="en-AU"/>
        </w:rPr>
        <w:t xml:space="preserve"> definitions of these terms have</w:t>
      </w:r>
      <w:r w:rsidR="00A33CD2">
        <w:rPr>
          <w:rFonts w:eastAsia="Times New Roman"/>
          <w:bCs/>
          <w:szCs w:val="24"/>
          <w:lang w:eastAsia="en-AU"/>
        </w:rPr>
        <w:t xml:space="preserve"> been </w:t>
      </w:r>
      <w:r w:rsidR="009960FA">
        <w:rPr>
          <w:rFonts w:eastAsia="Times New Roman"/>
          <w:bCs/>
          <w:szCs w:val="24"/>
          <w:lang w:eastAsia="en-AU"/>
        </w:rPr>
        <w:t xml:space="preserve">repealed and substituted to remove reference </w:t>
      </w:r>
      <w:r w:rsidR="00A33CD2">
        <w:rPr>
          <w:rFonts w:eastAsia="Times New Roman"/>
          <w:bCs/>
          <w:szCs w:val="24"/>
          <w:lang w:eastAsia="en-AU"/>
        </w:rPr>
        <w:t>to the previous tuition protection arrangements.</w:t>
      </w:r>
    </w:p>
    <w:p w14:paraId="6BB9426A" w14:textId="55C6D4BE" w:rsidR="000E23EA" w:rsidRPr="00397308" w:rsidRDefault="009960FA" w:rsidP="00A33CD2">
      <w:pPr>
        <w:spacing w:before="120" w:line="276" w:lineRule="auto"/>
        <w:outlineLvl w:val="2"/>
        <w:rPr>
          <w:rFonts w:eastAsia="Times New Roman"/>
          <w:bCs/>
          <w:szCs w:val="24"/>
          <w:lang w:eastAsia="en-AU"/>
        </w:rPr>
      </w:pPr>
      <w:r>
        <w:rPr>
          <w:rFonts w:eastAsia="Times New Roman"/>
          <w:bCs/>
          <w:szCs w:val="24"/>
          <w:lang w:eastAsia="en-AU"/>
        </w:rPr>
        <w:t>Item 3 inserts a new definition of</w:t>
      </w:r>
      <w:r w:rsidR="009C34AE">
        <w:rPr>
          <w:rFonts w:eastAsia="Times New Roman"/>
          <w:bCs/>
          <w:szCs w:val="24"/>
          <w:lang w:eastAsia="en-AU"/>
        </w:rPr>
        <w:t xml:space="preserve"> </w:t>
      </w:r>
      <w:r>
        <w:rPr>
          <w:rFonts w:eastAsia="Times New Roman"/>
          <w:bCs/>
          <w:szCs w:val="24"/>
          <w:lang w:eastAsia="en-AU"/>
        </w:rPr>
        <w:t>‘</w:t>
      </w:r>
      <w:r w:rsidR="000E23EA">
        <w:rPr>
          <w:rFonts w:eastAsia="Times New Roman"/>
          <w:bCs/>
          <w:szCs w:val="24"/>
          <w:lang w:eastAsia="en-AU"/>
        </w:rPr>
        <w:t>National Register</w:t>
      </w:r>
      <w:r w:rsidR="007B29CF">
        <w:rPr>
          <w:rFonts w:eastAsia="Times New Roman"/>
          <w:bCs/>
          <w:szCs w:val="24"/>
          <w:lang w:eastAsia="en-AU"/>
        </w:rPr>
        <w:t>’</w:t>
      </w:r>
      <w:r>
        <w:rPr>
          <w:rFonts w:eastAsia="Times New Roman"/>
          <w:bCs/>
          <w:szCs w:val="24"/>
          <w:lang w:eastAsia="en-AU"/>
        </w:rPr>
        <w:t>, which</w:t>
      </w:r>
      <w:r w:rsidR="000E23EA">
        <w:rPr>
          <w:rFonts w:eastAsia="Times New Roman"/>
          <w:bCs/>
          <w:szCs w:val="24"/>
          <w:lang w:eastAsia="en-AU"/>
        </w:rPr>
        <w:t xml:space="preserve"> </w:t>
      </w:r>
      <w:r w:rsidR="00746589">
        <w:rPr>
          <w:rFonts w:eastAsia="Times New Roman"/>
          <w:bCs/>
          <w:szCs w:val="24"/>
          <w:lang w:eastAsia="en-AU"/>
        </w:rPr>
        <w:t xml:space="preserve">is </w:t>
      </w:r>
      <w:r w:rsidR="000E23EA">
        <w:rPr>
          <w:rFonts w:eastAsia="Times New Roman"/>
          <w:bCs/>
          <w:szCs w:val="24"/>
          <w:lang w:eastAsia="en-AU"/>
        </w:rPr>
        <w:t xml:space="preserve">defined </w:t>
      </w:r>
      <w:r w:rsidR="00746589">
        <w:rPr>
          <w:rFonts w:eastAsia="Times New Roman"/>
          <w:bCs/>
          <w:szCs w:val="24"/>
          <w:lang w:eastAsia="en-AU"/>
        </w:rPr>
        <w:t xml:space="preserve">to have the same </w:t>
      </w:r>
      <w:r w:rsidR="000E23EA">
        <w:rPr>
          <w:rFonts w:eastAsia="Times New Roman"/>
          <w:bCs/>
          <w:szCs w:val="24"/>
          <w:lang w:eastAsia="en-AU"/>
        </w:rPr>
        <w:t xml:space="preserve">meaning </w:t>
      </w:r>
      <w:r w:rsidR="00821424">
        <w:rPr>
          <w:rFonts w:eastAsia="Times New Roman"/>
          <w:bCs/>
          <w:szCs w:val="24"/>
          <w:lang w:eastAsia="en-AU"/>
        </w:rPr>
        <w:t xml:space="preserve">as </w:t>
      </w:r>
      <w:r w:rsidR="000E23EA">
        <w:rPr>
          <w:rFonts w:eastAsia="Times New Roman"/>
          <w:bCs/>
          <w:szCs w:val="24"/>
          <w:lang w:eastAsia="en-AU"/>
        </w:rPr>
        <w:t>in the</w:t>
      </w:r>
      <w:r w:rsidR="000E23EA" w:rsidRPr="00746589">
        <w:rPr>
          <w:rFonts w:eastAsia="Times New Roman"/>
          <w:bCs/>
          <w:i/>
          <w:szCs w:val="24"/>
          <w:lang w:eastAsia="en-AU"/>
        </w:rPr>
        <w:t xml:space="preserve"> National Vocational Education and Training Regulator Act 2011</w:t>
      </w:r>
      <w:r w:rsidR="000E23EA">
        <w:rPr>
          <w:rFonts w:eastAsia="Times New Roman"/>
          <w:bCs/>
          <w:szCs w:val="24"/>
          <w:lang w:eastAsia="en-AU"/>
        </w:rPr>
        <w:t>.</w:t>
      </w:r>
    </w:p>
    <w:p w14:paraId="43AB2075" w14:textId="77777777" w:rsidR="009960FA" w:rsidRPr="00821424" w:rsidRDefault="009960FA" w:rsidP="00746589">
      <w:pPr>
        <w:spacing w:before="120" w:line="276" w:lineRule="auto"/>
        <w:outlineLvl w:val="2"/>
        <w:rPr>
          <w:rFonts w:eastAsia="Times New Roman"/>
          <w:bCs/>
          <w:szCs w:val="24"/>
          <w:lang w:eastAsia="en-AU"/>
        </w:rPr>
      </w:pPr>
    </w:p>
    <w:p w14:paraId="617ABBB6" w14:textId="214B7F5E" w:rsidR="00821424" w:rsidRPr="00821424" w:rsidRDefault="00821424" w:rsidP="00821424">
      <w:pPr>
        <w:spacing w:before="120" w:line="276" w:lineRule="auto"/>
        <w:outlineLvl w:val="2"/>
        <w:rPr>
          <w:rFonts w:eastAsia="Times New Roman"/>
          <w:b/>
          <w:bCs/>
          <w:szCs w:val="24"/>
          <w:lang w:eastAsia="en-AU"/>
        </w:rPr>
      </w:pPr>
      <w:r w:rsidRPr="00821424">
        <w:rPr>
          <w:rFonts w:eastAsia="Times New Roman"/>
          <w:b/>
          <w:bCs/>
          <w:szCs w:val="24"/>
          <w:lang w:eastAsia="en-AU"/>
        </w:rPr>
        <w:t>Item 7 – Part 6 of the Rules</w:t>
      </w:r>
    </w:p>
    <w:p w14:paraId="031E9111" w14:textId="4E33DCB3" w:rsidR="005E0C19" w:rsidRDefault="00821424" w:rsidP="00821424">
      <w:pPr>
        <w:spacing w:before="120" w:line="276" w:lineRule="auto"/>
        <w:outlineLvl w:val="2"/>
        <w:rPr>
          <w:rFonts w:eastAsia="Times New Roman"/>
          <w:bCs/>
          <w:szCs w:val="24"/>
          <w:lang w:eastAsia="en-AU"/>
        </w:rPr>
      </w:pPr>
      <w:r>
        <w:rPr>
          <w:rFonts w:eastAsia="Times New Roman"/>
          <w:bCs/>
          <w:szCs w:val="24"/>
          <w:lang w:eastAsia="en-AU"/>
        </w:rPr>
        <w:t xml:space="preserve">Item 7 repeals </w:t>
      </w:r>
      <w:r w:rsidR="00A33CD2">
        <w:rPr>
          <w:rFonts w:eastAsia="Times New Roman"/>
          <w:bCs/>
          <w:szCs w:val="24"/>
          <w:lang w:eastAsia="en-AU"/>
        </w:rPr>
        <w:t xml:space="preserve">Part 6 of the </w:t>
      </w:r>
      <w:r w:rsidR="00E12F96">
        <w:rPr>
          <w:rFonts w:eastAsia="Times New Roman"/>
          <w:bCs/>
          <w:szCs w:val="24"/>
          <w:lang w:eastAsia="en-AU"/>
        </w:rPr>
        <w:t xml:space="preserve">Rules </w:t>
      </w:r>
      <w:r w:rsidR="00DD2CB0">
        <w:rPr>
          <w:rFonts w:eastAsia="Times New Roman"/>
          <w:bCs/>
          <w:szCs w:val="24"/>
          <w:lang w:eastAsia="en-AU"/>
        </w:rPr>
        <w:t xml:space="preserve">which related to the now former tuition assurance arrangements </w:t>
      </w:r>
      <w:r>
        <w:rPr>
          <w:rFonts w:eastAsia="Times New Roman"/>
          <w:bCs/>
          <w:szCs w:val="24"/>
          <w:lang w:eastAsia="en-AU"/>
        </w:rPr>
        <w:t>and substitutes it</w:t>
      </w:r>
      <w:r w:rsidR="00E12F96">
        <w:rPr>
          <w:rFonts w:eastAsia="Times New Roman"/>
          <w:bCs/>
          <w:szCs w:val="24"/>
          <w:lang w:eastAsia="en-AU"/>
        </w:rPr>
        <w:t xml:space="preserve"> with new Rules</w:t>
      </w:r>
      <w:r>
        <w:rPr>
          <w:rFonts w:eastAsia="Times New Roman"/>
          <w:bCs/>
          <w:szCs w:val="24"/>
          <w:lang w:eastAsia="en-AU"/>
        </w:rPr>
        <w:t xml:space="preserve"> reflecting </w:t>
      </w:r>
      <w:r w:rsidR="004032C0">
        <w:rPr>
          <w:rFonts w:eastAsia="Times New Roman"/>
          <w:bCs/>
          <w:szCs w:val="24"/>
          <w:lang w:eastAsia="en-AU"/>
        </w:rPr>
        <w:t>the new arrangements relating to tuition protection for students</w:t>
      </w:r>
      <w:r w:rsidR="00D056BA">
        <w:rPr>
          <w:rFonts w:eastAsia="Times New Roman"/>
          <w:bCs/>
          <w:szCs w:val="24"/>
          <w:lang w:eastAsia="en-AU"/>
        </w:rPr>
        <w:t xml:space="preserve"> made by </w:t>
      </w:r>
      <w:r>
        <w:rPr>
          <w:rFonts w:eastAsia="Times New Roman"/>
          <w:bCs/>
          <w:szCs w:val="24"/>
          <w:lang w:eastAsia="en-AU"/>
        </w:rPr>
        <w:t>the Tuition Protection Act</w:t>
      </w:r>
      <w:r w:rsidR="001729E4">
        <w:rPr>
          <w:rFonts w:eastAsia="Times New Roman"/>
          <w:bCs/>
          <w:szCs w:val="24"/>
          <w:lang w:eastAsia="en-AU"/>
        </w:rPr>
        <w:t xml:space="preserve"> as from 1 January 2020</w:t>
      </w:r>
      <w:r w:rsidR="00A33CD2">
        <w:rPr>
          <w:rFonts w:eastAsia="Times New Roman"/>
          <w:bCs/>
          <w:szCs w:val="24"/>
          <w:lang w:eastAsia="en-AU"/>
        </w:rPr>
        <w:t xml:space="preserve">. </w:t>
      </w:r>
    </w:p>
    <w:p w14:paraId="2A591C5A" w14:textId="52E8B3B7" w:rsidR="0067252F" w:rsidRDefault="0067252F" w:rsidP="0067252F">
      <w:pPr>
        <w:spacing w:before="120" w:line="276" w:lineRule="auto"/>
        <w:outlineLvl w:val="2"/>
        <w:rPr>
          <w:rFonts w:eastAsia="Times New Roman"/>
          <w:lang w:eastAsia="en-AU"/>
        </w:rPr>
      </w:pPr>
      <w:r>
        <w:rPr>
          <w:rFonts w:eastAsia="Times New Roman"/>
          <w:bCs/>
          <w:szCs w:val="24"/>
          <w:lang w:eastAsia="en-AU"/>
        </w:rPr>
        <w:t xml:space="preserve">New Part 6 of the Rules </w:t>
      </w:r>
      <w:r w:rsidR="001729E4">
        <w:rPr>
          <w:rFonts w:eastAsia="Times New Roman"/>
          <w:bCs/>
          <w:szCs w:val="24"/>
          <w:lang w:eastAsia="en-AU"/>
        </w:rPr>
        <w:t xml:space="preserve">exempts certain kinds of providers from the new tuition protection arrangements and </w:t>
      </w:r>
      <w:r>
        <w:rPr>
          <w:rFonts w:eastAsia="Times New Roman"/>
          <w:lang w:eastAsia="en-AU"/>
        </w:rPr>
        <w:t>prescribes further details relating to the collection and recovery of the VSL tuition protection levy (</w:t>
      </w:r>
      <w:r w:rsidRPr="0067252F">
        <w:rPr>
          <w:rFonts w:eastAsia="Times New Roman"/>
          <w:b/>
          <w:lang w:eastAsia="en-AU"/>
        </w:rPr>
        <w:t>the Levy</w:t>
      </w:r>
      <w:r>
        <w:rPr>
          <w:rFonts w:eastAsia="Times New Roman"/>
          <w:lang w:eastAsia="en-AU"/>
        </w:rPr>
        <w:t>)</w:t>
      </w:r>
      <w:r w:rsidR="001729E4">
        <w:rPr>
          <w:rFonts w:eastAsia="Times New Roman"/>
          <w:lang w:eastAsia="en-AU"/>
        </w:rPr>
        <w:t>,</w:t>
      </w:r>
      <w:r>
        <w:rPr>
          <w:rFonts w:eastAsia="Times New Roman"/>
          <w:lang w:eastAsia="en-AU"/>
        </w:rPr>
        <w:t xml:space="preserve"> the information that a provider who defaults must give to students and the </w:t>
      </w:r>
      <w:r w:rsidR="00DD2CB0">
        <w:rPr>
          <w:rFonts w:eastAsia="Times New Roman"/>
          <w:lang w:eastAsia="en-AU"/>
        </w:rPr>
        <w:t>Director</w:t>
      </w:r>
      <w:r>
        <w:rPr>
          <w:rFonts w:eastAsia="Times New Roman"/>
          <w:lang w:eastAsia="en-AU"/>
        </w:rPr>
        <w:t>, and the circumstances in which the Director may make a payment to a replacement provider in relation to a student who accepts an offer in a replacement course.</w:t>
      </w:r>
    </w:p>
    <w:p w14:paraId="77DDAA25" w14:textId="77777777" w:rsidR="00A85B04" w:rsidRDefault="00A85B04" w:rsidP="0067252F">
      <w:pPr>
        <w:spacing w:before="120" w:line="276" w:lineRule="auto"/>
        <w:outlineLvl w:val="2"/>
        <w:rPr>
          <w:rFonts w:eastAsia="Times New Roman"/>
          <w:lang w:eastAsia="en-AU"/>
        </w:rPr>
      </w:pPr>
    </w:p>
    <w:p w14:paraId="1D62AB49" w14:textId="2F9EBDA2" w:rsidR="00A85B04" w:rsidRPr="00A85B04" w:rsidRDefault="00A85B04" w:rsidP="0067252F">
      <w:pPr>
        <w:spacing w:before="120" w:line="276" w:lineRule="auto"/>
        <w:outlineLvl w:val="2"/>
        <w:rPr>
          <w:rFonts w:eastAsia="Times New Roman"/>
          <w:u w:val="single"/>
          <w:lang w:eastAsia="en-AU"/>
        </w:rPr>
      </w:pPr>
      <w:r w:rsidRPr="00A85B04">
        <w:rPr>
          <w:rFonts w:eastAsia="Times New Roman"/>
          <w:u w:val="single"/>
          <w:lang w:eastAsia="en-AU"/>
        </w:rPr>
        <w:t>Division 1 – VSL tuition protection levy</w:t>
      </w:r>
    </w:p>
    <w:p w14:paraId="3F4AF812" w14:textId="44434F28" w:rsidR="00950A39" w:rsidRDefault="00E633FA" w:rsidP="0067252F">
      <w:pPr>
        <w:spacing w:before="120" w:line="276" w:lineRule="auto"/>
        <w:outlineLvl w:val="2"/>
        <w:rPr>
          <w:rFonts w:eastAsia="Times New Roman"/>
          <w:lang w:eastAsia="en-AU"/>
        </w:rPr>
      </w:pPr>
      <w:r>
        <w:rPr>
          <w:rFonts w:eastAsia="Times New Roman"/>
          <w:lang w:eastAsia="en-AU"/>
        </w:rPr>
        <w:t>Division 1</w:t>
      </w:r>
      <w:r w:rsidR="00973A78">
        <w:rPr>
          <w:rFonts w:eastAsia="Times New Roman"/>
          <w:lang w:eastAsia="en-AU"/>
        </w:rPr>
        <w:t xml:space="preserve"> of Part 6 </w:t>
      </w:r>
      <w:r>
        <w:rPr>
          <w:rFonts w:eastAsia="Times New Roman"/>
          <w:lang w:eastAsia="en-AU"/>
        </w:rPr>
        <w:t xml:space="preserve">commences </w:t>
      </w:r>
      <w:r w:rsidR="00940EB3">
        <w:rPr>
          <w:rFonts w:eastAsia="Times New Roman"/>
          <w:lang w:eastAsia="en-AU"/>
        </w:rPr>
        <w:t xml:space="preserve">immediately after </w:t>
      </w:r>
      <w:r>
        <w:rPr>
          <w:rFonts w:eastAsia="Times New Roman"/>
          <w:lang w:eastAsia="en-AU"/>
        </w:rPr>
        <w:t xml:space="preserve">the </w:t>
      </w:r>
      <w:r w:rsidR="00940EB3">
        <w:rPr>
          <w:rFonts w:eastAsia="Times New Roman"/>
          <w:lang w:eastAsia="en-AU"/>
        </w:rPr>
        <w:t xml:space="preserve">commencement of the </w:t>
      </w:r>
      <w:r w:rsidR="00973A78">
        <w:rPr>
          <w:rFonts w:eastAsia="Times New Roman"/>
          <w:lang w:eastAsia="en-AU"/>
        </w:rPr>
        <w:t xml:space="preserve">proposed </w:t>
      </w:r>
      <w:r>
        <w:rPr>
          <w:rFonts w:eastAsia="Times New Roman"/>
          <w:lang w:eastAsia="en-AU"/>
        </w:rPr>
        <w:t xml:space="preserve">Levy Act. </w:t>
      </w:r>
      <w:r w:rsidR="00950A39">
        <w:rPr>
          <w:rFonts w:eastAsia="Times New Roman"/>
          <w:lang w:eastAsia="en-AU"/>
        </w:rPr>
        <w:t>New section 40 provides that Division 1</w:t>
      </w:r>
      <w:r w:rsidR="00973A78">
        <w:rPr>
          <w:rFonts w:eastAsia="Times New Roman"/>
          <w:lang w:eastAsia="en-AU"/>
        </w:rPr>
        <w:t xml:space="preserve"> of</w:t>
      </w:r>
      <w:r w:rsidR="00950A39">
        <w:rPr>
          <w:rFonts w:eastAsia="Times New Roman"/>
          <w:lang w:eastAsia="en-AU"/>
        </w:rPr>
        <w:t xml:space="preserve"> Part 6 is made for the purposes of subsection 49A(2) of the Act.</w:t>
      </w:r>
      <w:r w:rsidR="00DD49A6">
        <w:rPr>
          <w:rFonts w:eastAsia="Times New Roman"/>
          <w:lang w:eastAsia="en-AU"/>
        </w:rPr>
        <w:t xml:space="preserve"> </w:t>
      </w:r>
      <w:r w:rsidR="00DD2CB0">
        <w:rPr>
          <w:rFonts w:eastAsia="Times New Roman"/>
          <w:lang w:eastAsia="en-AU"/>
        </w:rPr>
        <w:t xml:space="preserve">Subsection 49A(1) of the Act requires an approved course provider to whom Part 5A of the Act applies to pay the levy when it is due and payable. Subsection 49A(2) </w:t>
      </w:r>
      <w:r w:rsidR="00B73C69">
        <w:rPr>
          <w:rFonts w:eastAsia="Times New Roman"/>
          <w:lang w:eastAsia="en-AU"/>
        </w:rPr>
        <w:t>enables r</w:t>
      </w:r>
      <w:r w:rsidR="00DD49A6">
        <w:rPr>
          <w:rFonts w:eastAsia="Times New Roman"/>
          <w:lang w:eastAsia="en-AU"/>
        </w:rPr>
        <w:t>ules to be made in relation to a number of matters including the issue of notices setting out the amount of the Levy payable by a provider and when the Levy is due and payable.</w:t>
      </w:r>
    </w:p>
    <w:p w14:paraId="1049AE1F" w14:textId="7344B2A7" w:rsidR="0067252F" w:rsidRDefault="005E0C19" w:rsidP="0067252F">
      <w:pPr>
        <w:spacing w:before="120" w:line="276" w:lineRule="auto"/>
        <w:outlineLvl w:val="2"/>
        <w:rPr>
          <w:rFonts w:eastAsia="Times New Roman"/>
          <w:bCs/>
          <w:szCs w:val="24"/>
          <w:lang w:eastAsia="en-AU"/>
        </w:rPr>
      </w:pPr>
      <w:r>
        <w:rPr>
          <w:rFonts w:eastAsia="Times New Roman"/>
          <w:bCs/>
          <w:szCs w:val="24"/>
          <w:lang w:eastAsia="en-AU"/>
        </w:rPr>
        <w:t xml:space="preserve">New </w:t>
      </w:r>
      <w:r w:rsidR="00950A39">
        <w:rPr>
          <w:rFonts w:eastAsia="Times New Roman"/>
          <w:bCs/>
          <w:szCs w:val="24"/>
          <w:lang w:eastAsia="en-AU"/>
        </w:rPr>
        <w:t>sub</w:t>
      </w:r>
      <w:r>
        <w:rPr>
          <w:rFonts w:eastAsia="Times New Roman"/>
          <w:bCs/>
          <w:szCs w:val="24"/>
          <w:lang w:eastAsia="en-AU"/>
        </w:rPr>
        <w:t>section 41</w:t>
      </w:r>
      <w:r w:rsidR="00950A39">
        <w:rPr>
          <w:rFonts w:eastAsia="Times New Roman"/>
          <w:bCs/>
          <w:szCs w:val="24"/>
          <w:lang w:eastAsia="en-AU"/>
        </w:rPr>
        <w:t>(1)</w:t>
      </w:r>
      <w:r>
        <w:rPr>
          <w:rFonts w:eastAsia="Times New Roman"/>
          <w:bCs/>
          <w:szCs w:val="24"/>
          <w:lang w:eastAsia="en-AU"/>
        </w:rPr>
        <w:t xml:space="preserve"> of the </w:t>
      </w:r>
      <w:r w:rsidR="00973A78">
        <w:rPr>
          <w:rFonts w:eastAsia="Times New Roman"/>
          <w:bCs/>
          <w:szCs w:val="24"/>
          <w:lang w:eastAsia="en-AU"/>
        </w:rPr>
        <w:t xml:space="preserve">Amendment </w:t>
      </w:r>
      <w:r>
        <w:rPr>
          <w:rFonts w:eastAsia="Times New Roman"/>
          <w:bCs/>
          <w:szCs w:val="24"/>
          <w:lang w:eastAsia="en-AU"/>
        </w:rPr>
        <w:t xml:space="preserve">Rules requires the Director to give written notice to each provider who is liable to </w:t>
      </w:r>
      <w:r w:rsidR="0067252F">
        <w:rPr>
          <w:rFonts w:eastAsia="Times New Roman"/>
          <w:bCs/>
          <w:szCs w:val="24"/>
          <w:lang w:eastAsia="en-AU"/>
        </w:rPr>
        <w:t xml:space="preserve">pay </w:t>
      </w:r>
      <w:r w:rsidR="005B4F11">
        <w:rPr>
          <w:rFonts w:eastAsia="Times New Roman"/>
          <w:bCs/>
          <w:szCs w:val="24"/>
          <w:lang w:eastAsia="en-AU"/>
        </w:rPr>
        <w:t>the Levy</w:t>
      </w:r>
      <w:r>
        <w:rPr>
          <w:rFonts w:eastAsia="Times New Roman"/>
          <w:bCs/>
          <w:szCs w:val="24"/>
          <w:lang w:eastAsia="en-AU"/>
        </w:rPr>
        <w:t xml:space="preserve">. </w:t>
      </w:r>
      <w:r w:rsidR="001F4316">
        <w:rPr>
          <w:rFonts w:eastAsia="Times New Roman"/>
          <w:bCs/>
          <w:szCs w:val="24"/>
          <w:lang w:eastAsia="en-AU"/>
        </w:rPr>
        <w:t>The notice must state the a</w:t>
      </w:r>
      <w:r w:rsidR="005B4F11">
        <w:rPr>
          <w:rFonts w:eastAsia="Times New Roman"/>
          <w:bCs/>
          <w:szCs w:val="24"/>
          <w:lang w:eastAsia="en-AU"/>
        </w:rPr>
        <w:t>mount of each component of the L</w:t>
      </w:r>
      <w:r w:rsidR="001F4316">
        <w:rPr>
          <w:rFonts w:eastAsia="Times New Roman"/>
          <w:bCs/>
          <w:szCs w:val="24"/>
          <w:lang w:eastAsia="en-AU"/>
        </w:rPr>
        <w:t xml:space="preserve">evy, the total amount of the </w:t>
      </w:r>
      <w:r w:rsidR="005B4F11">
        <w:rPr>
          <w:rFonts w:eastAsia="Times New Roman"/>
          <w:bCs/>
          <w:szCs w:val="24"/>
          <w:lang w:eastAsia="en-AU"/>
        </w:rPr>
        <w:t>L</w:t>
      </w:r>
      <w:r w:rsidR="001F4316">
        <w:rPr>
          <w:rFonts w:eastAsia="Times New Roman"/>
          <w:bCs/>
          <w:szCs w:val="24"/>
          <w:lang w:eastAsia="en-AU"/>
        </w:rPr>
        <w:t xml:space="preserve">evy, an explanation of how each component </w:t>
      </w:r>
      <w:r w:rsidR="00DD2CB0">
        <w:rPr>
          <w:rFonts w:eastAsia="Times New Roman"/>
          <w:bCs/>
          <w:szCs w:val="24"/>
          <w:lang w:eastAsia="en-AU"/>
        </w:rPr>
        <w:t xml:space="preserve">of the provider’s levy </w:t>
      </w:r>
      <w:r w:rsidR="001F4316">
        <w:rPr>
          <w:rFonts w:eastAsia="Times New Roman"/>
          <w:bCs/>
          <w:szCs w:val="24"/>
          <w:lang w:eastAsia="en-AU"/>
        </w:rPr>
        <w:t xml:space="preserve">was calculated and the </w:t>
      </w:r>
      <w:r w:rsidR="0067252F">
        <w:rPr>
          <w:rFonts w:eastAsia="Times New Roman"/>
          <w:bCs/>
          <w:szCs w:val="24"/>
          <w:lang w:eastAsia="en-AU"/>
        </w:rPr>
        <w:lastRenderedPageBreak/>
        <w:t xml:space="preserve">business </w:t>
      </w:r>
      <w:r w:rsidR="001F4316">
        <w:rPr>
          <w:rFonts w:eastAsia="Times New Roman"/>
          <w:bCs/>
          <w:szCs w:val="24"/>
          <w:lang w:eastAsia="en-AU"/>
        </w:rPr>
        <w:t>day by w</w:t>
      </w:r>
      <w:r w:rsidR="005B4F11">
        <w:rPr>
          <w:rFonts w:eastAsia="Times New Roman"/>
          <w:bCs/>
          <w:szCs w:val="24"/>
          <w:lang w:eastAsia="en-AU"/>
        </w:rPr>
        <w:t>hich the provider must pay the L</w:t>
      </w:r>
      <w:r w:rsidR="001F4316">
        <w:rPr>
          <w:rFonts w:eastAsia="Times New Roman"/>
          <w:bCs/>
          <w:szCs w:val="24"/>
          <w:lang w:eastAsia="en-AU"/>
        </w:rPr>
        <w:t>evy</w:t>
      </w:r>
      <w:r w:rsidR="0067252F">
        <w:rPr>
          <w:rFonts w:eastAsia="Times New Roman"/>
          <w:bCs/>
          <w:szCs w:val="24"/>
          <w:lang w:eastAsia="en-AU"/>
        </w:rPr>
        <w:t>, which must be at least 14 days after the day the notice is given</w:t>
      </w:r>
      <w:r w:rsidR="001F4316">
        <w:rPr>
          <w:rFonts w:eastAsia="Times New Roman"/>
          <w:bCs/>
          <w:szCs w:val="24"/>
          <w:lang w:eastAsia="en-AU"/>
        </w:rPr>
        <w:t>.</w:t>
      </w:r>
      <w:r w:rsidR="00950A39">
        <w:rPr>
          <w:rFonts w:eastAsia="Times New Roman"/>
          <w:bCs/>
          <w:szCs w:val="24"/>
          <w:lang w:eastAsia="en-AU"/>
        </w:rPr>
        <w:t xml:space="preserve"> Subsection 41(3) provides that a failure to give a provider the notice under subsection 41(1) does not affect the liability of the provider to pay the Levy.</w:t>
      </w:r>
    </w:p>
    <w:p w14:paraId="4781AAFF" w14:textId="232565DA" w:rsidR="007B29CF" w:rsidRDefault="007B29CF" w:rsidP="0067252F">
      <w:pPr>
        <w:spacing w:before="120" w:line="276" w:lineRule="auto"/>
        <w:outlineLvl w:val="2"/>
        <w:rPr>
          <w:rFonts w:eastAsia="Times New Roman"/>
          <w:bCs/>
          <w:szCs w:val="24"/>
          <w:lang w:eastAsia="en-AU"/>
        </w:rPr>
      </w:pPr>
      <w:r>
        <w:rPr>
          <w:rFonts w:eastAsia="Times New Roman"/>
          <w:bCs/>
          <w:szCs w:val="24"/>
          <w:lang w:eastAsia="en-AU"/>
        </w:rPr>
        <w:t>A note underneath section 41 reminds the reader that a failure to pay the Levy when it is due and payable may result in compliance action being taken against the provider by the Secretary.</w:t>
      </w:r>
    </w:p>
    <w:p w14:paraId="6CE0F4E9" w14:textId="4864D7A1" w:rsidR="005D3245" w:rsidRDefault="0067252F" w:rsidP="0067252F">
      <w:pPr>
        <w:spacing w:before="120" w:line="276" w:lineRule="auto"/>
        <w:outlineLvl w:val="2"/>
        <w:rPr>
          <w:rFonts w:eastAsia="Times New Roman"/>
          <w:bCs/>
          <w:szCs w:val="24"/>
          <w:lang w:eastAsia="en-AU"/>
        </w:rPr>
      </w:pPr>
      <w:r>
        <w:rPr>
          <w:rFonts w:eastAsia="Times New Roman"/>
          <w:bCs/>
          <w:szCs w:val="24"/>
          <w:lang w:eastAsia="en-AU"/>
        </w:rPr>
        <w:t>New section 42 of the Rules permits the Director to give a written notice to a provider which specifies a later day on which the levy is due and payable.</w:t>
      </w:r>
      <w:r w:rsidR="007B29CF">
        <w:rPr>
          <w:rFonts w:eastAsia="Times New Roman"/>
          <w:bCs/>
          <w:szCs w:val="24"/>
          <w:lang w:eastAsia="en-AU"/>
        </w:rPr>
        <w:t xml:space="preserve"> This enable</w:t>
      </w:r>
      <w:r w:rsidR="005D3245">
        <w:rPr>
          <w:rFonts w:eastAsia="Times New Roman"/>
          <w:bCs/>
          <w:szCs w:val="24"/>
          <w:lang w:eastAsia="en-AU"/>
        </w:rPr>
        <w:t>s the Director to extend the time a provider has to pay the levy</w:t>
      </w:r>
      <w:r w:rsidR="007B29CF">
        <w:rPr>
          <w:rFonts w:eastAsia="Times New Roman"/>
          <w:bCs/>
          <w:szCs w:val="24"/>
          <w:lang w:eastAsia="en-AU"/>
        </w:rPr>
        <w:t xml:space="preserve"> according to the terms of the notice</w:t>
      </w:r>
      <w:r w:rsidR="005D3245">
        <w:rPr>
          <w:rFonts w:eastAsia="Times New Roman"/>
          <w:bCs/>
          <w:szCs w:val="24"/>
          <w:lang w:eastAsia="en-AU"/>
        </w:rPr>
        <w:t>. A note underneath section 42 makes clear that the Director can give a provider more than one extension notice.</w:t>
      </w:r>
    </w:p>
    <w:p w14:paraId="67B976E4" w14:textId="3323CEBE" w:rsidR="00950A39" w:rsidRDefault="00950A39" w:rsidP="0067252F">
      <w:pPr>
        <w:spacing w:before="120" w:line="276" w:lineRule="auto"/>
        <w:outlineLvl w:val="2"/>
        <w:rPr>
          <w:rFonts w:eastAsia="Times New Roman"/>
          <w:bCs/>
          <w:szCs w:val="24"/>
          <w:lang w:eastAsia="en-AU"/>
        </w:rPr>
      </w:pPr>
      <w:r>
        <w:rPr>
          <w:rFonts w:eastAsia="Times New Roman"/>
          <w:bCs/>
          <w:szCs w:val="24"/>
          <w:lang w:eastAsia="en-AU"/>
        </w:rPr>
        <w:t>New section 43 provides that the Director may recover an amount of the Levy that is due and payable by an approved course provider, on behalf of the Commonwealth, as a debt due to the Commonwealth.</w:t>
      </w:r>
    </w:p>
    <w:p w14:paraId="7FBF1A3F" w14:textId="77777777" w:rsidR="00A85B04" w:rsidRDefault="00A85B04" w:rsidP="0067252F">
      <w:pPr>
        <w:spacing w:before="120" w:line="276" w:lineRule="auto"/>
        <w:outlineLvl w:val="2"/>
        <w:rPr>
          <w:rFonts w:eastAsia="Times New Roman"/>
          <w:bCs/>
          <w:szCs w:val="24"/>
          <w:lang w:eastAsia="en-AU"/>
        </w:rPr>
      </w:pPr>
    </w:p>
    <w:p w14:paraId="4ADA4269" w14:textId="27974CC6" w:rsidR="00A85B04" w:rsidRDefault="00D41704" w:rsidP="0067252F">
      <w:pPr>
        <w:spacing w:before="120" w:line="276" w:lineRule="auto"/>
        <w:outlineLvl w:val="2"/>
        <w:rPr>
          <w:rFonts w:eastAsia="Times New Roman"/>
          <w:bCs/>
          <w:szCs w:val="24"/>
          <w:u w:val="single"/>
          <w:lang w:eastAsia="en-AU"/>
        </w:rPr>
      </w:pPr>
      <w:r>
        <w:rPr>
          <w:rFonts w:eastAsia="Times New Roman"/>
          <w:bCs/>
          <w:szCs w:val="24"/>
          <w:u w:val="single"/>
          <w:lang w:eastAsia="en-AU"/>
        </w:rPr>
        <w:t>Division 2 – Providers to whom Part 5A of the Act does not apply</w:t>
      </w:r>
    </w:p>
    <w:p w14:paraId="49B12D91" w14:textId="2568DBE7" w:rsidR="00D41704" w:rsidRDefault="00D41704" w:rsidP="0067252F">
      <w:pPr>
        <w:spacing w:before="120" w:line="276" w:lineRule="auto"/>
        <w:outlineLvl w:val="2"/>
        <w:rPr>
          <w:rFonts w:eastAsia="Times New Roman"/>
          <w:bCs/>
          <w:szCs w:val="24"/>
          <w:lang w:eastAsia="en-AU"/>
        </w:rPr>
      </w:pPr>
      <w:r>
        <w:rPr>
          <w:rFonts w:eastAsia="Times New Roman"/>
          <w:bCs/>
          <w:szCs w:val="24"/>
          <w:lang w:eastAsia="en-AU"/>
        </w:rPr>
        <w:t xml:space="preserve">New section 44 provides that Division 2 is made for the purposes of paragraph 66A(1)(b) of </w:t>
      </w:r>
      <w:r w:rsidR="00B73C69">
        <w:rPr>
          <w:rFonts w:eastAsia="Times New Roman"/>
          <w:bCs/>
          <w:szCs w:val="24"/>
          <w:lang w:eastAsia="en-AU"/>
        </w:rPr>
        <w:t>the Act. This provision allows r</w:t>
      </w:r>
      <w:r>
        <w:rPr>
          <w:rFonts w:eastAsia="Times New Roman"/>
          <w:bCs/>
          <w:szCs w:val="24"/>
          <w:lang w:eastAsia="en-AU"/>
        </w:rPr>
        <w:t xml:space="preserve">ules to be made that exempt providers </w:t>
      </w:r>
      <w:r w:rsidR="00B73C69">
        <w:rPr>
          <w:rFonts w:eastAsia="Times New Roman"/>
          <w:bCs/>
          <w:szCs w:val="24"/>
          <w:lang w:eastAsia="en-AU"/>
        </w:rPr>
        <w:t xml:space="preserve">of a kind prescribed by the rules </w:t>
      </w:r>
      <w:r>
        <w:rPr>
          <w:rFonts w:eastAsia="Times New Roman"/>
          <w:bCs/>
          <w:szCs w:val="24"/>
          <w:lang w:eastAsia="en-AU"/>
        </w:rPr>
        <w:t>from the application of Part 5A of the Act.</w:t>
      </w:r>
    </w:p>
    <w:p w14:paraId="36D2AE85" w14:textId="4AE047A2" w:rsidR="00D41704" w:rsidRDefault="00D41704" w:rsidP="0067252F">
      <w:pPr>
        <w:spacing w:before="120" w:line="276" w:lineRule="auto"/>
        <w:outlineLvl w:val="2"/>
        <w:rPr>
          <w:rFonts w:eastAsia="Times New Roman"/>
          <w:bCs/>
          <w:szCs w:val="24"/>
          <w:lang w:eastAsia="en-AU"/>
        </w:rPr>
      </w:pPr>
      <w:r>
        <w:rPr>
          <w:rFonts w:eastAsia="Times New Roman"/>
          <w:bCs/>
          <w:szCs w:val="24"/>
          <w:lang w:eastAsia="en-AU"/>
        </w:rPr>
        <w:t>New section 45 specifies the approved course providers to whom Part 5A of the Act does not apply. This is a registered training organisation that is:</w:t>
      </w:r>
    </w:p>
    <w:p w14:paraId="1929017F" w14:textId="7361A389" w:rsidR="00D41704" w:rsidRDefault="00D41704" w:rsidP="00D41704">
      <w:pPr>
        <w:pStyle w:val="ListParagraph"/>
        <w:numPr>
          <w:ilvl w:val="0"/>
          <w:numId w:val="48"/>
        </w:numPr>
        <w:spacing w:before="120" w:line="276" w:lineRule="auto"/>
        <w:outlineLvl w:val="2"/>
        <w:rPr>
          <w:rFonts w:eastAsia="Times New Roman"/>
          <w:bCs/>
          <w:szCs w:val="24"/>
          <w:lang w:eastAsia="en-AU"/>
        </w:rPr>
      </w:pPr>
      <w:r>
        <w:rPr>
          <w:rFonts w:eastAsia="Times New Roman"/>
          <w:bCs/>
          <w:szCs w:val="24"/>
          <w:lang w:eastAsia="en-AU"/>
        </w:rPr>
        <w:t>owned by the Commonwealth, a State or a Territory; or</w:t>
      </w:r>
    </w:p>
    <w:p w14:paraId="03CBBE3A" w14:textId="4523F0EF" w:rsidR="00D41704" w:rsidRDefault="00D41704" w:rsidP="00D41704">
      <w:pPr>
        <w:pStyle w:val="ListParagraph"/>
        <w:numPr>
          <w:ilvl w:val="0"/>
          <w:numId w:val="48"/>
        </w:numPr>
        <w:spacing w:before="120" w:line="276" w:lineRule="auto"/>
        <w:outlineLvl w:val="2"/>
        <w:rPr>
          <w:rFonts w:eastAsia="Times New Roman"/>
          <w:bCs/>
          <w:szCs w:val="24"/>
          <w:lang w:eastAsia="en-AU"/>
        </w:rPr>
      </w:pPr>
      <w:r>
        <w:rPr>
          <w:rFonts w:eastAsia="Times New Roman"/>
          <w:bCs/>
          <w:szCs w:val="24"/>
          <w:lang w:eastAsia="en-AU"/>
        </w:rPr>
        <w:t>established to provide vocational education or training under one of the following:</w:t>
      </w:r>
    </w:p>
    <w:p w14:paraId="0EDECEFA" w14:textId="77777777" w:rsidR="00D41704" w:rsidRDefault="00D41704" w:rsidP="00D41704">
      <w:pPr>
        <w:pStyle w:val="ListParagraph"/>
        <w:spacing w:before="120" w:line="276" w:lineRule="auto"/>
        <w:outlineLvl w:val="2"/>
        <w:rPr>
          <w:rFonts w:eastAsia="Times New Roman"/>
          <w:bCs/>
          <w:szCs w:val="24"/>
          <w:lang w:eastAsia="en-AU"/>
        </w:rPr>
      </w:pPr>
    </w:p>
    <w:p w14:paraId="0827A9C3" w14:textId="42004549" w:rsidR="00D41704" w:rsidRDefault="00D41704" w:rsidP="00D41704">
      <w:pPr>
        <w:pStyle w:val="ListParagraph"/>
        <w:numPr>
          <w:ilvl w:val="1"/>
          <w:numId w:val="49"/>
        </w:numPr>
        <w:spacing w:after="160" w:line="259" w:lineRule="auto"/>
      </w:pPr>
      <w:r>
        <w:t xml:space="preserve">the </w:t>
      </w:r>
      <w:r w:rsidRPr="00D41704">
        <w:rPr>
          <w:i/>
        </w:rPr>
        <w:t>Technical and Further Education Commission Act</w:t>
      </w:r>
      <w:r>
        <w:t xml:space="preserve"> </w:t>
      </w:r>
      <w:r w:rsidRPr="00D41704">
        <w:rPr>
          <w:i/>
        </w:rPr>
        <w:t>1990</w:t>
      </w:r>
      <w:r>
        <w:t xml:space="preserve"> (NSW);</w:t>
      </w:r>
    </w:p>
    <w:p w14:paraId="7DD7663C" w14:textId="77777777" w:rsidR="00D41704" w:rsidRDefault="00D41704" w:rsidP="00D41704">
      <w:pPr>
        <w:pStyle w:val="ListParagraph"/>
        <w:numPr>
          <w:ilvl w:val="1"/>
          <w:numId w:val="49"/>
        </w:numPr>
        <w:spacing w:after="160" w:line="259" w:lineRule="auto"/>
      </w:pPr>
      <w:r>
        <w:t xml:space="preserve">the </w:t>
      </w:r>
      <w:r w:rsidRPr="00A32769">
        <w:rPr>
          <w:i/>
        </w:rPr>
        <w:t>Education and Training Reform Act 2006</w:t>
      </w:r>
      <w:r>
        <w:t xml:space="preserve"> (Vic.); </w:t>
      </w:r>
    </w:p>
    <w:p w14:paraId="668DB93D" w14:textId="77777777" w:rsidR="00D41704" w:rsidRDefault="00D41704" w:rsidP="00D41704">
      <w:pPr>
        <w:pStyle w:val="ListParagraph"/>
        <w:numPr>
          <w:ilvl w:val="1"/>
          <w:numId w:val="49"/>
        </w:numPr>
        <w:spacing w:after="160" w:line="259" w:lineRule="auto"/>
      </w:pPr>
      <w:r>
        <w:t xml:space="preserve">the </w:t>
      </w:r>
      <w:r w:rsidRPr="00A32769">
        <w:rPr>
          <w:i/>
        </w:rPr>
        <w:t>TAFE Queensland Act 2013</w:t>
      </w:r>
      <w:r>
        <w:t xml:space="preserve"> (Qld);</w:t>
      </w:r>
    </w:p>
    <w:p w14:paraId="4F00D88D" w14:textId="77777777" w:rsidR="00D41704" w:rsidRDefault="00D41704" w:rsidP="00D41704">
      <w:pPr>
        <w:pStyle w:val="ListParagraph"/>
        <w:numPr>
          <w:ilvl w:val="1"/>
          <w:numId w:val="49"/>
        </w:numPr>
        <w:spacing w:after="160" w:line="259" w:lineRule="auto"/>
      </w:pPr>
      <w:r>
        <w:t xml:space="preserve">the </w:t>
      </w:r>
      <w:r w:rsidRPr="00A32769">
        <w:rPr>
          <w:i/>
        </w:rPr>
        <w:t>Vocational Education and Training Act 1996</w:t>
      </w:r>
      <w:r>
        <w:t xml:space="preserve"> (WA);</w:t>
      </w:r>
    </w:p>
    <w:p w14:paraId="3A9FB751" w14:textId="77777777" w:rsidR="00D41704" w:rsidRDefault="00D41704" w:rsidP="00D41704">
      <w:pPr>
        <w:pStyle w:val="ListParagraph"/>
        <w:numPr>
          <w:ilvl w:val="1"/>
          <w:numId w:val="49"/>
        </w:numPr>
        <w:spacing w:after="160" w:line="259" w:lineRule="auto"/>
      </w:pPr>
      <w:r>
        <w:t xml:space="preserve">the </w:t>
      </w:r>
      <w:r w:rsidRPr="00A32769">
        <w:rPr>
          <w:i/>
        </w:rPr>
        <w:t>TAFE SA Act 2012</w:t>
      </w:r>
      <w:r>
        <w:t xml:space="preserve"> (SA); </w:t>
      </w:r>
    </w:p>
    <w:p w14:paraId="41FAAF3A" w14:textId="77777777" w:rsidR="00D41704" w:rsidRDefault="00D41704" w:rsidP="00D41704">
      <w:pPr>
        <w:pStyle w:val="ListParagraph"/>
        <w:numPr>
          <w:ilvl w:val="1"/>
          <w:numId w:val="49"/>
        </w:numPr>
        <w:spacing w:after="160" w:line="259" w:lineRule="auto"/>
      </w:pPr>
      <w:r>
        <w:t xml:space="preserve">the </w:t>
      </w:r>
      <w:r w:rsidRPr="00A32769">
        <w:rPr>
          <w:i/>
        </w:rPr>
        <w:t>Training and Workforce Development Act 2013</w:t>
      </w:r>
      <w:r>
        <w:t xml:space="preserve"> (Tas.);</w:t>
      </w:r>
    </w:p>
    <w:p w14:paraId="687BF964" w14:textId="06B8D854" w:rsidR="00D41704" w:rsidRPr="00D41704" w:rsidRDefault="00D41704" w:rsidP="00D41704">
      <w:pPr>
        <w:pStyle w:val="ListParagraph"/>
        <w:numPr>
          <w:ilvl w:val="1"/>
          <w:numId w:val="49"/>
        </w:numPr>
        <w:spacing w:before="120" w:line="276" w:lineRule="auto"/>
        <w:outlineLvl w:val="2"/>
        <w:rPr>
          <w:rFonts w:eastAsia="Times New Roman"/>
          <w:bCs/>
          <w:szCs w:val="24"/>
          <w:lang w:eastAsia="en-AU"/>
        </w:rPr>
      </w:pPr>
      <w:r>
        <w:t>the</w:t>
      </w:r>
      <w:r w:rsidRPr="00A32769">
        <w:rPr>
          <w:i/>
        </w:rPr>
        <w:t xml:space="preserve"> Canberra Institute of Technology Act 1987 </w:t>
      </w:r>
      <w:r>
        <w:t>(ACT).</w:t>
      </w:r>
    </w:p>
    <w:p w14:paraId="5DE08A6A" w14:textId="0FE8DDA5" w:rsidR="00D41704" w:rsidRDefault="00D41704" w:rsidP="0067252F">
      <w:pPr>
        <w:spacing w:before="120" w:line="276" w:lineRule="auto"/>
        <w:outlineLvl w:val="2"/>
        <w:rPr>
          <w:rFonts w:eastAsia="Times New Roman"/>
          <w:bCs/>
          <w:szCs w:val="24"/>
          <w:lang w:eastAsia="en-AU"/>
        </w:rPr>
      </w:pPr>
      <w:r>
        <w:rPr>
          <w:rFonts w:eastAsia="Times New Roman"/>
          <w:bCs/>
          <w:szCs w:val="24"/>
          <w:lang w:eastAsia="en-AU"/>
        </w:rPr>
        <w:t xml:space="preserve">These approved course providers </w:t>
      </w:r>
      <w:r w:rsidR="00112533">
        <w:rPr>
          <w:rFonts w:eastAsia="Times New Roman"/>
          <w:bCs/>
          <w:szCs w:val="24"/>
          <w:lang w:eastAsia="en-AU"/>
        </w:rPr>
        <w:t xml:space="preserve">have been excluded from Part 5A of the Act under the Rules because as a class of providers, they are considered to be at very </w:t>
      </w:r>
      <w:r w:rsidR="002401BB">
        <w:rPr>
          <w:rFonts w:eastAsia="Times New Roman"/>
          <w:bCs/>
          <w:szCs w:val="24"/>
          <w:lang w:eastAsia="en-AU"/>
        </w:rPr>
        <w:t>low</w:t>
      </w:r>
      <w:r>
        <w:rPr>
          <w:rFonts w:eastAsia="Times New Roman"/>
          <w:bCs/>
          <w:szCs w:val="24"/>
          <w:lang w:eastAsia="en-AU"/>
        </w:rPr>
        <w:t xml:space="preserve"> risk of default</w:t>
      </w:r>
      <w:r w:rsidR="00112533">
        <w:rPr>
          <w:rFonts w:eastAsia="Times New Roman"/>
          <w:bCs/>
          <w:szCs w:val="24"/>
          <w:lang w:eastAsia="en-AU"/>
        </w:rPr>
        <w:t>, and in the event they do default, should have the capacity and capability to place students in suitable replacement courses without the assistance of the Director</w:t>
      </w:r>
      <w:r w:rsidR="002401BB">
        <w:rPr>
          <w:rFonts w:eastAsia="Times New Roman"/>
          <w:bCs/>
          <w:szCs w:val="24"/>
          <w:lang w:eastAsia="en-AU"/>
        </w:rPr>
        <w:t xml:space="preserve">. </w:t>
      </w:r>
    </w:p>
    <w:p w14:paraId="5781100F" w14:textId="49B33425" w:rsidR="002401BB" w:rsidRDefault="00112533" w:rsidP="0067252F">
      <w:pPr>
        <w:spacing w:before="120" w:line="276" w:lineRule="auto"/>
        <w:outlineLvl w:val="2"/>
        <w:rPr>
          <w:rFonts w:eastAsia="Times New Roman"/>
          <w:bCs/>
          <w:szCs w:val="24"/>
          <w:lang w:eastAsia="en-AU"/>
        </w:rPr>
      </w:pPr>
      <w:r>
        <w:rPr>
          <w:rFonts w:eastAsia="Times New Roman"/>
          <w:bCs/>
          <w:szCs w:val="24"/>
          <w:lang w:eastAsia="en-AU"/>
        </w:rPr>
        <w:t>Whilst this class of providers are now excluded from Part 5A of the Act, because of subsection 66A(2</w:t>
      </w:r>
      <w:r w:rsidR="002401BB">
        <w:rPr>
          <w:rFonts w:eastAsia="Times New Roman"/>
          <w:bCs/>
          <w:szCs w:val="24"/>
          <w:lang w:eastAsia="en-AU"/>
        </w:rPr>
        <w:t>)</w:t>
      </w:r>
      <w:r>
        <w:rPr>
          <w:rFonts w:eastAsia="Times New Roman"/>
          <w:bCs/>
          <w:szCs w:val="24"/>
          <w:lang w:eastAsia="en-AU"/>
        </w:rPr>
        <w:t xml:space="preserve"> of the Act, they are still required to comply with their obligations as replacement providers under</w:t>
      </w:r>
      <w:r w:rsidR="002401BB">
        <w:rPr>
          <w:rFonts w:eastAsia="Times New Roman"/>
          <w:bCs/>
          <w:szCs w:val="24"/>
          <w:lang w:eastAsia="en-AU"/>
        </w:rPr>
        <w:t xml:space="preserve"> sections 66F and 66G</w:t>
      </w:r>
      <w:r>
        <w:rPr>
          <w:rFonts w:eastAsia="Times New Roman"/>
          <w:bCs/>
          <w:szCs w:val="24"/>
          <w:lang w:eastAsia="en-AU"/>
        </w:rPr>
        <w:t>.</w:t>
      </w:r>
      <w:r w:rsidR="002401BB">
        <w:rPr>
          <w:rFonts w:eastAsia="Times New Roman"/>
          <w:bCs/>
          <w:szCs w:val="24"/>
          <w:lang w:eastAsia="en-AU"/>
        </w:rPr>
        <w:t xml:space="preserve"> Section 66F requires approved course providers to provide the Director with information about replacement courses and section 66G imposes certain obligations on providers who provide replacement courses.</w:t>
      </w:r>
    </w:p>
    <w:p w14:paraId="7AE43964" w14:textId="0B7B4E6D" w:rsidR="00973A78" w:rsidRPr="00D41704" w:rsidRDefault="00973A78" w:rsidP="0067252F">
      <w:pPr>
        <w:spacing w:before="120" w:line="276" w:lineRule="auto"/>
        <w:outlineLvl w:val="2"/>
        <w:rPr>
          <w:rFonts w:eastAsia="Times New Roman"/>
          <w:bCs/>
          <w:szCs w:val="24"/>
          <w:lang w:eastAsia="en-AU"/>
        </w:rPr>
      </w:pPr>
      <w:r>
        <w:rPr>
          <w:rFonts w:eastAsia="Times New Roman"/>
          <w:bCs/>
          <w:szCs w:val="24"/>
          <w:lang w:eastAsia="en-AU"/>
        </w:rPr>
        <w:lastRenderedPageBreak/>
        <w:t>A consequence of these providers being excluded from Part 5A of the Act is that they are no longer required to contribute to any component of the VSL tuition protection levy (per subsection 49A(1)</w:t>
      </w:r>
      <w:r w:rsidR="00747CC3">
        <w:rPr>
          <w:rFonts w:eastAsia="Times New Roman"/>
          <w:bCs/>
          <w:szCs w:val="24"/>
          <w:lang w:eastAsia="en-AU"/>
        </w:rPr>
        <w:t>)</w:t>
      </w:r>
      <w:r>
        <w:rPr>
          <w:rFonts w:eastAsia="Times New Roman"/>
          <w:bCs/>
          <w:szCs w:val="24"/>
          <w:lang w:eastAsia="en-AU"/>
        </w:rPr>
        <w:t>.</w:t>
      </w:r>
    </w:p>
    <w:p w14:paraId="53719632" w14:textId="77777777" w:rsidR="00D41704" w:rsidRDefault="00D41704" w:rsidP="0067252F">
      <w:pPr>
        <w:spacing w:before="120" w:line="276" w:lineRule="auto"/>
        <w:outlineLvl w:val="2"/>
        <w:rPr>
          <w:rFonts w:eastAsia="Times New Roman"/>
          <w:bCs/>
          <w:szCs w:val="24"/>
          <w:u w:val="single"/>
          <w:lang w:eastAsia="en-AU"/>
        </w:rPr>
      </w:pPr>
    </w:p>
    <w:p w14:paraId="2D2D5DDF" w14:textId="50C72CBC" w:rsidR="00D41704" w:rsidRPr="00A85B04" w:rsidRDefault="002401BB" w:rsidP="00D41704">
      <w:pPr>
        <w:spacing w:before="120" w:line="276" w:lineRule="auto"/>
        <w:outlineLvl w:val="2"/>
        <w:rPr>
          <w:rFonts w:eastAsia="Times New Roman"/>
          <w:bCs/>
          <w:szCs w:val="24"/>
          <w:u w:val="single"/>
          <w:lang w:eastAsia="en-AU"/>
        </w:rPr>
      </w:pPr>
      <w:r>
        <w:rPr>
          <w:rFonts w:eastAsia="Times New Roman"/>
          <w:bCs/>
          <w:szCs w:val="24"/>
          <w:u w:val="single"/>
          <w:lang w:eastAsia="en-AU"/>
        </w:rPr>
        <w:t>Division 3</w:t>
      </w:r>
      <w:r w:rsidR="00D41704" w:rsidRPr="00A85B04">
        <w:rPr>
          <w:rFonts w:eastAsia="Times New Roman"/>
          <w:bCs/>
          <w:szCs w:val="24"/>
          <w:u w:val="single"/>
          <w:lang w:eastAsia="en-AU"/>
        </w:rPr>
        <w:t xml:space="preserve"> – Notifying the Director of the details of a default</w:t>
      </w:r>
    </w:p>
    <w:p w14:paraId="4AD9BE2E" w14:textId="2B06C9DB" w:rsidR="00950A39"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section 46 provides that Division 3</w:t>
      </w:r>
      <w:r w:rsidR="00950A39">
        <w:rPr>
          <w:rFonts w:eastAsia="Times New Roman"/>
          <w:bCs/>
          <w:szCs w:val="24"/>
          <w:lang w:eastAsia="en-AU"/>
        </w:rPr>
        <w:t>, Part 6 is made for the purposes of paragraph 66C(3)(b) of the Act.</w:t>
      </w:r>
      <w:r w:rsidR="00DD49A6">
        <w:rPr>
          <w:rFonts w:eastAsia="Times New Roman"/>
          <w:bCs/>
          <w:szCs w:val="24"/>
          <w:lang w:eastAsia="en-AU"/>
        </w:rPr>
        <w:t xml:space="preserve"> This provision allows </w:t>
      </w:r>
      <w:r w:rsidR="007B29CF">
        <w:rPr>
          <w:rFonts w:eastAsia="Times New Roman"/>
          <w:bCs/>
          <w:szCs w:val="24"/>
          <w:lang w:eastAsia="en-AU"/>
        </w:rPr>
        <w:t xml:space="preserve">the </w:t>
      </w:r>
      <w:r w:rsidR="00112533">
        <w:rPr>
          <w:rFonts w:eastAsia="Times New Roman"/>
          <w:bCs/>
          <w:szCs w:val="24"/>
          <w:lang w:eastAsia="en-AU"/>
        </w:rPr>
        <w:t>r</w:t>
      </w:r>
      <w:r w:rsidR="00DD49A6">
        <w:rPr>
          <w:rFonts w:eastAsia="Times New Roman"/>
          <w:bCs/>
          <w:szCs w:val="24"/>
          <w:lang w:eastAsia="en-AU"/>
        </w:rPr>
        <w:t xml:space="preserve">ules to prescribe matters an approved course provider must specify in a written notice </w:t>
      </w:r>
      <w:r w:rsidR="007B29CF">
        <w:rPr>
          <w:rFonts w:eastAsia="Times New Roman"/>
          <w:bCs/>
          <w:szCs w:val="24"/>
          <w:lang w:eastAsia="en-AU"/>
        </w:rPr>
        <w:t xml:space="preserve">the provider is required to give </w:t>
      </w:r>
      <w:r w:rsidR="00DD49A6">
        <w:rPr>
          <w:rFonts w:eastAsia="Times New Roman"/>
          <w:bCs/>
          <w:szCs w:val="24"/>
          <w:lang w:eastAsia="en-AU"/>
        </w:rPr>
        <w:t>to the Director, within 3 business days of a default occurring.</w:t>
      </w:r>
    </w:p>
    <w:p w14:paraId="05D71E2C" w14:textId="228E822E" w:rsidR="009C34AE" w:rsidRDefault="005D12A8" w:rsidP="0067252F">
      <w:pPr>
        <w:spacing w:before="120" w:line="276" w:lineRule="auto"/>
        <w:outlineLvl w:val="2"/>
        <w:rPr>
          <w:rFonts w:eastAsia="Times New Roman"/>
          <w:bCs/>
          <w:szCs w:val="24"/>
          <w:lang w:eastAsia="en-AU"/>
        </w:rPr>
      </w:pPr>
      <w:r>
        <w:rPr>
          <w:rFonts w:eastAsia="Times New Roman"/>
          <w:bCs/>
          <w:szCs w:val="24"/>
          <w:lang w:eastAsia="en-AU"/>
        </w:rPr>
        <w:t xml:space="preserve">If a provider defaults in relation to a student, section 66E of the Act requires the Director to decide </w:t>
      </w:r>
      <w:r w:rsidR="00795BDD">
        <w:rPr>
          <w:rFonts w:eastAsia="Times New Roman"/>
          <w:bCs/>
          <w:szCs w:val="24"/>
          <w:lang w:eastAsia="en-AU"/>
        </w:rPr>
        <w:t>if there are one or more suitable replacement courses for a student. In order to assist the Director to make this decision, s</w:t>
      </w:r>
      <w:r w:rsidR="005D3245">
        <w:rPr>
          <w:rFonts w:eastAsia="Times New Roman"/>
          <w:bCs/>
          <w:szCs w:val="24"/>
          <w:lang w:eastAsia="en-AU"/>
        </w:rPr>
        <w:t>ubsection 66C(3) of the Act</w:t>
      </w:r>
      <w:r w:rsidR="00DD49A6">
        <w:rPr>
          <w:rFonts w:eastAsia="Times New Roman"/>
          <w:bCs/>
          <w:szCs w:val="24"/>
          <w:lang w:eastAsia="en-AU"/>
        </w:rPr>
        <w:t xml:space="preserve"> requires a defaulting provider to give a written notice to the Director specifying certain matters about each student in relation to which the provider has defaulted.</w:t>
      </w:r>
      <w:r w:rsidR="005D3245">
        <w:rPr>
          <w:rFonts w:eastAsia="Times New Roman"/>
          <w:bCs/>
          <w:szCs w:val="24"/>
          <w:lang w:eastAsia="en-AU"/>
        </w:rPr>
        <w:t xml:space="preserve"> New </w:t>
      </w:r>
      <w:r>
        <w:rPr>
          <w:rFonts w:eastAsia="Times New Roman"/>
          <w:bCs/>
          <w:szCs w:val="24"/>
          <w:lang w:eastAsia="en-AU"/>
        </w:rPr>
        <w:t>sub</w:t>
      </w:r>
      <w:r w:rsidR="002401BB">
        <w:rPr>
          <w:rFonts w:eastAsia="Times New Roman"/>
          <w:bCs/>
          <w:szCs w:val="24"/>
          <w:lang w:eastAsia="en-AU"/>
        </w:rPr>
        <w:t>section 47</w:t>
      </w:r>
      <w:r>
        <w:rPr>
          <w:rFonts w:eastAsia="Times New Roman"/>
          <w:bCs/>
          <w:szCs w:val="24"/>
          <w:lang w:eastAsia="en-AU"/>
        </w:rPr>
        <w:t>(1)</w:t>
      </w:r>
      <w:r w:rsidR="005D3245">
        <w:rPr>
          <w:rFonts w:eastAsia="Times New Roman"/>
          <w:bCs/>
          <w:szCs w:val="24"/>
          <w:lang w:eastAsia="en-AU"/>
        </w:rPr>
        <w:t xml:space="preserve"> of the Rules prescribes further matters that an approved course provider must give to the Director</w:t>
      </w:r>
      <w:r w:rsidR="00795BDD">
        <w:rPr>
          <w:rFonts w:eastAsia="Times New Roman"/>
          <w:bCs/>
          <w:szCs w:val="24"/>
          <w:lang w:eastAsia="en-AU"/>
        </w:rPr>
        <w:t xml:space="preserve"> in accordance with subsection 66C(3)</w:t>
      </w:r>
      <w:r w:rsidR="005D3245">
        <w:rPr>
          <w:rFonts w:eastAsia="Times New Roman"/>
          <w:bCs/>
          <w:szCs w:val="24"/>
          <w:lang w:eastAsia="en-AU"/>
        </w:rPr>
        <w:t>. These matters include</w:t>
      </w:r>
      <w:r w:rsidR="009C34AE">
        <w:rPr>
          <w:rFonts w:eastAsia="Times New Roman"/>
          <w:bCs/>
          <w:szCs w:val="24"/>
          <w:lang w:eastAsia="en-AU"/>
        </w:rPr>
        <w:t>:</w:t>
      </w:r>
    </w:p>
    <w:p w14:paraId="5C6B1065" w14:textId="77777777" w:rsidR="009C34AE" w:rsidRDefault="005D3245" w:rsidP="009C34AE">
      <w:pPr>
        <w:pStyle w:val="ListParagraph"/>
        <w:numPr>
          <w:ilvl w:val="0"/>
          <w:numId w:val="42"/>
        </w:numPr>
        <w:spacing w:before="120" w:line="276" w:lineRule="auto"/>
        <w:outlineLvl w:val="2"/>
        <w:rPr>
          <w:rFonts w:eastAsia="Times New Roman"/>
          <w:bCs/>
          <w:szCs w:val="24"/>
          <w:lang w:eastAsia="en-AU"/>
        </w:rPr>
      </w:pPr>
      <w:r w:rsidRPr="009C34AE">
        <w:rPr>
          <w:rFonts w:eastAsia="Times New Roman"/>
          <w:bCs/>
          <w:szCs w:val="24"/>
          <w:lang w:eastAsia="en-AU"/>
        </w:rPr>
        <w:t>whether the student was studying part-time or full-time</w:t>
      </w:r>
      <w:r w:rsidR="005D12A8" w:rsidRPr="009C34AE">
        <w:rPr>
          <w:rFonts w:eastAsia="Times New Roman"/>
          <w:bCs/>
          <w:szCs w:val="24"/>
          <w:lang w:eastAsia="en-AU"/>
        </w:rPr>
        <w:t xml:space="preserve">; </w:t>
      </w:r>
    </w:p>
    <w:p w14:paraId="2E1FFA1B" w14:textId="77777777" w:rsidR="009C34AE" w:rsidRDefault="005D12A8" w:rsidP="009C34AE">
      <w:pPr>
        <w:pStyle w:val="ListParagraph"/>
        <w:numPr>
          <w:ilvl w:val="0"/>
          <w:numId w:val="42"/>
        </w:numPr>
        <w:spacing w:before="120" w:line="276" w:lineRule="auto"/>
        <w:outlineLvl w:val="2"/>
        <w:rPr>
          <w:rFonts w:eastAsia="Times New Roman"/>
          <w:bCs/>
          <w:szCs w:val="24"/>
          <w:lang w:eastAsia="en-AU"/>
        </w:rPr>
      </w:pPr>
      <w:r w:rsidRPr="009C34AE">
        <w:rPr>
          <w:rFonts w:eastAsia="Times New Roman"/>
          <w:bCs/>
          <w:szCs w:val="24"/>
          <w:lang w:eastAsia="en-AU"/>
        </w:rPr>
        <w:t xml:space="preserve">the mode of delivery of the original course; </w:t>
      </w:r>
    </w:p>
    <w:p w14:paraId="239BE3D5" w14:textId="2B544493" w:rsidR="009C34AE" w:rsidRDefault="009C34AE" w:rsidP="009C34AE">
      <w:pPr>
        <w:pStyle w:val="ListParagraph"/>
        <w:numPr>
          <w:ilvl w:val="0"/>
          <w:numId w:val="42"/>
        </w:numPr>
        <w:spacing w:before="120" w:line="276" w:lineRule="auto"/>
        <w:outlineLvl w:val="2"/>
        <w:rPr>
          <w:rFonts w:eastAsia="Times New Roman"/>
          <w:bCs/>
          <w:szCs w:val="24"/>
          <w:lang w:eastAsia="en-AU"/>
        </w:rPr>
      </w:pPr>
      <w:r>
        <w:rPr>
          <w:rFonts w:eastAsia="Times New Roman"/>
          <w:bCs/>
          <w:szCs w:val="24"/>
          <w:lang w:eastAsia="en-AU"/>
        </w:rPr>
        <w:t>the location where the original course was primarily delivered (if the student did not study online);</w:t>
      </w:r>
    </w:p>
    <w:p w14:paraId="3FAF904D" w14:textId="1E1C8EE6" w:rsidR="009C34AE" w:rsidRDefault="005D12A8" w:rsidP="009C34AE">
      <w:pPr>
        <w:pStyle w:val="ListParagraph"/>
        <w:numPr>
          <w:ilvl w:val="0"/>
          <w:numId w:val="42"/>
        </w:numPr>
        <w:spacing w:before="120" w:line="276" w:lineRule="auto"/>
        <w:outlineLvl w:val="2"/>
        <w:rPr>
          <w:rFonts w:eastAsia="Times New Roman"/>
          <w:bCs/>
          <w:szCs w:val="24"/>
          <w:lang w:eastAsia="en-AU"/>
        </w:rPr>
      </w:pPr>
      <w:r w:rsidRPr="009C34AE">
        <w:rPr>
          <w:rFonts w:eastAsia="Times New Roman"/>
          <w:bCs/>
          <w:szCs w:val="24"/>
          <w:lang w:eastAsia="en-AU"/>
        </w:rPr>
        <w:t>whether the student has withdrawn or deferred study</w:t>
      </w:r>
      <w:r w:rsidR="0072734B" w:rsidRPr="009C34AE">
        <w:rPr>
          <w:rFonts w:eastAsia="Times New Roman"/>
          <w:bCs/>
          <w:szCs w:val="24"/>
          <w:lang w:eastAsia="en-AU"/>
        </w:rPr>
        <w:t>;</w:t>
      </w:r>
      <w:r w:rsidRPr="009C34AE">
        <w:rPr>
          <w:rFonts w:eastAsia="Times New Roman"/>
          <w:bCs/>
          <w:szCs w:val="24"/>
          <w:lang w:eastAsia="en-AU"/>
        </w:rPr>
        <w:t xml:space="preserve"> </w:t>
      </w:r>
      <w:r w:rsidR="007B29CF">
        <w:rPr>
          <w:rFonts w:eastAsia="Times New Roman"/>
          <w:bCs/>
          <w:szCs w:val="24"/>
          <w:lang w:eastAsia="en-AU"/>
        </w:rPr>
        <w:t>and</w:t>
      </w:r>
    </w:p>
    <w:p w14:paraId="5E12C54A" w14:textId="6ACEC983" w:rsidR="009C34AE" w:rsidRDefault="005D12A8" w:rsidP="009C34AE">
      <w:pPr>
        <w:pStyle w:val="ListParagraph"/>
        <w:numPr>
          <w:ilvl w:val="0"/>
          <w:numId w:val="42"/>
        </w:numPr>
        <w:spacing w:before="120" w:line="276" w:lineRule="auto"/>
        <w:outlineLvl w:val="2"/>
        <w:rPr>
          <w:rFonts w:eastAsia="Times New Roman"/>
          <w:bCs/>
          <w:szCs w:val="24"/>
          <w:lang w:eastAsia="en-AU"/>
        </w:rPr>
      </w:pPr>
      <w:r w:rsidRPr="009C34AE">
        <w:rPr>
          <w:rFonts w:eastAsia="Times New Roman"/>
          <w:bCs/>
          <w:szCs w:val="24"/>
          <w:lang w:eastAsia="en-AU"/>
        </w:rPr>
        <w:t xml:space="preserve">the completion status for each part of the course the student was enrolled in. </w:t>
      </w:r>
    </w:p>
    <w:p w14:paraId="1666E747" w14:textId="169C0132" w:rsidR="00E33D09" w:rsidRPr="00132999" w:rsidRDefault="002401BB" w:rsidP="009C34AE">
      <w:pPr>
        <w:spacing w:before="120" w:line="276" w:lineRule="auto"/>
        <w:outlineLvl w:val="2"/>
        <w:rPr>
          <w:rFonts w:eastAsia="Times New Roman"/>
          <w:bCs/>
          <w:szCs w:val="24"/>
          <w:lang w:eastAsia="en-AU"/>
        </w:rPr>
      </w:pPr>
      <w:r>
        <w:rPr>
          <w:rFonts w:eastAsia="Times New Roman"/>
          <w:bCs/>
          <w:szCs w:val="24"/>
          <w:lang w:eastAsia="en-AU"/>
        </w:rPr>
        <w:t>New subsection 47</w:t>
      </w:r>
      <w:r w:rsidR="005D12A8" w:rsidRPr="009C34AE">
        <w:rPr>
          <w:rFonts w:eastAsia="Times New Roman"/>
          <w:bCs/>
          <w:szCs w:val="24"/>
          <w:lang w:eastAsia="en-AU"/>
        </w:rPr>
        <w:t xml:space="preserve">(2) requires the </w:t>
      </w:r>
      <w:r w:rsidR="00795BDD" w:rsidRPr="009C34AE">
        <w:rPr>
          <w:rFonts w:eastAsia="Times New Roman"/>
          <w:bCs/>
          <w:szCs w:val="24"/>
          <w:lang w:eastAsia="en-AU"/>
        </w:rPr>
        <w:t xml:space="preserve">written notice </w:t>
      </w:r>
      <w:r w:rsidR="005D12A8" w:rsidRPr="009C34AE">
        <w:rPr>
          <w:rFonts w:eastAsia="Times New Roman"/>
          <w:bCs/>
          <w:szCs w:val="24"/>
          <w:lang w:eastAsia="en-AU"/>
        </w:rPr>
        <w:t xml:space="preserve">to specify for each course the provider has defaulted in relation to a student the name and code of each unit of competency as it appears on the National Register for each part of the course. </w:t>
      </w:r>
      <w:r w:rsidR="00132999">
        <w:rPr>
          <w:rFonts w:eastAsia="Times New Roman"/>
          <w:bCs/>
          <w:szCs w:val="24"/>
          <w:lang w:eastAsia="en-AU"/>
        </w:rPr>
        <w:t xml:space="preserve">The National Register has the same meaning as in the </w:t>
      </w:r>
      <w:r w:rsidR="00132999" w:rsidRPr="00132999">
        <w:rPr>
          <w:rFonts w:eastAsia="Times New Roman"/>
          <w:bCs/>
          <w:i/>
          <w:szCs w:val="24"/>
          <w:lang w:eastAsia="en-AU"/>
        </w:rPr>
        <w:t>National Vocational Education and Training Regulator Act 2011</w:t>
      </w:r>
      <w:r w:rsidR="00132999">
        <w:rPr>
          <w:rFonts w:eastAsia="Times New Roman"/>
          <w:bCs/>
          <w:szCs w:val="24"/>
          <w:lang w:eastAsia="en-AU"/>
        </w:rPr>
        <w:t xml:space="preserve"> </w:t>
      </w:r>
      <w:r w:rsidR="00387C9C">
        <w:rPr>
          <w:rFonts w:eastAsia="Times New Roman"/>
          <w:bCs/>
          <w:szCs w:val="24"/>
          <w:lang w:eastAsia="en-AU"/>
        </w:rPr>
        <w:t xml:space="preserve">(see section 216 of that Act) </w:t>
      </w:r>
      <w:r w:rsidR="00132999">
        <w:rPr>
          <w:rFonts w:eastAsia="Times New Roman"/>
          <w:bCs/>
          <w:szCs w:val="24"/>
          <w:lang w:eastAsia="en-AU"/>
        </w:rPr>
        <w:t xml:space="preserve">and is currently available for inspection at </w:t>
      </w:r>
      <w:hyperlink r:id="rId11" w:history="1">
        <w:r w:rsidR="00132999" w:rsidRPr="007259D9">
          <w:rPr>
            <w:rStyle w:val="Hyperlink"/>
            <w:rFonts w:eastAsia="Times New Roman"/>
            <w:bCs/>
            <w:szCs w:val="24"/>
            <w:lang w:eastAsia="en-AU"/>
          </w:rPr>
          <w:t>https://training.gov.au/</w:t>
        </w:r>
      </w:hyperlink>
      <w:r w:rsidR="00132999">
        <w:rPr>
          <w:rFonts w:eastAsia="Times New Roman"/>
          <w:bCs/>
          <w:szCs w:val="24"/>
          <w:lang w:eastAsia="en-AU"/>
        </w:rPr>
        <w:t xml:space="preserve">. </w:t>
      </w:r>
    </w:p>
    <w:p w14:paraId="480D4222" w14:textId="77777777" w:rsidR="00A85B04" w:rsidRPr="009C34AE" w:rsidRDefault="00A85B04" w:rsidP="009C34AE">
      <w:pPr>
        <w:spacing w:before="120" w:line="276" w:lineRule="auto"/>
        <w:outlineLvl w:val="2"/>
        <w:rPr>
          <w:rFonts w:eastAsia="Times New Roman"/>
          <w:bCs/>
          <w:szCs w:val="24"/>
          <w:lang w:eastAsia="en-AU"/>
        </w:rPr>
      </w:pPr>
    </w:p>
    <w:p w14:paraId="7D0D7A92" w14:textId="788B85AC" w:rsidR="00A85B04" w:rsidRPr="00A85B04" w:rsidRDefault="002401BB" w:rsidP="0067252F">
      <w:pPr>
        <w:spacing w:before="120" w:line="276" w:lineRule="auto"/>
        <w:outlineLvl w:val="2"/>
        <w:rPr>
          <w:rFonts w:eastAsia="Times New Roman"/>
          <w:bCs/>
          <w:szCs w:val="24"/>
          <w:u w:val="single"/>
          <w:lang w:eastAsia="en-AU"/>
        </w:rPr>
      </w:pPr>
      <w:r>
        <w:rPr>
          <w:rFonts w:eastAsia="Times New Roman"/>
          <w:bCs/>
          <w:szCs w:val="24"/>
          <w:u w:val="single"/>
          <w:lang w:eastAsia="en-AU"/>
        </w:rPr>
        <w:t>Division 4 – R</w:t>
      </w:r>
      <w:r w:rsidR="00A85B04" w:rsidRPr="00A85B04">
        <w:rPr>
          <w:rFonts w:eastAsia="Times New Roman"/>
          <w:bCs/>
          <w:szCs w:val="24"/>
          <w:u w:val="single"/>
          <w:lang w:eastAsia="en-AU"/>
        </w:rPr>
        <w:t>equirements of notice to VSL Tuition Protection Director</w:t>
      </w:r>
    </w:p>
    <w:p w14:paraId="6E17AF15" w14:textId="450A5A7A" w:rsidR="00950A39"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section 48 provides that Division 4</w:t>
      </w:r>
      <w:r w:rsidR="00950A39">
        <w:rPr>
          <w:rFonts w:eastAsia="Times New Roman"/>
          <w:bCs/>
          <w:szCs w:val="24"/>
          <w:lang w:eastAsia="en-AU"/>
        </w:rPr>
        <w:t>, Part 6 is made for the purposes of subsection 66C(5) of the Act.</w:t>
      </w:r>
      <w:r w:rsidR="00200D74">
        <w:rPr>
          <w:rFonts w:eastAsia="Times New Roman"/>
          <w:bCs/>
          <w:szCs w:val="24"/>
          <w:lang w:eastAsia="en-AU"/>
        </w:rPr>
        <w:t xml:space="preserve"> This provision allows the r</w:t>
      </w:r>
      <w:r w:rsidR="0072734B">
        <w:rPr>
          <w:rFonts w:eastAsia="Times New Roman"/>
          <w:bCs/>
          <w:szCs w:val="24"/>
          <w:lang w:eastAsia="en-AU"/>
        </w:rPr>
        <w:t xml:space="preserve">ules to prescribe requirements for a notice given by an approved course provider under subsections 66C(2) and 66C(3). </w:t>
      </w:r>
    </w:p>
    <w:p w14:paraId="459D46AA" w14:textId="49D24A34" w:rsidR="00795BDD"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section 49</w:t>
      </w:r>
      <w:r w:rsidR="00795BDD">
        <w:rPr>
          <w:rFonts w:eastAsia="Times New Roman"/>
          <w:bCs/>
          <w:szCs w:val="24"/>
          <w:lang w:eastAsia="en-AU"/>
        </w:rPr>
        <w:t xml:space="preserve"> of the Rules requires that the information required under section 66C of the Act must be given to the Director in a manner and form approved by the Director. </w:t>
      </w:r>
      <w:r w:rsidR="009C34AE">
        <w:rPr>
          <w:rFonts w:eastAsia="Times New Roman"/>
          <w:bCs/>
          <w:szCs w:val="24"/>
          <w:lang w:eastAsia="en-AU"/>
        </w:rPr>
        <w:t>This will allow the Director to specify that the information be provided in a particular format.</w:t>
      </w:r>
      <w:r w:rsidR="00DD0A74">
        <w:rPr>
          <w:rFonts w:eastAsia="Times New Roman"/>
          <w:bCs/>
          <w:szCs w:val="24"/>
          <w:lang w:eastAsia="en-AU"/>
        </w:rPr>
        <w:t xml:space="preserve"> For instance, the Director could request that information be provided in word or excel, or entered into a database.</w:t>
      </w:r>
    </w:p>
    <w:p w14:paraId="6B568059" w14:textId="77777777" w:rsidR="00A85B04" w:rsidRDefault="00A85B04" w:rsidP="0067252F">
      <w:pPr>
        <w:spacing w:before="120" w:line="276" w:lineRule="auto"/>
        <w:outlineLvl w:val="2"/>
        <w:rPr>
          <w:rFonts w:eastAsia="Times New Roman"/>
          <w:bCs/>
          <w:szCs w:val="24"/>
          <w:lang w:eastAsia="en-AU"/>
        </w:rPr>
      </w:pPr>
    </w:p>
    <w:p w14:paraId="143553CC" w14:textId="2794A602" w:rsidR="00A85B04" w:rsidRPr="00A85B04" w:rsidRDefault="002401BB" w:rsidP="0067252F">
      <w:pPr>
        <w:spacing w:before="120" w:line="276" w:lineRule="auto"/>
        <w:outlineLvl w:val="2"/>
        <w:rPr>
          <w:rFonts w:eastAsia="Times New Roman"/>
          <w:bCs/>
          <w:szCs w:val="24"/>
          <w:u w:val="single"/>
          <w:lang w:eastAsia="en-AU"/>
        </w:rPr>
      </w:pPr>
      <w:r>
        <w:rPr>
          <w:rFonts w:eastAsia="Times New Roman"/>
          <w:bCs/>
          <w:szCs w:val="24"/>
          <w:u w:val="single"/>
          <w:lang w:eastAsia="en-AU"/>
        </w:rPr>
        <w:t>Division 5 – R</w:t>
      </w:r>
      <w:r w:rsidR="00A85B04" w:rsidRPr="00A85B04">
        <w:rPr>
          <w:rFonts w:eastAsia="Times New Roman"/>
          <w:bCs/>
          <w:szCs w:val="24"/>
          <w:u w:val="single"/>
          <w:lang w:eastAsia="en-AU"/>
        </w:rPr>
        <w:t>equirements of notice to student</w:t>
      </w:r>
    </w:p>
    <w:p w14:paraId="17C279C4" w14:textId="2B435527" w:rsidR="00950A39" w:rsidRDefault="00950A39" w:rsidP="0067252F">
      <w:pPr>
        <w:spacing w:before="120" w:line="276" w:lineRule="auto"/>
        <w:outlineLvl w:val="2"/>
        <w:rPr>
          <w:rFonts w:eastAsia="Times New Roman"/>
          <w:bCs/>
          <w:szCs w:val="24"/>
          <w:lang w:eastAsia="en-AU"/>
        </w:rPr>
      </w:pPr>
      <w:r>
        <w:rPr>
          <w:rFonts w:eastAsia="Times New Roman"/>
          <w:bCs/>
          <w:szCs w:val="24"/>
          <w:lang w:eastAsia="en-AU"/>
        </w:rPr>
        <w:t>New sec</w:t>
      </w:r>
      <w:r w:rsidR="002401BB">
        <w:rPr>
          <w:rFonts w:eastAsia="Times New Roman"/>
          <w:bCs/>
          <w:szCs w:val="24"/>
          <w:lang w:eastAsia="en-AU"/>
        </w:rPr>
        <w:t>tion 48 provides that Division 5</w:t>
      </w:r>
      <w:r>
        <w:rPr>
          <w:rFonts w:eastAsia="Times New Roman"/>
          <w:bCs/>
          <w:szCs w:val="24"/>
          <w:lang w:eastAsia="en-AU"/>
        </w:rPr>
        <w:t>, Part 6 is made for the purposes of subsection 66D(3) of the Act.</w:t>
      </w:r>
      <w:r w:rsidR="0072734B">
        <w:rPr>
          <w:rFonts w:eastAsia="Times New Roman"/>
          <w:bCs/>
          <w:szCs w:val="24"/>
          <w:lang w:eastAsia="en-AU"/>
        </w:rPr>
        <w:t xml:space="preserve"> </w:t>
      </w:r>
      <w:r w:rsidR="005A3B13">
        <w:rPr>
          <w:rFonts w:eastAsia="Times New Roman"/>
          <w:bCs/>
          <w:szCs w:val="24"/>
          <w:lang w:eastAsia="en-AU"/>
        </w:rPr>
        <w:t xml:space="preserve">Subsection 66D(2) requires an approved course provider, within 24 hours of the default occurring to give </w:t>
      </w:r>
      <w:r w:rsidR="005A3B13">
        <w:rPr>
          <w:rFonts w:eastAsia="Times New Roman"/>
          <w:bCs/>
          <w:szCs w:val="24"/>
          <w:lang w:eastAsia="en-AU"/>
        </w:rPr>
        <w:lastRenderedPageBreak/>
        <w:t xml:space="preserve">written notice of the default to the students in relation to whom the provider has defaulted. Subsection 66D(3) enables </w:t>
      </w:r>
      <w:r w:rsidR="00200D74">
        <w:rPr>
          <w:rFonts w:eastAsia="Times New Roman"/>
          <w:bCs/>
          <w:szCs w:val="24"/>
          <w:lang w:eastAsia="en-AU"/>
        </w:rPr>
        <w:t>the r</w:t>
      </w:r>
      <w:r w:rsidR="0072734B">
        <w:rPr>
          <w:rFonts w:eastAsia="Times New Roman"/>
          <w:bCs/>
          <w:szCs w:val="24"/>
          <w:lang w:eastAsia="en-AU"/>
        </w:rPr>
        <w:t>ules</w:t>
      </w:r>
      <w:r w:rsidR="005A3B13">
        <w:rPr>
          <w:rFonts w:eastAsia="Times New Roman"/>
          <w:bCs/>
          <w:szCs w:val="24"/>
          <w:lang w:eastAsia="en-AU"/>
        </w:rPr>
        <w:t xml:space="preserve"> to prescribe requirements relating to this</w:t>
      </w:r>
      <w:r w:rsidR="0072734B">
        <w:rPr>
          <w:rFonts w:eastAsia="Times New Roman"/>
          <w:bCs/>
          <w:szCs w:val="24"/>
          <w:lang w:eastAsia="en-AU"/>
        </w:rPr>
        <w:t xml:space="preserve"> notice</w:t>
      </w:r>
      <w:r w:rsidR="005A3B13">
        <w:rPr>
          <w:rFonts w:eastAsia="Times New Roman"/>
          <w:bCs/>
          <w:szCs w:val="24"/>
          <w:lang w:eastAsia="en-AU"/>
        </w:rPr>
        <w:t>.</w:t>
      </w:r>
      <w:r w:rsidR="0072734B">
        <w:rPr>
          <w:rFonts w:eastAsia="Times New Roman"/>
          <w:bCs/>
          <w:szCs w:val="24"/>
          <w:lang w:eastAsia="en-AU"/>
        </w:rPr>
        <w:t xml:space="preserve"> </w:t>
      </w:r>
    </w:p>
    <w:p w14:paraId="453FEA32" w14:textId="0B138486" w:rsidR="009960FA"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subsection 51</w:t>
      </w:r>
      <w:r w:rsidR="008B6EBD">
        <w:rPr>
          <w:rFonts w:eastAsia="Times New Roman"/>
          <w:bCs/>
          <w:szCs w:val="24"/>
          <w:lang w:eastAsia="en-AU"/>
        </w:rPr>
        <w:t xml:space="preserve">(1) of the Rules </w:t>
      </w:r>
      <w:r w:rsidR="005A3B13">
        <w:rPr>
          <w:rFonts w:eastAsia="Times New Roman"/>
          <w:bCs/>
          <w:szCs w:val="24"/>
          <w:lang w:eastAsia="en-AU"/>
        </w:rPr>
        <w:t xml:space="preserve">requires </w:t>
      </w:r>
      <w:r w:rsidR="008B6EBD">
        <w:rPr>
          <w:rFonts w:eastAsia="Times New Roman"/>
          <w:bCs/>
          <w:szCs w:val="24"/>
          <w:lang w:eastAsia="en-AU"/>
        </w:rPr>
        <w:t xml:space="preserve">the approved course provider </w:t>
      </w:r>
      <w:r w:rsidR="005A3B13">
        <w:rPr>
          <w:rFonts w:eastAsia="Times New Roman"/>
          <w:bCs/>
          <w:szCs w:val="24"/>
          <w:lang w:eastAsia="en-AU"/>
        </w:rPr>
        <w:t xml:space="preserve">to </w:t>
      </w:r>
      <w:r w:rsidR="008B6EBD">
        <w:rPr>
          <w:rFonts w:eastAsia="Times New Roman"/>
          <w:bCs/>
          <w:szCs w:val="24"/>
          <w:lang w:eastAsia="en-AU"/>
        </w:rPr>
        <w:t>include in its written notice to students</w:t>
      </w:r>
      <w:r w:rsidR="009960FA">
        <w:rPr>
          <w:rFonts w:eastAsia="Times New Roman"/>
          <w:bCs/>
          <w:szCs w:val="24"/>
          <w:lang w:eastAsia="en-AU"/>
        </w:rPr>
        <w:t>:</w:t>
      </w:r>
    </w:p>
    <w:p w14:paraId="650CE0A2" w14:textId="77777777" w:rsidR="009960FA" w:rsidRDefault="008B6EBD" w:rsidP="009960FA">
      <w:pPr>
        <w:pStyle w:val="ListParagraph"/>
        <w:numPr>
          <w:ilvl w:val="0"/>
          <w:numId w:val="43"/>
        </w:numPr>
        <w:spacing w:before="120" w:line="276" w:lineRule="auto"/>
        <w:outlineLvl w:val="2"/>
        <w:rPr>
          <w:rFonts w:eastAsia="Times New Roman"/>
          <w:bCs/>
          <w:szCs w:val="24"/>
          <w:lang w:eastAsia="en-AU"/>
        </w:rPr>
      </w:pPr>
      <w:r w:rsidRPr="009960FA">
        <w:rPr>
          <w:rFonts w:eastAsia="Times New Roman"/>
          <w:bCs/>
          <w:szCs w:val="24"/>
          <w:lang w:eastAsia="en-AU"/>
        </w:rPr>
        <w:t xml:space="preserve">the name of the course, or the part or parts of the course that the student was enrolled in at the time of the default; </w:t>
      </w:r>
    </w:p>
    <w:p w14:paraId="677952DF" w14:textId="77777777" w:rsidR="009960FA" w:rsidRDefault="008B6EBD" w:rsidP="009960FA">
      <w:pPr>
        <w:pStyle w:val="ListParagraph"/>
        <w:numPr>
          <w:ilvl w:val="0"/>
          <w:numId w:val="43"/>
        </w:numPr>
        <w:spacing w:before="120" w:line="276" w:lineRule="auto"/>
        <w:outlineLvl w:val="2"/>
        <w:rPr>
          <w:rFonts w:eastAsia="Times New Roman"/>
          <w:bCs/>
          <w:szCs w:val="24"/>
          <w:lang w:eastAsia="en-AU"/>
        </w:rPr>
      </w:pPr>
      <w:r w:rsidRPr="009960FA">
        <w:rPr>
          <w:rFonts w:eastAsia="Times New Roman"/>
          <w:bCs/>
          <w:szCs w:val="24"/>
          <w:lang w:eastAsia="en-AU"/>
        </w:rPr>
        <w:t>the date of the default</w:t>
      </w:r>
      <w:r w:rsidR="009960FA">
        <w:rPr>
          <w:rFonts w:eastAsia="Times New Roman"/>
          <w:bCs/>
          <w:szCs w:val="24"/>
          <w:lang w:eastAsia="en-AU"/>
        </w:rPr>
        <w:t>;</w:t>
      </w:r>
      <w:r w:rsidRPr="009960FA">
        <w:rPr>
          <w:rFonts w:eastAsia="Times New Roman"/>
          <w:bCs/>
          <w:szCs w:val="24"/>
          <w:lang w:eastAsia="en-AU"/>
        </w:rPr>
        <w:t xml:space="preserve"> and </w:t>
      </w:r>
    </w:p>
    <w:p w14:paraId="0E538FBA" w14:textId="77777777" w:rsidR="009960FA" w:rsidRDefault="008B6EBD" w:rsidP="009960FA">
      <w:pPr>
        <w:pStyle w:val="ListParagraph"/>
        <w:numPr>
          <w:ilvl w:val="0"/>
          <w:numId w:val="43"/>
        </w:numPr>
        <w:spacing w:before="120" w:line="276" w:lineRule="auto"/>
        <w:outlineLvl w:val="2"/>
        <w:rPr>
          <w:rFonts w:eastAsia="Times New Roman"/>
          <w:bCs/>
          <w:szCs w:val="24"/>
          <w:lang w:eastAsia="en-AU"/>
        </w:rPr>
      </w:pPr>
      <w:r w:rsidRPr="009960FA">
        <w:rPr>
          <w:rFonts w:eastAsia="Times New Roman"/>
          <w:bCs/>
          <w:szCs w:val="24"/>
          <w:lang w:eastAsia="en-AU"/>
        </w:rPr>
        <w:t xml:space="preserve">a website specified by the Director where the student can get further information about tuition protection. </w:t>
      </w:r>
    </w:p>
    <w:p w14:paraId="139D70A7" w14:textId="77C533A1" w:rsidR="008B6EBD" w:rsidRDefault="002401BB" w:rsidP="009960FA">
      <w:pPr>
        <w:spacing w:before="120" w:line="276" w:lineRule="auto"/>
        <w:outlineLvl w:val="2"/>
        <w:rPr>
          <w:rFonts w:eastAsia="Times New Roman"/>
          <w:bCs/>
          <w:szCs w:val="24"/>
          <w:lang w:eastAsia="en-AU"/>
        </w:rPr>
      </w:pPr>
      <w:r>
        <w:rPr>
          <w:rFonts w:eastAsia="Times New Roman"/>
          <w:bCs/>
          <w:szCs w:val="24"/>
          <w:lang w:eastAsia="en-AU"/>
        </w:rPr>
        <w:t>New subsection 51</w:t>
      </w:r>
      <w:r w:rsidR="008B6EBD" w:rsidRPr="009960FA">
        <w:rPr>
          <w:rFonts w:eastAsia="Times New Roman"/>
          <w:bCs/>
          <w:szCs w:val="24"/>
          <w:lang w:eastAsia="en-AU"/>
        </w:rPr>
        <w:t xml:space="preserve">(2) of the Rules requires </w:t>
      </w:r>
      <w:r w:rsidR="005A3B13">
        <w:rPr>
          <w:rFonts w:eastAsia="Times New Roman"/>
          <w:bCs/>
          <w:szCs w:val="24"/>
          <w:lang w:eastAsia="en-AU"/>
        </w:rPr>
        <w:t xml:space="preserve">the defaulting </w:t>
      </w:r>
      <w:r w:rsidR="008B6EBD" w:rsidRPr="009960FA">
        <w:rPr>
          <w:rFonts w:eastAsia="Times New Roman"/>
          <w:bCs/>
          <w:szCs w:val="24"/>
          <w:lang w:eastAsia="en-AU"/>
        </w:rPr>
        <w:t xml:space="preserve">provider </w:t>
      </w:r>
      <w:r w:rsidR="005A3B13">
        <w:rPr>
          <w:rFonts w:eastAsia="Times New Roman"/>
          <w:bCs/>
          <w:szCs w:val="24"/>
          <w:lang w:eastAsia="en-AU"/>
        </w:rPr>
        <w:t xml:space="preserve">to </w:t>
      </w:r>
      <w:r w:rsidR="008B6EBD" w:rsidRPr="009960FA">
        <w:rPr>
          <w:rFonts w:eastAsia="Times New Roman"/>
          <w:bCs/>
          <w:szCs w:val="24"/>
          <w:lang w:eastAsia="en-AU"/>
        </w:rPr>
        <w:t>send the notice to the student’s personal email or postal address as advised by the student</w:t>
      </w:r>
      <w:r w:rsidR="005B3F23" w:rsidRPr="009960FA">
        <w:rPr>
          <w:rFonts w:eastAsia="Times New Roman"/>
          <w:bCs/>
          <w:szCs w:val="24"/>
          <w:lang w:eastAsia="en-AU"/>
        </w:rPr>
        <w:t>,</w:t>
      </w:r>
      <w:r w:rsidR="008B6EBD" w:rsidRPr="009960FA">
        <w:rPr>
          <w:rFonts w:eastAsia="Times New Roman"/>
          <w:bCs/>
          <w:szCs w:val="24"/>
          <w:lang w:eastAsia="en-AU"/>
        </w:rPr>
        <w:t xml:space="preserve"> or to the student by another method agreed to by the student.</w:t>
      </w:r>
    </w:p>
    <w:p w14:paraId="7F9B6E19" w14:textId="77777777" w:rsidR="00A85B04" w:rsidRPr="009960FA" w:rsidRDefault="00A85B04" w:rsidP="009960FA">
      <w:pPr>
        <w:spacing w:before="120" w:line="276" w:lineRule="auto"/>
        <w:outlineLvl w:val="2"/>
        <w:rPr>
          <w:rFonts w:eastAsia="Times New Roman"/>
          <w:bCs/>
          <w:szCs w:val="24"/>
          <w:lang w:eastAsia="en-AU"/>
        </w:rPr>
      </w:pPr>
    </w:p>
    <w:p w14:paraId="59CCBEBA" w14:textId="5D3C6C0A" w:rsidR="00A85B04" w:rsidRPr="00A85B04" w:rsidRDefault="002401BB" w:rsidP="0067252F">
      <w:pPr>
        <w:spacing w:before="120" w:line="276" w:lineRule="auto"/>
        <w:outlineLvl w:val="2"/>
        <w:rPr>
          <w:rFonts w:eastAsia="Times New Roman"/>
          <w:bCs/>
          <w:szCs w:val="24"/>
          <w:u w:val="single"/>
          <w:lang w:eastAsia="en-AU"/>
        </w:rPr>
      </w:pPr>
      <w:r>
        <w:rPr>
          <w:rFonts w:eastAsia="Times New Roman"/>
          <w:bCs/>
          <w:szCs w:val="24"/>
          <w:u w:val="single"/>
          <w:lang w:eastAsia="en-AU"/>
        </w:rPr>
        <w:t>Division 6</w:t>
      </w:r>
      <w:r w:rsidR="00A85B04" w:rsidRPr="00A85B04">
        <w:rPr>
          <w:rFonts w:eastAsia="Times New Roman"/>
          <w:bCs/>
          <w:szCs w:val="24"/>
          <w:u w:val="single"/>
          <w:lang w:eastAsia="en-AU"/>
        </w:rPr>
        <w:t xml:space="preserve"> – Payments to replacement providers and others</w:t>
      </w:r>
    </w:p>
    <w:p w14:paraId="7E5BE21B" w14:textId="32FEDCDE" w:rsidR="005B3F23"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section 52 provides that Division 6</w:t>
      </w:r>
      <w:r w:rsidR="005B3F23">
        <w:rPr>
          <w:rFonts w:eastAsia="Times New Roman"/>
          <w:bCs/>
          <w:szCs w:val="24"/>
          <w:lang w:eastAsia="en-AU"/>
        </w:rPr>
        <w:t>, Part 6 is made for the purposes of subsection 66L(2) of the Act.</w:t>
      </w:r>
      <w:r w:rsidR="0072734B">
        <w:rPr>
          <w:rFonts w:eastAsia="Times New Roman"/>
          <w:bCs/>
          <w:szCs w:val="24"/>
          <w:lang w:eastAsia="en-AU"/>
        </w:rPr>
        <w:t xml:space="preserve"> </w:t>
      </w:r>
      <w:r w:rsidR="005A3B13">
        <w:rPr>
          <w:rFonts w:eastAsia="Times New Roman"/>
          <w:bCs/>
          <w:szCs w:val="24"/>
          <w:lang w:eastAsia="en-AU"/>
        </w:rPr>
        <w:t xml:space="preserve">Section 66L sets out the purposes of the VSL Tuition Protection Fund which includes making payments in connection with tuition protection. </w:t>
      </w:r>
      <w:r w:rsidR="00644B74">
        <w:rPr>
          <w:rFonts w:eastAsia="Times New Roman"/>
          <w:bCs/>
          <w:szCs w:val="24"/>
          <w:lang w:eastAsia="en-AU"/>
        </w:rPr>
        <w:t xml:space="preserve">Subsection 66L(2) enables </w:t>
      </w:r>
      <w:r w:rsidR="00200D74">
        <w:rPr>
          <w:rFonts w:eastAsia="Times New Roman"/>
          <w:bCs/>
          <w:szCs w:val="24"/>
          <w:lang w:eastAsia="en-AU"/>
        </w:rPr>
        <w:t>the r</w:t>
      </w:r>
      <w:r w:rsidR="0072734B">
        <w:rPr>
          <w:rFonts w:eastAsia="Times New Roman"/>
          <w:bCs/>
          <w:szCs w:val="24"/>
          <w:lang w:eastAsia="en-AU"/>
        </w:rPr>
        <w:t xml:space="preserve">ules to make provision in relation to making </w:t>
      </w:r>
      <w:r w:rsidR="00644B74">
        <w:rPr>
          <w:rFonts w:eastAsia="Times New Roman"/>
          <w:bCs/>
          <w:szCs w:val="24"/>
          <w:lang w:eastAsia="en-AU"/>
        </w:rPr>
        <w:t xml:space="preserve">such </w:t>
      </w:r>
      <w:r w:rsidR="0072734B">
        <w:rPr>
          <w:rFonts w:eastAsia="Times New Roman"/>
          <w:bCs/>
          <w:szCs w:val="24"/>
          <w:lang w:eastAsia="en-AU"/>
        </w:rPr>
        <w:t>payments</w:t>
      </w:r>
      <w:r w:rsidR="00644B74">
        <w:rPr>
          <w:rFonts w:eastAsia="Times New Roman"/>
          <w:bCs/>
          <w:szCs w:val="24"/>
          <w:lang w:eastAsia="en-AU"/>
        </w:rPr>
        <w:t xml:space="preserve">, </w:t>
      </w:r>
      <w:r w:rsidR="0072734B">
        <w:rPr>
          <w:rFonts w:eastAsia="Times New Roman"/>
          <w:bCs/>
          <w:szCs w:val="24"/>
          <w:lang w:eastAsia="en-AU"/>
        </w:rPr>
        <w:t>including the circumstances in which payments may be made.</w:t>
      </w:r>
    </w:p>
    <w:p w14:paraId="64F4EE04" w14:textId="399A65B4" w:rsidR="005B3F23" w:rsidRDefault="002401BB" w:rsidP="0067252F">
      <w:pPr>
        <w:spacing w:before="120" w:line="276" w:lineRule="auto"/>
        <w:outlineLvl w:val="2"/>
        <w:rPr>
          <w:rFonts w:eastAsia="Times New Roman"/>
          <w:bCs/>
          <w:szCs w:val="24"/>
          <w:lang w:eastAsia="en-AU"/>
        </w:rPr>
      </w:pPr>
      <w:r>
        <w:rPr>
          <w:rFonts w:eastAsia="Times New Roman"/>
          <w:bCs/>
          <w:szCs w:val="24"/>
          <w:lang w:eastAsia="en-AU"/>
        </w:rPr>
        <w:t>New subsection 53</w:t>
      </w:r>
      <w:r w:rsidR="00644B74">
        <w:rPr>
          <w:rFonts w:eastAsia="Times New Roman"/>
          <w:bCs/>
          <w:szCs w:val="24"/>
          <w:lang w:eastAsia="en-AU"/>
        </w:rPr>
        <w:t>(1) enable</w:t>
      </w:r>
      <w:r w:rsidR="005B3F23">
        <w:rPr>
          <w:rFonts w:eastAsia="Times New Roman"/>
          <w:bCs/>
          <w:szCs w:val="24"/>
          <w:lang w:eastAsia="en-AU"/>
        </w:rPr>
        <w:t>s the Director to make payment of such amounts that the Director considers appropriate to a replacement provider</w:t>
      </w:r>
      <w:r w:rsidR="00200D74">
        <w:rPr>
          <w:rFonts w:eastAsia="Times New Roman"/>
          <w:bCs/>
          <w:szCs w:val="24"/>
          <w:lang w:eastAsia="en-AU"/>
        </w:rPr>
        <w:t xml:space="preserve">. </w:t>
      </w:r>
      <w:r w:rsidR="00644B74">
        <w:rPr>
          <w:rFonts w:eastAsia="Times New Roman"/>
          <w:bCs/>
          <w:szCs w:val="24"/>
          <w:lang w:eastAsia="en-AU"/>
        </w:rPr>
        <w:t xml:space="preserve">At times it can be onerous for a replacement provider to enrol a student from a defaulting provider, for example, </w:t>
      </w:r>
      <w:r w:rsidR="00200D74">
        <w:rPr>
          <w:rFonts w:eastAsia="Times New Roman"/>
          <w:bCs/>
          <w:szCs w:val="24"/>
          <w:lang w:eastAsia="en-AU"/>
        </w:rPr>
        <w:t xml:space="preserve">in certain circumstances </w:t>
      </w:r>
      <w:r w:rsidR="00644B74">
        <w:rPr>
          <w:rFonts w:eastAsia="Times New Roman"/>
          <w:bCs/>
          <w:szCs w:val="24"/>
          <w:lang w:eastAsia="en-AU"/>
        </w:rPr>
        <w:t>assessing a student’s prior learning can be complicated. This provision would enable the Director to make a payment to a replacement provider to assist with the administrative costs a replacement provider may incur in placing the student.</w:t>
      </w:r>
    </w:p>
    <w:p w14:paraId="3FC7521A" w14:textId="15473E0D" w:rsidR="007F0D48" w:rsidRPr="007F0D48" w:rsidRDefault="00200D74" w:rsidP="007F0D48">
      <w:pPr>
        <w:spacing w:before="120" w:line="276" w:lineRule="auto"/>
        <w:outlineLvl w:val="2"/>
        <w:rPr>
          <w:rFonts w:eastAsia="Times New Roman"/>
          <w:bCs/>
          <w:szCs w:val="24"/>
          <w:lang w:eastAsia="en-AU"/>
        </w:rPr>
      </w:pPr>
      <w:r>
        <w:rPr>
          <w:rFonts w:eastAsia="Times New Roman"/>
          <w:bCs/>
          <w:szCs w:val="24"/>
          <w:lang w:eastAsia="en-AU"/>
        </w:rPr>
        <w:t>P</w:t>
      </w:r>
      <w:r w:rsidR="00644B74">
        <w:rPr>
          <w:rFonts w:eastAsia="Times New Roman"/>
          <w:bCs/>
          <w:szCs w:val="24"/>
          <w:lang w:eastAsia="en-AU"/>
        </w:rPr>
        <w:t>aragraph 53(1)(b) also enables the Director to make a payment to another person in order to facilitate a student’s placement in a replacement course.</w:t>
      </w:r>
      <w:r w:rsidR="007F0D48">
        <w:rPr>
          <w:rFonts w:eastAsia="Times New Roman"/>
          <w:bCs/>
          <w:szCs w:val="24"/>
          <w:lang w:eastAsia="en-AU"/>
        </w:rPr>
        <w:t xml:space="preserve"> For example, the Director could </w:t>
      </w:r>
      <w:r w:rsidR="007F0D48" w:rsidRPr="007F0D48">
        <w:rPr>
          <w:rFonts w:eastAsia="Times New Roman"/>
          <w:bCs/>
          <w:szCs w:val="24"/>
          <w:lang w:eastAsia="en-AU"/>
        </w:rPr>
        <w:t>pay a third party (</w:t>
      </w:r>
      <w:r>
        <w:rPr>
          <w:rFonts w:eastAsia="Times New Roman"/>
          <w:bCs/>
          <w:szCs w:val="24"/>
          <w:lang w:eastAsia="en-AU"/>
        </w:rPr>
        <w:t xml:space="preserve">such as </w:t>
      </w:r>
      <w:r w:rsidR="007F0D48" w:rsidRPr="007F0D48">
        <w:rPr>
          <w:rFonts w:eastAsia="Times New Roman"/>
          <w:bCs/>
          <w:szCs w:val="24"/>
          <w:lang w:eastAsia="en-AU"/>
        </w:rPr>
        <w:t xml:space="preserve">a liquidator) to provide information required for the purpose of facilitating placement of a student in a suitable replacement course. </w:t>
      </w:r>
    </w:p>
    <w:p w14:paraId="3654A072" w14:textId="46A2A6D6" w:rsidR="00682A87" w:rsidRDefault="002401BB" w:rsidP="00682A87">
      <w:pPr>
        <w:spacing w:before="120" w:line="276" w:lineRule="auto"/>
        <w:outlineLvl w:val="2"/>
        <w:rPr>
          <w:rFonts w:eastAsia="Times New Roman"/>
          <w:bCs/>
          <w:szCs w:val="24"/>
          <w:lang w:eastAsia="en-AU"/>
        </w:rPr>
      </w:pPr>
      <w:r>
        <w:rPr>
          <w:rFonts w:eastAsia="Times New Roman"/>
          <w:bCs/>
          <w:szCs w:val="24"/>
          <w:lang w:eastAsia="en-AU"/>
        </w:rPr>
        <w:t>New subsection 53</w:t>
      </w:r>
      <w:r w:rsidR="004F606D">
        <w:rPr>
          <w:rFonts w:eastAsia="Times New Roman"/>
          <w:bCs/>
          <w:szCs w:val="24"/>
          <w:lang w:eastAsia="en-AU"/>
        </w:rPr>
        <w:t>(2) requires the Director to have regard to the sustainability of the VSL Tuition Protection Fund when deciding whether to make such a payment. The Director may also have regard to any other matters the Director considers relevant.</w:t>
      </w:r>
    </w:p>
    <w:p w14:paraId="021B05D1" w14:textId="77777777" w:rsidR="009960FA" w:rsidRDefault="009960FA" w:rsidP="00682A87">
      <w:pPr>
        <w:spacing w:before="120" w:line="276" w:lineRule="auto"/>
        <w:outlineLvl w:val="2"/>
        <w:rPr>
          <w:rFonts w:eastAsia="Times New Roman"/>
          <w:lang w:eastAsia="en-AU"/>
        </w:rPr>
      </w:pPr>
    </w:p>
    <w:p w14:paraId="6673BF2A" w14:textId="206B1010" w:rsidR="00682A87" w:rsidRDefault="004F606D" w:rsidP="00682A87">
      <w:pPr>
        <w:spacing w:before="120" w:line="276" w:lineRule="auto"/>
        <w:outlineLvl w:val="2"/>
        <w:rPr>
          <w:rFonts w:eastAsia="Times New Roman"/>
          <w:lang w:eastAsia="en-AU"/>
        </w:rPr>
      </w:pPr>
      <w:r w:rsidRPr="004F606D">
        <w:rPr>
          <w:rFonts w:eastAsia="Times New Roman"/>
          <w:b/>
          <w:bCs/>
          <w:szCs w:val="24"/>
          <w:lang w:eastAsia="en-AU"/>
        </w:rPr>
        <w:t xml:space="preserve">Item 8 – </w:t>
      </w:r>
      <w:r w:rsidR="00A85B04">
        <w:rPr>
          <w:rFonts w:eastAsia="Times New Roman"/>
          <w:b/>
          <w:bCs/>
          <w:szCs w:val="24"/>
          <w:lang w:eastAsia="en-AU"/>
        </w:rPr>
        <w:t>Repeal and substitute S</w:t>
      </w:r>
      <w:r w:rsidRPr="004F606D">
        <w:rPr>
          <w:rFonts w:eastAsia="Times New Roman"/>
          <w:b/>
          <w:bCs/>
          <w:szCs w:val="24"/>
          <w:lang w:eastAsia="en-AU"/>
        </w:rPr>
        <w:t>ubdivision J of Division 1, Part 7</w:t>
      </w:r>
    </w:p>
    <w:p w14:paraId="390BE2F4" w14:textId="7BA77D56" w:rsidR="007F0D48" w:rsidRDefault="004F606D" w:rsidP="00682A87">
      <w:pPr>
        <w:spacing w:before="120" w:line="276" w:lineRule="auto"/>
        <w:outlineLvl w:val="2"/>
        <w:rPr>
          <w:rFonts w:eastAsia="Times New Roman"/>
          <w:bCs/>
          <w:szCs w:val="24"/>
          <w:lang w:eastAsia="en-AU"/>
        </w:rPr>
      </w:pPr>
      <w:r>
        <w:rPr>
          <w:rFonts w:eastAsia="Times New Roman"/>
          <w:bCs/>
          <w:szCs w:val="24"/>
          <w:lang w:eastAsia="en-AU"/>
        </w:rPr>
        <w:t xml:space="preserve">Item 8 repeals </w:t>
      </w:r>
      <w:r w:rsidR="00A85B04">
        <w:rPr>
          <w:rFonts w:eastAsia="Times New Roman"/>
          <w:bCs/>
          <w:szCs w:val="24"/>
          <w:lang w:eastAsia="en-AU"/>
        </w:rPr>
        <w:t>s</w:t>
      </w:r>
      <w:r w:rsidR="00405D32">
        <w:rPr>
          <w:rFonts w:eastAsia="Times New Roman"/>
          <w:bCs/>
          <w:szCs w:val="24"/>
          <w:lang w:eastAsia="en-AU"/>
        </w:rPr>
        <w:t>ubdi</w:t>
      </w:r>
      <w:r w:rsidR="00E3514B">
        <w:rPr>
          <w:rFonts w:eastAsia="Times New Roman"/>
          <w:bCs/>
          <w:szCs w:val="24"/>
          <w:lang w:eastAsia="en-AU"/>
        </w:rPr>
        <w:t>vision J of Division 1, P</w:t>
      </w:r>
      <w:r w:rsidR="00405D32">
        <w:rPr>
          <w:rFonts w:eastAsia="Times New Roman"/>
          <w:bCs/>
          <w:szCs w:val="24"/>
          <w:lang w:eastAsia="en-AU"/>
        </w:rPr>
        <w:t xml:space="preserve">art 7 </w:t>
      </w:r>
      <w:r>
        <w:rPr>
          <w:rFonts w:eastAsia="Times New Roman"/>
          <w:bCs/>
          <w:szCs w:val="24"/>
          <w:lang w:eastAsia="en-AU"/>
        </w:rPr>
        <w:t xml:space="preserve">of the Rules </w:t>
      </w:r>
      <w:r w:rsidR="007F0D48">
        <w:rPr>
          <w:rFonts w:eastAsia="Times New Roman"/>
          <w:bCs/>
          <w:szCs w:val="24"/>
          <w:lang w:eastAsia="en-AU"/>
        </w:rPr>
        <w:t xml:space="preserve">which provided for procedures relating to the now former tuition assurance arrangements </w:t>
      </w:r>
      <w:r w:rsidR="00200D74">
        <w:rPr>
          <w:rFonts w:eastAsia="Times New Roman"/>
          <w:bCs/>
          <w:szCs w:val="24"/>
          <w:lang w:eastAsia="en-AU"/>
        </w:rPr>
        <w:t>and substitutes it with new r</w:t>
      </w:r>
      <w:r>
        <w:rPr>
          <w:rFonts w:eastAsia="Times New Roman"/>
          <w:bCs/>
          <w:szCs w:val="24"/>
          <w:lang w:eastAsia="en-AU"/>
        </w:rPr>
        <w:t>ules reflecting changes made by the Tuition Protection Act.</w:t>
      </w:r>
      <w:r w:rsidR="00405D32">
        <w:rPr>
          <w:rFonts w:eastAsia="Times New Roman"/>
          <w:bCs/>
          <w:szCs w:val="24"/>
          <w:lang w:eastAsia="en-AU"/>
        </w:rPr>
        <w:t xml:space="preserve"> Subdivision J requires an approved course provider to have certain procedures in place which relate to tuition protection.</w:t>
      </w:r>
      <w:r w:rsidR="00442F49">
        <w:rPr>
          <w:rFonts w:eastAsia="Times New Roman"/>
          <w:bCs/>
          <w:szCs w:val="24"/>
          <w:lang w:eastAsia="en-AU"/>
        </w:rPr>
        <w:t xml:space="preserve"> </w:t>
      </w:r>
    </w:p>
    <w:p w14:paraId="4E1CA737" w14:textId="0E0B2974" w:rsidR="00442F49" w:rsidRDefault="00405D32" w:rsidP="00682A87">
      <w:pPr>
        <w:spacing w:before="120" w:line="276" w:lineRule="auto"/>
        <w:outlineLvl w:val="2"/>
        <w:rPr>
          <w:rFonts w:eastAsia="Times New Roman"/>
          <w:bCs/>
          <w:szCs w:val="24"/>
          <w:lang w:eastAsia="en-AU"/>
        </w:rPr>
      </w:pPr>
      <w:r>
        <w:rPr>
          <w:rFonts w:eastAsia="Times New Roman"/>
          <w:bCs/>
          <w:szCs w:val="24"/>
          <w:lang w:eastAsia="en-AU"/>
        </w:rPr>
        <w:lastRenderedPageBreak/>
        <w:t xml:space="preserve">New section 91 requires an approved course provider to have a procedure to ensure that within </w:t>
      </w:r>
      <w:r w:rsidR="00442F49">
        <w:rPr>
          <w:rFonts w:eastAsia="Times New Roman"/>
          <w:bCs/>
          <w:szCs w:val="24"/>
          <w:lang w:eastAsia="en-AU"/>
        </w:rPr>
        <w:t>24 hours of a default occurring</w:t>
      </w:r>
      <w:r w:rsidR="007F0D48">
        <w:rPr>
          <w:rFonts w:eastAsia="Times New Roman"/>
          <w:bCs/>
          <w:szCs w:val="24"/>
          <w:lang w:eastAsia="en-AU"/>
        </w:rPr>
        <w:t xml:space="preserve"> the provider notifies in writing</w:t>
      </w:r>
      <w:r w:rsidR="00442F49">
        <w:rPr>
          <w:rFonts w:eastAsia="Times New Roman"/>
          <w:bCs/>
          <w:szCs w:val="24"/>
          <w:lang w:eastAsia="en-AU"/>
        </w:rPr>
        <w:t>:</w:t>
      </w:r>
      <w:r>
        <w:rPr>
          <w:rFonts w:eastAsia="Times New Roman"/>
          <w:bCs/>
          <w:szCs w:val="24"/>
          <w:lang w:eastAsia="en-AU"/>
        </w:rPr>
        <w:t xml:space="preserve"> </w:t>
      </w:r>
    </w:p>
    <w:p w14:paraId="4F720DD2" w14:textId="760250BE" w:rsidR="00442F49" w:rsidRPr="00442F49" w:rsidRDefault="00405D32" w:rsidP="00442F49">
      <w:pPr>
        <w:pStyle w:val="ListParagraph"/>
        <w:numPr>
          <w:ilvl w:val="0"/>
          <w:numId w:val="44"/>
        </w:numPr>
        <w:spacing w:before="120" w:line="276" w:lineRule="auto"/>
        <w:outlineLvl w:val="2"/>
        <w:rPr>
          <w:rFonts w:eastAsia="Times New Roman"/>
          <w:lang w:eastAsia="en-AU"/>
        </w:rPr>
      </w:pPr>
      <w:r w:rsidRPr="00442F49">
        <w:rPr>
          <w:rFonts w:eastAsia="Times New Roman"/>
          <w:bCs/>
          <w:szCs w:val="24"/>
          <w:lang w:eastAsia="en-AU"/>
        </w:rPr>
        <w:t>students enrolled in the course that the cou</w:t>
      </w:r>
      <w:r w:rsidR="00442F49">
        <w:rPr>
          <w:rFonts w:eastAsia="Times New Roman"/>
          <w:bCs/>
          <w:szCs w:val="24"/>
          <w:lang w:eastAsia="en-AU"/>
        </w:rPr>
        <w:t>rse is no longer being provided;</w:t>
      </w:r>
      <w:r w:rsidRPr="00442F49">
        <w:rPr>
          <w:rFonts w:eastAsia="Times New Roman"/>
          <w:bCs/>
          <w:szCs w:val="24"/>
          <w:lang w:eastAsia="en-AU"/>
        </w:rPr>
        <w:t xml:space="preserve"> </w:t>
      </w:r>
      <w:r w:rsidR="00EA10B3">
        <w:rPr>
          <w:rFonts w:eastAsia="Times New Roman"/>
          <w:bCs/>
          <w:szCs w:val="24"/>
          <w:lang w:eastAsia="en-AU"/>
        </w:rPr>
        <w:t>and</w:t>
      </w:r>
    </w:p>
    <w:p w14:paraId="6242820D" w14:textId="5E3292CD" w:rsidR="00442F49" w:rsidRPr="00442F49" w:rsidRDefault="00405D32" w:rsidP="00442F49">
      <w:pPr>
        <w:pStyle w:val="ListParagraph"/>
        <w:numPr>
          <w:ilvl w:val="0"/>
          <w:numId w:val="44"/>
        </w:numPr>
        <w:spacing w:before="120" w:line="276" w:lineRule="auto"/>
        <w:outlineLvl w:val="2"/>
        <w:rPr>
          <w:rFonts w:eastAsia="Times New Roman"/>
          <w:lang w:eastAsia="en-AU"/>
        </w:rPr>
      </w:pPr>
      <w:r w:rsidRPr="00442F49">
        <w:rPr>
          <w:rFonts w:eastAsia="Times New Roman"/>
          <w:bCs/>
          <w:szCs w:val="24"/>
          <w:lang w:eastAsia="en-AU"/>
        </w:rPr>
        <w:t xml:space="preserve">the Director of the circumstances of the default. </w:t>
      </w:r>
    </w:p>
    <w:p w14:paraId="6ED049BA" w14:textId="77777777" w:rsidR="007F0D48" w:rsidRDefault="00405D32" w:rsidP="00442F49">
      <w:pPr>
        <w:spacing w:before="120" w:line="276" w:lineRule="auto"/>
        <w:outlineLvl w:val="2"/>
        <w:rPr>
          <w:rFonts w:eastAsia="Times New Roman"/>
          <w:bCs/>
          <w:szCs w:val="24"/>
          <w:lang w:eastAsia="en-AU"/>
        </w:rPr>
      </w:pPr>
      <w:r w:rsidRPr="00442F49">
        <w:rPr>
          <w:rFonts w:eastAsia="Times New Roman"/>
          <w:bCs/>
          <w:szCs w:val="24"/>
          <w:lang w:eastAsia="en-AU"/>
        </w:rPr>
        <w:t>The procedure must also require the provider</w:t>
      </w:r>
      <w:r w:rsidR="007F0D48">
        <w:rPr>
          <w:rFonts w:eastAsia="Times New Roman"/>
          <w:bCs/>
          <w:szCs w:val="24"/>
          <w:lang w:eastAsia="en-AU"/>
        </w:rPr>
        <w:t>:</w:t>
      </w:r>
      <w:r w:rsidRPr="00442F49">
        <w:rPr>
          <w:rFonts w:eastAsia="Times New Roman"/>
          <w:bCs/>
          <w:szCs w:val="24"/>
          <w:lang w:eastAsia="en-AU"/>
        </w:rPr>
        <w:t xml:space="preserve"> </w:t>
      </w:r>
    </w:p>
    <w:p w14:paraId="6679867B" w14:textId="77777777" w:rsidR="007F0D48" w:rsidRPr="007F0D48" w:rsidRDefault="00405D32" w:rsidP="007F0D48">
      <w:pPr>
        <w:pStyle w:val="ListParagraph"/>
        <w:numPr>
          <w:ilvl w:val="0"/>
          <w:numId w:val="51"/>
        </w:numPr>
        <w:spacing w:before="120" w:line="276" w:lineRule="auto"/>
        <w:outlineLvl w:val="2"/>
        <w:rPr>
          <w:rFonts w:eastAsia="Times New Roman"/>
          <w:lang w:eastAsia="en-AU"/>
        </w:rPr>
      </w:pPr>
      <w:r w:rsidRPr="007F0D48">
        <w:rPr>
          <w:rFonts w:eastAsia="Times New Roman"/>
          <w:bCs/>
          <w:szCs w:val="24"/>
          <w:lang w:eastAsia="en-AU"/>
        </w:rPr>
        <w:t xml:space="preserve">to update it’s website </w:t>
      </w:r>
      <w:r w:rsidR="007F0D48">
        <w:rPr>
          <w:rFonts w:eastAsia="Times New Roman"/>
          <w:bCs/>
          <w:szCs w:val="24"/>
          <w:lang w:eastAsia="en-AU"/>
        </w:rPr>
        <w:t xml:space="preserve">as soon as practicable, </w:t>
      </w:r>
      <w:r w:rsidRPr="007F0D48">
        <w:rPr>
          <w:rFonts w:eastAsia="Times New Roman"/>
          <w:bCs/>
          <w:szCs w:val="24"/>
          <w:lang w:eastAsia="en-AU"/>
        </w:rPr>
        <w:t xml:space="preserve">to reflect that the course is no longer </w:t>
      </w:r>
      <w:r w:rsidR="007F0D48">
        <w:rPr>
          <w:rFonts w:eastAsia="Times New Roman"/>
          <w:bCs/>
          <w:szCs w:val="24"/>
          <w:lang w:eastAsia="en-AU"/>
        </w:rPr>
        <w:t>being provided;</w:t>
      </w:r>
      <w:r w:rsidRPr="007F0D48">
        <w:rPr>
          <w:rFonts w:eastAsia="Times New Roman"/>
          <w:bCs/>
          <w:szCs w:val="24"/>
          <w:lang w:eastAsia="en-AU"/>
        </w:rPr>
        <w:t xml:space="preserve"> and </w:t>
      </w:r>
    </w:p>
    <w:p w14:paraId="3B2AF672" w14:textId="754A4F18" w:rsidR="00682A87" w:rsidRPr="00316928" w:rsidRDefault="00405D32" w:rsidP="007F0D48">
      <w:pPr>
        <w:pStyle w:val="ListParagraph"/>
        <w:numPr>
          <w:ilvl w:val="0"/>
          <w:numId w:val="51"/>
        </w:numPr>
        <w:spacing w:before="120" w:line="276" w:lineRule="auto"/>
        <w:outlineLvl w:val="2"/>
        <w:rPr>
          <w:rFonts w:eastAsia="Times New Roman"/>
          <w:lang w:eastAsia="en-AU"/>
        </w:rPr>
      </w:pPr>
      <w:r w:rsidRPr="007F0D48">
        <w:rPr>
          <w:rFonts w:eastAsia="Times New Roman"/>
          <w:bCs/>
          <w:szCs w:val="24"/>
          <w:lang w:eastAsia="en-AU"/>
        </w:rPr>
        <w:t xml:space="preserve">to give </w:t>
      </w:r>
      <w:r w:rsidR="007F0D48">
        <w:rPr>
          <w:rFonts w:eastAsia="Times New Roman"/>
          <w:bCs/>
          <w:szCs w:val="24"/>
          <w:lang w:eastAsia="en-AU"/>
        </w:rPr>
        <w:t xml:space="preserve">the Director </w:t>
      </w:r>
      <w:r w:rsidRPr="007F0D48">
        <w:rPr>
          <w:rFonts w:eastAsia="Times New Roman"/>
          <w:bCs/>
          <w:szCs w:val="24"/>
          <w:lang w:eastAsia="en-AU"/>
        </w:rPr>
        <w:t xml:space="preserve">information about tuition protection required by subsection 66C(3) </w:t>
      </w:r>
      <w:r w:rsidR="00200D74">
        <w:rPr>
          <w:rFonts w:eastAsia="Times New Roman"/>
          <w:bCs/>
          <w:szCs w:val="24"/>
          <w:lang w:eastAsia="en-AU"/>
        </w:rPr>
        <w:t xml:space="preserve">of the Act </w:t>
      </w:r>
      <w:r w:rsidRPr="007F0D48">
        <w:rPr>
          <w:rFonts w:eastAsia="Times New Roman"/>
          <w:bCs/>
          <w:szCs w:val="24"/>
          <w:lang w:eastAsia="en-AU"/>
        </w:rPr>
        <w:t>within 3 business days of the default occurring.</w:t>
      </w:r>
    </w:p>
    <w:p w14:paraId="0C26EC5E" w14:textId="6F453857" w:rsidR="00316928" w:rsidRPr="00316928" w:rsidRDefault="00316928" w:rsidP="00316928">
      <w:pPr>
        <w:spacing w:before="120" w:line="276" w:lineRule="auto"/>
        <w:outlineLvl w:val="2"/>
        <w:rPr>
          <w:rFonts w:eastAsia="Times New Roman"/>
          <w:lang w:eastAsia="en-AU"/>
        </w:rPr>
      </w:pPr>
      <w:r>
        <w:rPr>
          <w:rFonts w:eastAsia="Times New Roman"/>
          <w:lang w:eastAsia="en-AU"/>
        </w:rPr>
        <w:t>The requirement for a procedure that meets paragraph 91(a) and (c) reflects obligations imposed on defaulting providers by subsection 66C(2) and subsection 66D(2)</w:t>
      </w:r>
      <w:r w:rsidR="00200D74">
        <w:rPr>
          <w:rFonts w:eastAsia="Times New Roman"/>
          <w:lang w:eastAsia="en-AU"/>
        </w:rPr>
        <w:t xml:space="preserve"> of the Act</w:t>
      </w:r>
      <w:r>
        <w:rPr>
          <w:rFonts w:eastAsia="Times New Roman"/>
          <w:lang w:eastAsia="en-AU"/>
        </w:rPr>
        <w:t xml:space="preserve">. Paragraph 91(b) in effect, imposes an additional obligation on providers in the event of a default </w:t>
      </w:r>
      <w:r w:rsidR="00DD0A74">
        <w:rPr>
          <w:rFonts w:eastAsia="Times New Roman"/>
          <w:lang w:eastAsia="en-AU"/>
        </w:rPr>
        <w:t xml:space="preserve">to </w:t>
      </w:r>
      <w:r>
        <w:rPr>
          <w:rFonts w:eastAsia="Times New Roman"/>
          <w:lang w:eastAsia="en-AU"/>
        </w:rPr>
        <w:t>update the provider’s website</w:t>
      </w:r>
      <w:r w:rsidR="00DD0A74">
        <w:rPr>
          <w:rFonts w:eastAsia="Times New Roman"/>
          <w:lang w:eastAsia="en-AU"/>
        </w:rPr>
        <w:t xml:space="preserve"> with information about the course that is no longer being provided and with information about tuition protection.</w:t>
      </w:r>
    </w:p>
    <w:p w14:paraId="0B6D5DD7" w14:textId="18A04BD6" w:rsidR="007F0D48" w:rsidRDefault="00405D32" w:rsidP="00682A87">
      <w:pPr>
        <w:spacing w:before="120" w:line="276" w:lineRule="auto"/>
        <w:outlineLvl w:val="2"/>
        <w:rPr>
          <w:rFonts w:eastAsia="Times New Roman"/>
          <w:bCs/>
          <w:szCs w:val="24"/>
          <w:lang w:eastAsia="en-AU"/>
        </w:rPr>
      </w:pPr>
      <w:r>
        <w:rPr>
          <w:rFonts w:eastAsia="Times New Roman"/>
          <w:bCs/>
          <w:szCs w:val="24"/>
          <w:lang w:eastAsia="en-AU"/>
        </w:rPr>
        <w:t xml:space="preserve">New section </w:t>
      </w:r>
      <w:r w:rsidR="00714E8F">
        <w:rPr>
          <w:rFonts w:eastAsia="Times New Roman"/>
          <w:bCs/>
          <w:szCs w:val="24"/>
          <w:lang w:eastAsia="en-AU"/>
        </w:rPr>
        <w:t>92 requires an approved course provider to have a procedure</w:t>
      </w:r>
      <w:r w:rsidR="007F0D48">
        <w:rPr>
          <w:rFonts w:eastAsia="Times New Roman"/>
          <w:bCs/>
          <w:szCs w:val="24"/>
          <w:lang w:eastAsia="en-AU"/>
        </w:rPr>
        <w:t>,</w:t>
      </w:r>
      <w:r w:rsidR="00714E8F">
        <w:rPr>
          <w:rFonts w:eastAsia="Times New Roman"/>
          <w:bCs/>
          <w:szCs w:val="24"/>
          <w:lang w:eastAsia="en-AU"/>
        </w:rPr>
        <w:t xml:space="preserve"> to ensure that if a student accepts an offer of a place in a replacement course</w:t>
      </w:r>
      <w:r w:rsidR="007F0D48">
        <w:rPr>
          <w:rFonts w:eastAsia="Times New Roman"/>
          <w:bCs/>
          <w:szCs w:val="24"/>
          <w:lang w:eastAsia="en-AU"/>
        </w:rPr>
        <w:t>,</w:t>
      </w:r>
      <w:r w:rsidR="00714E8F">
        <w:rPr>
          <w:rFonts w:eastAsia="Times New Roman"/>
          <w:bCs/>
          <w:szCs w:val="24"/>
          <w:lang w:eastAsia="en-AU"/>
        </w:rPr>
        <w:t xml:space="preserve"> the student is granted course credits for parts of the original course successfully completed by the student. </w:t>
      </w:r>
      <w:r w:rsidR="00EA10B3">
        <w:rPr>
          <w:rFonts w:eastAsia="Times New Roman"/>
          <w:bCs/>
          <w:szCs w:val="24"/>
          <w:lang w:eastAsia="en-AU"/>
        </w:rPr>
        <w:t xml:space="preserve">This may </w:t>
      </w:r>
      <w:r w:rsidR="007F0D48">
        <w:rPr>
          <w:rFonts w:eastAsia="Times New Roman"/>
          <w:bCs/>
          <w:szCs w:val="24"/>
          <w:lang w:eastAsia="en-AU"/>
        </w:rPr>
        <w:t>be evidenced by:</w:t>
      </w:r>
    </w:p>
    <w:p w14:paraId="2838BBBE" w14:textId="2478F9C1" w:rsidR="007F0D48" w:rsidRDefault="00EA10B3" w:rsidP="007F0D48">
      <w:pPr>
        <w:pStyle w:val="ListParagraph"/>
        <w:numPr>
          <w:ilvl w:val="0"/>
          <w:numId w:val="52"/>
        </w:numPr>
        <w:spacing w:before="120" w:line="276" w:lineRule="auto"/>
        <w:outlineLvl w:val="2"/>
        <w:rPr>
          <w:rFonts w:eastAsia="Times New Roman"/>
          <w:bCs/>
          <w:szCs w:val="24"/>
          <w:lang w:eastAsia="en-AU"/>
        </w:rPr>
      </w:pPr>
      <w:r>
        <w:rPr>
          <w:rFonts w:eastAsia="Times New Roman"/>
          <w:bCs/>
          <w:szCs w:val="24"/>
          <w:lang w:eastAsia="en-AU"/>
        </w:rPr>
        <w:t>a statement of attainment or other Australian Qualifications Framework certification documentation issued in accordance with the Australian Qualifications Framework; or</w:t>
      </w:r>
    </w:p>
    <w:p w14:paraId="501221C7" w14:textId="30C3B77A" w:rsidR="00EA10B3" w:rsidRPr="007F0D48" w:rsidRDefault="00EA10B3" w:rsidP="007F0D48">
      <w:pPr>
        <w:pStyle w:val="ListParagraph"/>
        <w:numPr>
          <w:ilvl w:val="0"/>
          <w:numId w:val="52"/>
        </w:numPr>
        <w:spacing w:before="120" w:line="276" w:lineRule="auto"/>
        <w:outlineLvl w:val="2"/>
        <w:rPr>
          <w:rFonts w:eastAsia="Times New Roman"/>
          <w:bCs/>
          <w:szCs w:val="24"/>
          <w:lang w:eastAsia="en-AU"/>
        </w:rPr>
      </w:pPr>
      <w:r>
        <w:rPr>
          <w:rFonts w:eastAsia="Times New Roman"/>
          <w:bCs/>
          <w:szCs w:val="24"/>
          <w:lang w:eastAsia="en-AU"/>
        </w:rPr>
        <w:t>an authenticated VET transcript prepared by the Student Identifiers Registrar.</w:t>
      </w:r>
    </w:p>
    <w:p w14:paraId="4FB5B637" w14:textId="19772905" w:rsidR="00442F49" w:rsidRDefault="00714E8F" w:rsidP="00682A87">
      <w:pPr>
        <w:spacing w:before="120" w:line="276" w:lineRule="auto"/>
        <w:outlineLvl w:val="2"/>
        <w:rPr>
          <w:rFonts w:eastAsia="Times New Roman"/>
          <w:bCs/>
          <w:szCs w:val="24"/>
          <w:lang w:eastAsia="en-AU"/>
        </w:rPr>
      </w:pPr>
      <w:r>
        <w:rPr>
          <w:rFonts w:eastAsia="Times New Roman"/>
          <w:bCs/>
          <w:szCs w:val="24"/>
          <w:lang w:eastAsia="en-AU"/>
        </w:rPr>
        <w:t>The procedure must also ensure</w:t>
      </w:r>
      <w:r w:rsidR="00442F49">
        <w:rPr>
          <w:rFonts w:eastAsia="Times New Roman"/>
          <w:bCs/>
          <w:szCs w:val="24"/>
          <w:lang w:eastAsia="en-AU"/>
        </w:rPr>
        <w:t>:</w:t>
      </w:r>
      <w:r>
        <w:rPr>
          <w:rFonts w:eastAsia="Times New Roman"/>
          <w:bCs/>
          <w:szCs w:val="24"/>
          <w:lang w:eastAsia="en-AU"/>
        </w:rPr>
        <w:t xml:space="preserve"> </w:t>
      </w:r>
    </w:p>
    <w:p w14:paraId="63DE5027" w14:textId="1CD1799C" w:rsidR="00442F49" w:rsidRPr="00442F49" w:rsidRDefault="00714E8F" w:rsidP="00442F49">
      <w:pPr>
        <w:pStyle w:val="ListParagraph"/>
        <w:numPr>
          <w:ilvl w:val="0"/>
          <w:numId w:val="45"/>
        </w:numPr>
        <w:spacing w:before="120" w:line="276" w:lineRule="auto"/>
        <w:outlineLvl w:val="2"/>
        <w:rPr>
          <w:rFonts w:eastAsia="Times New Roman"/>
          <w:lang w:eastAsia="en-AU"/>
        </w:rPr>
      </w:pPr>
      <w:r w:rsidRPr="00442F49">
        <w:rPr>
          <w:rFonts w:eastAsia="Times New Roman"/>
          <w:bCs/>
          <w:szCs w:val="24"/>
          <w:lang w:eastAsia="en-AU"/>
        </w:rPr>
        <w:t>the student is not charged tuition fees for the replacement component of the replacement course if tuition fees have been paid for the affected part of the original c</w:t>
      </w:r>
      <w:r w:rsidR="00442F49">
        <w:rPr>
          <w:rFonts w:eastAsia="Times New Roman"/>
          <w:bCs/>
          <w:szCs w:val="24"/>
          <w:lang w:eastAsia="en-AU"/>
        </w:rPr>
        <w:t>ourse;</w:t>
      </w:r>
      <w:r w:rsidRPr="00442F49">
        <w:rPr>
          <w:rFonts w:eastAsia="Times New Roman"/>
          <w:bCs/>
          <w:szCs w:val="24"/>
          <w:lang w:eastAsia="en-AU"/>
        </w:rPr>
        <w:t xml:space="preserve"> </w:t>
      </w:r>
    </w:p>
    <w:p w14:paraId="137861CB" w14:textId="63E1E272" w:rsidR="00442F49" w:rsidRPr="00442F49" w:rsidRDefault="00714E8F" w:rsidP="00442F49">
      <w:pPr>
        <w:pStyle w:val="ListParagraph"/>
        <w:numPr>
          <w:ilvl w:val="0"/>
          <w:numId w:val="45"/>
        </w:numPr>
        <w:spacing w:before="120" w:line="276" w:lineRule="auto"/>
        <w:outlineLvl w:val="2"/>
        <w:rPr>
          <w:rFonts w:eastAsia="Times New Roman"/>
          <w:lang w:eastAsia="en-AU"/>
        </w:rPr>
      </w:pPr>
      <w:r w:rsidRPr="00442F49">
        <w:rPr>
          <w:rFonts w:eastAsia="Times New Roman"/>
          <w:bCs/>
          <w:szCs w:val="24"/>
          <w:lang w:eastAsia="en-AU"/>
        </w:rPr>
        <w:t>the student is enrolled in the replacement course as soon as practicable</w:t>
      </w:r>
      <w:r w:rsidR="00442F49">
        <w:rPr>
          <w:rFonts w:eastAsia="Times New Roman"/>
          <w:bCs/>
          <w:szCs w:val="24"/>
          <w:lang w:eastAsia="en-AU"/>
        </w:rPr>
        <w:t>;</w:t>
      </w:r>
      <w:r w:rsidRPr="00442F49">
        <w:rPr>
          <w:rFonts w:eastAsia="Times New Roman"/>
          <w:bCs/>
          <w:szCs w:val="24"/>
          <w:lang w:eastAsia="en-AU"/>
        </w:rPr>
        <w:t xml:space="preserve"> </w:t>
      </w:r>
      <w:r w:rsidR="00EA10B3">
        <w:rPr>
          <w:rFonts w:eastAsia="Times New Roman"/>
          <w:bCs/>
          <w:szCs w:val="24"/>
          <w:lang w:eastAsia="en-AU"/>
        </w:rPr>
        <w:t>and</w:t>
      </w:r>
    </w:p>
    <w:p w14:paraId="6B383750" w14:textId="6FC00CD8" w:rsidR="00442F49" w:rsidRPr="00442F49" w:rsidRDefault="00714E8F" w:rsidP="00442F49">
      <w:pPr>
        <w:pStyle w:val="ListParagraph"/>
        <w:numPr>
          <w:ilvl w:val="0"/>
          <w:numId w:val="45"/>
        </w:numPr>
        <w:spacing w:before="120" w:line="276" w:lineRule="auto"/>
        <w:outlineLvl w:val="2"/>
        <w:rPr>
          <w:rFonts w:eastAsia="Times New Roman"/>
          <w:lang w:eastAsia="en-AU"/>
        </w:rPr>
      </w:pPr>
      <w:r w:rsidRPr="00442F49">
        <w:rPr>
          <w:rFonts w:eastAsia="Times New Roman"/>
          <w:bCs/>
          <w:szCs w:val="24"/>
          <w:lang w:eastAsia="en-AU"/>
        </w:rPr>
        <w:t xml:space="preserve">the Director is given written notice of the </w:t>
      </w:r>
      <w:r w:rsidR="00EA10B3">
        <w:rPr>
          <w:rFonts w:eastAsia="Times New Roman"/>
          <w:bCs/>
          <w:szCs w:val="24"/>
          <w:lang w:eastAsia="en-AU"/>
        </w:rPr>
        <w:t xml:space="preserve">student’s </w:t>
      </w:r>
      <w:r w:rsidRPr="00442F49">
        <w:rPr>
          <w:rFonts w:eastAsia="Times New Roman"/>
          <w:bCs/>
          <w:szCs w:val="24"/>
          <w:lang w:eastAsia="en-AU"/>
        </w:rPr>
        <w:t>acceptance within 14 day</w:t>
      </w:r>
      <w:r w:rsidR="00EA10B3">
        <w:rPr>
          <w:rFonts w:eastAsia="Times New Roman"/>
          <w:bCs/>
          <w:szCs w:val="24"/>
          <w:lang w:eastAsia="en-AU"/>
        </w:rPr>
        <w:t>s</w:t>
      </w:r>
      <w:r w:rsidRPr="00442F49">
        <w:rPr>
          <w:rFonts w:eastAsia="Times New Roman"/>
          <w:bCs/>
          <w:szCs w:val="24"/>
          <w:lang w:eastAsia="en-AU"/>
        </w:rPr>
        <w:t xml:space="preserve"> of the acceptance. </w:t>
      </w:r>
    </w:p>
    <w:p w14:paraId="7F5394CF" w14:textId="06569FD6" w:rsidR="00682A87" w:rsidRDefault="00316928" w:rsidP="00442F49">
      <w:pPr>
        <w:spacing w:before="120" w:line="276" w:lineRule="auto"/>
        <w:outlineLvl w:val="2"/>
        <w:rPr>
          <w:rFonts w:eastAsia="Times New Roman"/>
          <w:bCs/>
          <w:szCs w:val="24"/>
          <w:lang w:eastAsia="en-AU"/>
        </w:rPr>
      </w:pPr>
      <w:r>
        <w:rPr>
          <w:rFonts w:eastAsia="Times New Roman"/>
          <w:bCs/>
          <w:szCs w:val="24"/>
          <w:lang w:eastAsia="en-AU"/>
        </w:rPr>
        <w:t>A note under section 92 informs the reader that t</w:t>
      </w:r>
      <w:r w:rsidR="00714E8F" w:rsidRPr="00442F49">
        <w:rPr>
          <w:rFonts w:eastAsia="Times New Roman"/>
          <w:bCs/>
          <w:szCs w:val="24"/>
          <w:lang w:eastAsia="en-AU"/>
        </w:rPr>
        <w:t xml:space="preserve">he requirements of a procedure for the purposes of section 92 reflect the </w:t>
      </w:r>
      <w:r>
        <w:rPr>
          <w:rFonts w:eastAsia="Times New Roman"/>
          <w:bCs/>
          <w:szCs w:val="24"/>
          <w:lang w:eastAsia="en-AU"/>
        </w:rPr>
        <w:t xml:space="preserve">actual obligations </w:t>
      </w:r>
      <w:r w:rsidR="00714E8F" w:rsidRPr="00442F49">
        <w:rPr>
          <w:rFonts w:eastAsia="Times New Roman"/>
          <w:bCs/>
          <w:szCs w:val="24"/>
          <w:lang w:eastAsia="en-AU"/>
        </w:rPr>
        <w:t>imposed on a replacement provider by section 66G of the Act.</w:t>
      </w:r>
    </w:p>
    <w:p w14:paraId="2880CF03" w14:textId="77777777" w:rsidR="00807687" w:rsidRPr="00442F49" w:rsidRDefault="00807687" w:rsidP="00442F49">
      <w:pPr>
        <w:spacing w:before="120" w:line="276" w:lineRule="auto"/>
        <w:outlineLvl w:val="2"/>
        <w:rPr>
          <w:rFonts w:eastAsia="Times New Roman"/>
          <w:lang w:eastAsia="en-AU"/>
        </w:rPr>
      </w:pPr>
    </w:p>
    <w:p w14:paraId="730F6A00" w14:textId="77777777" w:rsidR="00682A87" w:rsidRDefault="00617F25" w:rsidP="00682A87">
      <w:pPr>
        <w:spacing w:before="120" w:line="276" w:lineRule="auto"/>
        <w:outlineLvl w:val="2"/>
        <w:rPr>
          <w:rFonts w:eastAsia="Times New Roman"/>
          <w:lang w:eastAsia="en-AU"/>
        </w:rPr>
      </w:pPr>
      <w:r>
        <w:rPr>
          <w:rFonts w:eastAsia="Times New Roman"/>
          <w:b/>
          <w:bCs/>
          <w:szCs w:val="24"/>
          <w:lang w:eastAsia="en-AU"/>
        </w:rPr>
        <w:t>I</w:t>
      </w:r>
      <w:r w:rsidR="00384F29">
        <w:rPr>
          <w:rFonts w:eastAsia="Times New Roman"/>
          <w:b/>
          <w:bCs/>
          <w:szCs w:val="24"/>
          <w:lang w:eastAsia="en-AU"/>
        </w:rPr>
        <w:t>tem 9</w:t>
      </w:r>
      <w:r w:rsidR="002B62ED">
        <w:rPr>
          <w:rFonts w:eastAsia="Times New Roman"/>
          <w:b/>
          <w:bCs/>
          <w:szCs w:val="24"/>
          <w:lang w:eastAsia="en-AU"/>
        </w:rPr>
        <w:t xml:space="preserve"> – </w:t>
      </w:r>
      <w:r w:rsidR="00384F29">
        <w:rPr>
          <w:rFonts w:eastAsia="Times New Roman"/>
          <w:b/>
          <w:bCs/>
          <w:szCs w:val="24"/>
          <w:lang w:eastAsia="en-AU"/>
        </w:rPr>
        <w:t>Paragraph 94(2)(d)</w:t>
      </w:r>
    </w:p>
    <w:p w14:paraId="039FFA95" w14:textId="1BF8186B" w:rsidR="00682A87" w:rsidRDefault="00617F25" w:rsidP="00682A87">
      <w:pPr>
        <w:spacing w:before="120" w:line="276" w:lineRule="auto"/>
        <w:outlineLvl w:val="2"/>
        <w:rPr>
          <w:rFonts w:eastAsia="Times New Roman"/>
          <w:bCs/>
          <w:szCs w:val="24"/>
          <w:lang w:eastAsia="en-AU"/>
        </w:rPr>
      </w:pPr>
      <w:r w:rsidRPr="00617F25">
        <w:rPr>
          <w:rFonts w:eastAsia="Times New Roman"/>
          <w:bCs/>
          <w:szCs w:val="24"/>
          <w:lang w:eastAsia="en-AU"/>
        </w:rPr>
        <w:t>S</w:t>
      </w:r>
      <w:r w:rsidR="00384F29">
        <w:rPr>
          <w:rFonts w:eastAsia="Times New Roman"/>
          <w:bCs/>
          <w:szCs w:val="24"/>
          <w:lang w:eastAsia="en-AU"/>
        </w:rPr>
        <w:t>ubs</w:t>
      </w:r>
      <w:r w:rsidRPr="00617F25">
        <w:rPr>
          <w:rFonts w:eastAsia="Times New Roman"/>
          <w:bCs/>
          <w:szCs w:val="24"/>
          <w:lang w:eastAsia="en-AU"/>
        </w:rPr>
        <w:t>e</w:t>
      </w:r>
      <w:r>
        <w:rPr>
          <w:rFonts w:eastAsia="Times New Roman"/>
          <w:bCs/>
          <w:szCs w:val="24"/>
          <w:lang w:eastAsia="en-AU"/>
        </w:rPr>
        <w:t xml:space="preserve">ction </w:t>
      </w:r>
      <w:r w:rsidR="00384F29">
        <w:rPr>
          <w:rFonts w:eastAsia="Times New Roman"/>
          <w:bCs/>
          <w:szCs w:val="24"/>
          <w:lang w:eastAsia="en-AU"/>
        </w:rPr>
        <w:t xml:space="preserve">94(2) sets out </w:t>
      </w:r>
      <w:r w:rsidR="00EA10B3">
        <w:rPr>
          <w:rFonts w:eastAsia="Times New Roman"/>
          <w:bCs/>
          <w:szCs w:val="24"/>
          <w:lang w:eastAsia="en-AU"/>
        </w:rPr>
        <w:t xml:space="preserve">the matters </w:t>
      </w:r>
      <w:r w:rsidR="00384F29">
        <w:rPr>
          <w:rFonts w:eastAsia="Times New Roman"/>
          <w:bCs/>
          <w:szCs w:val="24"/>
          <w:lang w:eastAsia="en-AU"/>
        </w:rPr>
        <w:t xml:space="preserve">approved course providers </w:t>
      </w:r>
      <w:r w:rsidR="00EA10B3">
        <w:rPr>
          <w:rFonts w:eastAsia="Times New Roman"/>
          <w:bCs/>
          <w:szCs w:val="24"/>
          <w:lang w:eastAsia="en-AU"/>
        </w:rPr>
        <w:t xml:space="preserve">must include in their </w:t>
      </w:r>
      <w:r w:rsidR="00384F29">
        <w:rPr>
          <w:rFonts w:eastAsia="Times New Roman"/>
          <w:bCs/>
          <w:szCs w:val="24"/>
          <w:lang w:eastAsia="en-AU"/>
        </w:rPr>
        <w:t xml:space="preserve">processes and procedures for handling personal information. Item 9 </w:t>
      </w:r>
      <w:r w:rsidR="00EA10B3">
        <w:rPr>
          <w:rFonts w:eastAsia="Times New Roman"/>
          <w:bCs/>
          <w:szCs w:val="24"/>
          <w:lang w:eastAsia="en-AU"/>
        </w:rPr>
        <w:t xml:space="preserve">replaces the term </w:t>
      </w:r>
      <w:r w:rsidR="00384F29">
        <w:rPr>
          <w:rFonts w:eastAsia="Times New Roman"/>
          <w:bCs/>
          <w:szCs w:val="24"/>
          <w:lang w:eastAsia="en-AU"/>
        </w:rPr>
        <w:t xml:space="preserve">“tuition assurance scheme operators” </w:t>
      </w:r>
      <w:r w:rsidR="00EA10B3">
        <w:rPr>
          <w:rFonts w:eastAsia="Times New Roman"/>
          <w:bCs/>
          <w:szCs w:val="24"/>
          <w:lang w:eastAsia="en-AU"/>
        </w:rPr>
        <w:t xml:space="preserve">with </w:t>
      </w:r>
      <w:r w:rsidR="00384F29">
        <w:rPr>
          <w:rFonts w:eastAsia="Times New Roman"/>
          <w:bCs/>
          <w:szCs w:val="24"/>
          <w:lang w:eastAsia="en-AU"/>
        </w:rPr>
        <w:t xml:space="preserve">“the VSL Tuition Protection Director”, to reflect the new tuition protection arrangements. As such, new paragraph 94(2)(d) of the Rules will require </w:t>
      </w:r>
      <w:r w:rsidR="00E3514B">
        <w:rPr>
          <w:rFonts w:eastAsia="Times New Roman"/>
          <w:bCs/>
          <w:szCs w:val="24"/>
          <w:lang w:eastAsia="en-AU"/>
        </w:rPr>
        <w:t xml:space="preserve">an approved course provider’s </w:t>
      </w:r>
      <w:r w:rsidR="00384F29">
        <w:rPr>
          <w:rFonts w:eastAsia="Times New Roman"/>
          <w:bCs/>
          <w:szCs w:val="24"/>
          <w:lang w:eastAsia="en-AU"/>
        </w:rPr>
        <w:t xml:space="preserve">processes and procedures </w:t>
      </w:r>
      <w:r w:rsidR="00E3514B">
        <w:rPr>
          <w:rFonts w:eastAsia="Times New Roman"/>
          <w:bCs/>
          <w:szCs w:val="24"/>
          <w:lang w:eastAsia="en-AU"/>
        </w:rPr>
        <w:t xml:space="preserve">to include information </w:t>
      </w:r>
      <w:r w:rsidR="00384F29">
        <w:rPr>
          <w:rFonts w:eastAsia="Times New Roman"/>
          <w:bCs/>
          <w:szCs w:val="24"/>
          <w:lang w:eastAsia="en-AU"/>
        </w:rPr>
        <w:t>that</w:t>
      </w:r>
      <w:r w:rsidR="00E3514B">
        <w:rPr>
          <w:rFonts w:eastAsia="Times New Roman"/>
          <w:bCs/>
          <w:szCs w:val="24"/>
          <w:lang w:eastAsia="en-AU"/>
        </w:rPr>
        <w:t xml:space="preserve"> a student’s personal</w:t>
      </w:r>
      <w:r w:rsidR="00384F29">
        <w:rPr>
          <w:rFonts w:eastAsia="Times New Roman"/>
          <w:bCs/>
          <w:szCs w:val="24"/>
          <w:lang w:eastAsia="en-AU"/>
        </w:rPr>
        <w:t xml:space="preserve"> information may be disclosed to the Commonwealth and the Director.</w:t>
      </w:r>
    </w:p>
    <w:p w14:paraId="5F95CD6C" w14:textId="77777777" w:rsidR="00807687" w:rsidRDefault="00807687" w:rsidP="00682A87">
      <w:pPr>
        <w:spacing w:before="120" w:line="276" w:lineRule="auto"/>
        <w:outlineLvl w:val="2"/>
        <w:rPr>
          <w:rFonts w:eastAsia="Times New Roman"/>
          <w:lang w:eastAsia="en-AU"/>
        </w:rPr>
      </w:pPr>
    </w:p>
    <w:p w14:paraId="60699F52" w14:textId="751605A3" w:rsidR="00682A87" w:rsidRDefault="00E3514B" w:rsidP="00682A87">
      <w:pPr>
        <w:spacing w:before="120" w:line="276" w:lineRule="auto"/>
        <w:outlineLvl w:val="2"/>
        <w:rPr>
          <w:rFonts w:eastAsia="Times New Roman"/>
          <w:b/>
          <w:bCs/>
          <w:szCs w:val="24"/>
          <w:lang w:eastAsia="en-AU"/>
        </w:rPr>
      </w:pPr>
      <w:r w:rsidRPr="00E3514B">
        <w:rPr>
          <w:rFonts w:eastAsia="Times New Roman"/>
          <w:b/>
          <w:bCs/>
          <w:szCs w:val="24"/>
          <w:lang w:eastAsia="en-AU"/>
        </w:rPr>
        <w:t xml:space="preserve">Item 10 – </w:t>
      </w:r>
      <w:r>
        <w:rPr>
          <w:rFonts w:eastAsia="Times New Roman"/>
          <w:b/>
          <w:bCs/>
          <w:szCs w:val="24"/>
          <w:lang w:eastAsia="en-AU"/>
        </w:rPr>
        <w:t>Repeal S</w:t>
      </w:r>
      <w:r w:rsidRPr="00E3514B">
        <w:rPr>
          <w:rFonts w:eastAsia="Times New Roman"/>
          <w:b/>
          <w:bCs/>
          <w:szCs w:val="24"/>
          <w:lang w:eastAsia="en-AU"/>
        </w:rPr>
        <w:t>ubdivision C of Division 3 Part 7</w:t>
      </w:r>
    </w:p>
    <w:p w14:paraId="104FA99E" w14:textId="574C7B1A" w:rsidR="00682A87" w:rsidRDefault="00E3514B" w:rsidP="00682A87">
      <w:pPr>
        <w:spacing w:before="120" w:line="276" w:lineRule="auto"/>
        <w:outlineLvl w:val="2"/>
        <w:rPr>
          <w:rFonts w:eastAsia="Times New Roman"/>
          <w:bCs/>
          <w:szCs w:val="24"/>
          <w:lang w:eastAsia="en-AU"/>
        </w:rPr>
      </w:pPr>
      <w:r>
        <w:rPr>
          <w:rFonts w:eastAsia="Times New Roman"/>
          <w:bCs/>
          <w:szCs w:val="24"/>
          <w:lang w:eastAsia="en-AU"/>
        </w:rPr>
        <w:lastRenderedPageBreak/>
        <w:t xml:space="preserve">Item 10 repeals Subdivision C of Division 3 Part 7 of the Rules. This division included requirements for approved course providers to publish statements on their website about the nature of the tuition assurance arrangements the provider had in place for students. </w:t>
      </w:r>
      <w:r w:rsidR="00EA10B3">
        <w:rPr>
          <w:rFonts w:eastAsia="Times New Roman"/>
          <w:bCs/>
          <w:szCs w:val="24"/>
          <w:lang w:eastAsia="en-AU"/>
        </w:rPr>
        <w:t>With the new tuition protection scheme being managed by the Director, on behalf of the Commonwealth, i</w:t>
      </w:r>
      <w:r>
        <w:rPr>
          <w:rFonts w:eastAsia="Times New Roman"/>
          <w:bCs/>
          <w:szCs w:val="24"/>
          <w:lang w:eastAsia="en-AU"/>
        </w:rPr>
        <w:t>t is intended that the Department of Employment, Sk</w:t>
      </w:r>
      <w:r w:rsidR="00200D74">
        <w:rPr>
          <w:rFonts w:eastAsia="Times New Roman"/>
          <w:bCs/>
          <w:szCs w:val="24"/>
          <w:lang w:eastAsia="en-AU"/>
        </w:rPr>
        <w:t>ills, Small and Family Business</w:t>
      </w:r>
      <w:r w:rsidR="00055296">
        <w:rPr>
          <w:rFonts w:eastAsia="Times New Roman"/>
          <w:bCs/>
          <w:szCs w:val="24"/>
          <w:lang w:eastAsia="en-AU"/>
        </w:rPr>
        <w:t xml:space="preserve"> </w:t>
      </w:r>
      <w:r>
        <w:rPr>
          <w:rFonts w:eastAsia="Times New Roman"/>
          <w:bCs/>
          <w:szCs w:val="24"/>
          <w:lang w:eastAsia="en-AU"/>
        </w:rPr>
        <w:t>will publish information about the new tuition protection arrangements</w:t>
      </w:r>
      <w:r w:rsidR="00EA10B3">
        <w:rPr>
          <w:rFonts w:eastAsia="Times New Roman"/>
          <w:bCs/>
          <w:szCs w:val="24"/>
          <w:lang w:eastAsia="en-AU"/>
        </w:rPr>
        <w:t xml:space="preserve"> on its website.</w:t>
      </w:r>
      <w:r w:rsidR="00682A87">
        <w:rPr>
          <w:rFonts w:eastAsia="Times New Roman"/>
          <w:bCs/>
          <w:szCs w:val="24"/>
          <w:lang w:eastAsia="en-AU"/>
        </w:rPr>
        <w:t xml:space="preserve"> </w:t>
      </w:r>
      <w:r w:rsidR="00503348">
        <w:rPr>
          <w:rFonts w:eastAsia="Times New Roman"/>
          <w:bCs/>
          <w:szCs w:val="24"/>
          <w:lang w:eastAsia="en-AU"/>
        </w:rPr>
        <w:t xml:space="preserve">Defaulting </w:t>
      </w:r>
      <w:r w:rsidR="00682A87">
        <w:rPr>
          <w:rFonts w:eastAsia="Times New Roman"/>
          <w:bCs/>
          <w:szCs w:val="24"/>
          <w:lang w:eastAsia="en-AU"/>
        </w:rPr>
        <w:t>provider</w:t>
      </w:r>
      <w:r w:rsidR="00503348">
        <w:rPr>
          <w:rFonts w:eastAsia="Times New Roman"/>
          <w:bCs/>
          <w:szCs w:val="24"/>
          <w:lang w:eastAsia="en-AU"/>
        </w:rPr>
        <w:t>s are required under section 66D of the Act and proposed subsection 51(1) of the Rules to give students information at the time of their default.</w:t>
      </w:r>
    </w:p>
    <w:p w14:paraId="78D0A3D1" w14:textId="77777777" w:rsidR="00807687" w:rsidRDefault="00807687" w:rsidP="00682A87">
      <w:pPr>
        <w:spacing w:before="120" w:line="276" w:lineRule="auto"/>
        <w:outlineLvl w:val="2"/>
        <w:rPr>
          <w:rFonts w:eastAsia="Times New Roman"/>
          <w:lang w:eastAsia="en-AU"/>
        </w:rPr>
      </w:pPr>
    </w:p>
    <w:p w14:paraId="57D3A8D7" w14:textId="65CE78AD" w:rsidR="00682A87" w:rsidRDefault="00FB07DE" w:rsidP="00682A87">
      <w:pPr>
        <w:spacing w:before="120" w:line="276" w:lineRule="auto"/>
        <w:outlineLvl w:val="2"/>
        <w:rPr>
          <w:rFonts w:eastAsia="Times New Roman"/>
          <w:b/>
          <w:bCs/>
          <w:szCs w:val="24"/>
          <w:lang w:eastAsia="en-AU"/>
        </w:rPr>
      </w:pPr>
      <w:r>
        <w:rPr>
          <w:rFonts w:eastAsia="Times New Roman"/>
          <w:b/>
          <w:bCs/>
          <w:szCs w:val="24"/>
          <w:lang w:eastAsia="en-AU"/>
        </w:rPr>
        <w:t>I</w:t>
      </w:r>
      <w:r w:rsidR="00682A87">
        <w:rPr>
          <w:rFonts w:eastAsia="Times New Roman"/>
          <w:b/>
          <w:bCs/>
          <w:szCs w:val="24"/>
          <w:lang w:eastAsia="en-AU"/>
        </w:rPr>
        <w:t>tem 12 – Paragraph 111(a)</w:t>
      </w:r>
    </w:p>
    <w:p w14:paraId="55DD9A14" w14:textId="77777777" w:rsidR="00807687" w:rsidRDefault="00807687" w:rsidP="00807687">
      <w:pPr>
        <w:spacing w:before="120"/>
        <w:outlineLvl w:val="2"/>
        <w:rPr>
          <w:rFonts w:eastAsia="Times New Roman"/>
          <w:b/>
          <w:bCs/>
          <w:szCs w:val="24"/>
          <w:lang w:eastAsia="en-AU"/>
        </w:rPr>
      </w:pPr>
      <w:r w:rsidRPr="002B443A">
        <w:rPr>
          <w:rFonts w:eastAsia="Times New Roman"/>
          <w:b/>
          <w:bCs/>
          <w:szCs w:val="24"/>
          <w:lang w:eastAsia="en-AU"/>
        </w:rPr>
        <w:t xml:space="preserve">Item </w:t>
      </w:r>
      <w:r>
        <w:rPr>
          <w:rFonts w:eastAsia="Times New Roman"/>
          <w:b/>
          <w:bCs/>
          <w:szCs w:val="24"/>
          <w:lang w:eastAsia="en-AU"/>
        </w:rPr>
        <w:t>13</w:t>
      </w:r>
      <w:r w:rsidRPr="002B443A">
        <w:rPr>
          <w:rFonts w:eastAsia="Times New Roman"/>
          <w:b/>
          <w:bCs/>
          <w:szCs w:val="24"/>
          <w:lang w:eastAsia="en-AU"/>
        </w:rPr>
        <w:t xml:space="preserve"> – Subsection 111(2)</w:t>
      </w:r>
    </w:p>
    <w:p w14:paraId="4E32BCC1" w14:textId="77777777" w:rsidR="00807687" w:rsidRPr="00055296" w:rsidRDefault="00807687" w:rsidP="00807687">
      <w:pPr>
        <w:spacing w:before="120"/>
        <w:outlineLvl w:val="2"/>
        <w:rPr>
          <w:rFonts w:eastAsia="Times New Roman"/>
          <w:b/>
          <w:bCs/>
          <w:szCs w:val="24"/>
          <w:lang w:eastAsia="en-AU"/>
        </w:rPr>
      </w:pPr>
      <w:r>
        <w:rPr>
          <w:rFonts w:eastAsia="Times New Roman"/>
          <w:b/>
          <w:bCs/>
          <w:szCs w:val="24"/>
          <w:lang w:eastAsia="en-AU"/>
        </w:rPr>
        <w:t>Item 14</w:t>
      </w:r>
      <w:r w:rsidRPr="00055296">
        <w:rPr>
          <w:rFonts w:eastAsia="Times New Roman"/>
          <w:b/>
          <w:bCs/>
          <w:szCs w:val="24"/>
          <w:lang w:eastAsia="en-AU"/>
        </w:rPr>
        <w:t xml:space="preserve"> – End of subsection 111(2)</w:t>
      </w:r>
    </w:p>
    <w:p w14:paraId="5995883D" w14:textId="2F7B58B8" w:rsidR="00617F25" w:rsidRDefault="00617F25" w:rsidP="00682A87">
      <w:pPr>
        <w:spacing w:before="120" w:line="276" w:lineRule="auto"/>
        <w:outlineLvl w:val="2"/>
        <w:rPr>
          <w:rFonts w:eastAsia="Times New Roman"/>
          <w:bCs/>
          <w:szCs w:val="24"/>
          <w:lang w:eastAsia="en-AU"/>
        </w:rPr>
      </w:pPr>
      <w:r w:rsidRPr="00617F25">
        <w:rPr>
          <w:rFonts w:eastAsia="Times New Roman"/>
          <w:bCs/>
          <w:szCs w:val="24"/>
          <w:lang w:eastAsia="en-AU"/>
        </w:rPr>
        <w:t>Se</w:t>
      </w:r>
      <w:r>
        <w:rPr>
          <w:rFonts w:eastAsia="Times New Roman"/>
          <w:bCs/>
          <w:szCs w:val="24"/>
          <w:lang w:eastAsia="en-AU"/>
        </w:rPr>
        <w:t xml:space="preserve">ction </w:t>
      </w:r>
      <w:r w:rsidR="00682A87">
        <w:rPr>
          <w:rFonts w:eastAsia="Times New Roman"/>
          <w:bCs/>
          <w:szCs w:val="24"/>
          <w:lang w:eastAsia="en-AU"/>
        </w:rPr>
        <w:t xml:space="preserve">111 of the Rules requires an approved course provider to give the Secretary written notice of specified events within 24 hours of the event occurring. Item 12 omits “ceases to provide an approved course” and </w:t>
      </w:r>
      <w:r w:rsidR="00807687">
        <w:rPr>
          <w:rFonts w:eastAsia="Times New Roman"/>
          <w:bCs/>
          <w:szCs w:val="24"/>
          <w:lang w:eastAsia="en-AU"/>
        </w:rPr>
        <w:t>item 13 omits “cease providing a course after it starts but before it is completed”. In each case these words are substituted</w:t>
      </w:r>
      <w:r w:rsidR="00682A87">
        <w:rPr>
          <w:rFonts w:eastAsia="Times New Roman"/>
          <w:bCs/>
          <w:szCs w:val="24"/>
          <w:lang w:eastAsia="en-AU"/>
        </w:rPr>
        <w:t xml:space="preserve"> with “defaults in relation to a student” to reflect the new tuition protection arrangements included in the Tuition Protection Act.</w:t>
      </w:r>
      <w:r w:rsidR="00232AD5">
        <w:rPr>
          <w:rFonts w:eastAsia="Times New Roman"/>
          <w:bCs/>
          <w:szCs w:val="24"/>
          <w:lang w:eastAsia="en-AU"/>
        </w:rPr>
        <w:t xml:space="preserve"> In effect, a defaulting provider is required to give </w:t>
      </w:r>
      <w:r w:rsidR="00082B64">
        <w:rPr>
          <w:rFonts w:eastAsia="Times New Roman"/>
          <w:bCs/>
          <w:szCs w:val="24"/>
          <w:lang w:eastAsia="en-AU"/>
        </w:rPr>
        <w:t xml:space="preserve">both </w:t>
      </w:r>
      <w:r w:rsidR="00232AD5">
        <w:rPr>
          <w:rFonts w:eastAsia="Times New Roman"/>
          <w:bCs/>
          <w:szCs w:val="24"/>
          <w:lang w:eastAsia="en-AU"/>
        </w:rPr>
        <w:t xml:space="preserve">the Secretary and the Director (under subsection 66D(2) of the Act) notice of a default, within 24 hours of the default. </w:t>
      </w:r>
    </w:p>
    <w:p w14:paraId="229EA375" w14:textId="7DC3027D" w:rsidR="00807687" w:rsidRDefault="00807687" w:rsidP="00807687">
      <w:pPr>
        <w:spacing w:before="120"/>
        <w:outlineLvl w:val="2"/>
        <w:rPr>
          <w:rFonts w:eastAsia="Times New Roman"/>
          <w:bCs/>
          <w:szCs w:val="24"/>
          <w:lang w:eastAsia="en-AU"/>
        </w:rPr>
      </w:pPr>
      <w:r>
        <w:rPr>
          <w:rFonts w:eastAsia="Times New Roman"/>
          <w:bCs/>
          <w:szCs w:val="24"/>
          <w:lang w:eastAsia="en-AU"/>
        </w:rPr>
        <w:t xml:space="preserve">Item 14 inserts a note at the end of subsection 111(2) that refers the reader to section 66B of the </w:t>
      </w:r>
      <w:r w:rsidR="00082B64">
        <w:rPr>
          <w:rFonts w:eastAsia="Times New Roman"/>
          <w:bCs/>
          <w:szCs w:val="24"/>
          <w:lang w:eastAsia="en-AU"/>
        </w:rPr>
        <w:t xml:space="preserve">Act </w:t>
      </w:r>
      <w:r>
        <w:rPr>
          <w:rFonts w:eastAsia="Times New Roman"/>
          <w:bCs/>
          <w:szCs w:val="24"/>
          <w:lang w:eastAsia="en-AU"/>
        </w:rPr>
        <w:t>which describes when an approved course provider defaults in relation to a student.</w:t>
      </w:r>
    </w:p>
    <w:p w14:paraId="0C4A7BC6" w14:textId="77777777" w:rsidR="00807687" w:rsidRPr="00682A87" w:rsidRDefault="00807687" w:rsidP="00682A87">
      <w:pPr>
        <w:spacing w:before="120" w:line="276" w:lineRule="auto"/>
        <w:outlineLvl w:val="2"/>
        <w:rPr>
          <w:rFonts w:eastAsia="Times New Roman"/>
          <w:lang w:eastAsia="en-AU"/>
        </w:rPr>
      </w:pPr>
    </w:p>
    <w:p w14:paraId="08D92BDE" w14:textId="50D534DE" w:rsidR="00807687" w:rsidRDefault="00807687" w:rsidP="002B443A">
      <w:pPr>
        <w:spacing w:before="120"/>
        <w:outlineLvl w:val="2"/>
        <w:rPr>
          <w:rFonts w:eastAsia="Times New Roman"/>
          <w:b/>
          <w:bCs/>
          <w:szCs w:val="24"/>
          <w:lang w:eastAsia="en-AU"/>
        </w:rPr>
      </w:pPr>
      <w:r w:rsidRPr="00055296">
        <w:rPr>
          <w:rFonts w:eastAsia="Times New Roman"/>
          <w:b/>
          <w:bCs/>
          <w:szCs w:val="24"/>
          <w:lang w:eastAsia="en-AU"/>
        </w:rPr>
        <w:t>Item 15 – Section 112</w:t>
      </w:r>
    </w:p>
    <w:p w14:paraId="3932CDC3" w14:textId="13000AEF" w:rsidR="00055296" w:rsidRDefault="00055296" w:rsidP="002B443A">
      <w:pPr>
        <w:spacing w:before="120"/>
        <w:outlineLvl w:val="2"/>
        <w:rPr>
          <w:rFonts w:eastAsia="Times New Roman"/>
          <w:bCs/>
          <w:szCs w:val="24"/>
          <w:lang w:eastAsia="en-AU"/>
        </w:rPr>
      </w:pPr>
      <w:r>
        <w:rPr>
          <w:rFonts w:eastAsia="Times New Roman"/>
          <w:bCs/>
          <w:szCs w:val="24"/>
          <w:lang w:eastAsia="en-AU"/>
        </w:rPr>
        <w:t>Item 15 repeals section</w:t>
      </w:r>
      <w:r w:rsidR="00807687">
        <w:rPr>
          <w:rFonts w:eastAsia="Times New Roman"/>
          <w:bCs/>
          <w:szCs w:val="24"/>
          <w:lang w:eastAsia="en-AU"/>
        </w:rPr>
        <w:t xml:space="preserve"> 112 of the Rules which required</w:t>
      </w:r>
      <w:r>
        <w:rPr>
          <w:rFonts w:eastAsia="Times New Roman"/>
          <w:bCs/>
          <w:szCs w:val="24"/>
          <w:lang w:eastAsia="en-AU"/>
        </w:rPr>
        <w:t xml:space="preserve"> an approved course provider to give the Secretary of the Department</w:t>
      </w:r>
      <w:r w:rsidR="00232AD5">
        <w:rPr>
          <w:rFonts w:eastAsia="Times New Roman"/>
          <w:bCs/>
          <w:szCs w:val="24"/>
          <w:lang w:eastAsia="en-AU"/>
        </w:rPr>
        <w:t xml:space="preserve"> detailed</w:t>
      </w:r>
      <w:r w:rsidR="00347D6D">
        <w:rPr>
          <w:rFonts w:eastAsia="Times New Roman"/>
          <w:bCs/>
          <w:szCs w:val="24"/>
          <w:lang w:eastAsia="en-AU"/>
        </w:rPr>
        <w:t xml:space="preserve"> information within 3 business days of the provider ceasing to provide an approved course. This section is repealed because an approved course provider is required to provide this </w:t>
      </w:r>
      <w:r w:rsidR="00232AD5">
        <w:rPr>
          <w:rFonts w:eastAsia="Times New Roman"/>
          <w:bCs/>
          <w:szCs w:val="24"/>
          <w:lang w:eastAsia="en-AU"/>
        </w:rPr>
        <w:t xml:space="preserve">same </w:t>
      </w:r>
      <w:r w:rsidR="00347D6D">
        <w:rPr>
          <w:rFonts w:eastAsia="Times New Roman"/>
          <w:bCs/>
          <w:szCs w:val="24"/>
          <w:lang w:eastAsia="en-AU"/>
        </w:rPr>
        <w:t>information to the Director in accordance with the Tuition Protection Act.</w:t>
      </w:r>
    </w:p>
    <w:p w14:paraId="3C4AE400" w14:textId="77777777" w:rsidR="00761496" w:rsidRPr="00055296" w:rsidRDefault="00761496" w:rsidP="002B443A">
      <w:pPr>
        <w:spacing w:before="120"/>
        <w:outlineLvl w:val="2"/>
        <w:rPr>
          <w:rFonts w:eastAsia="Times New Roman"/>
          <w:bCs/>
          <w:szCs w:val="24"/>
          <w:lang w:eastAsia="en-AU"/>
        </w:rPr>
      </w:pPr>
    </w:p>
    <w:p w14:paraId="799CEEF1" w14:textId="2DD4CF33" w:rsidR="00D02A34" w:rsidRDefault="00D02A34" w:rsidP="00E107C0">
      <w:pPr>
        <w:spacing w:before="120"/>
        <w:outlineLvl w:val="2"/>
        <w:rPr>
          <w:rFonts w:eastAsia="Times New Roman"/>
          <w:b/>
          <w:bCs/>
          <w:szCs w:val="24"/>
          <w:lang w:eastAsia="en-AU"/>
        </w:rPr>
      </w:pPr>
      <w:r>
        <w:rPr>
          <w:rFonts w:eastAsia="Times New Roman"/>
          <w:b/>
          <w:bCs/>
          <w:szCs w:val="24"/>
          <w:lang w:eastAsia="en-AU"/>
        </w:rPr>
        <w:t xml:space="preserve">Part 2—Miscellaneous amendments  </w:t>
      </w:r>
    </w:p>
    <w:p w14:paraId="581DA633" w14:textId="4B03FB3E" w:rsidR="002655F5" w:rsidRDefault="002655F5" w:rsidP="00E107C0">
      <w:pPr>
        <w:spacing w:before="120"/>
        <w:outlineLvl w:val="2"/>
        <w:rPr>
          <w:rFonts w:eastAsia="Times New Roman"/>
          <w:bCs/>
          <w:szCs w:val="24"/>
          <w:lang w:eastAsia="en-AU"/>
        </w:rPr>
      </w:pPr>
      <w:r w:rsidRPr="002655F5">
        <w:rPr>
          <w:rFonts w:eastAsia="Times New Roman"/>
          <w:bCs/>
          <w:szCs w:val="24"/>
          <w:lang w:eastAsia="en-AU"/>
        </w:rPr>
        <w:t>Part 2</w:t>
      </w:r>
      <w:r w:rsidR="00082B64">
        <w:rPr>
          <w:rFonts w:eastAsia="Times New Roman"/>
          <w:bCs/>
          <w:szCs w:val="24"/>
          <w:lang w:eastAsia="en-AU"/>
        </w:rPr>
        <w:t xml:space="preserve"> of Schedule </w:t>
      </w:r>
      <w:r w:rsidR="00384CE5">
        <w:rPr>
          <w:rFonts w:eastAsia="Times New Roman"/>
          <w:bCs/>
          <w:szCs w:val="24"/>
          <w:lang w:eastAsia="en-AU"/>
        </w:rPr>
        <w:t xml:space="preserve">1 </w:t>
      </w:r>
      <w:r w:rsidRPr="002655F5">
        <w:rPr>
          <w:rFonts w:eastAsia="Times New Roman"/>
          <w:bCs/>
          <w:szCs w:val="24"/>
          <w:lang w:eastAsia="en-AU"/>
        </w:rPr>
        <w:t xml:space="preserve">contains miscellaneous amendments to </w:t>
      </w:r>
      <w:r w:rsidR="00E107C0">
        <w:rPr>
          <w:rFonts w:eastAsia="Times New Roman"/>
          <w:bCs/>
          <w:szCs w:val="24"/>
          <w:lang w:eastAsia="en-AU"/>
        </w:rPr>
        <w:t xml:space="preserve">the Rules. </w:t>
      </w:r>
    </w:p>
    <w:p w14:paraId="1CBA85F5" w14:textId="77777777" w:rsidR="00761496" w:rsidRDefault="00761496" w:rsidP="00E107C0">
      <w:pPr>
        <w:spacing w:before="120"/>
        <w:outlineLvl w:val="2"/>
        <w:rPr>
          <w:rFonts w:eastAsia="Times New Roman"/>
          <w:bCs/>
          <w:szCs w:val="24"/>
          <w:lang w:eastAsia="en-AU"/>
        </w:rPr>
      </w:pPr>
    </w:p>
    <w:p w14:paraId="41B068C9" w14:textId="680E0C12" w:rsidR="00347D6D" w:rsidRPr="00347D6D" w:rsidRDefault="00761496" w:rsidP="00E107C0">
      <w:pPr>
        <w:spacing w:before="120"/>
        <w:outlineLvl w:val="2"/>
        <w:rPr>
          <w:rFonts w:eastAsia="Times New Roman"/>
          <w:b/>
          <w:bCs/>
          <w:szCs w:val="24"/>
          <w:lang w:eastAsia="en-AU"/>
        </w:rPr>
      </w:pPr>
      <w:r>
        <w:rPr>
          <w:rFonts w:eastAsia="Times New Roman"/>
          <w:b/>
          <w:bCs/>
          <w:szCs w:val="24"/>
          <w:lang w:eastAsia="en-AU"/>
        </w:rPr>
        <w:t>Item 16 – D</w:t>
      </w:r>
      <w:r w:rsidR="00347D6D" w:rsidRPr="00347D6D">
        <w:rPr>
          <w:rFonts w:eastAsia="Times New Roman"/>
          <w:b/>
          <w:bCs/>
          <w:szCs w:val="24"/>
          <w:lang w:eastAsia="en-AU"/>
        </w:rPr>
        <w:t>efinition of Special admissions test</w:t>
      </w:r>
    </w:p>
    <w:p w14:paraId="34F37D6D" w14:textId="4AC96AC2" w:rsidR="00347D6D" w:rsidRDefault="00347D6D" w:rsidP="00E107C0">
      <w:pPr>
        <w:spacing w:before="120"/>
        <w:outlineLvl w:val="2"/>
        <w:rPr>
          <w:rFonts w:eastAsia="Times New Roman"/>
          <w:bCs/>
          <w:szCs w:val="24"/>
          <w:lang w:eastAsia="en-AU"/>
        </w:rPr>
      </w:pPr>
      <w:r>
        <w:rPr>
          <w:rFonts w:eastAsia="Times New Roman"/>
          <w:bCs/>
          <w:szCs w:val="24"/>
          <w:lang w:eastAsia="en-AU"/>
        </w:rPr>
        <w:t xml:space="preserve">Item 16 inserts into section 4 of the Rules a definition </w:t>
      </w:r>
      <w:r w:rsidR="00761496">
        <w:rPr>
          <w:rFonts w:eastAsia="Times New Roman"/>
          <w:bCs/>
          <w:szCs w:val="24"/>
          <w:lang w:eastAsia="en-AU"/>
        </w:rPr>
        <w:t>of ‘Special admissions test’</w:t>
      </w:r>
      <w:r w:rsidR="00807687">
        <w:rPr>
          <w:rFonts w:eastAsia="Times New Roman"/>
          <w:bCs/>
          <w:szCs w:val="24"/>
          <w:lang w:eastAsia="en-AU"/>
        </w:rPr>
        <w:t>. This term</w:t>
      </w:r>
      <w:r>
        <w:rPr>
          <w:rFonts w:eastAsia="Times New Roman"/>
          <w:bCs/>
          <w:szCs w:val="24"/>
          <w:lang w:eastAsia="en-AU"/>
        </w:rPr>
        <w:t xml:space="preserve"> is defined to mean a test to determine the suitability of a person seeking admission into a specialist approved course that is necessary to establish the suitability of the person for admission into that approved course, and includes specialist auditions, tests and interviews that are different from the normal requirements for admissions.</w:t>
      </w:r>
    </w:p>
    <w:p w14:paraId="79663440" w14:textId="77777777" w:rsidR="00807687" w:rsidRDefault="00807687" w:rsidP="00E107C0">
      <w:pPr>
        <w:spacing w:before="120"/>
        <w:outlineLvl w:val="2"/>
        <w:rPr>
          <w:rFonts w:eastAsia="Times New Roman"/>
          <w:bCs/>
          <w:szCs w:val="24"/>
          <w:lang w:eastAsia="en-AU"/>
        </w:rPr>
      </w:pPr>
    </w:p>
    <w:p w14:paraId="3A85422B" w14:textId="0AC9B20D" w:rsidR="00807687" w:rsidRDefault="00807687" w:rsidP="00347D6D">
      <w:pPr>
        <w:spacing w:before="120"/>
        <w:outlineLvl w:val="2"/>
        <w:rPr>
          <w:b/>
          <w:szCs w:val="24"/>
        </w:rPr>
      </w:pPr>
      <w:r>
        <w:rPr>
          <w:rFonts w:eastAsia="Times New Roman"/>
          <w:b/>
          <w:bCs/>
          <w:szCs w:val="24"/>
          <w:lang w:eastAsia="en-AU"/>
        </w:rPr>
        <w:t xml:space="preserve">Item 17 </w:t>
      </w:r>
      <w:r w:rsidR="00761496">
        <w:rPr>
          <w:b/>
          <w:szCs w:val="24"/>
        </w:rPr>
        <w:t>– S</w:t>
      </w:r>
      <w:r w:rsidR="00347D6D">
        <w:rPr>
          <w:b/>
          <w:szCs w:val="24"/>
        </w:rPr>
        <w:t>ubsection 93(2)</w:t>
      </w:r>
      <w:r w:rsidR="00F4155F">
        <w:rPr>
          <w:b/>
          <w:szCs w:val="24"/>
        </w:rPr>
        <w:t xml:space="preserve"> </w:t>
      </w:r>
    </w:p>
    <w:p w14:paraId="38DE29B3" w14:textId="44312213" w:rsidR="00F4155F" w:rsidRDefault="00807687" w:rsidP="00347D6D">
      <w:pPr>
        <w:spacing w:before="120"/>
        <w:outlineLvl w:val="2"/>
        <w:rPr>
          <w:b/>
          <w:szCs w:val="24"/>
        </w:rPr>
      </w:pPr>
      <w:r>
        <w:rPr>
          <w:b/>
          <w:szCs w:val="24"/>
        </w:rPr>
        <w:t>Item 18 –</w:t>
      </w:r>
      <w:r w:rsidR="00F4155F">
        <w:rPr>
          <w:b/>
          <w:szCs w:val="24"/>
        </w:rPr>
        <w:t xml:space="preserve"> </w:t>
      </w:r>
      <w:r w:rsidR="00761496">
        <w:rPr>
          <w:b/>
          <w:szCs w:val="24"/>
        </w:rPr>
        <w:t>S</w:t>
      </w:r>
      <w:r>
        <w:rPr>
          <w:b/>
          <w:szCs w:val="24"/>
        </w:rPr>
        <w:t xml:space="preserve">ubsection </w:t>
      </w:r>
      <w:r w:rsidR="00F4155F">
        <w:rPr>
          <w:b/>
          <w:szCs w:val="24"/>
        </w:rPr>
        <w:t>93(3)</w:t>
      </w:r>
    </w:p>
    <w:p w14:paraId="211F850F" w14:textId="77777777" w:rsidR="00232AD5" w:rsidRPr="001F2713" w:rsidRDefault="00232AD5" w:rsidP="00232AD5">
      <w:pPr>
        <w:spacing w:before="120"/>
        <w:outlineLvl w:val="2"/>
        <w:rPr>
          <w:rFonts w:eastAsia="Times New Roman"/>
          <w:b/>
          <w:bCs/>
          <w:szCs w:val="24"/>
          <w:lang w:eastAsia="en-AU"/>
        </w:rPr>
      </w:pPr>
      <w:r w:rsidRPr="001F2713">
        <w:rPr>
          <w:rFonts w:eastAsia="Times New Roman"/>
          <w:b/>
          <w:bCs/>
          <w:szCs w:val="24"/>
          <w:lang w:eastAsia="en-AU"/>
        </w:rPr>
        <w:lastRenderedPageBreak/>
        <w:t>I</w:t>
      </w:r>
      <w:r>
        <w:rPr>
          <w:rFonts w:eastAsia="Times New Roman"/>
          <w:b/>
          <w:bCs/>
          <w:szCs w:val="24"/>
          <w:lang w:eastAsia="en-AU"/>
        </w:rPr>
        <w:t>tem 19 – A</w:t>
      </w:r>
      <w:r w:rsidRPr="001F2713">
        <w:rPr>
          <w:rFonts w:eastAsia="Times New Roman"/>
          <w:b/>
          <w:bCs/>
          <w:szCs w:val="24"/>
          <w:lang w:eastAsia="en-AU"/>
        </w:rPr>
        <w:t>fter paragraph 118(1)(f)</w:t>
      </w:r>
    </w:p>
    <w:p w14:paraId="0FC631E3" w14:textId="7794F7FA" w:rsidR="00232AD5" w:rsidRDefault="00232AD5" w:rsidP="00347D6D">
      <w:pPr>
        <w:spacing w:before="120"/>
        <w:outlineLvl w:val="2"/>
        <w:rPr>
          <w:szCs w:val="24"/>
        </w:rPr>
      </w:pPr>
      <w:r>
        <w:rPr>
          <w:szCs w:val="24"/>
        </w:rPr>
        <w:t xml:space="preserve">Subsection 93(1) of the Rules provides that an approved course provider must not charge fees, other than tuition fees, unless the provider has processes and procedures for ensuring the student understands: </w:t>
      </w:r>
    </w:p>
    <w:p w14:paraId="40498A3C" w14:textId="444671E8" w:rsidR="00232AD5" w:rsidRDefault="00232AD5" w:rsidP="00232AD5">
      <w:pPr>
        <w:pStyle w:val="ListParagraph"/>
        <w:numPr>
          <w:ilvl w:val="0"/>
          <w:numId w:val="53"/>
        </w:numPr>
        <w:spacing w:before="120"/>
        <w:outlineLvl w:val="2"/>
        <w:rPr>
          <w:szCs w:val="24"/>
        </w:rPr>
      </w:pPr>
      <w:r w:rsidRPr="00232AD5">
        <w:rPr>
          <w:szCs w:val="24"/>
        </w:rPr>
        <w:t>that the fees are not for tuition</w:t>
      </w:r>
      <w:r>
        <w:rPr>
          <w:szCs w:val="24"/>
        </w:rPr>
        <w:t>;</w:t>
      </w:r>
    </w:p>
    <w:p w14:paraId="5D8CA2A7" w14:textId="393D7495" w:rsidR="00232AD5" w:rsidRDefault="00232AD5" w:rsidP="00232AD5">
      <w:pPr>
        <w:pStyle w:val="ListParagraph"/>
        <w:numPr>
          <w:ilvl w:val="0"/>
          <w:numId w:val="53"/>
        </w:numPr>
        <w:spacing w:before="120"/>
        <w:outlineLvl w:val="2"/>
        <w:rPr>
          <w:szCs w:val="24"/>
        </w:rPr>
      </w:pPr>
      <w:r>
        <w:rPr>
          <w:szCs w:val="24"/>
        </w:rPr>
        <w:t>the purpose of the fees;</w:t>
      </w:r>
    </w:p>
    <w:p w14:paraId="05AE52A5" w14:textId="51C92905" w:rsidR="00232AD5" w:rsidRDefault="00232AD5" w:rsidP="00232AD5">
      <w:pPr>
        <w:pStyle w:val="ListParagraph"/>
        <w:numPr>
          <w:ilvl w:val="0"/>
          <w:numId w:val="53"/>
        </w:numPr>
        <w:spacing w:before="120"/>
        <w:outlineLvl w:val="2"/>
        <w:rPr>
          <w:szCs w:val="24"/>
        </w:rPr>
      </w:pPr>
      <w:r>
        <w:rPr>
          <w:szCs w:val="24"/>
        </w:rPr>
        <w:t>the student’s total liability for the fees; and</w:t>
      </w:r>
    </w:p>
    <w:p w14:paraId="2D37822E" w14:textId="08EB74BF" w:rsidR="00232AD5" w:rsidRDefault="00232AD5" w:rsidP="00232AD5">
      <w:pPr>
        <w:pStyle w:val="ListParagraph"/>
        <w:numPr>
          <w:ilvl w:val="0"/>
          <w:numId w:val="53"/>
        </w:numPr>
        <w:spacing w:before="120"/>
        <w:outlineLvl w:val="2"/>
        <w:rPr>
          <w:szCs w:val="24"/>
        </w:rPr>
      </w:pPr>
      <w:r>
        <w:rPr>
          <w:szCs w:val="24"/>
        </w:rPr>
        <w:t>when and how the fees are to be paid.</w:t>
      </w:r>
    </w:p>
    <w:p w14:paraId="2DE61F2D" w14:textId="77777777" w:rsidR="00082B64" w:rsidRDefault="00232AD5" w:rsidP="00232AD5">
      <w:pPr>
        <w:spacing w:before="120"/>
        <w:outlineLvl w:val="2"/>
        <w:rPr>
          <w:szCs w:val="24"/>
        </w:rPr>
      </w:pPr>
      <w:r>
        <w:rPr>
          <w:szCs w:val="24"/>
        </w:rPr>
        <w:t xml:space="preserve">Paragraph 93(2)(a) provides that an approved provider’s processes and procedures in relation to fees other than tuition fees must not require fees to be paid for assessments to determine whether a student is academically suited to undertake a course and applying for enrolment, or enrolling in, an approved course. </w:t>
      </w:r>
      <w:r w:rsidR="009E1761">
        <w:rPr>
          <w:szCs w:val="24"/>
        </w:rPr>
        <w:t xml:space="preserve">Items 17 and 18 amend this rule to enable a provider to include, outside of tuition fees, fees to be paid for a special admissions test. </w:t>
      </w:r>
    </w:p>
    <w:p w14:paraId="136687F5" w14:textId="64F88A7F" w:rsidR="009E1761" w:rsidRDefault="009E1761" w:rsidP="00232AD5">
      <w:pPr>
        <w:spacing w:before="120"/>
        <w:outlineLvl w:val="2"/>
        <w:rPr>
          <w:szCs w:val="24"/>
        </w:rPr>
      </w:pPr>
      <w:r>
        <w:rPr>
          <w:szCs w:val="24"/>
        </w:rPr>
        <w:t>As a consequence of this change, item 19 amends subsection 118(1) of the Rules to ensure that fees for a special admission test are not included as part of tuition fees. Outside of the fees for a special admission test, it remains the case that fees for assessments of a student’s academic suitability may be included in the tuition fees (per paragraph 118(1)(b) of the Rules).</w:t>
      </w:r>
    </w:p>
    <w:p w14:paraId="664BAB33" w14:textId="77777777" w:rsidR="009E1761" w:rsidRPr="00232AD5" w:rsidRDefault="009E1761" w:rsidP="00232AD5">
      <w:pPr>
        <w:spacing w:before="120"/>
        <w:outlineLvl w:val="2"/>
        <w:rPr>
          <w:szCs w:val="24"/>
        </w:rPr>
      </w:pPr>
    </w:p>
    <w:p w14:paraId="7937EE28" w14:textId="627AF51A" w:rsidR="00761496" w:rsidRDefault="001F2713" w:rsidP="00347D6D">
      <w:pPr>
        <w:spacing w:before="120"/>
        <w:outlineLvl w:val="2"/>
        <w:rPr>
          <w:rFonts w:eastAsia="Times New Roman"/>
          <w:b/>
          <w:bCs/>
          <w:szCs w:val="24"/>
          <w:lang w:eastAsia="en-AU"/>
        </w:rPr>
      </w:pPr>
      <w:r w:rsidRPr="001F2713">
        <w:rPr>
          <w:rFonts w:eastAsia="Times New Roman"/>
          <w:b/>
          <w:bCs/>
          <w:szCs w:val="24"/>
          <w:lang w:eastAsia="en-AU"/>
        </w:rPr>
        <w:t>Item 20</w:t>
      </w:r>
      <w:r w:rsidR="00761496">
        <w:rPr>
          <w:rFonts w:eastAsia="Times New Roman"/>
          <w:b/>
          <w:bCs/>
          <w:szCs w:val="24"/>
          <w:lang w:eastAsia="en-AU"/>
        </w:rPr>
        <w:t xml:space="preserve"> –</w:t>
      </w:r>
      <w:r w:rsidR="00384CE5">
        <w:rPr>
          <w:rFonts w:eastAsia="Times New Roman"/>
          <w:b/>
          <w:bCs/>
          <w:szCs w:val="24"/>
          <w:lang w:eastAsia="en-AU"/>
        </w:rPr>
        <w:t xml:space="preserve"> </w:t>
      </w:r>
      <w:r w:rsidR="00761496">
        <w:rPr>
          <w:rFonts w:eastAsia="Times New Roman"/>
          <w:b/>
          <w:bCs/>
          <w:szCs w:val="24"/>
          <w:lang w:eastAsia="en-AU"/>
        </w:rPr>
        <w:t>Subsection 161(1)</w:t>
      </w:r>
    </w:p>
    <w:p w14:paraId="08532D02" w14:textId="77B49B4C" w:rsidR="001F2713" w:rsidRDefault="00761496" w:rsidP="00347D6D">
      <w:pPr>
        <w:spacing w:before="120"/>
        <w:outlineLvl w:val="2"/>
        <w:rPr>
          <w:rFonts w:eastAsia="Times New Roman"/>
          <w:b/>
          <w:bCs/>
          <w:szCs w:val="24"/>
          <w:lang w:eastAsia="en-AU"/>
        </w:rPr>
      </w:pPr>
      <w:r>
        <w:rPr>
          <w:rFonts w:eastAsia="Times New Roman"/>
          <w:b/>
          <w:bCs/>
          <w:szCs w:val="24"/>
          <w:lang w:eastAsia="en-AU"/>
        </w:rPr>
        <w:t>Item</w:t>
      </w:r>
      <w:r w:rsidR="001F2713" w:rsidRPr="001F2713">
        <w:rPr>
          <w:rFonts w:eastAsia="Times New Roman"/>
          <w:b/>
          <w:bCs/>
          <w:szCs w:val="24"/>
          <w:lang w:eastAsia="en-AU"/>
        </w:rPr>
        <w:t xml:space="preserve"> 21 – </w:t>
      </w:r>
      <w:r>
        <w:rPr>
          <w:rFonts w:eastAsia="Times New Roman"/>
          <w:b/>
          <w:bCs/>
          <w:szCs w:val="24"/>
          <w:lang w:eastAsia="en-AU"/>
        </w:rPr>
        <w:t>Sub</w:t>
      </w:r>
      <w:r w:rsidR="001F2713" w:rsidRPr="001F2713">
        <w:rPr>
          <w:rFonts w:eastAsia="Times New Roman"/>
          <w:b/>
          <w:bCs/>
          <w:szCs w:val="24"/>
          <w:lang w:eastAsia="en-AU"/>
        </w:rPr>
        <w:t>section</w:t>
      </w:r>
      <w:r>
        <w:rPr>
          <w:rFonts w:eastAsia="Times New Roman"/>
          <w:b/>
          <w:bCs/>
          <w:szCs w:val="24"/>
          <w:lang w:eastAsia="en-AU"/>
        </w:rPr>
        <w:t>s</w:t>
      </w:r>
      <w:r w:rsidR="001F2713" w:rsidRPr="001F2713">
        <w:rPr>
          <w:rFonts w:eastAsia="Times New Roman"/>
          <w:b/>
          <w:bCs/>
          <w:szCs w:val="24"/>
          <w:lang w:eastAsia="en-AU"/>
        </w:rPr>
        <w:t xml:space="preserve"> 161</w:t>
      </w:r>
      <w:r>
        <w:rPr>
          <w:rFonts w:eastAsia="Times New Roman"/>
          <w:b/>
          <w:bCs/>
          <w:szCs w:val="24"/>
          <w:lang w:eastAsia="en-AU"/>
        </w:rPr>
        <w:t>(2) and 161(3)</w:t>
      </w:r>
    </w:p>
    <w:p w14:paraId="54A748F5" w14:textId="77777777" w:rsidR="00A85B04" w:rsidRDefault="000D4B15" w:rsidP="00347D6D">
      <w:pPr>
        <w:spacing w:before="120"/>
        <w:outlineLvl w:val="2"/>
        <w:rPr>
          <w:rFonts w:eastAsia="Times New Roman"/>
          <w:bCs/>
          <w:szCs w:val="24"/>
          <w:lang w:eastAsia="en-AU"/>
        </w:rPr>
      </w:pPr>
      <w:r>
        <w:rPr>
          <w:rFonts w:eastAsia="Times New Roman"/>
          <w:bCs/>
          <w:szCs w:val="24"/>
          <w:lang w:eastAsia="en-AU"/>
        </w:rPr>
        <w:t xml:space="preserve">Section 161 of the Rules allow the Secretary to recover, on behalf of the Commonwealth as a debt due to the Commonwealth any amount of the approved course provider charge and late payment penalty that is due and payable. Item 20 amends existing section 161 by making the existing section 161 a new subsection 161(1). </w:t>
      </w:r>
    </w:p>
    <w:p w14:paraId="7FE7FB6A" w14:textId="42626AC8" w:rsidR="001F2713" w:rsidRPr="001F2713" w:rsidRDefault="001F2713" w:rsidP="00347D6D">
      <w:pPr>
        <w:spacing w:before="120"/>
        <w:outlineLvl w:val="2"/>
        <w:rPr>
          <w:rFonts w:eastAsia="Times New Roman"/>
          <w:bCs/>
          <w:szCs w:val="24"/>
          <w:lang w:eastAsia="en-AU"/>
        </w:rPr>
      </w:pPr>
      <w:r>
        <w:rPr>
          <w:rFonts w:eastAsia="Times New Roman"/>
          <w:bCs/>
          <w:szCs w:val="24"/>
          <w:lang w:eastAsia="en-AU"/>
        </w:rPr>
        <w:t>Item 21</w:t>
      </w:r>
      <w:r w:rsidR="000D4B15">
        <w:rPr>
          <w:rFonts w:eastAsia="Times New Roman"/>
          <w:bCs/>
          <w:szCs w:val="24"/>
          <w:lang w:eastAsia="en-AU"/>
        </w:rPr>
        <w:t xml:space="preserve"> </w:t>
      </w:r>
      <w:r>
        <w:rPr>
          <w:rFonts w:eastAsia="Times New Roman"/>
          <w:bCs/>
          <w:szCs w:val="24"/>
          <w:lang w:eastAsia="en-AU"/>
        </w:rPr>
        <w:t>inserts</w:t>
      </w:r>
      <w:r w:rsidR="000D4B15">
        <w:rPr>
          <w:rFonts w:eastAsia="Times New Roman"/>
          <w:bCs/>
          <w:szCs w:val="24"/>
          <w:lang w:eastAsia="en-AU"/>
        </w:rPr>
        <w:t xml:space="preserve"> two further subsections into section 161. New subsection 161(2) provides that the Commonwealth may recover a debt referred to in subsection 161(1) from one or more loan amounts that would otherwise be payable to the course provider. New subsection 161(3) provides that if a debt is recovered from an amount that is otherwise payable in relation to a student, the amount recovered is taken to have been paid to the course provider in relation to the student. </w:t>
      </w:r>
    </w:p>
    <w:p w14:paraId="4CEF26AA" w14:textId="559D22F6" w:rsidR="005F4F8D" w:rsidRPr="001F2713" w:rsidRDefault="005F4F8D" w:rsidP="00347D6D">
      <w:pPr>
        <w:spacing w:before="120"/>
        <w:outlineLvl w:val="2"/>
        <w:rPr>
          <w:color w:val="FF0000"/>
          <w:szCs w:val="24"/>
        </w:rPr>
      </w:pPr>
      <w:r w:rsidRPr="001F2713">
        <w:rPr>
          <w:color w:val="FF0000"/>
          <w:szCs w:val="24"/>
        </w:rPr>
        <w:br w:type="page"/>
      </w:r>
    </w:p>
    <w:p w14:paraId="76CF035E" w14:textId="67D7B7A3" w:rsidR="006A33FB" w:rsidRPr="00397BD8" w:rsidRDefault="007F06A4" w:rsidP="007F06A4">
      <w:pPr>
        <w:spacing w:after="200" w:line="276" w:lineRule="auto"/>
        <w:jc w:val="right"/>
        <w:rPr>
          <w:b/>
          <w:szCs w:val="24"/>
          <w:u w:val="single"/>
        </w:rPr>
      </w:pPr>
      <w:r w:rsidRPr="00397BD8">
        <w:rPr>
          <w:b/>
          <w:szCs w:val="24"/>
          <w:u w:val="single"/>
        </w:rPr>
        <w:lastRenderedPageBreak/>
        <w:t xml:space="preserve">Attachment B </w:t>
      </w:r>
    </w:p>
    <w:p w14:paraId="7EC12B40" w14:textId="77777777" w:rsidR="009C6520" w:rsidRPr="00397BD8" w:rsidRDefault="009C6520" w:rsidP="00790D7A">
      <w:pPr>
        <w:pStyle w:val="Title"/>
        <w:pBdr>
          <w:bottom w:val="single" w:sz="4" w:space="4" w:color="000000" w:themeColor="text1"/>
        </w:pBdr>
      </w:pPr>
      <w:r w:rsidRPr="00397BD8">
        <w:t>Statement</w:t>
      </w:r>
      <w:r w:rsidR="00F7554A" w:rsidRPr="00397BD8">
        <w:t xml:space="preserve"> </w:t>
      </w:r>
      <w:r w:rsidRPr="00397BD8">
        <w:t>of Compatibility with Human Rights</w:t>
      </w:r>
    </w:p>
    <w:p w14:paraId="53A52B10" w14:textId="77777777" w:rsidR="00091E0D" w:rsidRPr="00397BD8" w:rsidRDefault="00091E0D" w:rsidP="00A25584"/>
    <w:p w14:paraId="0271E58D"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667FF271" w14:textId="77777777" w:rsidR="00AA33DE" w:rsidRPr="00397BD8" w:rsidRDefault="00AA33DE" w:rsidP="00A25584"/>
    <w:p w14:paraId="20019270" w14:textId="0F4F518E" w:rsidR="00C2777F" w:rsidRDefault="00CF063F" w:rsidP="00CF063F">
      <w:pPr>
        <w:jc w:val="center"/>
        <w:rPr>
          <w:b/>
          <w:i/>
        </w:rPr>
      </w:pPr>
      <w:r>
        <w:rPr>
          <w:b/>
          <w:i/>
        </w:rPr>
        <w:t>VET Student Loans Amendment Rules (No. 1) 2019</w:t>
      </w:r>
    </w:p>
    <w:p w14:paraId="70F875FF" w14:textId="7DBBEB84" w:rsidR="00CF063F" w:rsidRPr="00495FA6" w:rsidRDefault="00CF063F" w:rsidP="00495FA6"/>
    <w:p w14:paraId="2D471BC5" w14:textId="05AC9212" w:rsidR="00495FA6" w:rsidRDefault="00495FA6" w:rsidP="00495FA6">
      <w:r>
        <w:t xml:space="preserve">The </w:t>
      </w:r>
      <w:r w:rsidRPr="00495FA6">
        <w:rPr>
          <w:i/>
        </w:rPr>
        <w:t>VET Student Loans Amendment Rules (No. 1) 2019</w:t>
      </w:r>
      <w:r>
        <w:t xml:space="preserve"> (</w:t>
      </w:r>
      <w:r w:rsidRPr="00495FA6">
        <w:rPr>
          <w:b/>
        </w:rPr>
        <w:t>Amendment Rules</w:t>
      </w:r>
      <w:r>
        <w:t xml:space="preserve">) are compatible with the human rights and freedoms recognised or declared in the international instruments listed in section 3 of the </w:t>
      </w:r>
      <w:r w:rsidRPr="00495FA6">
        <w:rPr>
          <w:i/>
        </w:rPr>
        <w:t>Human Rights (Parliamentary Scrutiny) Act 2011</w:t>
      </w:r>
      <w:r>
        <w:t xml:space="preserve">. </w:t>
      </w:r>
    </w:p>
    <w:p w14:paraId="486C709D" w14:textId="6224015A" w:rsidR="00495FA6" w:rsidRDefault="00495FA6" w:rsidP="00495FA6"/>
    <w:p w14:paraId="1A54B915" w14:textId="4ABE26CF" w:rsidR="00495FA6" w:rsidRPr="00495FA6" w:rsidRDefault="00495FA6" w:rsidP="00495FA6">
      <w:pPr>
        <w:rPr>
          <w:b/>
        </w:rPr>
      </w:pPr>
      <w:r w:rsidRPr="00495FA6">
        <w:rPr>
          <w:b/>
        </w:rPr>
        <w:t xml:space="preserve">Overview of the Legislative Instrument </w:t>
      </w:r>
    </w:p>
    <w:p w14:paraId="7BE3AAC9" w14:textId="63D09C60" w:rsidR="00495FA6" w:rsidRDefault="00495FA6" w:rsidP="00495FA6"/>
    <w:p w14:paraId="328599AA" w14:textId="29F87658" w:rsidR="00BC1A35" w:rsidRDefault="00BC1A35" w:rsidP="00BC1A35">
      <w:pPr>
        <w:spacing w:line="276" w:lineRule="auto"/>
        <w:rPr>
          <w:lang w:eastAsia="en-AU"/>
        </w:rPr>
      </w:pPr>
      <w:r w:rsidRPr="003665B2">
        <w:rPr>
          <w:lang w:eastAsia="en-AU"/>
        </w:rPr>
        <w:t xml:space="preserve">The </w:t>
      </w:r>
      <w:r w:rsidRPr="003665B2">
        <w:rPr>
          <w:i/>
          <w:lang w:eastAsia="en-AU"/>
        </w:rPr>
        <w:t>Education Legislation Amendment (</w:t>
      </w:r>
      <w:r>
        <w:rPr>
          <w:i/>
          <w:lang w:eastAsia="en-AU"/>
        </w:rPr>
        <w:t>Tuition Protection and Other Measures) Act 2019</w:t>
      </w:r>
      <w:r w:rsidRPr="003665B2">
        <w:rPr>
          <w:lang w:eastAsia="en-AU"/>
        </w:rPr>
        <w:t xml:space="preserve"> (</w:t>
      </w:r>
      <w:r>
        <w:rPr>
          <w:b/>
          <w:lang w:eastAsia="en-AU"/>
        </w:rPr>
        <w:t>Tuition Protection</w:t>
      </w:r>
      <w:r w:rsidRPr="003665B2">
        <w:rPr>
          <w:b/>
          <w:lang w:eastAsia="en-AU"/>
        </w:rPr>
        <w:t xml:space="preserve"> Act</w:t>
      </w:r>
      <w:r>
        <w:rPr>
          <w:lang w:eastAsia="en-AU"/>
        </w:rPr>
        <w:t>) implement</w:t>
      </w:r>
      <w:r w:rsidR="00973A78">
        <w:rPr>
          <w:lang w:eastAsia="en-AU"/>
        </w:rPr>
        <w:t>s</w:t>
      </w:r>
      <w:r>
        <w:rPr>
          <w:lang w:eastAsia="en-AU"/>
        </w:rPr>
        <w:t xml:space="preserve"> a new tuition protection model for students accessing VET Student Loans, FEE-HELP or HECS-HELP to provide greater tuition protection to students</w:t>
      </w:r>
      <w:r w:rsidR="00973A78">
        <w:rPr>
          <w:lang w:eastAsia="en-AU"/>
        </w:rPr>
        <w:t xml:space="preserve"> as from 1 January 2020</w:t>
      </w:r>
      <w:r>
        <w:rPr>
          <w:lang w:eastAsia="en-AU"/>
        </w:rPr>
        <w:t xml:space="preserve">. </w:t>
      </w:r>
    </w:p>
    <w:p w14:paraId="4545E5E3" w14:textId="60FA5C2F" w:rsidR="00BC1A35" w:rsidRDefault="00BC1A35" w:rsidP="00BC1A35">
      <w:pPr>
        <w:spacing w:line="276" w:lineRule="auto"/>
        <w:rPr>
          <w:lang w:eastAsia="en-AU"/>
        </w:rPr>
      </w:pPr>
    </w:p>
    <w:p w14:paraId="24389CC8" w14:textId="77777777" w:rsidR="00BC1A35" w:rsidRDefault="00BC1A35" w:rsidP="00BC1A35">
      <w:r w:rsidRPr="009208B8">
        <w:t>Tuition protection aims to ensure students are protected and supported in the event that their course provider</w:t>
      </w:r>
      <w:r>
        <w:t xml:space="preserve"> defaults – that is, where the student has not withdrawn from the course and either:</w:t>
      </w:r>
    </w:p>
    <w:p w14:paraId="2AE37CA0" w14:textId="77777777" w:rsidR="00BC1A35" w:rsidRDefault="00BC1A35" w:rsidP="00BC1A35">
      <w:pPr>
        <w:pStyle w:val="ListParagraph"/>
        <w:numPr>
          <w:ilvl w:val="0"/>
          <w:numId w:val="41"/>
        </w:numPr>
      </w:pPr>
      <w:r w:rsidRPr="00E23AC1">
        <w:t xml:space="preserve">the provider fails to start to provide a course or a part of a course to the student on the day on which the course or part was scheduled to start; </w:t>
      </w:r>
      <w:r>
        <w:t>or</w:t>
      </w:r>
    </w:p>
    <w:p w14:paraId="7430C30A" w14:textId="77777777" w:rsidR="00BC1A35" w:rsidRPr="005D24ED" w:rsidRDefault="00BC1A35" w:rsidP="00BC1A35">
      <w:pPr>
        <w:pStyle w:val="ListParagraph"/>
        <w:numPr>
          <w:ilvl w:val="0"/>
          <w:numId w:val="41"/>
        </w:numPr>
      </w:pPr>
      <w:r w:rsidRPr="00E23AC1">
        <w:t>the provider ceases to provide a course or a part of a course to the student at any time after the course or part starts but before it is completed</w:t>
      </w:r>
      <w:r>
        <w:t>.</w:t>
      </w:r>
    </w:p>
    <w:p w14:paraId="0DB74A53" w14:textId="77777777" w:rsidR="00BC1A35" w:rsidRDefault="00BC1A35" w:rsidP="00BC1A35">
      <w:pPr>
        <w:spacing w:line="276" w:lineRule="auto"/>
        <w:rPr>
          <w:lang w:eastAsia="en-AU"/>
        </w:rPr>
      </w:pPr>
    </w:p>
    <w:p w14:paraId="4BAB1703" w14:textId="77777777" w:rsidR="00BC1A35" w:rsidRPr="003665B2" w:rsidRDefault="00BC1A35" w:rsidP="00BC1A35">
      <w:pPr>
        <w:spacing w:line="276" w:lineRule="auto"/>
        <w:rPr>
          <w:lang w:eastAsia="en-AU"/>
        </w:rPr>
      </w:pPr>
      <w:r>
        <w:rPr>
          <w:lang w:eastAsia="en-AU"/>
        </w:rPr>
        <w:t>To do this the Tuition Protection</w:t>
      </w:r>
      <w:r w:rsidRPr="003665B2">
        <w:rPr>
          <w:lang w:eastAsia="en-AU"/>
        </w:rPr>
        <w:t xml:space="preserve"> Act amended the </w:t>
      </w:r>
      <w:r>
        <w:rPr>
          <w:i/>
          <w:lang w:eastAsia="en-AU"/>
        </w:rPr>
        <w:t xml:space="preserve">VET Student Loans Act </w:t>
      </w:r>
      <w:r>
        <w:rPr>
          <w:lang w:eastAsia="en-AU"/>
        </w:rPr>
        <w:t>(</w:t>
      </w:r>
      <w:r w:rsidRPr="00D241C4">
        <w:rPr>
          <w:b/>
          <w:lang w:eastAsia="en-AU"/>
        </w:rPr>
        <w:t>VSL Act</w:t>
      </w:r>
      <w:r>
        <w:rPr>
          <w:lang w:eastAsia="en-AU"/>
        </w:rPr>
        <w:t xml:space="preserve">) </w:t>
      </w:r>
      <w:r w:rsidRPr="003665B2">
        <w:rPr>
          <w:lang w:eastAsia="en-AU"/>
        </w:rPr>
        <w:t>to (among other things):</w:t>
      </w:r>
    </w:p>
    <w:p w14:paraId="7D9EA527" w14:textId="32A2BAA8" w:rsidR="00BC1A35" w:rsidRDefault="00BC1A35" w:rsidP="00082B64">
      <w:pPr>
        <w:pStyle w:val="ListParagraph"/>
        <w:numPr>
          <w:ilvl w:val="0"/>
          <w:numId w:val="54"/>
        </w:numPr>
        <w:spacing w:line="276" w:lineRule="auto"/>
        <w:rPr>
          <w:lang w:eastAsia="en-AU"/>
        </w:rPr>
      </w:pPr>
      <w:r w:rsidRPr="00EF7E22">
        <w:t>require non-exempt providers to contribute annual levies, commensurate with their size and risk</w:t>
      </w:r>
      <w:r w:rsidR="00973A78">
        <w:t xml:space="preserve"> (which levy is to be imposed by the proposed </w:t>
      </w:r>
      <w:r w:rsidR="00973A78">
        <w:rPr>
          <w:rFonts w:eastAsia="Times New Roman"/>
          <w:szCs w:val="24"/>
          <w:lang w:eastAsia="en-AU"/>
        </w:rPr>
        <w:t>VET Student Loans (VSL Tuition Protection Levy) Bill 2019 – once enacted)</w:t>
      </w:r>
      <w:r w:rsidRPr="00EF7E22">
        <w:t xml:space="preserve">. The levy system </w:t>
      </w:r>
      <w:r w:rsidR="00384CE5">
        <w:t xml:space="preserve">will </w:t>
      </w:r>
      <w:r w:rsidRPr="00EF7E22">
        <w:t>ensure the new arrangements are sustainable and can respond to sector trends</w:t>
      </w:r>
      <w:r w:rsidRPr="003665B2">
        <w:rPr>
          <w:lang w:eastAsia="en-AU"/>
        </w:rPr>
        <w:t>;</w:t>
      </w:r>
    </w:p>
    <w:p w14:paraId="4A32CBEB" w14:textId="77777777" w:rsidR="00BC1A35" w:rsidRPr="003665B2" w:rsidRDefault="00BC1A35" w:rsidP="00082B64">
      <w:pPr>
        <w:pStyle w:val="ListParagraph"/>
        <w:numPr>
          <w:ilvl w:val="0"/>
          <w:numId w:val="54"/>
        </w:numPr>
        <w:spacing w:line="276" w:lineRule="auto"/>
        <w:rPr>
          <w:lang w:eastAsia="en-AU"/>
        </w:rPr>
      </w:pPr>
      <w:r>
        <w:rPr>
          <w:lang w:eastAsia="en-AU"/>
        </w:rPr>
        <w:t>establish the VET Student Loans Tuition Protection Fund (</w:t>
      </w:r>
      <w:r w:rsidRPr="002D37BE">
        <w:rPr>
          <w:b/>
          <w:lang w:eastAsia="en-AU"/>
        </w:rPr>
        <w:t>the Fund</w:t>
      </w:r>
      <w:r>
        <w:rPr>
          <w:lang w:eastAsia="en-AU"/>
        </w:rPr>
        <w:t>) as a special account;</w:t>
      </w:r>
    </w:p>
    <w:p w14:paraId="19C5CEDD" w14:textId="016CA143" w:rsidR="00BC1A35" w:rsidRPr="003665B2" w:rsidRDefault="00BC1A35" w:rsidP="00082B64">
      <w:pPr>
        <w:pStyle w:val="ListParagraph"/>
        <w:numPr>
          <w:ilvl w:val="0"/>
          <w:numId w:val="54"/>
        </w:numPr>
        <w:spacing w:line="276" w:lineRule="auto"/>
        <w:rPr>
          <w:lang w:eastAsia="en-AU"/>
        </w:rPr>
      </w:pPr>
      <w:r>
        <w:rPr>
          <w:lang w:eastAsia="en-AU"/>
        </w:rPr>
        <w:t>establish a VSL Tuition Protection Director (</w:t>
      </w:r>
      <w:r w:rsidRPr="002D37BE">
        <w:rPr>
          <w:b/>
          <w:lang w:eastAsia="en-AU"/>
        </w:rPr>
        <w:t>the Director</w:t>
      </w:r>
      <w:r>
        <w:rPr>
          <w:lang w:eastAsia="en-AU"/>
        </w:rPr>
        <w:t xml:space="preserve">) to administer the new </w:t>
      </w:r>
      <w:r w:rsidR="00973A78">
        <w:rPr>
          <w:lang w:eastAsia="en-AU"/>
        </w:rPr>
        <w:t xml:space="preserve">tuition protection </w:t>
      </w:r>
      <w:r>
        <w:rPr>
          <w:lang w:eastAsia="en-AU"/>
        </w:rPr>
        <w:t>arrangements and manage the Fund and the VSL Tuition Protection Fund Advisory Board to provide advice to the Director</w:t>
      </w:r>
      <w:r w:rsidRPr="003665B2">
        <w:rPr>
          <w:lang w:eastAsia="en-AU"/>
        </w:rPr>
        <w:t>;</w:t>
      </w:r>
    </w:p>
    <w:p w14:paraId="549DBB9E" w14:textId="77777777" w:rsidR="00BC1A35" w:rsidRPr="003665B2" w:rsidRDefault="00BC1A35" w:rsidP="00082B64">
      <w:pPr>
        <w:pStyle w:val="ListParagraph"/>
        <w:numPr>
          <w:ilvl w:val="0"/>
          <w:numId w:val="54"/>
        </w:numPr>
        <w:spacing w:line="276" w:lineRule="auto"/>
        <w:rPr>
          <w:lang w:eastAsia="en-AU"/>
        </w:rPr>
      </w:pPr>
      <w:r>
        <w:rPr>
          <w:lang w:eastAsia="en-AU"/>
        </w:rPr>
        <w:t>provide assistance to students to continue their studies in the same or similar course with a replacement provider, and where there is no suitable replacement course, provide a re-credit to students equal to the amount of the VET student loan used to pay tuition fees for the part of their original course which was not completed due to the provider’s default</w:t>
      </w:r>
      <w:r w:rsidRPr="003665B2">
        <w:rPr>
          <w:lang w:eastAsia="en-AU"/>
        </w:rPr>
        <w:t>;</w:t>
      </w:r>
      <w:r>
        <w:rPr>
          <w:lang w:eastAsia="en-AU"/>
        </w:rPr>
        <w:t xml:space="preserve"> </w:t>
      </w:r>
      <w:r w:rsidRPr="003665B2">
        <w:rPr>
          <w:lang w:eastAsia="en-AU"/>
        </w:rPr>
        <w:t xml:space="preserve"> </w:t>
      </w:r>
    </w:p>
    <w:p w14:paraId="4233733E" w14:textId="77777777" w:rsidR="00BC1A35" w:rsidRDefault="00BC1A35" w:rsidP="00082B64">
      <w:pPr>
        <w:pStyle w:val="ListParagraph"/>
        <w:numPr>
          <w:ilvl w:val="0"/>
          <w:numId w:val="54"/>
        </w:numPr>
        <w:spacing w:line="276" w:lineRule="auto"/>
        <w:rPr>
          <w:lang w:eastAsia="en-AU"/>
        </w:rPr>
      </w:pPr>
      <w:r>
        <w:t>impose obligations on defaulting providers to notify the Director and students of the default in a timely manner, and cooperate with the Director</w:t>
      </w:r>
      <w:r>
        <w:rPr>
          <w:lang w:eastAsia="en-AU"/>
        </w:rPr>
        <w:t>; and</w:t>
      </w:r>
    </w:p>
    <w:p w14:paraId="4AD8D901" w14:textId="590F71A3" w:rsidR="00BC1A35" w:rsidRPr="003665B2" w:rsidRDefault="00BC1A35" w:rsidP="00082B64">
      <w:pPr>
        <w:pStyle w:val="ListParagraph"/>
        <w:numPr>
          <w:ilvl w:val="0"/>
          <w:numId w:val="54"/>
        </w:numPr>
        <w:spacing w:line="276" w:lineRule="auto"/>
        <w:rPr>
          <w:lang w:eastAsia="en-AU"/>
        </w:rPr>
      </w:pPr>
      <w:r>
        <w:t xml:space="preserve">impose obligations on providers, which accept students in replacement courses, to enrol students as soon as practicable, give the student course credits in recognition of their prior completed studies, as </w:t>
      </w:r>
      <w:r>
        <w:lastRenderedPageBreak/>
        <w:t>appropriate, and not charge students for the replacement component of the replacement course</w:t>
      </w:r>
      <w:r w:rsidR="00082B64">
        <w:t xml:space="preserve"> if tuition fees have been paid for the affected part of the original course</w:t>
      </w:r>
      <w:r>
        <w:t>.</w:t>
      </w:r>
    </w:p>
    <w:p w14:paraId="7FAF51E2" w14:textId="5B06699E" w:rsidR="00BC1A35" w:rsidRDefault="00BC1A35" w:rsidP="00BC1A35">
      <w:pPr>
        <w:spacing w:line="276" w:lineRule="auto"/>
        <w:rPr>
          <w:lang w:eastAsia="en-AU"/>
        </w:rPr>
      </w:pPr>
    </w:p>
    <w:p w14:paraId="21C8D6F6" w14:textId="77777777" w:rsidR="00384CE5" w:rsidRDefault="00384CE5" w:rsidP="00384CE5">
      <w:pPr>
        <w:spacing w:line="276" w:lineRule="auto"/>
        <w:rPr>
          <w:rFonts w:eastAsia="Times New Roman"/>
          <w:szCs w:val="24"/>
          <w:lang w:eastAsia="en-AU"/>
        </w:rPr>
      </w:pPr>
      <w:r>
        <w:rPr>
          <w:rFonts w:eastAsia="Times New Roman"/>
          <w:szCs w:val="24"/>
          <w:lang w:eastAsia="en-AU"/>
        </w:rPr>
        <w:t>Once enacted the VET Student Loans (VSL Tuition Protection Levy) Bill 2019 will impose the VSL tuition protection levy on leviable providers, and establish the method for calculating various components of the levy.</w:t>
      </w:r>
    </w:p>
    <w:p w14:paraId="209F2385" w14:textId="44B3FA51" w:rsidR="00BC1A35" w:rsidRDefault="00BC1A35" w:rsidP="00BC1A35">
      <w:pPr>
        <w:spacing w:line="276" w:lineRule="auto"/>
        <w:rPr>
          <w:rFonts w:eastAsia="Times New Roman"/>
          <w:szCs w:val="24"/>
          <w:lang w:eastAsia="en-AU"/>
        </w:rPr>
      </w:pPr>
      <w:r>
        <w:rPr>
          <w:rFonts w:eastAsia="Times New Roman"/>
          <w:szCs w:val="24"/>
          <w:lang w:eastAsia="en-AU"/>
        </w:rPr>
        <w:t>.</w:t>
      </w:r>
    </w:p>
    <w:p w14:paraId="05B22A0B" w14:textId="044B5135" w:rsidR="00BC1A35" w:rsidRDefault="00BC1A35" w:rsidP="00BC1A35">
      <w:pPr>
        <w:spacing w:line="276" w:lineRule="auto"/>
        <w:rPr>
          <w:rFonts w:eastAsia="Times New Roman"/>
          <w:szCs w:val="24"/>
          <w:lang w:eastAsia="en-AU"/>
        </w:rPr>
      </w:pPr>
      <w:r w:rsidRPr="003665B2">
        <w:rPr>
          <w:rFonts w:eastAsia="Times New Roman"/>
          <w:szCs w:val="24"/>
          <w:lang w:eastAsia="en-AU"/>
        </w:rPr>
        <w:t>As a result of the ame</w:t>
      </w:r>
      <w:r>
        <w:rPr>
          <w:rFonts w:eastAsia="Times New Roman"/>
          <w:szCs w:val="24"/>
          <w:lang w:eastAsia="en-AU"/>
        </w:rPr>
        <w:t>ndments made to the Act by the Tuition Protection Act</w:t>
      </w:r>
      <w:r w:rsidRPr="003665B2">
        <w:rPr>
          <w:rFonts w:eastAsia="Times New Roman"/>
          <w:szCs w:val="24"/>
          <w:lang w:eastAsia="en-AU"/>
        </w:rPr>
        <w:t xml:space="preserve">, various consequential amendments are required to the </w:t>
      </w:r>
      <w:r w:rsidRPr="003665B2">
        <w:rPr>
          <w:rFonts w:eastAsia="Times New Roman"/>
          <w:i/>
          <w:szCs w:val="24"/>
          <w:lang w:eastAsia="en-AU"/>
        </w:rPr>
        <w:t>VET Student Loans Rules 2016</w:t>
      </w:r>
      <w:r w:rsidRPr="003665B2">
        <w:rPr>
          <w:rFonts w:eastAsia="Times New Roman"/>
          <w:szCs w:val="24"/>
          <w:lang w:eastAsia="en-AU"/>
        </w:rPr>
        <w:t xml:space="preserve"> (</w:t>
      </w:r>
      <w:r w:rsidRPr="00E26DE6">
        <w:rPr>
          <w:rFonts w:eastAsia="Times New Roman"/>
          <w:b/>
          <w:szCs w:val="24"/>
          <w:lang w:eastAsia="en-AU"/>
        </w:rPr>
        <w:t>Rules</w:t>
      </w:r>
      <w:r w:rsidRPr="003665B2">
        <w:rPr>
          <w:rFonts w:eastAsia="Times New Roman"/>
          <w:szCs w:val="24"/>
          <w:lang w:eastAsia="en-AU"/>
        </w:rPr>
        <w:t xml:space="preserve">), made pursuant to section 116 of the </w:t>
      </w:r>
      <w:r w:rsidR="002E7751">
        <w:rPr>
          <w:rFonts w:eastAsia="Times New Roman"/>
          <w:szCs w:val="24"/>
          <w:lang w:eastAsia="en-AU"/>
        </w:rPr>
        <w:t xml:space="preserve">VSL </w:t>
      </w:r>
      <w:r w:rsidRPr="003665B2">
        <w:rPr>
          <w:rFonts w:eastAsia="Times New Roman"/>
          <w:szCs w:val="24"/>
          <w:lang w:eastAsia="en-AU"/>
        </w:rPr>
        <w:t xml:space="preserve">Act. </w:t>
      </w:r>
      <w:r>
        <w:rPr>
          <w:rFonts w:eastAsia="Times New Roman"/>
          <w:szCs w:val="24"/>
          <w:lang w:eastAsia="en-AU"/>
        </w:rPr>
        <w:t xml:space="preserve">Other changes to the Rules allow approved course providers to charge fees to establish the suitability of a person for admission into a specialist approved course, and the Commonwealth to recover unpaid amounts of the annual approved course provider charge from a loan amount that would otherwise be payable to the provider. </w:t>
      </w:r>
    </w:p>
    <w:p w14:paraId="26F75CEC" w14:textId="557B37C5" w:rsidR="00590A9E" w:rsidRDefault="00590A9E" w:rsidP="00495FA6">
      <w:pPr>
        <w:spacing w:line="276" w:lineRule="auto"/>
        <w:rPr>
          <w:lang w:eastAsia="en-AU"/>
        </w:rPr>
      </w:pPr>
    </w:p>
    <w:p w14:paraId="731763EB" w14:textId="518CE653" w:rsidR="00590A9E" w:rsidRPr="00590A9E" w:rsidRDefault="00590A9E" w:rsidP="00495FA6">
      <w:pPr>
        <w:spacing w:line="276" w:lineRule="auto"/>
        <w:rPr>
          <w:b/>
          <w:lang w:eastAsia="en-AU"/>
        </w:rPr>
      </w:pPr>
      <w:r w:rsidRPr="00590A9E">
        <w:rPr>
          <w:b/>
          <w:lang w:eastAsia="en-AU"/>
        </w:rPr>
        <w:t>Human Rights Implications</w:t>
      </w:r>
    </w:p>
    <w:p w14:paraId="256CE721" w14:textId="0D80834F" w:rsidR="00590A9E" w:rsidRDefault="00590A9E" w:rsidP="00495FA6">
      <w:pPr>
        <w:spacing w:line="276" w:lineRule="auto"/>
        <w:rPr>
          <w:lang w:eastAsia="en-AU"/>
        </w:rPr>
      </w:pPr>
    </w:p>
    <w:p w14:paraId="163A1830" w14:textId="644483AF" w:rsidR="002E7751" w:rsidRDefault="002E7751" w:rsidP="00495FA6">
      <w:pPr>
        <w:spacing w:line="276" w:lineRule="auto"/>
        <w:rPr>
          <w:lang w:eastAsia="en-AU"/>
        </w:rPr>
      </w:pPr>
      <w:r>
        <w:rPr>
          <w:lang w:eastAsia="en-AU"/>
        </w:rPr>
        <w:t>The Amendment Rules engage the following human rights:</w:t>
      </w:r>
    </w:p>
    <w:p w14:paraId="337CCC0F" w14:textId="4F07F8F2" w:rsidR="002E7751" w:rsidRDefault="002E7751" w:rsidP="002E7751">
      <w:pPr>
        <w:pStyle w:val="ListParagraph"/>
        <w:numPr>
          <w:ilvl w:val="0"/>
          <w:numId w:val="55"/>
        </w:numPr>
        <w:spacing w:line="276" w:lineRule="auto"/>
        <w:rPr>
          <w:lang w:eastAsia="en-AU"/>
        </w:rPr>
      </w:pPr>
      <w:r>
        <w:rPr>
          <w:lang w:eastAsia="en-AU"/>
        </w:rPr>
        <w:t>the right to education</w:t>
      </w:r>
      <w:r w:rsidR="005F3977">
        <w:rPr>
          <w:lang w:eastAsia="en-AU"/>
        </w:rPr>
        <w:t xml:space="preserve"> </w:t>
      </w:r>
    </w:p>
    <w:p w14:paraId="4EC26B5B" w14:textId="4F7499BA" w:rsidR="002E7751" w:rsidRDefault="002E7751" w:rsidP="002E7751">
      <w:pPr>
        <w:pStyle w:val="ListParagraph"/>
        <w:numPr>
          <w:ilvl w:val="0"/>
          <w:numId w:val="55"/>
        </w:numPr>
        <w:spacing w:line="276" w:lineRule="auto"/>
        <w:rPr>
          <w:lang w:eastAsia="en-AU"/>
        </w:rPr>
      </w:pPr>
      <w:r>
        <w:rPr>
          <w:lang w:eastAsia="en-AU"/>
        </w:rPr>
        <w:t>the right to work</w:t>
      </w:r>
    </w:p>
    <w:p w14:paraId="473A58AD" w14:textId="183D7EEB" w:rsidR="002E7751" w:rsidRDefault="002E7751" w:rsidP="002E7751">
      <w:pPr>
        <w:pStyle w:val="ListParagraph"/>
        <w:numPr>
          <w:ilvl w:val="0"/>
          <w:numId w:val="55"/>
        </w:numPr>
        <w:spacing w:line="276" w:lineRule="auto"/>
        <w:rPr>
          <w:lang w:eastAsia="en-AU"/>
        </w:rPr>
      </w:pPr>
      <w:r>
        <w:rPr>
          <w:lang w:eastAsia="en-AU"/>
        </w:rPr>
        <w:t>the right to privacy</w:t>
      </w:r>
    </w:p>
    <w:p w14:paraId="621A91E6" w14:textId="77777777" w:rsidR="002E7751" w:rsidRDefault="002E7751" w:rsidP="00495FA6">
      <w:pPr>
        <w:spacing w:line="276" w:lineRule="auto"/>
        <w:rPr>
          <w:lang w:eastAsia="en-AU"/>
        </w:rPr>
      </w:pPr>
    </w:p>
    <w:p w14:paraId="647A786B" w14:textId="68F7D24E" w:rsidR="001F6014" w:rsidRPr="009C19B3" w:rsidRDefault="00ED6BB5" w:rsidP="001F6014">
      <w:pPr>
        <w:spacing w:line="276" w:lineRule="auto"/>
        <w:rPr>
          <w:u w:val="single"/>
          <w:lang w:eastAsia="en-AU"/>
        </w:rPr>
      </w:pPr>
      <w:r>
        <w:rPr>
          <w:u w:val="single"/>
          <w:lang w:eastAsia="en-AU"/>
        </w:rPr>
        <w:t>Tuition Protection</w:t>
      </w:r>
    </w:p>
    <w:p w14:paraId="526A2464" w14:textId="1989DB63" w:rsidR="00F028A4" w:rsidRDefault="00F028A4" w:rsidP="00F028A4">
      <w:pPr>
        <w:keepNext/>
        <w:keepLines/>
        <w:spacing w:before="240" w:after="120"/>
        <w:outlineLvl w:val="1"/>
      </w:pPr>
      <w:r w:rsidRPr="008C19C0">
        <w:t xml:space="preserve">The human rights implications associated with establishing </w:t>
      </w:r>
      <w:r>
        <w:t xml:space="preserve">tuition assurance arrangements </w:t>
      </w:r>
      <w:r w:rsidRPr="008C19C0">
        <w:t xml:space="preserve">are dealt with in the comprehensive Statement of Compatibility with Human Rights attached to the Explanatory Memorandum for the </w:t>
      </w:r>
      <w:r w:rsidRPr="008C19C0">
        <w:rPr>
          <w:i/>
        </w:rPr>
        <w:t>Education Legislation Amendment (Tuition Protection and Other Measures) Act 2019</w:t>
      </w:r>
      <w:r w:rsidRPr="008C19C0">
        <w:t xml:space="preserve">. </w:t>
      </w:r>
    </w:p>
    <w:p w14:paraId="4D02F3FB" w14:textId="77777777" w:rsidR="00F028A4" w:rsidRPr="00093ACD" w:rsidRDefault="00F028A4" w:rsidP="00F028A4">
      <w:pPr>
        <w:pStyle w:val="Heading3"/>
      </w:pPr>
      <w:r>
        <w:t>R</w:t>
      </w:r>
      <w:r w:rsidRPr="00093ACD">
        <w:t xml:space="preserve">ight to </w:t>
      </w:r>
      <w:r>
        <w:t>Education</w:t>
      </w:r>
    </w:p>
    <w:p w14:paraId="0556D45B" w14:textId="77777777" w:rsidR="00F028A4" w:rsidRPr="008C19C0" w:rsidRDefault="00F028A4" w:rsidP="00F028A4">
      <w:pPr>
        <w:keepNext/>
        <w:keepLines/>
        <w:spacing w:before="240" w:after="120"/>
        <w:outlineLvl w:val="1"/>
      </w:pPr>
      <w:r w:rsidRPr="008C19C0">
        <w:t xml:space="preserve">In particular, in relation to the </w:t>
      </w:r>
      <w:r w:rsidRPr="008C19C0">
        <w:rPr>
          <w:b/>
        </w:rPr>
        <w:t>right to education</w:t>
      </w:r>
      <w:r w:rsidRPr="008C19C0">
        <w:t xml:space="preserve">, the Explanatory </w:t>
      </w:r>
      <w:r>
        <w:t>Memorandum</w:t>
      </w:r>
      <w:r w:rsidRPr="008C19C0">
        <w:t xml:space="preserve"> to the </w:t>
      </w:r>
      <w:r>
        <w:t>Act</w:t>
      </w:r>
      <w:r w:rsidRPr="008C19C0">
        <w:t xml:space="preserve"> relevantly states (among other things):</w:t>
      </w:r>
    </w:p>
    <w:p w14:paraId="6F1D574F" w14:textId="77777777" w:rsidR="00F028A4" w:rsidRPr="00224151" w:rsidRDefault="00F028A4" w:rsidP="00F028A4"/>
    <w:p w14:paraId="53AB7100" w14:textId="227EEC1A" w:rsidR="00F028A4" w:rsidRDefault="00F028A4" w:rsidP="00F028A4">
      <w:pPr>
        <w:rPr>
          <w:i/>
        </w:rPr>
      </w:pPr>
      <w:r>
        <w:rPr>
          <w:i/>
        </w:rPr>
        <w:t>T</w:t>
      </w:r>
      <w:r w:rsidRPr="00710AC6">
        <w:rPr>
          <w:i/>
        </w:rPr>
        <w:t xml:space="preserve">he Bill engages the right to education, which is set out in Article 13 of the ICESCR. Article 13 recognises the important personal, societal, economic and intellectual benefits of education. </w:t>
      </w:r>
    </w:p>
    <w:p w14:paraId="7A345BD0" w14:textId="77777777" w:rsidR="001A69F7" w:rsidRPr="00710AC6" w:rsidRDefault="001A69F7" w:rsidP="00F028A4">
      <w:pPr>
        <w:rPr>
          <w:i/>
        </w:rPr>
      </w:pPr>
    </w:p>
    <w:p w14:paraId="731AFE37" w14:textId="45DC02A4" w:rsidR="00F028A4" w:rsidRDefault="00F028A4" w:rsidP="00F028A4">
      <w:pPr>
        <w:rPr>
          <w:i/>
        </w:rPr>
      </w:pPr>
      <w:r w:rsidRPr="00710AC6">
        <w:rPr>
          <w:i/>
        </w:rPr>
        <w:t xml:space="preserve">Article 13 provides that secondary education in its different forms, including technical and vocational secondary education, shall be made generally available and accessible to all by every appropriate means. </w:t>
      </w:r>
    </w:p>
    <w:p w14:paraId="245E27CB" w14:textId="77777777" w:rsidR="001A69F7" w:rsidRPr="00710AC6" w:rsidRDefault="001A69F7" w:rsidP="00F028A4">
      <w:pPr>
        <w:rPr>
          <w:i/>
        </w:rPr>
      </w:pPr>
    </w:p>
    <w:p w14:paraId="6D976F6D" w14:textId="1F0FF16A" w:rsidR="00F028A4" w:rsidRDefault="00F028A4" w:rsidP="00F028A4">
      <w:pPr>
        <w:rPr>
          <w:i/>
        </w:rPr>
      </w:pPr>
      <w:r w:rsidRPr="00710AC6">
        <w:rPr>
          <w:i/>
        </w:rPr>
        <w:t>The intent of the Bill is to implement a new tuition protection model for students participating in the VET Student Loans program, and students who are in receipt of FEE-HELP or HECS-HELP assistance for higher education studies. The Bill aims to ensure that students are protected and supported in the event that their approved course provider or higher education provider defaults – that is where the student has not withdrawn from the course and:</w:t>
      </w:r>
    </w:p>
    <w:p w14:paraId="41AD4095" w14:textId="77777777" w:rsidR="00FD3E72" w:rsidRPr="00710AC6" w:rsidRDefault="00FD3E72" w:rsidP="00F028A4">
      <w:pPr>
        <w:rPr>
          <w:i/>
        </w:rPr>
      </w:pPr>
    </w:p>
    <w:p w14:paraId="659A94B8" w14:textId="77777777" w:rsidR="00F028A4" w:rsidRPr="00710AC6" w:rsidRDefault="00F028A4" w:rsidP="00F028A4">
      <w:pPr>
        <w:pStyle w:val="ListParagraph"/>
        <w:numPr>
          <w:ilvl w:val="0"/>
          <w:numId w:val="46"/>
        </w:numPr>
        <w:rPr>
          <w:rFonts w:eastAsia="Calibri"/>
          <w:i/>
        </w:rPr>
      </w:pPr>
      <w:r w:rsidRPr="00710AC6">
        <w:rPr>
          <w:rFonts w:eastAsia="Calibri"/>
          <w:i/>
        </w:rPr>
        <w:lastRenderedPageBreak/>
        <w:t>the provider fails to start to provide a course or a part of a course to the student on the day on which the course or part was scheduled to start; or</w:t>
      </w:r>
    </w:p>
    <w:p w14:paraId="764834E0" w14:textId="77777777" w:rsidR="00F028A4" w:rsidRPr="00710AC6" w:rsidRDefault="00F028A4" w:rsidP="00F028A4">
      <w:pPr>
        <w:pStyle w:val="ListParagraph"/>
        <w:numPr>
          <w:ilvl w:val="0"/>
          <w:numId w:val="46"/>
        </w:numPr>
        <w:rPr>
          <w:rFonts w:eastAsia="Calibri"/>
          <w:i/>
        </w:rPr>
      </w:pPr>
      <w:r w:rsidRPr="00710AC6">
        <w:rPr>
          <w:rFonts w:eastAsia="Calibri"/>
          <w:i/>
        </w:rPr>
        <w:t>the provider ceases to provide a course or a part of a course to the student on a day after the course or part starts but before it is completed.</w:t>
      </w:r>
    </w:p>
    <w:p w14:paraId="4B217401" w14:textId="77777777" w:rsidR="00F028A4" w:rsidRPr="00710AC6" w:rsidRDefault="00F028A4" w:rsidP="00F028A4">
      <w:pPr>
        <w:rPr>
          <w:i/>
        </w:rPr>
      </w:pPr>
    </w:p>
    <w:p w14:paraId="5D6C234D" w14:textId="7F97E90B" w:rsidR="00F028A4" w:rsidRDefault="00F028A4" w:rsidP="00F028A4">
      <w:pPr>
        <w:rPr>
          <w:i/>
        </w:rPr>
      </w:pPr>
      <w:r w:rsidRPr="00710AC6">
        <w:rPr>
          <w:i/>
        </w:rPr>
        <w:t>The Bill establishes the offices of the VSL Tuition Protection Director and the HELP Tuition Protection Director, who have the role and function of facilitating tuition protection for students and managing and administering the VSL Tuition Protection Fund and the HELP Tuition Protection Fund respectively.</w:t>
      </w:r>
    </w:p>
    <w:p w14:paraId="01D442A9" w14:textId="77777777" w:rsidR="001A69F7" w:rsidRPr="00710AC6" w:rsidRDefault="001A69F7" w:rsidP="00F028A4">
      <w:pPr>
        <w:rPr>
          <w:i/>
        </w:rPr>
      </w:pPr>
    </w:p>
    <w:p w14:paraId="1893321E" w14:textId="2D1102F4" w:rsidR="00F028A4" w:rsidRDefault="00F028A4" w:rsidP="00F028A4">
      <w:pPr>
        <w:rPr>
          <w:i/>
        </w:rPr>
      </w:pPr>
      <w:r w:rsidRPr="00710AC6">
        <w:rPr>
          <w:i/>
        </w:rPr>
        <w:t xml:space="preserve">The measures in the Bill promote the right to education as they are designed to ensure that in the event that a student’s provider defaults, the student will be assisted to continue his or her studies in a suitable replacement course or receive a re-credit to his or her HELP balance in respect of the affected part of the course. Where students receive a re-credit, they will be able to independently seek to continue to undertake further education or training. </w:t>
      </w:r>
    </w:p>
    <w:p w14:paraId="00AB13C6" w14:textId="77777777" w:rsidR="001A69F7" w:rsidRPr="00710AC6" w:rsidRDefault="001A69F7" w:rsidP="00F028A4">
      <w:pPr>
        <w:rPr>
          <w:i/>
        </w:rPr>
      </w:pPr>
    </w:p>
    <w:p w14:paraId="61F66703" w14:textId="6012BA3B" w:rsidR="00F028A4" w:rsidRDefault="00F028A4" w:rsidP="00F028A4">
      <w:pPr>
        <w:rPr>
          <w:i/>
        </w:rPr>
      </w:pPr>
      <w:r w:rsidRPr="00710AC6">
        <w:rPr>
          <w:i/>
        </w:rPr>
        <w:t>The Bill also imposes obligations on providers in the event that they default – such as a requirement to notify students and the Tuition Protection Director of the default. It also imposes obligations on providers in their capacity as replacement providers – such as to enrol the students in the replacement courses as soon as practicable, to give them course credits as appropriate and to not charge them tuition fees for the replacement component of a course.</w:t>
      </w:r>
    </w:p>
    <w:p w14:paraId="497F5FF8" w14:textId="77777777" w:rsidR="00F028A4" w:rsidRDefault="00F028A4" w:rsidP="00F028A4">
      <w:pPr>
        <w:rPr>
          <w:i/>
        </w:rPr>
      </w:pPr>
    </w:p>
    <w:p w14:paraId="2F9C8645" w14:textId="364AAEB9" w:rsidR="00F028A4" w:rsidRDefault="00F028A4" w:rsidP="005F3977">
      <w:r w:rsidRPr="00710AC6">
        <w:t>Th</w:t>
      </w:r>
      <w:r w:rsidR="00A11C77">
        <w:t>e</w:t>
      </w:r>
      <w:r w:rsidRPr="00710AC6">
        <w:t xml:space="preserve"> </w:t>
      </w:r>
      <w:r>
        <w:t>Amendment Rules, by giving operational effect to the Act,</w:t>
      </w:r>
      <w:r w:rsidRPr="00710AC6">
        <w:t xml:space="preserve"> is compatible with and </w:t>
      </w:r>
      <w:r>
        <w:t xml:space="preserve">promotes the right to education. The Amendment Rules do this </w:t>
      </w:r>
      <w:r w:rsidRPr="00BD1B94">
        <w:t xml:space="preserve">by providing mechanisms </w:t>
      </w:r>
      <w:r>
        <w:t xml:space="preserve">to </w:t>
      </w:r>
      <w:r w:rsidRPr="00BD1B94">
        <w:t>e</w:t>
      </w:r>
      <w:r>
        <w:t>nable</w:t>
      </w:r>
      <w:r w:rsidRPr="00BD1B94">
        <w:t xml:space="preserve"> the Director to </w:t>
      </w:r>
      <w:r w:rsidR="001A69F7">
        <w:t xml:space="preserve">obtain the information necessary to be able to identify whether a suitable replacement course for a </w:t>
      </w:r>
      <w:r w:rsidRPr="00BD1B94">
        <w:t xml:space="preserve">student </w:t>
      </w:r>
      <w:r w:rsidR="001A69F7">
        <w:t>exists</w:t>
      </w:r>
      <w:r w:rsidR="00A11C77">
        <w:t>, and by ensuring replacement providers have procedures in place to</w:t>
      </w:r>
      <w:r w:rsidR="001A69F7">
        <w:t xml:space="preserve"> minimise disruption to students </w:t>
      </w:r>
      <w:r w:rsidR="00A11C77">
        <w:t xml:space="preserve">who accept a place in a replacement course. </w:t>
      </w:r>
    </w:p>
    <w:p w14:paraId="22D7CF79" w14:textId="77777777" w:rsidR="00F028A4" w:rsidRDefault="00F028A4" w:rsidP="00F028A4">
      <w:pPr>
        <w:rPr>
          <w:szCs w:val="24"/>
        </w:rPr>
      </w:pPr>
    </w:p>
    <w:p w14:paraId="4C3F1698" w14:textId="2DDD06E1" w:rsidR="00F028A4" w:rsidRDefault="00F028A4" w:rsidP="00F028A4">
      <w:pPr>
        <w:rPr>
          <w:szCs w:val="24"/>
        </w:rPr>
      </w:pPr>
      <w:r>
        <w:rPr>
          <w:szCs w:val="24"/>
        </w:rPr>
        <w:t>The Amendment Rules promotes</w:t>
      </w:r>
      <w:r w:rsidRPr="00DB4F3A">
        <w:rPr>
          <w:szCs w:val="24"/>
        </w:rPr>
        <w:t xml:space="preserve"> the </w:t>
      </w:r>
      <w:r w:rsidRPr="00BC1575">
        <w:rPr>
          <w:b/>
          <w:szCs w:val="24"/>
        </w:rPr>
        <w:t>right to education</w:t>
      </w:r>
      <w:r w:rsidRPr="00DB4F3A">
        <w:rPr>
          <w:szCs w:val="24"/>
        </w:rPr>
        <w:t>.</w:t>
      </w:r>
    </w:p>
    <w:p w14:paraId="6ECB3223" w14:textId="77777777" w:rsidR="00F028A4" w:rsidRPr="00DB4F3A" w:rsidRDefault="00F028A4" w:rsidP="00F028A4">
      <w:pPr>
        <w:rPr>
          <w:szCs w:val="24"/>
        </w:rPr>
      </w:pPr>
    </w:p>
    <w:p w14:paraId="2B52A38E" w14:textId="27A93787" w:rsidR="00F028A4" w:rsidRDefault="00F028A4" w:rsidP="00F028A4">
      <w:pPr>
        <w:rPr>
          <w:rFonts w:ascii="Arial" w:eastAsia="Times New Roman" w:hAnsi="Arial"/>
          <w:b/>
          <w:szCs w:val="20"/>
        </w:rPr>
      </w:pPr>
      <w:r>
        <w:rPr>
          <w:rFonts w:ascii="Arial" w:eastAsia="Times New Roman" w:hAnsi="Arial"/>
          <w:b/>
          <w:szCs w:val="20"/>
        </w:rPr>
        <w:t>Right to Work</w:t>
      </w:r>
    </w:p>
    <w:p w14:paraId="21C408B1" w14:textId="77777777" w:rsidR="00F028A4" w:rsidRDefault="00F028A4" w:rsidP="00F028A4">
      <w:pPr>
        <w:rPr>
          <w:rFonts w:ascii="Arial" w:eastAsia="Times New Roman" w:hAnsi="Arial"/>
          <w:b/>
          <w:szCs w:val="20"/>
        </w:rPr>
      </w:pPr>
    </w:p>
    <w:p w14:paraId="1C594C5D" w14:textId="50389BDA" w:rsidR="00F028A4" w:rsidRDefault="00F028A4" w:rsidP="00F028A4">
      <w:r w:rsidRPr="00BC1575">
        <w:t xml:space="preserve">Article 6(1), </w:t>
      </w:r>
      <w:r>
        <w:t>S</w:t>
      </w:r>
      <w:r w:rsidRPr="00BC1575">
        <w:t>tates Parties are required to recognise the right to work, which includes the right of everyone to the opportunity to gain their living by work which they freely choose or accept. Article 6(2) provides that the steps to be taken by a State Party to achieve the full realisation of this right include providing technical and vocational guidance and training programs.</w:t>
      </w:r>
    </w:p>
    <w:p w14:paraId="28D35418" w14:textId="24EFDE7A" w:rsidR="00F028A4" w:rsidRDefault="00F028A4" w:rsidP="00F028A4"/>
    <w:p w14:paraId="4E4DDB0F" w14:textId="25FAE7CA" w:rsidR="00F028A4" w:rsidRPr="00BC1575" w:rsidRDefault="00F028A4" w:rsidP="00F028A4">
      <w:r>
        <w:t>The Amendment Rules prescrib</w:t>
      </w:r>
      <w:r w:rsidR="00A11C77">
        <w:t>e</w:t>
      </w:r>
      <w:r>
        <w:t xml:space="preserve"> actions </w:t>
      </w:r>
      <w:r w:rsidR="00A11C77">
        <w:t xml:space="preserve">that a </w:t>
      </w:r>
      <w:r>
        <w:t xml:space="preserve">defaulting provider and </w:t>
      </w:r>
      <w:r w:rsidR="00A11C77">
        <w:t>a</w:t>
      </w:r>
      <w:r w:rsidR="005F3977">
        <w:t xml:space="preserve"> </w:t>
      </w:r>
      <w:r>
        <w:t>replacement provider</w:t>
      </w:r>
      <w:r w:rsidR="00A11C77">
        <w:t xml:space="preserve"> must take to </w:t>
      </w:r>
      <w:r>
        <w:t>ensur</w:t>
      </w:r>
      <w:r w:rsidR="00A11C77">
        <w:t>e</w:t>
      </w:r>
      <w:r>
        <w:t xml:space="preserve"> students are supported to continue studying to attain the skills that will make them attractive to the workforce. The Amendment Rules, therefore, promote the </w:t>
      </w:r>
      <w:r w:rsidRPr="00727750">
        <w:rPr>
          <w:b/>
        </w:rPr>
        <w:t>right to work</w:t>
      </w:r>
      <w:r>
        <w:t xml:space="preserve">. </w:t>
      </w:r>
    </w:p>
    <w:p w14:paraId="54793783" w14:textId="10508836" w:rsidR="002E7751" w:rsidRDefault="002E7751" w:rsidP="00F028A4">
      <w:pPr>
        <w:pStyle w:val="Heading3"/>
      </w:pPr>
      <w:r>
        <w:t>Right to Privacy</w:t>
      </w:r>
    </w:p>
    <w:p w14:paraId="647CB74D" w14:textId="6106F4AB" w:rsidR="00F028A4" w:rsidRPr="00462CF1" w:rsidRDefault="00FD3E72" w:rsidP="00F028A4">
      <w:r w:rsidRPr="00462CF1">
        <w:t>The Amendment Rules also engage the right to privacy outlined in Article 17 of the ICCPR. Article 17 provides that no one shall be subjected to arbitrary or unlawful interference with his or her privacy, family, home or correspondence, nor to unlawful attacks on his or her honour and reputation.</w:t>
      </w:r>
    </w:p>
    <w:p w14:paraId="62E51C3D" w14:textId="7DEE590C" w:rsidR="00FD3E72" w:rsidRPr="00462CF1" w:rsidRDefault="00FD3E72" w:rsidP="00F028A4"/>
    <w:p w14:paraId="3BDB28FB" w14:textId="7D877AB8" w:rsidR="00FD3E72" w:rsidRPr="00462CF1" w:rsidRDefault="00FD3E72" w:rsidP="00F028A4">
      <w:r w:rsidRPr="00462CF1">
        <w:lastRenderedPageBreak/>
        <w:t>The Amendment Rules require a defaulting provider to provide information about a student to the Director. This information allows the Director to determine whether a suitable replacement course is available. The collection of such information could be seen as limiting a person’s right to privacy. However, the requirement for this information to be provided to the Director is reasonable in the circumstanc</w:t>
      </w:r>
      <w:r w:rsidR="00462CF1" w:rsidRPr="00462CF1">
        <w:t xml:space="preserve">es and necessary for the purposes of providing tuition protection to students. </w:t>
      </w:r>
    </w:p>
    <w:p w14:paraId="5E4B0D1D" w14:textId="6D58A49B" w:rsidR="00462CF1" w:rsidRPr="00462CF1" w:rsidRDefault="00462CF1" w:rsidP="00F028A4"/>
    <w:p w14:paraId="7CAFC9F0" w14:textId="6A1F30BB" w:rsidR="00462CF1" w:rsidRPr="00462CF1" w:rsidRDefault="00462CF1" w:rsidP="00F028A4">
      <w:r w:rsidRPr="00462CF1">
        <w:t xml:space="preserve">The </w:t>
      </w:r>
      <w:r>
        <w:t xml:space="preserve">collection and use of </w:t>
      </w:r>
      <w:r w:rsidRPr="00462CF1">
        <w:t xml:space="preserve">this information is authorised by law and is not arbitrary. It is information which is reasonably necessary for the Director to undertake his/her functions. The collection and use of this information is subject to robust privacy laws, </w:t>
      </w:r>
      <w:r>
        <w:t xml:space="preserve">and </w:t>
      </w:r>
      <w:r w:rsidRPr="00462CF1">
        <w:t>is reasonable, necessary and proportionate to achieve a legitimate policy outcome and ensure the right to education for students.</w:t>
      </w:r>
    </w:p>
    <w:p w14:paraId="0026AB32" w14:textId="3609077A" w:rsidR="00462CF1" w:rsidRPr="00462CF1" w:rsidRDefault="00462CF1" w:rsidP="00F028A4"/>
    <w:p w14:paraId="13709C14" w14:textId="570E62DE" w:rsidR="00462CF1" w:rsidRPr="00462CF1" w:rsidRDefault="00462CF1" w:rsidP="00F028A4">
      <w:r w:rsidRPr="00462CF1">
        <w:t>The Amendment Rules are compatible with the right to privacy.</w:t>
      </w:r>
    </w:p>
    <w:p w14:paraId="173A6E46" w14:textId="64E79A6C" w:rsidR="00462CF1" w:rsidRDefault="00462CF1" w:rsidP="00F028A4">
      <w:pPr>
        <w:rPr>
          <w:color w:val="000000"/>
          <w:shd w:val="clear" w:color="auto" w:fill="FFFFFF"/>
        </w:rPr>
      </w:pPr>
    </w:p>
    <w:p w14:paraId="1F90EFBF" w14:textId="73A284B3" w:rsidR="00F028A4" w:rsidRPr="00224151" w:rsidRDefault="00F028A4" w:rsidP="00F028A4">
      <w:pPr>
        <w:keepNext/>
        <w:keepLines/>
        <w:spacing w:before="240" w:after="120"/>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Conclusion</w:t>
      </w:r>
    </w:p>
    <w:p w14:paraId="164A4602" w14:textId="010744F4" w:rsidR="00F028A4" w:rsidRPr="00940E72" w:rsidRDefault="00F028A4" w:rsidP="00F028A4">
      <w:r w:rsidRPr="00224151">
        <w:t>Th</w:t>
      </w:r>
      <w:r w:rsidR="00973A78">
        <w:t>e</w:t>
      </w:r>
      <w:r w:rsidRPr="00224151">
        <w:t xml:space="preserve"> </w:t>
      </w:r>
      <w:r>
        <w:t>Amendment Rules</w:t>
      </w:r>
      <w:r w:rsidRPr="00224151">
        <w:t xml:space="preserve"> </w:t>
      </w:r>
      <w:r w:rsidR="00973A78">
        <w:t>are</w:t>
      </w:r>
      <w:r>
        <w:t xml:space="preserve"> compatible with human rights</w:t>
      </w:r>
      <w:r w:rsidRPr="00940E72">
        <w:t xml:space="preserve">, to the extent that it may limit human rights, the limitations are reasonable, necessary and proportionate. </w:t>
      </w:r>
    </w:p>
    <w:p w14:paraId="45807C57" w14:textId="77777777" w:rsidR="00ED6BB5" w:rsidRDefault="00ED6BB5" w:rsidP="00495FA6">
      <w:pPr>
        <w:spacing w:line="276" w:lineRule="auto"/>
        <w:rPr>
          <w:lang w:eastAsia="en-AU"/>
        </w:rPr>
      </w:pPr>
    </w:p>
    <w:p w14:paraId="4C709DDD" w14:textId="14121D54" w:rsidR="009C19B3" w:rsidRDefault="009C19B3" w:rsidP="009C19B3">
      <w:pPr>
        <w:spacing w:line="276" w:lineRule="auto"/>
        <w:rPr>
          <w:u w:val="single"/>
          <w:lang w:eastAsia="en-AU"/>
        </w:rPr>
      </w:pPr>
      <w:r w:rsidRPr="009C19B3">
        <w:rPr>
          <w:u w:val="single"/>
          <w:lang w:eastAsia="en-AU"/>
        </w:rPr>
        <w:t xml:space="preserve">Miscellaneous amendments </w:t>
      </w:r>
    </w:p>
    <w:p w14:paraId="772F66CF" w14:textId="17722661" w:rsidR="009C19B3" w:rsidRDefault="009C19B3" w:rsidP="009C19B3">
      <w:pPr>
        <w:spacing w:line="276" w:lineRule="auto"/>
        <w:rPr>
          <w:lang w:eastAsia="en-AU"/>
        </w:rPr>
      </w:pPr>
    </w:p>
    <w:p w14:paraId="520EF1BB" w14:textId="37790325" w:rsidR="009C19B3" w:rsidRDefault="00A11C77" w:rsidP="00495FA6">
      <w:pPr>
        <w:spacing w:line="276" w:lineRule="auto"/>
        <w:rPr>
          <w:lang w:eastAsia="en-AU"/>
        </w:rPr>
      </w:pPr>
      <w:r>
        <w:rPr>
          <w:lang w:eastAsia="en-AU"/>
        </w:rPr>
        <w:t>The amendments in Part 2</w:t>
      </w:r>
      <w:r w:rsidR="00F41FA6">
        <w:rPr>
          <w:lang w:eastAsia="en-AU"/>
        </w:rPr>
        <w:t xml:space="preserve"> include measures that will</w:t>
      </w:r>
      <w:r>
        <w:rPr>
          <w:lang w:eastAsia="en-AU"/>
        </w:rPr>
        <w:t xml:space="preserve"> facilitate the provision of specialist courses to students by allowing providers to </w:t>
      </w:r>
      <w:r w:rsidR="00F41FA6">
        <w:rPr>
          <w:lang w:eastAsia="en-AU"/>
        </w:rPr>
        <w:t>charge fees for a special admissions test to determine the suitability of a person into a specialist approved course. This measure will encourage approved course providers to offer specialist courses which will in turn promote the right to education and the right to work.</w:t>
      </w:r>
    </w:p>
    <w:p w14:paraId="7F72BF11" w14:textId="77777777" w:rsidR="00A11C77" w:rsidRPr="009C19B3" w:rsidRDefault="00A11C77" w:rsidP="00495FA6">
      <w:pPr>
        <w:spacing w:line="276" w:lineRule="auto"/>
        <w:rPr>
          <w:lang w:eastAsia="en-AU"/>
        </w:rPr>
      </w:pPr>
    </w:p>
    <w:p w14:paraId="06A4FAD7" w14:textId="3984A760" w:rsidR="00590A9E" w:rsidRPr="004231AF" w:rsidRDefault="004231AF" w:rsidP="00495FA6">
      <w:pPr>
        <w:spacing w:line="276" w:lineRule="auto"/>
        <w:rPr>
          <w:b/>
          <w:lang w:eastAsia="en-AU"/>
        </w:rPr>
      </w:pPr>
      <w:r w:rsidRPr="004231AF">
        <w:rPr>
          <w:b/>
          <w:lang w:eastAsia="en-AU"/>
        </w:rPr>
        <w:t xml:space="preserve">Conclusion </w:t>
      </w:r>
    </w:p>
    <w:p w14:paraId="3115EDC9" w14:textId="5BA0024E" w:rsidR="004231AF" w:rsidRDefault="004231AF" w:rsidP="00495FA6">
      <w:pPr>
        <w:spacing w:line="276" w:lineRule="auto"/>
        <w:rPr>
          <w:lang w:eastAsia="en-AU"/>
        </w:rPr>
      </w:pPr>
    </w:p>
    <w:p w14:paraId="24854C88" w14:textId="7DDFB927" w:rsidR="00E652CC" w:rsidRDefault="00E652CC" w:rsidP="00495FA6">
      <w:pPr>
        <w:spacing w:line="276" w:lineRule="auto"/>
        <w:rPr>
          <w:lang w:eastAsia="en-AU"/>
        </w:rPr>
      </w:pPr>
      <w:r>
        <w:rPr>
          <w:lang w:eastAsia="en-AU"/>
        </w:rPr>
        <w:t xml:space="preserve">The Amendment Rules are compatible with human rights. </w:t>
      </w:r>
    </w:p>
    <w:p w14:paraId="14F6F6B5" w14:textId="0BAE477B" w:rsidR="00590A9E" w:rsidRDefault="00590A9E" w:rsidP="00495FA6">
      <w:pPr>
        <w:spacing w:line="276" w:lineRule="auto"/>
        <w:rPr>
          <w:lang w:eastAsia="en-AU"/>
        </w:rPr>
      </w:pPr>
    </w:p>
    <w:p w14:paraId="4D592833" w14:textId="77777777" w:rsidR="00E652CC" w:rsidRPr="00E652CC" w:rsidRDefault="00E652CC" w:rsidP="00495FA6">
      <w:pPr>
        <w:spacing w:line="276" w:lineRule="auto"/>
        <w:rPr>
          <w:b/>
          <w:lang w:eastAsia="en-AU"/>
        </w:rPr>
      </w:pPr>
      <w:r w:rsidRPr="00E652CC">
        <w:rPr>
          <w:b/>
          <w:lang w:eastAsia="en-AU"/>
        </w:rPr>
        <w:t>Michaelia Cash</w:t>
      </w:r>
    </w:p>
    <w:p w14:paraId="2ABF7A6B" w14:textId="1FF3065D" w:rsidR="00590A9E" w:rsidRPr="00E652CC" w:rsidRDefault="00E652CC" w:rsidP="00495FA6">
      <w:pPr>
        <w:spacing w:line="276" w:lineRule="auto"/>
        <w:rPr>
          <w:b/>
          <w:lang w:eastAsia="en-AU"/>
        </w:rPr>
      </w:pPr>
      <w:r w:rsidRPr="00E652CC">
        <w:rPr>
          <w:rFonts w:eastAsia="Times New Roman"/>
          <w:b/>
          <w:bCs/>
          <w:szCs w:val="24"/>
          <w:lang w:eastAsia="en-AU"/>
        </w:rPr>
        <w:t>Minister for Employment, Skills, Small and Family Business</w:t>
      </w:r>
    </w:p>
    <w:p w14:paraId="521EEC78" w14:textId="77777777" w:rsidR="00590A9E" w:rsidRPr="001B466A" w:rsidRDefault="00590A9E" w:rsidP="00495FA6">
      <w:pPr>
        <w:spacing w:line="276" w:lineRule="auto"/>
        <w:rPr>
          <w:rFonts w:eastAsia="Times New Roman"/>
          <w:lang w:eastAsia="en-AU"/>
        </w:rPr>
      </w:pPr>
    </w:p>
    <w:p w14:paraId="30A94DAD" w14:textId="77777777" w:rsidR="00495FA6" w:rsidRPr="00495FA6" w:rsidRDefault="00495FA6" w:rsidP="00495FA6"/>
    <w:sectPr w:rsidR="00495FA6" w:rsidRPr="00495F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7D0" w14:textId="77777777" w:rsidR="00347D6D" w:rsidRDefault="00347D6D" w:rsidP="009C6520">
      <w:r>
        <w:separator/>
      </w:r>
    </w:p>
  </w:endnote>
  <w:endnote w:type="continuationSeparator" w:id="0">
    <w:p w14:paraId="600342DD" w14:textId="77777777" w:rsidR="00347D6D" w:rsidRDefault="00347D6D" w:rsidP="009C6520">
      <w:r>
        <w:continuationSeparator/>
      </w:r>
    </w:p>
  </w:endnote>
  <w:endnote w:type="continuationNotice" w:id="1">
    <w:p w14:paraId="59F6B817" w14:textId="77777777" w:rsidR="00347D6D" w:rsidRDefault="00347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45AA84AB" w14:textId="4C4B78F6" w:rsidR="00347D6D" w:rsidRDefault="00347D6D">
        <w:pPr>
          <w:pStyle w:val="Footer"/>
          <w:jc w:val="right"/>
        </w:pPr>
        <w:r>
          <w:fldChar w:fldCharType="begin"/>
        </w:r>
        <w:r>
          <w:instrText xml:space="preserve"> PAGE   \* MERGEFORMAT </w:instrText>
        </w:r>
        <w:r>
          <w:fldChar w:fldCharType="separate"/>
        </w:r>
        <w:r w:rsidR="008C5F88">
          <w:rPr>
            <w:noProof/>
          </w:rPr>
          <w:t>1</w:t>
        </w:r>
        <w:r>
          <w:rPr>
            <w:noProof/>
          </w:rPr>
          <w:fldChar w:fldCharType="end"/>
        </w:r>
      </w:p>
    </w:sdtContent>
  </w:sdt>
  <w:p w14:paraId="39B07CF2" w14:textId="77777777" w:rsidR="00347D6D" w:rsidRDefault="0034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99A9" w14:textId="77777777" w:rsidR="00347D6D" w:rsidRDefault="00347D6D" w:rsidP="009C6520">
      <w:r>
        <w:separator/>
      </w:r>
    </w:p>
  </w:footnote>
  <w:footnote w:type="continuationSeparator" w:id="0">
    <w:p w14:paraId="37314028" w14:textId="77777777" w:rsidR="00347D6D" w:rsidRDefault="00347D6D" w:rsidP="009C6520">
      <w:r>
        <w:continuationSeparator/>
      </w:r>
    </w:p>
  </w:footnote>
  <w:footnote w:type="continuationNotice" w:id="1">
    <w:p w14:paraId="3064755F" w14:textId="77777777" w:rsidR="00347D6D" w:rsidRDefault="00347D6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A4A"/>
    <w:multiLevelType w:val="hybridMultilevel"/>
    <w:tmpl w:val="6D02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674668"/>
    <w:multiLevelType w:val="hybridMultilevel"/>
    <w:tmpl w:val="6B58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F05E5"/>
    <w:multiLevelType w:val="hybridMultilevel"/>
    <w:tmpl w:val="9B5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16CBF"/>
    <w:multiLevelType w:val="hybridMultilevel"/>
    <w:tmpl w:val="76C4E39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13B97"/>
    <w:multiLevelType w:val="hybridMultilevel"/>
    <w:tmpl w:val="7F9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8F4B78"/>
    <w:multiLevelType w:val="hybridMultilevel"/>
    <w:tmpl w:val="F09C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C390E5A"/>
    <w:multiLevelType w:val="hybridMultilevel"/>
    <w:tmpl w:val="AB2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AE1E08"/>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8F47FB"/>
    <w:multiLevelType w:val="hybridMultilevel"/>
    <w:tmpl w:val="34C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8F3F6A"/>
    <w:multiLevelType w:val="hybridMultilevel"/>
    <w:tmpl w:val="133E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1742F2"/>
    <w:multiLevelType w:val="hybridMultilevel"/>
    <w:tmpl w:val="0928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B104FCE"/>
    <w:multiLevelType w:val="hybridMultilevel"/>
    <w:tmpl w:val="11846996"/>
    <w:lvl w:ilvl="0" w:tplc="2C6C736A">
      <w:start w:val="1"/>
      <w:numFmt w:val="decimal"/>
      <w:pStyle w:val="MBPoint"/>
      <w:lvlText w:val="%1."/>
      <w:lvlJc w:val="left"/>
      <w:pPr>
        <w:ind w:left="417" w:hanging="360"/>
      </w:pPr>
      <w:rPr>
        <w:rFonts w:hint="default"/>
      </w:rPr>
    </w:lvl>
    <w:lvl w:ilvl="1" w:tplc="03DC7C32">
      <w:start w:val="1"/>
      <w:numFmt w:val="lowerLetter"/>
      <w:pStyle w:val="MBPointSub"/>
      <w:lvlText w:val="%2."/>
      <w:lvlJc w:val="left"/>
      <w:pPr>
        <w:ind w:left="-4392" w:hanging="360"/>
      </w:pPr>
    </w:lvl>
    <w:lvl w:ilvl="2" w:tplc="FA0EB776">
      <w:start w:val="1"/>
      <w:numFmt w:val="lowerRoman"/>
      <w:lvlText w:val="%3."/>
      <w:lvlJc w:val="right"/>
      <w:pPr>
        <w:ind w:left="-3672" w:hanging="180"/>
      </w:pPr>
    </w:lvl>
    <w:lvl w:ilvl="3" w:tplc="A3D843BA" w:tentative="1">
      <w:start w:val="1"/>
      <w:numFmt w:val="decimal"/>
      <w:lvlText w:val="%4."/>
      <w:lvlJc w:val="left"/>
      <w:pPr>
        <w:ind w:left="-2952" w:hanging="360"/>
      </w:pPr>
    </w:lvl>
    <w:lvl w:ilvl="4" w:tplc="B68230AC" w:tentative="1">
      <w:start w:val="1"/>
      <w:numFmt w:val="lowerLetter"/>
      <w:lvlText w:val="%5."/>
      <w:lvlJc w:val="left"/>
      <w:pPr>
        <w:ind w:left="-2232" w:hanging="360"/>
      </w:pPr>
    </w:lvl>
    <w:lvl w:ilvl="5" w:tplc="82EE6DAE" w:tentative="1">
      <w:start w:val="1"/>
      <w:numFmt w:val="lowerRoman"/>
      <w:lvlText w:val="%6."/>
      <w:lvlJc w:val="right"/>
      <w:pPr>
        <w:ind w:left="-1512" w:hanging="180"/>
      </w:pPr>
    </w:lvl>
    <w:lvl w:ilvl="6" w:tplc="4D7041BA" w:tentative="1">
      <w:start w:val="1"/>
      <w:numFmt w:val="decimal"/>
      <w:lvlText w:val="%7."/>
      <w:lvlJc w:val="left"/>
      <w:pPr>
        <w:ind w:left="-792" w:hanging="360"/>
      </w:pPr>
    </w:lvl>
    <w:lvl w:ilvl="7" w:tplc="F402A91E" w:tentative="1">
      <w:start w:val="1"/>
      <w:numFmt w:val="lowerLetter"/>
      <w:lvlText w:val="%8."/>
      <w:lvlJc w:val="left"/>
      <w:pPr>
        <w:ind w:left="-72" w:hanging="360"/>
      </w:pPr>
    </w:lvl>
    <w:lvl w:ilvl="8" w:tplc="4E662C4A" w:tentative="1">
      <w:start w:val="1"/>
      <w:numFmt w:val="lowerRoman"/>
      <w:lvlText w:val="%9."/>
      <w:lvlJc w:val="right"/>
      <w:pPr>
        <w:ind w:left="648" w:hanging="180"/>
      </w:pPr>
    </w:lvl>
  </w:abstractNum>
  <w:abstractNum w:abstractNumId="45"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6"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A41819"/>
    <w:multiLevelType w:val="hybridMultilevel"/>
    <w:tmpl w:val="3B6E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CB46452"/>
    <w:multiLevelType w:val="hybridMultilevel"/>
    <w:tmpl w:val="CECA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47"/>
  </w:num>
  <w:num w:numId="3">
    <w:abstractNumId w:val="11"/>
  </w:num>
  <w:num w:numId="4">
    <w:abstractNumId w:val="23"/>
  </w:num>
  <w:num w:numId="5">
    <w:abstractNumId w:val="14"/>
  </w:num>
  <w:num w:numId="6">
    <w:abstractNumId w:val="55"/>
  </w:num>
  <w:num w:numId="7">
    <w:abstractNumId w:val="38"/>
  </w:num>
  <w:num w:numId="8">
    <w:abstractNumId w:val="1"/>
  </w:num>
  <w:num w:numId="9">
    <w:abstractNumId w:val="42"/>
  </w:num>
  <w:num w:numId="10">
    <w:abstractNumId w:val="53"/>
  </w:num>
  <w:num w:numId="11">
    <w:abstractNumId w:val="21"/>
  </w:num>
  <w:num w:numId="12">
    <w:abstractNumId w:val="46"/>
  </w:num>
  <w:num w:numId="13">
    <w:abstractNumId w:val="51"/>
  </w:num>
  <w:num w:numId="14">
    <w:abstractNumId w:val="8"/>
  </w:num>
  <w:num w:numId="15">
    <w:abstractNumId w:val="49"/>
  </w:num>
  <w:num w:numId="16">
    <w:abstractNumId w:val="24"/>
  </w:num>
  <w:num w:numId="17">
    <w:abstractNumId w:val="32"/>
  </w:num>
  <w:num w:numId="18">
    <w:abstractNumId w:val="35"/>
  </w:num>
  <w:num w:numId="19">
    <w:abstractNumId w:val="43"/>
  </w:num>
  <w:num w:numId="20">
    <w:abstractNumId w:val="20"/>
  </w:num>
  <w:num w:numId="21">
    <w:abstractNumId w:val="9"/>
  </w:num>
  <w:num w:numId="22">
    <w:abstractNumId w:val="41"/>
  </w:num>
  <w:num w:numId="23">
    <w:abstractNumId w:val="50"/>
  </w:num>
  <w:num w:numId="24">
    <w:abstractNumId w:val="40"/>
  </w:num>
  <w:num w:numId="25">
    <w:abstractNumId w:val="31"/>
  </w:num>
  <w:num w:numId="26">
    <w:abstractNumId w:val="48"/>
  </w:num>
  <w:num w:numId="27">
    <w:abstractNumId w:val="28"/>
  </w:num>
  <w:num w:numId="28">
    <w:abstractNumId w:val="19"/>
  </w:num>
  <w:num w:numId="29">
    <w:abstractNumId w:val="34"/>
  </w:num>
  <w:num w:numId="30">
    <w:abstractNumId w:val="27"/>
  </w:num>
  <w:num w:numId="31">
    <w:abstractNumId w:val="0"/>
  </w:num>
  <w:num w:numId="32">
    <w:abstractNumId w:val="2"/>
  </w:num>
  <w:num w:numId="33">
    <w:abstractNumId w:val="17"/>
  </w:num>
  <w:num w:numId="34">
    <w:abstractNumId w:val="16"/>
  </w:num>
  <w:num w:numId="35">
    <w:abstractNumId w:val="4"/>
  </w:num>
  <w:num w:numId="36">
    <w:abstractNumId w:val="25"/>
  </w:num>
  <w:num w:numId="37">
    <w:abstractNumId w:val="10"/>
  </w:num>
  <w:num w:numId="38">
    <w:abstractNumId w:val="26"/>
  </w:num>
  <w:num w:numId="39">
    <w:abstractNumId w:val="22"/>
  </w:num>
  <w:num w:numId="40">
    <w:abstractNumId w:val="13"/>
  </w:num>
  <w:num w:numId="41">
    <w:abstractNumId w:val="5"/>
  </w:num>
  <w:num w:numId="42">
    <w:abstractNumId w:val="15"/>
  </w:num>
  <w:num w:numId="43">
    <w:abstractNumId w:val="37"/>
  </w:num>
  <w:num w:numId="44">
    <w:abstractNumId w:val="52"/>
  </w:num>
  <w:num w:numId="45">
    <w:abstractNumId w:val="54"/>
  </w:num>
  <w:num w:numId="46">
    <w:abstractNumId w:val="36"/>
  </w:num>
  <w:num w:numId="47">
    <w:abstractNumId w:val="30"/>
  </w:num>
  <w:num w:numId="48">
    <w:abstractNumId w:val="7"/>
  </w:num>
  <w:num w:numId="49">
    <w:abstractNumId w:val="12"/>
  </w:num>
  <w:num w:numId="50">
    <w:abstractNumId w:val="45"/>
  </w:num>
  <w:num w:numId="51">
    <w:abstractNumId w:val="18"/>
  </w:num>
  <w:num w:numId="52">
    <w:abstractNumId w:val="3"/>
  </w:num>
  <w:num w:numId="53">
    <w:abstractNumId w:val="6"/>
  </w:num>
  <w:num w:numId="54">
    <w:abstractNumId w:val="33"/>
  </w:num>
  <w:num w:numId="55">
    <w:abstractNumId w:val="39"/>
  </w:num>
  <w:num w:numId="56">
    <w:abstractNumId w:val="44"/>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51a031a-0bc7-40d1-937b-5f51fb923e47"/>
  </w:docVars>
  <w:rsids>
    <w:rsidRoot w:val="002A1E02"/>
    <w:rsid w:val="000033B7"/>
    <w:rsid w:val="00004AC9"/>
    <w:rsid w:val="00014659"/>
    <w:rsid w:val="000164F7"/>
    <w:rsid w:val="0001756F"/>
    <w:rsid w:val="00023CE0"/>
    <w:rsid w:val="00025D4E"/>
    <w:rsid w:val="00026D92"/>
    <w:rsid w:val="00027897"/>
    <w:rsid w:val="000320A3"/>
    <w:rsid w:val="00032611"/>
    <w:rsid w:val="00034517"/>
    <w:rsid w:val="00036E84"/>
    <w:rsid w:val="00047750"/>
    <w:rsid w:val="00050A3B"/>
    <w:rsid w:val="00050C89"/>
    <w:rsid w:val="00055296"/>
    <w:rsid w:val="00057836"/>
    <w:rsid w:val="00062C84"/>
    <w:rsid w:val="0007351F"/>
    <w:rsid w:val="00073C8D"/>
    <w:rsid w:val="0007406E"/>
    <w:rsid w:val="00074ED8"/>
    <w:rsid w:val="00075592"/>
    <w:rsid w:val="00082B64"/>
    <w:rsid w:val="0008325D"/>
    <w:rsid w:val="00085ED6"/>
    <w:rsid w:val="00091E0D"/>
    <w:rsid w:val="000960C3"/>
    <w:rsid w:val="000978DB"/>
    <w:rsid w:val="000A0F46"/>
    <w:rsid w:val="000A3F8B"/>
    <w:rsid w:val="000A6958"/>
    <w:rsid w:val="000B477E"/>
    <w:rsid w:val="000B5DBF"/>
    <w:rsid w:val="000B6B5F"/>
    <w:rsid w:val="000C2AA3"/>
    <w:rsid w:val="000C2CF6"/>
    <w:rsid w:val="000C4DF1"/>
    <w:rsid w:val="000C72B5"/>
    <w:rsid w:val="000D4B15"/>
    <w:rsid w:val="000D7889"/>
    <w:rsid w:val="000E06AD"/>
    <w:rsid w:val="000E0AFD"/>
    <w:rsid w:val="000E23EA"/>
    <w:rsid w:val="000E447A"/>
    <w:rsid w:val="000E60F4"/>
    <w:rsid w:val="000F37DF"/>
    <w:rsid w:val="000F4411"/>
    <w:rsid w:val="000F5E65"/>
    <w:rsid w:val="0011186B"/>
    <w:rsid w:val="00112533"/>
    <w:rsid w:val="00113A34"/>
    <w:rsid w:val="0011606B"/>
    <w:rsid w:val="00124EC6"/>
    <w:rsid w:val="0012559C"/>
    <w:rsid w:val="0012699A"/>
    <w:rsid w:val="0012783C"/>
    <w:rsid w:val="00132367"/>
    <w:rsid w:val="00132999"/>
    <w:rsid w:val="001357D3"/>
    <w:rsid w:val="00135DE1"/>
    <w:rsid w:val="001401FD"/>
    <w:rsid w:val="001409A3"/>
    <w:rsid w:val="001460AF"/>
    <w:rsid w:val="00155749"/>
    <w:rsid w:val="001727F5"/>
    <w:rsid w:val="001729E4"/>
    <w:rsid w:val="00174308"/>
    <w:rsid w:val="00177E1C"/>
    <w:rsid w:val="0018440A"/>
    <w:rsid w:val="00186B32"/>
    <w:rsid w:val="00190865"/>
    <w:rsid w:val="0019089F"/>
    <w:rsid w:val="00191137"/>
    <w:rsid w:val="00191748"/>
    <w:rsid w:val="001A647C"/>
    <w:rsid w:val="001A69F7"/>
    <w:rsid w:val="001B14EB"/>
    <w:rsid w:val="001B1752"/>
    <w:rsid w:val="001B466A"/>
    <w:rsid w:val="001B616E"/>
    <w:rsid w:val="001C0F75"/>
    <w:rsid w:val="001C1DA3"/>
    <w:rsid w:val="001C3618"/>
    <w:rsid w:val="001C7FFC"/>
    <w:rsid w:val="001D7FB4"/>
    <w:rsid w:val="001F1519"/>
    <w:rsid w:val="001F1FF7"/>
    <w:rsid w:val="001F2713"/>
    <w:rsid w:val="001F2E27"/>
    <w:rsid w:val="001F4316"/>
    <w:rsid w:val="001F6014"/>
    <w:rsid w:val="001F69F1"/>
    <w:rsid w:val="00200D74"/>
    <w:rsid w:val="0020317C"/>
    <w:rsid w:val="0020708E"/>
    <w:rsid w:val="00211427"/>
    <w:rsid w:val="0021369F"/>
    <w:rsid w:val="002179EC"/>
    <w:rsid w:val="00223C13"/>
    <w:rsid w:val="00232AD5"/>
    <w:rsid w:val="002401BB"/>
    <w:rsid w:val="00241F47"/>
    <w:rsid w:val="00244234"/>
    <w:rsid w:val="00244AD5"/>
    <w:rsid w:val="00245075"/>
    <w:rsid w:val="00246510"/>
    <w:rsid w:val="00260CBF"/>
    <w:rsid w:val="00261AAC"/>
    <w:rsid w:val="002655F5"/>
    <w:rsid w:val="0026652C"/>
    <w:rsid w:val="002672CB"/>
    <w:rsid w:val="00273207"/>
    <w:rsid w:val="002769F4"/>
    <w:rsid w:val="00284A49"/>
    <w:rsid w:val="00292287"/>
    <w:rsid w:val="0029467A"/>
    <w:rsid w:val="002A1E02"/>
    <w:rsid w:val="002B443A"/>
    <w:rsid w:val="002B62ED"/>
    <w:rsid w:val="002C5D9B"/>
    <w:rsid w:val="002C65B7"/>
    <w:rsid w:val="002C6A3E"/>
    <w:rsid w:val="002D1D8D"/>
    <w:rsid w:val="002D37BE"/>
    <w:rsid w:val="002D6BD2"/>
    <w:rsid w:val="002E098A"/>
    <w:rsid w:val="002E164C"/>
    <w:rsid w:val="002E48BF"/>
    <w:rsid w:val="002E618E"/>
    <w:rsid w:val="002E7640"/>
    <w:rsid w:val="002E7751"/>
    <w:rsid w:val="002F1EE7"/>
    <w:rsid w:val="002F297E"/>
    <w:rsid w:val="002F35B4"/>
    <w:rsid w:val="002F530E"/>
    <w:rsid w:val="00301CA2"/>
    <w:rsid w:val="00302000"/>
    <w:rsid w:val="003053EA"/>
    <w:rsid w:val="003079BB"/>
    <w:rsid w:val="00310897"/>
    <w:rsid w:val="00311629"/>
    <w:rsid w:val="00316928"/>
    <w:rsid w:val="00327536"/>
    <w:rsid w:val="00332D17"/>
    <w:rsid w:val="00332F40"/>
    <w:rsid w:val="003351A1"/>
    <w:rsid w:val="003376CA"/>
    <w:rsid w:val="00340876"/>
    <w:rsid w:val="00342106"/>
    <w:rsid w:val="00343298"/>
    <w:rsid w:val="00347D6D"/>
    <w:rsid w:val="003638D4"/>
    <w:rsid w:val="003665B2"/>
    <w:rsid w:val="00366E13"/>
    <w:rsid w:val="00367A35"/>
    <w:rsid w:val="0037739C"/>
    <w:rsid w:val="00383340"/>
    <w:rsid w:val="0038468B"/>
    <w:rsid w:val="00384CE5"/>
    <w:rsid w:val="00384F29"/>
    <w:rsid w:val="00387C9C"/>
    <w:rsid w:val="00390815"/>
    <w:rsid w:val="00391255"/>
    <w:rsid w:val="00394B15"/>
    <w:rsid w:val="00395F82"/>
    <w:rsid w:val="00397308"/>
    <w:rsid w:val="00397BD8"/>
    <w:rsid w:val="003A06F3"/>
    <w:rsid w:val="003A24BD"/>
    <w:rsid w:val="003B1A6D"/>
    <w:rsid w:val="003B6664"/>
    <w:rsid w:val="003C1855"/>
    <w:rsid w:val="003C3C78"/>
    <w:rsid w:val="003C4C1F"/>
    <w:rsid w:val="003C5186"/>
    <w:rsid w:val="003D2268"/>
    <w:rsid w:val="003D66B4"/>
    <w:rsid w:val="003E3E75"/>
    <w:rsid w:val="003F1D54"/>
    <w:rsid w:val="003F5D3C"/>
    <w:rsid w:val="003F6C4F"/>
    <w:rsid w:val="003F7C84"/>
    <w:rsid w:val="00400534"/>
    <w:rsid w:val="00402F30"/>
    <w:rsid w:val="004032C0"/>
    <w:rsid w:val="00404CF0"/>
    <w:rsid w:val="00405D32"/>
    <w:rsid w:val="00406772"/>
    <w:rsid w:val="00407CAA"/>
    <w:rsid w:val="00410038"/>
    <w:rsid w:val="00413588"/>
    <w:rsid w:val="00413738"/>
    <w:rsid w:val="0041765F"/>
    <w:rsid w:val="004228CA"/>
    <w:rsid w:val="004231AF"/>
    <w:rsid w:val="004247CF"/>
    <w:rsid w:val="00424E0B"/>
    <w:rsid w:val="004323B8"/>
    <w:rsid w:val="00436BE3"/>
    <w:rsid w:val="004427A1"/>
    <w:rsid w:val="00442F49"/>
    <w:rsid w:val="00445DAE"/>
    <w:rsid w:val="004505B1"/>
    <w:rsid w:val="0045435A"/>
    <w:rsid w:val="0045539C"/>
    <w:rsid w:val="00456DBF"/>
    <w:rsid w:val="0046199A"/>
    <w:rsid w:val="00462428"/>
    <w:rsid w:val="00462CF1"/>
    <w:rsid w:val="004644ED"/>
    <w:rsid w:val="0046519D"/>
    <w:rsid w:val="00467012"/>
    <w:rsid w:val="004703A4"/>
    <w:rsid w:val="00475ABE"/>
    <w:rsid w:val="00475F8D"/>
    <w:rsid w:val="004805A2"/>
    <w:rsid w:val="00481C40"/>
    <w:rsid w:val="00483A63"/>
    <w:rsid w:val="004842CE"/>
    <w:rsid w:val="00485F9F"/>
    <w:rsid w:val="00486EA8"/>
    <w:rsid w:val="00495FA6"/>
    <w:rsid w:val="00496811"/>
    <w:rsid w:val="004A09A0"/>
    <w:rsid w:val="004A0A14"/>
    <w:rsid w:val="004A457D"/>
    <w:rsid w:val="004A4FD0"/>
    <w:rsid w:val="004B4AD0"/>
    <w:rsid w:val="004C2DE0"/>
    <w:rsid w:val="004C3314"/>
    <w:rsid w:val="004D19F8"/>
    <w:rsid w:val="004D6CBA"/>
    <w:rsid w:val="004E0E98"/>
    <w:rsid w:val="004E1629"/>
    <w:rsid w:val="004E513F"/>
    <w:rsid w:val="004F0241"/>
    <w:rsid w:val="004F450C"/>
    <w:rsid w:val="004F606D"/>
    <w:rsid w:val="005031A2"/>
    <w:rsid w:val="00503348"/>
    <w:rsid w:val="0050367F"/>
    <w:rsid w:val="00503AC3"/>
    <w:rsid w:val="00504086"/>
    <w:rsid w:val="0050794D"/>
    <w:rsid w:val="005108DE"/>
    <w:rsid w:val="00511F74"/>
    <w:rsid w:val="005141CC"/>
    <w:rsid w:val="00516351"/>
    <w:rsid w:val="005176C5"/>
    <w:rsid w:val="005229DA"/>
    <w:rsid w:val="005238FF"/>
    <w:rsid w:val="00524141"/>
    <w:rsid w:val="00532C9E"/>
    <w:rsid w:val="00537873"/>
    <w:rsid w:val="0054542F"/>
    <w:rsid w:val="00545D8E"/>
    <w:rsid w:val="00546448"/>
    <w:rsid w:val="0055064E"/>
    <w:rsid w:val="00552C7E"/>
    <w:rsid w:val="005556D8"/>
    <w:rsid w:val="00556868"/>
    <w:rsid w:val="00560A31"/>
    <w:rsid w:val="00566902"/>
    <w:rsid w:val="00571D3E"/>
    <w:rsid w:val="005724F0"/>
    <w:rsid w:val="00577CF0"/>
    <w:rsid w:val="00585606"/>
    <w:rsid w:val="005857B2"/>
    <w:rsid w:val="00590A9E"/>
    <w:rsid w:val="00592CBD"/>
    <w:rsid w:val="00596348"/>
    <w:rsid w:val="005A19FF"/>
    <w:rsid w:val="005A3B13"/>
    <w:rsid w:val="005A48F1"/>
    <w:rsid w:val="005B236F"/>
    <w:rsid w:val="005B2760"/>
    <w:rsid w:val="005B2E65"/>
    <w:rsid w:val="005B2FF0"/>
    <w:rsid w:val="005B3F23"/>
    <w:rsid w:val="005B4F11"/>
    <w:rsid w:val="005C095B"/>
    <w:rsid w:val="005C13F8"/>
    <w:rsid w:val="005C2DEE"/>
    <w:rsid w:val="005C3606"/>
    <w:rsid w:val="005C4611"/>
    <w:rsid w:val="005C49D6"/>
    <w:rsid w:val="005C6549"/>
    <w:rsid w:val="005C6635"/>
    <w:rsid w:val="005D12A8"/>
    <w:rsid w:val="005D161A"/>
    <w:rsid w:val="005D3245"/>
    <w:rsid w:val="005D4BE9"/>
    <w:rsid w:val="005D7ADA"/>
    <w:rsid w:val="005E032C"/>
    <w:rsid w:val="005E0C19"/>
    <w:rsid w:val="005E397B"/>
    <w:rsid w:val="005F2618"/>
    <w:rsid w:val="005F297A"/>
    <w:rsid w:val="005F3977"/>
    <w:rsid w:val="005F4F8D"/>
    <w:rsid w:val="005F77E5"/>
    <w:rsid w:val="006006A9"/>
    <w:rsid w:val="006028CA"/>
    <w:rsid w:val="0060348E"/>
    <w:rsid w:val="00603B9B"/>
    <w:rsid w:val="006041F9"/>
    <w:rsid w:val="00607418"/>
    <w:rsid w:val="00607978"/>
    <w:rsid w:val="00610452"/>
    <w:rsid w:val="00610D54"/>
    <w:rsid w:val="00612475"/>
    <w:rsid w:val="00616234"/>
    <w:rsid w:val="00617F25"/>
    <w:rsid w:val="00622652"/>
    <w:rsid w:val="00626D2E"/>
    <w:rsid w:val="00630CE7"/>
    <w:rsid w:val="0063266E"/>
    <w:rsid w:val="00636F78"/>
    <w:rsid w:val="00643058"/>
    <w:rsid w:val="00643EAC"/>
    <w:rsid w:val="00644B74"/>
    <w:rsid w:val="00644FE6"/>
    <w:rsid w:val="00663D3D"/>
    <w:rsid w:val="00664A48"/>
    <w:rsid w:val="006651A3"/>
    <w:rsid w:val="00670FC0"/>
    <w:rsid w:val="006710CA"/>
    <w:rsid w:val="0067252F"/>
    <w:rsid w:val="00672D44"/>
    <w:rsid w:val="0067482B"/>
    <w:rsid w:val="006750C6"/>
    <w:rsid w:val="00676577"/>
    <w:rsid w:val="00680321"/>
    <w:rsid w:val="00682A87"/>
    <w:rsid w:val="00682B3A"/>
    <w:rsid w:val="006865B2"/>
    <w:rsid w:val="00687340"/>
    <w:rsid w:val="00687A30"/>
    <w:rsid w:val="00692454"/>
    <w:rsid w:val="00695626"/>
    <w:rsid w:val="006A0B9E"/>
    <w:rsid w:val="006A33FB"/>
    <w:rsid w:val="006A7BA7"/>
    <w:rsid w:val="006B366E"/>
    <w:rsid w:val="006B57E5"/>
    <w:rsid w:val="006C6BF7"/>
    <w:rsid w:val="006D1114"/>
    <w:rsid w:val="006D5217"/>
    <w:rsid w:val="006E565A"/>
    <w:rsid w:val="006F0EA8"/>
    <w:rsid w:val="006F2FC4"/>
    <w:rsid w:val="006F438C"/>
    <w:rsid w:val="006F6830"/>
    <w:rsid w:val="007049F9"/>
    <w:rsid w:val="00706B1D"/>
    <w:rsid w:val="007118E1"/>
    <w:rsid w:val="00712EE2"/>
    <w:rsid w:val="00714E8F"/>
    <w:rsid w:val="007162FF"/>
    <w:rsid w:val="007234F9"/>
    <w:rsid w:val="00723AFB"/>
    <w:rsid w:val="0072734B"/>
    <w:rsid w:val="00727A1C"/>
    <w:rsid w:val="00730739"/>
    <w:rsid w:val="00733F75"/>
    <w:rsid w:val="00735845"/>
    <w:rsid w:val="0073593E"/>
    <w:rsid w:val="00740A15"/>
    <w:rsid w:val="00743274"/>
    <w:rsid w:val="00744EBB"/>
    <w:rsid w:val="00746589"/>
    <w:rsid w:val="007469D6"/>
    <w:rsid w:val="00746BA3"/>
    <w:rsid w:val="00747CC3"/>
    <w:rsid w:val="0075132C"/>
    <w:rsid w:val="00754F47"/>
    <w:rsid w:val="00761496"/>
    <w:rsid w:val="007614CC"/>
    <w:rsid w:val="00761BE3"/>
    <w:rsid w:val="00765A5A"/>
    <w:rsid w:val="007660C7"/>
    <w:rsid w:val="00770D64"/>
    <w:rsid w:val="00771285"/>
    <w:rsid w:val="00772A96"/>
    <w:rsid w:val="00772FDC"/>
    <w:rsid w:val="00773AB8"/>
    <w:rsid w:val="00774683"/>
    <w:rsid w:val="00781E08"/>
    <w:rsid w:val="00782EE4"/>
    <w:rsid w:val="00783422"/>
    <w:rsid w:val="007838D2"/>
    <w:rsid w:val="00787B46"/>
    <w:rsid w:val="00790D7A"/>
    <w:rsid w:val="00795BDD"/>
    <w:rsid w:val="00796AFC"/>
    <w:rsid w:val="007A07CB"/>
    <w:rsid w:val="007A0C6C"/>
    <w:rsid w:val="007A0D85"/>
    <w:rsid w:val="007A3726"/>
    <w:rsid w:val="007A4FF3"/>
    <w:rsid w:val="007A7894"/>
    <w:rsid w:val="007B29CF"/>
    <w:rsid w:val="007C1682"/>
    <w:rsid w:val="007C51B9"/>
    <w:rsid w:val="007C6D69"/>
    <w:rsid w:val="007C7634"/>
    <w:rsid w:val="007D7738"/>
    <w:rsid w:val="007E11F1"/>
    <w:rsid w:val="007E3E20"/>
    <w:rsid w:val="007F06A4"/>
    <w:rsid w:val="007F0D48"/>
    <w:rsid w:val="007F1552"/>
    <w:rsid w:val="007F53E6"/>
    <w:rsid w:val="00802356"/>
    <w:rsid w:val="00804644"/>
    <w:rsid w:val="00804FB3"/>
    <w:rsid w:val="008062FF"/>
    <w:rsid w:val="00806562"/>
    <w:rsid w:val="00807687"/>
    <w:rsid w:val="008107E8"/>
    <w:rsid w:val="00812C50"/>
    <w:rsid w:val="00817104"/>
    <w:rsid w:val="00821424"/>
    <w:rsid w:val="00824762"/>
    <w:rsid w:val="008247DB"/>
    <w:rsid w:val="00825546"/>
    <w:rsid w:val="00833787"/>
    <w:rsid w:val="008426CB"/>
    <w:rsid w:val="008430EC"/>
    <w:rsid w:val="008431C2"/>
    <w:rsid w:val="0084435E"/>
    <w:rsid w:val="00860DD9"/>
    <w:rsid w:val="00863440"/>
    <w:rsid w:val="00866F83"/>
    <w:rsid w:val="00872E1C"/>
    <w:rsid w:val="00873A19"/>
    <w:rsid w:val="00875CDD"/>
    <w:rsid w:val="00890A60"/>
    <w:rsid w:val="00894929"/>
    <w:rsid w:val="008A2016"/>
    <w:rsid w:val="008A4799"/>
    <w:rsid w:val="008A602F"/>
    <w:rsid w:val="008A76BB"/>
    <w:rsid w:val="008B5772"/>
    <w:rsid w:val="008B6EBD"/>
    <w:rsid w:val="008C0244"/>
    <w:rsid w:val="008C05EE"/>
    <w:rsid w:val="008C2801"/>
    <w:rsid w:val="008C5F88"/>
    <w:rsid w:val="008D0C5A"/>
    <w:rsid w:val="008D2764"/>
    <w:rsid w:val="008D7920"/>
    <w:rsid w:val="008E11D3"/>
    <w:rsid w:val="008E47F9"/>
    <w:rsid w:val="008F10A1"/>
    <w:rsid w:val="008F2EBF"/>
    <w:rsid w:val="008F5DCC"/>
    <w:rsid w:val="00900057"/>
    <w:rsid w:val="009139EA"/>
    <w:rsid w:val="009151AA"/>
    <w:rsid w:val="00916094"/>
    <w:rsid w:val="00920B04"/>
    <w:rsid w:val="00925790"/>
    <w:rsid w:val="00925EB8"/>
    <w:rsid w:val="009263A3"/>
    <w:rsid w:val="00931A89"/>
    <w:rsid w:val="00935C5D"/>
    <w:rsid w:val="00940EB3"/>
    <w:rsid w:val="00941004"/>
    <w:rsid w:val="00947325"/>
    <w:rsid w:val="00950A39"/>
    <w:rsid w:val="00950BF4"/>
    <w:rsid w:val="00953E10"/>
    <w:rsid w:val="00956677"/>
    <w:rsid w:val="00956B42"/>
    <w:rsid w:val="009619E3"/>
    <w:rsid w:val="00965503"/>
    <w:rsid w:val="009702EE"/>
    <w:rsid w:val="00973A78"/>
    <w:rsid w:val="00985FE5"/>
    <w:rsid w:val="009960FA"/>
    <w:rsid w:val="009A0797"/>
    <w:rsid w:val="009B185A"/>
    <w:rsid w:val="009B4038"/>
    <w:rsid w:val="009B5CB1"/>
    <w:rsid w:val="009B7886"/>
    <w:rsid w:val="009C19B3"/>
    <w:rsid w:val="009C34AE"/>
    <w:rsid w:val="009C5FC4"/>
    <w:rsid w:val="009C6520"/>
    <w:rsid w:val="009D3406"/>
    <w:rsid w:val="009D34D2"/>
    <w:rsid w:val="009D465F"/>
    <w:rsid w:val="009D46D4"/>
    <w:rsid w:val="009D59FC"/>
    <w:rsid w:val="009D7275"/>
    <w:rsid w:val="009D765E"/>
    <w:rsid w:val="009E1761"/>
    <w:rsid w:val="009E2EB8"/>
    <w:rsid w:val="009E3BA6"/>
    <w:rsid w:val="009E4B48"/>
    <w:rsid w:val="009E5977"/>
    <w:rsid w:val="009E5B9E"/>
    <w:rsid w:val="009E7F4B"/>
    <w:rsid w:val="009F1578"/>
    <w:rsid w:val="009F1A78"/>
    <w:rsid w:val="009F1E89"/>
    <w:rsid w:val="009F2D26"/>
    <w:rsid w:val="009F39CF"/>
    <w:rsid w:val="009F78B0"/>
    <w:rsid w:val="00A04EDD"/>
    <w:rsid w:val="00A0543C"/>
    <w:rsid w:val="00A054BB"/>
    <w:rsid w:val="00A074C0"/>
    <w:rsid w:val="00A1175E"/>
    <w:rsid w:val="00A11C77"/>
    <w:rsid w:val="00A1432C"/>
    <w:rsid w:val="00A23977"/>
    <w:rsid w:val="00A25584"/>
    <w:rsid w:val="00A2594E"/>
    <w:rsid w:val="00A27C1E"/>
    <w:rsid w:val="00A33CD2"/>
    <w:rsid w:val="00A40DBA"/>
    <w:rsid w:val="00A41DCA"/>
    <w:rsid w:val="00A46EFB"/>
    <w:rsid w:val="00A531C9"/>
    <w:rsid w:val="00A536FA"/>
    <w:rsid w:val="00A710C7"/>
    <w:rsid w:val="00A72CBC"/>
    <w:rsid w:val="00A83C3D"/>
    <w:rsid w:val="00A84B62"/>
    <w:rsid w:val="00A85221"/>
    <w:rsid w:val="00A85B04"/>
    <w:rsid w:val="00A8741F"/>
    <w:rsid w:val="00A91845"/>
    <w:rsid w:val="00A91976"/>
    <w:rsid w:val="00A92559"/>
    <w:rsid w:val="00A931DC"/>
    <w:rsid w:val="00A955B2"/>
    <w:rsid w:val="00AA0D83"/>
    <w:rsid w:val="00AA33DE"/>
    <w:rsid w:val="00AA6E77"/>
    <w:rsid w:val="00AB0135"/>
    <w:rsid w:val="00AB7BE2"/>
    <w:rsid w:val="00AC331A"/>
    <w:rsid w:val="00AC4451"/>
    <w:rsid w:val="00AC549D"/>
    <w:rsid w:val="00AC68C8"/>
    <w:rsid w:val="00AC6FDB"/>
    <w:rsid w:val="00AD6DFC"/>
    <w:rsid w:val="00AE6C59"/>
    <w:rsid w:val="00AF4469"/>
    <w:rsid w:val="00B00EBC"/>
    <w:rsid w:val="00B0143D"/>
    <w:rsid w:val="00B048AE"/>
    <w:rsid w:val="00B05942"/>
    <w:rsid w:val="00B06B2B"/>
    <w:rsid w:val="00B06BEC"/>
    <w:rsid w:val="00B14ACB"/>
    <w:rsid w:val="00B15F01"/>
    <w:rsid w:val="00B17425"/>
    <w:rsid w:val="00B20D27"/>
    <w:rsid w:val="00B44A39"/>
    <w:rsid w:val="00B44C7A"/>
    <w:rsid w:val="00B45C86"/>
    <w:rsid w:val="00B47DF4"/>
    <w:rsid w:val="00B531FC"/>
    <w:rsid w:val="00B575F9"/>
    <w:rsid w:val="00B57B0F"/>
    <w:rsid w:val="00B62E88"/>
    <w:rsid w:val="00B65AA5"/>
    <w:rsid w:val="00B66A00"/>
    <w:rsid w:val="00B70C7B"/>
    <w:rsid w:val="00B72D39"/>
    <w:rsid w:val="00B73C69"/>
    <w:rsid w:val="00B77E24"/>
    <w:rsid w:val="00B81148"/>
    <w:rsid w:val="00B8233A"/>
    <w:rsid w:val="00B91718"/>
    <w:rsid w:val="00B92254"/>
    <w:rsid w:val="00B9270C"/>
    <w:rsid w:val="00B94345"/>
    <w:rsid w:val="00BA1865"/>
    <w:rsid w:val="00BB48F3"/>
    <w:rsid w:val="00BB7EEE"/>
    <w:rsid w:val="00BC1A35"/>
    <w:rsid w:val="00BC3981"/>
    <w:rsid w:val="00BC5821"/>
    <w:rsid w:val="00BC70D8"/>
    <w:rsid w:val="00BD0013"/>
    <w:rsid w:val="00BD3205"/>
    <w:rsid w:val="00BD70AA"/>
    <w:rsid w:val="00BD789A"/>
    <w:rsid w:val="00BE1036"/>
    <w:rsid w:val="00BE7DC5"/>
    <w:rsid w:val="00BE7FC2"/>
    <w:rsid w:val="00BF15FC"/>
    <w:rsid w:val="00C109C0"/>
    <w:rsid w:val="00C256F9"/>
    <w:rsid w:val="00C2777F"/>
    <w:rsid w:val="00C3611D"/>
    <w:rsid w:val="00C37FF7"/>
    <w:rsid w:val="00C41B9D"/>
    <w:rsid w:val="00C4770B"/>
    <w:rsid w:val="00C6295C"/>
    <w:rsid w:val="00C66696"/>
    <w:rsid w:val="00C6714A"/>
    <w:rsid w:val="00C71E75"/>
    <w:rsid w:val="00C765E5"/>
    <w:rsid w:val="00C772C8"/>
    <w:rsid w:val="00C81249"/>
    <w:rsid w:val="00C82D4E"/>
    <w:rsid w:val="00C82DD8"/>
    <w:rsid w:val="00C847E3"/>
    <w:rsid w:val="00C87305"/>
    <w:rsid w:val="00C87AF6"/>
    <w:rsid w:val="00C96D8C"/>
    <w:rsid w:val="00CA698C"/>
    <w:rsid w:val="00CA7000"/>
    <w:rsid w:val="00CB012F"/>
    <w:rsid w:val="00CB02E4"/>
    <w:rsid w:val="00CB4943"/>
    <w:rsid w:val="00CC094C"/>
    <w:rsid w:val="00CC58E6"/>
    <w:rsid w:val="00CD30EE"/>
    <w:rsid w:val="00CD5914"/>
    <w:rsid w:val="00CE6A1B"/>
    <w:rsid w:val="00CF063F"/>
    <w:rsid w:val="00CF1459"/>
    <w:rsid w:val="00CF4ABA"/>
    <w:rsid w:val="00CF6E4C"/>
    <w:rsid w:val="00D02A34"/>
    <w:rsid w:val="00D05647"/>
    <w:rsid w:val="00D056BA"/>
    <w:rsid w:val="00D070A0"/>
    <w:rsid w:val="00D1431F"/>
    <w:rsid w:val="00D15F0E"/>
    <w:rsid w:val="00D16505"/>
    <w:rsid w:val="00D172A1"/>
    <w:rsid w:val="00D20901"/>
    <w:rsid w:val="00D21AC6"/>
    <w:rsid w:val="00D22590"/>
    <w:rsid w:val="00D23A78"/>
    <w:rsid w:val="00D241C4"/>
    <w:rsid w:val="00D253C4"/>
    <w:rsid w:val="00D30896"/>
    <w:rsid w:val="00D317E9"/>
    <w:rsid w:val="00D319CB"/>
    <w:rsid w:val="00D34013"/>
    <w:rsid w:val="00D35F96"/>
    <w:rsid w:val="00D36B4A"/>
    <w:rsid w:val="00D36C0E"/>
    <w:rsid w:val="00D37015"/>
    <w:rsid w:val="00D41704"/>
    <w:rsid w:val="00D46EAE"/>
    <w:rsid w:val="00D47E71"/>
    <w:rsid w:val="00D6188C"/>
    <w:rsid w:val="00D62214"/>
    <w:rsid w:val="00D65D8E"/>
    <w:rsid w:val="00D76436"/>
    <w:rsid w:val="00D85335"/>
    <w:rsid w:val="00D86760"/>
    <w:rsid w:val="00D87ECA"/>
    <w:rsid w:val="00D95B0A"/>
    <w:rsid w:val="00D96E4B"/>
    <w:rsid w:val="00DA0AA9"/>
    <w:rsid w:val="00DA1497"/>
    <w:rsid w:val="00DA6CDD"/>
    <w:rsid w:val="00DA7930"/>
    <w:rsid w:val="00DB0283"/>
    <w:rsid w:val="00DB19F9"/>
    <w:rsid w:val="00DB6B19"/>
    <w:rsid w:val="00DC0E22"/>
    <w:rsid w:val="00DC49F3"/>
    <w:rsid w:val="00DC7C56"/>
    <w:rsid w:val="00DD0A74"/>
    <w:rsid w:val="00DD2439"/>
    <w:rsid w:val="00DD2442"/>
    <w:rsid w:val="00DD2CB0"/>
    <w:rsid w:val="00DD36B9"/>
    <w:rsid w:val="00DD49A6"/>
    <w:rsid w:val="00DE091F"/>
    <w:rsid w:val="00DE342C"/>
    <w:rsid w:val="00DE5FBE"/>
    <w:rsid w:val="00DF0A30"/>
    <w:rsid w:val="00DF1AD3"/>
    <w:rsid w:val="00DF348A"/>
    <w:rsid w:val="00DF5350"/>
    <w:rsid w:val="00DF659C"/>
    <w:rsid w:val="00E021AA"/>
    <w:rsid w:val="00E02D20"/>
    <w:rsid w:val="00E04071"/>
    <w:rsid w:val="00E04A47"/>
    <w:rsid w:val="00E107C0"/>
    <w:rsid w:val="00E12DAA"/>
    <w:rsid w:val="00E12F96"/>
    <w:rsid w:val="00E20731"/>
    <w:rsid w:val="00E248F3"/>
    <w:rsid w:val="00E26DE6"/>
    <w:rsid w:val="00E30560"/>
    <w:rsid w:val="00E3069E"/>
    <w:rsid w:val="00E30B4F"/>
    <w:rsid w:val="00E33D09"/>
    <w:rsid w:val="00E3514B"/>
    <w:rsid w:val="00E37AA3"/>
    <w:rsid w:val="00E42156"/>
    <w:rsid w:val="00E424BF"/>
    <w:rsid w:val="00E53D6E"/>
    <w:rsid w:val="00E54130"/>
    <w:rsid w:val="00E5450A"/>
    <w:rsid w:val="00E620D4"/>
    <w:rsid w:val="00E633FA"/>
    <w:rsid w:val="00E634A3"/>
    <w:rsid w:val="00E63A13"/>
    <w:rsid w:val="00E652CC"/>
    <w:rsid w:val="00E710E6"/>
    <w:rsid w:val="00E80284"/>
    <w:rsid w:val="00E8052E"/>
    <w:rsid w:val="00E8403E"/>
    <w:rsid w:val="00E84A52"/>
    <w:rsid w:val="00E87193"/>
    <w:rsid w:val="00E87C17"/>
    <w:rsid w:val="00EA0C56"/>
    <w:rsid w:val="00EA10B3"/>
    <w:rsid w:val="00EA205C"/>
    <w:rsid w:val="00EB5976"/>
    <w:rsid w:val="00EB60BA"/>
    <w:rsid w:val="00EB7FCB"/>
    <w:rsid w:val="00EC6E2E"/>
    <w:rsid w:val="00ED40B7"/>
    <w:rsid w:val="00ED684E"/>
    <w:rsid w:val="00ED6BB5"/>
    <w:rsid w:val="00ED781E"/>
    <w:rsid w:val="00EE133C"/>
    <w:rsid w:val="00EE26A1"/>
    <w:rsid w:val="00EE3D37"/>
    <w:rsid w:val="00EE5D0A"/>
    <w:rsid w:val="00EF2176"/>
    <w:rsid w:val="00EF2662"/>
    <w:rsid w:val="00EF376A"/>
    <w:rsid w:val="00EF3A22"/>
    <w:rsid w:val="00F028A4"/>
    <w:rsid w:val="00F06B14"/>
    <w:rsid w:val="00F14249"/>
    <w:rsid w:val="00F24243"/>
    <w:rsid w:val="00F26142"/>
    <w:rsid w:val="00F33D7B"/>
    <w:rsid w:val="00F352CF"/>
    <w:rsid w:val="00F36E17"/>
    <w:rsid w:val="00F4155F"/>
    <w:rsid w:val="00F41FA6"/>
    <w:rsid w:val="00F4593D"/>
    <w:rsid w:val="00F471EA"/>
    <w:rsid w:val="00F50210"/>
    <w:rsid w:val="00F5101D"/>
    <w:rsid w:val="00F53BE1"/>
    <w:rsid w:val="00F57643"/>
    <w:rsid w:val="00F74913"/>
    <w:rsid w:val="00F7554A"/>
    <w:rsid w:val="00F90179"/>
    <w:rsid w:val="00F9098C"/>
    <w:rsid w:val="00F90C23"/>
    <w:rsid w:val="00F94A39"/>
    <w:rsid w:val="00FA10B2"/>
    <w:rsid w:val="00FA321B"/>
    <w:rsid w:val="00FA730F"/>
    <w:rsid w:val="00FB07DE"/>
    <w:rsid w:val="00FB0AA7"/>
    <w:rsid w:val="00FC0EFB"/>
    <w:rsid w:val="00FC39DA"/>
    <w:rsid w:val="00FC4938"/>
    <w:rsid w:val="00FC498A"/>
    <w:rsid w:val="00FC4D37"/>
    <w:rsid w:val="00FD0573"/>
    <w:rsid w:val="00FD2789"/>
    <w:rsid w:val="00FD3E72"/>
    <w:rsid w:val="00FE2E6E"/>
    <w:rsid w:val="00FE4225"/>
    <w:rsid w:val="00FE7DA4"/>
    <w:rsid w:val="00FF6ADC"/>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056"/>
  <w15:docId w15:val="{8D8AF1C1-C390-4937-B0BF-A303DFC7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B185A"/>
    <w:pPr>
      <w:numPr>
        <w:numId w:val="56"/>
      </w:numPr>
      <w:spacing w:after="60"/>
      <w:contextualSpacing w:val="0"/>
    </w:pPr>
    <w:rPr>
      <w:rFonts w:cs="Times New Roman"/>
      <w:szCs w:val="24"/>
    </w:rPr>
  </w:style>
  <w:style w:type="paragraph" w:customStyle="1" w:styleId="MBPointSub">
    <w:name w:val="MB Point Sub"/>
    <w:basedOn w:val="ListParagraph"/>
    <w:qFormat/>
    <w:rsid w:val="009B185A"/>
    <w:pPr>
      <w:numPr>
        <w:ilvl w:val="1"/>
        <w:numId w:val="56"/>
      </w:numPr>
      <w:spacing w:after="60"/>
      <w:ind w:left="510" w:hanging="357"/>
      <w:contextualSpacing w:val="0"/>
    </w:pPr>
    <w:rPr>
      <w:rFonts w:cs="Times New Roman"/>
      <w:szCs w:val="24"/>
    </w:rPr>
  </w:style>
  <w:style w:type="character" w:customStyle="1" w:styleId="MBPointChar">
    <w:name w:val="MB Point Char"/>
    <w:basedOn w:val="ListParagraphChar"/>
    <w:link w:val="MBPoint"/>
    <w:rsid w:val="009B185A"/>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0A53471-77F4-4402-817F-B3C1C1529E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C2DDCE17BDCF4791E745626F191E2F" ma:contentTypeVersion="" ma:contentTypeDescription="PDMS Document Site Content Type" ma:contentTypeScope="" ma:versionID="f18b0d614606d3a1bdfbed27e7dc9160">
  <xsd:schema xmlns:xsd="http://www.w3.org/2001/XMLSchema" xmlns:xs="http://www.w3.org/2001/XMLSchema" xmlns:p="http://schemas.microsoft.com/office/2006/metadata/properties" xmlns:ns2="50A53471-77F4-4402-817F-B3C1C1529E11" targetNamespace="http://schemas.microsoft.com/office/2006/metadata/properties" ma:root="true" ma:fieldsID="9fe70eb327997dbf3acd65d1d2c7007b" ns2:_="">
    <xsd:import namespace="50A53471-77F4-4402-817F-B3C1C1529E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53471-77F4-4402-817F-B3C1C1529E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0A53471-77F4-4402-817F-B3C1C1529E11"/>
    <ds:schemaRef ds:uri="http://www.w3.org/XML/1998/namespace"/>
    <ds:schemaRef ds:uri="http://purl.org/dc/elements/1.1/"/>
  </ds:schemaRefs>
</ds:datastoreItem>
</file>

<file path=customXml/itemProps2.xml><?xml version="1.0" encoding="utf-8"?>
<ds:datastoreItem xmlns:ds="http://schemas.openxmlformats.org/officeDocument/2006/customXml" ds:itemID="{853D73DE-9C35-459A-8988-36D5038B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53471-77F4-4402-817F-B3C1C1529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4.xml><?xml version="1.0" encoding="utf-8"?>
<ds:datastoreItem xmlns:ds="http://schemas.openxmlformats.org/officeDocument/2006/customXml" ds:itemID="{8EFC66B1-429C-47DC-AE5B-AB97BF01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BFBEC6FF.dotm</Template>
  <TotalTime>0</TotalTime>
  <Pages>16</Pages>
  <Words>6006</Words>
  <Characters>34239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Kimber</dc:creator>
  <cp:lastModifiedBy>COCK,Amanda</cp:lastModifiedBy>
  <cp:revision>2</cp:revision>
  <cp:lastPrinted>2019-12-06T04:26:00Z</cp:lastPrinted>
  <dcterms:created xsi:type="dcterms:W3CDTF">2019-12-16T04:09:00Z</dcterms:created>
  <dcterms:modified xsi:type="dcterms:W3CDTF">2019-12-16T04:09:00Z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0x010100266966F133664895A6EE3632470D45F50072C2DDCE17BDCF4791E745626F191E2F</vt:lpwstr>
  </property>
</Properties>
</file>