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52" w:rsidRDefault="00B47452" w:rsidP="00937E87">
      <w:pPr>
        <w:jc w:val="center"/>
        <w:rPr>
          <w:rFonts w:ascii="Arial" w:hAnsi="Arial" w:cs="Arial"/>
          <w:u w:val="single"/>
        </w:rPr>
      </w:pPr>
    </w:p>
    <w:p w:rsidR="001D6195" w:rsidRDefault="001D6195" w:rsidP="00937E87">
      <w:pPr>
        <w:jc w:val="center"/>
        <w:rPr>
          <w:rFonts w:ascii="Arial" w:hAnsi="Arial" w:cs="Arial"/>
          <w:u w:val="single"/>
        </w:rPr>
      </w:pPr>
    </w:p>
    <w:p w:rsidR="0030195D" w:rsidRDefault="00315A92" w:rsidP="00D16791">
      <w:pPr>
        <w:jc w:val="center"/>
        <w:rPr>
          <w:rFonts w:ascii="Arial" w:hAnsi="Arial" w:cs="Arial"/>
          <w:u w:val="single"/>
        </w:rPr>
      </w:pPr>
      <w:r w:rsidRPr="00315A92">
        <w:rPr>
          <w:rFonts w:ascii="Arial" w:hAnsi="Arial" w:cs="Arial"/>
          <w:u w:val="single"/>
        </w:rPr>
        <w:t xml:space="preserve">HIGH COURT </w:t>
      </w:r>
      <w:r w:rsidR="00205BED">
        <w:rPr>
          <w:rFonts w:ascii="Arial" w:hAnsi="Arial" w:cs="Arial"/>
          <w:u w:val="single"/>
        </w:rPr>
        <w:t xml:space="preserve">AMENDMENT </w:t>
      </w:r>
      <w:r w:rsidR="0012618D">
        <w:rPr>
          <w:rFonts w:ascii="Arial" w:hAnsi="Arial" w:cs="Arial"/>
          <w:u w:val="single"/>
        </w:rPr>
        <w:t>(</w:t>
      </w:r>
      <w:r w:rsidR="00B173CA">
        <w:rPr>
          <w:rFonts w:ascii="Arial" w:hAnsi="Arial" w:cs="Arial"/>
          <w:u w:val="single"/>
        </w:rPr>
        <w:t xml:space="preserve">ELECTRONIC FILING </w:t>
      </w:r>
    </w:p>
    <w:p w:rsidR="00315A92" w:rsidRPr="00315A92" w:rsidRDefault="00B148E5" w:rsidP="00D16791">
      <w:pPr>
        <w:jc w:val="center"/>
        <w:rPr>
          <w:rFonts w:ascii="Arial" w:hAnsi="Arial" w:cs="Arial"/>
          <w:u w:val="single"/>
        </w:rPr>
      </w:pPr>
      <w:r>
        <w:rPr>
          <w:rFonts w:ascii="Arial" w:hAnsi="Arial" w:cs="Arial"/>
          <w:u w:val="single"/>
        </w:rPr>
        <w:t>AND OTHER MATTERS</w:t>
      </w:r>
      <w:r w:rsidR="0012618D">
        <w:rPr>
          <w:rFonts w:ascii="Arial" w:hAnsi="Arial" w:cs="Arial"/>
          <w:u w:val="single"/>
        </w:rPr>
        <w:t xml:space="preserve">) </w:t>
      </w:r>
      <w:r w:rsidR="00315A92" w:rsidRPr="00315A92">
        <w:rPr>
          <w:rFonts w:ascii="Arial" w:hAnsi="Arial" w:cs="Arial"/>
          <w:u w:val="single"/>
        </w:rPr>
        <w:t>RULE</w:t>
      </w:r>
      <w:r w:rsidR="00205BED">
        <w:rPr>
          <w:rFonts w:ascii="Arial" w:hAnsi="Arial" w:cs="Arial"/>
          <w:u w:val="single"/>
        </w:rPr>
        <w:t>S</w:t>
      </w:r>
      <w:r w:rsidR="009726D2">
        <w:rPr>
          <w:rFonts w:ascii="Arial" w:hAnsi="Arial" w:cs="Arial"/>
          <w:u w:val="single"/>
        </w:rPr>
        <w:t xml:space="preserve"> 201</w:t>
      </w:r>
      <w:r w:rsidR="00B173CA">
        <w:rPr>
          <w:rFonts w:ascii="Arial" w:hAnsi="Arial" w:cs="Arial"/>
          <w:u w:val="single"/>
        </w:rPr>
        <w:t>9</w:t>
      </w:r>
    </w:p>
    <w:p w:rsidR="00315A92" w:rsidRPr="00315A92" w:rsidRDefault="002B2242" w:rsidP="00937E87">
      <w:pPr>
        <w:jc w:val="center"/>
        <w:rPr>
          <w:rFonts w:ascii="Arial" w:hAnsi="Arial" w:cs="Arial"/>
          <w:u w:val="single"/>
        </w:rPr>
      </w:pPr>
      <w:r>
        <w:rPr>
          <w:rFonts w:ascii="Arial" w:hAnsi="Arial" w:cs="Arial"/>
          <w:b/>
          <w:u w:val="single"/>
        </w:rPr>
        <w:t xml:space="preserve">19 </w:t>
      </w:r>
      <w:r w:rsidR="00B173CA">
        <w:rPr>
          <w:rFonts w:ascii="Arial" w:hAnsi="Arial" w:cs="Arial"/>
          <w:b/>
          <w:u w:val="single"/>
        </w:rPr>
        <w:t>DECEMBER 2019</w:t>
      </w:r>
      <w:r w:rsidR="00315A92" w:rsidRPr="00315A92">
        <w:rPr>
          <w:rFonts w:ascii="Arial" w:hAnsi="Arial" w:cs="Arial"/>
          <w:u w:val="single"/>
        </w:rPr>
        <w:br/>
        <w:t>EXPLANATORY STATEMENT</w:t>
      </w:r>
    </w:p>
    <w:p w:rsidR="00315A92" w:rsidRDefault="00315A92" w:rsidP="00937E87">
      <w:pPr>
        <w:jc w:val="both"/>
        <w:rPr>
          <w:rFonts w:ascii="Arial" w:hAnsi="Arial" w:cs="Arial"/>
        </w:rPr>
      </w:pPr>
    </w:p>
    <w:p w:rsidR="00FA0A9B" w:rsidRPr="00315A92" w:rsidRDefault="00FA0A9B" w:rsidP="00937E87">
      <w:pPr>
        <w:jc w:val="both"/>
        <w:rPr>
          <w:rFonts w:ascii="Arial" w:hAnsi="Arial" w:cs="Arial"/>
        </w:rPr>
      </w:pPr>
    </w:p>
    <w:p w:rsidR="00315A92" w:rsidRDefault="00315A92" w:rsidP="00937E87">
      <w:pPr>
        <w:jc w:val="both"/>
        <w:rPr>
          <w:rFonts w:ascii="Arial" w:hAnsi="Arial" w:cs="Arial"/>
        </w:rPr>
      </w:pPr>
      <w:r>
        <w:rPr>
          <w:rFonts w:ascii="Arial" w:hAnsi="Arial" w:cs="Arial"/>
        </w:rPr>
        <w:t xml:space="preserve">These </w:t>
      </w:r>
      <w:r w:rsidR="00205BED">
        <w:rPr>
          <w:rFonts w:ascii="Arial" w:hAnsi="Arial" w:cs="Arial"/>
        </w:rPr>
        <w:t xml:space="preserve">Amendment </w:t>
      </w:r>
      <w:r>
        <w:rPr>
          <w:rFonts w:ascii="Arial" w:hAnsi="Arial" w:cs="Arial"/>
        </w:rPr>
        <w:t>Rules of Court</w:t>
      </w:r>
      <w:r w:rsidR="00205BED">
        <w:rPr>
          <w:rFonts w:ascii="Arial" w:hAnsi="Arial" w:cs="Arial"/>
        </w:rPr>
        <w:t>,</w:t>
      </w:r>
      <w:r>
        <w:rPr>
          <w:rFonts w:ascii="Arial" w:hAnsi="Arial" w:cs="Arial"/>
        </w:rPr>
        <w:t xml:space="preserve"> </w:t>
      </w:r>
      <w:r w:rsidR="00205BED">
        <w:rPr>
          <w:rFonts w:ascii="Arial" w:hAnsi="Arial" w:cs="Arial"/>
        </w:rPr>
        <w:t xml:space="preserve">signed </w:t>
      </w:r>
      <w:r w:rsidR="001C3784" w:rsidRPr="00FD48BF">
        <w:rPr>
          <w:rFonts w:ascii="Arial" w:hAnsi="Arial" w:cs="Arial"/>
        </w:rPr>
        <w:t>on</w:t>
      </w:r>
      <w:r w:rsidR="001C3784">
        <w:rPr>
          <w:rFonts w:ascii="Arial" w:hAnsi="Arial" w:cs="Arial"/>
        </w:rPr>
        <w:t xml:space="preserve"> </w:t>
      </w:r>
      <w:r w:rsidR="002B2242" w:rsidRPr="002B2242">
        <w:rPr>
          <w:rFonts w:ascii="Arial" w:hAnsi="Arial" w:cs="Arial"/>
        </w:rPr>
        <w:t>19</w:t>
      </w:r>
      <w:r w:rsidR="002B2242">
        <w:rPr>
          <w:rFonts w:ascii="Arial" w:hAnsi="Arial" w:cs="Arial"/>
          <w:b/>
        </w:rPr>
        <w:t xml:space="preserve"> </w:t>
      </w:r>
      <w:r w:rsidR="00B173CA">
        <w:rPr>
          <w:rFonts w:ascii="Arial" w:hAnsi="Arial" w:cs="Arial"/>
        </w:rPr>
        <w:t>December 2019</w:t>
      </w:r>
      <w:r w:rsidR="00205BED">
        <w:rPr>
          <w:rFonts w:ascii="Arial" w:hAnsi="Arial" w:cs="Arial"/>
        </w:rPr>
        <w:t xml:space="preserve">, </w:t>
      </w:r>
      <w:r>
        <w:rPr>
          <w:rFonts w:ascii="Arial" w:hAnsi="Arial" w:cs="Arial"/>
        </w:rPr>
        <w:t xml:space="preserve">are made by the </w:t>
      </w:r>
      <w:r w:rsidRPr="003453E1">
        <w:rPr>
          <w:rFonts w:ascii="Arial" w:hAnsi="Arial" w:cs="Arial"/>
        </w:rPr>
        <w:t xml:space="preserve">Justices </w:t>
      </w:r>
      <w:r w:rsidR="00A57627">
        <w:rPr>
          <w:rFonts w:ascii="Arial" w:hAnsi="Arial" w:cs="Arial"/>
        </w:rPr>
        <w:t xml:space="preserve">of the High Court of Australia </w:t>
      </w:r>
      <w:r w:rsidRPr="003453E1">
        <w:rPr>
          <w:rFonts w:ascii="Arial" w:hAnsi="Arial" w:cs="Arial"/>
        </w:rPr>
        <w:t xml:space="preserve">under the </w:t>
      </w:r>
      <w:r w:rsidRPr="003453E1">
        <w:rPr>
          <w:rFonts w:ascii="Arial" w:hAnsi="Arial" w:cs="Arial"/>
          <w:i/>
        </w:rPr>
        <w:t xml:space="preserve">Judiciary </w:t>
      </w:r>
      <w:r w:rsidRPr="008E6835">
        <w:rPr>
          <w:rFonts w:ascii="Arial" w:hAnsi="Arial" w:cs="Arial"/>
          <w:i/>
        </w:rPr>
        <w:t>Act 1903</w:t>
      </w:r>
      <w:r w:rsidR="004822BC" w:rsidRPr="003453E1">
        <w:rPr>
          <w:rFonts w:ascii="Arial" w:hAnsi="Arial" w:cs="Arial"/>
        </w:rPr>
        <w:t xml:space="preserve">, the </w:t>
      </w:r>
      <w:r w:rsidR="004822BC" w:rsidRPr="003453E1">
        <w:rPr>
          <w:rFonts w:ascii="Arial" w:hAnsi="Arial" w:cs="Arial"/>
          <w:i/>
        </w:rPr>
        <w:t xml:space="preserve">Commonwealth </w:t>
      </w:r>
      <w:r w:rsidR="004822BC" w:rsidRPr="008E6835">
        <w:rPr>
          <w:rFonts w:ascii="Arial" w:hAnsi="Arial" w:cs="Arial"/>
          <w:i/>
        </w:rPr>
        <w:t>Electoral Act 1918</w:t>
      </w:r>
      <w:r w:rsidR="004822BC" w:rsidRPr="003453E1">
        <w:rPr>
          <w:rFonts w:ascii="Arial" w:hAnsi="Arial" w:cs="Arial"/>
        </w:rPr>
        <w:t xml:space="preserve">, the </w:t>
      </w:r>
      <w:r w:rsidR="004822BC" w:rsidRPr="003453E1">
        <w:rPr>
          <w:rFonts w:ascii="Arial" w:hAnsi="Arial" w:cs="Arial"/>
          <w:i/>
        </w:rPr>
        <w:t xml:space="preserve">Nauru (High Court Appeals) </w:t>
      </w:r>
      <w:r w:rsidR="004822BC" w:rsidRPr="008E6835">
        <w:rPr>
          <w:rFonts w:ascii="Arial" w:hAnsi="Arial" w:cs="Arial"/>
          <w:i/>
        </w:rPr>
        <w:t>Act 1976</w:t>
      </w:r>
      <w:r w:rsidR="004822BC" w:rsidRPr="003453E1">
        <w:rPr>
          <w:rFonts w:ascii="Arial" w:hAnsi="Arial" w:cs="Arial"/>
          <w:i/>
        </w:rPr>
        <w:t xml:space="preserve"> </w:t>
      </w:r>
      <w:r w:rsidR="004822BC" w:rsidRPr="003453E1">
        <w:rPr>
          <w:rFonts w:ascii="Arial" w:hAnsi="Arial" w:cs="Arial"/>
        </w:rPr>
        <w:t>and the</w:t>
      </w:r>
      <w:r w:rsidR="004822BC" w:rsidRPr="003453E1">
        <w:rPr>
          <w:rFonts w:ascii="Arial" w:hAnsi="Arial" w:cs="Arial"/>
          <w:i/>
        </w:rPr>
        <w:t xml:space="preserve"> High Court of Australia </w:t>
      </w:r>
      <w:r w:rsidR="004822BC" w:rsidRPr="008E6835">
        <w:rPr>
          <w:rFonts w:ascii="Arial" w:hAnsi="Arial" w:cs="Arial"/>
          <w:i/>
        </w:rPr>
        <w:t>Act 1979</w:t>
      </w:r>
      <w:r w:rsidR="004822BC">
        <w:rPr>
          <w:rFonts w:ascii="Arial" w:hAnsi="Arial" w:cs="Arial"/>
        </w:rPr>
        <w:t>.</w:t>
      </w:r>
    </w:p>
    <w:p w:rsidR="0034590A" w:rsidRDefault="0034590A" w:rsidP="00937E87">
      <w:pPr>
        <w:jc w:val="both"/>
        <w:rPr>
          <w:rFonts w:ascii="Arial" w:hAnsi="Arial" w:cs="Arial"/>
        </w:rPr>
      </w:pPr>
    </w:p>
    <w:p w:rsidR="00132E90" w:rsidRPr="00132E90" w:rsidRDefault="00132E90" w:rsidP="00132E90">
      <w:pPr>
        <w:jc w:val="both"/>
        <w:rPr>
          <w:rFonts w:ascii="Arial" w:hAnsi="Arial" w:cs="Arial"/>
          <w:noProof/>
          <w:szCs w:val="24"/>
        </w:rPr>
      </w:pPr>
      <w:r w:rsidRPr="00132E90">
        <w:rPr>
          <w:rFonts w:ascii="Arial" w:hAnsi="Arial" w:cs="Arial"/>
          <w:noProof/>
          <w:szCs w:val="24"/>
        </w:rPr>
        <w:t xml:space="preserve">The High Court of Australia will in 2020 introduce a Digital Lodgment System Portal (DLS Portal) to permit </w:t>
      </w:r>
      <w:bookmarkStart w:id="0" w:name="_GoBack"/>
      <w:bookmarkEnd w:id="0"/>
      <w:r w:rsidRPr="00132E90">
        <w:rPr>
          <w:rFonts w:ascii="Arial" w:hAnsi="Arial" w:cs="Arial"/>
          <w:noProof/>
          <w:szCs w:val="24"/>
        </w:rPr>
        <w:t xml:space="preserve">parties to initiate cases, file documents, pay fees, receive notifications from the Court and track the progress of a case without attending the Registry.  </w:t>
      </w:r>
      <w:r w:rsidR="007040FF">
        <w:rPr>
          <w:rFonts w:ascii="Arial" w:hAnsi="Arial" w:cs="Arial"/>
          <w:noProof/>
          <w:szCs w:val="24"/>
        </w:rPr>
        <w:t>E</w:t>
      </w:r>
      <w:r w:rsidRPr="00132E90">
        <w:rPr>
          <w:rFonts w:ascii="Arial" w:hAnsi="Arial" w:cs="Arial"/>
          <w:noProof/>
          <w:szCs w:val="24"/>
        </w:rPr>
        <w:t xml:space="preserve">lectronic lodgment of documents will be required for all </w:t>
      </w:r>
      <w:r w:rsidR="007040FF">
        <w:rPr>
          <w:rFonts w:ascii="Arial" w:hAnsi="Arial" w:cs="Arial"/>
          <w:noProof/>
          <w:szCs w:val="24"/>
        </w:rPr>
        <w:t xml:space="preserve">documents in </w:t>
      </w:r>
      <w:r w:rsidRPr="00132E90">
        <w:rPr>
          <w:rFonts w:ascii="Arial" w:hAnsi="Arial" w:cs="Arial"/>
          <w:noProof/>
          <w:szCs w:val="24"/>
        </w:rPr>
        <w:t>cases commenced on or after 1 January 2020.</w:t>
      </w:r>
    </w:p>
    <w:p w:rsidR="00132E90" w:rsidRDefault="00132E90" w:rsidP="00132E90">
      <w:pPr>
        <w:jc w:val="both"/>
        <w:rPr>
          <w:rFonts w:ascii="Arial" w:hAnsi="Arial" w:cs="Arial"/>
          <w:noProof/>
          <w:szCs w:val="24"/>
        </w:rPr>
      </w:pPr>
    </w:p>
    <w:p w:rsidR="00817EAD" w:rsidRPr="00817EAD" w:rsidRDefault="00132E90" w:rsidP="00132E90">
      <w:pPr>
        <w:jc w:val="both"/>
        <w:rPr>
          <w:rFonts w:ascii="Arial" w:hAnsi="Arial" w:cs="Arial"/>
          <w:szCs w:val="24"/>
        </w:rPr>
      </w:pPr>
      <w:r>
        <w:rPr>
          <w:rFonts w:ascii="Arial" w:hAnsi="Arial" w:cs="Arial"/>
          <w:noProof/>
          <w:szCs w:val="24"/>
        </w:rPr>
        <w:t>The</w:t>
      </w:r>
      <w:r w:rsidRPr="00132E90">
        <w:rPr>
          <w:rFonts w:ascii="Arial" w:hAnsi="Arial" w:cs="Arial"/>
          <w:i/>
          <w:noProof/>
          <w:sz w:val="20"/>
        </w:rPr>
        <w:t xml:space="preserve"> </w:t>
      </w:r>
      <w:r w:rsidRPr="00132E90">
        <w:rPr>
          <w:rFonts w:ascii="Arial" w:hAnsi="Arial" w:cs="Arial"/>
          <w:i/>
        </w:rPr>
        <w:t>High Court Amendment (Electronic Filing and Other Matters) Rules 2019</w:t>
      </w:r>
      <w:r>
        <w:rPr>
          <w:rFonts w:ascii="Arial" w:hAnsi="Arial" w:cs="Arial"/>
        </w:rPr>
        <w:t xml:space="preserve"> amend the </w:t>
      </w:r>
      <w:r w:rsidR="00817EAD" w:rsidRPr="00817EAD">
        <w:rPr>
          <w:rFonts w:ascii="Arial" w:hAnsi="Arial" w:cs="Arial"/>
          <w:i/>
          <w:noProof/>
          <w:szCs w:val="24"/>
        </w:rPr>
        <w:t>High Court Rules 2004</w:t>
      </w:r>
      <w:r w:rsidR="00817EAD" w:rsidRPr="00817EAD">
        <w:rPr>
          <w:rFonts w:ascii="Arial" w:hAnsi="Arial" w:cs="Arial"/>
          <w:noProof/>
          <w:szCs w:val="24"/>
        </w:rPr>
        <w:t xml:space="preserve"> </w:t>
      </w:r>
      <w:r>
        <w:rPr>
          <w:rFonts w:ascii="Arial" w:hAnsi="Arial" w:cs="Arial"/>
          <w:noProof/>
          <w:szCs w:val="24"/>
        </w:rPr>
        <w:t xml:space="preserve">to make provision for </w:t>
      </w:r>
      <w:r w:rsidR="00817EAD" w:rsidRPr="00817EAD">
        <w:rPr>
          <w:rFonts w:ascii="Arial" w:hAnsi="Arial" w:cs="Arial"/>
          <w:noProof/>
          <w:szCs w:val="24"/>
        </w:rPr>
        <w:t xml:space="preserve">the electronic </w:t>
      </w:r>
      <w:r>
        <w:rPr>
          <w:rFonts w:ascii="Arial" w:hAnsi="Arial" w:cs="Arial"/>
          <w:noProof/>
          <w:szCs w:val="24"/>
        </w:rPr>
        <w:t>lodgment</w:t>
      </w:r>
      <w:r w:rsidR="00817EAD" w:rsidRPr="00817EAD">
        <w:rPr>
          <w:rFonts w:ascii="Arial" w:hAnsi="Arial" w:cs="Arial"/>
          <w:noProof/>
          <w:szCs w:val="24"/>
        </w:rPr>
        <w:t xml:space="preserve"> of documents</w:t>
      </w:r>
      <w:r>
        <w:rPr>
          <w:rFonts w:ascii="Arial" w:hAnsi="Arial" w:cs="Arial"/>
          <w:noProof/>
          <w:szCs w:val="24"/>
        </w:rPr>
        <w:t>.</w:t>
      </w:r>
    </w:p>
    <w:p w:rsidR="00132E90" w:rsidRDefault="00132E90" w:rsidP="00132E90">
      <w:pPr>
        <w:jc w:val="both"/>
        <w:rPr>
          <w:rFonts w:ascii="Arial" w:hAnsi="Arial" w:cs="Arial"/>
          <w:noProof/>
          <w:szCs w:val="24"/>
        </w:rPr>
      </w:pPr>
    </w:p>
    <w:p w:rsidR="00817EAD" w:rsidRPr="00817EAD" w:rsidRDefault="00817EAD" w:rsidP="00817EAD">
      <w:pPr>
        <w:pStyle w:val="ListParagraph"/>
        <w:spacing w:after="120" w:line="240" w:lineRule="auto"/>
        <w:ind w:left="0"/>
        <w:jc w:val="both"/>
        <w:rPr>
          <w:rFonts w:ascii="Arial" w:hAnsi="Arial" w:cs="Arial"/>
          <w:i/>
          <w:sz w:val="24"/>
          <w:szCs w:val="24"/>
        </w:rPr>
      </w:pPr>
      <w:r w:rsidRPr="00817EAD">
        <w:rPr>
          <w:rFonts w:ascii="Arial" w:hAnsi="Arial" w:cs="Arial"/>
          <w:i/>
          <w:sz w:val="24"/>
          <w:szCs w:val="24"/>
        </w:rPr>
        <w:t>Lodged or filed</w:t>
      </w:r>
    </w:p>
    <w:p w:rsidR="00817EAD" w:rsidRPr="00817EAD" w:rsidRDefault="00817EAD" w:rsidP="00817EAD">
      <w:pPr>
        <w:jc w:val="both"/>
        <w:rPr>
          <w:rFonts w:ascii="Arial" w:hAnsi="Arial" w:cs="Arial"/>
          <w:noProof/>
          <w:szCs w:val="24"/>
        </w:rPr>
      </w:pPr>
      <w:r w:rsidRPr="00817EAD">
        <w:rPr>
          <w:rFonts w:ascii="Arial" w:hAnsi="Arial" w:cs="Arial"/>
          <w:noProof/>
          <w:szCs w:val="24"/>
        </w:rPr>
        <w:t>Documents lodged in the DLS Portal will not be filed u</w:t>
      </w:r>
      <w:r w:rsidR="006114ED">
        <w:rPr>
          <w:rFonts w:ascii="Arial" w:hAnsi="Arial" w:cs="Arial"/>
          <w:noProof/>
          <w:szCs w:val="24"/>
        </w:rPr>
        <w:t xml:space="preserve">nless </w:t>
      </w:r>
      <w:r w:rsidRPr="00817EAD">
        <w:rPr>
          <w:rFonts w:ascii="Arial" w:hAnsi="Arial" w:cs="Arial"/>
          <w:noProof/>
          <w:szCs w:val="24"/>
        </w:rPr>
        <w:t>approved by the Registry (and any payment is received by the Court).</w:t>
      </w:r>
    </w:p>
    <w:p w:rsidR="00817EAD" w:rsidRPr="00817EAD" w:rsidRDefault="00817EAD" w:rsidP="00817EAD">
      <w:pPr>
        <w:jc w:val="both"/>
        <w:rPr>
          <w:rFonts w:ascii="Arial" w:hAnsi="Arial" w:cs="Arial"/>
          <w:noProof/>
          <w:szCs w:val="24"/>
        </w:rPr>
      </w:pPr>
    </w:p>
    <w:p w:rsidR="00817EAD" w:rsidRPr="00817EAD" w:rsidRDefault="006114ED" w:rsidP="00817EAD">
      <w:pPr>
        <w:jc w:val="both"/>
        <w:rPr>
          <w:rFonts w:ascii="Arial" w:hAnsi="Arial" w:cs="Arial"/>
          <w:szCs w:val="24"/>
        </w:rPr>
      </w:pPr>
      <w:r>
        <w:rPr>
          <w:rFonts w:ascii="Arial" w:hAnsi="Arial" w:cs="Arial"/>
          <w:szCs w:val="24"/>
        </w:rPr>
        <w:t>If approved by the Registry a</w:t>
      </w:r>
      <w:r w:rsidR="00817EAD" w:rsidRPr="00817EAD">
        <w:rPr>
          <w:rFonts w:ascii="Arial" w:hAnsi="Arial" w:cs="Arial"/>
          <w:szCs w:val="24"/>
        </w:rPr>
        <w:t xml:space="preserve"> lodged document will be taken to have been filed (rule 1.10.5):</w:t>
      </w:r>
    </w:p>
    <w:p w:rsidR="00817EAD" w:rsidRPr="00817EAD" w:rsidRDefault="00817EAD" w:rsidP="00132E90">
      <w:pPr>
        <w:tabs>
          <w:tab w:val="left" w:pos="567"/>
        </w:tabs>
        <w:rPr>
          <w:rFonts w:ascii="Arial" w:hAnsi="Arial" w:cs="Arial"/>
          <w:szCs w:val="24"/>
        </w:rPr>
      </w:pPr>
      <w:r w:rsidRPr="00817EAD">
        <w:rPr>
          <w:rFonts w:ascii="Arial" w:hAnsi="Arial" w:cs="Arial"/>
          <w:szCs w:val="24"/>
        </w:rPr>
        <w:t>(a)</w:t>
      </w:r>
      <w:r w:rsidRPr="00817EAD">
        <w:rPr>
          <w:rFonts w:ascii="Arial" w:hAnsi="Arial" w:cs="Arial"/>
          <w:szCs w:val="24"/>
        </w:rPr>
        <w:tab/>
        <w:t>if a fee is payable:</w:t>
      </w:r>
    </w:p>
    <w:p w:rsidR="00817EAD" w:rsidRPr="00817EAD" w:rsidRDefault="00817EAD" w:rsidP="00132E90">
      <w:pPr>
        <w:ind w:left="567"/>
        <w:rPr>
          <w:rFonts w:ascii="Arial" w:hAnsi="Arial" w:cs="Arial"/>
          <w:szCs w:val="24"/>
        </w:rPr>
      </w:pPr>
      <w:r w:rsidRPr="00817EAD">
        <w:rPr>
          <w:rFonts w:ascii="Arial" w:hAnsi="Arial" w:cs="Arial"/>
          <w:szCs w:val="24"/>
        </w:rPr>
        <w:t>(i)</w:t>
      </w:r>
      <w:r w:rsidRPr="00817EAD">
        <w:rPr>
          <w:rFonts w:ascii="Arial" w:hAnsi="Arial" w:cs="Arial"/>
          <w:szCs w:val="24"/>
        </w:rPr>
        <w:tab/>
        <w:t>on the day the fee is received; or</w:t>
      </w:r>
    </w:p>
    <w:p w:rsidR="00132E90" w:rsidRDefault="00817EAD" w:rsidP="00132E90">
      <w:pPr>
        <w:ind w:left="567" w:hanging="850"/>
        <w:rPr>
          <w:rFonts w:ascii="Arial" w:hAnsi="Arial" w:cs="Arial"/>
          <w:szCs w:val="24"/>
        </w:rPr>
      </w:pPr>
      <w:r w:rsidRPr="00817EAD">
        <w:rPr>
          <w:rFonts w:ascii="Arial" w:hAnsi="Arial" w:cs="Arial"/>
          <w:szCs w:val="24"/>
        </w:rPr>
        <w:tab/>
        <w:t>(ii)</w:t>
      </w:r>
      <w:r w:rsidRPr="00817EAD">
        <w:rPr>
          <w:rFonts w:ascii="Arial" w:hAnsi="Arial" w:cs="Arial"/>
          <w:szCs w:val="24"/>
        </w:rPr>
        <w:tab/>
        <w:t>if the fee is not received during the office hours of the relevant</w:t>
      </w:r>
    </w:p>
    <w:p w:rsidR="00817EAD" w:rsidRPr="00817EAD" w:rsidRDefault="00132E90" w:rsidP="00132E90">
      <w:pPr>
        <w:ind w:left="567" w:firstLine="567"/>
        <w:rPr>
          <w:rFonts w:ascii="Arial" w:hAnsi="Arial" w:cs="Arial"/>
          <w:szCs w:val="24"/>
        </w:rPr>
      </w:pPr>
      <w:r>
        <w:rPr>
          <w:rFonts w:ascii="Arial" w:hAnsi="Arial" w:cs="Arial"/>
          <w:szCs w:val="24"/>
        </w:rPr>
        <w:t>o</w:t>
      </w:r>
      <w:r w:rsidR="00817EAD" w:rsidRPr="00817EAD">
        <w:rPr>
          <w:rFonts w:ascii="Arial" w:hAnsi="Arial" w:cs="Arial"/>
          <w:szCs w:val="24"/>
        </w:rPr>
        <w:t>ffice of</w:t>
      </w:r>
      <w:r>
        <w:rPr>
          <w:rFonts w:ascii="Arial" w:hAnsi="Arial" w:cs="Arial"/>
          <w:szCs w:val="24"/>
        </w:rPr>
        <w:t xml:space="preserve"> </w:t>
      </w:r>
      <w:r w:rsidR="00817EAD" w:rsidRPr="00817EAD">
        <w:rPr>
          <w:rFonts w:ascii="Arial" w:hAnsi="Arial" w:cs="Arial"/>
          <w:szCs w:val="24"/>
        </w:rPr>
        <w:t>the Registry on the next day the office is open; or</w:t>
      </w:r>
    </w:p>
    <w:p w:rsidR="00817EAD" w:rsidRPr="00817EAD" w:rsidRDefault="00132E90" w:rsidP="00132E90">
      <w:pPr>
        <w:tabs>
          <w:tab w:val="left" w:pos="567"/>
        </w:tabs>
        <w:rPr>
          <w:rFonts w:ascii="Arial" w:hAnsi="Arial" w:cs="Arial"/>
          <w:szCs w:val="24"/>
        </w:rPr>
      </w:pPr>
      <w:r>
        <w:rPr>
          <w:rFonts w:ascii="Arial" w:hAnsi="Arial" w:cs="Arial"/>
          <w:szCs w:val="24"/>
        </w:rPr>
        <w:t>(b)</w:t>
      </w:r>
      <w:r>
        <w:rPr>
          <w:rFonts w:ascii="Arial" w:hAnsi="Arial" w:cs="Arial"/>
          <w:szCs w:val="24"/>
        </w:rPr>
        <w:tab/>
      </w:r>
      <w:r w:rsidR="00817EAD" w:rsidRPr="00817EAD">
        <w:rPr>
          <w:rFonts w:ascii="Arial" w:hAnsi="Arial" w:cs="Arial"/>
          <w:szCs w:val="24"/>
        </w:rPr>
        <w:t>if no fee is payable:</w:t>
      </w:r>
    </w:p>
    <w:p w:rsidR="00817EAD" w:rsidRPr="00817EAD" w:rsidRDefault="00817EAD" w:rsidP="00132E90">
      <w:pPr>
        <w:ind w:left="567"/>
        <w:rPr>
          <w:rFonts w:ascii="Arial" w:hAnsi="Arial" w:cs="Arial"/>
          <w:szCs w:val="24"/>
        </w:rPr>
      </w:pPr>
      <w:r w:rsidRPr="00817EAD">
        <w:rPr>
          <w:rFonts w:ascii="Arial" w:hAnsi="Arial" w:cs="Arial"/>
          <w:szCs w:val="24"/>
        </w:rPr>
        <w:t>(i)</w:t>
      </w:r>
      <w:r w:rsidRPr="00817EAD">
        <w:rPr>
          <w:rFonts w:ascii="Arial" w:hAnsi="Arial" w:cs="Arial"/>
          <w:szCs w:val="24"/>
        </w:rPr>
        <w:tab/>
        <w:t>on the day the document is received; or</w:t>
      </w:r>
    </w:p>
    <w:p w:rsidR="00132E90" w:rsidRDefault="00817EAD" w:rsidP="00132E90">
      <w:pPr>
        <w:ind w:left="567"/>
        <w:rPr>
          <w:rFonts w:ascii="Arial" w:hAnsi="Arial" w:cs="Arial"/>
          <w:szCs w:val="24"/>
        </w:rPr>
      </w:pPr>
      <w:r w:rsidRPr="00817EAD">
        <w:rPr>
          <w:rFonts w:ascii="Arial" w:hAnsi="Arial" w:cs="Arial"/>
          <w:szCs w:val="24"/>
        </w:rPr>
        <w:t>(ii)</w:t>
      </w:r>
      <w:r w:rsidRPr="00817EAD">
        <w:rPr>
          <w:rFonts w:ascii="Arial" w:hAnsi="Arial" w:cs="Arial"/>
          <w:szCs w:val="24"/>
        </w:rPr>
        <w:tab/>
        <w:t>if the document is not received</w:t>
      </w:r>
      <w:r w:rsidR="00132E90">
        <w:rPr>
          <w:rFonts w:ascii="Arial" w:hAnsi="Arial" w:cs="Arial"/>
          <w:szCs w:val="24"/>
        </w:rPr>
        <w:t xml:space="preserve"> during the office hours of the</w:t>
      </w:r>
    </w:p>
    <w:p w:rsidR="00817EAD" w:rsidRPr="00817EAD" w:rsidRDefault="00132E90" w:rsidP="00132E90">
      <w:pPr>
        <w:ind w:left="567"/>
        <w:rPr>
          <w:rFonts w:ascii="Arial" w:hAnsi="Arial" w:cs="Arial"/>
          <w:i/>
          <w:noProof/>
          <w:szCs w:val="24"/>
        </w:rPr>
      </w:pPr>
      <w:r>
        <w:rPr>
          <w:rFonts w:ascii="Arial" w:hAnsi="Arial" w:cs="Arial"/>
          <w:szCs w:val="24"/>
        </w:rPr>
        <w:tab/>
      </w:r>
      <w:r w:rsidR="00817EAD" w:rsidRPr="00817EAD">
        <w:rPr>
          <w:rFonts w:ascii="Arial" w:hAnsi="Arial" w:cs="Arial"/>
          <w:szCs w:val="24"/>
        </w:rPr>
        <w:t>relevant</w:t>
      </w:r>
      <w:r>
        <w:rPr>
          <w:rFonts w:ascii="Arial" w:hAnsi="Arial" w:cs="Arial"/>
          <w:szCs w:val="24"/>
        </w:rPr>
        <w:t xml:space="preserve"> </w:t>
      </w:r>
      <w:r w:rsidR="00817EAD" w:rsidRPr="00817EAD">
        <w:rPr>
          <w:rFonts w:ascii="Arial" w:hAnsi="Arial" w:cs="Arial"/>
          <w:szCs w:val="24"/>
        </w:rPr>
        <w:t>office of the Registry on the next day the office is open.</w:t>
      </w:r>
    </w:p>
    <w:p w:rsidR="00817EAD" w:rsidRPr="00817EAD" w:rsidRDefault="00817EAD" w:rsidP="00817EAD">
      <w:pPr>
        <w:jc w:val="both"/>
        <w:rPr>
          <w:rFonts w:ascii="Arial" w:hAnsi="Arial" w:cs="Arial"/>
          <w:i/>
          <w:noProof/>
          <w:szCs w:val="24"/>
        </w:rPr>
      </w:pPr>
    </w:p>
    <w:p w:rsidR="00817EAD" w:rsidRPr="00817EAD" w:rsidRDefault="00817EAD" w:rsidP="00817EAD">
      <w:pPr>
        <w:pStyle w:val="ListParagraph"/>
        <w:spacing w:after="120" w:line="240" w:lineRule="auto"/>
        <w:ind w:left="0"/>
        <w:jc w:val="both"/>
        <w:rPr>
          <w:rFonts w:ascii="Arial" w:hAnsi="Arial" w:cs="Arial"/>
          <w:i/>
          <w:sz w:val="24"/>
          <w:szCs w:val="24"/>
        </w:rPr>
      </w:pPr>
      <w:r w:rsidRPr="00817EAD">
        <w:rPr>
          <w:rFonts w:ascii="Arial" w:hAnsi="Arial" w:cs="Arial"/>
          <w:i/>
          <w:sz w:val="24"/>
          <w:szCs w:val="24"/>
        </w:rPr>
        <w:t>Public access</w:t>
      </w:r>
    </w:p>
    <w:p w:rsidR="00817EAD" w:rsidRPr="00817EAD" w:rsidRDefault="00817EAD" w:rsidP="00817EAD">
      <w:pPr>
        <w:jc w:val="both"/>
        <w:rPr>
          <w:rFonts w:ascii="Arial" w:hAnsi="Arial" w:cs="Arial"/>
          <w:noProof/>
          <w:szCs w:val="24"/>
        </w:rPr>
      </w:pPr>
      <w:r w:rsidRPr="00817EAD">
        <w:rPr>
          <w:rFonts w:ascii="Arial" w:hAnsi="Arial" w:cs="Arial"/>
          <w:szCs w:val="24"/>
        </w:rPr>
        <w:t xml:space="preserve">The DLS Portal will provide public access to documents filed by the parties, subject to access provisions in rule 4.07.4 and payment of requisite fees under the </w:t>
      </w:r>
      <w:r w:rsidRPr="00817EAD">
        <w:rPr>
          <w:rFonts w:ascii="Arial" w:hAnsi="Arial" w:cs="Arial"/>
          <w:i/>
          <w:szCs w:val="24"/>
        </w:rPr>
        <w:t xml:space="preserve">High Court (Fees) </w:t>
      </w:r>
      <w:r w:rsidRPr="00817EAD">
        <w:rPr>
          <w:rFonts w:ascii="Arial" w:hAnsi="Arial" w:cs="Arial"/>
          <w:i/>
          <w:noProof/>
          <w:szCs w:val="24"/>
        </w:rPr>
        <w:t>Regulation 2012</w:t>
      </w:r>
      <w:r w:rsidRPr="00817EAD">
        <w:rPr>
          <w:rFonts w:ascii="Arial" w:hAnsi="Arial" w:cs="Arial"/>
          <w:noProof/>
          <w:szCs w:val="24"/>
        </w:rPr>
        <w:t>.</w:t>
      </w:r>
    </w:p>
    <w:p w:rsidR="00817EAD" w:rsidRPr="00817EAD" w:rsidRDefault="00817EAD" w:rsidP="00817EAD">
      <w:pPr>
        <w:jc w:val="both"/>
        <w:rPr>
          <w:rFonts w:ascii="Arial" w:hAnsi="Arial" w:cs="Arial"/>
          <w:noProof/>
          <w:szCs w:val="24"/>
        </w:rPr>
      </w:pPr>
    </w:p>
    <w:p w:rsidR="00817EAD" w:rsidRPr="00817EAD" w:rsidRDefault="006114ED" w:rsidP="00817EAD">
      <w:pPr>
        <w:pStyle w:val="ListParagraph"/>
        <w:spacing w:after="120" w:line="240" w:lineRule="auto"/>
        <w:ind w:left="0"/>
        <w:jc w:val="both"/>
        <w:rPr>
          <w:rFonts w:ascii="Arial" w:hAnsi="Arial" w:cs="Arial"/>
          <w:i/>
          <w:sz w:val="24"/>
          <w:szCs w:val="24"/>
        </w:rPr>
      </w:pPr>
      <w:r>
        <w:rPr>
          <w:rFonts w:ascii="Arial" w:hAnsi="Arial" w:cs="Arial"/>
          <w:i/>
          <w:sz w:val="24"/>
          <w:szCs w:val="24"/>
        </w:rPr>
        <w:br w:type="column"/>
      </w:r>
      <w:r w:rsidR="00817EAD" w:rsidRPr="00817EAD">
        <w:rPr>
          <w:rFonts w:ascii="Arial" w:hAnsi="Arial" w:cs="Arial"/>
          <w:i/>
          <w:sz w:val="24"/>
          <w:szCs w:val="24"/>
        </w:rPr>
        <w:lastRenderedPageBreak/>
        <w:t>Use of seals and stamps</w:t>
      </w:r>
    </w:p>
    <w:p w:rsidR="00817EAD" w:rsidRPr="00817EAD" w:rsidRDefault="00817EAD" w:rsidP="00817EAD">
      <w:pPr>
        <w:spacing w:after="120"/>
        <w:jc w:val="both"/>
        <w:rPr>
          <w:rFonts w:ascii="Arial" w:hAnsi="Arial" w:cs="Arial"/>
          <w:szCs w:val="24"/>
        </w:rPr>
      </w:pPr>
      <w:r w:rsidRPr="00817EAD">
        <w:rPr>
          <w:rFonts w:ascii="Arial" w:hAnsi="Arial" w:cs="Arial"/>
          <w:szCs w:val="24"/>
        </w:rPr>
        <w:t>The Seal of the Court will be affixed, either manually by the Registry or automatically by the DLS Portal, to all documents identified in rule 4.06.2 except service copies of documents.  The filing party will print service copies from the DLS Portal.</w:t>
      </w:r>
    </w:p>
    <w:p w:rsidR="00817EAD" w:rsidRPr="00817EAD" w:rsidRDefault="00817EAD" w:rsidP="00817EAD">
      <w:pPr>
        <w:jc w:val="both"/>
        <w:rPr>
          <w:rFonts w:ascii="Arial" w:hAnsi="Arial" w:cs="Arial"/>
          <w:szCs w:val="24"/>
        </w:rPr>
      </w:pPr>
      <w:r w:rsidRPr="00817EAD">
        <w:rPr>
          <w:rFonts w:ascii="Arial" w:hAnsi="Arial" w:cs="Arial"/>
          <w:szCs w:val="24"/>
        </w:rPr>
        <w:t>The FILED stamp prescribed by Rule 4.06.3 will be replaced by a watermark endorsed on the cover sheet of every filed document.</w:t>
      </w:r>
    </w:p>
    <w:p w:rsidR="00817EAD" w:rsidRPr="00817EAD" w:rsidRDefault="00817EAD" w:rsidP="00817EAD">
      <w:pPr>
        <w:jc w:val="both"/>
        <w:rPr>
          <w:rFonts w:ascii="Arial" w:hAnsi="Arial" w:cs="Arial"/>
          <w:szCs w:val="24"/>
        </w:rPr>
      </w:pPr>
    </w:p>
    <w:p w:rsidR="00817EAD" w:rsidRPr="00817EAD" w:rsidRDefault="00817EAD" w:rsidP="00817EAD">
      <w:pPr>
        <w:pStyle w:val="ListParagraph"/>
        <w:spacing w:after="120" w:line="240" w:lineRule="auto"/>
        <w:ind w:left="0"/>
        <w:jc w:val="both"/>
        <w:rPr>
          <w:rFonts w:ascii="Arial" w:hAnsi="Arial" w:cs="Arial"/>
          <w:i/>
          <w:sz w:val="24"/>
          <w:szCs w:val="24"/>
        </w:rPr>
      </w:pPr>
      <w:r w:rsidRPr="00817EAD">
        <w:rPr>
          <w:rFonts w:ascii="Arial" w:hAnsi="Arial" w:cs="Arial"/>
          <w:i/>
          <w:sz w:val="24"/>
          <w:szCs w:val="24"/>
        </w:rPr>
        <w:t>Service</w:t>
      </w:r>
    </w:p>
    <w:p w:rsidR="00817EAD" w:rsidRPr="00817EAD" w:rsidRDefault="00817EAD" w:rsidP="007040FF">
      <w:pPr>
        <w:spacing w:after="120"/>
        <w:jc w:val="both"/>
        <w:rPr>
          <w:rFonts w:ascii="Arial" w:hAnsi="Arial" w:cs="Arial"/>
          <w:szCs w:val="24"/>
        </w:rPr>
      </w:pPr>
      <w:r w:rsidRPr="00817EAD">
        <w:rPr>
          <w:rFonts w:ascii="Arial" w:hAnsi="Arial" w:cs="Arial"/>
          <w:szCs w:val="24"/>
        </w:rPr>
        <w:t>In addition to the lodging of documents the DLS Portal will be used for serving documents (other than originating process) and for communications between the parties and between the parties and the Registry.  Notification that a document has been filed through the DLS Portal will be automated by email to all parties.  Ordinary service will be deemed to have been effected by the DLS Portal for non-originating documents – on the day the notification email is sent by the DLS Portal or, if sent outside Registry office hours, the next day the office is open (rule 9.04A).</w:t>
      </w:r>
    </w:p>
    <w:p w:rsidR="00817EAD" w:rsidRPr="00817EAD" w:rsidRDefault="00817EAD" w:rsidP="00817EAD">
      <w:pPr>
        <w:spacing w:after="120"/>
        <w:jc w:val="both"/>
        <w:rPr>
          <w:rFonts w:ascii="Arial" w:hAnsi="Arial" w:cs="Arial"/>
          <w:szCs w:val="24"/>
        </w:rPr>
      </w:pPr>
      <w:r w:rsidRPr="00817EAD">
        <w:rPr>
          <w:rFonts w:ascii="Arial" w:hAnsi="Arial" w:cs="Arial"/>
          <w:szCs w:val="24"/>
        </w:rPr>
        <w:t>The filing party will not be required to file an affidavit of service of documents served through the DLS Portal</w:t>
      </w:r>
      <w:r w:rsidR="00A57627">
        <w:rPr>
          <w:rFonts w:ascii="Arial" w:hAnsi="Arial" w:cs="Arial"/>
          <w:szCs w:val="24"/>
        </w:rPr>
        <w:t xml:space="preserve"> (rule 9.04.A.3)</w:t>
      </w:r>
      <w:r w:rsidRPr="00817EAD">
        <w:rPr>
          <w:rFonts w:ascii="Arial" w:hAnsi="Arial" w:cs="Arial"/>
          <w:szCs w:val="24"/>
        </w:rPr>
        <w:t>.</w:t>
      </w:r>
    </w:p>
    <w:p w:rsidR="00817EAD" w:rsidRPr="00817EAD" w:rsidRDefault="00817EAD" w:rsidP="00817EAD">
      <w:pPr>
        <w:jc w:val="both"/>
        <w:rPr>
          <w:rFonts w:ascii="Arial" w:hAnsi="Arial" w:cs="Arial"/>
          <w:szCs w:val="24"/>
        </w:rPr>
      </w:pPr>
      <w:r w:rsidRPr="00817EAD">
        <w:rPr>
          <w:rFonts w:ascii="Arial" w:hAnsi="Arial" w:cs="Arial"/>
          <w:szCs w:val="24"/>
        </w:rPr>
        <w:t xml:space="preserve">Service of </w:t>
      </w:r>
      <w:r w:rsidRPr="00817EAD">
        <w:rPr>
          <w:rFonts w:ascii="Arial" w:hAnsi="Arial" w:cs="Arial"/>
          <w:noProof/>
          <w:szCs w:val="24"/>
        </w:rPr>
        <w:t xml:space="preserve">initiating process </w:t>
      </w:r>
      <w:r w:rsidRPr="00817EAD">
        <w:rPr>
          <w:rFonts w:ascii="Arial" w:hAnsi="Arial" w:cs="Arial"/>
          <w:szCs w:val="24"/>
        </w:rPr>
        <w:t>in the original and appellate jurisdiction of the Court</w:t>
      </w:r>
      <w:r w:rsidRPr="00817EAD">
        <w:rPr>
          <w:rFonts w:ascii="Arial" w:hAnsi="Arial" w:cs="Arial"/>
          <w:noProof/>
          <w:szCs w:val="24"/>
        </w:rPr>
        <w:t xml:space="preserve"> will be by the methods provided by the </w:t>
      </w:r>
      <w:r w:rsidR="00A57627">
        <w:rPr>
          <w:rFonts w:ascii="Arial" w:hAnsi="Arial" w:cs="Arial"/>
          <w:noProof/>
          <w:szCs w:val="24"/>
        </w:rPr>
        <w:t xml:space="preserve">current rule 9.01 </w:t>
      </w:r>
      <w:r w:rsidRPr="00817EAD">
        <w:rPr>
          <w:rFonts w:ascii="Arial" w:hAnsi="Arial" w:cs="Arial"/>
          <w:noProof/>
          <w:szCs w:val="24"/>
        </w:rPr>
        <w:t>(namely, personal or ordinary service, depending on the case type).</w:t>
      </w:r>
    </w:p>
    <w:p w:rsidR="00817EAD" w:rsidRPr="00817EAD" w:rsidRDefault="00817EAD" w:rsidP="00817EAD">
      <w:pPr>
        <w:jc w:val="both"/>
        <w:rPr>
          <w:rFonts w:ascii="Arial" w:hAnsi="Arial" w:cs="Arial"/>
          <w:szCs w:val="24"/>
        </w:rPr>
      </w:pPr>
    </w:p>
    <w:p w:rsidR="00817EAD" w:rsidRPr="00817EAD" w:rsidRDefault="00817EAD" w:rsidP="00817EAD">
      <w:pPr>
        <w:pStyle w:val="ListParagraph"/>
        <w:spacing w:after="120" w:line="240" w:lineRule="auto"/>
        <w:ind w:left="0"/>
        <w:jc w:val="both"/>
        <w:rPr>
          <w:rFonts w:ascii="Arial" w:hAnsi="Arial" w:cs="Arial"/>
          <w:i/>
          <w:sz w:val="24"/>
          <w:szCs w:val="24"/>
        </w:rPr>
      </w:pPr>
      <w:r w:rsidRPr="00817EAD">
        <w:rPr>
          <w:rFonts w:ascii="Arial" w:hAnsi="Arial" w:cs="Arial"/>
          <w:i/>
          <w:sz w:val="24"/>
          <w:szCs w:val="24"/>
        </w:rPr>
        <w:t>Schedule 1 Forms – general</w:t>
      </w:r>
    </w:p>
    <w:p w:rsidR="00817EAD" w:rsidRPr="00817EAD" w:rsidRDefault="00817EAD" w:rsidP="00817EAD">
      <w:pPr>
        <w:jc w:val="both"/>
        <w:rPr>
          <w:rFonts w:ascii="Arial" w:hAnsi="Arial" w:cs="Arial"/>
          <w:szCs w:val="24"/>
        </w:rPr>
      </w:pPr>
      <w:r w:rsidRPr="00817EAD">
        <w:rPr>
          <w:rFonts w:ascii="Arial" w:hAnsi="Arial" w:cs="Arial"/>
          <w:szCs w:val="24"/>
        </w:rPr>
        <w:t>To protect the privacy of parties filing documents electronically (in particular, self</w:t>
      </w:r>
      <w:r w:rsidRPr="00817EAD">
        <w:rPr>
          <w:rFonts w:ascii="Arial" w:hAnsi="Arial" w:cs="Arial"/>
          <w:szCs w:val="24"/>
        </w:rPr>
        <w:noBreakHyphen/>
        <w:t>represented litigants) the parties’ residential and service details will be removed from the footer and text of all Forms.  Instead, contact details of legal practitioners and litigants will be entered in the DLS Portal on lodging a document (rule 1.07.2).  These details will be accessible to the parties and the Court only.</w:t>
      </w:r>
    </w:p>
    <w:p w:rsidR="00817EAD" w:rsidRPr="00817EAD" w:rsidRDefault="00817EAD" w:rsidP="00817EAD">
      <w:pPr>
        <w:jc w:val="both"/>
        <w:rPr>
          <w:rFonts w:ascii="Arial" w:hAnsi="Arial" w:cs="Arial"/>
          <w:szCs w:val="24"/>
        </w:rPr>
      </w:pPr>
    </w:p>
    <w:p w:rsidR="00817EAD" w:rsidRPr="00817EAD" w:rsidRDefault="00817EAD" w:rsidP="00817EAD">
      <w:pPr>
        <w:pStyle w:val="ListParagraph"/>
        <w:spacing w:after="120" w:line="240" w:lineRule="auto"/>
        <w:ind w:left="0"/>
        <w:jc w:val="both"/>
        <w:rPr>
          <w:rFonts w:ascii="Arial" w:hAnsi="Arial" w:cs="Arial"/>
          <w:i/>
          <w:sz w:val="24"/>
          <w:szCs w:val="24"/>
        </w:rPr>
      </w:pPr>
      <w:r w:rsidRPr="00817EAD">
        <w:rPr>
          <w:rFonts w:ascii="Arial" w:hAnsi="Arial" w:cs="Arial"/>
          <w:i/>
          <w:sz w:val="24"/>
          <w:szCs w:val="24"/>
        </w:rPr>
        <w:t>Schedule 2 Fees for work done and services performed</w:t>
      </w:r>
    </w:p>
    <w:p w:rsidR="00817EAD" w:rsidRPr="00817EAD" w:rsidRDefault="00817EAD" w:rsidP="00817EAD">
      <w:pPr>
        <w:jc w:val="both"/>
        <w:rPr>
          <w:rFonts w:ascii="Arial" w:hAnsi="Arial" w:cs="Arial"/>
          <w:szCs w:val="24"/>
        </w:rPr>
      </w:pPr>
      <w:r w:rsidRPr="00817EAD">
        <w:rPr>
          <w:rFonts w:ascii="Arial" w:hAnsi="Arial" w:cs="Arial"/>
          <w:szCs w:val="24"/>
        </w:rPr>
        <w:t>Some items in the scale of costs in Schedule 2 will be removed (item 8) or recast (item 14) to reflect the different type of work involved in the preparation and lodgment of documents electronically rather than in paper.</w:t>
      </w:r>
    </w:p>
    <w:p w:rsidR="00817EAD" w:rsidRPr="00817EAD" w:rsidRDefault="00817EAD" w:rsidP="00817EAD">
      <w:pPr>
        <w:jc w:val="both"/>
        <w:rPr>
          <w:rFonts w:ascii="Arial" w:hAnsi="Arial" w:cs="Arial"/>
          <w:szCs w:val="24"/>
        </w:rPr>
      </w:pPr>
    </w:p>
    <w:p w:rsidR="00817EAD" w:rsidRPr="00817EAD" w:rsidRDefault="00817EAD" w:rsidP="00817EAD">
      <w:pPr>
        <w:spacing w:after="120"/>
        <w:jc w:val="both"/>
        <w:rPr>
          <w:rFonts w:ascii="Arial" w:hAnsi="Arial" w:cs="Arial"/>
          <w:b/>
          <w:szCs w:val="24"/>
        </w:rPr>
      </w:pPr>
      <w:r w:rsidRPr="00817EAD">
        <w:rPr>
          <w:rFonts w:ascii="Arial" w:hAnsi="Arial" w:cs="Arial"/>
          <w:b/>
          <w:szCs w:val="24"/>
        </w:rPr>
        <w:t>Commencement</w:t>
      </w:r>
    </w:p>
    <w:p w:rsidR="00817EAD" w:rsidRPr="00817EAD" w:rsidRDefault="00817EAD" w:rsidP="00817EAD">
      <w:pPr>
        <w:jc w:val="both"/>
        <w:rPr>
          <w:rFonts w:ascii="Arial" w:hAnsi="Arial" w:cs="Arial"/>
          <w:szCs w:val="24"/>
        </w:rPr>
      </w:pPr>
      <w:r w:rsidRPr="00817EAD">
        <w:rPr>
          <w:rFonts w:ascii="Arial" w:hAnsi="Arial" w:cs="Arial"/>
          <w:szCs w:val="24"/>
        </w:rPr>
        <w:t xml:space="preserve">The amendments relating to electronic filing and the amendments to the Forms will apply to </w:t>
      </w:r>
      <w:r w:rsidR="007040FF">
        <w:rPr>
          <w:rFonts w:ascii="Arial" w:hAnsi="Arial" w:cs="Arial"/>
          <w:szCs w:val="24"/>
        </w:rPr>
        <w:t xml:space="preserve">cases </w:t>
      </w:r>
      <w:r w:rsidRPr="00817EAD">
        <w:rPr>
          <w:rFonts w:ascii="Arial" w:hAnsi="Arial" w:cs="Arial"/>
          <w:szCs w:val="24"/>
        </w:rPr>
        <w:t>commenced on or after 1 January 2020.</w:t>
      </w:r>
    </w:p>
    <w:p w:rsidR="00817EAD" w:rsidRPr="00817EAD" w:rsidRDefault="00817EAD" w:rsidP="00817EAD">
      <w:pPr>
        <w:jc w:val="both"/>
        <w:rPr>
          <w:rFonts w:ascii="Arial" w:hAnsi="Arial" w:cs="Arial"/>
          <w:szCs w:val="24"/>
        </w:rPr>
      </w:pPr>
    </w:p>
    <w:p w:rsidR="00132E90" w:rsidRPr="00F61CE6" w:rsidRDefault="00132E90" w:rsidP="00132E90">
      <w:pPr>
        <w:jc w:val="both"/>
        <w:rPr>
          <w:rFonts w:ascii="Arial" w:hAnsi="Arial" w:cs="Arial"/>
          <w:b/>
        </w:rPr>
      </w:pPr>
      <w:r w:rsidRPr="00F61CE6">
        <w:rPr>
          <w:rFonts w:ascii="Arial" w:hAnsi="Arial" w:cs="Arial"/>
          <w:b/>
        </w:rPr>
        <w:t>Consultation</w:t>
      </w:r>
    </w:p>
    <w:p w:rsidR="00132E90" w:rsidRPr="0012618D" w:rsidRDefault="00132E90" w:rsidP="00132E90">
      <w:pPr>
        <w:jc w:val="both"/>
        <w:rPr>
          <w:rFonts w:ascii="Arial" w:hAnsi="Arial" w:cs="Arial"/>
        </w:rPr>
      </w:pPr>
      <w:r w:rsidRPr="0012618D">
        <w:rPr>
          <w:rFonts w:ascii="Arial" w:hAnsi="Arial" w:cs="Arial"/>
        </w:rPr>
        <w:t xml:space="preserve">Consultations on the </w:t>
      </w:r>
      <w:r>
        <w:rPr>
          <w:rFonts w:ascii="Arial" w:hAnsi="Arial" w:cs="Arial"/>
        </w:rPr>
        <w:t xml:space="preserve">amendments to the Rules </w:t>
      </w:r>
      <w:r w:rsidRPr="0012618D">
        <w:rPr>
          <w:rFonts w:ascii="Arial" w:hAnsi="Arial" w:cs="Arial"/>
        </w:rPr>
        <w:t>have taken place with relevant professional organisations</w:t>
      </w:r>
      <w:r>
        <w:rPr>
          <w:rFonts w:ascii="Arial" w:hAnsi="Arial" w:cs="Arial"/>
        </w:rPr>
        <w:t xml:space="preserve"> and the Special Committee of Solicitors-General</w:t>
      </w:r>
      <w:r w:rsidRPr="006F7655">
        <w:rPr>
          <w:rFonts w:ascii="Arial" w:hAnsi="Arial" w:cs="Arial"/>
        </w:rPr>
        <w:t>.</w:t>
      </w:r>
    </w:p>
    <w:p w:rsidR="00132E90" w:rsidRDefault="00132E90" w:rsidP="00132E90">
      <w:pPr>
        <w:jc w:val="both"/>
        <w:rPr>
          <w:rFonts w:ascii="Arial" w:hAnsi="Arial" w:cs="Arial"/>
        </w:rPr>
      </w:pPr>
    </w:p>
    <w:p w:rsidR="00817EAD" w:rsidRPr="00817EAD" w:rsidRDefault="006114ED" w:rsidP="00817EAD">
      <w:pPr>
        <w:spacing w:after="120"/>
        <w:jc w:val="both"/>
        <w:rPr>
          <w:rFonts w:ascii="Arial" w:hAnsi="Arial" w:cs="Arial"/>
          <w:b/>
          <w:szCs w:val="24"/>
        </w:rPr>
      </w:pPr>
      <w:r>
        <w:rPr>
          <w:rFonts w:ascii="Arial" w:hAnsi="Arial" w:cs="Arial"/>
          <w:b/>
          <w:szCs w:val="24"/>
        </w:rPr>
        <w:br w:type="column"/>
      </w:r>
      <w:r w:rsidR="00817EAD" w:rsidRPr="00817EAD">
        <w:rPr>
          <w:rFonts w:ascii="Arial" w:hAnsi="Arial" w:cs="Arial"/>
          <w:b/>
          <w:szCs w:val="24"/>
        </w:rPr>
        <w:lastRenderedPageBreak/>
        <w:t>Additional amendments to the Rules</w:t>
      </w:r>
    </w:p>
    <w:p w:rsidR="00817EAD" w:rsidRPr="00817EAD" w:rsidRDefault="00817EAD" w:rsidP="00817EAD">
      <w:pPr>
        <w:pStyle w:val="ListParagraph"/>
        <w:spacing w:after="120" w:line="240" w:lineRule="auto"/>
        <w:ind w:left="0"/>
        <w:jc w:val="both"/>
        <w:rPr>
          <w:rFonts w:ascii="Arial" w:hAnsi="Arial" w:cs="Arial"/>
          <w:i/>
          <w:sz w:val="24"/>
          <w:szCs w:val="24"/>
        </w:rPr>
      </w:pPr>
      <w:r w:rsidRPr="00817EAD">
        <w:rPr>
          <w:rFonts w:ascii="Arial" w:hAnsi="Arial" w:cs="Arial"/>
          <w:i/>
          <w:sz w:val="24"/>
          <w:szCs w:val="24"/>
        </w:rPr>
        <w:t>Form 21 Summons</w:t>
      </w:r>
    </w:p>
    <w:p w:rsidR="00817EAD" w:rsidRPr="00817EAD" w:rsidRDefault="00817EAD" w:rsidP="00817EAD">
      <w:pPr>
        <w:jc w:val="both"/>
        <w:rPr>
          <w:rFonts w:ascii="Arial" w:hAnsi="Arial" w:cs="Arial"/>
          <w:szCs w:val="24"/>
        </w:rPr>
      </w:pPr>
      <w:r w:rsidRPr="00817EAD">
        <w:rPr>
          <w:rFonts w:ascii="Arial" w:hAnsi="Arial" w:cs="Arial"/>
          <w:szCs w:val="24"/>
        </w:rPr>
        <w:t>To better reflect the modern procedure for considering interlocutory applications (including on the papers) the Court will move to a form of “application” rather than the traditional summons requiring “all parties concerned [to] attend before a Justice…on the hearing of an application…”.  A new Form 21 is included in the amendment Rules.</w:t>
      </w:r>
    </w:p>
    <w:p w:rsidR="00817EAD" w:rsidRPr="00817EAD" w:rsidRDefault="00817EAD" w:rsidP="00817EAD">
      <w:pPr>
        <w:jc w:val="both"/>
        <w:rPr>
          <w:rFonts w:ascii="Arial" w:hAnsi="Arial" w:cs="Arial"/>
          <w:szCs w:val="24"/>
        </w:rPr>
      </w:pPr>
    </w:p>
    <w:p w:rsidR="00B173CA" w:rsidRPr="00817EAD" w:rsidRDefault="00B173CA" w:rsidP="00817EAD">
      <w:pPr>
        <w:pStyle w:val="ListParagraph"/>
        <w:spacing w:after="120" w:line="240" w:lineRule="auto"/>
        <w:ind w:left="0"/>
        <w:jc w:val="both"/>
        <w:rPr>
          <w:rFonts w:ascii="Arial" w:hAnsi="Arial" w:cs="Arial"/>
          <w:i/>
          <w:sz w:val="24"/>
          <w:szCs w:val="24"/>
        </w:rPr>
      </w:pPr>
      <w:r w:rsidRPr="00817EAD">
        <w:rPr>
          <w:rFonts w:ascii="Arial" w:hAnsi="Arial" w:cs="Arial"/>
          <w:i/>
          <w:sz w:val="24"/>
          <w:szCs w:val="24"/>
        </w:rPr>
        <w:t>Schedule 2 – Fees for work done and services performed</w:t>
      </w:r>
    </w:p>
    <w:p w:rsidR="00B173CA" w:rsidRPr="002265E9" w:rsidRDefault="00B173CA" w:rsidP="00B173CA">
      <w:pPr>
        <w:ind w:right="-51"/>
        <w:jc w:val="both"/>
        <w:rPr>
          <w:rFonts w:ascii="Arial" w:hAnsi="Arial" w:cs="Arial"/>
          <w:szCs w:val="24"/>
        </w:rPr>
      </w:pPr>
      <w:r w:rsidRPr="002265E9">
        <w:rPr>
          <w:rFonts w:ascii="Arial" w:hAnsi="Arial" w:cs="Arial"/>
          <w:szCs w:val="24"/>
        </w:rPr>
        <w:t xml:space="preserve">Schedule 2 of the High Court Rules 2004 specifies the amount which solicitors, who are entitled to practise in the High Court, may charge and be allowed on taxation of costs by the Taxing Officer of the Court in respect of proceedings in the Court.  The amounts in the Schedule were last varied by the </w:t>
      </w:r>
      <w:r w:rsidRPr="00A57627">
        <w:rPr>
          <w:rFonts w:ascii="Arial" w:hAnsi="Arial" w:cs="Arial"/>
          <w:i/>
          <w:szCs w:val="24"/>
        </w:rPr>
        <w:t>High Court Amendment (Fees) Rules 20</w:t>
      </w:r>
      <w:r w:rsidR="00A57627">
        <w:rPr>
          <w:rFonts w:ascii="Arial" w:hAnsi="Arial" w:cs="Arial"/>
          <w:i/>
          <w:szCs w:val="24"/>
        </w:rPr>
        <w:t>18</w:t>
      </w:r>
      <w:r w:rsidRPr="00B173CA">
        <w:rPr>
          <w:rFonts w:ascii="Arial" w:hAnsi="Arial" w:cs="Arial"/>
          <w:szCs w:val="24"/>
        </w:rPr>
        <w:t xml:space="preserve"> made on </w:t>
      </w:r>
      <w:r w:rsidR="00132E90" w:rsidRPr="00132E90">
        <w:rPr>
          <w:rFonts w:ascii="Arial" w:hAnsi="Arial" w:cs="Arial"/>
          <w:szCs w:val="24"/>
        </w:rPr>
        <w:t>3 December 2018</w:t>
      </w:r>
      <w:r w:rsidRPr="00132E90">
        <w:rPr>
          <w:rFonts w:ascii="Arial" w:hAnsi="Arial" w:cs="Arial"/>
          <w:szCs w:val="24"/>
        </w:rPr>
        <w:t xml:space="preserve">, </w:t>
      </w:r>
      <w:r w:rsidRPr="00B173CA">
        <w:rPr>
          <w:rFonts w:ascii="Arial" w:hAnsi="Arial" w:cs="Arial"/>
          <w:szCs w:val="24"/>
        </w:rPr>
        <w:t>and which came into operation on 1 January 2019.</w:t>
      </w:r>
    </w:p>
    <w:p w:rsidR="00B173CA" w:rsidRPr="002265E9" w:rsidRDefault="00B173CA" w:rsidP="00B173CA">
      <w:pPr>
        <w:ind w:right="-51"/>
        <w:jc w:val="both"/>
        <w:rPr>
          <w:rFonts w:ascii="Arial" w:hAnsi="Arial" w:cs="Arial"/>
          <w:szCs w:val="24"/>
        </w:rPr>
      </w:pPr>
    </w:p>
    <w:p w:rsidR="00B173CA" w:rsidRPr="002265E9" w:rsidRDefault="00B173CA" w:rsidP="00B173CA">
      <w:pPr>
        <w:ind w:right="-51"/>
        <w:jc w:val="both"/>
        <w:rPr>
          <w:rFonts w:ascii="Arial" w:hAnsi="Arial" w:cs="Arial"/>
          <w:szCs w:val="24"/>
        </w:rPr>
      </w:pPr>
      <w:r w:rsidRPr="002265E9">
        <w:rPr>
          <w:rFonts w:ascii="Arial" w:hAnsi="Arial" w:cs="Arial"/>
          <w:szCs w:val="24"/>
        </w:rPr>
        <w:t>The Joint Costs Advisory Committee (JCAC) was established in 2007 to review annually and recommend variations in the quantum of costs contained in the Rules made by the High Court of Australia, the Federal Court of Australia, the Family Court of Australia and the Federal Circuit Court of Australia.  It comprises representatives of those courts.  In conducting its reviews, the JCAC applies a formula which has regard to movements in wages and salaries and other costs of solicitors’ practices.</w:t>
      </w:r>
    </w:p>
    <w:p w:rsidR="00B173CA" w:rsidRPr="002265E9" w:rsidRDefault="00B173CA" w:rsidP="00B173CA">
      <w:pPr>
        <w:ind w:right="-51"/>
        <w:jc w:val="both"/>
        <w:rPr>
          <w:rFonts w:ascii="Arial" w:hAnsi="Arial" w:cs="Arial"/>
          <w:szCs w:val="24"/>
        </w:rPr>
      </w:pPr>
    </w:p>
    <w:p w:rsidR="00B173CA" w:rsidRPr="002265E9" w:rsidRDefault="00B173CA" w:rsidP="00B173CA">
      <w:pPr>
        <w:ind w:right="-51"/>
        <w:jc w:val="both"/>
        <w:rPr>
          <w:rFonts w:ascii="Arial" w:hAnsi="Arial" w:cs="Arial"/>
          <w:szCs w:val="24"/>
        </w:rPr>
      </w:pPr>
      <w:r w:rsidRPr="005162B3">
        <w:rPr>
          <w:rFonts w:ascii="Arial" w:hAnsi="Arial" w:cs="Arial"/>
          <w:szCs w:val="24"/>
        </w:rPr>
        <w:t>In its 201</w:t>
      </w:r>
      <w:r>
        <w:rPr>
          <w:rFonts w:ascii="Arial" w:hAnsi="Arial" w:cs="Arial"/>
          <w:szCs w:val="24"/>
        </w:rPr>
        <w:t>9</w:t>
      </w:r>
      <w:r w:rsidRPr="005162B3">
        <w:rPr>
          <w:rFonts w:ascii="Arial" w:hAnsi="Arial" w:cs="Arial"/>
          <w:szCs w:val="24"/>
        </w:rPr>
        <w:t xml:space="preserve"> annual review, the JCAC wrote to the Commonwealth Attorney-General’s Department, the Law Council of Australia, the National Association of Community Legal Centres and National Legal Aid inviting them and their respective constituent bodies or State and Territory counterparts to make submissions to the review.  A notice of the review was also placed on the website of each court.  Following its annual review, the JCAC provided a report </w:t>
      </w:r>
      <w:r w:rsidRPr="00980646">
        <w:rPr>
          <w:rFonts w:ascii="Arial" w:hAnsi="Arial" w:cs="Arial"/>
          <w:szCs w:val="24"/>
        </w:rPr>
        <w:t>in September 2019</w:t>
      </w:r>
      <w:r w:rsidRPr="005162B3">
        <w:rPr>
          <w:rFonts w:ascii="Arial" w:hAnsi="Arial" w:cs="Arial"/>
          <w:szCs w:val="24"/>
        </w:rPr>
        <w:t xml:space="preserve"> to the High Court of Australia, the Federal Court of Australia, the Family Court of Australia and the Federal Circuit Court of Australia recommending an increase of </w:t>
      </w:r>
      <w:r w:rsidRPr="00980646">
        <w:rPr>
          <w:rFonts w:ascii="Arial" w:hAnsi="Arial" w:cs="Arial"/>
          <w:szCs w:val="24"/>
        </w:rPr>
        <w:t>2.1%</w:t>
      </w:r>
      <w:r w:rsidRPr="005162B3">
        <w:rPr>
          <w:rFonts w:ascii="Arial" w:hAnsi="Arial" w:cs="Arial"/>
          <w:szCs w:val="24"/>
        </w:rPr>
        <w:t xml:space="preserve"> to the solicitors’ costs provided for in the Rules of each Court.  Issues raised in consultations were addressed in the report.</w:t>
      </w:r>
    </w:p>
    <w:p w:rsidR="00B173CA" w:rsidRPr="002265E9" w:rsidRDefault="00B173CA" w:rsidP="00B173CA">
      <w:pPr>
        <w:ind w:right="-51"/>
        <w:jc w:val="both"/>
        <w:rPr>
          <w:rFonts w:ascii="Arial" w:hAnsi="Arial" w:cs="Arial"/>
          <w:szCs w:val="24"/>
        </w:rPr>
      </w:pPr>
    </w:p>
    <w:p w:rsidR="00B173CA" w:rsidRDefault="00B173CA" w:rsidP="00B173CA">
      <w:pPr>
        <w:ind w:right="-51"/>
        <w:jc w:val="both"/>
        <w:rPr>
          <w:rFonts w:ascii="Arial" w:hAnsi="Arial" w:cs="Arial"/>
          <w:szCs w:val="24"/>
        </w:rPr>
      </w:pPr>
      <w:r w:rsidRPr="002265E9">
        <w:rPr>
          <w:rFonts w:ascii="Arial" w:hAnsi="Arial" w:cs="Arial"/>
          <w:szCs w:val="24"/>
        </w:rPr>
        <w:t>The Court has agreed to</w:t>
      </w:r>
      <w:r w:rsidR="00A57627">
        <w:rPr>
          <w:rFonts w:ascii="Arial" w:hAnsi="Arial" w:cs="Arial"/>
          <w:szCs w:val="24"/>
        </w:rPr>
        <w:t xml:space="preserve"> implement</w:t>
      </w:r>
      <w:r w:rsidRPr="002265E9">
        <w:rPr>
          <w:rFonts w:ascii="Arial" w:hAnsi="Arial" w:cs="Arial"/>
          <w:szCs w:val="24"/>
        </w:rPr>
        <w:t xml:space="preserve"> the </w:t>
      </w:r>
      <w:r w:rsidR="007040FF">
        <w:rPr>
          <w:rFonts w:ascii="Arial" w:hAnsi="Arial" w:cs="Arial"/>
          <w:szCs w:val="24"/>
        </w:rPr>
        <w:t xml:space="preserve">JCAC </w:t>
      </w:r>
      <w:r w:rsidRPr="002265E9">
        <w:rPr>
          <w:rFonts w:ascii="Arial" w:hAnsi="Arial" w:cs="Arial"/>
          <w:szCs w:val="24"/>
        </w:rPr>
        <w:t>recommendation</w:t>
      </w:r>
      <w:r w:rsidR="007040FF">
        <w:rPr>
          <w:rFonts w:ascii="Arial" w:hAnsi="Arial" w:cs="Arial"/>
          <w:szCs w:val="24"/>
        </w:rPr>
        <w:t xml:space="preserve">.  The 2.1% increase </w:t>
      </w:r>
      <w:r w:rsidRPr="002265E9">
        <w:rPr>
          <w:rFonts w:ascii="Arial" w:hAnsi="Arial" w:cs="Arial"/>
          <w:szCs w:val="24"/>
        </w:rPr>
        <w:t>will apply in respect of all work done and services performed by solicitors after 31 December 201</w:t>
      </w:r>
      <w:r>
        <w:rPr>
          <w:rFonts w:ascii="Arial" w:hAnsi="Arial" w:cs="Arial"/>
          <w:szCs w:val="24"/>
        </w:rPr>
        <w:t>9</w:t>
      </w:r>
      <w:r w:rsidRPr="002265E9">
        <w:rPr>
          <w:rFonts w:ascii="Arial" w:hAnsi="Arial" w:cs="Arial"/>
          <w:szCs w:val="24"/>
        </w:rPr>
        <w:t>.</w:t>
      </w:r>
    </w:p>
    <w:p w:rsidR="00AE7F6A" w:rsidRDefault="00AE7F6A" w:rsidP="00B173CA">
      <w:pPr>
        <w:ind w:right="-51"/>
        <w:jc w:val="both"/>
        <w:rPr>
          <w:rFonts w:ascii="Arial" w:hAnsi="Arial" w:cs="Arial"/>
          <w:szCs w:val="24"/>
        </w:rPr>
      </w:pPr>
    </w:p>
    <w:p w:rsidR="00C20E29" w:rsidRPr="00F61CE6" w:rsidRDefault="00C20E29" w:rsidP="00937E87">
      <w:pPr>
        <w:jc w:val="both"/>
        <w:rPr>
          <w:rFonts w:ascii="Arial" w:hAnsi="Arial" w:cs="Arial"/>
          <w:b/>
        </w:rPr>
      </w:pPr>
      <w:r w:rsidRPr="00F61CE6">
        <w:rPr>
          <w:rFonts w:ascii="Arial" w:hAnsi="Arial" w:cs="Arial"/>
          <w:b/>
        </w:rPr>
        <w:t>Statement of Comp</w:t>
      </w:r>
      <w:r w:rsidR="008B14BA" w:rsidRPr="00F61CE6">
        <w:rPr>
          <w:rFonts w:ascii="Arial" w:hAnsi="Arial" w:cs="Arial"/>
          <w:b/>
        </w:rPr>
        <w:t>ati</w:t>
      </w:r>
      <w:r w:rsidRPr="00F61CE6">
        <w:rPr>
          <w:rFonts w:ascii="Arial" w:hAnsi="Arial" w:cs="Arial"/>
          <w:b/>
        </w:rPr>
        <w:t>bility</w:t>
      </w:r>
    </w:p>
    <w:p w:rsidR="000E3197" w:rsidRPr="000E3197" w:rsidRDefault="000E3197" w:rsidP="00937E87">
      <w:pPr>
        <w:jc w:val="both"/>
        <w:rPr>
          <w:rFonts w:ascii="Arial" w:hAnsi="Arial" w:cs="Arial"/>
        </w:rPr>
      </w:pPr>
      <w:r w:rsidRPr="000E3197">
        <w:rPr>
          <w:rFonts w:ascii="Arial" w:hAnsi="Arial" w:cs="Arial"/>
        </w:rPr>
        <w:t xml:space="preserve">Rules of court are not legislative instruments (see paragraph 8(8)(d) of the </w:t>
      </w:r>
      <w:r w:rsidRPr="00A57627">
        <w:rPr>
          <w:rFonts w:ascii="Arial" w:hAnsi="Arial" w:cs="Arial"/>
          <w:i/>
        </w:rPr>
        <w:t>Legislation Act 2003</w:t>
      </w:r>
      <w:r w:rsidRPr="000E3197">
        <w:rPr>
          <w:rFonts w:ascii="Arial" w:hAnsi="Arial" w:cs="Arial"/>
        </w:rPr>
        <w:t xml:space="preserve">). Accordingly, section 9 of the </w:t>
      </w:r>
      <w:r w:rsidRPr="000E3197">
        <w:rPr>
          <w:rFonts w:ascii="Arial" w:hAnsi="Arial" w:cs="Arial"/>
          <w:i/>
        </w:rPr>
        <w:t>Human Rights (Parliamentary Scrutin</w:t>
      </w:r>
      <w:r w:rsidRPr="00A57627">
        <w:rPr>
          <w:rFonts w:ascii="Arial" w:hAnsi="Arial" w:cs="Arial"/>
          <w:i/>
        </w:rPr>
        <w:t>y) Act 2011</w:t>
      </w:r>
      <w:r w:rsidRPr="000E3197">
        <w:rPr>
          <w:rFonts w:ascii="Arial" w:hAnsi="Arial" w:cs="Arial"/>
        </w:rPr>
        <w:t xml:space="preserve"> does not require a statement of compatibility to be prepared in respect of rules of court made by the High Court, and no statement of compatibility for the purposes of that latter Act is included in the Explanatory Statement.</w:t>
      </w:r>
    </w:p>
    <w:p w:rsidR="000E3197" w:rsidRPr="0012618D" w:rsidRDefault="000E3197" w:rsidP="00FE7BB8">
      <w:pPr>
        <w:jc w:val="both"/>
        <w:rPr>
          <w:rFonts w:ascii="Arial" w:hAnsi="Arial" w:cs="Arial"/>
        </w:rPr>
      </w:pPr>
    </w:p>
    <w:sectPr w:rsidR="000E3197" w:rsidRPr="0012618D" w:rsidSect="00B47452">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18"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E6" w:rsidRDefault="00DF26E6">
      <w:r>
        <w:separator/>
      </w:r>
    </w:p>
  </w:endnote>
  <w:endnote w:type="continuationSeparator" w:id="0">
    <w:p w:rsidR="00DF26E6" w:rsidRDefault="00DF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BF" w:rsidRDefault="00FD48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BF" w:rsidRDefault="00FD48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BF" w:rsidRDefault="00FD48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E6" w:rsidRDefault="00DF26E6">
      <w:r>
        <w:continuationSeparator/>
      </w:r>
    </w:p>
  </w:footnote>
  <w:footnote w:type="continuationSeparator" w:id="0">
    <w:p w:rsidR="00DF26E6" w:rsidRDefault="00DF26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6" w:rsidRDefault="00DF26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F26E6" w:rsidRDefault="00DF26E6">
    <w:pPr>
      <w:pStyle w:val="Header"/>
      <w:rPr>
        <w:sz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6" w:rsidRDefault="00DF26E6">
    <w:pPr>
      <w:pStyle w:val="Header"/>
      <w:pBdr>
        <w:bottom w:val="single" w:sz="4" w:space="1" w:color="auto"/>
      </w:pBdr>
      <w:tabs>
        <w:tab w:val="right" w:pos="3969"/>
        <w:tab w:val="right" w:pos="8222"/>
      </w:tabs>
      <w:jc w:val="left"/>
      <w:rPr>
        <w:rFonts w:ascii="Arial" w:hAnsi="Arial"/>
        <w:smallCaps/>
        <w:sz w:val="18"/>
      </w:rPr>
    </w:pPr>
    <w:r>
      <w:rPr>
        <w:rFonts w:ascii="Arial" w:hAnsi="Arial"/>
      </w:rPr>
      <w:object w:dxaOrig="7469" w:dyaOrig="5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3.25pt" fillcolor="window">
          <v:imagedata r:id="rId1" o:title=""/>
        </v:shape>
        <o:OLEObject Type="Embed" ProgID="PBrush" ShapeID="_x0000_i1025" DrawAspect="Content" ObjectID="_1638165919" r:id="rId2"/>
      </w:object>
    </w:r>
    <w:r>
      <w:rPr>
        <w:rFonts w:ascii="Arial" w:hAnsi="Arial"/>
        <w:smallCaps/>
      </w:rPr>
      <w:t xml:space="preserve"> </w:t>
    </w:r>
    <w:r>
      <w:rPr>
        <w:rFonts w:ascii="Arial" w:hAnsi="Arial"/>
        <w:smallCaps/>
        <w:sz w:val="18"/>
      </w:rPr>
      <w:t>High Court of Australia</w:t>
    </w:r>
    <w:r>
      <w:rPr>
        <w:rFonts w:ascii="Arial" w:hAnsi="Arial"/>
        <w:smallCaps/>
        <w:sz w:val="18"/>
      </w:rPr>
      <w:tab/>
    </w:r>
    <w:r>
      <w:rPr>
        <w:rFonts w:ascii="Arial" w:hAnsi="Arial"/>
        <w:smallCaps/>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2B2242">
      <w:rPr>
        <w:rStyle w:val="PageNumber"/>
        <w:rFonts w:ascii="Arial" w:hAnsi="Arial"/>
        <w:noProof/>
        <w:sz w:val="18"/>
      </w:rPr>
      <w:t>2</w:t>
    </w:r>
    <w:r>
      <w:rPr>
        <w:rStyle w:val="PageNumber"/>
        <w:rFonts w:ascii="Arial" w:hAnsi="Arial"/>
        <w:sz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6" w:rsidRDefault="00DF26E6">
    <w:pPr>
      <w:jc w:val="center"/>
    </w:pPr>
    <w:r>
      <w:object w:dxaOrig="7469" w:dyaOrig="5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
        </v:shape>
        <o:OLEObject Type="Embed" ProgID="PBrush" ShapeID="_x0000_i1026" DrawAspect="Content" ObjectID="_1638165920" r:id="rId2"/>
      </w:object>
    </w:r>
  </w:p>
  <w:p w:rsidR="00DF26E6" w:rsidRDefault="00DF26E6">
    <w:pPr>
      <w:spacing w:before="200" w:after="200"/>
      <w:jc w:val="center"/>
      <w:rPr>
        <w:rFonts w:ascii="Arial" w:hAnsi="Arial"/>
        <w:spacing w:val="40"/>
        <w:sz w:val="28"/>
      </w:rPr>
    </w:pPr>
    <w:r>
      <w:rPr>
        <w:rFonts w:ascii="Arial" w:hAnsi="Arial"/>
        <w:spacing w:val="40"/>
        <w:sz w:val="28"/>
      </w:rPr>
      <w:t>HIGH COURT OF AUSTRALIA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1540"/>
    <w:multiLevelType w:val="hybridMultilevel"/>
    <w:tmpl w:val="80B65068"/>
    <w:lvl w:ilvl="0" w:tplc="9692C746">
      <w:start w:val="1"/>
      <w:numFmt w:val="decimal"/>
      <w:lvlText w:val="%1)"/>
      <w:lvlJc w:val="left"/>
      <w:pPr>
        <w:ind w:left="900" w:hanging="84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1" w15:restartNumberingAfterBreak="0">
    <w:nsid w:val="4DAE547C"/>
    <w:multiLevelType w:val="hybridMultilevel"/>
    <w:tmpl w:val="A8C89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053027"/>
    <w:multiLevelType w:val="hybridMultilevel"/>
    <w:tmpl w:val="F78C6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307955"/>
    <w:multiLevelType w:val="hybridMultilevel"/>
    <w:tmpl w:val="82161DD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72FC6F4E"/>
    <w:multiLevelType w:val="hybridMultilevel"/>
    <w:tmpl w:val="98EC3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9444A1"/>
    <w:multiLevelType w:val="hybridMultilevel"/>
    <w:tmpl w:val="19BA7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974C67"/>
    <w:multiLevelType w:val="hybridMultilevel"/>
    <w:tmpl w:val="80B65068"/>
    <w:lvl w:ilvl="0" w:tplc="9692C746">
      <w:start w:val="1"/>
      <w:numFmt w:val="decimal"/>
      <w:lvlText w:val="%1)"/>
      <w:lvlJc w:val="left"/>
      <w:pPr>
        <w:ind w:left="900" w:hanging="84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7" w15:restartNumberingAfterBreak="0">
    <w:nsid w:val="7F510B24"/>
    <w:multiLevelType w:val="hybridMultilevel"/>
    <w:tmpl w:val="80B65068"/>
    <w:lvl w:ilvl="0" w:tplc="9692C746">
      <w:start w:val="1"/>
      <w:numFmt w:val="decimal"/>
      <w:lvlText w:val="%1)"/>
      <w:lvlJc w:val="left"/>
      <w:pPr>
        <w:ind w:left="900" w:hanging="84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num w:numId="1">
    <w:abstractNumId w:val="3"/>
  </w:num>
  <w:num w:numId="2">
    <w:abstractNumId w:val="1"/>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6861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0"/>
    <w:rsid w:val="0000772F"/>
    <w:rsid w:val="000147F1"/>
    <w:rsid w:val="00015D36"/>
    <w:rsid w:val="0002419A"/>
    <w:rsid w:val="00027AC3"/>
    <w:rsid w:val="00040EC3"/>
    <w:rsid w:val="00047ADB"/>
    <w:rsid w:val="00054C03"/>
    <w:rsid w:val="0006610F"/>
    <w:rsid w:val="000810B9"/>
    <w:rsid w:val="000C621D"/>
    <w:rsid w:val="000D7ED9"/>
    <w:rsid w:val="000E3197"/>
    <w:rsid w:val="000F333B"/>
    <w:rsid w:val="001162D0"/>
    <w:rsid w:val="00122342"/>
    <w:rsid w:val="0012618D"/>
    <w:rsid w:val="00132E90"/>
    <w:rsid w:val="00134D19"/>
    <w:rsid w:val="001351C4"/>
    <w:rsid w:val="0016015E"/>
    <w:rsid w:val="00165D8A"/>
    <w:rsid w:val="001670FA"/>
    <w:rsid w:val="00176692"/>
    <w:rsid w:val="00197E2B"/>
    <w:rsid w:val="001A6453"/>
    <w:rsid w:val="001A7161"/>
    <w:rsid w:val="001B14EF"/>
    <w:rsid w:val="001C3784"/>
    <w:rsid w:val="001C496F"/>
    <w:rsid w:val="001D1A37"/>
    <w:rsid w:val="001D6195"/>
    <w:rsid w:val="00205BED"/>
    <w:rsid w:val="00210007"/>
    <w:rsid w:val="00227494"/>
    <w:rsid w:val="00234881"/>
    <w:rsid w:val="00240819"/>
    <w:rsid w:val="00257599"/>
    <w:rsid w:val="002700D4"/>
    <w:rsid w:val="00287423"/>
    <w:rsid w:val="002B2242"/>
    <w:rsid w:val="002B6209"/>
    <w:rsid w:val="002E49F0"/>
    <w:rsid w:val="002F56B5"/>
    <w:rsid w:val="002F6EAA"/>
    <w:rsid w:val="0030195D"/>
    <w:rsid w:val="00315A92"/>
    <w:rsid w:val="00330751"/>
    <w:rsid w:val="003453E1"/>
    <w:rsid w:val="0034590A"/>
    <w:rsid w:val="003519D5"/>
    <w:rsid w:val="00370AD4"/>
    <w:rsid w:val="003A4400"/>
    <w:rsid w:val="003B5379"/>
    <w:rsid w:val="003E37EA"/>
    <w:rsid w:val="004119C3"/>
    <w:rsid w:val="00426927"/>
    <w:rsid w:val="00431479"/>
    <w:rsid w:val="00452FEE"/>
    <w:rsid w:val="00453107"/>
    <w:rsid w:val="00454227"/>
    <w:rsid w:val="00471CD9"/>
    <w:rsid w:val="004822BC"/>
    <w:rsid w:val="004C056A"/>
    <w:rsid w:val="004F5A9A"/>
    <w:rsid w:val="00504FBC"/>
    <w:rsid w:val="00594290"/>
    <w:rsid w:val="005B7B52"/>
    <w:rsid w:val="005D6A98"/>
    <w:rsid w:val="005E1F64"/>
    <w:rsid w:val="005E5702"/>
    <w:rsid w:val="005E7DFF"/>
    <w:rsid w:val="005F4CE2"/>
    <w:rsid w:val="006040D4"/>
    <w:rsid w:val="00610881"/>
    <w:rsid w:val="006114ED"/>
    <w:rsid w:val="006441E7"/>
    <w:rsid w:val="00651A3B"/>
    <w:rsid w:val="00676A57"/>
    <w:rsid w:val="006A2AFB"/>
    <w:rsid w:val="006A6414"/>
    <w:rsid w:val="006B5020"/>
    <w:rsid w:val="006C3CE7"/>
    <w:rsid w:val="006C5746"/>
    <w:rsid w:val="006F7655"/>
    <w:rsid w:val="006F79AF"/>
    <w:rsid w:val="007040FF"/>
    <w:rsid w:val="00704AC5"/>
    <w:rsid w:val="0070688B"/>
    <w:rsid w:val="00724778"/>
    <w:rsid w:val="00753456"/>
    <w:rsid w:val="0076254B"/>
    <w:rsid w:val="00785C4D"/>
    <w:rsid w:val="007A4815"/>
    <w:rsid w:val="007A5EC9"/>
    <w:rsid w:val="007B3CC5"/>
    <w:rsid w:val="007B6A9C"/>
    <w:rsid w:val="007F2717"/>
    <w:rsid w:val="008017DC"/>
    <w:rsid w:val="008030CE"/>
    <w:rsid w:val="008101DA"/>
    <w:rsid w:val="00817EAD"/>
    <w:rsid w:val="00822492"/>
    <w:rsid w:val="0084021B"/>
    <w:rsid w:val="00840B1F"/>
    <w:rsid w:val="008521AE"/>
    <w:rsid w:val="00855B8A"/>
    <w:rsid w:val="00860C7F"/>
    <w:rsid w:val="0088159F"/>
    <w:rsid w:val="00884247"/>
    <w:rsid w:val="008A2A4A"/>
    <w:rsid w:val="008B14BA"/>
    <w:rsid w:val="008E6835"/>
    <w:rsid w:val="008F5A81"/>
    <w:rsid w:val="0092522F"/>
    <w:rsid w:val="0092697E"/>
    <w:rsid w:val="00933662"/>
    <w:rsid w:val="00937E87"/>
    <w:rsid w:val="00966DB9"/>
    <w:rsid w:val="009679BE"/>
    <w:rsid w:val="009726D2"/>
    <w:rsid w:val="00980646"/>
    <w:rsid w:val="009C593C"/>
    <w:rsid w:val="009D6AD5"/>
    <w:rsid w:val="009E021C"/>
    <w:rsid w:val="00A01018"/>
    <w:rsid w:val="00A12AF0"/>
    <w:rsid w:val="00A42C9D"/>
    <w:rsid w:val="00A57627"/>
    <w:rsid w:val="00AA76C1"/>
    <w:rsid w:val="00AB589F"/>
    <w:rsid w:val="00AE5227"/>
    <w:rsid w:val="00AE7F6A"/>
    <w:rsid w:val="00AF5B98"/>
    <w:rsid w:val="00B05A9E"/>
    <w:rsid w:val="00B1084E"/>
    <w:rsid w:val="00B148E5"/>
    <w:rsid w:val="00B173CA"/>
    <w:rsid w:val="00B202B4"/>
    <w:rsid w:val="00B32451"/>
    <w:rsid w:val="00B44CF4"/>
    <w:rsid w:val="00B47411"/>
    <w:rsid w:val="00B47452"/>
    <w:rsid w:val="00B5218C"/>
    <w:rsid w:val="00B61889"/>
    <w:rsid w:val="00B63D62"/>
    <w:rsid w:val="00B80C28"/>
    <w:rsid w:val="00B95AB8"/>
    <w:rsid w:val="00BA1D54"/>
    <w:rsid w:val="00BA6917"/>
    <w:rsid w:val="00BA7CFF"/>
    <w:rsid w:val="00BD540C"/>
    <w:rsid w:val="00BF3F4D"/>
    <w:rsid w:val="00BF6DF2"/>
    <w:rsid w:val="00C02EE1"/>
    <w:rsid w:val="00C20E29"/>
    <w:rsid w:val="00C243AC"/>
    <w:rsid w:val="00C5039D"/>
    <w:rsid w:val="00C64A98"/>
    <w:rsid w:val="00C80BC4"/>
    <w:rsid w:val="00C81706"/>
    <w:rsid w:val="00C81D9D"/>
    <w:rsid w:val="00C829E2"/>
    <w:rsid w:val="00CB579D"/>
    <w:rsid w:val="00CB7EFE"/>
    <w:rsid w:val="00CD5AAB"/>
    <w:rsid w:val="00CF0582"/>
    <w:rsid w:val="00D16791"/>
    <w:rsid w:val="00D32302"/>
    <w:rsid w:val="00D35ABF"/>
    <w:rsid w:val="00D35E59"/>
    <w:rsid w:val="00D42570"/>
    <w:rsid w:val="00D572B0"/>
    <w:rsid w:val="00D9194B"/>
    <w:rsid w:val="00DA2A0D"/>
    <w:rsid w:val="00DA343C"/>
    <w:rsid w:val="00DB2A76"/>
    <w:rsid w:val="00DE4550"/>
    <w:rsid w:val="00DF0B29"/>
    <w:rsid w:val="00DF26E6"/>
    <w:rsid w:val="00E108DC"/>
    <w:rsid w:val="00E429CD"/>
    <w:rsid w:val="00EA1578"/>
    <w:rsid w:val="00EB6974"/>
    <w:rsid w:val="00EE3C52"/>
    <w:rsid w:val="00F61CE6"/>
    <w:rsid w:val="00F64AE3"/>
    <w:rsid w:val="00F71D1C"/>
    <w:rsid w:val="00F826A7"/>
    <w:rsid w:val="00F876CD"/>
    <w:rsid w:val="00F8787D"/>
    <w:rsid w:val="00F92066"/>
    <w:rsid w:val="00F92652"/>
    <w:rsid w:val="00FA0A9B"/>
    <w:rsid w:val="00FA327A"/>
    <w:rsid w:val="00FA5BA2"/>
    <w:rsid w:val="00FB29BC"/>
    <w:rsid w:val="00FB76AC"/>
    <w:rsid w:val="00FD48BF"/>
    <w:rsid w:val="00FE0354"/>
    <w:rsid w:val="00FE7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1"/>
    <o:shapelayout v:ext="edit">
      <o:idmap v:ext="edit" data="1"/>
    </o:shapelayout>
  </w:shapeDefaults>
  <w:decimalSymbol w:val="."/>
  <w:listSeparator w:val=","/>
  <w14:docId w14:val="758B77E5"/>
  <w15:docId w15:val="{E8DCFAAA-357A-4054-9F71-9D65046F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 w:type="paragraph" w:customStyle="1" w:styleId="ActHead5">
    <w:name w:val="ActHead 5"/>
    <w:aliases w:val="s"/>
    <w:basedOn w:val="Normal"/>
    <w:next w:val="subsection"/>
    <w:qFormat/>
    <w:rsid w:val="003A4400"/>
    <w:pPr>
      <w:keepNext/>
      <w:keepLines/>
      <w:spacing w:before="280"/>
      <w:ind w:left="1134" w:hanging="1134"/>
      <w:outlineLvl w:val="4"/>
    </w:pPr>
    <w:rPr>
      <w:b/>
      <w:kern w:val="28"/>
      <w:lang w:val="en-AU"/>
    </w:rPr>
  </w:style>
  <w:style w:type="paragraph" w:customStyle="1" w:styleId="subsection">
    <w:name w:val="subsection"/>
    <w:aliases w:val="ss"/>
    <w:basedOn w:val="Normal"/>
    <w:link w:val="subsectionChar"/>
    <w:rsid w:val="003A4400"/>
    <w:pPr>
      <w:tabs>
        <w:tab w:val="right" w:pos="1021"/>
      </w:tabs>
      <w:spacing w:before="180"/>
      <w:ind w:left="1134" w:hanging="1134"/>
    </w:pPr>
    <w:rPr>
      <w:sz w:val="22"/>
      <w:lang w:val="en-AU"/>
    </w:rPr>
  </w:style>
  <w:style w:type="paragraph" w:customStyle="1" w:styleId="paragraph">
    <w:name w:val="paragraph"/>
    <w:aliases w:val="a"/>
    <w:basedOn w:val="Normal"/>
    <w:rsid w:val="003A4400"/>
    <w:pPr>
      <w:tabs>
        <w:tab w:val="right" w:pos="1531"/>
      </w:tabs>
      <w:spacing w:before="40"/>
      <w:ind w:left="1644" w:hanging="1644"/>
    </w:pPr>
    <w:rPr>
      <w:sz w:val="22"/>
      <w:lang w:val="en-AU"/>
    </w:rPr>
  </w:style>
  <w:style w:type="character" w:customStyle="1" w:styleId="CharSectno">
    <w:name w:val="CharSectno"/>
    <w:basedOn w:val="DefaultParagraphFont"/>
    <w:qFormat/>
    <w:rsid w:val="003A4400"/>
  </w:style>
  <w:style w:type="paragraph" w:customStyle="1" w:styleId="paragraphsub">
    <w:name w:val="paragraph(sub)"/>
    <w:aliases w:val="aa"/>
    <w:basedOn w:val="Normal"/>
    <w:rsid w:val="003A4400"/>
    <w:pPr>
      <w:tabs>
        <w:tab w:val="right" w:pos="1985"/>
      </w:tabs>
      <w:spacing w:before="40"/>
      <w:ind w:left="2098" w:hanging="2098"/>
    </w:pPr>
    <w:rPr>
      <w:sz w:val="22"/>
      <w:lang w:val="en-AU"/>
    </w:rPr>
  </w:style>
  <w:style w:type="character" w:customStyle="1" w:styleId="subsectionChar">
    <w:name w:val="subsection Char"/>
    <w:aliases w:val="ss Char"/>
    <w:link w:val="subsection"/>
    <w:locked/>
    <w:rsid w:val="003A4400"/>
    <w:rPr>
      <w:sz w:val="22"/>
    </w:rPr>
  </w:style>
  <w:style w:type="paragraph" w:customStyle="1" w:styleId="Default">
    <w:name w:val="Default"/>
    <w:rsid w:val="00B148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93957">
      <w:bodyDiv w:val="1"/>
      <w:marLeft w:val="0"/>
      <w:marRight w:val="0"/>
      <w:marTop w:val="0"/>
      <w:marBottom w:val="0"/>
      <w:divBdr>
        <w:top w:val="none" w:sz="0" w:space="0" w:color="auto"/>
        <w:left w:val="none" w:sz="0" w:space="0" w:color="auto"/>
        <w:bottom w:val="none" w:sz="0" w:space="0" w:color="auto"/>
        <w:right w:val="none" w:sz="0" w:space="0" w:color="auto"/>
      </w:divBdr>
    </w:div>
    <w:div w:id="21183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CA\Acting%20Senior%20Registra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B7B1-C176-4198-99C1-86E4F501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Acting Senior Registrar Letterhead.dot</Template>
  <TotalTime>80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 from Senior Registrar</vt:lpstr>
    </vt:vector>
  </TitlesOfParts>
  <Company>High Court of Australia</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Senior Registrar</dc:title>
  <dc:creator>HCA</dc:creator>
  <cp:lastModifiedBy>High Court of Australia</cp:lastModifiedBy>
  <cp:revision>10</cp:revision>
  <cp:lastPrinted>2019-11-25T22:58:00Z</cp:lastPrinted>
  <dcterms:created xsi:type="dcterms:W3CDTF">2019-11-06T23:07:00Z</dcterms:created>
  <dcterms:modified xsi:type="dcterms:W3CDTF">2019-12-17T22:19:00Z</dcterms:modified>
</cp:coreProperties>
</file>