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E389A" w14:textId="77777777" w:rsidR="007A37A6" w:rsidRPr="007A37A6" w:rsidRDefault="007A37A6" w:rsidP="007A37A6">
      <w:pPr>
        <w:shd w:val="clear" w:color="auto" w:fill="FFFFFF"/>
        <w:spacing w:after="120" w:line="240" w:lineRule="auto"/>
        <w:jc w:val="center"/>
        <w:rPr>
          <w:rFonts w:eastAsia="Times New Roman"/>
          <w:color w:val="000000"/>
          <w:sz w:val="20"/>
          <w:szCs w:val="20"/>
          <w:lang w:eastAsia="en-AU"/>
        </w:rPr>
      </w:pPr>
      <w:r w:rsidRPr="007A37A6">
        <w:rPr>
          <w:rFonts w:eastAsia="Times New Roman"/>
          <w:b/>
          <w:bCs/>
          <w:color w:val="000000"/>
          <w:sz w:val="22"/>
          <w:szCs w:val="22"/>
          <w:lang w:eastAsia="en-AU"/>
        </w:rPr>
        <w:t>EXPLANATORY STATEMENT</w:t>
      </w:r>
    </w:p>
    <w:p w14:paraId="4C7E25A4" w14:textId="77777777" w:rsidR="007A37A6" w:rsidRPr="007A37A6" w:rsidRDefault="007A37A6" w:rsidP="007A37A6">
      <w:pPr>
        <w:shd w:val="clear" w:color="auto" w:fill="FFFFFF"/>
        <w:spacing w:before="240" w:after="0" w:line="240" w:lineRule="auto"/>
        <w:jc w:val="center"/>
        <w:rPr>
          <w:rFonts w:eastAsia="Times New Roman"/>
          <w:color w:val="000000"/>
          <w:sz w:val="20"/>
          <w:szCs w:val="20"/>
          <w:lang w:eastAsia="en-AU"/>
        </w:rPr>
      </w:pPr>
      <w:r w:rsidRPr="007A37A6">
        <w:rPr>
          <w:rFonts w:eastAsia="Times New Roman"/>
          <w:b/>
          <w:bCs/>
          <w:i/>
          <w:iCs/>
          <w:color w:val="000000"/>
          <w:sz w:val="22"/>
          <w:szCs w:val="22"/>
          <w:lang w:eastAsia="en-AU"/>
        </w:rPr>
        <w:t>NATIONAL HEALTH ACT 1953</w:t>
      </w:r>
    </w:p>
    <w:p w14:paraId="1E76D92D" w14:textId="77777777" w:rsidR="007A37A6" w:rsidRPr="007A37A6" w:rsidRDefault="007A37A6" w:rsidP="007A37A6">
      <w:pPr>
        <w:shd w:val="clear" w:color="auto" w:fill="FFFFFF"/>
        <w:spacing w:before="240" w:after="120" w:line="240" w:lineRule="auto"/>
        <w:jc w:val="center"/>
        <w:rPr>
          <w:rFonts w:eastAsia="Times New Roman"/>
          <w:color w:val="000000"/>
          <w:sz w:val="20"/>
          <w:szCs w:val="20"/>
          <w:lang w:eastAsia="en-AU"/>
        </w:rPr>
      </w:pPr>
      <w:r w:rsidRPr="00F00FE8">
        <w:rPr>
          <w:rFonts w:eastAsia="Times New Roman"/>
          <w:b/>
          <w:bCs/>
          <w:i/>
          <w:iCs/>
          <w:color w:val="000000"/>
          <w:sz w:val="22"/>
          <w:szCs w:val="22"/>
          <w:lang w:eastAsia="en-AU"/>
        </w:rPr>
        <w:t xml:space="preserve">NATIONAL HEALTH (GROWTH HORMONE PROGRAM) SPECIAL ARRANGEMENT </w:t>
      </w:r>
      <w:r w:rsidR="00F00FE8" w:rsidRPr="00F00FE8">
        <w:rPr>
          <w:rFonts w:eastAsia="Times New Roman"/>
          <w:b/>
          <w:bCs/>
          <w:i/>
          <w:iCs/>
          <w:color w:val="000000"/>
          <w:sz w:val="22"/>
          <w:szCs w:val="22"/>
          <w:lang w:eastAsia="en-AU"/>
        </w:rPr>
        <w:t>AMENDMENT INSTRUMENT 2019</w:t>
      </w:r>
      <w:r w:rsidRPr="00F00FE8">
        <w:rPr>
          <w:rFonts w:eastAsia="Times New Roman"/>
          <w:b/>
          <w:bCs/>
          <w:i/>
          <w:iCs/>
          <w:color w:val="000000"/>
          <w:sz w:val="22"/>
          <w:szCs w:val="22"/>
          <w:lang w:eastAsia="en-AU"/>
        </w:rPr>
        <w:t xml:space="preserve"> (No. </w:t>
      </w:r>
      <w:r w:rsidR="00F00FE8" w:rsidRPr="00F00FE8">
        <w:rPr>
          <w:rFonts w:eastAsia="Times New Roman"/>
          <w:b/>
          <w:bCs/>
          <w:i/>
          <w:iCs/>
          <w:color w:val="000000"/>
          <w:sz w:val="22"/>
          <w:szCs w:val="22"/>
          <w:lang w:eastAsia="en-AU"/>
        </w:rPr>
        <w:t>3</w:t>
      </w:r>
      <w:r w:rsidRPr="00F00FE8">
        <w:rPr>
          <w:rFonts w:eastAsia="Times New Roman"/>
          <w:b/>
          <w:bCs/>
          <w:i/>
          <w:iCs/>
          <w:color w:val="000000"/>
          <w:sz w:val="22"/>
          <w:szCs w:val="22"/>
          <w:lang w:eastAsia="en-AU"/>
        </w:rPr>
        <w:t>)</w:t>
      </w:r>
    </w:p>
    <w:p w14:paraId="50764998" w14:textId="77777777" w:rsidR="007A37A6" w:rsidRPr="007A37A6" w:rsidRDefault="006440AA" w:rsidP="007A37A6">
      <w:pPr>
        <w:shd w:val="clear" w:color="auto" w:fill="FFFFFF"/>
        <w:spacing w:before="120" w:after="120" w:line="240" w:lineRule="auto"/>
        <w:jc w:val="center"/>
        <w:rPr>
          <w:rFonts w:eastAsia="Times New Roman"/>
          <w:color w:val="000000"/>
          <w:sz w:val="20"/>
          <w:szCs w:val="20"/>
          <w:lang w:eastAsia="en-AU"/>
        </w:rPr>
      </w:pPr>
      <w:r>
        <w:rPr>
          <w:rFonts w:eastAsia="Times New Roman"/>
          <w:b/>
          <w:bCs/>
          <w:color w:val="000000"/>
          <w:sz w:val="22"/>
          <w:szCs w:val="22"/>
          <w:lang w:eastAsia="en-AU"/>
        </w:rPr>
        <w:t>PB 109 of 2019</w:t>
      </w:r>
    </w:p>
    <w:p w14:paraId="64F2398A" w14:textId="77777777" w:rsidR="007A37A6" w:rsidRPr="007A37A6" w:rsidRDefault="007A37A6" w:rsidP="007A37A6">
      <w:pPr>
        <w:shd w:val="clear" w:color="auto" w:fill="FFFFFF"/>
        <w:spacing w:before="120" w:after="0" w:line="240" w:lineRule="auto"/>
        <w:rPr>
          <w:rFonts w:eastAsia="Times New Roman"/>
          <w:color w:val="000000"/>
          <w:sz w:val="20"/>
          <w:szCs w:val="20"/>
          <w:lang w:eastAsia="en-AU"/>
        </w:rPr>
      </w:pPr>
      <w:r w:rsidRPr="007A37A6">
        <w:rPr>
          <w:rFonts w:eastAsia="Times New Roman"/>
          <w:color w:val="000000"/>
          <w:sz w:val="22"/>
          <w:szCs w:val="22"/>
          <w:lang w:eastAsia="en-AU"/>
        </w:rPr>
        <w:t> </w:t>
      </w:r>
    </w:p>
    <w:p w14:paraId="3B963D7F" w14:textId="77777777" w:rsidR="007A37A6" w:rsidRPr="00BC0BA1" w:rsidRDefault="007A37A6" w:rsidP="007A37A6">
      <w:pPr>
        <w:shd w:val="clear" w:color="auto" w:fill="FFFFFF"/>
        <w:spacing w:before="120" w:after="0" w:line="240" w:lineRule="auto"/>
        <w:jc w:val="both"/>
        <w:rPr>
          <w:rFonts w:eastAsia="Times New Roman"/>
          <w:color w:val="000000"/>
          <w:sz w:val="20"/>
          <w:szCs w:val="20"/>
          <w:u w:val="single"/>
          <w:lang w:eastAsia="en-AU"/>
        </w:rPr>
      </w:pPr>
      <w:r w:rsidRPr="00BC0BA1">
        <w:rPr>
          <w:rFonts w:eastAsia="Times New Roman"/>
          <w:bCs/>
          <w:color w:val="000000"/>
          <w:sz w:val="22"/>
          <w:szCs w:val="22"/>
          <w:u w:val="single"/>
          <w:lang w:eastAsia="en-AU"/>
        </w:rPr>
        <w:t>Authority</w:t>
      </w:r>
    </w:p>
    <w:p w14:paraId="0DC20D3A" w14:textId="64210EF4" w:rsidR="007A37A6" w:rsidRPr="007A37A6" w:rsidRDefault="007A37A6" w:rsidP="007A37A6">
      <w:pPr>
        <w:shd w:val="clear" w:color="auto" w:fill="FFFFFF"/>
        <w:spacing w:before="120" w:after="0" w:line="240" w:lineRule="auto"/>
        <w:jc w:val="both"/>
        <w:rPr>
          <w:rFonts w:eastAsia="Times New Roman"/>
          <w:color w:val="000000"/>
          <w:sz w:val="20"/>
          <w:szCs w:val="20"/>
          <w:lang w:eastAsia="en-AU"/>
        </w:rPr>
      </w:pPr>
      <w:r w:rsidRPr="007A37A6">
        <w:rPr>
          <w:rFonts w:eastAsia="Times New Roman"/>
          <w:color w:val="000000"/>
          <w:sz w:val="22"/>
          <w:szCs w:val="22"/>
          <w:lang w:eastAsia="en-AU"/>
        </w:rPr>
        <w:t>Subsection 100(1) of the </w:t>
      </w:r>
      <w:r w:rsidRPr="007A37A6">
        <w:rPr>
          <w:rFonts w:eastAsia="Times New Roman"/>
          <w:i/>
          <w:iCs/>
          <w:color w:val="000000"/>
          <w:sz w:val="22"/>
          <w:szCs w:val="22"/>
          <w:lang w:eastAsia="en-AU"/>
        </w:rPr>
        <w:t>National Health Act 1953</w:t>
      </w:r>
      <w:r w:rsidRPr="007A37A6">
        <w:rPr>
          <w:rFonts w:eastAsia="Times New Roman"/>
          <w:color w:val="000000"/>
          <w:sz w:val="22"/>
          <w:szCs w:val="22"/>
          <w:lang w:eastAsia="en-AU"/>
        </w:rPr>
        <w:t> (the Act) enables the Minister to make special arrangements for</w:t>
      </w:r>
      <w:r w:rsidR="00FF0318">
        <w:rPr>
          <w:rFonts w:eastAsia="Times New Roman"/>
          <w:color w:val="000000"/>
          <w:sz w:val="22"/>
          <w:szCs w:val="22"/>
          <w:lang w:eastAsia="en-AU"/>
        </w:rPr>
        <w:t>, or in relation to, providing that an adequate</w:t>
      </w:r>
      <w:r w:rsidRPr="007A37A6">
        <w:rPr>
          <w:rFonts w:eastAsia="Times New Roman"/>
          <w:color w:val="000000"/>
          <w:sz w:val="22"/>
          <w:szCs w:val="22"/>
          <w:lang w:eastAsia="en-AU"/>
        </w:rPr>
        <w:t xml:space="preserve"> supply of pharmaceutical benefits</w:t>
      </w:r>
      <w:r w:rsidR="00FF0318">
        <w:rPr>
          <w:rFonts w:eastAsia="Times New Roman"/>
          <w:color w:val="000000"/>
          <w:sz w:val="22"/>
          <w:szCs w:val="22"/>
          <w:lang w:eastAsia="en-AU"/>
        </w:rPr>
        <w:t xml:space="preserve"> will be available to certain </w:t>
      </w:r>
      <w:r w:rsidR="0006314D">
        <w:rPr>
          <w:rFonts w:eastAsia="Times New Roman"/>
          <w:color w:val="000000"/>
          <w:sz w:val="22"/>
          <w:szCs w:val="22"/>
          <w:lang w:eastAsia="en-AU"/>
        </w:rPr>
        <w:t>persons</w:t>
      </w:r>
      <w:r w:rsidR="00FF0318">
        <w:rPr>
          <w:rFonts w:eastAsia="Times New Roman"/>
          <w:color w:val="000000"/>
          <w:sz w:val="22"/>
          <w:szCs w:val="22"/>
          <w:lang w:eastAsia="en-AU"/>
        </w:rPr>
        <w:t>. These are persons who: live in isolated areas; or are receiving treatment in circumstances in which pharmaceutical benefits are inadequate for that treatment; or if the pharmaceutical benefits covered by the arrangements can be more conveniently o</w:t>
      </w:r>
      <w:r w:rsidR="0006314D">
        <w:rPr>
          <w:rFonts w:eastAsia="Times New Roman"/>
          <w:color w:val="000000"/>
          <w:sz w:val="22"/>
          <w:szCs w:val="22"/>
          <w:lang w:eastAsia="en-AU"/>
        </w:rPr>
        <w:t>r efficiently supplied under the</w:t>
      </w:r>
      <w:r w:rsidR="00FF0318">
        <w:rPr>
          <w:rFonts w:eastAsia="Times New Roman"/>
          <w:color w:val="000000"/>
          <w:sz w:val="22"/>
          <w:szCs w:val="22"/>
          <w:lang w:eastAsia="en-AU"/>
        </w:rPr>
        <w:t xml:space="preserve"> arrangements. </w:t>
      </w:r>
    </w:p>
    <w:p w14:paraId="6882269C" w14:textId="77777777" w:rsidR="007A37A6" w:rsidRPr="007A37A6" w:rsidRDefault="007A37A6" w:rsidP="007A37A6">
      <w:pPr>
        <w:shd w:val="clear" w:color="auto" w:fill="FFFFFF"/>
        <w:spacing w:before="120" w:after="0" w:line="240" w:lineRule="auto"/>
        <w:jc w:val="both"/>
        <w:rPr>
          <w:rFonts w:eastAsia="Times New Roman"/>
          <w:color w:val="000000"/>
          <w:sz w:val="20"/>
          <w:szCs w:val="20"/>
          <w:lang w:eastAsia="en-AU"/>
        </w:rPr>
      </w:pPr>
      <w:r w:rsidRPr="007A37A6">
        <w:rPr>
          <w:rFonts w:eastAsia="Times New Roman"/>
          <w:color w:val="000000"/>
          <w:sz w:val="22"/>
          <w:szCs w:val="22"/>
          <w:lang w:eastAsia="en-AU"/>
        </w:rPr>
        <w:t>Subsection 100(2) of the Act provides that the Minister may vary or revoke a special arrangement made under subsection 100(1).</w:t>
      </w:r>
    </w:p>
    <w:p w14:paraId="641025E2" w14:textId="77777777" w:rsidR="00622E73" w:rsidRPr="0041394B" w:rsidRDefault="007A37A6" w:rsidP="007A37A6">
      <w:pPr>
        <w:shd w:val="clear" w:color="auto" w:fill="FFFFFF"/>
        <w:spacing w:before="120" w:after="0" w:line="240" w:lineRule="auto"/>
        <w:jc w:val="both"/>
        <w:rPr>
          <w:rFonts w:eastAsia="Times New Roman"/>
          <w:color w:val="000000"/>
          <w:sz w:val="22"/>
          <w:szCs w:val="22"/>
          <w:lang w:eastAsia="en-AU"/>
        </w:rPr>
      </w:pPr>
      <w:r w:rsidRPr="007A37A6">
        <w:rPr>
          <w:rFonts w:eastAsia="Times New Roman"/>
          <w:color w:val="000000"/>
          <w:sz w:val="22"/>
          <w:szCs w:val="22"/>
          <w:lang w:eastAsia="en-AU"/>
        </w:rPr>
        <w:t>Subsection 100(3) of the Act provides that Part VII of the Act, and instruments made for the purposes of Part VII, have effect subject to a special arrangement made under subsection 100(1).</w:t>
      </w:r>
    </w:p>
    <w:p w14:paraId="5A8A2891" w14:textId="77777777" w:rsidR="007A37A6" w:rsidRPr="00BC0BA1" w:rsidRDefault="007A37A6" w:rsidP="007A37A6">
      <w:pPr>
        <w:shd w:val="clear" w:color="auto" w:fill="FFFFFF"/>
        <w:spacing w:before="120" w:after="0" w:line="240" w:lineRule="auto"/>
        <w:jc w:val="both"/>
        <w:rPr>
          <w:rFonts w:eastAsia="Times New Roman"/>
          <w:bCs/>
          <w:color w:val="000000"/>
          <w:sz w:val="22"/>
          <w:szCs w:val="22"/>
          <w:u w:val="single"/>
          <w:lang w:eastAsia="en-AU"/>
        </w:rPr>
      </w:pPr>
      <w:r w:rsidRPr="00BC0BA1">
        <w:rPr>
          <w:rFonts w:eastAsia="Times New Roman"/>
          <w:bCs/>
          <w:color w:val="000000"/>
          <w:sz w:val="22"/>
          <w:szCs w:val="22"/>
          <w:u w:val="single"/>
          <w:lang w:eastAsia="en-AU"/>
        </w:rPr>
        <w:t>Purpose</w:t>
      </w:r>
    </w:p>
    <w:p w14:paraId="7370BE3E" w14:textId="0DBD161D" w:rsidR="008D7520" w:rsidRDefault="007A37A6" w:rsidP="00B36C69">
      <w:pPr>
        <w:shd w:val="clear" w:color="auto" w:fill="FFFFFF"/>
        <w:spacing w:before="120" w:after="0" w:line="240" w:lineRule="auto"/>
        <w:jc w:val="both"/>
        <w:rPr>
          <w:rFonts w:eastAsia="Times New Roman"/>
          <w:color w:val="000000"/>
          <w:sz w:val="22"/>
          <w:szCs w:val="22"/>
          <w:lang w:eastAsia="en-AU"/>
        </w:rPr>
      </w:pPr>
      <w:r w:rsidRPr="007A37A6">
        <w:rPr>
          <w:rFonts w:eastAsia="Times New Roman"/>
          <w:color w:val="000000"/>
          <w:sz w:val="22"/>
          <w:szCs w:val="22"/>
          <w:lang w:eastAsia="en-AU"/>
        </w:rPr>
        <w:t xml:space="preserve">The purpose of </w:t>
      </w:r>
      <w:r w:rsidR="00195D01" w:rsidRPr="00BC0BA1">
        <w:rPr>
          <w:rFonts w:eastAsia="Times New Roman"/>
          <w:bCs/>
          <w:color w:val="000000"/>
          <w:sz w:val="22"/>
          <w:szCs w:val="22"/>
          <w:lang w:eastAsia="en-AU"/>
        </w:rPr>
        <w:t>the</w:t>
      </w:r>
      <w:r w:rsidR="00195D01" w:rsidRPr="007A37A6">
        <w:rPr>
          <w:rFonts w:eastAsia="Times New Roman"/>
          <w:color w:val="000000"/>
          <w:sz w:val="22"/>
          <w:szCs w:val="22"/>
          <w:lang w:eastAsia="en-AU"/>
        </w:rPr>
        <w:t> </w:t>
      </w:r>
      <w:r w:rsidR="00195D01" w:rsidRPr="007A37A6">
        <w:rPr>
          <w:rFonts w:eastAsia="Times New Roman"/>
          <w:i/>
          <w:iCs/>
          <w:color w:val="000000"/>
          <w:sz w:val="22"/>
          <w:szCs w:val="22"/>
          <w:lang w:eastAsia="en-AU"/>
        </w:rPr>
        <w:t>National Health (Growth Hormone Program) Special Arran</w:t>
      </w:r>
      <w:r w:rsidR="00195D01">
        <w:rPr>
          <w:rFonts w:eastAsia="Times New Roman"/>
          <w:i/>
          <w:iCs/>
          <w:color w:val="000000"/>
          <w:sz w:val="22"/>
          <w:szCs w:val="22"/>
          <w:lang w:eastAsia="en-AU"/>
        </w:rPr>
        <w:t>gement Amendment Instrument 2019 (No. 3</w:t>
      </w:r>
      <w:r w:rsidR="00195D01" w:rsidRPr="007A37A6">
        <w:rPr>
          <w:rFonts w:eastAsia="Times New Roman"/>
          <w:i/>
          <w:iCs/>
          <w:color w:val="000000"/>
          <w:sz w:val="22"/>
          <w:szCs w:val="22"/>
          <w:lang w:eastAsia="en-AU"/>
        </w:rPr>
        <w:t>)</w:t>
      </w:r>
      <w:r w:rsidR="00195D01">
        <w:rPr>
          <w:rFonts w:eastAsia="Times New Roman"/>
          <w:color w:val="000000"/>
          <w:sz w:val="22"/>
          <w:szCs w:val="22"/>
          <w:lang w:eastAsia="en-AU"/>
        </w:rPr>
        <w:t> (</w:t>
      </w:r>
      <w:r w:rsidRPr="007A37A6">
        <w:rPr>
          <w:rFonts w:eastAsia="Times New Roman"/>
          <w:color w:val="000000"/>
          <w:sz w:val="22"/>
          <w:szCs w:val="22"/>
          <w:lang w:eastAsia="en-AU"/>
        </w:rPr>
        <w:t>th</w:t>
      </w:r>
      <w:r w:rsidR="00195D01">
        <w:rPr>
          <w:rFonts w:eastAsia="Times New Roman"/>
          <w:color w:val="000000"/>
          <w:sz w:val="22"/>
          <w:szCs w:val="22"/>
          <w:lang w:eastAsia="en-AU"/>
        </w:rPr>
        <w:t>e Amendment</w:t>
      </w:r>
      <w:r w:rsidRPr="007A37A6">
        <w:rPr>
          <w:rFonts w:eastAsia="Times New Roman"/>
          <w:color w:val="000000"/>
          <w:sz w:val="22"/>
          <w:szCs w:val="22"/>
          <w:lang w:eastAsia="en-AU"/>
        </w:rPr>
        <w:t xml:space="preserve"> Instrument</w:t>
      </w:r>
      <w:r w:rsidR="006474AD">
        <w:rPr>
          <w:rFonts w:eastAsia="Times New Roman"/>
          <w:color w:val="000000"/>
          <w:sz w:val="22"/>
          <w:szCs w:val="22"/>
          <w:lang w:eastAsia="en-AU"/>
        </w:rPr>
        <w:t>)</w:t>
      </w:r>
      <w:r w:rsidRPr="007A37A6">
        <w:rPr>
          <w:rFonts w:eastAsia="Times New Roman"/>
          <w:color w:val="000000"/>
          <w:sz w:val="22"/>
          <w:szCs w:val="22"/>
          <w:lang w:eastAsia="en-AU"/>
        </w:rPr>
        <w:t xml:space="preserve"> is to amend the </w:t>
      </w:r>
      <w:r w:rsidRPr="007A37A6">
        <w:rPr>
          <w:rFonts w:eastAsia="Times New Roman"/>
          <w:i/>
          <w:iCs/>
          <w:color w:val="000000"/>
          <w:sz w:val="22"/>
          <w:szCs w:val="22"/>
          <w:lang w:eastAsia="en-AU"/>
        </w:rPr>
        <w:t>National Health (Growth Hormone Program) Special Arrangement 2015</w:t>
      </w:r>
      <w:r w:rsidRPr="007A37A6">
        <w:rPr>
          <w:rFonts w:eastAsia="Times New Roman"/>
          <w:color w:val="000000"/>
          <w:sz w:val="22"/>
          <w:szCs w:val="22"/>
          <w:lang w:eastAsia="en-AU"/>
        </w:rPr>
        <w:t xml:space="preserve"> (PB 85 of 2015) (the </w:t>
      </w:r>
      <w:r w:rsidR="00195D01">
        <w:rPr>
          <w:rFonts w:eastAsia="Times New Roman"/>
          <w:color w:val="000000"/>
          <w:sz w:val="22"/>
          <w:szCs w:val="22"/>
          <w:lang w:eastAsia="en-AU"/>
        </w:rPr>
        <w:t>Primary Instrument)</w:t>
      </w:r>
      <w:r w:rsidR="00150D57">
        <w:rPr>
          <w:rFonts w:eastAsia="Times New Roman"/>
          <w:color w:val="000000"/>
          <w:sz w:val="22"/>
          <w:szCs w:val="22"/>
          <w:lang w:eastAsia="en-AU"/>
        </w:rPr>
        <w:t xml:space="preserve"> </w:t>
      </w:r>
      <w:r w:rsidRPr="007A37A6">
        <w:rPr>
          <w:rFonts w:eastAsia="Times New Roman"/>
          <w:color w:val="000000"/>
          <w:sz w:val="22"/>
          <w:szCs w:val="22"/>
          <w:lang w:eastAsia="en-AU"/>
        </w:rPr>
        <w:t xml:space="preserve">to make changes to the </w:t>
      </w:r>
      <w:r w:rsidR="00471D8E">
        <w:rPr>
          <w:rFonts w:eastAsia="Times New Roman"/>
          <w:color w:val="000000"/>
          <w:sz w:val="22"/>
          <w:szCs w:val="22"/>
          <w:lang w:eastAsia="en-AU"/>
        </w:rPr>
        <w:t xml:space="preserve">definitions of </w:t>
      </w:r>
      <w:r w:rsidR="00766342">
        <w:rPr>
          <w:rFonts w:eastAsia="Times New Roman"/>
          <w:color w:val="000000"/>
          <w:sz w:val="22"/>
          <w:szCs w:val="22"/>
          <w:lang w:eastAsia="en-AU"/>
        </w:rPr>
        <w:t xml:space="preserve">adult and child </w:t>
      </w:r>
      <w:r w:rsidR="00150D57">
        <w:rPr>
          <w:rFonts w:eastAsia="Times New Roman"/>
          <w:color w:val="000000"/>
          <w:sz w:val="22"/>
          <w:szCs w:val="22"/>
          <w:lang w:eastAsia="en-AU"/>
        </w:rPr>
        <w:t xml:space="preserve">in the </w:t>
      </w:r>
      <w:r w:rsidR="00195D01">
        <w:rPr>
          <w:rFonts w:eastAsia="Times New Roman"/>
          <w:color w:val="000000"/>
          <w:sz w:val="22"/>
          <w:szCs w:val="22"/>
          <w:lang w:eastAsia="en-AU"/>
        </w:rPr>
        <w:t xml:space="preserve">Primary Instrument that implements special arrangements under section 100 of the Act </w:t>
      </w:r>
      <w:r w:rsidR="00150D57">
        <w:rPr>
          <w:rFonts w:eastAsia="Times New Roman"/>
          <w:color w:val="000000"/>
          <w:sz w:val="22"/>
          <w:szCs w:val="22"/>
          <w:lang w:eastAsia="en-AU"/>
        </w:rPr>
        <w:t xml:space="preserve">relating to the </w:t>
      </w:r>
      <w:r w:rsidR="00766342">
        <w:rPr>
          <w:rFonts w:eastAsia="Times New Roman"/>
          <w:color w:val="000000"/>
          <w:sz w:val="22"/>
          <w:szCs w:val="22"/>
          <w:lang w:eastAsia="en-AU"/>
        </w:rPr>
        <w:t>Growth Hormone Program</w:t>
      </w:r>
      <w:r w:rsidR="00150D57">
        <w:rPr>
          <w:rFonts w:eastAsia="Times New Roman"/>
          <w:color w:val="000000"/>
          <w:sz w:val="22"/>
          <w:szCs w:val="22"/>
          <w:lang w:eastAsia="en-AU"/>
        </w:rPr>
        <w:t xml:space="preserve">. </w:t>
      </w:r>
    </w:p>
    <w:p w14:paraId="515E0EE3" w14:textId="3DB8C93D" w:rsidR="00652056" w:rsidRPr="00A72635" w:rsidRDefault="00652056" w:rsidP="00652056">
      <w:pPr>
        <w:shd w:val="clear" w:color="auto" w:fill="FFFFFF"/>
        <w:spacing w:before="120" w:after="0" w:line="240" w:lineRule="auto"/>
        <w:jc w:val="both"/>
        <w:rPr>
          <w:rFonts w:eastAsia="Times New Roman"/>
          <w:color w:val="000000"/>
          <w:sz w:val="22"/>
          <w:szCs w:val="22"/>
          <w:lang w:eastAsia="en-AU"/>
        </w:rPr>
      </w:pPr>
      <w:r w:rsidRPr="00A72635">
        <w:rPr>
          <w:rFonts w:eastAsia="Times New Roman"/>
          <w:color w:val="000000"/>
          <w:sz w:val="22"/>
          <w:szCs w:val="22"/>
          <w:lang w:eastAsia="en-AU"/>
        </w:rPr>
        <w:t>The amendments will ensure</w:t>
      </w:r>
      <w:r w:rsidR="005E3421">
        <w:rPr>
          <w:rFonts w:eastAsia="Times New Roman"/>
          <w:color w:val="000000"/>
          <w:sz w:val="22"/>
          <w:szCs w:val="22"/>
          <w:lang w:eastAsia="en-AU"/>
        </w:rPr>
        <w:t xml:space="preserve"> that</w:t>
      </w:r>
      <w:r w:rsidRPr="00A72635">
        <w:rPr>
          <w:rFonts w:eastAsia="Times New Roman"/>
          <w:color w:val="000000"/>
          <w:sz w:val="22"/>
          <w:szCs w:val="22"/>
          <w:lang w:eastAsia="en-AU"/>
        </w:rPr>
        <w:t xml:space="preserve"> the </w:t>
      </w:r>
      <w:r w:rsidR="002B0DA1">
        <w:rPr>
          <w:rFonts w:eastAsia="Times New Roman"/>
          <w:color w:val="000000"/>
          <w:sz w:val="22"/>
          <w:szCs w:val="22"/>
          <w:lang w:eastAsia="en-AU"/>
        </w:rPr>
        <w:t xml:space="preserve">appropriate </w:t>
      </w:r>
      <w:r w:rsidRPr="00A72635">
        <w:rPr>
          <w:rFonts w:eastAsia="Times New Roman"/>
          <w:color w:val="000000"/>
          <w:sz w:val="22"/>
          <w:szCs w:val="22"/>
          <w:lang w:eastAsia="en-AU"/>
        </w:rPr>
        <w:t xml:space="preserve">pharmaceutical benefits </w:t>
      </w:r>
      <w:r w:rsidR="002B0DA1">
        <w:rPr>
          <w:rFonts w:eastAsia="Times New Roman"/>
          <w:color w:val="000000"/>
          <w:sz w:val="22"/>
          <w:szCs w:val="22"/>
          <w:lang w:eastAsia="en-AU"/>
        </w:rPr>
        <w:t xml:space="preserve">listed in either Schedule 1 or 2 to the Primary Instrument </w:t>
      </w:r>
      <w:r w:rsidRPr="00A72635">
        <w:rPr>
          <w:rFonts w:eastAsia="Times New Roman"/>
          <w:color w:val="000000"/>
          <w:sz w:val="22"/>
          <w:szCs w:val="22"/>
          <w:lang w:eastAsia="en-AU"/>
        </w:rPr>
        <w:t xml:space="preserve">are available for </w:t>
      </w:r>
      <w:r w:rsidR="005E3421">
        <w:rPr>
          <w:rFonts w:eastAsia="Times New Roman"/>
          <w:color w:val="000000"/>
          <w:sz w:val="22"/>
          <w:szCs w:val="22"/>
          <w:lang w:eastAsia="en-AU"/>
        </w:rPr>
        <w:t xml:space="preserve">eligible </w:t>
      </w:r>
      <w:r w:rsidRPr="00A72635">
        <w:rPr>
          <w:rFonts w:eastAsia="Times New Roman"/>
          <w:color w:val="000000"/>
          <w:sz w:val="22"/>
          <w:szCs w:val="22"/>
          <w:lang w:eastAsia="en-AU"/>
        </w:rPr>
        <w:t xml:space="preserve">patients who require treatment with </w:t>
      </w:r>
      <w:r w:rsidR="005E3421">
        <w:rPr>
          <w:rFonts w:eastAsia="Times New Roman"/>
          <w:color w:val="000000"/>
          <w:sz w:val="22"/>
          <w:szCs w:val="22"/>
          <w:lang w:eastAsia="en-AU"/>
        </w:rPr>
        <w:t>somatropin (</w:t>
      </w:r>
      <w:r w:rsidRPr="00A72635">
        <w:rPr>
          <w:rFonts w:eastAsia="Times New Roman"/>
          <w:color w:val="000000"/>
          <w:sz w:val="22"/>
          <w:szCs w:val="22"/>
          <w:lang w:eastAsia="en-AU"/>
        </w:rPr>
        <w:t>growth hormone</w:t>
      </w:r>
      <w:r w:rsidR="005E3421">
        <w:rPr>
          <w:rFonts w:eastAsia="Times New Roman"/>
          <w:color w:val="000000"/>
          <w:sz w:val="22"/>
          <w:szCs w:val="22"/>
          <w:lang w:eastAsia="en-AU"/>
        </w:rPr>
        <w:t>)</w:t>
      </w:r>
      <w:r w:rsidRPr="00A72635">
        <w:rPr>
          <w:rFonts w:eastAsia="Times New Roman"/>
          <w:color w:val="000000"/>
          <w:sz w:val="22"/>
          <w:szCs w:val="22"/>
          <w:lang w:eastAsia="en-AU"/>
        </w:rPr>
        <w:t xml:space="preserve"> </w:t>
      </w:r>
      <w:r w:rsidR="006D7FC9">
        <w:rPr>
          <w:rFonts w:eastAsia="Times New Roman"/>
          <w:color w:val="000000"/>
          <w:sz w:val="22"/>
          <w:szCs w:val="22"/>
          <w:lang w:eastAsia="en-AU"/>
        </w:rPr>
        <w:t>in line with their diagno</w:t>
      </w:r>
      <w:r w:rsidR="00A574B7">
        <w:rPr>
          <w:rFonts w:eastAsia="Times New Roman"/>
          <w:color w:val="000000"/>
          <w:sz w:val="22"/>
          <w:szCs w:val="22"/>
          <w:lang w:eastAsia="en-AU"/>
        </w:rPr>
        <w:t>sis and appropriate age measure</w:t>
      </w:r>
      <w:r w:rsidR="002B0DA1">
        <w:rPr>
          <w:rFonts w:eastAsia="Times New Roman"/>
          <w:color w:val="000000"/>
          <w:sz w:val="22"/>
          <w:szCs w:val="22"/>
          <w:lang w:eastAsia="en-AU"/>
        </w:rPr>
        <w:t>.</w:t>
      </w:r>
    </w:p>
    <w:p w14:paraId="0501BF4C" w14:textId="77777777" w:rsidR="00DF4F70" w:rsidRPr="00A72635" w:rsidRDefault="00DF4F70" w:rsidP="00DF4F70">
      <w:pPr>
        <w:shd w:val="clear" w:color="auto" w:fill="FFFFFF"/>
        <w:spacing w:before="120" w:after="0" w:line="240" w:lineRule="auto"/>
        <w:jc w:val="both"/>
        <w:rPr>
          <w:rFonts w:eastAsia="Times New Roman"/>
          <w:b/>
          <w:bCs/>
          <w:color w:val="000000"/>
          <w:sz w:val="22"/>
          <w:szCs w:val="22"/>
          <w:lang w:eastAsia="en-AU"/>
        </w:rPr>
      </w:pPr>
      <w:r w:rsidRPr="00A72635">
        <w:rPr>
          <w:rFonts w:eastAsia="Times New Roman"/>
          <w:bCs/>
          <w:color w:val="000000"/>
          <w:sz w:val="22"/>
          <w:szCs w:val="22"/>
          <w:u w:val="single"/>
          <w:lang w:eastAsia="en-AU"/>
        </w:rPr>
        <w:t>Background</w:t>
      </w:r>
    </w:p>
    <w:p w14:paraId="2F14891B" w14:textId="71678669" w:rsidR="00DF4F70" w:rsidRPr="00A72635" w:rsidRDefault="00DF4F70" w:rsidP="002B0DA1">
      <w:pPr>
        <w:shd w:val="clear" w:color="auto" w:fill="FFFFFF"/>
        <w:spacing w:before="120" w:after="0" w:line="240" w:lineRule="auto"/>
        <w:jc w:val="both"/>
        <w:rPr>
          <w:sz w:val="22"/>
          <w:szCs w:val="22"/>
        </w:rPr>
      </w:pPr>
      <w:r w:rsidRPr="00A72635">
        <w:rPr>
          <w:sz w:val="22"/>
          <w:szCs w:val="22"/>
        </w:rPr>
        <w:t xml:space="preserve">Somatropin was originally listed on the Pharmaceutical Benefits Scheme (PBS) Growth Hormone Program for the treatment of a range of paediatric </w:t>
      </w:r>
      <w:r w:rsidR="00B158EF">
        <w:rPr>
          <w:sz w:val="22"/>
          <w:szCs w:val="22"/>
        </w:rPr>
        <w:t xml:space="preserve">growth hormone deficiency (GHD) </w:t>
      </w:r>
      <w:r w:rsidRPr="00A72635">
        <w:rPr>
          <w:sz w:val="22"/>
          <w:szCs w:val="22"/>
        </w:rPr>
        <w:t xml:space="preserve">conditions. On </w:t>
      </w:r>
      <w:r w:rsidR="00B158EF">
        <w:rPr>
          <w:sz w:val="22"/>
          <w:szCs w:val="22"/>
        </w:rPr>
        <w:br/>
      </w:r>
      <w:r w:rsidRPr="00A72635">
        <w:rPr>
          <w:sz w:val="22"/>
          <w:szCs w:val="22"/>
        </w:rPr>
        <w:t>1 December 2018, the Australian Government extended the PB</w:t>
      </w:r>
      <w:r w:rsidR="00D46D76">
        <w:rPr>
          <w:sz w:val="22"/>
          <w:szCs w:val="22"/>
        </w:rPr>
        <w:t>S listing for growth hormone to</w:t>
      </w:r>
      <w:r w:rsidRPr="00A72635">
        <w:rPr>
          <w:sz w:val="22"/>
          <w:szCs w:val="22"/>
        </w:rPr>
        <w:t xml:space="preserve"> eligible adults. This means that children </w:t>
      </w:r>
      <w:r w:rsidR="002B0DA1">
        <w:rPr>
          <w:sz w:val="22"/>
          <w:szCs w:val="22"/>
        </w:rPr>
        <w:t xml:space="preserve">who received growth hormone treatment in childhood may access </w:t>
      </w:r>
      <w:bookmarkStart w:id="0" w:name="_GoBack"/>
      <w:bookmarkEnd w:id="0"/>
      <w:r w:rsidR="00A51756">
        <w:rPr>
          <w:sz w:val="22"/>
          <w:szCs w:val="22"/>
        </w:rPr>
        <w:t>PBS-subsidised</w:t>
      </w:r>
      <w:r w:rsidR="002B0DA1">
        <w:rPr>
          <w:sz w:val="22"/>
          <w:szCs w:val="22"/>
        </w:rPr>
        <w:t xml:space="preserve"> treatment as adults </w:t>
      </w:r>
      <w:r w:rsidRPr="00A72635">
        <w:rPr>
          <w:sz w:val="22"/>
          <w:szCs w:val="22"/>
        </w:rPr>
        <w:t>if they meet the PBS restriction criteria.</w:t>
      </w:r>
      <w:r w:rsidR="00B12A7E" w:rsidRPr="00A72635">
        <w:rPr>
          <w:sz w:val="22"/>
          <w:szCs w:val="22"/>
        </w:rPr>
        <w:t xml:space="preserve"> People diagnosed with severe</w:t>
      </w:r>
      <w:r w:rsidR="00354188">
        <w:rPr>
          <w:sz w:val="22"/>
          <w:szCs w:val="22"/>
        </w:rPr>
        <w:t xml:space="preserve"> GHD </w:t>
      </w:r>
      <w:r w:rsidR="00354188" w:rsidRPr="00A72635">
        <w:rPr>
          <w:sz w:val="22"/>
          <w:szCs w:val="22"/>
        </w:rPr>
        <w:t xml:space="preserve">in adulthood </w:t>
      </w:r>
      <w:r w:rsidR="00354188">
        <w:rPr>
          <w:sz w:val="22"/>
          <w:szCs w:val="22"/>
        </w:rPr>
        <w:t>are</w:t>
      </w:r>
      <w:r w:rsidR="00354188" w:rsidRPr="00A72635">
        <w:rPr>
          <w:sz w:val="22"/>
          <w:szCs w:val="22"/>
        </w:rPr>
        <w:t xml:space="preserve"> </w:t>
      </w:r>
      <w:r w:rsidR="00B12A7E" w:rsidRPr="00A72635">
        <w:rPr>
          <w:sz w:val="22"/>
          <w:szCs w:val="22"/>
        </w:rPr>
        <w:t xml:space="preserve">also able to access </w:t>
      </w:r>
      <w:r w:rsidR="00A51756">
        <w:rPr>
          <w:sz w:val="22"/>
          <w:szCs w:val="22"/>
        </w:rPr>
        <w:t>PBS-subsidised</w:t>
      </w:r>
      <w:r w:rsidR="00B12A7E" w:rsidRPr="00A72635">
        <w:rPr>
          <w:sz w:val="22"/>
          <w:szCs w:val="22"/>
        </w:rPr>
        <w:t xml:space="preserve"> growth hormone treatment.</w:t>
      </w:r>
      <w:r w:rsidRPr="00A72635">
        <w:rPr>
          <w:sz w:val="22"/>
          <w:szCs w:val="22"/>
        </w:rPr>
        <w:t xml:space="preserve"> </w:t>
      </w:r>
    </w:p>
    <w:p w14:paraId="41DC97BE" w14:textId="62CE60CF" w:rsidR="00DF4F70" w:rsidRDefault="00354188" w:rsidP="00DF4F70">
      <w:pPr>
        <w:shd w:val="clear" w:color="auto" w:fill="FFFFFF"/>
        <w:spacing w:before="120" w:after="0" w:line="240" w:lineRule="auto"/>
        <w:jc w:val="both"/>
        <w:rPr>
          <w:sz w:val="22"/>
          <w:szCs w:val="22"/>
        </w:rPr>
      </w:pPr>
      <w:r>
        <w:rPr>
          <w:sz w:val="22"/>
          <w:szCs w:val="22"/>
        </w:rPr>
        <w:t>S</w:t>
      </w:r>
      <w:r w:rsidR="00DF4F70" w:rsidRPr="00A72635">
        <w:rPr>
          <w:sz w:val="22"/>
          <w:szCs w:val="22"/>
        </w:rPr>
        <w:t>ubsequent to the PBS listing of growth hormone for eligible adults</w:t>
      </w:r>
      <w:r w:rsidR="00B12A7E" w:rsidRPr="00A72635">
        <w:rPr>
          <w:sz w:val="22"/>
          <w:szCs w:val="22"/>
        </w:rPr>
        <w:t>,</w:t>
      </w:r>
      <w:r w:rsidR="006D7FC9">
        <w:rPr>
          <w:sz w:val="22"/>
          <w:szCs w:val="22"/>
        </w:rPr>
        <w:t xml:space="preserve"> </w:t>
      </w:r>
      <w:r w:rsidR="00D46D76">
        <w:rPr>
          <w:sz w:val="22"/>
          <w:szCs w:val="22"/>
        </w:rPr>
        <w:t xml:space="preserve">access issues were </w:t>
      </w:r>
      <w:r w:rsidR="00D35416">
        <w:rPr>
          <w:sz w:val="22"/>
          <w:szCs w:val="22"/>
        </w:rPr>
        <w:t xml:space="preserve">identified </w:t>
      </w:r>
      <w:r w:rsidR="006D7FC9">
        <w:rPr>
          <w:sz w:val="22"/>
          <w:szCs w:val="22"/>
        </w:rPr>
        <w:t xml:space="preserve">for </w:t>
      </w:r>
      <w:r w:rsidR="00D46D76" w:rsidRPr="00B36C69">
        <w:rPr>
          <w:rFonts w:eastAsia="Calibri"/>
          <w:sz w:val="22"/>
          <w:szCs w:val="22"/>
          <w:lang w:eastAsia="en-AU"/>
        </w:rPr>
        <w:t xml:space="preserve">childhood onset growth hormone deficiency </w:t>
      </w:r>
      <w:r w:rsidR="00D46D76">
        <w:rPr>
          <w:rFonts w:eastAsia="Calibri"/>
          <w:sz w:val="22"/>
          <w:szCs w:val="22"/>
          <w:lang w:eastAsia="en-AU"/>
        </w:rPr>
        <w:t>(CO-GHD)</w:t>
      </w:r>
      <w:r w:rsidR="00D46D76">
        <w:rPr>
          <w:rFonts w:eastAsia="Calibri"/>
          <w:sz w:val="22"/>
          <w:szCs w:val="22"/>
          <w:lang w:eastAsia="en-AU"/>
        </w:rPr>
        <w:t xml:space="preserve"> </w:t>
      </w:r>
      <w:r w:rsidR="006D7FC9">
        <w:rPr>
          <w:sz w:val="22"/>
          <w:szCs w:val="22"/>
        </w:rPr>
        <w:t xml:space="preserve">patients </w:t>
      </w:r>
      <w:r w:rsidR="00F00FE8" w:rsidRPr="00A72635">
        <w:rPr>
          <w:sz w:val="22"/>
          <w:szCs w:val="22"/>
        </w:rPr>
        <w:t>due to the way child and adult</w:t>
      </w:r>
      <w:r w:rsidR="00DF4F70" w:rsidRPr="00A72635">
        <w:rPr>
          <w:sz w:val="22"/>
          <w:szCs w:val="22"/>
        </w:rPr>
        <w:t xml:space="preserve"> </w:t>
      </w:r>
      <w:r w:rsidR="00B12A7E" w:rsidRPr="00A72635">
        <w:rPr>
          <w:sz w:val="22"/>
          <w:szCs w:val="22"/>
        </w:rPr>
        <w:t>are</w:t>
      </w:r>
      <w:r w:rsidR="00DF4F70" w:rsidRPr="00A72635">
        <w:rPr>
          <w:sz w:val="22"/>
          <w:szCs w:val="22"/>
        </w:rPr>
        <w:t xml:space="preserve"> defined in the </w:t>
      </w:r>
      <w:r w:rsidR="00DF4F70" w:rsidRPr="00A72635">
        <w:rPr>
          <w:i/>
          <w:sz w:val="22"/>
          <w:szCs w:val="22"/>
        </w:rPr>
        <w:t>National Health (Growth Hormone Program) Special Arrangement 2015 (PB 85 of 2015)</w:t>
      </w:r>
      <w:r w:rsidR="00DF4F70" w:rsidRPr="00A72635">
        <w:rPr>
          <w:sz w:val="22"/>
          <w:szCs w:val="22"/>
        </w:rPr>
        <w:t xml:space="preserve">. This is an unanticipated consequence of the </w:t>
      </w:r>
      <w:r w:rsidR="00DF4F70" w:rsidRPr="00A72635">
        <w:rPr>
          <w:i/>
          <w:sz w:val="22"/>
          <w:szCs w:val="22"/>
        </w:rPr>
        <w:t>National Health (Growth Hormone Program) Special Arrangement Amendment (Adult Use) Instrument (PB 96 of 2018)</w:t>
      </w:r>
      <w:r w:rsidR="00DF4F70" w:rsidRPr="00A72635">
        <w:rPr>
          <w:sz w:val="22"/>
          <w:szCs w:val="22"/>
        </w:rPr>
        <w:t xml:space="preserve"> which introduced provisions for the supply under the PBS of the pharmaceutical benefit somatropin for adults.</w:t>
      </w:r>
      <w:r w:rsidR="00DF4F70" w:rsidRPr="00091BD8">
        <w:rPr>
          <w:sz w:val="22"/>
          <w:szCs w:val="22"/>
        </w:rPr>
        <w:t xml:space="preserve"> </w:t>
      </w:r>
    </w:p>
    <w:p w14:paraId="4177BE16" w14:textId="2658DBBE" w:rsidR="00460C5A" w:rsidRDefault="00460C5A" w:rsidP="00A51756">
      <w:pPr>
        <w:autoSpaceDE w:val="0"/>
        <w:autoSpaceDN w:val="0"/>
        <w:adjustRightInd w:val="0"/>
        <w:spacing w:before="120" w:after="120"/>
        <w:rPr>
          <w:rFonts w:eastAsia="Calibri"/>
          <w:sz w:val="22"/>
          <w:szCs w:val="22"/>
          <w:lang w:eastAsia="en-AU"/>
        </w:rPr>
      </w:pPr>
      <w:r w:rsidRPr="00B1375D">
        <w:rPr>
          <w:rFonts w:eastAsia="Calibri"/>
          <w:sz w:val="22"/>
          <w:szCs w:val="22"/>
          <w:lang w:eastAsia="en-AU"/>
        </w:rPr>
        <w:t xml:space="preserve">At its </w:t>
      </w:r>
      <w:r w:rsidRPr="00B36C69">
        <w:rPr>
          <w:rFonts w:eastAsia="Calibri"/>
          <w:sz w:val="22"/>
          <w:szCs w:val="22"/>
          <w:lang w:eastAsia="en-AU"/>
        </w:rPr>
        <w:t>August 2019</w:t>
      </w:r>
      <w:r>
        <w:rPr>
          <w:rFonts w:eastAsia="Calibri"/>
          <w:sz w:val="22"/>
          <w:szCs w:val="22"/>
          <w:lang w:eastAsia="en-AU"/>
        </w:rPr>
        <w:t xml:space="preserve"> meeting</w:t>
      </w:r>
      <w:r w:rsidRPr="00B36C69">
        <w:rPr>
          <w:rFonts w:eastAsia="Calibri"/>
          <w:sz w:val="22"/>
          <w:szCs w:val="22"/>
          <w:lang w:eastAsia="en-AU"/>
        </w:rPr>
        <w:t xml:space="preserve">, the </w:t>
      </w:r>
      <w:r w:rsidRPr="007A37A6">
        <w:rPr>
          <w:rFonts w:eastAsia="Times New Roman"/>
          <w:color w:val="000000"/>
          <w:sz w:val="22"/>
          <w:szCs w:val="22"/>
          <w:lang w:eastAsia="en-AU"/>
        </w:rPr>
        <w:t xml:space="preserve">Pharmaceutical Benefits Advisory Committee </w:t>
      </w:r>
      <w:r>
        <w:rPr>
          <w:rFonts w:eastAsia="Times New Roman"/>
          <w:color w:val="000000"/>
          <w:sz w:val="22"/>
          <w:szCs w:val="22"/>
          <w:lang w:eastAsia="en-AU"/>
        </w:rPr>
        <w:t>(</w:t>
      </w:r>
      <w:r w:rsidRPr="00B36C69">
        <w:rPr>
          <w:rFonts w:eastAsia="Calibri"/>
          <w:sz w:val="22"/>
          <w:szCs w:val="22"/>
          <w:lang w:eastAsia="en-AU"/>
        </w:rPr>
        <w:t>PBAC</w:t>
      </w:r>
      <w:r>
        <w:rPr>
          <w:rFonts w:eastAsia="Calibri"/>
          <w:sz w:val="22"/>
          <w:szCs w:val="22"/>
          <w:lang w:eastAsia="en-AU"/>
        </w:rPr>
        <w:t>)</w:t>
      </w:r>
      <w:r w:rsidRPr="00B36C69">
        <w:rPr>
          <w:rFonts w:eastAsia="Calibri"/>
          <w:sz w:val="22"/>
          <w:szCs w:val="22"/>
          <w:lang w:eastAsia="en-AU"/>
        </w:rPr>
        <w:t xml:space="preserve"> recommended amendments be made to the adult-use growth hormone PBS restriction </w:t>
      </w:r>
      <w:r w:rsidR="00614FD6">
        <w:rPr>
          <w:rFonts w:eastAsia="Calibri"/>
          <w:sz w:val="22"/>
          <w:szCs w:val="22"/>
          <w:lang w:eastAsia="en-AU"/>
        </w:rPr>
        <w:t xml:space="preserve">criteria </w:t>
      </w:r>
      <w:r w:rsidRPr="00B36C69">
        <w:rPr>
          <w:rFonts w:eastAsia="Calibri"/>
          <w:sz w:val="22"/>
          <w:szCs w:val="22"/>
          <w:lang w:eastAsia="en-AU"/>
        </w:rPr>
        <w:t xml:space="preserve">for patients with </w:t>
      </w:r>
      <w:r w:rsidR="00D46D76">
        <w:rPr>
          <w:rFonts w:eastAsia="Calibri"/>
          <w:sz w:val="22"/>
          <w:szCs w:val="22"/>
          <w:lang w:eastAsia="en-AU"/>
        </w:rPr>
        <w:br/>
        <w:t xml:space="preserve">CO-GHD </w:t>
      </w:r>
      <w:r w:rsidRPr="00B36C69">
        <w:rPr>
          <w:rFonts w:eastAsia="Calibri"/>
          <w:sz w:val="22"/>
          <w:szCs w:val="22"/>
          <w:lang w:eastAsia="en-AU"/>
        </w:rPr>
        <w:t xml:space="preserve">due to a congenital, genetic </w:t>
      </w:r>
      <w:r w:rsidR="00614FD6">
        <w:rPr>
          <w:rFonts w:eastAsia="Calibri"/>
          <w:sz w:val="22"/>
          <w:szCs w:val="22"/>
          <w:lang w:eastAsia="en-AU"/>
        </w:rPr>
        <w:t>or</w:t>
      </w:r>
      <w:r w:rsidR="00614FD6" w:rsidRPr="00B36C69">
        <w:rPr>
          <w:rFonts w:eastAsia="Calibri"/>
          <w:sz w:val="22"/>
          <w:szCs w:val="22"/>
          <w:lang w:eastAsia="en-AU"/>
        </w:rPr>
        <w:t xml:space="preserve"> </w:t>
      </w:r>
      <w:r w:rsidRPr="00B36C69">
        <w:rPr>
          <w:rFonts w:eastAsia="Calibri"/>
          <w:sz w:val="22"/>
          <w:szCs w:val="22"/>
          <w:lang w:eastAsia="en-AU"/>
        </w:rPr>
        <w:t xml:space="preserve">structural cause, to allow </w:t>
      </w:r>
      <w:r>
        <w:rPr>
          <w:rFonts w:eastAsia="Calibri"/>
          <w:sz w:val="22"/>
          <w:szCs w:val="22"/>
          <w:lang w:eastAsia="en-AU"/>
        </w:rPr>
        <w:t xml:space="preserve">PBS-subsidised growth hormone </w:t>
      </w:r>
      <w:r w:rsidRPr="00B36C69">
        <w:rPr>
          <w:rFonts w:eastAsia="Calibri"/>
          <w:sz w:val="22"/>
          <w:szCs w:val="22"/>
          <w:lang w:eastAsia="en-AU"/>
        </w:rPr>
        <w:t xml:space="preserve">treatment to commence from when this cohort reaches skeletal maturity rather than </w:t>
      </w:r>
      <w:r>
        <w:rPr>
          <w:rFonts w:eastAsia="Calibri"/>
          <w:sz w:val="22"/>
          <w:szCs w:val="22"/>
          <w:lang w:eastAsia="en-AU"/>
        </w:rPr>
        <w:t xml:space="preserve">from </w:t>
      </w:r>
      <w:r w:rsidRPr="00B36C69">
        <w:rPr>
          <w:rFonts w:eastAsia="Calibri"/>
          <w:sz w:val="22"/>
          <w:szCs w:val="22"/>
          <w:lang w:eastAsia="en-AU"/>
        </w:rPr>
        <w:t xml:space="preserve">the chronological age of 18 years. The PBAC noted that this would remove the potential lapse in </w:t>
      </w:r>
      <w:r w:rsidR="00A51756">
        <w:rPr>
          <w:rFonts w:eastAsia="Calibri"/>
          <w:sz w:val="22"/>
          <w:szCs w:val="22"/>
          <w:lang w:eastAsia="en-AU"/>
        </w:rPr>
        <w:t>PBS-subsidised</w:t>
      </w:r>
      <w:r w:rsidRPr="00B36C69">
        <w:rPr>
          <w:rFonts w:eastAsia="Calibri"/>
          <w:sz w:val="22"/>
          <w:szCs w:val="22"/>
          <w:lang w:eastAsia="en-AU"/>
        </w:rPr>
        <w:t xml:space="preserve"> access to growth hormone for </w:t>
      </w:r>
      <w:r w:rsidR="00614FD6">
        <w:rPr>
          <w:rFonts w:eastAsia="Calibri"/>
          <w:sz w:val="22"/>
          <w:szCs w:val="22"/>
          <w:lang w:eastAsia="en-AU"/>
        </w:rPr>
        <w:t xml:space="preserve">CO-GHD </w:t>
      </w:r>
      <w:r w:rsidRPr="00B36C69">
        <w:rPr>
          <w:rFonts w:eastAsia="Calibri"/>
          <w:sz w:val="22"/>
          <w:szCs w:val="22"/>
          <w:lang w:eastAsia="en-AU"/>
        </w:rPr>
        <w:t xml:space="preserve">patients </w:t>
      </w:r>
      <w:r>
        <w:rPr>
          <w:rFonts w:eastAsia="Calibri"/>
          <w:sz w:val="22"/>
          <w:szCs w:val="22"/>
          <w:lang w:eastAsia="en-AU"/>
        </w:rPr>
        <w:t>between</w:t>
      </w:r>
      <w:r w:rsidRPr="00B36C69">
        <w:rPr>
          <w:rFonts w:eastAsia="Calibri"/>
          <w:sz w:val="22"/>
          <w:szCs w:val="22"/>
          <w:lang w:eastAsia="en-AU"/>
        </w:rPr>
        <w:t xml:space="preserve"> reaching skeletal maturity </w:t>
      </w:r>
      <w:r>
        <w:rPr>
          <w:rFonts w:eastAsia="Calibri"/>
          <w:sz w:val="22"/>
          <w:szCs w:val="22"/>
          <w:lang w:eastAsia="en-AU"/>
        </w:rPr>
        <w:t>and</w:t>
      </w:r>
      <w:r w:rsidRPr="00B36C69">
        <w:rPr>
          <w:rFonts w:eastAsia="Calibri"/>
          <w:sz w:val="22"/>
          <w:szCs w:val="22"/>
          <w:lang w:eastAsia="en-AU"/>
        </w:rPr>
        <w:t xml:space="preserve"> the age of 18 years. </w:t>
      </w:r>
    </w:p>
    <w:p w14:paraId="29C43892" w14:textId="2982C134" w:rsidR="00460C5A" w:rsidRDefault="00460C5A" w:rsidP="00460C5A">
      <w:pPr>
        <w:autoSpaceDE w:val="0"/>
        <w:autoSpaceDN w:val="0"/>
        <w:adjustRightInd w:val="0"/>
        <w:rPr>
          <w:rFonts w:eastAsia="Times New Roman"/>
          <w:color w:val="000000"/>
          <w:sz w:val="22"/>
          <w:szCs w:val="22"/>
          <w:lang w:eastAsia="en-AU"/>
        </w:rPr>
      </w:pPr>
      <w:r>
        <w:rPr>
          <w:rFonts w:eastAsia="Calibri"/>
          <w:sz w:val="22"/>
          <w:szCs w:val="22"/>
          <w:lang w:eastAsia="en-AU"/>
        </w:rPr>
        <w:lastRenderedPageBreak/>
        <w:t xml:space="preserve">To support this PBAC recommendation, the current </w:t>
      </w:r>
      <w:r w:rsidR="00A51756">
        <w:rPr>
          <w:rFonts w:eastAsia="Times New Roman"/>
          <w:color w:val="000000"/>
          <w:sz w:val="22"/>
          <w:szCs w:val="22"/>
          <w:lang w:eastAsia="en-AU"/>
        </w:rPr>
        <w:t xml:space="preserve">definitions of </w:t>
      </w:r>
      <w:r w:rsidRPr="00F66D15">
        <w:rPr>
          <w:rFonts w:eastAsia="Times New Roman"/>
          <w:color w:val="000000"/>
          <w:sz w:val="22"/>
          <w:szCs w:val="22"/>
          <w:lang w:eastAsia="en-AU"/>
        </w:rPr>
        <w:t>adult and child</w:t>
      </w:r>
      <w:r>
        <w:rPr>
          <w:rFonts w:eastAsia="Times New Roman"/>
          <w:color w:val="000000"/>
          <w:sz w:val="22"/>
          <w:szCs w:val="22"/>
          <w:lang w:eastAsia="en-AU"/>
        </w:rPr>
        <w:t xml:space="preserve"> will be amended in order to assist in determining which persons can </w:t>
      </w:r>
      <w:r w:rsidR="009705A3">
        <w:rPr>
          <w:rFonts w:eastAsia="Times New Roman"/>
          <w:color w:val="000000"/>
          <w:sz w:val="22"/>
          <w:szCs w:val="22"/>
          <w:lang w:eastAsia="en-AU"/>
        </w:rPr>
        <w:t xml:space="preserve">appropriately </w:t>
      </w:r>
      <w:r>
        <w:rPr>
          <w:rFonts w:eastAsia="Times New Roman"/>
          <w:color w:val="000000"/>
          <w:sz w:val="22"/>
          <w:szCs w:val="22"/>
          <w:lang w:eastAsia="en-AU"/>
        </w:rPr>
        <w:t xml:space="preserve">access growth hormone </w:t>
      </w:r>
      <w:r w:rsidR="009705A3">
        <w:rPr>
          <w:rFonts w:eastAsia="Times New Roman"/>
          <w:color w:val="000000"/>
          <w:sz w:val="22"/>
          <w:szCs w:val="22"/>
          <w:lang w:eastAsia="en-AU"/>
        </w:rPr>
        <w:t xml:space="preserve">as </w:t>
      </w:r>
      <w:r>
        <w:rPr>
          <w:rFonts w:eastAsia="Times New Roman"/>
          <w:color w:val="000000"/>
          <w:sz w:val="22"/>
          <w:szCs w:val="22"/>
          <w:lang w:eastAsia="en-AU"/>
        </w:rPr>
        <w:t>listed in either Schedule 1 or 2 to the Primary Instrument</w:t>
      </w:r>
      <w:r w:rsidRPr="00F66D15">
        <w:rPr>
          <w:rFonts w:eastAsia="Times New Roman"/>
          <w:color w:val="000000"/>
          <w:sz w:val="22"/>
          <w:szCs w:val="22"/>
          <w:lang w:eastAsia="en-AU"/>
        </w:rPr>
        <w:t xml:space="preserve">. </w:t>
      </w:r>
      <w:r>
        <w:rPr>
          <w:rFonts w:eastAsia="Times New Roman"/>
          <w:color w:val="000000"/>
          <w:sz w:val="22"/>
          <w:szCs w:val="22"/>
          <w:lang w:eastAsia="en-AU"/>
        </w:rPr>
        <w:t xml:space="preserve"> </w:t>
      </w:r>
    </w:p>
    <w:p w14:paraId="67BB0610" w14:textId="77777777" w:rsidR="00460C5A" w:rsidRPr="00B36C69" w:rsidRDefault="00460C5A" w:rsidP="00460C5A">
      <w:pPr>
        <w:autoSpaceDE w:val="0"/>
        <w:autoSpaceDN w:val="0"/>
        <w:adjustRightInd w:val="0"/>
        <w:rPr>
          <w:rFonts w:eastAsia="Calibri"/>
          <w:sz w:val="22"/>
          <w:szCs w:val="22"/>
          <w:lang w:eastAsia="en-AU"/>
        </w:rPr>
      </w:pPr>
      <w:r>
        <w:rPr>
          <w:rFonts w:eastAsia="Times New Roman"/>
          <w:color w:val="000000"/>
          <w:sz w:val="22"/>
          <w:szCs w:val="22"/>
          <w:lang w:eastAsia="en-AU"/>
        </w:rPr>
        <w:t>The current definition distinguishes a child or an adult on the basis of the person having reached or not reached the age of 18 years.  However, this definition is not always appropriate as maturity of skeleton can be reached before the age of 18, and some conditions that require treatment with growth hormone are dependent on skeletal maturity, rather than the chronological age of the person.</w:t>
      </w:r>
      <w:r>
        <w:rPr>
          <w:rFonts w:eastAsia="Calibri"/>
          <w:sz w:val="22"/>
          <w:szCs w:val="22"/>
          <w:lang w:eastAsia="en-AU"/>
        </w:rPr>
        <w:t xml:space="preserve"> </w:t>
      </w:r>
    </w:p>
    <w:p w14:paraId="518522EB" w14:textId="251EEA1E" w:rsidR="00D10D10" w:rsidRDefault="00460C5A" w:rsidP="00D10D10">
      <w:pPr>
        <w:shd w:val="clear" w:color="auto" w:fill="FFFFFF"/>
        <w:spacing w:before="120" w:after="0" w:line="240" w:lineRule="auto"/>
        <w:jc w:val="both"/>
        <w:rPr>
          <w:rFonts w:eastAsia="Calibri"/>
          <w:sz w:val="22"/>
          <w:szCs w:val="22"/>
          <w:lang w:eastAsia="en-AU"/>
        </w:rPr>
      </w:pPr>
      <w:r>
        <w:rPr>
          <w:rFonts w:eastAsia="Times New Roman"/>
          <w:color w:val="000000"/>
          <w:sz w:val="22"/>
          <w:szCs w:val="22"/>
          <w:lang w:eastAsia="en-AU"/>
        </w:rPr>
        <w:t>For most paediatric patients, access to pharmaceutical benefits under Schedule 1 to the Primary Instrument ceases upon reaching maturity of skeleton. As skeletal maturity may occur prior to the age of 18, th</w:t>
      </w:r>
      <w:r w:rsidR="00D46D76">
        <w:rPr>
          <w:rFonts w:eastAsia="Times New Roman"/>
          <w:color w:val="000000"/>
          <w:sz w:val="22"/>
          <w:szCs w:val="22"/>
          <w:lang w:eastAsia="en-AU"/>
        </w:rPr>
        <w:t>e current definitions of adult and child</w:t>
      </w:r>
      <w:r>
        <w:rPr>
          <w:rFonts w:eastAsia="Times New Roman"/>
          <w:color w:val="000000"/>
          <w:sz w:val="22"/>
          <w:szCs w:val="22"/>
          <w:lang w:eastAsia="en-AU"/>
        </w:rPr>
        <w:t xml:space="preserve"> are not sufficient to allow for patients with CO-GHD </w:t>
      </w:r>
      <w:r w:rsidRPr="00F66D15">
        <w:rPr>
          <w:rFonts w:eastAsia="Calibri"/>
          <w:sz w:val="22"/>
          <w:szCs w:val="22"/>
          <w:lang w:eastAsia="en-AU"/>
        </w:rPr>
        <w:t xml:space="preserve">due to a congenital, genetic </w:t>
      </w:r>
      <w:r w:rsidR="00614FD6">
        <w:rPr>
          <w:rFonts w:eastAsia="Calibri"/>
          <w:sz w:val="22"/>
          <w:szCs w:val="22"/>
          <w:lang w:eastAsia="en-AU"/>
        </w:rPr>
        <w:t>or</w:t>
      </w:r>
      <w:r w:rsidR="00614FD6" w:rsidRPr="00F66D15">
        <w:rPr>
          <w:rFonts w:eastAsia="Calibri"/>
          <w:sz w:val="22"/>
          <w:szCs w:val="22"/>
          <w:lang w:eastAsia="en-AU"/>
        </w:rPr>
        <w:t xml:space="preserve"> </w:t>
      </w:r>
      <w:r w:rsidRPr="00F66D15">
        <w:rPr>
          <w:rFonts w:eastAsia="Calibri"/>
          <w:sz w:val="22"/>
          <w:szCs w:val="22"/>
          <w:lang w:eastAsia="en-AU"/>
        </w:rPr>
        <w:t>structural cause</w:t>
      </w:r>
      <w:r>
        <w:rPr>
          <w:rFonts w:eastAsia="Calibri"/>
          <w:sz w:val="22"/>
          <w:szCs w:val="22"/>
          <w:lang w:eastAsia="en-AU"/>
        </w:rPr>
        <w:t xml:space="preserve"> </w:t>
      </w:r>
      <w:r w:rsidR="009705A3">
        <w:rPr>
          <w:rFonts w:eastAsia="Calibri"/>
          <w:sz w:val="22"/>
          <w:szCs w:val="22"/>
          <w:lang w:eastAsia="en-AU"/>
        </w:rPr>
        <w:t xml:space="preserve">to </w:t>
      </w:r>
      <w:r>
        <w:rPr>
          <w:rFonts w:eastAsia="Calibri"/>
          <w:sz w:val="22"/>
          <w:szCs w:val="22"/>
          <w:lang w:eastAsia="en-AU"/>
        </w:rPr>
        <w:t>continue</w:t>
      </w:r>
      <w:r w:rsidR="009705A3">
        <w:rPr>
          <w:rFonts w:eastAsia="Calibri"/>
          <w:sz w:val="22"/>
          <w:szCs w:val="22"/>
          <w:lang w:eastAsia="en-AU"/>
        </w:rPr>
        <w:t xml:space="preserve"> to</w:t>
      </w:r>
      <w:r>
        <w:rPr>
          <w:rFonts w:eastAsia="Calibri"/>
          <w:sz w:val="22"/>
          <w:szCs w:val="22"/>
          <w:lang w:eastAsia="en-AU"/>
        </w:rPr>
        <w:t xml:space="preserve"> access PBS-subsidised growth hormone treatment between </w:t>
      </w:r>
      <w:r w:rsidRPr="00F66D15">
        <w:rPr>
          <w:rFonts w:eastAsia="Calibri"/>
          <w:sz w:val="22"/>
          <w:szCs w:val="22"/>
          <w:lang w:eastAsia="en-AU"/>
        </w:rPr>
        <w:t>reaching skeletal maturity</w:t>
      </w:r>
      <w:r>
        <w:rPr>
          <w:rFonts w:eastAsia="Calibri"/>
          <w:sz w:val="22"/>
          <w:szCs w:val="22"/>
          <w:lang w:eastAsia="en-AU"/>
        </w:rPr>
        <w:t xml:space="preserve"> and</w:t>
      </w:r>
      <w:r w:rsidRPr="00F66D15">
        <w:rPr>
          <w:rFonts w:eastAsia="Calibri"/>
          <w:sz w:val="22"/>
          <w:szCs w:val="22"/>
          <w:lang w:eastAsia="en-AU"/>
        </w:rPr>
        <w:t xml:space="preserve"> the age of 18 years.</w:t>
      </w:r>
      <w:r>
        <w:rPr>
          <w:rFonts w:eastAsia="Calibri"/>
          <w:sz w:val="22"/>
          <w:szCs w:val="22"/>
          <w:lang w:eastAsia="en-AU"/>
        </w:rPr>
        <w:t xml:space="preserve"> </w:t>
      </w:r>
    </w:p>
    <w:p w14:paraId="6B0DCF52" w14:textId="1F8EC6F9" w:rsidR="00460C5A" w:rsidRPr="00D10D10" w:rsidRDefault="00460C5A" w:rsidP="00D10D10">
      <w:pPr>
        <w:shd w:val="clear" w:color="auto" w:fill="FFFFFF"/>
        <w:spacing w:before="120" w:after="0" w:line="240" w:lineRule="auto"/>
        <w:jc w:val="both"/>
        <w:rPr>
          <w:rFonts w:eastAsia="Calibri"/>
          <w:sz w:val="22"/>
          <w:szCs w:val="22"/>
          <w:lang w:eastAsia="en-AU"/>
        </w:rPr>
      </w:pPr>
      <w:r w:rsidRPr="00B36C69">
        <w:rPr>
          <w:rFonts w:eastAsia="Calibri"/>
          <w:sz w:val="22"/>
          <w:szCs w:val="22"/>
          <w:lang w:eastAsia="en-AU"/>
        </w:rPr>
        <w:t xml:space="preserve">Prader-Willi syndrome (PWS), a genetic disorder often accompanied by GHD, is the only </w:t>
      </w:r>
      <w:r>
        <w:rPr>
          <w:rFonts w:eastAsia="Calibri"/>
          <w:sz w:val="22"/>
          <w:szCs w:val="22"/>
          <w:lang w:eastAsia="en-AU"/>
        </w:rPr>
        <w:t xml:space="preserve">PBS eligible </w:t>
      </w:r>
      <w:r w:rsidRPr="00B36C69">
        <w:rPr>
          <w:rFonts w:eastAsia="Calibri"/>
          <w:sz w:val="22"/>
          <w:szCs w:val="22"/>
          <w:lang w:eastAsia="en-AU"/>
        </w:rPr>
        <w:t xml:space="preserve">paediatric </w:t>
      </w:r>
      <w:r>
        <w:rPr>
          <w:rFonts w:eastAsia="Calibri"/>
          <w:sz w:val="22"/>
          <w:szCs w:val="22"/>
          <w:lang w:eastAsia="en-AU"/>
        </w:rPr>
        <w:t>GHD</w:t>
      </w:r>
      <w:r w:rsidRPr="00B36C69">
        <w:rPr>
          <w:rFonts w:eastAsia="Calibri"/>
          <w:sz w:val="22"/>
          <w:szCs w:val="22"/>
          <w:lang w:eastAsia="en-AU"/>
        </w:rPr>
        <w:t xml:space="preserve"> condition where chronological age, rather than maturity of skeleton is the limiting factor for eligibility</w:t>
      </w:r>
      <w:r>
        <w:rPr>
          <w:rFonts w:eastAsia="Calibri"/>
          <w:sz w:val="22"/>
          <w:szCs w:val="22"/>
          <w:lang w:eastAsia="en-AU"/>
        </w:rPr>
        <w:t xml:space="preserve"> to </w:t>
      </w:r>
      <w:r w:rsidR="00A51756">
        <w:rPr>
          <w:rFonts w:eastAsia="Calibri"/>
          <w:sz w:val="22"/>
          <w:szCs w:val="22"/>
          <w:lang w:eastAsia="en-AU"/>
        </w:rPr>
        <w:t>PBS-subsidised</w:t>
      </w:r>
      <w:r>
        <w:rPr>
          <w:rFonts w:eastAsia="Calibri"/>
          <w:sz w:val="22"/>
          <w:szCs w:val="22"/>
          <w:lang w:eastAsia="en-AU"/>
        </w:rPr>
        <w:t xml:space="preserve"> growth hormone treatment</w:t>
      </w:r>
      <w:r w:rsidRPr="00B36C69">
        <w:rPr>
          <w:rFonts w:eastAsia="Calibri"/>
          <w:sz w:val="22"/>
          <w:szCs w:val="22"/>
          <w:lang w:eastAsia="en-AU"/>
        </w:rPr>
        <w:t>. Therefore, th</w:t>
      </w:r>
      <w:r w:rsidR="00D46D76">
        <w:rPr>
          <w:rFonts w:eastAsia="Calibri"/>
          <w:sz w:val="22"/>
          <w:szCs w:val="22"/>
          <w:lang w:eastAsia="en-AU"/>
        </w:rPr>
        <w:t>e amended definitions of adult and child</w:t>
      </w:r>
      <w:r w:rsidRPr="00B36C69">
        <w:rPr>
          <w:rFonts w:eastAsia="Calibri"/>
          <w:sz w:val="22"/>
          <w:szCs w:val="22"/>
          <w:lang w:eastAsia="en-AU"/>
        </w:rPr>
        <w:t xml:space="preserve"> </w:t>
      </w:r>
      <w:r w:rsidR="009705A3">
        <w:rPr>
          <w:rFonts w:eastAsia="Calibri"/>
          <w:sz w:val="22"/>
          <w:szCs w:val="22"/>
          <w:lang w:eastAsia="en-AU"/>
        </w:rPr>
        <w:t xml:space="preserve">allow </w:t>
      </w:r>
      <w:r w:rsidRPr="00B36C69">
        <w:rPr>
          <w:rFonts w:eastAsia="Calibri"/>
          <w:sz w:val="22"/>
          <w:szCs w:val="22"/>
          <w:lang w:eastAsia="en-AU"/>
        </w:rPr>
        <w:t>PWS patients continued access to Schedule 1 to the Primary Instrument until the age of 18, even if skeletal maturity has been reached.</w:t>
      </w:r>
      <w:r w:rsidRPr="00B36C69">
        <w:rPr>
          <w:rFonts w:eastAsia="Times New Roman"/>
          <w:color w:val="000000"/>
          <w:sz w:val="22"/>
          <w:szCs w:val="22"/>
          <w:lang w:eastAsia="en-AU"/>
        </w:rPr>
        <w:t xml:space="preserve"> </w:t>
      </w:r>
    </w:p>
    <w:p w14:paraId="25136C63" w14:textId="3E9EAB89" w:rsidR="00460C5A" w:rsidRPr="00091BD8" w:rsidRDefault="00460C5A" w:rsidP="00DF4F70">
      <w:pPr>
        <w:shd w:val="clear" w:color="auto" w:fill="FFFFFF"/>
        <w:spacing w:before="120" w:after="0" w:line="240" w:lineRule="auto"/>
        <w:jc w:val="both"/>
        <w:rPr>
          <w:sz w:val="22"/>
          <w:szCs w:val="22"/>
        </w:rPr>
      </w:pPr>
      <w:r>
        <w:rPr>
          <w:rFonts w:eastAsia="Times New Roman"/>
          <w:color w:val="000000"/>
          <w:sz w:val="22"/>
          <w:szCs w:val="22"/>
          <w:lang w:eastAsia="en-AU"/>
        </w:rPr>
        <w:t>The definitions</w:t>
      </w:r>
      <w:r w:rsidRPr="00B36C69">
        <w:rPr>
          <w:rFonts w:eastAsia="Calibri"/>
          <w:sz w:val="22"/>
          <w:szCs w:val="22"/>
          <w:lang w:eastAsia="en-AU"/>
        </w:rPr>
        <w:t xml:space="preserve"> of adult and child </w:t>
      </w:r>
      <w:r>
        <w:rPr>
          <w:rFonts w:eastAsia="Times New Roman"/>
          <w:color w:val="000000"/>
          <w:sz w:val="22"/>
          <w:szCs w:val="22"/>
          <w:lang w:eastAsia="en-AU"/>
        </w:rPr>
        <w:t>ha</w:t>
      </w:r>
      <w:r w:rsidR="009705A3">
        <w:rPr>
          <w:rFonts w:eastAsia="Times New Roman"/>
          <w:color w:val="000000"/>
          <w:sz w:val="22"/>
          <w:szCs w:val="22"/>
          <w:lang w:eastAsia="en-AU"/>
        </w:rPr>
        <w:t>ve</w:t>
      </w:r>
      <w:r>
        <w:rPr>
          <w:rFonts w:eastAsia="Times New Roman"/>
          <w:color w:val="000000"/>
          <w:sz w:val="22"/>
          <w:szCs w:val="22"/>
          <w:lang w:eastAsia="en-AU"/>
        </w:rPr>
        <w:t xml:space="preserve"> been amended to reflect reference to skeletal maturity as occurs in CO-GHD. As skeletal maturity does not form a basis in determining the treatment of GHD in adults, the previous definition of an adult as </w:t>
      </w:r>
      <w:r w:rsidR="009705A3">
        <w:rPr>
          <w:rFonts w:eastAsia="Times New Roman"/>
          <w:color w:val="000000"/>
          <w:sz w:val="22"/>
          <w:szCs w:val="22"/>
          <w:lang w:eastAsia="en-AU"/>
        </w:rPr>
        <w:t>“</w:t>
      </w:r>
      <w:r>
        <w:rPr>
          <w:rFonts w:eastAsia="Times New Roman"/>
          <w:color w:val="000000"/>
          <w:sz w:val="22"/>
          <w:szCs w:val="22"/>
          <w:lang w:eastAsia="en-AU"/>
        </w:rPr>
        <w:t>a person who has turned 18</w:t>
      </w:r>
      <w:r w:rsidR="009705A3">
        <w:rPr>
          <w:rFonts w:eastAsia="Times New Roman"/>
          <w:color w:val="000000"/>
          <w:sz w:val="22"/>
          <w:szCs w:val="22"/>
          <w:lang w:eastAsia="en-AU"/>
        </w:rPr>
        <w:t>”</w:t>
      </w:r>
      <w:r>
        <w:rPr>
          <w:rFonts w:eastAsia="Times New Roman"/>
          <w:color w:val="000000"/>
          <w:sz w:val="22"/>
          <w:szCs w:val="22"/>
          <w:lang w:eastAsia="en-AU"/>
        </w:rPr>
        <w:t xml:space="preserve"> is still considered applicable for persons with adult-onset GHD.  </w:t>
      </w:r>
    </w:p>
    <w:p w14:paraId="46B62E9D" w14:textId="77777777" w:rsidR="00DF4F70" w:rsidRPr="00DF4F70" w:rsidRDefault="00DF4F70" w:rsidP="007A37A6">
      <w:pPr>
        <w:shd w:val="clear" w:color="auto" w:fill="FFFFFF"/>
        <w:spacing w:before="120" w:after="0" w:line="240" w:lineRule="auto"/>
        <w:jc w:val="both"/>
        <w:rPr>
          <w:rFonts w:eastAsia="Times New Roman"/>
          <w:bCs/>
          <w:color w:val="000000"/>
          <w:sz w:val="22"/>
          <w:szCs w:val="22"/>
          <w:u w:val="single"/>
          <w:lang w:eastAsia="en-AU"/>
        </w:rPr>
      </w:pPr>
      <w:r w:rsidRPr="00DF4F70">
        <w:rPr>
          <w:rFonts w:eastAsia="Times New Roman"/>
          <w:bCs/>
          <w:color w:val="000000"/>
          <w:sz w:val="22"/>
          <w:szCs w:val="22"/>
          <w:u w:val="single"/>
          <w:lang w:eastAsia="en-AU"/>
        </w:rPr>
        <w:t>Commencement</w:t>
      </w:r>
    </w:p>
    <w:p w14:paraId="562707AA" w14:textId="5CA70643" w:rsidR="00DF4F70" w:rsidRDefault="00DF4F70" w:rsidP="007A37A6">
      <w:pPr>
        <w:shd w:val="clear" w:color="auto" w:fill="FFFFFF"/>
        <w:spacing w:before="120" w:after="0" w:line="240" w:lineRule="auto"/>
        <w:jc w:val="both"/>
        <w:rPr>
          <w:rFonts w:eastAsia="Times New Roman"/>
          <w:color w:val="000000"/>
          <w:sz w:val="22"/>
          <w:szCs w:val="22"/>
          <w:lang w:eastAsia="en-AU"/>
        </w:rPr>
      </w:pPr>
      <w:r w:rsidRPr="00F709B9">
        <w:rPr>
          <w:rFonts w:eastAsia="Times New Roman"/>
          <w:color w:val="000000"/>
          <w:sz w:val="22"/>
          <w:szCs w:val="22"/>
          <w:lang w:eastAsia="en-AU"/>
        </w:rPr>
        <w:t>Th</w:t>
      </w:r>
      <w:r w:rsidR="0011591E">
        <w:rPr>
          <w:rFonts w:eastAsia="Times New Roman"/>
          <w:color w:val="000000"/>
          <w:sz w:val="22"/>
          <w:szCs w:val="22"/>
          <w:lang w:eastAsia="en-AU"/>
        </w:rPr>
        <w:t>e Amendment</w:t>
      </w:r>
      <w:r w:rsidRPr="00F709B9">
        <w:rPr>
          <w:rFonts w:eastAsia="Times New Roman"/>
          <w:color w:val="000000"/>
          <w:sz w:val="22"/>
          <w:szCs w:val="22"/>
          <w:lang w:eastAsia="en-AU"/>
        </w:rPr>
        <w:t xml:space="preserve"> Instrument commences on 1 </w:t>
      </w:r>
      <w:r>
        <w:rPr>
          <w:rFonts w:eastAsia="Times New Roman"/>
          <w:color w:val="000000"/>
          <w:sz w:val="22"/>
          <w:szCs w:val="22"/>
          <w:lang w:eastAsia="en-AU"/>
        </w:rPr>
        <w:t>January 2020</w:t>
      </w:r>
      <w:r w:rsidR="00F950EA">
        <w:rPr>
          <w:rFonts w:eastAsia="Times New Roman"/>
          <w:color w:val="000000"/>
          <w:sz w:val="22"/>
          <w:szCs w:val="22"/>
          <w:lang w:eastAsia="en-AU"/>
        </w:rPr>
        <w:t>.</w:t>
      </w:r>
    </w:p>
    <w:p w14:paraId="325DDB4D" w14:textId="77777777" w:rsidR="00DF4F70" w:rsidRDefault="00DF4F70" w:rsidP="007A37A6">
      <w:pPr>
        <w:shd w:val="clear" w:color="auto" w:fill="FFFFFF"/>
        <w:spacing w:before="120" w:after="0" w:line="240" w:lineRule="auto"/>
        <w:jc w:val="both"/>
        <w:rPr>
          <w:rFonts w:eastAsia="Times New Roman"/>
          <w:bCs/>
          <w:color w:val="000000"/>
          <w:sz w:val="22"/>
          <w:szCs w:val="22"/>
          <w:u w:val="single"/>
          <w:lang w:eastAsia="en-AU"/>
        </w:rPr>
      </w:pPr>
      <w:r w:rsidRPr="00DF4F70">
        <w:rPr>
          <w:rFonts w:eastAsia="Times New Roman"/>
          <w:bCs/>
          <w:color w:val="000000"/>
          <w:sz w:val="22"/>
          <w:szCs w:val="22"/>
          <w:u w:val="single"/>
          <w:lang w:eastAsia="en-AU"/>
        </w:rPr>
        <w:t>Details</w:t>
      </w:r>
    </w:p>
    <w:p w14:paraId="55B2EAF1" w14:textId="53A63D22" w:rsidR="00DF4F70" w:rsidRPr="00DF4F70" w:rsidRDefault="00DF4F70" w:rsidP="007A37A6">
      <w:pPr>
        <w:shd w:val="clear" w:color="auto" w:fill="FFFFFF"/>
        <w:spacing w:before="120" w:after="0" w:line="240" w:lineRule="auto"/>
        <w:jc w:val="both"/>
        <w:rPr>
          <w:rFonts w:eastAsia="Times New Roman"/>
          <w:color w:val="000000"/>
          <w:sz w:val="20"/>
          <w:szCs w:val="20"/>
          <w:lang w:eastAsia="en-AU"/>
        </w:rPr>
      </w:pPr>
      <w:r w:rsidRPr="00F709B9">
        <w:rPr>
          <w:rFonts w:eastAsia="Times New Roman"/>
          <w:color w:val="000000"/>
          <w:sz w:val="22"/>
          <w:szCs w:val="22"/>
          <w:lang w:eastAsia="en-AU"/>
        </w:rPr>
        <w:t>Details of th</w:t>
      </w:r>
      <w:r w:rsidR="0011591E">
        <w:rPr>
          <w:rFonts w:eastAsia="Times New Roman"/>
          <w:color w:val="000000"/>
          <w:sz w:val="22"/>
          <w:szCs w:val="22"/>
          <w:lang w:eastAsia="en-AU"/>
        </w:rPr>
        <w:t>e Amendment</w:t>
      </w:r>
      <w:r w:rsidR="002B0DA1">
        <w:rPr>
          <w:rFonts w:eastAsia="Times New Roman"/>
          <w:color w:val="000000"/>
          <w:sz w:val="22"/>
          <w:szCs w:val="22"/>
          <w:lang w:eastAsia="en-AU"/>
        </w:rPr>
        <w:t xml:space="preserve"> </w:t>
      </w:r>
      <w:r w:rsidRPr="00F709B9">
        <w:rPr>
          <w:rFonts w:eastAsia="Times New Roman"/>
          <w:color w:val="000000"/>
          <w:sz w:val="22"/>
          <w:szCs w:val="22"/>
          <w:lang w:eastAsia="en-AU"/>
        </w:rPr>
        <w:t xml:space="preserve">Instrument are set out in the </w:t>
      </w:r>
      <w:r w:rsidRPr="00DF4F70">
        <w:rPr>
          <w:rFonts w:eastAsia="Times New Roman"/>
          <w:b/>
          <w:color w:val="000000"/>
          <w:sz w:val="22"/>
          <w:szCs w:val="22"/>
          <w:lang w:eastAsia="en-AU"/>
        </w:rPr>
        <w:t>Attachment</w:t>
      </w:r>
      <w:r w:rsidRPr="00F709B9">
        <w:rPr>
          <w:rFonts w:eastAsia="Times New Roman"/>
          <w:color w:val="000000"/>
          <w:sz w:val="22"/>
          <w:szCs w:val="22"/>
          <w:lang w:eastAsia="en-AU"/>
        </w:rPr>
        <w:t>.</w:t>
      </w:r>
    </w:p>
    <w:p w14:paraId="4BEC14D0" w14:textId="77777777" w:rsidR="007A37A6" w:rsidRPr="00DF4F70" w:rsidRDefault="007A37A6" w:rsidP="007A37A6">
      <w:pPr>
        <w:shd w:val="clear" w:color="auto" w:fill="FFFFFF"/>
        <w:spacing w:before="120" w:after="0" w:line="240" w:lineRule="auto"/>
        <w:jc w:val="both"/>
        <w:rPr>
          <w:rFonts w:eastAsia="Times New Roman"/>
          <w:bCs/>
          <w:color w:val="000000"/>
          <w:sz w:val="22"/>
          <w:szCs w:val="22"/>
          <w:u w:val="single"/>
          <w:lang w:eastAsia="en-AU"/>
        </w:rPr>
      </w:pPr>
      <w:r w:rsidRPr="00DF4F70">
        <w:rPr>
          <w:rFonts w:eastAsia="Times New Roman"/>
          <w:bCs/>
          <w:color w:val="000000"/>
          <w:sz w:val="22"/>
          <w:szCs w:val="22"/>
          <w:u w:val="single"/>
          <w:lang w:eastAsia="en-AU"/>
        </w:rPr>
        <w:t>Consultation</w:t>
      </w:r>
    </w:p>
    <w:p w14:paraId="3AE753AB" w14:textId="685F947E" w:rsidR="00F709B9" w:rsidRPr="00F709B9" w:rsidRDefault="007A37A6" w:rsidP="00F709B9">
      <w:pPr>
        <w:shd w:val="clear" w:color="auto" w:fill="FFFFFF"/>
        <w:spacing w:before="120" w:after="0" w:line="240" w:lineRule="auto"/>
        <w:jc w:val="both"/>
        <w:rPr>
          <w:rFonts w:eastAsia="Times New Roman"/>
          <w:color w:val="000000"/>
          <w:sz w:val="22"/>
          <w:szCs w:val="22"/>
          <w:lang w:eastAsia="en-AU"/>
        </w:rPr>
      </w:pPr>
      <w:r w:rsidRPr="007A37A6">
        <w:rPr>
          <w:rFonts w:eastAsia="Times New Roman"/>
          <w:color w:val="000000"/>
          <w:sz w:val="22"/>
          <w:szCs w:val="22"/>
          <w:lang w:eastAsia="en-AU"/>
        </w:rPr>
        <w:t>The amendments</w:t>
      </w:r>
      <w:r w:rsidR="0011591E">
        <w:rPr>
          <w:rFonts w:eastAsia="Times New Roman"/>
          <w:color w:val="000000"/>
          <w:sz w:val="22"/>
          <w:szCs w:val="22"/>
          <w:lang w:eastAsia="en-AU"/>
        </w:rPr>
        <w:t xml:space="preserve"> </w:t>
      </w:r>
      <w:r w:rsidRPr="007A37A6">
        <w:rPr>
          <w:rFonts w:eastAsia="Times New Roman"/>
          <w:color w:val="000000"/>
          <w:sz w:val="22"/>
          <w:szCs w:val="22"/>
          <w:lang w:eastAsia="en-AU"/>
        </w:rPr>
        <w:t xml:space="preserve">accord </w:t>
      </w:r>
      <w:r w:rsidR="00F709B9" w:rsidRPr="007A37A6">
        <w:rPr>
          <w:rFonts w:eastAsia="Times New Roman"/>
          <w:color w:val="000000"/>
          <w:sz w:val="22"/>
          <w:szCs w:val="22"/>
          <w:lang w:eastAsia="en-AU"/>
        </w:rPr>
        <w:t xml:space="preserve">with </w:t>
      </w:r>
      <w:r w:rsidR="00F709B9">
        <w:rPr>
          <w:rFonts w:eastAsia="Times New Roman"/>
          <w:color w:val="000000"/>
          <w:sz w:val="22"/>
          <w:szCs w:val="22"/>
          <w:lang w:eastAsia="en-AU"/>
        </w:rPr>
        <w:t>recommendations</w:t>
      </w:r>
      <w:r w:rsidRPr="007A37A6">
        <w:rPr>
          <w:rFonts w:eastAsia="Times New Roman"/>
          <w:color w:val="000000"/>
          <w:sz w:val="22"/>
          <w:szCs w:val="22"/>
          <w:lang w:eastAsia="en-AU"/>
        </w:rPr>
        <w:t xml:space="preserve"> made by the PBAC.</w:t>
      </w:r>
      <w:r w:rsidR="00F709B9" w:rsidRPr="00F709B9">
        <w:rPr>
          <w:rFonts w:eastAsia="Times New Roman"/>
          <w:color w:val="000000"/>
          <w:sz w:val="22"/>
          <w:szCs w:val="22"/>
          <w:lang w:eastAsia="en-AU"/>
        </w:rPr>
        <w:t xml:space="preserve"> </w:t>
      </w:r>
      <w:r w:rsidR="00F709B9">
        <w:rPr>
          <w:rFonts w:eastAsia="Times New Roman"/>
          <w:color w:val="000000"/>
          <w:sz w:val="22"/>
          <w:szCs w:val="22"/>
          <w:lang w:eastAsia="en-AU"/>
        </w:rPr>
        <w:t xml:space="preserve">The PBAC </w:t>
      </w:r>
      <w:r w:rsidR="00E76355">
        <w:rPr>
          <w:rFonts w:eastAsia="Times New Roman"/>
          <w:color w:val="000000"/>
          <w:sz w:val="22"/>
          <w:szCs w:val="22"/>
          <w:lang w:eastAsia="en-AU"/>
        </w:rPr>
        <w:t xml:space="preserve">conducted targeted consultation </w:t>
      </w:r>
      <w:r w:rsidR="00F00FE8">
        <w:rPr>
          <w:rFonts w:eastAsia="Times New Roman"/>
          <w:color w:val="000000"/>
          <w:sz w:val="22"/>
          <w:szCs w:val="22"/>
          <w:lang w:eastAsia="en-AU"/>
        </w:rPr>
        <w:t>with</w:t>
      </w:r>
      <w:r w:rsidR="00E76355">
        <w:rPr>
          <w:rFonts w:eastAsia="Times New Roman"/>
          <w:color w:val="000000"/>
          <w:sz w:val="22"/>
          <w:szCs w:val="22"/>
          <w:lang w:eastAsia="en-AU"/>
        </w:rPr>
        <w:t xml:space="preserve"> members of the Endocrine Society of Australia regarding the eligibility criteria for access to somatropin for the treatment of severe growth hormone deficiency </w:t>
      </w:r>
      <w:r w:rsidR="004B09E0">
        <w:rPr>
          <w:rFonts w:eastAsia="Times New Roman"/>
          <w:color w:val="000000"/>
          <w:sz w:val="22"/>
          <w:szCs w:val="22"/>
          <w:lang w:eastAsia="en-AU"/>
        </w:rPr>
        <w:t>taking into consideration the impact of</w:t>
      </w:r>
      <w:r w:rsidR="00E76355">
        <w:rPr>
          <w:rFonts w:eastAsia="Times New Roman"/>
          <w:color w:val="000000"/>
          <w:sz w:val="22"/>
          <w:szCs w:val="22"/>
          <w:lang w:eastAsia="en-AU"/>
        </w:rPr>
        <w:t xml:space="preserve"> skeletal maturity </w:t>
      </w:r>
      <w:r w:rsidR="004B09E0">
        <w:rPr>
          <w:rFonts w:eastAsia="Times New Roman"/>
          <w:color w:val="000000"/>
          <w:sz w:val="22"/>
          <w:szCs w:val="22"/>
          <w:lang w:eastAsia="en-AU"/>
        </w:rPr>
        <w:t>and chronological age</w:t>
      </w:r>
      <w:r w:rsidR="00260906">
        <w:rPr>
          <w:rFonts w:eastAsia="Times New Roman"/>
          <w:color w:val="000000"/>
          <w:sz w:val="22"/>
          <w:szCs w:val="22"/>
          <w:lang w:eastAsia="en-AU"/>
        </w:rPr>
        <w:t xml:space="preserve"> on access to treatment</w:t>
      </w:r>
      <w:r w:rsidR="00E76355">
        <w:rPr>
          <w:rFonts w:eastAsia="Times New Roman"/>
          <w:color w:val="000000"/>
          <w:sz w:val="22"/>
          <w:szCs w:val="22"/>
          <w:lang w:eastAsia="en-AU"/>
        </w:rPr>
        <w:t xml:space="preserve">. </w:t>
      </w:r>
    </w:p>
    <w:p w14:paraId="5781945F" w14:textId="77777777" w:rsidR="00F00FE8" w:rsidRDefault="00F709B9" w:rsidP="00F709B9">
      <w:pPr>
        <w:shd w:val="clear" w:color="auto" w:fill="FFFFFF"/>
        <w:spacing w:before="120" w:after="0" w:line="240" w:lineRule="auto"/>
        <w:jc w:val="both"/>
        <w:rPr>
          <w:rFonts w:eastAsia="Times New Roman"/>
          <w:color w:val="000000"/>
          <w:sz w:val="22"/>
          <w:szCs w:val="22"/>
          <w:lang w:eastAsia="en-AU"/>
        </w:rPr>
      </w:pPr>
      <w:r w:rsidRPr="00F709B9">
        <w:rPr>
          <w:rFonts w:eastAsia="Times New Roman"/>
          <w:color w:val="000000"/>
          <w:sz w:val="22"/>
          <w:szCs w:val="22"/>
          <w:lang w:eastAsia="en-AU"/>
        </w:rPr>
        <w:t>PBAC is an independent expert body established by section 100A of the Act which makes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w:t>
      </w:r>
    </w:p>
    <w:p w14:paraId="2125E4C5" w14:textId="77777777" w:rsidR="00F709B9" w:rsidRPr="00F709B9" w:rsidRDefault="00F709B9" w:rsidP="00F709B9">
      <w:pPr>
        <w:shd w:val="clear" w:color="auto" w:fill="FFFFFF"/>
        <w:spacing w:before="120" w:after="0" w:line="240" w:lineRule="auto"/>
        <w:jc w:val="both"/>
        <w:rPr>
          <w:rFonts w:eastAsia="Times New Roman"/>
          <w:color w:val="000000"/>
          <w:sz w:val="20"/>
          <w:szCs w:val="20"/>
          <w:lang w:eastAsia="en-AU"/>
        </w:rPr>
      </w:pPr>
      <w:r w:rsidRPr="00F709B9">
        <w:rPr>
          <w:rFonts w:eastAsia="Times New Roman"/>
          <w:color w:val="000000"/>
          <w:sz w:val="22"/>
          <w:szCs w:val="22"/>
          <w:lang w:eastAsia="en-AU"/>
        </w:rPr>
        <w:t xml:space="preserve">Remaining members are persons whom the Minister is satisfied have qualifications and experience in a field relevant to the functions of PBAC, and that would enable them to contribute meaningfully to the deliberations of PBAC.  In addition, an industry nominee has been appointed to the PBAC membership.  When recommending the listing of a medicine on the </w:t>
      </w:r>
      <w:r w:rsidR="00195F39">
        <w:rPr>
          <w:rFonts w:eastAsia="Times New Roman"/>
          <w:color w:val="000000"/>
          <w:sz w:val="22"/>
          <w:szCs w:val="22"/>
          <w:lang w:eastAsia="en-AU"/>
        </w:rPr>
        <w:t>PBS</w:t>
      </w:r>
      <w:r w:rsidRPr="00F709B9">
        <w:rPr>
          <w:rFonts w:eastAsia="Times New Roman"/>
          <w:color w:val="000000"/>
          <w:sz w:val="22"/>
          <w:szCs w:val="22"/>
          <w:lang w:eastAsia="en-AU"/>
        </w:rPr>
        <w:t>, PBAC takes into account the medical conditions for which the medicine has been approved for use in Australia, its clinical effectiveness, safety and cost-effectiveness compared with other treatments.</w:t>
      </w:r>
    </w:p>
    <w:p w14:paraId="45C60E64" w14:textId="487B6442" w:rsidR="00F709B9" w:rsidRPr="00F709B9" w:rsidRDefault="00F709B9" w:rsidP="00F709B9">
      <w:pPr>
        <w:shd w:val="clear" w:color="auto" w:fill="FFFFFF"/>
        <w:spacing w:before="120" w:after="0" w:line="240" w:lineRule="auto"/>
        <w:jc w:val="both"/>
        <w:rPr>
          <w:rFonts w:eastAsia="Times New Roman"/>
          <w:color w:val="000000"/>
          <w:sz w:val="20"/>
          <w:szCs w:val="20"/>
          <w:lang w:eastAsia="en-AU"/>
        </w:rPr>
      </w:pPr>
      <w:r w:rsidRPr="00F709B9">
        <w:rPr>
          <w:rFonts w:eastAsia="Times New Roman"/>
          <w:color w:val="000000"/>
          <w:sz w:val="22"/>
          <w:szCs w:val="22"/>
          <w:lang w:eastAsia="en-AU"/>
        </w:rPr>
        <w:t>Th</w:t>
      </w:r>
      <w:r w:rsidR="0011591E">
        <w:rPr>
          <w:rFonts w:eastAsia="Times New Roman"/>
          <w:color w:val="000000"/>
          <w:sz w:val="22"/>
          <w:szCs w:val="22"/>
          <w:lang w:eastAsia="en-AU"/>
        </w:rPr>
        <w:t>e Amendment</w:t>
      </w:r>
      <w:r w:rsidRPr="00F709B9">
        <w:rPr>
          <w:rFonts w:eastAsia="Times New Roman"/>
          <w:color w:val="000000"/>
          <w:sz w:val="22"/>
          <w:szCs w:val="22"/>
          <w:lang w:eastAsia="en-AU"/>
        </w:rPr>
        <w:t xml:space="preserve"> Instrument is a legislative instrument for the purposes of the </w:t>
      </w:r>
      <w:r w:rsidRPr="00F709B9">
        <w:rPr>
          <w:rFonts w:eastAsia="Times New Roman"/>
          <w:i/>
          <w:iCs/>
          <w:color w:val="000000"/>
          <w:sz w:val="22"/>
          <w:szCs w:val="22"/>
          <w:lang w:eastAsia="en-AU"/>
        </w:rPr>
        <w:t>Legislation Act 2003</w:t>
      </w:r>
      <w:r w:rsidRPr="00F709B9">
        <w:rPr>
          <w:rFonts w:eastAsia="Times New Roman"/>
          <w:color w:val="000000"/>
          <w:sz w:val="22"/>
          <w:szCs w:val="22"/>
          <w:lang w:eastAsia="en-AU"/>
        </w:rPr>
        <w:t>.</w:t>
      </w:r>
    </w:p>
    <w:p w14:paraId="5A22EE57" w14:textId="77777777" w:rsidR="00F709B9" w:rsidRDefault="00F709B9">
      <w:r>
        <w:br w:type="page"/>
      </w:r>
    </w:p>
    <w:p w14:paraId="091E5B8C" w14:textId="77777777" w:rsidR="00F709B9" w:rsidRPr="00F00FE8" w:rsidRDefault="00F709B9" w:rsidP="00F00FE8">
      <w:pPr>
        <w:shd w:val="clear" w:color="auto" w:fill="FFFFFF"/>
        <w:spacing w:after="120" w:line="240" w:lineRule="auto"/>
        <w:jc w:val="right"/>
        <w:rPr>
          <w:rFonts w:asciiTheme="minorHAnsi" w:eastAsia="Times New Roman" w:hAnsiTheme="minorHAnsi" w:cstheme="minorHAnsi"/>
          <w:color w:val="000000"/>
          <w:sz w:val="20"/>
          <w:szCs w:val="20"/>
          <w:lang w:eastAsia="en-AU"/>
        </w:rPr>
      </w:pPr>
      <w:r w:rsidRPr="00F00FE8">
        <w:rPr>
          <w:rFonts w:asciiTheme="minorHAnsi" w:eastAsia="Times New Roman" w:hAnsiTheme="minorHAnsi" w:cstheme="minorHAnsi"/>
          <w:b/>
          <w:bCs/>
          <w:color w:val="000000"/>
          <w:sz w:val="22"/>
          <w:szCs w:val="22"/>
          <w:lang w:eastAsia="en-AU"/>
        </w:rPr>
        <w:lastRenderedPageBreak/>
        <w:t>ATTACHMENT</w:t>
      </w:r>
    </w:p>
    <w:p w14:paraId="6CAAB876" w14:textId="77777777" w:rsidR="00F709B9" w:rsidRPr="00B36C69" w:rsidRDefault="00DF4F70" w:rsidP="00F709B9">
      <w:pPr>
        <w:shd w:val="clear" w:color="auto" w:fill="FFFFFF"/>
        <w:spacing w:before="360" w:after="120" w:line="240" w:lineRule="auto"/>
        <w:rPr>
          <w:rFonts w:eastAsia="Times New Roman"/>
          <w:b/>
          <w:i/>
          <w:color w:val="000000"/>
          <w:sz w:val="22"/>
          <w:szCs w:val="22"/>
          <w:lang w:eastAsia="en-AU"/>
        </w:rPr>
      </w:pPr>
      <w:r w:rsidRPr="00B36C69">
        <w:rPr>
          <w:rFonts w:eastAsia="Times New Roman"/>
          <w:b/>
          <w:bCs/>
          <w:i/>
          <w:color w:val="000000"/>
          <w:sz w:val="22"/>
          <w:szCs w:val="22"/>
          <w:lang w:eastAsia="en-AU"/>
        </w:rPr>
        <w:t xml:space="preserve">DETAILS OF THE </w:t>
      </w:r>
      <w:r w:rsidR="00F709B9" w:rsidRPr="00B36C69">
        <w:rPr>
          <w:rFonts w:eastAsia="Times New Roman"/>
          <w:b/>
          <w:bCs/>
          <w:i/>
          <w:iCs/>
          <w:color w:val="000000"/>
          <w:sz w:val="22"/>
          <w:szCs w:val="22"/>
          <w:lang w:eastAsia="en-AU"/>
        </w:rPr>
        <w:t>NATIONAL HEALTH (GROWTH HORMONE PROGRAM) SPECIAL ARRAN</w:t>
      </w:r>
      <w:r w:rsidR="00F00FE8" w:rsidRPr="00B36C69">
        <w:rPr>
          <w:rFonts w:eastAsia="Times New Roman"/>
          <w:b/>
          <w:bCs/>
          <w:i/>
          <w:iCs/>
          <w:color w:val="000000"/>
          <w:sz w:val="22"/>
          <w:szCs w:val="22"/>
          <w:lang w:eastAsia="en-AU"/>
        </w:rPr>
        <w:t>GEMENT AMENDMENT INSTRUMENT 2019</w:t>
      </w:r>
      <w:r w:rsidR="00F709B9" w:rsidRPr="00B36C69">
        <w:rPr>
          <w:rFonts w:eastAsia="Times New Roman"/>
          <w:b/>
          <w:bCs/>
          <w:i/>
          <w:iCs/>
          <w:color w:val="000000"/>
          <w:sz w:val="22"/>
          <w:szCs w:val="22"/>
          <w:lang w:eastAsia="en-AU"/>
        </w:rPr>
        <w:t xml:space="preserve"> (No. </w:t>
      </w:r>
      <w:r w:rsidR="00F00FE8" w:rsidRPr="00B36C69">
        <w:rPr>
          <w:rFonts w:eastAsia="Times New Roman"/>
          <w:b/>
          <w:bCs/>
          <w:i/>
          <w:iCs/>
          <w:color w:val="000000"/>
          <w:sz w:val="22"/>
          <w:szCs w:val="22"/>
          <w:lang w:eastAsia="en-AU"/>
        </w:rPr>
        <w:t>3</w:t>
      </w:r>
      <w:r w:rsidR="00F709B9" w:rsidRPr="00B36C69">
        <w:rPr>
          <w:rFonts w:eastAsia="Times New Roman"/>
          <w:b/>
          <w:bCs/>
          <w:i/>
          <w:iCs/>
          <w:color w:val="000000"/>
          <w:sz w:val="22"/>
          <w:szCs w:val="22"/>
          <w:lang w:eastAsia="en-AU"/>
        </w:rPr>
        <w:t>)</w:t>
      </w:r>
    </w:p>
    <w:p w14:paraId="6C738651" w14:textId="77777777" w:rsidR="00F709B9" w:rsidRPr="00B36C69" w:rsidRDefault="00F709B9" w:rsidP="00F709B9">
      <w:pPr>
        <w:shd w:val="clear" w:color="auto" w:fill="FFFFFF"/>
        <w:spacing w:before="240" w:after="0" w:line="240" w:lineRule="auto"/>
        <w:jc w:val="both"/>
        <w:rPr>
          <w:rFonts w:eastAsia="Times New Roman"/>
          <w:color w:val="000000"/>
          <w:sz w:val="22"/>
          <w:szCs w:val="22"/>
          <w:lang w:eastAsia="en-AU"/>
        </w:rPr>
      </w:pPr>
      <w:r w:rsidRPr="00B36C69">
        <w:rPr>
          <w:rFonts w:eastAsia="Times New Roman"/>
          <w:b/>
          <w:bCs/>
          <w:color w:val="000000"/>
          <w:sz w:val="22"/>
          <w:szCs w:val="22"/>
          <w:lang w:eastAsia="en-AU"/>
        </w:rPr>
        <w:t xml:space="preserve">Section 1    Name </w:t>
      </w:r>
    </w:p>
    <w:p w14:paraId="26F4D095" w14:textId="77777777" w:rsidR="00541DD7" w:rsidRPr="00B36C69" w:rsidRDefault="006440AA" w:rsidP="00541DD7">
      <w:pPr>
        <w:shd w:val="clear" w:color="auto" w:fill="FFFFFF"/>
        <w:spacing w:before="120" w:after="0" w:line="240" w:lineRule="auto"/>
        <w:jc w:val="both"/>
        <w:rPr>
          <w:rFonts w:eastAsia="Times New Roman"/>
          <w:color w:val="000000"/>
          <w:sz w:val="22"/>
          <w:szCs w:val="22"/>
          <w:lang w:eastAsia="en-AU"/>
        </w:rPr>
      </w:pPr>
      <w:r w:rsidRPr="00B36C69">
        <w:rPr>
          <w:rFonts w:eastAsia="Times New Roman"/>
          <w:color w:val="000000"/>
          <w:sz w:val="22"/>
          <w:szCs w:val="22"/>
          <w:lang w:eastAsia="en-AU"/>
        </w:rPr>
        <w:t>This section</w:t>
      </w:r>
      <w:r w:rsidR="00F709B9" w:rsidRPr="00B36C69">
        <w:rPr>
          <w:rFonts w:eastAsia="Times New Roman"/>
          <w:color w:val="000000"/>
          <w:sz w:val="22"/>
          <w:szCs w:val="22"/>
          <w:lang w:eastAsia="en-AU"/>
        </w:rPr>
        <w:t xml:space="preserve"> provides the name of </w:t>
      </w:r>
      <w:r w:rsidR="00DF4F70" w:rsidRPr="00B36C69">
        <w:rPr>
          <w:rFonts w:eastAsia="Times New Roman"/>
          <w:color w:val="000000"/>
          <w:sz w:val="22"/>
          <w:szCs w:val="22"/>
          <w:lang w:eastAsia="en-AU"/>
        </w:rPr>
        <w:t>the</w:t>
      </w:r>
      <w:r w:rsidR="00F709B9" w:rsidRPr="00B36C69">
        <w:rPr>
          <w:rFonts w:eastAsia="Times New Roman"/>
          <w:color w:val="000000"/>
          <w:sz w:val="22"/>
          <w:szCs w:val="22"/>
          <w:lang w:eastAsia="en-AU"/>
        </w:rPr>
        <w:t xml:space="preserve"> instrument </w:t>
      </w:r>
      <w:r w:rsidR="00DF4F70" w:rsidRPr="00B36C69">
        <w:rPr>
          <w:rFonts w:eastAsia="Times New Roman"/>
          <w:color w:val="000000"/>
          <w:sz w:val="22"/>
          <w:szCs w:val="22"/>
          <w:lang w:eastAsia="en-AU"/>
        </w:rPr>
        <w:t>is</w:t>
      </w:r>
      <w:r w:rsidR="00F709B9" w:rsidRPr="00B36C69">
        <w:rPr>
          <w:rFonts w:eastAsia="Times New Roman"/>
          <w:color w:val="000000"/>
          <w:sz w:val="22"/>
          <w:szCs w:val="22"/>
          <w:lang w:eastAsia="en-AU"/>
        </w:rPr>
        <w:t xml:space="preserve"> the </w:t>
      </w:r>
      <w:r w:rsidR="00F709B9" w:rsidRPr="00B36C69">
        <w:rPr>
          <w:rFonts w:eastAsia="Times New Roman"/>
          <w:i/>
          <w:iCs/>
          <w:color w:val="000000"/>
          <w:sz w:val="22"/>
          <w:szCs w:val="22"/>
          <w:lang w:eastAsia="en-AU"/>
        </w:rPr>
        <w:t>National Health (Growth Hormone Program) Special Arran</w:t>
      </w:r>
      <w:r w:rsidRPr="00B36C69">
        <w:rPr>
          <w:rFonts w:eastAsia="Times New Roman"/>
          <w:i/>
          <w:iCs/>
          <w:color w:val="000000"/>
          <w:sz w:val="22"/>
          <w:szCs w:val="22"/>
          <w:lang w:eastAsia="en-AU"/>
        </w:rPr>
        <w:t>gement Amendment Instrument 2019</w:t>
      </w:r>
      <w:r w:rsidR="00195F39" w:rsidRPr="00B36C69">
        <w:rPr>
          <w:rFonts w:eastAsia="Times New Roman"/>
          <w:i/>
          <w:iCs/>
          <w:color w:val="000000"/>
          <w:sz w:val="22"/>
          <w:szCs w:val="22"/>
          <w:lang w:eastAsia="en-AU"/>
        </w:rPr>
        <w:t xml:space="preserve"> (No. </w:t>
      </w:r>
      <w:r w:rsidRPr="00B36C69">
        <w:rPr>
          <w:rFonts w:eastAsia="Times New Roman"/>
          <w:i/>
          <w:iCs/>
          <w:color w:val="000000"/>
          <w:sz w:val="22"/>
          <w:szCs w:val="22"/>
          <w:lang w:eastAsia="en-AU"/>
        </w:rPr>
        <w:t>3</w:t>
      </w:r>
      <w:r w:rsidR="00F709B9" w:rsidRPr="00B36C69">
        <w:rPr>
          <w:rFonts w:eastAsia="Times New Roman"/>
          <w:i/>
          <w:iCs/>
          <w:color w:val="000000"/>
          <w:sz w:val="22"/>
          <w:szCs w:val="22"/>
          <w:lang w:eastAsia="en-AU"/>
        </w:rPr>
        <w:t>)</w:t>
      </w:r>
      <w:r w:rsidRPr="00B36C69">
        <w:rPr>
          <w:rFonts w:eastAsia="Times New Roman"/>
          <w:color w:val="000000"/>
          <w:sz w:val="22"/>
          <w:szCs w:val="22"/>
          <w:lang w:eastAsia="en-AU"/>
        </w:rPr>
        <w:t>. It can also be cited as PB 109 of 2019</w:t>
      </w:r>
      <w:r w:rsidR="00F709B9" w:rsidRPr="00B36C69">
        <w:rPr>
          <w:rFonts w:eastAsia="Times New Roman"/>
          <w:color w:val="000000"/>
          <w:sz w:val="22"/>
          <w:szCs w:val="22"/>
          <w:lang w:eastAsia="en-AU"/>
        </w:rPr>
        <w:t>.</w:t>
      </w:r>
    </w:p>
    <w:p w14:paraId="18F2A10C" w14:textId="77777777" w:rsidR="00F709B9" w:rsidRPr="00B36C69" w:rsidRDefault="00F709B9" w:rsidP="00541DD7">
      <w:pPr>
        <w:shd w:val="clear" w:color="auto" w:fill="FFFFFF"/>
        <w:spacing w:before="120" w:after="0" w:line="240" w:lineRule="auto"/>
        <w:jc w:val="both"/>
        <w:rPr>
          <w:rFonts w:eastAsia="Times New Roman"/>
          <w:color w:val="000000"/>
          <w:sz w:val="22"/>
          <w:szCs w:val="22"/>
          <w:lang w:eastAsia="en-AU"/>
        </w:rPr>
      </w:pPr>
      <w:r w:rsidRPr="00B36C69">
        <w:rPr>
          <w:rFonts w:eastAsia="Times New Roman"/>
          <w:b/>
          <w:bCs/>
          <w:color w:val="000000"/>
          <w:sz w:val="22"/>
          <w:szCs w:val="22"/>
          <w:lang w:eastAsia="en-AU"/>
        </w:rPr>
        <w:t>Section 2    Commencement</w:t>
      </w:r>
    </w:p>
    <w:p w14:paraId="2F1916B0" w14:textId="1AD5E200" w:rsidR="00541DD7" w:rsidRPr="00B36C69" w:rsidRDefault="006440AA" w:rsidP="00541DD7">
      <w:pPr>
        <w:shd w:val="clear" w:color="auto" w:fill="FFFFFF"/>
        <w:spacing w:before="120" w:after="0" w:line="240" w:lineRule="auto"/>
        <w:jc w:val="both"/>
        <w:rPr>
          <w:rFonts w:eastAsia="Times New Roman"/>
          <w:color w:val="000000"/>
          <w:sz w:val="22"/>
          <w:szCs w:val="22"/>
          <w:lang w:eastAsia="en-AU"/>
        </w:rPr>
      </w:pPr>
      <w:r w:rsidRPr="00B36C69">
        <w:rPr>
          <w:rFonts w:eastAsia="Times New Roman"/>
          <w:color w:val="000000"/>
          <w:sz w:val="22"/>
          <w:szCs w:val="22"/>
          <w:lang w:eastAsia="en-AU"/>
        </w:rPr>
        <w:t xml:space="preserve">This section provides </w:t>
      </w:r>
      <w:r w:rsidR="0011591E">
        <w:rPr>
          <w:rFonts w:eastAsia="Times New Roman"/>
          <w:color w:val="000000"/>
          <w:sz w:val="22"/>
          <w:szCs w:val="22"/>
          <w:lang w:eastAsia="en-AU"/>
        </w:rPr>
        <w:t xml:space="preserve">that </w:t>
      </w:r>
      <w:r w:rsidRPr="00B36C69">
        <w:rPr>
          <w:rFonts w:eastAsia="Times New Roman"/>
          <w:color w:val="000000"/>
          <w:sz w:val="22"/>
          <w:szCs w:val="22"/>
          <w:lang w:eastAsia="en-AU"/>
        </w:rPr>
        <w:t>the I</w:t>
      </w:r>
      <w:r w:rsidR="00F709B9" w:rsidRPr="00B36C69">
        <w:rPr>
          <w:rFonts w:eastAsia="Times New Roman"/>
          <w:color w:val="000000"/>
          <w:sz w:val="22"/>
          <w:szCs w:val="22"/>
          <w:lang w:eastAsia="en-AU"/>
        </w:rPr>
        <w:t>nstrument commences on 1 </w:t>
      </w:r>
      <w:r w:rsidR="00195F39" w:rsidRPr="00B36C69">
        <w:rPr>
          <w:rFonts w:eastAsia="Times New Roman"/>
          <w:color w:val="000000"/>
          <w:sz w:val="22"/>
          <w:szCs w:val="22"/>
          <w:lang w:eastAsia="en-AU"/>
        </w:rPr>
        <w:t>January 2020</w:t>
      </w:r>
      <w:r w:rsidR="00F709B9" w:rsidRPr="00B36C69">
        <w:rPr>
          <w:rFonts w:eastAsia="Times New Roman"/>
          <w:color w:val="000000"/>
          <w:sz w:val="22"/>
          <w:szCs w:val="22"/>
          <w:lang w:eastAsia="en-AU"/>
        </w:rPr>
        <w:t>.</w:t>
      </w:r>
    </w:p>
    <w:p w14:paraId="708822CB" w14:textId="77777777" w:rsidR="00195F39" w:rsidRPr="00B36C69" w:rsidRDefault="00195F39" w:rsidP="00541DD7">
      <w:pPr>
        <w:shd w:val="clear" w:color="auto" w:fill="FFFFFF"/>
        <w:spacing w:before="120" w:after="0" w:line="240" w:lineRule="auto"/>
        <w:jc w:val="both"/>
        <w:rPr>
          <w:b/>
          <w:bCs/>
          <w:color w:val="000000"/>
          <w:sz w:val="22"/>
          <w:szCs w:val="22"/>
          <w:shd w:val="clear" w:color="auto" w:fill="FFFFFF"/>
        </w:rPr>
      </w:pPr>
      <w:r w:rsidRPr="00B36C69">
        <w:rPr>
          <w:b/>
          <w:bCs/>
          <w:color w:val="000000"/>
          <w:sz w:val="22"/>
          <w:szCs w:val="22"/>
          <w:shd w:val="clear" w:color="auto" w:fill="FFFFFF"/>
        </w:rPr>
        <w:t xml:space="preserve">Section 3    </w:t>
      </w:r>
      <w:r w:rsidR="002D6D7C" w:rsidRPr="00B36C69">
        <w:rPr>
          <w:b/>
          <w:bCs/>
          <w:color w:val="000000"/>
          <w:sz w:val="22"/>
          <w:szCs w:val="22"/>
          <w:shd w:val="clear" w:color="auto" w:fill="FFFFFF"/>
        </w:rPr>
        <w:t xml:space="preserve">Authority </w:t>
      </w:r>
    </w:p>
    <w:p w14:paraId="31ABC32D" w14:textId="3ACB0DE2" w:rsidR="00F00FE8" w:rsidRPr="00B36C69" w:rsidRDefault="00F00FE8" w:rsidP="00F00FE8">
      <w:pPr>
        <w:rPr>
          <w:sz w:val="22"/>
          <w:szCs w:val="22"/>
        </w:rPr>
      </w:pPr>
      <w:r w:rsidRPr="00B36C69">
        <w:rPr>
          <w:sz w:val="22"/>
          <w:szCs w:val="22"/>
        </w:rPr>
        <w:t xml:space="preserve">This section provides that the Instrument is made under section 100 of the </w:t>
      </w:r>
      <w:r w:rsidRPr="00B36C69">
        <w:rPr>
          <w:i/>
          <w:sz w:val="22"/>
          <w:szCs w:val="22"/>
        </w:rPr>
        <w:t>National Health Act 1953</w:t>
      </w:r>
      <w:r w:rsidRPr="00B36C69">
        <w:rPr>
          <w:sz w:val="22"/>
          <w:szCs w:val="22"/>
        </w:rPr>
        <w:t>.</w:t>
      </w:r>
    </w:p>
    <w:p w14:paraId="256B71E3" w14:textId="77777777" w:rsidR="00541DD7" w:rsidRPr="00B36C69" w:rsidRDefault="00541DD7" w:rsidP="00541DD7">
      <w:pPr>
        <w:shd w:val="clear" w:color="auto" w:fill="FFFFFF"/>
        <w:spacing w:before="120" w:after="0" w:line="240" w:lineRule="auto"/>
        <w:jc w:val="both"/>
        <w:rPr>
          <w:b/>
          <w:bCs/>
          <w:color w:val="000000"/>
          <w:sz w:val="22"/>
          <w:szCs w:val="22"/>
          <w:shd w:val="clear" w:color="auto" w:fill="FFFFFF"/>
        </w:rPr>
      </w:pPr>
      <w:r w:rsidRPr="00B36C69">
        <w:rPr>
          <w:b/>
          <w:bCs/>
          <w:color w:val="000000"/>
          <w:sz w:val="22"/>
          <w:szCs w:val="22"/>
          <w:shd w:val="clear" w:color="auto" w:fill="FFFFFF"/>
        </w:rPr>
        <w:t>Section 4</w:t>
      </w:r>
      <w:r w:rsidR="00F80C13" w:rsidRPr="00B36C69">
        <w:rPr>
          <w:b/>
          <w:bCs/>
          <w:color w:val="000000"/>
          <w:sz w:val="22"/>
          <w:szCs w:val="22"/>
          <w:shd w:val="clear" w:color="auto" w:fill="FFFFFF"/>
        </w:rPr>
        <w:t xml:space="preserve">    </w:t>
      </w:r>
      <w:r w:rsidR="002D6D7C" w:rsidRPr="00B36C69">
        <w:rPr>
          <w:b/>
          <w:bCs/>
          <w:color w:val="000000"/>
          <w:sz w:val="22"/>
          <w:szCs w:val="22"/>
          <w:shd w:val="clear" w:color="auto" w:fill="FFFFFF"/>
        </w:rPr>
        <w:t>Schedule</w:t>
      </w:r>
    </w:p>
    <w:p w14:paraId="25FCD175" w14:textId="77777777" w:rsidR="002D6D7C" w:rsidRPr="00B36C69" w:rsidRDefault="006440AA" w:rsidP="00541DD7">
      <w:pPr>
        <w:shd w:val="clear" w:color="auto" w:fill="FFFFFF"/>
        <w:spacing w:before="120" w:after="0" w:line="240" w:lineRule="auto"/>
        <w:jc w:val="both"/>
        <w:rPr>
          <w:sz w:val="22"/>
          <w:szCs w:val="22"/>
        </w:rPr>
      </w:pPr>
      <w:r w:rsidRPr="00B36C69">
        <w:rPr>
          <w:sz w:val="22"/>
          <w:szCs w:val="22"/>
        </w:rPr>
        <w:t>This section</w:t>
      </w:r>
      <w:r w:rsidR="002D6D7C" w:rsidRPr="00B36C69">
        <w:rPr>
          <w:sz w:val="22"/>
          <w:szCs w:val="22"/>
        </w:rPr>
        <w:t xml:space="preserve"> provides that each instrument that is specified in a Schedule to this instrument is amended or repealed as set out in the applicable items in the Schedule concerned, and any other item in a Schedule to this instrument has effect according to its terms.</w:t>
      </w:r>
    </w:p>
    <w:p w14:paraId="6EFC2D9F" w14:textId="77777777" w:rsidR="00BC0BA1" w:rsidRPr="00B36C69" w:rsidRDefault="00541DD7" w:rsidP="00BC0BA1">
      <w:pPr>
        <w:shd w:val="clear" w:color="auto" w:fill="FFFFFF"/>
        <w:spacing w:before="120" w:after="0" w:line="240" w:lineRule="auto"/>
        <w:jc w:val="both"/>
        <w:rPr>
          <w:b/>
          <w:bCs/>
          <w:color w:val="000000"/>
          <w:sz w:val="22"/>
          <w:szCs w:val="22"/>
          <w:shd w:val="clear" w:color="auto" w:fill="FFFFFF"/>
        </w:rPr>
      </w:pPr>
      <w:r w:rsidRPr="00B36C69">
        <w:rPr>
          <w:b/>
          <w:bCs/>
          <w:color w:val="000000"/>
          <w:sz w:val="22"/>
          <w:szCs w:val="22"/>
          <w:shd w:val="clear" w:color="auto" w:fill="FFFFFF"/>
        </w:rPr>
        <w:t>Schedule 1 – Amendments</w:t>
      </w:r>
    </w:p>
    <w:p w14:paraId="021654AA" w14:textId="5189A2CD" w:rsidR="0011591E" w:rsidRPr="00FE5E30" w:rsidRDefault="0019016E" w:rsidP="00D377A8">
      <w:pPr>
        <w:shd w:val="clear" w:color="auto" w:fill="FFFFFF"/>
        <w:spacing w:before="120" w:after="0" w:line="240" w:lineRule="auto"/>
        <w:jc w:val="both"/>
        <w:rPr>
          <w:rFonts w:eastAsia="Times New Roman"/>
          <w:b/>
          <w:i/>
          <w:color w:val="000000"/>
          <w:sz w:val="22"/>
          <w:szCs w:val="22"/>
          <w:lang w:eastAsia="en-AU"/>
        </w:rPr>
      </w:pPr>
      <w:r w:rsidRPr="00B36C69">
        <w:rPr>
          <w:b/>
          <w:i/>
        </w:rPr>
        <w:t>National Health (Growth Hormone Program) Special Arrangement 2015 (PB 85 of 2015)</w:t>
      </w:r>
      <w:r>
        <w:rPr>
          <w:b/>
          <w:i/>
        </w:rPr>
        <w:t xml:space="preserve"> (the Primary Instrument)</w:t>
      </w:r>
    </w:p>
    <w:p w14:paraId="0A97F7A5" w14:textId="77777777" w:rsidR="00FE5E30" w:rsidRDefault="006440AA" w:rsidP="00D377A8">
      <w:pPr>
        <w:shd w:val="clear" w:color="auto" w:fill="FFFFFF"/>
        <w:spacing w:before="120" w:after="0" w:line="240" w:lineRule="auto"/>
        <w:jc w:val="both"/>
        <w:rPr>
          <w:rFonts w:eastAsia="Times New Roman"/>
          <w:color w:val="000000"/>
          <w:sz w:val="22"/>
          <w:szCs w:val="22"/>
          <w:lang w:eastAsia="en-AU"/>
        </w:rPr>
      </w:pPr>
      <w:r w:rsidRPr="00B36C69">
        <w:rPr>
          <w:rFonts w:eastAsia="Times New Roman"/>
          <w:color w:val="000000"/>
          <w:sz w:val="22"/>
          <w:szCs w:val="22"/>
          <w:lang w:eastAsia="en-AU"/>
        </w:rPr>
        <w:t>A number of expression</w:t>
      </w:r>
      <w:r w:rsidR="00400B14" w:rsidRPr="00B36C69">
        <w:rPr>
          <w:rFonts w:eastAsia="Times New Roman"/>
          <w:color w:val="000000"/>
          <w:sz w:val="22"/>
          <w:szCs w:val="22"/>
          <w:lang w:eastAsia="en-AU"/>
        </w:rPr>
        <w:t>s</w:t>
      </w:r>
      <w:r w:rsidRPr="00B36C69">
        <w:rPr>
          <w:rFonts w:eastAsia="Times New Roman"/>
          <w:color w:val="000000"/>
          <w:sz w:val="22"/>
          <w:szCs w:val="22"/>
          <w:lang w:eastAsia="en-AU"/>
        </w:rPr>
        <w:t xml:space="preserve"> used in </w:t>
      </w:r>
      <w:r w:rsidR="0019016E">
        <w:rPr>
          <w:rFonts w:eastAsia="Times New Roman"/>
          <w:color w:val="000000"/>
          <w:sz w:val="22"/>
          <w:szCs w:val="22"/>
          <w:lang w:eastAsia="en-AU"/>
        </w:rPr>
        <w:t xml:space="preserve">the </w:t>
      </w:r>
      <w:r w:rsidR="00CC5730">
        <w:rPr>
          <w:rFonts w:eastAsia="Times New Roman"/>
          <w:color w:val="000000"/>
          <w:sz w:val="22"/>
          <w:szCs w:val="22"/>
          <w:lang w:eastAsia="en-AU"/>
        </w:rPr>
        <w:t>Primary Instrument</w:t>
      </w:r>
      <w:r w:rsidR="00400B14" w:rsidRPr="00B36C69">
        <w:rPr>
          <w:rFonts w:eastAsia="Times New Roman"/>
          <w:color w:val="000000"/>
          <w:sz w:val="22"/>
          <w:szCs w:val="22"/>
          <w:lang w:eastAsia="en-AU"/>
        </w:rPr>
        <w:t xml:space="preserve"> </w:t>
      </w:r>
      <w:r w:rsidRPr="00B36C69">
        <w:rPr>
          <w:rFonts w:eastAsia="Times New Roman"/>
          <w:color w:val="000000"/>
          <w:sz w:val="22"/>
          <w:szCs w:val="22"/>
          <w:lang w:eastAsia="en-AU"/>
        </w:rPr>
        <w:t xml:space="preserve">are defined in Part 1, section </w:t>
      </w:r>
      <w:r w:rsidR="0019016E">
        <w:rPr>
          <w:rFonts w:eastAsia="Times New Roman"/>
          <w:color w:val="000000"/>
          <w:sz w:val="22"/>
          <w:szCs w:val="22"/>
          <w:lang w:eastAsia="en-AU"/>
        </w:rPr>
        <w:t>to assist in the interpretation of provisions in the Primary Instrument.</w:t>
      </w:r>
      <w:r w:rsidRPr="00B36C69">
        <w:rPr>
          <w:rFonts w:eastAsia="Times New Roman"/>
          <w:color w:val="000000"/>
          <w:sz w:val="22"/>
          <w:szCs w:val="22"/>
          <w:lang w:eastAsia="en-AU"/>
        </w:rPr>
        <w:t xml:space="preserve"> </w:t>
      </w:r>
      <w:r w:rsidR="00F2454A" w:rsidRPr="00B36C69">
        <w:rPr>
          <w:rFonts w:eastAsia="Times New Roman"/>
          <w:color w:val="000000"/>
          <w:sz w:val="22"/>
          <w:szCs w:val="22"/>
          <w:lang w:eastAsia="en-AU"/>
        </w:rPr>
        <w:t>These include the definitions of “adult” and “child”</w:t>
      </w:r>
      <w:r w:rsidR="0019016E">
        <w:rPr>
          <w:rFonts w:eastAsia="Times New Roman"/>
          <w:color w:val="000000"/>
          <w:sz w:val="22"/>
          <w:szCs w:val="22"/>
          <w:lang w:eastAsia="en-AU"/>
        </w:rPr>
        <w:t xml:space="preserve"> in order to assist </w:t>
      </w:r>
      <w:r w:rsidR="00CC5730">
        <w:rPr>
          <w:rFonts w:eastAsia="Times New Roman"/>
          <w:color w:val="000000"/>
          <w:sz w:val="22"/>
          <w:szCs w:val="22"/>
          <w:lang w:eastAsia="en-AU"/>
        </w:rPr>
        <w:t xml:space="preserve">in determining </w:t>
      </w:r>
      <w:r w:rsidR="0019016E">
        <w:rPr>
          <w:rFonts w:eastAsia="Times New Roman"/>
          <w:color w:val="000000"/>
          <w:sz w:val="22"/>
          <w:szCs w:val="22"/>
          <w:lang w:eastAsia="en-AU"/>
        </w:rPr>
        <w:t>which persons can access the appropria</w:t>
      </w:r>
      <w:r w:rsidR="00A26908">
        <w:rPr>
          <w:rFonts w:eastAsia="Times New Roman"/>
          <w:color w:val="000000"/>
          <w:sz w:val="22"/>
          <w:szCs w:val="22"/>
          <w:lang w:eastAsia="en-AU"/>
        </w:rPr>
        <w:t>te growth hormone listed in either Schedule 1 or 2 to the Primary Instrument</w:t>
      </w:r>
      <w:r w:rsidR="00F2454A" w:rsidRPr="00B36C69">
        <w:rPr>
          <w:rFonts w:eastAsia="Times New Roman"/>
          <w:color w:val="000000"/>
          <w:sz w:val="22"/>
          <w:szCs w:val="22"/>
          <w:lang w:eastAsia="en-AU"/>
        </w:rPr>
        <w:t xml:space="preserve">. </w:t>
      </w:r>
      <w:r w:rsidR="00A26908">
        <w:rPr>
          <w:rFonts w:eastAsia="Times New Roman"/>
          <w:color w:val="000000"/>
          <w:sz w:val="22"/>
          <w:szCs w:val="22"/>
          <w:lang w:eastAsia="en-AU"/>
        </w:rPr>
        <w:t xml:space="preserve"> The current definition distinguish</w:t>
      </w:r>
      <w:r w:rsidR="00CC5730">
        <w:rPr>
          <w:rFonts w:eastAsia="Times New Roman"/>
          <w:color w:val="000000"/>
          <w:sz w:val="22"/>
          <w:szCs w:val="22"/>
          <w:lang w:eastAsia="en-AU"/>
        </w:rPr>
        <w:t>es</w:t>
      </w:r>
      <w:r w:rsidR="00A26908">
        <w:rPr>
          <w:rFonts w:eastAsia="Times New Roman"/>
          <w:color w:val="000000"/>
          <w:sz w:val="22"/>
          <w:szCs w:val="22"/>
          <w:lang w:eastAsia="en-AU"/>
        </w:rPr>
        <w:t xml:space="preserve"> a child or an adult on the basis of the person having reached or not reached the age of 18 years.  However, this definition is not </w:t>
      </w:r>
      <w:r w:rsidR="00CC5730">
        <w:rPr>
          <w:rFonts w:eastAsia="Times New Roman"/>
          <w:color w:val="000000"/>
          <w:sz w:val="22"/>
          <w:szCs w:val="22"/>
          <w:lang w:eastAsia="en-AU"/>
        </w:rPr>
        <w:t xml:space="preserve">always </w:t>
      </w:r>
      <w:r w:rsidR="00A26908">
        <w:rPr>
          <w:rFonts w:eastAsia="Times New Roman"/>
          <w:color w:val="000000"/>
          <w:sz w:val="22"/>
          <w:szCs w:val="22"/>
          <w:lang w:eastAsia="en-AU"/>
        </w:rPr>
        <w:t xml:space="preserve">appropriate as maturity of skeleton can be reached before the age of 18, and that some conditions </w:t>
      </w:r>
      <w:r w:rsidR="00CC5730">
        <w:rPr>
          <w:rFonts w:eastAsia="Times New Roman"/>
          <w:color w:val="000000"/>
          <w:sz w:val="22"/>
          <w:szCs w:val="22"/>
          <w:lang w:eastAsia="en-AU"/>
        </w:rPr>
        <w:t xml:space="preserve">that require treatment with growth hormone </w:t>
      </w:r>
      <w:r w:rsidR="00A26908">
        <w:rPr>
          <w:rFonts w:eastAsia="Times New Roman"/>
          <w:color w:val="000000"/>
          <w:sz w:val="22"/>
          <w:szCs w:val="22"/>
          <w:lang w:eastAsia="en-AU"/>
        </w:rPr>
        <w:t xml:space="preserve">are dependent on </w:t>
      </w:r>
      <w:r w:rsidR="00086B1A">
        <w:rPr>
          <w:rFonts w:eastAsia="Times New Roman"/>
          <w:color w:val="000000"/>
          <w:sz w:val="22"/>
          <w:szCs w:val="22"/>
          <w:lang w:eastAsia="en-AU"/>
        </w:rPr>
        <w:t xml:space="preserve">skeletal maturity, rather than </w:t>
      </w:r>
      <w:r w:rsidR="00A26908">
        <w:rPr>
          <w:rFonts w:eastAsia="Times New Roman"/>
          <w:color w:val="000000"/>
          <w:sz w:val="22"/>
          <w:szCs w:val="22"/>
          <w:lang w:eastAsia="en-AU"/>
        </w:rPr>
        <w:t>the age of the person.</w:t>
      </w:r>
    </w:p>
    <w:p w14:paraId="5364AE2B" w14:textId="33923214" w:rsidR="00D377A8" w:rsidRPr="00B36C69" w:rsidRDefault="004F4CDD" w:rsidP="00D377A8">
      <w:pPr>
        <w:shd w:val="clear" w:color="auto" w:fill="FFFFFF"/>
        <w:spacing w:before="120" w:after="0" w:line="240" w:lineRule="auto"/>
        <w:jc w:val="both"/>
        <w:rPr>
          <w:rFonts w:eastAsia="Times New Roman"/>
          <w:color w:val="000000"/>
          <w:sz w:val="22"/>
          <w:szCs w:val="22"/>
          <w:lang w:eastAsia="en-AU"/>
        </w:rPr>
      </w:pPr>
      <w:r w:rsidRPr="00B36C69">
        <w:rPr>
          <w:rFonts w:eastAsia="Times New Roman"/>
          <w:color w:val="000000"/>
          <w:sz w:val="22"/>
          <w:szCs w:val="22"/>
          <w:lang w:eastAsia="en-AU"/>
        </w:rPr>
        <w:t>Item 1</w:t>
      </w:r>
      <w:r w:rsidR="00D377A8" w:rsidRPr="00B36C69">
        <w:rPr>
          <w:rFonts w:eastAsia="Times New Roman"/>
          <w:color w:val="000000"/>
          <w:sz w:val="22"/>
          <w:szCs w:val="22"/>
          <w:lang w:eastAsia="en-AU"/>
        </w:rPr>
        <w:t xml:space="preserve"> </w:t>
      </w:r>
      <w:r w:rsidR="00F23E49" w:rsidRPr="00B36C69">
        <w:rPr>
          <w:rFonts w:eastAsia="Times New Roman"/>
          <w:color w:val="000000"/>
          <w:sz w:val="22"/>
          <w:szCs w:val="22"/>
          <w:lang w:eastAsia="en-AU"/>
        </w:rPr>
        <w:t>r</w:t>
      </w:r>
      <w:r w:rsidRPr="00B36C69">
        <w:rPr>
          <w:rFonts w:eastAsia="Times New Roman"/>
          <w:color w:val="000000"/>
          <w:sz w:val="22"/>
          <w:szCs w:val="22"/>
          <w:lang w:eastAsia="en-AU"/>
        </w:rPr>
        <w:t>epeals</w:t>
      </w:r>
      <w:r w:rsidR="006440AA" w:rsidRPr="00B36C69">
        <w:rPr>
          <w:rFonts w:eastAsia="Times New Roman"/>
          <w:color w:val="000000"/>
          <w:sz w:val="22"/>
          <w:szCs w:val="22"/>
          <w:lang w:eastAsia="en-AU"/>
        </w:rPr>
        <w:t xml:space="preserve"> and </w:t>
      </w:r>
      <w:r w:rsidR="00F2454A" w:rsidRPr="00B36C69">
        <w:rPr>
          <w:rFonts w:eastAsia="Times New Roman"/>
          <w:color w:val="000000"/>
          <w:sz w:val="22"/>
          <w:szCs w:val="22"/>
          <w:lang w:eastAsia="en-AU"/>
        </w:rPr>
        <w:t xml:space="preserve">substitutes </w:t>
      </w:r>
      <w:r w:rsidR="0019016E">
        <w:rPr>
          <w:rFonts w:eastAsia="Times New Roman"/>
          <w:color w:val="000000"/>
          <w:sz w:val="22"/>
          <w:szCs w:val="22"/>
          <w:lang w:eastAsia="en-AU"/>
        </w:rPr>
        <w:t xml:space="preserve">a new </w:t>
      </w:r>
      <w:r w:rsidR="00D377A8" w:rsidRPr="00B36C69">
        <w:rPr>
          <w:rFonts w:eastAsia="Times New Roman"/>
          <w:color w:val="000000"/>
          <w:sz w:val="22"/>
          <w:szCs w:val="22"/>
          <w:lang w:eastAsia="en-AU"/>
        </w:rPr>
        <w:t xml:space="preserve">definition of “adult” in subsection 4(1) of the </w:t>
      </w:r>
      <w:r w:rsidR="0019016E">
        <w:rPr>
          <w:rFonts w:eastAsia="Times New Roman"/>
          <w:color w:val="000000"/>
          <w:sz w:val="22"/>
          <w:szCs w:val="22"/>
          <w:lang w:eastAsia="en-AU"/>
        </w:rPr>
        <w:t xml:space="preserve">Primary </w:t>
      </w:r>
      <w:r w:rsidR="006440AA" w:rsidRPr="00B36C69">
        <w:rPr>
          <w:rFonts w:eastAsia="Times New Roman"/>
          <w:color w:val="000000"/>
          <w:sz w:val="22"/>
          <w:szCs w:val="22"/>
          <w:lang w:eastAsia="en-AU"/>
        </w:rPr>
        <w:t>Instrument</w:t>
      </w:r>
      <w:r w:rsidR="00D377A8" w:rsidRPr="00B36C69">
        <w:rPr>
          <w:rFonts w:eastAsia="Times New Roman"/>
          <w:color w:val="000000"/>
          <w:sz w:val="22"/>
          <w:szCs w:val="22"/>
          <w:lang w:eastAsia="en-AU"/>
        </w:rPr>
        <w:t>.</w:t>
      </w:r>
      <w:r w:rsidR="00AC0E89" w:rsidRPr="00B36C69">
        <w:rPr>
          <w:rFonts w:eastAsia="Times New Roman"/>
          <w:color w:val="000000"/>
          <w:sz w:val="22"/>
          <w:szCs w:val="22"/>
          <w:lang w:eastAsia="en-AU"/>
        </w:rPr>
        <w:t xml:space="preserve"> </w:t>
      </w:r>
      <w:r w:rsidR="00D377A8" w:rsidRPr="00B36C69">
        <w:rPr>
          <w:rFonts w:eastAsia="Times New Roman"/>
          <w:color w:val="000000"/>
          <w:sz w:val="22"/>
          <w:szCs w:val="22"/>
          <w:lang w:eastAsia="en-AU"/>
        </w:rPr>
        <w:t>An adult is</w:t>
      </w:r>
      <w:r w:rsidR="003A3FC6" w:rsidRPr="00B36C69">
        <w:rPr>
          <w:rFonts w:eastAsia="Times New Roman"/>
          <w:color w:val="000000"/>
          <w:sz w:val="22"/>
          <w:szCs w:val="22"/>
          <w:lang w:eastAsia="en-AU"/>
        </w:rPr>
        <w:t xml:space="preserve"> now</w:t>
      </w:r>
      <w:r w:rsidR="00D377A8" w:rsidRPr="00B36C69">
        <w:rPr>
          <w:rFonts w:eastAsia="Times New Roman"/>
          <w:color w:val="000000"/>
          <w:sz w:val="22"/>
          <w:szCs w:val="22"/>
          <w:lang w:eastAsia="en-AU"/>
        </w:rPr>
        <w:t xml:space="preserve"> defined as </w:t>
      </w:r>
      <w:r w:rsidR="00A26908">
        <w:rPr>
          <w:rFonts w:eastAsia="Times New Roman"/>
          <w:color w:val="000000"/>
          <w:sz w:val="22"/>
          <w:szCs w:val="22"/>
          <w:lang w:eastAsia="en-AU"/>
        </w:rPr>
        <w:t>any of the following:</w:t>
      </w:r>
      <w:r w:rsidR="002B0DA1">
        <w:rPr>
          <w:rFonts w:eastAsia="Times New Roman"/>
          <w:color w:val="000000"/>
          <w:sz w:val="22"/>
          <w:szCs w:val="22"/>
          <w:lang w:eastAsia="en-AU"/>
        </w:rPr>
        <w:t xml:space="preserve"> </w:t>
      </w:r>
      <w:r w:rsidR="00400B14" w:rsidRPr="00B36C69">
        <w:rPr>
          <w:rFonts w:eastAsia="Times New Roman"/>
          <w:color w:val="000000"/>
          <w:sz w:val="22"/>
          <w:szCs w:val="22"/>
          <w:lang w:eastAsia="en-AU"/>
        </w:rPr>
        <w:t>“</w:t>
      </w:r>
      <w:r w:rsidR="00D377A8" w:rsidRPr="00B36C69">
        <w:rPr>
          <w:rFonts w:eastAsia="Times New Roman"/>
          <w:color w:val="000000"/>
          <w:sz w:val="22"/>
          <w:szCs w:val="22"/>
          <w:lang w:eastAsia="en-AU"/>
        </w:rPr>
        <w:t>a person who has turned 18 and has adult onset growth hormone deficiency</w:t>
      </w:r>
      <w:r w:rsidR="00400B14" w:rsidRPr="00B36C69">
        <w:rPr>
          <w:rFonts w:eastAsia="Times New Roman"/>
          <w:color w:val="000000"/>
          <w:sz w:val="22"/>
          <w:szCs w:val="22"/>
          <w:lang w:eastAsia="en-AU"/>
        </w:rPr>
        <w:t>”</w:t>
      </w:r>
      <w:r w:rsidR="00D377A8" w:rsidRPr="00B36C69">
        <w:rPr>
          <w:rFonts w:eastAsia="Times New Roman"/>
          <w:color w:val="000000"/>
          <w:sz w:val="22"/>
          <w:szCs w:val="22"/>
          <w:lang w:eastAsia="en-AU"/>
        </w:rPr>
        <w:t xml:space="preserve"> or a person who has a mature skeleton</w:t>
      </w:r>
      <w:r w:rsidR="00A26908">
        <w:rPr>
          <w:rFonts w:eastAsia="Times New Roman"/>
          <w:color w:val="000000"/>
          <w:sz w:val="22"/>
          <w:szCs w:val="22"/>
          <w:lang w:eastAsia="en-AU"/>
        </w:rPr>
        <w:t>, or a person who has been diagnosed with Prader-Willis syndrome and is aged 18 years or older</w:t>
      </w:r>
      <w:r w:rsidR="00D377A8" w:rsidRPr="00B36C69">
        <w:rPr>
          <w:rFonts w:eastAsia="Times New Roman"/>
          <w:color w:val="000000"/>
          <w:sz w:val="22"/>
          <w:szCs w:val="22"/>
          <w:lang w:eastAsia="en-AU"/>
        </w:rPr>
        <w:t>.</w:t>
      </w:r>
      <w:r w:rsidR="00400B14" w:rsidRPr="00B36C69">
        <w:rPr>
          <w:rFonts w:eastAsia="Times New Roman"/>
          <w:color w:val="000000"/>
          <w:sz w:val="22"/>
          <w:szCs w:val="22"/>
          <w:lang w:eastAsia="en-AU"/>
        </w:rPr>
        <w:t>”</w:t>
      </w:r>
      <w:r w:rsidR="00D377A8" w:rsidRPr="00B36C69">
        <w:rPr>
          <w:rFonts w:eastAsia="Times New Roman"/>
          <w:color w:val="000000"/>
          <w:sz w:val="22"/>
          <w:szCs w:val="22"/>
          <w:lang w:eastAsia="en-AU"/>
        </w:rPr>
        <w:t xml:space="preserve"> </w:t>
      </w:r>
    </w:p>
    <w:p w14:paraId="587A8D13" w14:textId="33747041" w:rsidR="00A87F2B" w:rsidRPr="00B36C69" w:rsidRDefault="004F4CDD" w:rsidP="00D377A8">
      <w:pPr>
        <w:shd w:val="clear" w:color="auto" w:fill="FFFFFF"/>
        <w:spacing w:before="120" w:after="0" w:line="240" w:lineRule="auto"/>
        <w:jc w:val="both"/>
        <w:rPr>
          <w:rFonts w:eastAsia="Times New Roman"/>
          <w:color w:val="000000"/>
          <w:sz w:val="22"/>
          <w:szCs w:val="22"/>
          <w:lang w:eastAsia="en-AU"/>
        </w:rPr>
      </w:pPr>
      <w:r w:rsidRPr="00B36C69">
        <w:rPr>
          <w:rFonts w:eastAsia="Times New Roman"/>
          <w:color w:val="000000"/>
          <w:sz w:val="22"/>
          <w:szCs w:val="22"/>
          <w:lang w:eastAsia="en-AU"/>
        </w:rPr>
        <w:t>Item 2</w:t>
      </w:r>
      <w:r w:rsidR="00D377A8" w:rsidRPr="00B36C69">
        <w:rPr>
          <w:rFonts w:eastAsia="Times New Roman"/>
          <w:color w:val="000000"/>
          <w:sz w:val="22"/>
          <w:szCs w:val="22"/>
          <w:lang w:eastAsia="en-AU"/>
        </w:rPr>
        <w:t xml:space="preserve"> </w:t>
      </w:r>
      <w:r w:rsidR="00F23E49" w:rsidRPr="00B36C69">
        <w:rPr>
          <w:rFonts w:eastAsia="Times New Roman"/>
          <w:color w:val="000000"/>
          <w:sz w:val="22"/>
          <w:szCs w:val="22"/>
          <w:lang w:eastAsia="en-AU"/>
        </w:rPr>
        <w:t>r</w:t>
      </w:r>
      <w:r w:rsidRPr="00B36C69">
        <w:rPr>
          <w:rFonts w:eastAsia="Times New Roman"/>
          <w:color w:val="000000"/>
          <w:sz w:val="22"/>
          <w:szCs w:val="22"/>
          <w:lang w:eastAsia="en-AU"/>
        </w:rPr>
        <w:t>epeals</w:t>
      </w:r>
      <w:r w:rsidR="00D377A8" w:rsidRPr="00B36C69">
        <w:rPr>
          <w:rFonts w:eastAsia="Times New Roman"/>
          <w:color w:val="000000"/>
          <w:sz w:val="22"/>
          <w:szCs w:val="22"/>
          <w:lang w:eastAsia="en-AU"/>
        </w:rPr>
        <w:t xml:space="preserve"> </w:t>
      </w:r>
      <w:r w:rsidR="006440AA" w:rsidRPr="00B36C69">
        <w:rPr>
          <w:rFonts w:eastAsia="Times New Roman"/>
          <w:color w:val="000000"/>
          <w:sz w:val="22"/>
          <w:szCs w:val="22"/>
          <w:lang w:eastAsia="en-AU"/>
        </w:rPr>
        <w:t xml:space="preserve">and </w:t>
      </w:r>
      <w:r w:rsidR="00400B14" w:rsidRPr="00B36C69">
        <w:rPr>
          <w:rFonts w:eastAsia="Times New Roman"/>
          <w:color w:val="000000"/>
          <w:sz w:val="22"/>
          <w:szCs w:val="22"/>
          <w:lang w:eastAsia="en-AU"/>
        </w:rPr>
        <w:t>substitutes</w:t>
      </w:r>
      <w:r w:rsidR="00A26908">
        <w:rPr>
          <w:rFonts w:eastAsia="Times New Roman"/>
          <w:color w:val="000000"/>
          <w:sz w:val="22"/>
          <w:szCs w:val="22"/>
          <w:lang w:eastAsia="en-AU"/>
        </w:rPr>
        <w:t xml:space="preserve"> a new</w:t>
      </w:r>
      <w:r w:rsidR="002B0DA1">
        <w:rPr>
          <w:rFonts w:eastAsia="Times New Roman"/>
          <w:color w:val="000000"/>
          <w:sz w:val="22"/>
          <w:szCs w:val="22"/>
          <w:lang w:eastAsia="en-AU"/>
        </w:rPr>
        <w:t xml:space="preserve"> </w:t>
      </w:r>
      <w:r w:rsidR="00D377A8" w:rsidRPr="00B36C69">
        <w:rPr>
          <w:rFonts w:eastAsia="Times New Roman"/>
          <w:color w:val="000000"/>
          <w:sz w:val="22"/>
          <w:szCs w:val="22"/>
          <w:lang w:eastAsia="en-AU"/>
        </w:rPr>
        <w:t xml:space="preserve">definition of “child” in subsection 4(1) of the </w:t>
      </w:r>
      <w:r w:rsidR="00A26908">
        <w:rPr>
          <w:rFonts w:eastAsia="Times New Roman"/>
          <w:color w:val="000000"/>
          <w:sz w:val="22"/>
          <w:szCs w:val="22"/>
          <w:lang w:eastAsia="en-AU"/>
        </w:rPr>
        <w:t xml:space="preserve">Primary </w:t>
      </w:r>
      <w:r w:rsidR="006440AA" w:rsidRPr="00B36C69">
        <w:rPr>
          <w:rFonts w:eastAsia="Times New Roman"/>
          <w:color w:val="000000"/>
          <w:sz w:val="22"/>
          <w:szCs w:val="22"/>
          <w:lang w:eastAsia="en-AU"/>
        </w:rPr>
        <w:t>Instrument</w:t>
      </w:r>
      <w:r w:rsidR="00D377A8" w:rsidRPr="00B36C69">
        <w:rPr>
          <w:rFonts w:eastAsia="Times New Roman"/>
          <w:color w:val="000000"/>
          <w:sz w:val="22"/>
          <w:szCs w:val="22"/>
          <w:lang w:eastAsia="en-AU"/>
        </w:rPr>
        <w:t>. A c</w:t>
      </w:r>
      <w:r w:rsidR="001D1C68" w:rsidRPr="00B36C69">
        <w:rPr>
          <w:rFonts w:eastAsia="Times New Roman"/>
          <w:color w:val="000000"/>
          <w:sz w:val="22"/>
          <w:szCs w:val="22"/>
          <w:lang w:eastAsia="en-AU"/>
        </w:rPr>
        <w:t xml:space="preserve">hild is </w:t>
      </w:r>
      <w:r w:rsidR="00A26908">
        <w:rPr>
          <w:rFonts w:eastAsia="Times New Roman"/>
          <w:color w:val="000000"/>
          <w:sz w:val="22"/>
          <w:szCs w:val="22"/>
          <w:lang w:eastAsia="en-AU"/>
        </w:rPr>
        <w:t xml:space="preserve">now </w:t>
      </w:r>
      <w:r w:rsidR="001D1C68" w:rsidRPr="00B36C69">
        <w:rPr>
          <w:rFonts w:eastAsia="Times New Roman"/>
          <w:color w:val="000000"/>
          <w:sz w:val="22"/>
          <w:szCs w:val="22"/>
          <w:lang w:eastAsia="en-AU"/>
        </w:rPr>
        <w:t>defined as a person</w:t>
      </w:r>
      <w:r w:rsidR="00A26908">
        <w:rPr>
          <w:rFonts w:eastAsia="Times New Roman"/>
          <w:color w:val="000000"/>
          <w:sz w:val="22"/>
          <w:szCs w:val="22"/>
          <w:lang w:eastAsia="en-AU"/>
        </w:rPr>
        <w:t xml:space="preserve"> who is any of the following: a person</w:t>
      </w:r>
      <w:r w:rsidR="001D1C68" w:rsidRPr="00B36C69">
        <w:rPr>
          <w:rFonts w:eastAsia="Times New Roman"/>
          <w:color w:val="000000"/>
          <w:sz w:val="22"/>
          <w:szCs w:val="22"/>
          <w:lang w:eastAsia="en-AU"/>
        </w:rPr>
        <w:t xml:space="preserve"> that </w:t>
      </w:r>
      <w:r w:rsidR="00CC5730">
        <w:rPr>
          <w:rFonts w:eastAsia="Times New Roman"/>
          <w:color w:val="000000"/>
          <w:sz w:val="22"/>
          <w:szCs w:val="22"/>
          <w:lang w:eastAsia="en-AU"/>
        </w:rPr>
        <w:t xml:space="preserve">is not </w:t>
      </w:r>
      <w:r w:rsidR="001D1C68" w:rsidRPr="00B36C69">
        <w:rPr>
          <w:rFonts w:eastAsia="Times New Roman"/>
          <w:color w:val="000000"/>
          <w:sz w:val="22"/>
          <w:szCs w:val="22"/>
          <w:lang w:eastAsia="en-AU"/>
        </w:rPr>
        <w:t>an adult</w:t>
      </w:r>
      <w:r w:rsidR="00CC5730">
        <w:rPr>
          <w:rFonts w:eastAsia="Times New Roman"/>
          <w:color w:val="000000"/>
          <w:sz w:val="22"/>
          <w:szCs w:val="22"/>
          <w:lang w:eastAsia="en-AU"/>
        </w:rPr>
        <w:t>, or a person who has been diagnosed with Prader-Willis syndrome and is less than 18 years of age</w:t>
      </w:r>
      <w:r w:rsidR="006440AA" w:rsidRPr="00B36C69">
        <w:rPr>
          <w:rFonts w:eastAsia="Times New Roman"/>
          <w:color w:val="000000"/>
          <w:sz w:val="22"/>
          <w:szCs w:val="22"/>
          <w:lang w:eastAsia="en-AU"/>
        </w:rPr>
        <w:t xml:space="preserve">. </w:t>
      </w:r>
    </w:p>
    <w:p w14:paraId="7082E97E" w14:textId="77777777" w:rsidR="00A87F2B" w:rsidRPr="00B36C69" w:rsidRDefault="00A87F2B">
      <w:pPr>
        <w:rPr>
          <w:rFonts w:eastAsia="Times New Roman"/>
          <w:color w:val="000000"/>
          <w:sz w:val="22"/>
          <w:szCs w:val="22"/>
          <w:lang w:eastAsia="en-AU"/>
        </w:rPr>
      </w:pPr>
      <w:r w:rsidRPr="00B36C69">
        <w:rPr>
          <w:rFonts w:eastAsia="Times New Roman"/>
          <w:color w:val="000000"/>
          <w:sz w:val="22"/>
          <w:szCs w:val="22"/>
          <w:lang w:eastAsia="en-AU"/>
        </w:rPr>
        <w:br w:type="page"/>
      </w:r>
    </w:p>
    <w:p w14:paraId="69446D93" w14:textId="77777777" w:rsidR="00D377A8" w:rsidRPr="00F00FE8" w:rsidRDefault="00A87F2B" w:rsidP="00D377A8">
      <w:pPr>
        <w:shd w:val="clear" w:color="auto" w:fill="FFFFFF"/>
        <w:spacing w:before="120" w:after="0" w:line="240" w:lineRule="auto"/>
        <w:jc w:val="both"/>
        <w:rPr>
          <w:rFonts w:asciiTheme="minorHAnsi" w:eastAsia="Times New Roman" w:hAnsiTheme="minorHAnsi" w:cstheme="minorHAnsi"/>
          <w:color w:val="000000"/>
          <w:sz w:val="22"/>
          <w:szCs w:val="22"/>
          <w:lang w:eastAsia="en-AU"/>
        </w:rPr>
      </w:pPr>
      <w:r w:rsidRPr="00812D63">
        <w:rPr>
          <w:rFonts w:asciiTheme="minorHAnsi" w:hAnsiTheme="minorHAnsi" w:cstheme="minorHAnsi"/>
          <w:noProof/>
          <w:lang w:eastAsia="en-AU"/>
        </w:rPr>
        <w:lastRenderedPageBreak/>
        <mc:AlternateContent>
          <mc:Choice Requires="wps">
            <w:drawing>
              <wp:anchor distT="0" distB="0" distL="114300" distR="114300" simplePos="0" relativeHeight="251659264" behindDoc="0" locked="0" layoutInCell="1" allowOverlap="1" wp14:anchorId="012C8256" wp14:editId="2390E03B">
                <wp:simplePos x="0" y="0"/>
                <wp:positionH relativeFrom="column">
                  <wp:posOffset>-103505</wp:posOffset>
                </wp:positionH>
                <wp:positionV relativeFrom="paragraph">
                  <wp:posOffset>-196215</wp:posOffset>
                </wp:positionV>
                <wp:extent cx="6162675" cy="9601200"/>
                <wp:effectExtent l="38100" t="38100" r="4762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601200"/>
                        </a:xfrm>
                        <a:prstGeom prst="rect">
                          <a:avLst/>
                        </a:prstGeom>
                        <a:solidFill>
                          <a:srgbClr val="FFFFFF"/>
                        </a:solidFill>
                        <a:ln w="76200" cmpd="tri">
                          <a:solidFill>
                            <a:srgbClr val="000000"/>
                          </a:solidFill>
                          <a:miter lim="800000"/>
                          <a:headEnd/>
                          <a:tailEnd/>
                        </a:ln>
                      </wps:spPr>
                      <wps:txbx>
                        <w:txbxContent>
                          <w:p w14:paraId="17ECED8B" w14:textId="77777777" w:rsidR="00A87F2B" w:rsidRPr="006D4AC4" w:rsidRDefault="00A87F2B" w:rsidP="00A87F2B">
                            <w:pPr>
                              <w:spacing w:before="120"/>
                              <w:jc w:val="center"/>
                              <w:rPr>
                                <w:b/>
                                <w:sz w:val="26"/>
                                <w:szCs w:val="26"/>
                              </w:rPr>
                            </w:pPr>
                            <w:r w:rsidRPr="006D4AC4">
                              <w:rPr>
                                <w:b/>
                                <w:sz w:val="26"/>
                                <w:szCs w:val="26"/>
                              </w:rPr>
                              <w:t>Statement of Compatibility with Human Rights</w:t>
                            </w:r>
                          </w:p>
                          <w:p w14:paraId="7761AA69" w14:textId="77777777" w:rsidR="00A87F2B" w:rsidRPr="006D4AC4" w:rsidRDefault="00A87F2B" w:rsidP="00A87F2B">
                            <w:pPr>
                              <w:spacing w:before="120"/>
                              <w:jc w:val="center"/>
                              <w:rPr>
                                <w:i/>
                                <w:sz w:val="18"/>
                                <w:szCs w:val="18"/>
                              </w:rPr>
                            </w:pPr>
                            <w:r w:rsidRPr="006D4AC4">
                              <w:rPr>
                                <w:i/>
                                <w:sz w:val="18"/>
                                <w:szCs w:val="18"/>
                              </w:rPr>
                              <w:t>Prepared in accordance with Part 3 of the Human Rights (Parliamentary Scrutiny) Act 2011</w:t>
                            </w:r>
                          </w:p>
                          <w:p w14:paraId="62C2E399" w14:textId="77777777" w:rsidR="00A87F2B" w:rsidRPr="006D4AC4" w:rsidRDefault="00A87F2B" w:rsidP="00A87F2B">
                            <w:pPr>
                              <w:pStyle w:val="Heading4"/>
                              <w:spacing w:after="0"/>
                              <w:rPr>
                                <w:i/>
                                <w:iCs/>
                                <w:color w:val="000000"/>
                                <w:sz w:val="22"/>
                                <w:szCs w:val="22"/>
                              </w:rPr>
                            </w:pPr>
                            <w:r w:rsidRPr="006D4AC4">
                              <w:rPr>
                                <w:i/>
                                <w:iCs/>
                                <w:color w:val="000000"/>
                                <w:sz w:val="22"/>
                                <w:szCs w:val="22"/>
                              </w:rPr>
                              <w:t>National Health (Growth Hormone Program) Special Arrangement Amendment Instrument 2019 (No. 3)</w:t>
                            </w:r>
                          </w:p>
                          <w:p w14:paraId="1599C95A" w14:textId="77777777" w:rsidR="00A87F2B" w:rsidRPr="006D4AC4" w:rsidRDefault="00A87F2B" w:rsidP="00474013">
                            <w:pPr>
                              <w:spacing w:before="120" w:after="0"/>
                              <w:jc w:val="both"/>
                              <w:rPr>
                                <w:sz w:val="22"/>
                                <w:szCs w:val="22"/>
                              </w:rPr>
                            </w:pPr>
                            <w:r w:rsidRPr="006D4AC4">
                              <w:rPr>
                                <w:sz w:val="22"/>
                                <w:szCs w:val="22"/>
                              </w:rPr>
                              <w:t xml:space="preserve">This Legislative Instrument is compatible with the human rights and freedoms recognised or declared in the international instruments listed in section 3 of the </w:t>
                            </w:r>
                            <w:r w:rsidRPr="006D4AC4">
                              <w:rPr>
                                <w:i/>
                                <w:sz w:val="22"/>
                                <w:szCs w:val="22"/>
                              </w:rPr>
                              <w:t>Human Rights (Parliamentary Scrutiny) Act 2011</w:t>
                            </w:r>
                            <w:r w:rsidRPr="006D4AC4">
                              <w:rPr>
                                <w:sz w:val="22"/>
                                <w:szCs w:val="22"/>
                              </w:rPr>
                              <w:t>.</w:t>
                            </w:r>
                          </w:p>
                          <w:p w14:paraId="4C05F43A" w14:textId="4AF45D4C" w:rsidR="00A87F2B" w:rsidRPr="006D4AC4" w:rsidRDefault="00A87F2B" w:rsidP="00474013">
                            <w:pPr>
                              <w:spacing w:before="120" w:after="120"/>
                              <w:jc w:val="both"/>
                              <w:rPr>
                                <w:b/>
                                <w:sz w:val="22"/>
                                <w:szCs w:val="22"/>
                              </w:rPr>
                            </w:pPr>
                            <w:r w:rsidRPr="006D4AC4">
                              <w:rPr>
                                <w:b/>
                                <w:sz w:val="22"/>
                                <w:szCs w:val="22"/>
                              </w:rPr>
                              <w:t>Overview of the Legislative Instrument</w:t>
                            </w:r>
                          </w:p>
                          <w:p w14:paraId="1B772C84" w14:textId="1E610F5A" w:rsidR="006F0EF5" w:rsidRPr="006D4AC4" w:rsidRDefault="00A87F2B" w:rsidP="006F0EF5">
                            <w:pPr>
                              <w:shd w:val="clear" w:color="auto" w:fill="FFFFFF"/>
                              <w:spacing w:before="120" w:after="0" w:line="240" w:lineRule="auto"/>
                              <w:jc w:val="both"/>
                              <w:rPr>
                                <w:rFonts w:eastAsia="Times New Roman"/>
                                <w:color w:val="000000"/>
                                <w:sz w:val="22"/>
                                <w:szCs w:val="22"/>
                                <w:lang w:eastAsia="en-AU"/>
                              </w:rPr>
                            </w:pPr>
                            <w:r w:rsidRPr="006D4AC4">
                              <w:rPr>
                                <w:sz w:val="22"/>
                                <w:szCs w:val="22"/>
                              </w:rPr>
                              <w:t xml:space="preserve">The purpose of this Legislative Instrument, made under section 100 of the </w:t>
                            </w:r>
                            <w:r w:rsidRPr="006D4AC4">
                              <w:rPr>
                                <w:i/>
                                <w:sz w:val="22"/>
                                <w:szCs w:val="22"/>
                              </w:rPr>
                              <w:t xml:space="preserve">National Health Act 1953 </w:t>
                            </w:r>
                            <w:r w:rsidRPr="006D4AC4">
                              <w:rPr>
                                <w:sz w:val="22"/>
                                <w:szCs w:val="22"/>
                              </w:rPr>
                              <w:t xml:space="preserve">(the Act), is to </w:t>
                            </w:r>
                            <w:r w:rsidR="006F0EF5" w:rsidRPr="006D4AC4">
                              <w:rPr>
                                <w:sz w:val="22"/>
                                <w:szCs w:val="22"/>
                              </w:rPr>
                              <w:t>make changes to the definitions of adult and child relating to the Growth Hormone Program</w:t>
                            </w:r>
                            <w:r w:rsidR="00C55278" w:rsidRPr="006D4AC4">
                              <w:rPr>
                                <w:sz w:val="22"/>
                                <w:szCs w:val="22"/>
                              </w:rPr>
                              <w:t>.</w:t>
                            </w:r>
                            <w:r w:rsidR="006F0EF5" w:rsidRPr="006D4AC4">
                              <w:rPr>
                                <w:sz w:val="22"/>
                                <w:szCs w:val="22"/>
                              </w:rPr>
                              <w:t xml:space="preserve"> </w:t>
                            </w:r>
                            <w:r w:rsidR="00C55278" w:rsidRPr="006D4AC4">
                              <w:rPr>
                                <w:sz w:val="22"/>
                                <w:szCs w:val="22"/>
                              </w:rPr>
                              <w:t>This</w:t>
                            </w:r>
                            <w:r w:rsidR="006F0EF5" w:rsidRPr="006D4AC4">
                              <w:rPr>
                                <w:sz w:val="22"/>
                                <w:szCs w:val="22"/>
                              </w:rPr>
                              <w:t xml:space="preserve"> </w:t>
                            </w:r>
                            <w:r w:rsidR="00C55278" w:rsidRPr="006D4AC4">
                              <w:rPr>
                                <w:sz w:val="22"/>
                                <w:szCs w:val="22"/>
                              </w:rPr>
                              <w:t xml:space="preserve">ensures that </w:t>
                            </w:r>
                            <w:r w:rsidR="006F0EF5" w:rsidRPr="006D4AC4">
                              <w:rPr>
                                <w:sz w:val="22"/>
                                <w:szCs w:val="22"/>
                              </w:rPr>
                              <w:t>the</w:t>
                            </w:r>
                            <w:r w:rsidR="009615FD" w:rsidRPr="006D4AC4">
                              <w:rPr>
                                <w:sz w:val="20"/>
                                <w:szCs w:val="20"/>
                              </w:rPr>
                              <w:t xml:space="preserve"> </w:t>
                            </w:r>
                            <w:r w:rsidR="009615FD" w:rsidRPr="006D4AC4">
                              <w:rPr>
                                <w:sz w:val="22"/>
                                <w:szCs w:val="22"/>
                              </w:rPr>
                              <w:t>appropriate pharmaceutical benefits listed in either Schedule 1 or 2 to the Primary Instrument are available for patients who require treatment with growth hormone (somatropin) in line with their diagnosis and appropriate age measure.</w:t>
                            </w:r>
                          </w:p>
                          <w:p w14:paraId="79E53AA3" w14:textId="77777777" w:rsidR="00640521" w:rsidRPr="00640521" w:rsidRDefault="00640521" w:rsidP="00640521">
                            <w:pPr>
                              <w:shd w:val="clear" w:color="auto" w:fill="FFFFFF"/>
                              <w:spacing w:before="120" w:after="0" w:line="240" w:lineRule="auto"/>
                              <w:jc w:val="both"/>
                              <w:rPr>
                                <w:rFonts w:eastAsia="Times New Roman"/>
                                <w:color w:val="000000"/>
                                <w:sz w:val="22"/>
                                <w:szCs w:val="22"/>
                                <w:lang w:eastAsia="en-AU"/>
                              </w:rPr>
                            </w:pPr>
                            <w:r w:rsidRPr="00640521">
                              <w:rPr>
                                <w:rFonts w:eastAsia="Times New Roman"/>
                                <w:color w:val="000000"/>
                                <w:sz w:val="22"/>
                                <w:szCs w:val="22"/>
                                <w:lang w:eastAsia="en-AU"/>
                              </w:rPr>
                              <w:t xml:space="preserve">The current definition distinguishes a child or an adult on the basis of the person having reached or not reached the age of 18 years.  However, this definition is not always appropriate as maturity of skeleton can be reached before the age of 18, and some conditions that require treatment with growth hormone are dependent on skeletal maturity, rather than the chronological age of the person. </w:t>
                            </w:r>
                          </w:p>
                          <w:p w14:paraId="6A078868" w14:textId="77777777" w:rsidR="00640521" w:rsidRPr="00640521" w:rsidRDefault="00640521" w:rsidP="00640521">
                            <w:pPr>
                              <w:shd w:val="clear" w:color="auto" w:fill="FFFFFF"/>
                              <w:spacing w:before="120" w:after="0" w:line="240" w:lineRule="auto"/>
                              <w:jc w:val="both"/>
                              <w:rPr>
                                <w:rFonts w:eastAsia="Times New Roman"/>
                                <w:color w:val="000000"/>
                                <w:sz w:val="22"/>
                                <w:szCs w:val="22"/>
                                <w:lang w:eastAsia="en-AU"/>
                              </w:rPr>
                            </w:pPr>
                            <w:r w:rsidRPr="00640521">
                              <w:rPr>
                                <w:rFonts w:eastAsia="Times New Roman"/>
                                <w:color w:val="000000"/>
                                <w:sz w:val="22"/>
                                <w:szCs w:val="22"/>
                                <w:lang w:eastAsia="en-AU"/>
                              </w:rPr>
                              <w:t xml:space="preserve">For most paediatric patients, access to pharmaceutical benefits under Schedule 1 to the Primary Instrument ceases upon reaching maturity of skeleton. As skeletal maturity may occur prior to the age of 18, the current definitions of adult and child are not sufficient to allow for patients with CO-GHD due to a congenital, genetic or structural cause to continue to access PBS-subsidised growth hormone treatment between reaching skeletal maturity and the age of 18 years. </w:t>
                            </w:r>
                          </w:p>
                          <w:p w14:paraId="3E08EE19" w14:textId="77777777" w:rsidR="00640521" w:rsidRPr="00640521" w:rsidRDefault="00640521" w:rsidP="00640521">
                            <w:pPr>
                              <w:shd w:val="clear" w:color="auto" w:fill="FFFFFF"/>
                              <w:spacing w:before="120" w:after="0" w:line="240" w:lineRule="auto"/>
                              <w:jc w:val="both"/>
                              <w:rPr>
                                <w:rFonts w:eastAsia="Times New Roman"/>
                                <w:color w:val="000000"/>
                                <w:sz w:val="22"/>
                                <w:szCs w:val="22"/>
                                <w:lang w:eastAsia="en-AU"/>
                              </w:rPr>
                            </w:pPr>
                            <w:r w:rsidRPr="00640521">
                              <w:rPr>
                                <w:rFonts w:eastAsia="Times New Roman"/>
                                <w:color w:val="000000"/>
                                <w:sz w:val="22"/>
                                <w:szCs w:val="22"/>
                                <w:lang w:eastAsia="en-AU"/>
                              </w:rPr>
                              <w:t xml:space="preserve">Prader-Willi syndrome (PWS), a genetic disorder often accompanied by GHD, is the only PBS eligible paediatric GHD condition where chronological age, rather than maturity of skeleton is the limiting factor for eligibility to PBS subsidised growth hormone treatment. Therefore, the amended definitions of adult and child allow PWS patients continued access to Schedule 1 to the Primary Instrument until the age of 18, even if skeletal maturity has been reached. </w:t>
                            </w:r>
                          </w:p>
                          <w:p w14:paraId="77C03805" w14:textId="77777777" w:rsidR="00640521" w:rsidRPr="00640521" w:rsidRDefault="00640521" w:rsidP="00640521">
                            <w:pPr>
                              <w:shd w:val="clear" w:color="auto" w:fill="FFFFFF"/>
                              <w:spacing w:before="120" w:after="0" w:line="240" w:lineRule="auto"/>
                              <w:jc w:val="both"/>
                              <w:rPr>
                                <w:rFonts w:eastAsia="Times New Roman"/>
                                <w:color w:val="000000"/>
                                <w:sz w:val="22"/>
                                <w:szCs w:val="22"/>
                                <w:lang w:eastAsia="en-AU"/>
                              </w:rPr>
                            </w:pPr>
                            <w:r w:rsidRPr="00640521">
                              <w:rPr>
                                <w:rFonts w:eastAsia="Times New Roman"/>
                                <w:color w:val="000000"/>
                                <w:sz w:val="22"/>
                                <w:szCs w:val="22"/>
                                <w:lang w:eastAsia="en-AU"/>
                              </w:rPr>
                              <w:t>The definitions of adult and child have been amended to reflect reference to skeletal maturity as occurs in CO-GHD. As skeletal maturity does not form a basis in determining the treatment of GHD in adults, the previous definition of an adult as “a person who has turned 18” is still considered applicable for persons with adult-onset GHD.</w:t>
                            </w:r>
                          </w:p>
                          <w:p w14:paraId="00E3A18B" w14:textId="7418D56A" w:rsidR="000D5E14" w:rsidRDefault="006F0EF5" w:rsidP="00640521">
                            <w:pPr>
                              <w:shd w:val="clear" w:color="auto" w:fill="FFFFFF"/>
                              <w:spacing w:before="120" w:after="0" w:line="240" w:lineRule="auto"/>
                              <w:jc w:val="both"/>
                              <w:rPr>
                                <w:sz w:val="22"/>
                                <w:szCs w:val="22"/>
                              </w:rPr>
                            </w:pPr>
                            <w:r w:rsidRPr="00640521">
                              <w:rPr>
                                <w:sz w:val="22"/>
                                <w:szCs w:val="22"/>
                              </w:rPr>
                              <w:t>The definitions of adult and child</w:t>
                            </w:r>
                            <w:r w:rsidRPr="006D4AC4">
                              <w:rPr>
                                <w:sz w:val="22"/>
                                <w:szCs w:val="22"/>
                              </w:rPr>
                              <w:t xml:space="preserve"> set out in this Legislative Instrument for the purposes of patient eligibility of paediatric and adult patients to access PBS subsidised somatropin (growth hormone) treatment have been based on clinical evidence and the expert</w:t>
                            </w:r>
                            <w:r w:rsidR="00230BDD" w:rsidRPr="006D4AC4">
                              <w:rPr>
                                <w:sz w:val="22"/>
                                <w:szCs w:val="22"/>
                              </w:rPr>
                              <w:t xml:space="preserve"> opinion of the Pharmaceutical B</w:t>
                            </w:r>
                            <w:r w:rsidRPr="006D4AC4">
                              <w:rPr>
                                <w:sz w:val="22"/>
                                <w:szCs w:val="22"/>
                              </w:rPr>
                              <w:t xml:space="preserve">enefits Advisory Committee (PBAC). </w:t>
                            </w:r>
                          </w:p>
                          <w:p w14:paraId="56066E1D" w14:textId="0D188644" w:rsidR="00A87F2B" w:rsidRPr="006D4AC4" w:rsidRDefault="00A87F2B" w:rsidP="000D5E14">
                            <w:pPr>
                              <w:shd w:val="clear" w:color="auto" w:fill="FFFFFF"/>
                              <w:spacing w:before="120" w:after="120" w:line="240" w:lineRule="auto"/>
                              <w:jc w:val="both"/>
                              <w:rPr>
                                <w:b/>
                                <w:sz w:val="22"/>
                                <w:szCs w:val="22"/>
                              </w:rPr>
                            </w:pPr>
                            <w:r w:rsidRPr="006D4AC4">
                              <w:rPr>
                                <w:b/>
                                <w:sz w:val="22"/>
                                <w:szCs w:val="22"/>
                              </w:rPr>
                              <w:t>Human Rights Implications</w:t>
                            </w:r>
                          </w:p>
                          <w:p w14:paraId="4FBB21B4" w14:textId="0A2AE5A0" w:rsidR="00A87F2B" w:rsidRPr="006D4AC4" w:rsidRDefault="00A87F2B" w:rsidP="000D5E14">
                            <w:pPr>
                              <w:spacing w:after="120"/>
                              <w:jc w:val="both"/>
                              <w:rPr>
                                <w:sz w:val="22"/>
                                <w:szCs w:val="22"/>
                              </w:rPr>
                            </w:pPr>
                            <w:r w:rsidRPr="006D4AC4">
                              <w:rPr>
                                <w:sz w:val="22"/>
                                <w:szCs w:val="22"/>
                              </w:rPr>
                              <w:t>This Legislative Instrument engages Article 12 of the International Covenant on Economic, Social and Cultural Rights (ICESCR) by assisting with the progressive realisation by all appropriate means of the right of everyone to the enjoyment of the highest attainable standard of physical and mental health.</w:t>
                            </w:r>
                          </w:p>
                          <w:p w14:paraId="73EECC1A" w14:textId="77777777" w:rsidR="000D5E14" w:rsidRPr="000D5E14" w:rsidRDefault="00A87F2B" w:rsidP="000D5E14">
                            <w:pPr>
                              <w:spacing w:after="0"/>
                              <w:jc w:val="both"/>
                              <w:rPr>
                                <w:sz w:val="22"/>
                                <w:szCs w:val="22"/>
                              </w:rPr>
                            </w:pPr>
                            <w:r w:rsidRPr="006D4AC4">
                              <w:rPr>
                                <w:sz w:val="22"/>
                                <w:szCs w:val="22"/>
                              </w:rPr>
                              <w:t xml:space="preserve">This Instrument assists with the advancement of this right by ensuring continued access to PBS </w:t>
                            </w:r>
                            <w:r w:rsidRPr="000D5E14">
                              <w:rPr>
                                <w:sz w:val="22"/>
                                <w:szCs w:val="22"/>
                              </w:rPr>
                              <w:t xml:space="preserve">subsidised somatropin (growth hormone) treatment for paediatric and adult patients </w:t>
                            </w:r>
                            <w:r w:rsidR="009615FD" w:rsidRPr="000D5E14">
                              <w:rPr>
                                <w:sz w:val="22"/>
                                <w:szCs w:val="22"/>
                              </w:rPr>
                              <w:t>in line with their diagnosis and appropriate age measure.</w:t>
                            </w:r>
                          </w:p>
                          <w:p w14:paraId="3DF8236E" w14:textId="318C7199" w:rsidR="00A87F2B" w:rsidRPr="000D5E14" w:rsidRDefault="00A87F2B" w:rsidP="000D5E14">
                            <w:pPr>
                              <w:spacing w:before="120" w:after="120"/>
                              <w:jc w:val="both"/>
                              <w:rPr>
                                <w:sz w:val="22"/>
                                <w:szCs w:val="22"/>
                              </w:rPr>
                            </w:pPr>
                            <w:r w:rsidRPr="000D5E14">
                              <w:rPr>
                                <w:b/>
                                <w:sz w:val="22"/>
                                <w:szCs w:val="22"/>
                              </w:rPr>
                              <w:t>Conclusion</w:t>
                            </w:r>
                          </w:p>
                          <w:p w14:paraId="7374053B" w14:textId="6B4B38C3" w:rsidR="00A87F2B" w:rsidRPr="000D5E14" w:rsidRDefault="00A87F2B" w:rsidP="000D5E14">
                            <w:pPr>
                              <w:spacing w:after="120"/>
                              <w:jc w:val="both"/>
                              <w:rPr>
                                <w:sz w:val="22"/>
                                <w:szCs w:val="22"/>
                              </w:rPr>
                            </w:pPr>
                            <w:r w:rsidRPr="000D5E14">
                              <w:rPr>
                                <w:sz w:val="22"/>
                                <w:szCs w:val="22"/>
                              </w:rPr>
                              <w:t xml:space="preserve">This Legislative Instrument is compatible with human rights because it </w:t>
                            </w:r>
                            <w:r w:rsidR="00AC0E89" w:rsidRPr="000D5E14">
                              <w:rPr>
                                <w:sz w:val="22"/>
                                <w:szCs w:val="22"/>
                              </w:rPr>
                              <w:t xml:space="preserve">continues to </w:t>
                            </w:r>
                            <w:r w:rsidRPr="000D5E14">
                              <w:rPr>
                                <w:sz w:val="22"/>
                                <w:szCs w:val="22"/>
                              </w:rPr>
                              <w:t>promote the right to health.</w:t>
                            </w:r>
                          </w:p>
                          <w:p w14:paraId="44F99335" w14:textId="77777777" w:rsidR="00A87F2B" w:rsidRPr="000D5E14" w:rsidRDefault="00A87F2B" w:rsidP="00A87F2B">
                            <w:pPr>
                              <w:widowControl w:val="0"/>
                              <w:tabs>
                                <w:tab w:val="left" w:pos="3119"/>
                              </w:tabs>
                              <w:spacing w:after="0" w:line="300" w:lineRule="atLeast"/>
                              <w:jc w:val="center"/>
                              <w:rPr>
                                <w:b/>
                                <w:sz w:val="22"/>
                                <w:szCs w:val="22"/>
                              </w:rPr>
                            </w:pPr>
                            <w:r w:rsidRPr="000D5E14">
                              <w:rPr>
                                <w:b/>
                                <w:sz w:val="22"/>
                                <w:szCs w:val="22"/>
                              </w:rPr>
                              <w:t>Natasha Ploenges</w:t>
                            </w:r>
                          </w:p>
                          <w:p w14:paraId="35912BF3" w14:textId="77777777" w:rsidR="00A87F2B" w:rsidRPr="000D5E14" w:rsidRDefault="00A87F2B" w:rsidP="00A87F2B">
                            <w:pPr>
                              <w:widowControl w:val="0"/>
                              <w:tabs>
                                <w:tab w:val="left" w:pos="3119"/>
                              </w:tabs>
                              <w:spacing w:after="0" w:line="300" w:lineRule="atLeast"/>
                              <w:jc w:val="center"/>
                              <w:rPr>
                                <w:b/>
                                <w:sz w:val="22"/>
                                <w:szCs w:val="22"/>
                              </w:rPr>
                            </w:pPr>
                            <w:r w:rsidRPr="000D5E14">
                              <w:rPr>
                                <w:b/>
                                <w:sz w:val="22"/>
                                <w:szCs w:val="22"/>
                              </w:rPr>
                              <w:t>Acting Assistant Secretary, Pharmacy Branch</w:t>
                            </w:r>
                          </w:p>
                          <w:p w14:paraId="1D4FDEFF" w14:textId="77777777" w:rsidR="00A87F2B" w:rsidRPr="000D5E14" w:rsidRDefault="00A87F2B" w:rsidP="00A87F2B">
                            <w:pPr>
                              <w:widowControl w:val="0"/>
                              <w:tabs>
                                <w:tab w:val="left" w:pos="3119"/>
                              </w:tabs>
                              <w:spacing w:after="0" w:line="300" w:lineRule="atLeast"/>
                              <w:jc w:val="center"/>
                              <w:rPr>
                                <w:b/>
                              </w:rPr>
                            </w:pPr>
                            <w:r w:rsidRPr="000D5E14">
                              <w:rPr>
                                <w:b/>
                                <w:sz w:val="22"/>
                                <w:szCs w:val="22"/>
                              </w:rP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C8256" id="Rectangle 1" o:spid="_x0000_s1026" style="position:absolute;left:0;text-align:left;margin-left:-8.15pt;margin-top:-15.45pt;width:485.25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" strokeweight="6pt">
                <v:stroke linestyle="thickBetweenThin"/>
                <v:textbox inset="5mm,,5mm">
                  <w:txbxContent>
                    <w:p w14:paraId="17ECED8B" w14:textId="77777777" w:rsidR="00A87F2B" w:rsidRPr="006D4AC4" w:rsidRDefault="00A87F2B" w:rsidP="00A87F2B">
                      <w:pPr>
                        <w:spacing w:before="120"/>
                        <w:jc w:val="center"/>
                        <w:rPr>
                          <w:b/>
                          <w:sz w:val="26"/>
                          <w:szCs w:val="26"/>
                        </w:rPr>
                      </w:pPr>
                      <w:r w:rsidRPr="006D4AC4">
                        <w:rPr>
                          <w:b/>
                          <w:sz w:val="26"/>
                          <w:szCs w:val="26"/>
                        </w:rPr>
                        <w:t>Statement of Compatibility with Human Rights</w:t>
                      </w:r>
                    </w:p>
                    <w:p w14:paraId="7761AA69" w14:textId="77777777" w:rsidR="00A87F2B" w:rsidRPr="006D4AC4" w:rsidRDefault="00A87F2B" w:rsidP="00A87F2B">
                      <w:pPr>
                        <w:spacing w:before="120"/>
                        <w:jc w:val="center"/>
                        <w:rPr>
                          <w:i/>
                          <w:sz w:val="18"/>
                          <w:szCs w:val="18"/>
                        </w:rPr>
                      </w:pPr>
                      <w:r w:rsidRPr="006D4AC4">
                        <w:rPr>
                          <w:i/>
                          <w:sz w:val="18"/>
                          <w:szCs w:val="18"/>
                        </w:rPr>
                        <w:t>Prepared in accordance with Part 3 of the Human Rights (Parliamentary Scrutiny) Act 2011</w:t>
                      </w:r>
                    </w:p>
                    <w:p w14:paraId="62C2E399" w14:textId="77777777" w:rsidR="00A87F2B" w:rsidRPr="006D4AC4" w:rsidRDefault="00A87F2B" w:rsidP="00A87F2B">
                      <w:pPr>
                        <w:pStyle w:val="Heading4"/>
                        <w:spacing w:after="0"/>
                        <w:rPr>
                          <w:i/>
                          <w:iCs/>
                          <w:color w:val="000000"/>
                          <w:sz w:val="22"/>
                          <w:szCs w:val="22"/>
                        </w:rPr>
                      </w:pPr>
                      <w:r w:rsidRPr="006D4AC4">
                        <w:rPr>
                          <w:i/>
                          <w:iCs/>
                          <w:color w:val="000000"/>
                          <w:sz w:val="22"/>
                          <w:szCs w:val="22"/>
                        </w:rPr>
                        <w:t>National Health (Growth Hormone Program) Special Arrangement Amendment Instrument 2019 (No. 3)</w:t>
                      </w:r>
                    </w:p>
                    <w:p w14:paraId="1599C95A" w14:textId="77777777" w:rsidR="00A87F2B" w:rsidRPr="006D4AC4" w:rsidRDefault="00A87F2B" w:rsidP="00474013">
                      <w:pPr>
                        <w:spacing w:before="120" w:after="0"/>
                        <w:jc w:val="both"/>
                        <w:rPr>
                          <w:sz w:val="22"/>
                          <w:szCs w:val="22"/>
                        </w:rPr>
                      </w:pPr>
                      <w:r w:rsidRPr="006D4AC4">
                        <w:rPr>
                          <w:sz w:val="22"/>
                          <w:szCs w:val="22"/>
                        </w:rPr>
                        <w:t xml:space="preserve">This Legislative Instrument is compatible with the human rights and freedoms recognised or declared in the international instruments listed in section 3 of the </w:t>
                      </w:r>
                      <w:r w:rsidRPr="006D4AC4">
                        <w:rPr>
                          <w:i/>
                          <w:sz w:val="22"/>
                          <w:szCs w:val="22"/>
                        </w:rPr>
                        <w:t>Human Rights (Parliamentary Scrutiny) Act 2011</w:t>
                      </w:r>
                      <w:r w:rsidRPr="006D4AC4">
                        <w:rPr>
                          <w:sz w:val="22"/>
                          <w:szCs w:val="22"/>
                        </w:rPr>
                        <w:t>.</w:t>
                      </w:r>
                    </w:p>
                    <w:p w14:paraId="4C05F43A" w14:textId="4AF45D4C" w:rsidR="00A87F2B" w:rsidRPr="006D4AC4" w:rsidRDefault="00A87F2B" w:rsidP="00474013">
                      <w:pPr>
                        <w:spacing w:before="120" w:after="120"/>
                        <w:jc w:val="both"/>
                        <w:rPr>
                          <w:b/>
                          <w:sz w:val="22"/>
                          <w:szCs w:val="22"/>
                        </w:rPr>
                      </w:pPr>
                      <w:r w:rsidRPr="006D4AC4">
                        <w:rPr>
                          <w:b/>
                          <w:sz w:val="22"/>
                          <w:szCs w:val="22"/>
                        </w:rPr>
                        <w:t>Overview of the Legislative Instrument</w:t>
                      </w:r>
                    </w:p>
                    <w:p w14:paraId="1B772C84" w14:textId="1E610F5A" w:rsidR="006F0EF5" w:rsidRPr="006D4AC4" w:rsidRDefault="00A87F2B" w:rsidP="006F0EF5">
                      <w:pPr>
                        <w:shd w:val="clear" w:color="auto" w:fill="FFFFFF"/>
                        <w:spacing w:before="120" w:after="0" w:line="240" w:lineRule="auto"/>
                        <w:jc w:val="both"/>
                        <w:rPr>
                          <w:rFonts w:eastAsia="Times New Roman"/>
                          <w:color w:val="000000"/>
                          <w:sz w:val="22"/>
                          <w:szCs w:val="22"/>
                          <w:lang w:eastAsia="en-AU"/>
                        </w:rPr>
                      </w:pPr>
                      <w:r w:rsidRPr="006D4AC4">
                        <w:rPr>
                          <w:sz w:val="22"/>
                          <w:szCs w:val="22"/>
                        </w:rPr>
                        <w:t xml:space="preserve">The purpose of this Legislative Instrument, made under section 100 of the </w:t>
                      </w:r>
                      <w:r w:rsidRPr="006D4AC4">
                        <w:rPr>
                          <w:i/>
                          <w:sz w:val="22"/>
                          <w:szCs w:val="22"/>
                        </w:rPr>
                        <w:t xml:space="preserve">National Health Act 1953 </w:t>
                      </w:r>
                      <w:r w:rsidRPr="006D4AC4">
                        <w:rPr>
                          <w:sz w:val="22"/>
                          <w:szCs w:val="22"/>
                        </w:rPr>
                        <w:t xml:space="preserve">(the Act), is to </w:t>
                      </w:r>
                      <w:r w:rsidR="006F0EF5" w:rsidRPr="006D4AC4">
                        <w:rPr>
                          <w:sz w:val="22"/>
                          <w:szCs w:val="22"/>
                        </w:rPr>
                        <w:t>make changes to the definitions of adult and child relating to the Growth Hormone Program</w:t>
                      </w:r>
                      <w:r w:rsidR="00C55278" w:rsidRPr="006D4AC4">
                        <w:rPr>
                          <w:sz w:val="22"/>
                          <w:szCs w:val="22"/>
                        </w:rPr>
                        <w:t>.</w:t>
                      </w:r>
                      <w:r w:rsidR="006F0EF5" w:rsidRPr="006D4AC4">
                        <w:rPr>
                          <w:sz w:val="22"/>
                          <w:szCs w:val="22"/>
                        </w:rPr>
                        <w:t xml:space="preserve"> </w:t>
                      </w:r>
                      <w:r w:rsidR="00C55278" w:rsidRPr="006D4AC4">
                        <w:rPr>
                          <w:sz w:val="22"/>
                          <w:szCs w:val="22"/>
                        </w:rPr>
                        <w:t>This</w:t>
                      </w:r>
                      <w:r w:rsidR="006F0EF5" w:rsidRPr="006D4AC4">
                        <w:rPr>
                          <w:sz w:val="22"/>
                          <w:szCs w:val="22"/>
                        </w:rPr>
                        <w:t xml:space="preserve"> </w:t>
                      </w:r>
                      <w:r w:rsidR="00C55278" w:rsidRPr="006D4AC4">
                        <w:rPr>
                          <w:sz w:val="22"/>
                          <w:szCs w:val="22"/>
                        </w:rPr>
                        <w:t xml:space="preserve">ensures that </w:t>
                      </w:r>
                      <w:r w:rsidR="006F0EF5" w:rsidRPr="006D4AC4">
                        <w:rPr>
                          <w:sz w:val="22"/>
                          <w:szCs w:val="22"/>
                        </w:rPr>
                        <w:t>the</w:t>
                      </w:r>
                      <w:r w:rsidR="009615FD" w:rsidRPr="006D4AC4">
                        <w:rPr>
                          <w:sz w:val="20"/>
                          <w:szCs w:val="20"/>
                        </w:rPr>
                        <w:t xml:space="preserve"> </w:t>
                      </w:r>
                      <w:r w:rsidR="009615FD" w:rsidRPr="006D4AC4">
                        <w:rPr>
                          <w:sz w:val="22"/>
                          <w:szCs w:val="22"/>
                        </w:rPr>
                        <w:t>appropriate pharmaceutical benefits listed in either Schedule 1 or 2 to the Primary Instrument are available for patients who require treatment with growth hormone (somatropin) in line with their diagnosis and appropriate age measure.</w:t>
                      </w:r>
                    </w:p>
                    <w:p w14:paraId="79E53AA3" w14:textId="77777777" w:rsidR="00640521" w:rsidRPr="00640521" w:rsidRDefault="00640521" w:rsidP="00640521">
                      <w:pPr>
                        <w:shd w:val="clear" w:color="auto" w:fill="FFFFFF"/>
                        <w:spacing w:before="120" w:after="0" w:line="240" w:lineRule="auto"/>
                        <w:jc w:val="both"/>
                        <w:rPr>
                          <w:rFonts w:eastAsia="Times New Roman"/>
                          <w:color w:val="000000"/>
                          <w:sz w:val="22"/>
                          <w:szCs w:val="22"/>
                          <w:lang w:eastAsia="en-AU"/>
                        </w:rPr>
                      </w:pPr>
                      <w:r w:rsidRPr="00640521">
                        <w:rPr>
                          <w:rFonts w:eastAsia="Times New Roman"/>
                          <w:color w:val="000000"/>
                          <w:sz w:val="22"/>
                          <w:szCs w:val="22"/>
                          <w:lang w:eastAsia="en-AU"/>
                        </w:rPr>
                        <w:t xml:space="preserve">The current definition distinguishes a child or an adult on the basis of the person having reached or not reached the age of 18 years.  However, this definition is not always appropriate as maturity of skeleton can be reached before the age of 18, and some conditions that require treatment with growth hormone are dependent on skeletal maturity, rather than the chronological age of the person. </w:t>
                      </w:r>
                    </w:p>
                    <w:p w14:paraId="6A078868" w14:textId="77777777" w:rsidR="00640521" w:rsidRPr="00640521" w:rsidRDefault="00640521" w:rsidP="00640521">
                      <w:pPr>
                        <w:shd w:val="clear" w:color="auto" w:fill="FFFFFF"/>
                        <w:spacing w:before="120" w:after="0" w:line="240" w:lineRule="auto"/>
                        <w:jc w:val="both"/>
                        <w:rPr>
                          <w:rFonts w:eastAsia="Times New Roman"/>
                          <w:color w:val="000000"/>
                          <w:sz w:val="22"/>
                          <w:szCs w:val="22"/>
                          <w:lang w:eastAsia="en-AU"/>
                        </w:rPr>
                      </w:pPr>
                      <w:r w:rsidRPr="00640521">
                        <w:rPr>
                          <w:rFonts w:eastAsia="Times New Roman"/>
                          <w:color w:val="000000"/>
                          <w:sz w:val="22"/>
                          <w:szCs w:val="22"/>
                          <w:lang w:eastAsia="en-AU"/>
                        </w:rPr>
                        <w:t xml:space="preserve">For most paediatric patients, access to pharmaceutical benefits under Schedule 1 to the Primary Instrument ceases upon reaching maturity of skeleton. As skeletal maturity may occur prior to the age of 18, the current definitions of adult and child are not sufficient to allow for patients with CO-GHD due to a congenital, genetic or structural cause to continue to access PBS-subsidised growth hormone treatment between reaching skeletal maturity and the age of 18 years. </w:t>
                      </w:r>
                    </w:p>
                    <w:p w14:paraId="3E08EE19" w14:textId="77777777" w:rsidR="00640521" w:rsidRPr="00640521" w:rsidRDefault="00640521" w:rsidP="00640521">
                      <w:pPr>
                        <w:shd w:val="clear" w:color="auto" w:fill="FFFFFF"/>
                        <w:spacing w:before="120" w:after="0" w:line="240" w:lineRule="auto"/>
                        <w:jc w:val="both"/>
                        <w:rPr>
                          <w:rFonts w:eastAsia="Times New Roman"/>
                          <w:color w:val="000000"/>
                          <w:sz w:val="22"/>
                          <w:szCs w:val="22"/>
                          <w:lang w:eastAsia="en-AU"/>
                        </w:rPr>
                      </w:pPr>
                      <w:r w:rsidRPr="00640521">
                        <w:rPr>
                          <w:rFonts w:eastAsia="Times New Roman"/>
                          <w:color w:val="000000"/>
                          <w:sz w:val="22"/>
                          <w:szCs w:val="22"/>
                          <w:lang w:eastAsia="en-AU"/>
                        </w:rPr>
                        <w:t xml:space="preserve">Prader-Willi syndrome (PWS), a genetic disorder often accompanied by GHD, is the only PBS eligible paediatric GHD condition where chronological age, rather than maturity of skeleton is the limiting factor for eligibility to PBS subsidised growth hormone treatment. Therefore, the amended definitions of adult and child allow PWS patients continued access to Schedule 1 to the Primary Instrument until the age of 18, even if skeletal maturity has been reached. </w:t>
                      </w:r>
                    </w:p>
                    <w:p w14:paraId="77C03805" w14:textId="77777777" w:rsidR="00640521" w:rsidRPr="00640521" w:rsidRDefault="00640521" w:rsidP="00640521">
                      <w:pPr>
                        <w:shd w:val="clear" w:color="auto" w:fill="FFFFFF"/>
                        <w:spacing w:before="120" w:after="0" w:line="240" w:lineRule="auto"/>
                        <w:jc w:val="both"/>
                        <w:rPr>
                          <w:rFonts w:eastAsia="Times New Roman"/>
                          <w:color w:val="000000"/>
                          <w:sz w:val="22"/>
                          <w:szCs w:val="22"/>
                          <w:lang w:eastAsia="en-AU"/>
                        </w:rPr>
                      </w:pPr>
                      <w:r w:rsidRPr="00640521">
                        <w:rPr>
                          <w:rFonts w:eastAsia="Times New Roman"/>
                          <w:color w:val="000000"/>
                          <w:sz w:val="22"/>
                          <w:szCs w:val="22"/>
                          <w:lang w:eastAsia="en-AU"/>
                        </w:rPr>
                        <w:t>The definitions of adult and child have been amended to reflect reference to skeletal maturity as occurs in CO-GHD. As skeletal maturity does not form a basis in determining the treatment of GHD in adults, the previous definition of an adult as “a person who has turned 18” is still considered applicable for persons with adult-onset GHD.</w:t>
                      </w:r>
                    </w:p>
                    <w:p w14:paraId="00E3A18B" w14:textId="7418D56A" w:rsidR="000D5E14" w:rsidRDefault="006F0EF5" w:rsidP="00640521">
                      <w:pPr>
                        <w:shd w:val="clear" w:color="auto" w:fill="FFFFFF"/>
                        <w:spacing w:before="120" w:after="0" w:line="240" w:lineRule="auto"/>
                        <w:jc w:val="both"/>
                        <w:rPr>
                          <w:sz w:val="22"/>
                          <w:szCs w:val="22"/>
                        </w:rPr>
                      </w:pPr>
                      <w:r w:rsidRPr="00640521">
                        <w:rPr>
                          <w:sz w:val="22"/>
                          <w:szCs w:val="22"/>
                        </w:rPr>
                        <w:t>The definitions of adult and child</w:t>
                      </w:r>
                      <w:r w:rsidRPr="006D4AC4">
                        <w:rPr>
                          <w:sz w:val="22"/>
                          <w:szCs w:val="22"/>
                        </w:rPr>
                        <w:t xml:space="preserve"> set out in this Legislative Instrument for the purposes of patient eligibility of paediatric and adult patients to access PBS subsidised somatropin (growth hormone) treatment have been based on clinical evidence and the expert</w:t>
                      </w:r>
                      <w:r w:rsidR="00230BDD" w:rsidRPr="006D4AC4">
                        <w:rPr>
                          <w:sz w:val="22"/>
                          <w:szCs w:val="22"/>
                        </w:rPr>
                        <w:t xml:space="preserve"> opinion of the Pharmaceutical B</w:t>
                      </w:r>
                      <w:r w:rsidRPr="006D4AC4">
                        <w:rPr>
                          <w:sz w:val="22"/>
                          <w:szCs w:val="22"/>
                        </w:rPr>
                        <w:t xml:space="preserve">enefits Advisory Committee (PBAC). </w:t>
                      </w:r>
                    </w:p>
                    <w:p w14:paraId="56066E1D" w14:textId="0D188644" w:rsidR="00A87F2B" w:rsidRPr="006D4AC4" w:rsidRDefault="00A87F2B" w:rsidP="000D5E14">
                      <w:pPr>
                        <w:shd w:val="clear" w:color="auto" w:fill="FFFFFF"/>
                        <w:spacing w:before="120" w:after="120" w:line="240" w:lineRule="auto"/>
                        <w:jc w:val="both"/>
                        <w:rPr>
                          <w:b/>
                          <w:sz w:val="22"/>
                          <w:szCs w:val="22"/>
                        </w:rPr>
                      </w:pPr>
                      <w:r w:rsidRPr="006D4AC4">
                        <w:rPr>
                          <w:b/>
                          <w:sz w:val="22"/>
                          <w:szCs w:val="22"/>
                        </w:rPr>
                        <w:t>Human Rights Implications</w:t>
                      </w:r>
                    </w:p>
                    <w:p w14:paraId="4FBB21B4" w14:textId="0A2AE5A0" w:rsidR="00A87F2B" w:rsidRPr="006D4AC4" w:rsidRDefault="00A87F2B" w:rsidP="000D5E14">
                      <w:pPr>
                        <w:spacing w:after="120"/>
                        <w:jc w:val="both"/>
                        <w:rPr>
                          <w:sz w:val="22"/>
                          <w:szCs w:val="22"/>
                        </w:rPr>
                      </w:pPr>
                      <w:r w:rsidRPr="006D4AC4">
                        <w:rPr>
                          <w:sz w:val="22"/>
                          <w:szCs w:val="22"/>
                        </w:rPr>
                        <w:t>This Legislative Instrument engages Article 12 of the International Covenant on Economic, Social and Cultural Rights (ICESCR) by assisting with the progressive realisation by all appropriate means of the right of everyone to the enjoyment of the highest attainable standard of physical and mental health.</w:t>
                      </w:r>
                    </w:p>
                    <w:p w14:paraId="73EECC1A" w14:textId="77777777" w:rsidR="000D5E14" w:rsidRPr="000D5E14" w:rsidRDefault="00A87F2B" w:rsidP="000D5E14">
                      <w:pPr>
                        <w:spacing w:after="0"/>
                        <w:jc w:val="both"/>
                        <w:rPr>
                          <w:sz w:val="22"/>
                          <w:szCs w:val="22"/>
                        </w:rPr>
                      </w:pPr>
                      <w:r w:rsidRPr="006D4AC4">
                        <w:rPr>
                          <w:sz w:val="22"/>
                          <w:szCs w:val="22"/>
                        </w:rPr>
                        <w:t xml:space="preserve">This Instrument assists with the advancement of this right by ensuring continued access to PBS </w:t>
                      </w:r>
                      <w:r w:rsidRPr="000D5E14">
                        <w:rPr>
                          <w:sz w:val="22"/>
                          <w:szCs w:val="22"/>
                        </w:rPr>
                        <w:t xml:space="preserve">subsidised somatropin (growth hormone) treatment for paediatric and adult patients </w:t>
                      </w:r>
                      <w:r w:rsidR="009615FD" w:rsidRPr="000D5E14">
                        <w:rPr>
                          <w:sz w:val="22"/>
                          <w:szCs w:val="22"/>
                        </w:rPr>
                        <w:t>in line with their diagnosis and appropriate age measure.</w:t>
                      </w:r>
                    </w:p>
                    <w:p w14:paraId="3DF8236E" w14:textId="318C7199" w:rsidR="00A87F2B" w:rsidRPr="000D5E14" w:rsidRDefault="00A87F2B" w:rsidP="000D5E14">
                      <w:pPr>
                        <w:spacing w:before="120" w:after="120"/>
                        <w:jc w:val="both"/>
                        <w:rPr>
                          <w:sz w:val="22"/>
                          <w:szCs w:val="22"/>
                        </w:rPr>
                      </w:pPr>
                      <w:r w:rsidRPr="000D5E14">
                        <w:rPr>
                          <w:b/>
                          <w:sz w:val="22"/>
                          <w:szCs w:val="22"/>
                        </w:rPr>
                        <w:t>Conclusion</w:t>
                      </w:r>
                    </w:p>
                    <w:p w14:paraId="7374053B" w14:textId="6B4B38C3" w:rsidR="00A87F2B" w:rsidRPr="000D5E14" w:rsidRDefault="00A87F2B" w:rsidP="000D5E14">
                      <w:pPr>
                        <w:spacing w:after="120"/>
                        <w:jc w:val="both"/>
                        <w:rPr>
                          <w:sz w:val="22"/>
                          <w:szCs w:val="22"/>
                        </w:rPr>
                      </w:pPr>
                      <w:r w:rsidRPr="000D5E14">
                        <w:rPr>
                          <w:sz w:val="22"/>
                          <w:szCs w:val="22"/>
                        </w:rPr>
                        <w:t xml:space="preserve">This Legislative Instrument is compatible with human rights because it </w:t>
                      </w:r>
                      <w:r w:rsidR="00AC0E89" w:rsidRPr="000D5E14">
                        <w:rPr>
                          <w:sz w:val="22"/>
                          <w:szCs w:val="22"/>
                        </w:rPr>
                        <w:t xml:space="preserve">continues to </w:t>
                      </w:r>
                      <w:r w:rsidRPr="000D5E14">
                        <w:rPr>
                          <w:sz w:val="22"/>
                          <w:szCs w:val="22"/>
                        </w:rPr>
                        <w:t>promote the right to health.</w:t>
                      </w:r>
                    </w:p>
                    <w:p w14:paraId="44F99335" w14:textId="77777777" w:rsidR="00A87F2B" w:rsidRPr="000D5E14" w:rsidRDefault="00A87F2B" w:rsidP="00A87F2B">
                      <w:pPr>
                        <w:widowControl w:val="0"/>
                        <w:tabs>
                          <w:tab w:val="left" w:pos="3119"/>
                        </w:tabs>
                        <w:spacing w:after="0" w:line="300" w:lineRule="atLeast"/>
                        <w:jc w:val="center"/>
                        <w:rPr>
                          <w:b/>
                          <w:sz w:val="22"/>
                          <w:szCs w:val="22"/>
                        </w:rPr>
                      </w:pPr>
                      <w:r w:rsidRPr="000D5E14">
                        <w:rPr>
                          <w:b/>
                          <w:sz w:val="22"/>
                          <w:szCs w:val="22"/>
                        </w:rPr>
                        <w:t>Natasha Ploenges</w:t>
                      </w:r>
                    </w:p>
                    <w:p w14:paraId="35912BF3" w14:textId="77777777" w:rsidR="00A87F2B" w:rsidRPr="000D5E14" w:rsidRDefault="00A87F2B" w:rsidP="00A87F2B">
                      <w:pPr>
                        <w:widowControl w:val="0"/>
                        <w:tabs>
                          <w:tab w:val="left" w:pos="3119"/>
                        </w:tabs>
                        <w:spacing w:after="0" w:line="300" w:lineRule="atLeast"/>
                        <w:jc w:val="center"/>
                        <w:rPr>
                          <w:b/>
                          <w:sz w:val="22"/>
                          <w:szCs w:val="22"/>
                        </w:rPr>
                      </w:pPr>
                      <w:r w:rsidRPr="000D5E14">
                        <w:rPr>
                          <w:b/>
                          <w:sz w:val="22"/>
                          <w:szCs w:val="22"/>
                        </w:rPr>
                        <w:t>Acting Assistant Secretary, Pharmacy Branch</w:t>
                      </w:r>
                    </w:p>
                    <w:p w14:paraId="1D4FDEFF" w14:textId="77777777" w:rsidR="00A87F2B" w:rsidRPr="000D5E14" w:rsidRDefault="00A87F2B" w:rsidP="00A87F2B">
                      <w:pPr>
                        <w:widowControl w:val="0"/>
                        <w:tabs>
                          <w:tab w:val="left" w:pos="3119"/>
                        </w:tabs>
                        <w:spacing w:after="0" w:line="300" w:lineRule="atLeast"/>
                        <w:jc w:val="center"/>
                        <w:rPr>
                          <w:b/>
                        </w:rPr>
                      </w:pPr>
                      <w:r w:rsidRPr="000D5E14">
                        <w:rPr>
                          <w:b/>
                          <w:sz w:val="22"/>
                          <w:szCs w:val="22"/>
                        </w:rPr>
                        <w:t>Department of Health</w:t>
                      </w:r>
                    </w:p>
                  </w:txbxContent>
                </v:textbox>
              </v:rect>
            </w:pict>
          </mc:Fallback>
        </mc:AlternateContent>
      </w:r>
    </w:p>
    <w:sectPr w:rsidR="00D377A8" w:rsidRPr="00F00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33B"/>
    <w:multiLevelType w:val="hybridMultilevel"/>
    <w:tmpl w:val="AFAA8A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4D033C"/>
    <w:multiLevelType w:val="multilevel"/>
    <w:tmpl w:val="672EE20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9B612BA"/>
    <w:multiLevelType w:val="hybridMultilevel"/>
    <w:tmpl w:val="279E1D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A6"/>
    <w:rsid w:val="00003ED9"/>
    <w:rsid w:val="00007B91"/>
    <w:rsid w:val="000121C3"/>
    <w:rsid w:val="0004792E"/>
    <w:rsid w:val="00056EC9"/>
    <w:rsid w:val="0006314D"/>
    <w:rsid w:val="00086B1A"/>
    <w:rsid w:val="00091BD8"/>
    <w:rsid w:val="000B7317"/>
    <w:rsid w:val="000D556C"/>
    <w:rsid w:val="000D5E14"/>
    <w:rsid w:val="00113F44"/>
    <w:rsid w:val="0011591E"/>
    <w:rsid w:val="00150D57"/>
    <w:rsid w:val="00151730"/>
    <w:rsid w:val="0019016E"/>
    <w:rsid w:val="00195D01"/>
    <w:rsid w:val="00195F39"/>
    <w:rsid w:val="001D1C68"/>
    <w:rsid w:val="001D4064"/>
    <w:rsid w:val="00230BDD"/>
    <w:rsid w:val="0025025D"/>
    <w:rsid w:val="00260906"/>
    <w:rsid w:val="00280050"/>
    <w:rsid w:val="002B0DA1"/>
    <w:rsid w:val="002D6D7C"/>
    <w:rsid w:val="00354188"/>
    <w:rsid w:val="003561E2"/>
    <w:rsid w:val="003A3FC6"/>
    <w:rsid w:val="003F3AE6"/>
    <w:rsid w:val="00400B14"/>
    <w:rsid w:val="0041394B"/>
    <w:rsid w:val="00460C5A"/>
    <w:rsid w:val="00471D8E"/>
    <w:rsid w:val="00474013"/>
    <w:rsid w:val="004767F3"/>
    <w:rsid w:val="004A6D40"/>
    <w:rsid w:val="004B09E0"/>
    <w:rsid w:val="004F4CDD"/>
    <w:rsid w:val="0050266C"/>
    <w:rsid w:val="00541DD7"/>
    <w:rsid w:val="005E3421"/>
    <w:rsid w:val="00614FD6"/>
    <w:rsid w:val="00622E73"/>
    <w:rsid w:val="00623421"/>
    <w:rsid w:val="00640521"/>
    <w:rsid w:val="006440AA"/>
    <w:rsid w:val="006474AD"/>
    <w:rsid w:val="00652056"/>
    <w:rsid w:val="006D4AC4"/>
    <w:rsid w:val="006D7FC9"/>
    <w:rsid w:val="006F0EF5"/>
    <w:rsid w:val="00702D27"/>
    <w:rsid w:val="0073059E"/>
    <w:rsid w:val="00766342"/>
    <w:rsid w:val="007A37A6"/>
    <w:rsid w:val="007B348B"/>
    <w:rsid w:val="007B4B1E"/>
    <w:rsid w:val="007E6276"/>
    <w:rsid w:val="00831C2F"/>
    <w:rsid w:val="00833B97"/>
    <w:rsid w:val="008717BB"/>
    <w:rsid w:val="008D7520"/>
    <w:rsid w:val="00952A36"/>
    <w:rsid w:val="009615FD"/>
    <w:rsid w:val="009705A3"/>
    <w:rsid w:val="009B3DD1"/>
    <w:rsid w:val="00A26908"/>
    <w:rsid w:val="00A51756"/>
    <w:rsid w:val="00A574B7"/>
    <w:rsid w:val="00A72635"/>
    <w:rsid w:val="00A87F2B"/>
    <w:rsid w:val="00A97E1B"/>
    <w:rsid w:val="00AC0E89"/>
    <w:rsid w:val="00B12A7E"/>
    <w:rsid w:val="00B1375D"/>
    <w:rsid w:val="00B158EF"/>
    <w:rsid w:val="00B22794"/>
    <w:rsid w:val="00B36C69"/>
    <w:rsid w:val="00B45334"/>
    <w:rsid w:val="00BB083B"/>
    <w:rsid w:val="00BC0BA1"/>
    <w:rsid w:val="00BE188D"/>
    <w:rsid w:val="00C32414"/>
    <w:rsid w:val="00C55278"/>
    <w:rsid w:val="00C96F52"/>
    <w:rsid w:val="00CC5730"/>
    <w:rsid w:val="00D03169"/>
    <w:rsid w:val="00D10D10"/>
    <w:rsid w:val="00D35416"/>
    <w:rsid w:val="00D377A8"/>
    <w:rsid w:val="00D46D76"/>
    <w:rsid w:val="00DC33A7"/>
    <w:rsid w:val="00DF4F70"/>
    <w:rsid w:val="00DF6672"/>
    <w:rsid w:val="00E0325C"/>
    <w:rsid w:val="00E76355"/>
    <w:rsid w:val="00F00FE8"/>
    <w:rsid w:val="00F050DC"/>
    <w:rsid w:val="00F14D6C"/>
    <w:rsid w:val="00F154A0"/>
    <w:rsid w:val="00F23E49"/>
    <w:rsid w:val="00F2454A"/>
    <w:rsid w:val="00F709B9"/>
    <w:rsid w:val="00F76A72"/>
    <w:rsid w:val="00F80C13"/>
    <w:rsid w:val="00F950EA"/>
    <w:rsid w:val="00FD7198"/>
    <w:rsid w:val="00FE5E30"/>
    <w:rsid w:val="00FF0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86E6"/>
  <w15:chartTrackingRefBased/>
  <w15:docId w15:val="{CD946FDD-57B2-4B9E-8F1D-9F755F47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91BD8"/>
    <w:pPr>
      <w:spacing w:before="100" w:beforeAutospacing="1" w:after="100" w:afterAutospacing="1" w:line="240" w:lineRule="auto"/>
      <w:outlineLvl w:val="1"/>
    </w:pPr>
    <w:rPr>
      <w:rFonts w:eastAsia="Times New Roman"/>
      <w:b/>
      <w:bCs/>
      <w:sz w:val="36"/>
      <w:szCs w:val="3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form">
    <w:name w:val="TableText form"/>
    <w:basedOn w:val="Normal"/>
    <w:qFormat/>
    <w:rsid w:val="00766342"/>
    <w:pPr>
      <w:spacing w:before="40" w:after="240" w:line="240" w:lineRule="auto"/>
    </w:pPr>
    <w:rPr>
      <w:rFonts w:ascii="Arial" w:eastAsiaTheme="majorEastAsia" w:hAnsi="Arial" w:cs="Arial"/>
      <w:bCs/>
      <w:sz w:val="20"/>
      <w:szCs w:val="20"/>
    </w:rPr>
  </w:style>
  <w:style w:type="paragraph" w:styleId="ListParagraph">
    <w:name w:val="List Paragraph"/>
    <w:aliases w:val="BulletPoints,Footnote,Bullet point,List Paragraph1,List Paragraph11,Recommendation,standard lewis,Bullet List Paragraph,L,CV text,F5 List Paragraph,Dot pt,Colorful List - Accent 11,No Spacing1,List Paragraph Char Char Char,列,Figure_name"/>
    <w:basedOn w:val="Normal"/>
    <w:link w:val="ListParagraphChar"/>
    <w:uiPriority w:val="34"/>
    <w:qFormat/>
    <w:rsid w:val="00D03169"/>
    <w:pPr>
      <w:widowControl w:val="0"/>
      <w:spacing w:after="0" w:line="240" w:lineRule="auto"/>
      <w:ind w:left="720"/>
      <w:contextualSpacing/>
      <w:jc w:val="both"/>
    </w:pPr>
    <w:rPr>
      <w:rFonts w:ascii="Arial" w:eastAsia="Times New Roman" w:hAnsi="Arial" w:cs="Arial"/>
      <w:snapToGrid w:val="0"/>
      <w:sz w:val="22"/>
      <w:szCs w:val="20"/>
    </w:rPr>
  </w:style>
  <w:style w:type="character" w:customStyle="1" w:styleId="ListParagraphChar">
    <w:name w:val="List Paragraph Char"/>
    <w:aliases w:val="BulletPoints Char,Footnote Char,Bullet point Char,List Paragraph1 Char,List Paragraph11 Char,Recommendation Char,standard lewis Char,Bullet List Paragraph Char,L Char,CV text Char,F5 List Paragraph Char,Dot pt Char,No Spacing1 Char"/>
    <w:basedOn w:val="DefaultParagraphFont"/>
    <w:link w:val="ListParagraph"/>
    <w:uiPriority w:val="34"/>
    <w:qFormat/>
    <w:rsid w:val="00D03169"/>
    <w:rPr>
      <w:rFonts w:ascii="Arial" w:eastAsia="Times New Roman" w:hAnsi="Arial" w:cs="Arial"/>
      <w:snapToGrid w:val="0"/>
      <w:sz w:val="22"/>
      <w:szCs w:val="20"/>
    </w:rPr>
  </w:style>
  <w:style w:type="paragraph" w:customStyle="1" w:styleId="PBACHeading1">
    <w:name w:val="PBAC Heading 1"/>
    <w:qFormat/>
    <w:rsid w:val="00D03169"/>
    <w:pPr>
      <w:numPr>
        <w:numId w:val="2"/>
      </w:numPr>
      <w:spacing w:after="0" w:line="240" w:lineRule="auto"/>
      <w:outlineLvl w:val="0"/>
    </w:pPr>
    <w:rPr>
      <w:rFonts w:ascii="Arial" w:eastAsia="Times New Roman" w:hAnsi="Arial" w:cs="Arial"/>
      <w:b/>
      <w:snapToGrid w:val="0"/>
      <w:sz w:val="22"/>
      <w:szCs w:val="22"/>
    </w:rPr>
  </w:style>
  <w:style w:type="character" w:customStyle="1" w:styleId="Heading2Char">
    <w:name w:val="Heading 2 Char"/>
    <w:basedOn w:val="DefaultParagraphFont"/>
    <w:link w:val="Heading2"/>
    <w:uiPriority w:val="9"/>
    <w:rsid w:val="00091BD8"/>
    <w:rPr>
      <w:rFonts w:eastAsia="Times New Roman"/>
      <w:b/>
      <w:bCs/>
      <w:sz w:val="36"/>
      <w:szCs w:val="36"/>
      <w:lang w:eastAsia="en-AU"/>
    </w:rPr>
  </w:style>
  <w:style w:type="paragraph" w:customStyle="1" w:styleId="Heading4">
    <w:name w:val="Heading4"/>
    <w:basedOn w:val="Normal"/>
    <w:rsid w:val="00A87F2B"/>
    <w:pPr>
      <w:keepNext/>
      <w:keepLines/>
      <w:suppressAutoHyphens/>
      <w:spacing w:after="120" w:line="240" w:lineRule="auto"/>
      <w:jc w:val="center"/>
    </w:pPr>
    <w:rPr>
      <w:rFonts w:eastAsia="Times New Roman"/>
      <w:b/>
      <w:sz w:val="20"/>
      <w:szCs w:val="20"/>
      <w:lang w:eastAsia="en-AU"/>
    </w:rPr>
  </w:style>
  <w:style w:type="paragraph" w:styleId="BalloonText">
    <w:name w:val="Balloon Text"/>
    <w:basedOn w:val="Normal"/>
    <w:link w:val="BalloonTextChar"/>
    <w:uiPriority w:val="99"/>
    <w:semiHidden/>
    <w:unhideWhenUsed/>
    <w:rsid w:val="00502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66C"/>
    <w:rPr>
      <w:rFonts w:ascii="Segoe UI" w:hAnsi="Segoe UI" w:cs="Segoe UI"/>
      <w:sz w:val="18"/>
      <w:szCs w:val="18"/>
    </w:rPr>
  </w:style>
  <w:style w:type="character" w:styleId="CommentReference">
    <w:name w:val="annotation reference"/>
    <w:basedOn w:val="DefaultParagraphFont"/>
    <w:uiPriority w:val="99"/>
    <w:semiHidden/>
    <w:unhideWhenUsed/>
    <w:rsid w:val="008717BB"/>
    <w:rPr>
      <w:sz w:val="16"/>
      <w:szCs w:val="16"/>
    </w:rPr>
  </w:style>
  <w:style w:type="paragraph" w:styleId="CommentText">
    <w:name w:val="annotation text"/>
    <w:basedOn w:val="Normal"/>
    <w:link w:val="CommentTextChar"/>
    <w:uiPriority w:val="99"/>
    <w:semiHidden/>
    <w:unhideWhenUsed/>
    <w:rsid w:val="008717BB"/>
    <w:pPr>
      <w:spacing w:line="240" w:lineRule="auto"/>
    </w:pPr>
    <w:rPr>
      <w:sz w:val="20"/>
      <w:szCs w:val="20"/>
    </w:rPr>
  </w:style>
  <w:style w:type="character" w:customStyle="1" w:styleId="CommentTextChar">
    <w:name w:val="Comment Text Char"/>
    <w:basedOn w:val="DefaultParagraphFont"/>
    <w:link w:val="CommentText"/>
    <w:uiPriority w:val="99"/>
    <w:semiHidden/>
    <w:rsid w:val="008717BB"/>
    <w:rPr>
      <w:sz w:val="20"/>
      <w:szCs w:val="20"/>
    </w:rPr>
  </w:style>
  <w:style w:type="paragraph" w:styleId="CommentSubject">
    <w:name w:val="annotation subject"/>
    <w:basedOn w:val="CommentText"/>
    <w:next w:val="CommentText"/>
    <w:link w:val="CommentSubjectChar"/>
    <w:uiPriority w:val="99"/>
    <w:semiHidden/>
    <w:unhideWhenUsed/>
    <w:rsid w:val="008717BB"/>
    <w:rPr>
      <w:b/>
      <w:bCs/>
    </w:rPr>
  </w:style>
  <w:style w:type="character" w:customStyle="1" w:styleId="CommentSubjectChar">
    <w:name w:val="Comment Subject Char"/>
    <w:basedOn w:val="CommentTextChar"/>
    <w:link w:val="CommentSubject"/>
    <w:uiPriority w:val="99"/>
    <w:semiHidden/>
    <w:rsid w:val="008717BB"/>
    <w:rPr>
      <w:b/>
      <w:bCs/>
      <w:sz w:val="20"/>
      <w:szCs w:val="20"/>
    </w:rPr>
  </w:style>
  <w:style w:type="paragraph" w:styleId="Revision">
    <w:name w:val="Revision"/>
    <w:hidden/>
    <w:uiPriority w:val="99"/>
    <w:semiHidden/>
    <w:rsid w:val="00B36C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40314">
      <w:bodyDiv w:val="1"/>
      <w:marLeft w:val="0"/>
      <w:marRight w:val="0"/>
      <w:marTop w:val="0"/>
      <w:marBottom w:val="0"/>
      <w:divBdr>
        <w:top w:val="none" w:sz="0" w:space="0" w:color="auto"/>
        <w:left w:val="none" w:sz="0" w:space="0" w:color="auto"/>
        <w:bottom w:val="none" w:sz="0" w:space="0" w:color="auto"/>
        <w:right w:val="none" w:sz="0" w:space="0" w:color="auto"/>
      </w:divBdr>
    </w:div>
    <w:div w:id="409427425">
      <w:bodyDiv w:val="1"/>
      <w:marLeft w:val="0"/>
      <w:marRight w:val="0"/>
      <w:marTop w:val="0"/>
      <w:marBottom w:val="0"/>
      <w:divBdr>
        <w:top w:val="none" w:sz="0" w:space="0" w:color="auto"/>
        <w:left w:val="none" w:sz="0" w:space="0" w:color="auto"/>
        <w:bottom w:val="none" w:sz="0" w:space="0" w:color="auto"/>
        <w:right w:val="none" w:sz="0" w:space="0" w:color="auto"/>
      </w:divBdr>
    </w:div>
    <w:div w:id="584803881">
      <w:bodyDiv w:val="1"/>
      <w:marLeft w:val="0"/>
      <w:marRight w:val="0"/>
      <w:marTop w:val="0"/>
      <w:marBottom w:val="0"/>
      <w:divBdr>
        <w:top w:val="none" w:sz="0" w:space="0" w:color="auto"/>
        <w:left w:val="none" w:sz="0" w:space="0" w:color="auto"/>
        <w:bottom w:val="none" w:sz="0" w:space="0" w:color="auto"/>
        <w:right w:val="none" w:sz="0" w:space="0" w:color="auto"/>
      </w:divBdr>
    </w:div>
    <w:div w:id="785975824">
      <w:bodyDiv w:val="1"/>
      <w:marLeft w:val="0"/>
      <w:marRight w:val="0"/>
      <w:marTop w:val="0"/>
      <w:marBottom w:val="0"/>
      <w:divBdr>
        <w:top w:val="none" w:sz="0" w:space="0" w:color="auto"/>
        <w:left w:val="none" w:sz="0" w:space="0" w:color="auto"/>
        <w:bottom w:val="none" w:sz="0" w:space="0" w:color="auto"/>
        <w:right w:val="none" w:sz="0" w:space="0" w:color="auto"/>
      </w:divBdr>
    </w:div>
    <w:div w:id="1166554229">
      <w:bodyDiv w:val="1"/>
      <w:marLeft w:val="0"/>
      <w:marRight w:val="0"/>
      <w:marTop w:val="0"/>
      <w:marBottom w:val="0"/>
      <w:divBdr>
        <w:top w:val="none" w:sz="0" w:space="0" w:color="auto"/>
        <w:left w:val="none" w:sz="0" w:space="0" w:color="auto"/>
        <w:bottom w:val="none" w:sz="0" w:space="0" w:color="auto"/>
        <w:right w:val="none" w:sz="0" w:space="0" w:color="auto"/>
      </w:divBdr>
    </w:div>
    <w:div w:id="13917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Kirsten</dc:creator>
  <cp:keywords/>
  <dc:description/>
  <cp:lastModifiedBy>Garcia, Gianna</cp:lastModifiedBy>
  <cp:revision>16</cp:revision>
  <cp:lastPrinted>2019-12-09T00:45:00Z</cp:lastPrinted>
  <dcterms:created xsi:type="dcterms:W3CDTF">2019-12-16T23:07:00Z</dcterms:created>
  <dcterms:modified xsi:type="dcterms:W3CDTF">2019-12-17T03:48:00Z</dcterms:modified>
</cp:coreProperties>
</file>