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C8" w:rsidRPr="00A27CC8" w:rsidRDefault="00A27CC8" w:rsidP="00A27CC8">
      <w:pPr>
        <w:keepNext/>
        <w:spacing w:before="240" w:after="60" w:line="240" w:lineRule="auto"/>
        <w:outlineLvl w:val="1"/>
        <w:rPr>
          <w:rFonts w:ascii="Arial" w:eastAsia="Times New Roman" w:hAnsi="Arial" w:cs="Arial"/>
          <w:b/>
          <w:bCs/>
          <w:i/>
          <w:iCs/>
          <w:sz w:val="36"/>
          <w:szCs w:val="28"/>
        </w:rPr>
      </w:pPr>
      <w:r w:rsidRPr="00A27CC8">
        <w:rPr>
          <w:rFonts w:ascii="Arial" w:eastAsia="Times New Roman" w:hAnsi="Arial" w:cs="Arial"/>
          <w:b/>
          <w:bCs/>
          <w:i/>
          <w:iCs/>
          <w:sz w:val="36"/>
          <w:szCs w:val="28"/>
        </w:rPr>
        <w:t>Pharmaceutical Benefits Advisory Committee</w:t>
      </w:r>
    </w:p>
    <w:p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rsidR="00A27CC8" w:rsidRPr="00A27CC8" w:rsidRDefault="00A27CC8" w:rsidP="00A27CC8">
      <w:pPr>
        <w:tabs>
          <w:tab w:val="left" w:pos="-339"/>
        </w:tabs>
        <w:spacing w:after="0" w:line="240" w:lineRule="auto"/>
        <w:ind w:left="-1473"/>
        <w:rPr>
          <w:rFonts w:eastAsia="Times New Roman"/>
          <w:szCs w:val="20"/>
          <w:lang w:eastAsia="en-AU"/>
        </w:rPr>
      </w:pPr>
    </w:p>
    <w:p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sidRPr="00A27CC8">
        <w:rPr>
          <w:rFonts w:ascii="Arial" w:eastAsia="Times New Roman" w:hAnsi="Arial"/>
          <w:sz w:val="18"/>
          <w:szCs w:val="20"/>
          <w:lang w:eastAsia="en-AU"/>
        </w:rPr>
        <w:t>Telephone:</w:t>
      </w:r>
      <w:r w:rsidRPr="00A27CC8">
        <w:rPr>
          <w:rFonts w:ascii="Arial" w:eastAsia="Times New Roman" w:hAnsi="Arial"/>
          <w:sz w:val="18"/>
          <w:szCs w:val="20"/>
          <w:lang w:eastAsia="en-AU"/>
        </w:rPr>
        <w:tab/>
        <w:t>(</w:t>
      </w:r>
      <w:r>
        <w:rPr>
          <w:rFonts w:ascii="Arial" w:eastAsia="Times New Roman" w:hAnsi="Arial"/>
          <w:sz w:val="18"/>
          <w:szCs w:val="20"/>
          <w:lang w:eastAsia="en-AU"/>
        </w:rPr>
        <w:t>02) 6289 7099</w:t>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t xml:space="preserve"> </w:t>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proofErr w:type="gramStart"/>
      <w:r w:rsidRPr="00A27CC8">
        <w:rPr>
          <w:rFonts w:ascii="Arial" w:eastAsia="Times New Roman" w:hAnsi="Arial"/>
          <w:sz w:val="18"/>
          <w:szCs w:val="20"/>
          <w:lang w:eastAsia="en-AU"/>
        </w:rPr>
        <w:t>Address</w:t>
      </w:r>
      <w:proofErr w:type="gramEnd"/>
      <w:r w:rsidRPr="00A27CC8">
        <w:rPr>
          <w:rFonts w:ascii="Arial" w:eastAsia="Times New Roman" w:hAnsi="Arial"/>
          <w:sz w:val="18"/>
          <w:szCs w:val="20"/>
          <w:lang w:eastAsia="en-AU"/>
        </w:rPr>
        <w:t xml:space="preserve"> all mail to:</w:t>
      </w:r>
    </w:p>
    <w:p w:rsidR="00A27CC8" w:rsidRPr="00A27CC8" w:rsidRDefault="00A27CC8" w:rsidP="00A27CC8">
      <w:pPr>
        <w:tabs>
          <w:tab w:val="left" w:pos="284"/>
        </w:tabs>
        <w:spacing w:after="0" w:line="240" w:lineRule="auto"/>
        <w:ind w:left="-284" w:right="-331" w:firstLine="284"/>
        <w:rPr>
          <w:rFonts w:ascii="Arial" w:eastAsia="Times New Roman" w:hAnsi="Arial"/>
          <w:sz w:val="18"/>
          <w:szCs w:val="20"/>
          <w:lang w:eastAsia="en-AU"/>
        </w:rPr>
      </w:pPr>
      <w:r>
        <w:rPr>
          <w:rFonts w:ascii="Arial" w:eastAsia="Times New Roman" w:hAnsi="Arial"/>
          <w:sz w:val="18"/>
          <w:szCs w:val="20"/>
          <w:lang w:eastAsia="en-AU"/>
        </w:rPr>
        <w:t xml:space="preserve">Email: </w:t>
      </w:r>
      <w:r>
        <w:rPr>
          <w:rFonts w:ascii="Arial" w:eastAsia="Times New Roman" w:hAnsi="Arial"/>
          <w:sz w:val="18"/>
          <w:szCs w:val="20"/>
          <w:lang w:eastAsia="en-AU"/>
        </w:rPr>
        <w:tab/>
      </w:r>
      <w:r>
        <w:rPr>
          <w:rFonts w:ascii="Arial" w:eastAsia="Times New Roman" w:hAnsi="Arial"/>
          <w:sz w:val="18"/>
          <w:szCs w:val="20"/>
          <w:lang w:eastAsia="en-AU"/>
        </w:rPr>
        <w:tab/>
        <w:t>PBAC@health.gov.au</w:t>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PBAC Secretariat</w:t>
      </w:r>
      <w:r w:rsidRPr="00A27CC8">
        <w:rPr>
          <w:rFonts w:ascii="Arial" w:eastAsia="Times New Roman" w:hAnsi="Arial"/>
          <w:sz w:val="18"/>
          <w:szCs w:val="20"/>
          <w:lang w:eastAsia="en-AU"/>
        </w:rPr>
        <w:fldChar w:fldCharType="begin"/>
      </w:r>
      <w:r w:rsidRPr="00A27CC8">
        <w:rPr>
          <w:rFonts w:ascii="Arial" w:eastAsia="Times New Roman" w:hAnsi="Arial"/>
          <w:sz w:val="18"/>
          <w:szCs w:val="20"/>
          <w:lang w:eastAsia="en-AU"/>
        </w:rPr>
        <w:instrText xml:space="preserve"> DOCPROPERTY "hfsNameAddress" \* MERGEFORMAT </w:instrText>
      </w:r>
      <w:r w:rsidRPr="00A27CC8">
        <w:rPr>
          <w:rFonts w:ascii="Arial" w:eastAsia="Times New Roman" w:hAnsi="Arial"/>
          <w:sz w:val="18"/>
          <w:szCs w:val="20"/>
          <w:lang w:eastAsia="en-AU"/>
        </w:rPr>
        <w:fldChar w:fldCharType="end"/>
      </w:r>
    </w:p>
    <w:p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t>GPO Box 9848</w:t>
      </w:r>
    </w:p>
    <w:p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proofErr w:type="gramStart"/>
      <w:r w:rsidRPr="00A27CC8">
        <w:rPr>
          <w:rFonts w:ascii="Arial" w:eastAsia="Times New Roman" w:hAnsi="Arial"/>
          <w:sz w:val="18"/>
          <w:szCs w:val="20"/>
          <w:lang w:eastAsia="en-AU"/>
        </w:rPr>
        <w:t>Canberra  ACT</w:t>
      </w:r>
      <w:proofErr w:type="gramEnd"/>
      <w:r w:rsidRPr="00A27CC8">
        <w:rPr>
          <w:rFonts w:ascii="Arial" w:eastAsia="Times New Roman" w:hAnsi="Arial"/>
          <w:sz w:val="18"/>
          <w:szCs w:val="20"/>
          <w:lang w:eastAsia="en-AU"/>
        </w:rPr>
        <w:t xml:space="preserve"> 2601</w:t>
      </w:r>
    </w:p>
    <w:p w:rsidR="00A27CC8" w:rsidRPr="00A27CC8" w:rsidRDefault="00A27CC8" w:rsidP="00A27CC8">
      <w:pPr>
        <w:spacing w:after="0" w:line="240" w:lineRule="auto"/>
        <w:jc w:val="center"/>
        <w:rPr>
          <w:rFonts w:eastAsia="Times New Roman"/>
          <w:b/>
          <w:lang w:eastAsia="en-AU"/>
        </w:rPr>
      </w:pPr>
    </w:p>
    <w:p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br/>
        <w:t>DELETION OF PHARMACEUTICAL BENEFIT ITEMS</w:t>
      </w:r>
    </w:p>
    <w:p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t xml:space="preserve">EFFECTIVE 1 </w:t>
      </w:r>
      <w:r w:rsidR="00234F12">
        <w:rPr>
          <w:rFonts w:eastAsia="Times New Roman"/>
          <w:b/>
          <w:lang w:eastAsia="en-AU"/>
        </w:rPr>
        <w:t>January 2020</w:t>
      </w:r>
    </w:p>
    <w:p w:rsidR="00A27CC8" w:rsidRPr="00A27CC8" w:rsidRDefault="00A27CC8" w:rsidP="00A27CC8">
      <w:pPr>
        <w:spacing w:after="0" w:line="240" w:lineRule="auto"/>
        <w:rPr>
          <w:rFonts w:eastAsia="Times New Roman"/>
          <w:lang w:eastAsia="en-AU"/>
        </w:rPr>
      </w:pPr>
    </w:p>
    <w:p w:rsidR="00A27CC8" w:rsidRPr="00A27CC8" w:rsidRDefault="00A27CC8" w:rsidP="00A27CC8">
      <w:pPr>
        <w:spacing w:after="0" w:line="240" w:lineRule="auto"/>
        <w:rPr>
          <w:rFonts w:eastAsia="Times New Roman"/>
          <w:lang w:eastAsia="en-AU"/>
        </w:rPr>
      </w:pPr>
      <w:r w:rsidRPr="00A27CC8">
        <w:rPr>
          <w:rFonts w:eastAsia="Times New Roman"/>
          <w:lang w:eastAsia="en-AU"/>
        </w:rPr>
        <w:t xml:space="preserve">Following is the advice of the Pharmaceutical Benefits Advisory Committee concerning the deletion of items from the declaration under subsections 85(2) and 85(2A) of the </w:t>
      </w:r>
      <w:r w:rsidRPr="00A27CC8">
        <w:rPr>
          <w:rFonts w:eastAsia="Times New Roman"/>
          <w:i/>
          <w:lang w:eastAsia="en-AU"/>
        </w:rPr>
        <w:t>National Health Act</w:t>
      </w:r>
      <w:r w:rsidRPr="00A27CC8">
        <w:rPr>
          <w:rFonts w:eastAsia="Times New Roman"/>
          <w:lang w:eastAsia="en-AU"/>
        </w:rPr>
        <w:t xml:space="preserve"> </w:t>
      </w:r>
      <w:r w:rsidRPr="00A27CC8">
        <w:rPr>
          <w:rFonts w:eastAsia="Times New Roman"/>
          <w:i/>
          <w:lang w:eastAsia="en-AU"/>
        </w:rPr>
        <w:t>1953</w:t>
      </w:r>
      <w:r w:rsidRPr="00A27CC8">
        <w:rPr>
          <w:rFonts w:eastAsia="Times New Roman"/>
          <w:lang w:eastAsia="en-AU"/>
        </w:rPr>
        <w:t>, with effect from the above date.</w:t>
      </w:r>
    </w:p>
    <w:p w:rsidR="00A27CC8" w:rsidRPr="00A27CC8" w:rsidRDefault="00A27CC8" w:rsidP="00A27CC8">
      <w:pPr>
        <w:spacing w:after="0" w:line="240" w:lineRule="auto"/>
        <w:rPr>
          <w:rFonts w:eastAsia="Times New Roman"/>
          <w:lang w:eastAsia="en-AU"/>
        </w:rPr>
      </w:pPr>
    </w:p>
    <w:tbl>
      <w:tblPr>
        <w:tblW w:w="9747" w:type="dxa"/>
        <w:tblLook w:val="01E0" w:firstRow="1" w:lastRow="1" w:firstColumn="1" w:lastColumn="1" w:noHBand="0" w:noVBand="0"/>
      </w:tblPr>
      <w:tblGrid>
        <w:gridCol w:w="3227"/>
        <w:gridCol w:w="6520"/>
      </w:tblGrid>
      <w:tr w:rsidR="00A27CC8" w:rsidRPr="00A27CC8" w:rsidTr="00E75F28">
        <w:trPr>
          <w:trHeight w:val="617"/>
        </w:trPr>
        <w:tc>
          <w:tcPr>
            <w:tcW w:w="3227" w:type="dxa"/>
            <w:shd w:val="clear" w:color="auto" w:fill="auto"/>
          </w:tcPr>
          <w:p w:rsidR="00A27CC8" w:rsidRPr="00A27CC8" w:rsidRDefault="00A27CC8" w:rsidP="00A27CC8">
            <w:pPr>
              <w:widowControl w:val="0"/>
              <w:spacing w:after="0" w:line="240" w:lineRule="auto"/>
              <w:rPr>
                <w:rFonts w:eastAsia="Times New Roman"/>
                <w:lang w:eastAsia="en-AU"/>
              </w:rPr>
            </w:pPr>
            <w:r w:rsidRPr="00A27CC8">
              <w:rPr>
                <w:rFonts w:eastAsia="Times New Roman"/>
                <w:b/>
                <w:u w:val="single"/>
                <w:lang w:eastAsia="en-AU"/>
              </w:rPr>
              <w:t>Item</w:t>
            </w:r>
            <w:r w:rsidRPr="00A27CC8">
              <w:rPr>
                <w:rFonts w:eastAsia="Times New Roman"/>
                <w:lang w:eastAsia="en-AU"/>
              </w:rPr>
              <w:tab/>
            </w:r>
          </w:p>
        </w:tc>
        <w:tc>
          <w:tcPr>
            <w:tcW w:w="6520" w:type="dxa"/>
            <w:shd w:val="clear" w:color="auto" w:fill="auto"/>
          </w:tcPr>
          <w:p w:rsidR="00A27CC8" w:rsidRPr="00A27CC8" w:rsidRDefault="00A27CC8" w:rsidP="00A27CC8">
            <w:pPr>
              <w:widowControl w:val="0"/>
              <w:spacing w:after="0" w:line="240" w:lineRule="auto"/>
              <w:rPr>
                <w:rFonts w:eastAsia="Times New Roman"/>
                <w:b/>
                <w:u w:val="single"/>
                <w:lang w:eastAsia="en-AU"/>
              </w:rPr>
            </w:pPr>
            <w:r w:rsidRPr="00A27CC8">
              <w:rPr>
                <w:rFonts w:eastAsia="Times New Roman"/>
                <w:b/>
                <w:u w:val="single"/>
                <w:lang w:eastAsia="en-AU"/>
              </w:rPr>
              <w:t>PBAC Advice</w:t>
            </w:r>
          </w:p>
          <w:p w:rsidR="00A27CC8" w:rsidRPr="00A27CC8" w:rsidRDefault="00A27CC8" w:rsidP="00A27CC8">
            <w:pPr>
              <w:widowControl w:val="0"/>
              <w:spacing w:after="0" w:line="240" w:lineRule="auto"/>
              <w:rPr>
                <w:rFonts w:eastAsia="Times New Roman"/>
                <w:lang w:eastAsia="en-AU"/>
              </w:rPr>
            </w:pPr>
          </w:p>
        </w:tc>
      </w:tr>
      <w:tr w:rsidR="00A27CC8" w:rsidRPr="00A27CC8" w:rsidTr="00E75F28">
        <w:tc>
          <w:tcPr>
            <w:tcW w:w="3227" w:type="dxa"/>
            <w:shd w:val="clear" w:color="auto" w:fill="auto"/>
          </w:tcPr>
          <w:p w:rsidR="00234F12" w:rsidRPr="00234F12" w:rsidRDefault="00234F12" w:rsidP="00234F12">
            <w:pPr>
              <w:pStyle w:val="Heading1"/>
              <w:ind w:left="216"/>
              <w:rPr>
                <w:rFonts w:ascii="Times New Roman" w:eastAsia="Times New Roman" w:hAnsi="Times New Roman" w:cs="Times New Roman"/>
                <w:sz w:val="24"/>
                <w:szCs w:val="24"/>
                <w:lang w:val="en-AU" w:eastAsia="en-AU"/>
              </w:rPr>
            </w:pPr>
            <w:proofErr w:type="spellStart"/>
            <w:r w:rsidRPr="00234F12">
              <w:rPr>
                <w:rFonts w:ascii="Times New Roman" w:eastAsia="Times New Roman" w:hAnsi="Times New Roman" w:cs="Times New Roman"/>
                <w:sz w:val="24"/>
                <w:szCs w:val="24"/>
                <w:lang w:val="en-AU" w:eastAsia="en-AU"/>
              </w:rPr>
              <w:t>Verteporfin</w:t>
            </w:r>
            <w:proofErr w:type="spellEnd"/>
          </w:p>
          <w:p w:rsidR="00A27CC8" w:rsidRPr="00A27CC8" w:rsidRDefault="00A27CC8" w:rsidP="00A27CC8">
            <w:pPr>
              <w:widowControl w:val="0"/>
              <w:spacing w:after="0" w:line="240" w:lineRule="auto"/>
              <w:rPr>
                <w:rFonts w:eastAsia="Times New Roman"/>
                <w:sz w:val="20"/>
                <w:lang w:eastAsia="en-AU"/>
              </w:rPr>
            </w:pPr>
          </w:p>
        </w:tc>
        <w:tc>
          <w:tcPr>
            <w:tcW w:w="6520" w:type="dxa"/>
            <w:shd w:val="clear" w:color="auto" w:fill="auto"/>
          </w:tcPr>
          <w:p w:rsidR="00234F12" w:rsidRPr="00234F12" w:rsidRDefault="00234F12" w:rsidP="00234F12">
            <w:pPr>
              <w:pStyle w:val="BodyText"/>
              <w:ind w:left="216" w:right="103" w:hanging="3"/>
              <w:jc w:val="both"/>
              <w:rPr>
                <w:rFonts w:ascii="Times New Roman" w:hAnsi="Times New Roman" w:cs="Times New Roman"/>
                <w:b w:val="0"/>
              </w:rPr>
            </w:pPr>
            <w:r w:rsidRPr="00234F12">
              <w:rPr>
                <w:rFonts w:ascii="Times New Roman" w:hAnsi="Times New Roman" w:cs="Times New Roman"/>
                <w:b w:val="0"/>
                <w:color w:val="282828"/>
              </w:rPr>
              <w:t xml:space="preserve">The sponsor has requested the deletion of </w:t>
            </w:r>
            <w:proofErr w:type="spellStart"/>
            <w:r w:rsidRPr="00234F12">
              <w:rPr>
                <w:rFonts w:ascii="Times New Roman" w:hAnsi="Times New Roman" w:cs="Times New Roman"/>
                <w:b w:val="0"/>
                <w:color w:val="282828"/>
              </w:rPr>
              <w:t>Visudyne</w:t>
            </w:r>
            <w:proofErr w:type="spellEnd"/>
            <w:r w:rsidRPr="00234F12">
              <w:rPr>
                <w:rFonts w:ascii="Times New Roman" w:hAnsi="Times New Roman" w:cs="Times New Roman"/>
                <w:b w:val="0"/>
                <w:color w:val="282828"/>
              </w:rPr>
              <w:t>® from the PBS. The sponsor stated that the product will be transferred to them (from Novartis Pharmaceuticals), effective 1 November 2019. After this date, registered supply of the product will cease, as the small volumes of supply are not commercially viable. The product will remain available to the small patient population via unlicensed supply.</w:t>
            </w:r>
          </w:p>
          <w:p w:rsidR="00234F12" w:rsidRPr="00234F12" w:rsidRDefault="00234F12" w:rsidP="00234F12">
            <w:pPr>
              <w:pStyle w:val="BodyText"/>
              <w:spacing w:before="9"/>
              <w:rPr>
                <w:rFonts w:ascii="Times New Roman" w:hAnsi="Times New Roman" w:cs="Times New Roman"/>
                <w:b w:val="0"/>
                <w:sz w:val="23"/>
              </w:rPr>
            </w:pPr>
          </w:p>
          <w:p w:rsidR="00234F12" w:rsidRPr="00234F12" w:rsidRDefault="00234F12" w:rsidP="00234F12">
            <w:pPr>
              <w:pStyle w:val="BodyText"/>
              <w:ind w:left="216" w:right="105" w:hanging="3"/>
              <w:jc w:val="both"/>
              <w:rPr>
                <w:rFonts w:ascii="Times New Roman" w:hAnsi="Times New Roman" w:cs="Times New Roman"/>
                <w:b w:val="0"/>
              </w:rPr>
            </w:pPr>
            <w:r w:rsidRPr="00234F12">
              <w:rPr>
                <w:rFonts w:ascii="Times New Roman" w:hAnsi="Times New Roman" w:cs="Times New Roman"/>
                <w:b w:val="0"/>
                <w:color w:val="282828"/>
              </w:rPr>
              <w:t>The</w:t>
            </w:r>
            <w:r w:rsidRPr="00234F12">
              <w:rPr>
                <w:rFonts w:ascii="Times New Roman" w:hAnsi="Times New Roman" w:cs="Times New Roman"/>
                <w:b w:val="0"/>
                <w:color w:val="282828"/>
                <w:spacing w:val="4"/>
              </w:rPr>
              <w:t xml:space="preserve"> </w:t>
            </w:r>
            <w:r w:rsidRPr="00234F12">
              <w:rPr>
                <w:rFonts w:ascii="Times New Roman" w:hAnsi="Times New Roman" w:cs="Times New Roman"/>
                <w:b w:val="0"/>
                <w:color w:val="282828"/>
              </w:rPr>
              <w:t>PBAC</w:t>
            </w:r>
            <w:r w:rsidRPr="00234F12">
              <w:rPr>
                <w:rFonts w:ascii="Times New Roman" w:hAnsi="Times New Roman" w:cs="Times New Roman"/>
                <w:b w:val="0"/>
                <w:color w:val="282828"/>
                <w:spacing w:val="-9"/>
              </w:rPr>
              <w:t xml:space="preserve"> </w:t>
            </w:r>
            <w:r w:rsidRPr="00234F12">
              <w:rPr>
                <w:rFonts w:ascii="Times New Roman" w:hAnsi="Times New Roman" w:cs="Times New Roman"/>
                <w:b w:val="0"/>
                <w:color w:val="282828"/>
              </w:rPr>
              <w:t>noted</w:t>
            </w:r>
            <w:r w:rsidRPr="00234F12">
              <w:rPr>
                <w:rFonts w:ascii="Times New Roman" w:hAnsi="Times New Roman" w:cs="Times New Roman"/>
                <w:b w:val="0"/>
                <w:color w:val="282828"/>
                <w:spacing w:val="-10"/>
              </w:rPr>
              <w:t xml:space="preserve"> </w:t>
            </w:r>
            <w:r w:rsidRPr="00234F12">
              <w:rPr>
                <w:rFonts w:ascii="Times New Roman" w:hAnsi="Times New Roman" w:cs="Times New Roman"/>
                <w:b w:val="0"/>
                <w:color w:val="282828"/>
              </w:rPr>
              <w:t>that</w:t>
            </w:r>
            <w:r w:rsidRPr="00234F12">
              <w:rPr>
                <w:rFonts w:ascii="Times New Roman" w:hAnsi="Times New Roman" w:cs="Times New Roman"/>
                <w:b w:val="0"/>
                <w:color w:val="282828"/>
                <w:spacing w:val="-7"/>
              </w:rPr>
              <w:t xml:space="preserve"> </w:t>
            </w:r>
            <w:proofErr w:type="spellStart"/>
            <w:r w:rsidRPr="00234F12">
              <w:rPr>
                <w:rFonts w:ascii="Times New Roman" w:hAnsi="Times New Roman" w:cs="Times New Roman"/>
                <w:b w:val="0"/>
                <w:color w:val="282828"/>
              </w:rPr>
              <w:t>aflibercept</w:t>
            </w:r>
            <w:proofErr w:type="spellEnd"/>
            <w:r w:rsidRPr="00234F12">
              <w:rPr>
                <w:rFonts w:ascii="Times New Roman" w:hAnsi="Times New Roman" w:cs="Times New Roman"/>
                <w:b w:val="0"/>
                <w:color w:val="282828"/>
                <w:spacing w:val="-9"/>
              </w:rPr>
              <w:t xml:space="preserve"> </w:t>
            </w:r>
            <w:r w:rsidRPr="00234F12">
              <w:rPr>
                <w:rFonts w:ascii="Times New Roman" w:hAnsi="Times New Roman" w:cs="Times New Roman"/>
                <w:b w:val="0"/>
                <w:color w:val="282828"/>
              </w:rPr>
              <w:t>and</w:t>
            </w:r>
            <w:r w:rsidRPr="00234F12">
              <w:rPr>
                <w:rFonts w:ascii="Times New Roman" w:hAnsi="Times New Roman" w:cs="Times New Roman"/>
                <w:b w:val="0"/>
                <w:color w:val="282828"/>
                <w:spacing w:val="-11"/>
              </w:rPr>
              <w:t xml:space="preserve"> </w:t>
            </w:r>
            <w:proofErr w:type="spellStart"/>
            <w:r w:rsidRPr="00234F12">
              <w:rPr>
                <w:rFonts w:ascii="Times New Roman" w:hAnsi="Times New Roman" w:cs="Times New Roman"/>
                <w:b w:val="0"/>
                <w:color w:val="282828"/>
              </w:rPr>
              <w:t>ranibizumab</w:t>
            </w:r>
            <w:proofErr w:type="spellEnd"/>
            <w:r w:rsidRPr="00234F12">
              <w:rPr>
                <w:rFonts w:ascii="Times New Roman" w:hAnsi="Times New Roman" w:cs="Times New Roman"/>
                <w:b w:val="0"/>
                <w:color w:val="282828"/>
                <w:spacing w:val="-10"/>
              </w:rPr>
              <w:t xml:space="preserve"> </w:t>
            </w:r>
            <w:r w:rsidRPr="00234F12">
              <w:rPr>
                <w:rFonts w:ascii="Times New Roman" w:hAnsi="Times New Roman" w:cs="Times New Roman"/>
                <w:b w:val="0"/>
                <w:color w:val="282828"/>
              </w:rPr>
              <w:t>are</w:t>
            </w:r>
            <w:r w:rsidRPr="00234F12">
              <w:rPr>
                <w:rFonts w:ascii="Times New Roman" w:hAnsi="Times New Roman" w:cs="Times New Roman"/>
                <w:b w:val="0"/>
                <w:color w:val="282828"/>
                <w:spacing w:val="-9"/>
              </w:rPr>
              <w:t xml:space="preserve"> </w:t>
            </w:r>
            <w:r w:rsidRPr="00234F12">
              <w:rPr>
                <w:rFonts w:ascii="Times New Roman" w:hAnsi="Times New Roman" w:cs="Times New Roman"/>
                <w:b w:val="0"/>
                <w:color w:val="282828"/>
              </w:rPr>
              <w:t>PBS-listed for the same indication (</w:t>
            </w:r>
            <w:proofErr w:type="spellStart"/>
            <w:r w:rsidRPr="00234F12">
              <w:rPr>
                <w:rFonts w:ascii="Times New Roman" w:hAnsi="Times New Roman" w:cs="Times New Roman"/>
                <w:b w:val="0"/>
                <w:color w:val="282828"/>
              </w:rPr>
              <w:t>subfoveal</w:t>
            </w:r>
            <w:proofErr w:type="spellEnd"/>
            <w:r w:rsidRPr="00234F12">
              <w:rPr>
                <w:rFonts w:ascii="Times New Roman" w:hAnsi="Times New Roman" w:cs="Times New Roman"/>
                <w:b w:val="0"/>
                <w:color w:val="282828"/>
              </w:rPr>
              <w:t xml:space="preserve"> choroidal </w:t>
            </w:r>
            <w:proofErr w:type="spellStart"/>
            <w:r w:rsidRPr="00234F12">
              <w:rPr>
                <w:rFonts w:ascii="Times New Roman" w:hAnsi="Times New Roman" w:cs="Times New Roman"/>
                <w:b w:val="0"/>
                <w:color w:val="282828"/>
              </w:rPr>
              <w:t>neovascularisation</w:t>
            </w:r>
            <w:proofErr w:type="spellEnd"/>
            <w:r w:rsidRPr="00234F12">
              <w:rPr>
                <w:rFonts w:ascii="Times New Roman" w:hAnsi="Times New Roman" w:cs="Times New Roman"/>
                <w:b w:val="0"/>
                <w:color w:val="282828"/>
              </w:rPr>
              <w:t xml:space="preserve"> (CNV) due </w:t>
            </w:r>
            <w:r w:rsidRPr="00234F12">
              <w:rPr>
                <w:rFonts w:ascii="Times New Roman" w:hAnsi="Times New Roman" w:cs="Times New Roman"/>
                <w:b w:val="0"/>
                <w:color w:val="282828"/>
                <w:spacing w:val="3"/>
              </w:rPr>
              <w:t xml:space="preserve">to </w:t>
            </w:r>
            <w:r w:rsidRPr="00234F12">
              <w:rPr>
                <w:rFonts w:ascii="Times New Roman" w:hAnsi="Times New Roman" w:cs="Times New Roman"/>
                <w:b w:val="0"/>
                <w:color w:val="282828"/>
              </w:rPr>
              <w:t xml:space="preserve">macular degeneration) and there were very </w:t>
            </w:r>
            <w:r w:rsidRPr="00234F12">
              <w:rPr>
                <w:rFonts w:ascii="Times New Roman" w:hAnsi="Times New Roman" w:cs="Times New Roman"/>
                <w:b w:val="0"/>
                <w:color w:val="282828"/>
                <w:spacing w:val="-3"/>
              </w:rPr>
              <w:t xml:space="preserve">few </w:t>
            </w:r>
            <w:r w:rsidRPr="00234F12">
              <w:rPr>
                <w:rFonts w:ascii="Times New Roman" w:hAnsi="Times New Roman" w:cs="Times New Roman"/>
                <w:b w:val="0"/>
                <w:color w:val="282828"/>
              </w:rPr>
              <w:t xml:space="preserve">services of </w:t>
            </w:r>
            <w:proofErr w:type="spellStart"/>
            <w:r w:rsidRPr="00234F12">
              <w:rPr>
                <w:rFonts w:ascii="Times New Roman" w:hAnsi="Times New Roman" w:cs="Times New Roman"/>
                <w:b w:val="0"/>
                <w:color w:val="282828"/>
              </w:rPr>
              <w:t>verteporfin</w:t>
            </w:r>
            <w:proofErr w:type="spellEnd"/>
            <w:r w:rsidRPr="00234F12">
              <w:rPr>
                <w:rFonts w:ascii="Times New Roman" w:hAnsi="Times New Roman" w:cs="Times New Roman"/>
                <w:b w:val="0"/>
                <w:color w:val="282828"/>
              </w:rPr>
              <w:t xml:space="preserve"> in </w:t>
            </w:r>
            <w:r w:rsidRPr="00234F12">
              <w:rPr>
                <w:rFonts w:ascii="Times New Roman" w:hAnsi="Times New Roman" w:cs="Times New Roman"/>
                <w:b w:val="0"/>
                <w:color w:val="282828"/>
                <w:spacing w:val="-3"/>
              </w:rPr>
              <w:t xml:space="preserve">2018-19. </w:t>
            </w:r>
            <w:r w:rsidRPr="00234F12">
              <w:rPr>
                <w:rFonts w:ascii="Times New Roman" w:hAnsi="Times New Roman" w:cs="Times New Roman"/>
                <w:b w:val="0"/>
                <w:color w:val="282828"/>
              </w:rPr>
              <w:t xml:space="preserve">The </w:t>
            </w:r>
            <w:r w:rsidRPr="00234F12">
              <w:rPr>
                <w:rFonts w:ascii="Times New Roman" w:hAnsi="Times New Roman" w:cs="Times New Roman"/>
                <w:b w:val="0"/>
                <w:color w:val="282828"/>
                <w:spacing w:val="-3"/>
              </w:rPr>
              <w:t xml:space="preserve">PBAC </w:t>
            </w:r>
            <w:r w:rsidRPr="00234F12">
              <w:rPr>
                <w:rFonts w:ascii="Times New Roman" w:hAnsi="Times New Roman" w:cs="Times New Roman"/>
                <w:b w:val="0"/>
                <w:color w:val="282828"/>
              </w:rPr>
              <w:t xml:space="preserve">had no objections to </w:t>
            </w:r>
            <w:r w:rsidRPr="00234F12">
              <w:rPr>
                <w:rFonts w:ascii="Times New Roman" w:hAnsi="Times New Roman" w:cs="Times New Roman"/>
                <w:b w:val="0"/>
                <w:color w:val="282828"/>
                <w:spacing w:val="-3"/>
              </w:rPr>
              <w:t>this deletion</w:t>
            </w:r>
            <w:r w:rsidRPr="00234F12">
              <w:rPr>
                <w:rFonts w:ascii="Times New Roman" w:hAnsi="Times New Roman" w:cs="Times New Roman"/>
                <w:b w:val="0"/>
                <w:color w:val="282828"/>
                <w:spacing w:val="-33"/>
              </w:rPr>
              <w:t xml:space="preserve"> </w:t>
            </w:r>
            <w:r w:rsidRPr="00234F12">
              <w:rPr>
                <w:rFonts w:ascii="Times New Roman" w:hAnsi="Times New Roman" w:cs="Times New Roman"/>
                <w:b w:val="0"/>
                <w:color w:val="282828"/>
              </w:rPr>
              <w:t>request.</w:t>
            </w:r>
          </w:p>
          <w:p w:rsidR="00A27CC8" w:rsidRPr="00A27CC8" w:rsidRDefault="00A27CC8" w:rsidP="00A27CC8">
            <w:pPr>
              <w:spacing w:after="0" w:line="240" w:lineRule="auto"/>
              <w:jc w:val="both"/>
              <w:rPr>
                <w:rFonts w:ascii="Arial" w:eastAsia="Times New Roman" w:hAnsi="Arial" w:cs="Arial"/>
                <w:sz w:val="20"/>
                <w:szCs w:val="22"/>
                <w:lang w:val="en-US" w:eastAsia="en-AU"/>
              </w:rPr>
            </w:pPr>
          </w:p>
        </w:tc>
      </w:tr>
    </w:tbl>
    <w:p w:rsidR="00A27CC8" w:rsidRDefault="00A27CC8" w:rsidP="00A27CC8">
      <w:pPr>
        <w:spacing w:after="0" w:line="240" w:lineRule="auto"/>
        <w:rPr>
          <w:rFonts w:eastAsia="Times New Roman"/>
          <w:szCs w:val="20"/>
          <w:lang w:eastAsia="en-AU"/>
        </w:rPr>
      </w:pPr>
    </w:p>
    <w:p w:rsidR="00234F12" w:rsidRDefault="00234F12" w:rsidP="00A27CC8">
      <w:pPr>
        <w:spacing w:after="0" w:line="240" w:lineRule="auto"/>
        <w:rPr>
          <w:rFonts w:eastAsia="Times New Roman"/>
          <w:szCs w:val="20"/>
          <w:lang w:eastAsia="en-AU"/>
        </w:rPr>
      </w:pPr>
    </w:p>
    <w:p w:rsidR="00BC63A5" w:rsidRDefault="00BC63A5" w:rsidP="00A27CC8">
      <w:pPr>
        <w:spacing w:after="0" w:line="240" w:lineRule="auto"/>
        <w:rPr>
          <w:rFonts w:eastAsia="Times New Roman"/>
          <w:szCs w:val="20"/>
          <w:lang w:eastAsia="en-AU"/>
        </w:rPr>
      </w:pPr>
    </w:p>
    <w:p w:rsidR="00234F12" w:rsidRDefault="00234F12" w:rsidP="00A27CC8">
      <w:pPr>
        <w:spacing w:after="0" w:line="240" w:lineRule="auto"/>
        <w:rPr>
          <w:rFonts w:eastAsia="Times New Roman"/>
          <w:szCs w:val="20"/>
          <w:lang w:eastAsia="en-AU"/>
        </w:rPr>
      </w:pPr>
    </w:p>
    <w:p w:rsidR="00234F12" w:rsidRDefault="00234F12" w:rsidP="00A27CC8">
      <w:pPr>
        <w:spacing w:after="0" w:line="240" w:lineRule="auto"/>
        <w:rPr>
          <w:rFonts w:eastAsia="Times New Roman"/>
          <w:szCs w:val="20"/>
          <w:lang w:eastAsia="en-AU"/>
        </w:rPr>
      </w:pPr>
    </w:p>
    <w:p w:rsidR="00234F12" w:rsidRDefault="00234F12" w:rsidP="00A27CC8">
      <w:pPr>
        <w:spacing w:after="0" w:line="240" w:lineRule="auto"/>
        <w:rPr>
          <w:rFonts w:eastAsia="Times New Roman"/>
          <w:szCs w:val="20"/>
          <w:lang w:eastAsia="en-AU"/>
        </w:rPr>
      </w:pPr>
    </w:p>
    <w:p w:rsidR="00234F12" w:rsidRDefault="00234F12" w:rsidP="00A27CC8">
      <w:pPr>
        <w:spacing w:after="0" w:line="240" w:lineRule="auto"/>
        <w:rPr>
          <w:rFonts w:eastAsia="Times New Roman"/>
          <w:szCs w:val="20"/>
          <w:lang w:eastAsia="en-AU"/>
        </w:rPr>
      </w:pPr>
    </w:p>
    <w:p w:rsidR="00234F12" w:rsidRPr="00A27CC8" w:rsidRDefault="00234F12" w:rsidP="00A27CC8">
      <w:pPr>
        <w:spacing w:after="0" w:line="240" w:lineRule="auto"/>
        <w:rPr>
          <w:rFonts w:eastAsia="Times New Roman"/>
          <w:szCs w:val="20"/>
          <w:lang w:eastAsia="en-AU"/>
        </w:rPr>
      </w:pPr>
    </w:p>
    <w:p w:rsidR="00234F12" w:rsidRDefault="00234F12" w:rsidP="00234F12">
      <w:pPr>
        <w:spacing w:after="0" w:line="240" w:lineRule="auto"/>
        <w:rPr>
          <w:rFonts w:eastAsia="Times New Roman"/>
          <w:szCs w:val="20"/>
          <w:lang w:eastAsia="en-AU"/>
        </w:rPr>
      </w:pPr>
      <w:r w:rsidRPr="00234F12">
        <w:rPr>
          <w:rFonts w:eastAsia="Times New Roman"/>
          <w:szCs w:val="20"/>
          <w:lang w:eastAsia="en-AU"/>
        </w:rPr>
        <w:t xml:space="preserve">John Paul </w:t>
      </w:r>
    </w:p>
    <w:p w:rsidR="00234F12" w:rsidRPr="00234F12" w:rsidRDefault="00234F12" w:rsidP="00234F12">
      <w:pPr>
        <w:spacing w:after="0" w:line="240" w:lineRule="auto"/>
        <w:rPr>
          <w:rFonts w:eastAsia="Times New Roman"/>
          <w:szCs w:val="20"/>
          <w:lang w:eastAsia="en-AU"/>
        </w:rPr>
      </w:pPr>
      <w:r w:rsidRPr="00234F12">
        <w:rPr>
          <w:rFonts w:eastAsia="Times New Roman"/>
          <w:szCs w:val="20"/>
          <w:lang w:eastAsia="en-AU"/>
        </w:rPr>
        <w:t>Director</w:t>
      </w:r>
    </w:p>
    <w:p w:rsidR="00234F12" w:rsidRDefault="00234F12" w:rsidP="00234F12">
      <w:pPr>
        <w:spacing w:after="0" w:line="240" w:lineRule="auto"/>
        <w:rPr>
          <w:rFonts w:eastAsia="Times New Roman"/>
          <w:szCs w:val="20"/>
          <w:lang w:eastAsia="en-AU"/>
        </w:rPr>
      </w:pPr>
      <w:r w:rsidRPr="00234F12">
        <w:rPr>
          <w:rFonts w:eastAsia="Times New Roman"/>
          <w:szCs w:val="20"/>
          <w:lang w:eastAsia="en-AU"/>
        </w:rPr>
        <w:t xml:space="preserve">Health Technology Assessment Section </w:t>
      </w:r>
    </w:p>
    <w:p w:rsidR="00234F12" w:rsidRDefault="00234F12" w:rsidP="00234F12">
      <w:pPr>
        <w:spacing w:after="0" w:line="240" w:lineRule="auto"/>
        <w:rPr>
          <w:rFonts w:eastAsia="Times New Roman"/>
          <w:szCs w:val="20"/>
          <w:lang w:eastAsia="en-AU"/>
        </w:rPr>
      </w:pPr>
      <w:r w:rsidRPr="00234F12">
        <w:rPr>
          <w:rFonts w:eastAsia="Times New Roman"/>
          <w:szCs w:val="20"/>
          <w:lang w:eastAsia="en-AU"/>
        </w:rPr>
        <w:t xml:space="preserve">Office of Health Technology Assessment </w:t>
      </w:r>
    </w:p>
    <w:p w:rsidR="00234F12" w:rsidRPr="00234F12" w:rsidRDefault="00234F12" w:rsidP="00234F12">
      <w:pPr>
        <w:spacing w:after="0" w:line="240" w:lineRule="auto"/>
        <w:rPr>
          <w:rFonts w:eastAsia="Times New Roman"/>
          <w:szCs w:val="20"/>
          <w:lang w:eastAsia="en-AU"/>
        </w:rPr>
      </w:pPr>
      <w:bookmarkStart w:id="0" w:name="_GoBack"/>
      <w:bookmarkEnd w:id="0"/>
      <w:r w:rsidRPr="00234F12">
        <w:rPr>
          <w:rFonts w:eastAsia="Times New Roman"/>
          <w:szCs w:val="20"/>
          <w:lang w:eastAsia="en-AU"/>
        </w:rPr>
        <w:t>Technology Assessment and Access Division</w:t>
      </w:r>
    </w:p>
    <w:p w:rsidR="00A27CC8" w:rsidRPr="00A27CC8" w:rsidRDefault="00234F12" w:rsidP="00234F12">
      <w:pPr>
        <w:spacing w:after="0" w:line="240" w:lineRule="auto"/>
        <w:rPr>
          <w:rFonts w:eastAsia="Times New Roman"/>
          <w:szCs w:val="20"/>
          <w:lang w:eastAsia="en-AU"/>
        </w:rPr>
      </w:pPr>
      <w:r w:rsidRPr="00234F12">
        <w:rPr>
          <w:rFonts w:eastAsia="Times New Roman"/>
          <w:szCs w:val="20"/>
          <w:lang w:eastAsia="en-AU"/>
        </w:rPr>
        <w:t>29 November 2019</w:t>
      </w:r>
    </w:p>
    <w:p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C8"/>
    <w:rsid w:val="00234F12"/>
    <w:rsid w:val="00280050"/>
    <w:rsid w:val="008D7B64"/>
    <w:rsid w:val="0092637D"/>
    <w:rsid w:val="00A27CC8"/>
    <w:rsid w:val="00B731E9"/>
    <w:rsid w:val="00BC63A5"/>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4BE4"/>
  <w15:chartTrackingRefBased/>
  <w15:docId w15:val="{5382D7A9-C35F-4795-BE5D-DD74AFFA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34F12"/>
    <w:pPr>
      <w:widowControl w:val="0"/>
      <w:autoSpaceDE w:val="0"/>
      <w:autoSpaceDN w:val="0"/>
      <w:spacing w:after="0" w:line="240" w:lineRule="auto"/>
      <w:ind w:left="215"/>
      <w:outlineLvl w:val="0"/>
    </w:pPr>
    <w:rPr>
      <w:rFonts w:ascii="Tahoma" w:eastAsia="Tahoma" w:hAnsi="Tahoma" w:cs="Tahoma"/>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4F12"/>
    <w:rPr>
      <w:rFonts w:ascii="Tahoma" w:eastAsia="Tahoma" w:hAnsi="Tahoma" w:cs="Tahoma"/>
      <w:sz w:val="25"/>
      <w:szCs w:val="25"/>
      <w:lang w:val="en-US"/>
    </w:rPr>
  </w:style>
  <w:style w:type="paragraph" w:styleId="BodyText">
    <w:name w:val="Body Text"/>
    <w:basedOn w:val="Normal"/>
    <w:link w:val="BodyTextChar"/>
    <w:uiPriority w:val="1"/>
    <w:qFormat/>
    <w:rsid w:val="00234F12"/>
    <w:pPr>
      <w:widowControl w:val="0"/>
      <w:autoSpaceDE w:val="0"/>
      <w:autoSpaceDN w:val="0"/>
      <w:spacing w:after="0" w:line="240" w:lineRule="auto"/>
    </w:pPr>
    <w:rPr>
      <w:rFonts w:ascii="Calibri" w:eastAsia="Calibri" w:hAnsi="Calibri" w:cs="Calibri"/>
      <w:b/>
      <w:bCs/>
      <w:lang w:val="en-US"/>
    </w:rPr>
  </w:style>
  <w:style w:type="character" w:customStyle="1" w:styleId="BodyTextChar">
    <w:name w:val="Body Text Char"/>
    <w:basedOn w:val="DefaultParagraphFont"/>
    <w:link w:val="BodyText"/>
    <w:uiPriority w:val="1"/>
    <w:rsid w:val="00234F12"/>
    <w:rPr>
      <w:rFonts w:ascii="Calibri" w:eastAsia="Calibri" w:hAnsi="Calibri" w:cs="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Mikayla</dc:creator>
  <cp:keywords/>
  <dc:description/>
  <cp:lastModifiedBy>CINA, Kristy</cp:lastModifiedBy>
  <cp:revision>2</cp:revision>
  <dcterms:created xsi:type="dcterms:W3CDTF">2019-11-29T05:08:00Z</dcterms:created>
  <dcterms:modified xsi:type="dcterms:W3CDTF">2019-11-29T05:08:00Z</dcterms:modified>
</cp:coreProperties>
</file>