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EF352" w14:textId="77777777" w:rsidR="00914AEC" w:rsidRPr="00F20998" w:rsidRDefault="00914AEC" w:rsidP="00914AEC">
      <w:pPr>
        <w:jc w:val="center"/>
        <w:rPr>
          <w:rFonts w:ascii="Arial" w:hAnsi="Arial" w:cs="Arial"/>
          <w:b/>
        </w:rPr>
      </w:pPr>
      <w:bookmarkStart w:id="0" w:name="_GoBack"/>
      <w:bookmarkEnd w:id="0"/>
      <w:r w:rsidRPr="00F20998">
        <w:rPr>
          <w:rFonts w:ascii="Arial" w:hAnsi="Arial" w:cs="Arial"/>
          <w:b/>
        </w:rPr>
        <w:t>EXPLANATORY STATEMENT</w:t>
      </w:r>
    </w:p>
    <w:p w14:paraId="52496AA1" w14:textId="77777777" w:rsidR="00914AEC" w:rsidRPr="00F20998" w:rsidRDefault="00914AEC" w:rsidP="00914AEC">
      <w:pPr>
        <w:jc w:val="center"/>
        <w:rPr>
          <w:rFonts w:ascii="Arial" w:hAnsi="Arial" w:cs="Arial"/>
          <w:b/>
        </w:rPr>
      </w:pPr>
    </w:p>
    <w:p w14:paraId="658C7428" w14:textId="2C15B298" w:rsidR="00F20998" w:rsidRPr="00F20998" w:rsidRDefault="00F20998" w:rsidP="00F20998">
      <w:pPr>
        <w:jc w:val="center"/>
        <w:rPr>
          <w:rFonts w:ascii="Arial" w:hAnsi="Arial" w:cs="Arial"/>
        </w:rPr>
      </w:pPr>
      <w:r w:rsidRPr="00F20998">
        <w:rPr>
          <w:rFonts w:ascii="Arial" w:hAnsi="Arial" w:cs="Arial"/>
        </w:rPr>
        <w:t>Issued by the Authority of the Minister for Education</w:t>
      </w:r>
    </w:p>
    <w:p w14:paraId="58512248" w14:textId="77777777" w:rsidR="00F20998" w:rsidRPr="00F20998" w:rsidRDefault="00F20998" w:rsidP="00F20998">
      <w:pPr>
        <w:jc w:val="center"/>
        <w:rPr>
          <w:rFonts w:ascii="Arial" w:hAnsi="Arial" w:cs="Arial"/>
          <w:b/>
        </w:rPr>
      </w:pPr>
    </w:p>
    <w:p w14:paraId="3B9D18BF" w14:textId="77777777" w:rsidR="00F20998" w:rsidRPr="00F20998" w:rsidRDefault="00F20998" w:rsidP="00F20998">
      <w:pPr>
        <w:jc w:val="center"/>
        <w:rPr>
          <w:rFonts w:ascii="Arial" w:hAnsi="Arial" w:cs="Arial"/>
          <w:b/>
          <w:i/>
        </w:rPr>
      </w:pPr>
      <w:r w:rsidRPr="00F20998">
        <w:rPr>
          <w:rFonts w:ascii="Arial" w:hAnsi="Arial" w:cs="Arial"/>
          <w:b/>
          <w:i/>
        </w:rPr>
        <w:t>Higher Education Support Act 2003</w:t>
      </w:r>
    </w:p>
    <w:p w14:paraId="14CB2324" w14:textId="77777777" w:rsidR="009C5237" w:rsidRPr="00F20998" w:rsidRDefault="009C5237" w:rsidP="009C5237">
      <w:pPr>
        <w:jc w:val="center"/>
        <w:rPr>
          <w:rFonts w:ascii="Arial" w:hAnsi="Arial" w:cs="Arial"/>
          <w:b/>
        </w:rPr>
      </w:pPr>
    </w:p>
    <w:p w14:paraId="500FE80E" w14:textId="7B5BA7F2" w:rsidR="001006BE" w:rsidRPr="00F20998" w:rsidRDefault="007C74A5" w:rsidP="009C5237">
      <w:pPr>
        <w:jc w:val="center"/>
        <w:rPr>
          <w:rFonts w:ascii="Arial" w:hAnsi="Arial" w:cs="Arial"/>
          <w:b/>
        </w:rPr>
      </w:pPr>
      <w:r>
        <w:rPr>
          <w:rFonts w:ascii="Arial" w:hAnsi="Arial" w:cs="Arial"/>
          <w:b/>
        </w:rPr>
        <w:t xml:space="preserve">FEE-HELP Guidelines Amendment (No. 1) </w:t>
      </w:r>
      <w:r w:rsidR="00B61A19">
        <w:rPr>
          <w:rFonts w:ascii="Arial" w:hAnsi="Arial" w:cs="Arial"/>
          <w:b/>
        </w:rPr>
        <w:t>201</w:t>
      </w:r>
      <w:r w:rsidR="00AF6A17">
        <w:rPr>
          <w:rFonts w:ascii="Arial" w:hAnsi="Arial" w:cs="Arial"/>
          <w:b/>
        </w:rPr>
        <w:t>9</w:t>
      </w:r>
    </w:p>
    <w:p w14:paraId="0D4641F9" w14:textId="77777777" w:rsidR="00476E83" w:rsidRDefault="00476E83">
      <w:pPr>
        <w:spacing w:after="200" w:line="276" w:lineRule="auto"/>
        <w:rPr>
          <w:rFonts w:ascii="Arial" w:hAnsi="Arial" w:cs="Arial"/>
          <w:b/>
          <w:sz w:val="28"/>
          <w:szCs w:val="28"/>
        </w:rPr>
      </w:pPr>
    </w:p>
    <w:p w14:paraId="5B5D9B9D" w14:textId="77777777" w:rsidR="001006BE" w:rsidRPr="00F20998" w:rsidRDefault="00914AEC" w:rsidP="00914AEC">
      <w:pPr>
        <w:rPr>
          <w:rFonts w:ascii="Arial" w:hAnsi="Arial" w:cs="Arial"/>
          <w:b/>
        </w:rPr>
      </w:pPr>
      <w:r w:rsidRPr="00F20998">
        <w:rPr>
          <w:rFonts w:ascii="Arial" w:hAnsi="Arial" w:cs="Arial"/>
          <w:b/>
        </w:rPr>
        <w:t>P</w:t>
      </w:r>
      <w:r w:rsidR="00F20998" w:rsidRPr="00F20998">
        <w:rPr>
          <w:rFonts w:ascii="Arial" w:hAnsi="Arial" w:cs="Arial"/>
          <w:b/>
        </w:rPr>
        <w:t>urpose</w:t>
      </w:r>
    </w:p>
    <w:p w14:paraId="3127ABAE" w14:textId="77777777" w:rsidR="00914AEC" w:rsidRDefault="00914AEC" w:rsidP="00F948EE">
      <w:pPr>
        <w:rPr>
          <w:rFonts w:ascii="Arial" w:hAnsi="Arial" w:cs="Arial"/>
          <w:szCs w:val="22"/>
        </w:rPr>
      </w:pPr>
    </w:p>
    <w:p w14:paraId="59F1FD4A" w14:textId="2F166DBD" w:rsidR="00914AEC" w:rsidRPr="007C74A5" w:rsidRDefault="00914AEC" w:rsidP="00C353DD">
      <w:pPr>
        <w:rPr>
          <w:rFonts w:ascii="Arial" w:hAnsi="Arial" w:cs="Arial"/>
          <w:szCs w:val="22"/>
          <w:highlight w:val="lightGray"/>
        </w:rPr>
      </w:pPr>
      <w:r>
        <w:rPr>
          <w:rFonts w:ascii="Arial" w:hAnsi="Arial" w:cs="Arial"/>
          <w:szCs w:val="22"/>
        </w:rPr>
        <w:t xml:space="preserve">The purpose of </w:t>
      </w:r>
      <w:r w:rsidR="00520144">
        <w:rPr>
          <w:rFonts w:ascii="Arial" w:hAnsi="Arial" w:cs="Arial"/>
          <w:szCs w:val="22"/>
        </w:rPr>
        <w:t xml:space="preserve">the </w:t>
      </w:r>
      <w:r w:rsidR="00520144" w:rsidRPr="00520144">
        <w:rPr>
          <w:rFonts w:ascii="Arial" w:hAnsi="Arial" w:cs="Arial"/>
          <w:szCs w:val="22"/>
        </w:rPr>
        <w:t>FEE-HELP Guidelines Amendment (No. 1) 2019</w:t>
      </w:r>
      <w:r w:rsidR="00520144">
        <w:rPr>
          <w:rFonts w:ascii="Arial" w:hAnsi="Arial" w:cs="Arial"/>
          <w:szCs w:val="22"/>
        </w:rPr>
        <w:t xml:space="preserve"> (the </w:t>
      </w:r>
      <w:r w:rsidR="00520144" w:rsidRPr="008B3A5F">
        <w:rPr>
          <w:rFonts w:ascii="Arial" w:hAnsi="Arial" w:cs="Arial"/>
          <w:b/>
          <w:szCs w:val="22"/>
        </w:rPr>
        <w:t>Instrument</w:t>
      </w:r>
      <w:r w:rsidR="00520144">
        <w:rPr>
          <w:rFonts w:ascii="Arial" w:hAnsi="Arial" w:cs="Arial"/>
          <w:szCs w:val="22"/>
        </w:rPr>
        <w:t xml:space="preserve">) </w:t>
      </w:r>
      <w:r>
        <w:rPr>
          <w:rFonts w:ascii="Arial" w:hAnsi="Arial" w:cs="Arial"/>
          <w:szCs w:val="22"/>
        </w:rPr>
        <w:t xml:space="preserve">is to </w:t>
      </w:r>
      <w:r w:rsidR="00B61A19">
        <w:rPr>
          <w:rFonts w:ascii="Arial" w:hAnsi="Arial" w:cs="Arial"/>
          <w:szCs w:val="22"/>
        </w:rPr>
        <w:t>amend</w:t>
      </w:r>
      <w:r w:rsidR="007C74A5">
        <w:rPr>
          <w:rFonts w:ascii="Arial" w:hAnsi="Arial" w:cs="Arial"/>
          <w:szCs w:val="22"/>
        </w:rPr>
        <w:t xml:space="preserve"> the </w:t>
      </w:r>
      <w:r w:rsidR="007C74A5" w:rsidRPr="008B3A5F">
        <w:rPr>
          <w:rFonts w:ascii="Arial" w:hAnsi="Arial" w:cs="Arial"/>
          <w:i/>
          <w:szCs w:val="22"/>
        </w:rPr>
        <w:t>FEE-HELP Guidelines 2017</w:t>
      </w:r>
      <w:r w:rsidR="00B61A19">
        <w:rPr>
          <w:rFonts w:ascii="Arial" w:hAnsi="Arial" w:cs="Arial"/>
          <w:szCs w:val="22"/>
        </w:rPr>
        <w:t xml:space="preserve"> </w:t>
      </w:r>
      <w:r w:rsidR="00A73EAE" w:rsidRPr="007C74A5">
        <w:rPr>
          <w:rFonts w:ascii="Arial" w:hAnsi="Arial" w:cs="Arial"/>
          <w:szCs w:val="22"/>
        </w:rPr>
        <w:t xml:space="preserve">(the Guidelines) </w:t>
      </w:r>
      <w:r w:rsidR="00B61A19" w:rsidRPr="003130C6">
        <w:rPr>
          <w:rFonts w:ascii="Arial" w:hAnsi="Arial" w:cs="Arial"/>
          <w:szCs w:val="22"/>
        </w:rPr>
        <w:t xml:space="preserve">to implement the changes made to the </w:t>
      </w:r>
      <w:r w:rsidR="00B61A19" w:rsidRPr="003130C6">
        <w:rPr>
          <w:rFonts w:ascii="Arial" w:hAnsi="Arial" w:cs="Arial"/>
          <w:i/>
          <w:szCs w:val="22"/>
        </w:rPr>
        <w:t>Higher Education Support Act 2003</w:t>
      </w:r>
      <w:r w:rsidR="00D21396" w:rsidRPr="003130C6">
        <w:rPr>
          <w:rFonts w:ascii="Arial" w:hAnsi="Arial" w:cs="Arial"/>
          <w:i/>
          <w:szCs w:val="22"/>
        </w:rPr>
        <w:t xml:space="preserve"> </w:t>
      </w:r>
      <w:r w:rsidR="00D21396" w:rsidRPr="003130C6">
        <w:rPr>
          <w:rFonts w:ascii="Arial" w:hAnsi="Arial" w:cs="Arial"/>
          <w:szCs w:val="22"/>
        </w:rPr>
        <w:t>(</w:t>
      </w:r>
      <w:r w:rsidR="008B3A5F">
        <w:rPr>
          <w:rFonts w:ascii="Arial" w:hAnsi="Arial" w:cs="Arial"/>
          <w:b/>
          <w:szCs w:val="22"/>
        </w:rPr>
        <w:t>HESA</w:t>
      </w:r>
      <w:r w:rsidR="00D21396" w:rsidRPr="003130C6">
        <w:rPr>
          <w:rFonts w:ascii="Arial" w:hAnsi="Arial" w:cs="Arial"/>
          <w:szCs w:val="22"/>
        </w:rPr>
        <w:t>)</w:t>
      </w:r>
      <w:r w:rsidR="008B3A5F">
        <w:rPr>
          <w:rFonts w:ascii="Arial" w:hAnsi="Arial" w:cs="Arial"/>
          <w:szCs w:val="22"/>
        </w:rPr>
        <w:t xml:space="preserve"> </w:t>
      </w:r>
      <w:r w:rsidR="008B3A5F" w:rsidRPr="003130C6">
        <w:rPr>
          <w:rFonts w:ascii="Arial" w:hAnsi="Arial" w:cs="Arial"/>
          <w:szCs w:val="22"/>
        </w:rPr>
        <w:t>by Schedule</w:t>
      </w:r>
      <w:r w:rsidR="008B3A5F">
        <w:rPr>
          <w:rFonts w:ascii="Arial" w:hAnsi="Arial" w:cs="Arial"/>
          <w:szCs w:val="22"/>
        </w:rPr>
        <w:t> </w:t>
      </w:r>
      <w:r w:rsidR="008B3A5F" w:rsidRPr="003130C6">
        <w:rPr>
          <w:rFonts w:ascii="Arial" w:hAnsi="Arial" w:cs="Arial"/>
          <w:szCs w:val="22"/>
        </w:rPr>
        <w:t xml:space="preserve">1 of the </w:t>
      </w:r>
      <w:r w:rsidR="008B3A5F" w:rsidRPr="003130C6">
        <w:rPr>
          <w:rFonts w:ascii="Arial" w:hAnsi="Arial" w:cs="Arial"/>
          <w:i/>
          <w:szCs w:val="22"/>
        </w:rPr>
        <w:t xml:space="preserve">Education Legislation Amendment (2019 Measures No. 1) </w:t>
      </w:r>
      <w:r w:rsidR="008B3A5F">
        <w:rPr>
          <w:rFonts w:ascii="Arial" w:hAnsi="Arial" w:cs="Arial"/>
          <w:i/>
          <w:szCs w:val="22"/>
        </w:rPr>
        <w:t>Act</w:t>
      </w:r>
      <w:r w:rsidR="008B3A5F" w:rsidRPr="003130C6">
        <w:rPr>
          <w:rFonts w:ascii="Arial" w:hAnsi="Arial" w:cs="Arial"/>
          <w:i/>
          <w:szCs w:val="22"/>
        </w:rPr>
        <w:t xml:space="preserve"> 2019</w:t>
      </w:r>
      <w:r w:rsidR="008B3A5F" w:rsidRPr="003130C6">
        <w:rPr>
          <w:rFonts w:ascii="Arial" w:hAnsi="Arial" w:cs="Arial"/>
          <w:szCs w:val="22"/>
        </w:rPr>
        <w:t xml:space="preserve"> (</w:t>
      </w:r>
      <w:r w:rsidR="008B3A5F">
        <w:rPr>
          <w:rFonts w:ascii="Arial" w:hAnsi="Arial" w:cs="Arial"/>
          <w:szCs w:val="22"/>
        </w:rPr>
        <w:t xml:space="preserve">the </w:t>
      </w:r>
      <w:r w:rsidR="008B3A5F" w:rsidRPr="008B3A5F">
        <w:rPr>
          <w:rFonts w:ascii="Arial" w:hAnsi="Arial" w:cs="Arial"/>
          <w:b/>
          <w:szCs w:val="22"/>
        </w:rPr>
        <w:t>ELA Act</w:t>
      </w:r>
      <w:r w:rsidR="008B3A5F" w:rsidRPr="003130C6">
        <w:rPr>
          <w:rFonts w:ascii="Arial" w:hAnsi="Arial" w:cs="Arial"/>
          <w:szCs w:val="22"/>
        </w:rPr>
        <w:t>)</w:t>
      </w:r>
      <w:r w:rsidR="008B3A5F">
        <w:rPr>
          <w:rFonts w:ascii="Arial" w:hAnsi="Arial" w:cs="Arial"/>
          <w:szCs w:val="22"/>
        </w:rPr>
        <w:t>.</w:t>
      </w:r>
    </w:p>
    <w:p w14:paraId="338ED9DF" w14:textId="77777777" w:rsidR="00B61A19" w:rsidRPr="007C74A5" w:rsidRDefault="00B61A19" w:rsidP="00914AEC">
      <w:pPr>
        <w:rPr>
          <w:rFonts w:ascii="Arial" w:hAnsi="Arial" w:cs="Arial"/>
          <w:szCs w:val="22"/>
          <w:highlight w:val="lightGray"/>
        </w:rPr>
      </w:pPr>
    </w:p>
    <w:p w14:paraId="0A491FA0" w14:textId="77777777" w:rsidR="00B61A19" w:rsidRPr="003130C6" w:rsidRDefault="00B61A19" w:rsidP="00B61A19">
      <w:pPr>
        <w:rPr>
          <w:rFonts w:ascii="Arial" w:hAnsi="Arial" w:cs="Arial"/>
          <w:b/>
          <w:szCs w:val="22"/>
        </w:rPr>
      </w:pPr>
      <w:r w:rsidRPr="003130C6">
        <w:rPr>
          <w:rFonts w:ascii="Arial" w:hAnsi="Arial" w:cs="Arial"/>
          <w:b/>
          <w:szCs w:val="22"/>
        </w:rPr>
        <w:t>Overview</w:t>
      </w:r>
    </w:p>
    <w:p w14:paraId="324EE7E9" w14:textId="77777777" w:rsidR="00B61A19" w:rsidRPr="007C74A5" w:rsidRDefault="00B61A19" w:rsidP="00B61A19">
      <w:pPr>
        <w:rPr>
          <w:rFonts w:ascii="Arial" w:hAnsi="Arial" w:cs="Arial"/>
          <w:szCs w:val="22"/>
          <w:highlight w:val="lightGray"/>
        </w:rPr>
      </w:pPr>
    </w:p>
    <w:p w14:paraId="6F107F79" w14:textId="3394A4C1" w:rsidR="005A7A86" w:rsidRDefault="00B61A19" w:rsidP="00233F07">
      <w:pPr>
        <w:spacing w:after="120"/>
        <w:rPr>
          <w:rFonts w:ascii="Arial" w:hAnsi="Arial" w:cs="Arial"/>
          <w:szCs w:val="22"/>
        </w:rPr>
      </w:pPr>
      <w:r w:rsidRPr="009F3D5C">
        <w:rPr>
          <w:rFonts w:ascii="Arial" w:hAnsi="Arial" w:cs="Arial"/>
          <w:szCs w:val="22"/>
        </w:rPr>
        <w:t>The</w:t>
      </w:r>
      <w:r w:rsidR="00C353DD" w:rsidRPr="009F3D5C">
        <w:rPr>
          <w:rFonts w:ascii="Arial" w:hAnsi="Arial" w:cs="Arial"/>
          <w:szCs w:val="22"/>
        </w:rPr>
        <w:t xml:space="preserve"> amendments made to the </w:t>
      </w:r>
      <w:r w:rsidRPr="009F3D5C">
        <w:rPr>
          <w:rFonts w:ascii="Arial" w:hAnsi="Arial" w:cs="Arial"/>
          <w:szCs w:val="22"/>
        </w:rPr>
        <w:t>Guidelines</w:t>
      </w:r>
      <w:r w:rsidR="00C353DD" w:rsidRPr="009F3D5C">
        <w:rPr>
          <w:rFonts w:ascii="Arial" w:hAnsi="Arial" w:cs="Arial"/>
          <w:szCs w:val="22"/>
        </w:rPr>
        <w:t xml:space="preserve"> by th</w:t>
      </w:r>
      <w:r w:rsidR="004B55E1" w:rsidRPr="009F3D5C">
        <w:rPr>
          <w:rFonts w:ascii="Arial" w:hAnsi="Arial" w:cs="Arial"/>
          <w:szCs w:val="22"/>
        </w:rPr>
        <w:t xml:space="preserve">is </w:t>
      </w:r>
      <w:r w:rsidR="00520144">
        <w:rPr>
          <w:rFonts w:ascii="Arial" w:hAnsi="Arial" w:cs="Arial"/>
          <w:szCs w:val="22"/>
        </w:rPr>
        <w:t>I</w:t>
      </w:r>
      <w:r w:rsidR="00C353DD" w:rsidRPr="009F3D5C">
        <w:rPr>
          <w:rFonts w:ascii="Arial" w:hAnsi="Arial" w:cs="Arial"/>
          <w:szCs w:val="22"/>
        </w:rPr>
        <w:t>nstrument</w:t>
      </w:r>
      <w:r w:rsidRPr="009F3D5C">
        <w:rPr>
          <w:rFonts w:ascii="Arial" w:hAnsi="Arial" w:cs="Arial"/>
          <w:szCs w:val="22"/>
        </w:rPr>
        <w:t xml:space="preserve"> </w:t>
      </w:r>
      <w:r w:rsidR="00C353DD" w:rsidRPr="009F3D5C">
        <w:rPr>
          <w:rFonts w:ascii="Arial" w:hAnsi="Arial" w:cs="Arial"/>
          <w:szCs w:val="22"/>
        </w:rPr>
        <w:t>insert</w:t>
      </w:r>
      <w:r w:rsidR="009F3D5C">
        <w:rPr>
          <w:rFonts w:ascii="Arial" w:hAnsi="Arial" w:cs="Arial"/>
          <w:szCs w:val="22"/>
        </w:rPr>
        <w:t xml:space="preserve"> new </w:t>
      </w:r>
      <w:r w:rsidR="008B3A5F">
        <w:rPr>
          <w:rFonts w:ascii="Arial" w:hAnsi="Arial" w:cs="Arial"/>
          <w:szCs w:val="22"/>
        </w:rPr>
        <w:t xml:space="preserve">provisions </w:t>
      </w:r>
      <w:r w:rsidR="005A7A86">
        <w:rPr>
          <w:rFonts w:ascii="Arial" w:hAnsi="Arial" w:cs="Arial"/>
          <w:szCs w:val="22"/>
        </w:rPr>
        <w:t>into</w:t>
      </w:r>
      <w:r w:rsidR="009F3D5C">
        <w:rPr>
          <w:rFonts w:ascii="Arial" w:hAnsi="Arial" w:cs="Arial"/>
          <w:szCs w:val="22"/>
        </w:rPr>
        <w:t xml:space="preserve"> Chapter 1 of the Guidelines </w:t>
      </w:r>
      <w:r w:rsidR="008B3A5F">
        <w:rPr>
          <w:rFonts w:ascii="Arial" w:hAnsi="Arial" w:cs="Arial"/>
          <w:szCs w:val="22"/>
        </w:rPr>
        <w:t>to specify</w:t>
      </w:r>
      <w:r w:rsidR="009F3D5C">
        <w:rPr>
          <w:rFonts w:ascii="Arial" w:hAnsi="Arial" w:cs="Arial"/>
          <w:szCs w:val="22"/>
        </w:rPr>
        <w:t xml:space="preserve"> the courses of study in aviation to which the higher HELP loan limit applies, for the purposes of </w:t>
      </w:r>
      <w:r w:rsidR="005A7A86">
        <w:rPr>
          <w:rFonts w:ascii="Arial" w:hAnsi="Arial" w:cs="Arial"/>
          <w:szCs w:val="22"/>
        </w:rPr>
        <w:t>subsection </w:t>
      </w:r>
      <w:r w:rsidR="009F3D5C">
        <w:rPr>
          <w:rFonts w:ascii="Arial" w:hAnsi="Arial" w:cs="Arial"/>
          <w:szCs w:val="22"/>
        </w:rPr>
        <w:t>128</w:t>
      </w:r>
      <w:r w:rsidR="009F3D5C">
        <w:rPr>
          <w:rFonts w:ascii="Arial" w:hAnsi="Arial" w:cs="Arial"/>
          <w:szCs w:val="22"/>
        </w:rPr>
        <w:noBreakHyphen/>
        <w:t>20</w:t>
      </w:r>
      <w:r w:rsidR="005A7A86">
        <w:rPr>
          <w:rFonts w:ascii="Arial" w:hAnsi="Arial" w:cs="Arial"/>
          <w:szCs w:val="22"/>
        </w:rPr>
        <w:t>(2) of the Act.</w:t>
      </w:r>
    </w:p>
    <w:p w14:paraId="44F31B9F" w14:textId="77777777" w:rsidR="00B61A19" w:rsidRPr="007C74A5" w:rsidRDefault="00B61A19" w:rsidP="0081700A">
      <w:pPr>
        <w:rPr>
          <w:rFonts w:ascii="Arial" w:hAnsi="Arial" w:cs="Arial"/>
          <w:szCs w:val="22"/>
          <w:highlight w:val="lightGray"/>
        </w:rPr>
      </w:pPr>
    </w:p>
    <w:p w14:paraId="3D777A6E" w14:textId="142F0F37" w:rsidR="00B61A19" w:rsidRPr="00BA19AE" w:rsidRDefault="00B61A19" w:rsidP="00B61A19">
      <w:pPr>
        <w:rPr>
          <w:rFonts w:ascii="Arial" w:hAnsi="Arial" w:cs="Arial"/>
          <w:b/>
          <w:szCs w:val="22"/>
        </w:rPr>
      </w:pPr>
      <w:r w:rsidRPr="00BA19AE">
        <w:rPr>
          <w:rFonts w:ascii="Arial" w:hAnsi="Arial" w:cs="Arial"/>
          <w:b/>
          <w:szCs w:val="22"/>
        </w:rPr>
        <w:t>B</w:t>
      </w:r>
      <w:r w:rsidR="005816FA">
        <w:rPr>
          <w:rFonts w:ascii="Arial" w:hAnsi="Arial" w:cs="Arial"/>
          <w:b/>
          <w:szCs w:val="22"/>
        </w:rPr>
        <w:t>ackground</w:t>
      </w:r>
    </w:p>
    <w:p w14:paraId="2BA0955F" w14:textId="77777777" w:rsidR="00B23DFE" w:rsidRPr="007C74A5" w:rsidRDefault="00B23DFE" w:rsidP="00B61A19">
      <w:pPr>
        <w:rPr>
          <w:rFonts w:ascii="Arial" w:hAnsi="Arial" w:cs="Arial"/>
          <w:szCs w:val="22"/>
          <w:highlight w:val="lightGray"/>
        </w:rPr>
      </w:pPr>
    </w:p>
    <w:p w14:paraId="6C7F384D" w14:textId="704CF415" w:rsidR="006A4AF5" w:rsidRDefault="006A4AF5" w:rsidP="00B61A19">
      <w:pPr>
        <w:rPr>
          <w:rFonts w:ascii="Arial" w:hAnsi="Arial" w:cs="Arial"/>
          <w:szCs w:val="22"/>
        </w:rPr>
      </w:pPr>
      <w:r w:rsidRPr="006A4AF5">
        <w:rPr>
          <w:rFonts w:ascii="Arial" w:hAnsi="Arial" w:cs="Arial"/>
          <w:szCs w:val="22"/>
        </w:rPr>
        <w:t xml:space="preserve">Schedule 1 of the ELA </w:t>
      </w:r>
      <w:r w:rsidR="002006DC">
        <w:rPr>
          <w:rFonts w:ascii="Arial" w:hAnsi="Arial" w:cs="Arial"/>
          <w:szCs w:val="22"/>
        </w:rPr>
        <w:t>Act</w:t>
      </w:r>
      <w:r w:rsidRPr="006A4AF5">
        <w:rPr>
          <w:rFonts w:ascii="Arial" w:hAnsi="Arial" w:cs="Arial"/>
          <w:szCs w:val="22"/>
        </w:rPr>
        <w:t xml:space="preserve"> introduced </w:t>
      </w:r>
      <w:r>
        <w:rPr>
          <w:rFonts w:ascii="Arial" w:hAnsi="Arial" w:cs="Arial"/>
          <w:szCs w:val="22"/>
        </w:rPr>
        <w:t xml:space="preserve">a measure to increase </w:t>
      </w:r>
      <w:r w:rsidRPr="006A4AF5">
        <w:rPr>
          <w:rFonts w:ascii="Arial" w:hAnsi="Arial" w:cs="Arial"/>
          <w:szCs w:val="22"/>
        </w:rPr>
        <w:t>the combined Higher Education Loan Program (</w:t>
      </w:r>
      <w:r w:rsidRPr="008B3A5F">
        <w:rPr>
          <w:rFonts w:ascii="Arial" w:hAnsi="Arial" w:cs="Arial"/>
          <w:b/>
          <w:szCs w:val="22"/>
        </w:rPr>
        <w:t>HELP</w:t>
      </w:r>
      <w:r w:rsidRPr="006A4AF5">
        <w:rPr>
          <w:rFonts w:ascii="Arial" w:hAnsi="Arial" w:cs="Arial"/>
          <w:szCs w:val="22"/>
        </w:rPr>
        <w:t xml:space="preserve">) loan limit for students undertaking eligible aviation courses on or after 1 January 2020 at higher education providers approved under the </w:t>
      </w:r>
      <w:r>
        <w:rPr>
          <w:rFonts w:ascii="Arial" w:hAnsi="Arial" w:cs="Arial"/>
          <w:szCs w:val="22"/>
        </w:rPr>
        <w:t>Act</w:t>
      </w:r>
      <w:r w:rsidRPr="006A4AF5">
        <w:rPr>
          <w:rFonts w:ascii="Arial" w:hAnsi="Arial" w:cs="Arial"/>
          <w:szCs w:val="22"/>
        </w:rPr>
        <w:t xml:space="preserve"> and vocational education and training (</w:t>
      </w:r>
      <w:r w:rsidRPr="008B3A5F">
        <w:rPr>
          <w:rFonts w:ascii="Arial" w:hAnsi="Arial" w:cs="Arial"/>
          <w:b/>
          <w:szCs w:val="22"/>
        </w:rPr>
        <w:t>VET</w:t>
      </w:r>
      <w:r w:rsidRPr="006A4AF5">
        <w:rPr>
          <w:rFonts w:ascii="Arial" w:hAnsi="Arial" w:cs="Arial"/>
          <w:szCs w:val="22"/>
        </w:rPr>
        <w:t xml:space="preserve">) providers approved under the </w:t>
      </w:r>
      <w:r w:rsidRPr="006A4AF5">
        <w:rPr>
          <w:rFonts w:ascii="Arial" w:hAnsi="Arial" w:cs="Arial"/>
          <w:i/>
          <w:szCs w:val="22"/>
        </w:rPr>
        <w:t>VET Student Loans Act 2016</w:t>
      </w:r>
      <w:r w:rsidRPr="006A4AF5">
        <w:rPr>
          <w:rFonts w:ascii="Arial" w:hAnsi="Arial" w:cs="Arial"/>
          <w:szCs w:val="22"/>
        </w:rPr>
        <w:t xml:space="preserve"> (</w:t>
      </w:r>
      <w:r w:rsidRPr="008B3A5F">
        <w:rPr>
          <w:rFonts w:ascii="Arial" w:hAnsi="Arial" w:cs="Arial"/>
          <w:b/>
          <w:szCs w:val="22"/>
        </w:rPr>
        <w:t>VSL Act</w:t>
      </w:r>
      <w:r w:rsidRPr="006A4AF5">
        <w:rPr>
          <w:rFonts w:ascii="Arial" w:hAnsi="Arial" w:cs="Arial"/>
          <w:szCs w:val="22"/>
        </w:rPr>
        <w:t>)</w:t>
      </w:r>
      <w:r>
        <w:rPr>
          <w:rFonts w:ascii="Arial" w:hAnsi="Arial" w:cs="Arial"/>
          <w:szCs w:val="22"/>
        </w:rPr>
        <w:t xml:space="preserve">. This measure enables students </w:t>
      </w:r>
      <w:r w:rsidRPr="006A4AF5">
        <w:rPr>
          <w:rFonts w:ascii="Arial" w:hAnsi="Arial" w:cs="Arial"/>
          <w:szCs w:val="22"/>
        </w:rPr>
        <w:t xml:space="preserve">undertaking eligible aviation courses that lead to certification as a Commercial Pilot </w:t>
      </w:r>
      <w:proofErr w:type="gramStart"/>
      <w:r w:rsidRPr="006A4AF5">
        <w:rPr>
          <w:rFonts w:ascii="Arial" w:hAnsi="Arial" w:cs="Arial"/>
          <w:szCs w:val="22"/>
        </w:rPr>
        <w:t>at</w:t>
      </w:r>
      <w:proofErr w:type="gramEnd"/>
      <w:r w:rsidRPr="006A4AF5">
        <w:rPr>
          <w:rFonts w:ascii="Arial" w:hAnsi="Arial" w:cs="Arial"/>
          <w:szCs w:val="22"/>
        </w:rPr>
        <w:t xml:space="preserve"> higher education providers and VSL providers to access the higher of the two HELP loan limits (the same limit that applies to students studying medicine, dentistry and veterinary science courses). The higher HELP loan limit will be $152,700 for 2020. </w:t>
      </w:r>
    </w:p>
    <w:p w14:paraId="2AF001F3" w14:textId="77777777" w:rsidR="006A4AF5" w:rsidRDefault="006A4AF5" w:rsidP="00B61A19">
      <w:pPr>
        <w:rPr>
          <w:rFonts w:ascii="Arial" w:hAnsi="Arial" w:cs="Arial"/>
          <w:szCs w:val="22"/>
        </w:rPr>
      </w:pPr>
    </w:p>
    <w:p w14:paraId="00BFF0A1" w14:textId="64EBF1C0" w:rsidR="00B55444" w:rsidRPr="00A7160B" w:rsidRDefault="006A4AF5" w:rsidP="00F948EE">
      <w:pPr>
        <w:rPr>
          <w:rFonts w:ascii="Arial" w:hAnsi="Arial" w:cs="Arial"/>
          <w:szCs w:val="22"/>
        </w:rPr>
      </w:pPr>
      <w:r>
        <w:rPr>
          <w:rFonts w:ascii="Arial" w:hAnsi="Arial" w:cs="Arial"/>
          <w:szCs w:val="22"/>
        </w:rPr>
        <w:t xml:space="preserve">The </w:t>
      </w:r>
      <w:r w:rsidR="008B3A5F">
        <w:rPr>
          <w:rFonts w:ascii="Arial" w:hAnsi="Arial" w:cs="Arial"/>
          <w:szCs w:val="22"/>
        </w:rPr>
        <w:t>purpose of the</w:t>
      </w:r>
      <w:r w:rsidR="002E0796">
        <w:rPr>
          <w:rFonts w:ascii="Arial" w:hAnsi="Arial" w:cs="Arial"/>
          <w:szCs w:val="22"/>
        </w:rPr>
        <w:t xml:space="preserve"> measure </w:t>
      </w:r>
      <w:r w:rsidR="008B3A5F">
        <w:rPr>
          <w:rFonts w:ascii="Arial" w:hAnsi="Arial" w:cs="Arial"/>
          <w:szCs w:val="22"/>
        </w:rPr>
        <w:t xml:space="preserve">is </w:t>
      </w:r>
      <w:r w:rsidR="002E0796">
        <w:rPr>
          <w:rFonts w:ascii="Arial" w:hAnsi="Arial" w:cs="Arial"/>
          <w:szCs w:val="22"/>
        </w:rPr>
        <w:t>to reduce students’ barrier</w:t>
      </w:r>
      <w:r w:rsidR="00DE4F94">
        <w:rPr>
          <w:rFonts w:ascii="Arial" w:hAnsi="Arial" w:cs="Arial"/>
          <w:szCs w:val="22"/>
        </w:rPr>
        <w:t>s to</w:t>
      </w:r>
      <w:r w:rsidR="002E0796">
        <w:rPr>
          <w:rFonts w:ascii="Arial" w:hAnsi="Arial" w:cs="Arial"/>
          <w:szCs w:val="22"/>
        </w:rPr>
        <w:t xml:space="preserve"> </w:t>
      </w:r>
      <w:r w:rsidRPr="006A4AF5">
        <w:rPr>
          <w:rFonts w:ascii="Arial" w:hAnsi="Arial" w:cs="Arial"/>
          <w:szCs w:val="22"/>
        </w:rPr>
        <w:t>enrolling in aviation courses through increased loan assistance to defer tuition fees for their aviation study</w:t>
      </w:r>
      <w:r w:rsidR="002E0796">
        <w:rPr>
          <w:rFonts w:ascii="Arial" w:hAnsi="Arial" w:cs="Arial"/>
          <w:szCs w:val="22"/>
        </w:rPr>
        <w:t xml:space="preserve">. </w:t>
      </w:r>
      <w:r w:rsidR="008B3A5F">
        <w:rPr>
          <w:rFonts w:ascii="Arial" w:hAnsi="Arial" w:cs="Arial"/>
          <w:szCs w:val="22"/>
        </w:rPr>
        <w:t xml:space="preserve">It will enable </w:t>
      </w:r>
      <w:r w:rsidR="00BA19AE">
        <w:rPr>
          <w:rFonts w:ascii="Arial" w:hAnsi="Arial" w:cs="Arial"/>
          <w:szCs w:val="22"/>
        </w:rPr>
        <w:t xml:space="preserve">student </w:t>
      </w:r>
      <w:r w:rsidR="00BA19AE" w:rsidRPr="00BA19AE">
        <w:rPr>
          <w:rFonts w:ascii="Arial" w:hAnsi="Arial" w:cs="Arial"/>
          <w:szCs w:val="22"/>
        </w:rPr>
        <w:t xml:space="preserve">pilots </w:t>
      </w:r>
      <w:r w:rsidR="008B3A5F">
        <w:rPr>
          <w:rFonts w:ascii="Arial" w:hAnsi="Arial" w:cs="Arial"/>
          <w:szCs w:val="22"/>
        </w:rPr>
        <w:t>to</w:t>
      </w:r>
      <w:r w:rsidR="00BA19AE" w:rsidRPr="00BA19AE">
        <w:rPr>
          <w:rFonts w:ascii="Arial" w:hAnsi="Arial" w:cs="Arial"/>
          <w:szCs w:val="22"/>
        </w:rPr>
        <w:t xml:space="preserve"> defer all of their tuition fees in order to obtain the licenses and ratings required by the Civil Aviation Safety Authority for most practical commercial employmen</w:t>
      </w:r>
      <w:r w:rsidR="00BA19AE">
        <w:rPr>
          <w:rFonts w:ascii="Arial" w:hAnsi="Arial" w:cs="Arial"/>
          <w:szCs w:val="22"/>
        </w:rPr>
        <w:t xml:space="preserve">t. </w:t>
      </w:r>
    </w:p>
    <w:p w14:paraId="6A2B1468" w14:textId="77777777" w:rsidR="002E0796" w:rsidRPr="007C74A5" w:rsidRDefault="002E0796" w:rsidP="00F948EE">
      <w:pPr>
        <w:rPr>
          <w:rFonts w:ascii="Arial" w:hAnsi="Arial" w:cs="Arial"/>
          <w:szCs w:val="22"/>
          <w:highlight w:val="lightGray"/>
        </w:rPr>
      </w:pPr>
    </w:p>
    <w:p w14:paraId="5E7EF0EE" w14:textId="77777777" w:rsidR="00AC0DA5" w:rsidRPr="00BA19AE" w:rsidRDefault="00F20998" w:rsidP="00F948EE">
      <w:pPr>
        <w:rPr>
          <w:rFonts w:ascii="Arial" w:hAnsi="Arial" w:cs="Arial"/>
          <w:b/>
          <w:szCs w:val="22"/>
        </w:rPr>
      </w:pPr>
      <w:r w:rsidRPr="00BA19AE">
        <w:rPr>
          <w:rFonts w:ascii="Arial" w:hAnsi="Arial" w:cs="Arial"/>
          <w:b/>
          <w:szCs w:val="22"/>
        </w:rPr>
        <w:t>Consultation</w:t>
      </w:r>
    </w:p>
    <w:p w14:paraId="46EDCD41" w14:textId="77777777" w:rsidR="00F20998" w:rsidRPr="007C74A5" w:rsidRDefault="00F20998" w:rsidP="00F20998">
      <w:pPr>
        <w:rPr>
          <w:rFonts w:ascii="Arial" w:hAnsi="Arial" w:cs="Arial"/>
          <w:highlight w:val="lightGray"/>
        </w:rPr>
      </w:pPr>
    </w:p>
    <w:p w14:paraId="63DE0A1E" w14:textId="0493F961" w:rsidR="00A7160B" w:rsidRDefault="00A7160B" w:rsidP="00F20998">
      <w:pPr>
        <w:rPr>
          <w:rFonts w:ascii="Arial" w:hAnsi="Arial" w:cs="Arial"/>
          <w:szCs w:val="22"/>
        </w:rPr>
      </w:pPr>
      <w:r w:rsidRPr="00A7160B">
        <w:rPr>
          <w:rFonts w:ascii="Arial" w:hAnsi="Arial" w:cs="Arial"/>
          <w:szCs w:val="22"/>
        </w:rPr>
        <w:t>Higher education providers that provide courses of study in aviation to students w</w:t>
      </w:r>
      <w:r w:rsidR="004456AC">
        <w:rPr>
          <w:rFonts w:ascii="Arial" w:hAnsi="Arial" w:cs="Arial"/>
          <w:szCs w:val="22"/>
        </w:rPr>
        <w:t>ere</w:t>
      </w:r>
      <w:r w:rsidRPr="00A7160B">
        <w:rPr>
          <w:rFonts w:ascii="Arial" w:hAnsi="Arial" w:cs="Arial"/>
          <w:szCs w:val="22"/>
        </w:rPr>
        <w:t xml:space="preserve"> consulted during the drafting of these Guidelines</w:t>
      </w:r>
      <w:r w:rsidR="00BA19AE">
        <w:rPr>
          <w:rFonts w:ascii="Arial" w:hAnsi="Arial" w:cs="Arial"/>
          <w:szCs w:val="22"/>
        </w:rPr>
        <w:t>.</w:t>
      </w:r>
      <w:r w:rsidRPr="00A7160B">
        <w:rPr>
          <w:rFonts w:ascii="Arial" w:hAnsi="Arial" w:cs="Arial"/>
          <w:szCs w:val="22"/>
        </w:rPr>
        <w:t xml:space="preserve">  </w:t>
      </w:r>
    </w:p>
    <w:p w14:paraId="70C23D63" w14:textId="3E4270B8" w:rsidR="00786FD9" w:rsidRDefault="00786FD9" w:rsidP="00F20998">
      <w:pPr>
        <w:rPr>
          <w:rFonts w:ascii="Arial" w:hAnsi="Arial" w:cs="Arial"/>
          <w:szCs w:val="22"/>
        </w:rPr>
      </w:pPr>
    </w:p>
    <w:p w14:paraId="15EB2561" w14:textId="77777777" w:rsidR="00786FD9" w:rsidRPr="00786FD9" w:rsidRDefault="00786FD9" w:rsidP="00F20998">
      <w:pPr>
        <w:rPr>
          <w:rFonts w:ascii="Arial" w:hAnsi="Arial" w:cs="Arial"/>
          <w:szCs w:val="22"/>
        </w:rPr>
      </w:pPr>
    </w:p>
    <w:p w14:paraId="7E568022" w14:textId="77777777" w:rsidR="00F20998" w:rsidRPr="007C74A5" w:rsidRDefault="00F20998" w:rsidP="00F20998">
      <w:pPr>
        <w:rPr>
          <w:rFonts w:ascii="Arial" w:hAnsi="Arial" w:cs="Arial"/>
          <w:highlight w:val="lightGray"/>
        </w:rPr>
      </w:pPr>
    </w:p>
    <w:p w14:paraId="577E85E5" w14:textId="77777777" w:rsidR="00F20998" w:rsidRPr="002006DC" w:rsidRDefault="00F20998" w:rsidP="00F20998">
      <w:pPr>
        <w:rPr>
          <w:rFonts w:ascii="Arial" w:eastAsiaTheme="minorHAnsi" w:hAnsi="Arial" w:cs="Arial"/>
          <w:b/>
          <w:bCs/>
          <w:color w:val="000000"/>
          <w:lang w:eastAsia="en-US"/>
        </w:rPr>
      </w:pPr>
      <w:r w:rsidRPr="002006DC">
        <w:rPr>
          <w:rFonts w:ascii="Arial" w:eastAsiaTheme="minorHAnsi" w:hAnsi="Arial" w:cs="Arial"/>
          <w:b/>
          <w:bCs/>
          <w:color w:val="000000"/>
          <w:lang w:eastAsia="en-US"/>
        </w:rPr>
        <w:lastRenderedPageBreak/>
        <w:t>Regulatory Impact Statement</w:t>
      </w:r>
    </w:p>
    <w:p w14:paraId="2BE3919C" w14:textId="77777777" w:rsidR="00F20998" w:rsidRPr="007C74A5" w:rsidRDefault="00F20998" w:rsidP="00F20998">
      <w:pPr>
        <w:rPr>
          <w:rFonts w:ascii="Arial" w:eastAsiaTheme="minorHAnsi" w:hAnsi="Arial" w:cs="Arial"/>
          <w:b/>
          <w:bCs/>
          <w:color w:val="000000"/>
          <w:highlight w:val="lightGray"/>
          <w:lang w:eastAsia="en-US"/>
        </w:rPr>
      </w:pPr>
    </w:p>
    <w:p w14:paraId="4468ACDF" w14:textId="68257F31" w:rsidR="009B2395" w:rsidRDefault="0039197E">
      <w:pPr>
        <w:spacing w:after="200" w:line="276" w:lineRule="auto"/>
        <w:rPr>
          <w:rFonts w:ascii="Arial" w:hAnsi="Arial" w:cs="Arial"/>
        </w:rPr>
      </w:pPr>
      <w:r w:rsidRPr="002006DC">
        <w:rPr>
          <w:rFonts w:ascii="Arial" w:hAnsi="Arial" w:cs="Arial"/>
        </w:rPr>
        <w:t>The Office of Best Practice Regulation (OBPR) has been consulted</w:t>
      </w:r>
      <w:r w:rsidR="00370F90" w:rsidRPr="002006DC">
        <w:rPr>
          <w:rFonts w:ascii="Arial" w:hAnsi="Arial" w:cs="Arial"/>
        </w:rPr>
        <w:t>.</w:t>
      </w:r>
      <w:r w:rsidR="009B2395" w:rsidRPr="002006DC">
        <w:rPr>
          <w:rFonts w:ascii="Arial" w:hAnsi="Arial" w:cs="Arial"/>
        </w:rPr>
        <w:t xml:space="preserve"> </w:t>
      </w:r>
      <w:r w:rsidR="00CC5372">
        <w:rPr>
          <w:rFonts w:ascii="Arial" w:hAnsi="Arial" w:cs="Arial"/>
        </w:rPr>
        <w:t xml:space="preserve">Based on their advice </w:t>
      </w:r>
      <w:r w:rsidR="006E2F46">
        <w:rPr>
          <w:rFonts w:ascii="Arial" w:hAnsi="Arial" w:cs="Arial"/>
        </w:rPr>
        <w:t xml:space="preserve">that the proposal does not appear to have a more than minor regulatory impact on business, community organisations or individuals, </w:t>
      </w:r>
      <w:r w:rsidR="00CC5372">
        <w:rPr>
          <w:rFonts w:ascii="Arial" w:hAnsi="Arial" w:cs="Arial"/>
        </w:rPr>
        <w:t xml:space="preserve">only a short form Regulation Impact Statement (RIS) was required </w:t>
      </w:r>
      <w:r w:rsidR="00CC5372" w:rsidRPr="002006DC">
        <w:rPr>
          <w:rFonts w:ascii="Arial" w:hAnsi="Arial" w:cs="Arial"/>
        </w:rPr>
        <w:t>(OBPR ID No. 24747)</w:t>
      </w:r>
      <w:r w:rsidR="00CC5372">
        <w:rPr>
          <w:rFonts w:ascii="Arial" w:hAnsi="Arial" w:cs="Arial"/>
        </w:rPr>
        <w:t>. This short form RIS was completed and approved by OBPR.</w:t>
      </w:r>
    </w:p>
    <w:p w14:paraId="3AF72227" w14:textId="77777777" w:rsidR="00F20998" w:rsidRDefault="00F20998">
      <w:pPr>
        <w:spacing w:after="200" w:line="276" w:lineRule="auto"/>
        <w:rPr>
          <w:rFonts w:ascii="Arial" w:hAnsi="Arial" w:cs="Arial"/>
          <w:b/>
          <w:szCs w:val="22"/>
        </w:rPr>
      </w:pPr>
      <w:r>
        <w:rPr>
          <w:rFonts w:ascii="Arial" w:hAnsi="Arial" w:cs="Arial"/>
          <w:b/>
          <w:szCs w:val="22"/>
        </w:rPr>
        <w:br w:type="page"/>
      </w:r>
    </w:p>
    <w:p w14:paraId="35E61380" w14:textId="77777777" w:rsidR="00AB31E8" w:rsidRPr="00BD1A5F" w:rsidRDefault="006735F6" w:rsidP="00AB31E8">
      <w:pPr>
        <w:jc w:val="center"/>
        <w:rPr>
          <w:rFonts w:ascii="Arial" w:hAnsi="Arial" w:cs="Arial"/>
          <w:b/>
          <w:sz w:val="28"/>
          <w:szCs w:val="28"/>
        </w:rPr>
      </w:pPr>
      <w:r>
        <w:rPr>
          <w:rFonts w:ascii="Arial" w:hAnsi="Arial" w:cs="Arial"/>
          <w:b/>
          <w:sz w:val="28"/>
          <w:szCs w:val="28"/>
        </w:rPr>
        <w:t>EXPLANATION</w:t>
      </w:r>
      <w:r w:rsidR="00F20998">
        <w:rPr>
          <w:rFonts w:ascii="Arial" w:hAnsi="Arial" w:cs="Arial"/>
          <w:b/>
          <w:sz w:val="28"/>
          <w:szCs w:val="28"/>
        </w:rPr>
        <w:t xml:space="preserve"> OF PROVISIONS</w:t>
      </w:r>
    </w:p>
    <w:p w14:paraId="5686ED77" w14:textId="77777777" w:rsidR="00AB31E8" w:rsidRPr="00BD1A5F" w:rsidRDefault="00AB31E8" w:rsidP="00AB31E8">
      <w:pPr>
        <w:rPr>
          <w:rFonts w:ascii="Arial" w:hAnsi="Arial" w:cs="Arial"/>
        </w:rPr>
      </w:pPr>
    </w:p>
    <w:p w14:paraId="02B26E2B" w14:textId="642FE501" w:rsidR="008B3A5F" w:rsidRDefault="00ED000C" w:rsidP="00CF66CC">
      <w:pPr>
        <w:rPr>
          <w:rFonts w:ascii="Arial" w:hAnsi="Arial" w:cs="Arial"/>
          <w:szCs w:val="22"/>
        </w:rPr>
      </w:pPr>
      <w:r w:rsidRPr="008B3A5F">
        <w:rPr>
          <w:rFonts w:ascii="Arial" w:hAnsi="Arial" w:cs="Arial"/>
          <w:b/>
          <w:szCs w:val="22"/>
        </w:rPr>
        <w:t>Section</w:t>
      </w:r>
      <w:r w:rsidR="008B3A5F" w:rsidRPr="008B3A5F">
        <w:rPr>
          <w:rFonts w:ascii="Arial" w:hAnsi="Arial" w:cs="Arial"/>
          <w:b/>
          <w:szCs w:val="22"/>
        </w:rPr>
        <w:t>s</w:t>
      </w:r>
      <w:r w:rsidRPr="008B3A5F">
        <w:rPr>
          <w:rFonts w:ascii="Arial" w:hAnsi="Arial" w:cs="Arial"/>
          <w:b/>
          <w:szCs w:val="22"/>
        </w:rPr>
        <w:t xml:space="preserve"> </w:t>
      </w:r>
      <w:r w:rsidR="00B55444" w:rsidRPr="008B3A5F">
        <w:rPr>
          <w:rFonts w:ascii="Arial" w:hAnsi="Arial" w:cs="Arial"/>
          <w:b/>
          <w:szCs w:val="22"/>
        </w:rPr>
        <w:t>1</w:t>
      </w:r>
      <w:r w:rsidR="008B3A5F" w:rsidRPr="008B3A5F">
        <w:rPr>
          <w:rFonts w:ascii="Arial" w:hAnsi="Arial" w:cs="Arial"/>
          <w:b/>
          <w:szCs w:val="22"/>
        </w:rPr>
        <w:t>, 2 and 3</w:t>
      </w:r>
      <w:r w:rsidR="00B55444" w:rsidRPr="002006DC">
        <w:rPr>
          <w:rFonts w:ascii="Arial" w:hAnsi="Arial" w:cs="Arial"/>
          <w:szCs w:val="22"/>
        </w:rPr>
        <w:t xml:space="preserve"> of the </w:t>
      </w:r>
      <w:r w:rsidR="008B3A5F">
        <w:rPr>
          <w:rFonts w:ascii="Arial" w:hAnsi="Arial" w:cs="Arial"/>
          <w:szCs w:val="22"/>
        </w:rPr>
        <w:t>Instrument</w:t>
      </w:r>
      <w:r w:rsidR="00B55444" w:rsidRPr="002006DC">
        <w:rPr>
          <w:rFonts w:ascii="Arial" w:hAnsi="Arial" w:cs="Arial"/>
          <w:szCs w:val="22"/>
        </w:rPr>
        <w:t xml:space="preserve"> </w:t>
      </w:r>
      <w:r w:rsidR="008B3A5F">
        <w:rPr>
          <w:rFonts w:ascii="Arial" w:hAnsi="Arial" w:cs="Arial"/>
          <w:szCs w:val="22"/>
        </w:rPr>
        <w:t>are technical provisions that set out the name, commencement, and authority for the Instrument.</w:t>
      </w:r>
    </w:p>
    <w:p w14:paraId="41D454C4" w14:textId="25C25C6A" w:rsidR="008B3A5F" w:rsidRDefault="008B3A5F" w:rsidP="00CF66CC">
      <w:pPr>
        <w:rPr>
          <w:rFonts w:ascii="Arial" w:hAnsi="Arial" w:cs="Arial"/>
          <w:szCs w:val="22"/>
        </w:rPr>
      </w:pPr>
    </w:p>
    <w:p w14:paraId="2C601B16" w14:textId="7F1A45F9" w:rsidR="008B3A5F" w:rsidRDefault="008B3A5F" w:rsidP="00CF66CC">
      <w:pPr>
        <w:rPr>
          <w:rFonts w:ascii="Arial" w:hAnsi="Arial" w:cs="Arial"/>
          <w:szCs w:val="22"/>
        </w:rPr>
      </w:pPr>
      <w:r>
        <w:rPr>
          <w:rFonts w:ascii="Arial" w:hAnsi="Arial" w:cs="Arial"/>
          <w:szCs w:val="22"/>
        </w:rPr>
        <w:t>The Instrument commences on 1 January 2020, immediately after the commencement of Schedule 1 to the ELA Act to it relates.  The Instrument is made by the Minister for Education under section 238-10 of HESA, and sets out the courses of study in aviation as authorised by subsection 128-20(2) of HESA.</w:t>
      </w:r>
    </w:p>
    <w:p w14:paraId="0696AC43" w14:textId="77777777" w:rsidR="008B3A5F" w:rsidRDefault="008B3A5F" w:rsidP="00CF66CC">
      <w:pPr>
        <w:rPr>
          <w:rFonts w:ascii="Arial" w:hAnsi="Arial" w:cs="Arial"/>
          <w:szCs w:val="22"/>
        </w:rPr>
      </w:pPr>
    </w:p>
    <w:p w14:paraId="0ECDBF4E" w14:textId="4B1F4E32" w:rsidR="006872E1" w:rsidRPr="006872E1" w:rsidRDefault="00FC0EC1" w:rsidP="00CF66CC">
      <w:pPr>
        <w:rPr>
          <w:rFonts w:ascii="Arial" w:hAnsi="Arial" w:cs="Arial"/>
          <w:szCs w:val="22"/>
        </w:rPr>
      </w:pPr>
      <w:r w:rsidRPr="008B3A5F">
        <w:rPr>
          <w:rFonts w:ascii="Arial" w:hAnsi="Arial" w:cs="Arial"/>
          <w:b/>
          <w:szCs w:val="22"/>
        </w:rPr>
        <w:t xml:space="preserve">Section </w:t>
      </w:r>
      <w:r w:rsidR="00B55444" w:rsidRPr="008B3A5F">
        <w:rPr>
          <w:rFonts w:ascii="Arial" w:hAnsi="Arial" w:cs="Arial"/>
          <w:b/>
          <w:szCs w:val="22"/>
        </w:rPr>
        <w:t>4</w:t>
      </w:r>
      <w:r w:rsidR="00B55444" w:rsidRPr="00520144">
        <w:rPr>
          <w:rFonts w:ascii="Arial" w:hAnsi="Arial" w:cs="Arial"/>
          <w:szCs w:val="22"/>
        </w:rPr>
        <w:t xml:space="preserve"> </w:t>
      </w:r>
      <w:r w:rsidR="008B3A5F">
        <w:rPr>
          <w:rFonts w:ascii="Arial" w:hAnsi="Arial" w:cs="Arial"/>
          <w:szCs w:val="22"/>
        </w:rPr>
        <w:t xml:space="preserve">of the Instrument </w:t>
      </w:r>
      <w:r w:rsidR="006872E1" w:rsidRPr="00520144">
        <w:rPr>
          <w:rFonts w:ascii="Arial" w:hAnsi="Arial" w:cs="Arial"/>
          <w:szCs w:val="22"/>
        </w:rPr>
        <w:t xml:space="preserve">provides that </w:t>
      </w:r>
      <w:r w:rsidR="006872E1" w:rsidRPr="00520144">
        <w:rPr>
          <w:rFonts w:ascii="Arial" w:hAnsi="Arial" w:cs="Arial"/>
        </w:rPr>
        <w:t xml:space="preserve">each instrument that is specified in a Schedule to the </w:t>
      </w:r>
      <w:r w:rsidR="002E7448" w:rsidRPr="00520144">
        <w:rPr>
          <w:rFonts w:ascii="Arial" w:hAnsi="Arial" w:cs="Arial"/>
        </w:rPr>
        <w:t xml:space="preserve">legislative instrument </w:t>
      </w:r>
      <w:r w:rsidR="006872E1" w:rsidRPr="00520144">
        <w:rPr>
          <w:rFonts w:ascii="Arial" w:hAnsi="Arial" w:cs="Arial"/>
        </w:rPr>
        <w:t>is amended or repealed as set out in the applicable items in the Schedule concerned, and any other item in a Schedule to the</w:t>
      </w:r>
      <w:r w:rsidR="002E7448" w:rsidRPr="00520144">
        <w:rPr>
          <w:rFonts w:ascii="Arial" w:hAnsi="Arial" w:cs="Arial"/>
        </w:rPr>
        <w:t xml:space="preserve"> legislative instrument </w:t>
      </w:r>
      <w:r w:rsidR="006872E1" w:rsidRPr="00520144">
        <w:rPr>
          <w:rFonts w:ascii="Arial" w:hAnsi="Arial" w:cs="Arial"/>
        </w:rPr>
        <w:t>has effect according to its terms.</w:t>
      </w:r>
    </w:p>
    <w:p w14:paraId="1A3C14BC" w14:textId="77777777" w:rsidR="00EE4E98" w:rsidRDefault="00EE4E98" w:rsidP="00CF66CC">
      <w:pPr>
        <w:rPr>
          <w:rFonts w:ascii="Arial" w:hAnsi="Arial" w:cs="Arial"/>
          <w:szCs w:val="22"/>
        </w:rPr>
      </w:pPr>
    </w:p>
    <w:p w14:paraId="6BC220F1" w14:textId="651B8739" w:rsidR="00B55444" w:rsidRDefault="00B55444" w:rsidP="00B55444">
      <w:pPr>
        <w:rPr>
          <w:rFonts w:ascii="Arial" w:hAnsi="Arial" w:cs="Arial"/>
          <w:szCs w:val="22"/>
        </w:rPr>
      </w:pPr>
      <w:r>
        <w:rPr>
          <w:rFonts w:ascii="Arial" w:hAnsi="Arial" w:cs="Arial"/>
          <w:b/>
          <w:szCs w:val="22"/>
        </w:rPr>
        <w:t>Schedule 1 – Amendments</w:t>
      </w:r>
    </w:p>
    <w:p w14:paraId="11663D5E" w14:textId="391AA82E" w:rsidR="00BB433D" w:rsidRDefault="00BB433D" w:rsidP="00B55444">
      <w:pPr>
        <w:rPr>
          <w:rFonts w:ascii="Arial" w:hAnsi="Arial" w:cs="Arial"/>
          <w:szCs w:val="22"/>
        </w:rPr>
      </w:pPr>
    </w:p>
    <w:p w14:paraId="4EB2C08E" w14:textId="121F0085" w:rsidR="008B3A5F" w:rsidRDefault="008B3A5F" w:rsidP="00B55444">
      <w:pPr>
        <w:rPr>
          <w:rFonts w:ascii="Arial" w:hAnsi="Arial" w:cs="Arial"/>
          <w:szCs w:val="22"/>
        </w:rPr>
      </w:pPr>
      <w:r>
        <w:rPr>
          <w:rFonts w:ascii="Arial" w:hAnsi="Arial" w:cs="Arial"/>
          <w:szCs w:val="22"/>
        </w:rPr>
        <w:t xml:space="preserve">Schedule 1 amends the </w:t>
      </w:r>
      <w:r>
        <w:rPr>
          <w:rFonts w:ascii="Arial" w:hAnsi="Arial" w:cs="Arial"/>
          <w:i/>
          <w:szCs w:val="22"/>
        </w:rPr>
        <w:t>FEE-HELP Guidelines 2017</w:t>
      </w:r>
      <w:r>
        <w:rPr>
          <w:rFonts w:ascii="Arial" w:hAnsi="Arial" w:cs="Arial"/>
          <w:szCs w:val="22"/>
        </w:rPr>
        <w:t>.</w:t>
      </w:r>
    </w:p>
    <w:p w14:paraId="4A639D99" w14:textId="77777777" w:rsidR="008B3A5F" w:rsidRPr="008B3A5F" w:rsidRDefault="008B3A5F" w:rsidP="00B55444">
      <w:pPr>
        <w:rPr>
          <w:rFonts w:ascii="Arial" w:hAnsi="Arial" w:cs="Arial"/>
          <w:szCs w:val="22"/>
        </w:rPr>
      </w:pPr>
    </w:p>
    <w:p w14:paraId="3286E57D" w14:textId="77777777" w:rsidR="001574C0" w:rsidRDefault="00BB433D" w:rsidP="007C74A5">
      <w:pPr>
        <w:rPr>
          <w:rFonts w:ascii="Arial" w:hAnsi="Arial" w:cs="Arial"/>
          <w:szCs w:val="22"/>
        </w:rPr>
      </w:pPr>
      <w:r w:rsidRPr="008B3A5F">
        <w:rPr>
          <w:rFonts w:ascii="Arial" w:hAnsi="Arial" w:cs="Arial"/>
          <w:b/>
          <w:szCs w:val="22"/>
        </w:rPr>
        <w:t>Item 1</w:t>
      </w:r>
      <w:r>
        <w:rPr>
          <w:rFonts w:ascii="Arial" w:hAnsi="Arial" w:cs="Arial"/>
          <w:szCs w:val="22"/>
        </w:rPr>
        <w:t xml:space="preserve"> </w:t>
      </w:r>
      <w:r w:rsidR="00397004">
        <w:rPr>
          <w:rFonts w:ascii="Arial" w:hAnsi="Arial" w:cs="Arial"/>
          <w:szCs w:val="22"/>
        </w:rPr>
        <w:t>inserts</w:t>
      </w:r>
      <w:r w:rsidR="008B3A5F">
        <w:rPr>
          <w:rFonts w:ascii="Arial" w:hAnsi="Arial" w:cs="Arial"/>
          <w:szCs w:val="22"/>
        </w:rPr>
        <w:t xml:space="preserve"> </w:t>
      </w:r>
      <w:r w:rsidR="001574C0">
        <w:rPr>
          <w:rFonts w:ascii="Arial" w:hAnsi="Arial" w:cs="Arial"/>
          <w:szCs w:val="22"/>
        </w:rPr>
        <w:t>provisions in Chapter 1 of the Guidelines that specify the courses of study in aviation to which the higher HELP loan limit in HESA applies.</w:t>
      </w:r>
    </w:p>
    <w:p w14:paraId="090CACD6" w14:textId="77777777" w:rsidR="001574C0" w:rsidRDefault="001574C0" w:rsidP="007C74A5">
      <w:pPr>
        <w:rPr>
          <w:rFonts w:ascii="Arial" w:hAnsi="Arial" w:cs="Arial"/>
          <w:szCs w:val="22"/>
        </w:rPr>
      </w:pPr>
    </w:p>
    <w:p w14:paraId="40C4DAD1" w14:textId="460AC500" w:rsidR="00A97F4D" w:rsidRDefault="001574C0" w:rsidP="007C74A5">
      <w:pPr>
        <w:rPr>
          <w:rFonts w:ascii="Arial" w:hAnsi="Arial" w:cs="Arial"/>
          <w:szCs w:val="22"/>
        </w:rPr>
      </w:pPr>
      <w:r>
        <w:rPr>
          <w:rFonts w:ascii="Arial" w:hAnsi="Arial" w:cs="Arial"/>
          <w:szCs w:val="22"/>
        </w:rPr>
        <w:t xml:space="preserve">New </w:t>
      </w:r>
      <w:r w:rsidRPr="001574C0">
        <w:rPr>
          <w:rFonts w:ascii="Arial" w:hAnsi="Arial" w:cs="Arial"/>
          <w:b/>
          <w:szCs w:val="22"/>
        </w:rPr>
        <w:t>section 1.2.1</w:t>
      </w:r>
      <w:r>
        <w:rPr>
          <w:rFonts w:ascii="Arial" w:hAnsi="Arial" w:cs="Arial"/>
          <w:szCs w:val="22"/>
        </w:rPr>
        <w:t xml:space="preserve"> sets out the courses provided by higher education providers that are courses of study in aviation; the section specifies the courses and the higher education providers that provide them.</w:t>
      </w:r>
    </w:p>
    <w:p w14:paraId="5638D4AA" w14:textId="3955A139" w:rsidR="001574C0" w:rsidRDefault="001574C0" w:rsidP="007C74A5">
      <w:pPr>
        <w:rPr>
          <w:rFonts w:ascii="Arial" w:hAnsi="Arial" w:cs="Arial"/>
          <w:szCs w:val="22"/>
        </w:rPr>
      </w:pPr>
    </w:p>
    <w:p w14:paraId="2516DEB3" w14:textId="4FBD081C" w:rsidR="001574C0" w:rsidRDefault="001574C0" w:rsidP="007C74A5">
      <w:pPr>
        <w:rPr>
          <w:rFonts w:ascii="Arial" w:hAnsi="Arial" w:cs="Arial"/>
          <w:szCs w:val="22"/>
        </w:rPr>
      </w:pPr>
      <w:r>
        <w:rPr>
          <w:rFonts w:ascii="Arial" w:hAnsi="Arial" w:cs="Arial"/>
          <w:szCs w:val="22"/>
        </w:rPr>
        <w:t xml:space="preserve">New </w:t>
      </w:r>
      <w:r>
        <w:rPr>
          <w:rFonts w:ascii="Arial" w:hAnsi="Arial" w:cs="Arial"/>
          <w:b/>
          <w:szCs w:val="22"/>
        </w:rPr>
        <w:t>section 1.2.2</w:t>
      </w:r>
      <w:r>
        <w:rPr>
          <w:rFonts w:ascii="Arial" w:hAnsi="Arial" w:cs="Arial"/>
          <w:szCs w:val="22"/>
        </w:rPr>
        <w:t xml:space="preserve"> sets out the courses provided by VSL providers that are courses of study in </w:t>
      </w:r>
      <w:r w:rsidR="00C12C82">
        <w:rPr>
          <w:rFonts w:ascii="Arial" w:hAnsi="Arial" w:cs="Arial"/>
          <w:szCs w:val="22"/>
        </w:rPr>
        <w:t>aviation.</w:t>
      </w:r>
    </w:p>
    <w:p w14:paraId="21ECFD4E" w14:textId="77777777" w:rsidR="00C12C82" w:rsidRPr="001574C0" w:rsidRDefault="00C12C82" w:rsidP="007C74A5">
      <w:pPr>
        <w:rPr>
          <w:rFonts w:ascii="Arial" w:hAnsi="Arial" w:cs="Arial"/>
        </w:rPr>
      </w:pPr>
    </w:p>
    <w:p w14:paraId="501C6EFF" w14:textId="050AEFCC" w:rsidR="009B2395" w:rsidRDefault="009B2395">
      <w:pPr>
        <w:spacing w:after="200" w:line="276" w:lineRule="auto"/>
        <w:rPr>
          <w:rFonts w:ascii="Arial" w:hAnsi="Arial" w:cs="Arial"/>
          <w:szCs w:val="22"/>
        </w:rPr>
      </w:pPr>
      <w:r>
        <w:rPr>
          <w:rFonts w:ascii="Arial" w:hAnsi="Arial" w:cs="Arial"/>
          <w:szCs w:val="22"/>
        </w:rPr>
        <w:br w:type="page"/>
      </w:r>
    </w:p>
    <w:p w14:paraId="65A9A104" w14:textId="77777777" w:rsidR="009B2395" w:rsidRPr="000F0352" w:rsidRDefault="009B2395" w:rsidP="000F0352">
      <w:pPr>
        <w:rPr>
          <w:rFonts w:ascii="Arial" w:hAnsi="Arial" w:cs="Arial"/>
          <w:szCs w:val="22"/>
        </w:rPr>
      </w:pPr>
    </w:p>
    <w:p w14:paraId="713AC7EE" w14:textId="77777777" w:rsidR="008624CD" w:rsidRPr="009C5237" w:rsidRDefault="008624CD" w:rsidP="009C5237">
      <w:pPr>
        <w:jc w:val="center"/>
        <w:rPr>
          <w:rFonts w:ascii="Arial" w:hAnsi="Arial" w:cs="Arial"/>
          <w:b/>
          <w:sz w:val="28"/>
          <w:szCs w:val="28"/>
        </w:rPr>
      </w:pPr>
      <w:r w:rsidRPr="009C5237">
        <w:rPr>
          <w:rFonts w:ascii="Arial" w:hAnsi="Arial" w:cs="Arial"/>
          <w:b/>
          <w:sz w:val="28"/>
          <w:szCs w:val="28"/>
        </w:rPr>
        <w:t>STATEMENT OF COMPATIBILITY WITH HUMAN RIGHTS</w:t>
      </w:r>
    </w:p>
    <w:p w14:paraId="7714D870" w14:textId="77777777" w:rsidR="008624CD" w:rsidRPr="009C5237" w:rsidRDefault="008624CD" w:rsidP="008624CD">
      <w:pPr>
        <w:jc w:val="center"/>
        <w:rPr>
          <w:rFonts w:ascii="Arial" w:hAnsi="Arial" w:cs="Arial"/>
          <w:i/>
        </w:rPr>
      </w:pPr>
    </w:p>
    <w:p w14:paraId="75C03EF0" w14:textId="77777777" w:rsidR="008624CD" w:rsidRPr="009C5237" w:rsidRDefault="008624CD" w:rsidP="008624CD">
      <w:pPr>
        <w:jc w:val="center"/>
        <w:rPr>
          <w:rFonts w:ascii="Arial" w:hAnsi="Arial" w:cs="Arial"/>
          <w:i/>
        </w:rPr>
      </w:pPr>
      <w:r w:rsidRPr="009C5237">
        <w:rPr>
          <w:rFonts w:ascii="Arial" w:hAnsi="Arial" w:cs="Arial"/>
          <w:i/>
        </w:rPr>
        <w:t>Prepared in accordance with Part 3 of the Human Rights (Parliamentary Scrutiny) Act 2011</w:t>
      </w:r>
    </w:p>
    <w:p w14:paraId="6B3B7FEF" w14:textId="77777777" w:rsidR="008624CD" w:rsidRPr="009C5237" w:rsidRDefault="008624CD" w:rsidP="008624CD">
      <w:pPr>
        <w:jc w:val="center"/>
        <w:rPr>
          <w:rFonts w:ascii="Arial" w:hAnsi="Arial" w:cs="Arial"/>
          <w:i/>
          <w:color w:val="FF0000"/>
        </w:rPr>
      </w:pPr>
    </w:p>
    <w:p w14:paraId="64A7F2AD" w14:textId="0C89A8B5" w:rsidR="00AB1A51" w:rsidRPr="007C74A5" w:rsidRDefault="00221809" w:rsidP="00AB1A51">
      <w:pPr>
        <w:jc w:val="center"/>
        <w:rPr>
          <w:rFonts w:ascii="Arial" w:hAnsi="Arial" w:cs="Arial"/>
          <w:b/>
          <w:highlight w:val="lightGray"/>
        </w:rPr>
      </w:pPr>
      <w:r>
        <w:rPr>
          <w:rFonts w:ascii="Arial" w:hAnsi="Arial" w:cs="Arial"/>
          <w:b/>
        </w:rPr>
        <w:t xml:space="preserve">FEE-HELP Guidelines Amendment (No. 1) 2019 </w:t>
      </w:r>
    </w:p>
    <w:p w14:paraId="1A15C49F" w14:textId="77777777" w:rsidR="008624CD" w:rsidRPr="007C74A5" w:rsidRDefault="008624CD" w:rsidP="008624CD">
      <w:pPr>
        <w:jc w:val="center"/>
        <w:rPr>
          <w:rFonts w:ascii="Arial" w:hAnsi="Arial" w:cs="Arial"/>
          <w:b/>
          <w:i/>
          <w:caps/>
          <w:sz w:val="28"/>
          <w:szCs w:val="28"/>
          <w:highlight w:val="lightGray"/>
        </w:rPr>
      </w:pPr>
    </w:p>
    <w:p w14:paraId="11BFDAB0" w14:textId="77777777" w:rsidR="00C12C82" w:rsidRPr="007C74A5" w:rsidRDefault="00C12C82" w:rsidP="00C12C82">
      <w:pPr>
        <w:rPr>
          <w:rFonts w:ascii="Arial" w:hAnsi="Arial" w:cs="Arial"/>
          <w:szCs w:val="22"/>
          <w:highlight w:val="lightGray"/>
        </w:rPr>
      </w:pPr>
      <w:r>
        <w:rPr>
          <w:rFonts w:ascii="Arial" w:hAnsi="Arial" w:cs="Arial"/>
          <w:szCs w:val="22"/>
        </w:rPr>
        <w:t xml:space="preserve">The purpose of the </w:t>
      </w:r>
      <w:r w:rsidRPr="00520144">
        <w:rPr>
          <w:rFonts w:ascii="Arial" w:hAnsi="Arial" w:cs="Arial"/>
          <w:szCs w:val="22"/>
        </w:rPr>
        <w:t>FEE-HELP Guidelines Amendment (No. 1) 2019</w:t>
      </w:r>
      <w:r>
        <w:rPr>
          <w:rFonts w:ascii="Arial" w:hAnsi="Arial" w:cs="Arial"/>
          <w:szCs w:val="22"/>
        </w:rPr>
        <w:t xml:space="preserve"> (the </w:t>
      </w:r>
      <w:r w:rsidRPr="008B3A5F">
        <w:rPr>
          <w:rFonts w:ascii="Arial" w:hAnsi="Arial" w:cs="Arial"/>
          <w:b/>
          <w:szCs w:val="22"/>
        </w:rPr>
        <w:t>Instrument</w:t>
      </w:r>
      <w:r>
        <w:rPr>
          <w:rFonts w:ascii="Arial" w:hAnsi="Arial" w:cs="Arial"/>
          <w:szCs w:val="22"/>
        </w:rPr>
        <w:t xml:space="preserve">) is to amend the </w:t>
      </w:r>
      <w:r w:rsidRPr="008B3A5F">
        <w:rPr>
          <w:rFonts w:ascii="Arial" w:hAnsi="Arial" w:cs="Arial"/>
          <w:i/>
          <w:szCs w:val="22"/>
        </w:rPr>
        <w:t>FEE-HELP Guidelines 2017</w:t>
      </w:r>
      <w:r>
        <w:rPr>
          <w:rFonts w:ascii="Arial" w:hAnsi="Arial" w:cs="Arial"/>
          <w:szCs w:val="22"/>
        </w:rPr>
        <w:t xml:space="preserve"> </w:t>
      </w:r>
      <w:r w:rsidRPr="007C74A5">
        <w:rPr>
          <w:rFonts w:ascii="Arial" w:hAnsi="Arial" w:cs="Arial"/>
          <w:szCs w:val="22"/>
        </w:rPr>
        <w:t xml:space="preserve">(the </w:t>
      </w:r>
      <w:r w:rsidRPr="00C12C82">
        <w:rPr>
          <w:rFonts w:ascii="Arial" w:hAnsi="Arial" w:cs="Arial"/>
          <w:b/>
          <w:szCs w:val="22"/>
        </w:rPr>
        <w:t>Guidelines</w:t>
      </w:r>
      <w:r w:rsidRPr="007C74A5">
        <w:rPr>
          <w:rFonts w:ascii="Arial" w:hAnsi="Arial" w:cs="Arial"/>
          <w:szCs w:val="22"/>
        </w:rPr>
        <w:t xml:space="preserve">) </w:t>
      </w:r>
      <w:r w:rsidRPr="003130C6">
        <w:rPr>
          <w:rFonts w:ascii="Arial" w:hAnsi="Arial" w:cs="Arial"/>
          <w:szCs w:val="22"/>
        </w:rPr>
        <w:t xml:space="preserve">to implement the changes made to the </w:t>
      </w:r>
      <w:r w:rsidRPr="003130C6">
        <w:rPr>
          <w:rFonts w:ascii="Arial" w:hAnsi="Arial" w:cs="Arial"/>
          <w:i/>
          <w:szCs w:val="22"/>
        </w:rPr>
        <w:t xml:space="preserve">Higher Education Support Act 2003 </w:t>
      </w:r>
      <w:r w:rsidRPr="003130C6">
        <w:rPr>
          <w:rFonts w:ascii="Arial" w:hAnsi="Arial" w:cs="Arial"/>
          <w:szCs w:val="22"/>
        </w:rPr>
        <w:t>(</w:t>
      </w:r>
      <w:r>
        <w:rPr>
          <w:rFonts w:ascii="Arial" w:hAnsi="Arial" w:cs="Arial"/>
          <w:b/>
          <w:szCs w:val="22"/>
        </w:rPr>
        <w:t>HESA</w:t>
      </w:r>
      <w:r w:rsidRPr="003130C6">
        <w:rPr>
          <w:rFonts w:ascii="Arial" w:hAnsi="Arial" w:cs="Arial"/>
          <w:szCs w:val="22"/>
        </w:rPr>
        <w:t>)</w:t>
      </w:r>
      <w:r>
        <w:rPr>
          <w:rFonts w:ascii="Arial" w:hAnsi="Arial" w:cs="Arial"/>
          <w:szCs w:val="22"/>
        </w:rPr>
        <w:t xml:space="preserve"> </w:t>
      </w:r>
      <w:r w:rsidRPr="003130C6">
        <w:rPr>
          <w:rFonts w:ascii="Arial" w:hAnsi="Arial" w:cs="Arial"/>
          <w:szCs w:val="22"/>
        </w:rPr>
        <w:t>by Schedule</w:t>
      </w:r>
      <w:r>
        <w:rPr>
          <w:rFonts w:ascii="Arial" w:hAnsi="Arial" w:cs="Arial"/>
          <w:szCs w:val="22"/>
        </w:rPr>
        <w:t> </w:t>
      </w:r>
      <w:r w:rsidRPr="003130C6">
        <w:rPr>
          <w:rFonts w:ascii="Arial" w:hAnsi="Arial" w:cs="Arial"/>
          <w:szCs w:val="22"/>
        </w:rPr>
        <w:t xml:space="preserve">1 of the </w:t>
      </w:r>
      <w:r w:rsidRPr="003130C6">
        <w:rPr>
          <w:rFonts w:ascii="Arial" w:hAnsi="Arial" w:cs="Arial"/>
          <w:i/>
          <w:szCs w:val="22"/>
        </w:rPr>
        <w:t xml:space="preserve">Education Legislation Amendment (2019 Measures No. 1) </w:t>
      </w:r>
      <w:r>
        <w:rPr>
          <w:rFonts w:ascii="Arial" w:hAnsi="Arial" w:cs="Arial"/>
          <w:i/>
          <w:szCs w:val="22"/>
        </w:rPr>
        <w:t>Act</w:t>
      </w:r>
      <w:r w:rsidRPr="003130C6">
        <w:rPr>
          <w:rFonts w:ascii="Arial" w:hAnsi="Arial" w:cs="Arial"/>
          <w:i/>
          <w:szCs w:val="22"/>
        </w:rPr>
        <w:t xml:space="preserve"> 2019</w:t>
      </w:r>
      <w:r w:rsidRPr="003130C6">
        <w:rPr>
          <w:rFonts w:ascii="Arial" w:hAnsi="Arial" w:cs="Arial"/>
          <w:szCs w:val="22"/>
        </w:rPr>
        <w:t xml:space="preserve"> (</w:t>
      </w:r>
      <w:r>
        <w:rPr>
          <w:rFonts w:ascii="Arial" w:hAnsi="Arial" w:cs="Arial"/>
          <w:szCs w:val="22"/>
        </w:rPr>
        <w:t xml:space="preserve">the </w:t>
      </w:r>
      <w:r w:rsidRPr="008B3A5F">
        <w:rPr>
          <w:rFonts w:ascii="Arial" w:hAnsi="Arial" w:cs="Arial"/>
          <w:b/>
          <w:szCs w:val="22"/>
        </w:rPr>
        <w:t>ELA Act</w:t>
      </w:r>
      <w:r w:rsidRPr="003130C6">
        <w:rPr>
          <w:rFonts w:ascii="Arial" w:hAnsi="Arial" w:cs="Arial"/>
          <w:szCs w:val="22"/>
        </w:rPr>
        <w:t>)</w:t>
      </w:r>
      <w:r>
        <w:rPr>
          <w:rFonts w:ascii="Arial" w:hAnsi="Arial" w:cs="Arial"/>
          <w:szCs w:val="22"/>
        </w:rPr>
        <w:t>.</w:t>
      </w:r>
    </w:p>
    <w:p w14:paraId="083550F5" w14:textId="77777777" w:rsidR="00C12C82" w:rsidRPr="007C74A5" w:rsidRDefault="00C12C82" w:rsidP="00C12C82">
      <w:pPr>
        <w:rPr>
          <w:rFonts w:ascii="Arial" w:hAnsi="Arial" w:cs="Arial"/>
          <w:szCs w:val="22"/>
          <w:highlight w:val="lightGray"/>
        </w:rPr>
      </w:pPr>
    </w:p>
    <w:p w14:paraId="47B8A5E6" w14:textId="77777777" w:rsidR="00C12C82" w:rsidRDefault="00C12C82" w:rsidP="00C12C82">
      <w:pPr>
        <w:spacing w:after="120"/>
        <w:rPr>
          <w:rFonts w:ascii="Arial" w:hAnsi="Arial" w:cs="Arial"/>
          <w:szCs w:val="22"/>
        </w:rPr>
      </w:pPr>
      <w:r w:rsidRPr="009F3D5C">
        <w:rPr>
          <w:rFonts w:ascii="Arial" w:hAnsi="Arial" w:cs="Arial"/>
          <w:szCs w:val="22"/>
        </w:rPr>
        <w:t xml:space="preserve">The amendments made to the Guidelines by this </w:t>
      </w:r>
      <w:r>
        <w:rPr>
          <w:rFonts w:ascii="Arial" w:hAnsi="Arial" w:cs="Arial"/>
          <w:szCs w:val="22"/>
        </w:rPr>
        <w:t>I</w:t>
      </w:r>
      <w:r w:rsidRPr="009F3D5C">
        <w:rPr>
          <w:rFonts w:ascii="Arial" w:hAnsi="Arial" w:cs="Arial"/>
          <w:szCs w:val="22"/>
        </w:rPr>
        <w:t>nstrument insert</w:t>
      </w:r>
      <w:r>
        <w:rPr>
          <w:rFonts w:ascii="Arial" w:hAnsi="Arial" w:cs="Arial"/>
          <w:szCs w:val="22"/>
        </w:rPr>
        <w:t xml:space="preserve"> new provisions into Chapter 1 of the Guidelines to specify the courses of study in aviation to which the higher HELP loan limit applies, for the purposes of subsection 128</w:t>
      </w:r>
      <w:r>
        <w:rPr>
          <w:rFonts w:ascii="Arial" w:hAnsi="Arial" w:cs="Arial"/>
          <w:szCs w:val="22"/>
        </w:rPr>
        <w:noBreakHyphen/>
        <w:t>20(2) of the Act.</w:t>
      </w:r>
    </w:p>
    <w:p w14:paraId="11C13A88" w14:textId="77777777" w:rsidR="00C12C82" w:rsidRPr="007C74A5" w:rsidRDefault="00C12C82" w:rsidP="00C12C82">
      <w:pPr>
        <w:rPr>
          <w:rFonts w:ascii="Arial" w:hAnsi="Arial" w:cs="Arial"/>
          <w:szCs w:val="22"/>
          <w:highlight w:val="lightGray"/>
        </w:rPr>
      </w:pPr>
    </w:p>
    <w:p w14:paraId="3CEF1BF1" w14:textId="77777777" w:rsidR="00C12C82" w:rsidRPr="00BA19AE" w:rsidRDefault="00C12C82" w:rsidP="00C12C82">
      <w:pPr>
        <w:rPr>
          <w:rFonts w:ascii="Arial" w:hAnsi="Arial" w:cs="Arial"/>
          <w:b/>
          <w:szCs w:val="22"/>
        </w:rPr>
      </w:pPr>
      <w:r w:rsidRPr="00BA19AE">
        <w:rPr>
          <w:rFonts w:ascii="Arial" w:hAnsi="Arial" w:cs="Arial"/>
          <w:b/>
          <w:szCs w:val="22"/>
        </w:rPr>
        <w:t>B</w:t>
      </w:r>
      <w:r>
        <w:rPr>
          <w:rFonts w:ascii="Arial" w:hAnsi="Arial" w:cs="Arial"/>
          <w:b/>
          <w:szCs w:val="22"/>
        </w:rPr>
        <w:t>ackground</w:t>
      </w:r>
    </w:p>
    <w:p w14:paraId="3C0FD0A8" w14:textId="77777777" w:rsidR="00C12C82" w:rsidRPr="007C74A5" w:rsidRDefault="00C12C82" w:rsidP="00C12C82">
      <w:pPr>
        <w:rPr>
          <w:rFonts w:ascii="Arial" w:hAnsi="Arial" w:cs="Arial"/>
          <w:szCs w:val="22"/>
          <w:highlight w:val="lightGray"/>
        </w:rPr>
      </w:pPr>
    </w:p>
    <w:p w14:paraId="45C48A48" w14:textId="29D1BCC3" w:rsidR="00C12C82" w:rsidRDefault="00C12C82" w:rsidP="00C12C82">
      <w:pPr>
        <w:rPr>
          <w:rFonts w:ascii="Arial" w:hAnsi="Arial" w:cs="Arial"/>
          <w:szCs w:val="22"/>
        </w:rPr>
      </w:pPr>
      <w:r w:rsidRPr="006A4AF5">
        <w:rPr>
          <w:rFonts w:ascii="Arial" w:hAnsi="Arial" w:cs="Arial"/>
          <w:szCs w:val="22"/>
        </w:rPr>
        <w:t xml:space="preserve">Schedule 1 of the ELA </w:t>
      </w:r>
      <w:r>
        <w:rPr>
          <w:rFonts w:ascii="Arial" w:hAnsi="Arial" w:cs="Arial"/>
          <w:szCs w:val="22"/>
        </w:rPr>
        <w:t>Act</w:t>
      </w:r>
      <w:r w:rsidRPr="006A4AF5">
        <w:rPr>
          <w:rFonts w:ascii="Arial" w:hAnsi="Arial" w:cs="Arial"/>
          <w:szCs w:val="22"/>
        </w:rPr>
        <w:t xml:space="preserve"> introduced </w:t>
      </w:r>
      <w:r>
        <w:rPr>
          <w:rFonts w:ascii="Arial" w:hAnsi="Arial" w:cs="Arial"/>
          <w:szCs w:val="22"/>
        </w:rPr>
        <w:t xml:space="preserve">a measure to increase </w:t>
      </w:r>
      <w:r w:rsidRPr="006A4AF5">
        <w:rPr>
          <w:rFonts w:ascii="Arial" w:hAnsi="Arial" w:cs="Arial"/>
          <w:szCs w:val="22"/>
        </w:rPr>
        <w:t>the combined Higher Education Loan Program (</w:t>
      </w:r>
      <w:r w:rsidRPr="008B3A5F">
        <w:rPr>
          <w:rFonts w:ascii="Arial" w:hAnsi="Arial" w:cs="Arial"/>
          <w:b/>
          <w:szCs w:val="22"/>
        </w:rPr>
        <w:t>HELP</w:t>
      </w:r>
      <w:r w:rsidRPr="006A4AF5">
        <w:rPr>
          <w:rFonts w:ascii="Arial" w:hAnsi="Arial" w:cs="Arial"/>
          <w:szCs w:val="22"/>
        </w:rPr>
        <w:t xml:space="preserve">) loan limit for students undertaking eligible aviation courses on or after 1 January 2020 at higher education providers approved under </w:t>
      </w:r>
      <w:r w:rsidR="00DE4F94">
        <w:rPr>
          <w:rFonts w:ascii="Arial" w:hAnsi="Arial" w:cs="Arial"/>
          <w:szCs w:val="22"/>
        </w:rPr>
        <w:t>HESA</w:t>
      </w:r>
      <w:r w:rsidRPr="006A4AF5">
        <w:rPr>
          <w:rFonts w:ascii="Arial" w:hAnsi="Arial" w:cs="Arial"/>
          <w:szCs w:val="22"/>
        </w:rPr>
        <w:t xml:space="preserve"> and vocational education and training (</w:t>
      </w:r>
      <w:r w:rsidRPr="008B3A5F">
        <w:rPr>
          <w:rFonts w:ascii="Arial" w:hAnsi="Arial" w:cs="Arial"/>
          <w:b/>
          <w:szCs w:val="22"/>
        </w:rPr>
        <w:t>VET</w:t>
      </w:r>
      <w:r w:rsidRPr="006A4AF5">
        <w:rPr>
          <w:rFonts w:ascii="Arial" w:hAnsi="Arial" w:cs="Arial"/>
          <w:szCs w:val="22"/>
        </w:rPr>
        <w:t xml:space="preserve">) providers approved under the </w:t>
      </w:r>
      <w:r w:rsidRPr="006A4AF5">
        <w:rPr>
          <w:rFonts w:ascii="Arial" w:hAnsi="Arial" w:cs="Arial"/>
          <w:i/>
          <w:szCs w:val="22"/>
        </w:rPr>
        <w:t>VET Student Loans Act 2016</w:t>
      </w:r>
      <w:r w:rsidRPr="006A4AF5">
        <w:rPr>
          <w:rFonts w:ascii="Arial" w:hAnsi="Arial" w:cs="Arial"/>
          <w:szCs w:val="22"/>
        </w:rPr>
        <w:t xml:space="preserve"> (</w:t>
      </w:r>
      <w:r w:rsidRPr="008B3A5F">
        <w:rPr>
          <w:rFonts w:ascii="Arial" w:hAnsi="Arial" w:cs="Arial"/>
          <w:b/>
          <w:szCs w:val="22"/>
        </w:rPr>
        <w:t>VSL Act</w:t>
      </w:r>
      <w:r w:rsidRPr="006A4AF5">
        <w:rPr>
          <w:rFonts w:ascii="Arial" w:hAnsi="Arial" w:cs="Arial"/>
          <w:szCs w:val="22"/>
        </w:rPr>
        <w:t>)</w:t>
      </w:r>
      <w:r>
        <w:rPr>
          <w:rFonts w:ascii="Arial" w:hAnsi="Arial" w:cs="Arial"/>
          <w:szCs w:val="22"/>
        </w:rPr>
        <w:t xml:space="preserve">. This measure enables students </w:t>
      </w:r>
      <w:r w:rsidRPr="006A4AF5">
        <w:rPr>
          <w:rFonts w:ascii="Arial" w:hAnsi="Arial" w:cs="Arial"/>
          <w:szCs w:val="22"/>
        </w:rPr>
        <w:t xml:space="preserve">undertaking eligible aviation courses that lead to certification as a Commercial Pilot at higher education providers and VSL providers to access the higher of the two HELP loan limits (the same limit that applies to students studying medicine, dentistry and veterinary science courses). The higher HELP loan limit will be $152,700 for 2020. </w:t>
      </w:r>
    </w:p>
    <w:p w14:paraId="1FF9D06A" w14:textId="77777777" w:rsidR="00C12C82" w:rsidRDefault="00C12C82" w:rsidP="00C12C82">
      <w:pPr>
        <w:rPr>
          <w:rFonts w:ascii="Arial" w:hAnsi="Arial" w:cs="Arial"/>
          <w:szCs w:val="22"/>
        </w:rPr>
      </w:pPr>
    </w:p>
    <w:p w14:paraId="4DBD2755" w14:textId="29C7D40F" w:rsidR="00C12C82" w:rsidRPr="00A7160B" w:rsidRDefault="00C12C82" w:rsidP="00C12C82">
      <w:pPr>
        <w:rPr>
          <w:rFonts w:ascii="Arial" w:hAnsi="Arial" w:cs="Arial"/>
          <w:szCs w:val="22"/>
        </w:rPr>
      </w:pPr>
      <w:r>
        <w:rPr>
          <w:rFonts w:ascii="Arial" w:hAnsi="Arial" w:cs="Arial"/>
          <w:szCs w:val="22"/>
        </w:rPr>
        <w:t>The purpose of the measure is to reduce students’ barrier</w:t>
      </w:r>
      <w:r w:rsidR="00DE4F94">
        <w:rPr>
          <w:rFonts w:ascii="Arial" w:hAnsi="Arial" w:cs="Arial"/>
          <w:szCs w:val="22"/>
        </w:rPr>
        <w:t>s to</w:t>
      </w:r>
      <w:r w:rsidRPr="006A4AF5">
        <w:rPr>
          <w:rFonts w:ascii="Arial" w:hAnsi="Arial" w:cs="Arial"/>
          <w:szCs w:val="22"/>
        </w:rPr>
        <w:t xml:space="preserve"> enrolling in aviation courses through increased loan assistance to defer tuition fees for their aviation study</w:t>
      </w:r>
      <w:r>
        <w:rPr>
          <w:rFonts w:ascii="Arial" w:hAnsi="Arial" w:cs="Arial"/>
          <w:szCs w:val="22"/>
        </w:rPr>
        <w:t xml:space="preserve">. It will enable student </w:t>
      </w:r>
      <w:r w:rsidRPr="00BA19AE">
        <w:rPr>
          <w:rFonts w:ascii="Arial" w:hAnsi="Arial" w:cs="Arial"/>
          <w:szCs w:val="22"/>
        </w:rPr>
        <w:t xml:space="preserve">pilots </w:t>
      </w:r>
      <w:r>
        <w:rPr>
          <w:rFonts w:ascii="Arial" w:hAnsi="Arial" w:cs="Arial"/>
          <w:szCs w:val="22"/>
        </w:rPr>
        <w:t>to</w:t>
      </w:r>
      <w:r w:rsidRPr="00BA19AE">
        <w:rPr>
          <w:rFonts w:ascii="Arial" w:hAnsi="Arial" w:cs="Arial"/>
          <w:szCs w:val="22"/>
        </w:rPr>
        <w:t xml:space="preserve"> defer all of their tuition fees in order to obtain the licenses and ratings required by the Civil Aviation Safety Authority for most practical commercial employmen</w:t>
      </w:r>
      <w:r>
        <w:rPr>
          <w:rFonts w:ascii="Arial" w:hAnsi="Arial" w:cs="Arial"/>
          <w:szCs w:val="22"/>
        </w:rPr>
        <w:t xml:space="preserve">t. </w:t>
      </w:r>
    </w:p>
    <w:p w14:paraId="6C9AC3E3" w14:textId="77777777" w:rsidR="00C12C82" w:rsidRPr="007C74A5" w:rsidRDefault="00C12C82" w:rsidP="00C12C82">
      <w:pPr>
        <w:rPr>
          <w:rFonts w:ascii="Arial" w:hAnsi="Arial" w:cs="Arial"/>
          <w:szCs w:val="22"/>
          <w:highlight w:val="lightGray"/>
        </w:rPr>
      </w:pPr>
    </w:p>
    <w:p w14:paraId="04E9428E" w14:textId="02F836F3" w:rsidR="003114C2" w:rsidRPr="00C12C82" w:rsidRDefault="003114C2" w:rsidP="00A37CF7">
      <w:pPr>
        <w:rPr>
          <w:rFonts w:ascii="Arial" w:hAnsi="Arial" w:cs="Arial"/>
          <w:b/>
        </w:rPr>
      </w:pPr>
      <w:r w:rsidRPr="00C12C82">
        <w:rPr>
          <w:rFonts w:ascii="Arial" w:hAnsi="Arial" w:cs="Arial"/>
          <w:b/>
        </w:rPr>
        <w:t>Human rights implications</w:t>
      </w:r>
    </w:p>
    <w:p w14:paraId="0760C906" w14:textId="5FBB782C" w:rsidR="002044F3" w:rsidRPr="00C12C82" w:rsidRDefault="002044F3" w:rsidP="00A37CF7">
      <w:pPr>
        <w:rPr>
          <w:rFonts w:ascii="Arial" w:hAnsi="Arial" w:cs="Arial"/>
          <w:b/>
          <w:highlight w:val="lightGray"/>
        </w:rPr>
      </w:pPr>
    </w:p>
    <w:p w14:paraId="35FE1EE1" w14:textId="6EB1666F" w:rsidR="002044F3" w:rsidRDefault="002044F3" w:rsidP="00A37CF7">
      <w:pPr>
        <w:rPr>
          <w:rFonts w:ascii="Arial" w:hAnsi="Arial" w:cs="Arial"/>
          <w:szCs w:val="22"/>
        </w:rPr>
      </w:pPr>
      <w:r w:rsidRPr="002044F3">
        <w:rPr>
          <w:rFonts w:ascii="Arial" w:hAnsi="Arial" w:cs="Arial"/>
        </w:rPr>
        <w:t>This Instrument</w:t>
      </w:r>
      <w:r>
        <w:rPr>
          <w:rFonts w:ascii="Arial" w:hAnsi="Arial" w:cs="Arial"/>
        </w:rPr>
        <w:t xml:space="preserve"> provides the administrative detail to support the </w:t>
      </w:r>
      <w:r>
        <w:rPr>
          <w:rFonts w:ascii="Arial" w:hAnsi="Arial" w:cs="Arial"/>
          <w:szCs w:val="22"/>
        </w:rPr>
        <w:t xml:space="preserve">higher </w:t>
      </w:r>
      <w:r w:rsidRPr="002E0796">
        <w:rPr>
          <w:rFonts w:ascii="Arial" w:hAnsi="Arial" w:cs="Arial"/>
          <w:szCs w:val="22"/>
        </w:rPr>
        <w:t xml:space="preserve">HELP loan limit for </w:t>
      </w:r>
      <w:r w:rsidR="00DE4F94">
        <w:rPr>
          <w:rFonts w:ascii="Arial" w:hAnsi="Arial" w:cs="Arial"/>
          <w:szCs w:val="22"/>
        </w:rPr>
        <w:t xml:space="preserve">the </w:t>
      </w:r>
      <w:r>
        <w:rPr>
          <w:rFonts w:ascii="Arial" w:hAnsi="Arial" w:cs="Arial"/>
          <w:szCs w:val="22"/>
        </w:rPr>
        <w:t>eligible</w:t>
      </w:r>
      <w:r w:rsidRPr="002E0796">
        <w:rPr>
          <w:rFonts w:ascii="Arial" w:hAnsi="Arial" w:cs="Arial"/>
          <w:szCs w:val="22"/>
        </w:rPr>
        <w:t xml:space="preserve"> aviation courses</w:t>
      </w:r>
      <w:r>
        <w:rPr>
          <w:rFonts w:ascii="Arial" w:hAnsi="Arial" w:cs="Arial"/>
          <w:szCs w:val="22"/>
        </w:rPr>
        <w:t xml:space="preserve"> measure introduced by Schedule 1 to the </w:t>
      </w:r>
      <w:r w:rsidRPr="00DE4F94">
        <w:rPr>
          <w:rFonts w:ascii="Arial" w:hAnsi="Arial" w:cs="Arial"/>
          <w:szCs w:val="22"/>
        </w:rPr>
        <w:t>ELA Act</w:t>
      </w:r>
      <w:r>
        <w:rPr>
          <w:rFonts w:ascii="Arial" w:hAnsi="Arial" w:cs="Arial"/>
          <w:szCs w:val="22"/>
        </w:rPr>
        <w:t>. Therefore, this Instrument does not engage any human rights additional to those engag</w:t>
      </w:r>
      <w:r w:rsidR="00C12C82">
        <w:rPr>
          <w:rFonts w:ascii="Arial" w:hAnsi="Arial" w:cs="Arial"/>
          <w:szCs w:val="22"/>
        </w:rPr>
        <w:t>ed by the enabling legislation.</w:t>
      </w:r>
    </w:p>
    <w:p w14:paraId="07EC7802" w14:textId="193F4F89" w:rsidR="00C12C82" w:rsidRDefault="00C12C82" w:rsidP="00A37CF7">
      <w:pPr>
        <w:rPr>
          <w:rFonts w:ascii="Arial" w:hAnsi="Arial" w:cs="Arial"/>
          <w:szCs w:val="22"/>
        </w:rPr>
      </w:pPr>
    </w:p>
    <w:p w14:paraId="2CDB01A7" w14:textId="5971ADAF" w:rsidR="00C12C82" w:rsidRDefault="00C12C82" w:rsidP="00A37CF7">
      <w:pPr>
        <w:rPr>
          <w:rFonts w:ascii="Arial" w:hAnsi="Arial" w:cs="Arial"/>
          <w:szCs w:val="22"/>
        </w:rPr>
      </w:pPr>
      <w:r w:rsidRPr="00C12C82">
        <w:rPr>
          <w:rFonts w:ascii="Arial" w:hAnsi="Arial" w:cs="Arial"/>
          <w:szCs w:val="22"/>
        </w:rPr>
        <w:t xml:space="preserve">A </w:t>
      </w:r>
      <w:r w:rsidRPr="00C12C82">
        <w:rPr>
          <w:rFonts w:ascii="Arial" w:hAnsi="Arial" w:cs="Arial"/>
          <w:i/>
          <w:szCs w:val="22"/>
        </w:rPr>
        <w:t>Statement of Compatibility with Humans Rights</w:t>
      </w:r>
      <w:r w:rsidRPr="00C12C82">
        <w:rPr>
          <w:rFonts w:ascii="Arial" w:hAnsi="Arial" w:cs="Arial"/>
          <w:szCs w:val="22"/>
        </w:rPr>
        <w:t xml:space="preserve"> was prepared for the Education Legislation Amendment (2019 Measures No. 1) Bill 2019 and appended to the Explanatory Me</w:t>
      </w:r>
      <w:r>
        <w:rPr>
          <w:rFonts w:ascii="Arial" w:hAnsi="Arial" w:cs="Arial"/>
          <w:szCs w:val="22"/>
        </w:rPr>
        <w:t>morandum for that Bill.  The Explanatory Memorandum can be found at:</w:t>
      </w:r>
    </w:p>
    <w:p w14:paraId="7921024A" w14:textId="7DFFF687" w:rsidR="00C12C82" w:rsidRDefault="00C12C82" w:rsidP="00A37CF7">
      <w:pPr>
        <w:rPr>
          <w:rFonts w:ascii="Arial" w:hAnsi="Arial" w:cs="Arial"/>
          <w:szCs w:val="22"/>
        </w:rPr>
      </w:pPr>
    </w:p>
    <w:p w14:paraId="5FA1A78E" w14:textId="38E5B7FF" w:rsidR="00C12C82" w:rsidRDefault="00B01DEB" w:rsidP="00A37CF7">
      <w:pPr>
        <w:rPr>
          <w:rFonts w:ascii="Arial" w:hAnsi="Arial" w:cs="Arial"/>
        </w:rPr>
      </w:pPr>
      <w:hyperlink r:id="rId11" w:history="1">
        <w:r w:rsidR="00C12C82" w:rsidRPr="00B14865">
          <w:rPr>
            <w:rStyle w:val="Hyperlink"/>
            <w:rFonts w:ascii="Arial" w:hAnsi="Arial" w:cs="Arial"/>
          </w:rPr>
          <w:t>https://www.aph.gov.au/Parliamentary_Business/Bills_Legislation/Bills_Search_Results/Result?bId=r6428</w:t>
        </w:r>
      </w:hyperlink>
    </w:p>
    <w:p w14:paraId="5DF42752" w14:textId="7F05E39D" w:rsidR="00C12C82" w:rsidRDefault="00C12C82" w:rsidP="00A37CF7">
      <w:pPr>
        <w:rPr>
          <w:rFonts w:ascii="Arial" w:hAnsi="Arial" w:cs="Arial"/>
        </w:rPr>
      </w:pPr>
    </w:p>
    <w:p w14:paraId="4F83DDE1" w14:textId="77777777" w:rsidR="00D0465D" w:rsidRPr="00C12C82" w:rsidRDefault="00D0465D" w:rsidP="00D0465D">
      <w:pPr>
        <w:spacing w:after="200" w:line="276" w:lineRule="auto"/>
        <w:rPr>
          <w:rFonts w:ascii="Arial" w:hAnsi="Arial" w:cs="Arial"/>
          <w:b/>
          <w:szCs w:val="28"/>
        </w:rPr>
      </w:pPr>
      <w:r w:rsidRPr="00C12C82">
        <w:rPr>
          <w:rFonts w:ascii="Arial" w:hAnsi="Arial" w:cs="Arial"/>
          <w:b/>
          <w:szCs w:val="28"/>
        </w:rPr>
        <w:t>Conclusion</w:t>
      </w:r>
    </w:p>
    <w:p w14:paraId="10E3E4B2" w14:textId="315073EF" w:rsidR="00BD1A5F" w:rsidRPr="00685B5B" w:rsidRDefault="00AC0DA5" w:rsidP="00A37CF7">
      <w:pPr>
        <w:rPr>
          <w:rFonts w:ascii="Arial" w:hAnsi="Arial" w:cs="Arial"/>
        </w:rPr>
      </w:pPr>
      <w:r w:rsidRPr="00786FD9">
        <w:rPr>
          <w:rFonts w:ascii="Arial" w:hAnsi="Arial" w:cs="Arial"/>
        </w:rPr>
        <w:t>The</w:t>
      </w:r>
      <w:r w:rsidR="00327F5D" w:rsidRPr="00786FD9">
        <w:rPr>
          <w:rFonts w:ascii="Arial" w:hAnsi="Arial" w:cs="Arial"/>
        </w:rPr>
        <w:t xml:space="preserve"> instrument is</w:t>
      </w:r>
      <w:r w:rsidR="00624552" w:rsidRPr="00786FD9">
        <w:rPr>
          <w:rFonts w:ascii="Arial" w:hAnsi="Arial" w:cs="Arial"/>
        </w:rPr>
        <w:t xml:space="preserve"> compatible with human rights</w:t>
      </w:r>
      <w:r w:rsidR="00786FD9" w:rsidRPr="00786FD9">
        <w:rPr>
          <w:rFonts w:ascii="Arial" w:hAnsi="Arial" w:cs="Arial"/>
        </w:rPr>
        <w:t xml:space="preserve"> because</w:t>
      </w:r>
      <w:r w:rsidR="00C12C82">
        <w:rPr>
          <w:rFonts w:ascii="Arial" w:hAnsi="Arial" w:cs="Arial"/>
        </w:rPr>
        <w:t>, to the extent it engages those rights,</w:t>
      </w:r>
      <w:r w:rsidR="00786FD9" w:rsidRPr="00786FD9">
        <w:rPr>
          <w:rFonts w:ascii="Arial" w:hAnsi="Arial" w:cs="Arial"/>
        </w:rPr>
        <w:t xml:space="preserve"> it promotes those rights</w:t>
      </w:r>
      <w:r w:rsidR="00351B2F" w:rsidRPr="00786FD9">
        <w:rPr>
          <w:rFonts w:ascii="Arial" w:hAnsi="Arial" w:cs="Arial"/>
        </w:rPr>
        <w:t>.</w:t>
      </w:r>
    </w:p>
    <w:p w14:paraId="11C93FFB" w14:textId="77777777" w:rsidR="001F615D" w:rsidRDefault="001F615D">
      <w:pPr>
        <w:spacing w:after="200" w:line="276" w:lineRule="auto"/>
        <w:rPr>
          <w:rFonts w:ascii="Arial" w:hAnsi="Arial" w:cs="Arial"/>
        </w:rPr>
      </w:pPr>
    </w:p>
    <w:sectPr w:rsidR="001F615D" w:rsidSect="00D63A1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0403F" w14:textId="77777777" w:rsidR="00500EA7" w:rsidRDefault="00500EA7" w:rsidP="001006BE">
      <w:r>
        <w:separator/>
      </w:r>
    </w:p>
  </w:endnote>
  <w:endnote w:type="continuationSeparator" w:id="0">
    <w:p w14:paraId="14A69012" w14:textId="77777777" w:rsidR="00500EA7" w:rsidRDefault="00500EA7" w:rsidP="001006BE">
      <w:r>
        <w:continuationSeparator/>
      </w:r>
    </w:p>
  </w:endnote>
  <w:endnote w:type="continuationNotice" w:id="1">
    <w:p w14:paraId="59A99490" w14:textId="77777777" w:rsidR="00500EA7" w:rsidRDefault="00500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86492"/>
      <w:docPartObj>
        <w:docPartGallery w:val="Page Numbers (Bottom of Page)"/>
        <w:docPartUnique/>
      </w:docPartObj>
    </w:sdtPr>
    <w:sdtEndPr>
      <w:rPr>
        <w:noProof/>
      </w:rPr>
    </w:sdtEndPr>
    <w:sdtContent>
      <w:p w14:paraId="4DA7E5F0" w14:textId="607C1A37" w:rsidR="00602146" w:rsidRDefault="00602146">
        <w:pPr>
          <w:pStyle w:val="Footer"/>
          <w:jc w:val="center"/>
        </w:pPr>
        <w:r>
          <w:fldChar w:fldCharType="begin"/>
        </w:r>
        <w:r>
          <w:instrText xml:space="preserve"> PAGE   \* MERGEFORMAT </w:instrText>
        </w:r>
        <w:r>
          <w:fldChar w:fldCharType="separate"/>
        </w:r>
        <w:r w:rsidR="00B01DEB">
          <w:rPr>
            <w:noProof/>
          </w:rPr>
          <w:t>5</w:t>
        </w:r>
        <w:r>
          <w:rPr>
            <w:noProof/>
          </w:rPr>
          <w:fldChar w:fldCharType="end"/>
        </w:r>
      </w:p>
    </w:sdtContent>
  </w:sdt>
  <w:p w14:paraId="7A4B47A1" w14:textId="77777777" w:rsidR="00D93C2C" w:rsidRDefault="00D93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B233C" w14:textId="77777777" w:rsidR="00500EA7" w:rsidRDefault="00500EA7" w:rsidP="001006BE">
      <w:r>
        <w:separator/>
      </w:r>
    </w:p>
  </w:footnote>
  <w:footnote w:type="continuationSeparator" w:id="0">
    <w:p w14:paraId="1FFE95C7" w14:textId="77777777" w:rsidR="00500EA7" w:rsidRDefault="00500EA7" w:rsidP="001006BE">
      <w:r>
        <w:continuationSeparator/>
      </w:r>
    </w:p>
  </w:footnote>
  <w:footnote w:type="continuationNotice" w:id="1">
    <w:p w14:paraId="0A803FBD" w14:textId="77777777" w:rsidR="00500EA7" w:rsidRDefault="00500E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D81"/>
    <w:multiLevelType w:val="hybridMultilevel"/>
    <w:tmpl w:val="27786A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D50D0"/>
    <w:multiLevelType w:val="hybridMultilevel"/>
    <w:tmpl w:val="56743B9C"/>
    <w:lvl w:ilvl="0" w:tplc="63F4DF90">
      <w:start w:val="1"/>
      <w:numFmt w:val="lowerLetter"/>
      <w:lvlText w:val="(%1)"/>
      <w:lvlJc w:val="left"/>
      <w:pPr>
        <w:ind w:left="1650" w:hanging="405"/>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2" w15:restartNumberingAfterBreak="0">
    <w:nsid w:val="05E26E3B"/>
    <w:multiLevelType w:val="hybridMultilevel"/>
    <w:tmpl w:val="5786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158E4"/>
    <w:multiLevelType w:val="hybridMultilevel"/>
    <w:tmpl w:val="1A10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6DE8"/>
    <w:multiLevelType w:val="hybridMultilevel"/>
    <w:tmpl w:val="712E81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B4665"/>
    <w:multiLevelType w:val="hybridMultilevel"/>
    <w:tmpl w:val="90F6D5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4649D"/>
    <w:multiLevelType w:val="hybridMultilevel"/>
    <w:tmpl w:val="34423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F2AD9"/>
    <w:multiLevelType w:val="hybridMultilevel"/>
    <w:tmpl w:val="FD52BB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A56A6"/>
    <w:multiLevelType w:val="hybridMultilevel"/>
    <w:tmpl w:val="F1E0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969C2"/>
    <w:multiLevelType w:val="hybridMultilevel"/>
    <w:tmpl w:val="0DD05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2303B9"/>
    <w:multiLevelType w:val="hybridMultilevel"/>
    <w:tmpl w:val="59C44F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F26E68"/>
    <w:multiLevelType w:val="hybridMultilevel"/>
    <w:tmpl w:val="DA9AF0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75200"/>
    <w:multiLevelType w:val="hybridMultilevel"/>
    <w:tmpl w:val="37D8CE6A"/>
    <w:lvl w:ilvl="0" w:tplc="0C090003">
      <w:start w:val="1"/>
      <w:numFmt w:val="bullet"/>
      <w:lvlText w:val="o"/>
      <w:lvlJc w:val="left"/>
      <w:pPr>
        <w:ind w:left="1944" w:hanging="360"/>
      </w:pPr>
      <w:rPr>
        <w:rFonts w:ascii="Courier New" w:hAnsi="Courier New" w:cs="Courier New"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3" w15:restartNumberingAfterBreak="0">
    <w:nsid w:val="2B0D5B03"/>
    <w:multiLevelType w:val="hybridMultilevel"/>
    <w:tmpl w:val="765AF2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14609C0"/>
    <w:multiLevelType w:val="hybridMultilevel"/>
    <w:tmpl w:val="E46A34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A2219"/>
    <w:multiLevelType w:val="hybridMultilevel"/>
    <w:tmpl w:val="E10660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7E0CF9"/>
    <w:multiLevelType w:val="hybridMultilevel"/>
    <w:tmpl w:val="C2CCC1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B532E"/>
    <w:multiLevelType w:val="hybridMultilevel"/>
    <w:tmpl w:val="7B82AC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044D7"/>
    <w:multiLevelType w:val="hybridMultilevel"/>
    <w:tmpl w:val="81A4CF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D6782"/>
    <w:multiLevelType w:val="hybridMultilevel"/>
    <w:tmpl w:val="6EF051AE"/>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E4C263E"/>
    <w:multiLevelType w:val="hybridMultilevel"/>
    <w:tmpl w:val="1E0E48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6F4110"/>
    <w:multiLevelType w:val="hybridMultilevel"/>
    <w:tmpl w:val="87A40F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1A5239"/>
    <w:multiLevelType w:val="hybridMultilevel"/>
    <w:tmpl w:val="7FB83A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112DE6"/>
    <w:multiLevelType w:val="hybridMultilevel"/>
    <w:tmpl w:val="392EE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CA78E6"/>
    <w:multiLevelType w:val="hybridMultilevel"/>
    <w:tmpl w:val="B76A13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63D98"/>
    <w:multiLevelType w:val="hybridMultilevel"/>
    <w:tmpl w:val="085C2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7452E8"/>
    <w:multiLevelType w:val="hybridMultilevel"/>
    <w:tmpl w:val="A8B24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183D00"/>
    <w:multiLevelType w:val="hybridMultilevel"/>
    <w:tmpl w:val="B90A2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E06696"/>
    <w:multiLevelType w:val="hybridMultilevel"/>
    <w:tmpl w:val="B5F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FB77FE"/>
    <w:multiLevelType w:val="hybridMultilevel"/>
    <w:tmpl w:val="56CEAB46"/>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E88190A"/>
    <w:multiLevelType w:val="hybridMultilevel"/>
    <w:tmpl w:val="ABB4CC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2A5F86"/>
    <w:multiLevelType w:val="hybridMultilevel"/>
    <w:tmpl w:val="DE4ED7CE"/>
    <w:lvl w:ilvl="0" w:tplc="B82030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824049"/>
    <w:multiLevelType w:val="hybridMultilevel"/>
    <w:tmpl w:val="E256A97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7A11D6"/>
    <w:multiLevelType w:val="hybridMultilevel"/>
    <w:tmpl w:val="090C6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DC1C50"/>
    <w:multiLevelType w:val="hybridMultilevel"/>
    <w:tmpl w:val="DA78AEDA"/>
    <w:lvl w:ilvl="0" w:tplc="57D63FC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E744AE"/>
    <w:multiLevelType w:val="hybridMultilevel"/>
    <w:tmpl w:val="F230B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31"/>
  </w:num>
  <w:num w:numId="4">
    <w:abstractNumId w:val="19"/>
  </w:num>
  <w:num w:numId="5">
    <w:abstractNumId w:val="25"/>
  </w:num>
  <w:num w:numId="6">
    <w:abstractNumId w:val="29"/>
  </w:num>
  <w:num w:numId="7">
    <w:abstractNumId w:val="15"/>
  </w:num>
  <w:num w:numId="8">
    <w:abstractNumId w:val="13"/>
  </w:num>
  <w:num w:numId="9">
    <w:abstractNumId w:val="12"/>
  </w:num>
  <w:num w:numId="10">
    <w:abstractNumId w:val="1"/>
  </w:num>
  <w:num w:numId="11">
    <w:abstractNumId w:val="21"/>
  </w:num>
  <w:num w:numId="12">
    <w:abstractNumId w:val="17"/>
  </w:num>
  <w:num w:numId="13">
    <w:abstractNumId w:val="5"/>
  </w:num>
  <w:num w:numId="14">
    <w:abstractNumId w:val="14"/>
  </w:num>
  <w:num w:numId="15">
    <w:abstractNumId w:val="16"/>
  </w:num>
  <w:num w:numId="16">
    <w:abstractNumId w:val="11"/>
  </w:num>
  <w:num w:numId="17">
    <w:abstractNumId w:val="30"/>
  </w:num>
  <w:num w:numId="18">
    <w:abstractNumId w:val="0"/>
  </w:num>
  <w:num w:numId="19">
    <w:abstractNumId w:val="32"/>
  </w:num>
  <w:num w:numId="20">
    <w:abstractNumId w:val="23"/>
  </w:num>
  <w:num w:numId="21">
    <w:abstractNumId w:val="7"/>
  </w:num>
  <w:num w:numId="22">
    <w:abstractNumId w:val="18"/>
  </w:num>
  <w:num w:numId="23">
    <w:abstractNumId w:val="4"/>
  </w:num>
  <w:num w:numId="24">
    <w:abstractNumId w:val="26"/>
  </w:num>
  <w:num w:numId="25">
    <w:abstractNumId w:val="6"/>
  </w:num>
  <w:num w:numId="26">
    <w:abstractNumId w:val="2"/>
  </w:num>
  <w:num w:numId="27">
    <w:abstractNumId w:val="28"/>
  </w:num>
  <w:num w:numId="28">
    <w:abstractNumId w:val="35"/>
  </w:num>
  <w:num w:numId="29">
    <w:abstractNumId w:val="8"/>
  </w:num>
  <w:num w:numId="30">
    <w:abstractNumId w:val="22"/>
  </w:num>
  <w:num w:numId="31">
    <w:abstractNumId w:val="3"/>
  </w:num>
  <w:num w:numId="32">
    <w:abstractNumId w:val="10"/>
  </w:num>
  <w:num w:numId="33">
    <w:abstractNumId w:val="27"/>
  </w:num>
  <w:num w:numId="34">
    <w:abstractNumId w:val="9"/>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CD"/>
    <w:rsid w:val="000007FE"/>
    <w:rsid w:val="0000237C"/>
    <w:rsid w:val="0001663B"/>
    <w:rsid w:val="00022EEA"/>
    <w:rsid w:val="00022FCC"/>
    <w:rsid w:val="00032367"/>
    <w:rsid w:val="0003517D"/>
    <w:rsid w:val="00036126"/>
    <w:rsid w:val="00040104"/>
    <w:rsid w:val="00040CDA"/>
    <w:rsid w:val="0004243F"/>
    <w:rsid w:val="00042E01"/>
    <w:rsid w:val="0004419D"/>
    <w:rsid w:val="0005015A"/>
    <w:rsid w:val="00052778"/>
    <w:rsid w:val="00053EB1"/>
    <w:rsid w:val="000557D9"/>
    <w:rsid w:val="000610B7"/>
    <w:rsid w:val="00062FA3"/>
    <w:rsid w:val="00065B41"/>
    <w:rsid w:val="00066688"/>
    <w:rsid w:val="00076B28"/>
    <w:rsid w:val="00076FFE"/>
    <w:rsid w:val="000773BF"/>
    <w:rsid w:val="0008498C"/>
    <w:rsid w:val="00084EF2"/>
    <w:rsid w:val="00085324"/>
    <w:rsid w:val="0009028B"/>
    <w:rsid w:val="00095406"/>
    <w:rsid w:val="000970A2"/>
    <w:rsid w:val="000A1769"/>
    <w:rsid w:val="000A29D9"/>
    <w:rsid w:val="000A320E"/>
    <w:rsid w:val="000A4DA8"/>
    <w:rsid w:val="000A5B16"/>
    <w:rsid w:val="000A6B1A"/>
    <w:rsid w:val="000A74C9"/>
    <w:rsid w:val="000A7C90"/>
    <w:rsid w:val="000B03FE"/>
    <w:rsid w:val="000B7F47"/>
    <w:rsid w:val="000C146E"/>
    <w:rsid w:val="000C279D"/>
    <w:rsid w:val="000C6BD9"/>
    <w:rsid w:val="000C6E5B"/>
    <w:rsid w:val="000D2612"/>
    <w:rsid w:val="000D2642"/>
    <w:rsid w:val="000D4937"/>
    <w:rsid w:val="000D7648"/>
    <w:rsid w:val="000D7D97"/>
    <w:rsid w:val="000E0C9F"/>
    <w:rsid w:val="000E3182"/>
    <w:rsid w:val="000E6046"/>
    <w:rsid w:val="000E72E2"/>
    <w:rsid w:val="000E7333"/>
    <w:rsid w:val="000F0352"/>
    <w:rsid w:val="000F03E7"/>
    <w:rsid w:val="000F1AD1"/>
    <w:rsid w:val="000F1BCB"/>
    <w:rsid w:val="000F60F3"/>
    <w:rsid w:val="000F71C1"/>
    <w:rsid w:val="000F7C26"/>
    <w:rsid w:val="001006BE"/>
    <w:rsid w:val="00104911"/>
    <w:rsid w:val="001118CF"/>
    <w:rsid w:val="001136EC"/>
    <w:rsid w:val="00115278"/>
    <w:rsid w:val="00115631"/>
    <w:rsid w:val="00115971"/>
    <w:rsid w:val="00121943"/>
    <w:rsid w:val="001265A0"/>
    <w:rsid w:val="001272A4"/>
    <w:rsid w:val="001277DA"/>
    <w:rsid w:val="00132C74"/>
    <w:rsid w:val="0013361E"/>
    <w:rsid w:val="0013418E"/>
    <w:rsid w:val="00135253"/>
    <w:rsid w:val="001372B6"/>
    <w:rsid w:val="0014358C"/>
    <w:rsid w:val="00144274"/>
    <w:rsid w:val="001453A0"/>
    <w:rsid w:val="001539CB"/>
    <w:rsid w:val="001574C0"/>
    <w:rsid w:val="00165847"/>
    <w:rsid w:val="001678A9"/>
    <w:rsid w:val="00170458"/>
    <w:rsid w:val="00172824"/>
    <w:rsid w:val="00173A05"/>
    <w:rsid w:val="001815F0"/>
    <w:rsid w:val="001845C3"/>
    <w:rsid w:val="00186F50"/>
    <w:rsid w:val="00192272"/>
    <w:rsid w:val="00197C12"/>
    <w:rsid w:val="001A4570"/>
    <w:rsid w:val="001A47CC"/>
    <w:rsid w:val="001A764E"/>
    <w:rsid w:val="001B1ECA"/>
    <w:rsid w:val="001B22B0"/>
    <w:rsid w:val="001B2B6A"/>
    <w:rsid w:val="001B7EA7"/>
    <w:rsid w:val="001C3C40"/>
    <w:rsid w:val="001C6D8B"/>
    <w:rsid w:val="001C6F59"/>
    <w:rsid w:val="001D28A0"/>
    <w:rsid w:val="001E7BB2"/>
    <w:rsid w:val="001E7C57"/>
    <w:rsid w:val="001F1D6C"/>
    <w:rsid w:val="001F21A9"/>
    <w:rsid w:val="001F3A45"/>
    <w:rsid w:val="001F3D5A"/>
    <w:rsid w:val="001F615D"/>
    <w:rsid w:val="002000C0"/>
    <w:rsid w:val="002006DC"/>
    <w:rsid w:val="002044F3"/>
    <w:rsid w:val="00205162"/>
    <w:rsid w:val="00206BC4"/>
    <w:rsid w:val="0020700D"/>
    <w:rsid w:val="0020713B"/>
    <w:rsid w:val="0021152D"/>
    <w:rsid w:val="00214B86"/>
    <w:rsid w:val="00215F6B"/>
    <w:rsid w:val="00221809"/>
    <w:rsid w:val="00221CD6"/>
    <w:rsid w:val="00222018"/>
    <w:rsid w:val="00227FF8"/>
    <w:rsid w:val="00230EFF"/>
    <w:rsid w:val="00233F07"/>
    <w:rsid w:val="00236ECD"/>
    <w:rsid w:val="0024661A"/>
    <w:rsid w:val="00257E2D"/>
    <w:rsid w:val="0026141E"/>
    <w:rsid w:val="0026554C"/>
    <w:rsid w:val="0027410A"/>
    <w:rsid w:val="00274490"/>
    <w:rsid w:val="0027498C"/>
    <w:rsid w:val="00275648"/>
    <w:rsid w:val="00275E75"/>
    <w:rsid w:val="00275EE7"/>
    <w:rsid w:val="00277549"/>
    <w:rsid w:val="00281571"/>
    <w:rsid w:val="00282595"/>
    <w:rsid w:val="0028705B"/>
    <w:rsid w:val="002937DA"/>
    <w:rsid w:val="002951C6"/>
    <w:rsid w:val="00297A9F"/>
    <w:rsid w:val="002A1AF9"/>
    <w:rsid w:val="002A2C77"/>
    <w:rsid w:val="002A377C"/>
    <w:rsid w:val="002A395B"/>
    <w:rsid w:val="002A5B75"/>
    <w:rsid w:val="002A7A62"/>
    <w:rsid w:val="002B02C7"/>
    <w:rsid w:val="002B0ABF"/>
    <w:rsid w:val="002B1D06"/>
    <w:rsid w:val="002B2612"/>
    <w:rsid w:val="002B272A"/>
    <w:rsid w:val="002B3F3D"/>
    <w:rsid w:val="002D4D3B"/>
    <w:rsid w:val="002D6ED0"/>
    <w:rsid w:val="002E0796"/>
    <w:rsid w:val="002E7448"/>
    <w:rsid w:val="002F4C7A"/>
    <w:rsid w:val="002F657C"/>
    <w:rsid w:val="00300D94"/>
    <w:rsid w:val="00303A10"/>
    <w:rsid w:val="003059C3"/>
    <w:rsid w:val="00306659"/>
    <w:rsid w:val="003114C2"/>
    <w:rsid w:val="003130C6"/>
    <w:rsid w:val="00316862"/>
    <w:rsid w:val="0032422B"/>
    <w:rsid w:val="00326459"/>
    <w:rsid w:val="00327F5D"/>
    <w:rsid w:val="00332F8E"/>
    <w:rsid w:val="00334DE8"/>
    <w:rsid w:val="003373AA"/>
    <w:rsid w:val="0034490E"/>
    <w:rsid w:val="00346877"/>
    <w:rsid w:val="00347D24"/>
    <w:rsid w:val="00351B2F"/>
    <w:rsid w:val="0035565A"/>
    <w:rsid w:val="003564A7"/>
    <w:rsid w:val="0035669E"/>
    <w:rsid w:val="003613C9"/>
    <w:rsid w:val="0036162B"/>
    <w:rsid w:val="00363DBF"/>
    <w:rsid w:val="00370F90"/>
    <w:rsid w:val="003755B4"/>
    <w:rsid w:val="00380FFF"/>
    <w:rsid w:val="0038426B"/>
    <w:rsid w:val="00386B7F"/>
    <w:rsid w:val="0038784D"/>
    <w:rsid w:val="0039197E"/>
    <w:rsid w:val="00392000"/>
    <w:rsid w:val="00392939"/>
    <w:rsid w:val="00392B43"/>
    <w:rsid w:val="00397004"/>
    <w:rsid w:val="003971C7"/>
    <w:rsid w:val="003A04F9"/>
    <w:rsid w:val="003A67B6"/>
    <w:rsid w:val="003A712D"/>
    <w:rsid w:val="003B1034"/>
    <w:rsid w:val="003B38F9"/>
    <w:rsid w:val="003B52ED"/>
    <w:rsid w:val="003B7376"/>
    <w:rsid w:val="003C6253"/>
    <w:rsid w:val="003D5889"/>
    <w:rsid w:val="003D6D67"/>
    <w:rsid w:val="003D7AA5"/>
    <w:rsid w:val="003E05E8"/>
    <w:rsid w:val="003F16FF"/>
    <w:rsid w:val="003F1EAD"/>
    <w:rsid w:val="003F4A02"/>
    <w:rsid w:val="003F7A07"/>
    <w:rsid w:val="00400157"/>
    <w:rsid w:val="0040018E"/>
    <w:rsid w:val="004033CA"/>
    <w:rsid w:val="0040528A"/>
    <w:rsid w:val="00405F68"/>
    <w:rsid w:val="0040635F"/>
    <w:rsid w:val="00415FDF"/>
    <w:rsid w:val="00416A08"/>
    <w:rsid w:val="00420441"/>
    <w:rsid w:val="00421A72"/>
    <w:rsid w:val="00421C8F"/>
    <w:rsid w:val="00433C4E"/>
    <w:rsid w:val="00434309"/>
    <w:rsid w:val="004404D2"/>
    <w:rsid w:val="00440879"/>
    <w:rsid w:val="00440F0A"/>
    <w:rsid w:val="004411B5"/>
    <w:rsid w:val="00441B6C"/>
    <w:rsid w:val="00444191"/>
    <w:rsid w:val="004456AC"/>
    <w:rsid w:val="00450A99"/>
    <w:rsid w:val="00453686"/>
    <w:rsid w:val="00453A43"/>
    <w:rsid w:val="00453AA1"/>
    <w:rsid w:val="00460644"/>
    <w:rsid w:val="004610E5"/>
    <w:rsid w:val="00467958"/>
    <w:rsid w:val="004706FC"/>
    <w:rsid w:val="00472F97"/>
    <w:rsid w:val="00476E83"/>
    <w:rsid w:val="00476FB4"/>
    <w:rsid w:val="00485057"/>
    <w:rsid w:val="004865E1"/>
    <w:rsid w:val="004921FD"/>
    <w:rsid w:val="00493821"/>
    <w:rsid w:val="004956E5"/>
    <w:rsid w:val="004975FF"/>
    <w:rsid w:val="00497959"/>
    <w:rsid w:val="004A3F5B"/>
    <w:rsid w:val="004A5C83"/>
    <w:rsid w:val="004A7076"/>
    <w:rsid w:val="004A77F6"/>
    <w:rsid w:val="004B0315"/>
    <w:rsid w:val="004B1EB6"/>
    <w:rsid w:val="004B27F7"/>
    <w:rsid w:val="004B3CEA"/>
    <w:rsid w:val="004B3DD9"/>
    <w:rsid w:val="004B55E1"/>
    <w:rsid w:val="004C08B0"/>
    <w:rsid w:val="004C1DF2"/>
    <w:rsid w:val="004C2D60"/>
    <w:rsid w:val="004C32E6"/>
    <w:rsid w:val="004C3D0A"/>
    <w:rsid w:val="004C449D"/>
    <w:rsid w:val="004D2B4A"/>
    <w:rsid w:val="004D4D48"/>
    <w:rsid w:val="004E1BE5"/>
    <w:rsid w:val="004E513C"/>
    <w:rsid w:val="004F027E"/>
    <w:rsid w:val="004F1AD7"/>
    <w:rsid w:val="004F4FD1"/>
    <w:rsid w:val="004F58AD"/>
    <w:rsid w:val="004F6207"/>
    <w:rsid w:val="004F6DEB"/>
    <w:rsid w:val="00500EA7"/>
    <w:rsid w:val="0050411B"/>
    <w:rsid w:val="00510185"/>
    <w:rsid w:val="00512B90"/>
    <w:rsid w:val="00517D9A"/>
    <w:rsid w:val="00520144"/>
    <w:rsid w:val="0052233B"/>
    <w:rsid w:val="00525ADC"/>
    <w:rsid w:val="0052793E"/>
    <w:rsid w:val="00531161"/>
    <w:rsid w:val="00532703"/>
    <w:rsid w:val="005335FD"/>
    <w:rsid w:val="00535611"/>
    <w:rsid w:val="00535C88"/>
    <w:rsid w:val="00536C5B"/>
    <w:rsid w:val="00540BEE"/>
    <w:rsid w:val="00541E82"/>
    <w:rsid w:val="00551217"/>
    <w:rsid w:val="00553CD3"/>
    <w:rsid w:val="00555568"/>
    <w:rsid w:val="00564385"/>
    <w:rsid w:val="00565606"/>
    <w:rsid w:val="00570B0B"/>
    <w:rsid w:val="00571027"/>
    <w:rsid w:val="0057124A"/>
    <w:rsid w:val="00573AC3"/>
    <w:rsid w:val="0057555C"/>
    <w:rsid w:val="00575D8A"/>
    <w:rsid w:val="00580552"/>
    <w:rsid w:val="0058059E"/>
    <w:rsid w:val="005816FA"/>
    <w:rsid w:val="00582803"/>
    <w:rsid w:val="00587DE3"/>
    <w:rsid w:val="00593F2D"/>
    <w:rsid w:val="00595716"/>
    <w:rsid w:val="005A059E"/>
    <w:rsid w:val="005A157D"/>
    <w:rsid w:val="005A174B"/>
    <w:rsid w:val="005A1BA4"/>
    <w:rsid w:val="005A341F"/>
    <w:rsid w:val="005A3FC1"/>
    <w:rsid w:val="005A4134"/>
    <w:rsid w:val="005A4A6F"/>
    <w:rsid w:val="005A62D7"/>
    <w:rsid w:val="005A7A86"/>
    <w:rsid w:val="005B5F2B"/>
    <w:rsid w:val="005C12C1"/>
    <w:rsid w:val="005D0BF3"/>
    <w:rsid w:val="005D25CB"/>
    <w:rsid w:val="005E041E"/>
    <w:rsid w:val="005E118A"/>
    <w:rsid w:val="005E36F4"/>
    <w:rsid w:val="005E483F"/>
    <w:rsid w:val="005E7EC4"/>
    <w:rsid w:val="005F002B"/>
    <w:rsid w:val="005F198B"/>
    <w:rsid w:val="005F671E"/>
    <w:rsid w:val="00602146"/>
    <w:rsid w:val="00606A18"/>
    <w:rsid w:val="00607D06"/>
    <w:rsid w:val="00613610"/>
    <w:rsid w:val="00614162"/>
    <w:rsid w:val="006142D3"/>
    <w:rsid w:val="00615AE8"/>
    <w:rsid w:val="00616B40"/>
    <w:rsid w:val="00621D47"/>
    <w:rsid w:val="0062347F"/>
    <w:rsid w:val="006244C5"/>
    <w:rsid w:val="00624552"/>
    <w:rsid w:val="0062566E"/>
    <w:rsid w:val="00626280"/>
    <w:rsid w:val="00626792"/>
    <w:rsid w:val="006376EB"/>
    <w:rsid w:val="006379DB"/>
    <w:rsid w:val="00641DDF"/>
    <w:rsid w:val="006429FE"/>
    <w:rsid w:val="00650FBF"/>
    <w:rsid w:val="006510A7"/>
    <w:rsid w:val="00652F65"/>
    <w:rsid w:val="00656DBD"/>
    <w:rsid w:val="00662F8A"/>
    <w:rsid w:val="00663AF8"/>
    <w:rsid w:val="006650A4"/>
    <w:rsid w:val="006650F7"/>
    <w:rsid w:val="006654D9"/>
    <w:rsid w:val="00666951"/>
    <w:rsid w:val="00671486"/>
    <w:rsid w:val="006735F6"/>
    <w:rsid w:val="006762BC"/>
    <w:rsid w:val="00676586"/>
    <w:rsid w:val="006777D8"/>
    <w:rsid w:val="00681E41"/>
    <w:rsid w:val="006829CF"/>
    <w:rsid w:val="00686966"/>
    <w:rsid w:val="006872E1"/>
    <w:rsid w:val="006879B5"/>
    <w:rsid w:val="006908E8"/>
    <w:rsid w:val="006941E2"/>
    <w:rsid w:val="0069728E"/>
    <w:rsid w:val="00697376"/>
    <w:rsid w:val="006A4AF5"/>
    <w:rsid w:val="006A52DB"/>
    <w:rsid w:val="006A634B"/>
    <w:rsid w:val="006B0681"/>
    <w:rsid w:val="006B3729"/>
    <w:rsid w:val="006B3FCD"/>
    <w:rsid w:val="006B459D"/>
    <w:rsid w:val="006B58DC"/>
    <w:rsid w:val="006B63C3"/>
    <w:rsid w:val="006B7DB2"/>
    <w:rsid w:val="006C2BA8"/>
    <w:rsid w:val="006C2E6E"/>
    <w:rsid w:val="006C3084"/>
    <w:rsid w:val="006C41E1"/>
    <w:rsid w:val="006C4837"/>
    <w:rsid w:val="006C5B23"/>
    <w:rsid w:val="006C6530"/>
    <w:rsid w:val="006D44B5"/>
    <w:rsid w:val="006E171E"/>
    <w:rsid w:val="006E2BFE"/>
    <w:rsid w:val="006E2F46"/>
    <w:rsid w:val="006E4DB4"/>
    <w:rsid w:val="006F47B1"/>
    <w:rsid w:val="006F59BF"/>
    <w:rsid w:val="006F700C"/>
    <w:rsid w:val="006F77CB"/>
    <w:rsid w:val="00704415"/>
    <w:rsid w:val="00704694"/>
    <w:rsid w:val="00712585"/>
    <w:rsid w:val="00716B5C"/>
    <w:rsid w:val="007179B0"/>
    <w:rsid w:val="0072219E"/>
    <w:rsid w:val="00724891"/>
    <w:rsid w:val="00727BD7"/>
    <w:rsid w:val="00735FAB"/>
    <w:rsid w:val="00736D01"/>
    <w:rsid w:val="007428A2"/>
    <w:rsid w:val="00751C8F"/>
    <w:rsid w:val="00751EE2"/>
    <w:rsid w:val="00754EC5"/>
    <w:rsid w:val="007607BA"/>
    <w:rsid w:val="00767F82"/>
    <w:rsid w:val="00772133"/>
    <w:rsid w:val="00773789"/>
    <w:rsid w:val="00775DC4"/>
    <w:rsid w:val="007768FF"/>
    <w:rsid w:val="00780534"/>
    <w:rsid w:val="007809FC"/>
    <w:rsid w:val="007854CF"/>
    <w:rsid w:val="00785C8F"/>
    <w:rsid w:val="00786564"/>
    <w:rsid w:val="00786859"/>
    <w:rsid w:val="00786FD9"/>
    <w:rsid w:val="007950C3"/>
    <w:rsid w:val="007A1DF9"/>
    <w:rsid w:val="007A7791"/>
    <w:rsid w:val="007B20C2"/>
    <w:rsid w:val="007C1AC0"/>
    <w:rsid w:val="007C1B41"/>
    <w:rsid w:val="007C2617"/>
    <w:rsid w:val="007C5955"/>
    <w:rsid w:val="007C74A5"/>
    <w:rsid w:val="007D60CA"/>
    <w:rsid w:val="007D72E9"/>
    <w:rsid w:val="007E6D8D"/>
    <w:rsid w:val="007F2ADF"/>
    <w:rsid w:val="007F645B"/>
    <w:rsid w:val="0080764F"/>
    <w:rsid w:val="00810DA0"/>
    <w:rsid w:val="00811881"/>
    <w:rsid w:val="00813217"/>
    <w:rsid w:val="0081368C"/>
    <w:rsid w:val="00816480"/>
    <w:rsid w:val="0081700A"/>
    <w:rsid w:val="00821F6F"/>
    <w:rsid w:val="00821FD5"/>
    <w:rsid w:val="00822020"/>
    <w:rsid w:val="00825DC9"/>
    <w:rsid w:val="008310FA"/>
    <w:rsid w:val="008315C0"/>
    <w:rsid w:val="00831CC8"/>
    <w:rsid w:val="00832993"/>
    <w:rsid w:val="0083734A"/>
    <w:rsid w:val="00846553"/>
    <w:rsid w:val="0084758D"/>
    <w:rsid w:val="008500B0"/>
    <w:rsid w:val="008528E6"/>
    <w:rsid w:val="008536BF"/>
    <w:rsid w:val="00854248"/>
    <w:rsid w:val="00854947"/>
    <w:rsid w:val="00854B2C"/>
    <w:rsid w:val="00855A15"/>
    <w:rsid w:val="00855C5E"/>
    <w:rsid w:val="008603FE"/>
    <w:rsid w:val="008624CD"/>
    <w:rsid w:val="0086713D"/>
    <w:rsid w:val="0087037D"/>
    <w:rsid w:val="00872B49"/>
    <w:rsid w:val="00872ECB"/>
    <w:rsid w:val="00880DB9"/>
    <w:rsid w:val="0088148D"/>
    <w:rsid w:val="008834E7"/>
    <w:rsid w:val="00884FF9"/>
    <w:rsid w:val="008903A0"/>
    <w:rsid w:val="00891901"/>
    <w:rsid w:val="008968A8"/>
    <w:rsid w:val="00897046"/>
    <w:rsid w:val="0089746D"/>
    <w:rsid w:val="008976B7"/>
    <w:rsid w:val="008B01AB"/>
    <w:rsid w:val="008B0438"/>
    <w:rsid w:val="008B2114"/>
    <w:rsid w:val="008B2A7D"/>
    <w:rsid w:val="008B3A5F"/>
    <w:rsid w:val="008B49EB"/>
    <w:rsid w:val="008B557C"/>
    <w:rsid w:val="008C4DE9"/>
    <w:rsid w:val="008D0E20"/>
    <w:rsid w:val="008D5CD3"/>
    <w:rsid w:val="008E11FE"/>
    <w:rsid w:val="008E5A7E"/>
    <w:rsid w:val="008F346C"/>
    <w:rsid w:val="0090139B"/>
    <w:rsid w:val="00901BFF"/>
    <w:rsid w:val="009031AF"/>
    <w:rsid w:val="009033EF"/>
    <w:rsid w:val="00905478"/>
    <w:rsid w:val="00914AEC"/>
    <w:rsid w:val="009156D9"/>
    <w:rsid w:val="00915768"/>
    <w:rsid w:val="0092018E"/>
    <w:rsid w:val="00921EC7"/>
    <w:rsid w:val="009229CD"/>
    <w:rsid w:val="0092594D"/>
    <w:rsid w:val="009310DE"/>
    <w:rsid w:val="00933DD3"/>
    <w:rsid w:val="00935F24"/>
    <w:rsid w:val="00935FAF"/>
    <w:rsid w:val="00941208"/>
    <w:rsid w:val="0095049F"/>
    <w:rsid w:val="009509EA"/>
    <w:rsid w:val="00950E5C"/>
    <w:rsid w:val="00955D6E"/>
    <w:rsid w:val="00957E76"/>
    <w:rsid w:val="00964F45"/>
    <w:rsid w:val="0096536A"/>
    <w:rsid w:val="0096555D"/>
    <w:rsid w:val="00966091"/>
    <w:rsid w:val="009672E7"/>
    <w:rsid w:val="00982F75"/>
    <w:rsid w:val="009851A0"/>
    <w:rsid w:val="0098633C"/>
    <w:rsid w:val="009A067B"/>
    <w:rsid w:val="009A3C16"/>
    <w:rsid w:val="009A44AE"/>
    <w:rsid w:val="009B2395"/>
    <w:rsid w:val="009B444D"/>
    <w:rsid w:val="009C13DC"/>
    <w:rsid w:val="009C4CCA"/>
    <w:rsid w:val="009C5237"/>
    <w:rsid w:val="009C6A6C"/>
    <w:rsid w:val="009C6E1A"/>
    <w:rsid w:val="009C7D3E"/>
    <w:rsid w:val="009C7E9B"/>
    <w:rsid w:val="009D6E3B"/>
    <w:rsid w:val="009D6F4D"/>
    <w:rsid w:val="009D70EE"/>
    <w:rsid w:val="009D7A31"/>
    <w:rsid w:val="009E27C0"/>
    <w:rsid w:val="009E2DE3"/>
    <w:rsid w:val="009F3D5C"/>
    <w:rsid w:val="009F50D3"/>
    <w:rsid w:val="00A01478"/>
    <w:rsid w:val="00A021A4"/>
    <w:rsid w:val="00A023AC"/>
    <w:rsid w:val="00A067D9"/>
    <w:rsid w:val="00A13D3C"/>
    <w:rsid w:val="00A164CC"/>
    <w:rsid w:val="00A21424"/>
    <w:rsid w:val="00A34CF7"/>
    <w:rsid w:val="00A37CF7"/>
    <w:rsid w:val="00A446C5"/>
    <w:rsid w:val="00A45E77"/>
    <w:rsid w:val="00A4675F"/>
    <w:rsid w:val="00A50D6C"/>
    <w:rsid w:val="00A517FE"/>
    <w:rsid w:val="00A56553"/>
    <w:rsid w:val="00A56AEF"/>
    <w:rsid w:val="00A62C18"/>
    <w:rsid w:val="00A663C2"/>
    <w:rsid w:val="00A668D4"/>
    <w:rsid w:val="00A7016E"/>
    <w:rsid w:val="00A7160B"/>
    <w:rsid w:val="00A7219D"/>
    <w:rsid w:val="00A72766"/>
    <w:rsid w:val="00A73EAE"/>
    <w:rsid w:val="00A76499"/>
    <w:rsid w:val="00A86A1E"/>
    <w:rsid w:val="00A86EDB"/>
    <w:rsid w:val="00A9081B"/>
    <w:rsid w:val="00A946A9"/>
    <w:rsid w:val="00A97F4D"/>
    <w:rsid w:val="00AA0338"/>
    <w:rsid w:val="00AA199E"/>
    <w:rsid w:val="00AA585E"/>
    <w:rsid w:val="00AB0DE7"/>
    <w:rsid w:val="00AB1A51"/>
    <w:rsid w:val="00AB31E8"/>
    <w:rsid w:val="00AB3C4A"/>
    <w:rsid w:val="00AB44A1"/>
    <w:rsid w:val="00AB57B7"/>
    <w:rsid w:val="00AC08CC"/>
    <w:rsid w:val="00AC0DA5"/>
    <w:rsid w:val="00AC4DC9"/>
    <w:rsid w:val="00AC713E"/>
    <w:rsid w:val="00AC7D54"/>
    <w:rsid w:val="00AD0C03"/>
    <w:rsid w:val="00AD1637"/>
    <w:rsid w:val="00AD47DE"/>
    <w:rsid w:val="00AD5479"/>
    <w:rsid w:val="00AE0DDF"/>
    <w:rsid w:val="00AE13CE"/>
    <w:rsid w:val="00AE540B"/>
    <w:rsid w:val="00AE54DF"/>
    <w:rsid w:val="00AF6A17"/>
    <w:rsid w:val="00B01DEB"/>
    <w:rsid w:val="00B04362"/>
    <w:rsid w:val="00B05B7C"/>
    <w:rsid w:val="00B13567"/>
    <w:rsid w:val="00B15415"/>
    <w:rsid w:val="00B16BEB"/>
    <w:rsid w:val="00B22A09"/>
    <w:rsid w:val="00B23DFE"/>
    <w:rsid w:val="00B250DB"/>
    <w:rsid w:val="00B269B5"/>
    <w:rsid w:val="00B3143B"/>
    <w:rsid w:val="00B31EC1"/>
    <w:rsid w:val="00B3320B"/>
    <w:rsid w:val="00B369F7"/>
    <w:rsid w:val="00B36D4E"/>
    <w:rsid w:val="00B37E81"/>
    <w:rsid w:val="00B400C7"/>
    <w:rsid w:val="00B403E6"/>
    <w:rsid w:val="00B40A94"/>
    <w:rsid w:val="00B470E9"/>
    <w:rsid w:val="00B4792E"/>
    <w:rsid w:val="00B5129D"/>
    <w:rsid w:val="00B53205"/>
    <w:rsid w:val="00B55444"/>
    <w:rsid w:val="00B558D3"/>
    <w:rsid w:val="00B5622D"/>
    <w:rsid w:val="00B571C5"/>
    <w:rsid w:val="00B614C9"/>
    <w:rsid w:val="00B61A19"/>
    <w:rsid w:val="00B627B0"/>
    <w:rsid w:val="00B62F20"/>
    <w:rsid w:val="00B676E0"/>
    <w:rsid w:val="00B81159"/>
    <w:rsid w:val="00B83207"/>
    <w:rsid w:val="00B84930"/>
    <w:rsid w:val="00B9012A"/>
    <w:rsid w:val="00B90A27"/>
    <w:rsid w:val="00B91D0F"/>
    <w:rsid w:val="00B92659"/>
    <w:rsid w:val="00B926C6"/>
    <w:rsid w:val="00B9442C"/>
    <w:rsid w:val="00B95D3A"/>
    <w:rsid w:val="00B96CD0"/>
    <w:rsid w:val="00BA1503"/>
    <w:rsid w:val="00BA1743"/>
    <w:rsid w:val="00BA19AE"/>
    <w:rsid w:val="00BA3131"/>
    <w:rsid w:val="00BB433D"/>
    <w:rsid w:val="00BB48F7"/>
    <w:rsid w:val="00BB51B4"/>
    <w:rsid w:val="00BB5A50"/>
    <w:rsid w:val="00BB5EED"/>
    <w:rsid w:val="00BB6E3A"/>
    <w:rsid w:val="00BC575B"/>
    <w:rsid w:val="00BD18B6"/>
    <w:rsid w:val="00BD1A5F"/>
    <w:rsid w:val="00BD2AB0"/>
    <w:rsid w:val="00BD3773"/>
    <w:rsid w:val="00BE0821"/>
    <w:rsid w:val="00BE0DE2"/>
    <w:rsid w:val="00BE0ED9"/>
    <w:rsid w:val="00BE1E99"/>
    <w:rsid w:val="00BE2896"/>
    <w:rsid w:val="00BE6014"/>
    <w:rsid w:val="00BF18E0"/>
    <w:rsid w:val="00BF461B"/>
    <w:rsid w:val="00C02BD6"/>
    <w:rsid w:val="00C03095"/>
    <w:rsid w:val="00C051A4"/>
    <w:rsid w:val="00C0525D"/>
    <w:rsid w:val="00C05773"/>
    <w:rsid w:val="00C123D5"/>
    <w:rsid w:val="00C12674"/>
    <w:rsid w:val="00C12C82"/>
    <w:rsid w:val="00C13353"/>
    <w:rsid w:val="00C1599E"/>
    <w:rsid w:val="00C16782"/>
    <w:rsid w:val="00C213B4"/>
    <w:rsid w:val="00C213C9"/>
    <w:rsid w:val="00C21CC6"/>
    <w:rsid w:val="00C26795"/>
    <w:rsid w:val="00C26E6D"/>
    <w:rsid w:val="00C31E7E"/>
    <w:rsid w:val="00C32D1E"/>
    <w:rsid w:val="00C353DD"/>
    <w:rsid w:val="00C37715"/>
    <w:rsid w:val="00C4588E"/>
    <w:rsid w:val="00C519A2"/>
    <w:rsid w:val="00C525AD"/>
    <w:rsid w:val="00C52BF4"/>
    <w:rsid w:val="00C56276"/>
    <w:rsid w:val="00C565EB"/>
    <w:rsid w:val="00C647F0"/>
    <w:rsid w:val="00C66243"/>
    <w:rsid w:val="00C77E93"/>
    <w:rsid w:val="00C826AF"/>
    <w:rsid w:val="00C85321"/>
    <w:rsid w:val="00C91EC5"/>
    <w:rsid w:val="00C9418B"/>
    <w:rsid w:val="00CA1D23"/>
    <w:rsid w:val="00CA3582"/>
    <w:rsid w:val="00CA4328"/>
    <w:rsid w:val="00CA6043"/>
    <w:rsid w:val="00CB099A"/>
    <w:rsid w:val="00CB3E84"/>
    <w:rsid w:val="00CB6021"/>
    <w:rsid w:val="00CC02D9"/>
    <w:rsid w:val="00CC0FB2"/>
    <w:rsid w:val="00CC5372"/>
    <w:rsid w:val="00CC6F4F"/>
    <w:rsid w:val="00CD55E6"/>
    <w:rsid w:val="00CD62D1"/>
    <w:rsid w:val="00CE1034"/>
    <w:rsid w:val="00CE1503"/>
    <w:rsid w:val="00CE68D3"/>
    <w:rsid w:val="00CE7340"/>
    <w:rsid w:val="00CF1F8F"/>
    <w:rsid w:val="00CF430E"/>
    <w:rsid w:val="00CF4A5B"/>
    <w:rsid w:val="00CF66CC"/>
    <w:rsid w:val="00D01139"/>
    <w:rsid w:val="00D01529"/>
    <w:rsid w:val="00D02BA9"/>
    <w:rsid w:val="00D034FD"/>
    <w:rsid w:val="00D040ED"/>
    <w:rsid w:val="00D0465D"/>
    <w:rsid w:val="00D04850"/>
    <w:rsid w:val="00D07FD4"/>
    <w:rsid w:val="00D11707"/>
    <w:rsid w:val="00D135D5"/>
    <w:rsid w:val="00D14E49"/>
    <w:rsid w:val="00D1738B"/>
    <w:rsid w:val="00D208C4"/>
    <w:rsid w:val="00D21396"/>
    <w:rsid w:val="00D228A1"/>
    <w:rsid w:val="00D23A98"/>
    <w:rsid w:val="00D31C8F"/>
    <w:rsid w:val="00D41F62"/>
    <w:rsid w:val="00D4559B"/>
    <w:rsid w:val="00D471DD"/>
    <w:rsid w:val="00D4720C"/>
    <w:rsid w:val="00D537E5"/>
    <w:rsid w:val="00D563AD"/>
    <w:rsid w:val="00D564A0"/>
    <w:rsid w:val="00D57E27"/>
    <w:rsid w:val="00D63A12"/>
    <w:rsid w:val="00D647F9"/>
    <w:rsid w:val="00D64E07"/>
    <w:rsid w:val="00D64ED7"/>
    <w:rsid w:val="00D65114"/>
    <w:rsid w:val="00D70B4D"/>
    <w:rsid w:val="00D7177F"/>
    <w:rsid w:val="00D71BDE"/>
    <w:rsid w:val="00D73941"/>
    <w:rsid w:val="00D75195"/>
    <w:rsid w:val="00D83245"/>
    <w:rsid w:val="00D869AE"/>
    <w:rsid w:val="00D9083C"/>
    <w:rsid w:val="00D93C2C"/>
    <w:rsid w:val="00D97D33"/>
    <w:rsid w:val="00DA2F68"/>
    <w:rsid w:val="00DB434E"/>
    <w:rsid w:val="00DB7068"/>
    <w:rsid w:val="00DB76FB"/>
    <w:rsid w:val="00DC0696"/>
    <w:rsid w:val="00DC1C7F"/>
    <w:rsid w:val="00DC3063"/>
    <w:rsid w:val="00DC4479"/>
    <w:rsid w:val="00DC5428"/>
    <w:rsid w:val="00DD0C14"/>
    <w:rsid w:val="00DD34D7"/>
    <w:rsid w:val="00DD45FD"/>
    <w:rsid w:val="00DD787C"/>
    <w:rsid w:val="00DE006E"/>
    <w:rsid w:val="00DE143E"/>
    <w:rsid w:val="00DE2A23"/>
    <w:rsid w:val="00DE4F94"/>
    <w:rsid w:val="00DE7504"/>
    <w:rsid w:val="00DF0108"/>
    <w:rsid w:val="00DF12CD"/>
    <w:rsid w:val="00E00D0B"/>
    <w:rsid w:val="00E0243F"/>
    <w:rsid w:val="00E04AE4"/>
    <w:rsid w:val="00E07ACA"/>
    <w:rsid w:val="00E135E0"/>
    <w:rsid w:val="00E14F27"/>
    <w:rsid w:val="00E15A13"/>
    <w:rsid w:val="00E17DC9"/>
    <w:rsid w:val="00E219B8"/>
    <w:rsid w:val="00E22F00"/>
    <w:rsid w:val="00E23F23"/>
    <w:rsid w:val="00E2568B"/>
    <w:rsid w:val="00E3527D"/>
    <w:rsid w:val="00E35965"/>
    <w:rsid w:val="00E50E8B"/>
    <w:rsid w:val="00E528C1"/>
    <w:rsid w:val="00E5554F"/>
    <w:rsid w:val="00E55764"/>
    <w:rsid w:val="00E559B7"/>
    <w:rsid w:val="00E62421"/>
    <w:rsid w:val="00E63816"/>
    <w:rsid w:val="00E63C48"/>
    <w:rsid w:val="00E70E63"/>
    <w:rsid w:val="00E70F3B"/>
    <w:rsid w:val="00E71490"/>
    <w:rsid w:val="00E75356"/>
    <w:rsid w:val="00E75BB5"/>
    <w:rsid w:val="00E829F8"/>
    <w:rsid w:val="00E82F87"/>
    <w:rsid w:val="00E83309"/>
    <w:rsid w:val="00E85574"/>
    <w:rsid w:val="00E85E04"/>
    <w:rsid w:val="00E90363"/>
    <w:rsid w:val="00E918EB"/>
    <w:rsid w:val="00E927CF"/>
    <w:rsid w:val="00E937CA"/>
    <w:rsid w:val="00E96EA2"/>
    <w:rsid w:val="00E9711F"/>
    <w:rsid w:val="00E97E00"/>
    <w:rsid w:val="00EA21E7"/>
    <w:rsid w:val="00EA2F0B"/>
    <w:rsid w:val="00EB081B"/>
    <w:rsid w:val="00EB2588"/>
    <w:rsid w:val="00EB573B"/>
    <w:rsid w:val="00EC1097"/>
    <w:rsid w:val="00EC211A"/>
    <w:rsid w:val="00EC3B48"/>
    <w:rsid w:val="00EC4216"/>
    <w:rsid w:val="00EC5DCE"/>
    <w:rsid w:val="00EC66A3"/>
    <w:rsid w:val="00ED000C"/>
    <w:rsid w:val="00ED10F8"/>
    <w:rsid w:val="00ED4308"/>
    <w:rsid w:val="00EE3DD3"/>
    <w:rsid w:val="00EE4746"/>
    <w:rsid w:val="00EE4E98"/>
    <w:rsid w:val="00EF4454"/>
    <w:rsid w:val="00EF7822"/>
    <w:rsid w:val="00EF7EE3"/>
    <w:rsid w:val="00F02A7A"/>
    <w:rsid w:val="00F03615"/>
    <w:rsid w:val="00F04A3A"/>
    <w:rsid w:val="00F10E62"/>
    <w:rsid w:val="00F11CCA"/>
    <w:rsid w:val="00F13BD2"/>
    <w:rsid w:val="00F20998"/>
    <w:rsid w:val="00F20A1D"/>
    <w:rsid w:val="00F2215C"/>
    <w:rsid w:val="00F27F40"/>
    <w:rsid w:val="00F302BD"/>
    <w:rsid w:val="00F32583"/>
    <w:rsid w:val="00F35B3D"/>
    <w:rsid w:val="00F3612F"/>
    <w:rsid w:val="00F40ED6"/>
    <w:rsid w:val="00F43F9A"/>
    <w:rsid w:val="00F513FA"/>
    <w:rsid w:val="00F53915"/>
    <w:rsid w:val="00F600A6"/>
    <w:rsid w:val="00F62069"/>
    <w:rsid w:val="00F62A89"/>
    <w:rsid w:val="00F64EA4"/>
    <w:rsid w:val="00F66E40"/>
    <w:rsid w:val="00F6722E"/>
    <w:rsid w:val="00F719B9"/>
    <w:rsid w:val="00F7265D"/>
    <w:rsid w:val="00F824C6"/>
    <w:rsid w:val="00F84D88"/>
    <w:rsid w:val="00F92260"/>
    <w:rsid w:val="00F948EE"/>
    <w:rsid w:val="00F95400"/>
    <w:rsid w:val="00F957E5"/>
    <w:rsid w:val="00FA41F6"/>
    <w:rsid w:val="00FA421A"/>
    <w:rsid w:val="00FA5763"/>
    <w:rsid w:val="00FB2927"/>
    <w:rsid w:val="00FB54AC"/>
    <w:rsid w:val="00FB6D44"/>
    <w:rsid w:val="00FB7565"/>
    <w:rsid w:val="00FC007D"/>
    <w:rsid w:val="00FC0EC1"/>
    <w:rsid w:val="00FC4398"/>
    <w:rsid w:val="00FC662E"/>
    <w:rsid w:val="00FC6F61"/>
    <w:rsid w:val="00FD0FE5"/>
    <w:rsid w:val="00FD6233"/>
    <w:rsid w:val="00FE04EA"/>
    <w:rsid w:val="00FE7E05"/>
    <w:rsid w:val="00FF4301"/>
    <w:rsid w:val="00FF498A"/>
    <w:rsid w:val="00FF5ED4"/>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C0B0"/>
  <w15:docId w15:val="{47EEC136-852F-42CB-A61E-1585C391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9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E"/>
    <w:pPr>
      <w:tabs>
        <w:tab w:val="center" w:pos="4513"/>
        <w:tab w:val="right" w:pos="9026"/>
      </w:tabs>
    </w:pPr>
  </w:style>
  <w:style w:type="character" w:customStyle="1" w:styleId="HeaderChar">
    <w:name w:val="Header Char"/>
    <w:basedOn w:val="DefaultParagraphFont"/>
    <w:link w:val="Header"/>
    <w:uiPriority w:val="99"/>
    <w:rsid w:val="001006B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06BE"/>
    <w:pPr>
      <w:tabs>
        <w:tab w:val="center" w:pos="4513"/>
        <w:tab w:val="right" w:pos="9026"/>
      </w:tabs>
    </w:pPr>
  </w:style>
  <w:style w:type="character" w:customStyle="1" w:styleId="FooterChar">
    <w:name w:val="Footer Char"/>
    <w:basedOn w:val="DefaultParagraphFont"/>
    <w:link w:val="Footer"/>
    <w:uiPriority w:val="99"/>
    <w:rsid w:val="001006BE"/>
    <w:rPr>
      <w:rFonts w:ascii="Times New Roman" w:eastAsia="Times New Roman" w:hAnsi="Times New Roman" w:cs="Times New Roman"/>
      <w:sz w:val="24"/>
      <w:szCs w:val="24"/>
      <w:lang w:eastAsia="en-AU"/>
    </w:rPr>
  </w:style>
  <w:style w:type="paragraph" w:styleId="ListParagraph">
    <w:name w:val="List Paragraph"/>
    <w:aliases w:val="List Paragraph1,List Paragraph11,Bullet point,Recommendation,L,bullet point list,List Paragraph2,Indented bullet,0Bullet"/>
    <w:basedOn w:val="Normal"/>
    <w:link w:val="ListParagraphChar"/>
    <w:uiPriority w:val="34"/>
    <w:qFormat/>
    <w:rsid w:val="001006B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Bullet point Char,Recommendation Char,L Char,bullet point list Char,List Paragraph2 Char,Indented bullet Char,0Bullet Char"/>
    <w:basedOn w:val="DefaultParagraphFont"/>
    <w:link w:val="ListParagraph"/>
    <w:uiPriority w:val="34"/>
    <w:locked/>
    <w:rsid w:val="001006BE"/>
  </w:style>
  <w:style w:type="character" w:styleId="Strong">
    <w:name w:val="Strong"/>
    <w:basedOn w:val="DefaultParagraphFont"/>
    <w:uiPriority w:val="22"/>
    <w:qFormat/>
    <w:rsid w:val="003D5889"/>
    <w:rPr>
      <w:b/>
      <w:bCs/>
    </w:rPr>
  </w:style>
  <w:style w:type="character" w:styleId="Hyperlink">
    <w:name w:val="Hyperlink"/>
    <w:basedOn w:val="DefaultParagraphFont"/>
    <w:uiPriority w:val="99"/>
    <w:unhideWhenUsed/>
    <w:rsid w:val="003D5889"/>
    <w:rPr>
      <w:color w:val="0000FF" w:themeColor="hyperlink"/>
      <w:u w:val="single"/>
    </w:rPr>
  </w:style>
  <w:style w:type="paragraph" w:customStyle="1" w:styleId="ShortT">
    <w:name w:val="ShortT"/>
    <w:basedOn w:val="Normal"/>
    <w:next w:val="Normal"/>
    <w:qFormat/>
    <w:rsid w:val="00A72766"/>
    <w:rPr>
      <w:b/>
      <w:sz w:val="40"/>
      <w:szCs w:val="20"/>
    </w:rPr>
  </w:style>
  <w:style w:type="paragraph" w:customStyle="1" w:styleId="paragraph">
    <w:name w:val="paragraph"/>
    <w:aliases w:val="a"/>
    <w:basedOn w:val="Normal"/>
    <w:rsid w:val="00681E41"/>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062FA3"/>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062FA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663C2"/>
    <w:rPr>
      <w:sz w:val="16"/>
      <w:szCs w:val="16"/>
    </w:rPr>
  </w:style>
  <w:style w:type="paragraph" w:styleId="CommentText">
    <w:name w:val="annotation text"/>
    <w:basedOn w:val="Normal"/>
    <w:link w:val="CommentTextChar"/>
    <w:uiPriority w:val="99"/>
    <w:semiHidden/>
    <w:unhideWhenUsed/>
    <w:rsid w:val="00A663C2"/>
    <w:rPr>
      <w:sz w:val="20"/>
      <w:szCs w:val="20"/>
    </w:rPr>
  </w:style>
  <w:style w:type="character" w:customStyle="1" w:styleId="CommentTextChar">
    <w:name w:val="Comment Text Char"/>
    <w:basedOn w:val="DefaultParagraphFont"/>
    <w:link w:val="CommentText"/>
    <w:uiPriority w:val="99"/>
    <w:semiHidden/>
    <w:rsid w:val="00A663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63C2"/>
    <w:rPr>
      <w:b/>
      <w:bCs/>
    </w:rPr>
  </w:style>
  <w:style w:type="character" w:customStyle="1" w:styleId="CommentSubjectChar">
    <w:name w:val="Comment Subject Char"/>
    <w:basedOn w:val="CommentTextChar"/>
    <w:link w:val="CommentSubject"/>
    <w:uiPriority w:val="99"/>
    <w:semiHidden/>
    <w:rsid w:val="00A663C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663C2"/>
    <w:rPr>
      <w:rFonts w:ascii="Tahoma" w:hAnsi="Tahoma" w:cs="Tahoma"/>
      <w:sz w:val="16"/>
      <w:szCs w:val="16"/>
    </w:rPr>
  </w:style>
  <w:style w:type="character" w:customStyle="1" w:styleId="BalloonTextChar">
    <w:name w:val="Balloon Text Char"/>
    <w:basedOn w:val="DefaultParagraphFont"/>
    <w:link w:val="BalloonText"/>
    <w:uiPriority w:val="99"/>
    <w:semiHidden/>
    <w:rsid w:val="00A663C2"/>
    <w:rPr>
      <w:rFonts w:ascii="Tahoma" w:eastAsia="Times New Roman" w:hAnsi="Tahoma" w:cs="Tahoma"/>
      <w:sz w:val="16"/>
      <w:szCs w:val="16"/>
      <w:lang w:eastAsia="en-AU"/>
    </w:rPr>
  </w:style>
  <w:style w:type="table" w:styleId="TableGrid">
    <w:name w:val="Table Grid"/>
    <w:basedOn w:val="TableNormal"/>
    <w:uiPriority w:val="59"/>
    <w:rsid w:val="007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6A9"/>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403E6"/>
    <w:rPr>
      <w:color w:val="800080" w:themeColor="followedHyperlink"/>
      <w:u w:val="single"/>
    </w:rPr>
  </w:style>
  <w:style w:type="paragraph" w:customStyle="1" w:styleId="Default">
    <w:name w:val="Default"/>
    <w:rsid w:val="003373A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3D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620">
      <w:bodyDiv w:val="1"/>
      <w:marLeft w:val="0"/>
      <w:marRight w:val="0"/>
      <w:marTop w:val="0"/>
      <w:marBottom w:val="0"/>
      <w:divBdr>
        <w:top w:val="none" w:sz="0" w:space="0" w:color="auto"/>
        <w:left w:val="none" w:sz="0" w:space="0" w:color="auto"/>
        <w:bottom w:val="none" w:sz="0" w:space="0" w:color="auto"/>
        <w:right w:val="none" w:sz="0" w:space="0" w:color="auto"/>
      </w:divBdr>
      <w:divsChild>
        <w:div w:id="1697195412">
          <w:marLeft w:val="0"/>
          <w:marRight w:val="0"/>
          <w:marTop w:val="0"/>
          <w:marBottom w:val="0"/>
          <w:divBdr>
            <w:top w:val="none" w:sz="0" w:space="0" w:color="auto"/>
            <w:left w:val="none" w:sz="0" w:space="0" w:color="auto"/>
            <w:bottom w:val="none" w:sz="0" w:space="0" w:color="auto"/>
            <w:right w:val="none" w:sz="0" w:space="0" w:color="auto"/>
          </w:divBdr>
          <w:divsChild>
            <w:div w:id="1069613235">
              <w:marLeft w:val="0"/>
              <w:marRight w:val="0"/>
              <w:marTop w:val="0"/>
              <w:marBottom w:val="0"/>
              <w:divBdr>
                <w:top w:val="none" w:sz="0" w:space="0" w:color="auto"/>
                <w:left w:val="none" w:sz="0" w:space="0" w:color="auto"/>
                <w:bottom w:val="none" w:sz="0" w:space="0" w:color="auto"/>
                <w:right w:val="none" w:sz="0" w:space="0" w:color="auto"/>
              </w:divBdr>
              <w:divsChild>
                <w:div w:id="1275215478">
                  <w:marLeft w:val="0"/>
                  <w:marRight w:val="0"/>
                  <w:marTop w:val="0"/>
                  <w:marBottom w:val="0"/>
                  <w:divBdr>
                    <w:top w:val="none" w:sz="0" w:space="0" w:color="auto"/>
                    <w:left w:val="none" w:sz="0" w:space="0" w:color="auto"/>
                    <w:bottom w:val="none" w:sz="0" w:space="0" w:color="auto"/>
                    <w:right w:val="none" w:sz="0" w:space="0" w:color="auto"/>
                  </w:divBdr>
                  <w:divsChild>
                    <w:div w:id="171917645">
                      <w:marLeft w:val="0"/>
                      <w:marRight w:val="0"/>
                      <w:marTop w:val="0"/>
                      <w:marBottom w:val="0"/>
                      <w:divBdr>
                        <w:top w:val="none" w:sz="0" w:space="0" w:color="auto"/>
                        <w:left w:val="none" w:sz="0" w:space="0" w:color="auto"/>
                        <w:bottom w:val="none" w:sz="0" w:space="0" w:color="auto"/>
                        <w:right w:val="none" w:sz="0" w:space="0" w:color="auto"/>
                      </w:divBdr>
                      <w:divsChild>
                        <w:div w:id="1858736493">
                          <w:marLeft w:val="0"/>
                          <w:marRight w:val="0"/>
                          <w:marTop w:val="0"/>
                          <w:marBottom w:val="0"/>
                          <w:divBdr>
                            <w:top w:val="none" w:sz="0" w:space="0" w:color="auto"/>
                            <w:left w:val="none" w:sz="0" w:space="0" w:color="auto"/>
                            <w:bottom w:val="none" w:sz="0" w:space="0" w:color="auto"/>
                            <w:right w:val="none" w:sz="0" w:space="0" w:color="auto"/>
                          </w:divBdr>
                          <w:divsChild>
                            <w:div w:id="25837742">
                              <w:marLeft w:val="0"/>
                              <w:marRight w:val="0"/>
                              <w:marTop w:val="0"/>
                              <w:marBottom w:val="0"/>
                              <w:divBdr>
                                <w:top w:val="none" w:sz="0" w:space="0" w:color="auto"/>
                                <w:left w:val="none" w:sz="0" w:space="0" w:color="auto"/>
                                <w:bottom w:val="none" w:sz="0" w:space="0" w:color="auto"/>
                                <w:right w:val="none" w:sz="0" w:space="0" w:color="auto"/>
                              </w:divBdr>
                              <w:divsChild>
                                <w:div w:id="241062831">
                                  <w:marLeft w:val="0"/>
                                  <w:marRight w:val="0"/>
                                  <w:marTop w:val="0"/>
                                  <w:marBottom w:val="0"/>
                                  <w:divBdr>
                                    <w:top w:val="none" w:sz="0" w:space="0" w:color="auto"/>
                                    <w:left w:val="none" w:sz="0" w:space="0" w:color="auto"/>
                                    <w:bottom w:val="none" w:sz="0" w:space="0" w:color="auto"/>
                                    <w:right w:val="none" w:sz="0" w:space="0" w:color="auto"/>
                                  </w:divBdr>
                                  <w:divsChild>
                                    <w:div w:id="1952278008">
                                      <w:marLeft w:val="0"/>
                                      <w:marRight w:val="0"/>
                                      <w:marTop w:val="0"/>
                                      <w:marBottom w:val="0"/>
                                      <w:divBdr>
                                        <w:top w:val="none" w:sz="0" w:space="0" w:color="auto"/>
                                        <w:left w:val="none" w:sz="0" w:space="0" w:color="auto"/>
                                        <w:bottom w:val="none" w:sz="0" w:space="0" w:color="auto"/>
                                        <w:right w:val="none" w:sz="0" w:space="0" w:color="auto"/>
                                      </w:divBdr>
                                      <w:divsChild>
                                        <w:div w:id="197159019">
                                          <w:marLeft w:val="0"/>
                                          <w:marRight w:val="0"/>
                                          <w:marTop w:val="0"/>
                                          <w:marBottom w:val="0"/>
                                          <w:divBdr>
                                            <w:top w:val="none" w:sz="0" w:space="0" w:color="auto"/>
                                            <w:left w:val="none" w:sz="0" w:space="0" w:color="auto"/>
                                            <w:bottom w:val="none" w:sz="0" w:space="0" w:color="auto"/>
                                            <w:right w:val="none" w:sz="0" w:space="0" w:color="auto"/>
                                          </w:divBdr>
                                          <w:divsChild>
                                            <w:div w:id="1519851432">
                                              <w:marLeft w:val="0"/>
                                              <w:marRight w:val="0"/>
                                              <w:marTop w:val="0"/>
                                              <w:marBottom w:val="0"/>
                                              <w:divBdr>
                                                <w:top w:val="none" w:sz="0" w:space="0" w:color="auto"/>
                                                <w:left w:val="none" w:sz="0" w:space="0" w:color="auto"/>
                                                <w:bottom w:val="none" w:sz="0" w:space="0" w:color="auto"/>
                                                <w:right w:val="none" w:sz="0" w:space="0" w:color="auto"/>
                                              </w:divBdr>
                                              <w:divsChild>
                                                <w:div w:id="1789886058">
                                                  <w:marLeft w:val="0"/>
                                                  <w:marRight w:val="0"/>
                                                  <w:marTop w:val="0"/>
                                                  <w:marBottom w:val="0"/>
                                                  <w:divBdr>
                                                    <w:top w:val="none" w:sz="0" w:space="0" w:color="auto"/>
                                                    <w:left w:val="none" w:sz="0" w:space="0" w:color="auto"/>
                                                    <w:bottom w:val="none" w:sz="0" w:space="0" w:color="auto"/>
                                                    <w:right w:val="none" w:sz="0" w:space="0" w:color="auto"/>
                                                  </w:divBdr>
                                                  <w:divsChild>
                                                    <w:div w:id="64187983">
                                                      <w:marLeft w:val="0"/>
                                                      <w:marRight w:val="0"/>
                                                      <w:marTop w:val="0"/>
                                                      <w:marBottom w:val="0"/>
                                                      <w:divBdr>
                                                        <w:top w:val="none" w:sz="0" w:space="0" w:color="auto"/>
                                                        <w:left w:val="none" w:sz="0" w:space="0" w:color="auto"/>
                                                        <w:bottom w:val="none" w:sz="0" w:space="0" w:color="auto"/>
                                                        <w:right w:val="none" w:sz="0" w:space="0" w:color="auto"/>
                                                      </w:divBdr>
                                                      <w:divsChild>
                                                        <w:div w:id="15804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5535029">
      <w:bodyDiv w:val="1"/>
      <w:marLeft w:val="0"/>
      <w:marRight w:val="0"/>
      <w:marTop w:val="0"/>
      <w:marBottom w:val="0"/>
      <w:divBdr>
        <w:top w:val="none" w:sz="0" w:space="0" w:color="auto"/>
        <w:left w:val="none" w:sz="0" w:space="0" w:color="auto"/>
        <w:bottom w:val="none" w:sz="0" w:space="0" w:color="auto"/>
        <w:right w:val="none" w:sz="0" w:space="0" w:color="auto"/>
      </w:divBdr>
    </w:div>
    <w:div w:id="1849562743">
      <w:bodyDiv w:val="1"/>
      <w:marLeft w:val="0"/>
      <w:marRight w:val="0"/>
      <w:marTop w:val="0"/>
      <w:marBottom w:val="0"/>
      <w:divBdr>
        <w:top w:val="none" w:sz="0" w:space="0" w:color="auto"/>
        <w:left w:val="none" w:sz="0" w:space="0" w:color="auto"/>
        <w:bottom w:val="none" w:sz="0" w:space="0" w:color="auto"/>
        <w:right w:val="none" w:sz="0" w:space="0" w:color="auto"/>
      </w:divBdr>
      <w:divsChild>
        <w:div w:id="864170854">
          <w:marLeft w:val="0"/>
          <w:marRight w:val="0"/>
          <w:marTop w:val="0"/>
          <w:marBottom w:val="0"/>
          <w:divBdr>
            <w:top w:val="none" w:sz="0" w:space="0" w:color="auto"/>
            <w:left w:val="none" w:sz="0" w:space="0" w:color="auto"/>
            <w:bottom w:val="none" w:sz="0" w:space="0" w:color="auto"/>
            <w:right w:val="none" w:sz="0" w:space="0" w:color="auto"/>
          </w:divBdr>
          <w:divsChild>
            <w:div w:id="2028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Parliamentary_Business/Bills_Legislation/Bills_Search_Results/Result?bId=r642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68FC976122C347801CE4072903EC06" ma:contentTypeVersion="" ma:contentTypeDescription="PDMS Document Site Content Type" ma:contentTypeScope="" ma:versionID="de348d096c3d652f3a22c960d4926d04">
  <xsd:schema xmlns:xsd="http://www.w3.org/2001/XMLSchema" xmlns:xs="http://www.w3.org/2001/XMLSchema" xmlns:p="http://schemas.microsoft.com/office/2006/metadata/properties" xmlns:ns2="387533B1-FA5D-4064-98F1-7F80588BCCE4" targetNamespace="http://schemas.microsoft.com/office/2006/metadata/properties" ma:root="true" ma:fieldsID="fb2c222abe5bf5e6e231a4181e5ef8f0" ns2:_="">
    <xsd:import namespace="387533B1-FA5D-4064-98F1-7F80588BCC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533B1-FA5D-4064-98F1-7F80588BCC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87533B1-FA5D-4064-98F1-7F80588BCC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BA45-A74D-4BAE-B282-3946EB19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533B1-FA5D-4064-98F1-7F80588B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3FF8B-F5B7-4506-B59E-1A765F3059FD}">
  <ds:schemaRefs>
    <ds:schemaRef ds:uri="http://schemas.microsoft.com/sharepoint/v3/contenttype/forms"/>
  </ds:schemaRefs>
</ds:datastoreItem>
</file>

<file path=customXml/itemProps3.xml><?xml version="1.0" encoding="utf-8"?>
<ds:datastoreItem xmlns:ds="http://schemas.openxmlformats.org/officeDocument/2006/customXml" ds:itemID="{0850CDBE-2BFE-4FDB-A5DB-C7761181276D}">
  <ds:schemaRefs>
    <ds:schemaRef ds:uri="http://purl.org/dc/terms/"/>
    <ds:schemaRef ds:uri="http://schemas.openxmlformats.org/package/2006/metadata/core-properties"/>
    <ds:schemaRef ds:uri="http://purl.org/dc/dcmitype/"/>
    <ds:schemaRef ds:uri="http://schemas.microsoft.com/office/infopath/2007/PartnerControls"/>
    <ds:schemaRef ds:uri="387533B1-FA5D-4064-98F1-7F80588BCCE4"/>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4FF3D3C-DA2A-47F1-8D8B-FA302A4B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6961E399.dotm</Template>
  <TotalTime>21</TotalTime>
  <Pages>5</Pages>
  <Words>971</Words>
  <Characters>5535</Characters>
  <Application>Microsoft Office Word</Application>
  <DocSecurity>6</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Rhoden, Amanda</dc:creator>
  <cp:lastModifiedBy>HARRIS,Sonia</cp:lastModifiedBy>
  <cp:revision>2</cp:revision>
  <cp:lastPrinted>2018-02-11T23:20:00Z</cp:lastPrinted>
  <dcterms:created xsi:type="dcterms:W3CDTF">2019-12-19T02:51:00Z</dcterms:created>
  <dcterms:modified xsi:type="dcterms:W3CDTF">2019-12-19T02:51:00Z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0x010100266966F133664895A6EE3632470D45F500F568FC976122C347801CE4072903EC06</vt:lpwstr>
  </property>
</Properties>
</file>