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10" w:rsidRPr="007910FF" w:rsidRDefault="00B71D10" w:rsidP="00B71D10">
      <w:r>
        <w:rPr>
          <w:noProof/>
        </w:rPr>
        <w:drawing>
          <wp:inline distT="0" distB="0" distL="0" distR="0">
            <wp:extent cx="130492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D10" w:rsidRPr="007910FF" w:rsidRDefault="00B71D10" w:rsidP="00B71D10"/>
    <w:p w:rsidR="00B71D10" w:rsidRPr="005E4227" w:rsidRDefault="00B71D10" w:rsidP="00B71D10">
      <w:pPr>
        <w:rPr>
          <w:rFonts w:ascii="Arial Bold" w:hAnsi="Arial Bold"/>
          <w:b/>
          <w:sz w:val="28"/>
        </w:rPr>
      </w:pPr>
      <w:bookmarkStart w:id="0" w:name="Citation"/>
      <w:r w:rsidRPr="005E4227">
        <w:rPr>
          <w:rFonts w:ascii="Arial Bold" w:hAnsi="Arial Bold"/>
          <w:b/>
          <w:sz w:val="28"/>
        </w:rPr>
        <w:t xml:space="preserve">PB </w:t>
      </w:r>
      <w:r w:rsidR="00D53B8A" w:rsidRPr="005E4227">
        <w:rPr>
          <w:rFonts w:ascii="Arial Bold" w:hAnsi="Arial Bold"/>
          <w:b/>
          <w:sz w:val="28"/>
        </w:rPr>
        <w:t>11</w:t>
      </w:r>
      <w:r w:rsidR="006A275E">
        <w:rPr>
          <w:rFonts w:ascii="Arial Bold" w:hAnsi="Arial Bold"/>
          <w:b/>
          <w:sz w:val="28"/>
        </w:rPr>
        <w:t>0</w:t>
      </w:r>
      <w:r w:rsidRPr="005E4227">
        <w:rPr>
          <w:rFonts w:ascii="Arial Bold" w:hAnsi="Arial Bold"/>
          <w:b/>
          <w:sz w:val="28"/>
        </w:rPr>
        <w:t xml:space="preserve"> of 201</w:t>
      </w:r>
      <w:r w:rsidR="006A275E">
        <w:rPr>
          <w:rFonts w:ascii="Arial Bold" w:hAnsi="Arial Bold"/>
          <w:b/>
          <w:sz w:val="28"/>
        </w:rPr>
        <w:t>9</w:t>
      </w:r>
    </w:p>
    <w:p w:rsidR="00B71D10" w:rsidRPr="007910FF" w:rsidRDefault="00B71D10" w:rsidP="00B71D10">
      <w:pPr>
        <w:spacing w:before="240"/>
        <w:rPr>
          <w:rFonts w:ascii="Arial" w:hAnsi="Arial" w:cs="Arial"/>
          <w:b/>
          <w:sz w:val="40"/>
          <w:szCs w:val="40"/>
        </w:rPr>
      </w:pPr>
      <w:r w:rsidRPr="007910FF">
        <w:rPr>
          <w:rFonts w:ascii="Arial" w:hAnsi="Arial" w:cs="Arial"/>
          <w:b/>
          <w:sz w:val="40"/>
          <w:szCs w:val="40"/>
        </w:rPr>
        <w:t xml:space="preserve">National Health (Supplies of out-patient medication) Determination </w:t>
      </w:r>
      <w:r w:rsidRPr="00ED1608">
        <w:rPr>
          <w:rFonts w:ascii="Arial" w:hAnsi="Arial" w:cs="Arial"/>
          <w:b/>
          <w:sz w:val="40"/>
          <w:szCs w:val="40"/>
        </w:rPr>
        <w:t>201</w:t>
      </w:r>
      <w:r w:rsidR="006A275E">
        <w:rPr>
          <w:rFonts w:ascii="Arial" w:hAnsi="Arial" w:cs="Arial"/>
          <w:b/>
          <w:sz w:val="40"/>
          <w:szCs w:val="40"/>
        </w:rPr>
        <w:t>9</w:t>
      </w:r>
      <w:r w:rsidR="000E031B">
        <w:rPr>
          <w:rFonts w:ascii="Arial" w:hAnsi="Arial" w:cs="Arial"/>
          <w:b/>
          <w:sz w:val="40"/>
          <w:szCs w:val="40"/>
        </w:rPr>
        <w:t xml:space="preserve"> (No.</w:t>
      </w:r>
      <w:r w:rsidR="00387A02">
        <w:rPr>
          <w:rFonts w:ascii="Arial" w:hAnsi="Arial" w:cs="Arial"/>
          <w:b/>
          <w:sz w:val="40"/>
          <w:szCs w:val="40"/>
        </w:rPr>
        <w:t xml:space="preserve"> </w:t>
      </w:r>
      <w:r w:rsidR="000E031B">
        <w:rPr>
          <w:rFonts w:ascii="Arial" w:hAnsi="Arial" w:cs="Arial"/>
          <w:b/>
          <w:sz w:val="40"/>
          <w:szCs w:val="40"/>
        </w:rPr>
        <w:t>2)</w:t>
      </w:r>
    </w:p>
    <w:p w:rsidR="00B71D10" w:rsidRPr="007910FF" w:rsidRDefault="00B71D10" w:rsidP="00B71D10"/>
    <w:p w:rsidR="00B71D10" w:rsidRPr="007910FF" w:rsidRDefault="00B71D10" w:rsidP="00B71D10">
      <w:pPr>
        <w:rPr>
          <w:rFonts w:ascii="Arial" w:hAnsi="Arial" w:cs="Arial"/>
          <w:i/>
          <w:sz w:val="28"/>
          <w:szCs w:val="28"/>
        </w:rPr>
      </w:pPr>
      <w:r w:rsidRPr="007910FF">
        <w:rPr>
          <w:rFonts w:ascii="Arial" w:hAnsi="Arial" w:cs="Arial"/>
          <w:i/>
          <w:sz w:val="28"/>
          <w:szCs w:val="28"/>
        </w:rPr>
        <w:t>National Health Act 1953</w:t>
      </w:r>
    </w:p>
    <w:p w:rsidR="00B71D10" w:rsidRPr="007910FF" w:rsidRDefault="00B71D10" w:rsidP="00B71D10">
      <w:r w:rsidRPr="007910FF">
        <w:t>___________________________________________________________________________</w:t>
      </w:r>
    </w:p>
    <w:p w:rsidR="00B71D10" w:rsidRPr="007910FF" w:rsidRDefault="00B71D10" w:rsidP="00B71D10"/>
    <w:bookmarkEnd w:id="0"/>
    <w:p w:rsidR="00B71D10" w:rsidRPr="007910FF" w:rsidRDefault="00B71D10" w:rsidP="00B71D10"/>
    <w:p w:rsidR="00B71D10" w:rsidRPr="007910FF" w:rsidRDefault="00B71D10" w:rsidP="00B71D10">
      <w:r w:rsidRPr="007910FF">
        <w:t xml:space="preserve">I, </w:t>
      </w:r>
      <w:r w:rsidR="006A275E">
        <w:t>THEA DANIEL</w:t>
      </w:r>
      <w:r w:rsidRPr="007910FF">
        <w:t xml:space="preserve">, Assistant Secretary, </w:t>
      </w:r>
      <w:r w:rsidR="006A275E">
        <w:t xml:space="preserve">Pricing and PBS Policy Branch, </w:t>
      </w:r>
      <w:r w:rsidR="00CC5DB2" w:rsidRPr="00CC5DB2">
        <w:t>Technology Assessment and Access Division</w:t>
      </w:r>
      <w:r w:rsidRPr="007910FF">
        <w:t xml:space="preserve">, Department of Health, delegate of the Minister for Health, make this Determination under subsection 84BA(2) of the </w:t>
      </w:r>
      <w:r w:rsidRPr="007910FF">
        <w:rPr>
          <w:i/>
        </w:rPr>
        <w:t>National Health Act 1953.</w:t>
      </w:r>
    </w:p>
    <w:p w:rsidR="00B71D10" w:rsidRPr="007910FF" w:rsidRDefault="00B71D10" w:rsidP="00B71D10">
      <w:pPr>
        <w:tabs>
          <w:tab w:val="left" w:pos="3119"/>
        </w:tabs>
        <w:spacing w:before="300" w:after="600" w:line="300" w:lineRule="atLeast"/>
        <w:rPr>
          <w:b/>
        </w:rPr>
      </w:pPr>
      <w:r w:rsidRPr="00ED1608">
        <w:t xml:space="preserve">Dated </w:t>
      </w:r>
      <w:r w:rsidR="006A275E">
        <w:t xml:space="preserve">        </w:t>
      </w:r>
      <w:r w:rsidR="00B26310">
        <w:t>20</w:t>
      </w:r>
      <w:r w:rsidR="005544F7">
        <w:t xml:space="preserve"> December </w:t>
      </w:r>
      <w:r w:rsidR="00965BD1">
        <w:t>201</w:t>
      </w:r>
      <w:r w:rsidR="006A275E">
        <w:t>9</w:t>
      </w:r>
      <w:bookmarkStart w:id="1" w:name="_GoBack"/>
      <w:bookmarkEnd w:id="1"/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B71D10" w:rsidRPr="007910FF" w:rsidRDefault="00B71D10" w:rsidP="00B71D10">
      <w:pPr>
        <w:rPr>
          <w:b/>
        </w:rPr>
      </w:pPr>
    </w:p>
    <w:p w:rsidR="006A275E" w:rsidRPr="00247C92" w:rsidRDefault="006A275E" w:rsidP="006A275E">
      <w:pPr>
        <w:rPr>
          <w:b/>
        </w:rPr>
      </w:pPr>
      <w:r>
        <w:rPr>
          <w:b/>
        </w:rPr>
        <w:t>THEA DANIEL</w:t>
      </w:r>
    </w:p>
    <w:p w:rsidR="006A275E" w:rsidRDefault="006A275E" w:rsidP="006A275E">
      <w:r w:rsidRPr="00185D1D">
        <w:t xml:space="preserve">Assistant Secretary </w:t>
      </w:r>
    </w:p>
    <w:p w:rsidR="006A275E" w:rsidRPr="00185D1D" w:rsidRDefault="006A275E" w:rsidP="006A275E">
      <w:r>
        <w:t>Pricing and PBS Policy Branch</w:t>
      </w:r>
    </w:p>
    <w:p w:rsidR="006A275E" w:rsidRPr="00185D1D" w:rsidRDefault="006A275E" w:rsidP="006A275E">
      <w:r w:rsidRPr="00185D1D">
        <w:t>Technology Assessment and Access Division</w:t>
      </w:r>
    </w:p>
    <w:p w:rsidR="006A275E" w:rsidRPr="00185D1D" w:rsidRDefault="006A275E" w:rsidP="006A275E">
      <w:r w:rsidRPr="00185D1D">
        <w:t>Department of Health</w:t>
      </w:r>
    </w:p>
    <w:p w:rsidR="00B71D10" w:rsidRPr="007910FF" w:rsidRDefault="00B71D10" w:rsidP="00B71D10">
      <w:r w:rsidRPr="007910FF">
        <w:t>___________________________________________________________________________</w:t>
      </w:r>
    </w:p>
    <w:p w:rsidR="00B71D10" w:rsidRPr="007910FF" w:rsidRDefault="00B71D10" w:rsidP="00B71D10"/>
    <w:p w:rsidR="00B71D10" w:rsidRPr="007910FF" w:rsidRDefault="00B71D10" w:rsidP="00B71D10"/>
    <w:p w:rsidR="00B71D10" w:rsidRPr="007910FF" w:rsidRDefault="00B71D10" w:rsidP="00B71D10">
      <w:pPr>
        <w:sectPr w:rsidR="00B71D10" w:rsidRPr="007910FF" w:rsidSect="00737E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:rsidR="00B71D10" w:rsidRPr="007910FF" w:rsidRDefault="00B71D10" w:rsidP="00B71D10">
      <w:pPr>
        <w:pStyle w:val="HR"/>
      </w:pPr>
      <w:r w:rsidRPr="007910FF">
        <w:lastRenderedPageBreak/>
        <w:t>1</w:t>
      </w:r>
      <w:r w:rsidRPr="007910FF">
        <w:tab/>
        <w:t>Name of Instrument</w:t>
      </w:r>
    </w:p>
    <w:p w:rsidR="00B71D10" w:rsidRPr="007910FF" w:rsidRDefault="00B71D10" w:rsidP="00B71D10">
      <w:pPr>
        <w:pStyle w:val="HR"/>
        <w:tabs>
          <w:tab w:val="left" w:pos="969"/>
        </w:tabs>
        <w:spacing w:before="0"/>
        <w:ind w:left="0" w:right="-408" w:firstLine="0"/>
        <w:rPr>
          <w:rFonts w:ascii="Times New Roman" w:hAnsi="Times New Roman"/>
          <w:b w:val="0"/>
          <w:i/>
        </w:rPr>
      </w:pPr>
    </w:p>
    <w:p w:rsidR="00B71D10" w:rsidRPr="007910FF" w:rsidRDefault="00B71D10" w:rsidP="00CC5DB2">
      <w:pPr>
        <w:pStyle w:val="HR"/>
        <w:numPr>
          <w:ilvl w:val="0"/>
          <w:numId w:val="1"/>
        </w:numPr>
        <w:tabs>
          <w:tab w:val="left" w:pos="969"/>
        </w:tabs>
        <w:spacing w:before="0"/>
        <w:ind w:right="-408"/>
        <w:rPr>
          <w:rFonts w:ascii="Times New Roman" w:hAnsi="Times New Roman"/>
          <w:b w:val="0"/>
        </w:rPr>
      </w:pPr>
      <w:r w:rsidRPr="007910FF">
        <w:rPr>
          <w:rFonts w:ascii="Times New Roman" w:hAnsi="Times New Roman"/>
          <w:b w:val="0"/>
        </w:rPr>
        <w:t xml:space="preserve">This Determination is the </w:t>
      </w:r>
      <w:r w:rsidR="00CC5DB2" w:rsidRPr="00CC5DB2">
        <w:rPr>
          <w:rFonts w:ascii="Times New Roman" w:hAnsi="Times New Roman"/>
          <w:b w:val="0"/>
          <w:i/>
        </w:rPr>
        <w:t>National Health (Supplies of out-patient medication) Determination 201</w:t>
      </w:r>
      <w:r w:rsidR="006A275E">
        <w:rPr>
          <w:rFonts w:ascii="Times New Roman" w:hAnsi="Times New Roman"/>
          <w:b w:val="0"/>
          <w:i/>
        </w:rPr>
        <w:t>9</w:t>
      </w:r>
      <w:r w:rsidR="000E031B">
        <w:rPr>
          <w:rFonts w:ascii="Times New Roman" w:hAnsi="Times New Roman"/>
          <w:b w:val="0"/>
          <w:i/>
        </w:rPr>
        <w:t xml:space="preserve"> (No.</w:t>
      </w:r>
      <w:r w:rsidR="00387A02">
        <w:rPr>
          <w:rFonts w:ascii="Times New Roman" w:hAnsi="Times New Roman"/>
          <w:b w:val="0"/>
          <w:i/>
        </w:rPr>
        <w:t xml:space="preserve"> </w:t>
      </w:r>
      <w:r w:rsidR="000E031B">
        <w:rPr>
          <w:rFonts w:ascii="Times New Roman" w:hAnsi="Times New Roman"/>
          <w:b w:val="0"/>
          <w:i/>
        </w:rPr>
        <w:t>2)</w:t>
      </w:r>
      <w:r w:rsidRPr="00ED1608">
        <w:rPr>
          <w:rFonts w:ascii="Times New Roman" w:hAnsi="Times New Roman"/>
          <w:b w:val="0"/>
          <w:i/>
        </w:rPr>
        <w:t>.</w:t>
      </w:r>
    </w:p>
    <w:p w:rsidR="00B71D10" w:rsidRPr="007910FF" w:rsidRDefault="00B71D10" w:rsidP="00B71D10">
      <w:pPr>
        <w:tabs>
          <w:tab w:val="left" w:pos="426"/>
        </w:tabs>
        <w:ind w:left="420"/>
        <w:rPr>
          <w:color w:val="000000"/>
        </w:rPr>
      </w:pPr>
    </w:p>
    <w:p w:rsidR="00B71D10" w:rsidRPr="007910FF" w:rsidRDefault="00B71D10" w:rsidP="00B71D10">
      <w:pPr>
        <w:widowControl w:val="0"/>
        <w:numPr>
          <w:ilvl w:val="0"/>
          <w:numId w:val="1"/>
        </w:numPr>
        <w:tabs>
          <w:tab w:val="left" w:pos="426"/>
        </w:tabs>
        <w:rPr>
          <w:color w:val="000000"/>
        </w:rPr>
      </w:pPr>
      <w:r w:rsidRPr="007910FF">
        <w:rPr>
          <w:color w:val="000000"/>
        </w:rPr>
        <w:t xml:space="preserve">This Determination may also be cited as </w:t>
      </w:r>
      <w:r w:rsidRPr="00ED1608">
        <w:rPr>
          <w:color w:val="000000"/>
        </w:rPr>
        <w:t xml:space="preserve">PB </w:t>
      </w:r>
      <w:r w:rsidR="00CC5DB2">
        <w:rPr>
          <w:color w:val="000000"/>
        </w:rPr>
        <w:t>11</w:t>
      </w:r>
      <w:r w:rsidR="006A275E">
        <w:rPr>
          <w:color w:val="000000"/>
        </w:rPr>
        <w:t>0</w:t>
      </w:r>
      <w:r w:rsidRPr="00ED1608">
        <w:rPr>
          <w:color w:val="000000"/>
        </w:rPr>
        <w:t xml:space="preserve"> of 201</w:t>
      </w:r>
      <w:r w:rsidR="006A275E">
        <w:rPr>
          <w:color w:val="000000"/>
        </w:rPr>
        <w:t>9</w:t>
      </w:r>
      <w:r w:rsidRPr="00ED1608">
        <w:rPr>
          <w:color w:val="000000"/>
        </w:rPr>
        <w:t>.</w:t>
      </w:r>
    </w:p>
    <w:p w:rsidR="00B71D10" w:rsidRPr="007910FF" w:rsidRDefault="00B71D10" w:rsidP="00B71D10">
      <w:pPr>
        <w:tabs>
          <w:tab w:val="left" w:pos="1026"/>
        </w:tabs>
      </w:pPr>
    </w:p>
    <w:p w:rsidR="00B71D10" w:rsidRPr="007910FF" w:rsidRDefault="00B71D10" w:rsidP="00B71D10">
      <w:pPr>
        <w:pStyle w:val="HR"/>
        <w:tabs>
          <w:tab w:val="left" w:pos="993"/>
        </w:tabs>
        <w:ind w:left="0" w:firstLine="0"/>
      </w:pPr>
      <w:r w:rsidRPr="007910FF">
        <w:rPr>
          <w:rFonts w:cs="Arial"/>
        </w:rPr>
        <w:t>2</w:t>
      </w:r>
      <w:r w:rsidRPr="007910FF">
        <w:rPr>
          <w:rFonts w:cs="Arial"/>
        </w:rPr>
        <w:tab/>
      </w:r>
      <w:r w:rsidRPr="007910FF">
        <w:t>Commencement</w:t>
      </w:r>
    </w:p>
    <w:p w:rsidR="00B71D10" w:rsidRPr="007910FF" w:rsidRDefault="00B71D10" w:rsidP="00B71D10">
      <w:pPr>
        <w:pStyle w:val="R1"/>
        <w:tabs>
          <w:tab w:val="clear" w:pos="794"/>
        </w:tabs>
        <w:ind w:left="969" w:firstLine="0"/>
      </w:pPr>
      <w:r w:rsidRPr="007910FF">
        <w:t xml:space="preserve">This Determination commences on </w:t>
      </w:r>
      <w:r w:rsidRPr="005249F4">
        <w:t>1 January 20</w:t>
      </w:r>
      <w:r w:rsidR="006A275E">
        <w:t>20</w:t>
      </w:r>
      <w:r w:rsidRPr="007910FF">
        <w:t>.</w:t>
      </w:r>
    </w:p>
    <w:p w:rsidR="009B3CBB" w:rsidRDefault="009B3CBB" w:rsidP="00B71D10">
      <w:pPr>
        <w:pStyle w:val="A1"/>
      </w:pPr>
      <w:r>
        <w:rPr>
          <w:rFonts w:cs="Arial"/>
        </w:rPr>
        <w:t>3</w:t>
      </w:r>
      <w:r w:rsidRPr="007910FF">
        <w:rPr>
          <w:rFonts w:cs="Arial"/>
        </w:rPr>
        <w:tab/>
      </w:r>
      <w:r>
        <w:t>Authority</w:t>
      </w:r>
    </w:p>
    <w:p w:rsidR="009B3CBB" w:rsidRPr="009B3CBB" w:rsidRDefault="009B3CBB" w:rsidP="009B3CBB">
      <w:pPr>
        <w:ind w:left="244" w:firstLine="720"/>
      </w:pPr>
      <w:r>
        <w:rPr>
          <w:color w:val="000000"/>
          <w:shd w:val="clear" w:color="auto" w:fill="FFFFFF"/>
        </w:rPr>
        <w:t>This Determination is made under section 84BA of the </w:t>
      </w:r>
      <w:r>
        <w:rPr>
          <w:i/>
          <w:iCs/>
          <w:color w:val="000000"/>
          <w:shd w:val="clear" w:color="auto" w:fill="FFFFFF"/>
        </w:rPr>
        <w:t>National Health Act 1953</w:t>
      </w:r>
      <w:r>
        <w:rPr>
          <w:color w:val="000000"/>
          <w:shd w:val="clear" w:color="auto" w:fill="FFFFFF"/>
        </w:rPr>
        <w:t>.</w:t>
      </w:r>
    </w:p>
    <w:p w:rsidR="00B71D10" w:rsidRPr="007910FF" w:rsidRDefault="009B3CBB" w:rsidP="00B71D10">
      <w:pPr>
        <w:pStyle w:val="A1"/>
      </w:pPr>
      <w:r>
        <w:t>4</w:t>
      </w:r>
      <w:r w:rsidR="00B71D10" w:rsidRPr="007910FF">
        <w:tab/>
        <w:t>Re</w:t>
      </w:r>
      <w:r w:rsidR="00387A02">
        <w:t>peal</w:t>
      </w:r>
    </w:p>
    <w:p w:rsidR="00B71D10" w:rsidRPr="007910FF" w:rsidRDefault="00B71D10" w:rsidP="00B71D10">
      <w:pPr>
        <w:pStyle w:val="A2"/>
        <w:tabs>
          <w:tab w:val="clear" w:pos="794"/>
        </w:tabs>
        <w:ind w:left="969" w:firstLine="0"/>
        <w:jc w:val="left"/>
        <w:rPr>
          <w:i/>
        </w:rPr>
      </w:pPr>
      <w:r w:rsidRPr="007910FF">
        <w:t>This Determination re</w:t>
      </w:r>
      <w:r w:rsidR="00387A02">
        <w:t>peals</w:t>
      </w:r>
      <w:r w:rsidR="006A275E">
        <w:t xml:space="preserve"> and replaces</w:t>
      </w:r>
      <w:r w:rsidRPr="007910FF">
        <w:t xml:space="preserve"> the </w:t>
      </w:r>
      <w:r w:rsidR="00CC5DB2" w:rsidRPr="008F6C27">
        <w:rPr>
          <w:i/>
        </w:rPr>
        <w:t>National Health (Supplies of out-patient medication) Determination 201</w:t>
      </w:r>
      <w:r w:rsidR="006A275E">
        <w:rPr>
          <w:i/>
        </w:rPr>
        <w:t>9</w:t>
      </w:r>
      <w:r w:rsidR="000E031B">
        <w:rPr>
          <w:i/>
        </w:rPr>
        <w:t xml:space="preserve"> </w:t>
      </w:r>
      <w:r w:rsidR="00CC5DB2">
        <w:t xml:space="preserve">(PB </w:t>
      </w:r>
      <w:r w:rsidR="006A275E">
        <w:t>8</w:t>
      </w:r>
      <w:r w:rsidR="00CC5DB2">
        <w:t xml:space="preserve"> of 20</w:t>
      </w:r>
      <w:r w:rsidR="006A275E">
        <w:t>19</w:t>
      </w:r>
      <w:r w:rsidR="00CC5DB2">
        <w:t>).</w:t>
      </w:r>
    </w:p>
    <w:p w:rsidR="00B71D10" w:rsidRPr="007910FF" w:rsidRDefault="009B3CBB" w:rsidP="00B71D10">
      <w:pPr>
        <w:pStyle w:val="A1"/>
      </w:pPr>
      <w:r>
        <w:t>5</w:t>
      </w:r>
      <w:r w:rsidR="00B71D10" w:rsidRPr="007910FF">
        <w:tab/>
        <w:t>Interpretation</w:t>
      </w:r>
    </w:p>
    <w:p w:rsidR="00B71D10" w:rsidRPr="007910FF" w:rsidRDefault="00B71D10" w:rsidP="00B71D10">
      <w:pPr>
        <w:tabs>
          <w:tab w:val="left" w:pos="426"/>
        </w:tabs>
        <w:rPr>
          <w:color w:val="000000"/>
          <w:sz w:val="22"/>
          <w:szCs w:val="22"/>
        </w:rPr>
      </w:pPr>
    </w:p>
    <w:p w:rsidR="00B71D10" w:rsidRPr="007910FF" w:rsidRDefault="00B71D10" w:rsidP="005E4227">
      <w:pPr>
        <w:numPr>
          <w:ilvl w:val="0"/>
          <w:numId w:val="4"/>
        </w:numPr>
        <w:tabs>
          <w:tab w:val="left" w:pos="993"/>
        </w:tabs>
        <w:ind w:left="1701" w:hanging="708"/>
        <w:rPr>
          <w:color w:val="000000"/>
        </w:rPr>
      </w:pPr>
      <w:r w:rsidRPr="007910FF">
        <w:t>In this Determination</w:t>
      </w:r>
      <w:r w:rsidRPr="007910FF">
        <w:rPr>
          <w:color w:val="000000"/>
        </w:rPr>
        <w:t>:</w:t>
      </w:r>
    </w:p>
    <w:p w:rsidR="00B71D10" w:rsidRPr="007910FF" w:rsidRDefault="00B71D10" w:rsidP="00B71D10">
      <w:pPr>
        <w:tabs>
          <w:tab w:val="left" w:pos="1701"/>
        </w:tabs>
        <w:ind w:left="1701"/>
        <w:rPr>
          <w:b/>
          <w:i/>
          <w:color w:val="000000"/>
        </w:rPr>
      </w:pPr>
    </w:p>
    <w:p w:rsidR="00B71D10" w:rsidRPr="007910FF" w:rsidRDefault="00B71D10" w:rsidP="00B71D10">
      <w:pPr>
        <w:tabs>
          <w:tab w:val="left" w:pos="1701"/>
        </w:tabs>
        <w:ind w:left="1701"/>
        <w:rPr>
          <w:color w:val="000000"/>
        </w:rPr>
      </w:pPr>
      <w:r w:rsidRPr="007910FF">
        <w:rPr>
          <w:b/>
          <w:i/>
          <w:color w:val="000000"/>
        </w:rPr>
        <w:t>approved ex-manufacturer price</w:t>
      </w:r>
      <w:r w:rsidRPr="007910FF">
        <w:rPr>
          <w:color w:val="000000"/>
        </w:rPr>
        <w:t xml:space="preserve"> has the meaning given in subsection 84(1) of the Act.</w:t>
      </w:r>
    </w:p>
    <w:p w:rsidR="00B71D10" w:rsidRPr="007910FF" w:rsidRDefault="00B71D10" w:rsidP="00B71D10">
      <w:pPr>
        <w:tabs>
          <w:tab w:val="left" w:pos="1701"/>
        </w:tabs>
        <w:ind w:left="1701" w:hanging="981"/>
        <w:rPr>
          <w:color w:val="000000"/>
        </w:rPr>
      </w:pPr>
      <w:r w:rsidRPr="007910FF">
        <w:rPr>
          <w:color w:val="000000"/>
        </w:rPr>
        <w:tab/>
      </w:r>
    </w:p>
    <w:p w:rsidR="00B71D10" w:rsidRPr="007910FF" w:rsidRDefault="00B71D10" w:rsidP="00B71D10">
      <w:pPr>
        <w:tabs>
          <w:tab w:val="left" w:pos="1701"/>
        </w:tabs>
        <w:ind w:left="1701"/>
      </w:pPr>
      <w:r w:rsidRPr="007910FF">
        <w:rPr>
          <w:b/>
          <w:i/>
          <w:color w:val="000000"/>
        </w:rPr>
        <w:t xml:space="preserve">National Health Reform Agreement </w:t>
      </w:r>
      <w:r w:rsidRPr="007910FF">
        <w:rPr>
          <w:color w:val="000000"/>
        </w:rPr>
        <w:t xml:space="preserve">has the meaning given in the </w:t>
      </w:r>
      <w:r w:rsidRPr="007910FF">
        <w:rPr>
          <w:i/>
          <w:color w:val="000000"/>
        </w:rPr>
        <w:t>Federal Financial Relations Act 2009</w:t>
      </w:r>
      <w:r w:rsidRPr="007910FF">
        <w:rPr>
          <w:color w:val="000000"/>
        </w:rPr>
        <w:t>.</w:t>
      </w:r>
    </w:p>
    <w:p w:rsidR="00B71D10" w:rsidRPr="007910FF" w:rsidRDefault="00B71D10" w:rsidP="00B71D10">
      <w:pPr>
        <w:tabs>
          <w:tab w:val="left" w:pos="426"/>
          <w:tab w:val="left" w:pos="851"/>
          <w:tab w:val="left" w:pos="1080"/>
        </w:tabs>
        <w:ind w:left="1080" w:hanging="360"/>
      </w:pPr>
    </w:p>
    <w:p w:rsidR="00B71D10" w:rsidRPr="007910FF" w:rsidRDefault="00B71D10" w:rsidP="00B71D10">
      <w:pPr>
        <w:tabs>
          <w:tab w:val="left" w:pos="1701"/>
        </w:tabs>
        <w:ind w:left="1701" w:hanging="981"/>
        <w:rPr>
          <w:color w:val="000000"/>
        </w:rPr>
      </w:pPr>
      <w:r w:rsidRPr="007910FF">
        <w:rPr>
          <w:color w:val="000000"/>
        </w:rPr>
        <w:tab/>
      </w:r>
      <w:r w:rsidRPr="007910FF">
        <w:rPr>
          <w:b/>
          <w:i/>
          <w:color w:val="000000"/>
        </w:rPr>
        <w:t>out-patient medication</w:t>
      </w:r>
      <w:r w:rsidRPr="007910FF">
        <w:rPr>
          <w:color w:val="000000"/>
        </w:rPr>
        <w:t xml:space="preserve"> has the same meaning as in subsection 84(1) of the Act.  </w:t>
      </w:r>
    </w:p>
    <w:p w:rsidR="00B71D10" w:rsidRPr="007910FF" w:rsidRDefault="00B71D10" w:rsidP="00B71D10">
      <w:pPr>
        <w:tabs>
          <w:tab w:val="left" w:pos="426"/>
          <w:tab w:val="left" w:pos="851"/>
          <w:tab w:val="left" w:pos="1080"/>
        </w:tabs>
        <w:ind w:left="1080" w:hanging="360"/>
      </w:pPr>
    </w:p>
    <w:p w:rsidR="00B71D10" w:rsidRPr="007910FF" w:rsidRDefault="00B71D10" w:rsidP="00B71D10">
      <w:pPr>
        <w:tabs>
          <w:tab w:val="left" w:pos="1843"/>
        </w:tabs>
        <w:ind w:left="1701"/>
        <w:rPr>
          <w:color w:val="000000"/>
        </w:rPr>
      </w:pPr>
      <w:r w:rsidRPr="007910FF">
        <w:rPr>
          <w:b/>
          <w:i/>
          <w:color w:val="000000"/>
        </w:rPr>
        <w:t>proportional ex-manufacturer price</w:t>
      </w:r>
      <w:r w:rsidRPr="007910FF">
        <w:rPr>
          <w:color w:val="000000"/>
        </w:rPr>
        <w:t xml:space="preserve"> has the meaning given in subsection 84(1) of the Act.</w:t>
      </w:r>
      <w:r w:rsidRPr="007910FF">
        <w:rPr>
          <w:color w:val="000000"/>
        </w:rPr>
        <w:tab/>
      </w:r>
      <w:r w:rsidRPr="007910FF">
        <w:rPr>
          <w:color w:val="000000"/>
        </w:rPr>
        <w:tab/>
      </w:r>
      <w:r w:rsidRPr="007910FF">
        <w:rPr>
          <w:color w:val="000000"/>
        </w:rPr>
        <w:tab/>
      </w:r>
    </w:p>
    <w:p w:rsidR="00B71D10" w:rsidRPr="007910FF" w:rsidRDefault="00B71D10" w:rsidP="00B71D10">
      <w:pPr>
        <w:tabs>
          <w:tab w:val="left" w:pos="426"/>
          <w:tab w:val="left" w:pos="1080"/>
        </w:tabs>
        <w:ind w:left="1080" w:hanging="360"/>
        <w:rPr>
          <w:color w:val="000000"/>
        </w:rPr>
      </w:pPr>
    </w:p>
    <w:p w:rsidR="00B71D10" w:rsidRPr="007910FF" w:rsidRDefault="00B71D10" w:rsidP="00B71D10">
      <w:pPr>
        <w:tabs>
          <w:tab w:val="left" w:pos="1080"/>
          <w:tab w:val="left" w:pos="1134"/>
        </w:tabs>
        <w:ind w:left="1080" w:firstLine="621"/>
        <w:rPr>
          <w:color w:val="000000"/>
        </w:rPr>
      </w:pPr>
      <w:r w:rsidRPr="007910FF">
        <w:rPr>
          <w:b/>
          <w:i/>
          <w:color w:val="000000"/>
        </w:rPr>
        <w:t xml:space="preserve">the Act </w:t>
      </w:r>
      <w:r w:rsidRPr="007910FF">
        <w:rPr>
          <w:color w:val="000000"/>
        </w:rPr>
        <w:t xml:space="preserve">means the </w:t>
      </w:r>
      <w:r w:rsidRPr="007910FF">
        <w:rPr>
          <w:i/>
          <w:iCs/>
          <w:color w:val="000000"/>
        </w:rPr>
        <w:t>National Health Act 1953</w:t>
      </w:r>
      <w:r w:rsidRPr="007910FF">
        <w:rPr>
          <w:color w:val="000000"/>
        </w:rPr>
        <w:t>.</w:t>
      </w:r>
    </w:p>
    <w:p w:rsidR="00B71D10" w:rsidRPr="007910FF" w:rsidRDefault="00B71D10" w:rsidP="00B71D10">
      <w:pPr>
        <w:tabs>
          <w:tab w:val="left" w:pos="426"/>
          <w:tab w:val="left" w:pos="851"/>
          <w:tab w:val="left" w:pos="1080"/>
        </w:tabs>
        <w:ind w:left="1080" w:hanging="360"/>
        <w:rPr>
          <w:color w:val="000000"/>
        </w:rPr>
      </w:pPr>
      <w:r w:rsidRPr="007910FF">
        <w:rPr>
          <w:color w:val="000000"/>
        </w:rPr>
        <w:t xml:space="preserve"> </w:t>
      </w:r>
    </w:p>
    <w:p w:rsidR="00B71D10" w:rsidRPr="007910FF" w:rsidRDefault="00B71D10" w:rsidP="00B71D10">
      <w:pPr>
        <w:pStyle w:val="BodyTextIndent"/>
        <w:tabs>
          <w:tab w:val="clear" w:pos="-1440"/>
          <w:tab w:val="left" w:pos="1080"/>
        </w:tabs>
        <w:ind w:left="1701" w:hanging="360"/>
        <w:jc w:val="left"/>
        <w:rPr>
          <w:color w:val="000000"/>
        </w:rPr>
      </w:pPr>
      <w:r w:rsidRPr="007910FF">
        <w:rPr>
          <w:b/>
          <w:i/>
          <w:color w:val="000000"/>
        </w:rPr>
        <w:tab/>
        <w:t>the amount referred to in paragraph 87(2)(a) of the Act</w:t>
      </w:r>
      <w:r w:rsidRPr="007910FF">
        <w:rPr>
          <w:color w:val="000000"/>
        </w:rPr>
        <w:t xml:space="preserve"> means the amount as periodically adjusted under section 99G of the Act.</w:t>
      </w:r>
    </w:p>
    <w:p w:rsidR="00B71D10" w:rsidRPr="007910FF" w:rsidRDefault="00B71D10" w:rsidP="00B71D10">
      <w:pPr>
        <w:pStyle w:val="BodyTextIndent"/>
        <w:tabs>
          <w:tab w:val="left" w:pos="426"/>
          <w:tab w:val="left" w:pos="851"/>
          <w:tab w:val="left" w:pos="1080"/>
        </w:tabs>
        <w:ind w:left="1080" w:hanging="360"/>
        <w:jc w:val="left"/>
        <w:rPr>
          <w:color w:val="000000"/>
        </w:rPr>
      </w:pPr>
    </w:p>
    <w:p w:rsidR="00B71D10" w:rsidRPr="007910FF" w:rsidRDefault="00B71D10" w:rsidP="00B71D10">
      <w:pPr>
        <w:pStyle w:val="BodyTextIndent"/>
        <w:tabs>
          <w:tab w:val="clear" w:pos="-1440"/>
          <w:tab w:val="left" w:pos="1080"/>
        </w:tabs>
        <w:ind w:left="1701" w:hanging="360"/>
        <w:jc w:val="left"/>
        <w:rPr>
          <w:b/>
          <w:i/>
          <w:color w:val="000000"/>
        </w:rPr>
      </w:pPr>
      <w:r w:rsidRPr="007910FF">
        <w:rPr>
          <w:color w:val="000000"/>
        </w:rPr>
        <w:tab/>
      </w:r>
      <w:r w:rsidRPr="007910FF">
        <w:rPr>
          <w:b/>
          <w:i/>
          <w:color w:val="000000"/>
        </w:rPr>
        <w:t xml:space="preserve">the amount referred to in paragraph 87(2)(e) of the Act </w:t>
      </w:r>
      <w:r w:rsidRPr="007910FF">
        <w:rPr>
          <w:color w:val="000000"/>
        </w:rPr>
        <w:t>means the amount as periodically adjusted under section 99G of the Act.</w:t>
      </w:r>
    </w:p>
    <w:p w:rsidR="00B71D10" w:rsidRPr="007910FF" w:rsidRDefault="00B71D10" w:rsidP="00B71D10">
      <w:pPr>
        <w:pStyle w:val="BodyTextIndent"/>
        <w:tabs>
          <w:tab w:val="left" w:pos="426"/>
          <w:tab w:val="left" w:pos="851"/>
          <w:tab w:val="left" w:pos="1080"/>
        </w:tabs>
        <w:ind w:left="1080" w:hanging="360"/>
        <w:jc w:val="left"/>
        <w:rPr>
          <w:color w:val="000000"/>
        </w:rPr>
      </w:pPr>
    </w:p>
    <w:p w:rsidR="00B71D10" w:rsidRPr="007910FF" w:rsidRDefault="00B71D10" w:rsidP="00B71D10">
      <w:pPr>
        <w:pStyle w:val="BodyTextIndent"/>
        <w:tabs>
          <w:tab w:val="left" w:pos="426"/>
          <w:tab w:val="left" w:pos="851"/>
          <w:tab w:val="left" w:pos="1080"/>
        </w:tabs>
        <w:ind w:left="1701" w:hanging="360"/>
        <w:jc w:val="left"/>
        <w:rPr>
          <w:color w:val="000000"/>
        </w:rPr>
      </w:pPr>
      <w:r w:rsidRPr="007910FF">
        <w:rPr>
          <w:color w:val="000000"/>
        </w:rPr>
        <w:tab/>
      </w:r>
      <w:r w:rsidRPr="007910FF">
        <w:rPr>
          <w:b/>
          <w:i/>
          <w:color w:val="000000"/>
        </w:rPr>
        <w:t>the maximum value of the supply of out-patient medication</w:t>
      </w:r>
      <w:r w:rsidRPr="007910FF">
        <w:rPr>
          <w:color w:val="000000"/>
        </w:rPr>
        <w:t xml:space="preserve"> means the amount specified in section 7, 8</w:t>
      </w:r>
      <w:r w:rsidR="009B3CBB">
        <w:rPr>
          <w:color w:val="000000"/>
        </w:rPr>
        <w:t>,</w:t>
      </w:r>
      <w:r w:rsidRPr="007910FF">
        <w:rPr>
          <w:color w:val="000000"/>
        </w:rPr>
        <w:t xml:space="preserve"> 9 </w:t>
      </w:r>
      <w:r w:rsidR="009B3CBB">
        <w:rPr>
          <w:color w:val="000000"/>
        </w:rPr>
        <w:t xml:space="preserve">or 10 </w:t>
      </w:r>
      <w:r w:rsidRPr="007910FF">
        <w:rPr>
          <w:color w:val="000000"/>
        </w:rPr>
        <w:t>as appropriate.</w:t>
      </w:r>
    </w:p>
    <w:p w:rsidR="00B71D10" w:rsidRPr="007910FF" w:rsidRDefault="00B71D10" w:rsidP="00B71D10">
      <w:pPr>
        <w:pStyle w:val="BodyTextIndent"/>
        <w:tabs>
          <w:tab w:val="left" w:pos="426"/>
          <w:tab w:val="left" w:pos="851"/>
          <w:tab w:val="left" w:pos="1080"/>
        </w:tabs>
        <w:ind w:left="1080" w:hanging="360"/>
        <w:jc w:val="left"/>
        <w:rPr>
          <w:color w:val="000000"/>
        </w:rPr>
      </w:pPr>
    </w:p>
    <w:p w:rsidR="00B71D10" w:rsidRPr="007910FF" w:rsidRDefault="00B71D10" w:rsidP="00B71D10">
      <w:pPr>
        <w:pStyle w:val="BodyTextIndent"/>
        <w:tabs>
          <w:tab w:val="left" w:pos="993"/>
          <w:tab w:val="left" w:pos="1080"/>
        </w:tabs>
        <w:ind w:left="1701" w:hanging="1701"/>
        <w:jc w:val="left"/>
        <w:rPr>
          <w:color w:val="000000"/>
        </w:rPr>
      </w:pPr>
      <w:r w:rsidRPr="007910FF">
        <w:rPr>
          <w:color w:val="000000"/>
        </w:rPr>
        <w:tab/>
        <w:t>(2)</w:t>
      </w:r>
      <w:r w:rsidRPr="007910FF">
        <w:rPr>
          <w:color w:val="000000"/>
        </w:rPr>
        <w:tab/>
        <w:t>Unless the contrary intention appears, a word or expression that is defined in the Act shall be taken to have the same meaning as in the Act.</w:t>
      </w:r>
    </w:p>
    <w:p w:rsidR="00B71D10" w:rsidRPr="007910FF" w:rsidRDefault="009B3CBB" w:rsidP="00B71D10">
      <w:pPr>
        <w:pStyle w:val="A1"/>
        <w:ind w:left="993" w:hanging="993"/>
      </w:pPr>
      <w:r>
        <w:lastRenderedPageBreak/>
        <w:t>6</w:t>
      </w:r>
      <w:r w:rsidR="00B71D10" w:rsidRPr="007910FF">
        <w:t xml:space="preserve"> </w:t>
      </w:r>
      <w:r w:rsidR="00B71D10" w:rsidRPr="007910FF">
        <w:tab/>
        <w:t>Amount taken to have been paid to a public hospital for the supply of out-patient medication</w:t>
      </w:r>
    </w:p>
    <w:p w:rsidR="00B71D10" w:rsidRPr="007910FF" w:rsidRDefault="00B71D10" w:rsidP="00B71D10">
      <w:pPr>
        <w:pStyle w:val="BodyTextIndent"/>
        <w:tabs>
          <w:tab w:val="clear" w:pos="-1440"/>
          <w:tab w:val="left" w:pos="426"/>
        </w:tabs>
        <w:ind w:left="425" w:hanging="425"/>
        <w:jc w:val="left"/>
        <w:rPr>
          <w:color w:val="000000"/>
          <w:sz w:val="22"/>
          <w:szCs w:val="22"/>
        </w:rPr>
      </w:pPr>
      <w:r w:rsidRPr="007910FF">
        <w:rPr>
          <w:color w:val="000000"/>
          <w:sz w:val="22"/>
          <w:szCs w:val="22"/>
        </w:rPr>
        <w:tab/>
      </w:r>
    </w:p>
    <w:p w:rsidR="00B71D10" w:rsidRPr="007910FF" w:rsidRDefault="00B71D10" w:rsidP="00B71D10">
      <w:pPr>
        <w:pStyle w:val="BodyTextIndent"/>
        <w:tabs>
          <w:tab w:val="clear" w:pos="-1440"/>
        </w:tabs>
        <w:ind w:left="993" w:hanging="993"/>
        <w:jc w:val="left"/>
        <w:rPr>
          <w:color w:val="000000"/>
        </w:rPr>
      </w:pPr>
      <w:r w:rsidRPr="007910FF">
        <w:rPr>
          <w:color w:val="000000"/>
          <w:sz w:val="22"/>
          <w:szCs w:val="22"/>
        </w:rPr>
        <w:tab/>
      </w:r>
      <w:r w:rsidRPr="007910FF">
        <w:rPr>
          <w:color w:val="000000"/>
        </w:rPr>
        <w:t xml:space="preserve">The amount that, for the purposes of Part VII of the Act, will be taken to have been paid to a public hospital for a supply of out-patient medication to a person is the lesser of: </w:t>
      </w:r>
    </w:p>
    <w:p w:rsidR="00B71D10" w:rsidRPr="007910FF" w:rsidRDefault="00B71D10" w:rsidP="00B71D10">
      <w:pPr>
        <w:rPr>
          <w:color w:val="000000"/>
        </w:rPr>
      </w:pPr>
      <w:r w:rsidRPr="007910FF">
        <w:rPr>
          <w:color w:val="000000"/>
        </w:rPr>
        <w:tab/>
      </w:r>
      <w:r w:rsidRPr="007910FF">
        <w:rPr>
          <w:color w:val="000000"/>
        </w:rPr>
        <w:tab/>
      </w:r>
    </w:p>
    <w:p w:rsidR="00B71D10" w:rsidRPr="007910FF" w:rsidRDefault="00CC5DB2" w:rsidP="00CC5DB2">
      <w:pPr>
        <w:pStyle w:val="BodyTextIndent"/>
        <w:tabs>
          <w:tab w:val="clear" w:pos="-1440"/>
          <w:tab w:val="left" w:pos="426"/>
          <w:tab w:val="left" w:pos="2127"/>
        </w:tabs>
        <w:ind w:firstLine="1134"/>
        <w:jc w:val="left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</w:r>
      <w:r>
        <w:rPr>
          <w:color w:val="000000"/>
        </w:rPr>
        <w:tab/>
      </w:r>
      <w:r w:rsidR="00B71D10" w:rsidRPr="007910FF">
        <w:rPr>
          <w:color w:val="000000"/>
        </w:rPr>
        <w:t>the maximum value of the supply of out-patient medication; or</w:t>
      </w:r>
    </w:p>
    <w:p w:rsidR="00B71D10" w:rsidRPr="007910FF" w:rsidRDefault="00CC5DB2" w:rsidP="00B71D10">
      <w:pPr>
        <w:pStyle w:val="BodyTextIndent"/>
        <w:tabs>
          <w:tab w:val="clear" w:pos="-1440"/>
          <w:tab w:val="left" w:pos="426"/>
        </w:tabs>
        <w:ind w:firstLine="1134"/>
        <w:jc w:val="left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="00B71D10" w:rsidRPr="007910FF">
        <w:rPr>
          <w:color w:val="000000"/>
        </w:rPr>
        <w:t xml:space="preserve">the amount charged. </w:t>
      </w:r>
    </w:p>
    <w:p w:rsidR="00B71D10" w:rsidRPr="007910FF" w:rsidRDefault="009B3CBB" w:rsidP="00B71D10">
      <w:pPr>
        <w:pStyle w:val="A1"/>
        <w:ind w:left="993" w:hanging="993"/>
      </w:pPr>
      <w:r>
        <w:t>7</w:t>
      </w:r>
      <w:r w:rsidR="00B71D10" w:rsidRPr="007910FF">
        <w:t xml:space="preserve"> </w:t>
      </w:r>
      <w:r w:rsidR="00B71D10" w:rsidRPr="007910FF">
        <w:tab/>
        <w:t>Maximum value of the supply of out-patient medication to a person who is a con</w:t>
      </w:r>
      <w:r w:rsidR="00705478">
        <w:t>cessional beneficiary, a dependa</w:t>
      </w:r>
      <w:r w:rsidR="00B71D10" w:rsidRPr="007910FF">
        <w:t>nt of a concessional beneficiary or a holder of a concession card</w:t>
      </w:r>
    </w:p>
    <w:p w:rsidR="00B71D10" w:rsidRPr="007910FF" w:rsidRDefault="00B71D10" w:rsidP="00B71D10">
      <w:pPr>
        <w:pStyle w:val="BodyTextIndent"/>
        <w:tabs>
          <w:tab w:val="clear" w:pos="-1440"/>
          <w:tab w:val="left" w:pos="426"/>
        </w:tabs>
        <w:ind w:left="426" w:hanging="426"/>
        <w:jc w:val="left"/>
        <w:rPr>
          <w:color w:val="000000"/>
          <w:sz w:val="22"/>
          <w:szCs w:val="22"/>
        </w:rPr>
      </w:pPr>
      <w:r w:rsidRPr="007910FF">
        <w:rPr>
          <w:color w:val="000000"/>
          <w:sz w:val="22"/>
          <w:szCs w:val="22"/>
        </w:rPr>
        <w:tab/>
      </w:r>
    </w:p>
    <w:p w:rsidR="00B71D10" w:rsidRPr="007910FF" w:rsidRDefault="00B71D10" w:rsidP="00B71D10">
      <w:pPr>
        <w:pStyle w:val="BodyTextIndent"/>
        <w:tabs>
          <w:tab w:val="clear" w:pos="-1440"/>
        </w:tabs>
        <w:ind w:left="993" w:firstLine="0"/>
        <w:jc w:val="left"/>
        <w:rPr>
          <w:color w:val="000000"/>
        </w:rPr>
      </w:pPr>
      <w:r w:rsidRPr="007910FF">
        <w:rPr>
          <w:color w:val="000000"/>
        </w:rPr>
        <w:t>The maximum value of the supply of out-patient medication to a person who is a concessional beneficiary, a dependant of a concessional beneficiary or the holder of a concession card is an amount that is equivalent to the amount referred to in paragraph 87(2)(a) of the Act for the supply of a pharmaceutical benefit by an approved pharmacist or approved medical practitioner.</w:t>
      </w:r>
    </w:p>
    <w:p w:rsidR="00B71D10" w:rsidRPr="007910FF" w:rsidRDefault="009B3CBB" w:rsidP="00B71D10">
      <w:pPr>
        <w:pStyle w:val="A1"/>
        <w:ind w:left="993" w:hanging="993"/>
      </w:pPr>
      <w:r>
        <w:t>8</w:t>
      </w:r>
      <w:r w:rsidR="00B71D10" w:rsidRPr="007910FF">
        <w:t xml:space="preserve"> </w:t>
      </w:r>
      <w:r w:rsidR="00B71D10" w:rsidRPr="007910FF">
        <w:tab/>
        <w:t>Maximum value of the supply of out-patient medication to a person who is a general patient and who is not a holder of a concession card</w:t>
      </w:r>
    </w:p>
    <w:p w:rsidR="00B71D10" w:rsidRPr="007910FF" w:rsidRDefault="00B71D10" w:rsidP="00B71D10">
      <w:pPr>
        <w:pStyle w:val="BodyTextIndent"/>
        <w:keepNext/>
        <w:keepLines/>
        <w:tabs>
          <w:tab w:val="clear" w:pos="-1440"/>
          <w:tab w:val="left" w:pos="426"/>
        </w:tabs>
        <w:ind w:left="425" w:hanging="425"/>
        <w:jc w:val="left"/>
        <w:rPr>
          <w:color w:val="000000"/>
          <w:sz w:val="22"/>
          <w:szCs w:val="22"/>
        </w:rPr>
      </w:pPr>
    </w:p>
    <w:p w:rsidR="00B71D10" w:rsidRPr="005E4227" w:rsidRDefault="00B71D10" w:rsidP="00B71D10">
      <w:pPr>
        <w:pStyle w:val="BodyTextIndent"/>
        <w:keepNext/>
        <w:keepLines/>
        <w:numPr>
          <w:ilvl w:val="0"/>
          <w:numId w:val="3"/>
        </w:numPr>
        <w:tabs>
          <w:tab w:val="clear" w:pos="-1440"/>
          <w:tab w:val="left" w:pos="1080"/>
        </w:tabs>
        <w:ind w:left="1701" w:hanging="708"/>
        <w:jc w:val="left"/>
        <w:rPr>
          <w:color w:val="000000"/>
        </w:rPr>
      </w:pPr>
      <w:r w:rsidRPr="005E4227">
        <w:rPr>
          <w:color w:val="000000"/>
        </w:rPr>
        <w:t xml:space="preserve">The maximum value of the supply of out-patient medication to a person who is a general patient and who is not the holder of a concession card </w:t>
      </w:r>
      <w:r w:rsidRPr="00960D37">
        <w:rPr>
          <w:color w:val="000000"/>
        </w:rPr>
        <w:t>is $3</w:t>
      </w:r>
      <w:r w:rsidR="00567D5F" w:rsidRPr="00960D37">
        <w:rPr>
          <w:color w:val="000000"/>
        </w:rPr>
        <w:t>2.80</w:t>
      </w:r>
      <w:r w:rsidRPr="00960D37">
        <w:rPr>
          <w:color w:val="000000"/>
        </w:rPr>
        <w:t>.</w:t>
      </w:r>
    </w:p>
    <w:p w:rsidR="00B71D10" w:rsidRPr="007910FF" w:rsidRDefault="00B71D10" w:rsidP="00B71D10">
      <w:pPr>
        <w:pStyle w:val="BodyTextIndent"/>
        <w:keepNext/>
        <w:keepLines/>
        <w:tabs>
          <w:tab w:val="clear" w:pos="-1440"/>
          <w:tab w:val="left" w:pos="426"/>
        </w:tabs>
        <w:ind w:left="425" w:hanging="425"/>
        <w:jc w:val="left"/>
        <w:rPr>
          <w:color w:val="000000"/>
        </w:rPr>
      </w:pPr>
    </w:p>
    <w:p w:rsidR="00B71D10" w:rsidRPr="007910FF" w:rsidRDefault="00B71D10" w:rsidP="00B71D10">
      <w:pPr>
        <w:pStyle w:val="BodyTextIndent"/>
        <w:keepNext/>
        <w:keepLines/>
        <w:numPr>
          <w:ilvl w:val="0"/>
          <w:numId w:val="3"/>
        </w:numPr>
        <w:tabs>
          <w:tab w:val="clear" w:pos="-1440"/>
          <w:tab w:val="left" w:pos="1080"/>
        </w:tabs>
        <w:ind w:left="1701" w:hanging="708"/>
        <w:jc w:val="left"/>
        <w:rPr>
          <w:color w:val="000000"/>
        </w:rPr>
      </w:pPr>
      <w:r w:rsidRPr="007910FF">
        <w:rPr>
          <w:color w:val="000000"/>
        </w:rPr>
        <w:t>This section does not apply to supplies of out-patient medication made by:</w:t>
      </w:r>
    </w:p>
    <w:p w:rsidR="00B71D10" w:rsidRPr="007910FF" w:rsidRDefault="00B71D10" w:rsidP="00B71D10">
      <w:pPr>
        <w:pStyle w:val="BodyTextIndent"/>
        <w:keepNext/>
        <w:keepLines/>
        <w:tabs>
          <w:tab w:val="clear" w:pos="-1440"/>
          <w:tab w:val="left" w:pos="426"/>
        </w:tabs>
        <w:ind w:left="425" w:hanging="425"/>
        <w:jc w:val="left"/>
        <w:rPr>
          <w:color w:val="000000"/>
        </w:rPr>
      </w:pPr>
      <w:r w:rsidRPr="007910FF">
        <w:rPr>
          <w:color w:val="000000"/>
        </w:rPr>
        <w:t xml:space="preserve">                </w:t>
      </w:r>
    </w:p>
    <w:p w:rsidR="00B71D10" w:rsidRPr="007910FF" w:rsidRDefault="00B71D10" w:rsidP="00CC5DB2">
      <w:pPr>
        <w:pStyle w:val="BodyTextIndent"/>
        <w:keepNext/>
        <w:keepLines/>
        <w:numPr>
          <w:ilvl w:val="0"/>
          <w:numId w:val="5"/>
        </w:numPr>
        <w:tabs>
          <w:tab w:val="clear" w:pos="-1440"/>
          <w:tab w:val="left" w:pos="426"/>
          <w:tab w:val="left" w:pos="2268"/>
        </w:tabs>
        <w:ind w:hanging="819"/>
        <w:jc w:val="left"/>
        <w:rPr>
          <w:color w:val="000000"/>
        </w:rPr>
      </w:pPr>
      <w:r w:rsidRPr="007910FF">
        <w:rPr>
          <w:color w:val="000000"/>
        </w:rPr>
        <w:t>a public hospital located in the State of Queensland; or</w:t>
      </w:r>
    </w:p>
    <w:p w:rsidR="00B71D10" w:rsidRPr="007910FF" w:rsidRDefault="00B71D10" w:rsidP="00B71D10">
      <w:pPr>
        <w:pStyle w:val="BodyTextIndent"/>
        <w:keepNext/>
        <w:keepLines/>
        <w:tabs>
          <w:tab w:val="clear" w:pos="-1440"/>
          <w:tab w:val="left" w:pos="426"/>
        </w:tabs>
        <w:ind w:left="425" w:hanging="425"/>
        <w:jc w:val="left"/>
        <w:rPr>
          <w:color w:val="000000"/>
        </w:rPr>
      </w:pPr>
    </w:p>
    <w:p w:rsidR="00B71D10" w:rsidRPr="007910FF" w:rsidRDefault="00B71D10" w:rsidP="00B71D10">
      <w:pPr>
        <w:pStyle w:val="BodyTextIndent"/>
        <w:keepNext/>
        <w:keepLines/>
        <w:numPr>
          <w:ilvl w:val="0"/>
          <w:numId w:val="5"/>
        </w:numPr>
        <w:tabs>
          <w:tab w:val="clear" w:pos="-1440"/>
          <w:tab w:val="left" w:pos="426"/>
          <w:tab w:val="left" w:pos="2268"/>
        </w:tabs>
        <w:ind w:left="2268" w:hanging="567"/>
        <w:jc w:val="left"/>
        <w:rPr>
          <w:color w:val="000000"/>
        </w:rPr>
      </w:pPr>
      <w:r w:rsidRPr="007910FF">
        <w:rPr>
          <w:color w:val="000000"/>
        </w:rPr>
        <w:t>a public hospital that is participating in Pharmaceutical Reform Arrangements within the meaning of the National Health Reform Agreement.</w:t>
      </w:r>
    </w:p>
    <w:p w:rsidR="00B71D10" w:rsidRPr="007910FF" w:rsidRDefault="009B3CBB" w:rsidP="00B71D10">
      <w:pPr>
        <w:pStyle w:val="A1"/>
        <w:ind w:left="993" w:hanging="993"/>
      </w:pPr>
      <w:r>
        <w:t>9</w:t>
      </w:r>
      <w:r w:rsidR="00B71D10" w:rsidRPr="007910FF">
        <w:tab/>
        <w:t>Maximum value of the supply of out-patient medication by a Queensland public hospital to a person who is a general patient and who is not a holder of a concession card</w:t>
      </w:r>
    </w:p>
    <w:p w:rsidR="00B71D10" w:rsidRPr="007910FF" w:rsidRDefault="00B71D10" w:rsidP="00B71D10">
      <w:pPr>
        <w:pStyle w:val="BodyTextIndent"/>
        <w:tabs>
          <w:tab w:val="clear" w:pos="-1440"/>
          <w:tab w:val="left" w:pos="426"/>
        </w:tabs>
        <w:ind w:left="426" w:hanging="426"/>
        <w:jc w:val="left"/>
        <w:rPr>
          <w:color w:val="000000"/>
          <w:sz w:val="22"/>
          <w:szCs w:val="22"/>
        </w:rPr>
      </w:pPr>
    </w:p>
    <w:p w:rsidR="00B71D10" w:rsidRPr="007910FF" w:rsidRDefault="00B71D10" w:rsidP="00B71D10">
      <w:pPr>
        <w:pStyle w:val="BodyTextIndent"/>
        <w:tabs>
          <w:tab w:val="clear" w:pos="-1440"/>
          <w:tab w:val="left" w:pos="993"/>
          <w:tab w:val="left" w:pos="1701"/>
        </w:tabs>
        <w:ind w:left="1701" w:hanging="1701"/>
        <w:jc w:val="left"/>
        <w:rPr>
          <w:color w:val="000000"/>
        </w:rPr>
      </w:pPr>
      <w:r w:rsidRPr="007910FF">
        <w:rPr>
          <w:color w:val="000000"/>
          <w:sz w:val="22"/>
          <w:szCs w:val="22"/>
        </w:rPr>
        <w:tab/>
      </w:r>
      <w:r w:rsidRPr="007910FF">
        <w:rPr>
          <w:color w:val="000000"/>
        </w:rPr>
        <w:t xml:space="preserve">(1) </w:t>
      </w:r>
      <w:r w:rsidRPr="007910FF">
        <w:rPr>
          <w:color w:val="000000"/>
        </w:rPr>
        <w:tab/>
        <w:t>This section applies to supplies of out-patient medication made by a public hospital located in the State of Queensland.</w:t>
      </w:r>
    </w:p>
    <w:p w:rsidR="00B71D10" w:rsidRPr="007910FF" w:rsidRDefault="00B71D10" w:rsidP="00B71D10">
      <w:pPr>
        <w:pStyle w:val="BodyTextIndent"/>
        <w:tabs>
          <w:tab w:val="clear" w:pos="-1440"/>
          <w:tab w:val="left" w:pos="426"/>
        </w:tabs>
        <w:ind w:left="0" w:firstLine="0"/>
        <w:jc w:val="left"/>
        <w:rPr>
          <w:color w:val="000000"/>
        </w:rPr>
      </w:pPr>
      <w:r w:rsidRPr="007910FF">
        <w:rPr>
          <w:color w:val="000000"/>
        </w:rPr>
        <w:tab/>
      </w:r>
    </w:p>
    <w:p w:rsidR="00B71D10" w:rsidRPr="007910FF" w:rsidRDefault="00B71D10" w:rsidP="00B71D10">
      <w:pPr>
        <w:pStyle w:val="BodyTextIndent"/>
        <w:tabs>
          <w:tab w:val="clear" w:pos="-1440"/>
          <w:tab w:val="left" w:pos="993"/>
          <w:tab w:val="left" w:pos="1701"/>
        </w:tabs>
        <w:ind w:left="1701" w:hanging="1701"/>
        <w:jc w:val="left"/>
        <w:rPr>
          <w:color w:val="000000"/>
        </w:rPr>
      </w:pPr>
      <w:r w:rsidRPr="007910FF">
        <w:rPr>
          <w:color w:val="000000"/>
        </w:rPr>
        <w:tab/>
        <w:t xml:space="preserve">(2)  </w:t>
      </w:r>
      <w:r w:rsidRPr="007910FF">
        <w:rPr>
          <w:color w:val="000000"/>
        </w:rPr>
        <w:tab/>
        <w:t>For supplies of outpatient medication mentioned in subsection (1), the maximum value of the supply of out-patient medication to a person who is a general patient and who is not the holder of a concession card is:</w:t>
      </w:r>
    </w:p>
    <w:p w:rsidR="00B71D10" w:rsidRPr="007910FF" w:rsidRDefault="00B71D10" w:rsidP="00B71D10">
      <w:pPr>
        <w:rPr>
          <w:color w:val="000000"/>
          <w:sz w:val="22"/>
          <w:szCs w:val="22"/>
        </w:rPr>
      </w:pPr>
    </w:p>
    <w:p w:rsidR="00B71D10" w:rsidRPr="007910FF" w:rsidRDefault="00B71D10" w:rsidP="00B71D10">
      <w:pPr>
        <w:pStyle w:val="BodyTextIndent2"/>
        <w:numPr>
          <w:ilvl w:val="0"/>
          <w:numId w:val="2"/>
        </w:numPr>
        <w:tabs>
          <w:tab w:val="clear" w:pos="855"/>
          <w:tab w:val="left" w:pos="-142"/>
          <w:tab w:val="left" w:pos="426"/>
          <w:tab w:val="left" w:pos="1134"/>
          <w:tab w:val="num" w:pos="1701"/>
          <w:tab w:val="left" w:pos="2268"/>
        </w:tabs>
        <w:ind w:left="2268" w:hanging="567"/>
        <w:jc w:val="left"/>
        <w:rPr>
          <w:color w:val="000000"/>
        </w:rPr>
      </w:pPr>
      <w:r w:rsidRPr="007910FF">
        <w:rPr>
          <w:color w:val="000000"/>
        </w:rPr>
        <w:t xml:space="preserve">where the medication is a drug or medicinal preparation that is a pharmaceutical benefit and the Commonwealth price for that pharmaceutical benefit exceeds the amount referred to in paragraph 87(2)(e) of the Act — an amount that is equivalent to the amount referred to in paragraph  87(2)(e) of the Act for the supply of a pharmaceutical </w:t>
      </w:r>
      <w:r w:rsidRPr="007910FF">
        <w:rPr>
          <w:color w:val="000000"/>
        </w:rPr>
        <w:lastRenderedPageBreak/>
        <w:t>benefit by an approved pharmacist or approved medical practitioner; or</w:t>
      </w:r>
    </w:p>
    <w:p w:rsidR="00B71D10" w:rsidRPr="007910FF" w:rsidRDefault="00B71D10" w:rsidP="00B71D10">
      <w:pPr>
        <w:pStyle w:val="BodyTextIndent2"/>
        <w:tabs>
          <w:tab w:val="left" w:pos="-142"/>
          <w:tab w:val="left" w:pos="426"/>
          <w:tab w:val="left" w:pos="1134"/>
          <w:tab w:val="left" w:pos="2268"/>
        </w:tabs>
        <w:ind w:left="2268" w:firstLine="0"/>
        <w:jc w:val="left"/>
        <w:rPr>
          <w:color w:val="000000"/>
        </w:rPr>
      </w:pPr>
    </w:p>
    <w:p w:rsidR="00B71D10" w:rsidRPr="007910FF" w:rsidRDefault="00B71D10" w:rsidP="00B71D10">
      <w:pPr>
        <w:pStyle w:val="BodyTextIndent2"/>
        <w:numPr>
          <w:ilvl w:val="0"/>
          <w:numId w:val="2"/>
        </w:numPr>
        <w:tabs>
          <w:tab w:val="clear" w:pos="855"/>
          <w:tab w:val="left" w:pos="-142"/>
          <w:tab w:val="left" w:pos="426"/>
          <w:tab w:val="left" w:pos="1134"/>
          <w:tab w:val="num" w:pos="1701"/>
          <w:tab w:val="left" w:pos="2268"/>
        </w:tabs>
        <w:ind w:left="2268" w:hanging="567"/>
        <w:jc w:val="left"/>
        <w:rPr>
          <w:color w:val="000000"/>
        </w:rPr>
      </w:pPr>
      <w:r w:rsidRPr="007910FF">
        <w:rPr>
          <w:color w:val="000000"/>
        </w:rPr>
        <w:t>where the medication is a drug or medicinal preparation that is a pharmaceutical benefit and the Commonwealth price for that pharmaceutical benefit does not exceed the amount referred to in paragraph 87(2)(e) of the Act — the price for that pharmaceutical benefit ascertained in accordance with the determination under subsection 84C(7) of the Act as in force from time to time; or</w:t>
      </w:r>
    </w:p>
    <w:p w:rsidR="00B71D10" w:rsidRPr="007910FF" w:rsidRDefault="00B71D10" w:rsidP="00B71D10">
      <w:pPr>
        <w:tabs>
          <w:tab w:val="left" w:pos="-1440"/>
        </w:tabs>
        <w:ind w:left="720" w:hanging="720"/>
        <w:rPr>
          <w:color w:val="000000"/>
        </w:rPr>
      </w:pPr>
    </w:p>
    <w:p w:rsidR="00B71D10" w:rsidRPr="007910FF" w:rsidRDefault="00B71D10" w:rsidP="00B71D10">
      <w:pPr>
        <w:pStyle w:val="BodyTextIndent2"/>
        <w:numPr>
          <w:ilvl w:val="0"/>
          <w:numId w:val="2"/>
        </w:numPr>
        <w:tabs>
          <w:tab w:val="clear" w:pos="855"/>
          <w:tab w:val="left" w:pos="-142"/>
          <w:tab w:val="left" w:pos="426"/>
          <w:tab w:val="left" w:pos="1134"/>
          <w:tab w:val="num" w:pos="1701"/>
          <w:tab w:val="left" w:pos="2268"/>
        </w:tabs>
        <w:ind w:left="2268" w:hanging="567"/>
        <w:jc w:val="left"/>
        <w:rPr>
          <w:color w:val="000000"/>
        </w:rPr>
      </w:pPr>
      <w:r w:rsidRPr="007910FF">
        <w:rPr>
          <w:color w:val="000000"/>
        </w:rPr>
        <w:t>where the medication is a drug or medicinal preparation which is not a pharmaceutical benefit — the amount ascertained by taking as a basis the cost to the hospital of that drug or medicinal preparation and applying, as if that cost were the approved ex-manufacturer price or proportional ex-manufacturer price, the determination under subsection 84C(7) of the Act as in force from time to time.</w:t>
      </w:r>
    </w:p>
    <w:p w:rsidR="00B71D10" w:rsidRPr="007910FF" w:rsidRDefault="009B3CBB" w:rsidP="00B71D10">
      <w:pPr>
        <w:pStyle w:val="A1"/>
        <w:ind w:left="993" w:hanging="993"/>
      </w:pPr>
      <w:r>
        <w:t>10</w:t>
      </w:r>
      <w:r w:rsidR="00B71D10" w:rsidRPr="007910FF">
        <w:tab/>
        <w:t>Maximum value of the supply of out-patient medication by a              participating public hospital to a person who i</w:t>
      </w:r>
      <w:r w:rsidR="00705478">
        <w:t xml:space="preserve">s a general patient and who is </w:t>
      </w:r>
      <w:r w:rsidR="00B71D10" w:rsidRPr="007910FF">
        <w:t>not a holder of a concession card</w:t>
      </w:r>
    </w:p>
    <w:p w:rsidR="00B71D10" w:rsidRPr="007910FF" w:rsidRDefault="00B71D10" w:rsidP="00B71D10">
      <w:pPr>
        <w:pStyle w:val="PlainText"/>
        <w:keepNext/>
        <w:keepLines/>
        <w:tabs>
          <w:tab w:val="left" w:pos="426"/>
        </w:tabs>
        <w:ind w:left="425" w:hanging="425"/>
        <w:rPr>
          <w:rFonts w:ascii="Times New Roman" w:hAnsi="Times New Roman" w:cs="Times New Roman"/>
          <w:color w:val="000000"/>
          <w:sz w:val="22"/>
          <w:szCs w:val="22"/>
        </w:rPr>
      </w:pPr>
    </w:p>
    <w:p w:rsidR="00B71D10" w:rsidRPr="007910FF" w:rsidRDefault="00B71D10" w:rsidP="00B71D10">
      <w:pPr>
        <w:pStyle w:val="PlainText"/>
        <w:keepNext/>
        <w:keepLines/>
        <w:tabs>
          <w:tab w:val="left" w:pos="993"/>
        </w:tabs>
        <w:ind w:left="1701" w:hanging="1701"/>
        <w:rPr>
          <w:rFonts w:ascii="Times New Roman" w:hAnsi="Times New Roman" w:cs="Times New Roman"/>
          <w:color w:val="000000"/>
          <w:sz w:val="24"/>
          <w:szCs w:val="24"/>
        </w:rPr>
      </w:pPr>
      <w:r w:rsidRPr="007910F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910FF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Pr="007910FF">
        <w:rPr>
          <w:rFonts w:ascii="Times New Roman" w:hAnsi="Times New Roman" w:cs="Times New Roman"/>
          <w:color w:val="000000"/>
          <w:sz w:val="24"/>
          <w:szCs w:val="24"/>
        </w:rPr>
        <w:tab/>
        <w:t>This section applies to supplies of out-patient medication made by a public hospital that is participating in Pharmaceutical Reform Arrangements within the meaning of the National Health Reform Agreement, except if the public hospital is located in the State of Queensland.</w:t>
      </w:r>
    </w:p>
    <w:p w:rsidR="00B71D10" w:rsidRPr="007910FF" w:rsidRDefault="00B71D10" w:rsidP="00B71D10">
      <w:pPr>
        <w:pStyle w:val="PlainText"/>
        <w:keepNext/>
        <w:keepLines/>
        <w:tabs>
          <w:tab w:val="left" w:pos="426"/>
        </w:tabs>
        <w:ind w:left="425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B71D10" w:rsidRPr="007910FF" w:rsidRDefault="00B71D10" w:rsidP="00B71D10">
      <w:pPr>
        <w:pStyle w:val="PlainText"/>
        <w:keepNext/>
        <w:keepLines/>
        <w:tabs>
          <w:tab w:val="left" w:pos="993"/>
        </w:tabs>
        <w:ind w:left="1701" w:hanging="1701"/>
        <w:rPr>
          <w:rFonts w:ascii="Times New Roman" w:hAnsi="Times New Roman" w:cs="Times New Roman"/>
          <w:color w:val="000000"/>
          <w:sz w:val="24"/>
          <w:szCs w:val="24"/>
        </w:rPr>
      </w:pPr>
      <w:r w:rsidRPr="007910F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(2) </w:t>
      </w:r>
      <w:r w:rsidRPr="007910FF">
        <w:rPr>
          <w:rFonts w:ascii="Times New Roman" w:hAnsi="Times New Roman" w:cs="Times New Roman"/>
          <w:color w:val="000000"/>
          <w:sz w:val="24"/>
          <w:szCs w:val="24"/>
        </w:rPr>
        <w:tab/>
        <w:t>For supplies of out-patient medication mentioned in subsection (1), the maximum value of the supply of out-patient medication to a person who is a general patient and who is not the holder of a concession card is:</w:t>
      </w:r>
    </w:p>
    <w:p w:rsidR="00B71D10" w:rsidRPr="007910FF" w:rsidRDefault="00B71D10" w:rsidP="00B71D10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B71D10" w:rsidRPr="007910FF" w:rsidRDefault="00B71D10" w:rsidP="00B71D10">
      <w:pPr>
        <w:pStyle w:val="BodyTextIndent2"/>
        <w:numPr>
          <w:ilvl w:val="0"/>
          <w:numId w:val="6"/>
        </w:numPr>
        <w:tabs>
          <w:tab w:val="clear" w:pos="855"/>
          <w:tab w:val="left" w:pos="-142"/>
          <w:tab w:val="left" w:pos="426"/>
          <w:tab w:val="num" w:pos="567"/>
          <w:tab w:val="left" w:pos="1134"/>
          <w:tab w:val="num" w:pos="1701"/>
          <w:tab w:val="left" w:pos="2268"/>
        </w:tabs>
        <w:ind w:left="2268" w:hanging="567"/>
        <w:jc w:val="left"/>
        <w:rPr>
          <w:color w:val="000000"/>
        </w:rPr>
      </w:pPr>
      <w:r w:rsidRPr="007910FF">
        <w:rPr>
          <w:color w:val="000000"/>
        </w:rPr>
        <w:t xml:space="preserve">where the medication is a drug or medicinal preparation that is a pharmaceutical benefit — the maximum value of the pharmaceutical benefit ascertained in accordance with </w:t>
      </w:r>
      <w:r w:rsidRPr="005E4227">
        <w:rPr>
          <w:color w:val="000000"/>
        </w:rPr>
        <w:t xml:space="preserve">regulation </w:t>
      </w:r>
      <w:r w:rsidR="00387A02">
        <w:rPr>
          <w:color w:val="000000"/>
        </w:rPr>
        <w:t>17A</w:t>
      </w:r>
      <w:r w:rsidRPr="007910FF">
        <w:rPr>
          <w:color w:val="000000"/>
        </w:rPr>
        <w:t xml:space="preserve"> of the </w:t>
      </w:r>
      <w:r w:rsidR="005E4227" w:rsidRPr="005E4227">
        <w:rPr>
          <w:i/>
          <w:iCs/>
          <w:color w:val="000000"/>
        </w:rPr>
        <w:t>National Health (Pharmaceutical Benefits) Regulations 2017</w:t>
      </w:r>
      <w:r w:rsidRPr="007910FF">
        <w:rPr>
          <w:color w:val="000000"/>
        </w:rPr>
        <w:t xml:space="preserve"> as if the pharmaceutical benefit had been supplied by an approved pharmacist or an approved medical practitioner; or</w:t>
      </w:r>
    </w:p>
    <w:p w:rsidR="00B71D10" w:rsidRPr="007910FF" w:rsidRDefault="00B71D10" w:rsidP="00B71D10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B71D10" w:rsidRPr="00D275E6" w:rsidRDefault="00B71D10" w:rsidP="00CC5DB2">
      <w:pPr>
        <w:tabs>
          <w:tab w:val="left" w:pos="426"/>
          <w:tab w:val="left" w:pos="851"/>
          <w:tab w:val="left" w:pos="1560"/>
          <w:tab w:val="left" w:pos="1701"/>
          <w:tab w:val="left" w:pos="2268"/>
        </w:tabs>
        <w:ind w:left="2268" w:hanging="567"/>
        <w:rPr>
          <w:color w:val="000000"/>
        </w:rPr>
      </w:pPr>
      <w:r w:rsidRPr="007910FF">
        <w:rPr>
          <w:color w:val="000000"/>
          <w:lang w:eastAsia="en-US"/>
        </w:rPr>
        <w:t>(b)</w:t>
      </w:r>
      <w:r w:rsidRPr="007910FF">
        <w:rPr>
          <w:color w:val="000000"/>
          <w:lang w:eastAsia="en-US"/>
        </w:rPr>
        <w:tab/>
        <w:t xml:space="preserve">where the medication is a drug or medicinal preparation that is not a </w:t>
      </w:r>
      <w:r w:rsidRPr="007910FF">
        <w:rPr>
          <w:color w:val="000000"/>
        </w:rPr>
        <w:t>pharmaceutical benefit — the amount ascertained by taking as a basis the cost to the hospital of that drug or medicinal preparation and applying, as if that cost were the approved ex-manufacturer price or proportional ex-manufacturer price, the determination under subsection 84C(7) of the Act as in force from time to time.</w:t>
      </w:r>
    </w:p>
    <w:p w:rsidR="00B71D10" w:rsidRPr="00802B52" w:rsidRDefault="00B71D10" w:rsidP="00B71D10">
      <w:pPr>
        <w:jc w:val="both"/>
        <w:rPr>
          <w:color w:val="000000"/>
        </w:rPr>
      </w:pPr>
    </w:p>
    <w:p w:rsidR="00B71D10" w:rsidRDefault="00B71D10" w:rsidP="00CC5DB2">
      <w:pPr>
        <w:jc w:val="both"/>
        <w:rPr>
          <w:iCs/>
          <w:color w:val="000000"/>
        </w:rPr>
      </w:pPr>
    </w:p>
    <w:p w:rsidR="00B71D10" w:rsidRDefault="00B71D10" w:rsidP="00CC5DB2">
      <w:pPr>
        <w:jc w:val="both"/>
        <w:rPr>
          <w:iCs/>
          <w:color w:val="000000"/>
        </w:rPr>
      </w:pPr>
    </w:p>
    <w:p w:rsidR="00B71D10" w:rsidRPr="00622E5C" w:rsidRDefault="00B71D10" w:rsidP="00B71D10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9"/>
          <w:szCs w:val="19"/>
          <w:lang w:val="en-US" w:eastAsia="en-US"/>
        </w:rPr>
      </w:pPr>
    </w:p>
    <w:p w:rsidR="00003743" w:rsidRPr="002F3AE3" w:rsidRDefault="00003743" w:rsidP="002F3AE3"/>
    <w:sectPr w:rsidR="00003743" w:rsidRPr="002F3AE3" w:rsidSect="00802B52">
      <w:headerReference w:type="default" r:id="rId14"/>
      <w:pgSz w:w="11906" w:h="16838" w:code="9"/>
      <w:pgMar w:top="1440" w:right="1079" w:bottom="1440" w:left="1276" w:header="0" w:footer="2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B2" w:rsidRDefault="00CC5DB2" w:rsidP="00CC5DB2">
      <w:r>
        <w:separator/>
      </w:r>
    </w:p>
  </w:endnote>
  <w:endnote w:type="continuationSeparator" w:id="0">
    <w:p w:rsidR="00CC5DB2" w:rsidRDefault="00CC5DB2" w:rsidP="00CC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FB" w:rsidRDefault="00CC5DB2" w:rsidP="00737EC2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6561FB" w:rsidRDefault="00B2631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61FB">
      <w:tc>
        <w:tcPr>
          <w:tcW w:w="1134" w:type="dxa"/>
        </w:tcPr>
        <w:p w:rsidR="006561FB" w:rsidRPr="00977098" w:rsidRDefault="00B26310" w:rsidP="00977098">
          <w:pPr>
            <w:tabs>
              <w:tab w:val="right" w:pos="794"/>
            </w:tabs>
            <w:spacing w:before="120" w:line="240" w:lineRule="exact"/>
            <w:ind w:left="964" w:hanging="964"/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</w:tcPr>
        <w:p w:rsidR="000540F0" w:rsidRPr="000540F0" w:rsidRDefault="00CC5DB2" w:rsidP="00B71D10"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 w:rsidR="000540F0" w:rsidRPr="000540F0">
            <w:t>PB 110 of 2019</w:t>
          </w:r>
        </w:p>
        <w:p w:rsidR="000540F0" w:rsidRPr="000540F0" w:rsidRDefault="000540F0" w:rsidP="00B71D10">
          <w:pPr>
            <w:spacing w:before="240"/>
          </w:pPr>
          <w:r w:rsidRPr="000540F0">
            <w:t>National Health (Supplies of out-patient medication) Determination 2019 (No.2)</w:t>
          </w:r>
        </w:p>
        <w:p w:rsidR="000540F0" w:rsidRPr="007910FF" w:rsidRDefault="000540F0" w:rsidP="00B71D10"/>
        <w:p w:rsidR="000540F0" w:rsidRPr="000540F0" w:rsidRDefault="000540F0" w:rsidP="00B71D10">
          <w:r w:rsidRPr="000540F0">
            <w:t>National Health Act 1953</w:t>
          </w:r>
        </w:p>
        <w:p w:rsidR="000540F0" w:rsidRPr="007910FF" w:rsidRDefault="000540F0" w:rsidP="00B71D10">
          <w:r w:rsidRPr="007910FF">
            <w:t>___________________________________________________________________________</w:t>
          </w:r>
        </w:p>
        <w:p w:rsidR="000540F0" w:rsidRPr="007910FF" w:rsidRDefault="000540F0" w:rsidP="00B71D10"/>
        <w:p w:rsidR="006561FB" w:rsidRPr="004F5D6D" w:rsidRDefault="00CC5DB2" w:rsidP="00977098">
          <w:pPr>
            <w:pStyle w:val="Footer"/>
            <w:tabs>
              <w:tab w:val="right" w:pos="794"/>
            </w:tabs>
            <w:spacing w:before="20" w:line="240" w:lineRule="exact"/>
            <w:ind w:left="964" w:hanging="964"/>
          </w:pPr>
          <w:r w:rsidRPr="00EF2F9D">
            <w:fldChar w:fldCharType="end"/>
          </w:r>
        </w:p>
      </w:tc>
      <w:tc>
        <w:tcPr>
          <w:tcW w:w="1134" w:type="dxa"/>
        </w:tcPr>
        <w:p w:rsidR="006561FB" w:rsidRPr="00451BF5" w:rsidRDefault="00B26310" w:rsidP="00977098">
          <w:pPr>
            <w:tabs>
              <w:tab w:val="right" w:pos="794"/>
            </w:tabs>
            <w:spacing w:before="120" w:line="240" w:lineRule="exact"/>
            <w:ind w:left="964" w:hanging="964"/>
            <w:jc w:val="right"/>
            <w:rPr>
              <w:rStyle w:val="PageNumber"/>
              <w:rFonts w:eastAsiaTheme="majorEastAsia"/>
            </w:rPr>
          </w:pPr>
        </w:p>
      </w:tc>
    </w:tr>
  </w:tbl>
  <w:p w:rsidR="006561FB" w:rsidRDefault="00CC5DB2">
    <w:pPr>
      <w:pStyle w:val="FooterDraft"/>
      <w:ind w:right="360" w:firstLine="360"/>
    </w:pPr>
    <w:r>
      <w:t>DRAFT ONLY</w:t>
    </w:r>
  </w:p>
  <w:p w:rsidR="006561FB" w:rsidRDefault="009B3CBB">
    <w:pPr>
      <w:pStyle w:val="FooterInfo"/>
    </w:pPr>
    <w:fldSimple w:instr=" FILENAME   \* MERGEFORMAT ">
      <w:r w:rsidR="000540F0">
        <w:rPr>
          <w:noProof/>
        </w:rPr>
        <w:t>2019-12-11 - Determination_84BA(2)_PB110 of 2019</w:t>
      </w:r>
    </w:fldSimple>
    <w:r w:rsidR="00CC5DB2" w:rsidRPr="00974D8C">
      <w:t xml:space="preserve"> </w:t>
    </w:r>
    <w:r w:rsidR="00CC5DB2">
      <w:fldChar w:fldCharType="begin"/>
    </w:r>
    <w:r w:rsidR="00CC5DB2">
      <w:instrText xml:space="preserve"> DATE  \@ "D/MM/YYYY"  \* MERGEFORMAT </w:instrText>
    </w:r>
    <w:r w:rsidR="00CC5DB2">
      <w:fldChar w:fldCharType="separate"/>
    </w:r>
    <w:r w:rsidR="00B26310">
      <w:rPr>
        <w:noProof/>
      </w:rPr>
      <w:t>20/12/2019</w:t>
    </w:r>
    <w:r w:rsidR="00CC5DB2">
      <w:fldChar w:fldCharType="end"/>
    </w:r>
    <w:r w:rsidR="00CC5DB2">
      <w:t xml:space="preserve"> </w:t>
    </w:r>
    <w:r w:rsidR="00CC5DB2">
      <w:fldChar w:fldCharType="begin"/>
    </w:r>
    <w:r w:rsidR="00CC5DB2">
      <w:instrText xml:space="preserve"> TIME  \@ "h:mm am/pm"  \* MERGEFORMAT </w:instrText>
    </w:r>
    <w:r w:rsidR="00CC5DB2">
      <w:fldChar w:fldCharType="separate"/>
    </w:r>
    <w:r w:rsidR="00B26310">
      <w:rPr>
        <w:noProof/>
      </w:rPr>
      <w:t>8:55 AM</w:t>
    </w:r>
    <w:r w:rsidR="00CC5DB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FB" w:rsidRPr="00AD1A0F" w:rsidRDefault="00CC5DB2" w:rsidP="009A78FA">
    <w:pPr>
      <w:pStyle w:val="Footer"/>
      <w:framePr w:wrap="around" w:vAnchor="text" w:hAnchor="margin" w:xAlign="right" w:y="1"/>
      <w:rPr>
        <w:rStyle w:val="PageNumber"/>
        <w:rFonts w:eastAsiaTheme="majorEastAsia"/>
        <w:sz w:val="16"/>
        <w:szCs w:val="16"/>
      </w:rPr>
    </w:pPr>
    <w:r w:rsidRPr="00AD1A0F">
      <w:rPr>
        <w:rStyle w:val="PageNumber"/>
        <w:rFonts w:eastAsiaTheme="majorEastAsia"/>
        <w:sz w:val="16"/>
        <w:szCs w:val="16"/>
      </w:rPr>
      <w:fldChar w:fldCharType="begin"/>
    </w:r>
    <w:r w:rsidRPr="00AD1A0F">
      <w:rPr>
        <w:rStyle w:val="PageNumber"/>
        <w:rFonts w:eastAsiaTheme="majorEastAsia"/>
        <w:sz w:val="16"/>
        <w:szCs w:val="16"/>
      </w:rPr>
      <w:instrText xml:space="preserve">PAGE  </w:instrText>
    </w:r>
    <w:r w:rsidRPr="00AD1A0F">
      <w:rPr>
        <w:rStyle w:val="PageNumber"/>
        <w:rFonts w:eastAsiaTheme="majorEastAsia"/>
        <w:sz w:val="16"/>
        <w:szCs w:val="16"/>
      </w:rPr>
      <w:fldChar w:fldCharType="separate"/>
    </w:r>
    <w:r w:rsidR="00B26310">
      <w:rPr>
        <w:rStyle w:val="PageNumber"/>
        <w:rFonts w:eastAsiaTheme="majorEastAsia"/>
        <w:noProof/>
        <w:sz w:val="16"/>
        <w:szCs w:val="16"/>
      </w:rPr>
      <w:t>2</w:t>
    </w:r>
    <w:r w:rsidRPr="00AD1A0F">
      <w:rPr>
        <w:rStyle w:val="PageNumber"/>
        <w:rFonts w:eastAsiaTheme="majorEastAsia"/>
        <w:sz w:val="16"/>
        <w:szCs w:val="16"/>
      </w:rPr>
      <w:fldChar w:fldCharType="end"/>
    </w:r>
  </w:p>
  <w:p w:rsidR="006561FB" w:rsidRPr="00A22699" w:rsidRDefault="00CC5DB2" w:rsidP="00AD1A0F">
    <w:pPr>
      <w:spacing w:line="200" w:lineRule="exact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Instrument Number PB 11</w:t>
    </w:r>
    <w:r w:rsidR="00AF7CF7">
      <w:rPr>
        <w:rFonts w:ascii="Arial" w:hAnsi="Arial" w:cs="Arial"/>
        <w:i/>
        <w:sz w:val="16"/>
        <w:szCs w:val="16"/>
      </w:rPr>
      <w:t>0</w:t>
    </w:r>
    <w:r>
      <w:rPr>
        <w:rFonts w:ascii="Arial" w:hAnsi="Arial" w:cs="Arial"/>
        <w:i/>
        <w:sz w:val="16"/>
        <w:szCs w:val="16"/>
      </w:rPr>
      <w:t xml:space="preserve"> of 201</w:t>
    </w:r>
    <w:r w:rsidR="00AF7CF7">
      <w:rPr>
        <w:rFonts w:ascii="Arial" w:hAnsi="Arial" w:cs="Arial"/>
        <w:i/>
        <w:sz w:val="16"/>
        <w:szCs w:val="16"/>
      </w:rPr>
      <w:t>9</w:t>
    </w:r>
  </w:p>
  <w:p w:rsidR="006561FB" w:rsidRDefault="00B26310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B2" w:rsidRDefault="00CC5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B2" w:rsidRDefault="00CC5DB2" w:rsidP="00CC5DB2">
      <w:r>
        <w:separator/>
      </w:r>
    </w:p>
  </w:footnote>
  <w:footnote w:type="continuationSeparator" w:id="0">
    <w:p w:rsidR="00CC5DB2" w:rsidRDefault="00CC5DB2" w:rsidP="00CC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6561FB" w:rsidRPr="00977098">
      <w:tc>
        <w:tcPr>
          <w:tcW w:w="8385" w:type="dxa"/>
        </w:tcPr>
        <w:p w:rsidR="006561FB" w:rsidRDefault="00B26310">
          <w:pPr>
            <w:pStyle w:val="HeaderLiteEven"/>
          </w:pPr>
        </w:p>
      </w:tc>
    </w:tr>
    <w:tr w:rsidR="006561FB" w:rsidRPr="00977098">
      <w:tc>
        <w:tcPr>
          <w:tcW w:w="8385" w:type="dxa"/>
        </w:tcPr>
        <w:p w:rsidR="006561FB" w:rsidRDefault="00B26310">
          <w:pPr>
            <w:pStyle w:val="HeaderLiteEven"/>
          </w:pPr>
        </w:p>
      </w:tc>
    </w:tr>
    <w:tr w:rsidR="006561FB" w:rsidRPr="00977098">
      <w:tc>
        <w:tcPr>
          <w:tcW w:w="8385" w:type="dxa"/>
        </w:tcPr>
        <w:p w:rsidR="006561FB" w:rsidRDefault="00B26310">
          <w:pPr>
            <w:pStyle w:val="HeaderBoldEven"/>
          </w:pPr>
        </w:p>
      </w:tc>
    </w:tr>
  </w:tbl>
  <w:p w:rsidR="006561FB" w:rsidRDefault="00B263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B2" w:rsidRDefault="00CC5D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B2" w:rsidRDefault="00CC5D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FB" w:rsidRDefault="00B263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238B"/>
    <w:multiLevelType w:val="hybridMultilevel"/>
    <w:tmpl w:val="3A80A9E0"/>
    <w:lvl w:ilvl="0" w:tplc="43AEB49C">
      <w:start w:val="1"/>
      <w:numFmt w:val="decimal"/>
      <w:lvlText w:val="(%1)"/>
      <w:lvlJc w:val="left"/>
      <w:pPr>
        <w:ind w:left="2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1" w15:restartNumberingAfterBreak="0">
    <w:nsid w:val="297A635C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abstractNum w:abstractNumId="2" w15:restartNumberingAfterBreak="0">
    <w:nsid w:val="340260BD"/>
    <w:multiLevelType w:val="hybridMultilevel"/>
    <w:tmpl w:val="48543EF8"/>
    <w:lvl w:ilvl="0" w:tplc="6D98EC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6FA42D98"/>
    <w:multiLevelType w:val="hybridMultilevel"/>
    <w:tmpl w:val="BE1CCD1A"/>
    <w:lvl w:ilvl="0" w:tplc="3200885C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3510" w:hanging="360"/>
      </w:pPr>
    </w:lvl>
    <w:lvl w:ilvl="2" w:tplc="0C09001B" w:tentative="1">
      <w:start w:val="1"/>
      <w:numFmt w:val="lowerRoman"/>
      <w:lvlText w:val="%3."/>
      <w:lvlJc w:val="right"/>
      <w:pPr>
        <w:ind w:left="4230" w:hanging="180"/>
      </w:pPr>
    </w:lvl>
    <w:lvl w:ilvl="3" w:tplc="0C09000F" w:tentative="1">
      <w:start w:val="1"/>
      <w:numFmt w:val="decimal"/>
      <w:lvlText w:val="%4."/>
      <w:lvlJc w:val="left"/>
      <w:pPr>
        <w:ind w:left="4950" w:hanging="360"/>
      </w:pPr>
    </w:lvl>
    <w:lvl w:ilvl="4" w:tplc="0C090019" w:tentative="1">
      <w:start w:val="1"/>
      <w:numFmt w:val="lowerLetter"/>
      <w:lvlText w:val="%5."/>
      <w:lvlJc w:val="left"/>
      <w:pPr>
        <w:ind w:left="5670" w:hanging="360"/>
      </w:pPr>
    </w:lvl>
    <w:lvl w:ilvl="5" w:tplc="0C09001B" w:tentative="1">
      <w:start w:val="1"/>
      <w:numFmt w:val="lowerRoman"/>
      <w:lvlText w:val="%6."/>
      <w:lvlJc w:val="right"/>
      <w:pPr>
        <w:ind w:left="6390" w:hanging="180"/>
      </w:pPr>
    </w:lvl>
    <w:lvl w:ilvl="6" w:tplc="0C09000F" w:tentative="1">
      <w:start w:val="1"/>
      <w:numFmt w:val="decimal"/>
      <w:lvlText w:val="%7."/>
      <w:lvlJc w:val="left"/>
      <w:pPr>
        <w:ind w:left="7110" w:hanging="360"/>
      </w:pPr>
    </w:lvl>
    <w:lvl w:ilvl="7" w:tplc="0C090019" w:tentative="1">
      <w:start w:val="1"/>
      <w:numFmt w:val="lowerLetter"/>
      <w:lvlText w:val="%8."/>
      <w:lvlJc w:val="left"/>
      <w:pPr>
        <w:ind w:left="7830" w:hanging="360"/>
      </w:pPr>
    </w:lvl>
    <w:lvl w:ilvl="8" w:tplc="0C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 w15:restartNumberingAfterBreak="0">
    <w:nsid w:val="7B467664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10"/>
    <w:rsid w:val="00003743"/>
    <w:rsid w:val="000540F0"/>
    <w:rsid w:val="00067456"/>
    <w:rsid w:val="000E031B"/>
    <w:rsid w:val="001B3443"/>
    <w:rsid w:val="00292C04"/>
    <w:rsid w:val="002F3AE3"/>
    <w:rsid w:val="0030786C"/>
    <w:rsid w:val="00310774"/>
    <w:rsid w:val="00387A02"/>
    <w:rsid w:val="003D17F9"/>
    <w:rsid w:val="004867E2"/>
    <w:rsid w:val="005544F7"/>
    <w:rsid w:val="00567D5F"/>
    <w:rsid w:val="005E4227"/>
    <w:rsid w:val="006A275E"/>
    <w:rsid w:val="00705478"/>
    <w:rsid w:val="007F6830"/>
    <w:rsid w:val="008264EB"/>
    <w:rsid w:val="008F1C7D"/>
    <w:rsid w:val="00941D74"/>
    <w:rsid w:val="00960D37"/>
    <w:rsid w:val="00965BD1"/>
    <w:rsid w:val="009B3CBB"/>
    <w:rsid w:val="00A4512D"/>
    <w:rsid w:val="00A705AF"/>
    <w:rsid w:val="00AF26F5"/>
    <w:rsid w:val="00AF7CF7"/>
    <w:rsid w:val="00B26310"/>
    <w:rsid w:val="00B42851"/>
    <w:rsid w:val="00B71D10"/>
    <w:rsid w:val="00BA4B6E"/>
    <w:rsid w:val="00C56685"/>
    <w:rsid w:val="00CB5B1A"/>
    <w:rsid w:val="00CC5DB2"/>
    <w:rsid w:val="00D53B8A"/>
    <w:rsid w:val="00E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F5730"/>
  <w15:docId w15:val="{AF9D8808-7CAA-4CAD-8CEF-89AD4DD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10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B71D10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71D1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B71D10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1D10"/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71D1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71D10"/>
    <w:rPr>
      <w:rFonts w:ascii="Arial" w:hAnsi="Arial"/>
      <w:sz w:val="12"/>
    </w:rPr>
  </w:style>
  <w:style w:type="character" w:styleId="PageNumber">
    <w:name w:val="page number"/>
    <w:rsid w:val="00B71D10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B71D10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71D10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HR">
    <w:name w:val="HR"/>
    <w:aliases w:val="Regulation Heading"/>
    <w:basedOn w:val="Normal"/>
    <w:next w:val="R1"/>
    <w:rsid w:val="00B71D10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B71D1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styleId="BodyTextIndent">
    <w:name w:val="Body Text Indent"/>
    <w:basedOn w:val="Normal"/>
    <w:link w:val="BodyTextIndentChar"/>
    <w:uiPriority w:val="99"/>
    <w:rsid w:val="00B71D10"/>
    <w:pPr>
      <w:widowControl w:val="0"/>
      <w:tabs>
        <w:tab w:val="left" w:pos="-1440"/>
      </w:tabs>
      <w:ind w:left="567" w:hanging="567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1D10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71D10"/>
    <w:pPr>
      <w:widowControl w:val="0"/>
      <w:tabs>
        <w:tab w:val="left" w:pos="-1440"/>
      </w:tabs>
      <w:ind w:left="993" w:hanging="993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1D10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B71D1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1D10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B71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5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5DB2"/>
    <w:rPr>
      <w:sz w:val="24"/>
      <w:szCs w:val="24"/>
    </w:rPr>
  </w:style>
  <w:style w:type="character" w:styleId="CommentReference">
    <w:name w:val="annotation reference"/>
    <w:basedOn w:val="DefaultParagraphFont"/>
    <w:rsid w:val="00941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1D74"/>
  </w:style>
  <w:style w:type="paragraph" w:styleId="CommentSubject">
    <w:name w:val="annotation subject"/>
    <w:basedOn w:val="CommentText"/>
    <w:next w:val="CommentText"/>
    <w:link w:val="CommentSubjectChar"/>
    <w:rsid w:val="0094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1D74"/>
    <w:rPr>
      <w:b/>
      <w:bCs/>
    </w:rPr>
  </w:style>
  <w:style w:type="paragraph" w:styleId="Revision">
    <w:name w:val="Revision"/>
    <w:hidden/>
    <w:uiPriority w:val="99"/>
    <w:semiHidden/>
    <w:rsid w:val="00941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GOH, Chooi</dc:creator>
  <cp:lastModifiedBy>HENNESSY, Rhondda</cp:lastModifiedBy>
  <cp:revision>11</cp:revision>
  <cp:lastPrinted>2019-12-16T01:25:00Z</cp:lastPrinted>
  <dcterms:created xsi:type="dcterms:W3CDTF">2017-12-14T05:44:00Z</dcterms:created>
  <dcterms:modified xsi:type="dcterms:W3CDTF">2019-12-19T21:55:00Z</dcterms:modified>
</cp:coreProperties>
</file>