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D89F0" w14:textId="77777777" w:rsidR="007D119B" w:rsidRDefault="007D119B" w:rsidP="007D119B">
      <w:pPr>
        <w:pStyle w:val="Heading1"/>
        <w:spacing w:line="360" w:lineRule="auto"/>
      </w:pPr>
      <w:bookmarkStart w:id="0" w:name="_GoBack"/>
      <w:bookmarkEnd w:id="0"/>
      <w:r>
        <w:t>EXPLANATORY STATEMENT</w:t>
      </w:r>
    </w:p>
    <w:p w14:paraId="26718EFC" w14:textId="77777777" w:rsidR="007D119B" w:rsidRDefault="007D119B" w:rsidP="007D119B">
      <w:pPr>
        <w:pStyle w:val="Heading2"/>
        <w:spacing w:before="120" w:after="360" w:line="360" w:lineRule="auto"/>
        <w:ind w:left="0" w:firstLine="0"/>
      </w:pPr>
      <w:r w:rsidRPr="00414D74">
        <w:rPr>
          <w:i/>
        </w:rPr>
        <w:t>Migration Regulations 1994</w:t>
      </w:r>
    </w:p>
    <w:p w14:paraId="6D87285E" w14:textId="484F55C2" w:rsidR="007D119B" w:rsidRDefault="00A53BD3" w:rsidP="000C29B9">
      <w:pPr>
        <w:spacing w:after="80" w:line="276" w:lineRule="auto"/>
        <w:ind w:hanging="23"/>
        <w:jc w:val="center"/>
        <w:rPr>
          <w:i/>
          <w:sz w:val="24"/>
        </w:rPr>
      </w:pPr>
      <w:r>
        <w:rPr>
          <w:b/>
          <w:sz w:val="24"/>
        </w:rPr>
        <w:t>Migration (</w:t>
      </w:r>
      <w:r w:rsidR="00170BFC">
        <w:rPr>
          <w:b/>
          <w:sz w:val="24"/>
        </w:rPr>
        <w:t>LIN 20/001</w:t>
      </w:r>
      <w:r w:rsidR="007D119B" w:rsidRPr="00414D74">
        <w:rPr>
          <w:b/>
          <w:sz w:val="24"/>
        </w:rPr>
        <w:t>:</w:t>
      </w:r>
      <w:r w:rsidR="008A3F3C" w:rsidRPr="008A3F3C">
        <w:t xml:space="preserve"> </w:t>
      </w:r>
      <w:r w:rsidR="008A3F3C" w:rsidRPr="008A3F3C">
        <w:rPr>
          <w:b/>
          <w:sz w:val="24"/>
        </w:rPr>
        <w:t>Payment of Visa Application Charges and Fees in Foreign Currencies</w:t>
      </w:r>
      <w:r w:rsidR="008A3F3C">
        <w:rPr>
          <w:b/>
          <w:sz w:val="24"/>
        </w:rPr>
        <w:t>)</w:t>
      </w:r>
      <w:r w:rsidR="00170BFC">
        <w:rPr>
          <w:b/>
          <w:sz w:val="24"/>
        </w:rPr>
        <w:t xml:space="preserve"> Instrument 2020</w:t>
      </w:r>
    </w:p>
    <w:p w14:paraId="7524A1A5" w14:textId="1B509822" w:rsidR="007D119B" w:rsidRPr="008A3F3C" w:rsidRDefault="007D119B" w:rsidP="000C29B9">
      <w:pPr>
        <w:spacing w:after="360" w:line="360" w:lineRule="auto"/>
        <w:ind w:hanging="23"/>
        <w:jc w:val="center"/>
        <w:rPr>
          <w:i/>
        </w:rPr>
      </w:pPr>
      <w:r w:rsidRPr="008A3F3C">
        <w:rPr>
          <w:i/>
        </w:rPr>
        <w:t>(</w:t>
      </w:r>
      <w:r w:rsidR="008A3F3C" w:rsidRPr="008A3F3C">
        <w:rPr>
          <w:i/>
        </w:rPr>
        <w:t>Paragraphs 5.36(1</w:t>
      </w:r>
      <w:proofErr w:type="gramStart"/>
      <w:r w:rsidR="008A3F3C" w:rsidRPr="008A3F3C">
        <w:rPr>
          <w:i/>
        </w:rPr>
        <w:t>)(</w:t>
      </w:r>
      <w:proofErr w:type="gramEnd"/>
      <w:r w:rsidR="008A3F3C" w:rsidRPr="008A3F3C">
        <w:rPr>
          <w:i/>
        </w:rPr>
        <w:t>a) and (b), and 5.36(1A)(a)</w:t>
      </w:r>
      <w:r w:rsidRPr="008A3F3C">
        <w:rPr>
          <w:i/>
        </w:rPr>
        <w:t>)</w:t>
      </w:r>
    </w:p>
    <w:p w14:paraId="5EEA740D" w14:textId="77777777" w:rsidR="005C3AD3" w:rsidRPr="005C3AD3" w:rsidRDefault="005C3AD3" w:rsidP="005C3AD3">
      <w:pPr>
        <w:numPr>
          <w:ilvl w:val="0"/>
          <w:numId w:val="1"/>
        </w:numPr>
        <w:spacing w:after="240" w:line="276" w:lineRule="auto"/>
        <w:ind w:left="629" w:hanging="629"/>
        <w:jc w:val="both"/>
        <w:rPr>
          <w:sz w:val="24"/>
        </w:rPr>
      </w:pPr>
      <w:r w:rsidRPr="005C3AD3">
        <w:rPr>
          <w:sz w:val="24"/>
        </w:rPr>
        <w:t xml:space="preserve">The </w:t>
      </w:r>
      <w:r w:rsidRPr="007F1D4E">
        <w:rPr>
          <w:i/>
          <w:sz w:val="24"/>
        </w:rPr>
        <w:t>Migration (LIN 20/001: Payment of Visa Application Charges and Fees in Foreign Currencies) Instrument 2020</w:t>
      </w:r>
      <w:r w:rsidRPr="005C3AD3">
        <w:rPr>
          <w:sz w:val="24"/>
        </w:rPr>
        <w:t xml:space="preserve"> is made under paragraphs 5.36(1</w:t>
      </w:r>
      <w:proofErr w:type="gramStart"/>
      <w:r w:rsidRPr="005C3AD3">
        <w:rPr>
          <w:sz w:val="24"/>
        </w:rPr>
        <w:t>)(</w:t>
      </w:r>
      <w:proofErr w:type="gramEnd"/>
      <w:r w:rsidRPr="005C3AD3">
        <w:rPr>
          <w:sz w:val="24"/>
        </w:rPr>
        <w:t>a) and (b), and 5.36(1A)(a) of the Migration Regulations 1994 (Regulations).</w:t>
      </w:r>
    </w:p>
    <w:p w14:paraId="5FC4953F" w14:textId="54C72C24" w:rsidR="005C3AD3" w:rsidRPr="005C3AD3" w:rsidRDefault="007D119B" w:rsidP="005C3AD3">
      <w:pPr>
        <w:numPr>
          <w:ilvl w:val="0"/>
          <w:numId w:val="1"/>
        </w:numPr>
        <w:spacing w:after="240" w:line="276" w:lineRule="auto"/>
        <w:ind w:left="629" w:hanging="629"/>
        <w:jc w:val="both"/>
        <w:rPr>
          <w:sz w:val="24"/>
        </w:rPr>
      </w:pPr>
      <w:proofErr w:type="gramStart"/>
      <w:r w:rsidRPr="00494ADB">
        <w:rPr>
          <w:sz w:val="24"/>
        </w:rPr>
        <w:t>The instrumen</w:t>
      </w:r>
      <w:r w:rsidR="00A53BD3" w:rsidRPr="00494ADB">
        <w:rPr>
          <w:sz w:val="24"/>
        </w:rPr>
        <w:t xml:space="preserve">t repeals </w:t>
      </w:r>
      <w:r w:rsidR="00A3680C">
        <w:rPr>
          <w:sz w:val="24"/>
        </w:rPr>
        <w:t xml:space="preserve">the instruments </w:t>
      </w:r>
      <w:r w:rsidR="00170BFC">
        <w:rPr>
          <w:i/>
          <w:sz w:val="24"/>
        </w:rPr>
        <w:t>Migration (LIN 19/04</w:t>
      </w:r>
      <w:r w:rsidR="00166AA6">
        <w:rPr>
          <w:i/>
          <w:sz w:val="24"/>
        </w:rPr>
        <w:t>1</w:t>
      </w:r>
      <w:r w:rsidRPr="00494ADB">
        <w:rPr>
          <w:i/>
          <w:sz w:val="24"/>
        </w:rPr>
        <w:t>: Payment of Visa Application Charges and Fees in Foreign Currencies) Instrument 20</w:t>
      </w:r>
      <w:r w:rsidR="00166AA6">
        <w:rPr>
          <w:i/>
          <w:sz w:val="24"/>
        </w:rPr>
        <w:t>19</w:t>
      </w:r>
      <w:r w:rsidR="00A53BD3" w:rsidRPr="00494ADB">
        <w:rPr>
          <w:i/>
          <w:sz w:val="24"/>
        </w:rPr>
        <w:t xml:space="preserve"> </w:t>
      </w:r>
      <w:r w:rsidR="00A53BD3" w:rsidRPr="00494ADB">
        <w:rPr>
          <w:sz w:val="24"/>
        </w:rPr>
        <w:t>(</w:t>
      </w:r>
      <w:r w:rsidR="00170BFC" w:rsidRPr="00232B43">
        <w:rPr>
          <w:bCs/>
          <w:sz w:val="24"/>
          <w:szCs w:val="24"/>
        </w:rPr>
        <w:t>F2019L00885</w:t>
      </w:r>
      <w:r w:rsidRPr="00494ADB">
        <w:rPr>
          <w:sz w:val="24"/>
        </w:rPr>
        <w:t>) under paragraph 5.36(1A)(a) of the</w:t>
      </w:r>
      <w:r w:rsidRPr="00494ADB">
        <w:rPr>
          <w:i/>
          <w:sz w:val="24"/>
        </w:rPr>
        <w:t xml:space="preserve"> </w:t>
      </w:r>
      <w:r w:rsidRPr="00494ADB">
        <w:rPr>
          <w:sz w:val="24"/>
        </w:rPr>
        <w:t>Regulations</w:t>
      </w:r>
      <w:r w:rsidR="009E2B81">
        <w:rPr>
          <w:sz w:val="24"/>
        </w:rPr>
        <w:t>,</w:t>
      </w:r>
      <w:r w:rsidR="00A3680C">
        <w:rPr>
          <w:sz w:val="24"/>
        </w:rPr>
        <w:t xml:space="preserve"> and </w:t>
      </w:r>
      <w:r w:rsidR="00A3680C" w:rsidRPr="009E2B81">
        <w:rPr>
          <w:i/>
          <w:sz w:val="24"/>
        </w:rPr>
        <w:t>Migration (LIN 19/042: Places and Currencies for Paying of Fees) Instrument 2019</w:t>
      </w:r>
      <w:r w:rsidR="00A3680C" w:rsidRPr="00E81429">
        <w:rPr>
          <w:sz w:val="24"/>
        </w:rPr>
        <w:t xml:space="preserve"> </w:t>
      </w:r>
      <w:r w:rsidR="00A3680C" w:rsidRPr="00CE3E4B">
        <w:rPr>
          <w:sz w:val="24"/>
        </w:rPr>
        <w:t>(</w:t>
      </w:r>
      <w:r w:rsidR="00A3680C" w:rsidRPr="00CE3E4B">
        <w:rPr>
          <w:bCs/>
          <w:sz w:val="24"/>
        </w:rPr>
        <w:t>F2019L00886</w:t>
      </w:r>
      <w:r w:rsidR="00A3680C" w:rsidRPr="00CE3E4B">
        <w:rPr>
          <w:sz w:val="24"/>
        </w:rPr>
        <w:t>)</w:t>
      </w:r>
      <w:r w:rsidR="00A3680C" w:rsidRPr="00E81429">
        <w:rPr>
          <w:sz w:val="24"/>
        </w:rPr>
        <w:t xml:space="preserve"> under p</w:t>
      </w:r>
      <w:r w:rsidR="00A3680C">
        <w:rPr>
          <w:sz w:val="24"/>
        </w:rPr>
        <w:t xml:space="preserve">aragraphs 5.36(1)(a) and </w:t>
      </w:r>
      <w:r w:rsidR="00A3680C" w:rsidRPr="00E81429">
        <w:rPr>
          <w:sz w:val="24"/>
        </w:rPr>
        <w:t>(b) of the</w:t>
      </w:r>
      <w:r w:rsidR="00A3680C" w:rsidRPr="00E81429">
        <w:rPr>
          <w:i/>
          <w:sz w:val="24"/>
        </w:rPr>
        <w:t xml:space="preserve"> </w:t>
      </w:r>
      <w:r w:rsidR="00A3680C" w:rsidRPr="00E81429">
        <w:rPr>
          <w:sz w:val="24"/>
        </w:rPr>
        <w:t>Regulations</w:t>
      </w:r>
      <w:r w:rsidR="009E2B81">
        <w:rPr>
          <w:sz w:val="24"/>
        </w:rPr>
        <w:t>,</w:t>
      </w:r>
      <w:r w:rsidR="00A3680C" w:rsidRPr="00494ADB">
        <w:rPr>
          <w:sz w:val="24"/>
        </w:rPr>
        <w:t xml:space="preserve"> </w:t>
      </w:r>
      <w:r w:rsidRPr="00494ADB">
        <w:rPr>
          <w:sz w:val="24"/>
        </w:rPr>
        <w:t>and in accordance with</w:t>
      </w:r>
      <w:r w:rsidRPr="00494ADB">
        <w:rPr>
          <w:sz w:val="24"/>
          <w:szCs w:val="24"/>
        </w:rPr>
        <w:t xml:space="preserve"> subsection 33(3) of the</w:t>
      </w:r>
      <w:r w:rsidR="00EC0FA0">
        <w:rPr>
          <w:sz w:val="24"/>
          <w:szCs w:val="24"/>
        </w:rPr>
        <w:t xml:space="preserve"> </w:t>
      </w:r>
      <w:r w:rsidRPr="00494ADB">
        <w:rPr>
          <w:i/>
          <w:sz w:val="24"/>
          <w:szCs w:val="24"/>
        </w:rPr>
        <w:t>Acts Interpretation Act 1901</w:t>
      </w:r>
      <w:r w:rsidRPr="00494ADB">
        <w:rPr>
          <w:sz w:val="24"/>
          <w:szCs w:val="24"/>
        </w:rPr>
        <w:t xml:space="preserve"> (Interpretation Act)</w:t>
      </w:r>
      <w:r w:rsidR="007B40E9" w:rsidRPr="00494ADB">
        <w:rPr>
          <w:sz w:val="24"/>
          <w:szCs w:val="24"/>
        </w:rPr>
        <w:t>.</w:t>
      </w:r>
      <w:proofErr w:type="gramEnd"/>
      <w:r w:rsidRPr="00494ADB">
        <w:rPr>
          <w:sz w:val="24"/>
          <w:szCs w:val="24"/>
        </w:rPr>
        <w:t xml:space="preserve"> </w:t>
      </w:r>
      <w:r w:rsidR="007B40E9" w:rsidRPr="00494ADB">
        <w:rPr>
          <w:sz w:val="24"/>
          <w:szCs w:val="24"/>
        </w:rPr>
        <w:t>Subsection 33(3) of the Interpretation Act</w:t>
      </w:r>
      <w:r w:rsidR="007B40E9" w:rsidRPr="00494ADB" w:rsidDel="007B40E9">
        <w:rPr>
          <w:sz w:val="24"/>
          <w:szCs w:val="24"/>
        </w:rPr>
        <w:t xml:space="preserve"> </w:t>
      </w:r>
      <w:r w:rsidRPr="00494ADB">
        <w:rPr>
          <w:sz w:val="24"/>
          <w:szCs w:val="24"/>
        </w:rPr>
        <w:t>states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w:t>
      </w:r>
    </w:p>
    <w:p w14:paraId="49F097D2" w14:textId="39F55521" w:rsidR="00FF1EEF" w:rsidRDefault="00DD7C83" w:rsidP="000C29B9">
      <w:pPr>
        <w:numPr>
          <w:ilvl w:val="0"/>
          <w:numId w:val="1"/>
        </w:numPr>
        <w:spacing w:after="240" w:line="276" w:lineRule="auto"/>
        <w:ind w:left="567" w:hanging="567"/>
        <w:jc w:val="both"/>
        <w:rPr>
          <w:sz w:val="24"/>
        </w:rPr>
      </w:pPr>
      <w:r>
        <w:rPr>
          <w:sz w:val="24"/>
        </w:rPr>
        <w:t xml:space="preserve">Paragraphs </w:t>
      </w:r>
      <w:r w:rsidR="00DC597B" w:rsidRPr="00D726EC">
        <w:rPr>
          <w:sz w:val="24"/>
        </w:rPr>
        <w:t>5.36</w:t>
      </w:r>
      <w:r w:rsidR="000C29B9">
        <w:rPr>
          <w:sz w:val="24"/>
        </w:rPr>
        <w:t>(1</w:t>
      </w:r>
      <w:proofErr w:type="gramStart"/>
      <w:r w:rsidR="000C29B9">
        <w:rPr>
          <w:sz w:val="24"/>
        </w:rPr>
        <w:t>)</w:t>
      </w:r>
      <w:r>
        <w:rPr>
          <w:sz w:val="24"/>
        </w:rPr>
        <w:t>(</w:t>
      </w:r>
      <w:proofErr w:type="gramEnd"/>
      <w:r>
        <w:rPr>
          <w:sz w:val="24"/>
        </w:rPr>
        <w:t>a)</w:t>
      </w:r>
      <w:r w:rsidR="00DC597B" w:rsidRPr="00D726EC">
        <w:rPr>
          <w:sz w:val="24"/>
        </w:rPr>
        <w:t xml:space="preserve"> of the</w:t>
      </w:r>
      <w:r w:rsidR="00DC597B" w:rsidRPr="00D726EC">
        <w:rPr>
          <w:i/>
          <w:sz w:val="24"/>
        </w:rPr>
        <w:t xml:space="preserve"> </w:t>
      </w:r>
      <w:r w:rsidR="00DC597B" w:rsidRPr="00D726EC">
        <w:rPr>
          <w:sz w:val="24"/>
        </w:rPr>
        <w:t>Regulations</w:t>
      </w:r>
      <w:r w:rsidR="00DC597B">
        <w:rPr>
          <w:sz w:val="24"/>
        </w:rPr>
        <w:t xml:space="preserve"> </w:t>
      </w:r>
      <w:r w:rsidR="000C29B9">
        <w:rPr>
          <w:sz w:val="24"/>
        </w:rPr>
        <w:t xml:space="preserve">states that  the payment of a fee, other than a visa application charge mentioned in regulation 5.36(3A) of the Regulations must be made in a place, being Australia or a </w:t>
      </w:r>
      <w:r w:rsidR="000B668D">
        <w:rPr>
          <w:sz w:val="24"/>
        </w:rPr>
        <w:t>foreign c</w:t>
      </w:r>
      <w:r w:rsidR="000C29B9">
        <w:rPr>
          <w:sz w:val="24"/>
        </w:rPr>
        <w:t>ountry</w:t>
      </w:r>
      <w:r>
        <w:rPr>
          <w:sz w:val="24"/>
        </w:rPr>
        <w:t>, that is</w:t>
      </w:r>
      <w:r w:rsidR="000C29B9">
        <w:rPr>
          <w:sz w:val="24"/>
        </w:rPr>
        <w:t xml:space="preserve"> specif</w:t>
      </w:r>
      <w:r w:rsidR="00FF1EEF">
        <w:rPr>
          <w:sz w:val="24"/>
        </w:rPr>
        <w:t>ied by the Minister in a legislative instrument</w:t>
      </w:r>
      <w:r>
        <w:rPr>
          <w:sz w:val="24"/>
        </w:rPr>
        <w:t xml:space="preserve">. </w:t>
      </w:r>
      <w:r w:rsidR="000C29B9">
        <w:rPr>
          <w:sz w:val="24"/>
        </w:rPr>
        <w:t>Foreig</w:t>
      </w:r>
      <w:r w:rsidR="0034092C">
        <w:rPr>
          <w:sz w:val="24"/>
        </w:rPr>
        <w:t xml:space="preserve">n country </w:t>
      </w:r>
      <w:proofErr w:type="gramStart"/>
      <w:r w:rsidR="0034092C">
        <w:rPr>
          <w:sz w:val="24"/>
        </w:rPr>
        <w:t xml:space="preserve">is </w:t>
      </w:r>
      <w:r w:rsidR="000C29B9">
        <w:rPr>
          <w:sz w:val="24"/>
        </w:rPr>
        <w:t>defined</w:t>
      </w:r>
      <w:proofErr w:type="gramEnd"/>
      <w:r w:rsidR="000C29B9">
        <w:rPr>
          <w:sz w:val="24"/>
        </w:rPr>
        <w:t xml:space="preserve"> in section 2B of the</w:t>
      </w:r>
      <w:r w:rsidR="000C29B9" w:rsidRPr="000C29B9">
        <w:rPr>
          <w:i/>
          <w:sz w:val="24"/>
        </w:rPr>
        <w:t xml:space="preserve"> </w:t>
      </w:r>
      <w:r w:rsidR="000C29B9" w:rsidRPr="007F1D4E">
        <w:rPr>
          <w:sz w:val="24"/>
        </w:rPr>
        <w:t>Interpretation Act</w:t>
      </w:r>
      <w:r w:rsidR="000C29B9">
        <w:rPr>
          <w:sz w:val="24"/>
        </w:rPr>
        <w:t xml:space="preserve">. </w:t>
      </w:r>
    </w:p>
    <w:p w14:paraId="18F029CF" w14:textId="78C9D056" w:rsidR="005C23AC" w:rsidRDefault="005C23AC" w:rsidP="000C29B9">
      <w:pPr>
        <w:numPr>
          <w:ilvl w:val="0"/>
          <w:numId w:val="1"/>
        </w:numPr>
        <w:spacing w:after="240" w:line="276" w:lineRule="auto"/>
        <w:ind w:left="567" w:hanging="567"/>
        <w:jc w:val="both"/>
        <w:rPr>
          <w:sz w:val="24"/>
        </w:rPr>
      </w:pPr>
      <w:r>
        <w:rPr>
          <w:sz w:val="24"/>
        </w:rPr>
        <w:t xml:space="preserve">Paragraphs </w:t>
      </w:r>
      <w:r w:rsidRPr="00D726EC">
        <w:rPr>
          <w:sz w:val="24"/>
        </w:rPr>
        <w:t>5.36</w:t>
      </w:r>
      <w:r>
        <w:rPr>
          <w:sz w:val="24"/>
        </w:rPr>
        <w:t>(1</w:t>
      </w:r>
      <w:proofErr w:type="gramStart"/>
      <w:r>
        <w:rPr>
          <w:sz w:val="24"/>
        </w:rPr>
        <w:t>)(</w:t>
      </w:r>
      <w:proofErr w:type="gramEnd"/>
      <w:r>
        <w:rPr>
          <w:sz w:val="24"/>
        </w:rPr>
        <w:t xml:space="preserve">b) of the Regulations states further that payment </w:t>
      </w:r>
      <w:r w:rsidR="008A3F3C">
        <w:rPr>
          <w:sz w:val="24"/>
        </w:rPr>
        <w:t xml:space="preserve">of a fee, </w:t>
      </w:r>
      <w:r>
        <w:rPr>
          <w:sz w:val="24"/>
        </w:rPr>
        <w:t xml:space="preserve">must be made in a currency that is specified by the Minister in a legislative instrument.  </w:t>
      </w:r>
    </w:p>
    <w:p w14:paraId="593732A2" w14:textId="05646EE9" w:rsidR="00FF1EEF" w:rsidRDefault="00FF1EEF" w:rsidP="000C29B9">
      <w:pPr>
        <w:numPr>
          <w:ilvl w:val="0"/>
          <w:numId w:val="1"/>
        </w:numPr>
        <w:spacing w:after="240" w:line="276" w:lineRule="auto"/>
        <w:ind w:left="567" w:hanging="567"/>
        <w:jc w:val="both"/>
        <w:rPr>
          <w:sz w:val="24"/>
        </w:rPr>
      </w:pPr>
      <w:r>
        <w:rPr>
          <w:sz w:val="24"/>
        </w:rPr>
        <w:t>Paragraph 5.36(1A)(a) of the Regulations states that the amount of the payment is to be worked out by using the exchange rate in relation to the Australian Dollar (AUD) for the currency specified in a legislative instrument.</w:t>
      </w:r>
    </w:p>
    <w:p w14:paraId="67950609" w14:textId="6667B642" w:rsidR="000C29B9" w:rsidRDefault="00FF1EEF" w:rsidP="000C29B9">
      <w:pPr>
        <w:numPr>
          <w:ilvl w:val="0"/>
          <w:numId w:val="1"/>
        </w:numPr>
        <w:spacing w:after="240" w:line="276" w:lineRule="auto"/>
        <w:ind w:left="567" w:hanging="567"/>
        <w:jc w:val="both"/>
        <w:rPr>
          <w:sz w:val="24"/>
        </w:rPr>
      </w:pPr>
      <w:r>
        <w:rPr>
          <w:sz w:val="24"/>
        </w:rPr>
        <w:t xml:space="preserve">Paragraph 5.36(1A)(b) of the Regulations states </w:t>
      </w:r>
      <w:r w:rsidR="00993AA0">
        <w:rPr>
          <w:sz w:val="24"/>
        </w:rPr>
        <w:t xml:space="preserve">that </w:t>
      </w:r>
      <w:r>
        <w:rPr>
          <w:sz w:val="24"/>
        </w:rPr>
        <w:t xml:space="preserve">if the currency </w:t>
      </w:r>
      <w:r w:rsidR="009D6873">
        <w:rPr>
          <w:sz w:val="24"/>
        </w:rPr>
        <w:t xml:space="preserve">in which the amount is to be paid </w:t>
      </w:r>
      <w:r>
        <w:rPr>
          <w:sz w:val="24"/>
        </w:rPr>
        <w:t>is not specified in an instrument</w:t>
      </w:r>
      <w:r w:rsidR="00993AA0">
        <w:rPr>
          <w:sz w:val="24"/>
        </w:rPr>
        <w:t>,</w:t>
      </w:r>
      <w:r>
        <w:rPr>
          <w:sz w:val="24"/>
        </w:rPr>
        <w:t xml:space="preserve"> the formula in subregulation 5.36(2) of the Regulations</w:t>
      </w:r>
      <w:r w:rsidR="00993AA0">
        <w:rPr>
          <w:sz w:val="24"/>
        </w:rPr>
        <w:t xml:space="preserve"> must be used</w:t>
      </w:r>
      <w:r>
        <w:rPr>
          <w:sz w:val="24"/>
        </w:rPr>
        <w:t xml:space="preserve">. </w:t>
      </w:r>
    </w:p>
    <w:p w14:paraId="50BC6CE4" w14:textId="19FFFC49" w:rsidR="00FF1EEF" w:rsidRDefault="00FF1EEF" w:rsidP="000C29B9">
      <w:pPr>
        <w:numPr>
          <w:ilvl w:val="0"/>
          <w:numId w:val="1"/>
        </w:numPr>
        <w:spacing w:after="240" w:line="276" w:lineRule="auto"/>
        <w:ind w:left="567" w:hanging="567"/>
        <w:jc w:val="both"/>
        <w:rPr>
          <w:sz w:val="24"/>
        </w:rPr>
      </w:pPr>
      <w:r>
        <w:rPr>
          <w:sz w:val="24"/>
        </w:rPr>
        <w:t xml:space="preserve">Subregulation 5.36(4) of the Regulations defines </w:t>
      </w:r>
      <w:r w:rsidRPr="009D6873">
        <w:rPr>
          <w:i/>
          <w:sz w:val="24"/>
        </w:rPr>
        <w:t>fee</w:t>
      </w:r>
      <w:r>
        <w:rPr>
          <w:sz w:val="24"/>
        </w:rPr>
        <w:t xml:space="preserve"> for the purposes of regulation 5.36 of the Regulations. </w:t>
      </w:r>
    </w:p>
    <w:p w14:paraId="3A478DC4" w14:textId="66166527" w:rsidR="00A3680C" w:rsidRDefault="00A3680C" w:rsidP="000C29B9">
      <w:pPr>
        <w:numPr>
          <w:ilvl w:val="0"/>
          <w:numId w:val="1"/>
        </w:numPr>
        <w:spacing w:after="240" w:line="276" w:lineRule="auto"/>
        <w:ind w:left="567" w:hanging="567"/>
        <w:jc w:val="both"/>
        <w:rPr>
          <w:sz w:val="24"/>
        </w:rPr>
      </w:pPr>
      <w:r>
        <w:rPr>
          <w:sz w:val="24"/>
        </w:rPr>
        <w:lastRenderedPageBreak/>
        <w:t xml:space="preserve">The table in Schedule 1 to the instrument provides, in Column </w:t>
      </w:r>
      <w:proofErr w:type="gramStart"/>
      <w:r>
        <w:rPr>
          <w:sz w:val="24"/>
        </w:rPr>
        <w:t>A</w:t>
      </w:r>
      <w:proofErr w:type="gramEnd"/>
      <w:r>
        <w:rPr>
          <w:sz w:val="24"/>
        </w:rPr>
        <w:t>, places</w:t>
      </w:r>
      <w:r w:rsidRPr="000439CD">
        <w:rPr>
          <w:sz w:val="24"/>
        </w:rPr>
        <w:t xml:space="preserve"> </w:t>
      </w:r>
      <w:r>
        <w:rPr>
          <w:sz w:val="24"/>
        </w:rPr>
        <w:t>including Australia and foreign countries, where a payment of a fee must be made in the corresponding currency specified in Column B for that place.</w:t>
      </w:r>
    </w:p>
    <w:p w14:paraId="772FB60A" w14:textId="4E2A0514" w:rsidR="007D119B" w:rsidRPr="004C4B3E" w:rsidRDefault="00FF1EEF" w:rsidP="000C29B9">
      <w:pPr>
        <w:numPr>
          <w:ilvl w:val="0"/>
          <w:numId w:val="1"/>
        </w:numPr>
        <w:spacing w:after="240" w:line="276" w:lineRule="auto"/>
        <w:ind w:left="567" w:hanging="567"/>
        <w:jc w:val="both"/>
        <w:rPr>
          <w:sz w:val="24"/>
        </w:rPr>
      </w:pPr>
      <w:r>
        <w:rPr>
          <w:sz w:val="24"/>
        </w:rPr>
        <w:t xml:space="preserve">The table in Schedule </w:t>
      </w:r>
      <w:r w:rsidR="00A3680C">
        <w:rPr>
          <w:sz w:val="24"/>
        </w:rPr>
        <w:t>2</w:t>
      </w:r>
      <w:r>
        <w:rPr>
          <w:sz w:val="24"/>
        </w:rPr>
        <w:t xml:space="preserve"> to the instrument provides, in Column A, the currency of a foreign country, in Column B, t</w:t>
      </w:r>
      <w:r w:rsidR="00ED687A">
        <w:rPr>
          <w:sz w:val="24"/>
        </w:rPr>
        <w:t xml:space="preserve">he corresponding International Organization for Standardization (ISO) code </w:t>
      </w:r>
      <w:r>
        <w:rPr>
          <w:sz w:val="24"/>
        </w:rPr>
        <w:t>and in Column C</w:t>
      </w:r>
      <w:r w:rsidR="00A3680C">
        <w:rPr>
          <w:sz w:val="24"/>
        </w:rPr>
        <w:t>,</w:t>
      </w:r>
      <w:r>
        <w:rPr>
          <w:sz w:val="24"/>
        </w:rPr>
        <w:t xml:space="preserve"> the exchange rate of the currency in relation to the AUD, for that item. </w:t>
      </w:r>
    </w:p>
    <w:p w14:paraId="4398DC9E" w14:textId="178F0164" w:rsidR="004719C3" w:rsidRPr="004719C3" w:rsidRDefault="004719C3" w:rsidP="000C29B9">
      <w:pPr>
        <w:numPr>
          <w:ilvl w:val="0"/>
          <w:numId w:val="1"/>
        </w:numPr>
        <w:spacing w:after="240" w:line="276" w:lineRule="auto"/>
        <w:ind w:left="567" w:hanging="567"/>
        <w:jc w:val="both"/>
        <w:rPr>
          <w:sz w:val="24"/>
        </w:rPr>
      </w:pPr>
      <w:r w:rsidRPr="004719C3">
        <w:rPr>
          <w:sz w:val="24"/>
        </w:rPr>
        <w:t xml:space="preserve">The purpose of the instrument is to undertake </w:t>
      </w:r>
      <w:r w:rsidR="00FF1EEF">
        <w:rPr>
          <w:sz w:val="24"/>
        </w:rPr>
        <w:t>the</w:t>
      </w:r>
      <w:r w:rsidRPr="004719C3">
        <w:rPr>
          <w:sz w:val="24"/>
        </w:rPr>
        <w:t xml:space="preserve"> biannual update of the </w:t>
      </w:r>
      <w:r w:rsidR="00A3680C">
        <w:rPr>
          <w:sz w:val="24"/>
        </w:rPr>
        <w:t xml:space="preserve">places and their corresponding currencies in which payment of a fee may be made </w:t>
      </w:r>
      <w:proofErr w:type="gramStart"/>
      <w:r w:rsidR="00A3680C">
        <w:rPr>
          <w:sz w:val="24"/>
        </w:rPr>
        <w:t>and also</w:t>
      </w:r>
      <w:r w:rsidR="00633689">
        <w:rPr>
          <w:sz w:val="24"/>
        </w:rPr>
        <w:t>,</w:t>
      </w:r>
      <w:proofErr w:type="gramEnd"/>
      <w:r w:rsidR="00A3680C">
        <w:rPr>
          <w:sz w:val="24"/>
        </w:rPr>
        <w:t xml:space="preserve"> </w:t>
      </w:r>
      <w:r w:rsidR="00633689">
        <w:rPr>
          <w:sz w:val="24"/>
        </w:rPr>
        <w:t xml:space="preserve">the </w:t>
      </w:r>
      <w:r w:rsidRPr="004719C3">
        <w:rPr>
          <w:sz w:val="24"/>
        </w:rPr>
        <w:t>foreign currency exchange rates</w:t>
      </w:r>
      <w:r w:rsidR="00FF1EEF">
        <w:rPr>
          <w:sz w:val="24"/>
        </w:rPr>
        <w:t xml:space="preserve"> in relation to the AUD</w:t>
      </w:r>
      <w:r w:rsidRPr="004719C3">
        <w:rPr>
          <w:sz w:val="24"/>
        </w:rPr>
        <w:t xml:space="preserve">. </w:t>
      </w:r>
    </w:p>
    <w:p w14:paraId="4CF7E186" w14:textId="107FFA01" w:rsidR="00171985" w:rsidRPr="004719C3" w:rsidRDefault="00171985" w:rsidP="000C29B9">
      <w:pPr>
        <w:numPr>
          <w:ilvl w:val="0"/>
          <w:numId w:val="1"/>
        </w:numPr>
        <w:spacing w:after="240" w:line="276" w:lineRule="auto"/>
        <w:ind w:left="567" w:hanging="567"/>
        <w:jc w:val="both"/>
        <w:rPr>
          <w:sz w:val="24"/>
          <w:szCs w:val="24"/>
        </w:rPr>
      </w:pPr>
      <w:r w:rsidRPr="004719C3">
        <w:rPr>
          <w:sz w:val="24"/>
          <w:szCs w:val="24"/>
        </w:rPr>
        <w:t xml:space="preserve">In accordance with paragraph </w:t>
      </w:r>
      <w:proofErr w:type="gramStart"/>
      <w:r w:rsidRPr="004719C3">
        <w:rPr>
          <w:sz w:val="24"/>
          <w:szCs w:val="24"/>
        </w:rPr>
        <w:t>15J(</w:t>
      </w:r>
      <w:proofErr w:type="gramEnd"/>
      <w:r w:rsidRPr="004719C3">
        <w:rPr>
          <w:sz w:val="24"/>
          <w:szCs w:val="24"/>
        </w:rPr>
        <w:t xml:space="preserve">2)(e) of the </w:t>
      </w:r>
      <w:r w:rsidRPr="004719C3">
        <w:rPr>
          <w:i/>
          <w:sz w:val="24"/>
          <w:szCs w:val="24"/>
        </w:rPr>
        <w:t>Legislation Act 2003</w:t>
      </w:r>
      <w:r w:rsidRPr="004719C3">
        <w:rPr>
          <w:sz w:val="24"/>
          <w:szCs w:val="24"/>
        </w:rPr>
        <w:t xml:space="preserve">, consultation was not necessary because </w:t>
      </w:r>
      <w:r w:rsidR="00433B71">
        <w:rPr>
          <w:sz w:val="24"/>
          <w:szCs w:val="24"/>
        </w:rPr>
        <w:t xml:space="preserve">changes to </w:t>
      </w:r>
      <w:r w:rsidRPr="004719C3">
        <w:rPr>
          <w:sz w:val="24"/>
          <w:szCs w:val="24"/>
        </w:rPr>
        <w:t xml:space="preserve">the </w:t>
      </w:r>
      <w:r w:rsidR="00433B71">
        <w:rPr>
          <w:sz w:val="24"/>
          <w:szCs w:val="24"/>
        </w:rPr>
        <w:t xml:space="preserve">previous repealed </w:t>
      </w:r>
      <w:r w:rsidRPr="004719C3">
        <w:rPr>
          <w:sz w:val="24"/>
          <w:szCs w:val="24"/>
        </w:rPr>
        <w:t>instrument</w:t>
      </w:r>
      <w:r w:rsidR="005C23AC">
        <w:rPr>
          <w:sz w:val="24"/>
          <w:szCs w:val="24"/>
        </w:rPr>
        <w:t>s</w:t>
      </w:r>
      <w:r w:rsidRPr="004719C3">
        <w:rPr>
          <w:sz w:val="24"/>
          <w:szCs w:val="24"/>
        </w:rPr>
        <w:t xml:space="preserve"> </w:t>
      </w:r>
      <w:r w:rsidR="00433B71">
        <w:rPr>
          <w:sz w:val="24"/>
          <w:szCs w:val="24"/>
        </w:rPr>
        <w:t>are</w:t>
      </w:r>
      <w:r w:rsidRPr="004719C3">
        <w:rPr>
          <w:sz w:val="24"/>
          <w:szCs w:val="24"/>
        </w:rPr>
        <w:t xml:space="preserve"> minor or machinery </w:t>
      </w:r>
      <w:r w:rsidR="00433B71">
        <w:rPr>
          <w:sz w:val="24"/>
          <w:szCs w:val="24"/>
        </w:rPr>
        <w:t xml:space="preserve">in </w:t>
      </w:r>
      <w:r w:rsidR="00AB5EDF">
        <w:rPr>
          <w:sz w:val="24"/>
          <w:szCs w:val="24"/>
        </w:rPr>
        <w:t>nature and do</w:t>
      </w:r>
      <w:r w:rsidRPr="004719C3">
        <w:rPr>
          <w:sz w:val="24"/>
          <w:szCs w:val="24"/>
        </w:rPr>
        <w:t xml:space="preserve"> not substantially alter existing arrangements.</w:t>
      </w:r>
    </w:p>
    <w:p w14:paraId="15FF9E21" w14:textId="51CA3243" w:rsidR="00FC265A" w:rsidRPr="00170BFC" w:rsidRDefault="00FC265A" w:rsidP="000C29B9">
      <w:pPr>
        <w:numPr>
          <w:ilvl w:val="0"/>
          <w:numId w:val="1"/>
        </w:numPr>
        <w:spacing w:after="240" w:line="276" w:lineRule="auto"/>
        <w:ind w:left="567" w:hanging="567"/>
        <w:jc w:val="both"/>
        <w:rPr>
          <w:sz w:val="24"/>
          <w:szCs w:val="24"/>
        </w:rPr>
      </w:pPr>
      <w:r w:rsidRPr="00D10CB1">
        <w:rPr>
          <w:sz w:val="24"/>
          <w:szCs w:val="24"/>
        </w:rPr>
        <w:t xml:space="preserve">The </w:t>
      </w:r>
      <w:r w:rsidR="0078373B">
        <w:rPr>
          <w:sz w:val="24"/>
          <w:szCs w:val="24"/>
        </w:rPr>
        <w:t xml:space="preserve">Acting </w:t>
      </w:r>
      <w:r w:rsidRPr="00D10CB1">
        <w:rPr>
          <w:sz w:val="24"/>
          <w:szCs w:val="24"/>
        </w:rPr>
        <w:t xml:space="preserve">Chief Financial Officer, Finance Division, who made the instrument was delegated the powers required to make the instrument in the </w:t>
      </w:r>
      <w:r w:rsidR="00170BFC" w:rsidRPr="00170BFC">
        <w:rPr>
          <w:i/>
          <w:sz w:val="24"/>
          <w:szCs w:val="24"/>
        </w:rPr>
        <w:t>Instrument Making Powers (Minister) Instrument 2019/228</w:t>
      </w:r>
      <w:r w:rsidRPr="00170BFC">
        <w:rPr>
          <w:sz w:val="24"/>
          <w:szCs w:val="24"/>
        </w:rPr>
        <w:t xml:space="preserve">, signed on </w:t>
      </w:r>
      <w:r w:rsidR="00170BFC">
        <w:rPr>
          <w:sz w:val="24"/>
          <w:szCs w:val="24"/>
        </w:rPr>
        <w:t>12 September 2019</w:t>
      </w:r>
      <w:r w:rsidRPr="00170BFC">
        <w:rPr>
          <w:sz w:val="24"/>
          <w:szCs w:val="24"/>
        </w:rPr>
        <w:t xml:space="preserve">. </w:t>
      </w:r>
    </w:p>
    <w:p w14:paraId="506CA00D" w14:textId="54E8375C" w:rsidR="007D119B" w:rsidRPr="001841F7" w:rsidRDefault="007D119B" w:rsidP="000C29B9">
      <w:pPr>
        <w:numPr>
          <w:ilvl w:val="0"/>
          <w:numId w:val="1"/>
        </w:numPr>
        <w:tabs>
          <w:tab w:val="left" w:pos="567"/>
        </w:tabs>
        <w:spacing w:after="240" w:line="276" w:lineRule="auto"/>
        <w:ind w:left="567" w:hanging="567"/>
        <w:jc w:val="both"/>
        <w:rPr>
          <w:i/>
          <w:sz w:val="24"/>
          <w:szCs w:val="24"/>
        </w:rPr>
      </w:pPr>
      <w:r w:rsidRPr="00193A68">
        <w:rPr>
          <w:sz w:val="24"/>
          <w:szCs w:val="24"/>
        </w:rPr>
        <w:t xml:space="preserve">The </w:t>
      </w:r>
      <w:r w:rsidRPr="009606E4">
        <w:rPr>
          <w:sz w:val="24"/>
          <w:szCs w:val="24"/>
        </w:rPr>
        <w:t>Office of Best Practice Regulation (OBPR) has advised that a Regulatory Impact Statement is not required</w:t>
      </w:r>
      <w:r w:rsidR="00166AA6">
        <w:rPr>
          <w:sz w:val="24"/>
          <w:szCs w:val="24"/>
        </w:rPr>
        <w:t xml:space="preserve">. The </w:t>
      </w:r>
      <w:r w:rsidRPr="00193A68">
        <w:rPr>
          <w:sz w:val="24"/>
          <w:szCs w:val="24"/>
        </w:rPr>
        <w:t xml:space="preserve">OBPR Reference </w:t>
      </w:r>
      <w:r w:rsidR="00166AA6">
        <w:rPr>
          <w:sz w:val="24"/>
          <w:szCs w:val="24"/>
        </w:rPr>
        <w:t>is 25184</w:t>
      </w:r>
      <w:r w:rsidRPr="005B1F97">
        <w:rPr>
          <w:sz w:val="24"/>
          <w:szCs w:val="24"/>
        </w:rPr>
        <w:t>.</w:t>
      </w:r>
    </w:p>
    <w:p w14:paraId="5AA6F14D" w14:textId="6D25DB9B" w:rsidR="007D119B" w:rsidRPr="007D6794" w:rsidRDefault="007D119B" w:rsidP="000C29B9">
      <w:pPr>
        <w:numPr>
          <w:ilvl w:val="0"/>
          <w:numId w:val="1"/>
        </w:numPr>
        <w:tabs>
          <w:tab w:val="left" w:pos="567"/>
        </w:tabs>
        <w:spacing w:after="240" w:line="276" w:lineRule="auto"/>
        <w:ind w:left="567" w:hanging="567"/>
        <w:jc w:val="both"/>
        <w:rPr>
          <w:i/>
          <w:sz w:val="24"/>
          <w:szCs w:val="24"/>
        </w:rPr>
      </w:pPr>
      <w:r w:rsidRPr="007D6794">
        <w:rPr>
          <w:sz w:val="24"/>
          <w:szCs w:val="24"/>
        </w:rPr>
        <w:t xml:space="preserve">Under </w:t>
      </w:r>
      <w:r w:rsidR="00A12D07">
        <w:rPr>
          <w:sz w:val="24"/>
          <w:szCs w:val="24"/>
        </w:rPr>
        <w:t xml:space="preserve">subitem 20 (b) of </w:t>
      </w:r>
      <w:r w:rsidRPr="007D6794">
        <w:rPr>
          <w:sz w:val="24"/>
          <w:szCs w:val="24"/>
        </w:rPr>
        <w:t xml:space="preserve">section 10 of the </w:t>
      </w:r>
      <w:r w:rsidRPr="007D6794">
        <w:rPr>
          <w:i/>
          <w:sz w:val="24"/>
          <w:szCs w:val="24"/>
        </w:rPr>
        <w:t>Legislation (Exemptions and Other Matters) Regulation 2015</w:t>
      </w:r>
      <w:r w:rsidRPr="007D6794">
        <w:rPr>
          <w:sz w:val="24"/>
          <w:szCs w:val="24"/>
        </w:rPr>
        <w:t>, the instrument is exempt from disallowance and therefore a Statement of Compatibility with Human Rights is not required.</w:t>
      </w:r>
    </w:p>
    <w:p w14:paraId="5183F5E8" w14:textId="703BCC4C" w:rsidR="007D119B" w:rsidRPr="004D6A29" w:rsidRDefault="007D119B" w:rsidP="000C29B9">
      <w:pPr>
        <w:numPr>
          <w:ilvl w:val="0"/>
          <w:numId w:val="1"/>
        </w:numPr>
        <w:spacing w:after="240" w:line="276" w:lineRule="auto"/>
        <w:ind w:left="567" w:hanging="567"/>
        <w:jc w:val="both"/>
        <w:rPr>
          <w:sz w:val="24"/>
          <w:szCs w:val="24"/>
        </w:rPr>
      </w:pPr>
      <w:r>
        <w:rPr>
          <w:sz w:val="24"/>
        </w:rPr>
        <w:t xml:space="preserve">The instrument </w:t>
      </w:r>
      <w:r w:rsidRPr="009606E4">
        <w:rPr>
          <w:sz w:val="24"/>
        </w:rPr>
        <w:t>commences</w:t>
      </w:r>
      <w:r w:rsidRPr="00897A1C">
        <w:t xml:space="preserve"> </w:t>
      </w:r>
      <w:r>
        <w:rPr>
          <w:sz w:val="24"/>
        </w:rPr>
        <w:t>on</w:t>
      </w:r>
      <w:r w:rsidRPr="000B7641">
        <w:rPr>
          <w:i/>
          <w:sz w:val="24"/>
        </w:rPr>
        <w:t xml:space="preserve"> </w:t>
      </w:r>
      <w:r w:rsidR="00170BFC">
        <w:rPr>
          <w:sz w:val="24"/>
        </w:rPr>
        <w:t>1 January 2020</w:t>
      </w:r>
      <w:r w:rsidRPr="009606E4">
        <w:rPr>
          <w:sz w:val="24"/>
        </w:rPr>
        <w:t>.</w:t>
      </w:r>
    </w:p>
    <w:sectPr w:rsidR="007D119B" w:rsidRPr="004D6A29" w:rsidSect="00C85D16">
      <w:headerReference w:type="even" r:id="rId8"/>
      <w:headerReference w:type="default" r:id="rId9"/>
      <w:footerReference w:type="even" r:id="rId10"/>
      <w:footerReference w:type="default" r:id="rId11"/>
      <w:headerReference w:type="first" r:id="rId12"/>
      <w:footerReference w:type="first" r:id="rId13"/>
      <w:pgSz w:w="11906" w:h="16838"/>
      <w:pgMar w:top="1560" w:right="1416" w:bottom="1134" w:left="1418" w:header="426"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A825B" w14:textId="77777777" w:rsidR="00323AA2" w:rsidRDefault="00B738D7">
      <w:r>
        <w:separator/>
      </w:r>
    </w:p>
  </w:endnote>
  <w:endnote w:type="continuationSeparator" w:id="0">
    <w:p w14:paraId="70C7B70F" w14:textId="77777777" w:rsidR="00323AA2" w:rsidRDefault="00B73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BFDEF" w14:textId="77777777" w:rsidR="003A6355" w:rsidRDefault="003A6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D5E83" w14:textId="77777777" w:rsidR="003A6355" w:rsidRDefault="003A63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12ADE" w14:textId="77777777" w:rsidR="003A6355" w:rsidRDefault="003A6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D0D50" w14:textId="77777777" w:rsidR="00323AA2" w:rsidRDefault="00B738D7">
      <w:r>
        <w:separator/>
      </w:r>
    </w:p>
  </w:footnote>
  <w:footnote w:type="continuationSeparator" w:id="0">
    <w:p w14:paraId="0C1F2476" w14:textId="77777777" w:rsidR="00323AA2" w:rsidRDefault="00B73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E03CD" w14:textId="77777777" w:rsidR="003A6355" w:rsidRDefault="003A63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CA797" w14:textId="36D904FF" w:rsidR="00546F77" w:rsidRPr="00DC597B" w:rsidRDefault="00F03890" w:rsidP="00C85D16">
    <w:pPr>
      <w:pStyle w:val="Header"/>
      <w:jc w:val="right"/>
      <w:rPr>
        <w:rFonts w:ascii="Times New Roman" w:hAnsi="Times New Roman"/>
        <w:sz w:val="16"/>
        <w:szCs w:val="16"/>
      </w:rPr>
    </w:pPr>
    <w:r>
      <w:rPr>
        <w:rFonts w:ascii="Times New Roman" w:hAnsi="Times New Roman"/>
        <w:sz w:val="16"/>
        <w:szCs w:val="16"/>
      </w:rPr>
      <w:t xml:space="preserve">LIN </w:t>
    </w:r>
    <w:r w:rsidR="00170BFC">
      <w:rPr>
        <w:rFonts w:ascii="Times New Roman" w:hAnsi="Times New Roman"/>
        <w:sz w:val="16"/>
        <w:szCs w:val="16"/>
      </w:rPr>
      <w:t>20/001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02D39" w14:textId="77777777" w:rsidR="003A6355" w:rsidRDefault="003A6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B3044"/>
    <w:multiLevelType w:val="hybridMultilevel"/>
    <w:tmpl w:val="6EF2ACBA"/>
    <w:lvl w:ilvl="0" w:tplc="EEB68044">
      <w:start w:val="1"/>
      <w:numFmt w:val="decimal"/>
      <w:lvlText w:val="%1."/>
      <w:lvlJc w:val="left"/>
      <w:pPr>
        <w:ind w:left="502"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characterSpacingControl w:val="doNotCompress"/>
  <w:hdrShapeDefaults>
    <o:shapedefaults v:ext="edit" spidmax="593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19B"/>
    <w:rsid w:val="000268E9"/>
    <w:rsid w:val="00087FA1"/>
    <w:rsid w:val="000B0093"/>
    <w:rsid w:val="000B668D"/>
    <w:rsid w:val="000C29B9"/>
    <w:rsid w:val="000E784B"/>
    <w:rsid w:val="00107D89"/>
    <w:rsid w:val="00126F5E"/>
    <w:rsid w:val="00166AA6"/>
    <w:rsid w:val="001700A7"/>
    <w:rsid w:val="00170BFC"/>
    <w:rsid w:val="00171985"/>
    <w:rsid w:val="001B2B55"/>
    <w:rsid w:val="00223FCC"/>
    <w:rsid w:val="00283A67"/>
    <w:rsid w:val="002B2D49"/>
    <w:rsid w:val="002E76E4"/>
    <w:rsid w:val="00315A3C"/>
    <w:rsid w:val="00323AA2"/>
    <w:rsid w:val="0034092C"/>
    <w:rsid w:val="0034110B"/>
    <w:rsid w:val="00365728"/>
    <w:rsid w:val="0037669B"/>
    <w:rsid w:val="003A6355"/>
    <w:rsid w:val="003C4425"/>
    <w:rsid w:val="003E0D40"/>
    <w:rsid w:val="004135D1"/>
    <w:rsid w:val="00433B71"/>
    <w:rsid w:val="00456C41"/>
    <w:rsid w:val="004719C3"/>
    <w:rsid w:val="004922A4"/>
    <w:rsid w:val="00494ADB"/>
    <w:rsid w:val="00556DCA"/>
    <w:rsid w:val="00560B0B"/>
    <w:rsid w:val="00591839"/>
    <w:rsid w:val="005C23AC"/>
    <w:rsid w:val="005C3AD3"/>
    <w:rsid w:val="005F3908"/>
    <w:rsid w:val="006302A2"/>
    <w:rsid w:val="00633689"/>
    <w:rsid w:val="00634530"/>
    <w:rsid w:val="006C0E60"/>
    <w:rsid w:val="007402D9"/>
    <w:rsid w:val="0078373B"/>
    <w:rsid w:val="007B40E9"/>
    <w:rsid w:val="007D119B"/>
    <w:rsid w:val="007E4072"/>
    <w:rsid w:val="007E6F1E"/>
    <w:rsid w:val="007F1D4E"/>
    <w:rsid w:val="00833F6A"/>
    <w:rsid w:val="008A3F3C"/>
    <w:rsid w:val="008D001D"/>
    <w:rsid w:val="008E55D8"/>
    <w:rsid w:val="00925EF1"/>
    <w:rsid w:val="00993AA0"/>
    <w:rsid w:val="009C7EC6"/>
    <w:rsid w:val="009D6873"/>
    <w:rsid w:val="009E2B81"/>
    <w:rsid w:val="009F04D1"/>
    <w:rsid w:val="00A02266"/>
    <w:rsid w:val="00A12D07"/>
    <w:rsid w:val="00A17782"/>
    <w:rsid w:val="00A3680C"/>
    <w:rsid w:val="00A5250C"/>
    <w:rsid w:val="00A53BD3"/>
    <w:rsid w:val="00A661F6"/>
    <w:rsid w:val="00AB5EDF"/>
    <w:rsid w:val="00AF22FF"/>
    <w:rsid w:val="00B1435D"/>
    <w:rsid w:val="00B72ECE"/>
    <w:rsid w:val="00B738D7"/>
    <w:rsid w:val="00CB534C"/>
    <w:rsid w:val="00CB78FF"/>
    <w:rsid w:val="00CC76DD"/>
    <w:rsid w:val="00D00FF6"/>
    <w:rsid w:val="00D0301D"/>
    <w:rsid w:val="00D10CB1"/>
    <w:rsid w:val="00D12F5B"/>
    <w:rsid w:val="00D23D3E"/>
    <w:rsid w:val="00D66D2F"/>
    <w:rsid w:val="00DB4542"/>
    <w:rsid w:val="00DC597B"/>
    <w:rsid w:val="00DD1582"/>
    <w:rsid w:val="00DD7C83"/>
    <w:rsid w:val="00E3120B"/>
    <w:rsid w:val="00E659C4"/>
    <w:rsid w:val="00E72339"/>
    <w:rsid w:val="00E908AC"/>
    <w:rsid w:val="00EC0FA0"/>
    <w:rsid w:val="00ED1BC1"/>
    <w:rsid w:val="00ED687A"/>
    <w:rsid w:val="00EE7A6E"/>
    <w:rsid w:val="00F03890"/>
    <w:rsid w:val="00F139A9"/>
    <w:rsid w:val="00F3217E"/>
    <w:rsid w:val="00F57408"/>
    <w:rsid w:val="00FB6BA2"/>
    <w:rsid w:val="00FC265A"/>
    <w:rsid w:val="00FF1E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14:docId w14:val="0E4C4667"/>
  <w15:chartTrackingRefBased/>
  <w15:docId w15:val="{325A4B28-D33C-491C-AD66-0865F1A02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19B"/>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7D119B"/>
    <w:pPr>
      <w:keepNext/>
      <w:jc w:val="center"/>
      <w:outlineLvl w:val="0"/>
    </w:pPr>
    <w:rPr>
      <w:b/>
      <w:sz w:val="24"/>
      <w:u w:val="single"/>
    </w:rPr>
  </w:style>
  <w:style w:type="paragraph" w:styleId="Heading2">
    <w:name w:val="heading 2"/>
    <w:basedOn w:val="Normal"/>
    <w:next w:val="Normal"/>
    <w:link w:val="Heading2Char"/>
    <w:qFormat/>
    <w:rsid w:val="007D119B"/>
    <w:pPr>
      <w:keepNext/>
      <w:ind w:left="1440" w:hanging="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119B"/>
    <w:rPr>
      <w:rFonts w:ascii="Times New Roman" w:eastAsia="Times New Roman" w:hAnsi="Times New Roman" w:cs="Times New Roman"/>
      <w:b/>
      <w:sz w:val="24"/>
      <w:szCs w:val="20"/>
      <w:u w:val="single"/>
      <w:lang w:eastAsia="en-AU"/>
    </w:rPr>
  </w:style>
  <w:style w:type="character" w:customStyle="1" w:styleId="Heading2Char">
    <w:name w:val="Heading 2 Char"/>
    <w:basedOn w:val="DefaultParagraphFont"/>
    <w:link w:val="Heading2"/>
    <w:rsid w:val="007D119B"/>
    <w:rPr>
      <w:rFonts w:ascii="Times New Roman" w:eastAsia="Times New Roman" w:hAnsi="Times New Roman" w:cs="Times New Roman"/>
      <w:sz w:val="24"/>
      <w:szCs w:val="20"/>
      <w:lang w:eastAsia="en-AU"/>
    </w:rPr>
  </w:style>
  <w:style w:type="paragraph" w:styleId="Header">
    <w:name w:val="header"/>
    <w:basedOn w:val="Normal"/>
    <w:link w:val="HeaderChar"/>
    <w:rsid w:val="007D119B"/>
    <w:pPr>
      <w:tabs>
        <w:tab w:val="center" w:pos="4320"/>
        <w:tab w:val="right" w:pos="8640"/>
      </w:tabs>
    </w:pPr>
    <w:rPr>
      <w:rFonts w:ascii="Arial" w:hAnsi="Arial"/>
      <w:sz w:val="24"/>
    </w:rPr>
  </w:style>
  <w:style w:type="character" w:customStyle="1" w:styleId="HeaderChar">
    <w:name w:val="Header Char"/>
    <w:basedOn w:val="DefaultParagraphFont"/>
    <w:link w:val="Header"/>
    <w:rsid w:val="007D119B"/>
    <w:rPr>
      <w:rFonts w:ascii="Arial" w:eastAsia="Times New Roman" w:hAnsi="Arial" w:cs="Times New Roman"/>
      <w:sz w:val="24"/>
      <w:szCs w:val="20"/>
      <w:lang w:eastAsia="en-AU"/>
    </w:rPr>
  </w:style>
  <w:style w:type="paragraph" w:styleId="Footer">
    <w:name w:val="footer"/>
    <w:basedOn w:val="Normal"/>
    <w:link w:val="FooterChar"/>
    <w:unhideWhenUsed/>
    <w:rsid w:val="007D119B"/>
    <w:pPr>
      <w:tabs>
        <w:tab w:val="center" w:pos="4513"/>
        <w:tab w:val="right" w:pos="9026"/>
      </w:tabs>
    </w:pPr>
  </w:style>
  <w:style w:type="character" w:customStyle="1" w:styleId="FooterChar">
    <w:name w:val="Footer Char"/>
    <w:basedOn w:val="DefaultParagraphFont"/>
    <w:link w:val="Footer"/>
    <w:rsid w:val="007D119B"/>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7B40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0E9"/>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7E6F1E"/>
    <w:rPr>
      <w:sz w:val="16"/>
      <w:szCs w:val="16"/>
    </w:rPr>
  </w:style>
  <w:style w:type="paragraph" w:styleId="CommentText">
    <w:name w:val="annotation text"/>
    <w:basedOn w:val="Normal"/>
    <w:link w:val="CommentTextChar"/>
    <w:uiPriority w:val="99"/>
    <w:semiHidden/>
    <w:unhideWhenUsed/>
    <w:rsid w:val="007E6F1E"/>
  </w:style>
  <w:style w:type="character" w:customStyle="1" w:styleId="CommentTextChar">
    <w:name w:val="Comment Text Char"/>
    <w:basedOn w:val="DefaultParagraphFont"/>
    <w:link w:val="CommentText"/>
    <w:uiPriority w:val="99"/>
    <w:semiHidden/>
    <w:rsid w:val="007E6F1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E6F1E"/>
    <w:rPr>
      <w:b/>
      <w:bCs/>
    </w:rPr>
  </w:style>
  <w:style w:type="character" w:customStyle="1" w:styleId="CommentSubjectChar">
    <w:name w:val="Comment Subject Char"/>
    <w:basedOn w:val="CommentTextChar"/>
    <w:link w:val="CommentSubject"/>
    <w:uiPriority w:val="99"/>
    <w:semiHidden/>
    <w:rsid w:val="007E6F1E"/>
    <w:rPr>
      <w:rFonts w:ascii="Times New Roman" w:eastAsia="Times New Roman" w:hAnsi="Times New Roman" w:cs="Times New Roman"/>
      <w:b/>
      <w:bCs/>
      <w:sz w:val="20"/>
      <w:szCs w:val="20"/>
      <w:lang w:eastAsia="en-AU"/>
    </w:rPr>
  </w:style>
  <w:style w:type="paragraph" w:customStyle="1" w:styleId="Default">
    <w:name w:val="Default"/>
    <w:rsid w:val="00315A3C"/>
    <w:pPr>
      <w:autoSpaceDE w:val="0"/>
      <w:autoSpaceDN w:val="0"/>
      <w:adjustRightInd w:val="0"/>
      <w:spacing w:after="0"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3E0D40"/>
    <w:rPr>
      <w:color w:val="0563C1" w:themeColor="hyperlink"/>
      <w:u w:val="single"/>
    </w:rPr>
  </w:style>
  <w:style w:type="paragraph" w:customStyle="1" w:styleId="CharChar">
    <w:name w:val="Char Char"/>
    <w:basedOn w:val="Normal"/>
    <w:rsid w:val="00A3680C"/>
    <w:pPr>
      <w:spacing w:before="120" w:after="120"/>
    </w:pPr>
    <w:rPr>
      <w:rFonts w:ascii="Arial" w:hAnsi="Arial"/>
      <w:sz w:val="22"/>
      <w:lang w:eastAsia="en-US"/>
    </w:rPr>
  </w:style>
  <w:style w:type="paragraph" w:styleId="ListParagraph">
    <w:name w:val="List Paragraph"/>
    <w:basedOn w:val="Normal"/>
    <w:uiPriority w:val="34"/>
    <w:qFormat/>
    <w:rsid w:val="005C3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90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B6120-24BC-419B-9C13-C1F1D114F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Savitha NARAYAN</dc:creator>
  <cp:keywords/>
  <dc:description/>
  <cp:lastModifiedBy>Anastasia TZOTZIS</cp:lastModifiedBy>
  <cp:revision>6</cp:revision>
  <cp:lastPrinted>2018-06-12T07:12:00Z</cp:lastPrinted>
  <dcterms:created xsi:type="dcterms:W3CDTF">2019-12-19T04:25:00Z</dcterms:created>
  <dcterms:modified xsi:type="dcterms:W3CDTF">2019-12-19T06:12:00Z</dcterms:modified>
</cp:coreProperties>
</file>