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82941" w14:textId="77777777" w:rsidR="00715914" w:rsidRPr="005F1388" w:rsidRDefault="00DA186E" w:rsidP="00715914">
      <w:pPr>
        <w:rPr>
          <w:sz w:val="28"/>
        </w:rPr>
      </w:pPr>
      <w:r>
        <w:rPr>
          <w:noProof/>
          <w:lang w:eastAsia="en-AU"/>
        </w:rPr>
        <w:drawing>
          <wp:inline distT="0" distB="0" distL="0" distR="0" wp14:anchorId="1B065347" wp14:editId="5CB585E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A5376E9" w14:textId="77777777" w:rsidR="00715914" w:rsidRPr="00E500D4" w:rsidRDefault="00715914" w:rsidP="00715914">
      <w:pPr>
        <w:rPr>
          <w:sz w:val="19"/>
        </w:rPr>
      </w:pPr>
    </w:p>
    <w:p w14:paraId="2F058962" w14:textId="77777777" w:rsidR="00554826" w:rsidRPr="00E500D4" w:rsidRDefault="00190CDF" w:rsidP="00554826">
      <w:pPr>
        <w:pStyle w:val="ShortT"/>
      </w:pPr>
      <w:r>
        <w:t>Parliamentary Business Resources</w:t>
      </w:r>
      <w:r w:rsidR="00554826" w:rsidRPr="00DA182D">
        <w:t xml:space="preserve"> </w:t>
      </w:r>
      <w:r w:rsidR="00554826">
        <w:t>(</w:t>
      </w:r>
      <w:r w:rsidR="008F24D1">
        <w:t xml:space="preserve">Commonwealth Parliament </w:t>
      </w:r>
      <w:r w:rsidR="00BB5278">
        <w:t>Offices</w:t>
      </w:r>
      <w:r w:rsidR="00CF62D0">
        <w:t xml:space="preserve">) </w:t>
      </w:r>
      <w:r>
        <w:t>Determination</w:t>
      </w:r>
      <w:r w:rsidR="00D03C01">
        <w:t xml:space="preserve"> </w:t>
      </w:r>
      <w:r w:rsidR="0075176A">
        <w:t>(No</w:t>
      </w:r>
      <w:r w:rsidR="0028526E">
        <w:t>.</w:t>
      </w:r>
      <w:r w:rsidR="00B853F5">
        <w:t> </w:t>
      </w:r>
      <w:r w:rsidR="0075176A">
        <w:t xml:space="preserve">1) </w:t>
      </w:r>
      <w:r w:rsidR="00D03C01">
        <w:t>201</w:t>
      </w:r>
      <w:r w:rsidR="001C0521">
        <w:t>9</w:t>
      </w:r>
    </w:p>
    <w:p w14:paraId="02744C0C" w14:textId="77777777" w:rsidR="008D606D" w:rsidRPr="005D339F" w:rsidRDefault="00554826" w:rsidP="00CE57DB">
      <w:pPr>
        <w:pStyle w:val="SignCoverPageStart"/>
        <w:spacing w:before="240"/>
        <w:ind w:right="91"/>
        <w:rPr>
          <w:szCs w:val="22"/>
        </w:rPr>
      </w:pPr>
      <w:r w:rsidRPr="00DA182D">
        <w:rPr>
          <w:szCs w:val="22"/>
        </w:rPr>
        <w:t xml:space="preserve">I, </w:t>
      </w:r>
      <w:r w:rsidR="00631FB7">
        <w:rPr>
          <w:szCs w:val="22"/>
        </w:rPr>
        <w:t>Alex Hawke</w:t>
      </w:r>
      <w:r w:rsidRPr="00DA182D">
        <w:rPr>
          <w:szCs w:val="22"/>
        </w:rPr>
        <w:t xml:space="preserve">, </w:t>
      </w:r>
      <w:r w:rsidR="00631FB7">
        <w:rPr>
          <w:szCs w:val="22"/>
        </w:rPr>
        <w:t xml:space="preserve">Special </w:t>
      </w:r>
      <w:r w:rsidR="00190CDF">
        <w:rPr>
          <w:szCs w:val="22"/>
        </w:rPr>
        <w:t xml:space="preserve">Minister </w:t>
      </w:r>
      <w:r w:rsidR="00631FB7">
        <w:rPr>
          <w:szCs w:val="22"/>
        </w:rPr>
        <w:t>of State</w:t>
      </w:r>
      <w:r w:rsidRPr="00DA182D">
        <w:rPr>
          <w:szCs w:val="22"/>
        </w:rPr>
        <w:t xml:space="preserve">, </w:t>
      </w:r>
      <w:r w:rsidR="00B42513">
        <w:rPr>
          <w:szCs w:val="22"/>
        </w:rPr>
        <w:t xml:space="preserve">make this determination </w:t>
      </w:r>
      <w:r w:rsidR="007D3964">
        <w:rPr>
          <w:szCs w:val="22"/>
        </w:rPr>
        <w:t>under</w:t>
      </w:r>
      <w:r w:rsidR="00F768A4">
        <w:rPr>
          <w:szCs w:val="22"/>
        </w:rPr>
        <w:t xml:space="preserve"> </w:t>
      </w:r>
      <w:r w:rsidR="00190CDF">
        <w:rPr>
          <w:szCs w:val="22"/>
        </w:rPr>
        <w:t>subsection 33(1)</w:t>
      </w:r>
      <w:r w:rsidR="00C43312">
        <w:rPr>
          <w:szCs w:val="22"/>
        </w:rPr>
        <w:t xml:space="preserve"> </w:t>
      </w:r>
      <w:r w:rsidR="00190CDF">
        <w:rPr>
          <w:szCs w:val="22"/>
        </w:rPr>
        <w:t xml:space="preserve">of the </w:t>
      </w:r>
      <w:r w:rsidR="00190CDF">
        <w:rPr>
          <w:i/>
          <w:szCs w:val="22"/>
        </w:rPr>
        <w:t>Parliamentary Business Resources Act 2017</w:t>
      </w:r>
      <w:r w:rsidR="00B42513" w:rsidRPr="00D83F25">
        <w:rPr>
          <w:i/>
        </w:rPr>
        <w:t>.</w:t>
      </w:r>
      <w:r w:rsidR="00412A4A" w:rsidRPr="005D339F">
        <w:rPr>
          <w:szCs w:val="22"/>
        </w:rPr>
        <w:t xml:space="preserve"> </w:t>
      </w:r>
    </w:p>
    <w:p w14:paraId="42961ADC" w14:textId="7D22787B"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195876">
        <w:rPr>
          <w:szCs w:val="22"/>
        </w:rPr>
        <w:t>19 March 2019</w:t>
      </w:r>
      <w:bookmarkStart w:id="0" w:name="_GoBack"/>
      <w:bookmarkEnd w:id="0"/>
      <w:r w:rsidRPr="00001A63">
        <w:rPr>
          <w:szCs w:val="22"/>
        </w:rPr>
        <w:tab/>
      </w:r>
      <w:r>
        <w:rPr>
          <w:szCs w:val="22"/>
        </w:rPr>
        <w:tab/>
      </w:r>
      <w:r w:rsidRPr="00001A63">
        <w:rPr>
          <w:szCs w:val="22"/>
        </w:rPr>
        <w:tab/>
      </w:r>
    </w:p>
    <w:p w14:paraId="1391541A" w14:textId="77777777" w:rsidR="00631FB7" w:rsidRDefault="00631FB7" w:rsidP="00631FB7">
      <w:pPr>
        <w:keepNext/>
        <w:tabs>
          <w:tab w:val="left" w:pos="3402"/>
        </w:tabs>
        <w:spacing w:before="1440" w:line="300" w:lineRule="atLeast"/>
        <w:ind w:right="397"/>
        <w:rPr>
          <w:b/>
          <w:szCs w:val="22"/>
        </w:rPr>
      </w:pPr>
      <w:r>
        <w:rPr>
          <w:szCs w:val="22"/>
        </w:rPr>
        <w:t>Alex Hawke</w:t>
      </w:r>
    </w:p>
    <w:p w14:paraId="49541C52" w14:textId="77777777" w:rsidR="00631FB7" w:rsidRDefault="00631FB7" w:rsidP="00631FB7">
      <w:pPr>
        <w:pStyle w:val="SignCoverPageEnd"/>
        <w:ind w:right="91"/>
        <w:rPr>
          <w:sz w:val="22"/>
        </w:rPr>
      </w:pPr>
      <w:r>
        <w:rPr>
          <w:sz w:val="22"/>
        </w:rPr>
        <w:t>Special Minister of State</w:t>
      </w:r>
    </w:p>
    <w:p w14:paraId="3ACF5C71" w14:textId="77777777" w:rsidR="00D10D87" w:rsidRDefault="00D10D87" w:rsidP="00D10D87"/>
    <w:p w14:paraId="401A2F0C" w14:textId="77777777" w:rsidR="00A366E9" w:rsidRPr="0085387D" w:rsidRDefault="00A366E9" w:rsidP="00A366E9">
      <w:pPr>
        <w:pageBreakBefore/>
        <w:tabs>
          <w:tab w:val="left" w:pos="9072"/>
        </w:tabs>
        <w:outlineLvl w:val="0"/>
        <w:rPr>
          <w:sz w:val="36"/>
        </w:rPr>
      </w:pPr>
      <w:r w:rsidRPr="0085387D">
        <w:rPr>
          <w:sz w:val="36"/>
        </w:rPr>
        <w:lastRenderedPageBreak/>
        <w:t>Contents</w:t>
      </w:r>
    </w:p>
    <w:p w14:paraId="478BAA96" w14:textId="77777777" w:rsidR="007A324E" w:rsidRDefault="00A366E9">
      <w:pPr>
        <w:pStyle w:val="TOC6"/>
        <w:rPr>
          <w:rFonts w:asciiTheme="minorHAnsi" w:eastAsiaTheme="minorEastAsia" w:hAnsiTheme="minorHAnsi" w:cstheme="minorBidi"/>
          <w:b w:val="0"/>
          <w:noProof/>
          <w:kern w:val="0"/>
          <w:sz w:val="22"/>
          <w:szCs w:val="22"/>
        </w:rPr>
      </w:pPr>
      <w:r w:rsidRPr="0085387D">
        <w:rPr>
          <w:sz w:val="18"/>
        </w:rPr>
        <w:fldChar w:fldCharType="begin"/>
      </w:r>
      <w:r w:rsidRPr="0085387D">
        <w:instrText xml:space="preserve"> TOC \o "1-9" </w:instrText>
      </w:r>
      <w:r w:rsidRPr="0085387D">
        <w:rPr>
          <w:sz w:val="18"/>
        </w:rPr>
        <w:fldChar w:fldCharType="separate"/>
      </w:r>
      <w:r w:rsidR="007A324E">
        <w:rPr>
          <w:noProof/>
        </w:rPr>
        <w:t>Part 1—Preliminary</w:t>
      </w:r>
      <w:r w:rsidR="007A324E">
        <w:rPr>
          <w:noProof/>
        </w:rPr>
        <w:tab/>
      </w:r>
      <w:r w:rsidR="007A324E">
        <w:rPr>
          <w:noProof/>
        </w:rPr>
        <w:fldChar w:fldCharType="begin"/>
      </w:r>
      <w:r w:rsidR="007A324E">
        <w:rPr>
          <w:noProof/>
        </w:rPr>
        <w:instrText xml:space="preserve"> PAGEREF _Toc3463475 \h </w:instrText>
      </w:r>
      <w:r w:rsidR="007A324E">
        <w:rPr>
          <w:noProof/>
        </w:rPr>
      </w:r>
      <w:r w:rsidR="007A324E">
        <w:rPr>
          <w:noProof/>
        </w:rPr>
        <w:fldChar w:fldCharType="separate"/>
      </w:r>
      <w:r w:rsidR="007A324E">
        <w:rPr>
          <w:noProof/>
        </w:rPr>
        <w:t>3</w:t>
      </w:r>
      <w:r w:rsidR="007A324E">
        <w:rPr>
          <w:noProof/>
        </w:rPr>
        <w:fldChar w:fldCharType="end"/>
      </w:r>
    </w:p>
    <w:p w14:paraId="541C246B"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Name</w:t>
      </w:r>
      <w:r>
        <w:rPr>
          <w:noProof/>
        </w:rPr>
        <w:tab/>
      </w:r>
      <w:r>
        <w:rPr>
          <w:noProof/>
        </w:rPr>
        <w:fldChar w:fldCharType="begin"/>
      </w:r>
      <w:r>
        <w:rPr>
          <w:noProof/>
        </w:rPr>
        <w:instrText xml:space="preserve"> PAGEREF _Toc3463476 \h </w:instrText>
      </w:r>
      <w:r>
        <w:rPr>
          <w:noProof/>
        </w:rPr>
      </w:r>
      <w:r>
        <w:rPr>
          <w:noProof/>
        </w:rPr>
        <w:fldChar w:fldCharType="separate"/>
      </w:r>
      <w:r>
        <w:rPr>
          <w:noProof/>
        </w:rPr>
        <w:t>3</w:t>
      </w:r>
      <w:r>
        <w:rPr>
          <w:noProof/>
        </w:rPr>
        <w:fldChar w:fldCharType="end"/>
      </w:r>
    </w:p>
    <w:p w14:paraId="56ADF43D"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_Toc3463477 \h </w:instrText>
      </w:r>
      <w:r>
        <w:rPr>
          <w:noProof/>
        </w:rPr>
      </w:r>
      <w:r>
        <w:rPr>
          <w:noProof/>
        </w:rPr>
        <w:fldChar w:fldCharType="separate"/>
      </w:r>
      <w:r>
        <w:rPr>
          <w:noProof/>
        </w:rPr>
        <w:t>3</w:t>
      </w:r>
      <w:r>
        <w:rPr>
          <w:noProof/>
        </w:rPr>
        <w:fldChar w:fldCharType="end"/>
      </w:r>
    </w:p>
    <w:p w14:paraId="6A7F9A0E"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_Toc3463478 \h </w:instrText>
      </w:r>
      <w:r>
        <w:rPr>
          <w:noProof/>
        </w:rPr>
      </w:r>
      <w:r>
        <w:rPr>
          <w:noProof/>
        </w:rPr>
        <w:fldChar w:fldCharType="separate"/>
      </w:r>
      <w:r>
        <w:rPr>
          <w:noProof/>
        </w:rPr>
        <w:t>3</w:t>
      </w:r>
      <w:r>
        <w:rPr>
          <w:noProof/>
        </w:rPr>
        <w:fldChar w:fldCharType="end"/>
      </w:r>
    </w:p>
    <w:p w14:paraId="3C45F962"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_Toc3463479 \h </w:instrText>
      </w:r>
      <w:r>
        <w:rPr>
          <w:noProof/>
        </w:rPr>
      </w:r>
      <w:r>
        <w:rPr>
          <w:noProof/>
        </w:rPr>
        <w:fldChar w:fldCharType="separate"/>
      </w:r>
      <w:r>
        <w:rPr>
          <w:noProof/>
        </w:rPr>
        <w:t>3</w:t>
      </w:r>
      <w:r>
        <w:rPr>
          <w:noProof/>
        </w:rPr>
        <w:fldChar w:fldCharType="end"/>
      </w:r>
    </w:p>
    <w:p w14:paraId="637CE676" w14:textId="77777777" w:rsidR="007A324E" w:rsidRDefault="007A324E">
      <w:pPr>
        <w:pStyle w:val="TOC6"/>
        <w:rPr>
          <w:rFonts w:asciiTheme="minorHAnsi" w:eastAsiaTheme="minorEastAsia" w:hAnsiTheme="minorHAnsi" w:cstheme="minorBidi"/>
          <w:b w:val="0"/>
          <w:noProof/>
          <w:kern w:val="0"/>
          <w:sz w:val="22"/>
          <w:szCs w:val="22"/>
        </w:rPr>
      </w:pPr>
      <w:r>
        <w:rPr>
          <w:noProof/>
        </w:rPr>
        <w:t>Part 2—Offices</w:t>
      </w:r>
      <w:r>
        <w:rPr>
          <w:noProof/>
        </w:rPr>
        <w:tab/>
      </w:r>
      <w:r>
        <w:rPr>
          <w:noProof/>
        </w:rPr>
        <w:fldChar w:fldCharType="begin"/>
      </w:r>
      <w:r>
        <w:rPr>
          <w:noProof/>
        </w:rPr>
        <w:instrText xml:space="preserve"> PAGEREF _Toc3463480 \h </w:instrText>
      </w:r>
      <w:r>
        <w:rPr>
          <w:noProof/>
        </w:rPr>
      </w:r>
      <w:r>
        <w:rPr>
          <w:noProof/>
        </w:rPr>
        <w:fldChar w:fldCharType="separate"/>
      </w:r>
      <w:r>
        <w:rPr>
          <w:noProof/>
        </w:rPr>
        <w:t>4</w:t>
      </w:r>
      <w:r>
        <w:rPr>
          <w:noProof/>
        </w:rPr>
        <w:fldChar w:fldCharType="end"/>
      </w:r>
    </w:p>
    <w:p w14:paraId="49A2301B"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Provision of resources under this Part</w:t>
      </w:r>
      <w:r>
        <w:rPr>
          <w:noProof/>
        </w:rPr>
        <w:tab/>
      </w:r>
      <w:r>
        <w:rPr>
          <w:noProof/>
        </w:rPr>
        <w:fldChar w:fldCharType="begin"/>
      </w:r>
      <w:r>
        <w:rPr>
          <w:noProof/>
        </w:rPr>
        <w:instrText xml:space="preserve"> PAGEREF _Toc3463481 \h </w:instrText>
      </w:r>
      <w:r>
        <w:rPr>
          <w:noProof/>
        </w:rPr>
      </w:r>
      <w:r>
        <w:rPr>
          <w:noProof/>
        </w:rPr>
        <w:fldChar w:fldCharType="separate"/>
      </w:r>
      <w:r>
        <w:rPr>
          <w:noProof/>
        </w:rPr>
        <w:t>4</w:t>
      </w:r>
      <w:r>
        <w:rPr>
          <w:noProof/>
        </w:rPr>
        <w:fldChar w:fldCharType="end"/>
      </w:r>
    </w:p>
    <w:p w14:paraId="6E1C6395"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Provision of electorate offices to members</w:t>
      </w:r>
      <w:r>
        <w:rPr>
          <w:noProof/>
        </w:rPr>
        <w:tab/>
      </w:r>
      <w:r>
        <w:rPr>
          <w:noProof/>
        </w:rPr>
        <w:fldChar w:fldCharType="begin"/>
      </w:r>
      <w:r>
        <w:rPr>
          <w:noProof/>
        </w:rPr>
        <w:instrText xml:space="preserve"> PAGEREF _Toc3463482 \h </w:instrText>
      </w:r>
      <w:r>
        <w:rPr>
          <w:noProof/>
        </w:rPr>
      </w:r>
      <w:r>
        <w:rPr>
          <w:noProof/>
        </w:rPr>
        <w:fldChar w:fldCharType="separate"/>
      </w:r>
      <w:r>
        <w:rPr>
          <w:noProof/>
        </w:rPr>
        <w:t>4</w:t>
      </w:r>
      <w:r>
        <w:rPr>
          <w:noProof/>
        </w:rPr>
        <w:fldChar w:fldCharType="end"/>
      </w:r>
    </w:p>
    <w:p w14:paraId="52253AEC"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Provision of offices to Ministers</w:t>
      </w:r>
      <w:r>
        <w:rPr>
          <w:noProof/>
        </w:rPr>
        <w:tab/>
      </w:r>
      <w:r>
        <w:rPr>
          <w:noProof/>
        </w:rPr>
        <w:fldChar w:fldCharType="begin"/>
      </w:r>
      <w:r>
        <w:rPr>
          <w:noProof/>
        </w:rPr>
        <w:instrText xml:space="preserve"> PAGEREF _Toc3463483 \h </w:instrText>
      </w:r>
      <w:r>
        <w:rPr>
          <w:noProof/>
        </w:rPr>
      </w:r>
      <w:r>
        <w:rPr>
          <w:noProof/>
        </w:rPr>
        <w:fldChar w:fldCharType="separate"/>
      </w:r>
      <w:r>
        <w:rPr>
          <w:noProof/>
        </w:rPr>
        <w:t>4</w:t>
      </w:r>
      <w:r>
        <w:rPr>
          <w:noProof/>
        </w:rPr>
        <w:fldChar w:fldCharType="end"/>
      </w:r>
    </w:p>
    <w:p w14:paraId="795249DF"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Provision of an additional office to certain office holders</w:t>
      </w:r>
      <w:r>
        <w:rPr>
          <w:noProof/>
        </w:rPr>
        <w:tab/>
      </w:r>
      <w:r>
        <w:rPr>
          <w:noProof/>
        </w:rPr>
        <w:fldChar w:fldCharType="begin"/>
      </w:r>
      <w:r>
        <w:rPr>
          <w:noProof/>
        </w:rPr>
        <w:instrText xml:space="preserve"> PAGEREF _Toc3463484 \h </w:instrText>
      </w:r>
      <w:r>
        <w:rPr>
          <w:noProof/>
        </w:rPr>
      </w:r>
      <w:r>
        <w:rPr>
          <w:noProof/>
        </w:rPr>
        <w:fldChar w:fldCharType="separate"/>
      </w:r>
      <w:r>
        <w:rPr>
          <w:noProof/>
        </w:rPr>
        <w:t>5</w:t>
      </w:r>
      <w:r>
        <w:rPr>
          <w:noProof/>
        </w:rPr>
        <w:fldChar w:fldCharType="end"/>
      </w:r>
    </w:p>
    <w:p w14:paraId="64E8DD8E"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Provision of temporary office accommodation to members</w:t>
      </w:r>
      <w:r>
        <w:rPr>
          <w:noProof/>
        </w:rPr>
        <w:tab/>
      </w:r>
      <w:r>
        <w:rPr>
          <w:noProof/>
        </w:rPr>
        <w:fldChar w:fldCharType="begin"/>
      </w:r>
      <w:r>
        <w:rPr>
          <w:noProof/>
        </w:rPr>
        <w:instrText xml:space="preserve"> PAGEREF _Toc3463485 \h </w:instrText>
      </w:r>
      <w:r>
        <w:rPr>
          <w:noProof/>
        </w:rPr>
      </w:r>
      <w:r>
        <w:rPr>
          <w:noProof/>
        </w:rPr>
        <w:fldChar w:fldCharType="separate"/>
      </w:r>
      <w:r>
        <w:rPr>
          <w:noProof/>
        </w:rPr>
        <w:t>5</w:t>
      </w:r>
      <w:r>
        <w:rPr>
          <w:noProof/>
        </w:rPr>
        <w:fldChar w:fldCharType="end"/>
      </w:r>
    </w:p>
    <w:p w14:paraId="54888001" w14:textId="77777777" w:rsidR="007A324E" w:rsidRDefault="007A324E">
      <w:pPr>
        <w:pStyle w:val="TOC6"/>
        <w:rPr>
          <w:rFonts w:asciiTheme="minorHAnsi" w:eastAsiaTheme="minorEastAsia" w:hAnsiTheme="minorHAnsi" w:cstheme="minorBidi"/>
          <w:b w:val="0"/>
          <w:noProof/>
          <w:kern w:val="0"/>
          <w:sz w:val="22"/>
          <w:szCs w:val="22"/>
        </w:rPr>
      </w:pPr>
      <w:r>
        <w:rPr>
          <w:noProof/>
        </w:rPr>
        <w:t>Part 3—Resources for Offices</w:t>
      </w:r>
      <w:r>
        <w:rPr>
          <w:noProof/>
        </w:rPr>
        <w:tab/>
      </w:r>
      <w:r>
        <w:rPr>
          <w:noProof/>
        </w:rPr>
        <w:fldChar w:fldCharType="begin"/>
      </w:r>
      <w:r>
        <w:rPr>
          <w:noProof/>
        </w:rPr>
        <w:instrText xml:space="preserve"> PAGEREF _Toc3463486 \h </w:instrText>
      </w:r>
      <w:r>
        <w:rPr>
          <w:noProof/>
        </w:rPr>
      </w:r>
      <w:r>
        <w:rPr>
          <w:noProof/>
        </w:rPr>
        <w:fldChar w:fldCharType="separate"/>
      </w:r>
      <w:r>
        <w:rPr>
          <w:noProof/>
        </w:rPr>
        <w:t>6</w:t>
      </w:r>
      <w:r>
        <w:rPr>
          <w:noProof/>
        </w:rPr>
        <w:fldChar w:fldCharType="end"/>
      </w:r>
    </w:p>
    <w:p w14:paraId="13A38407"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Provision of resources under this Part</w:t>
      </w:r>
      <w:r>
        <w:rPr>
          <w:noProof/>
        </w:rPr>
        <w:tab/>
      </w:r>
      <w:r>
        <w:rPr>
          <w:noProof/>
        </w:rPr>
        <w:fldChar w:fldCharType="begin"/>
      </w:r>
      <w:r>
        <w:rPr>
          <w:noProof/>
        </w:rPr>
        <w:instrText xml:space="preserve"> PAGEREF _Toc3463487 \h </w:instrText>
      </w:r>
      <w:r>
        <w:rPr>
          <w:noProof/>
        </w:rPr>
      </w:r>
      <w:r>
        <w:rPr>
          <w:noProof/>
        </w:rPr>
        <w:fldChar w:fldCharType="separate"/>
      </w:r>
      <w:r>
        <w:rPr>
          <w:noProof/>
        </w:rPr>
        <w:t>6</w:t>
      </w:r>
      <w:r>
        <w:rPr>
          <w:noProof/>
        </w:rPr>
        <w:fldChar w:fldCharType="end"/>
      </w:r>
    </w:p>
    <w:p w14:paraId="030CB5F9"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Provision of car parking</w:t>
      </w:r>
      <w:r>
        <w:rPr>
          <w:noProof/>
        </w:rPr>
        <w:tab/>
      </w:r>
      <w:r>
        <w:rPr>
          <w:noProof/>
        </w:rPr>
        <w:fldChar w:fldCharType="begin"/>
      </w:r>
      <w:r>
        <w:rPr>
          <w:noProof/>
        </w:rPr>
        <w:instrText xml:space="preserve"> PAGEREF _Toc3463488 \h </w:instrText>
      </w:r>
      <w:r>
        <w:rPr>
          <w:noProof/>
        </w:rPr>
      </w:r>
      <w:r>
        <w:rPr>
          <w:noProof/>
        </w:rPr>
        <w:fldChar w:fldCharType="separate"/>
      </w:r>
      <w:r>
        <w:rPr>
          <w:noProof/>
        </w:rPr>
        <w:t>6</w:t>
      </w:r>
      <w:r>
        <w:rPr>
          <w:noProof/>
        </w:rPr>
        <w:fldChar w:fldCharType="end"/>
      </w:r>
    </w:p>
    <w:p w14:paraId="19ADB221"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12</w:t>
      </w:r>
      <w:r>
        <w:rPr>
          <w:rFonts w:asciiTheme="minorHAnsi" w:eastAsiaTheme="minorEastAsia" w:hAnsiTheme="minorHAnsi" w:cstheme="minorBidi"/>
          <w:noProof/>
          <w:kern w:val="0"/>
          <w:sz w:val="22"/>
          <w:szCs w:val="22"/>
        </w:rPr>
        <w:tab/>
      </w:r>
      <w:r>
        <w:rPr>
          <w:noProof/>
        </w:rPr>
        <w:t>Provision of office resources at CPOs</w:t>
      </w:r>
      <w:r>
        <w:rPr>
          <w:noProof/>
        </w:rPr>
        <w:tab/>
      </w:r>
      <w:r>
        <w:rPr>
          <w:noProof/>
        </w:rPr>
        <w:fldChar w:fldCharType="begin"/>
      </w:r>
      <w:r>
        <w:rPr>
          <w:noProof/>
        </w:rPr>
        <w:instrText xml:space="preserve"> PAGEREF _Toc3463489 \h </w:instrText>
      </w:r>
      <w:r>
        <w:rPr>
          <w:noProof/>
        </w:rPr>
      </w:r>
      <w:r>
        <w:rPr>
          <w:noProof/>
        </w:rPr>
        <w:fldChar w:fldCharType="separate"/>
      </w:r>
      <w:r>
        <w:rPr>
          <w:noProof/>
        </w:rPr>
        <w:t>6</w:t>
      </w:r>
      <w:r>
        <w:rPr>
          <w:noProof/>
        </w:rPr>
        <w:fldChar w:fldCharType="end"/>
      </w:r>
    </w:p>
    <w:p w14:paraId="379756F6"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13</w:t>
      </w:r>
      <w:r>
        <w:rPr>
          <w:rFonts w:asciiTheme="minorHAnsi" w:eastAsiaTheme="minorEastAsia" w:hAnsiTheme="minorHAnsi" w:cstheme="minorBidi"/>
          <w:noProof/>
          <w:kern w:val="0"/>
          <w:sz w:val="22"/>
          <w:szCs w:val="22"/>
        </w:rPr>
        <w:tab/>
      </w:r>
      <w:r>
        <w:rPr>
          <w:noProof/>
        </w:rPr>
        <w:t>Provision of existing resources for offices</w:t>
      </w:r>
      <w:r>
        <w:rPr>
          <w:noProof/>
        </w:rPr>
        <w:tab/>
      </w:r>
      <w:r>
        <w:rPr>
          <w:noProof/>
        </w:rPr>
        <w:fldChar w:fldCharType="begin"/>
      </w:r>
      <w:r>
        <w:rPr>
          <w:noProof/>
        </w:rPr>
        <w:instrText xml:space="preserve"> PAGEREF _Toc3463490 \h </w:instrText>
      </w:r>
      <w:r>
        <w:rPr>
          <w:noProof/>
        </w:rPr>
      </w:r>
      <w:r>
        <w:rPr>
          <w:noProof/>
        </w:rPr>
        <w:fldChar w:fldCharType="separate"/>
      </w:r>
      <w:r>
        <w:rPr>
          <w:noProof/>
        </w:rPr>
        <w:t>7</w:t>
      </w:r>
      <w:r>
        <w:rPr>
          <w:noProof/>
        </w:rPr>
        <w:fldChar w:fldCharType="end"/>
      </w:r>
    </w:p>
    <w:p w14:paraId="43EFE3F9" w14:textId="77777777" w:rsidR="007A324E" w:rsidRDefault="007A324E">
      <w:pPr>
        <w:pStyle w:val="TOC6"/>
        <w:rPr>
          <w:rFonts w:asciiTheme="minorHAnsi" w:eastAsiaTheme="minorEastAsia" w:hAnsiTheme="minorHAnsi" w:cstheme="minorBidi"/>
          <w:b w:val="0"/>
          <w:noProof/>
          <w:kern w:val="0"/>
          <w:sz w:val="22"/>
          <w:szCs w:val="22"/>
        </w:rPr>
      </w:pPr>
      <w:r>
        <w:rPr>
          <w:noProof/>
        </w:rPr>
        <w:t>Part 4—Availability and Allocation</w:t>
      </w:r>
      <w:r>
        <w:rPr>
          <w:noProof/>
        </w:rPr>
        <w:tab/>
      </w:r>
      <w:r>
        <w:rPr>
          <w:noProof/>
        </w:rPr>
        <w:fldChar w:fldCharType="begin"/>
      </w:r>
      <w:r>
        <w:rPr>
          <w:noProof/>
        </w:rPr>
        <w:instrText xml:space="preserve"> PAGEREF _Toc3463491 \h </w:instrText>
      </w:r>
      <w:r>
        <w:rPr>
          <w:noProof/>
        </w:rPr>
      </w:r>
      <w:r>
        <w:rPr>
          <w:noProof/>
        </w:rPr>
        <w:fldChar w:fldCharType="separate"/>
      </w:r>
      <w:r>
        <w:rPr>
          <w:noProof/>
        </w:rPr>
        <w:t>8</w:t>
      </w:r>
      <w:r>
        <w:rPr>
          <w:noProof/>
        </w:rPr>
        <w:fldChar w:fldCharType="end"/>
      </w:r>
    </w:p>
    <w:p w14:paraId="6509A1AB"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14</w:t>
      </w:r>
      <w:r>
        <w:rPr>
          <w:rFonts w:asciiTheme="minorHAnsi" w:eastAsiaTheme="minorEastAsia" w:hAnsiTheme="minorHAnsi" w:cstheme="minorBidi"/>
          <w:noProof/>
          <w:kern w:val="0"/>
          <w:sz w:val="22"/>
          <w:szCs w:val="22"/>
        </w:rPr>
        <w:tab/>
      </w:r>
      <w:r>
        <w:rPr>
          <w:noProof/>
        </w:rPr>
        <w:t>Subject to availability</w:t>
      </w:r>
      <w:r>
        <w:rPr>
          <w:noProof/>
        </w:rPr>
        <w:tab/>
      </w:r>
      <w:r>
        <w:rPr>
          <w:noProof/>
        </w:rPr>
        <w:fldChar w:fldCharType="begin"/>
      </w:r>
      <w:r>
        <w:rPr>
          <w:noProof/>
        </w:rPr>
        <w:instrText xml:space="preserve"> PAGEREF _Toc3463492 \h </w:instrText>
      </w:r>
      <w:r>
        <w:rPr>
          <w:noProof/>
        </w:rPr>
      </w:r>
      <w:r>
        <w:rPr>
          <w:noProof/>
        </w:rPr>
        <w:fldChar w:fldCharType="separate"/>
      </w:r>
      <w:r>
        <w:rPr>
          <w:noProof/>
        </w:rPr>
        <w:t>8</w:t>
      </w:r>
      <w:r>
        <w:rPr>
          <w:noProof/>
        </w:rPr>
        <w:fldChar w:fldCharType="end"/>
      </w:r>
    </w:p>
    <w:p w14:paraId="3D8C11A3" w14:textId="77777777" w:rsidR="007A324E" w:rsidRDefault="007A324E">
      <w:pPr>
        <w:pStyle w:val="TOC5"/>
        <w:tabs>
          <w:tab w:val="left" w:pos="2183"/>
        </w:tabs>
        <w:rPr>
          <w:rFonts w:asciiTheme="minorHAnsi" w:eastAsiaTheme="minorEastAsia" w:hAnsiTheme="minorHAnsi" w:cstheme="minorBidi"/>
          <w:noProof/>
          <w:kern w:val="0"/>
          <w:sz w:val="22"/>
          <w:szCs w:val="22"/>
        </w:rPr>
      </w:pPr>
      <w:r>
        <w:rPr>
          <w:noProof/>
        </w:rPr>
        <w:t>15</w:t>
      </w:r>
      <w:r>
        <w:rPr>
          <w:rFonts w:asciiTheme="minorHAnsi" w:eastAsiaTheme="minorEastAsia" w:hAnsiTheme="minorHAnsi" w:cstheme="minorBidi"/>
          <w:noProof/>
          <w:kern w:val="0"/>
          <w:sz w:val="22"/>
          <w:szCs w:val="22"/>
        </w:rPr>
        <w:tab/>
      </w:r>
      <w:r>
        <w:rPr>
          <w:noProof/>
        </w:rPr>
        <w:t>Allocation of offices and car parks</w:t>
      </w:r>
      <w:r>
        <w:rPr>
          <w:noProof/>
        </w:rPr>
        <w:tab/>
      </w:r>
      <w:r>
        <w:rPr>
          <w:noProof/>
        </w:rPr>
        <w:fldChar w:fldCharType="begin"/>
      </w:r>
      <w:r>
        <w:rPr>
          <w:noProof/>
        </w:rPr>
        <w:instrText xml:space="preserve"> PAGEREF _Toc3463493 \h </w:instrText>
      </w:r>
      <w:r>
        <w:rPr>
          <w:noProof/>
        </w:rPr>
      </w:r>
      <w:r>
        <w:rPr>
          <w:noProof/>
        </w:rPr>
        <w:fldChar w:fldCharType="separate"/>
      </w:r>
      <w:r>
        <w:rPr>
          <w:noProof/>
        </w:rPr>
        <w:t>8</w:t>
      </w:r>
      <w:r>
        <w:rPr>
          <w:noProof/>
        </w:rPr>
        <w:fldChar w:fldCharType="end"/>
      </w:r>
    </w:p>
    <w:p w14:paraId="418D5F00" w14:textId="77777777" w:rsidR="00A366E9" w:rsidRPr="0085387D" w:rsidRDefault="00A366E9" w:rsidP="001B2426">
      <w:pPr>
        <w:tabs>
          <w:tab w:val="left" w:pos="9072"/>
        </w:tabs>
        <w:ind w:right="1757"/>
        <w:outlineLvl w:val="0"/>
      </w:pPr>
      <w:r w:rsidRPr="0085387D">
        <w:fldChar w:fldCharType="end"/>
      </w:r>
    </w:p>
    <w:p w14:paraId="67825319" w14:textId="77777777" w:rsidR="00A366E9" w:rsidRDefault="00A366E9" w:rsidP="00A366E9">
      <w:pPr>
        <w:pStyle w:val="ActHead6"/>
        <w:pageBreakBefore/>
        <w:tabs>
          <w:tab w:val="left" w:pos="9072"/>
        </w:tabs>
        <w:ind w:left="0" w:firstLine="0"/>
      </w:pPr>
      <w:bookmarkStart w:id="1" w:name="_Toc3463475"/>
      <w:r>
        <w:lastRenderedPageBreak/>
        <w:t>Part 1—Preliminary</w:t>
      </w:r>
      <w:bookmarkEnd w:id="1"/>
    </w:p>
    <w:p w14:paraId="0DBAC698" w14:textId="77777777" w:rsidR="00A366E9" w:rsidRPr="004D54D7" w:rsidRDefault="00A366E9" w:rsidP="00A366E9">
      <w:pPr>
        <w:pStyle w:val="ActHead5"/>
        <w:numPr>
          <w:ilvl w:val="0"/>
          <w:numId w:val="3"/>
        </w:numPr>
        <w:spacing w:after="120"/>
        <w:ind w:left="357" w:hanging="357"/>
        <w:rPr>
          <w:szCs w:val="24"/>
        </w:rPr>
      </w:pPr>
      <w:bookmarkStart w:id="2" w:name="_Toc3463476"/>
      <w:r w:rsidRPr="00AD4070">
        <w:rPr>
          <w:szCs w:val="24"/>
        </w:rPr>
        <w:t>Name</w:t>
      </w:r>
      <w:bookmarkEnd w:id="2"/>
    </w:p>
    <w:p w14:paraId="516166E5" w14:textId="77777777" w:rsidR="00A366E9" w:rsidRPr="00AD4070" w:rsidRDefault="00A366E9" w:rsidP="00A366E9">
      <w:pPr>
        <w:pStyle w:val="subsection"/>
        <w:tabs>
          <w:tab w:val="clear" w:pos="1021"/>
          <w:tab w:val="right" w:pos="1134"/>
        </w:tabs>
        <w:ind w:left="709" w:firstLine="0"/>
        <w:rPr>
          <w:i/>
          <w:sz w:val="24"/>
          <w:szCs w:val="24"/>
        </w:rPr>
      </w:pPr>
      <w:r w:rsidRPr="00AD4070">
        <w:rPr>
          <w:sz w:val="24"/>
          <w:szCs w:val="24"/>
        </w:rPr>
        <w:t xml:space="preserve">This </w:t>
      </w:r>
      <w:r>
        <w:rPr>
          <w:sz w:val="24"/>
          <w:szCs w:val="24"/>
        </w:rPr>
        <w:t>determination</w:t>
      </w:r>
      <w:r w:rsidRPr="00AD4070">
        <w:rPr>
          <w:sz w:val="24"/>
          <w:szCs w:val="24"/>
        </w:rPr>
        <w:t xml:space="preserve"> is the </w:t>
      </w:r>
      <w:r w:rsidRPr="00AD4070">
        <w:rPr>
          <w:i/>
          <w:sz w:val="24"/>
          <w:szCs w:val="24"/>
        </w:rPr>
        <w:t>Parliamentary Business Resources (</w:t>
      </w:r>
      <w:r w:rsidR="004F0E27">
        <w:rPr>
          <w:i/>
          <w:sz w:val="24"/>
          <w:szCs w:val="24"/>
        </w:rPr>
        <w:t xml:space="preserve">Commonwealth Parliament </w:t>
      </w:r>
      <w:r w:rsidRPr="00B42513">
        <w:rPr>
          <w:i/>
          <w:sz w:val="24"/>
          <w:szCs w:val="24"/>
        </w:rPr>
        <w:t>Offices</w:t>
      </w:r>
      <w:r w:rsidRPr="00AD4070">
        <w:rPr>
          <w:i/>
          <w:sz w:val="24"/>
          <w:szCs w:val="24"/>
        </w:rPr>
        <w:t>) Determination (No</w:t>
      </w:r>
      <w:r>
        <w:rPr>
          <w:i/>
          <w:sz w:val="24"/>
          <w:szCs w:val="24"/>
        </w:rPr>
        <w:t>.</w:t>
      </w:r>
      <w:r w:rsidRPr="00AD4070">
        <w:rPr>
          <w:i/>
          <w:sz w:val="24"/>
          <w:szCs w:val="24"/>
        </w:rPr>
        <w:t xml:space="preserve"> 1) 201</w:t>
      </w:r>
      <w:r w:rsidR="001C0521">
        <w:rPr>
          <w:i/>
          <w:sz w:val="24"/>
          <w:szCs w:val="24"/>
        </w:rPr>
        <w:t>9</w:t>
      </w:r>
      <w:r w:rsidRPr="00AD4070">
        <w:rPr>
          <w:i/>
          <w:sz w:val="24"/>
          <w:szCs w:val="24"/>
        </w:rPr>
        <w:t>.</w:t>
      </w:r>
    </w:p>
    <w:p w14:paraId="20B54971" w14:textId="77777777" w:rsidR="00A366E9" w:rsidRPr="00AD4070" w:rsidRDefault="00A366E9" w:rsidP="00A366E9">
      <w:pPr>
        <w:pStyle w:val="ActHead5"/>
        <w:numPr>
          <w:ilvl w:val="0"/>
          <w:numId w:val="3"/>
        </w:numPr>
        <w:tabs>
          <w:tab w:val="left" w:pos="9072"/>
        </w:tabs>
        <w:spacing w:after="120"/>
        <w:ind w:left="357" w:hanging="357"/>
        <w:rPr>
          <w:szCs w:val="24"/>
        </w:rPr>
      </w:pPr>
      <w:bookmarkStart w:id="3" w:name="_Toc3463477"/>
      <w:r w:rsidRPr="00AD4070">
        <w:rPr>
          <w:szCs w:val="24"/>
        </w:rPr>
        <w:t>Commencement</w:t>
      </w:r>
      <w:bookmarkEnd w:id="3"/>
    </w:p>
    <w:p w14:paraId="65CF3D41" w14:textId="77777777" w:rsidR="00A366E9" w:rsidRPr="00AD4070" w:rsidRDefault="00A366E9" w:rsidP="00A366E9">
      <w:pPr>
        <w:pStyle w:val="subsection"/>
        <w:tabs>
          <w:tab w:val="clear" w:pos="1021"/>
          <w:tab w:val="right" w:pos="1134"/>
          <w:tab w:val="left" w:pos="9072"/>
        </w:tabs>
        <w:ind w:left="709" w:firstLine="0"/>
        <w:rPr>
          <w:sz w:val="24"/>
          <w:szCs w:val="24"/>
        </w:rPr>
      </w:pPr>
      <w:r w:rsidRPr="00AD4070">
        <w:rPr>
          <w:sz w:val="24"/>
          <w:szCs w:val="24"/>
        </w:rPr>
        <w:t xml:space="preserve">This </w:t>
      </w:r>
      <w:r>
        <w:rPr>
          <w:sz w:val="24"/>
          <w:szCs w:val="24"/>
        </w:rPr>
        <w:t>determination</w:t>
      </w:r>
      <w:r w:rsidRPr="00AD4070">
        <w:rPr>
          <w:sz w:val="24"/>
          <w:szCs w:val="24"/>
        </w:rPr>
        <w:t xml:space="preserve"> commences</w:t>
      </w:r>
      <w:r>
        <w:rPr>
          <w:sz w:val="24"/>
          <w:szCs w:val="24"/>
        </w:rPr>
        <w:t xml:space="preserve"> on the</w:t>
      </w:r>
      <w:r w:rsidRPr="00AD4070">
        <w:rPr>
          <w:sz w:val="24"/>
          <w:szCs w:val="24"/>
        </w:rPr>
        <w:t xml:space="preserve"> day</w:t>
      </w:r>
      <w:r>
        <w:rPr>
          <w:sz w:val="24"/>
          <w:szCs w:val="24"/>
        </w:rPr>
        <w:t xml:space="preserve"> after it is signed</w:t>
      </w:r>
      <w:r w:rsidRPr="00AD4070">
        <w:rPr>
          <w:sz w:val="24"/>
          <w:szCs w:val="24"/>
        </w:rPr>
        <w:t>.</w:t>
      </w:r>
    </w:p>
    <w:p w14:paraId="5A6DD236" w14:textId="77777777" w:rsidR="00A366E9" w:rsidRPr="00AD4070" w:rsidRDefault="00A366E9" w:rsidP="00A366E9">
      <w:pPr>
        <w:pStyle w:val="ActHead5"/>
        <w:numPr>
          <w:ilvl w:val="0"/>
          <w:numId w:val="3"/>
        </w:numPr>
        <w:tabs>
          <w:tab w:val="left" w:pos="9072"/>
        </w:tabs>
        <w:spacing w:after="120"/>
        <w:ind w:left="357" w:hanging="357"/>
        <w:rPr>
          <w:szCs w:val="24"/>
        </w:rPr>
      </w:pPr>
      <w:bookmarkStart w:id="4" w:name="_Toc3463478"/>
      <w:r w:rsidRPr="00AD4070">
        <w:rPr>
          <w:szCs w:val="24"/>
        </w:rPr>
        <w:t>Authority</w:t>
      </w:r>
      <w:bookmarkEnd w:id="4"/>
    </w:p>
    <w:p w14:paraId="4226352A" w14:textId="77777777" w:rsidR="00A366E9" w:rsidRPr="00AD4070" w:rsidRDefault="00A366E9" w:rsidP="00A366E9">
      <w:pPr>
        <w:pStyle w:val="subsection"/>
        <w:tabs>
          <w:tab w:val="clear" w:pos="1021"/>
          <w:tab w:val="right" w:pos="1134"/>
          <w:tab w:val="left" w:pos="9072"/>
        </w:tabs>
        <w:ind w:left="709" w:firstLine="0"/>
        <w:rPr>
          <w:sz w:val="24"/>
          <w:szCs w:val="24"/>
        </w:rPr>
      </w:pPr>
      <w:r w:rsidRPr="00AD4070">
        <w:rPr>
          <w:sz w:val="24"/>
          <w:szCs w:val="24"/>
        </w:rPr>
        <w:t xml:space="preserve">This </w:t>
      </w:r>
      <w:r>
        <w:rPr>
          <w:sz w:val="24"/>
          <w:szCs w:val="24"/>
        </w:rPr>
        <w:t>determination</w:t>
      </w:r>
      <w:r w:rsidRPr="00AD4070">
        <w:rPr>
          <w:sz w:val="24"/>
          <w:szCs w:val="24"/>
        </w:rPr>
        <w:t xml:space="preserve"> is made under subsection 33(1) of the </w:t>
      </w:r>
      <w:r w:rsidRPr="00AD4070">
        <w:rPr>
          <w:i/>
          <w:sz w:val="24"/>
          <w:szCs w:val="24"/>
        </w:rPr>
        <w:t>Parliamentary Business Resources Act 2017</w:t>
      </w:r>
      <w:r w:rsidRPr="00AD4070">
        <w:rPr>
          <w:sz w:val="24"/>
          <w:szCs w:val="24"/>
        </w:rPr>
        <w:t>.</w:t>
      </w:r>
    </w:p>
    <w:p w14:paraId="4ED2540A" w14:textId="77777777" w:rsidR="00A366E9" w:rsidRDefault="00A366E9" w:rsidP="00A366E9">
      <w:pPr>
        <w:pStyle w:val="ActHead5"/>
        <w:numPr>
          <w:ilvl w:val="0"/>
          <w:numId w:val="3"/>
        </w:numPr>
        <w:tabs>
          <w:tab w:val="left" w:pos="9072"/>
        </w:tabs>
        <w:spacing w:after="120"/>
        <w:ind w:left="357" w:hanging="357"/>
        <w:rPr>
          <w:szCs w:val="24"/>
        </w:rPr>
      </w:pPr>
      <w:bookmarkStart w:id="5" w:name="_Toc3463479"/>
      <w:r>
        <w:rPr>
          <w:szCs w:val="24"/>
        </w:rPr>
        <w:t>Definitions</w:t>
      </w:r>
      <w:bookmarkEnd w:id="5"/>
    </w:p>
    <w:p w14:paraId="75EEDDEB" w14:textId="77777777" w:rsidR="00A366E9" w:rsidRPr="00AD4070" w:rsidRDefault="00A366E9" w:rsidP="00A366E9">
      <w:pPr>
        <w:pStyle w:val="subsection"/>
        <w:tabs>
          <w:tab w:val="clear" w:pos="1021"/>
          <w:tab w:val="right" w:pos="1134"/>
          <w:tab w:val="left" w:pos="9072"/>
        </w:tabs>
        <w:ind w:left="709" w:firstLine="0"/>
        <w:rPr>
          <w:sz w:val="24"/>
          <w:szCs w:val="24"/>
        </w:rPr>
      </w:pPr>
      <w:r w:rsidRPr="00AD4070">
        <w:rPr>
          <w:sz w:val="24"/>
          <w:szCs w:val="24"/>
        </w:rPr>
        <w:t xml:space="preserve">In this </w:t>
      </w:r>
      <w:r>
        <w:rPr>
          <w:sz w:val="24"/>
          <w:szCs w:val="24"/>
        </w:rPr>
        <w:t>determination</w:t>
      </w:r>
      <w:r w:rsidRPr="00AD4070">
        <w:rPr>
          <w:sz w:val="24"/>
          <w:szCs w:val="24"/>
        </w:rPr>
        <w:t>:</w:t>
      </w:r>
    </w:p>
    <w:p w14:paraId="67C47BDA" w14:textId="77777777" w:rsidR="00A366E9" w:rsidRPr="00AD4070" w:rsidRDefault="00A366E9" w:rsidP="00A366E9">
      <w:pPr>
        <w:pStyle w:val="subsection"/>
        <w:tabs>
          <w:tab w:val="clear" w:pos="1021"/>
          <w:tab w:val="right" w:pos="1134"/>
          <w:tab w:val="left" w:pos="9072"/>
        </w:tabs>
        <w:ind w:left="709" w:firstLine="0"/>
        <w:rPr>
          <w:sz w:val="24"/>
          <w:szCs w:val="24"/>
        </w:rPr>
      </w:pPr>
      <w:r w:rsidRPr="00AD4070">
        <w:rPr>
          <w:b/>
          <w:i/>
          <w:sz w:val="24"/>
          <w:szCs w:val="24"/>
        </w:rPr>
        <w:t>Act</w:t>
      </w:r>
      <w:r w:rsidRPr="00AD4070">
        <w:rPr>
          <w:sz w:val="24"/>
          <w:szCs w:val="24"/>
        </w:rPr>
        <w:t xml:space="preserve"> means the </w:t>
      </w:r>
      <w:r w:rsidRPr="00AD4070">
        <w:rPr>
          <w:i/>
          <w:sz w:val="24"/>
          <w:szCs w:val="24"/>
        </w:rPr>
        <w:t>Parliamentary Business Resources Act 2017</w:t>
      </w:r>
      <w:r w:rsidRPr="00AD4070">
        <w:rPr>
          <w:sz w:val="24"/>
          <w:szCs w:val="24"/>
        </w:rPr>
        <w:t>.</w:t>
      </w:r>
    </w:p>
    <w:p w14:paraId="77D04138" w14:textId="77777777" w:rsidR="00747A91" w:rsidRDefault="00747A91" w:rsidP="00747A91">
      <w:pPr>
        <w:pStyle w:val="subsection"/>
        <w:keepNext/>
        <w:keepLines/>
        <w:tabs>
          <w:tab w:val="clear" w:pos="1021"/>
          <w:tab w:val="right" w:pos="1134"/>
          <w:tab w:val="left" w:pos="9072"/>
        </w:tabs>
        <w:ind w:left="709" w:firstLine="0"/>
        <w:rPr>
          <w:sz w:val="24"/>
          <w:szCs w:val="24"/>
        </w:rPr>
      </w:pPr>
      <w:r w:rsidRPr="00AD4070">
        <w:rPr>
          <w:b/>
          <w:i/>
          <w:sz w:val="24"/>
          <w:szCs w:val="24"/>
        </w:rPr>
        <w:t xml:space="preserve">Commonwealth Parliament Office (CPO) </w:t>
      </w:r>
      <w:r w:rsidRPr="00AD4070">
        <w:rPr>
          <w:sz w:val="24"/>
          <w:szCs w:val="24"/>
        </w:rPr>
        <w:t xml:space="preserve">means </w:t>
      </w:r>
      <w:r>
        <w:rPr>
          <w:sz w:val="24"/>
          <w:szCs w:val="24"/>
        </w:rPr>
        <w:t>any of the following office spaces that</w:t>
      </w:r>
      <w:r w:rsidRPr="00AD4070">
        <w:rPr>
          <w:sz w:val="24"/>
          <w:szCs w:val="24"/>
        </w:rPr>
        <w:t xml:space="preserve"> </w:t>
      </w:r>
      <w:r>
        <w:rPr>
          <w:sz w:val="24"/>
          <w:szCs w:val="24"/>
        </w:rPr>
        <w:t xml:space="preserve">the Commonwealth, as represented by Ministerial and Parliamentary Services, </w:t>
      </w:r>
      <w:r w:rsidRPr="00AD4070">
        <w:rPr>
          <w:sz w:val="24"/>
          <w:szCs w:val="24"/>
        </w:rPr>
        <w:t xml:space="preserve">leases </w:t>
      </w:r>
      <w:r w:rsidRPr="0031225A">
        <w:rPr>
          <w:sz w:val="24"/>
          <w:szCs w:val="24"/>
        </w:rPr>
        <w:t xml:space="preserve">for </w:t>
      </w:r>
      <w:r w:rsidRPr="00CE57DB">
        <w:rPr>
          <w:sz w:val="24"/>
          <w:szCs w:val="24"/>
        </w:rPr>
        <w:t xml:space="preserve">certain </w:t>
      </w:r>
      <w:r w:rsidRPr="0031225A">
        <w:rPr>
          <w:sz w:val="24"/>
          <w:szCs w:val="24"/>
        </w:rPr>
        <w:t>purposes</w:t>
      </w:r>
      <w:r w:rsidRPr="00CE57DB">
        <w:rPr>
          <w:sz w:val="24"/>
          <w:szCs w:val="24"/>
        </w:rPr>
        <w:t>,</w:t>
      </w:r>
      <w:r w:rsidRPr="0031225A">
        <w:rPr>
          <w:sz w:val="24"/>
          <w:szCs w:val="24"/>
        </w:rPr>
        <w:t xml:space="preserve"> including</w:t>
      </w:r>
      <w:r w:rsidRPr="00CE57DB">
        <w:rPr>
          <w:sz w:val="24"/>
          <w:szCs w:val="24"/>
        </w:rPr>
        <w:t xml:space="preserve"> to</w:t>
      </w:r>
      <w:r w:rsidRPr="0031225A">
        <w:rPr>
          <w:sz w:val="24"/>
          <w:szCs w:val="24"/>
        </w:rPr>
        <w:t xml:space="preserve"> provid</w:t>
      </w:r>
      <w:r w:rsidRPr="00CE57DB">
        <w:rPr>
          <w:sz w:val="24"/>
          <w:szCs w:val="24"/>
        </w:rPr>
        <w:t>e</w:t>
      </w:r>
      <w:r w:rsidRPr="00AD4070">
        <w:rPr>
          <w:sz w:val="24"/>
          <w:szCs w:val="24"/>
        </w:rPr>
        <w:t xml:space="preserve"> permanent and temporary office accommodation </w:t>
      </w:r>
      <w:r>
        <w:rPr>
          <w:sz w:val="24"/>
          <w:szCs w:val="24"/>
        </w:rPr>
        <w:t>to</w:t>
      </w:r>
      <w:r w:rsidRPr="00AD4070">
        <w:rPr>
          <w:sz w:val="24"/>
          <w:szCs w:val="24"/>
        </w:rPr>
        <w:t xml:space="preserve"> members</w:t>
      </w:r>
      <w:r>
        <w:rPr>
          <w:sz w:val="24"/>
          <w:szCs w:val="24"/>
        </w:rPr>
        <w:t>:</w:t>
      </w:r>
    </w:p>
    <w:p w14:paraId="0B62F82F" w14:textId="77777777" w:rsidR="00747A91" w:rsidRDefault="00747A91" w:rsidP="00747A91">
      <w:pPr>
        <w:pStyle w:val="subsection"/>
        <w:keepNext/>
        <w:numPr>
          <w:ilvl w:val="0"/>
          <w:numId w:val="4"/>
        </w:numPr>
        <w:tabs>
          <w:tab w:val="clear" w:pos="1021"/>
          <w:tab w:val="left" w:pos="9072"/>
        </w:tabs>
        <w:ind w:left="1442" w:hanging="504"/>
        <w:rPr>
          <w:sz w:val="24"/>
          <w:szCs w:val="24"/>
        </w:rPr>
      </w:pPr>
      <w:r w:rsidRPr="002A142C">
        <w:rPr>
          <w:color w:val="000000"/>
          <w:sz w:val="24"/>
          <w:szCs w:val="24"/>
        </w:rPr>
        <w:t>1 Bligh Street, Sydney, New South Wales;</w:t>
      </w:r>
    </w:p>
    <w:p w14:paraId="6ED7D9D8" w14:textId="77777777" w:rsidR="00747A91" w:rsidRPr="00F21719" w:rsidRDefault="00747A91" w:rsidP="00747A91">
      <w:pPr>
        <w:pStyle w:val="subsection"/>
        <w:keepNext/>
        <w:numPr>
          <w:ilvl w:val="0"/>
          <w:numId w:val="4"/>
        </w:numPr>
        <w:tabs>
          <w:tab w:val="clear" w:pos="1021"/>
          <w:tab w:val="left" w:pos="9072"/>
        </w:tabs>
        <w:ind w:left="1442" w:hanging="504"/>
        <w:rPr>
          <w:sz w:val="24"/>
          <w:szCs w:val="24"/>
        </w:rPr>
      </w:pPr>
      <w:r w:rsidRPr="00AF2E4D">
        <w:rPr>
          <w:color w:val="000000"/>
          <w:sz w:val="24"/>
          <w:szCs w:val="24"/>
        </w:rPr>
        <w:t>NT House, 22 Mitchell Street, Darwin, Northern Territory</w:t>
      </w:r>
      <w:r>
        <w:rPr>
          <w:color w:val="000000"/>
          <w:sz w:val="24"/>
          <w:szCs w:val="24"/>
        </w:rPr>
        <w:t>;</w:t>
      </w:r>
    </w:p>
    <w:p w14:paraId="69CD2B34" w14:textId="77777777" w:rsidR="00747A91" w:rsidRPr="00C8437A" w:rsidRDefault="00747A91" w:rsidP="00747A91">
      <w:pPr>
        <w:pStyle w:val="subsection"/>
        <w:keepNext/>
        <w:numPr>
          <w:ilvl w:val="0"/>
          <w:numId w:val="4"/>
        </w:numPr>
        <w:tabs>
          <w:tab w:val="clear" w:pos="1021"/>
          <w:tab w:val="left" w:pos="9072"/>
        </w:tabs>
        <w:ind w:left="1442" w:hanging="504"/>
        <w:rPr>
          <w:sz w:val="24"/>
          <w:szCs w:val="24"/>
        </w:rPr>
      </w:pPr>
      <w:r w:rsidRPr="00C8437A">
        <w:rPr>
          <w:sz w:val="24"/>
          <w:szCs w:val="24"/>
        </w:rPr>
        <w:t>Waterfront Place, 1 Eagle Street, Brisbane, Queensland;</w:t>
      </w:r>
    </w:p>
    <w:p w14:paraId="7EFF4DEB" w14:textId="77777777" w:rsidR="00747A91" w:rsidRPr="00F21719" w:rsidRDefault="00747A91" w:rsidP="00747A91">
      <w:pPr>
        <w:pStyle w:val="subsection"/>
        <w:keepNext/>
        <w:numPr>
          <w:ilvl w:val="0"/>
          <w:numId w:val="4"/>
        </w:numPr>
        <w:tabs>
          <w:tab w:val="clear" w:pos="1021"/>
          <w:tab w:val="left" w:pos="9072"/>
        </w:tabs>
        <w:ind w:left="1442" w:hanging="504"/>
        <w:rPr>
          <w:sz w:val="24"/>
          <w:szCs w:val="24"/>
        </w:rPr>
      </w:pPr>
      <w:r w:rsidRPr="00AF2E4D">
        <w:rPr>
          <w:sz w:val="24"/>
          <w:szCs w:val="24"/>
        </w:rPr>
        <w:t>100 King William Street, Adelaide, South Australia;</w:t>
      </w:r>
    </w:p>
    <w:p w14:paraId="235D1D05" w14:textId="77777777" w:rsidR="00747A91" w:rsidRPr="00F21719" w:rsidRDefault="00747A91" w:rsidP="00747A91">
      <w:pPr>
        <w:pStyle w:val="subsection"/>
        <w:keepNext/>
        <w:numPr>
          <w:ilvl w:val="0"/>
          <w:numId w:val="4"/>
        </w:numPr>
        <w:tabs>
          <w:tab w:val="clear" w:pos="1021"/>
          <w:tab w:val="left" w:pos="9072"/>
        </w:tabs>
        <w:ind w:left="1442" w:hanging="504"/>
        <w:rPr>
          <w:sz w:val="24"/>
          <w:szCs w:val="24"/>
        </w:rPr>
      </w:pPr>
      <w:r w:rsidRPr="00AF2E4D">
        <w:rPr>
          <w:sz w:val="24"/>
          <w:szCs w:val="24"/>
        </w:rPr>
        <w:t>188 Collins Street, Hobart, Tasmania</w:t>
      </w:r>
      <w:r>
        <w:rPr>
          <w:sz w:val="24"/>
          <w:szCs w:val="24"/>
        </w:rPr>
        <w:t>;</w:t>
      </w:r>
    </w:p>
    <w:p w14:paraId="462F0AFA" w14:textId="77777777" w:rsidR="00747A91" w:rsidRPr="00F21719" w:rsidRDefault="00747A91" w:rsidP="00747A91">
      <w:pPr>
        <w:pStyle w:val="subsection"/>
        <w:keepNext/>
        <w:numPr>
          <w:ilvl w:val="0"/>
          <w:numId w:val="4"/>
        </w:numPr>
        <w:tabs>
          <w:tab w:val="clear" w:pos="1021"/>
          <w:tab w:val="left" w:pos="9072"/>
        </w:tabs>
        <w:ind w:left="1442" w:hanging="504"/>
        <w:rPr>
          <w:sz w:val="24"/>
          <w:szCs w:val="24"/>
        </w:rPr>
      </w:pPr>
      <w:r w:rsidRPr="00AF2E4D">
        <w:rPr>
          <w:sz w:val="24"/>
          <w:szCs w:val="24"/>
        </w:rPr>
        <w:t xml:space="preserve">4 Treasury Place, </w:t>
      </w:r>
      <w:r>
        <w:rPr>
          <w:sz w:val="24"/>
          <w:szCs w:val="24"/>
        </w:rPr>
        <w:t xml:space="preserve">East </w:t>
      </w:r>
      <w:r w:rsidRPr="00AF2E4D">
        <w:rPr>
          <w:sz w:val="24"/>
          <w:szCs w:val="24"/>
        </w:rPr>
        <w:t>Melbourne, Victoria;</w:t>
      </w:r>
      <w:r>
        <w:rPr>
          <w:sz w:val="24"/>
          <w:szCs w:val="24"/>
        </w:rPr>
        <w:t xml:space="preserve"> and</w:t>
      </w:r>
    </w:p>
    <w:p w14:paraId="15C50193" w14:textId="77777777" w:rsidR="00747A91" w:rsidRPr="00F21719" w:rsidRDefault="00747A91" w:rsidP="00747A91">
      <w:pPr>
        <w:pStyle w:val="subsection"/>
        <w:keepNext/>
        <w:numPr>
          <w:ilvl w:val="0"/>
          <w:numId w:val="4"/>
        </w:numPr>
        <w:tabs>
          <w:tab w:val="clear" w:pos="1021"/>
          <w:tab w:val="left" w:pos="9072"/>
        </w:tabs>
        <w:ind w:left="1442" w:hanging="504"/>
        <w:rPr>
          <w:sz w:val="24"/>
          <w:szCs w:val="24"/>
        </w:rPr>
      </w:pPr>
      <w:r w:rsidRPr="00AF2E4D">
        <w:rPr>
          <w:sz w:val="24"/>
          <w:szCs w:val="24"/>
        </w:rPr>
        <w:t>Exchange Tower, 2 The Esplanade, Perth, Western Australia</w:t>
      </w:r>
      <w:r>
        <w:rPr>
          <w:sz w:val="24"/>
          <w:szCs w:val="24"/>
        </w:rPr>
        <w:t>,</w:t>
      </w:r>
    </w:p>
    <w:p w14:paraId="41DA1555" w14:textId="77777777" w:rsidR="00747A91" w:rsidRDefault="00747A91" w:rsidP="00747A91">
      <w:pPr>
        <w:pStyle w:val="subsection"/>
        <w:tabs>
          <w:tab w:val="clear" w:pos="1021"/>
          <w:tab w:val="right" w:pos="1134"/>
          <w:tab w:val="left" w:pos="9072"/>
        </w:tabs>
        <w:ind w:left="709" w:firstLine="0"/>
        <w:rPr>
          <w:sz w:val="24"/>
          <w:szCs w:val="24"/>
        </w:rPr>
      </w:pPr>
      <w:r w:rsidRPr="00AF2E4D">
        <w:rPr>
          <w:sz w:val="24"/>
          <w:szCs w:val="24"/>
        </w:rPr>
        <w:t xml:space="preserve">and includes any spaces that may be used by the Commonwealth </w:t>
      </w:r>
      <w:r w:rsidR="004115AB">
        <w:rPr>
          <w:sz w:val="24"/>
          <w:szCs w:val="24"/>
        </w:rPr>
        <w:t xml:space="preserve">in providing or administering public resources </w:t>
      </w:r>
      <w:r w:rsidRPr="00AF2E4D">
        <w:rPr>
          <w:sz w:val="24"/>
          <w:szCs w:val="24"/>
        </w:rPr>
        <w:t>under the relevant lease.</w:t>
      </w:r>
    </w:p>
    <w:p w14:paraId="667128CE" w14:textId="77777777" w:rsidR="00977FDF" w:rsidRPr="00977FDF" w:rsidRDefault="00977FDF" w:rsidP="00261A5A">
      <w:pPr>
        <w:pStyle w:val="subsection"/>
        <w:tabs>
          <w:tab w:val="clear" w:pos="1021"/>
          <w:tab w:val="right" w:pos="1134"/>
        </w:tabs>
        <w:ind w:left="709" w:firstLine="0"/>
        <w:rPr>
          <w:i/>
          <w:sz w:val="24"/>
          <w:szCs w:val="24"/>
        </w:rPr>
      </w:pPr>
      <w:r>
        <w:rPr>
          <w:b/>
          <w:i/>
          <w:sz w:val="24"/>
          <w:szCs w:val="24"/>
        </w:rPr>
        <w:t xml:space="preserve">Department </w:t>
      </w:r>
      <w:r w:rsidRPr="006F0A8E">
        <w:rPr>
          <w:sz w:val="24"/>
          <w:szCs w:val="24"/>
        </w:rPr>
        <w:t xml:space="preserve">means </w:t>
      </w:r>
      <w:r w:rsidR="006A30C6">
        <w:rPr>
          <w:sz w:val="24"/>
          <w:szCs w:val="24"/>
        </w:rPr>
        <w:t xml:space="preserve">the </w:t>
      </w:r>
      <w:r w:rsidRPr="006F0A8E">
        <w:rPr>
          <w:sz w:val="24"/>
          <w:szCs w:val="24"/>
        </w:rPr>
        <w:t>Department of Finance</w:t>
      </w:r>
      <w:r>
        <w:rPr>
          <w:sz w:val="24"/>
          <w:szCs w:val="24"/>
        </w:rPr>
        <w:t>.</w:t>
      </w:r>
    </w:p>
    <w:p w14:paraId="1E375941" w14:textId="77777777" w:rsidR="00261A5A" w:rsidRDefault="00261A5A" w:rsidP="00261A5A">
      <w:pPr>
        <w:pStyle w:val="subsection"/>
        <w:tabs>
          <w:tab w:val="clear" w:pos="1021"/>
          <w:tab w:val="right" w:pos="1134"/>
        </w:tabs>
        <w:ind w:left="709" w:firstLine="0"/>
        <w:rPr>
          <w:sz w:val="24"/>
          <w:szCs w:val="24"/>
        </w:rPr>
      </w:pPr>
      <w:r>
        <w:rPr>
          <w:b/>
          <w:i/>
          <w:sz w:val="24"/>
          <w:szCs w:val="24"/>
        </w:rPr>
        <w:t>p</w:t>
      </w:r>
      <w:r w:rsidRPr="006D5C36">
        <w:rPr>
          <w:b/>
          <w:i/>
          <w:sz w:val="24"/>
          <w:szCs w:val="24"/>
        </w:rPr>
        <w:t xml:space="preserve">ermanent office </w:t>
      </w:r>
      <w:r w:rsidRPr="006D5C36">
        <w:rPr>
          <w:sz w:val="24"/>
          <w:szCs w:val="24"/>
        </w:rPr>
        <w:t>means an office prescribed under subsection 72(1), 73(1) or 73(2) of the Regulations</w:t>
      </w:r>
      <w:r w:rsidR="004115AB">
        <w:rPr>
          <w:sz w:val="24"/>
          <w:szCs w:val="24"/>
        </w:rPr>
        <w:t>.</w:t>
      </w:r>
    </w:p>
    <w:p w14:paraId="4C67D41A" w14:textId="77777777" w:rsidR="00261A5A" w:rsidRPr="00AD4070" w:rsidRDefault="00261A5A" w:rsidP="00261A5A">
      <w:pPr>
        <w:pStyle w:val="subsection"/>
        <w:tabs>
          <w:tab w:val="clear" w:pos="1021"/>
          <w:tab w:val="right" w:pos="1134"/>
        </w:tabs>
        <w:ind w:left="709" w:firstLine="0"/>
        <w:rPr>
          <w:sz w:val="24"/>
          <w:szCs w:val="24"/>
        </w:rPr>
      </w:pPr>
      <w:r w:rsidRPr="00AD4070">
        <w:rPr>
          <w:b/>
          <w:i/>
          <w:sz w:val="24"/>
          <w:szCs w:val="24"/>
        </w:rPr>
        <w:t>Regulations</w:t>
      </w:r>
      <w:r w:rsidRPr="00AD4070">
        <w:rPr>
          <w:sz w:val="24"/>
          <w:szCs w:val="24"/>
        </w:rPr>
        <w:t xml:space="preserve"> means the </w:t>
      </w:r>
      <w:r w:rsidRPr="00AD4070">
        <w:rPr>
          <w:i/>
          <w:sz w:val="24"/>
          <w:szCs w:val="24"/>
        </w:rPr>
        <w:t>Parliamentary Business Resources Regulations 2017</w:t>
      </w:r>
      <w:r w:rsidRPr="00AD4070">
        <w:rPr>
          <w:sz w:val="24"/>
          <w:szCs w:val="24"/>
        </w:rPr>
        <w:t>.</w:t>
      </w:r>
    </w:p>
    <w:p w14:paraId="4640B9D8" w14:textId="77777777" w:rsidR="00261A5A" w:rsidRDefault="00261A5A" w:rsidP="0094246F">
      <w:pPr>
        <w:pStyle w:val="subsection"/>
        <w:keepNext/>
        <w:tabs>
          <w:tab w:val="clear" w:pos="1021"/>
          <w:tab w:val="right" w:pos="1134"/>
        </w:tabs>
        <w:ind w:left="709" w:firstLine="0"/>
        <w:rPr>
          <w:sz w:val="24"/>
          <w:szCs w:val="24"/>
        </w:rPr>
      </w:pPr>
      <w:bookmarkStart w:id="6" w:name="_Toc526340143"/>
      <w:r>
        <w:rPr>
          <w:b/>
          <w:i/>
          <w:sz w:val="24"/>
          <w:szCs w:val="24"/>
        </w:rPr>
        <w:t xml:space="preserve">temporary </w:t>
      </w:r>
      <w:r w:rsidRPr="006D5C36">
        <w:rPr>
          <w:b/>
          <w:i/>
          <w:sz w:val="24"/>
          <w:szCs w:val="24"/>
        </w:rPr>
        <w:t xml:space="preserve">office </w:t>
      </w:r>
      <w:r w:rsidRPr="00277B94">
        <w:rPr>
          <w:sz w:val="24"/>
          <w:szCs w:val="24"/>
        </w:rPr>
        <w:t>means an office prescribed under subsection 72(2) of the Regulations.</w:t>
      </w:r>
      <w:bookmarkEnd w:id="6"/>
    </w:p>
    <w:p w14:paraId="3C26697D" w14:textId="77777777" w:rsidR="00261A5A" w:rsidRDefault="00261A5A" w:rsidP="0094246F">
      <w:pPr>
        <w:pStyle w:val="notetext"/>
        <w:keepNext/>
        <w:spacing w:before="120"/>
        <w:ind w:left="1950" w:hanging="508"/>
      </w:pPr>
      <w:r>
        <w:t>Note:</w:t>
      </w:r>
      <w:r>
        <w:tab/>
        <w:t xml:space="preserve">A term that is defined in </w:t>
      </w:r>
    </w:p>
    <w:p w14:paraId="28A9A7F8" w14:textId="77777777" w:rsidR="00261A5A" w:rsidRDefault="00261A5A" w:rsidP="00923627">
      <w:pPr>
        <w:pStyle w:val="notetext"/>
        <w:numPr>
          <w:ilvl w:val="0"/>
          <w:numId w:val="14"/>
        </w:numPr>
        <w:spacing w:before="0" w:line="240" w:lineRule="auto"/>
      </w:pPr>
      <w:r>
        <w:t xml:space="preserve">the </w:t>
      </w:r>
      <w:r w:rsidRPr="00B937EF">
        <w:t>Act</w:t>
      </w:r>
      <w:r w:rsidRPr="00E14040">
        <w:t>, such as</w:t>
      </w:r>
      <w:r w:rsidRPr="00B73668">
        <w:t xml:space="preserve"> </w:t>
      </w:r>
      <w:r w:rsidRPr="00B73668">
        <w:rPr>
          <w:b/>
          <w:i/>
        </w:rPr>
        <w:t>member</w:t>
      </w:r>
      <w:r>
        <w:rPr>
          <w:b/>
          <w:i/>
        </w:rPr>
        <w:t xml:space="preserve"> </w:t>
      </w:r>
      <w:r>
        <w:t xml:space="preserve">or </w:t>
      </w:r>
      <w:r>
        <w:rPr>
          <w:b/>
          <w:i/>
        </w:rPr>
        <w:t>IPEA</w:t>
      </w:r>
      <w:r w:rsidRPr="0097489F">
        <w:t>,</w:t>
      </w:r>
      <w:r>
        <w:t xml:space="preserve"> </w:t>
      </w:r>
    </w:p>
    <w:p w14:paraId="0F9D9A7B" w14:textId="77777777" w:rsidR="00261A5A" w:rsidRDefault="00261A5A" w:rsidP="00923627">
      <w:pPr>
        <w:pStyle w:val="notetext"/>
        <w:numPr>
          <w:ilvl w:val="0"/>
          <w:numId w:val="14"/>
        </w:numPr>
        <w:spacing w:before="0" w:line="240" w:lineRule="auto"/>
      </w:pPr>
      <w:r>
        <w:t xml:space="preserve">the </w:t>
      </w:r>
      <w:r w:rsidRPr="00B937EF">
        <w:t>Regulations</w:t>
      </w:r>
      <w:r>
        <w:t xml:space="preserve">, such as </w:t>
      </w:r>
      <w:r>
        <w:rPr>
          <w:b/>
          <w:i/>
        </w:rPr>
        <w:t>electorate offices</w:t>
      </w:r>
      <w:r>
        <w:t xml:space="preserve"> or </w:t>
      </w:r>
      <w:r>
        <w:rPr>
          <w:b/>
          <w:i/>
        </w:rPr>
        <w:t xml:space="preserve">home </w:t>
      </w:r>
      <w:r w:rsidRPr="00E14040">
        <w:rPr>
          <w:b/>
          <w:i/>
        </w:rPr>
        <w:t>base</w:t>
      </w:r>
      <w:r>
        <w:t xml:space="preserve">, </w:t>
      </w:r>
    </w:p>
    <w:p w14:paraId="2C3C1BCE" w14:textId="77777777" w:rsidR="00261A5A" w:rsidRPr="00261A5A" w:rsidRDefault="00261A5A" w:rsidP="00261A5A">
      <w:pPr>
        <w:pStyle w:val="notetext"/>
        <w:spacing w:before="0" w:line="240" w:lineRule="auto"/>
        <w:ind w:left="1950" w:firstLine="0"/>
      </w:pPr>
      <w:r w:rsidRPr="00E14040">
        <w:t>ha</w:t>
      </w:r>
      <w:r>
        <w:t>s</w:t>
      </w:r>
      <w:r w:rsidRPr="00F366CB">
        <w:t xml:space="preserve"> the same meaning </w:t>
      </w:r>
      <w:r>
        <w:t xml:space="preserve">in this determination </w:t>
      </w:r>
      <w:r w:rsidRPr="00F366CB">
        <w:t xml:space="preserve">as </w:t>
      </w:r>
      <w:r>
        <w:t xml:space="preserve">it has </w:t>
      </w:r>
      <w:r w:rsidRPr="00F366CB">
        <w:t>in the</w:t>
      </w:r>
      <w:r>
        <w:t xml:space="preserve"> relevant </w:t>
      </w:r>
      <w:r w:rsidR="00680042">
        <w:t xml:space="preserve">Act or </w:t>
      </w:r>
      <w:r>
        <w:t>instrument</w:t>
      </w:r>
      <w:r w:rsidRPr="00F366CB">
        <w:t>.</w:t>
      </w:r>
    </w:p>
    <w:p w14:paraId="19036D61" w14:textId="77777777" w:rsidR="00A366E9" w:rsidRDefault="00A366E9" w:rsidP="00A366E9">
      <w:pPr>
        <w:pStyle w:val="ActHead6"/>
        <w:pageBreakBefore/>
        <w:tabs>
          <w:tab w:val="left" w:pos="9072"/>
        </w:tabs>
        <w:ind w:left="0" w:firstLine="0"/>
      </w:pPr>
      <w:bookmarkStart w:id="7" w:name="_Toc3463480"/>
      <w:r>
        <w:lastRenderedPageBreak/>
        <w:t>Part 2—Offices</w:t>
      </w:r>
      <w:bookmarkEnd w:id="7"/>
    </w:p>
    <w:p w14:paraId="3387D6EA" w14:textId="77777777" w:rsidR="0034740C" w:rsidRPr="00AD4070" w:rsidRDefault="0034740C" w:rsidP="0034740C">
      <w:pPr>
        <w:pStyle w:val="ActHead5"/>
        <w:numPr>
          <w:ilvl w:val="0"/>
          <w:numId w:val="3"/>
        </w:numPr>
        <w:spacing w:after="120"/>
        <w:ind w:left="357" w:hanging="357"/>
        <w:rPr>
          <w:szCs w:val="24"/>
        </w:rPr>
      </w:pPr>
      <w:bookmarkStart w:id="8" w:name="_Toc3463481"/>
      <w:r>
        <w:rPr>
          <w:szCs w:val="24"/>
        </w:rPr>
        <w:t>Provision of resources under this Part</w:t>
      </w:r>
      <w:bookmarkEnd w:id="8"/>
    </w:p>
    <w:p w14:paraId="7D4C9D14" w14:textId="77777777" w:rsidR="0034740C" w:rsidRPr="00C16E91" w:rsidRDefault="0034740C" w:rsidP="00C16E91">
      <w:pPr>
        <w:pStyle w:val="subsection"/>
        <w:tabs>
          <w:tab w:val="clear" w:pos="1021"/>
          <w:tab w:val="right" w:pos="1134"/>
          <w:tab w:val="left" w:pos="9072"/>
        </w:tabs>
        <w:ind w:left="709" w:firstLine="0"/>
        <w:rPr>
          <w:sz w:val="24"/>
          <w:szCs w:val="24"/>
        </w:rPr>
      </w:pPr>
      <w:r>
        <w:rPr>
          <w:sz w:val="24"/>
          <w:szCs w:val="24"/>
        </w:rPr>
        <w:t xml:space="preserve">The resources determined under this Part </w:t>
      </w:r>
      <w:r w:rsidR="00C16E91">
        <w:rPr>
          <w:sz w:val="24"/>
          <w:szCs w:val="24"/>
        </w:rPr>
        <w:t xml:space="preserve">are provided </w:t>
      </w:r>
      <w:r>
        <w:rPr>
          <w:sz w:val="24"/>
          <w:szCs w:val="24"/>
        </w:rPr>
        <w:t>subject to Part 4.</w:t>
      </w:r>
    </w:p>
    <w:p w14:paraId="7F3312CE" w14:textId="77777777" w:rsidR="00006472" w:rsidRPr="00AD4070" w:rsidRDefault="00006472" w:rsidP="00006472">
      <w:pPr>
        <w:pStyle w:val="ActHead5"/>
        <w:numPr>
          <w:ilvl w:val="0"/>
          <w:numId w:val="3"/>
        </w:numPr>
        <w:spacing w:after="120"/>
        <w:ind w:left="357" w:hanging="357"/>
        <w:rPr>
          <w:szCs w:val="24"/>
        </w:rPr>
      </w:pPr>
      <w:bookmarkStart w:id="9" w:name="_Toc3463482"/>
      <w:r w:rsidRPr="00AD4070">
        <w:rPr>
          <w:szCs w:val="24"/>
        </w:rPr>
        <w:t xml:space="preserve">Provision of </w:t>
      </w:r>
      <w:r>
        <w:rPr>
          <w:szCs w:val="24"/>
        </w:rPr>
        <w:t>electorate office</w:t>
      </w:r>
      <w:r w:rsidR="00747A91">
        <w:rPr>
          <w:szCs w:val="24"/>
        </w:rPr>
        <w:t>s</w:t>
      </w:r>
      <w:r>
        <w:rPr>
          <w:szCs w:val="24"/>
        </w:rPr>
        <w:t xml:space="preserve"> to </w:t>
      </w:r>
      <w:r w:rsidR="00C950EF">
        <w:rPr>
          <w:szCs w:val="24"/>
        </w:rPr>
        <w:t>members</w:t>
      </w:r>
      <w:bookmarkEnd w:id="9"/>
    </w:p>
    <w:p w14:paraId="6565637E" w14:textId="77777777" w:rsidR="002152EB" w:rsidRPr="00747A91" w:rsidRDefault="00BB4B0A" w:rsidP="002152EB">
      <w:pPr>
        <w:pStyle w:val="subsection"/>
        <w:numPr>
          <w:ilvl w:val="0"/>
          <w:numId w:val="6"/>
        </w:numPr>
      </w:pPr>
      <w:r>
        <w:rPr>
          <w:sz w:val="24"/>
          <w:szCs w:val="24"/>
        </w:rPr>
        <w:t>T</w:t>
      </w:r>
      <w:r w:rsidR="002152EB">
        <w:rPr>
          <w:sz w:val="24"/>
          <w:szCs w:val="24"/>
        </w:rPr>
        <w:t xml:space="preserve">he Commonwealth must provide to a member one </w:t>
      </w:r>
      <w:r w:rsidR="001B2426">
        <w:rPr>
          <w:sz w:val="24"/>
          <w:szCs w:val="24"/>
        </w:rPr>
        <w:t xml:space="preserve">electorate </w:t>
      </w:r>
      <w:r w:rsidR="002152EB">
        <w:rPr>
          <w:sz w:val="24"/>
          <w:szCs w:val="24"/>
        </w:rPr>
        <w:t xml:space="preserve">office </w:t>
      </w:r>
      <w:r>
        <w:rPr>
          <w:sz w:val="24"/>
          <w:szCs w:val="24"/>
        </w:rPr>
        <w:t xml:space="preserve">as prescribed by subsection 72(1) of the Regulations </w:t>
      </w:r>
      <w:r w:rsidR="001B2426">
        <w:rPr>
          <w:sz w:val="24"/>
          <w:szCs w:val="24"/>
        </w:rPr>
        <w:t xml:space="preserve">in a CPO if the CPO is </w:t>
      </w:r>
      <w:r w:rsidR="002152EB">
        <w:rPr>
          <w:sz w:val="24"/>
          <w:szCs w:val="24"/>
        </w:rPr>
        <w:t>in the</w:t>
      </w:r>
      <w:r w:rsidR="001B2426">
        <w:rPr>
          <w:sz w:val="24"/>
          <w:szCs w:val="24"/>
        </w:rPr>
        <w:t xml:space="preserve"> member’s</w:t>
      </w:r>
      <w:r w:rsidR="002152EB">
        <w:rPr>
          <w:sz w:val="24"/>
          <w:szCs w:val="24"/>
        </w:rPr>
        <w:t xml:space="preserve"> electorate.</w:t>
      </w:r>
    </w:p>
    <w:p w14:paraId="7DA6BFF2" w14:textId="77777777" w:rsidR="00F05D17" w:rsidRPr="00452169" w:rsidRDefault="008F179C" w:rsidP="00F05D17">
      <w:pPr>
        <w:pStyle w:val="subsection"/>
        <w:numPr>
          <w:ilvl w:val="0"/>
          <w:numId w:val="6"/>
        </w:numPr>
        <w:rPr>
          <w:sz w:val="24"/>
        </w:rPr>
      </w:pPr>
      <w:r>
        <w:rPr>
          <w:sz w:val="24"/>
          <w:szCs w:val="24"/>
        </w:rPr>
        <w:t xml:space="preserve">This section </w:t>
      </w:r>
      <w:r w:rsidR="00F05D17" w:rsidRPr="0069415D">
        <w:rPr>
          <w:sz w:val="24"/>
          <w:szCs w:val="24"/>
        </w:rPr>
        <w:t xml:space="preserve">does not apply to a </w:t>
      </w:r>
      <w:r w:rsidR="00F05D17">
        <w:rPr>
          <w:sz w:val="24"/>
          <w:szCs w:val="24"/>
        </w:rPr>
        <w:t>member</w:t>
      </w:r>
      <w:r w:rsidR="00F05D17" w:rsidRPr="0069415D">
        <w:rPr>
          <w:sz w:val="24"/>
          <w:szCs w:val="24"/>
        </w:rPr>
        <w:t xml:space="preserve"> to whom the Commonwealth must provide an office prescribed by subsection 72(1) of the Regulations, under any other determination made under subsection 33(1) of the Act from time to time.</w:t>
      </w:r>
    </w:p>
    <w:p w14:paraId="011EABB1" w14:textId="77777777" w:rsidR="00006472" w:rsidRDefault="00006472" w:rsidP="00C23041">
      <w:pPr>
        <w:pStyle w:val="notetext"/>
        <w:spacing w:before="120"/>
        <w:ind w:left="1950" w:hanging="508"/>
      </w:pPr>
      <w:r w:rsidRPr="00AF5F48">
        <w:t>Note:</w:t>
      </w:r>
      <w:r w:rsidR="0034740C">
        <w:tab/>
      </w:r>
      <w:r>
        <w:t xml:space="preserve">A senator’s electorate is </w:t>
      </w:r>
      <w:r w:rsidRPr="00D83F25">
        <w:t xml:space="preserve">the </w:t>
      </w:r>
      <w:r>
        <w:t>State or Territory represented by the senator</w:t>
      </w:r>
      <w:r w:rsidR="00C23041">
        <w:t xml:space="preserve">, while a member’s electorate means the area </w:t>
      </w:r>
      <w:r w:rsidR="00C23041" w:rsidRPr="00D541BF">
        <w:t xml:space="preserve">that constituted the member’s electorate at the end of </w:t>
      </w:r>
      <w:r w:rsidR="00C23041">
        <w:t>the most recent election period</w:t>
      </w:r>
      <w:r>
        <w:t xml:space="preserve">: see the definition of </w:t>
      </w:r>
      <w:r w:rsidRPr="00CE57DB">
        <w:rPr>
          <w:b/>
          <w:i/>
        </w:rPr>
        <w:t>electorate</w:t>
      </w:r>
      <w:r>
        <w:t xml:space="preserve"> in section 4 of the Regulations.</w:t>
      </w:r>
    </w:p>
    <w:p w14:paraId="10AD53AF" w14:textId="77777777" w:rsidR="00074BCC" w:rsidRPr="00AD4070" w:rsidRDefault="00074BCC" w:rsidP="00937D4D">
      <w:pPr>
        <w:pStyle w:val="ActHead5"/>
        <w:numPr>
          <w:ilvl w:val="0"/>
          <w:numId w:val="3"/>
        </w:numPr>
        <w:spacing w:after="120"/>
        <w:ind w:left="357" w:hanging="357"/>
        <w:rPr>
          <w:szCs w:val="24"/>
        </w:rPr>
      </w:pPr>
      <w:bookmarkStart w:id="10" w:name="_Toc3463483"/>
      <w:r w:rsidRPr="00AD4070">
        <w:rPr>
          <w:szCs w:val="24"/>
        </w:rPr>
        <w:t xml:space="preserve">Provision of </w:t>
      </w:r>
      <w:r>
        <w:rPr>
          <w:szCs w:val="24"/>
        </w:rPr>
        <w:t>office</w:t>
      </w:r>
      <w:r w:rsidR="00260BDA">
        <w:rPr>
          <w:szCs w:val="24"/>
        </w:rPr>
        <w:t>s</w:t>
      </w:r>
      <w:r>
        <w:rPr>
          <w:szCs w:val="24"/>
        </w:rPr>
        <w:t xml:space="preserve"> to Ministers</w:t>
      </w:r>
      <w:bookmarkEnd w:id="10"/>
    </w:p>
    <w:p w14:paraId="647024C2" w14:textId="77777777" w:rsidR="00B90625" w:rsidRPr="007A7B53" w:rsidRDefault="007D32DB" w:rsidP="00937D4D">
      <w:pPr>
        <w:pStyle w:val="subsection"/>
        <w:numPr>
          <w:ilvl w:val="0"/>
          <w:numId w:val="7"/>
        </w:numPr>
        <w:rPr>
          <w:sz w:val="24"/>
          <w:szCs w:val="24"/>
        </w:rPr>
      </w:pPr>
      <w:r>
        <w:rPr>
          <w:sz w:val="24"/>
          <w:szCs w:val="24"/>
        </w:rPr>
        <w:t>Subject to subsection (2), t</w:t>
      </w:r>
      <w:r w:rsidR="00B90625" w:rsidRPr="0069415D">
        <w:rPr>
          <w:sz w:val="24"/>
          <w:szCs w:val="24"/>
        </w:rPr>
        <w:t>he Commonwealth must</w:t>
      </w:r>
      <w:r w:rsidR="003F75A9">
        <w:rPr>
          <w:sz w:val="24"/>
          <w:szCs w:val="24"/>
        </w:rPr>
        <w:t xml:space="preserve"> </w:t>
      </w:r>
      <w:r w:rsidR="00B90625" w:rsidRPr="0069415D">
        <w:rPr>
          <w:sz w:val="24"/>
          <w:szCs w:val="24"/>
        </w:rPr>
        <w:t xml:space="preserve">provide </w:t>
      </w:r>
      <w:r w:rsidR="00573166" w:rsidRPr="0069415D">
        <w:rPr>
          <w:sz w:val="24"/>
          <w:szCs w:val="24"/>
        </w:rPr>
        <w:t xml:space="preserve">to </w:t>
      </w:r>
      <w:r w:rsidR="00F45D11">
        <w:rPr>
          <w:sz w:val="24"/>
          <w:szCs w:val="24"/>
        </w:rPr>
        <w:t>a Minister</w:t>
      </w:r>
      <w:r w:rsidR="00673E71" w:rsidRPr="0069415D">
        <w:rPr>
          <w:sz w:val="24"/>
          <w:szCs w:val="24"/>
        </w:rPr>
        <w:t xml:space="preserve"> </w:t>
      </w:r>
      <w:r w:rsidR="00F45D11">
        <w:rPr>
          <w:sz w:val="24"/>
          <w:szCs w:val="24"/>
        </w:rPr>
        <w:t xml:space="preserve">(other than a Parliamentary Secretary) </w:t>
      </w:r>
      <w:r w:rsidR="00673E71" w:rsidRPr="0069415D">
        <w:rPr>
          <w:sz w:val="24"/>
          <w:szCs w:val="24"/>
        </w:rPr>
        <w:t xml:space="preserve">the </w:t>
      </w:r>
      <w:r w:rsidR="00DC6D47">
        <w:rPr>
          <w:sz w:val="24"/>
          <w:szCs w:val="24"/>
        </w:rPr>
        <w:t xml:space="preserve">following additional </w:t>
      </w:r>
      <w:r w:rsidR="00573166" w:rsidRPr="0069415D">
        <w:rPr>
          <w:sz w:val="24"/>
          <w:szCs w:val="24"/>
        </w:rPr>
        <w:t xml:space="preserve">offices </w:t>
      </w:r>
      <w:r w:rsidR="00DC6D47">
        <w:rPr>
          <w:sz w:val="24"/>
          <w:szCs w:val="24"/>
        </w:rPr>
        <w:t xml:space="preserve">as </w:t>
      </w:r>
      <w:r w:rsidR="00573166" w:rsidRPr="0069415D">
        <w:rPr>
          <w:sz w:val="24"/>
          <w:szCs w:val="24"/>
        </w:rPr>
        <w:t>prescribed by subsection 73(1) of the Regulations</w:t>
      </w:r>
      <w:r w:rsidR="001B2426">
        <w:rPr>
          <w:sz w:val="24"/>
          <w:szCs w:val="24"/>
        </w:rPr>
        <w:t xml:space="preserve"> in a CPO</w:t>
      </w:r>
      <w:r w:rsidR="00DC6D47">
        <w:rPr>
          <w:sz w:val="24"/>
          <w:szCs w:val="24"/>
        </w:rPr>
        <w:t>:</w:t>
      </w:r>
    </w:p>
    <w:p w14:paraId="3D3F170F" w14:textId="77777777" w:rsidR="00DC6D47" w:rsidRDefault="00DC6D47" w:rsidP="00DC6D47">
      <w:pPr>
        <w:pStyle w:val="subsection"/>
        <w:numPr>
          <w:ilvl w:val="1"/>
          <w:numId w:val="7"/>
        </w:numPr>
        <w:rPr>
          <w:sz w:val="24"/>
          <w:szCs w:val="24"/>
        </w:rPr>
      </w:pPr>
      <w:r>
        <w:rPr>
          <w:sz w:val="24"/>
          <w:szCs w:val="24"/>
        </w:rPr>
        <w:t>for a</w:t>
      </w:r>
      <w:r w:rsidRPr="007A7B53">
        <w:rPr>
          <w:sz w:val="24"/>
          <w:szCs w:val="24"/>
        </w:rPr>
        <w:t xml:space="preserve"> </w:t>
      </w:r>
      <w:r w:rsidR="00673E71" w:rsidRPr="007A7B53">
        <w:rPr>
          <w:sz w:val="24"/>
          <w:szCs w:val="24"/>
        </w:rPr>
        <w:t>Minister, other than the Prime Minister</w:t>
      </w:r>
      <w:r>
        <w:rPr>
          <w:sz w:val="24"/>
          <w:szCs w:val="24"/>
        </w:rPr>
        <w:t>–</w:t>
      </w:r>
      <w:r w:rsidR="004E63BD">
        <w:rPr>
          <w:sz w:val="24"/>
          <w:szCs w:val="24"/>
        </w:rPr>
        <w:t>one</w:t>
      </w:r>
      <w:r w:rsidR="00673E71" w:rsidRPr="00081C64">
        <w:rPr>
          <w:sz w:val="24"/>
          <w:szCs w:val="24"/>
        </w:rPr>
        <w:t xml:space="preserve"> office</w:t>
      </w:r>
      <w:r>
        <w:rPr>
          <w:sz w:val="24"/>
          <w:szCs w:val="24"/>
        </w:rPr>
        <w:t>;</w:t>
      </w:r>
    </w:p>
    <w:p w14:paraId="38645DE3" w14:textId="77777777" w:rsidR="00074BCC" w:rsidRPr="0069415D" w:rsidRDefault="00DC6D47" w:rsidP="00DC6D47">
      <w:pPr>
        <w:pStyle w:val="subsection"/>
        <w:numPr>
          <w:ilvl w:val="1"/>
          <w:numId w:val="7"/>
        </w:numPr>
        <w:rPr>
          <w:sz w:val="24"/>
          <w:szCs w:val="24"/>
        </w:rPr>
      </w:pPr>
      <w:r>
        <w:rPr>
          <w:sz w:val="24"/>
          <w:szCs w:val="24"/>
        </w:rPr>
        <w:t>for the Prime Minister—three offices</w:t>
      </w:r>
      <w:r w:rsidR="00673E71" w:rsidRPr="007A7B53">
        <w:rPr>
          <w:sz w:val="24"/>
          <w:szCs w:val="24"/>
        </w:rPr>
        <w:t>.</w:t>
      </w:r>
    </w:p>
    <w:p w14:paraId="7D729338" w14:textId="77777777" w:rsidR="00F27B83" w:rsidRDefault="007D32DB" w:rsidP="007D32DB">
      <w:pPr>
        <w:pStyle w:val="subsection"/>
        <w:numPr>
          <w:ilvl w:val="0"/>
          <w:numId w:val="7"/>
        </w:numPr>
        <w:rPr>
          <w:sz w:val="24"/>
          <w:szCs w:val="24"/>
        </w:rPr>
      </w:pPr>
      <w:r>
        <w:rPr>
          <w:sz w:val="24"/>
          <w:szCs w:val="24"/>
        </w:rPr>
        <w:t>Where requested to do so by a</w:t>
      </w:r>
      <w:r w:rsidR="00554064">
        <w:rPr>
          <w:sz w:val="24"/>
          <w:szCs w:val="24"/>
        </w:rPr>
        <w:t xml:space="preserve"> </w:t>
      </w:r>
      <w:r>
        <w:rPr>
          <w:sz w:val="24"/>
          <w:szCs w:val="24"/>
        </w:rPr>
        <w:t>Minister or the Prime Minister, the Commonwealth may</w:t>
      </w:r>
      <w:r w:rsidR="00F27B83">
        <w:rPr>
          <w:sz w:val="24"/>
          <w:szCs w:val="24"/>
        </w:rPr>
        <w:t>:</w:t>
      </w:r>
    </w:p>
    <w:p w14:paraId="2F86CFAB" w14:textId="77777777" w:rsidR="007D32DB" w:rsidRDefault="007D32DB" w:rsidP="00F27B83">
      <w:pPr>
        <w:pStyle w:val="subsection"/>
        <w:numPr>
          <w:ilvl w:val="1"/>
          <w:numId w:val="7"/>
        </w:numPr>
        <w:rPr>
          <w:sz w:val="24"/>
          <w:szCs w:val="24"/>
        </w:rPr>
      </w:pPr>
      <w:r>
        <w:rPr>
          <w:sz w:val="24"/>
          <w:szCs w:val="24"/>
        </w:rPr>
        <w:t xml:space="preserve">meet its obligations under this </w:t>
      </w:r>
      <w:r w:rsidR="009B3EC6">
        <w:rPr>
          <w:sz w:val="24"/>
          <w:szCs w:val="24"/>
        </w:rPr>
        <w:t xml:space="preserve">section </w:t>
      </w:r>
      <w:r>
        <w:rPr>
          <w:sz w:val="24"/>
          <w:szCs w:val="24"/>
        </w:rPr>
        <w:t xml:space="preserve">by providing the Minister or the Prime Minister with additional space in an office provided to the Minister or Prime Minister under </w:t>
      </w:r>
      <w:r w:rsidRPr="00406DC4">
        <w:rPr>
          <w:sz w:val="24"/>
          <w:szCs w:val="24"/>
        </w:rPr>
        <w:t xml:space="preserve">section </w:t>
      </w:r>
      <w:r w:rsidRPr="00406DC4">
        <w:rPr>
          <w:sz w:val="24"/>
        </w:rPr>
        <w:t>6</w:t>
      </w:r>
      <w:r w:rsidRPr="00406DC4">
        <w:rPr>
          <w:sz w:val="24"/>
          <w:szCs w:val="24"/>
        </w:rPr>
        <w:t xml:space="preserve"> of</w:t>
      </w:r>
      <w:r>
        <w:rPr>
          <w:sz w:val="24"/>
          <w:szCs w:val="24"/>
        </w:rPr>
        <w:t xml:space="preserve"> this </w:t>
      </w:r>
      <w:r w:rsidR="009B3EC6">
        <w:rPr>
          <w:sz w:val="24"/>
          <w:szCs w:val="24"/>
        </w:rPr>
        <w:t>d</w:t>
      </w:r>
      <w:r>
        <w:rPr>
          <w:sz w:val="24"/>
          <w:szCs w:val="24"/>
        </w:rPr>
        <w:t>etermination</w:t>
      </w:r>
      <w:r w:rsidR="00F27B83">
        <w:rPr>
          <w:sz w:val="24"/>
          <w:szCs w:val="24"/>
        </w:rPr>
        <w:t>;</w:t>
      </w:r>
      <w:r w:rsidR="00747A91">
        <w:rPr>
          <w:sz w:val="24"/>
          <w:szCs w:val="24"/>
        </w:rPr>
        <w:t xml:space="preserve"> or</w:t>
      </w:r>
    </w:p>
    <w:p w14:paraId="61D9A491" w14:textId="77777777" w:rsidR="007D32DB" w:rsidRPr="00712A27" w:rsidRDefault="007D32DB" w:rsidP="00F27B83">
      <w:pPr>
        <w:pStyle w:val="subsection"/>
        <w:numPr>
          <w:ilvl w:val="1"/>
          <w:numId w:val="7"/>
        </w:numPr>
        <w:tabs>
          <w:tab w:val="left" w:pos="9072"/>
        </w:tabs>
        <w:rPr>
          <w:sz w:val="24"/>
          <w:szCs w:val="24"/>
        </w:rPr>
      </w:pPr>
      <w:r>
        <w:rPr>
          <w:sz w:val="24"/>
          <w:szCs w:val="24"/>
        </w:rPr>
        <w:t xml:space="preserve">provide less than the number of offices specified in subsection (1). </w:t>
      </w:r>
    </w:p>
    <w:p w14:paraId="758B3985" w14:textId="77777777" w:rsidR="0040459C" w:rsidDel="001B2426" w:rsidRDefault="008F179C" w:rsidP="007D32DB">
      <w:pPr>
        <w:pStyle w:val="subsection"/>
        <w:numPr>
          <w:ilvl w:val="0"/>
          <w:numId w:val="7"/>
        </w:numPr>
        <w:rPr>
          <w:sz w:val="24"/>
          <w:szCs w:val="24"/>
        </w:rPr>
      </w:pPr>
      <w:r>
        <w:rPr>
          <w:sz w:val="24"/>
          <w:szCs w:val="24"/>
        </w:rPr>
        <w:t>This section</w:t>
      </w:r>
      <w:r w:rsidR="007D32DB" w:rsidDel="001B2426">
        <w:rPr>
          <w:sz w:val="24"/>
          <w:szCs w:val="24"/>
        </w:rPr>
        <w:t xml:space="preserve"> </w:t>
      </w:r>
      <w:r w:rsidR="0040459C" w:rsidRPr="0040459C" w:rsidDel="001B2426">
        <w:rPr>
          <w:sz w:val="24"/>
          <w:szCs w:val="24"/>
        </w:rPr>
        <w:t xml:space="preserve">does not apply to a Minister, other than </w:t>
      </w:r>
      <w:r w:rsidR="00D0348E" w:rsidDel="001B2426">
        <w:rPr>
          <w:sz w:val="24"/>
          <w:szCs w:val="24"/>
        </w:rPr>
        <w:t>the</w:t>
      </w:r>
      <w:r w:rsidR="00D0348E" w:rsidRPr="0040459C" w:rsidDel="001B2426">
        <w:rPr>
          <w:sz w:val="24"/>
          <w:szCs w:val="24"/>
        </w:rPr>
        <w:t xml:space="preserve"> </w:t>
      </w:r>
      <w:r w:rsidR="0040459C" w:rsidRPr="0040459C" w:rsidDel="001B2426">
        <w:rPr>
          <w:sz w:val="24"/>
          <w:szCs w:val="24"/>
        </w:rPr>
        <w:t>Prime Minister, to whom the Commonwealth must provide an office prescribed by subsection 73(1) of the Regulations, under any other determination made under subsection 33(1) of the Act from time to time.</w:t>
      </w:r>
    </w:p>
    <w:p w14:paraId="792AA444" w14:textId="77777777" w:rsidR="00074BCC" w:rsidRPr="00AD4070" w:rsidRDefault="00074BCC" w:rsidP="00A37278">
      <w:pPr>
        <w:pStyle w:val="ActHead5"/>
        <w:numPr>
          <w:ilvl w:val="0"/>
          <w:numId w:val="3"/>
        </w:numPr>
        <w:spacing w:after="120"/>
        <w:ind w:left="357" w:hanging="357"/>
        <w:rPr>
          <w:szCs w:val="24"/>
        </w:rPr>
      </w:pPr>
      <w:bookmarkStart w:id="11" w:name="_Toc3463484"/>
      <w:r w:rsidRPr="00AD4070">
        <w:rPr>
          <w:szCs w:val="24"/>
        </w:rPr>
        <w:lastRenderedPageBreak/>
        <w:t xml:space="preserve">Provision of </w:t>
      </w:r>
      <w:r w:rsidR="00F3473C">
        <w:rPr>
          <w:szCs w:val="24"/>
        </w:rPr>
        <w:t xml:space="preserve">an </w:t>
      </w:r>
      <w:r w:rsidR="00F45D11">
        <w:rPr>
          <w:szCs w:val="24"/>
        </w:rPr>
        <w:t xml:space="preserve">additional </w:t>
      </w:r>
      <w:r>
        <w:rPr>
          <w:szCs w:val="24"/>
        </w:rPr>
        <w:t>office to certain office holders</w:t>
      </w:r>
      <w:bookmarkEnd w:id="11"/>
    </w:p>
    <w:p w14:paraId="73ECB5C4" w14:textId="77777777" w:rsidR="00B90625" w:rsidRDefault="00F27B83" w:rsidP="00A37278">
      <w:pPr>
        <w:pStyle w:val="subsection"/>
        <w:keepNext/>
        <w:numPr>
          <w:ilvl w:val="0"/>
          <w:numId w:val="8"/>
        </w:numPr>
        <w:rPr>
          <w:sz w:val="24"/>
          <w:szCs w:val="24"/>
        </w:rPr>
      </w:pPr>
      <w:r>
        <w:rPr>
          <w:sz w:val="24"/>
          <w:szCs w:val="24"/>
        </w:rPr>
        <w:t>Subject to subsection (2), t</w:t>
      </w:r>
      <w:r w:rsidR="00B90625" w:rsidRPr="0069415D">
        <w:rPr>
          <w:sz w:val="24"/>
          <w:szCs w:val="24"/>
        </w:rPr>
        <w:t>he Commonwealth must</w:t>
      </w:r>
      <w:r w:rsidR="003F75A9">
        <w:rPr>
          <w:sz w:val="24"/>
          <w:szCs w:val="24"/>
        </w:rPr>
        <w:t xml:space="preserve"> </w:t>
      </w:r>
      <w:r w:rsidR="00B90625" w:rsidRPr="0069415D">
        <w:rPr>
          <w:sz w:val="24"/>
          <w:szCs w:val="24"/>
        </w:rPr>
        <w:t xml:space="preserve">provide </w:t>
      </w:r>
      <w:r w:rsidR="00AA16AE">
        <w:rPr>
          <w:sz w:val="24"/>
          <w:szCs w:val="24"/>
        </w:rPr>
        <w:t xml:space="preserve">to the office holders mentioned in subsection 73(2) of the </w:t>
      </w:r>
      <w:r w:rsidR="00983451">
        <w:rPr>
          <w:sz w:val="24"/>
          <w:szCs w:val="24"/>
        </w:rPr>
        <w:t>R</w:t>
      </w:r>
      <w:r w:rsidR="00AA16AE">
        <w:rPr>
          <w:sz w:val="24"/>
          <w:szCs w:val="24"/>
        </w:rPr>
        <w:t xml:space="preserve">egulations, </w:t>
      </w:r>
      <w:r w:rsidR="00BB6134" w:rsidRPr="0069415D">
        <w:rPr>
          <w:sz w:val="24"/>
          <w:szCs w:val="24"/>
        </w:rPr>
        <w:t>the</w:t>
      </w:r>
      <w:r w:rsidR="00302E7D">
        <w:rPr>
          <w:sz w:val="24"/>
          <w:szCs w:val="24"/>
        </w:rPr>
        <w:t xml:space="preserve"> </w:t>
      </w:r>
      <w:r w:rsidR="00B90625" w:rsidRPr="0069415D">
        <w:rPr>
          <w:sz w:val="24"/>
          <w:szCs w:val="24"/>
        </w:rPr>
        <w:t>office prescribed by</w:t>
      </w:r>
      <w:r w:rsidR="00AA16AE">
        <w:rPr>
          <w:sz w:val="24"/>
          <w:szCs w:val="24"/>
        </w:rPr>
        <w:t xml:space="preserve"> that</w:t>
      </w:r>
      <w:r w:rsidR="00B90625" w:rsidRPr="0069415D">
        <w:rPr>
          <w:sz w:val="24"/>
          <w:szCs w:val="24"/>
        </w:rPr>
        <w:t xml:space="preserve"> subsection</w:t>
      </w:r>
      <w:r w:rsidR="001B2426">
        <w:rPr>
          <w:sz w:val="24"/>
          <w:szCs w:val="24"/>
        </w:rPr>
        <w:t xml:space="preserve"> in a CPO</w:t>
      </w:r>
      <w:r w:rsidR="00B90625" w:rsidRPr="0069415D">
        <w:rPr>
          <w:sz w:val="24"/>
          <w:szCs w:val="24"/>
        </w:rPr>
        <w:t>.</w:t>
      </w:r>
    </w:p>
    <w:p w14:paraId="5B062427" w14:textId="77777777" w:rsidR="00F27B83" w:rsidRDefault="00F27B83" w:rsidP="005C2278">
      <w:pPr>
        <w:pStyle w:val="notetext"/>
        <w:keepNext/>
        <w:keepLines/>
        <w:spacing w:before="120"/>
        <w:ind w:left="2160" w:hanging="720"/>
      </w:pPr>
      <w:r w:rsidRPr="001125B5">
        <w:t>Note:</w:t>
      </w:r>
      <w:r w:rsidRPr="001125B5">
        <w:tab/>
      </w:r>
      <w:r>
        <w:t>Subsection 73(2) of the Regulations applies to the following office holders: a presiding officer; a senior office holder who</w:t>
      </w:r>
      <w:r w:rsidRPr="00D83F25">
        <w:t xml:space="preserve"> is </w:t>
      </w:r>
      <w:r>
        <w:t>a member of the Opposition; and the leader of a minority party. Only one office for each such office holder may be determined as prescribed by subsection 73(2)</w:t>
      </w:r>
      <w:r w:rsidR="003B0234">
        <w:t xml:space="preserve"> of the Regulations</w:t>
      </w:r>
      <w:r>
        <w:t>.</w:t>
      </w:r>
    </w:p>
    <w:p w14:paraId="15A5C111" w14:textId="77777777" w:rsidR="006C7C35" w:rsidRDefault="00F27B83" w:rsidP="00EF41A6">
      <w:pPr>
        <w:pStyle w:val="subsection"/>
        <w:keepNext/>
        <w:numPr>
          <w:ilvl w:val="0"/>
          <w:numId w:val="8"/>
        </w:numPr>
        <w:ind w:left="1440"/>
        <w:rPr>
          <w:sz w:val="24"/>
          <w:szCs w:val="24"/>
        </w:rPr>
      </w:pPr>
      <w:r>
        <w:rPr>
          <w:sz w:val="24"/>
          <w:szCs w:val="24"/>
        </w:rPr>
        <w:t xml:space="preserve">Where requested to do so by </w:t>
      </w:r>
      <w:r w:rsidR="009B3EC6">
        <w:rPr>
          <w:sz w:val="24"/>
          <w:szCs w:val="24"/>
        </w:rPr>
        <w:t xml:space="preserve">the </w:t>
      </w:r>
      <w:r>
        <w:rPr>
          <w:sz w:val="24"/>
          <w:szCs w:val="24"/>
        </w:rPr>
        <w:t>office holder, the Commonwealth may</w:t>
      </w:r>
      <w:r w:rsidR="006C7C35">
        <w:rPr>
          <w:sz w:val="24"/>
          <w:szCs w:val="24"/>
        </w:rPr>
        <w:t>:</w:t>
      </w:r>
    </w:p>
    <w:p w14:paraId="12EC54F0" w14:textId="77777777" w:rsidR="00F27B83" w:rsidRDefault="00F27B83" w:rsidP="00747A91">
      <w:pPr>
        <w:pStyle w:val="subsection"/>
        <w:numPr>
          <w:ilvl w:val="1"/>
          <w:numId w:val="8"/>
        </w:numPr>
        <w:rPr>
          <w:sz w:val="24"/>
          <w:szCs w:val="24"/>
        </w:rPr>
      </w:pPr>
      <w:r>
        <w:rPr>
          <w:sz w:val="24"/>
          <w:szCs w:val="24"/>
        </w:rPr>
        <w:t xml:space="preserve">meet its obligations under this </w:t>
      </w:r>
      <w:r w:rsidR="009B3EC6">
        <w:rPr>
          <w:sz w:val="24"/>
          <w:szCs w:val="24"/>
        </w:rPr>
        <w:t xml:space="preserve">section </w:t>
      </w:r>
      <w:r>
        <w:rPr>
          <w:sz w:val="24"/>
          <w:szCs w:val="24"/>
        </w:rPr>
        <w:t>by providing the office holder with additional space in an office provided to the office holder under section 6 of t</w:t>
      </w:r>
      <w:r w:rsidR="006C7C35">
        <w:rPr>
          <w:sz w:val="24"/>
          <w:szCs w:val="24"/>
        </w:rPr>
        <w:t xml:space="preserve">his </w:t>
      </w:r>
      <w:r w:rsidR="009B3EC6">
        <w:rPr>
          <w:sz w:val="24"/>
          <w:szCs w:val="24"/>
        </w:rPr>
        <w:t>d</w:t>
      </w:r>
      <w:r w:rsidR="006C7C35">
        <w:rPr>
          <w:sz w:val="24"/>
          <w:szCs w:val="24"/>
        </w:rPr>
        <w:t>etermination;</w:t>
      </w:r>
      <w:r w:rsidR="00747A91">
        <w:rPr>
          <w:sz w:val="24"/>
          <w:szCs w:val="24"/>
        </w:rPr>
        <w:t xml:space="preserve"> or</w:t>
      </w:r>
    </w:p>
    <w:p w14:paraId="0F8331AA" w14:textId="77777777" w:rsidR="006C7C35" w:rsidRPr="00712A27" w:rsidRDefault="006C7C35" w:rsidP="006C7C35">
      <w:pPr>
        <w:pStyle w:val="subsection"/>
        <w:numPr>
          <w:ilvl w:val="1"/>
          <w:numId w:val="8"/>
        </w:numPr>
        <w:tabs>
          <w:tab w:val="left" w:pos="9072"/>
        </w:tabs>
        <w:rPr>
          <w:sz w:val="24"/>
          <w:szCs w:val="24"/>
        </w:rPr>
      </w:pPr>
      <w:r>
        <w:rPr>
          <w:sz w:val="24"/>
          <w:szCs w:val="24"/>
        </w:rPr>
        <w:t xml:space="preserve">provide less than the number of offices specified in subsection (1). </w:t>
      </w:r>
    </w:p>
    <w:p w14:paraId="3714FC42" w14:textId="77777777" w:rsidR="001C2666" w:rsidDel="001B2426" w:rsidRDefault="008F179C" w:rsidP="001C2666">
      <w:pPr>
        <w:pStyle w:val="subsection"/>
        <w:numPr>
          <w:ilvl w:val="0"/>
          <w:numId w:val="8"/>
        </w:numPr>
        <w:rPr>
          <w:sz w:val="24"/>
          <w:szCs w:val="24"/>
        </w:rPr>
      </w:pPr>
      <w:r>
        <w:rPr>
          <w:sz w:val="24"/>
          <w:szCs w:val="24"/>
        </w:rPr>
        <w:t>This section</w:t>
      </w:r>
      <w:r w:rsidR="001C2666" w:rsidRPr="001C2666" w:rsidDel="001B2426">
        <w:rPr>
          <w:sz w:val="24"/>
          <w:szCs w:val="24"/>
        </w:rPr>
        <w:t xml:space="preserve"> does not apply to a</w:t>
      </w:r>
      <w:r w:rsidR="001C2666" w:rsidRPr="00ED4A1B" w:rsidDel="001B2426">
        <w:rPr>
          <w:sz w:val="24"/>
          <w:szCs w:val="24"/>
        </w:rPr>
        <w:t xml:space="preserve"> member to whom the Commonwealth must provide an office prescribed by subsection 7</w:t>
      </w:r>
      <w:r w:rsidR="00ED4A1B" w:rsidDel="001B2426">
        <w:rPr>
          <w:sz w:val="24"/>
          <w:szCs w:val="24"/>
        </w:rPr>
        <w:t>3</w:t>
      </w:r>
      <w:r w:rsidR="001C2666" w:rsidRPr="00ED4A1B" w:rsidDel="001B2426">
        <w:rPr>
          <w:sz w:val="24"/>
          <w:szCs w:val="24"/>
        </w:rPr>
        <w:t>(</w:t>
      </w:r>
      <w:r w:rsidR="00ED4A1B" w:rsidDel="001B2426">
        <w:rPr>
          <w:sz w:val="24"/>
          <w:szCs w:val="24"/>
        </w:rPr>
        <w:t>2</w:t>
      </w:r>
      <w:r w:rsidR="001C2666" w:rsidRPr="00ED4A1B" w:rsidDel="001B2426">
        <w:rPr>
          <w:sz w:val="24"/>
          <w:szCs w:val="24"/>
        </w:rPr>
        <w:t xml:space="preserve">) of the Regulations, under any other determination </w:t>
      </w:r>
      <w:r w:rsidR="001C2666" w:rsidRPr="001C2666" w:rsidDel="001B2426">
        <w:rPr>
          <w:sz w:val="24"/>
          <w:szCs w:val="24"/>
        </w:rPr>
        <w:t>made under subsection 33(1) of the Act from time to time.</w:t>
      </w:r>
    </w:p>
    <w:p w14:paraId="3B1E3DFA" w14:textId="77777777" w:rsidR="00734C4B" w:rsidRPr="00AD4070" w:rsidRDefault="00734C4B" w:rsidP="00937D4D">
      <w:pPr>
        <w:pStyle w:val="ActHead5"/>
        <w:numPr>
          <w:ilvl w:val="0"/>
          <w:numId w:val="3"/>
        </w:numPr>
        <w:spacing w:after="120"/>
        <w:ind w:left="357" w:hanging="357"/>
        <w:rPr>
          <w:szCs w:val="24"/>
        </w:rPr>
      </w:pPr>
      <w:bookmarkStart w:id="12" w:name="_Toc3463485"/>
      <w:r w:rsidRPr="00AD4070">
        <w:rPr>
          <w:szCs w:val="24"/>
        </w:rPr>
        <w:t xml:space="preserve">Provision of </w:t>
      </w:r>
      <w:r>
        <w:rPr>
          <w:szCs w:val="24"/>
        </w:rPr>
        <w:t>temporary office accommodation to members</w:t>
      </w:r>
      <w:bookmarkEnd w:id="12"/>
    </w:p>
    <w:p w14:paraId="123C7D09" w14:textId="77777777" w:rsidR="00155ECA" w:rsidRPr="007A7B53" w:rsidRDefault="007D7300" w:rsidP="00937D4D">
      <w:pPr>
        <w:pStyle w:val="subsection"/>
        <w:numPr>
          <w:ilvl w:val="0"/>
          <w:numId w:val="9"/>
        </w:numPr>
        <w:rPr>
          <w:sz w:val="24"/>
          <w:szCs w:val="24"/>
        </w:rPr>
      </w:pPr>
      <w:r w:rsidRPr="0069415D">
        <w:rPr>
          <w:sz w:val="24"/>
          <w:szCs w:val="24"/>
        </w:rPr>
        <w:t xml:space="preserve">The Commonwealth must provide to members </w:t>
      </w:r>
      <w:r w:rsidR="00B90625" w:rsidRPr="0069415D">
        <w:rPr>
          <w:sz w:val="24"/>
          <w:szCs w:val="24"/>
        </w:rPr>
        <w:t xml:space="preserve">the </w:t>
      </w:r>
      <w:r w:rsidRPr="0069415D">
        <w:rPr>
          <w:sz w:val="24"/>
          <w:szCs w:val="24"/>
        </w:rPr>
        <w:t xml:space="preserve">temporary office accommodation </w:t>
      </w:r>
      <w:r w:rsidR="00B90625" w:rsidRPr="0069415D">
        <w:rPr>
          <w:sz w:val="24"/>
          <w:szCs w:val="24"/>
        </w:rPr>
        <w:t>prescribed by subsection 72(2) of the Regulations in a CPO.</w:t>
      </w:r>
    </w:p>
    <w:p w14:paraId="3595743F" w14:textId="77777777" w:rsidR="00951B97" w:rsidRPr="00F45D11" w:rsidRDefault="001A30B4" w:rsidP="00F45D11">
      <w:pPr>
        <w:pStyle w:val="subsection"/>
        <w:numPr>
          <w:ilvl w:val="0"/>
          <w:numId w:val="9"/>
        </w:numPr>
        <w:rPr>
          <w:sz w:val="24"/>
          <w:szCs w:val="24"/>
        </w:rPr>
      </w:pPr>
      <w:r w:rsidRPr="0069415D">
        <w:rPr>
          <w:sz w:val="24"/>
          <w:szCs w:val="24"/>
        </w:rPr>
        <w:t xml:space="preserve">Subject to this </w:t>
      </w:r>
      <w:r w:rsidR="00FF7639" w:rsidRPr="0069415D">
        <w:rPr>
          <w:sz w:val="24"/>
          <w:szCs w:val="24"/>
        </w:rPr>
        <w:t>determination</w:t>
      </w:r>
      <w:r w:rsidRPr="0069415D">
        <w:rPr>
          <w:sz w:val="24"/>
          <w:szCs w:val="24"/>
        </w:rPr>
        <w:t xml:space="preserve">, temporary office accommodation will be provided to a member under this section on </w:t>
      </w:r>
      <w:r w:rsidRPr="0070525A">
        <w:rPr>
          <w:sz w:val="24"/>
          <w:szCs w:val="24"/>
        </w:rPr>
        <w:t>request</w:t>
      </w:r>
      <w:r w:rsidR="007C4B37">
        <w:rPr>
          <w:sz w:val="24"/>
          <w:szCs w:val="24"/>
        </w:rPr>
        <w:t xml:space="preserve"> </w:t>
      </w:r>
      <w:r w:rsidR="0070525A">
        <w:rPr>
          <w:sz w:val="24"/>
          <w:szCs w:val="24"/>
        </w:rPr>
        <w:t xml:space="preserve">for no longer than four </w:t>
      </w:r>
      <w:r w:rsidR="007C4B37">
        <w:rPr>
          <w:sz w:val="24"/>
          <w:szCs w:val="24"/>
        </w:rPr>
        <w:t xml:space="preserve">continuous </w:t>
      </w:r>
      <w:r w:rsidR="0070525A">
        <w:rPr>
          <w:sz w:val="24"/>
          <w:szCs w:val="24"/>
        </w:rPr>
        <w:t>weeks</w:t>
      </w:r>
      <w:r w:rsidR="00F45D11">
        <w:rPr>
          <w:sz w:val="24"/>
          <w:szCs w:val="24"/>
        </w:rPr>
        <w:t xml:space="preserve"> </w:t>
      </w:r>
      <w:r w:rsidR="00951B97" w:rsidRPr="00F45D11">
        <w:rPr>
          <w:sz w:val="24"/>
          <w:szCs w:val="24"/>
        </w:rPr>
        <w:t>at a time.</w:t>
      </w:r>
    </w:p>
    <w:p w14:paraId="419974A5" w14:textId="77777777" w:rsidR="006A49F5" w:rsidRPr="000F2FBF" w:rsidRDefault="006A49F5" w:rsidP="0067213F"/>
    <w:p w14:paraId="371CBD07" w14:textId="77777777" w:rsidR="00740FF7" w:rsidRPr="00F768A4" w:rsidRDefault="00A366E9" w:rsidP="00740FF7">
      <w:pPr>
        <w:pStyle w:val="ActHead6"/>
        <w:pageBreakBefore/>
        <w:tabs>
          <w:tab w:val="left" w:pos="9072"/>
        </w:tabs>
        <w:ind w:left="0" w:firstLine="0"/>
      </w:pPr>
      <w:bookmarkStart w:id="13" w:name="_Toc3463486"/>
      <w:r w:rsidRPr="00181093">
        <w:lastRenderedPageBreak/>
        <w:t xml:space="preserve">Part </w:t>
      </w:r>
      <w:r>
        <w:t>3—</w:t>
      </w:r>
      <w:r w:rsidR="00740FF7">
        <w:t>Resources for Offices</w:t>
      </w:r>
      <w:bookmarkEnd w:id="13"/>
    </w:p>
    <w:p w14:paraId="648C7C46" w14:textId="77777777" w:rsidR="00740FF7" w:rsidRPr="00BA3A04" w:rsidRDefault="00740FF7" w:rsidP="004F6C97">
      <w:pPr>
        <w:pStyle w:val="ActHead5"/>
        <w:numPr>
          <w:ilvl w:val="0"/>
          <w:numId w:val="3"/>
        </w:numPr>
        <w:spacing w:after="120"/>
        <w:ind w:left="357" w:hanging="357"/>
        <w:rPr>
          <w:szCs w:val="24"/>
        </w:rPr>
      </w:pPr>
      <w:bookmarkStart w:id="14" w:name="_Toc3463487"/>
      <w:r>
        <w:rPr>
          <w:szCs w:val="24"/>
        </w:rPr>
        <w:t>Provision of resources under this Part</w:t>
      </w:r>
      <w:bookmarkEnd w:id="14"/>
    </w:p>
    <w:p w14:paraId="7C887540" w14:textId="77777777" w:rsidR="00740FF7" w:rsidRPr="00916550" w:rsidRDefault="00740FF7" w:rsidP="00740FF7">
      <w:pPr>
        <w:pStyle w:val="subsection"/>
        <w:numPr>
          <w:ilvl w:val="0"/>
          <w:numId w:val="53"/>
        </w:numPr>
        <w:rPr>
          <w:sz w:val="24"/>
          <w:szCs w:val="24"/>
        </w:rPr>
      </w:pPr>
      <w:r w:rsidRPr="00916550">
        <w:rPr>
          <w:sz w:val="24"/>
          <w:szCs w:val="24"/>
        </w:rPr>
        <w:t>The resources included in this Part are public resources for offices, prescribed by subsection 74(1) of the Regulations.</w:t>
      </w:r>
    </w:p>
    <w:p w14:paraId="1A0700B4" w14:textId="77777777" w:rsidR="00740FF7" w:rsidRPr="00916550" w:rsidRDefault="00740FF7" w:rsidP="00740FF7">
      <w:pPr>
        <w:pStyle w:val="subsection"/>
        <w:numPr>
          <w:ilvl w:val="0"/>
          <w:numId w:val="53"/>
        </w:numPr>
        <w:rPr>
          <w:sz w:val="24"/>
          <w:szCs w:val="24"/>
        </w:rPr>
      </w:pPr>
      <w:r>
        <w:rPr>
          <w:sz w:val="24"/>
          <w:szCs w:val="24"/>
        </w:rPr>
        <w:t>Public resources determined under this Part</w:t>
      </w:r>
      <w:r w:rsidRPr="00916550">
        <w:rPr>
          <w:sz w:val="24"/>
          <w:szCs w:val="24"/>
        </w:rPr>
        <w:t xml:space="preserve"> must be provided to each member in relation to each </w:t>
      </w:r>
      <w:r>
        <w:rPr>
          <w:sz w:val="24"/>
          <w:szCs w:val="24"/>
        </w:rPr>
        <w:t>office</w:t>
      </w:r>
      <w:r w:rsidRPr="00916550">
        <w:rPr>
          <w:sz w:val="24"/>
          <w:szCs w:val="24"/>
        </w:rPr>
        <w:t xml:space="preserve"> </w:t>
      </w:r>
      <w:r w:rsidR="009E1AB8">
        <w:rPr>
          <w:sz w:val="24"/>
          <w:szCs w:val="24"/>
        </w:rPr>
        <w:t xml:space="preserve">prescribed by sections 72 </w:t>
      </w:r>
      <w:r w:rsidR="00B232E3">
        <w:rPr>
          <w:sz w:val="24"/>
          <w:szCs w:val="24"/>
        </w:rPr>
        <w:t>and</w:t>
      </w:r>
      <w:r w:rsidR="009E1AB8">
        <w:rPr>
          <w:sz w:val="24"/>
          <w:szCs w:val="24"/>
        </w:rPr>
        <w:t xml:space="preserve"> 73 of the Regulations which </w:t>
      </w:r>
      <w:r w:rsidRPr="00916550">
        <w:rPr>
          <w:sz w:val="24"/>
          <w:szCs w:val="24"/>
        </w:rPr>
        <w:t>the Commonwealth provide</w:t>
      </w:r>
      <w:r>
        <w:rPr>
          <w:sz w:val="24"/>
          <w:szCs w:val="24"/>
        </w:rPr>
        <w:t xml:space="preserve">s </w:t>
      </w:r>
      <w:r w:rsidR="006B4625">
        <w:rPr>
          <w:sz w:val="24"/>
          <w:szCs w:val="24"/>
        </w:rPr>
        <w:t xml:space="preserve">to that member </w:t>
      </w:r>
      <w:r w:rsidR="009E1AB8">
        <w:rPr>
          <w:sz w:val="24"/>
          <w:szCs w:val="24"/>
        </w:rPr>
        <w:t>in a CPO</w:t>
      </w:r>
      <w:r w:rsidRPr="00916550">
        <w:rPr>
          <w:sz w:val="24"/>
          <w:szCs w:val="24"/>
        </w:rPr>
        <w:t>.</w:t>
      </w:r>
    </w:p>
    <w:p w14:paraId="19B2B4F6" w14:textId="77777777" w:rsidR="00740FF7" w:rsidRPr="00256AC4" w:rsidRDefault="00740FF7" w:rsidP="00740FF7">
      <w:pPr>
        <w:pStyle w:val="ActHead5"/>
        <w:numPr>
          <w:ilvl w:val="0"/>
          <w:numId w:val="3"/>
        </w:numPr>
        <w:tabs>
          <w:tab w:val="left" w:pos="9072"/>
        </w:tabs>
        <w:spacing w:after="120"/>
        <w:ind w:left="357" w:hanging="357"/>
        <w:rPr>
          <w:szCs w:val="24"/>
        </w:rPr>
      </w:pPr>
      <w:bookmarkStart w:id="15" w:name="_Toc3463488"/>
      <w:r w:rsidRPr="00256AC4">
        <w:rPr>
          <w:szCs w:val="24"/>
        </w:rPr>
        <w:t>Provision of car parking</w:t>
      </w:r>
      <w:bookmarkEnd w:id="15"/>
      <w:r w:rsidRPr="00256AC4">
        <w:rPr>
          <w:szCs w:val="24"/>
        </w:rPr>
        <w:t xml:space="preserve"> </w:t>
      </w:r>
    </w:p>
    <w:p w14:paraId="77D5045A" w14:textId="77777777" w:rsidR="00740FF7" w:rsidRDefault="00740FF7" w:rsidP="00740FF7">
      <w:pPr>
        <w:pStyle w:val="subsection"/>
        <w:numPr>
          <w:ilvl w:val="0"/>
          <w:numId w:val="56"/>
        </w:numPr>
        <w:rPr>
          <w:sz w:val="24"/>
          <w:szCs w:val="24"/>
        </w:rPr>
      </w:pPr>
      <w:r>
        <w:rPr>
          <w:sz w:val="24"/>
          <w:szCs w:val="24"/>
        </w:rPr>
        <w:t>For a member who is provided with one or more permanent offices in a CPO in the State or Territory in which the member’s home base is located, the Commonwealth must provide one car park in relation to each office.</w:t>
      </w:r>
    </w:p>
    <w:p w14:paraId="4214D95F" w14:textId="77777777" w:rsidR="00740FF7" w:rsidRDefault="00740FF7" w:rsidP="00740FF7">
      <w:pPr>
        <w:pStyle w:val="notetext"/>
        <w:tabs>
          <w:tab w:val="left" w:pos="9072"/>
        </w:tabs>
        <w:ind w:left="2289"/>
      </w:pPr>
      <w:r>
        <w:t xml:space="preserve">Note: </w:t>
      </w:r>
      <w:r>
        <w:tab/>
        <w:t>Members will be provided with a car park at the CPO where possible. Where car parking is not available at the CPO, a car park will be provided nearby.</w:t>
      </w:r>
    </w:p>
    <w:p w14:paraId="34E3E1E9" w14:textId="77777777" w:rsidR="00740FF7" w:rsidRDefault="00740FF7" w:rsidP="00740FF7">
      <w:pPr>
        <w:pStyle w:val="subsection"/>
        <w:numPr>
          <w:ilvl w:val="0"/>
          <w:numId w:val="56"/>
        </w:numPr>
        <w:rPr>
          <w:sz w:val="24"/>
          <w:szCs w:val="24"/>
        </w:rPr>
      </w:pPr>
      <w:r>
        <w:rPr>
          <w:sz w:val="24"/>
          <w:szCs w:val="24"/>
        </w:rPr>
        <w:t xml:space="preserve">For a member who is provided with a temporary office at a CPO, </w:t>
      </w:r>
      <w:r w:rsidRPr="0069759B">
        <w:rPr>
          <w:sz w:val="24"/>
          <w:szCs w:val="24"/>
        </w:rPr>
        <w:t>the Commonwealth must provide</w:t>
      </w:r>
      <w:r>
        <w:rPr>
          <w:sz w:val="24"/>
          <w:szCs w:val="24"/>
        </w:rPr>
        <w:t xml:space="preserve"> </w:t>
      </w:r>
      <w:r w:rsidRPr="001F4E10">
        <w:rPr>
          <w:sz w:val="24"/>
          <w:szCs w:val="24"/>
        </w:rPr>
        <w:t>one car park</w:t>
      </w:r>
      <w:r>
        <w:rPr>
          <w:sz w:val="24"/>
          <w:szCs w:val="24"/>
        </w:rPr>
        <w:t>:</w:t>
      </w:r>
    </w:p>
    <w:p w14:paraId="255E7DAA" w14:textId="77777777" w:rsidR="00740FF7" w:rsidRPr="001F4E10" w:rsidRDefault="00740FF7" w:rsidP="00740FF7">
      <w:pPr>
        <w:pStyle w:val="subsection"/>
        <w:numPr>
          <w:ilvl w:val="0"/>
          <w:numId w:val="58"/>
        </w:numPr>
        <w:tabs>
          <w:tab w:val="left" w:pos="9072"/>
        </w:tabs>
        <w:rPr>
          <w:sz w:val="24"/>
          <w:szCs w:val="24"/>
        </w:rPr>
      </w:pPr>
      <w:r w:rsidRPr="001F4E10">
        <w:rPr>
          <w:sz w:val="24"/>
          <w:szCs w:val="24"/>
        </w:rPr>
        <w:t xml:space="preserve">at that CPO; or </w:t>
      </w:r>
    </w:p>
    <w:p w14:paraId="3507AA51" w14:textId="77777777" w:rsidR="00740FF7" w:rsidRPr="0069759B" w:rsidRDefault="00740FF7" w:rsidP="00740FF7">
      <w:pPr>
        <w:pStyle w:val="subsection"/>
        <w:numPr>
          <w:ilvl w:val="0"/>
          <w:numId w:val="58"/>
        </w:numPr>
        <w:tabs>
          <w:tab w:val="left" w:pos="9072"/>
        </w:tabs>
        <w:rPr>
          <w:sz w:val="24"/>
          <w:szCs w:val="24"/>
        </w:rPr>
      </w:pPr>
      <w:r w:rsidRPr="0069759B">
        <w:rPr>
          <w:sz w:val="24"/>
          <w:szCs w:val="24"/>
        </w:rPr>
        <w:t xml:space="preserve">which the Commonwealth, as represented by Ministerial and Parliamentary Services, </w:t>
      </w:r>
      <w:r>
        <w:rPr>
          <w:sz w:val="24"/>
          <w:szCs w:val="24"/>
        </w:rPr>
        <w:t xml:space="preserve">may </w:t>
      </w:r>
      <w:r w:rsidRPr="0069759B">
        <w:rPr>
          <w:sz w:val="24"/>
          <w:szCs w:val="24"/>
        </w:rPr>
        <w:t xml:space="preserve">lease </w:t>
      </w:r>
      <w:r>
        <w:rPr>
          <w:sz w:val="24"/>
          <w:szCs w:val="24"/>
        </w:rPr>
        <w:t xml:space="preserve">nearby </w:t>
      </w:r>
      <w:r w:rsidRPr="0069759B">
        <w:rPr>
          <w:sz w:val="24"/>
          <w:szCs w:val="24"/>
        </w:rPr>
        <w:t>for purposes, including to provide car parking to members who are provided with a</w:t>
      </w:r>
      <w:r>
        <w:rPr>
          <w:sz w:val="24"/>
          <w:szCs w:val="24"/>
        </w:rPr>
        <w:t xml:space="preserve"> temporary</w:t>
      </w:r>
      <w:r w:rsidRPr="0069759B">
        <w:rPr>
          <w:sz w:val="24"/>
          <w:szCs w:val="24"/>
        </w:rPr>
        <w:t xml:space="preserve"> office at the CPO.</w:t>
      </w:r>
    </w:p>
    <w:p w14:paraId="021DAAD0" w14:textId="77777777" w:rsidR="00740FF7" w:rsidRDefault="00740FF7" w:rsidP="00740FF7">
      <w:pPr>
        <w:pStyle w:val="notetext"/>
        <w:tabs>
          <w:tab w:val="left" w:pos="9072"/>
        </w:tabs>
        <w:ind w:left="2289"/>
      </w:pPr>
      <w:r>
        <w:t>Note:</w:t>
      </w:r>
      <w:r>
        <w:tab/>
        <w:t xml:space="preserve">The provision of a car park to a member who is provided with </w:t>
      </w:r>
      <w:r w:rsidRPr="00D97947">
        <w:t>a</w:t>
      </w:r>
      <w:r>
        <w:t xml:space="preserve"> temporary</w:t>
      </w:r>
      <w:r w:rsidRPr="00D97947">
        <w:t xml:space="preserve"> office </w:t>
      </w:r>
      <w:r>
        <w:t>at a CPO is subject to availability (see section 1</w:t>
      </w:r>
      <w:r w:rsidR="008F179C">
        <w:t>5</w:t>
      </w:r>
      <w:r>
        <w:t>)</w:t>
      </w:r>
      <w:r w:rsidRPr="00D236F8">
        <w:t xml:space="preserve"> </w:t>
      </w:r>
      <w:r>
        <w:t>and allocation (see section 1</w:t>
      </w:r>
      <w:r w:rsidR="008F179C">
        <w:t>6</w:t>
      </w:r>
      <w:r>
        <w:t>).</w:t>
      </w:r>
    </w:p>
    <w:p w14:paraId="472EA8AE" w14:textId="77777777" w:rsidR="00740FF7" w:rsidRPr="00B96667" w:rsidRDefault="00740FF7" w:rsidP="00740FF7">
      <w:pPr>
        <w:pStyle w:val="subsection"/>
        <w:numPr>
          <w:ilvl w:val="0"/>
          <w:numId w:val="56"/>
        </w:numPr>
        <w:rPr>
          <w:sz w:val="24"/>
          <w:szCs w:val="24"/>
        </w:rPr>
      </w:pPr>
      <w:r w:rsidRPr="00B96667">
        <w:rPr>
          <w:sz w:val="24"/>
          <w:szCs w:val="24"/>
        </w:rPr>
        <w:t xml:space="preserve">Where requested to do so by the member, the Commonwealth may provide less than the number of car parks specified in this section. </w:t>
      </w:r>
    </w:p>
    <w:p w14:paraId="640A011D" w14:textId="77777777" w:rsidR="00740FF7" w:rsidRDefault="00740FF7" w:rsidP="00740FF7">
      <w:pPr>
        <w:pStyle w:val="notetext"/>
        <w:tabs>
          <w:tab w:val="left" w:pos="9072"/>
        </w:tabs>
        <w:ind w:left="2289"/>
      </w:pPr>
      <w:r>
        <w:t>Note:</w:t>
      </w:r>
      <w:r>
        <w:tab/>
        <w:t xml:space="preserve">Apart from the car parking provisions in this section, members may be eligible to claim parking fees in relation to travel by a hired vehicle (subsection 8(1) of the Regulations – see the definition of </w:t>
      </w:r>
      <w:r w:rsidRPr="00AD6032">
        <w:rPr>
          <w:b/>
          <w:i/>
        </w:rPr>
        <w:t>transport costs</w:t>
      </w:r>
      <w:r>
        <w:t xml:space="preserve"> in subsection 5</w:t>
      </w:r>
      <w:r w:rsidRPr="00D97947">
        <w:t>(2) of the Regulations</w:t>
      </w:r>
      <w:r>
        <w:t>) or the member’s private vehicle or private plated vehicle (paragraph 8(3)(a) of the Regulations).</w:t>
      </w:r>
    </w:p>
    <w:p w14:paraId="6ED9A793" w14:textId="77777777" w:rsidR="00740FF7" w:rsidRPr="002C142A" w:rsidRDefault="00740FF7" w:rsidP="00740FF7">
      <w:pPr>
        <w:pStyle w:val="ActHead5"/>
        <w:numPr>
          <w:ilvl w:val="0"/>
          <w:numId w:val="3"/>
        </w:numPr>
        <w:tabs>
          <w:tab w:val="left" w:pos="9072"/>
        </w:tabs>
        <w:spacing w:after="120"/>
        <w:ind w:left="357" w:hanging="357"/>
        <w:rPr>
          <w:szCs w:val="24"/>
        </w:rPr>
      </w:pPr>
      <w:bookmarkStart w:id="16" w:name="_Toc3463489"/>
      <w:r w:rsidRPr="002C142A">
        <w:rPr>
          <w:szCs w:val="24"/>
        </w:rPr>
        <w:t xml:space="preserve">Provision of </w:t>
      </w:r>
      <w:r>
        <w:rPr>
          <w:szCs w:val="24"/>
        </w:rPr>
        <w:t>office resources at CPOs</w:t>
      </w:r>
      <w:bookmarkEnd w:id="16"/>
    </w:p>
    <w:p w14:paraId="2EFE9DC7" w14:textId="77777777" w:rsidR="00740FF7" w:rsidRDefault="00740FF7" w:rsidP="00740FF7">
      <w:pPr>
        <w:pStyle w:val="subsection"/>
        <w:numPr>
          <w:ilvl w:val="0"/>
          <w:numId w:val="54"/>
        </w:numPr>
        <w:rPr>
          <w:sz w:val="24"/>
          <w:szCs w:val="24"/>
        </w:rPr>
      </w:pPr>
      <w:r>
        <w:rPr>
          <w:sz w:val="24"/>
          <w:szCs w:val="24"/>
        </w:rPr>
        <w:t xml:space="preserve">For each member who is provided with </w:t>
      </w:r>
      <w:r w:rsidRPr="008F2584">
        <w:rPr>
          <w:sz w:val="24"/>
          <w:szCs w:val="24"/>
        </w:rPr>
        <w:t>an office in a CPO</w:t>
      </w:r>
      <w:r>
        <w:rPr>
          <w:sz w:val="24"/>
          <w:szCs w:val="24"/>
        </w:rPr>
        <w:t>, the Commonwealth must provide:</w:t>
      </w:r>
      <w:r w:rsidRPr="008F2584">
        <w:rPr>
          <w:sz w:val="24"/>
          <w:szCs w:val="24"/>
        </w:rPr>
        <w:t xml:space="preserve"> </w:t>
      </w:r>
    </w:p>
    <w:p w14:paraId="78F79A01" w14:textId="77777777" w:rsidR="00740FF7" w:rsidRDefault="00740FF7" w:rsidP="00740FF7">
      <w:pPr>
        <w:pStyle w:val="subsection"/>
        <w:numPr>
          <w:ilvl w:val="0"/>
          <w:numId w:val="11"/>
        </w:numPr>
        <w:tabs>
          <w:tab w:val="left" w:pos="9072"/>
        </w:tabs>
        <w:rPr>
          <w:sz w:val="24"/>
          <w:szCs w:val="24"/>
        </w:rPr>
      </w:pPr>
      <w:r>
        <w:rPr>
          <w:sz w:val="24"/>
          <w:szCs w:val="24"/>
        </w:rPr>
        <w:t>security services and related security infrastructure at the CPO;</w:t>
      </w:r>
    </w:p>
    <w:p w14:paraId="4DDC19D7" w14:textId="77777777" w:rsidR="00740FF7" w:rsidRDefault="00740FF7" w:rsidP="00740FF7">
      <w:pPr>
        <w:pStyle w:val="subsection"/>
        <w:numPr>
          <w:ilvl w:val="0"/>
          <w:numId w:val="11"/>
        </w:numPr>
        <w:tabs>
          <w:tab w:val="left" w:pos="9072"/>
        </w:tabs>
        <w:rPr>
          <w:sz w:val="24"/>
          <w:szCs w:val="24"/>
        </w:rPr>
      </w:pPr>
      <w:r w:rsidRPr="00B35F92">
        <w:rPr>
          <w:sz w:val="24"/>
          <w:szCs w:val="24"/>
        </w:rPr>
        <w:t>facilities management services at the CPO;</w:t>
      </w:r>
      <w:r>
        <w:rPr>
          <w:sz w:val="24"/>
          <w:szCs w:val="24"/>
        </w:rPr>
        <w:t xml:space="preserve"> </w:t>
      </w:r>
      <w:r w:rsidRPr="00B35F92">
        <w:rPr>
          <w:sz w:val="24"/>
          <w:szCs w:val="24"/>
        </w:rPr>
        <w:t xml:space="preserve">and </w:t>
      </w:r>
    </w:p>
    <w:p w14:paraId="0FD82227" w14:textId="77777777" w:rsidR="00740FF7" w:rsidRPr="00872FCC" w:rsidRDefault="00740FF7" w:rsidP="00740FF7">
      <w:pPr>
        <w:pStyle w:val="subsection"/>
        <w:numPr>
          <w:ilvl w:val="0"/>
          <w:numId w:val="11"/>
        </w:numPr>
        <w:tabs>
          <w:tab w:val="left" w:pos="9072"/>
        </w:tabs>
        <w:rPr>
          <w:sz w:val="24"/>
        </w:rPr>
      </w:pPr>
      <w:r w:rsidRPr="00B35F92">
        <w:rPr>
          <w:sz w:val="24"/>
          <w:szCs w:val="24"/>
        </w:rPr>
        <w:t>administrative support services</w:t>
      </w:r>
      <w:r>
        <w:rPr>
          <w:sz w:val="24"/>
          <w:szCs w:val="24"/>
        </w:rPr>
        <w:t xml:space="preserve"> at</w:t>
      </w:r>
      <w:r w:rsidRPr="002770FB">
        <w:rPr>
          <w:sz w:val="24"/>
        </w:rPr>
        <w:t xml:space="preserve"> the </w:t>
      </w:r>
      <w:r>
        <w:rPr>
          <w:sz w:val="24"/>
          <w:szCs w:val="24"/>
        </w:rPr>
        <w:t>CPO.</w:t>
      </w:r>
    </w:p>
    <w:p w14:paraId="71A2EBDC" w14:textId="77777777" w:rsidR="00740FF7" w:rsidRDefault="00740FF7" w:rsidP="00740FF7">
      <w:pPr>
        <w:pStyle w:val="subsection"/>
        <w:numPr>
          <w:ilvl w:val="0"/>
          <w:numId w:val="54"/>
        </w:numPr>
        <w:rPr>
          <w:sz w:val="24"/>
          <w:szCs w:val="24"/>
        </w:rPr>
      </w:pPr>
      <w:r>
        <w:rPr>
          <w:sz w:val="24"/>
          <w:szCs w:val="24"/>
        </w:rPr>
        <w:t>The security infrastructure in paragraph (1)(a) shall include the following resources, installed at the CPO:</w:t>
      </w:r>
    </w:p>
    <w:p w14:paraId="123F51E2" w14:textId="77777777" w:rsidR="00740FF7" w:rsidRPr="00245AAC" w:rsidRDefault="00740FF7" w:rsidP="00740FF7">
      <w:pPr>
        <w:pStyle w:val="subsection"/>
        <w:numPr>
          <w:ilvl w:val="0"/>
          <w:numId w:val="16"/>
        </w:numPr>
        <w:rPr>
          <w:sz w:val="24"/>
          <w:szCs w:val="24"/>
        </w:rPr>
      </w:pPr>
      <w:r>
        <w:rPr>
          <w:sz w:val="24"/>
          <w:szCs w:val="24"/>
        </w:rPr>
        <w:t xml:space="preserve">a centralised </w:t>
      </w:r>
      <w:r w:rsidRPr="00401D3A">
        <w:rPr>
          <w:sz w:val="24"/>
          <w:szCs w:val="24"/>
        </w:rPr>
        <w:t>secure reception counter</w:t>
      </w:r>
      <w:r>
        <w:rPr>
          <w:sz w:val="24"/>
          <w:szCs w:val="24"/>
        </w:rPr>
        <w:t>;</w:t>
      </w:r>
    </w:p>
    <w:p w14:paraId="2235016D" w14:textId="77777777" w:rsidR="00740FF7" w:rsidRPr="005974D6" w:rsidRDefault="00740FF7" w:rsidP="00740FF7">
      <w:pPr>
        <w:pStyle w:val="subsection"/>
        <w:numPr>
          <w:ilvl w:val="0"/>
          <w:numId w:val="16"/>
        </w:numPr>
        <w:rPr>
          <w:sz w:val="24"/>
          <w:szCs w:val="24"/>
        </w:rPr>
      </w:pPr>
      <w:r>
        <w:rPr>
          <w:sz w:val="24"/>
          <w:szCs w:val="24"/>
        </w:rPr>
        <w:t xml:space="preserve">a standard </w:t>
      </w:r>
      <w:r w:rsidRPr="00D81301">
        <w:rPr>
          <w:sz w:val="24"/>
          <w:szCs w:val="24"/>
        </w:rPr>
        <w:t xml:space="preserve">CCTV </w:t>
      </w:r>
      <w:r>
        <w:rPr>
          <w:sz w:val="24"/>
          <w:szCs w:val="24"/>
        </w:rPr>
        <w:t xml:space="preserve">monitoring </w:t>
      </w:r>
      <w:r w:rsidRPr="00D81301">
        <w:rPr>
          <w:sz w:val="24"/>
          <w:szCs w:val="24"/>
        </w:rPr>
        <w:t>system</w:t>
      </w:r>
      <w:r w:rsidRPr="005974D6">
        <w:rPr>
          <w:sz w:val="24"/>
          <w:szCs w:val="24"/>
        </w:rPr>
        <w:t>;</w:t>
      </w:r>
      <w:r>
        <w:rPr>
          <w:sz w:val="24"/>
          <w:szCs w:val="24"/>
        </w:rPr>
        <w:t xml:space="preserve"> and</w:t>
      </w:r>
    </w:p>
    <w:p w14:paraId="66848085" w14:textId="77777777" w:rsidR="00740FF7" w:rsidRDefault="00740FF7" w:rsidP="00740FF7">
      <w:pPr>
        <w:pStyle w:val="subsection"/>
        <w:numPr>
          <w:ilvl w:val="0"/>
          <w:numId w:val="16"/>
        </w:numPr>
        <w:rPr>
          <w:sz w:val="24"/>
          <w:szCs w:val="24"/>
        </w:rPr>
      </w:pPr>
      <w:r w:rsidRPr="00D81301">
        <w:rPr>
          <w:sz w:val="24"/>
          <w:szCs w:val="24"/>
        </w:rPr>
        <w:t xml:space="preserve">duress </w:t>
      </w:r>
      <w:r>
        <w:rPr>
          <w:sz w:val="24"/>
          <w:szCs w:val="24"/>
        </w:rPr>
        <w:t>alarm buttons in each office within the CPO.</w:t>
      </w:r>
    </w:p>
    <w:p w14:paraId="04436AED" w14:textId="77777777" w:rsidR="00740FF7" w:rsidRDefault="00740FF7" w:rsidP="00740FF7">
      <w:pPr>
        <w:pStyle w:val="subsection"/>
        <w:numPr>
          <w:ilvl w:val="0"/>
          <w:numId w:val="54"/>
        </w:numPr>
        <w:rPr>
          <w:sz w:val="24"/>
          <w:szCs w:val="24"/>
        </w:rPr>
      </w:pPr>
      <w:r>
        <w:rPr>
          <w:sz w:val="24"/>
          <w:szCs w:val="24"/>
        </w:rPr>
        <w:lastRenderedPageBreak/>
        <w:t>Subject to subsection (4), for a member who is provided with an office in a CPO the Commonwealth must provide the following resources within that office, or as common facilities at the CPO:</w:t>
      </w:r>
    </w:p>
    <w:p w14:paraId="2969BC33" w14:textId="77777777" w:rsidR="00740FF7" w:rsidRDefault="00740FF7" w:rsidP="00740FF7">
      <w:pPr>
        <w:pStyle w:val="subsection"/>
        <w:numPr>
          <w:ilvl w:val="1"/>
          <w:numId w:val="54"/>
        </w:numPr>
        <w:rPr>
          <w:sz w:val="24"/>
          <w:szCs w:val="24"/>
        </w:rPr>
      </w:pPr>
      <w:r w:rsidRPr="00274522">
        <w:rPr>
          <w:sz w:val="24"/>
          <w:szCs w:val="24"/>
        </w:rPr>
        <w:t>a conference room</w:t>
      </w:r>
      <w:r>
        <w:rPr>
          <w:sz w:val="24"/>
          <w:szCs w:val="24"/>
        </w:rPr>
        <w:t>;</w:t>
      </w:r>
    </w:p>
    <w:p w14:paraId="5865A98C" w14:textId="77777777" w:rsidR="00740FF7" w:rsidRDefault="00740FF7" w:rsidP="00740FF7">
      <w:pPr>
        <w:pStyle w:val="subsection"/>
        <w:numPr>
          <w:ilvl w:val="1"/>
          <w:numId w:val="54"/>
        </w:numPr>
        <w:rPr>
          <w:sz w:val="24"/>
          <w:szCs w:val="24"/>
        </w:rPr>
      </w:pPr>
      <w:r>
        <w:rPr>
          <w:sz w:val="24"/>
          <w:szCs w:val="24"/>
        </w:rPr>
        <w:t>a media or press conference room;</w:t>
      </w:r>
    </w:p>
    <w:p w14:paraId="4F264277" w14:textId="77777777" w:rsidR="00740FF7" w:rsidRDefault="00740FF7" w:rsidP="00740FF7">
      <w:pPr>
        <w:pStyle w:val="subsection"/>
        <w:numPr>
          <w:ilvl w:val="1"/>
          <w:numId w:val="54"/>
        </w:numPr>
        <w:rPr>
          <w:sz w:val="24"/>
          <w:szCs w:val="24"/>
        </w:rPr>
      </w:pPr>
      <w:r>
        <w:rPr>
          <w:sz w:val="24"/>
          <w:szCs w:val="24"/>
        </w:rPr>
        <w:t>a telepresence room;</w:t>
      </w:r>
    </w:p>
    <w:p w14:paraId="09D0AA92" w14:textId="77777777" w:rsidR="00740FF7" w:rsidRDefault="00740FF7" w:rsidP="00740FF7">
      <w:pPr>
        <w:pStyle w:val="subsection"/>
        <w:numPr>
          <w:ilvl w:val="1"/>
          <w:numId w:val="54"/>
        </w:numPr>
        <w:rPr>
          <w:sz w:val="24"/>
          <w:szCs w:val="24"/>
        </w:rPr>
      </w:pPr>
      <w:r>
        <w:rPr>
          <w:sz w:val="24"/>
          <w:szCs w:val="24"/>
        </w:rPr>
        <w:t>a u</w:t>
      </w:r>
      <w:r w:rsidRPr="007D31C8">
        <w:rPr>
          <w:sz w:val="24"/>
          <w:szCs w:val="24"/>
        </w:rPr>
        <w:t>tilities room</w:t>
      </w:r>
      <w:r>
        <w:rPr>
          <w:sz w:val="24"/>
          <w:szCs w:val="24"/>
        </w:rPr>
        <w:t>;</w:t>
      </w:r>
    </w:p>
    <w:p w14:paraId="252C66A0" w14:textId="77777777" w:rsidR="00740FF7" w:rsidRPr="007D31C8" w:rsidRDefault="00740FF7" w:rsidP="00740FF7">
      <w:pPr>
        <w:pStyle w:val="subsection"/>
        <w:numPr>
          <w:ilvl w:val="1"/>
          <w:numId w:val="54"/>
        </w:numPr>
        <w:rPr>
          <w:sz w:val="24"/>
          <w:szCs w:val="24"/>
        </w:rPr>
      </w:pPr>
      <w:r>
        <w:rPr>
          <w:sz w:val="24"/>
          <w:szCs w:val="24"/>
        </w:rPr>
        <w:t>a k</w:t>
      </w:r>
      <w:r w:rsidRPr="007D31C8">
        <w:rPr>
          <w:sz w:val="24"/>
          <w:szCs w:val="24"/>
        </w:rPr>
        <w:t xml:space="preserve">itchen </w:t>
      </w:r>
      <w:r>
        <w:rPr>
          <w:sz w:val="24"/>
          <w:szCs w:val="24"/>
        </w:rPr>
        <w:t xml:space="preserve">or </w:t>
      </w:r>
      <w:r w:rsidRPr="007D31C8">
        <w:rPr>
          <w:sz w:val="24"/>
          <w:szCs w:val="24"/>
        </w:rPr>
        <w:t>tea room</w:t>
      </w:r>
      <w:r>
        <w:rPr>
          <w:sz w:val="24"/>
          <w:szCs w:val="24"/>
        </w:rPr>
        <w:t>;</w:t>
      </w:r>
    </w:p>
    <w:p w14:paraId="3369DBD2" w14:textId="77777777" w:rsidR="00740FF7" w:rsidRDefault="00740FF7" w:rsidP="00740FF7">
      <w:pPr>
        <w:pStyle w:val="subsection"/>
        <w:numPr>
          <w:ilvl w:val="1"/>
          <w:numId w:val="54"/>
        </w:numPr>
        <w:rPr>
          <w:sz w:val="24"/>
          <w:szCs w:val="24"/>
        </w:rPr>
      </w:pPr>
      <w:r>
        <w:rPr>
          <w:sz w:val="24"/>
          <w:szCs w:val="24"/>
        </w:rPr>
        <w:t xml:space="preserve">a bathroom. </w:t>
      </w:r>
    </w:p>
    <w:p w14:paraId="7F22DD01" w14:textId="77777777" w:rsidR="00740FF7" w:rsidRDefault="00740FF7" w:rsidP="00740FF7">
      <w:pPr>
        <w:pStyle w:val="notetext"/>
        <w:spacing w:before="120"/>
        <w:ind w:left="2516" w:hanging="508"/>
      </w:pPr>
      <w:r w:rsidRPr="00C00119">
        <w:t>Note:</w:t>
      </w:r>
      <w:r w:rsidRPr="00C00119">
        <w:tab/>
        <w:t>An en suite bathroom will be provided in a permanent office in a CPO, where possible.</w:t>
      </w:r>
    </w:p>
    <w:p w14:paraId="778567C5" w14:textId="77777777" w:rsidR="00740FF7" w:rsidRDefault="00740FF7" w:rsidP="00740FF7">
      <w:pPr>
        <w:pStyle w:val="subsection"/>
        <w:numPr>
          <w:ilvl w:val="0"/>
          <w:numId w:val="54"/>
        </w:numPr>
        <w:rPr>
          <w:sz w:val="24"/>
          <w:szCs w:val="24"/>
        </w:rPr>
      </w:pPr>
      <w:r>
        <w:rPr>
          <w:sz w:val="24"/>
          <w:szCs w:val="24"/>
        </w:rPr>
        <w:t>The Commonwealth may meet its obligations under subsection (3) by providing one or more of the listed resources as a multi-use room.</w:t>
      </w:r>
    </w:p>
    <w:p w14:paraId="53EAECDF" w14:textId="77777777" w:rsidR="00740FF7" w:rsidRDefault="00740FF7" w:rsidP="00740FF7">
      <w:pPr>
        <w:pStyle w:val="subsection"/>
        <w:numPr>
          <w:ilvl w:val="0"/>
          <w:numId w:val="54"/>
        </w:numPr>
        <w:rPr>
          <w:sz w:val="24"/>
          <w:szCs w:val="24"/>
        </w:rPr>
      </w:pPr>
      <w:r>
        <w:rPr>
          <w:sz w:val="24"/>
          <w:szCs w:val="24"/>
        </w:rPr>
        <w:t xml:space="preserve">In a CPO located in Sydney or Melbourne, for a Minister who is provided with an office </w:t>
      </w:r>
      <w:r w:rsidR="006B4625">
        <w:rPr>
          <w:sz w:val="24"/>
          <w:szCs w:val="24"/>
        </w:rPr>
        <w:t>prescribed by subsection 73(1) of the Regulations</w:t>
      </w:r>
      <w:r>
        <w:rPr>
          <w:sz w:val="24"/>
          <w:szCs w:val="24"/>
        </w:rPr>
        <w:t xml:space="preserve"> in that CPO the Commonwealth must provide a Cabinet me</w:t>
      </w:r>
      <w:r w:rsidR="00D6181B">
        <w:rPr>
          <w:sz w:val="24"/>
          <w:szCs w:val="24"/>
        </w:rPr>
        <w:t>eting room as a common facility</w:t>
      </w:r>
      <w:r>
        <w:rPr>
          <w:sz w:val="24"/>
          <w:szCs w:val="24"/>
        </w:rPr>
        <w:t>.</w:t>
      </w:r>
    </w:p>
    <w:p w14:paraId="768E0E09" w14:textId="77777777" w:rsidR="00740FF7" w:rsidRPr="005E4557" w:rsidRDefault="00740FF7" w:rsidP="00740FF7">
      <w:pPr>
        <w:pStyle w:val="ActHead5"/>
        <w:numPr>
          <w:ilvl w:val="0"/>
          <w:numId w:val="3"/>
        </w:numPr>
        <w:tabs>
          <w:tab w:val="left" w:pos="9072"/>
        </w:tabs>
        <w:spacing w:after="120"/>
        <w:ind w:left="357" w:hanging="357"/>
        <w:rPr>
          <w:szCs w:val="24"/>
        </w:rPr>
      </w:pPr>
      <w:bookmarkStart w:id="17" w:name="_Toc3463490"/>
      <w:r w:rsidRPr="00414E01">
        <w:rPr>
          <w:szCs w:val="24"/>
        </w:rPr>
        <w:t>Provision of existing resources for offices</w:t>
      </w:r>
      <w:bookmarkEnd w:id="17"/>
    </w:p>
    <w:p w14:paraId="42BD661B" w14:textId="77777777" w:rsidR="00740FF7" w:rsidRDefault="00740FF7" w:rsidP="00740FF7">
      <w:pPr>
        <w:pStyle w:val="subsection"/>
        <w:numPr>
          <w:ilvl w:val="0"/>
          <w:numId w:val="13"/>
        </w:numPr>
        <w:tabs>
          <w:tab w:val="left" w:pos="9072"/>
        </w:tabs>
        <w:rPr>
          <w:sz w:val="24"/>
          <w:szCs w:val="24"/>
        </w:rPr>
      </w:pPr>
      <w:r>
        <w:rPr>
          <w:sz w:val="24"/>
          <w:szCs w:val="24"/>
        </w:rPr>
        <w:t xml:space="preserve">Subject to subsection (2), where a person (the </w:t>
      </w:r>
      <w:r w:rsidRPr="000A3799">
        <w:rPr>
          <w:b/>
          <w:i/>
          <w:sz w:val="24"/>
          <w:szCs w:val="24"/>
        </w:rPr>
        <w:t>new member</w:t>
      </w:r>
      <w:r>
        <w:rPr>
          <w:sz w:val="24"/>
          <w:szCs w:val="24"/>
        </w:rPr>
        <w:t xml:space="preserve">) becomes a member, Minister or office holder after the commencement of this determination, in circumstances where they have replaced a person who has ceased to be a member, Minister or office holder (the </w:t>
      </w:r>
      <w:r w:rsidRPr="000A3799">
        <w:rPr>
          <w:b/>
          <w:i/>
          <w:sz w:val="24"/>
          <w:szCs w:val="24"/>
        </w:rPr>
        <w:t>ceasing</w:t>
      </w:r>
      <w:r w:rsidRPr="00811A7B">
        <w:rPr>
          <w:b/>
          <w:i/>
          <w:sz w:val="24"/>
        </w:rPr>
        <w:t xml:space="preserve"> member</w:t>
      </w:r>
      <w:r>
        <w:rPr>
          <w:sz w:val="24"/>
          <w:szCs w:val="24"/>
        </w:rPr>
        <w:t xml:space="preserve">), the Commonwealth must provide </w:t>
      </w:r>
      <w:r w:rsidR="00332881">
        <w:rPr>
          <w:sz w:val="24"/>
          <w:szCs w:val="24"/>
        </w:rPr>
        <w:t xml:space="preserve">to the new member </w:t>
      </w:r>
      <w:r>
        <w:rPr>
          <w:sz w:val="24"/>
          <w:szCs w:val="24"/>
        </w:rPr>
        <w:t>any public resources prescribed by subsection 74(1) of the Regulations that the ceasing member was entitled to be provided (in connection with an office or offices)</w:t>
      </w:r>
      <w:r w:rsidRPr="00811A7B">
        <w:rPr>
          <w:sz w:val="24"/>
        </w:rPr>
        <w:t xml:space="preserve"> </w:t>
      </w:r>
      <w:r>
        <w:rPr>
          <w:sz w:val="24"/>
          <w:szCs w:val="24"/>
        </w:rPr>
        <w:t>immediately before they ceased to be a member, Minister or office holder.</w:t>
      </w:r>
    </w:p>
    <w:p w14:paraId="7702F6F1" w14:textId="77777777" w:rsidR="00740FF7" w:rsidRPr="00D97947" w:rsidRDefault="00740FF7" w:rsidP="00740FF7">
      <w:pPr>
        <w:pStyle w:val="subsection"/>
        <w:numPr>
          <w:ilvl w:val="0"/>
          <w:numId w:val="13"/>
        </w:numPr>
        <w:tabs>
          <w:tab w:val="left" w:pos="9072"/>
        </w:tabs>
        <w:rPr>
          <w:sz w:val="24"/>
        </w:rPr>
      </w:pPr>
      <w:r>
        <w:rPr>
          <w:sz w:val="24"/>
          <w:szCs w:val="24"/>
        </w:rPr>
        <w:t>Subsection (</w:t>
      </w:r>
      <w:r w:rsidRPr="00811A7B">
        <w:rPr>
          <w:sz w:val="24"/>
        </w:rPr>
        <w:t>1</w:t>
      </w:r>
      <w:r>
        <w:rPr>
          <w:sz w:val="24"/>
          <w:szCs w:val="24"/>
        </w:rPr>
        <w:t>)</w:t>
      </w:r>
      <w:r w:rsidRPr="00D97947">
        <w:rPr>
          <w:sz w:val="24"/>
        </w:rPr>
        <w:t xml:space="preserve"> </w:t>
      </w:r>
      <w:r>
        <w:rPr>
          <w:sz w:val="24"/>
          <w:szCs w:val="24"/>
        </w:rPr>
        <w:t>applies to public resources in permanent offices provided by the Commonwealth in a CPO.</w:t>
      </w:r>
    </w:p>
    <w:p w14:paraId="47C87349" w14:textId="77777777" w:rsidR="00740FF7" w:rsidRDefault="00740FF7" w:rsidP="00740FF7">
      <w:pPr>
        <w:pStyle w:val="subsection"/>
        <w:numPr>
          <w:ilvl w:val="0"/>
          <w:numId w:val="13"/>
        </w:numPr>
        <w:tabs>
          <w:tab w:val="left" w:pos="9072"/>
        </w:tabs>
        <w:rPr>
          <w:sz w:val="24"/>
          <w:szCs w:val="24"/>
        </w:rPr>
      </w:pPr>
      <w:r w:rsidRPr="00047190">
        <w:rPr>
          <w:sz w:val="24"/>
          <w:szCs w:val="24"/>
        </w:rPr>
        <w:t xml:space="preserve">For </w:t>
      </w:r>
      <w:r>
        <w:rPr>
          <w:sz w:val="24"/>
          <w:szCs w:val="24"/>
        </w:rPr>
        <w:t xml:space="preserve">a temporary office provided to a member under this determination, the Commonwealth must provide </w:t>
      </w:r>
      <w:r w:rsidR="00332881">
        <w:rPr>
          <w:sz w:val="24"/>
          <w:szCs w:val="24"/>
        </w:rPr>
        <w:t xml:space="preserve">to the member </w:t>
      </w:r>
      <w:r>
        <w:rPr>
          <w:sz w:val="24"/>
          <w:szCs w:val="24"/>
        </w:rPr>
        <w:t>the goods, services, premises, equipment and other facilities that were provided in the CPO immediately before the commencement of this determination</w:t>
      </w:r>
      <w:r w:rsidRPr="005E4557">
        <w:rPr>
          <w:sz w:val="24"/>
          <w:szCs w:val="24"/>
        </w:rPr>
        <w:t>.</w:t>
      </w:r>
      <w:r>
        <w:rPr>
          <w:sz w:val="24"/>
          <w:szCs w:val="24"/>
        </w:rPr>
        <w:t xml:space="preserve"> </w:t>
      </w:r>
    </w:p>
    <w:p w14:paraId="6FFB9B8C" w14:textId="77777777" w:rsidR="00740FF7" w:rsidRDefault="00740FF7" w:rsidP="00740FF7">
      <w:pPr>
        <w:pStyle w:val="subsection"/>
        <w:numPr>
          <w:ilvl w:val="0"/>
          <w:numId w:val="13"/>
        </w:numPr>
        <w:tabs>
          <w:tab w:val="left" w:pos="9072"/>
        </w:tabs>
        <w:rPr>
          <w:sz w:val="24"/>
          <w:szCs w:val="24"/>
        </w:rPr>
      </w:pPr>
      <w:r>
        <w:rPr>
          <w:sz w:val="24"/>
          <w:szCs w:val="24"/>
        </w:rPr>
        <w:t>Subject to subsection (5), f</w:t>
      </w:r>
      <w:r w:rsidRPr="00047190">
        <w:rPr>
          <w:sz w:val="24"/>
          <w:szCs w:val="24"/>
        </w:rPr>
        <w:t xml:space="preserve">or </w:t>
      </w:r>
      <w:r>
        <w:rPr>
          <w:sz w:val="24"/>
          <w:szCs w:val="24"/>
        </w:rPr>
        <w:t>the resources pro</w:t>
      </w:r>
      <w:r w:rsidR="00651F26">
        <w:rPr>
          <w:sz w:val="24"/>
          <w:szCs w:val="24"/>
        </w:rPr>
        <w:t>vided to a member under section </w:t>
      </w:r>
      <w:r w:rsidR="008F179C">
        <w:rPr>
          <w:sz w:val="24"/>
          <w:szCs w:val="24"/>
        </w:rPr>
        <w:t xml:space="preserve">13 </w:t>
      </w:r>
      <w:r>
        <w:rPr>
          <w:sz w:val="24"/>
          <w:szCs w:val="24"/>
        </w:rPr>
        <w:t>of this determination, the Commonwealth must provide the goods, services, premises, equipment and other facilities that were provided in the CPO immediately before the commencement of this determination</w:t>
      </w:r>
      <w:r w:rsidR="009E7F95">
        <w:rPr>
          <w:sz w:val="24"/>
          <w:szCs w:val="24"/>
        </w:rPr>
        <w:t xml:space="preserve"> to the member</w:t>
      </w:r>
      <w:r w:rsidRPr="005E4557">
        <w:rPr>
          <w:sz w:val="24"/>
          <w:szCs w:val="24"/>
        </w:rPr>
        <w:t>.</w:t>
      </w:r>
      <w:r>
        <w:rPr>
          <w:sz w:val="24"/>
          <w:szCs w:val="24"/>
        </w:rPr>
        <w:t xml:space="preserve"> </w:t>
      </w:r>
    </w:p>
    <w:p w14:paraId="228B3682" w14:textId="77777777" w:rsidR="00740FF7" w:rsidRPr="00C0602E" w:rsidRDefault="00740FF7" w:rsidP="00740FF7">
      <w:pPr>
        <w:pStyle w:val="subsection"/>
        <w:numPr>
          <w:ilvl w:val="0"/>
          <w:numId w:val="13"/>
        </w:numPr>
        <w:tabs>
          <w:tab w:val="left" w:pos="9072"/>
        </w:tabs>
        <w:rPr>
          <w:sz w:val="24"/>
          <w:szCs w:val="24"/>
        </w:rPr>
      </w:pPr>
      <w:r>
        <w:rPr>
          <w:sz w:val="24"/>
          <w:szCs w:val="24"/>
        </w:rPr>
        <w:t>Subsection (4) does not apply to resources provided for under another appropriation</w:t>
      </w:r>
      <w:r>
        <w:t>.</w:t>
      </w:r>
    </w:p>
    <w:p w14:paraId="51B6DB63" w14:textId="77777777" w:rsidR="00740FF7" w:rsidRDefault="00740FF7" w:rsidP="00740FF7">
      <w:pPr>
        <w:pStyle w:val="subsection"/>
        <w:numPr>
          <w:ilvl w:val="0"/>
          <w:numId w:val="13"/>
        </w:numPr>
        <w:tabs>
          <w:tab w:val="left" w:pos="9072"/>
        </w:tabs>
        <w:rPr>
          <w:sz w:val="24"/>
          <w:szCs w:val="24"/>
        </w:rPr>
      </w:pPr>
      <w:r w:rsidRPr="00176B3C">
        <w:rPr>
          <w:sz w:val="24"/>
          <w:szCs w:val="24"/>
        </w:rPr>
        <w:t>This section applies to public resources that are not otherwise dealt with in this determination.</w:t>
      </w:r>
    </w:p>
    <w:p w14:paraId="6F0B4DB6" w14:textId="77777777" w:rsidR="00740FF7" w:rsidRDefault="00740FF7" w:rsidP="00740FF7">
      <w:pPr>
        <w:pStyle w:val="subsection"/>
        <w:tabs>
          <w:tab w:val="left" w:pos="9072"/>
        </w:tabs>
        <w:rPr>
          <w:sz w:val="24"/>
          <w:szCs w:val="24"/>
        </w:rPr>
      </w:pPr>
    </w:p>
    <w:p w14:paraId="1FB13CC6" w14:textId="77777777" w:rsidR="00740FF7" w:rsidRPr="00F768A4" w:rsidRDefault="00A366E9" w:rsidP="00740FF7">
      <w:pPr>
        <w:pStyle w:val="ActHead6"/>
        <w:pageBreakBefore/>
        <w:tabs>
          <w:tab w:val="left" w:pos="9072"/>
        </w:tabs>
      </w:pPr>
      <w:bookmarkStart w:id="18" w:name="_Toc3463491"/>
      <w:r w:rsidRPr="00181093">
        <w:lastRenderedPageBreak/>
        <w:t xml:space="preserve">Part </w:t>
      </w:r>
      <w:r>
        <w:t>4—</w:t>
      </w:r>
      <w:r w:rsidR="00740FF7">
        <w:t>Availability and Allocation</w:t>
      </w:r>
      <w:bookmarkEnd w:id="18"/>
    </w:p>
    <w:p w14:paraId="6D7542EE" w14:textId="77777777" w:rsidR="00740FF7" w:rsidRPr="00AD4070" w:rsidRDefault="00740FF7" w:rsidP="00740FF7">
      <w:pPr>
        <w:pStyle w:val="ActHead5"/>
        <w:numPr>
          <w:ilvl w:val="0"/>
          <w:numId w:val="3"/>
        </w:numPr>
        <w:tabs>
          <w:tab w:val="left" w:pos="9072"/>
        </w:tabs>
        <w:spacing w:after="120"/>
        <w:ind w:left="357" w:hanging="357"/>
        <w:rPr>
          <w:szCs w:val="24"/>
        </w:rPr>
      </w:pPr>
      <w:bookmarkStart w:id="19" w:name="_Toc3463492"/>
      <w:r w:rsidRPr="00AD4070">
        <w:rPr>
          <w:szCs w:val="24"/>
        </w:rPr>
        <w:t>Subject to availability</w:t>
      </w:r>
      <w:bookmarkEnd w:id="19"/>
      <w:r w:rsidRPr="00AD4070">
        <w:rPr>
          <w:szCs w:val="24"/>
        </w:rPr>
        <w:t xml:space="preserve"> </w:t>
      </w:r>
    </w:p>
    <w:p w14:paraId="46959DD8" w14:textId="77777777" w:rsidR="00740FF7" w:rsidRDefault="00740FF7" w:rsidP="00740FF7">
      <w:pPr>
        <w:pStyle w:val="subsection"/>
        <w:tabs>
          <w:tab w:val="clear" w:pos="1021"/>
          <w:tab w:val="right" w:pos="1134"/>
          <w:tab w:val="left" w:pos="9072"/>
        </w:tabs>
        <w:ind w:left="709" w:firstLine="0"/>
        <w:rPr>
          <w:sz w:val="24"/>
          <w:szCs w:val="24"/>
        </w:rPr>
      </w:pPr>
      <w:r>
        <w:rPr>
          <w:sz w:val="24"/>
          <w:szCs w:val="24"/>
        </w:rPr>
        <w:t>The public resources determined under Part 2 and subsection 1</w:t>
      </w:r>
      <w:r w:rsidR="00D77A4E">
        <w:rPr>
          <w:sz w:val="24"/>
          <w:szCs w:val="24"/>
        </w:rPr>
        <w:t>1</w:t>
      </w:r>
      <w:r>
        <w:rPr>
          <w:sz w:val="24"/>
          <w:szCs w:val="24"/>
        </w:rPr>
        <w:t xml:space="preserve">(2) of this determination are determined subject to availability. </w:t>
      </w:r>
    </w:p>
    <w:p w14:paraId="74D54B32" w14:textId="77777777" w:rsidR="00740FF7" w:rsidRDefault="00740FF7" w:rsidP="00740FF7">
      <w:pPr>
        <w:pStyle w:val="notetext"/>
        <w:tabs>
          <w:tab w:val="left" w:pos="9072"/>
        </w:tabs>
        <w:spacing w:before="120"/>
        <w:ind w:left="2160" w:hanging="718"/>
      </w:pPr>
      <w:r w:rsidRPr="008F66FD">
        <w:t>Note</w:t>
      </w:r>
      <w:r>
        <w:t>:</w:t>
      </w:r>
      <w:r w:rsidRPr="008F66FD">
        <w:tab/>
        <w:t>Available space</w:t>
      </w:r>
      <w:r>
        <w:t>, including car parks</w:t>
      </w:r>
      <w:r w:rsidRPr="008F66FD">
        <w:t xml:space="preserve"> </w:t>
      </w:r>
      <w:r>
        <w:t>at or nearby to a CPO</w:t>
      </w:r>
      <w:r w:rsidRPr="008F66FD">
        <w:t xml:space="preserve"> is limited, and is leased by the Commonwealth for a range of purposes, including for temporary and permanent office accommodation for</w:t>
      </w:r>
      <w:r>
        <w:t xml:space="preserve"> members, former Prime Ministers, and </w:t>
      </w:r>
      <w:r w:rsidRPr="008F66FD">
        <w:t>departmental staff</w:t>
      </w:r>
      <w:r>
        <w:t xml:space="preserve">. </w:t>
      </w:r>
    </w:p>
    <w:p w14:paraId="35B2B44D" w14:textId="77777777" w:rsidR="00740FF7" w:rsidRDefault="00740FF7" w:rsidP="00740FF7">
      <w:pPr>
        <w:pStyle w:val="ActHead5"/>
        <w:numPr>
          <w:ilvl w:val="0"/>
          <w:numId w:val="3"/>
        </w:numPr>
        <w:tabs>
          <w:tab w:val="left" w:pos="9072"/>
        </w:tabs>
        <w:spacing w:after="120"/>
        <w:ind w:left="357" w:hanging="357"/>
        <w:rPr>
          <w:szCs w:val="24"/>
        </w:rPr>
      </w:pPr>
      <w:bookmarkStart w:id="20" w:name="_Toc3463493"/>
      <w:r>
        <w:rPr>
          <w:szCs w:val="24"/>
        </w:rPr>
        <w:t>Allocation of offices and car parks</w:t>
      </w:r>
      <w:bookmarkEnd w:id="20"/>
    </w:p>
    <w:p w14:paraId="23BBC09F" w14:textId="77777777" w:rsidR="00740FF7" w:rsidRDefault="00740FF7" w:rsidP="00740FF7">
      <w:pPr>
        <w:pStyle w:val="subsection"/>
        <w:tabs>
          <w:tab w:val="clear" w:pos="1021"/>
          <w:tab w:val="right" w:pos="1134"/>
          <w:tab w:val="left" w:pos="9072"/>
        </w:tabs>
        <w:ind w:left="709" w:firstLine="0"/>
        <w:rPr>
          <w:sz w:val="24"/>
          <w:szCs w:val="24"/>
        </w:rPr>
      </w:pPr>
      <w:r>
        <w:rPr>
          <w:sz w:val="24"/>
          <w:szCs w:val="24"/>
        </w:rPr>
        <w:t>The Department is to allocate the public resources determined under Part 2 and subsection 1</w:t>
      </w:r>
      <w:r w:rsidR="00D77A4E">
        <w:rPr>
          <w:sz w:val="24"/>
          <w:szCs w:val="24"/>
        </w:rPr>
        <w:t>1</w:t>
      </w:r>
      <w:r>
        <w:rPr>
          <w:sz w:val="24"/>
          <w:szCs w:val="24"/>
        </w:rPr>
        <w:t>(2) of this determination</w:t>
      </w:r>
      <w:r w:rsidDel="009F67EF">
        <w:rPr>
          <w:sz w:val="24"/>
          <w:szCs w:val="24"/>
        </w:rPr>
        <w:t xml:space="preserve"> </w:t>
      </w:r>
      <w:r>
        <w:rPr>
          <w:sz w:val="24"/>
          <w:szCs w:val="24"/>
        </w:rPr>
        <w:t>having regard to (as relevant):</w:t>
      </w:r>
    </w:p>
    <w:p w14:paraId="74D954A6" w14:textId="77777777" w:rsidR="00740FF7" w:rsidRDefault="00740FF7" w:rsidP="00740FF7">
      <w:pPr>
        <w:pStyle w:val="subsection"/>
        <w:numPr>
          <w:ilvl w:val="0"/>
          <w:numId w:val="12"/>
        </w:numPr>
        <w:tabs>
          <w:tab w:val="left" w:pos="9072"/>
        </w:tabs>
        <w:rPr>
          <w:sz w:val="24"/>
          <w:szCs w:val="24"/>
        </w:rPr>
      </w:pPr>
      <w:r>
        <w:rPr>
          <w:sz w:val="24"/>
          <w:szCs w:val="24"/>
        </w:rPr>
        <w:t>the requirements of a member relating to the conduct of their parliamentary business;</w:t>
      </w:r>
    </w:p>
    <w:p w14:paraId="509149AF" w14:textId="77777777" w:rsidR="00740FF7" w:rsidRPr="008F66FD" w:rsidRDefault="00740FF7" w:rsidP="00740FF7">
      <w:pPr>
        <w:pStyle w:val="subsection"/>
        <w:numPr>
          <w:ilvl w:val="0"/>
          <w:numId w:val="12"/>
        </w:numPr>
        <w:tabs>
          <w:tab w:val="left" w:pos="9072"/>
        </w:tabs>
        <w:rPr>
          <w:sz w:val="24"/>
          <w:szCs w:val="24"/>
        </w:rPr>
      </w:pPr>
      <w:r w:rsidRPr="008F66FD">
        <w:rPr>
          <w:sz w:val="24"/>
          <w:szCs w:val="24"/>
        </w:rPr>
        <w:t>the size of the office and the number of staff members to be accommodated in the office;</w:t>
      </w:r>
    </w:p>
    <w:p w14:paraId="70C48F45" w14:textId="77777777" w:rsidR="00740FF7" w:rsidRPr="008F66FD" w:rsidRDefault="00740FF7" w:rsidP="00740FF7">
      <w:pPr>
        <w:pStyle w:val="subsection"/>
        <w:numPr>
          <w:ilvl w:val="0"/>
          <w:numId w:val="12"/>
        </w:numPr>
        <w:tabs>
          <w:tab w:val="left" w:pos="9072"/>
        </w:tabs>
        <w:rPr>
          <w:sz w:val="24"/>
          <w:szCs w:val="24"/>
        </w:rPr>
      </w:pPr>
      <w:r w:rsidRPr="008F66FD">
        <w:rPr>
          <w:sz w:val="24"/>
          <w:szCs w:val="24"/>
        </w:rPr>
        <w:t>the location of the member’s home base;</w:t>
      </w:r>
    </w:p>
    <w:p w14:paraId="3FB93BF5" w14:textId="77777777" w:rsidR="00740FF7" w:rsidRPr="008F66FD" w:rsidRDefault="00740FF7" w:rsidP="00740FF7">
      <w:pPr>
        <w:pStyle w:val="subsection"/>
        <w:numPr>
          <w:ilvl w:val="0"/>
          <w:numId w:val="12"/>
        </w:numPr>
        <w:tabs>
          <w:tab w:val="left" w:pos="9072"/>
        </w:tabs>
        <w:rPr>
          <w:sz w:val="24"/>
          <w:szCs w:val="24"/>
        </w:rPr>
      </w:pPr>
      <w:r w:rsidRPr="008F66FD">
        <w:rPr>
          <w:sz w:val="24"/>
          <w:szCs w:val="24"/>
        </w:rPr>
        <w:t xml:space="preserve">the seniority of the member; </w:t>
      </w:r>
    </w:p>
    <w:p w14:paraId="403E0371" w14:textId="77777777" w:rsidR="00740FF7" w:rsidRDefault="00740FF7" w:rsidP="00740FF7">
      <w:pPr>
        <w:pStyle w:val="subsection"/>
        <w:numPr>
          <w:ilvl w:val="0"/>
          <w:numId w:val="12"/>
        </w:numPr>
        <w:tabs>
          <w:tab w:val="left" w:pos="9072"/>
        </w:tabs>
        <w:rPr>
          <w:sz w:val="24"/>
          <w:szCs w:val="24"/>
        </w:rPr>
      </w:pPr>
      <w:r>
        <w:rPr>
          <w:sz w:val="24"/>
          <w:szCs w:val="24"/>
        </w:rPr>
        <w:t xml:space="preserve">the </w:t>
      </w:r>
      <w:r w:rsidRPr="008F66FD">
        <w:rPr>
          <w:sz w:val="24"/>
          <w:szCs w:val="24"/>
        </w:rPr>
        <w:t xml:space="preserve">priority </w:t>
      </w:r>
      <w:r>
        <w:rPr>
          <w:sz w:val="24"/>
          <w:szCs w:val="24"/>
        </w:rPr>
        <w:t xml:space="preserve">of providing an </w:t>
      </w:r>
      <w:r w:rsidRPr="008F66FD">
        <w:rPr>
          <w:sz w:val="24"/>
          <w:szCs w:val="24"/>
        </w:rPr>
        <w:t xml:space="preserve">office </w:t>
      </w:r>
      <w:r>
        <w:rPr>
          <w:sz w:val="24"/>
          <w:szCs w:val="24"/>
        </w:rPr>
        <w:t xml:space="preserve">under sections </w:t>
      </w:r>
      <w:r w:rsidR="00BF5070">
        <w:rPr>
          <w:sz w:val="24"/>
          <w:szCs w:val="24"/>
        </w:rPr>
        <w:t>7</w:t>
      </w:r>
      <w:r w:rsidR="008F179C" w:rsidRPr="0042467A">
        <w:rPr>
          <w:sz w:val="24"/>
          <w:szCs w:val="24"/>
        </w:rPr>
        <w:t xml:space="preserve"> </w:t>
      </w:r>
      <w:r w:rsidRPr="0042467A">
        <w:rPr>
          <w:sz w:val="24"/>
          <w:szCs w:val="24"/>
        </w:rPr>
        <w:t xml:space="preserve">or </w:t>
      </w:r>
      <w:r w:rsidR="00BF5070">
        <w:rPr>
          <w:sz w:val="24"/>
          <w:szCs w:val="24"/>
        </w:rPr>
        <w:t>8</w:t>
      </w:r>
      <w:r w:rsidR="008F179C">
        <w:rPr>
          <w:sz w:val="24"/>
          <w:szCs w:val="24"/>
        </w:rPr>
        <w:t xml:space="preserve"> </w:t>
      </w:r>
      <w:r>
        <w:rPr>
          <w:sz w:val="24"/>
          <w:szCs w:val="24"/>
        </w:rPr>
        <w:t>of this determination at a CPO located in the State or Territory in which the member’s home base is located;</w:t>
      </w:r>
    </w:p>
    <w:p w14:paraId="2616CCEF" w14:textId="77777777" w:rsidR="00740FF7" w:rsidRPr="008F66FD" w:rsidRDefault="00740FF7" w:rsidP="00740FF7">
      <w:pPr>
        <w:pStyle w:val="subsection"/>
        <w:numPr>
          <w:ilvl w:val="0"/>
          <w:numId w:val="12"/>
        </w:numPr>
        <w:tabs>
          <w:tab w:val="left" w:pos="9072"/>
        </w:tabs>
        <w:rPr>
          <w:sz w:val="24"/>
          <w:szCs w:val="24"/>
        </w:rPr>
      </w:pPr>
      <w:r>
        <w:rPr>
          <w:sz w:val="24"/>
          <w:szCs w:val="24"/>
        </w:rPr>
        <w:t xml:space="preserve">the </w:t>
      </w:r>
      <w:r w:rsidRPr="008F66FD">
        <w:rPr>
          <w:sz w:val="24"/>
          <w:szCs w:val="24"/>
        </w:rPr>
        <w:t xml:space="preserve">priority </w:t>
      </w:r>
      <w:r>
        <w:rPr>
          <w:sz w:val="24"/>
          <w:szCs w:val="24"/>
        </w:rPr>
        <w:t>of providing a car park at a CPO to a member who is provided with a permanent office at that CPO</w:t>
      </w:r>
      <w:r w:rsidRPr="008F66FD">
        <w:rPr>
          <w:sz w:val="24"/>
          <w:szCs w:val="24"/>
        </w:rPr>
        <w:t>; and</w:t>
      </w:r>
    </w:p>
    <w:p w14:paraId="53C0C038" w14:textId="77777777" w:rsidR="00740FF7" w:rsidRPr="008F66FD" w:rsidRDefault="00740FF7" w:rsidP="00740FF7">
      <w:pPr>
        <w:pStyle w:val="subsection"/>
        <w:numPr>
          <w:ilvl w:val="0"/>
          <w:numId w:val="12"/>
        </w:numPr>
        <w:tabs>
          <w:tab w:val="left" w:pos="9072"/>
        </w:tabs>
        <w:rPr>
          <w:sz w:val="24"/>
          <w:szCs w:val="24"/>
        </w:rPr>
      </w:pPr>
      <w:r>
        <w:rPr>
          <w:sz w:val="24"/>
          <w:szCs w:val="24"/>
        </w:rPr>
        <w:t xml:space="preserve">the extent to which accommodation and car parks need to be provided to persons other than members. </w:t>
      </w:r>
    </w:p>
    <w:p w14:paraId="249B048E" w14:textId="77777777" w:rsidR="00740FF7" w:rsidRDefault="00740FF7" w:rsidP="00740FF7">
      <w:pPr>
        <w:pStyle w:val="notetext"/>
        <w:tabs>
          <w:tab w:val="left" w:pos="9072"/>
        </w:tabs>
        <w:spacing w:before="120"/>
        <w:ind w:left="2160" w:hanging="718"/>
      </w:pPr>
      <w:r>
        <w:t>Note:</w:t>
      </w:r>
      <w:r>
        <w:tab/>
        <w:t xml:space="preserve">A member’s home base is the member’s principle place of residence as nominated to IPEA by the member: see the definition of </w:t>
      </w:r>
      <w:r>
        <w:rPr>
          <w:b/>
          <w:i/>
        </w:rPr>
        <w:t>home base</w:t>
      </w:r>
      <w:r>
        <w:t xml:space="preserve"> in section 4 of the Regulations.</w:t>
      </w:r>
    </w:p>
    <w:p w14:paraId="6A0A77C0" w14:textId="77777777" w:rsidR="00740FF7" w:rsidRDefault="00740FF7" w:rsidP="00740FF7">
      <w:pPr>
        <w:tabs>
          <w:tab w:val="left" w:pos="9072"/>
        </w:tabs>
      </w:pPr>
    </w:p>
    <w:sectPr w:rsidR="00740FF7" w:rsidSect="001B2426">
      <w:footerReference w:type="even" r:id="rId13"/>
      <w:footerReference w:type="default" r:id="rId14"/>
      <w:headerReference w:type="first" r:id="rId15"/>
      <w:pgSz w:w="11907" w:h="16839" w:code="9"/>
      <w:pgMar w:top="1134" w:right="1417" w:bottom="1440" w:left="1361"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6F707" w14:textId="77777777" w:rsidR="0002437A" w:rsidRDefault="0002437A" w:rsidP="00715914">
      <w:pPr>
        <w:spacing w:line="240" w:lineRule="auto"/>
      </w:pPr>
      <w:r>
        <w:separator/>
      </w:r>
    </w:p>
  </w:endnote>
  <w:endnote w:type="continuationSeparator" w:id="0">
    <w:p w14:paraId="4C5F8A9B" w14:textId="77777777" w:rsidR="0002437A" w:rsidRDefault="0002437A" w:rsidP="00715914">
      <w:pPr>
        <w:spacing w:line="240" w:lineRule="auto"/>
      </w:pPr>
      <w:r>
        <w:continuationSeparator/>
      </w:r>
    </w:p>
  </w:endnote>
  <w:endnote w:type="continuationNotice" w:id="1">
    <w:p w14:paraId="79B7B14E" w14:textId="77777777" w:rsidR="0002437A" w:rsidRDefault="000243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C8BC0" w14:textId="77777777" w:rsidR="006A49F5" w:rsidRDefault="006A49F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6734"/>
      <w:gridCol w:w="1729"/>
    </w:tblGrid>
    <w:tr w:rsidR="006A49F5" w14:paraId="39CBF2BA" w14:textId="77777777" w:rsidTr="003C418C">
      <w:tc>
        <w:tcPr>
          <w:tcW w:w="365" w:type="pct"/>
        </w:tcPr>
        <w:p w14:paraId="57EA3E6F" w14:textId="77777777" w:rsidR="006A49F5" w:rsidRDefault="006A49F5" w:rsidP="008D60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6C97">
            <w:rPr>
              <w:i/>
              <w:noProof/>
              <w:sz w:val="18"/>
            </w:rPr>
            <w:t>1</w:t>
          </w:r>
          <w:r w:rsidRPr="00ED79B6">
            <w:rPr>
              <w:i/>
              <w:sz w:val="18"/>
            </w:rPr>
            <w:fldChar w:fldCharType="end"/>
          </w:r>
        </w:p>
      </w:tc>
      <w:tc>
        <w:tcPr>
          <w:tcW w:w="3688" w:type="pct"/>
        </w:tcPr>
        <w:p w14:paraId="506A0190" w14:textId="77777777" w:rsidR="006A49F5" w:rsidRDefault="006A49F5" w:rsidP="008D606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232E3">
            <w:rPr>
              <w:i/>
              <w:noProof/>
              <w:sz w:val="18"/>
            </w:rPr>
            <w:t>Parliamentary Business Resources (Commonwealth Parliament Offices) Determination (No. 1) 2019</w:t>
          </w:r>
          <w:r w:rsidRPr="004E1307">
            <w:rPr>
              <w:i/>
              <w:sz w:val="18"/>
            </w:rPr>
            <w:fldChar w:fldCharType="end"/>
          </w:r>
        </w:p>
      </w:tc>
      <w:tc>
        <w:tcPr>
          <w:tcW w:w="947" w:type="pct"/>
        </w:tcPr>
        <w:p w14:paraId="0DCAD7F8" w14:textId="77777777" w:rsidR="006A49F5" w:rsidRDefault="006A49F5" w:rsidP="008D606D">
          <w:pPr>
            <w:spacing w:line="0" w:lineRule="atLeast"/>
            <w:jc w:val="right"/>
            <w:rPr>
              <w:sz w:val="18"/>
            </w:rPr>
          </w:pPr>
        </w:p>
      </w:tc>
    </w:tr>
    <w:tr w:rsidR="006A49F5" w14:paraId="02F83E0A" w14:textId="77777777" w:rsidTr="003C418C">
      <w:tc>
        <w:tcPr>
          <w:tcW w:w="5000" w:type="pct"/>
          <w:gridSpan w:val="3"/>
        </w:tcPr>
        <w:p w14:paraId="602B94CC" w14:textId="77777777" w:rsidR="006A49F5" w:rsidRDefault="006A49F5" w:rsidP="008D606D">
          <w:pPr>
            <w:jc w:val="right"/>
            <w:rPr>
              <w:sz w:val="18"/>
            </w:rPr>
          </w:pPr>
        </w:p>
      </w:tc>
    </w:tr>
  </w:tbl>
  <w:p w14:paraId="0870B6A4" w14:textId="77777777" w:rsidR="006A49F5" w:rsidRPr="00ED79B6" w:rsidRDefault="006A49F5" w:rsidP="0099532E">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0076" w14:textId="7524C3C5" w:rsidR="006A49F5" w:rsidRPr="00CE78FC" w:rsidRDefault="006A49F5" w:rsidP="00CE78FC">
    <w:pPr>
      <w:rPr>
        <w:i/>
        <w:sz w:val="18"/>
      </w:rPr>
    </w:pPr>
    <w:r w:rsidRPr="003D4A41">
      <w:rPr>
        <w:i/>
        <w:sz w:val="18"/>
      </w:rPr>
      <w:fldChar w:fldCharType="begin"/>
    </w:r>
    <w:r w:rsidRPr="003D4A41">
      <w:rPr>
        <w:i/>
        <w:sz w:val="18"/>
      </w:rPr>
      <w:instrText xml:space="preserve"> PAGE   \* MERGEFORMAT </w:instrText>
    </w:r>
    <w:r w:rsidRPr="003D4A41">
      <w:rPr>
        <w:i/>
        <w:sz w:val="18"/>
      </w:rPr>
      <w:fldChar w:fldCharType="separate"/>
    </w:r>
    <w:r w:rsidR="00195876">
      <w:rPr>
        <w:i/>
        <w:noProof/>
        <w:sz w:val="18"/>
      </w:rPr>
      <w:t>2</w:t>
    </w:r>
    <w:r w:rsidRPr="003D4A41">
      <w:rPr>
        <w:i/>
        <w:noProof/>
        <w:sz w:val="18"/>
      </w:rPr>
      <w:fldChar w:fldCharType="end"/>
    </w:r>
    <w:r>
      <w:rPr>
        <w:i/>
        <w:sz w:val="18"/>
      </w:rPr>
      <w:tab/>
      <w:t>Parliamentary Business Resources (Commonwealth Parliament Offices) (No. 1) Determination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ECABC" w14:textId="77777777" w:rsidR="0002437A" w:rsidRDefault="0002437A" w:rsidP="00715914">
      <w:pPr>
        <w:spacing w:line="240" w:lineRule="auto"/>
      </w:pPr>
      <w:r>
        <w:separator/>
      </w:r>
    </w:p>
  </w:footnote>
  <w:footnote w:type="continuationSeparator" w:id="0">
    <w:p w14:paraId="505486B5" w14:textId="77777777" w:rsidR="0002437A" w:rsidRDefault="0002437A" w:rsidP="00715914">
      <w:pPr>
        <w:spacing w:line="240" w:lineRule="auto"/>
      </w:pPr>
      <w:r>
        <w:continuationSeparator/>
      </w:r>
    </w:p>
  </w:footnote>
  <w:footnote w:type="continuationNotice" w:id="1">
    <w:p w14:paraId="01EDD8E8" w14:textId="77777777" w:rsidR="0002437A" w:rsidRDefault="000243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0AA1" w14:textId="77777777" w:rsidR="006A49F5" w:rsidRDefault="006A49F5">
    <w:pPr>
      <w:pStyle w:val="Header"/>
    </w:pPr>
  </w:p>
  <w:p w14:paraId="08418088" w14:textId="77777777" w:rsidR="006A49F5" w:rsidRDefault="006A49F5">
    <w:pPr>
      <w:pStyle w:val="Header"/>
    </w:pPr>
  </w:p>
  <w:p w14:paraId="53ECA42B" w14:textId="77777777" w:rsidR="006A49F5" w:rsidRDefault="006A49F5">
    <w:pPr>
      <w:pStyle w:val="Header"/>
    </w:pPr>
  </w:p>
  <w:p w14:paraId="3862D964" w14:textId="77777777" w:rsidR="006A49F5" w:rsidRDefault="006A49F5">
    <w:pPr>
      <w:pStyle w:val="Header"/>
    </w:pPr>
  </w:p>
  <w:p w14:paraId="433AAE04" w14:textId="77777777" w:rsidR="006A49F5" w:rsidRDefault="006A49F5">
    <w:pPr>
      <w:pStyle w:val="Header"/>
    </w:pPr>
  </w:p>
  <w:p w14:paraId="3D329D61" w14:textId="77777777" w:rsidR="006A49F5" w:rsidRDefault="006A49F5">
    <w:pPr>
      <w:pStyle w:val="Header"/>
    </w:pPr>
  </w:p>
  <w:p w14:paraId="59CC687B" w14:textId="77777777" w:rsidR="006A49F5" w:rsidRDefault="006A49F5">
    <w:pPr>
      <w:pStyle w:val="Header"/>
    </w:pPr>
  </w:p>
  <w:p w14:paraId="11D11326" w14:textId="77777777" w:rsidR="006A49F5" w:rsidRDefault="006A49F5">
    <w:pPr>
      <w:pStyle w:val="Header"/>
    </w:pPr>
  </w:p>
  <w:p w14:paraId="1CD851D4" w14:textId="77777777" w:rsidR="006A49F5" w:rsidRDefault="006A49F5">
    <w:pPr>
      <w:pStyle w:val="Header"/>
    </w:pPr>
  </w:p>
  <w:p w14:paraId="31C7EE42" w14:textId="77777777" w:rsidR="006A49F5" w:rsidRDefault="006A49F5">
    <w:pPr>
      <w:pStyle w:val="Header"/>
    </w:pPr>
  </w:p>
  <w:p w14:paraId="5E0C3550" w14:textId="77777777" w:rsidR="006A49F5" w:rsidRDefault="006A49F5">
    <w:pPr>
      <w:pStyle w:val="Header"/>
    </w:pPr>
  </w:p>
  <w:p w14:paraId="15662804" w14:textId="77777777" w:rsidR="006A49F5" w:rsidRDefault="006A49F5">
    <w:pPr>
      <w:pStyle w:val="Header"/>
    </w:pPr>
  </w:p>
  <w:p w14:paraId="0B19CECA" w14:textId="77777777" w:rsidR="006A49F5" w:rsidRDefault="006A4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073"/>
    <w:multiLevelType w:val="hybridMultilevel"/>
    <w:tmpl w:val="FAF4ECEE"/>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 w15:restartNumberingAfterBreak="0">
    <w:nsid w:val="03B725AA"/>
    <w:multiLevelType w:val="hybridMultilevel"/>
    <w:tmpl w:val="E162FEBA"/>
    <w:lvl w:ilvl="0" w:tplc="BB52C1C8">
      <w:start w:val="1"/>
      <w:numFmt w:val="lowerLetter"/>
      <w:lvlText w:val="(%1)"/>
      <w:lvlJc w:val="left"/>
      <w:pPr>
        <w:ind w:left="2008"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D4055C"/>
    <w:multiLevelType w:val="hybridMultilevel"/>
    <w:tmpl w:val="96364302"/>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 w15:restartNumberingAfterBreak="0">
    <w:nsid w:val="071018BE"/>
    <w:multiLevelType w:val="hybridMultilevel"/>
    <w:tmpl w:val="B888B4C2"/>
    <w:lvl w:ilvl="0" w:tplc="BB52C1C8">
      <w:start w:val="1"/>
      <w:numFmt w:val="lowerLetter"/>
      <w:lvlText w:val="(%1)"/>
      <w:lvlJc w:val="left"/>
      <w:pPr>
        <w:ind w:left="2008"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C1195"/>
    <w:multiLevelType w:val="hybridMultilevel"/>
    <w:tmpl w:val="E0F6E4F0"/>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 w15:restartNumberingAfterBreak="0">
    <w:nsid w:val="0BDF2237"/>
    <w:multiLevelType w:val="hybridMultilevel"/>
    <w:tmpl w:val="4B406D62"/>
    <w:lvl w:ilvl="0" w:tplc="0268CA58">
      <w:start w:val="1"/>
      <w:numFmt w:val="decimal"/>
      <w:lvlText w:val="(%1)"/>
      <w:lvlJc w:val="left"/>
      <w:pPr>
        <w:ind w:left="1438" w:hanging="51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6" w15:restartNumberingAfterBreak="0">
    <w:nsid w:val="0E07481C"/>
    <w:multiLevelType w:val="hybridMultilevel"/>
    <w:tmpl w:val="9B5466C6"/>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7" w15:restartNumberingAfterBreak="0">
    <w:nsid w:val="0F891D6E"/>
    <w:multiLevelType w:val="hybridMultilevel"/>
    <w:tmpl w:val="7E50608E"/>
    <w:lvl w:ilvl="0" w:tplc="0C09001B">
      <w:start w:val="1"/>
      <w:numFmt w:val="lowerRoman"/>
      <w:lvlText w:val="%1."/>
      <w:lvlJc w:val="right"/>
      <w:pPr>
        <w:ind w:left="2728" w:hanging="18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8A3982"/>
    <w:multiLevelType w:val="hybridMultilevel"/>
    <w:tmpl w:val="B350B082"/>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9" w15:restartNumberingAfterBreak="0">
    <w:nsid w:val="183600F0"/>
    <w:multiLevelType w:val="hybridMultilevel"/>
    <w:tmpl w:val="77883044"/>
    <w:lvl w:ilvl="0" w:tplc="0268CA58">
      <w:start w:val="1"/>
      <w:numFmt w:val="decimal"/>
      <w:lvlText w:val="(%1)"/>
      <w:lvlJc w:val="left"/>
      <w:pPr>
        <w:ind w:left="1438" w:hanging="510"/>
      </w:pPr>
      <w:rPr>
        <w:rFonts w:hint="default"/>
      </w:r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0" w15:restartNumberingAfterBreak="0">
    <w:nsid w:val="196B63F2"/>
    <w:multiLevelType w:val="hybridMultilevel"/>
    <w:tmpl w:val="3594CC16"/>
    <w:lvl w:ilvl="0" w:tplc="0C09001B">
      <w:start w:val="1"/>
      <w:numFmt w:val="lowerRoman"/>
      <w:lvlText w:val="%1."/>
      <w:lvlJc w:val="right"/>
      <w:pPr>
        <w:ind w:left="2728" w:hanging="18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F873BB"/>
    <w:multiLevelType w:val="hybridMultilevel"/>
    <w:tmpl w:val="DAF81E10"/>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3" w15:restartNumberingAfterBreak="0">
    <w:nsid w:val="211C6A2C"/>
    <w:multiLevelType w:val="hybridMultilevel"/>
    <w:tmpl w:val="2A185E7E"/>
    <w:lvl w:ilvl="0" w:tplc="0268CA58">
      <w:start w:val="1"/>
      <w:numFmt w:val="decimal"/>
      <w:lvlText w:val="(%1)"/>
      <w:lvlJc w:val="left"/>
      <w:pPr>
        <w:ind w:left="1438" w:hanging="510"/>
      </w:pPr>
      <w:rPr>
        <w:rFonts w:hint="default"/>
      </w:r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4" w15:restartNumberingAfterBreak="0">
    <w:nsid w:val="21DF1E54"/>
    <w:multiLevelType w:val="hybridMultilevel"/>
    <w:tmpl w:val="9B5466C6"/>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5" w15:restartNumberingAfterBreak="0">
    <w:nsid w:val="237B58E6"/>
    <w:multiLevelType w:val="hybridMultilevel"/>
    <w:tmpl w:val="3594CC16"/>
    <w:lvl w:ilvl="0" w:tplc="0C09001B">
      <w:start w:val="1"/>
      <w:numFmt w:val="lowerRoman"/>
      <w:lvlText w:val="%1."/>
      <w:lvlJc w:val="right"/>
      <w:pPr>
        <w:ind w:left="2728" w:hanging="18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FC44CE"/>
    <w:multiLevelType w:val="hybridMultilevel"/>
    <w:tmpl w:val="4B406D62"/>
    <w:lvl w:ilvl="0" w:tplc="0268CA58">
      <w:start w:val="1"/>
      <w:numFmt w:val="decimal"/>
      <w:lvlText w:val="(%1)"/>
      <w:lvlJc w:val="left"/>
      <w:pPr>
        <w:ind w:left="1438" w:hanging="510"/>
      </w:pPr>
      <w:rPr>
        <w:rFonts w:hint="default"/>
      </w:r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7" w15:restartNumberingAfterBreak="0">
    <w:nsid w:val="25306051"/>
    <w:multiLevelType w:val="hybridMultilevel"/>
    <w:tmpl w:val="5E6E33C4"/>
    <w:lvl w:ilvl="0" w:tplc="BB52C1C8">
      <w:start w:val="1"/>
      <w:numFmt w:val="lowerLetter"/>
      <w:lvlText w:val="(%1)"/>
      <w:lvlJc w:val="left"/>
      <w:pPr>
        <w:ind w:left="2008"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275E5B"/>
    <w:multiLevelType w:val="hybridMultilevel"/>
    <w:tmpl w:val="2FC03B20"/>
    <w:lvl w:ilvl="0" w:tplc="BB52C1C8">
      <w:start w:val="1"/>
      <w:numFmt w:val="lowerLetter"/>
      <w:lvlText w:val="(%1)"/>
      <w:lvlJc w:val="left"/>
      <w:pPr>
        <w:ind w:left="2008"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092B31"/>
    <w:multiLevelType w:val="hybridMultilevel"/>
    <w:tmpl w:val="594C4CAC"/>
    <w:lvl w:ilvl="0" w:tplc="BB52C1C8">
      <w:start w:val="1"/>
      <w:numFmt w:val="lowerLetter"/>
      <w:lvlText w:val="(%1)"/>
      <w:lvlJc w:val="left"/>
      <w:pPr>
        <w:ind w:left="2008"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353557"/>
    <w:multiLevelType w:val="hybridMultilevel"/>
    <w:tmpl w:val="E162FEBA"/>
    <w:lvl w:ilvl="0" w:tplc="BB52C1C8">
      <w:start w:val="1"/>
      <w:numFmt w:val="lowerLetter"/>
      <w:lvlText w:val="(%1)"/>
      <w:lvlJc w:val="left"/>
      <w:pPr>
        <w:ind w:left="2008"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ED30B6"/>
    <w:multiLevelType w:val="hybridMultilevel"/>
    <w:tmpl w:val="5A3AFB8A"/>
    <w:lvl w:ilvl="0" w:tplc="BB52C1C8">
      <w:start w:val="1"/>
      <w:numFmt w:val="lowerLetter"/>
      <w:lvlText w:val="(%1)"/>
      <w:lvlJc w:val="left"/>
      <w:pPr>
        <w:ind w:left="2008"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CE6A80"/>
    <w:multiLevelType w:val="hybridMultilevel"/>
    <w:tmpl w:val="81A4042A"/>
    <w:lvl w:ilvl="0" w:tplc="B36CCA4E">
      <w:start w:val="1"/>
      <w:numFmt w:val="decimal"/>
      <w:lvlText w:val="%1"/>
      <w:lvlJc w:val="left"/>
      <w:pPr>
        <w:ind w:left="928"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325F2DF2"/>
    <w:multiLevelType w:val="hybridMultilevel"/>
    <w:tmpl w:val="C3A66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613C6D"/>
    <w:multiLevelType w:val="hybridMultilevel"/>
    <w:tmpl w:val="BF6C4938"/>
    <w:lvl w:ilvl="0" w:tplc="0268CA58">
      <w:start w:val="1"/>
      <w:numFmt w:val="decimal"/>
      <w:lvlText w:val="(%1)"/>
      <w:lvlJc w:val="left"/>
      <w:pPr>
        <w:ind w:left="1438" w:hanging="510"/>
      </w:pPr>
      <w:rPr>
        <w:rFonts w:hint="default"/>
      </w:r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5" w15:restartNumberingAfterBreak="0">
    <w:nsid w:val="346671B5"/>
    <w:multiLevelType w:val="hybridMultilevel"/>
    <w:tmpl w:val="96364302"/>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6" w15:restartNumberingAfterBreak="0">
    <w:nsid w:val="39D137E7"/>
    <w:multiLevelType w:val="hybridMultilevel"/>
    <w:tmpl w:val="710A0CDA"/>
    <w:lvl w:ilvl="0" w:tplc="BB52C1C8">
      <w:start w:val="1"/>
      <w:numFmt w:val="lowerLetter"/>
      <w:lvlText w:val="(%1)"/>
      <w:lvlJc w:val="left"/>
      <w:pPr>
        <w:ind w:left="2008"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B03CCB"/>
    <w:multiLevelType w:val="hybridMultilevel"/>
    <w:tmpl w:val="97169E82"/>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3B4A5424"/>
    <w:multiLevelType w:val="hybridMultilevel"/>
    <w:tmpl w:val="B3068D5A"/>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0" w15:restartNumberingAfterBreak="0">
    <w:nsid w:val="3BB4164F"/>
    <w:multiLevelType w:val="hybridMultilevel"/>
    <w:tmpl w:val="F6DE3AEE"/>
    <w:lvl w:ilvl="0" w:tplc="0C090001">
      <w:start w:val="1"/>
      <w:numFmt w:val="bullet"/>
      <w:lvlText w:val=""/>
      <w:lvlJc w:val="left"/>
      <w:pPr>
        <w:ind w:left="2310" w:hanging="360"/>
      </w:pPr>
      <w:rPr>
        <w:rFonts w:ascii="Symbol" w:hAnsi="Symbol" w:hint="default"/>
      </w:rPr>
    </w:lvl>
    <w:lvl w:ilvl="1" w:tplc="0C090003" w:tentative="1">
      <w:start w:val="1"/>
      <w:numFmt w:val="bullet"/>
      <w:lvlText w:val="o"/>
      <w:lvlJc w:val="left"/>
      <w:pPr>
        <w:ind w:left="3030" w:hanging="360"/>
      </w:pPr>
      <w:rPr>
        <w:rFonts w:ascii="Courier New" w:hAnsi="Courier New" w:cs="Courier New" w:hint="default"/>
      </w:rPr>
    </w:lvl>
    <w:lvl w:ilvl="2" w:tplc="0C090005" w:tentative="1">
      <w:start w:val="1"/>
      <w:numFmt w:val="bullet"/>
      <w:lvlText w:val=""/>
      <w:lvlJc w:val="left"/>
      <w:pPr>
        <w:ind w:left="3750" w:hanging="360"/>
      </w:pPr>
      <w:rPr>
        <w:rFonts w:ascii="Wingdings" w:hAnsi="Wingdings" w:hint="default"/>
      </w:rPr>
    </w:lvl>
    <w:lvl w:ilvl="3" w:tplc="0C090001" w:tentative="1">
      <w:start w:val="1"/>
      <w:numFmt w:val="bullet"/>
      <w:lvlText w:val=""/>
      <w:lvlJc w:val="left"/>
      <w:pPr>
        <w:ind w:left="4470" w:hanging="360"/>
      </w:pPr>
      <w:rPr>
        <w:rFonts w:ascii="Symbol" w:hAnsi="Symbol" w:hint="default"/>
      </w:rPr>
    </w:lvl>
    <w:lvl w:ilvl="4" w:tplc="0C090003" w:tentative="1">
      <w:start w:val="1"/>
      <w:numFmt w:val="bullet"/>
      <w:lvlText w:val="o"/>
      <w:lvlJc w:val="left"/>
      <w:pPr>
        <w:ind w:left="5190" w:hanging="360"/>
      </w:pPr>
      <w:rPr>
        <w:rFonts w:ascii="Courier New" w:hAnsi="Courier New" w:cs="Courier New" w:hint="default"/>
      </w:rPr>
    </w:lvl>
    <w:lvl w:ilvl="5" w:tplc="0C090005" w:tentative="1">
      <w:start w:val="1"/>
      <w:numFmt w:val="bullet"/>
      <w:lvlText w:val=""/>
      <w:lvlJc w:val="left"/>
      <w:pPr>
        <w:ind w:left="5910" w:hanging="360"/>
      </w:pPr>
      <w:rPr>
        <w:rFonts w:ascii="Wingdings" w:hAnsi="Wingdings" w:hint="default"/>
      </w:rPr>
    </w:lvl>
    <w:lvl w:ilvl="6" w:tplc="0C090001" w:tentative="1">
      <w:start w:val="1"/>
      <w:numFmt w:val="bullet"/>
      <w:lvlText w:val=""/>
      <w:lvlJc w:val="left"/>
      <w:pPr>
        <w:ind w:left="6630" w:hanging="360"/>
      </w:pPr>
      <w:rPr>
        <w:rFonts w:ascii="Symbol" w:hAnsi="Symbol" w:hint="default"/>
      </w:rPr>
    </w:lvl>
    <w:lvl w:ilvl="7" w:tplc="0C090003" w:tentative="1">
      <w:start w:val="1"/>
      <w:numFmt w:val="bullet"/>
      <w:lvlText w:val="o"/>
      <w:lvlJc w:val="left"/>
      <w:pPr>
        <w:ind w:left="7350" w:hanging="360"/>
      </w:pPr>
      <w:rPr>
        <w:rFonts w:ascii="Courier New" w:hAnsi="Courier New" w:cs="Courier New" w:hint="default"/>
      </w:rPr>
    </w:lvl>
    <w:lvl w:ilvl="8" w:tplc="0C090005" w:tentative="1">
      <w:start w:val="1"/>
      <w:numFmt w:val="bullet"/>
      <w:lvlText w:val=""/>
      <w:lvlJc w:val="left"/>
      <w:pPr>
        <w:ind w:left="8070" w:hanging="360"/>
      </w:pPr>
      <w:rPr>
        <w:rFonts w:ascii="Wingdings" w:hAnsi="Wingdings" w:hint="default"/>
      </w:rPr>
    </w:lvl>
  </w:abstractNum>
  <w:abstractNum w:abstractNumId="31" w15:restartNumberingAfterBreak="0">
    <w:nsid w:val="3C1F37D2"/>
    <w:multiLevelType w:val="hybridMultilevel"/>
    <w:tmpl w:val="1DAA4F98"/>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2" w15:restartNumberingAfterBreak="0">
    <w:nsid w:val="3C35754D"/>
    <w:multiLevelType w:val="hybridMultilevel"/>
    <w:tmpl w:val="850EEC42"/>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3" w15:restartNumberingAfterBreak="0">
    <w:nsid w:val="3DD37AB7"/>
    <w:multiLevelType w:val="hybridMultilevel"/>
    <w:tmpl w:val="FAF4ECEE"/>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4" w15:restartNumberingAfterBreak="0">
    <w:nsid w:val="41D123C3"/>
    <w:multiLevelType w:val="hybridMultilevel"/>
    <w:tmpl w:val="5E6E33C4"/>
    <w:lvl w:ilvl="0" w:tplc="BB52C1C8">
      <w:start w:val="1"/>
      <w:numFmt w:val="lowerLetter"/>
      <w:lvlText w:val="(%1)"/>
      <w:lvlJc w:val="left"/>
      <w:pPr>
        <w:ind w:left="2008"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8749B4"/>
    <w:multiLevelType w:val="hybridMultilevel"/>
    <w:tmpl w:val="97169E82"/>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6" w15:restartNumberingAfterBreak="0">
    <w:nsid w:val="455D5584"/>
    <w:multiLevelType w:val="hybridMultilevel"/>
    <w:tmpl w:val="BF6C4938"/>
    <w:lvl w:ilvl="0" w:tplc="0268CA58">
      <w:start w:val="1"/>
      <w:numFmt w:val="decimal"/>
      <w:lvlText w:val="(%1)"/>
      <w:lvlJc w:val="left"/>
      <w:pPr>
        <w:ind w:left="1438" w:hanging="51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7" w15:restartNumberingAfterBreak="0">
    <w:nsid w:val="478B6DB2"/>
    <w:multiLevelType w:val="hybridMultilevel"/>
    <w:tmpl w:val="96364302"/>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8" w15:restartNumberingAfterBreak="0">
    <w:nsid w:val="4D6852F0"/>
    <w:multiLevelType w:val="hybridMultilevel"/>
    <w:tmpl w:val="97169E82"/>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39" w15:restartNumberingAfterBreak="0">
    <w:nsid w:val="50AF21BE"/>
    <w:multiLevelType w:val="hybridMultilevel"/>
    <w:tmpl w:val="661A639A"/>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40" w15:restartNumberingAfterBreak="0">
    <w:nsid w:val="55793EC5"/>
    <w:multiLevelType w:val="hybridMultilevel"/>
    <w:tmpl w:val="6C86D8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62A479F"/>
    <w:multiLevelType w:val="hybridMultilevel"/>
    <w:tmpl w:val="9B5466C6"/>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42" w15:restartNumberingAfterBreak="0">
    <w:nsid w:val="577570AE"/>
    <w:multiLevelType w:val="hybridMultilevel"/>
    <w:tmpl w:val="4B406D62"/>
    <w:lvl w:ilvl="0" w:tplc="0268CA58">
      <w:start w:val="1"/>
      <w:numFmt w:val="decimal"/>
      <w:lvlText w:val="(%1)"/>
      <w:lvlJc w:val="left"/>
      <w:pPr>
        <w:ind w:left="1438" w:hanging="51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43" w15:restartNumberingAfterBreak="0">
    <w:nsid w:val="619A2BDB"/>
    <w:multiLevelType w:val="hybridMultilevel"/>
    <w:tmpl w:val="B7F6E996"/>
    <w:lvl w:ilvl="0" w:tplc="BB52C1C8">
      <w:start w:val="1"/>
      <w:numFmt w:val="lowerLetter"/>
      <w:lvlText w:val="(%1)"/>
      <w:lvlJc w:val="left"/>
      <w:pPr>
        <w:ind w:left="2008"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D67AD5"/>
    <w:multiLevelType w:val="hybridMultilevel"/>
    <w:tmpl w:val="6BE6D936"/>
    <w:lvl w:ilvl="0" w:tplc="7AF0F074">
      <w:start w:val="1"/>
      <w:numFmt w:val="lowerLetter"/>
      <w:lvlText w:val="(%1)"/>
      <w:lvlJc w:val="left"/>
      <w:pPr>
        <w:ind w:left="1069" w:hanging="360"/>
      </w:pPr>
      <w:rPr>
        <w:rFonts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5" w15:restartNumberingAfterBreak="0">
    <w:nsid w:val="681424CE"/>
    <w:multiLevelType w:val="hybridMultilevel"/>
    <w:tmpl w:val="75604E36"/>
    <w:lvl w:ilvl="0" w:tplc="BB52C1C8">
      <w:start w:val="1"/>
      <w:numFmt w:val="lowerLetter"/>
      <w:lvlText w:val="(%1)"/>
      <w:lvlJc w:val="left"/>
      <w:pPr>
        <w:ind w:left="2008"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EA0CC0"/>
    <w:multiLevelType w:val="hybridMultilevel"/>
    <w:tmpl w:val="0158060E"/>
    <w:lvl w:ilvl="0" w:tplc="DBB077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D7F7631"/>
    <w:multiLevelType w:val="hybridMultilevel"/>
    <w:tmpl w:val="96364302"/>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48" w15:restartNumberingAfterBreak="0">
    <w:nsid w:val="6DA23170"/>
    <w:multiLevelType w:val="hybridMultilevel"/>
    <w:tmpl w:val="C5D41138"/>
    <w:lvl w:ilvl="0" w:tplc="BB52C1C8">
      <w:start w:val="1"/>
      <w:numFmt w:val="lowerLetter"/>
      <w:lvlText w:val="(%1)"/>
      <w:lvlJc w:val="left"/>
      <w:pPr>
        <w:ind w:left="2008"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F3D4F69"/>
    <w:multiLevelType w:val="hybridMultilevel"/>
    <w:tmpl w:val="E162FEBA"/>
    <w:lvl w:ilvl="0" w:tplc="BB52C1C8">
      <w:start w:val="1"/>
      <w:numFmt w:val="lowerLetter"/>
      <w:lvlText w:val="(%1)"/>
      <w:lvlJc w:val="left"/>
      <w:pPr>
        <w:ind w:left="2008"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CA6C1C"/>
    <w:multiLevelType w:val="hybridMultilevel"/>
    <w:tmpl w:val="594C4CAC"/>
    <w:lvl w:ilvl="0" w:tplc="BB52C1C8">
      <w:start w:val="1"/>
      <w:numFmt w:val="lowerLetter"/>
      <w:lvlText w:val="(%1)"/>
      <w:lvlJc w:val="left"/>
      <w:pPr>
        <w:ind w:left="2008"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255671D"/>
    <w:multiLevelType w:val="hybridMultilevel"/>
    <w:tmpl w:val="7E50608E"/>
    <w:lvl w:ilvl="0" w:tplc="0C09001B">
      <w:start w:val="1"/>
      <w:numFmt w:val="lowerRoman"/>
      <w:lvlText w:val="%1."/>
      <w:lvlJc w:val="right"/>
      <w:pPr>
        <w:ind w:left="2728"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55B7055"/>
    <w:multiLevelType w:val="hybridMultilevel"/>
    <w:tmpl w:val="661A639A"/>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3" w15:restartNumberingAfterBreak="0">
    <w:nsid w:val="799C2D0E"/>
    <w:multiLevelType w:val="hybridMultilevel"/>
    <w:tmpl w:val="96364302"/>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4" w15:restartNumberingAfterBreak="0">
    <w:nsid w:val="7CA87EBC"/>
    <w:multiLevelType w:val="hybridMultilevel"/>
    <w:tmpl w:val="1DAA4F98"/>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5" w15:restartNumberingAfterBreak="0">
    <w:nsid w:val="7DE462AB"/>
    <w:multiLevelType w:val="hybridMultilevel"/>
    <w:tmpl w:val="4AE0F6CE"/>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6" w15:restartNumberingAfterBreak="0">
    <w:nsid w:val="7F3C6BCB"/>
    <w:multiLevelType w:val="hybridMultilevel"/>
    <w:tmpl w:val="D44C005E"/>
    <w:lvl w:ilvl="0" w:tplc="0268CA58">
      <w:start w:val="1"/>
      <w:numFmt w:val="decimal"/>
      <w:lvlText w:val="(%1)"/>
      <w:lvlJc w:val="left"/>
      <w:pPr>
        <w:ind w:left="1438" w:hanging="510"/>
      </w:pPr>
      <w:rPr>
        <w:rFonts w:hint="default"/>
      </w:rPr>
    </w:lvl>
    <w:lvl w:ilvl="1" w:tplc="BB52C1C8">
      <w:start w:val="1"/>
      <w:numFmt w:val="lowerLetter"/>
      <w:lvlText w:val="(%2)"/>
      <w:lvlJc w:val="left"/>
      <w:pPr>
        <w:ind w:left="2008" w:hanging="360"/>
      </w:pPr>
      <w:rPr>
        <w:rFonts w:ascii="Times New Roman" w:eastAsia="Times New Roman" w:hAnsi="Times New Roman" w:cs="Times New Roman"/>
      </w:rPr>
    </w:lvl>
    <w:lvl w:ilvl="2" w:tplc="0C09001B">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num w:numId="1">
    <w:abstractNumId w:val="28"/>
  </w:num>
  <w:num w:numId="2">
    <w:abstractNumId w:val="11"/>
  </w:num>
  <w:num w:numId="3">
    <w:abstractNumId w:val="22"/>
  </w:num>
  <w:num w:numId="4">
    <w:abstractNumId w:val="44"/>
  </w:num>
  <w:num w:numId="5">
    <w:abstractNumId w:val="5"/>
  </w:num>
  <w:num w:numId="6">
    <w:abstractNumId w:val="14"/>
  </w:num>
  <w:num w:numId="7">
    <w:abstractNumId w:val="16"/>
  </w:num>
  <w:num w:numId="8">
    <w:abstractNumId w:val="13"/>
  </w:num>
  <w:num w:numId="9">
    <w:abstractNumId w:val="42"/>
  </w:num>
  <w:num w:numId="10">
    <w:abstractNumId w:val="39"/>
  </w:num>
  <w:num w:numId="11">
    <w:abstractNumId w:val="20"/>
  </w:num>
  <w:num w:numId="12">
    <w:abstractNumId w:val="49"/>
  </w:num>
  <w:num w:numId="13">
    <w:abstractNumId w:val="52"/>
  </w:num>
  <w:num w:numId="14">
    <w:abstractNumId w:val="30"/>
  </w:num>
  <w:num w:numId="15">
    <w:abstractNumId w:val="0"/>
  </w:num>
  <w:num w:numId="16">
    <w:abstractNumId w:val="43"/>
  </w:num>
  <w:num w:numId="17">
    <w:abstractNumId w:val="10"/>
  </w:num>
  <w:num w:numId="18">
    <w:abstractNumId w:val="1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6"/>
  </w:num>
  <w:num w:numId="22">
    <w:abstractNumId w:val="37"/>
  </w:num>
  <w:num w:numId="23">
    <w:abstractNumId w:val="25"/>
  </w:num>
  <w:num w:numId="24">
    <w:abstractNumId w:val="47"/>
  </w:num>
  <w:num w:numId="25">
    <w:abstractNumId w:val="8"/>
  </w:num>
  <w:num w:numId="26">
    <w:abstractNumId w:val="27"/>
  </w:num>
  <w:num w:numId="27">
    <w:abstractNumId w:val="55"/>
  </w:num>
  <w:num w:numId="28">
    <w:abstractNumId w:val="45"/>
  </w:num>
  <w:num w:numId="29">
    <w:abstractNumId w:val="31"/>
  </w:num>
  <w:num w:numId="30">
    <w:abstractNumId w:val="33"/>
  </w:num>
  <w:num w:numId="31">
    <w:abstractNumId w:val="54"/>
  </w:num>
  <w:num w:numId="32">
    <w:abstractNumId w:val="53"/>
  </w:num>
  <w:num w:numId="33">
    <w:abstractNumId w:val="26"/>
  </w:num>
  <w:num w:numId="34">
    <w:abstractNumId w:val="17"/>
  </w:num>
  <w:num w:numId="35">
    <w:abstractNumId w:val="3"/>
  </w:num>
  <w:num w:numId="36">
    <w:abstractNumId w:val="21"/>
  </w:num>
  <w:num w:numId="37">
    <w:abstractNumId w:val="46"/>
  </w:num>
  <w:num w:numId="38">
    <w:abstractNumId w:val="40"/>
  </w:num>
  <w:num w:numId="39">
    <w:abstractNumId w:val="48"/>
  </w:num>
  <w:num w:numId="40">
    <w:abstractNumId w:val="35"/>
  </w:num>
  <w:num w:numId="41">
    <w:abstractNumId w:val="29"/>
  </w:num>
  <w:num w:numId="42">
    <w:abstractNumId w:val="38"/>
  </w:num>
  <w:num w:numId="43">
    <w:abstractNumId w:val="4"/>
  </w:num>
  <w:num w:numId="44">
    <w:abstractNumId w:val="19"/>
  </w:num>
  <w:num w:numId="45">
    <w:abstractNumId w:val="12"/>
  </w:num>
  <w:num w:numId="46">
    <w:abstractNumId w:val="50"/>
  </w:num>
  <w:num w:numId="47">
    <w:abstractNumId w:val="7"/>
  </w:num>
  <w:num w:numId="48">
    <w:abstractNumId w:val="51"/>
  </w:num>
  <w:num w:numId="49">
    <w:abstractNumId w:val="34"/>
  </w:num>
  <w:num w:numId="50">
    <w:abstractNumId w:val="23"/>
  </w:num>
  <w:num w:numId="51">
    <w:abstractNumId w:val="6"/>
  </w:num>
  <w:num w:numId="52">
    <w:abstractNumId w:val="32"/>
  </w:num>
  <w:num w:numId="53">
    <w:abstractNumId w:val="36"/>
  </w:num>
  <w:num w:numId="54">
    <w:abstractNumId w:val="9"/>
  </w:num>
  <w:num w:numId="55">
    <w:abstractNumId w:val="41"/>
  </w:num>
  <w:num w:numId="56">
    <w:abstractNumId w:val="24"/>
  </w:num>
  <w:num w:numId="57">
    <w:abstractNumId w:val="18"/>
  </w:num>
  <w:num w:numId="58">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DF"/>
    <w:rsid w:val="00000BAB"/>
    <w:rsid w:val="00001605"/>
    <w:rsid w:val="00004174"/>
    <w:rsid w:val="00004470"/>
    <w:rsid w:val="00006472"/>
    <w:rsid w:val="00006C48"/>
    <w:rsid w:val="00007BD4"/>
    <w:rsid w:val="00010832"/>
    <w:rsid w:val="000136AF"/>
    <w:rsid w:val="000143E4"/>
    <w:rsid w:val="00016B56"/>
    <w:rsid w:val="00016E4A"/>
    <w:rsid w:val="0002437A"/>
    <w:rsid w:val="000258B1"/>
    <w:rsid w:val="00026782"/>
    <w:rsid w:val="000271A2"/>
    <w:rsid w:val="00030177"/>
    <w:rsid w:val="00030571"/>
    <w:rsid w:val="000313E7"/>
    <w:rsid w:val="0003548A"/>
    <w:rsid w:val="00040A89"/>
    <w:rsid w:val="00041F5A"/>
    <w:rsid w:val="00042031"/>
    <w:rsid w:val="000437C1"/>
    <w:rsid w:val="0004455A"/>
    <w:rsid w:val="00044B4E"/>
    <w:rsid w:val="000458B2"/>
    <w:rsid w:val="00046752"/>
    <w:rsid w:val="000500A7"/>
    <w:rsid w:val="00050CCE"/>
    <w:rsid w:val="00051221"/>
    <w:rsid w:val="00051A4E"/>
    <w:rsid w:val="0005365D"/>
    <w:rsid w:val="000554A9"/>
    <w:rsid w:val="00055765"/>
    <w:rsid w:val="00060777"/>
    <w:rsid w:val="000614BF"/>
    <w:rsid w:val="00061729"/>
    <w:rsid w:val="00061A64"/>
    <w:rsid w:val="00062328"/>
    <w:rsid w:val="000625FB"/>
    <w:rsid w:val="00064394"/>
    <w:rsid w:val="0006455E"/>
    <w:rsid w:val="0006509A"/>
    <w:rsid w:val="000666B8"/>
    <w:rsid w:val="0006709C"/>
    <w:rsid w:val="00074376"/>
    <w:rsid w:val="00074BCC"/>
    <w:rsid w:val="00081C64"/>
    <w:rsid w:val="00081D26"/>
    <w:rsid w:val="00084AB1"/>
    <w:rsid w:val="000860A6"/>
    <w:rsid w:val="000868E1"/>
    <w:rsid w:val="00093165"/>
    <w:rsid w:val="0009361A"/>
    <w:rsid w:val="000938FF"/>
    <w:rsid w:val="0009488B"/>
    <w:rsid w:val="00094EA7"/>
    <w:rsid w:val="000978F5"/>
    <w:rsid w:val="000A09BB"/>
    <w:rsid w:val="000A63AE"/>
    <w:rsid w:val="000B07A8"/>
    <w:rsid w:val="000B15CD"/>
    <w:rsid w:val="000B25DB"/>
    <w:rsid w:val="000B35EB"/>
    <w:rsid w:val="000B385E"/>
    <w:rsid w:val="000B4878"/>
    <w:rsid w:val="000B5CE5"/>
    <w:rsid w:val="000B6DFC"/>
    <w:rsid w:val="000C1331"/>
    <w:rsid w:val="000C2F9D"/>
    <w:rsid w:val="000C3CEB"/>
    <w:rsid w:val="000C558C"/>
    <w:rsid w:val="000C7665"/>
    <w:rsid w:val="000C7DAB"/>
    <w:rsid w:val="000D05EF"/>
    <w:rsid w:val="000D1B43"/>
    <w:rsid w:val="000D20DD"/>
    <w:rsid w:val="000D3029"/>
    <w:rsid w:val="000D6F79"/>
    <w:rsid w:val="000E1035"/>
    <w:rsid w:val="000E2261"/>
    <w:rsid w:val="000E2BF7"/>
    <w:rsid w:val="000E78B7"/>
    <w:rsid w:val="000F21C1"/>
    <w:rsid w:val="000F2A8E"/>
    <w:rsid w:val="000F2FBF"/>
    <w:rsid w:val="000F3FEA"/>
    <w:rsid w:val="000F4830"/>
    <w:rsid w:val="00102036"/>
    <w:rsid w:val="00102570"/>
    <w:rsid w:val="00104CEE"/>
    <w:rsid w:val="00105FBA"/>
    <w:rsid w:val="00106296"/>
    <w:rsid w:val="001064D0"/>
    <w:rsid w:val="00106D75"/>
    <w:rsid w:val="00106E57"/>
    <w:rsid w:val="00107250"/>
    <w:rsid w:val="0010745C"/>
    <w:rsid w:val="00107643"/>
    <w:rsid w:val="00111CA5"/>
    <w:rsid w:val="00115590"/>
    <w:rsid w:val="001156FD"/>
    <w:rsid w:val="00117A82"/>
    <w:rsid w:val="00123444"/>
    <w:rsid w:val="001253E4"/>
    <w:rsid w:val="00125A5B"/>
    <w:rsid w:val="00126034"/>
    <w:rsid w:val="00126A25"/>
    <w:rsid w:val="00126B56"/>
    <w:rsid w:val="00132C15"/>
    <w:rsid w:val="00132CEB"/>
    <w:rsid w:val="001339B0"/>
    <w:rsid w:val="001355F7"/>
    <w:rsid w:val="00142B62"/>
    <w:rsid w:val="00143E98"/>
    <w:rsid w:val="001441B7"/>
    <w:rsid w:val="00144400"/>
    <w:rsid w:val="0014576B"/>
    <w:rsid w:val="00147C4F"/>
    <w:rsid w:val="0015056F"/>
    <w:rsid w:val="0015085A"/>
    <w:rsid w:val="001516CB"/>
    <w:rsid w:val="00152336"/>
    <w:rsid w:val="001548F8"/>
    <w:rsid w:val="0015568C"/>
    <w:rsid w:val="00155ECA"/>
    <w:rsid w:val="001562D9"/>
    <w:rsid w:val="001563EB"/>
    <w:rsid w:val="00157B8B"/>
    <w:rsid w:val="0016178D"/>
    <w:rsid w:val="001651BA"/>
    <w:rsid w:val="0016545D"/>
    <w:rsid w:val="00166C2F"/>
    <w:rsid w:val="001702D8"/>
    <w:rsid w:val="00171182"/>
    <w:rsid w:val="00172D05"/>
    <w:rsid w:val="0017339B"/>
    <w:rsid w:val="00173C2E"/>
    <w:rsid w:val="001752D4"/>
    <w:rsid w:val="001763F3"/>
    <w:rsid w:val="001809D7"/>
    <w:rsid w:val="00181093"/>
    <w:rsid w:val="00186370"/>
    <w:rsid w:val="00190CDF"/>
    <w:rsid w:val="001922EE"/>
    <w:rsid w:val="001939E1"/>
    <w:rsid w:val="00194440"/>
    <w:rsid w:val="00194C3E"/>
    <w:rsid w:val="00195382"/>
    <w:rsid w:val="00195876"/>
    <w:rsid w:val="001960A9"/>
    <w:rsid w:val="0019738B"/>
    <w:rsid w:val="001A0C4D"/>
    <w:rsid w:val="001A30B4"/>
    <w:rsid w:val="001A402D"/>
    <w:rsid w:val="001A7909"/>
    <w:rsid w:val="001B0100"/>
    <w:rsid w:val="001B0A66"/>
    <w:rsid w:val="001B2426"/>
    <w:rsid w:val="001B2CB6"/>
    <w:rsid w:val="001C0521"/>
    <w:rsid w:val="001C1E0E"/>
    <w:rsid w:val="001C2666"/>
    <w:rsid w:val="001C42F9"/>
    <w:rsid w:val="001C4CD1"/>
    <w:rsid w:val="001C61C5"/>
    <w:rsid w:val="001C69C4"/>
    <w:rsid w:val="001C6ACC"/>
    <w:rsid w:val="001D177D"/>
    <w:rsid w:val="001D28EF"/>
    <w:rsid w:val="001D37EF"/>
    <w:rsid w:val="001D3EC6"/>
    <w:rsid w:val="001D4EFA"/>
    <w:rsid w:val="001D6D16"/>
    <w:rsid w:val="001E05F8"/>
    <w:rsid w:val="001E3590"/>
    <w:rsid w:val="001E5739"/>
    <w:rsid w:val="001E72D6"/>
    <w:rsid w:val="001E7407"/>
    <w:rsid w:val="001E78F9"/>
    <w:rsid w:val="001F0E7D"/>
    <w:rsid w:val="001F3020"/>
    <w:rsid w:val="001F4E10"/>
    <w:rsid w:val="001F5D5E"/>
    <w:rsid w:val="001F6219"/>
    <w:rsid w:val="001F6A62"/>
    <w:rsid w:val="001F6CD4"/>
    <w:rsid w:val="00204D4D"/>
    <w:rsid w:val="002066CC"/>
    <w:rsid w:val="00206C4D"/>
    <w:rsid w:val="00211B78"/>
    <w:rsid w:val="00213459"/>
    <w:rsid w:val="00213A1F"/>
    <w:rsid w:val="002152EB"/>
    <w:rsid w:val="002153E9"/>
    <w:rsid w:val="00215AF1"/>
    <w:rsid w:val="002179C9"/>
    <w:rsid w:val="0022064B"/>
    <w:rsid w:val="00221A76"/>
    <w:rsid w:val="00224200"/>
    <w:rsid w:val="00224421"/>
    <w:rsid w:val="002306A6"/>
    <w:rsid w:val="002321E8"/>
    <w:rsid w:val="00232984"/>
    <w:rsid w:val="00234520"/>
    <w:rsid w:val="00234D2E"/>
    <w:rsid w:val="0024010F"/>
    <w:rsid w:val="00240749"/>
    <w:rsid w:val="00240F97"/>
    <w:rsid w:val="002412D5"/>
    <w:rsid w:val="00243018"/>
    <w:rsid w:val="00244790"/>
    <w:rsid w:val="00244956"/>
    <w:rsid w:val="00245648"/>
    <w:rsid w:val="00245AAC"/>
    <w:rsid w:val="00250FEF"/>
    <w:rsid w:val="00255581"/>
    <w:rsid w:val="0025639F"/>
    <w:rsid w:val="002564A4"/>
    <w:rsid w:val="00256AC4"/>
    <w:rsid w:val="00256B0F"/>
    <w:rsid w:val="00260BDA"/>
    <w:rsid w:val="00260E74"/>
    <w:rsid w:val="00261870"/>
    <w:rsid w:val="00261A5A"/>
    <w:rsid w:val="00261C85"/>
    <w:rsid w:val="00262973"/>
    <w:rsid w:val="002635B6"/>
    <w:rsid w:val="00264859"/>
    <w:rsid w:val="0026736C"/>
    <w:rsid w:val="00271E84"/>
    <w:rsid w:val="00272966"/>
    <w:rsid w:val="00273722"/>
    <w:rsid w:val="00273C2E"/>
    <w:rsid w:val="00277731"/>
    <w:rsid w:val="00281308"/>
    <w:rsid w:val="00281397"/>
    <w:rsid w:val="002840C6"/>
    <w:rsid w:val="00284719"/>
    <w:rsid w:val="0028526E"/>
    <w:rsid w:val="002853A2"/>
    <w:rsid w:val="00285A16"/>
    <w:rsid w:val="00285D70"/>
    <w:rsid w:val="00293110"/>
    <w:rsid w:val="00295D74"/>
    <w:rsid w:val="00297ECB"/>
    <w:rsid w:val="002A142C"/>
    <w:rsid w:val="002A19E9"/>
    <w:rsid w:val="002A1D13"/>
    <w:rsid w:val="002A34EC"/>
    <w:rsid w:val="002A46C9"/>
    <w:rsid w:val="002A4A5A"/>
    <w:rsid w:val="002A7BCF"/>
    <w:rsid w:val="002B2945"/>
    <w:rsid w:val="002B2BFF"/>
    <w:rsid w:val="002B30EE"/>
    <w:rsid w:val="002B3535"/>
    <w:rsid w:val="002B43E4"/>
    <w:rsid w:val="002B52AB"/>
    <w:rsid w:val="002B6D76"/>
    <w:rsid w:val="002C00BE"/>
    <w:rsid w:val="002C142A"/>
    <w:rsid w:val="002C17E9"/>
    <w:rsid w:val="002C35C5"/>
    <w:rsid w:val="002C3FD1"/>
    <w:rsid w:val="002C7942"/>
    <w:rsid w:val="002D043A"/>
    <w:rsid w:val="002D14A4"/>
    <w:rsid w:val="002D266B"/>
    <w:rsid w:val="002D456B"/>
    <w:rsid w:val="002D6224"/>
    <w:rsid w:val="002D7F65"/>
    <w:rsid w:val="002E02C5"/>
    <w:rsid w:val="002E34BE"/>
    <w:rsid w:val="002E3860"/>
    <w:rsid w:val="002E5B51"/>
    <w:rsid w:val="002E6C60"/>
    <w:rsid w:val="002E7694"/>
    <w:rsid w:val="002F41C6"/>
    <w:rsid w:val="002F6003"/>
    <w:rsid w:val="002F6379"/>
    <w:rsid w:val="00302DE7"/>
    <w:rsid w:val="00302E7D"/>
    <w:rsid w:val="00304F8B"/>
    <w:rsid w:val="0031035A"/>
    <w:rsid w:val="0031225A"/>
    <w:rsid w:val="003143F3"/>
    <w:rsid w:val="0031581D"/>
    <w:rsid w:val="00315F8C"/>
    <w:rsid w:val="00316069"/>
    <w:rsid w:val="00316D9C"/>
    <w:rsid w:val="00316F64"/>
    <w:rsid w:val="003209DE"/>
    <w:rsid w:val="00321BBB"/>
    <w:rsid w:val="00326209"/>
    <w:rsid w:val="00326F20"/>
    <w:rsid w:val="00332881"/>
    <w:rsid w:val="00334103"/>
    <w:rsid w:val="00335BC6"/>
    <w:rsid w:val="00336005"/>
    <w:rsid w:val="003415D3"/>
    <w:rsid w:val="00341C4D"/>
    <w:rsid w:val="003426A1"/>
    <w:rsid w:val="00344338"/>
    <w:rsid w:val="003446A0"/>
    <w:rsid w:val="00344701"/>
    <w:rsid w:val="00344BB1"/>
    <w:rsid w:val="0034740C"/>
    <w:rsid w:val="00347994"/>
    <w:rsid w:val="003526D4"/>
    <w:rsid w:val="003527F9"/>
    <w:rsid w:val="00352B0F"/>
    <w:rsid w:val="0035705F"/>
    <w:rsid w:val="00357BB5"/>
    <w:rsid w:val="00360459"/>
    <w:rsid w:val="00362743"/>
    <w:rsid w:val="003636E5"/>
    <w:rsid w:val="00366E95"/>
    <w:rsid w:val="00377730"/>
    <w:rsid w:val="0038049F"/>
    <w:rsid w:val="003932D2"/>
    <w:rsid w:val="003957FC"/>
    <w:rsid w:val="00395AD2"/>
    <w:rsid w:val="00395FFB"/>
    <w:rsid w:val="003A1A03"/>
    <w:rsid w:val="003A28C3"/>
    <w:rsid w:val="003B0234"/>
    <w:rsid w:val="003B1E71"/>
    <w:rsid w:val="003B4C1D"/>
    <w:rsid w:val="003B772F"/>
    <w:rsid w:val="003C1B79"/>
    <w:rsid w:val="003C2747"/>
    <w:rsid w:val="003C418C"/>
    <w:rsid w:val="003C6231"/>
    <w:rsid w:val="003C7BB7"/>
    <w:rsid w:val="003D0BFE"/>
    <w:rsid w:val="003D1FE9"/>
    <w:rsid w:val="003D21E4"/>
    <w:rsid w:val="003D392D"/>
    <w:rsid w:val="003D4A41"/>
    <w:rsid w:val="003D5700"/>
    <w:rsid w:val="003D598D"/>
    <w:rsid w:val="003E03EA"/>
    <w:rsid w:val="003E06A8"/>
    <w:rsid w:val="003E31BC"/>
    <w:rsid w:val="003E341B"/>
    <w:rsid w:val="003E4D00"/>
    <w:rsid w:val="003E7967"/>
    <w:rsid w:val="003E7FD5"/>
    <w:rsid w:val="003F1F9F"/>
    <w:rsid w:val="003F359E"/>
    <w:rsid w:val="003F56F0"/>
    <w:rsid w:val="003F6038"/>
    <w:rsid w:val="003F75A9"/>
    <w:rsid w:val="00403D7E"/>
    <w:rsid w:val="0040459C"/>
    <w:rsid w:val="00406DC4"/>
    <w:rsid w:val="00407DBD"/>
    <w:rsid w:val="00410EE2"/>
    <w:rsid w:val="0041143A"/>
    <w:rsid w:val="004115AB"/>
    <w:rsid w:val="004116CD"/>
    <w:rsid w:val="00412A4A"/>
    <w:rsid w:val="00416B09"/>
    <w:rsid w:val="00417EB9"/>
    <w:rsid w:val="00421418"/>
    <w:rsid w:val="00422C36"/>
    <w:rsid w:val="00422D85"/>
    <w:rsid w:val="00423AB6"/>
    <w:rsid w:val="0042467A"/>
    <w:rsid w:val="00424CA9"/>
    <w:rsid w:val="004263C3"/>
    <w:rsid w:val="004276DF"/>
    <w:rsid w:val="0042793D"/>
    <w:rsid w:val="00431720"/>
    <w:rsid w:val="00431D2E"/>
    <w:rsid w:val="00431E9B"/>
    <w:rsid w:val="0043220D"/>
    <w:rsid w:val="0043393A"/>
    <w:rsid w:val="00434054"/>
    <w:rsid w:val="00436ED5"/>
    <w:rsid w:val="004379E3"/>
    <w:rsid w:val="0044015E"/>
    <w:rsid w:val="0044291A"/>
    <w:rsid w:val="00443E63"/>
    <w:rsid w:val="0044517D"/>
    <w:rsid w:val="00452169"/>
    <w:rsid w:val="00455501"/>
    <w:rsid w:val="0045572D"/>
    <w:rsid w:val="004604BE"/>
    <w:rsid w:val="004654BC"/>
    <w:rsid w:val="00465838"/>
    <w:rsid w:val="00465F5F"/>
    <w:rsid w:val="00466474"/>
    <w:rsid w:val="004668A3"/>
    <w:rsid w:val="00467661"/>
    <w:rsid w:val="00470400"/>
    <w:rsid w:val="00472DBE"/>
    <w:rsid w:val="00472FB1"/>
    <w:rsid w:val="00473DB8"/>
    <w:rsid w:val="00474A19"/>
    <w:rsid w:val="00476B09"/>
    <w:rsid w:val="00477830"/>
    <w:rsid w:val="00477F8A"/>
    <w:rsid w:val="0048049D"/>
    <w:rsid w:val="004813BD"/>
    <w:rsid w:val="004850FC"/>
    <w:rsid w:val="00485696"/>
    <w:rsid w:val="00485BE7"/>
    <w:rsid w:val="004868D8"/>
    <w:rsid w:val="00487764"/>
    <w:rsid w:val="00493E09"/>
    <w:rsid w:val="00494962"/>
    <w:rsid w:val="00496F97"/>
    <w:rsid w:val="004A39E1"/>
    <w:rsid w:val="004A4F71"/>
    <w:rsid w:val="004A67B1"/>
    <w:rsid w:val="004A7E41"/>
    <w:rsid w:val="004B00D3"/>
    <w:rsid w:val="004B05FB"/>
    <w:rsid w:val="004B1B98"/>
    <w:rsid w:val="004B6C48"/>
    <w:rsid w:val="004C4E59"/>
    <w:rsid w:val="004C5395"/>
    <w:rsid w:val="004C6809"/>
    <w:rsid w:val="004D30D0"/>
    <w:rsid w:val="004D54D7"/>
    <w:rsid w:val="004D5822"/>
    <w:rsid w:val="004E063A"/>
    <w:rsid w:val="004E0D52"/>
    <w:rsid w:val="004E1307"/>
    <w:rsid w:val="004E29F1"/>
    <w:rsid w:val="004E2A67"/>
    <w:rsid w:val="004E63BD"/>
    <w:rsid w:val="004E73EB"/>
    <w:rsid w:val="004E7BEC"/>
    <w:rsid w:val="004E7F4F"/>
    <w:rsid w:val="004F0E27"/>
    <w:rsid w:val="004F1899"/>
    <w:rsid w:val="004F57B2"/>
    <w:rsid w:val="004F6BFA"/>
    <w:rsid w:val="004F6C97"/>
    <w:rsid w:val="00500FF4"/>
    <w:rsid w:val="00505D3D"/>
    <w:rsid w:val="005060AF"/>
    <w:rsid w:val="00506AF6"/>
    <w:rsid w:val="005078E4"/>
    <w:rsid w:val="005107D9"/>
    <w:rsid w:val="00516B8D"/>
    <w:rsid w:val="00520C64"/>
    <w:rsid w:val="00520E4F"/>
    <w:rsid w:val="005218E3"/>
    <w:rsid w:val="00523128"/>
    <w:rsid w:val="005242F1"/>
    <w:rsid w:val="00526B4B"/>
    <w:rsid w:val="0052779C"/>
    <w:rsid w:val="005303C8"/>
    <w:rsid w:val="00531C56"/>
    <w:rsid w:val="005328D2"/>
    <w:rsid w:val="00532B8D"/>
    <w:rsid w:val="005332A6"/>
    <w:rsid w:val="005334E1"/>
    <w:rsid w:val="005346C4"/>
    <w:rsid w:val="00534B44"/>
    <w:rsid w:val="0053595C"/>
    <w:rsid w:val="005371C0"/>
    <w:rsid w:val="00537FBC"/>
    <w:rsid w:val="00540A10"/>
    <w:rsid w:val="005413E9"/>
    <w:rsid w:val="00542ECC"/>
    <w:rsid w:val="00544BAE"/>
    <w:rsid w:val="00550E4B"/>
    <w:rsid w:val="00554064"/>
    <w:rsid w:val="00554826"/>
    <w:rsid w:val="00555A5E"/>
    <w:rsid w:val="00556C90"/>
    <w:rsid w:val="005575C7"/>
    <w:rsid w:val="00561203"/>
    <w:rsid w:val="00562009"/>
    <w:rsid w:val="00562877"/>
    <w:rsid w:val="00567B47"/>
    <w:rsid w:val="00570802"/>
    <w:rsid w:val="0057200F"/>
    <w:rsid w:val="00572717"/>
    <w:rsid w:val="00573166"/>
    <w:rsid w:val="005735AE"/>
    <w:rsid w:val="005762F1"/>
    <w:rsid w:val="00576731"/>
    <w:rsid w:val="0058073A"/>
    <w:rsid w:val="0058085A"/>
    <w:rsid w:val="00580FAD"/>
    <w:rsid w:val="00582A1C"/>
    <w:rsid w:val="00583F01"/>
    <w:rsid w:val="00584811"/>
    <w:rsid w:val="00584D88"/>
    <w:rsid w:val="00585784"/>
    <w:rsid w:val="00592A11"/>
    <w:rsid w:val="0059314C"/>
    <w:rsid w:val="0059349E"/>
    <w:rsid w:val="00593AA6"/>
    <w:rsid w:val="00594118"/>
    <w:rsid w:val="00594161"/>
    <w:rsid w:val="00594749"/>
    <w:rsid w:val="00595E05"/>
    <w:rsid w:val="005A3DC1"/>
    <w:rsid w:val="005A5B47"/>
    <w:rsid w:val="005A65D5"/>
    <w:rsid w:val="005A72D4"/>
    <w:rsid w:val="005B1AD8"/>
    <w:rsid w:val="005B2C21"/>
    <w:rsid w:val="005B2C67"/>
    <w:rsid w:val="005B2E04"/>
    <w:rsid w:val="005B4067"/>
    <w:rsid w:val="005B6B96"/>
    <w:rsid w:val="005B7B41"/>
    <w:rsid w:val="005C102E"/>
    <w:rsid w:val="005C2278"/>
    <w:rsid w:val="005C3F41"/>
    <w:rsid w:val="005C46A7"/>
    <w:rsid w:val="005C4E78"/>
    <w:rsid w:val="005C6320"/>
    <w:rsid w:val="005D1D92"/>
    <w:rsid w:val="005D2D09"/>
    <w:rsid w:val="005D339F"/>
    <w:rsid w:val="005D4BA3"/>
    <w:rsid w:val="005D527E"/>
    <w:rsid w:val="005D5567"/>
    <w:rsid w:val="005E0522"/>
    <w:rsid w:val="005E596D"/>
    <w:rsid w:val="005F09DC"/>
    <w:rsid w:val="005F15F4"/>
    <w:rsid w:val="005F1CC3"/>
    <w:rsid w:val="005F3F1F"/>
    <w:rsid w:val="005F4E37"/>
    <w:rsid w:val="00600219"/>
    <w:rsid w:val="0060103A"/>
    <w:rsid w:val="00604F2A"/>
    <w:rsid w:val="00605573"/>
    <w:rsid w:val="00613FF7"/>
    <w:rsid w:val="00614EE3"/>
    <w:rsid w:val="00616AF9"/>
    <w:rsid w:val="00617B5E"/>
    <w:rsid w:val="00620076"/>
    <w:rsid w:val="0062182A"/>
    <w:rsid w:val="006220EC"/>
    <w:rsid w:val="006235CE"/>
    <w:rsid w:val="006252D8"/>
    <w:rsid w:val="00627E0A"/>
    <w:rsid w:val="00630B10"/>
    <w:rsid w:val="00631FB7"/>
    <w:rsid w:val="0063227E"/>
    <w:rsid w:val="006332EE"/>
    <w:rsid w:val="006334F9"/>
    <w:rsid w:val="00637ABE"/>
    <w:rsid w:val="00642935"/>
    <w:rsid w:val="00642945"/>
    <w:rsid w:val="00642AEA"/>
    <w:rsid w:val="00643753"/>
    <w:rsid w:val="006469BA"/>
    <w:rsid w:val="00647DFA"/>
    <w:rsid w:val="00651F26"/>
    <w:rsid w:val="00652B85"/>
    <w:rsid w:val="0065488B"/>
    <w:rsid w:val="0065613A"/>
    <w:rsid w:val="006568E2"/>
    <w:rsid w:val="00656D4F"/>
    <w:rsid w:val="006617E3"/>
    <w:rsid w:val="00663A13"/>
    <w:rsid w:val="0066461F"/>
    <w:rsid w:val="00667AE1"/>
    <w:rsid w:val="00670EA1"/>
    <w:rsid w:val="00670F4A"/>
    <w:rsid w:val="00671D51"/>
    <w:rsid w:val="0067213F"/>
    <w:rsid w:val="00673E71"/>
    <w:rsid w:val="00677CC2"/>
    <w:rsid w:val="00680042"/>
    <w:rsid w:val="006808CF"/>
    <w:rsid w:val="006817AC"/>
    <w:rsid w:val="00683CCE"/>
    <w:rsid w:val="00685E44"/>
    <w:rsid w:val="0068744B"/>
    <w:rsid w:val="00687B8D"/>
    <w:rsid w:val="006905DE"/>
    <w:rsid w:val="0069207B"/>
    <w:rsid w:val="00692780"/>
    <w:rsid w:val="00693CDA"/>
    <w:rsid w:val="0069415D"/>
    <w:rsid w:val="00694A8E"/>
    <w:rsid w:val="0069759B"/>
    <w:rsid w:val="00697DE2"/>
    <w:rsid w:val="00697EF9"/>
    <w:rsid w:val="006A154F"/>
    <w:rsid w:val="006A15B2"/>
    <w:rsid w:val="006A2BC0"/>
    <w:rsid w:val="006A30C6"/>
    <w:rsid w:val="006A3C7A"/>
    <w:rsid w:val="006A437B"/>
    <w:rsid w:val="006A49F5"/>
    <w:rsid w:val="006A4B49"/>
    <w:rsid w:val="006A50FF"/>
    <w:rsid w:val="006A6F40"/>
    <w:rsid w:val="006B0B09"/>
    <w:rsid w:val="006B15E4"/>
    <w:rsid w:val="006B2A60"/>
    <w:rsid w:val="006B4625"/>
    <w:rsid w:val="006B5261"/>
    <w:rsid w:val="006B5789"/>
    <w:rsid w:val="006B64E5"/>
    <w:rsid w:val="006C218B"/>
    <w:rsid w:val="006C24B7"/>
    <w:rsid w:val="006C30C5"/>
    <w:rsid w:val="006C68D0"/>
    <w:rsid w:val="006C7C35"/>
    <w:rsid w:val="006C7F8C"/>
    <w:rsid w:val="006D028F"/>
    <w:rsid w:val="006D62CF"/>
    <w:rsid w:val="006E0A43"/>
    <w:rsid w:val="006E15EF"/>
    <w:rsid w:val="006E2E1C"/>
    <w:rsid w:val="006E3EC3"/>
    <w:rsid w:val="006E6246"/>
    <w:rsid w:val="006E69C2"/>
    <w:rsid w:val="006E6DCC"/>
    <w:rsid w:val="006F0A8E"/>
    <w:rsid w:val="006F167D"/>
    <w:rsid w:val="006F1F3B"/>
    <w:rsid w:val="006F2562"/>
    <w:rsid w:val="006F318F"/>
    <w:rsid w:val="006F4956"/>
    <w:rsid w:val="006F4B56"/>
    <w:rsid w:val="006F52E4"/>
    <w:rsid w:val="006F74B4"/>
    <w:rsid w:val="0070017E"/>
    <w:rsid w:val="00700B2C"/>
    <w:rsid w:val="00701FD7"/>
    <w:rsid w:val="007026D2"/>
    <w:rsid w:val="00702A34"/>
    <w:rsid w:val="00703C32"/>
    <w:rsid w:val="0070452E"/>
    <w:rsid w:val="007047A3"/>
    <w:rsid w:val="007050A2"/>
    <w:rsid w:val="0070525A"/>
    <w:rsid w:val="00706C05"/>
    <w:rsid w:val="00713084"/>
    <w:rsid w:val="00713432"/>
    <w:rsid w:val="00714F20"/>
    <w:rsid w:val="0071590F"/>
    <w:rsid w:val="00715914"/>
    <w:rsid w:val="00716AD9"/>
    <w:rsid w:val="0072147A"/>
    <w:rsid w:val="00723791"/>
    <w:rsid w:val="00725928"/>
    <w:rsid w:val="00726210"/>
    <w:rsid w:val="0072631E"/>
    <w:rsid w:val="007276FA"/>
    <w:rsid w:val="00727E38"/>
    <w:rsid w:val="00731E00"/>
    <w:rsid w:val="0073355C"/>
    <w:rsid w:val="00734C4B"/>
    <w:rsid w:val="00737B84"/>
    <w:rsid w:val="00740FF7"/>
    <w:rsid w:val="00742333"/>
    <w:rsid w:val="00742850"/>
    <w:rsid w:val="007433CA"/>
    <w:rsid w:val="007440B7"/>
    <w:rsid w:val="007449AA"/>
    <w:rsid w:val="0074631D"/>
    <w:rsid w:val="00747A91"/>
    <w:rsid w:val="007500C8"/>
    <w:rsid w:val="00750625"/>
    <w:rsid w:val="0075176A"/>
    <w:rsid w:val="007530A9"/>
    <w:rsid w:val="00754CE8"/>
    <w:rsid w:val="00756272"/>
    <w:rsid w:val="007575C0"/>
    <w:rsid w:val="00762D38"/>
    <w:rsid w:val="00763F3C"/>
    <w:rsid w:val="00764B93"/>
    <w:rsid w:val="00765245"/>
    <w:rsid w:val="00765351"/>
    <w:rsid w:val="00765AA3"/>
    <w:rsid w:val="00766F3D"/>
    <w:rsid w:val="007715C9"/>
    <w:rsid w:val="00771613"/>
    <w:rsid w:val="00774375"/>
    <w:rsid w:val="00774EDD"/>
    <w:rsid w:val="007757EC"/>
    <w:rsid w:val="007766F2"/>
    <w:rsid w:val="0077747D"/>
    <w:rsid w:val="00780319"/>
    <w:rsid w:val="007804F1"/>
    <w:rsid w:val="00781094"/>
    <w:rsid w:val="00783E89"/>
    <w:rsid w:val="00786B4E"/>
    <w:rsid w:val="00787251"/>
    <w:rsid w:val="00787FB0"/>
    <w:rsid w:val="00790A8D"/>
    <w:rsid w:val="00793915"/>
    <w:rsid w:val="007A324E"/>
    <w:rsid w:val="007A4FE6"/>
    <w:rsid w:val="007A7B53"/>
    <w:rsid w:val="007B3056"/>
    <w:rsid w:val="007B3C54"/>
    <w:rsid w:val="007B723C"/>
    <w:rsid w:val="007C2253"/>
    <w:rsid w:val="007C4B37"/>
    <w:rsid w:val="007C64DA"/>
    <w:rsid w:val="007C78D7"/>
    <w:rsid w:val="007C7965"/>
    <w:rsid w:val="007D32DB"/>
    <w:rsid w:val="007D3964"/>
    <w:rsid w:val="007D7300"/>
    <w:rsid w:val="007D7911"/>
    <w:rsid w:val="007D7C75"/>
    <w:rsid w:val="007E163D"/>
    <w:rsid w:val="007E667A"/>
    <w:rsid w:val="007F0AB1"/>
    <w:rsid w:val="007F28C9"/>
    <w:rsid w:val="007F3EB2"/>
    <w:rsid w:val="007F51B2"/>
    <w:rsid w:val="00803166"/>
    <w:rsid w:val="008040DD"/>
    <w:rsid w:val="00806DF2"/>
    <w:rsid w:val="008117E9"/>
    <w:rsid w:val="00811E03"/>
    <w:rsid w:val="00820768"/>
    <w:rsid w:val="00824498"/>
    <w:rsid w:val="0082453F"/>
    <w:rsid w:val="00825870"/>
    <w:rsid w:val="00825993"/>
    <w:rsid w:val="00826BD1"/>
    <w:rsid w:val="0083048F"/>
    <w:rsid w:val="008304E0"/>
    <w:rsid w:val="00832AD8"/>
    <w:rsid w:val="0084088B"/>
    <w:rsid w:val="00841B1D"/>
    <w:rsid w:val="00843A8D"/>
    <w:rsid w:val="008451A3"/>
    <w:rsid w:val="00854D0B"/>
    <w:rsid w:val="00856A31"/>
    <w:rsid w:val="00860B4E"/>
    <w:rsid w:val="0086316C"/>
    <w:rsid w:val="008639CE"/>
    <w:rsid w:val="008642B2"/>
    <w:rsid w:val="00867B37"/>
    <w:rsid w:val="00872FCC"/>
    <w:rsid w:val="008731F5"/>
    <w:rsid w:val="00873782"/>
    <w:rsid w:val="00873789"/>
    <w:rsid w:val="008747E6"/>
    <w:rsid w:val="008754D0"/>
    <w:rsid w:val="00875D13"/>
    <w:rsid w:val="00877F63"/>
    <w:rsid w:val="00881805"/>
    <w:rsid w:val="00883E34"/>
    <w:rsid w:val="008855C9"/>
    <w:rsid w:val="00886456"/>
    <w:rsid w:val="008928E3"/>
    <w:rsid w:val="0089315E"/>
    <w:rsid w:val="008939F5"/>
    <w:rsid w:val="0089452B"/>
    <w:rsid w:val="008956A5"/>
    <w:rsid w:val="00896176"/>
    <w:rsid w:val="008A1C80"/>
    <w:rsid w:val="008A46A1"/>
    <w:rsid w:val="008A46E1"/>
    <w:rsid w:val="008A49F6"/>
    <w:rsid w:val="008A4F43"/>
    <w:rsid w:val="008A5798"/>
    <w:rsid w:val="008A5C4D"/>
    <w:rsid w:val="008A63F5"/>
    <w:rsid w:val="008A7769"/>
    <w:rsid w:val="008A7C60"/>
    <w:rsid w:val="008B2706"/>
    <w:rsid w:val="008B5178"/>
    <w:rsid w:val="008B5951"/>
    <w:rsid w:val="008C2EAC"/>
    <w:rsid w:val="008C3200"/>
    <w:rsid w:val="008C7508"/>
    <w:rsid w:val="008D033F"/>
    <w:rsid w:val="008D0EE0"/>
    <w:rsid w:val="008D2375"/>
    <w:rsid w:val="008D606D"/>
    <w:rsid w:val="008D6EB1"/>
    <w:rsid w:val="008E0027"/>
    <w:rsid w:val="008E014B"/>
    <w:rsid w:val="008E2856"/>
    <w:rsid w:val="008E6067"/>
    <w:rsid w:val="008E6F55"/>
    <w:rsid w:val="008E7638"/>
    <w:rsid w:val="008F1671"/>
    <w:rsid w:val="008F179C"/>
    <w:rsid w:val="008F24D1"/>
    <w:rsid w:val="008F3024"/>
    <w:rsid w:val="008F54E7"/>
    <w:rsid w:val="008F559A"/>
    <w:rsid w:val="008F6365"/>
    <w:rsid w:val="008F6444"/>
    <w:rsid w:val="008F66EF"/>
    <w:rsid w:val="008F7087"/>
    <w:rsid w:val="0090020F"/>
    <w:rsid w:val="00900965"/>
    <w:rsid w:val="00903422"/>
    <w:rsid w:val="00913202"/>
    <w:rsid w:val="009219F3"/>
    <w:rsid w:val="0092340D"/>
    <w:rsid w:val="00923627"/>
    <w:rsid w:val="009254C3"/>
    <w:rsid w:val="00930262"/>
    <w:rsid w:val="00932377"/>
    <w:rsid w:val="00933B80"/>
    <w:rsid w:val="009345E9"/>
    <w:rsid w:val="00935FE0"/>
    <w:rsid w:val="00937D4D"/>
    <w:rsid w:val="00941236"/>
    <w:rsid w:val="0094246F"/>
    <w:rsid w:val="00943FD5"/>
    <w:rsid w:val="00946341"/>
    <w:rsid w:val="00947D5A"/>
    <w:rsid w:val="00951090"/>
    <w:rsid w:val="00951B97"/>
    <w:rsid w:val="009532A5"/>
    <w:rsid w:val="0095339D"/>
    <w:rsid w:val="009539A0"/>
    <w:rsid w:val="009545BD"/>
    <w:rsid w:val="00962C9F"/>
    <w:rsid w:val="00964CF0"/>
    <w:rsid w:val="009701FE"/>
    <w:rsid w:val="00970A42"/>
    <w:rsid w:val="0097469D"/>
    <w:rsid w:val="009754FA"/>
    <w:rsid w:val="00975EED"/>
    <w:rsid w:val="009760C5"/>
    <w:rsid w:val="009761F4"/>
    <w:rsid w:val="009766F5"/>
    <w:rsid w:val="00976C4D"/>
    <w:rsid w:val="00977806"/>
    <w:rsid w:val="00977FDF"/>
    <w:rsid w:val="00982242"/>
    <w:rsid w:val="0098263F"/>
    <w:rsid w:val="00982656"/>
    <w:rsid w:val="00983451"/>
    <w:rsid w:val="00983CFE"/>
    <w:rsid w:val="00984E06"/>
    <w:rsid w:val="009868E9"/>
    <w:rsid w:val="009875A0"/>
    <w:rsid w:val="009900A3"/>
    <w:rsid w:val="009914A1"/>
    <w:rsid w:val="00995083"/>
    <w:rsid w:val="0099532E"/>
    <w:rsid w:val="009A0188"/>
    <w:rsid w:val="009A22A0"/>
    <w:rsid w:val="009A23C4"/>
    <w:rsid w:val="009A2865"/>
    <w:rsid w:val="009A2C72"/>
    <w:rsid w:val="009A3091"/>
    <w:rsid w:val="009A76A6"/>
    <w:rsid w:val="009A7B3D"/>
    <w:rsid w:val="009B217C"/>
    <w:rsid w:val="009B21AE"/>
    <w:rsid w:val="009B3EC6"/>
    <w:rsid w:val="009B43E8"/>
    <w:rsid w:val="009B4E3A"/>
    <w:rsid w:val="009B6891"/>
    <w:rsid w:val="009C2378"/>
    <w:rsid w:val="009C3413"/>
    <w:rsid w:val="009C345D"/>
    <w:rsid w:val="009C4DEA"/>
    <w:rsid w:val="009C5349"/>
    <w:rsid w:val="009D407C"/>
    <w:rsid w:val="009D54DB"/>
    <w:rsid w:val="009D5E29"/>
    <w:rsid w:val="009E1AB8"/>
    <w:rsid w:val="009E2632"/>
    <w:rsid w:val="009E5FCB"/>
    <w:rsid w:val="009E6CCC"/>
    <w:rsid w:val="009E7A63"/>
    <w:rsid w:val="009E7F95"/>
    <w:rsid w:val="00A003DE"/>
    <w:rsid w:val="00A0441E"/>
    <w:rsid w:val="00A052BA"/>
    <w:rsid w:val="00A114E0"/>
    <w:rsid w:val="00A12128"/>
    <w:rsid w:val="00A14873"/>
    <w:rsid w:val="00A15093"/>
    <w:rsid w:val="00A22C98"/>
    <w:rsid w:val="00A231E2"/>
    <w:rsid w:val="00A30EFB"/>
    <w:rsid w:val="00A32923"/>
    <w:rsid w:val="00A33C4D"/>
    <w:rsid w:val="00A3402F"/>
    <w:rsid w:val="00A34441"/>
    <w:rsid w:val="00A366E9"/>
    <w:rsid w:val="00A369E3"/>
    <w:rsid w:val="00A37278"/>
    <w:rsid w:val="00A42617"/>
    <w:rsid w:val="00A4299C"/>
    <w:rsid w:val="00A437DA"/>
    <w:rsid w:val="00A43B38"/>
    <w:rsid w:val="00A53576"/>
    <w:rsid w:val="00A56879"/>
    <w:rsid w:val="00A57600"/>
    <w:rsid w:val="00A64912"/>
    <w:rsid w:val="00A70A74"/>
    <w:rsid w:val="00A71A5A"/>
    <w:rsid w:val="00A7282A"/>
    <w:rsid w:val="00A74D59"/>
    <w:rsid w:val="00A751EF"/>
    <w:rsid w:val="00A75FE9"/>
    <w:rsid w:val="00A76593"/>
    <w:rsid w:val="00A76FF4"/>
    <w:rsid w:val="00A77D93"/>
    <w:rsid w:val="00A800E6"/>
    <w:rsid w:val="00A816C9"/>
    <w:rsid w:val="00A81899"/>
    <w:rsid w:val="00A851D5"/>
    <w:rsid w:val="00A85DC5"/>
    <w:rsid w:val="00A871C7"/>
    <w:rsid w:val="00A87905"/>
    <w:rsid w:val="00A92242"/>
    <w:rsid w:val="00A958EC"/>
    <w:rsid w:val="00A96443"/>
    <w:rsid w:val="00A97307"/>
    <w:rsid w:val="00AA16AE"/>
    <w:rsid w:val="00AA5A55"/>
    <w:rsid w:val="00AA6876"/>
    <w:rsid w:val="00AB0424"/>
    <w:rsid w:val="00AB3551"/>
    <w:rsid w:val="00AB773F"/>
    <w:rsid w:val="00AC0B13"/>
    <w:rsid w:val="00AC0F0D"/>
    <w:rsid w:val="00AC2AF3"/>
    <w:rsid w:val="00AC2CD4"/>
    <w:rsid w:val="00AC39D0"/>
    <w:rsid w:val="00AC4061"/>
    <w:rsid w:val="00AC6B73"/>
    <w:rsid w:val="00AD1F43"/>
    <w:rsid w:val="00AD4070"/>
    <w:rsid w:val="00AD53CC"/>
    <w:rsid w:val="00AD5641"/>
    <w:rsid w:val="00AD600E"/>
    <w:rsid w:val="00AE0F3E"/>
    <w:rsid w:val="00AE1158"/>
    <w:rsid w:val="00AE225F"/>
    <w:rsid w:val="00AE25F4"/>
    <w:rsid w:val="00AE2DFD"/>
    <w:rsid w:val="00AE38FD"/>
    <w:rsid w:val="00AE56D3"/>
    <w:rsid w:val="00AE5CC4"/>
    <w:rsid w:val="00AE5F87"/>
    <w:rsid w:val="00AE6930"/>
    <w:rsid w:val="00AE7422"/>
    <w:rsid w:val="00AE7C62"/>
    <w:rsid w:val="00AF06CF"/>
    <w:rsid w:val="00AF0F8F"/>
    <w:rsid w:val="00AF1722"/>
    <w:rsid w:val="00AF2E4D"/>
    <w:rsid w:val="00AF36DE"/>
    <w:rsid w:val="00AF37D5"/>
    <w:rsid w:val="00AF3A69"/>
    <w:rsid w:val="00AF4548"/>
    <w:rsid w:val="00AF5F48"/>
    <w:rsid w:val="00AF6D4B"/>
    <w:rsid w:val="00B011AA"/>
    <w:rsid w:val="00B056DB"/>
    <w:rsid w:val="00B05AD1"/>
    <w:rsid w:val="00B07CDB"/>
    <w:rsid w:val="00B10A7D"/>
    <w:rsid w:val="00B11CA5"/>
    <w:rsid w:val="00B139EA"/>
    <w:rsid w:val="00B161D4"/>
    <w:rsid w:val="00B1623F"/>
    <w:rsid w:val="00B16A31"/>
    <w:rsid w:val="00B17DFD"/>
    <w:rsid w:val="00B20AC4"/>
    <w:rsid w:val="00B232E3"/>
    <w:rsid w:val="00B25306"/>
    <w:rsid w:val="00B25562"/>
    <w:rsid w:val="00B27831"/>
    <w:rsid w:val="00B3030A"/>
    <w:rsid w:val="00B308FE"/>
    <w:rsid w:val="00B30EC4"/>
    <w:rsid w:val="00B31876"/>
    <w:rsid w:val="00B32237"/>
    <w:rsid w:val="00B32A7C"/>
    <w:rsid w:val="00B33709"/>
    <w:rsid w:val="00B33B3C"/>
    <w:rsid w:val="00B34C8A"/>
    <w:rsid w:val="00B358FC"/>
    <w:rsid w:val="00B36392"/>
    <w:rsid w:val="00B3753B"/>
    <w:rsid w:val="00B4092B"/>
    <w:rsid w:val="00B418CB"/>
    <w:rsid w:val="00B422C7"/>
    <w:rsid w:val="00B42513"/>
    <w:rsid w:val="00B43837"/>
    <w:rsid w:val="00B458C3"/>
    <w:rsid w:val="00B460F2"/>
    <w:rsid w:val="00B47444"/>
    <w:rsid w:val="00B50ADC"/>
    <w:rsid w:val="00B5312F"/>
    <w:rsid w:val="00B54E3E"/>
    <w:rsid w:val="00B554FE"/>
    <w:rsid w:val="00B566B1"/>
    <w:rsid w:val="00B56EBB"/>
    <w:rsid w:val="00B578FA"/>
    <w:rsid w:val="00B6086E"/>
    <w:rsid w:val="00B63834"/>
    <w:rsid w:val="00B6514E"/>
    <w:rsid w:val="00B674FC"/>
    <w:rsid w:val="00B70699"/>
    <w:rsid w:val="00B70C06"/>
    <w:rsid w:val="00B70E80"/>
    <w:rsid w:val="00B763D7"/>
    <w:rsid w:val="00B80199"/>
    <w:rsid w:val="00B8147C"/>
    <w:rsid w:val="00B8213B"/>
    <w:rsid w:val="00B82822"/>
    <w:rsid w:val="00B82A51"/>
    <w:rsid w:val="00B83204"/>
    <w:rsid w:val="00B83E00"/>
    <w:rsid w:val="00B853F5"/>
    <w:rsid w:val="00B85576"/>
    <w:rsid w:val="00B856E7"/>
    <w:rsid w:val="00B85A42"/>
    <w:rsid w:val="00B870F6"/>
    <w:rsid w:val="00B8772F"/>
    <w:rsid w:val="00B90625"/>
    <w:rsid w:val="00B92318"/>
    <w:rsid w:val="00B959AD"/>
    <w:rsid w:val="00B96667"/>
    <w:rsid w:val="00BA220B"/>
    <w:rsid w:val="00BA3A57"/>
    <w:rsid w:val="00BA53BB"/>
    <w:rsid w:val="00BA6F34"/>
    <w:rsid w:val="00BA78F7"/>
    <w:rsid w:val="00BA7C8C"/>
    <w:rsid w:val="00BB14E3"/>
    <w:rsid w:val="00BB1533"/>
    <w:rsid w:val="00BB4B0A"/>
    <w:rsid w:val="00BB4D4A"/>
    <w:rsid w:val="00BB4E1A"/>
    <w:rsid w:val="00BB5278"/>
    <w:rsid w:val="00BB5A11"/>
    <w:rsid w:val="00BB5FF5"/>
    <w:rsid w:val="00BB6134"/>
    <w:rsid w:val="00BC015E"/>
    <w:rsid w:val="00BC2914"/>
    <w:rsid w:val="00BC3EEB"/>
    <w:rsid w:val="00BC44B8"/>
    <w:rsid w:val="00BC76AC"/>
    <w:rsid w:val="00BC79B0"/>
    <w:rsid w:val="00BC7FDC"/>
    <w:rsid w:val="00BD067E"/>
    <w:rsid w:val="00BD0DF0"/>
    <w:rsid w:val="00BD0ECB"/>
    <w:rsid w:val="00BD472E"/>
    <w:rsid w:val="00BE04EB"/>
    <w:rsid w:val="00BE2155"/>
    <w:rsid w:val="00BE2695"/>
    <w:rsid w:val="00BE5252"/>
    <w:rsid w:val="00BE64B8"/>
    <w:rsid w:val="00BE6B65"/>
    <w:rsid w:val="00BE719A"/>
    <w:rsid w:val="00BE720A"/>
    <w:rsid w:val="00BF0D73"/>
    <w:rsid w:val="00BF2465"/>
    <w:rsid w:val="00BF4A01"/>
    <w:rsid w:val="00BF5070"/>
    <w:rsid w:val="00BF6709"/>
    <w:rsid w:val="00C033C5"/>
    <w:rsid w:val="00C03874"/>
    <w:rsid w:val="00C0602E"/>
    <w:rsid w:val="00C06724"/>
    <w:rsid w:val="00C06B27"/>
    <w:rsid w:val="00C10425"/>
    <w:rsid w:val="00C1136A"/>
    <w:rsid w:val="00C12B67"/>
    <w:rsid w:val="00C137FA"/>
    <w:rsid w:val="00C138E8"/>
    <w:rsid w:val="00C13AA2"/>
    <w:rsid w:val="00C16619"/>
    <w:rsid w:val="00C16E91"/>
    <w:rsid w:val="00C22269"/>
    <w:rsid w:val="00C23041"/>
    <w:rsid w:val="00C23FE5"/>
    <w:rsid w:val="00C242B5"/>
    <w:rsid w:val="00C249E7"/>
    <w:rsid w:val="00C25E7F"/>
    <w:rsid w:val="00C273D3"/>
    <w:rsid w:val="00C2746F"/>
    <w:rsid w:val="00C322AE"/>
    <w:rsid w:val="00C323D6"/>
    <w:rsid w:val="00C324A0"/>
    <w:rsid w:val="00C4072A"/>
    <w:rsid w:val="00C40E79"/>
    <w:rsid w:val="00C42301"/>
    <w:rsid w:val="00C42BF8"/>
    <w:rsid w:val="00C43312"/>
    <w:rsid w:val="00C4463B"/>
    <w:rsid w:val="00C46BF8"/>
    <w:rsid w:val="00C50043"/>
    <w:rsid w:val="00C50D1B"/>
    <w:rsid w:val="00C5152D"/>
    <w:rsid w:val="00C526F8"/>
    <w:rsid w:val="00C57059"/>
    <w:rsid w:val="00C5748F"/>
    <w:rsid w:val="00C57D32"/>
    <w:rsid w:val="00C62739"/>
    <w:rsid w:val="00C6362F"/>
    <w:rsid w:val="00C64B42"/>
    <w:rsid w:val="00C66667"/>
    <w:rsid w:val="00C755EA"/>
    <w:rsid w:val="00C7573B"/>
    <w:rsid w:val="00C823DB"/>
    <w:rsid w:val="00C87553"/>
    <w:rsid w:val="00C9377C"/>
    <w:rsid w:val="00C950EF"/>
    <w:rsid w:val="00C95B27"/>
    <w:rsid w:val="00C96B69"/>
    <w:rsid w:val="00C97A54"/>
    <w:rsid w:val="00CA0FBC"/>
    <w:rsid w:val="00CA1D2D"/>
    <w:rsid w:val="00CA350B"/>
    <w:rsid w:val="00CA5B23"/>
    <w:rsid w:val="00CA6D15"/>
    <w:rsid w:val="00CA7312"/>
    <w:rsid w:val="00CB1BF3"/>
    <w:rsid w:val="00CB2C05"/>
    <w:rsid w:val="00CB2C0C"/>
    <w:rsid w:val="00CB5874"/>
    <w:rsid w:val="00CB602E"/>
    <w:rsid w:val="00CB6EEB"/>
    <w:rsid w:val="00CB7E57"/>
    <w:rsid w:val="00CB7E90"/>
    <w:rsid w:val="00CC13BD"/>
    <w:rsid w:val="00CC1922"/>
    <w:rsid w:val="00CC1934"/>
    <w:rsid w:val="00CC1CCF"/>
    <w:rsid w:val="00CC66E8"/>
    <w:rsid w:val="00CC67C5"/>
    <w:rsid w:val="00CD31B2"/>
    <w:rsid w:val="00CD3DB3"/>
    <w:rsid w:val="00CD5DC0"/>
    <w:rsid w:val="00CE051D"/>
    <w:rsid w:val="00CE0804"/>
    <w:rsid w:val="00CE1335"/>
    <w:rsid w:val="00CE1FA8"/>
    <w:rsid w:val="00CE493D"/>
    <w:rsid w:val="00CE4B32"/>
    <w:rsid w:val="00CE57D6"/>
    <w:rsid w:val="00CE57DB"/>
    <w:rsid w:val="00CE66C9"/>
    <w:rsid w:val="00CE78FC"/>
    <w:rsid w:val="00CF07FA"/>
    <w:rsid w:val="00CF0BB2"/>
    <w:rsid w:val="00CF1CDC"/>
    <w:rsid w:val="00CF2A65"/>
    <w:rsid w:val="00CF3EE8"/>
    <w:rsid w:val="00CF62D0"/>
    <w:rsid w:val="00CF700F"/>
    <w:rsid w:val="00D007A3"/>
    <w:rsid w:val="00D00D43"/>
    <w:rsid w:val="00D0348E"/>
    <w:rsid w:val="00D03C01"/>
    <w:rsid w:val="00D05011"/>
    <w:rsid w:val="00D10158"/>
    <w:rsid w:val="00D10D87"/>
    <w:rsid w:val="00D124F3"/>
    <w:rsid w:val="00D13441"/>
    <w:rsid w:val="00D14FAD"/>
    <w:rsid w:val="00D150E7"/>
    <w:rsid w:val="00D15992"/>
    <w:rsid w:val="00D1758C"/>
    <w:rsid w:val="00D177EB"/>
    <w:rsid w:val="00D213B1"/>
    <w:rsid w:val="00D21DFB"/>
    <w:rsid w:val="00D21E29"/>
    <w:rsid w:val="00D235F0"/>
    <w:rsid w:val="00D236F8"/>
    <w:rsid w:val="00D25139"/>
    <w:rsid w:val="00D25A9D"/>
    <w:rsid w:val="00D26CB5"/>
    <w:rsid w:val="00D30A96"/>
    <w:rsid w:val="00D3321C"/>
    <w:rsid w:val="00D374E7"/>
    <w:rsid w:val="00D41301"/>
    <w:rsid w:val="00D414A6"/>
    <w:rsid w:val="00D41D37"/>
    <w:rsid w:val="00D4346D"/>
    <w:rsid w:val="00D45F9C"/>
    <w:rsid w:val="00D4653D"/>
    <w:rsid w:val="00D50727"/>
    <w:rsid w:val="00D514B9"/>
    <w:rsid w:val="00D51656"/>
    <w:rsid w:val="00D524B9"/>
    <w:rsid w:val="00D52DC2"/>
    <w:rsid w:val="00D53BCC"/>
    <w:rsid w:val="00D54C9E"/>
    <w:rsid w:val="00D55212"/>
    <w:rsid w:val="00D56BC4"/>
    <w:rsid w:val="00D56E82"/>
    <w:rsid w:val="00D5769F"/>
    <w:rsid w:val="00D6181B"/>
    <w:rsid w:val="00D6244C"/>
    <w:rsid w:val="00D62E2A"/>
    <w:rsid w:val="00D6454C"/>
    <w:rsid w:val="00D64832"/>
    <w:rsid w:val="00D6537E"/>
    <w:rsid w:val="00D6590B"/>
    <w:rsid w:val="00D668B7"/>
    <w:rsid w:val="00D70DFB"/>
    <w:rsid w:val="00D72840"/>
    <w:rsid w:val="00D766DF"/>
    <w:rsid w:val="00D770A0"/>
    <w:rsid w:val="00D77A4E"/>
    <w:rsid w:val="00D8206C"/>
    <w:rsid w:val="00D823F7"/>
    <w:rsid w:val="00D83F25"/>
    <w:rsid w:val="00D8565A"/>
    <w:rsid w:val="00D86176"/>
    <w:rsid w:val="00D87B82"/>
    <w:rsid w:val="00D9135A"/>
    <w:rsid w:val="00D91F10"/>
    <w:rsid w:val="00D93098"/>
    <w:rsid w:val="00D96DA2"/>
    <w:rsid w:val="00DA186E"/>
    <w:rsid w:val="00DA33F8"/>
    <w:rsid w:val="00DA3E25"/>
    <w:rsid w:val="00DA4116"/>
    <w:rsid w:val="00DA41A8"/>
    <w:rsid w:val="00DB12B5"/>
    <w:rsid w:val="00DB251C"/>
    <w:rsid w:val="00DB3893"/>
    <w:rsid w:val="00DB4630"/>
    <w:rsid w:val="00DC3884"/>
    <w:rsid w:val="00DC4F88"/>
    <w:rsid w:val="00DC6D47"/>
    <w:rsid w:val="00DC7027"/>
    <w:rsid w:val="00DD19D4"/>
    <w:rsid w:val="00DD6B16"/>
    <w:rsid w:val="00DE107C"/>
    <w:rsid w:val="00DE3B2A"/>
    <w:rsid w:val="00DE4FF7"/>
    <w:rsid w:val="00DF097F"/>
    <w:rsid w:val="00DF166F"/>
    <w:rsid w:val="00DF2388"/>
    <w:rsid w:val="00DF38AF"/>
    <w:rsid w:val="00DF3A88"/>
    <w:rsid w:val="00DF6804"/>
    <w:rsid w:val="00E008A0"/>
    <w:rsid w:val="00E05704"/>
    <w:rsid w:val="00E1149D"/>
    <w:rsid w:val="00E14BB4"/>
    <w:rsid w:val="00E15D22"/>
    <w:rsid w:val="00E200DD"/>
    <w:rsid w:val="00E20C8E"/>
    <w:rsid w:val="00E23AE0"/>
    <w:rsid w:val="00E3051A"/>
    <w:rsid w:val="00E31411"/>
    <w:rsid w:val="00E338EF"/>
    <w:rsid w:val="00E33F62"/>
    <w:rsid w:val="00E47B7C"/>
    <w:rsid w:val="00E47DC3"/>
    <w:rsid w:val="00E52FE9"/>
    <w:rsid w:val="00E544BB"/>
    <w:rsid w:val="00E54D75"/>
    <w:rsid w:val="00E631F6"/>
    <w:rsid w:val="00E64BA0"/>
    <w:rsid w:val="00E6633F"/>
    <w:rsid w:val="00E6712C"/>
    <w:rsid w:val="00E67741"/>
    <w:rsid w:val="00E711BF"/>
    <w:rsid w:val="00E74DC7"/>
    <w:rsid w:val="00E769AF"/>
    <w:rsid w:val="00E8075A"/>
    <w:rsid w:val="00E81B25"/>
    <w:rsid w:val="00E82B6D"/>
    <w:rsid w:val="00E845E2"/>
    <w:rsid w:val="00E85556"/>
    <w:rsid w:val="00E940D8"/>
    <w:rsid w:val="00E94D5E"/>
    <w:rsid w:val="00EA4C8A"/>
    <w:rsid w:val="00EA5C26"/>
    <w:rsid w:val="00EA6561"/>
    <w:rsid w:val="00EA7100"/>
    <w:rsid w:val="00EA7F9F"/>
    <w:rsid w:val="00EB1274"/>
    <w:rsid w:val="00EB1DA4"/>
    <w:rsid w:val="00EB4304"/>
    <w:rsid w:val="00EB5D2F"/>
    <w:rsid w:val="00EB5F12"/>
    <w:rsid w:val="00EC1074"/>
    <w:rsid w:val="00EC6BA4"/>
    <w:rsid w:val="00ED0270"/>
    <w:rsid w:val="00ED2BB6"/>
    <w:rsid w:val="00ED3057"/>
    <w:rsid w:val="00ED34E1"/>
    <w:rsid w:val="00ED3B8D"/>
    <w:rsid w:val="00ED4A1B"/>
    <w:rsid w:val="00EE5E36"/>
    <w:rsid w:val="00EE5EB7"/>
    <w:rsid w:val="00EE77F1"/>
    <w:rsid w:val="00EE7AD5"/>
    <w:rsid w:val="00EF2729"/>
    <w:rsid w:val="00EF2C28"/>
    <w:rsid w:val="00EF2E3A"/>
    <w:rsid w:val="00EF41A6"/>
    <w:rsid w:val="00EF44CE"/>
    <w:rsid w:val="00EF532F"/>
    <w:rsid w:val="00EF59C3"/>
    <w:rsid w:val="00F01F46"/>
    <w:rsid w:val="00F02992"/>
    <w:rsid w:val="00F02C7C"/>
    <w:rsid w:val="00F03393"/>
    <w:rsid w:val="00F03EA6"/>
    <w:rsid w:val="00F05877"/>
    <w:rsid w:val="00F05D17"/>
    <w:rsid w:val="00F07272"/>
    <w:rsid w:val="00F072A7"/>
    <w:rsid w:val="00F078DC"/>
    <w:rsid w:val="00F07C0B"/>
    <w:rsid w:val="00F07E51"/>
    <w:rsid w:val="00F11B28"/>
    <w:rsid w:val="00F123F3"/>
    <w:rsid w:val="00F14706"/>
    <w:rsid w:val="00F14CFC"/>
    <w:rsid w:val="00F21719"/>
    <w:rsid w:val="00F23CF3"/>
    <w:rsid w:val="00F2489E"/>
    <w:rsid w:val="00F27B83"/>
    <w:rsid w:val="00F304B2"/>
    <w:rsid w:val="00F30E97"/>
    <w:rsid w:val="00F31E3A"/>
    <w:rsid w:val="00F3206A"/>
    <w:rsid w:val="00F32A3F"/>
    <w:rsid w:val="00F32BA8"/>
    <w:rsid w:val="00F32EE0"/>
    <w:rsid w:val="00F3473C"/>
    <w:rsid w:val="00F349F1"/>
    <w:rsid w:val="00F35188"/>
    <w:rsid w:val="00F35B55"/>
    <w:rsid w:val="00F376EC"/>
    <w:rsid w:val="00F37F1F"/>
    <w:rsid w:val="00F41FD6"/>
    <w:rsid w:val="00F4350D"/>
    <w:rsid w:val="00F44D7A"/>
    <w:rsid w:val="00F45D11"/>
    <w:rsid w:val="00F479C4"/>
    <w:rsid w:val="00F51108"/>
    <w:rsid w:val="00F53BAA"/>
    <w:rsid w:val="00F54C72"/>
    <w:rsid w:val="00F55493"/>
    <w:rsid w:val="00F567F7"/>
    <w:rsid w:val="00F573B6"/>
    <w:rsid w:val="00F57693"/>
    <w:rsid w:val="00F62B1E"/>
    <w:rsid w:val="00F648BD"/>
    <w:rsid w:val="00F658FC"/>
    <w:rsid w:val="00F6696E"/>
    <w:rsid w:val="00F704E5"/>
    <w:rsid w:val="00F71134"/>
    <w:rsid w:val="00F72C60"/>
    <w:rsid w:val="00F73BD6"/>
    <w:rsid w:val="00F75CAA"/>
    <w:rsid w:val="00F76804"/>
    <w:rsid w:val="00F768A4"/>
    <w:rsid w:val="00F82BEA"/>
    <w:rsid w:val="00F83989"/>
    <w:rsid w:val="00F85099"/>
    <w:rsid w:val="00F85B06"/>
    <w:rsid w:val="00F86E35"/>
    <w:rsid w:val="00F8716C"/>
    <w:rsid w:val="00F87B80"/>
    <w:rsid w:val="00F9379C"/>
    <w:rsid w:val="00F95D1C"/>
    <w:rsid w:val="00F9632C"/>
    <w:rsid w:val="00FA0FCC"/>
    <w:rsid w:val="00FA1E52"/>
    <w:rsid w:val="00FA59E3"/>
    <w:rsid w:val="00FA7A98"/>
    <w:rsid w:val="00FB13C2"/>
    <w:rsid w:val="00FB1C8E"/>
    <w:rsid w:val="00FB1D93"/>
    <w:rsid w:val="00FB3CD3"/>
    <w:rsid w:val="00FB480F"/>
    <w:rsid w:val="00FB5A08"/>
    <w:rsid w:val="00FC04E8"/>
    <w:rsid w:val="00FC1425"/>
    <w:rsid w:val="00FC33F6"/>
    <w:rsid w:val="00FC6A80"/>
    <w:rsid w:val="00FD15EB"/>
    <w:rsid w:val="00FD1A42"/>
    <w:rsid w:val="00FD52EF"/>
    <w:rsid w:val="00FD6CC5"/>
    <w:rsid w:val="00FE2851"/>
    <w:rsid w:val="00FE4688"/>
    <w:rsid w:val="00FE4AF5"/>
    <w:rsid w:val="00FE5845"/>
    <w:rsid w:val="00FE64CF"/>
    <w:rsid w:val="00FE6765"/>
    <w:rsid w:val="00FF0E36"/>
    <w:rsid w:val="00FF1C10"/>
    <w:rsid w:val="00FF2572"/>
    <w:rsid w:val="00FF339F"/>
    <w:rsid w:val="00FF4A7D"/>
    <w:rsid w:val="00FF5704"/>
    <w:rsid w:val="00FF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C3A9B"/>
  <w15:docId w15:val="{BFDFB2E8-1FA1-4E84-B9C1-1A18C0C3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190CDF"/>
    <w:pPr>
      <w:ind w:left="720"/>
      <w:contextualSpacing/>
    </w:pPr>
  </w:style>
  <w:style w:type="character" w:styleId="CommentReference">
    <w:name w:val="annotation reference"/>
    <w:basedOn w:val="DefaultParagraphFont"/>
    <w:uiPriority w:val="99"/>
    <w:semiHidden/>
    <w:unhideWhenUsed/>
    <w:rsid w:val="00E47DC3"/>
    <w:rPr>
      <w:sz w:val="16"/>
      <w:szCs w:val="16"/>
    </w:rPr>
  </w:style>
  <w:style w:type="paragraph" w:styleId="CommentText">
    <w:name w:val="annotation text"/>
    <w:basedOn w:val="Normal"/>
    <w:link w:val="CommentTextChar"/>
    <w:uiPriority w:val="99"/>
    <w:unhideWhenUsed/>
    <w:rsid w:val="00E47DC3"/>
    <w:pPr>
      <w:spacing w:line="240" w:lineRule="auto"/>
    </w:pPr>
    <w:rPr>
      <w:sz w:val="20"/>
    </w:rPr>
  </w:style>
  <w:style w:type="character" w:customStyle="1" w:styleId="CommentTextChar">
    <w:name w:val="Comment Text Char"/>
    <w:basedOn w:val="DefaultParagraphFont"/>
    <w:link w:val="CommentText"/>
    <w:uiPriority w:val="99"/>
    <w:rsid w:val="00E47DC3"/>
  </w:style>
  <w:style w:type="paragraph" w:styleId="CommentSubject">
    <w:name w:val="annotation subject"/>
    <w:basedOn w:val="CommentText"/>
    <w:next w:val="CommentText"/>
    <w:link w:val="CommentSubjectChar"/>
    <w:uiPriority w:val="99"/>
    <w:semiHidden/>
    <w:unhideWhenUsed/>
    <w:rsid w:val="00E47DC3"/>
    <w:rPr>
      <w:b/>
      <w:bCs/>
    </w:rPr>
  </w:style>
  <w:style w:type="character" w:customStyle="1" w:styleId="CommentSubjectChar">
    <w:name w:val="Comment Subject Char"/>
    <w:basedOn w:val="CommentTextChar"/>
    <w:link w:val="CommentSubject"/>
    <w:uiPriority w:val="99"/>
    <w:semiHidden/>
    <w:rsid w:val="00E47DC3"/>
    <w:rPr>
      <w:b/>
      <w:bCs/>
    </w:rPr>
  </w:style>
  <w:style w:type="paragraph" w:styleId="Revision">
    <w:name w:val="Revision"/>
    <w:hidden/>
    <w:uiPriority w:val="99"/>
    <w:semiHidden/>
    <w:rsid w:val="00E47DC3"/>
    <w:rPr>
      <w:sz w:val="22"/>
    </w:rPr>
  </w:style>
  <w:style w:type="character" w:styleId="Hyperlink">
    <w:name w:val="Hyperlink"/>
    <w:basedOn w:val="DefaultParagraphFont"/>
    <w:rsid w:val="00AC39D0"/>
    <w:rPr>
      <w:color w:val="0000FF"/>
      <w:u w:val="single"/>
    </w:rPr>
  </w:style>
  <w:style w:type="character" w:styleId="FollowedHyperlink">
    <w:name w:val="FollowedHyperlink"/>
    <w:basedOn w:val="DefaultParagraphFont"/>
    <w:uiPriority w:val="99"/>
    <w:semiHidden/>
    <w:unhideWhenUsed/>
    <w:rsid w:val="004949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485">
      <w:bodyDiv w:val="1"/>
      <w:marLeft w:val="0"/>
      <w:marRight w:val="0"/>
      <w:marTop w:val="0"/>
      <w:marBottom w:val="0"/>
      <w:divBdr>
        <w:top w:val="none" w:sz="0" w:space="0" w:color="auto"/>
        <w:left w:val="none" w:sz="0" w:space="0" w:color="auto"/>
        <w:bottom w:val="none" w:sz="0" w:space="0" w:color="auto"/>
        <w:right w:val="none" w:sz="0" w:space="0" w:color="auto"/>
      </w:divBdr>
    </w:div>
    <w:div w:id="169879210">
      <w:bodyDiv w:val="1"/>
      <w:marLeft w:val="0"/>
      <w:marRight w:val="0"/>
      <w:marTop w:val="0"/>
      <w:marBottom w:val="0"/>
      <w:divBdr>
        <w:top w:val="none" w:sz="0" w:space="0" w:color="auto"/>
        <w:left w:val="none" w:sz="0" w:space="0" w:color="auto"/>
        <w:bottom w:val="none" w:sz="0" w:space="0" w:color="auto"/>
        <w:right w:val="none" w:sz="0" w:space="0" w:color="auto"/>
      </w:divBdr>
    </w:div>
    <w:div w:id="193931277">
      <w:bodyDiv w:val="1"/>
      <w:marLeft w:val="0"/>
      <w:marRight w:val="0"/>
      <w:marTop w:val="0"/>
      <w:marBottom w:val="0"/>
      <w:divBdr>
        <w:top w:val="none" w:sz="0" w:space="0" w:color="auto"/>
        <w:left w:val="none" w:sz="0" w:space="0" w:color="auto"/>
        <w:bottom w:val="none" w:sz="0" w:space="0" w:color="auto"/>
        <w:right w:val="none" w:sz="0" w:space="0" w:color="auto"/>
      </w:divBdr>
    </w:div>
    <w:div w:id="212665915">
      <w:bodyDiv w:val="1"/>
      <w:marLeft w:val="0"/>
      <w:marRight w:val="0"/>
      <w:marTop w:val="0"/>
      <w:marBottom w:val="0"/>
      <w:divBdr>
        <w:top w:val="none" w:sz="0" w:space="0" w:color="auto"/>
        <w:left w:val="none" w:sz="0" w:space="0" w:color="auto"/>
        <w:bottom w:val="none" w:sz="0" w:space="0" w:color="auto"/>
        <w:right w:val="none" w:sz="0" w:space="0" w:color="auto"/>
      </w:divBdr>
    </w:div>
    <w:div w:id="230889454">
      <w:bodyDiv w:val="1"/>
      <w:marLeft w:val="0"/>
      <w:marRight w:val="0"/>
      <w:marTop w:val="0"/>
      <w:marBottom w:val="0"/>
      <w:divBdr>
        <w:top w:val="none" w:sz="0" w:space="0" w:color="auto"/>
        <w:left w:val="none" w:sz="0" w:space="0" w:color="auto"/>
        <w:bottom w:val="none" w:sz="0" w:space="0" w:color="auto"/>
        <w:right w:val="none" w:sz="0" w:space="0" w:color="auto"/>
      </w:divBdr>
    </w:div>
    <w:div w:id="236403635">
      <w:bodyDiv w:val="1"/>
      <w:marLeft w:val="0"/>
      <w:marRight w:val="0"/>
      <w:marTop w:val="0"/>
      <w:marBottom w:val="0"/>
      <w:divBdr>
        <w:top w:val="none" w:sz="0" w:space="0" w:color="auto"/>
        <w:left w:val="none" w:sz="0" w:space="0" w:color="auto"/>
        <w:bottom w:val="none" w:sz="0" w:space="0" w:color="auto"/>
        <w:right w:val="none" w:sz="0" w:space="0" w:color="auto"/>
      </w:divBdr>
    </w:div>
    <w:div w:id="337388326">
      <w:bodyDiv w:val="1"/>
      <w:marLeft w:val="0"/>
      <w:marRight w:val="0"/>
      <w:marTop w:val="0"/>
      <w:marBottom w:val="0"/>
      <w:divBdr>
        <w:top w:val="none" w:sz="0" w:space="0" w:color="auto"/>
        <w:left w:val="none" w:sz="0" w:space="0" w:color="auto"/>
        <w:bottom w:val="none" w:sz="0" w:space="0" w:color="auto"/>
        <w:right w:val="none" w:sz="0" w:space="0" w:color="auto"/>
      </w:divBdr>
    </w:div>
    <w:div w:id="354356214">
      <w:bodyDiv w:val="1"/>
      <w:marLeft w:val="0"/>
      <w:marRight w:val="0"/>
      <w:marTop w:val="0"/>
      <w:marBottom w:val="0"/>
      <w:divBdr>
        <w:top w:val="none" w:sz="0" w:space="0" w:color="auto"/>
        <w:left w:val="none" w:sz="0" w:space="0" w:color="auto"/>
        <w:bottom w:val="none" w:sz="0" w:space="0" w:color="auto"/>
        <w:right w:val="none" w:sz="0" w:space="0" w:color="auto"/>
      </w:divBdr>
    </w:div>
    <w:div w:id="381289958">
      <w:bodyDiv w:val="1"/>
      <w:marLeft w:val="0"/>
      <w:marRight w:val="0"/>
      <w:marTop w:val="0"/>
      <w:marBottom w:val="0"/>
      <w:divBdr>
        <w:top w:val="none" w:sz="0" w:space="0" w:color="auto"/>
        <w:left w:val="none" w:sz="0" w:space="0" w:color="auto"/>
        <w:bottom w:val="none" w:sz="0" w:space="0" w:color="auto"/>
        <w:right w:val="none" w:sz="0" w:space="0" w:color="auto"/>
      </w:divBdr>
    </w:div>
    <w:div w:id="564755923">
      <w:bodyDiv w:val="1"/>
      <w:marLeft w:val="0"/>
      <w:marRight w:val="0"/>
      <w:marTop w:val="0"/>
      <w:marBottom w:val="0"/>
      <w:divBdr>
        <w:top w:val="none" w:sz="0" w:space="0" w:color="auto"/>
        <w:left w:val="none" w:sz="0" w:space="0" w:color="auto"/>
        <w:bottom w:val="none" w:sz="0" w:space="0" w:color="auto"/>
        <w:right w:val="none" w:sz="0" w:space="0" w:color="auto"/>
      </w:divBdr>
      <w:divsChild>
        <w:div w:id="1622376444">
          <w:marLeft w:val="0"/>
          <w:marRight w:val="0"/>
          <w:marTop w:val="0"/>
          <w:marBottom w:val="0"/>
          <w:divBdr>
            <w:top w:val="none" w:sz="0" w:space="0" w:color="auto"/>
            <w:left w:val="none" w:sz="0" w:space="0" w:color="auto"/>
            <w:bottom w:val="none" w:sz="0" w:space="0" w:color="auto"/>
            <w:right w:val="none" w:sz="0" w:space="0" w:color="auto"/>
          </w:divBdr>
          <w:divsChild>
            <w:div w:id="1665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4787">
      <w:bodyDiv w:val="1"/>
      <w:marLeft w:val="0"/>
      <w:marRight w:val="0"/>
      <w:marTop w:val="0"/>
      <w:marBottom w:val="0"/>
      <w:divBdr>
        <w:top w:val="none" w:sz="0" w:space="0" w:color="auto"/>
        <w:left w:val="none" w:sz="0" w:space="0" w:color="auto"/>
        <w:bottom w:val="none" w:sz="0" w:space="0" w:color="auto"/>
        <w:right w:val="none" w:sz="0" w:space="0" w:color="auto"/>
      </w:divBdr>
    </w:div>
    <w:div w:id="651645287">
      <w:bodyDiv w:val="1"/>
      <w:marLeft w:val="0"/>
      <w:marRight w:val="0"/>
      <w:marTop w:val="0"/>
      <w:marBottom w:val="0"/>
      <w:divBdr>
        <w:top w:val="none" w:sz="0" w:space="0" w:color="auto"/>
        <w:left w:val="none" w:sz="0" w:space="0" w:color="auto"/>
        <w:bottom w:val="none" w:sz="0" w:space="0" w:color="auto"/>
        <w:right w:val="none" w:sz="0" w:space="0" w:color="auto"/>
      </w:divBdr>
    </w:div>
    <w:div w:id="670106429">
      <w:bodyDiv w:val="1"/>
      <w:marLeft w:val="0"/>
      <w:marRight w:val="0"/>
      <w:marTop w:val="0"/>
      <w:marBottom w:val="0"/>
      <w:divBdr>
        <w:top w:val="none" w:sz="0" w:space="0" w:color="auto"/>
        <w:left w:val="none" w:sz="0" w:space="0" w:color="auto"/>
        <w:bottom w:val="none" w:sz="0" w:space="0" w:color="auto"/>
        <w:right w:val="none" w:sz="0" w:space="0" w:color="auto"/>
      </w:divBdr>
    </w:div>
    <w:div w:id="705953828">
      <w:bodyDiv w:val="1"/>
      <w:marLeft w:val="0"/>
      <w:marRight w:val="0"/>
      <w:marTop w:val="0"/>
      <w:marBottom w:val="0"/>
      <w:divBdr>
        <w:top w:val="none" w:sz="0" w:space="0" w:color="auto"/>
        <w:left w:val="none" w:sz="0" w:space="0" w:color="auto"/>
        <w:bottom w:val="none" w:sz="0" w:space="0" w:color="auto"/>
        <w:right w:val="none" w:sz="0" w:space="0" w:color="auto"/>
      </w:divBdr>
    </w:div>
    <w:div w:id="706031413">
      <w:bodyDiv w:val="1"/>
      <w:marLeft w:val="0"/>
      <w:marRight w:val="0"/>
      <w:marTop w:val="0"/>
      <w:marBottom w:val="0"/>
      <w:divBdr>
        <w:top w:val="none" w:sz="0" w:space="0" w:color="auto"/>
        <w:left w:val="none" w:sz="0" w:space="0" w:color="auto"/>
        <w:bottom w:val="none" w:sz="0" w:space="0" w:color="auto"/>
        <w:right w:val="none" w:sz="0" w:space="0" w:color="auto"/>
      </w:divBdr>
    </w:div>
    <w:div w:id="713384932">
      <w:bodyDiv w:val="1"/>
      <w:marLeft w:val="0"/>
      <w:marRight w:val="0"/>
      <w:marTop w:val="0"/>
      <w:marBottom w:val="0"/>
      <w:divBdr>
        <w:top w:val="none" w:sz="0" w:space="0" w:color="auto"/>
        <w:left w:val="none" w:sz="0" w:space="0" w:color="auto"/>
        <w:bottom w:val="none" w:sz="0" w:space="0" w:color="auto"/>
        <w:right w:val="none" w:sz="0" w:space="0" w:color="auto"/>
      </w:divBdr>
    </w:div>
    <w:div w:id="772357140">
      <w:bodyDiv w:val="1"/>
      <w:marLeft w:val="0"/>
      <w:marRight w:val="0"/>
      <w:marTop w:val="0"/>
      <w:marBottom w:val="0"/>
      <w:divBdr>
        <w:top w:val="none" w:sz="0" w:space="0" w:color="auto"/>
        <w:left w:val="none" w:sz="0" w:space="0" w:color="auto"/>
        <w:bottom w:val="none" w:sz="0" w:space="0" w:color="auto"/>
        <w:right w:val="none" w:sz="0" w:space="0" w:color="auto"/>
      </w:divBdr>
    </w:div>
    <w:div w:id="805198502">
      <w:bodyDiv w:val="1"/>
      <w:marLeft w:val="0"/>
      <w:marRight w:val="0"/>
      <w:marTop w:val="0"/>
      <w:marBottom w:val="0"/>
      <w:divBdr>
        <w:top w:val="none" w:sz="0" w:space="0" w:color="auto"/>
        <w:left w:val="none" w:sz="0" w:space="0" w:color="auto"/>
        <w:bottom w:val="none" w:sz="0" w:space="0" w:color="auto"/>
        <w:right w:val="none" w:sz="0" w:space="0" w:color="auto"/>
      </w:divBdr>
    </w:div>
    <w:div w:id="815953399">
      <w:bodyDiv w:val="1"/>
      <w:marLeft w:val="0"/>
      <w:marRight w:val="0"/>
      <w:marTop w:val="0"/>
      <w:marBottom w:val="0"/>
      <w:divBdr>
        <w:top w:val="none" w:sz="0" w:space="0" w:color="auto"/>
        <w:left w:val="none" w:sz="0" w:space="0" w:color="auto"/>
        <w:bottom w:val="none" w:sz="0" w:space="0" w:color="auto"/>
        <w:right w:val="none" w:sz="0" w:space="0" w:color="auto"/>
      </w:divBdr>
    </w:div>
    <w:div w:id="900482771">
      <w:bodyDiv w:val="1"/>
      <w:marLeft w:val="0"/>
      <w:marRight w:val="0"/>
      <w:marTop w:val="0"/>
      <w:marBottom w:val="0"/>
      <w:divBdr>
        <w:top w:val="none" w:sz="0" w:space="0" w:color="auto"/>
        <w:left w:val="none" w:sz="0" w:space="0" w:color="auto"/>
        <w:bottom w:val="none" w:sz="0" w:space="0" w:color="auto"/>
        <w:right w:val="none" w:sz="0" w:space="0" w:color="auto"/>
      </w:divBdr>
    </w:div>
    <w:div w:id="906377912">
      <w:bodyDiv w:val="1"/>
      <w:marLeft w:val="0"/>
      <w:marRight w:val="0"/>
      <w:marTop w:val="0"/>
      <w:marBottom w:val="0"/>
      <w:divBdr>
        <w:top w:val="none" w:sz="0" w:space="0" w:color="auto"/>
        <w:left w:val="none" w:sz="0" w:space="0" w:color="auto"/>
        <w:bottom w:val="none" w:sz="0" w:space="0" w:color="auto"/>
        <w:right w:val="none" w:sz="0" w:space="0" w:color="auto"/>
      </w:divBdr>
    </w:div>
    <w:div w:id="908660647">
      <w:bodyDiv w:val="1"/>
      <w:marLeft w:val="0"/>
      <w:marRight w:val="0"/>
      <w:marTop w:val="0"/>
      <w:marBottom w:val="0"/>
      <w:divBdr>
        <w:top w:val="none" w:sz="0" w:space="0" w:color="auto"/>
        <w:left w:val="none" w:sz="0" w:space="0" w:color="auto"/>
        <w:bottom w:val="none" w:sz="0" w:space="0" w:color="auto"/>
        <w:right w:val="none" w:sz="0" w:space="0" w:color="auto"/>
      </w:divBdr>
    </w:div>
    <w:div w:id="921571641">
      <w:bodyDiv w:val="1"/>
      <w:marLeft w:val="0"/>
      <w:marRight w:val="0"/>
      <w:marTop w:val="0"/>
      <w:marBottom w:val="0"/>
      <w:divBdr>
        <w:top w:val="none" w:sz="0" w:space="0" w:color="auto"/>
        <w:left w:val="none" w:sz="0" w:space="0" w:color="auto"/>
        <w:bottom w:val="none" w:sz="0" w:space="0" w:color="auto"/>
        <w:right w:val="none" w:sz="0" w:space="0" w:color="auto"/>
      </w:divBdr>
    </w:div>
    <w:div w:id="943876282">
      <w:bodyDiv w:val="1"/>
      <w:marLeft w:val="0"/>
      <w:marRight w:val="0"/>
      <w:marTop w:val="0"/>
      <w:marBottom w:val="0"/>
      <w:divBdr>
        <w:top w:val="none" w:sz="0" w:space="0" w:color="auto"/>
        <w:left w:val="none" w:sz="0" w:space="0" w:color="auto"/>
        <w:bottom w:val="none" w:sz="0" w:space="0" w:color="auto"/>
        <w:right w:val="none" w:sz="0" w:space="0" w:color="auto"/>
      </w:divBdr>
      <w:divsChild>
        <w:div w:id="1899974109">
          <w:marLeft w:val="0"/>
          <w:marRight w:val="0"/>
          <w:marTop w:val="0"/>
          <w:marBottom w:val="0"/>
          <w:divBdr>
            <w:top w:val="none" w:sz="0" w:space="0" w:color="auto"/>
            <w:left w:val="none" w:sz="0" w:space="0" w:color="auto"/>
            <w:bottom w:val="none" w:sz="0" w:space="0" w:color="auto"/>
            <w:right w:val="none" w:sz="0" w:space="0" w:color="auto"/>
          </w:divBdr>
          <w:divsChild>
            <w:div w:id="20438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3979">
      <w:bodyDiv w:val="1"/>
      <w:marLeft w:val="0"/>
      <w:marRight w:val="0"/>
      <w:marTop w:val="0"/>
      <w:marBottom w:val="0"/>
      <w:divBdr>
        <w:top w:val="none" w:sz="0" w:space="0" w:color="auto"/>
        <w:left w:val="none" w:sz="0" w:space="0" w:color="auto"/>
        <w:bottom w:val="none" w:sz="0" w:space="0" w:color="auto"/>
        <w:right w:val="none" w:sz="0" w:space="0" w:color="auto"/>
      </w:divBdr>
    </w:div>
    <w:div w:id="1013461263">
      <w:bodyDiv w:val="1"/>
      <w:marLeft w:val="0"/>
      <w:marRight w:val="0"/>
      <w:marTop w:val="0"/>
      <w:marBottom w:val="0"/>
      <w:divBdr>
        <w:top w:val="none" w:sz="0" w:space="0" w:color="auto"/>
        <w:left w:val="none" w:sz="0" w:space="0" w:color="auto"/>
        <w:bottom w:val="none" w:sz="0" w:space="0" w:color="auto"/>
        <w:right w:val="none" w:sz="0" w:space="0" w:color="auto"/>
      </w:divBdr>
    </w:div>
    <w:div w:id="1181702729">
      <w:bodyDiv w:val="1"/>
      <w:marLeft w:val="0"/>
      <w:marRight w:val="0"/>
      <w:marTop w:val="0"/>
      <w:marBottom w:val="0"/>
      <w:divBdr>
        <w:top w:val="none" w:sz="0" w:space="0" w:color="auto"/>
        <w:left w:val="none" w:sz="0" w:space="0" w:color="auto"/>
        <w:bottom w:val="none" w:sz="0" w:space="0" w:color="auto"/>
        <w:right w:val="none" w:sz="0" w:space="0" w:color="auto"/>
      </w:divBdr>
    </w:div>
    <w:div w:id="1229531381">
      <w:bodyDiv w:val="1"/>
      <w:marLeft w:val="0"/>
      <w:marRight w:val="0"/>
      <w:marTop w:val="0"/>
      <w:marBottom w:val="0"/>
      <w:divBdr>
        <w:top w:val="none" w:sz="0" w:space="0" w:color="auto"/>
        <w:left w:val="none" w:sz="0" w:space="0" w:color="auto"/>
        <w:bottom w:val="none" w:sz="0" w:space="0" w:color="auto"/>
        <w:right w:val="none" w:sz="0" w:space="0" w:color="auto"/>
      </w:divBdr>
    </w:div>
    <w:div w:id="1333264466">
      <w:bodyDiv w:val="1"/>
      <w:marLeft w:val="0"/>
      <w:marRight w:val="0"/>
      <w:marTop w:val="0"/>
      <w:marBottom w:val="0"/>
      <w:divBdr>
        <w:top w:val="none" w:sz="0" w:space="0" w:color="auto"/>
        <w:left w:val="none" w:sz="0" w:space="0" w:color="auto"/>
        <w:bottom w:val="none" w:sz="0" w:space="0" w:color="auto"/>
        <w:right w:val="none" w:sz="0" w:space="0" w:color="auto"/>
      </w:divBdr>
    </w:div>
    <w:div w:id="1402097413">
      <w:bodyDiv w:val="1"/>
      <w:marLeft w:val="0"/>
      <w:marRight w:val="0"/>
      <w:marTop w:val="0"/>
      <w:marBottom w:val="0"/>
      <w:divBdr>
        <w:top w:val="none" w:sz="0" w:space="0" w:color="auto"/>
        <w:left w:val="none" w:sz="0" w:space="0" w:color="auto"/>
        <w:bottom w:val="none" w:sz="0" w:space="0" w:color="auto"/>
        <w:right w:val="none" w:sz="0" w:space="0" w:color="auto"/>
      </w:divBdr>
    </w:div>
    <w:div w:id="1431241813">
      <w:bodyDiv w:val="1"/>
      <w:marLeft w:val="0"/>
      <w:marRight w:val="0"/>
      <w:marTop w:val="0"/>
      <w:marBottom w:val="0"/>
      <w:divBdr>
        <w:top w:val="none" w:sz="0" w:space="0" w:color="auto"/>
        <w:left w:val="none" w:sz="0" w:space="0" w:color="auto"/>
        <w:bottom w:val="none" w:sz="0" w:space="0" w:color="auto"/>
        <w:right w:val="none" w:sz="0" w:space="0" w:color="auto"/>
      </w:divBdr>
    </w:div>
    <w:div w:id="1433554765">
      <w:bodyDiv w:val="1"/>
      <w:marLeft w:val="0"/>
      <w:marRight w:val="0"/>
      <w:marTop w:val="0"/>
      <w:marBottom w:val="0"/>
      <w:divBdr>
        <w:top w:val="none" w:sz="0" w:space="0" w:color="auto"/>
        <w:left w:val="none" w:sz="0" w:space="0" w:color="auto"/>
        <w:bottom w:val="none" w:sz="0" w:space="0" w:color="auto"/>
        <w:right w:val="none" w:sz="0" w:space="0" w:color="auto"/>
      </w:divBdr>
    </w:div>
    <w:div w:id="1440678267">
      <w:bodyDiv w:val="1"/>
      <w:marLeft w:val="0"/>
      <w:marRight w:val="0"/>
      <w:marTop w:val="0"/>
      <w:marBottom w:val="0"/>
      <w:divBdr>
        <w:top w:val="none" w:sz="0" w:space="0" w:color="auto"/>
        <w:left w:val="none" w:sz="0" w:space="0" w:color="auto"/>
        <w:bottom w:val="none" w:sz="0" w:space="0" w:color="auto"/>
        <w:right w:val="none" w:sz="0" w:space="0" w:color="auto"/>
      </w:divBdr>
    </w:div>
    <w:div w:id="1476026444">
      <w:bodyDiv w:val="1"/>
      <w:marLeft w:val="0"/>
      <w:marRight w:val="0"/>
      <w:marTop w:val="0"/>
      <w:marBottom w:val="0"/>
      <w:divBdr>
        <w:top w:val="none" w:sz="0" w:space="0" w:color="auto"/>
        <w:left w:val="none" w:sz="0" w:space="0" w:color="auto"/>
        <w:bottom w:val="none" w:sz="0" w:space="0" w:color="auto"/>
        <w:right w:val="none" w:sz="0" w:space="0" w:color="auto"/>
      </w:divBdr>
    </w:div>
    <w:div w:id="1608731166">
      <w:bodyDiv w:val="1"/>
      <w:marLeft w:val="0"/>
      <w:marRight w:val="0"/>
      <w:marTop w:val="0"/>
      <w:marBottom w:val="0"/>
      <w:divBdr>
        <w:top w:val="none" w:sz="0" w:space="0" w:color="auto"/>
        <w:left w:val="none" w:sz="0" w:space="0" w:color="auto"/>
        <w:bottom w:val="none" w:sz="0" w:space="0" w:color="auto"/>
        <w:right w:val="none" w:sz="0" w:space="0" w:color="auto"/>
      </w:divBdr>
    </w:div>
    <w:div w:id="1614093214">
      <w:bodyDiv w:val="1"/>
      <w:marLeft w:val="0"/>
      <w:marRight w:val="0"/>
      <w:marTop w:val="0"/>
      <w:marBottom w:val="0"/>
      <w:divBdr>
        <w:top w:val="none" w:sz="0" w:space="0" w:color="auto"/>
        <w:left w:val="none" w:sz="0" w:space="0" w:color="auto"/>
        <w:bottom w:val="none" w:sz="0" w:space="0" w:color="auto"/>
        <w:right w:val="none" w:sz="0" w:space="0" w:color="auto"/>
      </w:divBdr>
    </w:div>
    <w:div w:id="1649093112">
      <w:bodyDiv w:val="1"/>
      <w:marLeft w:val="0"/>
      <w:marRight w:val="0"/>
      <w:marTop w:val="0"/>
      <w:marBottom w:val="0"/>
      <w:divBdr>
        <w:top w:val="none" w:sz="0" w:space="0" w:color="auto"/>
        <w:left w:val="none" w:sz="0" w:space="0" w:color="auto"/>
        <w:bottom w:val="none" w:sz="0" w:space="0" w:color="auto"/>
        <w:right w:val="none" w:sz="0" w:space="0" w:color="auto"/>
      </w:divBdr>
    </w:div>
    <w:div w:id="1757896376">
      <w:bodyDiv w:val="1"/>
      <w:marLeft w:val="0"/>
      <w:marRight w:val="0"/>
      <w:marTop w:val="0"/>
      <w:marBottom w:val="0"/>
      <w:divBdr>
        <w:top w:val="none" w:sz="0" w:space="0" w:color="auto"/>
        <w:left w:val="none" w:sz="0" w:space="0" w:color="auto"/>
        <w:bottom w:val="none" w:sz="0" w:space="0" w:color="auto"/>
        <w:right w:val="none" w:sz="0" w:space="0" w:color="auto"/>
      </w:divBdr>
    </w:div>
    <w:div w:id="1853564529">
      <w:bodyDiv w:val="1"/>
      <w:marLeft w:val="0"/>
      <w:marRight w:val="0"/>
      <w:marTop w:val="0"/>
      <w:marBottom w:val="0"/>
      <w:divBdr>
        <w:top w:val="none" w:sz="0" w:space="0" w:color="auto"/>
        <w:left w:val="none" w:sz="0" w:space="0" w:color="auto"/>
        <w:bottom w:val="none" w:sz="0" w:space="0" w:color="auto"/>
        <w:right w:val="none" w:sz="0" w:space="0" w:color="auto"/>
      </w:divBdr>
    </w:div>
    <w:div w:id="1889997362">
      <w:bodyDiv w:val="1"/>
      <w:marLeft w:val="0"/>
      <w:marRight w:val="0"/>
      <w:marTop w:val="0"/>
      <w:marBottom w:val="0"/>
      <w:divBdr>
        <w:top w:val="none" w:sz="0" w:space="0" w:color="auto"/>
        <w:left w:val="none" w:sz="0" w:space="0" w:color="auto"/>
        <w:bottom w:val="none" w:sz="0" w:space="0" w:color="auto"/>
        <w:right w:val="none" w:sz="0" w:space="0" w:color="auto"/>
      </w:divBdr>
    </w:div>
    <w:div w:id="1904440321">
      <w:bodyDiv w:val="1"/>
      <w:marLeft w:val="0"/>
      <w:marRight w:val="0"/>
      <w:marTop w:val="0"/>
      <w:marBottom w:val="0"/>
      <w:divBdr>
        <w:top w:val="none" w:sz="0" w:space="0" w:color="auto"/>
        <w:left w:val="none" w:sz="0" w:space="0" w:color="auto"/>
        <w:bottom w:val="none" w:sz="0" w:space="0" w:color="auto"/>
        <w:right w:val="none" w:sz="0" w:space="0" w:color="auto"/>
      </w:divBdr>
    </w:div>
    <w:div w:id="1921211695">
      <w:bodyDiv w:val="1"/>
      <w:marLeft w:val="0"/>
      <w:marRight w:val="0"/>
      <w:marTop w:val="0"/>
      <w:marBottom w:val="0"/>
      <w:divBdr>
        <w:top w:val="none" w:sz="0" w:space="0" w:color="auto"/>
        <w:left w:val="none" w:sz="0" w:space="0" w:color="auto"/>
        <w:bottom w:val="none" w:sz="0" w:space="0" w:color="auto"/>
        <w:right w:val="none" w:sz="0" w:space="0" w:color="auto"/>
      </w:divBdr>
    </w:div>
    <w:div w:id="1926374354">
      <w:bodyDiv w:val="1"/>
      <w:marLeft w:val="0"/>
      <w:marRight w:val="0"/>
      <w:marTop w:val="0"/>
      <w:marBottom w:val="0"/>
      <w:divBdr>
        <w:top w:val="none" w:sz="0" w:space="0" w:color="auto"/>
        <w:left w:val="none" w:sz="0" w:space="0" w:color="auto"/>
        <w:bottom w:val="none" w:sz="0" w:space="0" w:color="auto"/>
        <w:right w:val="none" w:sz="0" w:space="0" w:color="auto"/>
      </w:divBdr>
    </w:div>
    <w:div w:id="1950578387">
      <w:bodyDiv w:val="1"/>
      <w:marLeft w:val="0"/>
      <w:marRight w:val="0"/>
      <w:marTop w:val="0"/>
      <w:marBottom w:val="0"/>
      <w:divBdr>
        <w:top w:val="none" w:sz="0" w:space="0" w:color="auto"/>
        <w:left w:val="none" w:sz="0" w:space="0" w:color="auto"/>
        <w:bottom w:val="none" w:sz="0" w:space="0" w:color="auto"/>
        <w:right w:val="none" w:sz="0" w:space="0" w:color="auto"/>
      </w:divBdr>
    </w:div>
    <w:div w:id="2039155538">
      <w:bodyDiv w:val="1"/>
      <w:marLeft w:val="0"/>
      <w:marRight w:val="0"/>
      <w:marTop w:val="0"/>
      <w:marBottom w:val="0"/>
      <w:divBdr>
        <w:top w:val="none" w:sz="0" w:space="0" w:color="auto"/>
        <w:left w:val="none" w:sz="0" w:space="0" w:color="auto"/>
        <w:bottom w:val="none" w:sz="0" w:space="0" w:color="auto"/>
        <w:right w:val="none" w:sz="0" w:space="0" w:color="auto"/>
      </w:divBdr>
    </w:div>
    <w:div w:id="20856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emm\AppData\Local\Microsoft\Windows\INetCache\IE\IRW9EM6V\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COOG-1907-8683</_dlc_DocId>
    <_dlc_DocIdUrl xmlns="9eaec612-449c-4f02-bff7-1edcfe83088c">
      <Url>http://coog/Legal Service/_layouts/DocIdRedir.aspx?ID=COOG-1907-8683</Url>
      <Description>COOG-1907-8683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0EAA8-9904-43ED-97CB-5F4C5969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CFBA8-CC0B-42BD-88F1-787D79FECDE2}">
  <ds:schemaRefs>
    <ds:schemaRef ds:uri="http://schemas.microsoft.com/sharepoint/v3/contenttype/forms"/>
  </ds:schemaRefs>
</ds:datastoreItem>
</file>

<file path=customXml/itemProps3.xml><?xml version="1.0" encoding="utf-8"?>
<ds:datastoreItem xmlns:ds="http://schemas.openxmlformats.org/officeDocument/2006/customXml" ds:itemID="{1225B485-D706-4FA8-B3A4-D06E10644145}">
  <ds:schemaRefs>
    <ds:schemaRef ds:uri="http://schemas.microsoft.com/sharepoint/events"/>
  </ds:schemaRefs>
</ds:datastoreItem>
</file>

<file path=customXml/itemProps4.xml><?xml version="1.0" encoding="utf-8"?>
<ds:datastoreItem xmlns:ds="http://schemas.openxmlformats.org/officeDocument/2006/customXml" ds:itemID="{40759EAD-F4A7-4F51-88F9-61EEC1A9D7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aec612-449c-4f02-bff7-1edcfe83088c"/>
    <ds:schemaRef ds:uri="http://www.w3.org/XML/1998/namespace"/>
    <ds:schemaRef ds:uri="http://purl.org/dc/dcmitype/"/>
  </ds:schemaRefs>
</ds:datastoreItem>
</file>

<file path=customXml/itemProps5.xml><?xml version="1.0" encoding="utf-8"?>
<ds:datastoreItem xmlns:ds="http://schemas.openxmlformats.org/officeDocument/2006/customXml" ds:itemID="{7A6C9811-EF34-420B-8686-27D1C03F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1</TotalTime>
  <Pages>8</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Lindfield, Emma</dc:creator>
  <cp:lastModifiedBy>Doherty, Laura</cp:lastModifiedBy>
  <cp:revision>3</cp:revision>
  <cp:lastPrinted>2019-03-13T04:32:00Z</cp:lastPrinted>
  <dcterms:created xsi:type="dcterms:W3CDTF">2019-03-19T23:34:00Z</dcterms:created>
  <dcterms:modified xsi:type="dcterms:W3CDTF">2019-03-21T23:56:00Z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30115590</vt:lpwstr>
  </property>
  <property fmtid="{D5CDD505-2E9C-101B-9397-08002B2CF9AE}" pid="6" name="Template Filename">
    <vt:lpwstr/>
  </property>
  <property fmtid="{D5CDD505-2E9C-101B-9397-08002B2CF9AE}" pid="7" name="ContentTypeId">
    <vt:lpwstr>0x010100FE3F154595F4084087D75A845A6C13FB</vt:lpwstr>
  </property>
  <property fmtid="{D5CDD505-2E9C-101B-9397-08002B2CF9AE}" pid="8" name="_dlc_DocIdItemGuid">
    <vt:lpwstr>b5129626-de95-4639-a93d-8cf777025e52</vt:lpwstr>
  </property>
</Properties>
</file>