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FF6F" w14:textId="77777777"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E468308" wp14:editId="521DAF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17BF" w14:textId="77777777" w:rsidR="00715914" w:rsidRPr="00E500D4" w:rsidRDefault="00715914" w:rsidP="00715914">
      <w:pPr>
        <w:rPr>
          <w:sz w:val="19"/>
        </w:rPr>
      </w:pPr>
    </w:p>
    <w:p w14:paraId="4ACBCCBC" w14:textId="77777777" w:rsidR="00690B02" w:rsidRPr="00E500D4" w:rsidRDefault="00690B02" w:rsidP="00690B02">
      <w:pPr>
        <w:pStyle w:val="ShortT"/>
      </w:pPr>
      <w:r w:rsidRPr="005F7812">
        <w:t>Competition and Consumer (External Dispute Re</w:t>
      </w:r>
      <w:r>
        <w:t>solution Scheme</w:t>
      </w:r>
      <w:r w:rsidRPr="003E2794">
        <w:t>–</w:t>
      </w:r>
      <w:r>
        <w:t>Banking Sector) Instrument 2019</w:t>
      </w:r>
    </w:p>
    <w:p w14:paraId="077A13AE" w14:textId="67E722CA" w:rsidR="00C41B0E" w:rsidRPr="00C41B0E" w:rsidRDefault="006E6A58" w:rsidP="00C41B0E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T</w:t>
      </w:r>
      <w:r w:rsidR="00C41B0E" w:rsidRPr="00C41B0E">
        <w:rPr>
          <w:szCs w:val="22"/>
        </w:rPr>
        <w:t>he Australian Comp</w:t>
      </w:r>
      <w:r>
        <w:rPr>
          <w:szCs w:val="22"/>
        </w:rPr>
        <w:t>etition and Consumer Commission</w:t>
      </w:r>
      <w:r w:rsidR="00C41B0E" w:rsidRPr="00C41B0E">
        <w:rPr>
          <w:szCs w:val="22"/>
        </w:rPr>
        <w:t xml:space="preserve"> make</w:t>
      </w:r>
      <w:r>
        <w:rPr>
          <w:szCs w:val="22"/>
        </w:rPr>
        <w:t>s</w:t>
      </w:r>
      <w:r w:rsidR="00C41B0E" w:rsidRPr="00C41B0E">
        <w:rPr>
          <w:szCs w:val="22"/>
        </w:rPr>
        <w:t xml:space="preserve"> the following notifiable instrument.</w:t>
      </w:r>
    </w:p>
    <w:p w14:paraId="681E0FEE" w14:textId="06C46EBC" w:rsidR="00A37414" w:rsidRDefault="00554826" w:rsidP="00C41B0E">
      <w:pPr>
        <w:pStyle w:val="SignCoverPageStart"/>
        <w:spacing w:before="240"/>
        <w:ind w:right="91"/>
        <w:rPr>
          <w:szCs w:val="22"/>
        </w:rPr>
      </w:pPr>
      <w:r w:rsidRPr="00531C3B">
        <w:rPr>
          <w:szCs w:val="22"/>
        </w:rPr>
        <w:t>Dated</w:t>
      </w:r>
      <w:r w:rsidR="00470EEE">
        <w:rPr>
          <w:szCs w:val="22"/>
        </w:rPr>
        <w:t xml:space="preserve"> this 3</w:t>
      </w:r>
      <w:r w:rsidR="00470EEE">
        <w:rPr>
          <w:szCs w:val="22"/>
          <w:vertAlign w:val="superscript"/>
        </w:rPr>
        <w:t>r</w:t>
      </w:r>
      <w:r w:rsidR="00A37414" w:rsidRPr="00A37414">
        <w:rPr>
          <w:szCs w:val="22"/>
          <w:vertAlign w:val="superscript"/>
        </w:rPr>
        <w:t>d</w:t>
      </w:r>
      <w:r w:rsidR="00A37414" w:rsidRPr="00A37414">
        <w:rPr>
          <w:szCs w:val="22"/>
        </w:rPr>
        <w:t xml:space="preserve"> </w:t>
      </w:r>
      <w:r w:rsidR="00A37414">
        <w:rPr>
          <w:szCs w:val="22"/>
        </w:rPr>
        <w:t xml:space="preserve">day of </w:t>
      </w:r>
      <w:r w:rsidR="00DD36F4">
        <w:rPr>
          <w:szCs w:val="22"/>
        </w:rPr>
        <w:t xml:space="preserve">October </w:t>
      </w:r>
      <w:r w:rsidR="00F52E65">
        <w:rPr>
          <w:szCs w:val="22"/>
        </w:rPr>
        <w:t>2019</w:t>
      </w:r>
      <w:r w:rsidRPr="00001A63">
        <w:rPr>
          <w:szCs w:val="22"/>
        </w:rPr>
        <w:tab/>
      </w:r>
    </w:p>
    <w:p w14:paraId="7151A358" w14:textId="67DB6E29" w:rsidR="00554826" w:rsidRPr="00001A63" w:rsidRDefault="00554826" w:rsidP="00C41B0E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ab/>
      </w:r>
      <w:r w:rsidRPr="00001A63">
        <w:rPr>
          <w:szCs w:val="22"/>
        </w:rPr>
        <w:tab/>
      </w:r>
    </w:p>
    <w:p w14:paraId="250005FA" w14:textId="0F2FB992" w:rsidR="00285B02" w:rsidRDefault="00285B02" w:rsidP="00554826">
      <w:pPr>
        <w:pStyle w:val="SignCoverPageEnd"/>
        <w:ind w:right="91"/>
        <w:rPr>
          <w:sz w:val="22"/>
          <w:highlight w:val="yellow"/>
        </w:rPr>
      </w:pPr>
    </w:p>
    <w:p w14:paraId="34EECB77" w14:textId="48005B43" w:rsidR="007201B9" w:rsidRPr="00B060CD" w:rsidRDefault="007201B9" w:rsidP="007201B9">
      <w:pPr>
        <w:rPr>
          <w:lang w:eastAsia="en-AU"/>
        </w:rPr>
      </w:pPr>
    </w:p>
    <w:p w14:paraId="50B9FAAC" w14:textId="2342D595" w:rsidR="007201B9" w:rsidRPr="00B060CD" w:rsidRDefault="00470EEE" w:rsidP="007201B9">
      <w:pPr>
        <w:rPr>
          <w:lang w:eastAsia="en-AU"/>
        </w:rPr>
      </w:pPr>
      <w:r>
        <w:rPr>
          <w:lang w:eastAsia="en-AU"/>
        </w:rPr>
        <w:t>Sarah Court</w:t>
      </w:r>
    </w:p>
    <w:p w14:paraId="646ACE97" w14:textId="69FD4D71" w:rsidR="007201B9" w:rsidRPr="00B060CD" w:rsidRDefault="00470EEE" w:rsidP="007201B9">
      <w:pPr>
        <w:rPr>
          <w:lang w:eastAsia="en-AU"/>
        </w:rPr>
      </w:pPr>
      <w:r>
        <w:rPr>
          <w:lang w:eastAsia="en-AU"/>
        </w:rPr>
        <w:t>Commissioner</w:t>
      </w:r>
    </w:p>
    <w:p w14:paraId="5391CB10" w14:textId="77777777" w:rsidR="006D08FA" w:rsidRPr="006D08FA" w:rsidRDefault="006D08FA" w:rsidP="006D08FA">
      <w:pPr>
        <w:rPr>
          <w:highlight w:val="yellow"/>
          <w:lang w:eastAsia="en-AU"/>
        </w:rPr>
      </w:pPr>
    </w:p>
    <w:p w14:paraId="7D63E40D" w14:textId="77777777" w:rsidR="00554826" w:rsidRDefault="00554826" w:rsidP="00554826"/>
    <w:p w14:paraId="7C30D276" w14:textId="77777777" w:rsidR="00554826" w:rsidRPr="00ED79B6" w:rsidRDefault="00554826" w:rsidP="00554826"/>
    <w:p w14:paraId="7806EFED" w14:textId="77777777" w:rsidR="00F6696E" w:rsidRDefault="00F6696E" w:rsidP="00F6696E"/>
    <w:p w14:paraId="3D2F4910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A12CF4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EA739FA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35C4D">
        <w:rPr>
          <w:noProof/>
        </w:rPr>
        <w:t>1</w:t>
      </w:r>
      <w:r w:rsidRPr="00B418CB">
        <w:rPr>
          <w:noProof/>
        </w:rPr>
        <w:fldChar w:fldCharType="end"/>
      </w:r>
    </w:p>
    <w:p w14:paraId="1067FB79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35C4D">
        <w:rPr>
          <w:noProof/>
        </w:rPr>
        <w:t>1</w:t>
      </w:r>
      <w:r w:rsidRPr="00B418CB">
        <w:rPr>
          <w:noProof/>
        </w:rPr>
        <w:fldChar w:fldCharType="end"/>
      </w:r>
    </w:p>
    <w:p w14:paraId="002707A9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35C4D">
        <w:rPr>
          <w:noProof/>
        </w:rPr>
        <w:t>1</w:t>
      </w:r>
      <w:r w:rsidRPr="00B418CB">
        <w:rPr>
          <w:noProof/>
        </w:rPr>
        <w:fldChar w:fldCharType="end"/>
      </w:r>
    </w:p>
    <w:p w14:paraId="745D826F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35C4D">
        <w:rPr>
          <w:noProof/>
        </w:rPr>
        <w:t>1</w:t>
      </w:r>
      <w:r w:rsidRPr="00B418CB">
        <w:rPr>
          <w:noProof/>
        </w:rPr>
        <w:fldChar w:fldCharType="end"/>
      </w:r>
    </w:p>
    <w:p w14:paraId="4261C454" w14:textId="77777777" w:rsidR="00F6696E" w:rsidRPr="00C41B0E" w:rsidRDefault="00B418CB" w:rsidP="00C41B0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</w:r>
      <w:r w:rsidR="00C41B0E" w:rsidRPr="00C41B0E">
        <w:rPr>
          <w:noProof/>
        </w:rPr>
        <w:t>Recognition of External Dispute Resolution Scheme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_Toc454512517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F35C4D">
        <w:rPr>
          <w:noProof/>
        </w:rPr>
        <w:t>1</w:t>
      </w:r>
      <w:r w:rsidRPr="00B418CB">
        <w:rPr>
          <w:noProof/>
        </w:rPr>
        <w:fldChar w:fldCharType="end"/>
      </w:r>
      <w:r>
        <w:fldChar w:fldCharType="end"/>
      </w:r>
    </w:p>
    <w:p w14:paraId="3BB590E0" w14:textId="77777777" w:rsidR="00F6696E" w:rsidRPr="00A802BC" w:rsidRDefault="00F6696E" w:rsidP="00F6696E">
      <w:pPr>
        <w:outlineLvl w:val="0"/>
        <w:rPr>
          <w:sz w:val="20"/>
        </w:rPr>
      </w:pPr>
    </w:p>
    <w:p w14:paraId="3F83AA5B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2B3BC0" w14:textId="77777777" w:rsidR="00554826" w:rsidRPr="00554826" w:rsidRDefault="00554826" w:rsidP="00554826">
      <w:pPr>
        <w:pStyle w:val="ActHead5"/>
      </w:pPr>
      <w:bookmarkStart w:id="1" w:name="_Toc454512513"/>
      <w:r w:rsidRPr="00554826">
        <w:lastRenderedPageBreak/>
        <w:t>1  Name</w:t>
      </w:r>
      <w:bookmarkEnd w:id="1"/>
    </w:p>
    <w:p w14:paraId="4AA014A8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C41B0E">
        <w:rPr>
          <w:i/>
        </w:rPr>
        <w:t>Competition and Consumer (External Dispute Resolution Scheme</w:t>
      </w:r>
      <w:r w:rsidR="00C41B0E" w:rsidRPr="003E2794">
        <w:t>–</w:t>
      </w:r>
      <w:r w:rsidR="00C41B0E">
        <w:rPr>
          <w:i/>
        </w:rPr>
        <w:t>Banking Sector) Instrument 2019</w:t>
      </w:r>
      <w:r w:rsidRPr="009C2562">
        <w:t>.</w:t>
      </w:r>
    </w:p>
    <w:p w14:paraId="7A455E0C" w14:textId="77777777" w:rsidR="00554826" w:rsidRPr="00554826" w:rsidRDefault="00554826" w:rsidP="00554826">
      <w:pPr>
        <w:pStyle w:val="ActHead5"/>
      </w:pPr>
      <w:bookmarkStart w:id="3" w:name="_Toc454512514"/>
      <w:r w:rsidRPr="00554826">
        <w:t>2  Commencement</w:t>
      </w:r>
      <w:bookmarkEnd w:id="3"/>
    </w:p>
    <w:p w14:paraId="5235FD93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C41B0E">
        <w:t>on the day after registration on the Federal Register of Legislation</w:t>
      </w:r>
      <w:r>
        <w:t>.</w:t>
      </w:r>
    </w:p>
    <w:p w14:paraId="7C4DDD1F" w14:textId="77777777" w:rsidR="00554826" w:rsidRPr="00554826" w:rsidRDefault="00554826" w:rsidP="00554826">
      <w:pPr>
        <w:pStyle w:val="ActHead5"/>
      </w:pPr>
      <w:bookmarkStart w:id="4" w:name="_Toc454512515"/>
      <w:r w:rsidRPr="00554826">
        <w:t>3  Authority</w:t>
      </w:r>
      <w:bookmarkEnd w:id="4"/>
    </w:p>
    <w:p w14:paraId="5228DD9B" w14:textId="7C8B6843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Pr="00F52E65">
        <w:t xml:space="preserve">This instrument is made under </w:t>
      </w:r>
      <w:r w:rsidR="004E0577" w:rsidRPr="00F52E65">
        <w:t>56DA(1)</w:t>
      </w:r>
      <w:r w:rsidR="00C41B0E" w:rsidRPr="00F52E65">
        <w:t xml:space="preserve"> of the </w:t>
      </w:r>
      <w:r w:rsidR="00C41B0E" w:rsidRPr="00F52E65">
        <w:rPr>
          <w:i/>
        </w:rPr>
        <w:t>Competition and Consumer Act 2010</w:t>
      </w:r>
      <w:r w:rsidR="00C41B0E" w:rsidRPr="00F52E65">
        <w:t>.</w:t>
      </w:r>
    </w:p>
    <w:p w14:paraId="04CA5A28" w14:textId="77777777" w:rsidR="00554826" w:rsidRPr="00554826" w:rsidRDefault="00554826" w:rsidP="00554826">
      <w:pPr>
        <w:pStyle w:val="ActHead5"/>
      </w:pPr>
      <w:bookmarkStart w:id="5" w:name="_Toc454512516"/>
      <w:r w:rsidRPr="00554826">
        <w:t>4  Definitions</w:t>
      </w:r>
      <w:bookmarkEnd w:id="5"/>
    </w:p>
    <w:p w14:paraId="61F151A6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1D63216" w14:textId="77777777" w:rsidR="00C41B0E" w:rsidRDefault="00554826" w:rsidP="00C41B0E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C41B0E">
        <w:rPr>
          <w:i/>
        </w:rPr>
        <w:t>Competition and Consumer Act 2010</w:t>
      </w:r>
      <w:r w:rsidR="00C41B0E">
        <w:t>.</w:t>
      </w:r>
    </w:p>
    <w:p w14:paraId="114C353C" w14:textId="0FBD2E90" w:rsidR="00C41B0E" w:rsidRPr="00CA1E49" w:rsidRDefault="00C41B0E" w:rsidP="00C41B0E">
      <w:pPr>
        <w:pStyle w:val="Definition"/>
      </w:pPr>
      <w:r>
        <w:rPr>
          <w:b/>
          <w:i/>
        </w:rPr>
        <w:t>banking sector</w:t>
      </w:r>
      <w:r>
        <w:rPr>
          <w:b/>
        </w:rPr>
        <w:t xml:space="preserve"> </w:t>
      </w:r>
      <w:r>
        <w:t xml:space="preserve">means the sector designated </w:t>
      </w:r>
      <w:r w:rsidR="00F401F0" w:rsidRPr="00F52E65">
        <w:t>by the</w:t>
      </w:r>
      <w:r w:rsidRPr="00F52E65">
        <w:t xml:space="preserve"> </w:t>
      </w:r>
      <w:r w:rsidRPr="00F52E65">
        <w:rPr>
          <w:i/>
        </w:rPr>
        <w:t>Consumer Data Right (Authorised Deposit-Taking Institutions) Designation 2019</w:t>
      </w:r>
      <w:r w:rsidRPr="00F52E65">
        <w:t>.</w:t>
      </w:r>
    </w:p>
    <w:p w14:paraId="0EF5BBEF" w14:textId="77777777" w:rsidR="00554826" w:rsidRPr="00554826" w:rsidRDefault="00554826" w:rsidP="00554826">
      <w:pPr>
        <w:pStyle w:val="ActHead5"/>
      </w:pPr>
      <w:bookmarkStart w:id="6" w:name="_Toc454781205"/>
      <w:bookmarkStart w:id="7" w:name="_Toc454512517"/>
      <w:r w:rsidRPr="00554826">
        <w:t xml:space="preserve">5  </w:t>
      </w:r>
      <w:bookmarkEnd w:id="6"/>
      <w:r w:rsidR="00C41B0E">
        <w:t>Recognition of External Dispute Resolution Scheme</w:t>
      </w:r>
    </w:p>
    <w:p w14:paraId="21A938AF" w14:textId="77777777" w:rsidR="000E2C5E" w:rsidRDefault="00554826" w:rsidP="000E2C5E">
      <w:pPr>
        <w:pStyle w:val="subsection"/>
      </w:pPr>
      <w:r w:rsidRPr="006065DA">
        <w:tab/>
      </w:r>
      <w:r w:rsidRPr="006065DA">
        <w:tab/>
      </w:r>
      <w:r w:rsidR="00C41B0E" w:rsidRPr="00055B6D">
        <w:t>The</w:t>
      </w:r>
      <w:r w:rsidR="00C41B0E">
        <w:t xml:space="preserve"> Commission recognises the Australian Financial Complaints Authority as the external dispute resolution scheme for the resolution of disputes</w:t>
      </w:r>
      <w:r w:rsidR="000E2C5E">
        <w:t xml:space="preserve"> relating to </w:t>
      </w:r>
      <w:r w:rsidR="000E2C5E" w:rsidRPr="00F52E65">
        <w:t>the operation of the consumer data rules, or Part IVD of the Act,</w:t>
      </w:r>
      <w:r w:rsidR="00C41B0E" w:rsidRPr="00F52E65">
        <w:t xml:space="preserve"> in relation to the</w:t>
      </w:r>
      <w:r w:rsidR="00C41B0E">
        <w:t xml:space="preserve"> banking sector</w:t>
      </w:r>
      <w:r w:rsidR="000E2C5E">
        <w:t xml:space="preserve"> and involving one or more of the following:</w:t>
      </w:r>
    </w:p>
    <w:p w14:paraId="04377314" w14:textId="134365B0" w:rsidR="00A75FE9" w:rsidRDefault="000E2C5E" w:rsidP="000E2C5E">
      <w:pPr>
        <w:pStyle w:val="subsection"/>
        <w:numPr>
          <w:ilvl w:val="0"/>
          <w:numId w:val="15"/>
        </w:numPr>
      </w:pPr>
      <w:r>
        <w:t>CDR participants for CDR data</w:t>
      </w:r>
      <w:bookmarkEnd w:id="7"/>
      <w:r>
        <w:t>;</w:t>
      </w:r>
    </w:p>
    <w:p w14:paraId="52B7F5F7" w14:textId="0B7B8898" w:rsidR="000E2C5E" w:rsidRDefault="000E2C5E" w:rsidP="006D08FA">
      <w:pPr>
        <w:pStyle w:val="subsection"/>
        <w:numPr>
          <w:ilvl w:val="0"/>
          <w:numId w:val="15"/>
        </w:numPr>
      </w:pPr>
      <w:r>
        <w:t>CDR consumers for CDR data;</w:t>
      </w:r>
    </w:p>
    <w:p w14:paraId="452C83A8" w14:textId="7CBCBE14" w:rsidR="000E2C5E" w:rsidRPr="00C41B0E" w:rsidRDefault="000E2C5E" w:rsidP="000E2C5E">
      <w:pPr>
        <w:pStyle w:val="subsection"/>
        <w:numPr>
          <w:ilvl w:val="0"/>
          <w:numId w:val="15"/>
        </w:numPr>
      </w:pPr>
      <w:r>
        <w:t>other persons relating to the banking sector.</w:t>
      </w:r>
    </w:p>
    <w:sectPr w:rsidR="000E2C5E" w:rsidRPr="00C41B0E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CD0E9" w14:textId="77777777" w:rsidR="00D816F3" w:rsidRDefault="00D816F3" w:rsidP="00715914">
      <w:pPr>
        <w:spacing w:line="240" w:lineRule="auto"/>
      </w:pPr>
      <w:r>
        <w:separator/>
      </w:r>
    </w:p>
  </w:endnote>
  <w:endnote w:type="continuationSeparator" w:id="0">
    <w:p w14:paraId="4756A00F" w14:textId="77777777" w:rsidR="00D816F3" w:rsidRDefault="00D816F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F7F1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D3D2CF1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0C2A2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B9802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5C4D">
            <w:rPr>
              <w:i/>
              <w:noProof/>
              <w:sz w:val="18"/>
            </w:rPr>
            <w:t>Competition and Consumer (External Dispute Resolution Scheme–Banking Sector)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76CA5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0551FB3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F2026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51F1465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D15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6F86AC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94D53D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C56ED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5C4D">
            <w:rPr>
              <w:i/>
              <w:noProof/>
              <w:sz w:val="18"/>
            </w:rPr>
            <w:t>Competition and Consumer (External Dispute Resolution Scheme–Banking Sector)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38D96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B41608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263163" w14:textId="77777777" w:rsidR="0072147A" w:rsidRDefault="0072147A" w:rsidP="00A369E3">
          <w:pPr>
            <w:rPr>
              <w:sz w:val="18"/>
            </w:rPr>
          </w:pPr>
        </w:p>
      </w:tc>
    </w:tr>
  </w:tbl>
  <w:p w14:paraId="56220D43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7F2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4A09A47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E4EAD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21FD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5D080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EF87F9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43F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ED41945" w14:textId="77777777" w:rsidTr="00A87A58">
      <w:tc>
        <w:tcPr>
          <w:tcW w:w="365" w:type="pct"/>
        </w:tcPr>
        <w:p w14:paraId="46F59D5D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7A2DBB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5C4D">
            <w:rPr>
              <w:i/>
              <w:noProof/>
              <w:sz w:val="18"/>
            </w:rPr>
            <w:t>Competition and Consumer (External Dispute Resolution Scheme–Banking Sector)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DD2E62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5066EF8" w14:textId="77777777" w:rsidTr="00A87A58">
      <w:tc>
        <w:tcPr>
          <w:tcW w:w="5000" w:type="pct"/>
          <w:gridSpan w:val="3"/>
        </w:tcPr>
        <w:p w14:paraId="69DA4142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12DC12D0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6701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14:paraId="72DB16C5" w14:textId="77777777" w:rsidTr="00A87A58">
      <w:tc>
        <w:tcPr>
          <w:tcW w:w="947" w:type="pct"/>
        </w:tcPr>
        <w:p w14:paraId="78F74279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0BE2287" w14:textId="641D347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3230">
            <w:rPr>
              <w:i/>
              <w:noProof/>
              <w:sz w:val="18"/>
            </w:rPr>
            <w:t>Competition and Consumer (External Dispute Resolution Scheme–Banking Sector)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93F7793" w14:textId="704BD541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323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DE54D9D" w14:textId="77777777" w:rsidTr="00A87A58">
      <w:tc>
        <w:tcPr>
          <w:tcW w:w="5000" w:type="pct"/>
          <w:gridSpan w:val="3"/>
        </w:tcPr>
        <w:p w14:paraId="5A0571A3" w14:textId="77777777" w:rsidR="00F6696E" w:rsidRDefault="00F6696E" w:rsidP="000850AC">
          <w:pPr>
            <w:rPr>
              <w:sz w:val="18"/>
            </w:rPr>
          </w:pPr>
        </w:p>
      </w:tc>
    </w:tr>
  </w:tbl>
  <w:p w14:paraId="00DF39E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2F7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4BDB1742" w14:textId="77777777" w:rsidTr="00A87A58">
      <w:tc>
        <w:tcPr>
          <w:tcW w:w="365" w:type="pct"/>
        </w:tcPr>
        <w:p w14:paraId="5A89AB65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1B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812B90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35C4D">
            <w:rPr>
              <w:i/>
              <w:noProof/>
              <w:sz w:val="18"/>
            </w:rPr>
            <w:t>Competition and Consumer (External Dispute Resolution Scheme–Banking Sector)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C712666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9466991" w14:textId="77777777" w:rsidTr="00A87A58">
      <w:tc>
        <w:tcPr>
          <w:tcW w:w="5000" w:type="pct"/>
          <w:gridSpan w:val="3"/>
        </w:tcPr>
        <w:p w14:paraId="2F1810B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D4CA9C8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CC7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14:paraId="0CE715E8" w14:textId="77777777" w:rsidTr="00A87A58">
      <w:tc>
        <w:tcPr>
          <w:tcW w:w="947" w:type="pct"/>
        </w:tcPr>
        <w:p w14:paraId="0CCE30A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D2E13D8" w14:textId="3D269E2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3230">
            <w:rPr>
              <w:i/>
              <w:noProof/>
              <w:sz w:val="18"/>
            </w:rPr>
            <w:t>Competition and Consumer (External Dispute Resolution Scheme–Banking Sector)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BBC2BBF" w14:textId="43FEEEFC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323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EE891CD" w14:textId="77777777" w:rsidTr="00A87A58">
      <w:tc>
        <w:tcPr>
          <w:tcW w:w="5000" w:type="pct"/>
          <w:gridSpan w:val="3"/>
        </w:tcPr>
        <w:p w14:paraId="18401EC1" w14:textId="77777777" w:rsidR="008C2EAC" w:rsidRDefault="008C2EAC" w:rsidP="000850AC">
          <w:pPr>
            <w:rPr>
              <w:sz w:val="18"/>
            </w:rPr>
          </w:pPr>
        </w:p>
      </w:tc>
    </w:tr>
  </w:tbl>
  <w:p w14:paraId="6B2E4E7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202A0" w14:textId="77777777" w:rsidR="00D816F3" w:rsidRDefault="00D816F3" w:rsidP="00715914">
      <w:pPr>
        <w:spacing w:line="240" w:lineRule="auto"/>
      </w:pPr>
      <w:r>
        <w:separator/>
      </w:r>
    </w:p>
  </w:footnote>
  <w:footnote w:type="continuationSeparator" w:id="0">
    <w:p w14:paraId="7B2CFCB3" w14:textId="77777777" w:rsidR="00D816F3" w:rsidRDefault="00D816F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D442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389E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B25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CB8F7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DE6F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7D032" w14:textId="77777777" w:rsidR="004E1307" w:rsidRDefault="004E1307" w:rsidP="00715914">
    <w:pPr>
      <w:rPr>
        <w:sz w:val="20"/>
      </w:rPr>
    </w:pPr>
  </w:p>
  <w:p w14:paraId="050AFE7C" w14:textId="77777777" w:rsidR="004E1307" w:rsidRDefault="004E1307" w:rsidP="00715914">
    <w:pPr>
      <w:rPr>
        <w:sz w:val="20"/>
      </w:rPr>
    </w:pPr>
  </w:p>
  <w:p w14:paraId="11D1993E" w14:textId="77777777" w:rsidR="004E1307" w:rsidRPr="007A1328" w:rsidRDefault="004E1307" w:rsidP="00715914">
    <w:pPr>
      <w:rPr>
        <w:sz w:val="20"/>
      </w:rPr>
    </w:pPr>
  </w:p>
  <w:p w14:paraId="30F089DC" w14:textId="77777777" w:rsidR="004E1307" w:rsidRPr="007A1328" w:rsidRDefault="004E1307" w:rsidP="00715914">
    <w:pPr>
      <w:rPr>
        <w:b/>
        <w:sz w:val="24"/>
      </w:rPr>
    </w:pPr>
  </w:p>
  <w:p w14:paraId="16E5887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E1DD" w14:textId="77777777" w:rsidR="004E1307" w:rsidRPr="007A1328" w:rsidRDefault="004E1307" w:rsidP="00715914">
    <w:pPr>
      <w:jc w:val="right"/>
      <w:rPr>
        <w:sz w:val="20"/>
      </w:rPr>
    </w:pPr>
  </w:p>
  <w:p w14:paraId="173AAED5" w14:textId="77777777" w:rsidR="004E1307" w:rsidRPr="007A1328" w:rsidRDefault="004E1307" w:rsidP="00715914">
    <w:pPr>
      <w:jc w:val="right"/>
      <w:rPr>
        <w:sz w:val="20"/>
      </w:rPr>
    </w:pPr>
  </w:p>
  <w:p w14:paraId="4151E929" w14:textId="77777777" w:rsidR="004E1307" w:rsidRPr="007A1328" w:rsidRDefault="004E1307" w:rsidP="00715914">
    <w:pPr>
      <w:jc w:val="right"/>
      <w:rPr>
        <w:sz w:val="20"/>
      </w:rPr>
    </w:pPr>
  </w:p>
  <w:p w14:paraId="7E6AA42E" w14:textId="77777777" w:rsidR="004E1307" w:rsidRPr="007A1328" w:rsidRDefault="004E1307" w:rsidP="00715914">
    <w:pPr>
      <w:jc w:val="right"/>
      <w:rPr>
        <w:b/>
        <w:sz w:val="24"/>
      </w:rPr>
    </w:pPr>
  </w:p>
  <w:p w14:paraId="5C29743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7A44404"/>
    <w:multiLevelType w:val="hybridMultilevel"/>
    <w:tmpl w:val="4704BC4C"/>
    <w:lvl w:ilvl="0" w:tplc="481E20B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4D"/>
    <w:rsid w:val="00004174"/>
    <w:rsid w:val="00004470"/>
    <w:rsid w:val="000136AF"/>
    <w:rsid w:val="00017CC3"/>
    <w:rsid w:val="000258B1"/>
    <w:rsid w:val="0002772D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2C5E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676F2"/>
    <w:rsid w:val="001809D7"/>
    <w:rsid w:val="001939E1"/>
    <w:rsid w:val="00194C3E"/>
    <w:rsid w:val="00195382"/>
    <w:rsid w:val="001B2CB6"/>
    <w:rsid w:val="001C61C5"/>
    <w:rsid w:val="001C69C4"/>
    <w:rsid w:val="001D23A8"/>
    <w:rsid w:val="001D37EF"/>
    <w:rsid w:val="001E3590"/>
    <w:rsid w:val="001E7407"/>
    <w:rsid w:val="001F5D5E"/>
    <w:rsid w:val="001F6219"/>
    <w:rsid w:val="001F6CD4"/>
    <w:rsid w:val="002039E4"/>
    <w:rsid w:val="00206C4D"/>
    <w:rsid w:val="00215AF1"/>
    <w:rsid w:val="002321E8"/>
    <w:rsid w:val="00232984"/>
    <w:rsid w:val="0024010F"/>
    <w:rsid w:val="00240749"/>
    <w:rsid w:val="00243018"/>
    <w:rsid w:val="0025165D"/>
    <w:rsid w:val="002564A4"/>
    <w:rsid w:val="0026736C"/>
    <w:rsid w:val="00281308"/>
    <w:rsid w:val="00284719"/>
    <w:rsid w:val="00285B02"/>
    <w:rsid w:val="00297ECB"/>
    <w:rsid w:val="002A7BCF"/>
    <w:rsid w:val="002C3FD1"/>
    <w:rsid w:val="002D043A"/>
    <w:rsid w:val="002D266B"/>
    <w:rsid w:val="002D6224"/>
    <w:rsid w:val="002E3832"/>
    <w:rsid w:val="00302086"/>
    <w:rsid w:val="00304F8B"/>
    <w:rsid w:val="00335BC6"/>
    <w:rsid w:val="003415D3"/>
    <w:rsid w:val="00344338"/>
    <w:rsid w:val="00344701"/>
    <w:rsid w:val="00352B0F"/>
    <w:rsid w:val="00360459"/>
    <w:rsid w:val="0038049F"/>
    <w:rsid w:val="003A215A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0EEE"/>
    <w:rsid w:val="00472DBE"/>
    <w:rsid w:val="00474A19"/>
    <w:rsid w:val="00477830"/>
    <w:rsid w:val="00487764"/>
    <w:rsid w:val="00496F97"/>
    <w:rsid w:val="004B6C48"/>
    <w:rsid w:val="004C2E9E"/>
    <w:rsid w:val="004C4E59"/>
    <w:rsid w:val="004C6809"/>
    <w:rsid w:val="004E0577"/>
    <w:rsid w:val="004E063A"/>
    <w:rsid w:val="004E1307"/>
    <w:rsid w:val="004E7BEC"/>
    <w:rsid w:val="00505D3D"/>
    <w:rsid w:val="00506AF6"/>
    <w:rsid w:val="00516B8D"/>
    <w:rsid w:val="0052258F"/>
    <w:rsid w:val="005303C8"/>
    <w:rsid w:val="00531C3B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0B02"/>
    <w:rsid w:val="0069207B"/>
    <w:rsid w:val="006A154F"/>
    <w:rsid w:val="006A437B"/>
    <w:rsid w:val="006B5789"/>
    <w:rsid w:val="006C30C5"/>
    <w:rsid w:val="006C7F8C"/>
    <w:rsid w:val="006D08FA"/>
    <w:rsid w:val="006E2E1C"/>
    <w:rsid w:val="006E6246"/>
    <w:rsid w:val="006E69C2"/>
    <w:rsid w:val="006E6A58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01B9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36BA1"/>
    <w:rsid w:val="00A37414"/>
    <w:rsid w:val="00A57600"/>
    <w:rsid w:val="00A64912"/>
    <w:rsid w:val="00A70A74"/>
    <w:rsid w:val="00A75FE9"/>
    <w:rsid w:val="00AD53CC"/>
    <w:rsid w:val="00AD5641"/>
    <w:rsid w:val="00AF06CF"/>
    <w:rsid w:val="00B03BAB"/>
    <w:rsid w:val="00B060CD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1B0E"/>
    <w:rsid w:val="00C42BF8"/>
    <w:rsid w:val="00C50043"/>
    <w:rsid w:val="00C7573B"/>
    <w:rsid w:val="00C922B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16F3"/>
    <w:rsid w:val="00D8206C"/>
    <w:rsid w:val="00D91F10"/>
    <w:rsid w:val="00DA186E"/>
    <w:rsid w:val="00DA4116"/>
    <w:rsid w:val="00DB251C"/>
    <w:rsid w:val="00DB4630"/>
    <w:rsid w:val="00DC4F88"/>
    <w:rsid w:val="00DD36F4"/>
    <w:rsid w:val="00DE107C"/>
    <w:rsid w:val="00DF2388"/>
    <w:rsid w:val="00E05704"/>
    <w:rsid w:val="00E338EF"/>
    <w:rsid w:val="00E544BB"/>
    <w:rsid w:val="00E74DC7"/>
    <w:rsid w:val="00E8075A"/>
    <w:rsid w:val="00E86E60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144C"/>
    <w:rsid w:val="00F02C7C"/>
    <w:rsid w:val="00F072A7"/>
    <w:rsid w:val="00F078DC"/>
    <w:rsid w:val="00F13230"/>
    <w:rsid w:val="00F32BA8"/>
    <w:rsid w:val="00F32EE0"/>
    <w:rsid w:val="00F349F1"/>
    <w:rsid w:val="00F35C4D"/>
    <w:rsid w:val="00F401F0"/>
    <w:rsid w:val="00F4350D"/>
    <w:rsid w:val="00F479C4"/>
    <w:rsid w:val="00F52E65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0BD9A3"/>
  <w15:docId w15:val="{0FBF6F12-C532-40E7-BD39-2ACC0C6C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qFormat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istalphabet2">
    <w:name w:val="List alphabet 2"/>
    <w:rsid w:val="00690B02"/>
    <w:pPr>
      <w:numPr>
        <w:numId w:val="14"/>
      </w:numPr>
      <w:tabs>
        <w:tab w:val="left" w:pos="680"/>
      </w:tabs>
      <w:spacing w:before="120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0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B02"/>
    <w:pPr>
      <w:spacing w:after="200" w:line="240" w:lineRule="auto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B0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B0E"/>
    <w:pPr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B0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tl\AppData\Local\Temp\2\9357822\READ%20ONLY%20-%20D19-104163%20CDR%20-%20EDR%20Scheme%20Notifiable%20Instrument%20(Banking%20Secto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C075-9851-477F-8CD8-7291E0B4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 ONLY - D19-104163 CDR - EDR Scheme Notifiable Instrument (Banking Sector).DOTX</Template>
  <TotalTime>1</TotalTime>
  <Pages>5</Pages>
  <Words>205</Words>
  <Characters>1172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Andrew</dc:creator>
  <cp:lastModifiedBy>Tan, Jasmine</cp:lastModifiedBy>
  <cp:revision>2</cp:revision>
  <cp:lastPrinted>2019-07-12T03:52:00Z</cp:lastPrinted>
  <dcterms:created xsi:type="dcterms:W3CDTF">2019-10-03T05:59:00Z</dcterms:created>
  <dcterms:modified xsi:type="dcterms:W3CDTF">2019-10-03T05:59:00Z</dcterms:modified>
</cp:coreProperties>
</file>