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82AB3" w14:textId="77777777" w:rsidR="00213B13" w:rsidRDefault="00213B13" w:rsidP="00213B13">
      <w:pPr>
        <w:spacing w:after="200" w:line="276" w:lineRule="auto"/>
        <w:jc w:val="left"/>
        <w:rPr>
          <w:rStyle w:val="Emphasis"/>
          <w:i w:val="0"/>
          <w:iCs w:val="0"/>
        </w:rPr>
      </w:pPr>
    </w:p>
    <w:p w14:paraId="65B82AB4" w14:textId="77777777" w:rsidR="00213B13" w:rsidRPr="00E80020" w:rsidRDefault="00213B13" w:rsidP="00213B13">
      <w:pPr>
        <w:rPr>
          <w:color w:val="000000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65B82AF4" wp14:editId="65B82AF5">
            <wp:extent cx="141922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2AB5" w14:textId="77777777" w:rsidR="00213B13" w:rsidRPr="00D96FC5" w:rsidRDefault="00213B13" w:rsidP="00213B13">
      <w:pPr>
        <w:rPr>
          <w:sz w:val="40"/>
          <w:szCs w:val="40"/>
        </w:rPr>
      </w:pPr>
      <w:r w:rsidRPr="00D96FC5">
        <w:rPr>
          <w:b/>
          <w:sz w:val="40"/>
          <w:szCs w:val="40"/>
        </w:rPr>
        <w:t>Class approval</w:t>
      </w:r>
    </w:p>
    <w:p w14:paraId="65B82AB6" w14:textId="77777777" w:rsidR="00213B13" w:rsidRPr="00D96FC5" w:rsidRDefault="00213B13" w:rsidP="00213B13">
      <w:pPr>
        <w:rPr>
          <w:sz w:val="28"/>
          <w:szCs w:val="28"/>
        </w:rPr>
      </w:pPr>
      <w:r w:rsidRPr="00D96FC5">
        <w:rPr>
          <w:b/>
          <w:sz w:val="28"/>
          <w:szCs w:val="28"/>
        </w:rPr>
        <w:t>Foreign ADI disclosure statements</w:t>
      </w:r>
    </w:p>
    <w:p w14:paraId="65B82AB7" w14:textId="77777777" w:rsidR="00213B13" w:rsidRPr="00E80020" w:rsidRDefault="00213B13" w:rsidP="00213B13">
      <w:pPr>
        <w:pStyle w:val="ActTitle"/>
        <w:rPr>
          <w:color w:val="000000"/>
        </w:rPr>
      </w:pPr>
      <w:r w:rsidRPr="00E80020">
        <w:rPr>
          <w:color w:val="000000"/>
        </w:rPr>
        <w:t>Banking Act 1959</w:t>
      </w:r>
    </w:p>
    <w:p w14:paraId="65B82AB8" w14:textId="77777777" w:rsidR="00213B13" w:rsidRPr="00E80020" w:rsidRDefault="00213B13" w:rsidP="00213B13">
      <w:pPr>
        <w:pStyle w:val="IntroTo"/>
        <w:rPr>
          <w:color w:val="000000"/>
        </w:rPr>
      </w:pPr>
    </w:p>
    <w:p w14:paraId="65B82AB9" w14:textId="77777777" w:rsidR="00213B13" w:rsidRDefault="00213B13" w:rsidP="00213B13">
      <w:pPr>
        <w:pStyle w:val="IntroTo"/>
        <w:ind w:left="0" w:right="-22" w:firstLine="0"/>
        <w:jc w:val="both"/>
        <w:rPr>
          <w:szCs w:val="24"/>
        </w:rPr>
      </w:pPr>
      <w:r w:rsidRPr="00C11FF1">
        <w:rPr>
          <w:szCs w:val="24"/>
        </w:rPr>
        <w:t xml:space="preserve">I, </w:t>
      </w:r>
      <w:r>
        <w:rPr>
          <w:szCs w:val="24"/>
        </w:rPr>
        <w:t>Heidi Richards, delegate of APRA:</w:t>
      </w:r>
    </w:p>
    <w:p w14:paraId="65B82ABA" w14:textId="77777777" w:rsidR="00213B13" w:rsidRDefault="00213B13" w:rsidP="00213B13">
      <w:pPr>
        <w:pStyle w:val="IntroTo"/>
        <w:tabs>
          <w:tab w:val="left" w:pos="8647"/>
        </w:tabs>
        <w:ind w:left="0" w:right="-22" w:firstLine="0"/>
        <w:jc w:val="both"/>
        <w:rPr>
          <w:szCs w:val="24"/>
        </w:rPr>
      </w:pPr>
    </w:p>
    <w:p w14:paraId="65B82ABB" w14:textId="77777777" w:rsidR="00213B13" w:rsidRDefault="00213B13" w:rsidP="00213B13">
      <w:pPr>
        <w:pStyle w:val="IntroTo"/>
        <w:numPr>
          <w:ilvl w:val="0"/>
          <w:numId w:val="3"/>
        </w:numPr>
        <w:tabs>
          <w:tab w:val="left" w:pos="8647"/>
        </w:tabs>
        <w:ind w:right="-22"/>
        <w:jc w:val="both"/>
        <w:rPr>
          <w:color w:val="000000"/>
          <w:szCs w:val="24"/>
        </w:rPr>
      </w:pPr>
      <w:r>
        <w:rPr>
          <w:szCs w:val="24"/>
        </w:rPr>
        <w:t>APPROVE</w:t>
      </w:r>
      <w:r>
        <w:rPr>
          <w:color w:val="000000"/>
          <w:szCs w:val="24"/>
        </w:rPr>
        <w:t xml:space="preserve">, under paragraph 11E(2)(b) of the </w:t>
      </w:r>
      <w:r>
        <w:rPr>
          <w:i/>
          <w:color w:val="000000"/>
          <w:szCs w:val="24"/>
        </w:rPr>
        <w:t>Banking Act 1959</w:t>
      </w:r>
      <w:r>
        <w:rPr>
          <w:color w:val="000000"/>
          <w:szCs w:val="24"/>
        </w:rPr>
        <w:t xml:space="preserve"> (the Act), the manner set out in the Schedule for a foreign ADI to inform a person in Australia, referred to in paragraph 11E(2)(a) of the Act, of the requirements of the Act to which the foreign ADI is not subject; and</w:t>
      </w:r>
    </w:p>
    <w:p w14:paraId="65B82ABC" w14:textId="77777777" w:rsidR="00213B13" w:rsidRDefault="00213B13" w:rsidP="00213B13">
      <w:pPr>
        <w:pStyle w:val="IntroTo"/>
        <w:tabs>
          <w:tab w:val="left" w:pos="8647"/>
        </w:tabs>
        <w:ind w:right="-22" w:firstLine="0"/>
        <w:jc w:val="both"/>
        <w:rPr>
          <w:color w:val="000000"/>
          <w:szCs w:val="24"/>
        </w:rPr>
      </w:pPr>
    </w:p>
    <w:p w14:paraId="65B82ABD" w14:textId="77777777" w:rsidR="00213B13" w:rsidRPr="003675D4" w:rsidRDefault="00213B13" w:rsidP="00213B13">
      <w:pPr>
        <w:pStyle w:val="IntroTo"/>
        <w:numPr>
          <w:ilvl w:val="0"/>
          <w:numId w:val="3"/>
        </w:numPr>
        <w:tabs>
          <w:tab w:val="left" w:pos="8647"/>
        </w:tabs>
        <w:ind w:right="-2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REVOKE, under subsection 33(3) of the </w:t>
      </w:r>
      <w:r>
        <w:rPr>
          <w:i/>
          <w:color w:val="000000"/>
          <w:szCs w:val="24"/>
        </w:rPr>
        <w:t>Acts Interpretation Act 1901,</w:t>
      </w:r>
      <w:r>
        <w:rPr>
          <w:color w:val="000000"/>
          <w:szCs w:val="24"/>
        </w:rPr>
        <w:t xml:space="preserve"> the class approval made under paragraph 11E(2)(b) of the Act on 4 September 2015.</w:t>
      </w:r>
    </w:p>
    <w:p w14:paraId="65B82ABE" w14:textId="77777777" w:rsidR="00213B13" w:rsidRPr="003910A0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BF" w14:textId="77777777" w:rsidR="00213B13" w:rsidRPr="003910A0" w:rsidRDefault="00213B13" w:rsidP="00213B13">
      <w:pPr>
        <w:ind w:right="-22"/>
        <w:rPr>
          <w:rFonts w:ascii="Times New Roman" w:hAnsi="Times New Roman"/>
          <w:sz w:val="24"/>
        </w:rPr>
      </w:pPr>
      <w:r w:rsidRPr="003910A0">
        <w:rPr>
          <w:rFonts w:ascii="Times New Roman" w:hAnsi="Times New Roman"/>
          <w:sz w:val="24"/>
        </w:rPr>
        <w:t xml:space="preserve">This instrument commences on </w:t>
      </w:r>
      <w:r>
        <w:rPr>
          <w:rFonts w:ascii="Times New Roman" w:hAnsi="Times New Roman"/>
          <w:sz w:val="24"/>
        </w:rPr>
        <w:t>1 March 2020</w:t>
      </w:r>
      <w:r w:rsidRPr="003910A0">
        <w:rPr>
          <w:rFonts w:ascii="Times New Roman" w:hAnsi="Times New Roman"/>
          <w:sz w:val="24"/>
        </w:rPr>
        <w:t xml:space="preserve">. </w:t>
      </w:r>
    </w:p>
    <w:p w14:paraId="65B82AC0" w14:textId="77777777" w:rsidR="00213B13" w:rsidRPr="003910A0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C1" w14:textId="4245D4A1" w:rsidR="00213B13" w:rsidRPr="006761F1" w:rsidRDefault="00213B13" w:rsidP="00213B13">
      <w:pPr>
        <w:ind w:right="-22"/>
        <w:rPr>
          <w:rFonts w:ascii="Times New Roman" w:hAnsi="Times New Roman"/>
          <w:sz w:val="24"/>
        </w:rPr>
      </w:pPr>
      <w:r w:rsidRPr="006761F1">
        <w:rPr>
          <w:rFonts w:ascii="Times New Roman" w:hAnsi="Times New Roman"/>
          <w:sz w:val="24"/>
        </w:rPr>
        <w:t xml:space="preserve">Dated: </w:t>
      </w:r>
      <w:r>
        <w:rPr>
          <w:rFonts w:ascii="Times New Roman" w:hAnsi="Times New Roman"/>
          <w:sz w:val="24"/>
        </w:rPr>
        <w:t xml:space="preserve"> </w:t>
      </w:r>
      <w:r w:rsidR="00017385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 w:rsidR="00017385">
        <w:rPr>
          <w:rFonts w:ascii="Times New Roman" w:hAnsi="Times New Roman"/>
          <w:sz w:val="24"/>
        </w:rPr>
        <w:t>Octob</w:t>
      </w:r>
      <w:r>
        <w:rPr>
          <w:rFonts w:ascii="Times New Roman" w:hAnsi="Times New Roman"/>
          <w:sz w:val="24"/>
        </w:rPr>
        <w:t>er 2019</w:t>
      </w:r>
    </w:p>
    <w:p w14:paraId="65B82AC2" w14:textId="77777777" w:rsidR="00213B13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C3" w14:textId="77777777" w:rsidR="00213B13" w:rsidRPr="006761F1" w:rsidRDefault="00213B13" w:rsidP="00213B13">
      <w:pPr>
        <w:ind w:right="-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[signed]</w:t>
      </w:r>
    </w:p>
    <w:p w14:paraId="65B82AC4" w14:textId="77777777" w:rsidR="00213B13" w:rsidRPr="006761F1" w:rsidRDefault="00213B13" w:rsidP="00213B13">
      <w:pPr>
        <w:spacing w:after="0"/>
        <w:ind w:right="-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Heidi Richards</w:t>
      </w:r>
    </w:p>
    <w:p w14:paraId="65B82AC5" w14:textId="77777777" w:rsidR="00213B13" w:rsidRPr="006761F1" w:rsidRDefault="00213B13" w:rsidP="00213B13">
      <w:pPr>
        <w:spacing w:after="0"/>
        <w:ind w:right="-22"/>
        <w:rPr>
          <w:rFonts w:ascii="Times New Roman" w:hAnsi="Times New Roman"/>
          <w:sz w:val="24"/>
        </w:rPr>
      </w:pPr>
      <w:r w:rsidRPr="006761F1">
        <w:rPr>
          <w:rFonts w:ascii="Times New Roman" w:hAnsi="Times New Roman"/>
          <w:sz w:val="24"/>
        </w:rPr>
        <w:t>Executive General Manager</w:t>
      </w:r>
      <w:r>
        <w:rPr>
          <w:rFonts w:ascii="Times New Roman" w:hAnsi="Times New Roman"/>
          <w:sz w:val="24"/>
        </w:rPr>
        <w:t xml:space="preserve"> (Acting)</w:t>
      </w:r>
    </w:p>
    <w:p w14:paraId="65B82AC6" w14:textId="77777777" w:rsidR="00213B13" w:rsidRPr="006761F1" w:rsidRDefault="00213B13" w:rsidP="00213B13">
      <w:pPr>
        <w:spacing w:after="0"/>
        <w:ind w:right="-22"/>
        <w:rPr>
          <w:rFonts w:ascii="Times New Roman" w:hAnsi="Times New Roman"/>
          <w:sz w:val="24"/>
        </w:rPr>
      </w:pPr>
      <w:r w:rsidRPr="006761F1">
        <w:rPr>
          <w:rFonts w:ascii="Times New Roman" w:hAnsi="Times New Roman"/>
          <w:sz w:val="24"/>
        </w:rPr>
        <w:t>Policy and Advice Division</w:t>
      </w:r>
    </w:p>
    <w:p w14:paraId="65B82AC7" w14:textId="77777777" w:rsidR="00213B13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C8" w14:textId="77777777" w:rsidR="00213B13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C9" w14:textId="77777777" w:rsidR="00213B13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CA" w14:textId="77777777" w:rsidR="00213B13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CB" w14:textId="77777777" w:rsidR="00213B13" w:rsidRPr="006761F1" w:rsidRDefault="00213B13" w:rsidP="00213B13">
      <w:pPr>
        <w:ind w:right="-22"/>
        <w:rPr>
          <w:rFonts w:ascii="Times New Roman" w:hAnsi="Times New Roman"/>
          <w:sz w:val="24"/>
        </w:rPr>
      </w:pPr>
    </w:p>
    <w:p w14:paraId="65B82ACC" w14:textId="77777777" w:rsidR="00213B13" w:rsidRPr="00E80020" w:rsidRDefault="00213B13" w:rsidP="00213B13">
      <w:pPr>
        <w:pStyle w:val="IH"/>
        <w:ind w:left="0" w:right="-22" w:firstLine="0"/>
        <w:rPr>
          <w:rFonts w:ascii="Times New Roman" w:hAnsi="Times New Roman"/>
          <w:color w:val="000000"/>
        </w:rPr>
      </w:pPr>
      <w:r w:rsidRPr="00E80020">
        <w:rPr>
          <w:rFonts w:ascii="Times New Roman" w:hAnsi="Times New Roman"/>
          <w:color w:val="000000"/>
        </w:rPr>
        <w:t>Interpretation</w:t>
      </w:r>
    </w:p>
    <w:p w14:paraId="65B82ACD" w14:textId="77777777" w:rsidR="00213B13" w:rsidRPr="00E80020" w:rsidRDefault="00213B13" w:rsidP="00213B13">
      <w:pPr>
        <w:pStyle w:val="IP"/>
        <w:ind w:right="-22"/>
        <w:rPr>
          <w:color w:val="000000"/>
        </w:rPr>
      </w:pPr>
      <w:r w:rsidRPr="00E80020">
        <w:rPr>
          <w:color w:val="000000"/>
        </w:rPr>
        <w:t xml:space="preserve">In this </w:t>
      </w:r>
      <w:r>
        <w:rPr>
          <w:color w:val="000000"/>
        </w:rPr>
        <w:t>Determination:</w:t>
      </w:r>
    </w:p>
    <w:p w14:paraId="65B82ACE" w14:textId="77777777" w:rsidR="00213B13" w:rsidRDefault="00213B13" w:rsidP="00213B13">
      <w:pPr>
        <w:pStyle w:val="IntroTo"/>
        <w:spacing w:before="120"/>
        <w:ind w:left="0" w:right="-22" w:firstLine="0"/>
        <w:jc w:val="both"/>
        <w:rPr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ADI </w:t>
      </w:r>
      <w:r>
        <w:rPr>
          <w:color w:val="000000"/>
          <w:szCs w:val="24"/>
        </w:rPr>
        <w:t>has</w:t>
      </w:r>
      <w:r w:rsidRPr="000B5D99">
        <w:rPr>
          <w:color w:val="000000"/>
          <w:szCs w:val="24"/>
        </w:rPr>
        <w:t xml:space="preserve"> the meaning given in section 5 of the Act.</w:t>
      </w:r>
    </w:p>
    <w:p w14:paraId="65B82ACF" w14:textId="77777777" w:rsidR="00213B13" w:rsidRDefault="00213B13" w:rsidP="00213B13">
      <w:pPr>
        <w:pStyle w:val="IntroTo"/>
        <w:spacing w:before="120"/>
        <w:ind w:left="0" w:right="-22" w:firstLine="0"/>
        <w:jc w:val="both"/>
        <w:rPr>
          <w:color w:val="000000"/>
          <w:szCs w:val="24"/>
        </w:rPr>
      </w:pPr>
      <w:r w:rsidRPr="000B5D99">
        <w:rPr>
          <w:b/>
          <w:i/>
          <w:color w:val="000000"/>
          <w:szCs w:val="24"/>
        </w:rPr>
        <w:t>APRA</w:t>
      </w:r>
      <w:r w:rsidRPr="000B5D99">
        <w:rPr>
          <w:color w:val="000000"/>
          <w:szCs w:val="24"/>
        </w:rPr>
        <w:t xml:space="preserve"> means the Australian Prudential Regulation Authority.</w:t>
      </w:r>
    </w:p>
    <w:p w14:paraId="65B82AD0" w14:textId="77777777" w:rsidR="00213B13" w:rsidRDefault="00213B13" w:rsidP="00213B13">
      <w:pPr>
        <w:pStyle w:val="IntroTo"/>
        <w:spacing w:before="120"/>
        <w:ind w:left="0" w:right="-22" w:firstLine="0"/>
        <w:jc w:val="both"/>
        <w:rPr>
          <w:color w:val="000000"/>
          <w:szCs w:val="24"/>
        </w:rPr>
      </w:pPr>
      <w:r>
        <w:rPr>
          <w:b/>
          <w:i/>
          <w:color w:val="000000"/>
          <w:szCs w:val="24"/>
        </w:rPr>
        <w:t>foreign ADI</w:t>
      </w:r>
      <w:r w:rsidRPr="000B5D99">
        <w:rPr>
          <w:color w:val="000000"/>
          <w:szCs w:val="24"/>
        </w:rPr>
        <w:t xml:space="preserve"> has the meaning given in section 5 of the Act</w:t>
      </w:r>
      <w:r>
        <w:rPr>
          <w:color w:val="000000"/>
          <w:szCs w:val="24"/>
        </w:rPr>
        <w:t>.</w:t>
      </w:r>
    </w:p>
    <w:p w14:paraId="65B82AD1" w14:textId="77777777" w:rsidR="00213B13" w:rsidRDefault="00213B13" w:rsidP="00213B13">
      <w:pPr>
        <w:ind w:right="-22"/>
        <w:rPr>
          <w:i/>
          <w:sz w:val="20"/>
        </w:rPr>
      </w:pPr>
      <w:r>
        <w:rPr>
          <w:color w:val="000000"/>
          <w:lang w:eastAsia="en-US"/>
        </w:rPr>
        <w:br/>
      </w:r>
    </w:p>
    <w:p w14:paraId="65B82AD2" w14:textId="77777777" w:rsidR="00213B13" w:rsidRPr="00D96FC5" w:rsidRDefault="00213B13" w:rsidP="00213B13">
      <w:pPr>
        <w:ind w:left="720" w:right="-22" w:hanging="720"/>
        <w:rPr>
          <w:rFonts w:ascii="Times New Roman" w:hAnsi="Times New Roman"/>
          <w:sz w:val="20"/>
        </w:rPr>
      </w:pPr>
      <w:r w:rsidRPr="00D96FC5">
        <w:rPr>
          <w:rFonts w:ascii="Times New Roman" w:hAnsi="Times New Roman"/>
          <w:i/>
          <w:sz w:val="20"/>
        </w:rPr>
        <w:t>Note 1</w:t>
      </w:r>
      <w:r w:rsidRPr="00D96FC5">
        <w:rPr>
          <w:rFonts w:ascii="Times New Roman" w:hAnsi="Times New Roman"/>
          <w:sz w:val="20"/>
        </w:rPr>
        <w:tab/>
        <w:t>Under subsection 11E(2) of the Act, a foreign ADI commits an offence if it accepts a deposit from a person in Australia, and, before accepting the deposit, the foreign ADI does not inform the person, in a manner approved by APRA, of the requirements of the Act to which the foreign ADI is not subject because of subsection 11E(1B) of the Act.</w:t>
      </w:r>
    </w:p>
    <w:p w14:paraId="65B82AD3" w14:textId="77777777" w:rsidR="00213B13" w:rsidRPr="00D96FC5" w:rsidRDefault="00213B13" w:rsidP="00213B13">
      <w:pPr>
        <w:tabs>
          <w:tab w:val="left" w:pos="0"/>
        </w:tabs>
        <w:ind w:left="720" w:right="-22" w:hanging="720"/>
        <w:rPr>
          <w:rFonts w:ascii="Times New Roman" w:hAnsi="Times New Roman"/>
          <w:sz w:val="20"/>
        </w:rPr>
      </w:pPr>
      <w:r w:rsidRPr="00D96FC5">
        <w:rPr>
          <w:rFonts w:ascii="Times New Roman" w:hAnsi="Times New Roman"/>
          <w:sz w:val="20"/>
        </w:rPr>
        <w:t>Note 2</w:t>
      </w:r>
      <w:r w:rsidRPr="00D96FC5">
        <w:rPr>
          <w:rFonts w:ascii="Times New Roman" w:hAnsi="Times New Roman"/>
          <w:sz w:val="20"/>
        </w:rPr>
        <w:tab/>
        <w:t xml:space="preserve">This Approval relates solely to paragraph 11E(2)(b) of the Act. Separately, foreign ADIs must comply with any conditions in relation to the taking of deposits imposed on their </w:t>
      </w:r>
      <w:r>
        <w:rPr>
          <w:rFonts w:ascii="Times New Roman" w:hAnsi="Times New Roman"/>
          <w:sz w:val="20"/>
        </w:rPr>
        <w:t>authority</w:t>
      </w:r>
      <w:r w:rsidRPr="00D96FC5">
        <w:rPr>
          <w:rFonts w:ascii="Times New Roman" w:hAnsi="Times New Roman"/>
          <w:sz w:val="20"/>
        </w:rPr>
        <w:t xml:space="preserve"> to carry on banking business in Australia under subsection 9AA(1) of the Act. </w:t>
      </w:r>
    </w:p>
    <w:p w14:paraId="65B82AD4" w14:textId="77777777" w:rsidR="00213B13" w:rsidRDefault="00213B13" w:rsidP="00213B13">
      <w:pPr>
        <w:ind w:right="-22"/>
        <w:rPr>
          <w:sz w:val="20"/>
        </w:rPr>
      </w:pPr>
      <w:r>
        <w:rPr>
          <w:sz w:val="20"/>
        </w:rPr>
        <w:br w:type="page"/>
      </w:r>
    </w:p>
    <w:p w14:paraId="65B82AD5" w14:textId="77777777" w:rsidR="00213B13" w:rsidRDefault="00213B13" w:rsidP="00213B13">
      <w:pPr>
        <w:ind w:right="-22"/>
        <w:rPr>
          <w:color w:val="000000"/>
        </w:rPr>
      </w:pPr>
    </w:p>
    <w:p w14:paraId="65B82AD6" w14:textId="77777777" w:rsidR="00213B13" w:rsidRDefault="00213B13" w:rsidP="00213B13">
      <w:pPr>
        <w:pStyle w:val="AS"/>
        <w:ind w:left="0" w:right="-22" w:firstLine="0"/>
        <w:jc w:val="both"/>
      </w:pPr>
      <w:r>
        <w:t>Schedule</w:t>
      </w:r>
    </w:p>
    <w:p w14:paraId="65B82AD7" w14:textId="77777777" w:rsidR="00213B13" w:rsidRDefault="00213B13" w:rsidP="00213B13">
      <w:pPr>
        <w:pStyle w:val="ASref"/>
        <w:ind w:left="0" w:right="-22"/>
        <w:jc w:val="both"/>
      </w:pPr>
    </w:p>
    <w:p w14:paraId="65B82AD8" w14:textId="77777777" w:rsidR="00213B13" w:rsidRPr="00D37810" w:rsidRDefault="00213B13" w:rsidP="00213B13">
      <w:pPr>
        <w:pStyle w:val="ListParagraph"/>
        <w:numPr>
          <w:ilvl w:val="0"/>
          <w:numId w:val="1"/>
        </w:numPr>
        <w:spacing w:after="0"/>
        <w:ind w:left="714" w:right="-22" w:hanging="357"/>
        <w:contextualSpacing w:val="0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sz w:val="24"/>
        </w:rPr>
        <w:t>Prior to the earlier of:</w:t>
      </w:r>
    </w:p>
    <w:p w14:paraId="65B82AD9" w14:textId="77777777" w:rsidR="00213B13" w:rsidRPr="00D37810" w:rsidRDefault="00213B13" w:rsidP="00213B13">
      <w:pPr>
        <w:pStyle w:val="ListParagraph"/>
        <w:spacing w:after="0"/>
        <w:ind w:left="714" w:right="-22"/>
        <w:contextualSpacing w:val="0"/>
        <w:rPr>
          <w:rFonts w:ascii="Times New Roman" w:hAnsi="Times New Roman"/>
          <w:sz w:val="24"/>
        </w:rPr>
      </w:pPr>
    </w:p>
    <w:p w14:paraId="65B82ADA" w14:textId="77777777" w:rsidR="00213B13" w:rsidRPr="00D37810" w:rsidRDefault="00213B13" w:rsidP="00213B13">
      <w:pPr>
        <w:pStyle w:val="ListParagraph"/>
        <w:numPr>
          <w:ilvl w:val="1"/>
          <w:numId w:val="1"/>
        </w:numPr>
        <w:spacing w:after="0"/>
        <w:ind w:left="1434" w:right="-22" w:hanging="357"/>
        <w:contextualSpacing w:val="0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sz w:val="24"/>
        </w:rPr>
        <w:t>the opening of an account;</w:t>
      </w:r>
    </w:p>
    <w:p w14:paraId="65B82ADB" w14:textId="77777777" w:rsidR="00213B13" w:rsidRPr="00D37810" w:rsidRDefault="00213B13" w:rsidP="00213B13">
      <w:pPr>
        <w:pStyle w:val="ListParagraph"/>
        <w:spacing w:after="0"/>
        <w:ind w:left="1434" w:right="-22"/>
        <w:contextualSpacing w:val="0"/>
        <w:rPr>
          <w:rFonts w:ascii="Times New Roman" w:hAnsi="Times New Roman"/>
          <w:sz w:val="24"/>
        </w:rPr>
      </w:pPr>
    </w:p>
    <w:p w14:paraId="65B82ADC" w14:textId="77777777" w:rsidR="00213B13" w:rsidRPr="00D37810" w:rsidRDefault="00213B13" w:rsidP="00213B13">
      <w:pPr>
        <w:pStyle w:val="ListParagraph"/>
        <w:numPr>
          <w:ilvl w:val="1"/>
          <w:numId w:val="1"/>
        </w:numPr>
        <w:spacing w:after="0"/>
        <w:ind w:left="1434" w:right="-22" w:hanging="357"/>
        <w:contextualSpacing w:val="0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sz w:val="24"/>
        </w:rPr>
        <w:t>the transfer of an account from another person; or</w:t>
      </w:r>
    </w:p>
    <w:p w14:paraId="65B82ADD" w14:textId="77777777" w:rsidR="00213B13" w:rsidRPr="00D37810" w:rsidRDefault="00213B13" w:rsidP="00213B13">
      <w:pPr>
        <w:pStyle w:val="ListParagraph"/>
        <w:ind w:right="-22"/>
        <w:rPr>
          <w:rFonts w:ascii="Times New Roman" w:hAnsi="Times New Roman"/>
          <w:sz w:val="24"/>
        </w:rPr>
      </w:pPr>
    </w:p>
    <w:p w14:paraId="65B82ADE" w14:textId="77777777" w:rsidR="00213B13" w:rsidRPr="00D37810" w:rsidRDefault="00213B13" w:rsidP="00213B13">
      <w:pPr>
        <w:pStyle w:val="ListParagraph"/>
        <w:numPr>
          <w:ilvl w:val="1"/>
          <w:numId w:val="1"/>
        </w:numPr>
        <w:spacing w:after="0"/>
        <w:ind w:left="1434" w:right="-22" w:hanging="357"/>
        <w:contextualSpacing w:val="0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sz w:val="24"/>
        </w:rPr>
        <w:t>the taking of an initial deposit,</w:t>
      </w:r>
    </w:p>
    <w:p w14:paraId="65B82ADF" w14:textId="77777777" w:rsidR="00213B13" w:rsidRPr="00D37810" w:rsidRDefault="00213B13" w:rsidP="00213B13">
      <w:pPr>
        <w:pStyle w:val="ListParagraph"/>
        <w:spacing w:after="0"/>
        <w:ind w:left="1434" w:right="-22"/>
        <w:contextualSpacing w:val="0"/>
        <w:rPr>
          <w:rFonts w:ascii="Times New Roman" w:hAnsi="Times New Roman"/>
          <w:sz w:val="24"/>
        </w:rPr>
      </w:pPr>
    </w:p>
    <w:p w14:paraId="65B82AE0" w14:textId="77777777" w:rsidR="00213B13" w:rsidRPr="00D37810" w:rsidRDefault="00213B13" w:rsidP="00213B13">
      <w:pPr>
        <w:spacing w:after="0"/>
        <w:ind w:left="720" w:right="-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D37810">
        <w:rPr>
          <w:rFonts w:ascii="Times New Roman" w:hAnsi="Times New Roman"/>
          <w:sz w:val="24"/>
        </w:rPr>
        <w:t xml:space="preserve"> foreign ADI must provide </w:t>
      </w:r>
      <w:r>
        <w:rPr>
          <w:rFonts w:ascii="Times New Roman" w:hAnsi="Times New Roman"/>
          <w:sz w:val="24"/>
        </w:rPr>
        <w:t>a</w:t>
      </w:r>
      <w:r w:rsidRPr="00D37810">
        <w:rPr>
          <w:rFonts w:ascii="Times New Roman" w:hAnsi="Times New Roman"/>
          <w:sz w:val="24"/>
        </w:rPr>
        <w:t xml:space="preserve"> person with a written disclosure statement (the Statement).</w:t>
      </w:r>
    </w:p>
    <w:p w14:paraId="65B82AE1" w14:textId="77777777" w:rsidR="00213B13" w:rsidRPr="00D37810" w:rsidRDefault="00213B13" w:rsidP="00213B13">
      <w:pPr>
        <w:spacing w:after="0"/>
        <w:ind w:left="720" w:right="-22"/>
        <w:rPr>
          <w:rFonts w:ascii="Times New Roman" w:hAnsi="Times New Roman"/>
          <w:sz w:val="24"/>
        </w:rPr>
      </w:pPr>
    </w:p>
    <w:p w14:paraId="65B82AE2" w14:textId="77777777" w:rsidR="00213B13" w:rsidRPr="00D37810" w:rsidRDefault="00213B13" w:rsidP="00213B13">
      <w:pPr>
        <w:pStyle w:val="ListParagraph"/>
        <w:numPr>
          <w:ilvl w:val="0"/>
          <w:numId w:val="1"/>
        </w:numPr>
        <w:spacing w:after="0"/>
        <w:ind w:right="-22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sz w:val="24"/>
        </w:rPr>
        <w:t>The Statement must be prominently displayed and clearly written in plain language.</w:t>
      </w:r>
    </w:p>
    <w:p w14:paraId="65B82AE3" w14:textId="77777777" w:rsidR="00213B13" w:rsidRPr="00D37810" w:rsidRDefault="00213B13" w:rsidP="00213B13">
      <w:pPr>
        <w:pStyle w:val="ListParagraph"/>
        <w:spacing w:after="0"/>
        <w:ind w:right="-22"/>
        <w:rPr>
          <w:rFonts w:ascii="Times New Roman" w:hAnsi="Times New Roman"/>
          <w:sz w:val="24"/>
        </w:rPr>
      </w:pPr>
    </w:p>
    <w:p w14:paraId="65B82AE4" w14:textId="77777777" w:rsidR="00213B13" w:rsidRPr="00D37810" w:rsidRDefault="00213B13" w:rsidP="00213B13">
      <w:pPr>
        <w:pStyle w:val="ListParagraph"/>
        <w:numPr>
          <w:ilvl w:val="0"/>
          <w:numId w:val="1"/>
        </w:numPr>
        <w:spacing w:after="0"/>
        <w:ind w:right="-22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sz w:val="24"/>
        </w:rPr>
        <w:t>The Statement must disclose, at a minimum, the following matters:</w:t>
      </w:r>
    </w:p>
    <w:p w14:paraId="65B82AE5" w14:textId="77777777" w:rsidR="00213B13" w:rsidRPr="00D37810" w:rsidRDefault="00213B13" w:rsidP="00213B13">
      <w:pPr>
        <w:spacing w:after="0"/>
        <w:ind w:right="-22"/>
        <w:rPr>
          <w:rFonts w:ascii="Times New Roman" w:hAnsi="Times New Roman"/>
          <w:sz w:val="24"/>
        </w:rPr>
      </w:pPr>
    </w:p>
    <w:p w14:paraId="65B82AE6" w14:textId="77777777" w:rsidR="00213B13" w:rsidRPr="00D37810" w:rsidRDefault="00213B13" w:rsidP="00213B13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right="-22" w:hanging="284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i/>
          <w:sz w:val="24"/>
        </w:rPr>
        <w:t xml:space="preserve">Provisions </w:t>
      </w:r>
      <w:r>
        <w:rPr>
          <w:rFonts w:ascii="Times New Roman" w:hAnsi="Times New Roman"/>
          <w:i/>
          <w:sz w:val="24"/>
        </w:rPr>
        <w:t xml:space="preserve">of </w:t>
      </w:r>
      <w:r w:rsidRPr="00D37810">
        <w:rPr>
          <w:rFonts w:ascii="Times New Roman" w:hAnsi="Times New Roman"/>
          <w:i/>
          <w:sz w:val="24"/>
        </w:rPr>
        <w:t xml:space="preserve">the Banking Act 1959 for the protection of depositors </w:t>
      </w:r>
      <w:r>
        <w:rPr>
          <w:rFonts w:ascii="Times New Roman" w:hAnsi="Times New Roman"/>
          <w:i/>
          <w:sz w:val="24"/>
        </w:rPr>
        <w:t xml:space="preserve">generally </w:t>
      </w:r>
      <w:r w:rsidRPr="00D37810">
        <w:rPr>
          <w:rFonts w:ascii="Times New Roman" w:hAnsi="Times New Roman"/>
          <w:i/>
          <w:sz w:val="24"/>
        </w:rPr>
        <w:t>do not apply to foreign ADIs, including [insert name of foreign ADI making this disclosure]. For example, depositors with foreign ADIs do not receive the benefit of the following protections:</w:t>
      </w:r>
      <w:bookmarkStart w:id="1" w:name="_GoBack"/>
      <w:bookmarkEnd w:id="1"/>
    </w:p>
    <w:p w14:paraId="65B82AE7" w14:textId="77777777" w:rsidR="00213B13" w:rsidRPr="00D37810" w:rsidRDefault="00213B13" w:rsidP="00213B13">
      <w:pPr>
        <w:pStyle w:val="ListParagraph"/>
        <w:spacing w:after="0"/>
        <w:ind w:right="-22"/>
        <w:rPr>
          <w:rFonts w:ascii="Times New Roman" w:hAnsi="Times New Roman"/>
          <w:sz w:val="24"/>
        </w:rPr>
      </w:pPr>
    </w:p>
    <w:p w14:paraId="65B82AE8" w14:textId="77777777" w:rsidR="00213B13" w:rsidRPr="00D37810" w:rsidRDefault="00213B13" w:rsidP="00213B13">
      <w:pPr>
        <w:pStyle w:val="ListParagraph"/>
        <w:numPr>
          <w:ilvl w:val="1"/>
          <w:numId w:val="2"/>
        </w:numPr>
        <w:spacing w:after="0"/>
        <w:ind w:right="-22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i/>
          <w:sz w:val="24"/>
        </w:rPr>
        <w:t>Deposits are not covered by the financial claims scheme and are not guaranteed by the Australian Government.</w:t>
      </w:r>
    </w:p>
    <w:p w14:paraId="65B82AE9" w14:textId="77777777" w:rsidR="00213B13" w:rsidRPr="00D37810" w:rsidRDefault="00213B13" w:rsidP="00213B13">
      <w:pPr>
        <w:pStyle w:val="ListParagraph"/>
        <w:spacing w:after="0"/>
        <w:ind w:left="1440" w:right="-22"/>
        <w:rPr>
          <w:rFonts w:ascii="Times New Roman" w:hAnsi="Times New Roman"/>
          <w:sz w:val="24"/>
        </w:rPr>
      </w:pPr>
    </w:p>
    <w:p w14:paraId="65B82AEA" w14:textId="77777777" w:rsidR="00213B13" w:rsidRPr="00D37810" w:rsidRDefault="00213B13" w:rsidP="00213B13">
      <w:pPr>
        <w:pStyle w:val="ListParagraph"/>
        <w:numPr>
          <w:ilvl w:val="1"/>
          <w:numId w:val="2"/>
        </w:numPr>
        <w:spacing w:after="0"/>
        <w:ind w:right="-22"/>
        <w:rPr>
          <w:rFonts w:ascii="Times New Roman" w:hAnsi="Times New Roman"/>
          <w:sz w:val="24"/>
        </w:rPr>
      </w:pPr>
      <w:r w:rsidRPr="00D37810">
        <w:rPr>
          <w:rFonts w:ascii="Times New Roman" w:hAnsi="Times New Roman"/>
          <w:i/>
          <w:sz w:val="24"/>
        </w:rPr>
        <w:t>Deposits do not receive priority ahead of amounts owed to other creditors.</w:t>
      </w:r>
    </w:p>
    <w:p w14:paraId="65B82AEB" w14:textId="77777777" w:rsidR="00213B13" w:rsidRPr="00D37810" w:rsidRDefault="00213B13" w:rsidP="00213B13">
      <w:pPr>
        <w:spacing w:after="0"/>
        <w:ind w:right="-22"/>
        <w:rPr>
          <w:rFonts w:ascii="Times New Roman" w:hAnsi="Times New Roman"/>
          <w:sz w:val="24"/>
        </w:rPr>
      </w:pPr>
    </w:p>
    <w:p w14:paraId="65B82AEC" w14:textId="77777777" w:rsidR="00213B13" w:rsidRPr="00D37810" w:rsidRDefault="00213B13" w:rsidP="00213B13">
      <w:pPr>
        <w:pStyle w:val="ListParagraph"/>
        <w:spacing w:after="0"/>
        <w:ind w:left="1440" w:right="-22"/>
        <w:rPr>
          <w:rFonts w:ascii="Times New Roman" w:hAnsi="Times New Roman"/>
          <w:i/>
          <w:sz w:val="24"/>
        </w:rPr>
      </w:pPr>
      <w:r w:rsidRPr="00D37810">
        <w:rPr>
          <w:rFonts w:ascii="Times New Roman" w:hAnsi="Times New Roman"/>
          <w:i/>
          <w:sz w:val="24"/>
        </w:rPr>
        <w:t xml:space="preserve">This means that if a foreign ADI </w:t>
      </w:r>
      <w:r>
        <w:rPr>
          <w:rFonts w:ascii="Times New Roman" w:hAnsi="Times New Roman"/>
          <w:i/>
          <w:sz w:val="24"/>
        </w:rPr>
        <w:t>were</w:t>
      </w:r>
      <w:r w:rsidRPr="00D37810">
        <w:rPr>
          <w:rFonts w:ascii="Times New Roman" w:hAnsi="Times New Roman"/>
          <w:i/>
          <w:sz w:val="24"/>
        </w:rPr>
        <w:t xml:space="preserve"> unable to meet its obligations or </w:t>
      </w:r>
      <w:r>
        <w:rPr>
          <w:rFonts w:ascii="Times New Roman" w:hAnsi="Times New Roman"/>
          <w:i/>
          <w:sz w:val="24"/>
        </w:rPr>
        <w:t>otherwise is in financial difficulties and ceases to make</w:t>
      </w:r>
      <w:r w:rsidRPr="00D37810">
        <w:rPr>
          <w:rFonts w:ascii="Times New Roman" w:hAnsi="Times New Roman"/>
          <w:i/>
          <w:sz w:val="24"/>
        </w:rPr>
        <w:t xml:space="preserve"> payment</w:t>
      </w:r>
      <w:r>
        <w:rPr>
          <w:rFonts w:ascii="Times New Roman" w:hAnsi="Times New Roman"/>
          <w:i/>
          <w:sz w:val="24"/>
        </w:rPr>
        <w:t>s</w:t>
      </w:r>
      <w:r w:rsidRPr="00D37810">
        <w:rPr>
          <w:rFonts w:ascii="Times New Roman" w:hAnsi="Times New Roman"/>
          <w:i/>
          <w:sz w:val="24"/>
        </w:rPr>
        <w:t>, its deposit</w:t>
      </w:r>
      <w:r>
        <w:rPr>
          <w:rFonts w:ascii="Times New Roman" w:hAnsi="Times New Roman"/>
          <w:i/>
          <w:sz w:val="24"/>
        </w:rPr>
        <w:t>or</w:t>
      </w:r>
      <w:r w:rsidRPr="00D37810">
        <w:rPr>
          <w:rFonts w:ascii="Times New Roman" w:hAnsi="Times New Roman"/>
          <w:i/>
          <w:sz w:val="24"/>
        </w:rPr>
        <w:t>s in Australia would not receive priority for repayment of their deposits from the foreign ADI’s assets in Australia.</w:t>
      </w:r>
    </w:p>
    <w:p w14:paraId="65B82AED" w14:textId="77777777" w:rsidR="00213B13" w:rsidRPr="00D37810" w:rsidRDefault="00213B13" w:rsidP="00213B13">
      <w:pPr>
        <w:pStyle w:val="ListParagraph"/>
        <w:spacing w:after="0"/>
        <w:ind w:left="1440" w:right="-22"/>
        <w:rPr>
          <w:rFonts w:ascii="Times New Roman" w:hAnsi="Times New Roman"/>
          <w:i/>
          <w:sz w:val="24"/>
        </w:rPr>
      </w:pPr>
    </w:p>
    <w:p w14:paraId="65B82AEE" w14:textId="77777777" w:rsidR="00213B13" w:rsidRPr="00D37810" w:rsidRDefault="00213B13" w:rsidP="00213B13">
      <w:pPr>
        <w:pStyle w:val="ListParagraph"/>
        <w:numPr>
          <w:ilvl w:val="1"/>
          <w:numId w:val="2"/>
        </w:numPr>
        <w:spacing w:after="0"/>
        <w:ind w:right="-22"/>
        <w:rPr>
          <w:rFonts w:ascii="Times New Roman" w:hAnsi="Times New Roman"/>
          <w:i/>
          <w:sz w:val="24"/>
        </w:rPr>
      </w:pPr>
      <w:r w:rsidRPr="00D37810">
        <w:rPr>
          <w:rFonts w:ascii="Times New Roman" w:hAnsi="Times New Roman"/>
          <w:i/>
          <w:sz w:val="24"/>
        </w:rPr>
        <w:t>A foreign ADI is not required to hold assets in Australia to cover its deposit liabilities in Australia.</w:t>
      </w:r>
    </w:p>
    <w:p w14:paraId="65B82AEF" w14:textId="77777777" w:rsidR="00213B13" w:rsidRPr="00D37810" w:rsidRDefault="00213B13" w:rsidP="00213B13">
      <w:pPr>
        <w:pStyle w:val="ListParagraph"/>
        <w:spacing w:after="0"/>
        <w:ind w:left="1440" w:right="-22"/>
        <w:rPr>
          <w:rFonts w:ascii="Times New Roman" w:hAnsi="Times New Roman"/>
          <w:i/>
          <w:sz w:val="24"/>
        </w:rPr>
      </w:pPr>
    </w:p>
    <w:p w14:paraId="65B82AF0" w14:textId="77777777" w:rsidR="00213B13" w:rsidRPr="00D37810" w:rsidRDefault="00213B13" w:rsidP="00213B13">
      <w:pPr>
        <w:pStyle w:val="ListParagraph"/>
        <w:spacing w:after="0"/>
        <w:ind w:left="1440" w:right="-22"/>
        <w:rPr>
          <w:rFonts w:ascii="Times New Roman" w:hAnsi="Times New Roman"/>
          <w:i/>
          <w:sz w:val="24"/>
        </w:rPr>
      </w:pPr>
      <w:r w:rsidRPr="00D37810">
        <w:rPr>
          <w:rFonts w:ascii="Times New Roman" w:hAnsi="Times New Roman"/>
          <w:i/>
          <w:sz w:val="24"/>
        </w:rPr>
        <w:t>This me</w:t>
      </w:r>
      <w:r>
        <w:rPr>
          <w:rFonts w:ascii="Times New Roman" w:hAnsi="Times New Roman"/>
          <w:i/>
          <w:sz w:val="24"/>
        </w:rPr>
        <w:t>ans that if the foreign ADI were</w:t>
      </w:r>
      <w:r w:rsidRPr="00D37810">
        <w:rPr>
          <w:rFonts w:ascii="Times New Roman" w:hAnsi="Times New Roman"/>
          <w:i/>
          <w:sz w:val="24"/>
        </w:rPr>
        <w:t xml:space="preserve"> unable to meet its obligations or </w:t>
      </w:r>
      <w:r>
        <w:rPr>
          <w:rFonts w:ascii="Times New Roman" w:hAnsi="Times New Roman"/>
          <w:i/>
          <w:sz w:val="24"/>
        </w:rPr>
        <w:t xml:space="preserve">otherwise is in financial difficulty and ceases to make </w:t>
      </w:r>
      <w:r w:rsidRPr="00D37810">
        <w:rPr>
          <w:rFonts w:ascii="Times New Roman" w:hAnsi="Times New Roman"/>
          <w:i/>
          <w:sz w:val="24"/>
        </w:rPr>
        <w:t>payment</w:t>
      </w:r>
      <w:r>
        <w:rPr>
          <w:rFonts w:ascii="Times New Roman" w:hAnsi="Times New Roman"/>
          <w:i/>
          <w:sz w:val="24"/>
        </w:rPr>
        <w:t>s,</w:t>
      </w:r>
      <w:r w:rsidRPr="00D37810">
        <w:rPr>
          <w:rFonts w:ascii="Times New Roman" w:hAnsi="Times New Roman"/>
          <w:i/>
          <w:sz w:val="24"/>
        </w:rPr>
        <w:t xml:space="preserve"> it is uncertain whether depositors would be able to access the full amount of their deposit.</w:t>
      </w:r>
    </w:p>
    <w:bookmarkEnd w:id="0"/>
    <w:p w14:paraId="65B82AF3" w14:textId="77777777" w:rsidR="001572D1" w:rsidRDefault="001572D1"/>
    <w:sectPr w:rsidR="0015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82AF8" w14:textId="77777777" w:rsidR="007042E5" w:rsidRDefault="007042E5" w:rsidP="007042E5">
      <w:pPr>
        <w:spacing w:after="0"/>
      </w:pPr>
      <w:r>
        <w:separator/>
      </w:r>
    </w:p>
  </w:endnote>
  <w:endnote w:type="continuationSeparator" w:id="0">
    <w:p w14:paraId="65B82AF9" w14:textId="77777777" w:rsidR="007042E5" w:rsidRDefault="007042E5" w:rsidP="00704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82AF6" w14:textId="77777777" w:rsidR="007042E5" w:rsidRDefault="007042E5" w:rsidP="007042E5">
      <w:pPr>
        <w:spacing w:after="0"/>
      </w:pPr>
      <w:r>
        <w:separator/>
      </w:r>
    </w:p>
  </w:footnote>
  <w:footnote w:type="continuationSeparator" w:id="0">
    <w:p w14:paraId="65B82AF7" w14:textId="77777777" w:rsidR="007042E5" w:rsidRDefault="007042E5" w:rsidP="007042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4414"/>
    <w:multiLevelType w:val="hybridMultilevel"/>
    <w:tmpl w:val="B8DEA540"/>
    <w:lvl w:ilvl="0" w:tplc="1E2867C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2AD4"/>
    <w:multiLevelType w:val="hybridMultilevel"/>
    <w:tmpl w:val="262E270E"/>
    <w:lvl w:ilvl="0" w:tplc="CE96F8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5C403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46E81"/>
    <w:multiLevelType w:val="hybridMultilevel"/>
    <w:tmpl w:val="587CE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13"/>
    <w:rsid w:val="00017385"/>
    <w:rsid w:val="001572D1"/>
    <w:rsid w:val="00213B13"/>
    <w:rsid w:val="007042E5"/>
    <w:rsid w:val="00D03BAE"/>
    <w:rsid w:val="00D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82AB3"/>
  <w15:chartTrackingRefBased/>
  <w15:docId w15:val="{C0ADE41C-5C1A-4BA1-968F-FBAECFB5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13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rsid w:val="00213B13"/>
    <w:rPr>
      <w:rFonts w:ascii="Arial" w:hAnsi="Arial"/>
      <w:i/>
      <w:iCs/>
      <w:sz w:val="22"/>
    </w:rPr>
  </w:style>
  <w:style w:type="paragraph" w:styleId="ListParagraph">
    <w:name w:val="List Paragraph"/>
    <w:basedOn w:val="Normal"/>
    <w:uiPriority w:val="34"/>
    <w:qFormat/>
    <w:rsid w:val="00213B1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13B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3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3B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ActTitle">
    <w:name w:val="Act Title"/>
    <w:basedOn w:val="Normal"/>
    <w:next w:val="IntroTo"/>
    <w:rsid w:val="00213B13"/>
    <w:pPr>
      <w:pBdr>
        <w:bottom w:val="single" w:sz="4" w:space="3" w:color="auto"/>
      </w:pBdr>
      <w:spacing w:before="480"/>
      <w:jc w:val="left"/>
    </w:pPr>
    <w:rPr>
      <w:i/>
      <w:iCs/>
      <w:sz w:val="28"/>
      <w:szCs w:val="20"/>
    </w:rPr>
  </w:style>
  <w:style w:type="paragraph" w:customStyle="1" w:styleId="IntroTo">
    <w:name w:val="IntroTo:"/>
    <w:basedOn w:val="Normal"/>
    <w:rsid w:val="00213B13"/>
    <w:pPr>
      <w:spacing w:after="0"/>
      <w:ind w:left="720" w:hanging="720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213B13"/>
    <w:pPr>
      <w:keepNext/>
      <w:spacing w:before="480" w:after="0"/>
      <w:ind w:left="964" w:hanging="964"/>
      <w:jc w:val="left"/>
    </w:pPr>
    <w:rPr>
      <w:b/>
      <w:sz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213B13"/>
    <w:pPr>
      <w:keepNext/>
      <w:tabs>
        <w:tab w:val="right" w:pos="794"/>
      </w:tabs>
      <w:spacing w:before="120" w:after="0" w:line="260" w:lineRule="exact"/>
      <w:ind w:left="964" w:hanging="964"/>
    </w:pPr>
    <w:rPr>
      <w:rFonts w:ascii="Times New Roman" w:hAnsi="Times New Roman"/>
      <w:sz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213B13"/>
    <w:pPr>
      <w:keepNext/>
      <w:autoSpaceDE w:val="0"/>
      <w:autoSpaceDN w:val="0"/>
      <w:spacing w:before="480" w:after="0"/>
      <w:ind w:left="2410" w:hanging="2410"/>
      <w:jc w:val="left"/>
    </w:pPr>
    <w:rPr>
      <w:rFonts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213B13"/>
    <w:pPr>
      <w:keepNext/>
      <w:autoSpaceDE w:val="0"/>
      <w:autoSpaceDN w:val="0"/>
      <w:spacing w:before="60" w:after="0" w:line="200" w:lineRule="exact"/>
      <w:ind w:left="2410"/>
      <w:jc w:val="left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13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_dlc_DocId xmlns="814d62cb-2db6-4c25-ab62-b9075facbc11">SNH4FU4VQPFR-1624932995-1842</_dlc_DocId>
    <TaxCatchAll xmlns="814d62cb-2db6-4c25-ab62-b9075facbc11">
      <Value>27</Value>
      <Value>152</Value>
      <Value>15</Value>
    </TaxCatchAl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/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Prudential guidance development</TermName>
          <TermId xmlns="http://schemas.microsoft.com/office/infopath/2007/PartnerControls">523c9ec3-58b8-4b91-aa19-c757c3839821</TermId>
        </TermInfo>
      </Terms>
    </i05115a133414b4dabee2531e4b46b67>
    <_dlc_DocIdUrl xmlns="814d62cb-2db6-4c25-ab62-b9075facbc11">
      <Url>https://im/teams/LICENSING/_layouts/15/DocIdRedir.aspx?ID=SNH4FU4VQPFR-1624932995-1842</Url>
      <Description>SNH4FU4VQPFR-1624932995-1842</Description>
    </_dlc_DocIdUrl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APRADocScanCheck xmlns="814d62cb-2db6-4c25-ab62-b9075facbc11">false</APRADocScanChec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ED24B35907DCE24ABB216123958F0461" ma:contentTypeVersion="22" ma:contentTypeDescription="Create a new document." ma:contentTypeScope="" ma:versionID="69a3aab65efa9af63155f307ed0282e6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a265f515a02792a4efe8cc031401cc86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162067a9-05df-49bc-b7fb-8011e74ad611}" ma:internalName="TaxCatchAll" ma:showField="CatchAllData" ma:web="6df62069-470e-4469-aa96-79101b8e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162067a9-05df-49bc-b7fb-8011e74ad611}" ma:internalName="TaxCatchAllLabel" ma:readOnly="true" ma:showField="CatchAllDataLabel" ma:web="6df62069-470e-4469-aa96-79101b8e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68985-CE75-495A-98FD-11D95FA406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894F4E-332B-42FE-AAE2-F5E68B886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5ACEA-03C5-4EB5-8F3E-3142975BD3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8692AF-33CC-4DB8-882D-4D431E4FF5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505AEE-1CA8-4A0C-8BB8-AE46191C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2496</Characters>
  <Application>Microsoft Office Word</Application>
  <DocSecurity>0</DocSecurity>
  <Lines>83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ADI Class approval 8 Nov 2019</vt:lpstr>
    </vt:vector>
  </TitlesOfParts>
  <Company>APRA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ADI Class approval 8 Nov 2019</dc:title>
  <dc:subject/>
  <dc:creator>Tran, Anh</dc:creator>
  <cp:keywords>[SEC=UNCLASSIFIED]</cp:keywords>
  <dc:description/>
  <cp:lastModifiedBy>Li, Joanne</cp:lastModifiedBy>
  <cp:revision>2</cp:revision>
  <dcterms:created xsi:type="dcterms:W3CDTF">2019-11-05T00:15:00Z</dcterms:created>
  <dcterms:modified xsi:type="dcterms:W3CDTF">2019-11-05T00:15:00Z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AC7D0EB23D8E46D14896EC0C723FE8ED73A60B47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1B943DC028BA4C85F60CF102FAC375197B6C7796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DE182A9E40354FCA8509183E626588B9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2019-10-30T04:50:28Z</vt:lpwstr>
  </property>
  <property fmtid="{D5CDD505-2E9C-101B-9397-08002B2CF9AE}" pid="19" name="PM_Hash_Version">
    <vt:lpwstr>2018.0</vt:lpwstr>
  </property>
  <property fmtid="{D5CDD505-2E9C-101B-9397-08002B2CF9AE}" pid="20" name="PM_Hash_Salt_Prev">
    <vt:lpwstr>FD8EFB49D72A914CA213F71661F317FA</vt:lpwstr>
  </property>
  <property fmtid="{D5CDD505-2E9C-101B-9397-08002B2CF9AE}" pid="21" name="PM_Hash_Salt">
    <vt:lpwstr>47A12899ABA43D8A27182A81CA3F4773</vt:lpwstr>
  </property>
  <property fmtid="{D5CDD505-2E9C-101B-9397-08002B2CF9AE}" pid="22" name="PM_SecurityClassification_Prev">
    <vt:lpwstr>UNCLASSIFIED</vt:lpwstr>
  </property>
  <property fmtid="{D5CDD505-2E9C-101B-9397-08002B2CF9AE}" pid="23" name="PM_Qualifier_Prev">
    <vt:lpwstr/>
  </property>
  <property fmtid="{D5CDD505-2E9C-101B-9397-08002B2CF9AE}" pid="24" name="IsLocked">
    <vt:lpwstr>Yes</vt:lpwstr>
  </property>
  <property fmtid="{D5CDD505-2E9C-101B-9397-08002B2CF9AE}" pid="25" name="APRAPeriod">
    <vt:lpwstr/>
  </property>
  <property fmtid="{D5CDD505-2E9C-101B-9397-08002B2CF9AE}" pid="26" name="ContentTypeId">
    <vt:lpwstr>0x0101008CA7A4F8331B45C7B0D3158B4994D0CA0200ED24B35907DCE24ABB216123958F0461</vt:lpwstr>
  </property>
  <property fmtid="{D5CDD505-2E9C-101B-9397-08002B2CF9AE}" pid="27" name="_dlc_DocIdItemGuid">
    <vt:lpwstr>ec09ffeb-199e-4242-a365-267f4391374b</vt:lpwstr>
  </property>
  <property fmtid="{D5CDD505-2E9C-101B-9397-08002B2CF9AE}" pid="28" name="APRAPRSG">
    <vt:lpwstr/>
  </property>
  <property fmtid="{D5CDD505-2E9C-101B-9397-08002B2CF9AE}" pid="29" name="APRAStatus">
    <vt:lpwstr>27;#Final|84d6b2d0-8498-4d62-bf46-bab38babbe9e</vt:lpwstr>
  </property>
  <property fmtid="{D5CDD505-2E9C-101B-9397-08002B2CF9AE}" pid="30" name="APRAActivity">
    <vt:lpwstr>15;#Prudential guidance development|523c9ec3-58b8-4b91-aa19-c757c3839821</vt:lpwstr>
  </property>
  <property fmtid="{D5CDD505-2E9C-101B-9397-08002B2CF9AE}" pid="31" name="APRAYear">
    <vt:lpwstr/>
  </property>
  <property fmtid="{D5CDD505-2E9C-101B-9397-08002B2CF9AE}" pid="32" name="APRAIndustry">
    <vt:lpwstr/>
  </property>
  <property fmtid="{D5CDD505-2E9C-101B-9397-08002B2CF9AE}" pid="33" name="APRACostCentre">
    <vt:lpwstr/>
  </property>
  <property fmtid="{D5CDD505-2E9C-101B-9397-08002B2CF9AE}" pid="34" name="IT system type">
    <vt:lpwstr/>
  </property>
  <property fmtid="{D5CDD505-2E9C-101B-9397-08002B2CF9AE}" pid="35" name="APRACategory">
    <vt:lpwstr/>
  </property>
  <property fmtid="{D5CDD505-2E9C-101B-9397-08002B2CF9AE}" pid="36" name="APRADocumentType">
    <vt:lpwstr>152;#Legal instrument|71fd6ed3-d6d6-4975-ba99-bfe45802e734</vt:lpwstr>
  </property>
  <property fmtid="{D5CDD505-2E9C-101B-9397-08002B2CF9AE}" pid="37" name="APRAEntityAdviceSupport">
    <vt:lpwstr/>
  </property>
  <property fmtid="{D5CDD505-2E9C-101B-9397-08002B2CF9AE}" pid="38" name="APRALegislation">
    <vt:lpwstr/>
  </property>
  <property fmtid="{D5CDD505-2E9C-101B-9397-08002B2CF9AE}" pid="39" name="APRAExternalOrganisation">
    <vt:lpwstr/>
  </property>
  <property fmtid="{D5CDD505-2E9C-101B-9397-08002B2CF9AE}" pid="40" name="APRAIRTR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SiteId">
    <vt:lpwstr>{dc39aa68-9533-4ebd-af05-45684489d74f}</vt:lpwstr>
  </property>
  <property fmtid="{D5CDD505-2E9C-101B-9397-08002B2CF9AE}" pid="43" name="RecordPoint_ActiveItemListId">
    <vt:lpwstr>{4555132d-768e-427a-803e-8931f7468360}</vt:lpwstr>
  </property>
  <property fmtid="{D5CDD505-2E9C-101B-9397-08002B2CF9AE}" pid="44" name="RecordPoint_ActiveItemUniqueId">
    <vt:lpwstr>{ec09ffeb-199e-4242-a365-267f4391374b}</vt:lpwstr>
  </property>
  <property fmtid="{D5CDD505-2E9C-101B-9397-08002B2CF9AE}" pid="45" name="RecordPoint_ActiveItemWebId">
    <vt:lpwstr>{6df62069-470e-4469-aa96-79101b8e8d68}</vt:lpwstr>
  </property>
  <property fmtid="{D5CDD505-2E9C-101B-9397-08002B2CF9AE}" pid="46" name="RecordPoint_RecordNumberSubmitted">
    <vt:lpwstr>R0000933425</vt:lpwstr>
  </property>
  <property fmtid="{D5CDD505-2E9C-101B-9397-08002B2CF9AE}" pid="47" name="RecordPoint_SubmissionCompleted">
    <vt:lpwstr>2019-11-05T10:43:22.2254203+11:00</vt:lpwstr>
  </property>
</Properties>
</file>